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1ED87EA7" w:rsidR="00F02AEC" w:rsidRPr="00215D48" w:rsidRDefault="00346EC2" w:rsidP="007452E8">
            <w:pPr>
              <w:pStyle w:val="Title"/>
            </w:pPr>
            <w:r w:rsidRPr="00346EC2">
              <w:t xml:space="preserve">Australian Public Assessment Report for </w:t>
            </w:r>
            <w:r w:rsidR="001477CD">
              <w:t>Vyvgart</w:t>
            </w:r>
          </w:p>
        </w:tc>
      </w:tr>
      <w:tr w:rsidR="00F02AEC" w:rsidRPr="00215D48" w14:paraId="318A40A3" w14:textId="77777777" w:rsidTr="00346EC2">
        <w:trPr>
          <w:trHeight w:val="995"/>
        </w:trPr>
        <w:tc>
          <w:tcPr>
            <w:tcW w:w="8720" w:type="dxa"/>
          </w:tcPr>
          <w:p w14:paraId="1AA7C701" w14:textId="6F002B7D" w:rsidR="00F02AEC" w:rsidRPr="00215D48" w:rsidRDefault="00346EC2" w:rsidP="007452E8">
            <w:pPr>
              <w:pStyle w:val="Subtitle"/>
              <w:ind w:left="0"/>
            </w:pPr>
            <w:r w:rsidRPr="00346EC2">
              <w:t xml:space="preserve">Active ingredient: </w:t>
            </w:r>
            <w:r w:rsidR="0079766C" w:rsidRPr="006B1AF5">
              <w:rPr>
                <w:color w:val="2E74B5" w:themeColor="accent5" w:themeShade="BF"/>
              </w:rPr>
              <w:t>Efgartigimod</w:t>
            </w:r>
            <w:r w:rsidR="0079766C" w:rsidRPr="006B1AF5">
              <w:rPr>
                <w:color w:val="2E74B5" w:themeColor="accent5" w:themeShade="BF"/>
                <w:spacing w:val="-7"/>
              </w:rPr>
              <w:t xml:space="preserve"> </w:t>
            </w:r>
            <w:r w:rsidR="0079766C" w:rsidRPr="006B1AF5">
              <w:rPr>
                <w:color w:val="2E74B5" w:themeColor="accent5" w:themeShade="BF"/>
                <w:spacing w:val="-4"/>
              </w:rPr>
              <w:t>alfa</w:t>
            </w:r>
            <w:r w:rsidR="0079766C" w:rsidRPr="006B1AF5">
              <w:rPr>
                <w:color w:val="2E74B5" w:themeColor="accent5" w:themeShade="BF"/>
              </w:rPr>
              <w:t xml:space="preserve">  </w:t>
            </w:r>
          </w:p>
        </w:tc>
      </w:tr>
      <w:tr w:rsidR="00346EC2" w:rsidRPr="00215D48" w14:paraId="362CCAE4" w14:textId="77777777" w:rsidTr="007452E8">
        <w:trPr>
          <w:trHeight w:val="1916"/>
        </w:trPr>
        <w:tc>
          <w:tcPr>
            <w:tcW w:w="8720" w:type="dxa"/>
          </w:tcPr>
          <w:p w14:paraId="709C45C0" w14:textId="33EB0C12" w:rsidR="00346EC2" w:rsidRPr="00215D48" w:rsidRDefault="00346EC2" w:rsidP="007452E8">
            <w:pPr>
              <w:pStyle w:val="Subtitle"/>
              <w:ind w:left="0"/>
            </w:pPr>
            <w:r w:rsidRPr="00346EC2">
              <w:t>Sponsor</w:t>
            </w:r>
            <w:r w:rsidRPr="006B1AF5">
              <w:rPr>
                <w:color w:val="2E74B5" w:themeColor="accent5" w:themeShade="BF"/>
              </w:rPr>
              <w:t xml:space="preserve">: </w:t>
            </w:r>
            <w:r w:rsidR="006B1AF5" w:rsidRPr="006B1AF5">
              <w:rPr>
                <w:color w:val="2E74B5" w:themeColor="accent5" w:themeShade="BF"/>
              </w:rPr>
              <w:t>Argenx</w:t>
            </w:r>
            <w:r w:rsidR="006B1AF5" w:rsidRPr="006B1AF5">
              <w:rPr>
                <w:color w:val="2E74B5" w:themeColor="accent5" w:themeShade="BF"/>
                <w:spacing w:val="-4"/>
              </w:rPr>
              <w:t xml:space="preserve"> </w:t>
            </w:r>
            <w:r w:rsidR="006B1AF5" w:rsidRPr="006B1AF5">
              <w:rPr>
                <w:color w:val="2E74B5" w:themeColor="accent5" w:themeShade="BF"/>
              </w:rPr>
              <w:t>Australia</w:t>
            </w:r>
            <w:r w:rsidR="006B1AF5" w:rsidRPr="006B1AF5">
              <w:rPr>
                <w:color w:val="2E74B5" w:themeColor="accent5" w:themeShade="BF"/>
                <w:spacing w:val="-7"/>
              </w:rPr>
              <w:t xml:space="preserve"> </w:t>
            </w:r>
            <w:r w:rsidR="006B1AF5" w:rsidRPr="006B1AF5">
              <w:rPr>
                <w:color w:val="2E74B5" w:themeColor="accent5" w:themeShade="BF"/>
              </w:rPr>
              <w:t>Pty</w:t>
            </w:r>
            <w:r w:rsidR="006B1AF5" w:rsidRPr="006B1AF5">
              <w:rPr>
                <w:color w:val="2E74B5" w:themeColor="accent5" w:themeShade="BF"/>
                <w:spacing w:val="-3"/>
              </w:rPr>
              <w:t xml:space="preserve"> </w:t>
            </w:r>
            <w:r w:rsidR="006B1AF5" w:rsidRPr="006B1AF5">
              <w:rPr>
                <w:color w:val="2E74B5" w:themeColor="accent5" w:themeShade="BF"/>
                <w:spacing w:val="-5"/>
              </w:rPr>
              <w:t>Ltd</w:t>
            </w:r>
          </w:p>
        </w:tc>
      </w:tr>
      <w:tr w:rsidR="00F02AEC" w:rsidRPr="00215D48" w14:paraId="37F2AA1F" w14:textId="77777777" w:rsidTr="007452E8">
        <w:tc>
          <w:tcPr>
            <w:tcW w:w="8720" w:type="dxa"/>
          </w:tcPr>
          <w:p w14:paraId="1FDE8DCD" w14:textId="4F7DB5D6" w:rsidR="00F02AEC" w:rsidRPr="00215D48" w:rsidRDefault="000539EB" w:rsidP="007452E8">
            <w:pPr>
              <w:pStyle w:val="Date"/>
            </w:pPr>
            <w:r>
              <w:t>March</w:t>
            </w:r>
            <w:r w:rsidR="00637453">
              <w:t xml:space="preserve"> 2026</w:t>
            </w:r>
          </w:p>
        </w:tc>
      </w:tr>
    </w:tbl>
    <w:p w14:paraId="73752706" w14:textId="77777777" w:rsidR="00F02AEC" w:rsidRPr="00215D48" w:rsidRDefault="00F02AEC" w:rsidP="007452E8">
      <w:pPr>
        <w:pStyle w:val="ListBullet"/>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1B84EBF5" w:rsidR="00175CD8" w:rsidRPr="00346EC2" w:rsidRDefault="00F02AEC" w:rsidP="00346EC2">
      <w:pPr>
        <w:pStyle w:val="LegalCopy"/>
        <w:rPr>
          <w:rFonts w:cs="Arial"/>
        </w:rPr>
      </w:pPr>
      <w:r w:rsidRPr="00215D48">
        <w:rPr>
          <w:rFonts w:cs="Arial"/>
        </w:rPr>
        <w:t>© Commonwealth of Australia 20</w:t>
      </w:r>
      <w:r>
        <w:rPr>
          <w:rFonts w:cs="Arial"/>
        </w:rPr>
        <w:t>2</w:t>
      </w:r>
      <w:r w:rsidR="00F6288E">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2A9B9AD1" w14:textId="5409FE39" w:rsidR="000A1B9E"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5173534" w:history="1">
            <w:r w:rsidR="000A1B9E" w:rsidRPr="00C410EA">
              <w:rPr>
                <w:rStyle w:val="Hyperlink"/>
                <w:noProof/>
              </w:rPr>
              <w:t>List of abbreviations</w:t>
            </w:r>
            <w:r w:rsidR="000A1B9E">
              <w:rPr>
                <w:noProof/>
                <w:webHidden/>
              </w:rPr>
              <w:tab/>
            </w:r>
            <w:r w:rsidR="000A1B9E">
              <w:rPr>
                <w:noProof/>
                <w:webHidden/>
              </w:rPr>
              <w:fldChar w:fldCharType="begin"/>
            </w:r>
            <w:r w:rsidR="000A1B9E">
              <w:rPr>
                <w:noProof/>
                <w:webHidden/>
              </w:rPr>
              <w:instrText xml:space="preserve"> PAGEREF _Toc225173534 \h </w:instrText>
            </w:r>
            <w:r w:rsidR="000A1B9E">
              <w:rPr>
                <w:noProof/>
                <w:webHidden/>
              </w:rPr>
            </w:r>
            <w:r w:rsidR="000A1B9E">
              <w:rPr>
                <w:noProof/>
                <w:webHidden/>
              </w:rPr>
              <w:fldChar w:fldCharType="separate"/>
            </w:r>
            <w:r w:rsidR="000A1B9E">
              <w:rPr>
                <w:noProof/>
                <w:webHidden/>
              </w:rPr>
              <w:t>4</w:t>
            </w:r>
            <w:r w:rsidR="000A1B9E">
              <w:rPr>
                <w:noProof/>
                <w:webHidden/>
              </w:rPr>
              <w:fldChar w:fldCharType="end"/>
            </w:r>
          </w:hyperlink>
        </w:p>
        <w:p w14:paraId="2E8EFED2" w14:textId="7C9F1438" w:rsidR="000A1B9E" w:rsidRDefault="000A1B9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5173535" w:history="1">
            <w:r w:rsidRPr="00C410EA">
              <w:rPr>
                <w:rStyle w:val="Hyperlink"/>
                <w:noProof/>
              </w:rPr>
              <w:t>Product submission</w:t>
            </w:r>
            <w:r>
              <w:rPr>
                <w:noProof/>
                <w:webHidden/>
              </w:rPr>
              <w:tab/>
            </w:r>
            <w:r>
              <w:rPr>
                <w:noProof/>
                <w:webHidden/>
              </w:rPr>
              <w:fldChar w:fldCharType="begin"/>
            </w:r>
            <w:r>
              <w:rPr>
                <w:noProof/>
                <w:webHidden/>
              </w:rPr>
              <w:instrText xml:space="preserve"> PAGEREF _Toc225173535 \h </w:instrText>
            </w:r>
            <w:r>
              <w:rPr>
                <w:noProof/>
                <w:webHidden/>
              </w:rPr>
            </w:r>
            <w:r>
              <w:rPr>
                <w:noProof/>
                <w:webHidden/>
              </w:rPr>
              <w:fldChar w:fldCharType="separate"/>
            </w:r>
            <w:r>
              <w:rPr>
                <w:noProof/>
                <w:webHidden/>
              </w:rPr>
              <w:t>5</w:t>
            </w:r>
            <w:r>
              <w:rPr>
                <w:noProof/>
                <w:webHidden/>
              </w:rPr>
              <w:fldChar w:fldCharType="end"/>
            </w:r>
          </w:hyperlink>
        </w:p>
        <w:p w14:paraId="3ED28F49" w14:textId="53C6277D" w:rsidR="000A1B9E" w:rsidRDefault="000A1B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173536" w:history="1">
            <w:r w:rsidRPr="00C410EA">
              <w:rPr>
                <w:rStyle w:val="Hyperlink"/>
                <w:noProof/>
                <w:lang w:eastAsia="en-AU"/>
              </w:rPr>
              <w:t>Submission details</w:t>
            </w:r>
            <w:r>
              <w:rPr>
                <w:noProof/>
                <w:webHidden/>
              </w:rPr>
              <w:tab/>
            </w:r>
            <w:r>
              <w:rPr>
                <w:noProof/>
                <w:webHidden/>
              </w:rPr>
              <w:fldChar w:fldCharType="begin"/>
            </w:r>
            <w:r>
              <w:rPr>
                <w:noProof/>
                <w:webHidden/>
              </w:rPr>
              <w:instrText xml:space="preserve"> PAGEREF _Toc225173536 \h </w:instrText>
            </w:r>
            <w:r>
              <w:rPr>
                <w:noProof/>
                <w:webHidden/>
              </w:rPr>
            </w:r>
            <w:r>
              <w:rPr>
                <w:noProof/>
                <w:webHidden/>
              </w:rPr>
              <w:fldChar w:fldCharType="separate"/>
            </w:r>
            <w:r>
              <w:rPr>
                <w:noProof/>
                <w:webHidden/>
              </w:rPr>
              <w:t>5</w:t>
            </w:r>
            <w:r>
              <w:rPr>
                <w:noProof/>
                <w:webHidden/>
              </w:rPr>
              <w:fldChar w:fldCharType="end"/>
            </w:r>
          </w:hyperlink>
        </w:p>
        <w:p w14:paraId="2ECFCAEC" w14:textId="4F38727E" w:rsidR="000A1B9E" w:rsidRDefault="000A1B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173537" w:history="1">
            <w:r w:rsidRPr="00C410EA">
              <w:rPr>
                <w:rStyle w:val="Hyperlink"/>
                <w:noProof/>
              </w:rPr>
              <w:t>Product background</w:t>
            </w:r>
            <w:r>
              <w:rPr>
                <w:noProof/>
                <w:webHidden/>
              </w:rPr>
              <w:tab/>
            </w:r>
            <w:r>
              <w:rPr>
                <w:noProof/>
                <w:webHidden/>
              </w:rPr>
              <w:fldChar w:fldCharType="begin"/>
            </w:r>
            <w:r>
              <w:rPr>
                <w:noProof/>
                <w:webHidden/>
              </w:rPr>
              <w:instrText xml:space="preserve"> PAGEREF _Toc225173537 \h </w:instrText>
            </w:r>
            <w:r>
              <w:rPr>
                <w:noProof/>
                <w:webHidden/>
              </w:rPr>
            </w:r>
            <w:r>
              <w:rPr>
                <w:noProof/>
                <w:webHidden/>
              </w:rPr>
              <w:fldChar w:fldCharType="separate"/>
            </w:r>
            <w:r>
              <w:rPr>
                <w:noProof/>
                <w:webHidden/>
              </w:rPr>
              <w:t>6</w:t>
            </w:r>
            <w:r>
              <w:rPr>
                <w:noProof/>
                <w:webHidden/>
              </w:rPr>
              <w:fldChar w:fldCharType="end"/>
            </w:r>
          </w:hyperlink>
        </w:p>
        <w:p w14:paraId="74A88CAF" w14:textId="188CCDD9" w:rsidR="000A1B9E" w:rsidRDefault="000A1B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173538" w:history="1">
            <w:r w:rsidRPr="00C410EA">
              <w:rPr>
                <w:rStyle w:val="Hyperlink"/>
                <w:noProof/>
              </w:rPr>
              <w:t>Myasthenia Gravis (MG)</w:t>
            </w:r>
            <w:r>
              <w:rPr>
                <w:noProof/>
                <w:webHidden/>
              </w:rPr>
              <w:tab/>
            </w:r>
            <w:r>
              <w:rPr>
                <w:noProof/>
                <w:webHidden/>
              </w:rPr>
              <w:fldChar w:fldCharType="begin"/>
            </w:r>
            <w:r>
              <w:rPr>
                <w:noProof/>
                <w:webHidden/>
              </w:rPr>
              <w:instrText xml:space="preserve"> PAGEREF _Toc225173538 \h </w:instrText>
            </w:r>
            <w:r>
              <w:rPr>
                <w:noProof/>
                <w:webHidden/>
              </w:rPr>
            </w:r>
            <w:r>
              <w:rPr>
                <w:noProof/>
                <w:webHidden/>
              </w:rPr>
              <w:fldChar w:fldCharType="separate"/>
            </w:r>
            <w:r>
              <w:rPr>
                <w:noProof/>
                <w:webHidden/>
              </w:rPr>
              <w:t>6</w:t>
            </w:r>
            <w:r>
              <w:rPr>
                <w:noProof/>
                <w:webHidden/>
              </w:rPr>
              <w:fldChar w:fldCharType="end"/>
            </w:r>
          </w:hyperlink>
        </w:p>
        <w:p w14:paraId="012A0453" w14:textId="602E992D" w:rsidR="000A1B9E" w:rsidRDefault="000A1B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173539" w:history="1">
            <w:r w:rsidRPr="00C410EA">
              <w:rPr>
                <w:rStyle w:val="Hyperlink"/>
                <w:noProof/>
              </w:rPr>
              <w:t>Current treatment options</w:t>
            </w:r>
            <w:r>
              <w:rPr>
                <w:noProof/>
                <w:webHidden/>
              </w:rPr>
              <w:tab/>
            </w:r>
            <w:r>
              <w:rPr>
                <w:noProof/>
                <w:webHidden/>
              </w:rPr>
              <w:fldChar w:fldCharType="begin"/>
            </w:r>
            <w:r>
              <w:rPr>
                <w:noProof/>
                <w:webHidden/>
              </w:rPr>
              <w:instrText xml:space="preserve"> PAGEREF _Toc225173539 \h </w:instrText>
            </w:r>
            <w:r>
              <w:rPr>
                <w:noProof/>
                <w:webHidden/>
              </w:rPr>
            </w:r>
            <w:r>
              <w:rPr>
                <w:noProof/>
                <w:webHidden/>
              </w:rPr>
              <w:fldChar w:fldCharType="separate"/>
            </w:r>
            <w:r>
              <w:rPr>
                <w:noProof/>
                <w:webHidden/>
              </w:rPr>
              <w:t>8</w:t>
            </w:r>
            <w:r>
              <w:rPr>
                <w:noProof/>
                <w:webHidden/>
              </w:rPr>
              <w:fldChar w:fldCharType="end"/>
            </w:r>
          </w:hyperlink>
        </w:p>
        <w:p w14:paraId="43F4833F" w14:textId="6F94B658" w:rsidR="000A1B9E" w:rsidRDefault="000A1B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173540" w:history="1">
            <w:r w:rsidRPr="00C410EA">
              <w:rPr>
                <w:rStyle w:val="Hyperlink"/>
                <w:noProof/>
              </w:rPr>
              <w:t>Clinical rationale</w:t>
            </w:r>
            <w:r>
              <w:rPr>
                <w:noProof/>
                <w:webHidden/>
              </w:rPr>
              <w:tab/>
            </w:r>
            <w:r>
              <w:rPr>
                <w:noProof/>
                <w:webHidden/>
              </w:rPr>
              <w:fldChar w:fldCharType="begin"/>
            </w:r>
            <w:r>
              <w:rPr>
                <w:noProof/>
                <w:webHidden/>
              </w:rPr>
              <w:instrText xml:space="preserve"> PAGEREF _Toc225173540 \h </w:instrText>
            </w:r>
            <w:r>
              <w:rPr>
                <w:noProof/>
                <w:webHidden/>
              </w:rPr>
            </w:r>
            <w:r>
              <w:rPr>
                <w:noProof/>
                <w:webHidden/>
              </w:rPr>
              <w:fldChar w:fldCharType="separate"/>
            </w:r>
            <w:r>
              <w:rPr>
                <w:noProof/>
                <w:webHidden/>
              </w:rPr>
              <w:t>9</w:t>
            </w:r>
            <w:r>
              <w:rPr>
                <w:noProof/>
                <w:webHidden/>
              </w:rPr>
              <w:fldChar w:fldCharType="end"/>
            </w:r>
          </w:hyperlink>
        </w:p>
        <w:p w14:paraId="165BF057" w14:textId="04AFD891" w:rsidR="000A1B9E" w:rsidRDefault="000A1B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173541" w:history="1">
            <w:r w:rsidRPr="00C410EA">
              <w:rPr>
                <w:rStyle w:val="Hyperlink"/>
                <w:noProof/>
              </w:rPr>
              <w:t>Regulatory status at the time of assessment</w:t>
            </w:r>
            <w:r>
              <w:rPr>
                <w:noProof/>
                <w:webHidden/>
              </w:rPr>
              <w:tab/>
            </w:r>
            <w:r>
              <w:rPr>
                <w:noProof/>
                <w:webHidden/>
              </w:rPr>
              <w:fldChar w:fldCharType="begin"/>
            </w:r>
            <w:r>
              <w:rPr>
                <w:noProof/>
                <w:webHidden/>
              </w:rPr>
              <w:instrText xml:space="preserve"> PAGEREF _Toc225173541 \h </w:instrText>
            </w:r>
            <w:r>
              <w:rPr>
                <w:noProof/>
                <w:webHidden/>
              </w:rPr>
            </w:r>
            <w:r>
              <w:rPr>
                <w:noProof/>
                <w:webHidden/>
              </w:rPr>
              <w:fldChar w:fldCharType="separate"/>
            </w:r>
            <w:r>
              <w:rPr>
                <w:noProof/>
                <w:webHidden/>
              </w:rPr>
              <w:t>10</w:t>
            </w:r>
            <w:r>
              <w:rPr>
                <w:noProof/>
                <w:webHidden/>
              </w:rPr>
              <w:fldChar w:fldCharType="end"/>
            </w:r>
          </w:hyperlink>
        </w:p>
        <w:p w14:paraId="6020007C" w14:textId="3A43656B" w:rsidR="000A1B9E" w:rsidRDefault="000A1B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173542" w:history="1">
            <w:r w:rsidRPr="00C410EA">
              <w:rPr>
                <w:rStyle w:val="Hyperlink"/>
                <w:noProof/>
              </w:rPr>
              <w:t>Australian regulatory status</w:t>
            </w:r>
            <w:r>
              <w:rPr>
                <w:noProof/>
                <w:webHidden/>
              </w:rPr>
              <w:tab/>
            </w:r>
            <w:r>
              <w:rPr>
                <w:noProof/>
                <w:webHidden/>
              </w:rPr>
              <w:fldChar w:fldCharType="begin"/>
            </w:r>
            <w:r>
              <w:rPr>
                <w:noProof/>
                <w:webHidden/>
              </w:rPr>
              <w:instrText xml:space="preserve"> PAGEREF _Toc225173542 \h </w:instrText>
            </w:r>
            <w:r>
              <w:rPr>
                <w:noProof/>
                <w:webHidden/>
              </w:rPr>
            </w:r>
            <w:r>
              <w:rPr>
                <w:noProof/>
                <w:webHidden/>
              </w:rPr>
              <w:fldChar w:fldCharType="separate"/>
            </w:r>
            <w:r>
              <w:rPr>
                <w:noProof/>
                <w:webHidden/>
              </w:rPr>
              <w:t>10</w:t>
            </w:r>
            <w:r>
              <w:rPr>
                <w:noProof/>
                <w:webHidden/>
              </w:rPr>
              <w:fldChar w:fldCharType="end"/>
            </w:r>
          </w:hyperlink>
        </w:p>
        <w:p w14:paraId="46BF8ECE" w14:textId="1B374D13" w:rsidR="000A1B9E" w:rsidRDefault="000A1B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173543" w:history="1">
            <w:r w:rsidRPr="00C410EA">
              <w:rPr>
                <w:rStyle w:val="Hyperlink"/>
                <w:noProof/>
              </w:rPr>
              <w:t>International regulatory status</w:t>
            </w:r>
            <w:r>
              <w:rPr>
                <w:noProof/>
                <w:webHidden/>
              </w:rPr>
              <w:tab/>
            </w:r>
            <w:r>
              <w:rPr>
                <w:noProof/>
                <w:webHidden/>
              </w:rPr>
              <w:fldChar w:fldCharType="begin"/>
            </w:r>
            <w:r>
              <w:rPr>
                <w:noProof/>
                <w:webHidden/>
              </w:rPr>
              <w:instrText xml:space="preserve"> PAGEREF _Toc225173543 \h </w:instrText>
            </w:r>
            <w:r>
              <w:rPr>
                <w:noProof/>
                <w:webHidden/>
              </w:rPr>
            </w:r>
            <w:r>
              <w:rPr>
                <w:noProof/>
                <w:webHidden/>
              </w:rPr>
              <w:fldChar w:fldCharType="separate"/>
            </w:r>
            <w:r>
              <w:rPr>
                <w:noProof/>
                <w:webHidden/>
              </w:rPr>
              <w:t>10</w:t>
            </w:r>
            <w:r>
              <w:rPr>
                <w:noProof/>
                <w:webHidden/>
              </w:rPr>
              <w:fldChar w:fldCharType="end"/>
            </w:r>
          </w:hyperlink>
        </w:p>
        <w:p w14:paraId="3DD6550B" w14:textId="655D39EF" w:rsidR="000A1B9E" w:rsidRDefault="000A1B9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5173544" w:history="1">
            <w:r w:rsidRPr="00C410EA">
              <w:rPr>
                <w:rStyle w:val="Hyperlink"/>
                <w:noProof/>
              </w:rPr>
              <w:t>Registration timeline</w:t>
            </w:r>
            <w:r>
              <w:rPr>
                <w:noProof/>
                <w:webHidden/>
              </w:rPr>
              <w:tab/>
            </w:r>
            <w:r>
              <w:rPr>
                <w:noProof/>
                <w:webHidden/>
              </w:rPr>
              <w:fldChar w:fldCharType="begin"/>
            </w:r>
            <w:r>
              <w:rPr>
                <w:noProof/>
                <w:webHidden/>
              </w:rPr>
              <w:instrText xml:space="preserve"> PAGEREF _Toc225173544 \h </w:instrText>
            </w:r>
            <w:r>
              <w:rPr>
                <w:noProof/>
                <w:webHidden/>
              </w:rPr>
            </w:r>
            <w:r>
              <w:rPr>
                <w:noProof/>
                <w:webHidden/>
              </w:rPr>
              <w:fldChar w:fldCharType="separate"/>
            </w:r>
            <w:r>
              <w:rPr>
                <w:noProof/>
                <w:webHidden/>
              </w:rPr>
              <w:t>10</w:t>
            </w:r>
            <w:r>
              <w:rPr>
                <w:noProof/>
                <w:webHidden/>
              </w:rPr>
              <w:fldChar w:fldCharType="end"/>
            </w:r>
          </w:hyperlink>
        </w:p>
        <w:p w14:paraId="62896986" w14:textId="25AA2AAE" w:rsidR="000A1B9E" w:rsidRDefault="000A1B9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5173545" w:history="1">
            <w:r w:rsidRPr="00C410EA">
              <w:rPr>
                <w:rStyle w:val="Hyperlink"/>
                <w:noProof/>
              </w:rPr>
              <w:t>Assessment overview</w:t>
            </w:r>
            <w:r>
              <w:rPr>
                <w:noProof/>
                <w:webHidden/>
              </w:rPr>
              <w:tab/>
            </w:r>
            <w:r>
              <w:rPr>
                <w:noProof/>
                <w:webHidden/>
              </w:rPr>
              <w:fldChar w:fldCharType="begin"/>
            </w:r>
            <w:r>
              <w:rPr>
                <w:noProof/>
                <w:webHidden/>
              </w:rPr>
              <w:instrText xml:space="preserve"> PAGEREF _Toc225173545 \h </w:instrText>
            </w:r>
            <w:r>
              <w:rPr>
                <w:noProof/>
                <w:webHidden/>
              </w:rPr>
            </w:r>
            <w:r>
              <w:rPr>
                <w:noProof/>
                <w:webHidden/>
              </w:rPr>
              <w:fldChar w:fldCharType="separate"/>
            </w:r>
            <w:r>
              <w:rPr>
                <w:noProof/>
                <w:webHidden/>
              </w:rPr>
              <w:t>11</w:t>
            </w:r>
            <w:r>
              <w:rPr>
                <w:noProof/>
                <w:webHidden/>
              </w:rPr>
              <w:fldChar w:fldCharType="end"/>
            </w:r>
          </w:hyperlink>
        </w:p>
        <w:p w14:paraId="4CA23469" w14:textId="4842FFCD" w:rsidR="000A1B9E" w:rsidRDefault="000A1B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173546" w:history="1">
            <w:r w:rsidRPr="00C410EA">
              <w:rPr>
                <w:rStyle w:val="Hyperlink"/>
                <w:noProof/>
              </w:rPr>
              <w:t>Quality evaluation summary</w:t>
            </w:r>
            <w:r>
              <w:rPr>
                <w:noProof/>
                <w:webHidden/>
              </w:rPr>
              <w:tab/>
            </w:r>
            <w:r>
              <w:rPr>
                <w:noProof/>
                <w:webHidden/>
              </w:rPr>
              <w:fldChar w:fldCharType="begin"/>
            </w:r>
            <w:r>
              <w:rPr>
                <w:noProof/>
                <w:webHidden/>
              </w:rPr>
              <w:instrText xml:space="preserve"> PAGEREF _Toc225173546 \h </w:instrText>
            </w:r>
            <w:r>
              <w:rPr>
                <w:noProof/>
                <w:webHidden/>
              </w:rPr>
            </w:r>
            <w:r>
              <w:rPr>
                <w:noProof/>
                <w:webHidden/>
              </w:rPr>
              <w:fldChar w:fldCharType="separate"/>
            </w:r>
            <w:r>
              <w:rPr>
                <w:noProof/>
                <w:webHidden/>
              </w:rPr>
              <w:t>11</w:t>
            </w:r>
            <w:r>
              <w:rPr>
                <w:noProof/>
                <w:webHidden/>
              </w:rPr>
              <w:fldChar w:fldCharType="end"/>
            </w:r>
          </w:hyperlink>
        </w:p>
        <w:p w14:paraId="05C18E38" w14:textId="654AF1AC" w:rsidR="000A1B9E" w:rsidRDefault="000A1B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173547" w:history="1">
            <w:r w:rsidRPr="00C410EA">
              <w:rPr>
                <w:rStyle w:val="Hyperlink"/>
                <w:noProof/>
              </w:rPr>
              <w:t>Nonclinical evaluation summary</w:t>
            </w:r>
            <w:r>
              <w:rPr>
                <w:noProof/>
                <w:webHidden/>
              </w:rPr>
              <w:tab/>
            </w:r>
            <w:r>
              <w:rPr>
                <w:noProof/>
                <w:webHidden/>
              </w:rPr>
              <w:fldChar w:fldCharType="begin"/>
            </w:r>
            <w:r>
              <w:rPr>
                <w:noProof/>
                <w:webHidden/>
              </w:rPr>
              <w:instrText xml:space="preserve"> PAGEREF _Toc225173547 \h </w:instrText>
            </w:r>
            <w:r>
              <w:rPr>
                <w:noProof/>
                <w:webHidden/>
              </w:rPr>
            </w:r>
            <w:r>
              <w:rPr>
                <w:noProof/>
                <w:webHidden/>
              </w:rPr>
              <w:fldChar w:fldCharType="separate"/>
            </w:r>
            <w:r>
              <w:rPr>
                <w:noProof/>
                <w:webHidden/>
              </w:rPr>
              <w:t>14</w:t>
            </w:r>
            <w:r>
              <w:rPr>
                <w:noProof/>
                <w:webHidden/>
              </w:rPr>
              <w:fldChar w:fldCharType="end"/>
            </w:r>
          </w:hyperlink>
        </w:p>
        <w:p w14:paraId="6D79A74C" w14:textId="6218131F" w:rsidR="000A1B9E" w:rsidRDefault="000A1B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173548" w:history="1">
            <w:r w:rsidRPr="00C410EA">
              <w:rPr>
                <w:rStyle w:val="Hyperlink"/>
                <w:noProof/>
              </w:rPr>
              <w:t>Clinical evaluation summary</w:t>
            </w:r>
            <w:r>
              <w:rPr>
                <w:noProof/>
                <w:webHidden/>
              </w:rPr>
              <w:tab/>
            </w:r>
            <w:r>
              <w:rPr>
                <w:noProof/>
                <w:webHidden/>
              </w:rPr>
              <w:fldChar w:fldCharType="begin"/>
            </w:r>
            <w:r>
              <w:rPr>
                <w:noProof/>
                <w:webHidden/>
              </w:rPr>
              <w:instrText xml:space="preserve"> PAGEREF _Toc225173548 \h </w:instrText>
            </w:r>
            <w:r>
              <w:rPr>
                <w:noProof/>
                <w:webHidden/>
              </w:rPr>
            </w:r>
            <w:r>
              <w:rPr>
                <w:noProof/>
                <w:webHidden/>
              </w:rPr>
              <w:fldChar w:fldCharType="separate"/>
            </w:r>
            <w:r>
              <w:rPr>
                <w:noProof/>
                <w:webHidden/>
              </w:rPr>
              <w:t>17</w:t>
            </w:r>
            <w:r>
              <w:rPr>
                <w:noProof/>
                <w:webHidden/>
              </w:rPr>
              <w:fldChar w:fldCharType="end"/>
            </w:r>
          </w:hyperlink>
        </w:p>
        <w:p w14:paraId="6F140E36" w14:textId="0142247A" w:rsidR="000A1B9E" w:rsidRDefault="000A1B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173549" w:history="1">
            <w:r w:rsidRPr="00C410EA">
              <w:rPr>
                <w:rStyle w:val="Hyperlink"/>
                <w:noProof/>
              </w:rPr>
              <w:t>Pharmacology</w:t>
            </w:r>
            <w:r>
              <w:rPr>
                <w:noProof/>
                <w:webHidden/>
              </w:rPr>
              <w:tab/>
            </w:r>
            <w:r>
              <w:rPr>
                <w:noProof/>
                <w:webHidden/>
              </w:rPr>
              <w:fldChar w:fldCharType="begin"/>
            </w:r>
            <w:r>
              <w:rPr>
                <w:noProof/>
                <w:webHidden/>
              </w:rPr>
              <w:instrText xml:space="preserve"> PAGEREF _Toc225173549 \h </w:instrText>
            </w:r>
            <w:r>
              <w:rPr>
                <w:noProof/>
                <w:webHidden/>
              </w:rPr>
            </w:r>
            <w:r>
              <w:rPr>
                <w:noProof/>
                <w:webHidden/>
              </w:rPr>
              <w:fldChar w:fldCharType="separate"/>
            </w:r>
            <w:r>
              <w:rPr>
                <w:noProof/>
                <w:webHidden/>
              </w:rPr>
              <w:t>18</w:t>
            </w:r>
            <w:r>
              <w:rPr>
                <w:noProof/>
                <w:webHidden/>
              </w:rPr>
              <w:fldChar w:fldCharType="end"/>
            </w:r>
          </w:hyperlink>
        </w:p>
        <w:p w14:paraId="6F721457" w14:textId="39091B20" w:rsidR="000A1B9E" w:rsidRDefault="000A1B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173550" w:history="1">
            <w:r w:rsidRPr="00C410EA">
              <w:rPr>
                <w:rStyle w:val="Hyperlink"/>
                <w:noProof/>
              </w:rPr>
              <w:t>Efficacy evaluation</w:t>
            </w:r>
            <w:r>
              <w:rPr>
                <w:noProof/>
                <w:webHidden/>
              </w:rPr>
              <w:tab/>
            </w:r>
            <w:r>
              <w:rPr>
                <w:noProof/>
                <w:webHidden/>
              </w:rPr>
              <w:fldChar w:fldCharType="begin"/>
            </w:r>
            <w:r>
              <w:rPr>
                <w:noProof/>
                <w:webHidden/>
              </w:rPr>
              <w:instrText xml:space="preserve"> PAGEREF _Toc225173550 \h </w:instrText>
            </w:r>
            <w:r>
              <w:rPr>
                <w:noProof/>
                <w:webHidden/>
              </w:rPr>
            </w:r>
            <w:r>
              <w:rPr>
                <w:noProof/>
                <w:webHidden/>
              </w:rPr>
              <w:fldChar w:fldCharType="separate"/>
            </w:r>
            <w:r>
              <w:rPr>
                <w:noProof/>
                <w:webHidden/>
              </w:rPr>
              <w:t>23</w:t>
            </w:r>
            <w:r>
              <w:rPr>
                <w:noProof/>
                <w:webHidden/>
              </w:rPr>
              <w:fldChar w:fldCharType="end"/>
            </w:r>
          </w:hyperlink>
        </w:p>
        <w:p w14:paraId="06834F03" w14:textId="3212ADD2" w:rsidR="000A1B9E" w:rsidRDefault="000A1B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173551" w:history="1">
            <w:r w:rsidRPr="00C410EA">
              <w:rPr>
                <w:rStyle w:val="Hyperlink"/>
                <w:noProof/>
              </w:rPr>
              <w:t>Safety evaluation</w:t>
            </w:r>
            <w:r>
              <w:rPr>
                <w:noProof/>
                <w:webHidden/>
              </w:rPr>
              <w:tab/>
            </w:r>
            <w:r>
              <w:rPr>
                <w:noProof/>
                <w:webHidden/>
              </w:rPr>
              <w:fldChar w:fldCharType="begin"/>
            </w:r>
            <w:r>
              <w:rPr>
                <w:noProof/>
                <w:webHidden/>
              </w:rPr>
              <w:instrText xml:space="preserve"> PAGEREF _Toc225173551 \h </w:instrText>
            </w:r>
            <w:r>
              <w:rPr>
                <w:noProof/>
                <w:webHidden/>
              </w:rPr>
            </w:r>
            <w:r>
              <w:rPr>
                <w:noProof/>
                <w:webHidden/>
              </w:rPr>
              <w:fldChar w:fldCharType="separate"/>
            </w:r>
            <w:r>
              <w:rPr>
                <w:noProof/>
                <w:webHidden/>
              </w:rPr>
              <w:t>31</w:t>
            </w:r>
            <w:r>
              <w:rPr>
                <w:noProof/>
                <w:webHidden/>
              </w:rPr>
              <w:fldChar w:fldCharType="end"/>
            </w:r>
          </w:hyperlink>
        </w:p>
        <w:p w14:paraId="767ACDE0" w14:textId="3BAEE32E" w:rsidR="000A1B9E" w:rsidRDefault="000A1B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173552" w:history="1">
            <w:r w:rsidRPr="00C410EA">
              <w:rPr>
                <w:rStyle w:val="Hyperlink"/>
                <w:noProof/>
              </w:rPr>
              <w:t>Risk</w:t>
            </w:r>
            <w:r w:rsidRPr="00C410EA">
              <w:rPr>
                <w:rStyle w:val="Hyperlink"/>
                <w:noProof/>
                <w:spacing w:val="-10"/>
              </w:rPr>
              <w:t xml:space="preserve"> </w:t>
            </w:r>
            <w:r w:rsidRPr="00C410EA">
              <w:rPr>
                <w:rStyle w:val="Hyperlink"/>
                <w:noProof/>
              </w:rPr>
              <w:t>Management</w:t>
            </w:r>
            <w:r w:rsidRPr="00C410EA">
              <w:rPr>
                <w:rStyle w:val="Hyperlink"/>
                <w:noProof/>
                <w:spacing w:val="-7"/>
              </w:rPr>
              <w:t xml:space="preserve"> </w:t>
            </w:r>
            <w:r w:rsidRPr="00C410EA">
              <w:rPr>
                <w:rStyle w:val="Hyperlink"/>
                <w:noProof/>
              </w:rPr>
              <w:t>Plan</w:t>
            </w:r>
            <w:r w:rsidRPr="00C410EA">
              <w:rPr>
                <w:rStyle w:val="Hyperlink"/>
                <w:noProof/>
                <w:spacing w:val="-10"/>
              </w:rPr>
              <w:t xml:space="preserve"> </w:t>
            </w:r>
            <w:r w:rsidRPr="00C410EA">
              <w:rPr>
                <w:rStyle w:val="Hyperlink"/>
                <w:noProof/>
              </w:rPr>
              <w:t>(RMP)</w:t>
            </w:r>
            <w:r w:rsidRPr="00C410EA">
              <w:rPr>
                <w:rStyle w:val="Hyperlink"/>
                <w:noProof/>
                <w:spacing w:val="-10"/>
              </w:rPr>
              <w:t xml:space="preserve"> </w:t>
            </w:r>
            <w:r w:rsidRPr="00C410EA">
              <w:rPr>
                <w:rStyle w:val="Hyperlink"/>
                <w:noProof/>
                <w:spacing w:val="-2"/>
              </w:rPr>
              <w:t>evaluation</w:t>
            </w:r>
            <w:r>
              <w:rPr>
                <w:noProof/>
                <w:webHidden/>
              </w:rPr>
              <w:tab/>
            </w:r>
            <w:r>
              <w:rPr>
                <w:noProof/>
                <w:webHidden/>
              </w:rPr>
              <w:fldChar w:fldCharType="begin"/>
            </w:r>
            <w:r>
              <w:rPr>
                <w:noProof/>
                <w:webHidden/>
              </w:rPr>
              <w:instrText xml:space="preserve"> PAGEREF _Toc225173552 \h </w:instrText>
            </w:r>
            <w:r>
              <w:rPr>
                <w:noProof/>
                <w:webHidden/>
              </w:rPr>
            </w:r>
            <w:r>
              <w:rPr>
                <w:noProof/>
                <w:webHidden/>
              </w:rPr>
              <w:fldChar w:fldCharType="separate"/>
            </w:r>
            <w:r>
              <w:rPr>
                <w:noProof/>
                <w:webHidden/>
              </w:rPr>
              <w:t>40</w:t>
            </w:r>
            <w:r>
              <w:rPr>
                <w:noProof/>
                <w:webHidden/>
              </w:rPr>
              <w:fldChar w:fldCharType="end"/>
            </w:r>
          </w:hyperlink>
        </w:p>
        <w:p w14:paraId="6038F585" w14:textId="33109A6F" w:rsidR="000A1B9E" w:rsidRDefault="000A1B9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5173553" w:history="1">
            <w:r w:rsidRPr="00C410EA">
              <w:rPr>
                <w:rStyle w:val="Hyperlink"/>
                <w:noProof/>
              </w:rPr>
              <w:t>Risk-benefit analysis</w:t>
            </w:r>
            <w:r>
              <w:rPr>
                <w:noProof/>
                <w:webHidden/>
              </w:rPr>
              <w:tab/>
            </w:r>
            <w:r>
              <w:rPr>
                <w:noProof/>
                <w:webHidden/>
              </w:rPr>
              <w:fldChar w:fldCharType="begin"/>
            </w:r>
            <w:r>
              <w:rPr>
                <w:noProof/>
                <w:webHidden/>
              </w:rPr>
              <w:instrText xml:space="preserve"> PAGEREF _Toc225173553 \h </w:instrText>
            </w:r>
            <w:r>
              <w:rPr>
                <w:noProof/>
                <w:webHidden/>
              </w:rPr>
            </w:r>
            <w:r>
              <w:rPr>
                <w:noProof/>
                <w:webHidden/>
              </w:rPr>
              <w:fldChar w:fldCharType="separate"/>
            </w:r>
            <w:r>
              <w:rPr>
                <w:noProof/>
                <w:webHidden/>
              </w:rPr>
              <w:t>42</w:t>
            </w:r>
            <w:r>
              <w:rPr>
                <w:noProof/>
                <w:webHidden/>
              </w:rPr>
              <w:fldChar w:fldCharType="end"/>
            </w:r>
          </w:hyperlink>
        </w:p>
        <w:p w14:paraId="042FE5EF" w14:textId="14EC12EF" w:rsidR="000A1B9E" w:rsidRDefault="000A1B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173554" w:history="1">
            <w:r w:rsidRPr="00C410EA">
              <w:rPr>
                <w:rStyle w:val="Hyperlink"/>
                <w:noProof/>
              </w:rPr>
              <w:t>Delegate’s considerations</w:t>
            </w:r>
            <w:r>
              <w:rPr>
                <w:noProof/>
                <w:webHidden/>
              </w:rPr>
              <w:tab/>
            </w:r>
            <w:r>
              <w:rPr>
                <w:noProof/>
                <w:webHidden/>
              </w:rPr>
              <w:fldChar w:fldCharType="begin"/>
            </w:r>
            <w:r>
              <w:rPr>
                <w:noProof/>
                <w:webHidden/>
              </w:rPr>
              <w:instrText xml:space="preserve"> PAGEREF _Toc225173554 \h </w:instrText>
            </w:r>
            <w:r>
              <w:rPr>
                <w:noProof/>
                <w:webHidden/>
              </w:rPr>
            </w:r>
            <w:r>
              <w:rPr>
                <w:noProof/>
                <w:webHidden/>
              </w:rPr>
              <w:fldChar w:fldCharType="separate"/>
            </w:r>
            <w:r>
              <w:rPr>
                <w:noProof/>
                <w:webHidden/>
              </w:rPr>
              <w:t>42</w:t>
            </w:r>
            <w:r>
              <w:rPr>
                <w:noProof/>
                <w:webHidden/>
              </w:rPr>
              <w:fldChar w:fldCharType="end"/>
            </w:r>
          </w:hyperlink>
        </w:p>
        <w:p w14:paraId="3C94A38B" w14:textId="53E3326B" w:rsidR="000A1B9E" w:rsidRDefault="000A1B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173555" w:history="1">
            <w:r w:rsidRPr="00C410EA">
              <w:rPr>
                <w:rStyle w:val="Hyperlink"/>
                <w:noProof/>
              </w:rPr>
              <w:t>Proposed indication</w:t>
            </w:r>
            <w:r>
              <w:rPr>
                <w:noProof/>
                <w:webHidden/>
              </w:rPr>
              <w:tab/>
            </w:r>
            <w:r>
              <w:rPr>
                <w:noProof/>
                <w:webHidden/>
              </w:rPr>
              <w:fldChar w:fldCharType="begin"/>
            </w:r>
            <w:r>
              <w:rPr>
                <w:noProof/>
                <w:webHidden/>
              </w:rPr>
              <w:instrText xml:space="preserve"> PAGEREF _Toc225173555 \h </w:instrText>
            </w:r>
            <w:r>
              <w:rPr>
                <w:noProof/>
                <w:webHidden/>
              </w:rPr>
            </w:r>
            <w:r>
              <w:rPr>
                <w:noProof/>
                <w:webHidden/>
              </w:rPr>
              <w:fldChar w:fldCharType="separate"/>
            </w:r>
            <w:r>
              <w:rPr>
                <w:noProof/>
                <w:webHidden/>
              </w:rPr>
              <w:t>42</w:t>
            </w:r>
            <w:r>
              <w:rPr>
                <w:noProof/>
                <w:webHidden/>
              </w:rPr>
              <w:fldChar w:fldCharType="end"/>
            </w:r>
          </w:hyperlink>
        </w:p>
        <w:p w14:paraId="2D52DB4C" w14:textId="2921C9E4" w:rsidR="000A1B9E" w:rsidRDefault="000A1B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173556" w:history="1">
            <w:r w:rsidRPr="00C410EA">
              <w:rPr>
                <w:rStyle w:val="Hyperlink"/>
                <w:noProof/>
              </w:rPr>
              <w:t>Efficacy</w:t>
            </w:r>
            <w:r>
              <w:rPr>
                <w:noProof/>
                <w:webHidden/>
              </w:rPr>
              <w:tab/>
            </w:r>
            <w:r>
              <w:rPr>
                <w:noProof/>
                <w:webHidden/>
              </w:rPr>
              <w:fldChar w:fldCharType="begin"/>
            </w:r>
            <w:r>
              <w:rPr>
                <w:noProof/>
                <w:webHidden/>
              </w:rPr>
              <w:instrText xml:space="preserve"> PAGEREF _Toc225173556 \h </w:instrText>
            </w:r>
            <w:r>
              <w:rPr>
                <w:noProof/>
                <w:webHidden/>
              </w:rPr>
            </w:r>
            <w:r>
              <w:rPr>
                <w:noProof/>
                <w:webHidden/>
              </w:rPr>
              <w:fldChar w:fldCharType="separate"/>
            </w:r>
            <w:r>
              <w:rPr>
                <w:noProof/>
                <w:webHidden/>
              </w:rPr>
              <w:t>43</w:t>
            </w:r>
            <w:r>
              <w:rPr>
                <w:noProof/>
                <w:webHidden/>
              </w:rPr>
              <w:fldChar w:fldCharType="end"/>
            </w:r>
          </w:hyperlink>
        </w:p>
        <w:p w14:paraId="5EB3B73E" w14:textId="250D2CDA" w:rsidR="000A1B9E" w:rsidRDefault="000A1B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173557" w:history="1">
            <w:r w:rsidRPr="00C410EA">
              <w:rPr>
                <w:rStyle w:val="Hyperlink"/>
                <w:noProof/>
              </w:rPr>
              <w:t>Safety</w:t>
            </w:r>
            <w:r>
              <w:rPr>
                <w:noProof/>
                <w:webHidden/>
              </w:rPr>
              <w:tab/>
            </w:r>
            <w:r>
              <w:rPr>
                <w:noProof/>
                <w:webHidden/>
              </w:rPr>
              <w:fldChar w:fldCharType="begin"/>
            </w:r>
            <w:r>
              <w:rPr>
                <w:noProof/>
                <w:webHidden/>
              </w:rPr>
              <w:instrText xml:space="preserve"> PAGEREF _Toc225173557 \h </w:instrText>
            </w:r>
            <w:r>
              <w:rPr>
                <w:noProof/>
                <w:webHidden/>
              </w:rPr>
            </w:r>
            <w:r>
              <w:rPr>
                <w:noProof/>
                <w:webHidden/>
              </w:rPr>
              <w:fldChar w:fldCharType="separate"/>
            </w:r>
            <w:r>
              <w:rPr>
                <w:noProof/>
                <w:webHidden/>
              </w:rPr>
              <w:t>45</w:t>
            </w:r>
            <w:r>
              <w:rPr>
                <w:noProof/>
                <w:webHidden/>
              </w:rPr>
              <w:fldChar w:fldCharType="end"/>
            </w:r>
          </w:hyperlink>
        </w:p>
        <w:p w14:paraId="2F89AE0D" w14:textId="60880F2F" w:rsidR="000A1B9E" w:rsidRDefault="000A1B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173558" w:history="1">
            <w:r w:rsidRPr="00C410EA">
              <w:rPr>
                <w:rStyle w:val="Hyperlink"/>
                <w:noProof/>
              </w:rPr>
              <w:t>Proposed action</w:t>
            </w:r>
            <w:r>
              <w:rPr>
                <w:noProof/>
                <w:webHidden/>
              </w:rPr>
              <w:tab/>
            </w:r>
            <w:r>
              <w:rPr>
                <w:noProof/>
                <w:webHidden/>
              </w:rPr>
              <w:fldChar w:fldCharType="begin"/>
            </w:r>
            <w:r>
              <w:rPr>
                <w:noProof/>
                <w:webHidden/>
              </w:rPr>
              <w:instrText xml:space="preserve"> PAGEREF _Toc225173558 \h </w:instrText>
            </w:r>
            <w:r>
              <w:rPr>
                <w:noProof/>
                <w:webHidden/>
              </w:rPr>
            </w:r>
            <w:r>
              <w:rPr>
                <w:noProof/>
                <w:webHidden/>
              </w:rPr>
              <w:fldChar w:fldCharType="separate"/>
            </w:r>
            <w:r>
              <w:rPr>
                <w:noProof/>
                <w:webHidden/>
              </w:rPr>
              <w:t>47</w:t>
            </w:r>
            <w:r>
              <w:rPr>
                <w:noProof/>
                <w:webHidden/>
              </w:rPr>
              <w:fldChar w:fldCharType="end"/>
            </w:r>
          </w:hyperlink>
        </w:p>
        <w:p w14:paraId="4FE6EB1C" w14:textId="542E3D6C" w:rsidR="000A1B9E" w:rsidRDefault="000A1B9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5173559" w:history="1">
            <w:r w:rsidRPr="00C410EA">
              <w:rPr>
                <w:rStyle w:val="Hyperlink"/>
                <w:noProof/>
              </w:rPr>
              <w:t>Assessment outcome</w:t>
            </w:r>
            <w:r>
              <w:rPr>
                <w:noProof/>
                <w:webHidden/>
              </w:rPr>
              <w:tab/>
            </w:r>
            <w:r>
              <w:rPr>
                <w:noProof/>
                <w:webHidden/>
              </w:rPr>
              <w:fldChar w:fldCharType="begin"/>
            </w:r>
            <w:r>
              <w:rPr>
                <w:noProof/>
                <w:webHidden/>
              </w:rPr>
              <w:instrText xml:space="preserve"> PAGEREF _Toc225173559 \h </w:instrText>
            </w:r>
            <w:r>
              <w:rPr>
                <w:noProof/>
                <w:webHidden/>
              </w:rPr>
            </w:r>
            <w:r>
              <w:rPr>
                <w:noProof/>
                <w:webHidden/>
              </w:rPr>
              <w:fldChar w:fldCharType="separate"/>
            </w:r>
            <w:r>
              <w:rPr>
                <w:noProof/>
                <w:webHidden/>
              </w:rPr>
              <w:t>47</w:t>
            </w:r>
            <w:r>
              <w:rPr>
                <w:noProof/>
                <w:webHidden/>
              </w:rPr>
              <w:fldChar w:fldCharType="end"/>
            </w:r>
          </w:hyperlink>
        </w:p>
        <w:p w14:paraId="68D66876" w14:textId="00FB6395" w:rsidR="000A1B9E" w:rsidRDefault="000A1B9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5173560" w:history="1">
            <w:r w:rsidRPr="00C410EA">
              <w:rPr>
                <w:rStyle w:val="Hyperlink"/>
                <w:noProof/>
              </w:rPr>
              <w:t>Specific conditions of registration</w:t>
            </w:r>
            <w:r>
              <w:rPr>
                <w:noProof/>
                <w:webHidden/>
              </w:rPr>
              <w:tab/>
            </w:r>
            <w:r>
              <w:rPr>
                <w:noProof/>
                <w:webHidden/>
              </w:rPr>
              <w:fldChar w:fldCharType="begin"/>
            </w:r>
            <w:r>
              <w:rPr>
                <w:noProof/>
                <w:webHidden/>
              </w:rPr>
              <w:instrText xml:space="preserve"> PAGEREF _Toc225173560 \h </w:instrText>
            </w:r>
            <w:r>
              <w:rPr>
                <w:noProof/>
                <w:webHidden/>
              </w:rPr>
            </w:r>
            <w:r>
              <w:rPr>
                <w:noProof/>
                <w:webHidden/>
              </w:rPr>
              <w:fldChar w:fldCharType="separate"/>
            </w:r>
            <w:r>
              <w:rPr>
                <w:noProof/>
                <w:webHidden/>
              </w:rPr>
              <w:t>47</w:t>
            </w:r>
            <w:r>
              <w:rPr>
                <w:noProof/>
                <w:webHidden/>
              </w:rPr>
              <w:fldChar w:fldCharType="end"/>
            </w:r>
          </w:hyperlink>
        </w:p>
        <w:p w14:paraId="0472682A" w14:textId="6134B673" w:rsidR="000A1B9E" w:rsidRDefault="000A1B9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5173561" w:history="1">
            <w:r w:rsidRPr="00C410EA">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_Toc225173561 \h </w:instrText>
            </w:r>
            <w:r>
              <w:rPr>
                <w:noProof/>
                <w:webHidden/>
              </w:rPr>
            </w:r>
            <w:r>
              <w:rPr>
                <w:noProof/>
                <w:webHidden/>
              </w:rPr>
              <w:fldChar w:fldCharType="separate"/>
            </w:r>
            <w:r>
              <w:rPr>
                <w:noProof/>
                <w:webHidden/>
              </w:rPr>
              <w:t>48</w:t>
            </w:r>
            <w:r>
              <w:rPr>
                <w:noProof/>
                <w:webHidden/>
              </w:rPr>
              <w:fldChar w:fldCharType="end"/>
            </w:r>
          </w:hyperlink>
        </w:p>
        <w:p w14:paraId="77659F2D" w14:textId="3412B8F3"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225173534"/>
      <w:bookmarkStart w:id="3" w:name="_Toc323739589"/>
      <w:bookmarkStart w:id="4" w:name="_Toc356305216"/>
      <w:r>
        <w:lastRenderedPageBreak/>
        <w:t>List of abbreviations</w:t>
      </w:r>
      <w:bookmarkEnd w:id="0"/>
      <w:bookmarkEnd w:id="1"/>
      <w:bookmarkEnd w:id="2"/>
    </w:p>
    <w:tbl>
      <w:tblPr>
        <w:tblStyle w:val="TableTGAblue1"/>
        <w:tblW w:w="9062" w:type="dxa"/>
        <w:tblLook w:val="04A0" w:firstRow="1" w:lastRow="0" w:firstColumn="1" w:lastColumn="0" w:noHBand="0" w:noVBand="1"/>
      </w:tblPr>
      <w:tblGrid>
        <w:gridCol w:w="2258"/>
        <w:gridCol w:w="6804"/>
      </w:tblGrid>
      <w:tr w:rsidR="00990BC7" w:rsidRPr="00990BC7" w14:paraId="167D0658" w14:textId="77777777" w:rsidTr="00160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DEEAF6" w:themeFill="accent5" w:themeFillTint="33"/>
          </w:tcPr>
          <w:p w14:paraId="0893AD83" w14:textId="56F24984" w:rsidR="00990BC7" w:rsidRPr="00990BC7" w:rsidRDefault="00990BC7" w:rsidP="00990BC7">
            <w:pPr>
              <w:keepNext/>
              <w:spacing w:before="80" w:after="40" w:line="264" w:lineRule="auto"/>
              <w:ind w:left="113" w:right="0"/>
              <w:rPr>
                <w:rFonts w:eastAsia="Cambria"/>
                <w:b w:val="0"/>
                <w:color w:val="263287"/>
                <w:szCs w:val="22"/>
              </w:rPr>
            </w:pPr>
            <w:r w:rsidRPr="00990BC7">
              <w:rPr>
                <w:rFonts w:eastAsia="Cambria"/>
                <w:b w:val="0"/>
                <w:color w:val="263287"/>
                <w:szCs w:val="22"/>
              </w:rPr>
              <w:t>Abbreviation</w:t>
            </w:r>
          </w:p>
        </w:tc>
        <w:tc>
          <w:tcPr>
            <w:tcW w:w="6804" w:type="dxa"/>
            <w:shd w:val="clear" w:color="auto" w:fill="DEEAF6" w:themeFill="accent5" w:themeFillTint="33"/>
          </w:tcPr>
          <w:p w14:paraId="2474235A" w14:textId="27FB260B" w:rsidR="00990BC7" w:rsidRPr="00990BC7" w:rsidRDefault="00990BC7" w:rsidP="00990BC7">
            <w:pPr>
              <w:keepNext/>
              <w:spacing w:before="80" w:after="40" w:line="264" w:lineRule="auto"/>
              <w:ind w:left="113" w:right="0"/>
              <w:cnfStyle w:val="100000000000" w:firstRow="1" w:lastRow="0" w:firstColumn="0" w:lastColumn="0" w:oddVBand="0" w:evenVBand="0" w:oddHBand="0" w:evenHBand="0" w:firstRowFirstColumn="0" w:firstRowLastColumn="0" w:lastRowFirstColumn="0" w:lastRowLastColumn="0"/>
              <w:rPr>
                <w:rFonts w:eastAsia="Cambria"/>
                <w:b w:val="0"/>
                <w:color w:val="263287"/>
                <w:szCs w:val="22"/>
              </w:rPr>
            </w:pPr>
            <w:r w:rsidRPr="00990BC7">
              <w:rPr>
                <w:rFonts w:eastAsia="Cambria"/>
                <w:b w:val="0"/>
                <w:color w:val="263287"/>
                <w:szCs w:val="22"/>
              </w:rPr>
              <w:t>Meaning</w:t>
            </w:r>
          </w:p>
        </w:tc>
      </w:tr>
      <w:tr w:rsidR="00E17C87" w:rsidRPr="00846348" w14:paraId="0B0C7B57" w14:textId="77777777" w:rsidTr="006B2DB2">
        <w:tc>
          <w:tcPr>
            <w:cnfStyle w:val="001000000000" w:firstRow="0" w:lastRow="0" w:firstColumn="1" w:lastColumn="0" w:oddVBand="0" w:evenVBand="0" w:oddHBand="0" w:evenHBand="0" w:firstRowFirstColumn="0" w:firstRowLastColumn="0" w:lastRowFirstColumn="0" w:lastRowLastColumn="0"/>
            <w:tcW w:w="2258" w:type="dxa"/>
          </w:tcPr>
          <w:p w14:paraId="0D8FB940" w14:textId="1283DFD2" w:rsidR="00E17C87" w:rsidRPr="00846348" w:rsidRDefault="00E17C87" w:rsidP="00E17C87">
            <w:pPr>
              <w:spacing w:before="80" w:after="40" w:line="264" w:lineRule="auto"/>
              <w:ind w:left="113"/>
              <w:rPr>
                <w:rFonts w:eastAsia="Cambria"/>
                <w:bCs/>
                <w:color w:val="000000"/>
                <w:szCs w:val="22"/>
              </w:rPr>
            </w:pPr>
            <w:r>
              <w:rPr>
                <w:szCs w:val="22"/>
              </w:rPr>
              <w:t xml:space="preserve">ADA </w:t>
            </w:r>
          </w:p>
        </w:tc>
        <w:tc>
          <w:tcPr>
            <w:tcW w:w="6804" w:type="dxa"/>
          </w:tcPr>
          <w:p w14:paraId="5DC288F1" w14:textId="0941B9EA" w:rsidR="00E17C87" w:rsidRPr="00846348" w:rsidRDefault="00705C80" w:rsidP="00E17C87">
            <w:pPr>
              <w:spacing w:before="80" w:after="40" w:line="264" w:lineRule="auto"/>
              <w:ind w:left="113"/>
              <w:cnfStyle w:val="000000000000" w:firstRow="0" w:lastRow="0" w:firstColumn="0" w:lastColumn="0" w:oddVBand="0" w:evenVBand="0" w:oddHBand="0" w:evenHBand="0" w:firstRowFirstColumn="0" w:firstRowLastColumn="0" w:lastRowFirstColumn="0" w:lastRowLastColumn="0"/>
              <w:rPr>
                <w:rFonts w:eastAsia="Cambria"/>
                <w:bCs/>
                <w:color w:val="000000"/>
                <w:szCs w:val="22"/>
              </w:rPr>
            </w:pPr>
            <w:r>
              <w:rPr>
                <w:szCs w:val="22"/>
              </w:rPr>
              <w:t>anti-drug</w:t>
            </w:r>
            <w:r w:rsidR="00E17C87">
              <w:rPr>
                <w:szCs w:val="22"/>
              </w:rPr>
              <w:t xml:space="preserve"> antibody </w:t>
            </w:r>
          </w:p>
        </w:tc>
      </w:tr>
      <w:tr w:rsidR="00E17C87" w:rsidRPr="004E6AAB" w14:paraId="17D84B6B" w14:textId="77777777" w:rsidTr="006B2DB2">
        <w:tc>
          <w:tcPr>
            <w:cnfStyle w:val="001000000000" w:firstRow="0" w:lastRow="0" w:firstColumn="1" w:lastColumn="0" w:oddVBand="0" w:evenVBand="0" w:oddHBand="0" w:evenHBand="0" w:firstRowFirstColumn="0" w:firstRowLastColumn="0" w:lastRowFirstColumn="0" w:lastRowLastColumn="0"/>
            <w:tcW w:w="2258" w:type="dxa"/>
          </w:tcPr>
          <w:p w14:paraId="5D997E13" w14:textId="04BE320A" w:rsidR="00E17C87" w:rsidRPr="004E6AAB" w:rsidRDefault="00E17C87" w:rsidP="00E17C87">
            <w:pPr>
              <w:spacing w:before="80" w:after="40" w:line="264" w:lineRule="auto"/>
              <w:ind w:left="113" w:right="0"/>
              <w:rPr>
                <w:rFonts w:eastAsia="Cambria"/>
                <w:color w:val="000000"/>
                <w:szCs w:val="22"/>
              </w:rPr>
            </w:pPr>
            <w:r>
              <w:rPr>
                <w:szCs w:val="22"/>
              </w:rPr>
              <w:t xml:space="preserve">EFG </w:t>
            </w:r>
          </w:p>
        </w:tc>
        <w:tc>
          <w:tcPr>
            <w:tcW w:w="6804" w:type="dxa"/>
          </w:tcPr>
          <w:p w14:paraId="6486863A" w14:textId="7F8EAFDF" w:rsidR="00E17C87" w:rsidRPr="004E6AAB" w:rsidRDefault="00E17C87" w:rsidP="00E17C87">
            <w:pPr>
              <w:spacing w:before="80" w:after="40" w:line="264" w:lineRule="auto"/>
              <w:ind w:left="113" w:right="0"/>
              <w:cnfStyle w:val="000000000000" w:firstRow="0" w:lastRow="0" w:firstColumn="0" w:lastColumn="0" w:oddVBand="0" w:evenVBand="0" w:oddHBand="0" w:evenHBand="0" w:firstRowFirstColumn="0" w:firstRowLastColumn="0" w:lastRowFirstColumn="0" w:lastRowLastColumn="0"/>
              <w:rPr>
                <w:rFonts w:eastAsia="Cambria"/>
                <w:color w:val="000000"/>
                <w:szCs w:val="22"/>
              </w:rPr>
            </w:pPr>
            <w:r>
              <w:rPr>
                <w:szCs w:val="22"/>
              </w:rPr>
              <w:t xml:space="preserve">efgartigimod </w:t>
            </w:r>
          </w:p>
        </w:tc>
      </w:tr>
      <w:tr w:rsidR="00E17C87" w:rsidRPr="00846348" w14:paraId="3DB273CD" w14:textId="77777777" w:rsidTr="00B1508A">
        <w:tc>
          <w:tcPr>
            <w:cnfStyle w:val="001000000000" w:firstRow="0" w:lastRow="0" w:firstColumn="1" w:lastColumn="0" w:oddVBand="0" w:evenVBand="0" w:oddHBand="0" w:evenHBand="0" w:firstRowFirstColumn="0" w:firstRowLastColumn="0" w:lastRowFirstColumn="0" w:lastRowLastColumn="0"/>
            <w:tcW w:w="2258" w:type="dxa"/>
          </w:tcPr>
          <w:p w14:paraId="4A8FEDBE" w14:textId="6DA11AA4" w:rsidR="00E17C87" w:rsidRPr="00846348" w:rsidRDefault="00E17C87" w:rsidP="00E17C87">
            <w:pPr>
              <w:spacing w:before="80" w:after="40" w:line="264" w:lineRule="auto"/>
              <w:ind w:left="113" w:right="0"/>
              <w:rPr>
                <w:rFonts w:eastAsia="Cambria"/>
                <w:bCs/>
                <w:color w:val="000000"/>
                <w:szCs w:val="22"/>
              </w:rPr>
            </w:pPr>
            <w:proofErr w:type="spellStart"/>
            <w:r>
              <w:rPr>
                <w:szCs w:val="22"/>
              </w:rPr>
              <w:t>gMG</w:t>
            </w:r>
            <w:proofErr w:type="spellEnd"/>
            <w:r>
              <w:rPr>
                <w:szCs w:val="22"/>
              </w:rPr>
              <w:t xml:space="preserve"> </w:t>
            </w:r>
          </w:p>
        </w:tc>
        <w:tc>
          <w:tcPr>
            <w:tcW w:w="6804" w:type="dxa"/>
          </w:tcPr>
          <w:p w14:paraId="0EA07B9A" w14:textId="7105ACDB" w:rsidR="00E17C87" w:rsidRPr="00846348" w:rsidRDefault="00E17C87" w:rsidP="00E17C87">
            <w:pPr>
              <w:spacing w:before="80" w:after="40" w:line="264" w:lineRule="auto"/>
              <w:ind w:left="113" w:right="0"/>
              <w:cnfStyle w:val="000000000000" w:firstRow="0" w:lastRow="0" w:firstColumn="0" w:lastColumn="0" w:oddVBand="0" w:evenVBand="0" w:oddHBand="0" w:evenHBand="0" w:firstRowFirstColumn="0" w:firstRowLastColumn="0" w:lastRowFirstColumn="0" w:lastRowLastColumn="0"/>
              <w:rPr>
                <w:rFonts w:eastAsia="Cambria"/>
                <w:bCs/>
                <w:color w:val="000000"/>
                <w:szCs w:val="22"/>
              </w:rPr>
            </w:pPr>
            <w:r>
              <w:rPr>
                <w:szCs w:val="22"/>
              </w:rPr>
              <w:t xml:space="preserve">generalised Myasthenia Gravis </w:t>
            </w:r>
          </w:p>
        </w:tc>
      </w:tr>
      <w:tr w:rsidR="00E17C87" w:rsidRPr="004E6AAB" w14:paraId="3C88C23C" w14:textId="77777777" w:rsidTr="006B2DB2">
        <w:tc>
          <w:tcPr>
            <w:cnfStyle w:val="001000000000" w:firstRow="0" w:lastRow="0" w:firstColumn="1" w:lastColumn="0" w:oddVBand="0" w:evenVBand="0" w:oddHBand="0" w:evenHBand="0" w:firstRowFirstColumn="0" w:firstRowLastColumn="0" w:lastRowFirstColumn="0" w:lastRowLastColumn="0"/>
            <w:tcW w:w="2258" w:type="dxa"/>
          </w:tcPr>
          <w:p w14:paraId="5FD2145F" w14:textId="0A059B00" w:rsidR="00E17C87" w:rsidRPr="004E6AAB" w:rsidRDefault="00E17C87" w:rsidP="00E17C87">
            <w:pPr>
              <w:spacing w:before="80" w:after="40" w:line="264" w:lineRule="auto"/>
              <w:ind w:left="113" w:right="0"/>
              <w:rPr>
                <w:rFonts w:eastAsia="Cambria"/>
                <w:color w:val="000000"/>
                <w:szCs w:val="22"/>
              </w:rPr>
            </w:pPr>
            <w:r>
              <w:rPr>
                <w:szCs w:val="22"/>
              </w:rPr>
              <w:t xml:space="preserve">IMP </w:t>
            </w:r>
          </w:p>
        </w:tc>
        <w:tc>
          <w:tcPr>
            <w:tcW w:w="6804" w:type="dxa"/>
          </w:tcPr>
          <w:p w14:paraId="19646BD0" w14:textId="790700C4" w:rsidR="00E17C87" w:rsidRPr="004E6AAB" w:rsidRDefault="00E17C87" w:rsidP="00E17C87">
            <w:pPr>
              <w:spacing w:before="80" w:after="40" w:line="264" w:lineRule="auto"/>
              <w:ind w:left="113" w:right="0"/>
              <w:cnfStyle w:val="000000000000" w:firstRow="0" w:lastRow="0" w:firstColumn="0" w:lastColumn="0" w:oddVBand="0" w:evenVBand="0" w:oddHBand="0" w:evenHBand="0" w:firstRowFirstColumn="0" w:firstRowLastColumn="0" w:lastRowFirstColumn="0" w:lastRowLastColumn="0"/>
              <w:rPr>
                <w:rFonts w:eastAsia="Cambria"/>
                <w:color w:val="000000"/>
                <w:szCs w:val="22"/>
              </w:rPr>
            </w:pPr>
            <w:r>
              <w:rPr>
                <w:szCs w:val="22"/>
              </w:rPr>
              <w:t xml:space="preserve">investigational medicinal product </w:t>
            </w:r>
          </w:p>
        </w:tc>
      </w:tr>
      <w:tr w:rsidR="00E17C87" w:rsidRPr="004E6AAB" w14:paraId="0EDD8271" w14:textId="77777777" w:rsidTr="006B2DB2">
        <w:tc>
          <w:tcPr>
            <w:cnfStyle w:val="001000000000" w:firstRow="0" w:lastRow="0" w:firstColumn="1" w:lastColumn="0" w:oddVBand="0" w:evenVBand="0" w:oddHBand="0" w:evenHBand="0" w:firstRowFirstColumn="0" w:firstRowLastColumn="0" w:lastRowFirstColumn="0" w:lastRowLastColumn="0"/>
            <w:tcW w:w="2258" w:type="dxa"/>
          </w:tcPr>
          <w:p w14:paraId="3EE6B2FE" w14:textId="7457E338" w:rsidR="00E17C87" w:rsidRPr="004E6AAB" w:rsidRDefault="00E17C87" w:rsidP="00E17C87">
            <w:pPr>
              <w:spacing w:before="80" w:after="40" w:line="264" w:lineRule="auto"/>
              <w:ind w:left="113"/>
              <w:rPr>
                <w:rFonts w:eastAsia="Cambria"/>
                <w:color w:val="000000"/>
                <w:szCs w:val="22"/>
              </w:rPr>
            </w:pPr>
            <w:r>
              <w:rPr>
                <w:szCs w:val="22"/>
              </w:rPr>
              <w:t xml:space="preserve">MG </w:t>
            </w:r>
          </w:p>
        </w:tc>
        <w:tc>
          <w:tcPr>
            <w:tcW w:w="6804" w:type="dxa"/>
          </w:tcPr>
          <w:p w14:paraId="336D9AEF" w14:textId="337D67E4" w:rsidR="00E17C87" w:rsidRPr="004E6AAB" w:rsidRDefault="00E17C87" w:rsidP="00E17C87">
            <w:pPr>
              <w:spacing w:before="80" w:after="40" w:line="264" w:lineRule="auto"/>
              <w:ind w:left="113"/>
              <w:cnfStyle w:val="000000000000" w:firstRow="0" w:lastRow="0" w:firstColumn="0" w:lastColumn="0" w:oddVBand="0" w:evenVBand="0" w:oddHBand="0" w:evenHBand="0" w:firstRowFirstColumn="0" w:firstRowLastColumn="0" w:lastRowFirstColumn="0" w:lastRowLastColumn="0"/>
              <w:rPr>
                <w:rFonts w:eastAsia="Cambria"/>
                <w:color w:val="000000"/>
                <w:szCs w:val="22"/>
              </w:rPr>
            </w:pPr>
            <w:r>
              <w:rPr>
                <w:szCs w:val="22"/>
              </w:rPr>
              <w:t xml:space="preserve">Myasthenia Gravis </w:t>
            </w:r>
          </w:p>
        </w:tc>
      </w:tr>
      <w:tr w:rsidR="00E17C87" w:rsidRPr="004E6AAB" w14:paraId="5AD701D1" w14:textId="77777777" w:rsidTr="006B2DB2">
        <w:tc>
          <w:tcPr>
            <w:cnfStyle w:val="001000000000" w:firstRow="0" w:lastRow="0" w:firstColumn="1" w:lastColumn="0" w:oddVBand="0" w:evenVBand="0" w:oddHBand="0" w:evenHBand="0" w:firstRowFirstColumn="0" w:firstRowLastColumn="0" w:lastRowFirstColumn="0" w:lastRowLastColumn="0"/>
            <w:tcW w:w="2258" w:type="dxa"/>
          </w:tcPr>
          <w:p w14:paraId="507E73CF" w14:textId="505F6FC9" w:rsidR="00E17C87" w:rsidRPr="004E6AAB" w:rsidRDefault="00E17C87" w:rsidP="00E17C87">
            <w:pPr>
              <w:spacing w:before="80" w:after="40" w:line="264" w:lineRule="auto"/>
              <w:ind w:left="113"/>
              <w:rPr>
                <w:rFonts w:eastAsia="Cambria"/>
                <w:color w:val="000000"/>
                <w:szCs w:val="22"/>
              </w:rPr>
            </w:pPr>
            <w:r>
              <w:rPr>
                <w:szCs w:val="22"/>
              </w:rPr>
              <w:t xml:space="preserve">MG-ADL </w:t>
            </w:r>
          </w:p>
        </w:tc>
        <w:tc>
          <w:tcPr>
            <w:tcW w:w="6804" w:type="dxa"/>
          </w:tcPr>
          <w:p w14:paraId="1E2DB720" w14:textId="3C2D4093" w:rsidR="00E17C87" w:rsidRPr="004E6AAB" w:rsidRDefault="00E17C87" w:rsidP="00E17C87">
            <w:pPr>
              <w:spacing w:before="80" w:after="40" w:line="264" w:lineRule="auto"/>
              <w:ind w:left="113"/>
              <w:cnfStyle w:val="000000000000" w:firstRow="0" w:lastRow="0" w:firstColumn="0" w:lastColumn="0" w:oddVBand="0" w:evenVBand="0" w:oddHBand="0" w:evenHBand="0" w:firstRowFirstColumn="0" w:firstRowLastColumn="0" w:lastRowFirstColumn="0" w:lastRowLastColumn="0"/>
              <w:rPr>
                <w:rFonts w:eastAsia="Cambria"/>
                <w:color w:val="000000"/>
                <w:szCs w:val="22"/>
              </w:rPr>
            </w:pPr>
            <w:r>
              <w:rPr>
                <w:szCs w:val="22"/>
              </w:rPr>
              <w:t xml:space="preserve">Myasthenia Gravis Activities of Daily Living </w:t>
            </w:r>
          </w:p>
        </w:tc>
      </w:tr>
      <w:tr w:rsidR="00E17C87" w:rsidRPr="004E6AAB" w14:paraId="2C404D27" w14:textId="77777777" w:rsidTr="006B2DB2">
        <w:tc>
          <w:tcPr>
            <w:cnfStyle w:val="001000000000" w:firstRow="0" w:lastRow="0" w:firstColumn="1" w:lastColumn="0" w:oddVBand="0" w:evenVBand="0" w:oddHBand="0" w:evenHBand="0" w:firstRowFirstColumn="0" w:firstRowLastColumn="0" w:lastRowFirstColumn="0" w:lastRowLastColumn="0"/>
            <w:tcW w:w="2258" w:type="dxa"/>
          </w:tcPr>
          <w:p w14:paraId="6590500F" w14:textId="0DD20379" w:rsidR="00E17C87" w:rsidRPr="004E6AAB" w:rsidRDefault="00E17C87" w:rsidP="00E17C87">
            <w:pPr>
              <w:spacing w:before="80" w:after="40" w:line="264" w:lineRule="auto"/>
              <w:ind w:left="113" w:right="0"/>
              <w:rPr>
                <w:rFonts w:eastAsia="Cambria"/>
                <w:color w:val="000000"/>
                <w:szCs w:val="22"/>
              </w:rPr>
            </w:pPr>
            <w:r>
              <w:rPr>
                <w:szCs w:val="22"/>
              </w:rPr>
              <w:t xml:space="preserve">MGFA </w:t>
            </w:r>
          </w:p>
        </w:tc>
        <w:tc>
          <w:tcPr>
            <w:tcW w:w="6804" w:type="dxa"/>
          </w:tcPr>
          <w:p w14:paraId="6C5C4E9A" w14:textId="2BB3F3E1" w:rsidR="00E17C87" w:rsidRPr="004E6AAB" w:rsidRDefault="00E17C87" w:rsidP="00E17C87">
            <w:pPr>
              <w:spacing w:before="80" w:after="40" w:line="264" w:lineRule="auto"/>
              <w:ind w:left="113" w:right="0"/>
              <w:cnfStyle w:val="000000000000" w:firstRow="0" w:lastRow="0" w:firstColumn="0" w:lastColumn="0" w:oddVBand="0" w:evenVBand="0" w:oddHBand="0" w:evenHBand="0" w:firstRowFirstColumn="0" w:firstRowLastColumn="0" w:lastRowFirstColumn="0" w:lastRowLastColumn="0"/>
              <w:rPr>
                <w:rFonts w:eastAsia="Cambria"/>
                <w:color w:val="000000"/>
                <w:szCs w:val="22"/>
              </w:rPr>
            </w:pPr>
            <w:r>
              <w:rPr>
                <w:szCs w:val="22"/>
              </w:rPr>
              <w:t xml:space="preserve">Myasthenia Gravis Foundation of America </w:t>
            </w:r>
          </w:p>
        </w:tc>
      </w:tr>
      <w:tr w:rsidR="00E17C87" w:rsidRPr="004E6AAB" w14:paraId="4F51BFDF" w14:textId="77777777" w:rsidTr="006B2DB2">
        <w:tc>
          <w:tcPr>
            <w:cnfStyle w:val="001000000000" w:firstRow="0" w:lastRow="0" w:firstColumn="1" w:lastColumn="0" w:oddVBand="0" w:evenVBand="0" w:oddHBand="0" w:evenHBand="0" w:firstRowFirstColumn="0" w:firstRowLastColumn="0" w:lastRowFirstColumn="0" w:lastRowLastColumn="0"/>
            <w:tcW w:w="2258" w:type="dxa"/>
          </w:tcPr>
          <w:p w14:paraId="39DC9787" w14:textId="57BB2BAF" w:rsidR="00E17C87" w:rsidRPr="004E6AAB" w:rsidRDefault="00E17C87" w:rsidP="00E17C87">
            <w:pPr>
              <w:spacing w:before="80" w:after="40" w:line="264" w:lineRule="auto"/>
              <w:ind w:left="113"/>
              <w:rPr>
                <w:rFonts w:eastAsia="Cambria"/>
                <w:color w:val="000000"/>
                <w:szCs w:val="22"/>
              </w:rPr>
            </w:pPr>
            <w:proofErr w:type="spellStart"/>
            <w:r>
              <w:rPr>
                <w:szCs w:val="22"/>
              </w:rPr>
              <w:t>NAb</w:t>
            </w:r>
            <w:proofErr w:type="spellEnd"/>
            <w:r>
              <w:rPr>
                <w:szCs w:val="22"/>
              </w:rPr>
              <w:t xml:space="preserve"> </w:t>
            </w:r>
          </w:p>
        </w:tc>
        <w:tc>
          <w:tcPr>
            <w:tcW w:w="6804" w:type="dxa"/>
          </w:tcPr>
          <w:p w14:paraId="5EADDF06" w14:textId="6D0D8492" w:rsidR="00E17C87" w:rsidRPr="004E6AAB" w:rsidRDefault="00E17C87" w:rsidP="00E17C87">
            <w:pPr>
              <w:spacing w:before="80" w:after="40" w:line="264" w:lineRule="auto"/>
              <w:ind w:left="113"/>
              <w:cnfStyle w:val="000000000000" w:firstRow="0" w:lastRow="0" w:firstColumn="0" w:lastColumn="0" w:oddVBand="0" w:evenVBand="0" w:oddHBand="0" w:evenHBand="0" w:firstRowFirstColumn="0" w:firstRowLastColumn="0" w:lastRowFirstColumn="0" w:lastRowLastColumn="0"/>
              <w:rPr>
                <w:rFonts w:eastAsia="Cambria"/>
                <w:color w:val="000000"/>
                <w:szCs w:val="22"/>
              </w:rPr>
            </w:pPr>
            <w:r>
              <w:rPr>
                <w:szCs w:val="22"/>
              </w:rPr>
              <w:t xml:space="preserve">neutralizing antibody </w:t>
            </w:r>
          </w:p>
        </w:tc>
      </w:tr>
      <w:tr w:rsidR="00E17C87" w:rsidRPr="004E6AAB" w14:paraId="31BBCA2F" w14:textId="77777777" w:rsidTr="006B2DB2">
        <w:tc>
          <w:tcPr>
            <w:cnfStyle w:val="001000000000" w:firstRow="0" w:lastRow="0" w:firstColumn="1" w:lastColumn="0" w:oddVBand="0" w:evenVBand="0" w:oddHBand="0" w:evenHBand="0" w:firstRowFirstColumn="0" w:firstRowLastColumn="0" w:lastRowFirstColumn="0" w:lastRowLastColumn="0"/>
            <w:tcW w:w="2258" w:type="dxa"/>
          </w:tcPr>
          <w:p w14:paraId="0E3AADEC" w14:textId="389A8FE5" w:rsidR="00E17C87" w:rsidRPr="004E6AAB" w:rsidRDefault="00E17C87" w:rsidP="00E17C87">
            <w:pPr>
              <w:spacing w:before="80" w:after="40" w:line="264" w:lineRule="auto"/>
              <w:ind w:left="113" w:right="0"/>
              <w:rPr>
                <w:rFonts w:eastAsia="Cambria"/>
                <w:color w:val="000000"/>
                <w:szCs w:val="22"/>
              </w:rPr>
            </w:pPr>
            <w:r>
              <w:rPr>
                <w:szCs w:val="22"/>
              </w:rPr>
              <w:t xml:space="preserve">NSID </w:t>
            </w:r>
          </w:p>
        </w:tc>
        <w:tc>
          <w:tcPr>
            <w:tcW w:w="6804" w:type="dxa"/>
          </w:tcPr>
          <w:p w14:paraId="7C2EFD63" w14:textId="376C2281" w:rsidR="00E17C87" w:rsidRPr="004E6AAB" w:rsidRDefault="00E17C87" w:rsidP="00E17C87">
            <w:pPr>
              <w:spacing w:before="80" w:after="40" w:line="264" w:lineRule="auto"/>
              <w:ind w:left="113" w:right="0"/>
              <w:cnfStyle w:val="000000000000" w:firstRow="0" w:lastRow="0" w:firstColumn="0" w:lastColumn="0" w:oddVBand="0" w:evenVBand="0" w:oddHBand="0" w:evenHBand="0" w:firstRowFirstColumn="0" w:firstRowLastColumn="0" w:lastRowFirstColumn="0" w:lastRowLastColumn="0"/>
              <w:rPr>
                <w:rFonts w:eastAsia="Cambria"/>
                <w:color w:val="000000"/>
                <w:szCs w:val="22"/>
              </w:rPr>
            </w:pPr>
            <w:r>
              <w:rPr>
                <w:szCs w:val="22"/>
              </w:rPr>
              <w:t xml:space="preserve">nonsteroidal </w:t>
            </w:r>
            <w:proofErr w:type="spellStart"/>
            <w:r>
              <w:rPr>
                <w:szCs w:val="22"/>
              </w:rPr>
              <w:t>immuno</w:t>
            </w:r>
            <w:proofErr w:type="spellEnd"/>
            <w:r>
              <w:rPr>
                <w:szCs w:val="22"/>
              </w:rPr>
              <w:t xml:space="preserve"> suppressive drug </w:t>
            </w:r>
          </w:p>
        </w:tc>
      </w:tr>
      <w:tr w:rsidR="00E17C87" w:rsidRPr="004E6AAB" w14:paraId="52017107" w14:textId="77777777" w:rsidTr="006B2DB2">
        <w:tc>
          <w:tcPr>
            <w:cnfStyle w:val="001000000000" w:firstRow="0" w:lastRow="0" w:firstColumn="1" w:lastColumn="0" w:oddVBand="0" w:evenVBand="0" w:oddHBand="0" w:evenHBand="0" w:firstRowFirstColumn="0" w:firstRowLastColumn="0" w:lastRowFirstColumn="0" w:lastRowLastColumn="0"/>
            <w:tcW w:w="2258" w:type="dxa"/>
          </w:tcPr>
          <w:p w14:paraId="0C48336F" w14:textId="72E11C3E" w:rsidR="00E17C87" w:rsidRPr="004E6AAB" w:rsidRDefault="00E17C87" w:rsidP="00E17C87">
            <w:pPr>
              <w:spacing w:before="80" w:after="40" w:line="264" w:lineRule="auto"/>
              <w:ind w:left="113" w:right="0"/>
              <w:rPr>
                <w:rFonts w:eastAsia="Cambria"/>
                <w:color w:val="000000"/>
                <w:szCs w:val="22"/>
              </w:rPr>
            </w:pPr>
            <w:r>
              <w:rPr>
                <w:szCs w:val="22"/>
              </w:rPr>
              <w:t xml:space="preserve">NSIST </w:t>
            </w:r>
          </w:p>
        </w:tc>
        <w:tc>
          <w:tcPr>
            <w:tcW w:w="6804" w:type="dxa"/>
          </w:tcPr>
          <w:p w14:paraId="48E9F24E" w14:textId="077248DF" w:rsidR="00E17C87" w:rsidRPr="004E6AAB" w:rsidRDefault="00E17C87" w:rsidP="00E17C87">
            <w:pPr>
              <w:spacing w:before="80" w:after="40" w:line="264" w:lineRule="auto"/>
              <w:ind w:left="113" w:right="0"/>
              <w:cnfStyle w:val="000000000000" w:firstRow="0" w:lastRow="0" w:firstColumn="0" w:lastColumn="0" w:oddVBand="0" w:evenVBand="0" w:oddHBand="0" w:evenHBand="0" w:firstRowFirstColumn="0" w:firstRowLastColumn="0" w:lastRowFirstColumn="0" w:lastRowLastColumn="0"/>
              <w:rPr>
                <w:rFonts w:eastAsia="Cambria"/>
                <w:color w:val="000000"/>
                <w:szCs w:val="22"/>
              </w:rPr>
            </w:pPr>
            <w:r>
              <w:rPr>
                <w:szCs w:val="22"/>
              </w:rPr>
              <w:t xml:space="preserve">non-steroidal immunosuppressive therapy </w:t>
            </w:r>
          </w:p>
        </w:tc>
      </w:tr>
      <w:tr w:rsidR="00E17C87" w:rsidRPr="004E6AAB" w14:paraId="65897FF6" w14:textId="77777777" w:rsidTr="006B2DB2">
        <w:tc>
          <w:tcPr>
            <w:cnfStyle w:val="001000000000" w:firstRow="0" w:lastRow="0" w:firstColumn="1" w:lastColumn="0" w:oddVBand="0" w:evenVBand="0" w:oddHBand="0" w:evenHBand="0" w:firstRowFirstColumn="0" w:firstRowLastColumn="0" w:lastRowFirstColumn="0" w:lastRowLastColumn="0"/>
            <w:tcW w:w="2258" w:type="dxa"/>
          </w:tcPr>
          <w:p w14:paraId="1C59F974" w14:textId="462AF912" w:rsidR="00E17C87" w:rsidRPr="004E6AAB" w:rsidRDefault="00E17C87" w:rsidP="00E17C87">
            <w:pPr>
              <w:spacing w:before="80" w:after="40" w:line="264" w:lineRule="auto"/>
              <w:ind w:left="113" w:right="0"/>
              <w:rPr>
                <w:rFonts w:eastAsia="Cambria"/>
                <w:color w:val="000000"/>
                <w:szCs w:val="22"/>
              </w:rPr>
            </w:pPr>
            <w:r>
              <w:rPr>
                <w:szCs w:val="22"/>
              </w:rPr>
              <w:t xml:space="preserve">PH20 </w:t>
            </w:r>
          </w:p>
        </w:tc>
        <w:tc>
          <w:tcPr>
            <w:tcW w:w="6804" w:type="dxa"/>
          </w:tcPr>
          <w:p w14:paraId="42C39DCC" w14:textId="5597A95E" w:rsidR="00E17C87" w:rsidRPr="004E6AAB" w:rsidRDefault="00E17C87" w:rsidP="00E17C87">
            <w:pPr>
              <w:spacing w:before="80" w:after="40" w:line="264" w:lineRule="auto"/>
              <w:ind w:left="113" w:right="0"/>
              <w:cnfStyle w:val="000000000000" w:firstRow="0" w:lastRow="0" w:firstColumn="0" w:lastColumn="0" w:oddVBand="0" w:evenVBand="0" w:oddHBand="0" w:evenHBand="0" w:firstRowFirstColumn="0" w:firstRowLastColumn="0" w:lastRowFirstColumn="0" w:lastRowLastColumn="0"/>
              <w:rPr>
                <w:rFonts w:eastAsia="Cambria"/>
                <w:color w:val="000000"/>
                <w:szCs w:val="22"/>
              </w:rPr>
            </w:pPr>
            <w:r>
              <w:rPr>
                <w:szCs w:val="22"/>
              </w:rPr>
              <w:t>recombinant human hyaluronidase PH20 (rHuPH</w:t>
            </w:r>
            <w:proofErr w:type="gramStart"/>
            <w:r>
              <w:rPr>
                <w:szCs w:val="22"/>
              </w:rPr>
              <w:t>20)</w:t>
            </w:r>
            <w:r>
              <w:rPr>
                <w:sz w:val="14"/>
                <w:szCs w:val="14"/>
              </w:rPr>
              <w:t>a</w:t>
            </w:r>
            <w:proofErr w:type="gramEnd"/>
            <w:r>
              <w:rPr>
                <w:sz w:val="14"/>
                <w:szCs w:val="14"/>
              </w:rPr>
              <w:t xml:space="preserve"> </w:t>
            </w:r>
          </w:p>
        </w:tc>
      </w:tr>
      <w:tr w:rsidR="00E17C87" w:rsidRPr="004E6AAB" w14:paraId="62556A27" w14:textId="77777777" w:rsidTr="006B2DB2">
        <w:tc>
          <w:tcPr>
            <w:cnfStyle w:val="001000000000" w:firstRow="0" w:lastRow="0" w:firstColumn="1" w:lastColumn="0" w:oddVBand="0" w:evenVBand="0" w:oddHBand="0" w:evenHBand="0" w:firstRowFirstColumn="0" w:firstRowLastColumn="0" w:lastRowFirstColumn="0" w:lastRowLastColumn="0"/>
            <w:tcW w:w="2258" w:type="dxa"/>
          </w:tcPr>
          <w:p w14:paraId="66FEECF0" w14:textId="39229EFE" w:rsidR="00E17C87" w:rsidRPr="004E6AAB" w:rsidRDefault="00E17C87" w:rsidP="00E17C87">
            <w:pPr>
              <w:spacing w:before="80" w:after="40" w:line="264" w:lineRule="auto"/>
              <w:ind w:left="113" w:right="0"/>
              <w:rPr>
                <w:rFonts w:eastAsia="Cambria"/>
                <w:color w:val="000000"/>
                <w:szCs w:val="22"/>
              </w:rPr>
            </w:pPr>
            <w:r>
              <w:rPr>
                <w:szCs w:val="22"/>
              </w:rPr>
              <w:t xml:space="preserve">QMG </w:t>
            </w:r>
          </w:p>
        </w:tc>
        <w:tc>
          <w:tcPr>
            <w:tcW w:w="6804" w:type="dxa"/>
          </w:tcPr>
          <w:p w14:paraId="5CD49498" w14:textId="57A77FA3" w:rsidR="00E17C87" w:rsidRPr="004E6AAB" w:rsidRDefault="00E17C87" w:rsidP="00E17C87">
            <w:pPr>
              <w:spacing w:before="80" w:after="40" w:line="264" w:lineRule="auto"/>
              <w:ind w:left="113" w:right="0"/>
              <w:cnfStyle w:val="000000000000" w:firstRow="0" w:lastRow="0" w:firstColumn="0" w:lastColumn="0" w:oddVBand="0" w:evenVBand="0" w:oddHBand="0" w:evenHBand="0" w:firstRowFirstColumn="0" w:firstRowLastColumn="0" w:lastRowFirstColumn="0" w:lastRowLastColumn="0"/>
              <w:rPr>
                <w:rFonts w:eastAsia="Cambria"/>
                <w:color w:val="000000"/>
                <w:szCs w:val="22"/>
              </w:rPr>
            </w:pPr>
            <w:r>
              <w:rPr>
                <w:szCs w:val="22"/>
              </w:rPr>
              <w:t xml:space="preserve">Quantitative Myasthenia Gravis </w:t>
            </w:r>
          </w:p>
        </w:tc>
      </w:tr>
      <w:tr w:rsidR="00E17C87" w:rsidRPr="004E6AAB" w14:paraId="586E3AAF" w14:textId="77777777" w:rsidTr="006B2DB2">
        <w:tc>
          <w:tcPr>
            <w:cnfStyle w:val="001000000000" w:firstRow="0" w:lastRow="0" w:firstColumn="1" w:lastColumn="0" w:oddVBand="0" w:evenVBand="0" w:oddHBand="0" w:evenHBand="0" w:firstRowFirstColumn="0" w:firstRowLastColumn="0" w:lastRowFirstColumn="0" w:lastRowLastColumn="0"/>
            <w:tcW w:w="2258" w:type="dxa"/>
          </w:tcPr>
          <w:p w14:paraId="01D63955" w14:textId="3F495A09" w:rsidR="00E17C87" w:rsidRPr="004E6AAB" w:rsidRDefault="00E17C87" w:rsidP="00E17C87">
            <w:pPr>
              <w:spacing w:before="80" w:after="40" w:line="264" w:lineRule="auto"/>
              <w:ind w:left="113" w:right="0"/>
              <w:rPr>
                <w:rFonts w:eastAsia="Cambria"/>
                <w:color w:val="000000"/>
                <w:szCs w:val="22"/>
              </w:rPr>
            </w:pPr>
            <w:r>
              <w:rPr>
                <w:szCs w:val="22"/>
              </w:rPr>
              <w:t xml:space="preserve">TAD </w:t>
            </w:r>
          </w:p>
        </w:tc>
        <w:tc>
          <w:tcPr>
            <w:tcW w:w="6804" w:type="dxa"/>
          </w:tcPr>
          <w:p w14:paraId="12621938" w14:textId="0AEBDCCB" w:rsidR="00E17C87" w:rsidRPr="004E6AAB" w:rsidRDefault="00E17C87" w:rsidP="00E17C87">
            <w:pPr>
              <w:spacing w:before="80" w:after="40" w:line="264" w:lineRule="auto"/>
              <w:ind w:left="113" w:right="0"/>
              <w:cnfStyle w:val="000000000000" w:firstRow="0" w:lastRow="0" w:firstColumn="0" w:lastColumn="0" w:oddVBand="0" w:evenVBand="0" w:oddHBand="0" w:evenHBand="0" w:firstRowFirstColumn="0" w:firstRowLastColumn="0" w:lastRowFirstColumn="0" w:lastRowLastColumn="0"/>
              <w:rPr>
                <w:rFonts w:eastAsia="Cambria"/>
                <w:color w:val="000000"/>
                <w:szCs w:val="22"/>
              </w:rPr>
            </w:pPr>
            <w:r>
              <w:rPr>
                <w:szCs w:val="22"/>
              </w:rPr>
              <w:t xml:space="preserve">Time after dose </w:t>
            </w:r>
          </w:p>
        </w:tc>
      </w:tr>
    </w:tbl>
    <w:p w14:paraId="0581E1B1" w14:textId="77777777" w:rsidR="00287608" w:rsidRDefault="00287608">
      <w:r>
        <w:br w:type="page"/>
      </w:r>
    </w:p>
    <w:p w14:paraId="44C2A39C" w14:textId="77777777" w:rsidR="00324B33" w:rsidRDefault="00324B33" w:rsidP="00324B33">
      <w:pPr>
        <w:pStyle w:val="Heading2"/>
      </w:pPr>
      <w:bookmarkStart w:id="5" w:name="_Toc103679288"/>
      <w:bookmarkStart w:id="6" w:name="_Toc225173535"/>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25173536"/>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439D5D4F" w:rsidR="00324B33" w:rsidRPr="00BD5DBD" w:rsidRDefault="00324B33" w:rsidP="007452E8">
            <w:pPr>
              <w:rPr>
                <w:i/>
                <w:szCs w:val="22"/>
              </w:rPr>
            </w:pPr>
            <w:r w:rsidRPr="00BD5DBD">
              <w:rPr>
                <w:i/>
                <w:szCs w:val="22"/>
              </w:rPr>
              <w:t>Type</w:t>
            </w:r>
            <w:r w:rsidR="001D1DB2">
              <w:rPr>
                <w:i/>
                <w:szCs w:val="22"/>
              </w:rPr>
              <w:t xml:space="preserve"> </w:t>
            </w:r>
            <w:r w:rsidRPr="00BD5DBD">
              <w:rPr>
                <w:i/>
                <w:szCs w:val="22"/>
              </w:rPr>
              <w:t>of submission:</w:t>
            </w:r>
          </w:p>
        </w:tc>
        <w:tc>
          <w:tcPr>
            <w:tcW w:w="3423" w:type="pct"/>
          </w:tcPr>
          <w:p w14:paraId="4F07C303" w14:textId="2CF1414E" w:rsidR="00324B33" w:rsidRPr="00BD5DBD" w:rsidRDefault="00324B33" w:rsidP="007452E8">
            <w:pPr>
              <w:rPr>
                <w:szCs w:val="22"/>
              </w:rPr>
            </w:pPr>
            <w:r w:rsidRPr="00BD5DBD">
              <w:rPr>
                <w:szCs w:val="22"/>
              </w:rPr>
              <w:t xml:space="preserve">New chemical entity </w:t>
            </w:r>
            <w:r w:rsidR="004305DC">
              <w:rPr>
                <w:szCs w:val="22"/>
              </w:rPr>
              <w:t>– Type A applicat</w:t>
            </w:r>
            <w:r w:rsidR="00D23058">
              <w:rPr>
                <w:szCs w:val="22"/>
              </w:rPr>
              <w:t>i</w:t>
            </w:r>
            <w:r w:rsidR="004305DC">
              <w:rPr>
                <w:szCs w:val="22"/>
              </w:rPr>
              <w:t>on</w:t>
            </w:r>
          </w:p>
        </w:tc>
      </w:tr>
      <w:tr w:rsidR="00324B33" w:rsidRPr="00BD5DBD" w14:paraId="13482B61" w14:textId="77777777" w:rsidTr="00F865A7">
        <w:tc>
          <w:tcPr>
            <w:tcW w:w="1577" w:type="pct"/>
          </w:tcPr>
          <w:p w14:paraId="2C427FCF" w14:textId="34EE916B" w:rsidR="00324B33" w:rsidRPr="00BD5DBD" w:rsidRDefault="00324B33" w:rsidP="007452E8">
            <w:pPr>
              <w:rPr>
                <w:i/>
                <w:szCs w:val="22"/>
              </w:rPr>
            </w:pPr>
            <w:r w:rsidRPr="00BD5DBD">
              <w:rPr>
                <w:i/>
                <w:szCs w:val="22"/>
              </w:rPr>
              <w:t>Product name:</w:t>
            </w:r>
          </w:p>
        </w:tc>
        <w:tc>
          <w:tcPr>
            <w:tcW w:w="3423" w:type="pct"/>
          </w:tcPr>
          <w:p w14:paraId="0E2DEF76" w14:textId="168BA1D9" w:rsidR="00324B33" w:rsidRPr="00BD5DBD" w:rsidRDefault="004305DC" w:rsidP="007452E8">
            <w:pPr>
              <w:rPr>
                <w:szCs w:val="22"/>
              </w:rPr>
            </w:pPr>
            <w:r>
              <w:rPr>
                <w:szCs w:val="22"/>
              </w:rPr>
              <w:t>Vyvgart</w:t>
            </w:r>
          </w:p>
        </w:tc>
      </w:tr>
      <w:tr w:rsidR="00324B33" w:rsidRPr="00BD5DBD" w14:paraId="01255B5B" w14:textId="77777777" w:rsidTr="00F865A7">
        <w:tc>
          <w:tcPr>
            <w:tcW w:w="1577" w:type="pct"/>
          </w:tcPr>
          <w:p w14:paraId="52B4F3D7" w14:textId="4EDC869D" w:rsidR="00324B33" w:rsidRPr="00BD5DBD" w:rsidRDefault="00324B33" w:rsidP="007452E8">
            <w:pPr>
              <w:rPr>
                <w:i/>
                <w:szCs w:val="22"/>
              </w:rPr>
            </w:pPr>
            <w:r w:rsidRPr="00BD5DBD">
              <w:rPr>
                <w:i/>
                <w:szCs w:val="22"/>
              </w:rPr>
              <w:t>Active ingredient:</w:t>
            </w:r>
          </w:p>
        </w:tc>
        <w:tc>
          <w:tcPr>
            <w:tcW w:w="3423" w:type="pct"/>
          </w:tcPr>
          <w:p w14:paraId="02FB6383" w14:textId="7C744A00" w:rsidR="00324B33" w:rsidRPr="00BD5DBD" w:rsidRDefault="00242A43" w:rsidP="007452E8">
            <w:pPr>
              <w:rPr>
                <w:szCs w:val="22"/>
              </w:rPr>
            </w:pPr>
            <w:r>
              <w:t>Efgartigimod alfa</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3D1BB7AD"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16111A42" w:rsidR="00AE1947" w:rsidRPr="00BD5DBD" w:rsidRDefault="00916147" w:rsidP="00C83198">
            <w:pPr>
              <w:rPr>
                <w:szCs w:val="22"/>
              </w:rPr>
            </w:pPr>
            <w:r>
              <w:rPr>
                <w:szCs w:val="22"/>
              </w:rPr>
              <w:t xml:space="preserve">21 February </w:t>
            </w:r>
            <w:r w:rsidR="0000174B">
              <w:rPr>
                <w:szCs w:val="22"/>
              </w:rPr>
              <w:t>2025</w:t>
            </w:r>
          </w:p>
        </w:tc>
      </w:tr>
      <w:tr w:rsidR="00324B33" w:rsidRPr="00BD5DBD" w14:paraId="60A25F5A" w14:textId="77777777" w:rsidTr="00F865A7">
        <w:tc>
          <w:tcPr>
            <w:tcW w:w="1577" w:type="pct"/>
          </w:tcPr>
          <w:p w14:paraId="5C5E4CBA" w14:textId="2EFDCEAF" w:rsidR="00324B33" w:rsidRPr="00BD5DBD" w:rsidRDefault="00324B33" w:rsidP="007452E8">
            <w:pPr>
              <w:rPr>
                <w:i/>
                <w:szCs w:val="22"/>
              </w:rPr>
            </w:pPr>
            <w:r w:rsidRPr="00BD5DBD">
              <w:rPr>
                <w:i/>
                <w:szCs w:val="22"/>
              </w:rPr>
              <w:t xml:space="preserve">Date of entry </w:t>
            </w:r>
            <w:r w:rsidR="00A32133">
              <w:rPr>
                <w:i/>
                <w:szCs w:val="22"/>
              </w:rPr>
              <w:t>i</w:t>
            </w:r>
            <w:r w:rsidRPr="00BD5DBD">
              <w:rPr>
                <w:i/>
                <w:szCs w:val="22"/>
              </w:rPr>
              <w:t>nto ARTG:</w:t>
            </w:r>
          </w:p>
        </w:tc>
        <w:tc>
          <w:tcPr>
            <w:tcW w:w="3423" w:type="pct"/>
          </w:tcPr>
          <w:p w14:paraId="28B270E9" w14:textId="02DA881D" w:rsidR="00324B33" w:rsidRPr="00BD5DBD" w:rsidRDefault="00276C47" w:rsidP="007452E8">
            <w:pPr>
              <w:rPr>
                <w:szCs w:val="22"/>
              </w:rPr>
            </w:pPr>
            <w:r>
              <w:rPr>
                <w:szCs w:val="22"/>
              </w:rPr>
              <w:t xml:space="preserve">24 </w:t>
            </w:r>
            <w:r w:rsidR="0000174B">
              <w:rPr>
                <w:szCs w:val="22"/>
              </w:rPr>
              <w:t>February 2025</w:t>
            </w:r>
          </w:p>
        </w:tc>
      </w:tr>
      <w:tr w:rsidR="00324B33" w:rsidRPr="00BD5DBD" w14:paraId="547E08D7" w14:textId="77777777" w:rsidTr="00F865A7">
        <w:tc>
          <w:tcPr>
            <w:tcW w:w="1577" w:type="pct"/>
          </w:tcPr>
          <w:p w14:paraId="5030EF30" w14:textId="457E806D" w:rsidR="00324B33" w:rsidRPr="00BD5DBD" w:rsidRDefault="00324B33" w:rsidP="007452E8">
            <w:pPr>
              <w:rPr>
                <w:i/>
                <w:szCs w:val="22"/>
              </w:rPr>
            </w:pPr>
            <w:r w:rsidRPr="00BD5DBD">
              <w:rPr>
                <w:i/>
                <w:szCs w:val="22"/>
              </w:rPr>
              <w:t>ARTG numbers:</w:t>
            </w:r>
          </w:p>
        </w:tc>
        <w:tc>
          <w:tcPr>
            <w:tcW w:w="3423" w:type="pct"/>
          </w:tcPr>
          <w:p w14:paraId="1CEAEA2A" w14:textId="11543F89" w:rsidR="002B37AB" w:rsidRDefault="002B37AB" w:rsidP="00C83198">
            <w:pPr>
              <w:rPr>
                <w:szCs w:val="22"/>
              </w:rPr>
            </w:pPr>
            <w:hyperlink r:id="rId15" w:history="1">
              <w:r w:rsidRPr="002B37AB">
                <w:rPr>
                  <w:rStyle w:val="Hyperlink"/>
                  <w:szCs w:val="22"/>
                </w:rPr>
                <w:t>VYVGART efgartigimod alfa 1000 mg/5.6 mL solution for injection vial (444954)</w:t>
              </w:r>
            </w:hyperlink>
            <w:r w:rsidRPr="002B37AB">
              <w:rPr>
                <w:szCs w:val="22"/>
              </w:rPr>
              <w:t xml:space="preserve"> </w:t>
            </w:r>
          </w:p>
          <w:p w14:paraId="0054E912" w14:textId="559BDD8F" w:rsidR="00184C26" w:rsidRPr="00BD5DBD" w:rsidRDefault="00AA0935" w:rsidP="00C83198">
            <w:pPr>
              <w:rPr>
                <w:szCs w:val="22"/>
              </w:rPr>
            </w:pPr>
            <w:hyperlink r:id="rId16" w:history="1">
              <w:r w:rsidRPr="00AA0935">
                <w:rPr>
                  <w:rStyle w:val="Hyperlink"/>
                  <w:szCs w:val="22"/>
                </w:rPr>
                <w:t>VYVGART efgartigimod alfa 400 mg/20 mL concentrated injection for intravenous infusion vial (444955)</w:t>
              </w:r>
            </w:hyperlink>
          </w:p>
        </w:tc>
      </w:tr>
      <w:tr w:rsidR="00324B33" w:rsidRPr="00BD5DBD" w14:paraId="7618393F" w14:textId="77777777" w:rsidTr="00F865A7">
        <w:tc>
          <w:tcPr>
            <w:tcW w:w="1577"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7"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72801C07"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1D9067A1" w14:textId="35429F30" w:rsidR="00C25229" w:rsidRDefault="00C25229" w:rsidP="007452E8">
            <w:pPr>
              <w:rPr>
                <w:szCs w:val="22"/>
                <w:u w:val="single"/>
              </w:rPr>
            </w:pPr>
            <w:hyperlink r:id="rId18" w:history="1">
              <w:r w:rsidRPr="00C25229">
                <w:rPr>
                  <w:rStyle w:val="Hyperlink"/>
                  <w:szCs w:val="22"/>
                </w:rPr>
                <w:t>Argenx Australia Pty Ltd</w:t>
              </w:r>
            </w:hyperlink>
          </w:p>
          <w:p w14:paraId="68DD94B0" w14:textId="73B99AB5" w:rsidR="00324B33" w:rsidRPr="00BD5DBD" w:rsidRDefault="00FD37EC" w:rsidP="00F368E3">
            <w:pPr>
              <w:rPr>
                <w:szCs w:val="22"/>
              </w:rPr>
            </w:pPr>
            <w:r w:rsidRPr="00FD37EC">
              <w:t>Level 14, 2 Riverside Quay</w:t>
            </w:r>
            <w:r>
              <w:t xml:space="preserve"> </w:t>
            </w:r>
            <w:r w:rsidRPr="00FD37EC">
              <w:t>Southbank VIC 3006</w:t>
            </w:r>
          </w:p>
        </w:tc>
      </w:tr>
      <w:tr w:rsidR="00324B33" w:rsidRPr="00BD5DBD" w14:paraId="5322B989" w14:textId="77777777" w:rsidTr="00F865A7">
        <w:tc>
          <w:tcPr>
            <w:tcW w:w="1577" w:type="pct"/>
          </w:tcPr>
          <w:p w14:paraId="24F217E3" w14:textId="70ACC192" w:rsidR="00324B33" w:rsidRPr="00BD5DBD" w:rsidRDefault="00324B33" w:rsidP="007452E8">
            <w:pPr>
              <w:rPr>
                <w:i/>
                <w:szCs w:val="22"/>
              </w:rPr>
            </w:pPr>
            <w:r w:rsidRPr="00BD5DBD">
              <w:rPr>
                <w:i/>
                <w:szCs w:val="22"/>
              </w:rPr>
              <w:t>Dose form</w:t>
            </w:r>
            <w:r w:rsidR="00DA4C37">
              <w:rPr>
                <w:i/>
                <w:szCs w:val="22"/>
              </w:rPr>
              <w:t>s</w:t>
            </w:r>
            <w:r w:rsidRPr="00BD5DBD">
              <w:rPr>
                <w:i/>
                <w:szCs w:val="22"/>
              </w:rPr>
              <w:t>:</w:t>
            </w:r>
          </w:p>
        </w:tc>
        <w:tc>
          <w:tcPr>
            <w:tcW w:w="3423" w:type="pct"/>
          </w:tcPr>
          <w:p w14:paraId="5D5762DC" w14:textId="7A148D7A" w:rsidR="00DA4C37" w:rsidRDefault="00BC6B06" w:rsidP="00FA0BF3">
            <w:pPr>
              <w:spacing w:after="0"/>
              <w:rPr>
                <w:szCs w:val="22"/>
              </w:rPr>
            </w:pPr>
            <w:r>
              <w:rPr>
                <w:szCs w:val="22"/>
              </w:rPr>
              <w:t>Injection</w:t>
            </w:r>
            <w:r w:rsidR="001373BE">
              <w:rPr>
                <w:szCs w:val="22"/>
              </w:rPr>
              <w:t xml:space="preserve"> solution</w:t>
            </w:r>
            <w:r w:rsidR="000670D0">
              <w:rPr>
                <w:szCs w:val="22"/>
              </w:rPr>
              <w:t xml:space="preserve"> </w:t>
            </w:r>
            <w:r w:rsidR="009C5282">
              <w:rPr>
                <w:szCs w:val="22"/>
              </w:rPr>
              <w:t>for injection vial</w:t>
            </w:r>
          </w:p>
          <w:p w14:paraId="768B254C" w14:textId="550FDD4B" w:rsidR="00394830" w:rsidRPr="00BD5DBD" w:rsidRDefault="006F36DC" w:rsidP="00FA0BF3">
            <w:pPr>
              <w:rPr>
                <w:szCs w:val="22"/>
              </w:rPr>
            </w:pPr>
            <w:r>
              <w:rPr>
                <w:szCs w:val="22"/>
              </w:rPr>
              <w:t xml:space="preserve">Concentrated </w:t>
            </w:r>
            <w:r w:rsidR="003E44A6">
              <w:rPr>
                <w:szCs w:val="22"/>
              </w:rPr>
              <w:t>solution</w:t>
            </w:r>
            <w:r>
              <w:rPr>
                <w:szCs w:val="22"/>
              </w:rPr>
              <w:t xml:space="preserve"> for intravenous</w:t>
            </w:r>
            <w:r w:rsidR="003E44A6">
              <w:rPr>
                <w:szCs w:val="22"/>
              </w:rPr>
              <w:t xml:space="preserve"> infusion</w:t>
            </w:r>
            <w:r>
              <w:rPr>
                <w:szCs w:val="22"/>
              </w:rPr>
              <w:t xml:space="preserve"> vial</w:t>
            </w:r>
          </w:p>
        </w:tc>
      </w:tr>
      <w:tr w:rsidR="00324B33" w:rsidRPr="00BD5DBD" w14:paraId="115243E6" w14:textId="77777777" w:rsidTr="00F865A7">
        <w:tc>
          <w:tcPr>
            <w:tcW w:w="1577" w:type="pct"/>
          </w:tcPr>
          <w:p w14:paraId="7634B062" w14:textId="77436CAB" w:rsidR="00324B33" w:rsidRPr="00BD5DBD" w:rsidRDefault="00324B33" w:rsidP="007452E8">
            <w:pPr>
              <w:rPr>
                <w:i/>
                <w:szCs w:val="22"/>
              </w:rPr>
            </w:pPr>
            <w:r w:rsidRPr="00BD5DBD">
              <w:rPr>
                <w:i/>
                <w:szCs w:val="22"/>
              </w:rPr>
              <w:t>Strength:</w:t>
            </w:r>
          </w:p>
        </w:tc>
        <w:tc>
          <w:tcPr>
            <w:tcW w:w="3423" w:type="pct"/>
          </w:tcPr>
          <w:p w14:paraId="561D32D0" w14:textId="77777777" w:rsidR="00324B33" w:rsidRDefault="00272151" w:rsidP="00272151">
            <w:pPr>
              <w:rPr>
                <w:spacing w:val="-2"/>
                <w:sz w:val="21"/>
              </w:rPr>
            </w:pPr>
            <w:r>
              <w:rPr>
                <w:sz w:val="21"/>
              </w:rPr>
              <w:t>1000</w:t>
            </w:r>
            <w:r>
              <w:rPr>
                <w:spacing w:val="-5"/>
                <w:sz w:val="21"/>
              </w:rPr>
              <w:t xml:space="preserve"> </w:t>
            </w:r>
            <w:r>
              <w:rPr>
                <w:sz w:val="21"/>
              </w:rPr>
              <w:t>mg/5.6</w:t>
            </w:r>
            <w:r>
              <w:rPr>
                <w:spacing w:val="-4"/>
                <w:sz w:val="21"/>
              </w:rPr>
              <w:t xml:space="preserve"> </w:t>
            </w:r>
            <w:r>
              <w:rPr>
                <w:sz w:val="21"/>
              </w:rPr>
              <w:t>mL</w:t>
            </w:r>
            <w:r>
              <w:rPr>
                <w:spacing w:val="-6"/>
                <w:sz w:val="21"/>
              </w:rPr>
              <w:t xml:space="preserve"> </w:t>
            </w:r>
            <w:r w:rsidR="00940B8A">
              <w:rPr>
                <w:spacing w:val="-6"/>
                <w:sz w:val="21"/>
              </w:rPr>
              <w:t>(</w:t>
            </w:r>
            <w:r>
              <w:rPr>
                <w:sz w:val="21"/>
              </w:rPr>
              <w:t>solution</w:t>
            </w:r>
            <w:r>
              <w:rPr>
                <w:spacing w:val="-8"/>
                <w:sz w:val="21"/>
              </w:rPr>
              <w:t xml:space="preserve"> </w:t>
            </w:r>
            <w:r>
              <w:rPr>
                <w:sz w:val="21"/>
              </w:rPr>
              <w:t>for</w:t>
            </w:r>
            <w:r>
              <w:rPr>
                <w:spacing w:val="-6"/>
                <w:sz w:val="21"/>
              </w:rPr>
              <w:t xml:space="preserve"> </w:t>
            </w:r>
            <w:r>
              <w:rPr>
                <w:sz w:val="21"/>
              </w:rPr>
              <w:t>injection</w:t>
            </w:r>
            <w:r>
              <w:rPr>
                <w:spacing w:val="-5"/>
                <w:sz w:val="21"/>
              </w:rPr>
              <w:t xml:space="preserve"> </w:t>
            </w:r>
            <w:r>
              <w:rPr>
                <w:spacing w:val="-2"/>
                <w:sz w:val="21"/>
              </w:rPr>
              <w:t>vial</w:t>
            </w:r>
            <w:r w:rsidR="00940B8A">
              <w:rPr>
                <w:spacing w:val="-2"/>
                <w:sz w:val="21"/>
              </w:rPr>
              <w:t>)</w:t>
            </w:r>
          </w:p>
          <w:p w14:paraId="5E5F83DB" w14:textId="2AF82ADF" w:rsidR="003E44A6" w:rsidRPr="00BD5DBD" w:rsidRDefault="003E44A6" w:rsidP="003E44A6">
            <w:pPr>
              <w:rPr>
                <w:szCs w:val="22"/>
              </w:rPr>
            </w:pPr>
            <w:r w:rsidRPr="00544DF4">
              <w:rPr>
                <w:szCs w:val="22"/>
              </w:rPr>
              <w:t>400 mg/20 mL (concentrated solution for intravenous infusion vial)</w:t>
            </w:r>
          </w:p>
        </w:tc>
      </w:tr>
      <w:tr w:rsidR="00324B33" w:rsidRPr="00BD5DBD" w14:paraId="34B07BA6" w14:textId="77777777" w:rsidTr="00BC6B06">
        <w:trPr>
          <w:trHeight w:val="80"/>
        </w:trPr>
        <w:tc>
          <w:tcPr>
            <w:tcW w:w="1577" w:type="pct"/>
          </w:tcPr>
          <w:p w14:paraId="1C039224" w14:textId="7020BF12" w:rsidR="00324B33" w:rsidRPr="00BD5DBD" w:rsidRDefault="00324B33" w:rsidP="007452E8">
            <w:pPr>
              <w:rPr>
                <w:i/>
                <w:szCs w:val="22"/>
              </w:rPr>
            </w:pPr>
            <w:r w:rsidRPr="00BD5DBD">
              <w:rPr>
                <w:i/>
                <w:szCs w:val="22"/>
              </w:rPr>
              <w:t>Containers:</w:t>
            </w:r>
          </w:p>
        </w:tc>
        <w:tc>
          <w:tcPr>
            <w:tcW w:w="3423" w:type="pct"/>
          </w:tcPr>
          <w:p w14:paraId="500A42C6" w14:textId="563D6595" w:rsidR="00324B33" w:rsidRPr="00BD5DBD" w:rsidRDefault="00AC5273" w:rsidP="00AC5273">
            <w:pPr>
              <w:rPr>
                <w:szCs w:val="22"/>
              </w:rPr>
            </w:pPr>
            <w:r>
              <w:rPr>
                <w:szCs w:val="22"/>
              </w:rPr>
              <w:t xml:space="preserve">Vial </w:t>
            </w:r>
            <w:r w:rsidR="00E25C2A">
              <w:rPr>
                <w:szCs w:val="22"/>
              </w:rPr>
              <w:t>– Glass Type 1 Clear</w:t>
            </w:r>
          </w:p>
        </w:tc>
      </w:tr>
      <w:tr w:rsidR="00324B33" w:rsidRPr="00F05DC2" w14:paraId="176B6773" w14:textId="77777777" w:rsidTr="00F865A7">
        <w:tc>
          <w:tcPr>
            <w:tcW w:w="1577" w:type="pct"/>
          </w:tcPr>
          <w:p w14:paraId="71846159" w14:textId="7B0E1D3C" w:rsidR="00324B33" w:rsidRPr="00BD5DBD" w:rsidRDefault="00324B33" w:rsidP="007452E8">
            <w:pPr>
              <w:rPr>
                <w:i/>
                <w:szCs w:val="22"/>
              </w:rPr>
            </w:pPr>
            <w:r w:rsidRPr="00BD5DBD">
              <w:rPr>
                <w:i/>
                <w:szCs w:val="22"/>
              </w:rPr>
              <w:t>Pack size:</w:t>
            </w:r>
          </w:p>
        </w:tc>
        <w:tc>
          <w:tcPr>
            <w:tcW w:w="3423" w:type="pct"/>
          </w:tcPr>
          <w:p w14:paraId="7106BFD7" w14:textId="67E927A4" w:rsidR="00324B33" w:rsidRPr="00BA12C8" w:rsidRDefault="00557F6A" w:rsidP="007452E8">
            <w:pPr>
              <w:rPr>
                <w:szCs w:val="22"/>
                <w:lang w:val="fr-FR"/>
              </w:rPr>
            </w:pPr>
            <w:r w:rsidRPr="00BA12C8">
              <w:rPr>
                <w:szCs w:val="22"/>
                <w:lang w:val="fr-FR"/>
              </w:rPr>
              <w:t>5.6mL</w:t>
            </w:r>
            <w:r w:rsidR="00A122FF" w:rsidRPr="00BA12C8">
              <w:rPr>
                <w:szCs w:val="22"/>
                <w:lang w:val="fr-FR"/>
              </w:rPr>
              <w:t xml:space="preserve"> </w:t>
            </w:r>
            <w:r w:rsidR="00864886" w:rsidRPr="00BA12C8">
              <w:rPr>
                <w:szCs w:val="22"/>
                <w:lang w:val="fr-FR"/>
              </w:rPr>
              <w:t>(injection, solution)</w:t>
            </w:r>
          </w:p>
          <w:p w14:paraId="7E978F8F" w14:textId="442DBA3E" w:rsidR="00557F6A" w:rsidRPr="00BA12C8" w:rsidRDefault="00A122FF" w:rsidP="00864886">
            <w:pPr>
              <w:rPr>
                <w:szCs w:val="22"/>
                <w:lang w:val="fr-FR"/>
              </w:rPr>
            </w:pPr>
            <w:r w:rsidRPr="00BA12C8">
              <w:rPr>
                <w:szCs w:val="22"/>
                <w:lang w:val="fr-FR"/>
              </w:rPr>
              <w:t xml:space="preserve">20mL </w:t>
            </w:r>
            <w:r w:rsidR="00DC6AB3" w:rsidRPr="00BA12C8">
              <w:rPr>
                <w:szCs w:val="22"/>
                <w:lang w:val="fr-FR"/>
              </w:rPr>
              <w:t xml:space="preserve">(injection, </w:t>
            </w:r>
            <w:proofErr w:type="spellStart"/>
            <w:r w:rsidR="00DC6AB3" w:rsidRPr="00BA12C8">
              <w:rPr>
                <w:szCs w:val="22"/>
                <w:lang w:val="fr-FR"/>
              </w:rPr>
              <w:t>intravenous</w:t>
            </w:r>
            <w:proofErr w:type="spellEnd"/>
            <w:r w:rsidR="00DC6AB3" w:rsidRPr="00BA12C8">
              <w:rPr>
                <w:szCs w:val="22"/>
                <w:lang w:val="fr-FR"/>
              </w:rPr>
              <w:t xml:space="preserve"> solution)</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3EF4A076" w:rsidR="00324B33" w:rsidRPr="00BD5DBD" w:rsidRDefault="000A6621" w:rsidP="00894D94">
            <w:pPr>
              <w:rPr>
                <w:szCs w:val="22"/>
              </w:rPr>
            </w:pPr>
            <w:r w:rsidRPr="000A6621">
              <w:rPr>
                <w:szCs w:val="22"/>
              </w:rPr>
              <w:t>V</w:t>
            </w:r>
            <w:r w:rsidR="00F4442B">
              <w:rPr>
                <w:szCs w:val="22"/>
              </w:rPr>
              <w:t>yvgart</w:t>
            </w:r>
            <w:r w:rsidRPr="000A6621">
              <w:rPr>
                <w:szCs w:val="22"/>
              </w:rPr>
              <w:t xml:space="preserve"> is indicated as an add on to standard therapy for the treatment of adult patients with generalised Myasthenia Gravis (</w:t>
            </w:r>
            <w:proofErr w:type="spellStart"/>
            <w:r w:rsidRPr="000A6621">
              <w:rPr>
                <w:szCs w:val="22"/>
              </w:rPr>
              <w:t>gMG</w:t>
            </w:r>
            <w:proofErr w:type="spellEnd"/>
            <w:r w:rsidRPr="000A6621">
              <w:rPr>
                <w:szCs w:val="22"/>
              </w:rPr>
              <w:t>) who are anti acetylcholine receptor (</w:t>
            </w:r>
            <w:proofErr w:type="spellStart"/>
            <w:r w:rsidRPr="000A6621">
              <w:rPr>
                <w:szCs w:val="22"/>
              </w:rPr>
              <w:t>AChR</w:t>
            </w:r>
            <w:proofErr w:type="spellEnd"/>
            <w:r w:rsidRPr="000A6621">
              <w:rPr>
                <w:szCs w:val="22"/>
              </w:rPr>
              <w:t>) antibody positive.</w:t>
            </w:r>
          </w:p>
        </w:tc>
      </w:tr>
      <w:tr w:rsidR="00324B33" w:rsidRPr="00BD5DBD" w14:paraId="5AFDEED3" w14:textId="77777777" w:rsidTr="00F865A7">
        <w:tc>
          <w:tcPr>
            <w:tcW w:w="1577" w:type="pct"/>
          </w:tcPr>
          <w:p w14:paraId="03884BD1" w14:textId="7E9CDFC0" w:rsidR="00324B33" w:rsidRPr="00BD5DBD" w:rsidRDefault="00324B33" w:rsidP="007452E8">
            <w:pPr>
              <w:rPr>
                <w:i/>
                <w:szCs w:val="22"/>
              </w:rPr>
            </w:pPr>
            <w:r w:rsidRPr="00BD5DBD">
              <w:rPr>
                <w:i/>
                <w:szCs w:val="22"/>
              </w:rPr>
              <w:t>Routes of administration:</w:t>
            </w:r>
          </w:p>
        </w:tc>
        <w:tc>
          <w:tcPr>
            <w:tcW w:w="3423" w:type="pct"/>
          </w:tcPr>
          <w:p w14:paraId="69CB7E43" w14:textId="47F5C973" w:rsidR="00981CC6" w:rsidRDefault="00A97409" w:rsidP="00981CC6">
            <w:pPr>
              <w:rPr>
                <w:szCs w:val="22"/>
              </w:rPr>
            </w:pPr>
            <w:r>
              <w:rPr>
                <w:szCs w:val="22"/>
              </w:rPr>
              <w:t>Subcutaneous</w:t>
            </w:r>
            <w:r w:rsidR="008C4269">
              <w:rPr>
                <w:szCs w:val="22"/>
              </w:rPr>
              <w:t xml:space="preserve"> </w:t>
            </w:r>
            <w:r w:rsidR="00D45CB2">
              <w:rPr>
                <w:szCs w:val="22"/>
              </w:rPr>
              <w:t>(SC)</w:t>
            </w:r>
          </w:p>
          <w:p w14:paraId="1ED1357E" w14:textId="5B946959" w:rsidR="00CE7706" w:rsidRPr="00BD5DBD" w:rsidRDefault="00CE7706" w:rsidP="00981CC6">
            <w:pPr>
              <w:rPr>
                <w:szCs w:val="22"/>
              </w:rPr>
            </w:pPr>
            <w:r>
              <w:rPr>
                <w:szCs w:val="22"/>
              </w:rPr>
              <w:t xml:space="preserve">Intravenous </w:t>
            </w:r>
            <w:r w:rsidR="00D45CB2">
              <w:rPr>
                <w:szCs w:val="22"/>
              </w:rPr>
              <w:t>(IV)</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3D0B2D5C" w14:textId="320FEB9F" w:rsidR="00324B33" w:rsidRPr="00BD5DBD" w:rsidRDefault="00324B33" w:rsidP="007452E8">
            <w:pPr>
              <w:rPr>
                <w:szCs w:val="22"/>
              </w:rPr>
            </w:pPr>
            <w:r w:rsidRPr="00BD5DBD">
              <w:rPr>
                <w:szCs w:val="22"/>
              </w:rPr>
              <w:t xml:space="preserve">For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29EFDEB3" w14:textId="5FE203C0" w:rsidR="000033EF" w:rsidRDefault="00CB0CDA" w:rsidP="007967C3">
            <w:r w:rsidRPr="00CB0CDA">
              <w:rPr>
                <w:b/>
                <w:bCs/>
              </w:rPr>
              <w:t xml:space="preserve">Category </w:t>
            </w:r>
            <w:r w:rsidR="00D1410D">
              <w:rPr>
                <w:b/>
                <w:bCs/>
              </w:rPr>
              <w:t>C</w:t>
            </w:r>
          </w:p>
          <w:p w14:paraId="1592C30B" w14:textId="30C8D464" w:rsidR="009F2A51" w:rsidRDefault="009F2A51" w:rsidP="00153344">
            <w:r w:rsidRPr="009F2A51">
              <w:t xml:space="preserve">Drugs which, owing to their pharmacological effects, have caused or may be suspected of causing, harmful effects on the human </w:t>
            </w:r>
            <w:proofErr w:type="spellStart"/>
            <w:r w:rsidRPr="009F2A51">
              <w:t>fetus</w:t>
            </w:r>
            <w:proofErr w:type="spellEnd"/>
            <w:r w:rsidRPr="009F2A51">
              <w:t xml:space="preserve"> or neonate without causing malformations. These effects may be reversible. Accompanying texts should be consulted for further details.</w:t>
            </w:r>
          </w:p>
          <w:p w14:paraId="76497789" w14:textId="634DC28C" w:rsidR="0017005C" w:rsidRPr="00BD5DBD" w:rsidRDefault="0070330F" w:rsidP="00306E72">
            <w:pPr>
              <w:rPr>
                <w:szCs w:val="22"/>
              </w:rPr>
            </w:pPr>
            <w:r w:rsidRPr="00BD5DBD">
              <w:rPr>
                <w:szCs w:val="22"/>
              </w:rPr>
              <w:lastRenderedPageBreak/>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Pr="007261D5" w:rsidRDefault="00324B33" w:rsidP="007261D5">
      <w:pPr>
        <w:pStyle w:val="Heading3"/>
      </w:pPr>
      <w:bookmarkStart w:id="11" w:name="_Toc247691503"/>
      <w:bookmarkStart w:id="12" w:name="_Toc314842484"/>
      <w:bookmarkStart w:id="13" w:name="_Toc103679290"/>
      <w:bookmarkStart w:id="14" w:name="_Toc225173537"/>
      <w:r w:rsidRPr="007261D5">
        <w:lastRenderedPageBreak/>
        <w:t>Product background</w:t>
      </w:r>
      <w:bookmarkEnd w:id="11"/>
      <w:bookmarkEnd w:id="12"/>
      <w:bookmarkEnd w:id="13"/>
      <w:bookmarkEnd w:id="14"/>
    </w:p>
    <w:p w14:paraId="59BF31D1" w14:textId="03B814D4" w:rsidR="001500A8" w:rsidRDefault="00324B33" w:rsidP="00065839">
      <w:r w:rsidRPr="00065839">
        <w:t xml:space="preserve">This AusPAR describes the submission by </w:t>
      </w:r>
      <w:r w:rsidR="00CF25C5">
        <w:t>Argenx Australia</w:t>
      </w:r>
      <w:r w:rsidRPr="00065839">
        <w:t xml:space="preserve"> (the </w:t>
      </w:r>
      <w:r w:rsidR="00B7707C">
        <w:t>S</w:t>
      </w:r>
      <w:r w:rsidRPr="00065839">
        <w:t xml:space="preserve">ponsor) to register </w:t>
      </w:r>
      <w:r w:rsidR="00F53E47">
        <w:t>Vyvgart</w:t>
      </w:r>
      <w:r w:rsidRPr="00065839">
        <w:t xml:space="preserve"> </w:t>
      </w:r>
      <w:r w:rsidR="00CE3328">
        <w:t>(efgartigimod alfa)</w:t>
      </w:r>
      <w:r w:rsidR="00CE3328" w:rsidRPr="00065839">
        <w:t xml:space="preserve"> </w:t>
      </w:r>
      <w:r w:rsidRPr="00065839">
        <w:t>for the following proposed indication:</w:t>
      </w:r>
      <w:bookmarkStart w:id="15" w:name="_Ref223435599"/>
      <w:r w:rsidR="00A94BDD">
        <w:rPr>
          <w:rStyle w:val="FootnoteReference"/>
        </w:rPr>
        <w:footnoteReference w:id="1"/>
      </w:r>
      <w:bookmarkEnd w:id="15"/>
    </w:p>
    <w:p w14:paraId="161691AE" w14:textId="77777777" w:rsidR="00D01C6F" w:rsidRDefault="0093328C" w:rsidP="00D01C6F">
      <w:pPr>
        <w:ind w:left="720"/>
        <w:rPr>
          <w:i/>
          <w:iCs/>
        </w:rPr>
      </w:pPr>
      <w:r w:rsidRPr="0093328C">
        <w:rPr>
          <w:i/>
          <w:iCs/>
        </w:rPr>
        <w:t>Vyvgart is indicated as an add on to standard therapy for the treatment of adult</w:t>
      </w:r>
      <w:r w:rsidRPr="0093328C">
        <w:rPr>
          <w:i/>
          <w:iCs/>
          <w:spacing w:val="40"/>
        </w:rPr>
        <w:t xml:space="preserve"> </w:t>
      </w:r>
      <w:r w:rsidRPr="0093328C">
        <w:rPr>
          <w:i/>
          <w:iCs/>
        </w:rPr>
        <w:t>patients</w:t>
      </w:r>
      <w:r w:rsidRPr="0093328C">
        <w:rPr>
          <w:i/>
          <w:iCs/>
          <w:spacing w:val="-3"/>
        </w:rPr>
        <w:t xml:space="preserve"> </w:t>
      </w:r>
      <w:r w:rsidRPr="0093328C">
        <w:rPr>
          <w:i/>
          <w:iCs/>
        </w:rPr>
        <w:t>with</w:t>
      </w:r>
      <w:r w:rsidRPr="0093328C">
        <w:rPr>
          <w:i/>
          <w:iCs/>
          <w:spacing w:val="-6"/>
        </w:rPr>
        <w:t xml:space="preserve"> </w:t>
      </w:r>
      <w:r w:rsidRPr="0093328C">
        <w:rPr>
          <w:i/>
          <w:iCs/>
        </w:rPr>
        <w:t>generalised</w:t>
      </w:r>
      <w:r w:rsidRPr="0093328C">
        <w:rPr>
          <w:i/>
          <w:iCs/>
          <w:spacing w:val="-4"/>
        </w:rPr>
        <w:t xml:space="preserve"> </w:t>
      </w:r>
      <w:r w:rsidRPr="0093328C">
        <w:rPr>
          <w:i/>
          <w:iCs/>
        </w:rPr>
        <w:t>Myasthenia</w:t>
      </w:r>
      <w:r w:rsidRPr="0093328C">
        <w:rPr>
          <w:i/>
          <w:iCs/>
          <w:spacing w:val="-6"/>
        </w:rPr>
        <w:t xml:space="preserve"> </w:t>
      </w:r>
      <w:r w:rsidRPr="0093328C">
        <w:rPr>
          <w:i/>
          <w:iCs/>
        </w:rPr>
        <w:t>Gravis</w:t>
      </w:r>
      <w:r w:rsidRPr="0093328C">
        <w:rPr>
          <w:i/>
          <w:iCs/>
          <w:spacing w:val="-3"/>
        </w:rPr>
        <w:t xml:space="preserve"> </w:t>
      </w:r>
      <w:r w:rsidRPr="0093328C">
        <w:rPr>
          <w:i/>
          <w:iCs/>
        </w:rPr>
        <w:t>(</w:t>
      </w:r>
      <w:proofErr w:type="spellStart"/>
      <w:r w:rsidRPr="0093328C">
        <w:rPr>
          <w:i/>
          <w:iCs/>
        </w:rPr>
        <w:t>gMG</w:t>
      </w:r>
      <w:proofErr w:type="spellEnd"/>
      <w:r w:rsidRPr="0093328C">
        <w:rPr>
          <w:i/>
          <w:iCs/>
        </w:rPr>
        <w:t>)</w:t>
      </w:r>
      <w:r w:rsidRPr="0093328C">
        <w:rPr>
          <w:i/>
          <w:iCs/>
          <w:spacing w:val="-5"/>
        </w:rPr>
        <w:t xml:space="preserve"> </w:t>
      </w:r>
      <w:r w:rsidRPr="0093328C">
        <w:rPr>
          <w:i/>
          <w:iCs/>
        </w:rPr>
        <w:t>who</w:t>
      </w:r>
      <w:r w:rsidRPr="0093328C">
        <w:rPr>
          <w:i/>
          <w:iCs/>
          <w:spacing w:val="-4"/>
        </w:rPr>
        <w:t xml:space="preserve"> </w:t>
      </w:r>
      <w:r w:rsidRPr="0093328C">
        <w:rPr>
          <w:i/>
          <w:iCs/>
        </w:rPr>
        <w:t>are</w:t>
      </w:r>
      <w:r w:rsidRPr="0093328C">
        <w:rPr>
          <w:i/>
          <w:iCs/>
          <w:spacing w:val="-4"/>
        </w:rPr>
        <w:t xml:space="preserve"> </w:t>
      </w:r>
      <w:r w:rsidRPr="0093328C">
        <w:rPr>
          <w:i/>
          <w:iCs/>
        </w:rPr>
        <w:t>anti</w:t>
      </w:r>
      <w:r w:rsidRPr="0093328C">
        <w:rPr>
          <w:i/>
          <w:iCs/>
          <w:spacing w:val="-4"/>
        </w:rPr>
        <w:t xml:space="preserve"> </w:t>
      </w:r>
      <w:r w:rsidRPr="0093328C">
        <w:rPr>
          <w:i/>
          <w:iCs/>
        </w:rPr>
        <w:t>acetylcholine</w:t>
      </w:r>
      <w:r w:rsidRPr="0093328C">
        <w:rPr>
          <w:i/>
          <w:iCs/>
          <w:spacing w:val="-4"/>
        </w:rPr>
        <w:t xml:space="preserve"> </w:t>
      </w:r>
      <w:r w:rsidRPr="0093328C">
        <w:rPr>
          <w:i/>
          <w:iCs/>
        </w:rPr>
        <w:t>receptor (</w:t>
      </w:r>
      <w:proofErr w:type="spellStart"/>
      <w:r w:rsidRPr="0093328C">
        <w:rPr>
          <w:i/>
          <w:iCs/>
        </w:rPr>
        <w:t>AChR</w:t>
      </w:r>
      <w:proofErr w:type="spellEnd"/>
      <w:r w:rsidRPr="0093328C">
        <w:rPr>
          <w:i/>
          <w:iCs/>
        </w:rPr>
        <w:t>) antibody positive.</w:t>
      </w:r>
      <w:bookmarkStart w:id="16" w:name="_Toc314842485"/>
      <w:bookmarkStart w:id="17" w:name="_Toc247691504"/>
    </w:p>
    <w:p w14:paraId="02B1C45D" w14:textId="29E3D696" w:rsidR="003575BC" w:rsidRPr="00603A18" w:rsidRDefault="003575BC" w:rsidP="00900556">
      <w:pPr>
        <w:pStyle w:val="Heading4"/>
      </w:pPr>
      <w:bookmarkStart w:id="18" w:name="_Toc225173538"/>
      <w:r w:rsidRPr="00603A18">
        <w:t>Myasthenia Gravis (MG)</w:t>
      </w:r>
      <w:bookmarkEnd w:id="18"/>
    </w:p>
    <w:p w14:paraId="5A3DE759" w14:textId="39FBCF4C" w:rsidR="00C0077C" w:rsidRPr="00F63B35" w:rsidRDefault="005D2D36" w:rsidP="00AC7754">
      <w:pPr>
        <w:rPr>
          <w:vertAlign w:val="superscript"/>
        </w:rPr>
      </w:pPr>
      <w:r w:rsidRPr="00231C2D">
        <w:t>MG</w:t>
      </w:r>
      <w:r w:rsidRPr="00231C2D">
        <w:rPr>
          <w:spacing w:val="-2"/>
        </w:rPr>
        <w:t xml:space="preserve"> </w:t>
      </w:r>
      <w:r w:rsidRPr="00231C2D">
        <w:t>is an</w:t>
      </w:r>
      <w:r w:rsidRPr="00231C2D">
        <w:rPr>
          <w:spacing w:val="-2"/>
        </w:rPr>
        <w:t xml:space="preserve"> </w:t>
      </w:r>
      <w:r w:rsidRPr="00231C2D">
        <w:t>autoimmune</w:t>
      </w:r>
      <w:r w:rsidRPr="00231C2D">
        <w:rPr>
          <w:spacing w:val="-1"/>
        </w:rPr>
        <w:t xml:space="preserve"> </w:t>
      </w:r>
      <w:r w:rsidRPr="00231C2D">
        <w:t>neuromuscular</w:t>
      </w:r>
      <w:r w:rsidRPr="00231C2D">
        <w:rPr>
          <w:spacing w:val="-1"/>
        </w:rPr>
        <w:t xml:space="preserve"> </w:t>
      </w:r>
      <w:r w:rsidRPr="00231C2D">
        <w:t>disorder</w:t>
      </w:r>
      <w:r w:rsidRPr="00231C2D">
        <w:rPr>
          <w:spacing w:val="-1"/>
        </w:rPr>
        <w:t xml:space="preserve"> </w:t>
      </w:r>
      <w:r w:rsidRPr="00231C2D">
        <w:t>characterised</w:t>
      </w:r>
      <w:r w:rsidRPr="00231C2D">
        <w:rPr>
          <w:spacing w:val="-1"/>
        </w:rPr>
        <w:t xml:space="preserve"> </w:t>
      </w:r>
      <w:r w:rsidRPr="00231C2D">
        <w:t>by</w:t>
      </w:r>
      <w:r w:rsidRPr="00231C2D">
        <w:rPr>
          <w:spacing w:val="-2"/>
        </w:rPr>
        <w:t xml:space="preserve"> </w:t>
      </w:r>
      <w:r w:rsidRPr="00231C2D">
        <w:t>antibodies directed</w:t>
      </w:r>
      <w:r w:rsidRPr="00231C2D">
        <w:rPr>
          <w:spacing w:val="-1"/>
        </w:rPr>
        <w:t xml:space="preserve"> </w:t>
      </w:r>
      <w:r w:rsidRPr="00231C2D">
        <w:t>at</w:t>
      </w:r>
      <w:r w:rsidRPr="00231C2D">
        <w:rPr>
          <w:spacing w:val="-1"/>
        </w:rPr>
        <w:t xml:space="preserve"> </w:t>
      </w:r>
      <w:r w:rsidRPr="00231C2D">
        <w:t>proteins in the postsynaptic membrane of the neuromuscular junction, namely acetylcholine receptors or</w:t>
      </w:r>
      <w:r w:rsidRPr="00231C2D">
        <w:rPr>
          <w:spacing w:val="-2"/>
        </w:rPr>
        <w:t xml:space="preserve"> </w:t>
      </w:r>
      <w:r w:rsidRPr="00231C2D">
        <w:t>receptor-associated</w:t>
      </w:r>
      <w:r w:rsidRPr="00231C2D">
        <w:rPr>
          <w:spacing w:val="-2"/>
        </w:rPr>
        <w:t xml:space="preserve"> </w:t>
      </w:r>
      <w:r w:rsidRPr="00231C2D">
        <w:t>proteins.</w:t>
      </w:r>
      <w:bookmarkStart w:id="19" w:name="_Ref223438328"/>
      <w:r w:rsidR="001C22AF">
        <w:rPr>
          <w:rStyle w:val="FootnoteReference"/>
        </w:rPr>
        <w:footnoteReference w:id="2"/>
      </w:r>
      <w:bookmarkEnd w:id="19"/>
      <w:r w:rsidR="00EA620F" w:rsidRPr="00231C2D">
        <w:t xml:space="preserve"> </w:t>
      </w:r>
      <w:r w:rsidRPr="00231C2D">
        <w:t>Clinical</w:t>
      </w:r>
      <w:r w:rsidRPr="00231C2D">
        <w:rPr>
          <w:spacing w:val="-2"/>
        </w:rPr>
        <w:t xml:space="preserve"> </w:t>
      </w:r>
      <w:r w:rsidRPr="00231C2D">
        <w:t>manifestations</w:t>
      </w:r>
      <w:r w:rsidRPr="00231C2D">
        <w:rPr>
          <w:spacing w:val="-3"/>
        </w:rPr>
        <w:t xml:space="preserve"> </w:t>
      </w:r>
      <w:r w:rsidRPr="00231C2D">
        <w:t>can</w:t>
      </w:r>
      <w:r w:rsidRPr="00231C2D">
        <w:rPr>
          <w:spacing w:val="-3"/>
        </w:rPr>
        <w:t xml:space="preserve"> </w:t>
      </w:r>
      <w:r w:rsidRPr="00231C2D">
        <w:t>vary</w:t>
      </w:r>
      <w:r w:rsidRPr="00231C2D">
        <w:rPr>
          <w:spacing w:val="-3"/>
        </w:rPr>
        <w:t xml:space="preserve"> </w:t>
      </w:r>
      <w:r w:rsidRPr="00231C2D">
        <w:t>widely</w:t>
      </w:r>
      <w:r w:rsidRPr="00231C2D">
        <w:rPr>
          <w:spacing w:val="-3"/>
        </w:rPr>
        <w:t xml:space="preserve"> </w:t>
      </w:r>
      <w:r w:rsidRPr="00231C2D">
        <w:t>both</w:t>
      </w:r>
      <w:r w:rsidRPr="00231C2D">
        <w:rPr>
          <w:spacing w:val="-1"/>
        </w:rPr>
        <w:t xml:space="preserve"> </w:t>
      </w:r>
      <w:r w:rsidRPr="00231C2D">
        <w:t>between</w:t>
      </w:r>
      <w:r w:rsidRPr="00231C2D">
        <w:rPr>
          <w:spacing w:val="-3"/>
        </w:rPr>
        <w:t xml:space="preserve"> </w:t>
      </w:r>
      <w:r w:rsidRPr="00231C2D">
        <w:t>patients and in individual patients, for whom symptoms and severity typically fluctuate throughout the course of a day, and over the course of the disease.</w:t>
      </w:r>
      <w:r w:rsidR="0022387B" w:rsidRPr="0022387B">
        <w:rPr>
          <w:rStyle w:val="FootnoteReference"/>
        </w:rPr>
        <w:t xml:space="preserve"> </w:t>
      </w:r>
      <w:r w:rsidR="00F63B35">
        <w:fldChar w:fldCharType="begin"/>
      </w:r>
      <w:r w:rsidR="00F63B35">
        <w:rPr>
          <w:rStyle w:val="FootnoteReference"/>
        </w:rPr>
        <w:instrText xml:space="preserve"> NOTEREF _Ref223438328 \f </w:instrText>
      </w:r>
      <w:r w:rsidR="00F63B35">
        <w:fldChar w:fldCharType="separate"/>
      </w:r>
      <w:r w:rsidR="00346459" w:rsidRPr="00346459">
        <w:rPr>
          <w:rStyle w:val="FootnoteReference"/>
        </w:rPr>
        <w:t>2</w:t>
      </w:r>
      <w:r w:rsidR="00F63B35">
        <w:fldChar w:fldCharType="end"/>
      </w:r>
      <w:r w:rsidR="00F63B35">
        <w:rPr>
          <w:vertAlign w:val="superscript"/>
        </w:rPr>
        <w:t xml:space="preserve">, </w:t>
      </w:r>
      <w:bookmarkStart w:id="20" w:name="_Ref223438517"/>
      <w:r w:rsidR="00F63B35">
        <w:rPr>
          <w:rStyle w:val="FootnoteReference"/>
        </w:rPr>
        <w:footnoteReference w:id="3"/>
      </w:r>
      <w:bookmarkEnd w:id="20"/>
    </w:p>
    <w:p w14:paraId="51E172F9" w14:textId="54DDA3E0" w:rsidR="00112CE1" w:rsidRDefault="005D2D36" w:rsidP="00AC7754">
      <w:pPr>
        <w:rPr>
          <w:vertAlign w:val="superscript"/>
        </w:rPr>
      </w:pPr>
      <w:r w:rsidRPr="00231C2D">
        <w:t>Weakness of skeletal muscles is the hallmark manifestation, which may be localised or generalised, commonly affect</w:t>
      </w:r>
      <w:r w:rsidR="005C5AB7">
        <w:t>ing</w:t>
      </w:r>
      <w:r w:rsidRPr="00231C2D">
        <w:t xml:space="preserve"> eye muscles resulting in ptosis and diplopia, and more commonly affect</w:t>
      </w:r>
      <w:r w:rsidR="006F5D4B">
        <w:t>ing</w:t>
      </w:r>
      <w:r w:rsidRPr="00231C2D">
        <w:t xml:space="preserve"> proximal muscle groups.</w:t>
      </w:r>
      <w:r w:rsidR="00346459">
        <w:fldChar w:fldCharType="begin"/>
      </w:r>
      <w:r w:rsidR="00346459">
        <w:instrText xml:space="preserve"> NOTEREF _Ref223438328 \f </w:instrText>
      </w:r>
      <w:r w:rsidR="00346459">
        <w:fldChar w:fldCharType="separate"/>
      </w:r>
      <w:r w:rsidR="00346459" w:rsidRPr="00346459">
        <w:rPr>
          <w:rStyle w:val="FootnoteReference"/>
        </w:rPr>
        <w:t>2</w:t>
      </w:r>
      <w:r w:rsidR="00346459">
        <w:rPr>
          <w:rStyle w:val="FootnoteReference"/>
        </w:rPr>
        <w:fldChar w:fldCharType="end"/>
      </w:r>
      <w:r w:rsidR="00BF6E88" w:rsidRPr="00BF6E88">
        <w:rPr>
          <w:vertAlign w:val="superscript"/>
        </w:rPr>
        <w:t>,</w:t>
      </w:r>
      <w:r w:rsidR="00BF6E88">
        <w:rPr>
          <w:vertAlign w:val="superscript"/>
        </w:rPr>
        <w:t xml:space="preserve"> </w:t>
      </w:r>
      <w:r w:rsidR="00346459">
        <w:fldChar w:fldCharType="begin"/>
      </w:r>
      <w:r w:rsidR="00346459">
        <w:instrText xml:space="preserve"> NOTEREF _Ref223438517 \f </w:instrText>
      </w:r>
      <w:r w:rsidR="00346459">
        <w:fldChar w:fldCharType="separate"/>
      </w:r>
      <w:r w:rsidR="00346459" w:rsidRPr="00346459">
        <w:rPr>
          <w:rStyle w:val="FootnoteReference"/>
        </w:rPr>
        <w:t>3</w:t>
      </w:r>
      <w:r w:rsidR="00346459">
        <w:rPr>
          <w:rStyle w:val="FootnoteReference"/>
        </w:rPr>
        <w:fldChar w:fldCharType="end"/>
      </w:r>
      <w:r w:rsidR="00213756" w:rsidRPr="00213756">
        <w:rPr>
          <w:rStyle w:val="FootnoteReference"/>
        </w:rPr>
        <w:t xml:space="preserve"> </w:t>
      </w:r>
      <w:r w:rsidRPr="00231C2D">
        <w:t>The pattern of weakness is often symmetric, apart from eye involvement which is more commonly asymmetric, and typically shows fatiguability</w:t>
      </w:r>
      <w:r w:rsidR="00AD73CC">
        <w:t xml:space="preserve"> (</w:t>
      </w:r>
      <w:r w:rsidRPr="00231C2D">
        <w:t>an increase in weakness with exercise or repetitive muscle use</w:t>
      </w:r>
      <w:r w:rsidR="000636DF">
        <w:t>)</w:t>
      </w:r>
      <w:r w:rsidRPr="00231C2D">
        <w:t>.</w:t>
      </w:r>
      <w:r w:rsidR="00346459">
        <w:fldChar w:fldCharType="begin"/>
      </w:r>
      <w:r w:rsidR="00346459">
        <w:instrText xml:space="preserve"> NOTEREF _Ref223438328 \f </w:instrText>
      </w:r>
      <w:r w:rsidR="00346459">
        <w:fldChar w:fldCharType="separate"/>
      </w:r>
      <w:r w:rsidR="00346459" w:rsidRPr="00346459">
        <w:rPr>
          <w:rStyle w:val="FootnoteReference"/>
        </w:rPr>
        <w:t>2</w:t>
      </w:r>
      <w:r w:rsidR="00346459">
        <w:rPr>
          <w:rStyle w:val="FootnoteReference"/>
        </w:rPr>
        <w:fldChar w:fldCharType="end"/>
      </w:r>
      <w:r w:rsidR="003F2FBC" w:rsidRPr="00083CDC">
        <w:rPr>
          <w:vertAlign w:val="superscript"/>
        </w:rPr>
        <w:t>,</w:t>
      </w:r>
      <w:r w:rsidR="00083CDC">
        <w:t xml:space="preserve"> </w:t>
      </w:r>
      <w:bookmarkStart w:id="21" w:name="_Ref223440213"/>
      <w:r w:rsidR="003F2FBC">
        <w:rPr>
          <w:rStyle w:val="FootnoteReference"/>
        </w:rPr>
        <w:footnoteReference w:id="4"/>
      </w:r>
      <w:bookmarkEnd w:id="21"/>
      <w:r w:rsidR="00F552CA" w:rsidRPr="00231C2D">
        <w:t xml:space="preserve"> </w:t>
      </w:r>
      <w:r w:rsidRPr="00231C2D">
        <w:t xml:space="preserve">The two recognised clinical forms include ocular MG, in which weakness is limited to the eyelids and extraocular muscles, and </w:t>
      </w:r>
      <w:proofErr w:type="spellStart"/>
      <w:r w:rsidRPr="00231C2D">
        <w:t>gMG</w:t>
      </w:r>
      <w:proofErr w:type="spellEnd"/>
      <w:r w:rsidRPr="00231C2D">
        <w:t>, in which weakness involves a variable combination of ocular, bulbar, limb and respiratory</w:t>
      </w:r>
      <w:r w:rsidR="00112CE1">
        <w:t xml:space="preserve"> </w:t>
      </w:r>
      <w:r w:rsidRPr="00231C2D">
        <w:t>muscles.</w:t>
      </w:r>
      <w:r w:rsidR="00346459">
        <w:fldChar w:fldCharType="begin"/>
      </w:r>
      <w:r w:rsidR="00346459">
        <w:instrText xml:space="preserve"> NOTEREF _Ref223438517 \f </w:instrText>
      </w:r>
      <w:r w:rsidR="00346459">
        <w:fldChar w:fldCharType="separate"/>
      </w:r>
      <w:r w:rsidR="00346459" w:rsidRPr="00346459">
        <w:rPr>
          <w:rStyle w:val="FootnoteReference"/>
        </w:rPr>
        <w:t>3</w:t>
      </w:r>
      <w:r w:rsidR="00346459">
        <w:rPr>
          <w:rStyle w:val="FootnoteReference"/>
        </w:rPr>
        <w:fldChar w:fldCharType="end"/>
      </w:r>
      <w:r w:rsidR="005E4929">
        <w:rPr>
          <w:vertAlign w:val="superscript"/>
        </w:rPr>
        <w:t xml:space="preserve"> </w:t>
      </w:r>
    </w:p>
    <w:p w14:paraId="37E93779" w14:textId="328867DE" w:rsidR="00AE68F6" w:rsidRDefault="005D2D36">
      <w:r w:rsidRPr="00231C2D">
        <w:t>Symptom severity may also be used to categorise patients and guide treatment decisions, with the</w:t>
      </w:r>
      <w:r w:rsidR="00AF552B" w:rsidRPr="00231C2D">
        <w:t xml:space="preserve"> Myasthenia</w:t>
      </w:r>
      <w:r w:rsidR="00AF552B" w:rsidRPr="005E4929">
        <w:t xml:space="preserve"> </w:t>
      </w:r>
      <w:r w:rsidR="00AF552B" w:rsidRPr="00231C2D">
        <w:t>Gravis</w:t>
      </w:r>
      <w:r w:rsidR="00AF552B" w:rsidRPr="005E4929">
        <w:t xml:space="preserve"> </w:t>
      </w:r>
      <w:r w:rsidR="00AF552B" w:rsidRPr="00231C2D">
        <w:t>Foundation</w:t>
      </w:r>
      <w:r w:rsidR="00AF552B" w:rsidRPr="005E4929">
        <w:t xml:space="preserve"> </w:t>
      </w:r>
      <w:r w:rsidR="00AF552B" w:rsidRPr="00231C2D">
        <w:t>of</w:t>
      </w:r>
      <w:r w:rsidR="00AF552B" w:rsidRPr="005E4929">
        <w:t xml:space="preserve"> </w:t>
      </w:r>
      <w:r w:rsidR="00AF552B" w:rsidRPr="00231C2D">
        <w:t>America</w:t>
      </w:r>
      <w:r w:rsidR="00AF552B" w:rsidRPr="005E4929">
        <w:t xml:space="preserve"> </w:t>
      </w:r>
      <w:r w:rsidR="00AF552B" w:rsidRPr="00231C2D">
        <w:t>(MGFA)</w:t>
      </w:r>
      <w:r w:rsidR="00AF552B" w:rsidRPr="005E4929">
        <w:t xml:space="preserve"> </w:t>
      </w:r>
      <w:r w:rsidR="00AF552B" w:rsidRPr="00231C2D">
        <w:t>clinical</w:t>
      </w:r>
      <w:r w:rsidR="00AF552B" w:rsidRPr="005E4929">
        <w:t xml:space="preserve"> </w:t>
      </w:r>
      <w:r w:rsidR="00AF552B" w:rsidRPr="00231C2D">
        <w:t>classification</w:t>
      </w:r>
      <w:r w:rsidR="00AF552B" w:rsidRPr="005E4929">
        <w:t xml:space="preserve"> </w:t>
      </w:r>
      <w:r w:rsidR="00AF552B" w:rsidRPr="00231C2D">
        <w:t>widely</w:t>
      </w:r>
      <w:r w:rsidR="00AF552B" w:rsidRPr="005E4929">
        <w:t xml:space="preserve"> </w:t>
      </w:r>
      <w:r w:rsidR="00AF552B" w:rsidRPr="00231C2D">
        <w:t>used,</w:t>
      </w:r>
      <w:r w:rsidR="00AF552B" w:rsidRPr="005E4929">
        <w:t xml:space="preserve"> </w:t>
      </w:r>
      <w:r w:rsidR="00AF552B" w:rsidRPr="00231C2D">
        <w:t>shown</w:t>
      </w:r>
      <w:r w:rsidR="00AF552B" w:rsidRPr="005E4929">
        <w:t xml:space="preserve"> </w:t>
      </w:r>
      <w:r w:rsidR="00AF552B" w:rsidRPr="00231C2D">
        <w:t>in</w:t>
      </w:r>
      <w:r w:rsidR="00112CE1">
        <w:br/>
      </w:r>
      <w:r w:rsidR="00AF552B" w:rsidRPr="00231C2D">
        <w:t>Table 1.</w:t>
      </w:r>
    </w:p>
    <w:p w14:paraId="53A04017" w14:textId="77777777" w:rsidR="005C2468" w:rsidRDefault="005C2468">
      <w:pPr>
        <w:rPr>
          <w:rFonts w:eastAsia="Cambria" w:cs="Times New Roman"/>
          <w:b/>
          <w:szCs w:val="22"/>
        </w:rPr>
      </w:pPr>
      <w:r>
        <w:br w:type="page"/>
      </w:r>
    </w:p>
    <w:p w14:paraId="2A005657" w14:textId="7F9A0AE0" w:rsidR="00123F5E" w:rsidRDefault="00123F5E" w:rsidP="008F4DF7">
      <w:pPr>
        <w:pStyle w:val="TableTitle"/>
        <w:spacing w:before="240"/>
      </w:pPr>
      <w:r>
        <w:lastRenderedPageBreak/>
        <w:t>Table</w:t>
      </w:r>
      <w:r>
        <w:rPr>
          <w:spacing w:val="-7"/>
        </w:rPr>
        <w:t xml:space="preserve"> </w:t>
      </w:r>
      <w:r>
        <w:t>1.</w:t>
      </w:r>
      <w:r>
        <w:rPr>
          <w:spacing w:val="-6"/>
        </w:rPr>
        <w:t xml:space="preserve"> </w:t>
      </w:r>
      <w:r>
        <w:t>Myasthenia</w:t>
      </w:r>
      <w:r>
        <w:rPr>
          <w:spacing w:val="-5"/>
        </w:rPr>
        <w:t xml:space="preserve"> </w:t>
      </w:r>
      <w:r>
        <w:t>Gravis</w:t>
      </w:r>
      <w:r>
        <w:rPr>
          <w:spacing w:val="-6"/>
        </w:rPr>
        <w:t xml:space="preserve"> </w:t>
      </w:r>
      <w:r>
        <w:t>Foundation</w:t>
      </w:r>
      <w:r>
        <w:rPr>
          <w:spacing w:val="-4"/>
        </w:rPr>
        <w:t xml:space="preserve"> </w:t>
      </w:r>
      <w:r>
        <w:t>of</w:t>
      </w:r>
      <w:r>
        <w:rPr>
          <w:spacing w:val="-4"/>
        </w:rPr>
        <w:t xml:space="preserve"> </w:t>
      </w:r>
      <w:r>
        <w:t>America</w:t>
      </w:r>
      <w:r>
        <w:rPr>
          <w:spacing w:val="-6"/>
        </w:rPr>
        <w:t xml:space="preserve"> </w:t>
      </w:r>
      <w:r w:rsidR="000815B9">
        <w:rPr>
          <w:spacing w:val="-6"/>
        </w:rPr>
        <w:t xml:space="preserve">(MGFA) </w:t>
      </w:r>
      <w:r>
        <w:t>clinical</w:t>
      </w:r>
      <w:r>
        <w:rPr>
          <w:spacing w:val="-5"/>
        </w:rPr>
        <w:t xml:space="preserve"> </w:t>
      </w:r>
      <w:r>
        <w:rPr>
          <w:spacing w:val="-2"/>
        </w:rPr>
        <w:t>classification</w:t>
      </w: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9"/>
        <w:gridCol w:w="7777"/>
      </w:tblGrid>
      <w:tr w:rsidR="00123F5E" w14:paraId="2AB26A26" w14:textId="77777777" w:rsidTr="00DB69DC">
        <w:trPr>
          <w:trHeight w:val="827"/>
        </w:trPr>
        <w:tc>
          <w:tcPr>
            <w:tcW w:w="1239" w:type="dxa"/>
          </w:tcPr>
          <w:p w14:paraId="2DB412B3" w14:textId="77777777" w:rsidR="00123F5E" w:rsidRPr="00612948" w:rsidRDefault="00123F5E" w:rsidP="00BF57FA">
            <w:pPr>
              <w:pStyle w:val="TableParagraph"/>
              <w:rPr>
                <w:rFonts w:ascii="Cambria" w:hAnsi="Cambria"/>
                <w:b/>
                <w:sz w:val="20"/>
              </w:rPr>
            </w:pPr>
            <w:r w:rsidRPr="00612948">
              <w:rPr>
                <w:rFonts w:ascii="Cambria" w:hAnsi="Cambria"/>
                <w:b/>
                <w:sz w:val="20"/>
              </w:rPr>
              <w:t>Class</w:t>
            </w:r>
            <w:r w:rsidRPr="00612948">
              <w:rPr>
                <w:rFonts w:ascii="Cambria" w:hAnsi="Cambria"/>
                <w:b/>
                <w:spacing w:val="-7"/>
                <w:sz w:val="20"/>
              </w:rPr>
              <w:t xml:space="preserve"> </w:t>
            </w:r>
            <w:r w:rsidRPr="00612948">
              <w:rPr>
                <w:rFonts w:ascii="Cambria" w:hAnsi="Cambria"/>
                <w:b/>
                <w:spacing w:val="-10"/>
                <w:sz w:val="20"/>
              </w:rPr>
              <w:t>I</w:t>
            </w:r>
          </w:p>
        </w:tc>
        <w:tc>
          <w:tcPr>
            <w:tcW w:w="7777" w:type="dxa"/>
          </w:tcPr>
          <w:p w14:paraId="703E3BBC" w14:textId="77777777" w:rsidR="00123F5E" w:rsidRPr="00612948" w:rsidRDefault="00123F5E" w:rsidP="00BF57FA">
            <w:pPr>
              <w:pStyle w:val="TableParagraph"/>
              <w:ind w:left="108"/>
              <w:rPr>
                <w:rFonts w:ascii="Cambria" w:hAnsi="Cambria"/>
                <w:sz w:val="20"/>
              </w:rPr>
            </w:pPr>
            <w:r w:rsidRPr="00612948">
              <w:rPr>
                <w:rFonts w:ascii="Cambria" w:hAnsi="Cambria"/>
                <w:sz w:val="20"/>
              </w:rPr>
              <w:t>Any</w:t>
            </w:r>
            <w:r w:rsidRPr="00612948">
              <w:rPr>
                <w:rFonts w:ascii="Cambria" w:hAnsi="Cambria"/>
                <w:spacing w:val="-6"/>
                <w:sz w:val="20"/>
              </w:rPr>
              <w:t xml:space="preserve"> </w:t>
            </w:r>
            <w:r w:rsidRPr="00612948">
              <w:rPr>
                <w:rFonts w:ascii="Cambria" w:hAnsi="Cambria"/>
                <w:sz w:val="20"/>
              </w:rPr>
              <w:t>ocular</w:t>
            </w:r>
            <w:r w:rsidRPr="00612948">
              <w:rPr>
                <w:rFonts w:ascii="Cambria" w:hAnsi="Cambria"/>
                <w:spacing w:val="-7"/>
                <w:sz w:val="20"/>
              </w:rPr>
              <w:t xml:space="preserve"> </w:t>
            </w:r>
            <w:r w:rsidRPr="00612948">
              <w:rPr>
                <w:rFonts w:ascii="Cambria" w:hAnsi="Cambria"/>
                <w:sz w:val="20"/>
              </w:rPr>
              <w:t>muscle</w:t>
            </w:r>
            <w:r w:rsidRPr="00612948">
              <w:rPr>
                <w:rFonts w:ascii="Cambria" w:hAnsi="Cambria"/>
                <w:spacing w:val="-5"/>
                <w:sz w:val="20"/>
              </w:rPr>
              <w:t xml:space="preserve"> </w:t>
            </w:r>
            <w:r w:rsidRPr="00612948">
              <w:rPr>
                <w:rFonts w:ascii="Cambria" w:hAnsi="Cambria"/>
                <w:spacing w:val="-2"/>
                <w:sz w:val="20"/>
              </w:rPr>
              <w:t>weakness</w:t>
            </w:r>
          </w:p>
          <w:p w14:paraId="1E868BEB" w14:textId="77777777" w:rsidR="00123F5E" w:rsidRPr="00612948" w:rsidRDefault="00123F5E" w:rsidP="00BF57FA">
            <w:pPr>
              <w:pStyle w:val="TableParagraph"/>
              <w:ind w:left="108" w:right="1265"/>
              <w:rPr>
                <w:rFonts w:ascii="Cambria" w:hAnsi="Cambria"/>
                <w:sz w:val="20"/>
              </w:rPr>
            </w:pPr>
            <w:r w:rsidRPr="00612948">
              <w:rPr>
                <w:rFonts w:ascii="Cambria" w:hAnsi="Cambria"/>
                <w:sz w:val="20"/>
              </w:rPr>
              <w:t>May have weakness of eye closure All</w:t>
            </w:r>
            <w:r w:rsidRPr="00612948">
              <w:rPr>
                <w:rFonts w:ascii="Cambria" w:hAnsi="Cambria"/>
                <w:spacing w:val="-8"/>
                <w:sz w:val="20"/>
              </w:rPr>
              <w:t xml:space="preserve"> </w:t>
            </w:r>
            <w:r w:rsidRPr="00612948">
              <w:rPr>
                <w:rFonts w:ascii="Cambria" w:hAnsi="Cambria"/>
                <w:sz w:val="20"/>
              </w:rPr>
              <w:t>other</w:t>
            </w:r>
            <w:r w:rsidRPr="00612948">
              <w:rPr>
                <w:rFonts w:ascii="Cambria" w:hAnsi="Cambria"/>
                <w:spacing w:val="-10"/>
                <w:sz w:val="20"/>
              </w:rPr>
              <w:t xml:space="preserve"> </w:t>
            </w:r>
            <w:r w:rsidRPr="00612948">
              <w:rPr>
                <w:rFonts w:ascii="Cambria" w:hAnsi="Cambria"/>
                <w:sz w:val="20"/>
              </w:rPr>
              <w:t>muscle</w:t>
            </w:r>
            <w:r w:rsidRPr="00612948">
              <w:rPr>
                <w:rFonts w:ascii="Cambria" w:hAnsi="Cambria"/>
                <w:spacing w:val="-8"/>
                <w:sz w:val="20"/>
              </w:rPr>
              <w:t xml:space="preserve"> </w:t>
            </w:r>
            <w:r w:rsidRPr="00612948">
              <w:rPr>
                <w:rFonts w:ascii="Cambria" w:hAnsi="Cambria"/>
                <w:sz w:val="20"/>
              </w:rPr>
              <w:t>strength</w:t>
            </w:r>
            <w:r w:rsidRPr="00612948">
              <w:rPr>
                <w:rFonts w:ascii="Cambria" w:hAnsi="Cambria"/>
                <w:spacing w:val="-9"/>
                <w:sz w:val="20"/>
              </w:rPr>
              <w:t xml:space="preserve"> </w:t>
            </w:r>
            <w:r w:rsidRPr="00612948">
              <w:rPr>
                <w:rFonts w:ascii="Cambria" w:hAnsi="Cambria"/>
                <w:sz w:val="20"/>
              </w:rPr>
              <w:t>is</w:t>
            </w:r>
            <w:r w:rsidRPr="00612948">
              <w:rPr>
                <w:rFonts w:ascii="Cambria" w:hAnsi="Cambria"/>
                <w:spacing w:val="-5"/>
                <w:sz w:val="20"/>
              </w:rPr>
              <w:t xml:space="preserve"> </w:t>
            </w:r>
            <w:r w:rsidRPr="00612948">
              <w:rPr>
                <w:rFonts w:ascii="Cambria" w:hAnsi="Cambria"/>
                <w:sz w:val="20"/>
              </w:rPr>
              <w:t>normal</w:t>
            </w:r>
          </w:p>
        </w:tc>
      </w:tr>
      <w:tr w:rsidR="00123F5E" w14:paraId="5EB66556" w14:textId="77777777" w:rsidTr="00DB69DC">
        <w:trPr>
          <w:trHeight w:val="541"/>
        </w:trPr>
        <w:tc>
          <w:tcPr>
            <w:tcW w:w="1239" w:type="dxa"/>
          </w:tcPr>
          <w:p w14:paraId="199EFAFD" w14:textId="77777777" w:rsidR="00123F5E" w:rsidRPr="00612948" w:rsidRDefault="00123F5E" w:rsidP="00BF57FA">
            <w:pPr>
              <w:pStyle w:val="TableParagraph"/>
              <w:rPr>
                <w:rFonts w:ascii="Cambria" w:hAnsi="Cambria"/>
                <w:b/>
                <w:sz w:val="20"/>
              </w:rPr>
            </w:pPr>
            <w:r w:rsidRPr="00612948">
              <w:rPr>
                <w:rFonts w:ascii="Cambria" w:hAnsi="Cambria"/>
                <w:b/>
                <w:sz w:val="20"/>
              </w:rPr>
              <w:t>Class</w:t>
            </w:r>
            <w:r w:rsidRPr="00612948">
              <w:rPr>
                <w:rFonts w:ascii="Cambria" w:hAnsi="Cambria"/>
                <w:b/>
                <w:spacing w:val="-7"/>
                <w:sz w:val="20"/>
              </w:rPr>
              <w:t xml:space="preserve"> II</w:t>
            </w:r>
          </w:p>
        </w:tc>
        <w:tc>
          <w:tcPr>
            <w:tcW w:w="7777" w:type="dxa"/>
          </w:tcPr>
          <w:p w14:paraId="030F84D2" w14:textId="77777777" w:rsidR="00123F5E" w:rsidRPr="00612948" w:rsidRDefault="00123F5E" w:rsidP="00BF57FA">
            <w:pPr>
              <w:pStyle w:val="TableParagraph"/>
              <w:spacing w:line="244" w:lineRule="auto"/>
              <w:ind w:left="108" w:right="208"/>
              <w:rPr>
                <w:rFonts w:ascii="Cambria" w:hAnsi="Cambria"/>
                <w:sz w:val="20"/>
              </w:rPr>
            </w:pPr>
            <w:r w:rsidRPr="00612948">
              <w:rPr>
                <w:rFonts w:ascii="Cambria" w:hAnsi="Cambria"/>
                <w:sz w:val="20"/>
              </w:rPr>
              <w:t>Mild</w:t>
            </w:r>
            <w:r w:rsidRPr="00612948">
              <w:rPr>
                <w:rFonts w:ascii="Cambria" w:hAnsi="Cambria"/>
                <w:spacing w:val="-8"/>
                <w:sz w:val="20"/>
              </w:rPr>
              <w:t xml:space="preserve"> </w:t>
            </w:r>
            <w:r w:rsidRPr="00612948">
              <w:rPr>
                <w:rFonts w:ascii="Cambria" w:hAnsi="Cambria"/>
                <w:sz w:val="20"/>
              </w:rPr>
              <w:t>weakness</w:t>
            </w:r>
            <w:r w:rsidRPr="00612948">
              <w:rPr>
                <w:rFonts w:ascii="Cambria" w:hAnsi="Cambria"/>
                <w:spacing w:val="-8"/>
                <w:sz w:val="20"/>
              </w:rPr>
              <w:t xml:space="preserve"> </w:t>
            </w:r>
            <w:r w:rsidRPr="00612948">
              <w:rPr>
                <w:rFonts w:ascii="Cambria" w:hAnsi="Cambria"/>
                <w:sz w:val="20"/>
              </w:rPr>
              <w:t>affecting</w:t>
            </w:r>
            <w:r w:rsidRPr="00612948">
              <w:rPr>
                <w:rFonts w:ascii="Cambria" w:hAnsi="Cambria"/>
                <w:spacing w:val="-8"/>
                <w:sz w:val="20"/>
              </w:rPr>
              <w:t xml:space="preserve"> </w:t>
            </w:r>
            <w:r w:rsidRPr="00612948">
              <w:rPr>
                <w:rFonts w:ascii="Cambria" w:hAnsi="Cambria"/>
                <w:sz w:val="20"/>
              </w:rPr>
              <w:t>other</w:t>
            </w:r>
            <w:r w:rsidRPr="00612948">
              <w:rPr>
                <w:rFonts w:ascii="Cambria" w:hAnsi="Cambria"/>
                <w:spacing w:val="-9"/>
                <w:sz w:val="20"/>
              </w:rPr>
              <w:t xml:space="preserve"> </w:t>
            </w:r>
            <w:r w:rsidRPr="00612948">
              <w:rPr>
                <w:rFonts w:ascii="Cambria" w:hAnsi="Cambria"/>
                <w:sz w:val="20"/>
              </w:rPr>
              <w:t>than</w:t>
            </w:r>
            <w:r w:rsidRPr="00612948">
              <w:rPr>
                <w:rFonts w:ascii="Cambria" w:hAnsi="Cambria"/>
                <w:spacing w:val="-9"/>
                <w:sz w:val="20"/>
              </w:rPr>
              <w:t xml:space="preserve"> </w:t>
            </w:r>
            <w:r w:rsidRPr="00612948">
              <w:rPr>
                <w:rFonts w:ascii="Cambria" w:hAnsi="Cambria"/>
                <w:sz w:val="20"/>
              </w:rPr>
              <w:t xml:space="preserve">ocular </w:t>
            </w:r>
            <w:r w:rsidRPr="00612948">
              <w:rPr>
                <w:rFonts w:ascii="Cambria" w:hAnsi="Cambria"/>
                <w:spacing w:val="-2"/>
                <w:sz w:val="20"/>
              </w:rPr>
              <w:t>muscles</w:t>
            </w:r>
          </w:p>
          <w:p w14:paraId="056715A7" w14:textId="77777777" w:rsidR="00123F5E" w:rsidRPr="00612948" w:rsidRDefault="00123F5E" w:rsidP="00BF57FA">
            <w:pPr>
              <w:pStyle w:val="TableParagraph"/>
              <w:spacing w:line="244" w:lineRule="auto"/>
              <w:ind w:left="108"/>
              <w:rPr>
                <w:rFonts w:ascii="Cambria" w:hAnsi="Cambria"/>
                <w:sz w:val="20"/>
              </w:rPr>
            </w:pPr>
            <w:r w:rsidRPr="00612948">
              <w:rPr>
                <w:rFonts w:ascii="Cambria" w:hAnsi="Cambria"/>
                <w:sz w:val="20"/>
              </w:rPr>
              <w:t>May</w:t>
            </w:r>
            <w:r w:rsidRPr="00612948">
              <w:rPr>
                <w:rFonts w:ascii="Cambria" w:hAnsi="Cambria"/>
                <w:spacing w:val="-6"/>
                <w:sz w:val="20"/>
              </w:rPr>
              <w:t xml:space="preserve"> </w:t>
            </w:r>
            <w:r w:rsidRPr="00612948">
              <w:rPr>
                <w:rFonts w:ascii="Cambria" w:hAnsi="Cambria"/>
                <w:sz w:val="20"/>
              </w:rPr>
              <w:t>also</w:t>
            </w:r>
            <w:r w:rsidRPr="00612948">
              <w:rPr>
                <w:rFonts w:ascii="Cambria" w:hAnsi="Cambria"/>
                <w:spacing w:val="-6"/>
                <w:sz w:val="20"/>
              </w:rPr>
              <w:t xml:space="preserve"> </w:t>
            </w:r>
            <w:r w:rsidRPr="00612948">
              <w:rPr>
                <w:rFonts w:ascii="Cambria" w:hAnsi="Cambria"/>
                <w:sz w:val="20"/>
              </w:rPr>
              <w:t>have</w:t>
            </w:r>
            <w:r w:rsidRPr="00612948">
              <w:rPr>
                <w:rFonts w:ascii="Cambria" w:hAnsi="Cambria"/>
                <w:spacing w:val="-5"/>
                <w:sz w:val="20"/>
              </w:rPr>
              <w:t xml:space="preserve"> </w:t>
            </w:r>
            <w:r w:rsidRPr="00612948">
              <w:rPr>
                <w:rFonts w:ascii="Cambria" w:hAnsi="Cambria"/>
                <w:sz w:val="20"/>
              </w:rPr>
              <w:t>ocular</w:t>
            </w:r>
            <w:r w:rsidRPr="00612948">
              <w:rPr>
                <w:rFonts w:ascii="Cambria" w:hAnsi="Cambria"/>
                <w:spacing w:val="-7"/>
                <w:sz w:val="20"/>
              </w:rPr>
              <w:t xml:space="preserve"> </w:t>
            </w:r>
            <w:r w:rsidRPr="00612948">
              <w:rPr>
                <w:rFonts w:ascii="Cambria" w:hAnsi="Cambria"/>
                <w:sz w:val="20"/>
              </w:rPr>
              <w:t>muscle</w:t>
            </w:r>
            <w:r w:rsidRPr="00612948">
              <w:rPr>
                <w:rFonts w:ascii="Cambria" w:hAnsi="Cambria"/>
                <w:spacing w:val="-7"/>
                <w:sz w:val="20"/>
              </w:rPr>
              <w:t xml:space="preserve"> </w:t>
            </w:r>
            <w:r w:rsidRPr="00612948">
              <w:rPr>
                <w:rFonts w:ascii="Cambria" w:hAnsi="Cambria"/>
                <w:sz w:val="20"/>
              </w:rPr>
              <w:t>weakness</w:t>
            </w:r>
            <w:r w:rsidRPr="00612948">
              <w:rPr>
                <w:rFonts w:ascii="Cambria" w:hAnsi="Cambria"/>
                <w:spacing w:val="-6"/>
                <w:sz w:val="20"/>
              </w:rPr>
              <w:t xml:space="preserve"> </w:t>
            </w:r>
            <w:r w:rsidRPr="00612948">
              <w:rPr>
                <w:rFonts w:ascii="Cambria" w:hAnsi="Cambria"/>
                <w:sz w:val="20"/>
              </w:rPr>
              <w:t>of</w:t>
            </w:r>
            <w:r w:rsidRPr="00612948">
              <w:rPr>
                <w:rFonts w:ascii="Cambria" w:hAnsi="Cambria"/>
                <w:spacing w:val="-7"/>
                <w:sz w:val="20"/>
              </w:rPr>
              <w:t xml:space="preserve"> </w:t>
            </w:r>
            <w:r w:rsidRPr="00612948">
              <w:rPr>
                <w:rFonts w:ascii="Cambria" w:hAnsi="Cambria"/>
                <w:sz w:val="20"/>
              </w:rPr>
              <w:t xml:space="preserve">any </w:t>
            </w:r>
            <w:r w:rsidRPr="00612948">
              <w:rPr>
                <w:rFonts w:ascii="Cambria" w:hAnsi="Cambria"/>
                <w:spacing w:val="-2"/>
                <w:sz w:val="20"/>
              </w:rPr>
              <w:t>severity</w:t>
            </w:r>
          </w:p>
        </w:tc>
      </w:tr>
      <w:tr w:rsidR="00123F5E" w14:paraId="4133419A" w14:textId="77777777" w:rsidTr="00DB69DC">
        <w:trPr>
          <w:trHeight w:val="751"/>
        </w:trPr>
        <w:tc>
          <w:tcPr>
            <w:tcW w:w="1239" w:type="dxa"/>
          </w:tcPr>
          <w:p w14:paraId="165A7185" w14:textId="77777777" w:rsidR="00123F5E" w:rsidRPr="00612948" w:rsidRDefault="00123F5E" w:rsidP="00BF57FA">
            <w:pPr>
              <w:pStyle w:val="TableParagraph"/>
              <w:rPr>
                <w:rFonts w:ascii="Cambria" w:hAnsi="Cambria"/>
                <w:sz w:val="20"/>
              </w:rPr>
            </w:pPr>
            <w:proofErr w:type="spellStart"/>
            <w:r w:rsidRPr="00612948">
              <w:rPr>
                <w:rFonts w:ascii="Cambria" w:hAnsi="Cambria"/>
                <w:spacing w:val="-5"/>
                <w:sz w:val="20"/>
              </w:rPr>
              <w:t>IIa</w:t>
            </w:r>
            <w:proofErr w:type="spellEnd"/>
          </w:p>
        </w:tc>
        <w:tc>
          <w:tcPr>
            <w:tcW w:w="7777" w:type="dxa"/>
          </w:tcPr>
          <w:p w14:paraId="26C1CB57" w14:textId="77777777" w:rsidR="00123F5E" w:rsidRPr="00612948" w:rsidRDefault="00123F5E" w:rsidP="00BF57FA">
            <w:pPr>
              <w:pStyle w:val="TableParagraph"/>
              <w:spacing w:line="244" w:lineRule="auto"/>
              <w:ind w:left="108" w:right="208"/>
              <w:rPr>
                <w:rFonts w:ascii="Cambria" w:hAnsi="Cambria"/>
                <w:sz w:val="20"/>
              </w:rPr>
            </w:pPr>
            <w:r w:rsidRPr="00612948">
              <w:rPr>
                <w:rFonts w:ascii="Cambria" w:hAnsi="Cambria"/>
                <w:sz w:val="20"/>
              </w:rPr>
              <w:t>Predominantly</w:t>
            </w:r>
            <w:r w:rsidRPr="00612948">
              <w:rPr>
                <w:rFonts w:ascii="Cambria" w:hAnsi="Cambria"/>
                <w:spacing w:val="-9"/>
                <w:sz w:val="20"/>
              </w:rPr>
              <w:t xml:space="preserve"> </w:t>
            </w:r>
            <w:r w:rsidRPr="00612948">
              <w:rPr>
                <w:rFonts w:ascii="Cambria" w:hAnsi="Cambria"/>
                <w:sz w:val="20"/>
              </w:rPr>
              <w:t>affecting</w:t>
            </w:r>
            <w:r w:rsidRPr="00612948">
              <w:rPr>
                <w:rFonts w:ascii="Cambria" w:hAnsi="Cambria"/>
                <w:spacing w:val="-9"/>
                <w:sz w:val="20"/>
              </w:rPr>
              <w:t xml:space="preserve"> </w:t>
            </w:r>
            <w:r w:rsidRPr="00612948">
              <w:rPr>
                <w:rFonts w:ascii="Cambria" w:hAnsi="Cambria"/>
                <w:sz w:val="20"/>
              </w:rPr>
              <w:t>limb,</w:t>
            </w:r>
            <w:r w:rsidRPr="00612948">
              <w:rPr>
                <w:rFonts w:ascii="Cambria" w:hAnsi="Cambria"/>
                <w:spacing w:val="-9"/>
                <w:sz w:val="20"/>
              </w:rPr>
              <w:t xml:space="preserve"> </w:t>
            </w:r>
            <w:r w:rsidRPr="00612948">
              <w:rPr>
                <w:rFonts w:ascii="Cambria" w:hAnsi="Cambria"/>
                <w:sz w:val="20"/>
              </w:rPr>
              <w:t>axial</w:t>
            </w:r>
            <w:r w:rsidRPr="00612948">
              <w:rPr>
                <w:rFonts w:ascii="Cambria" w:hAnsi="Cambria"/>
                <w:spacing w:val="-8"/>
                <w:sz w:val="20"/>
              </w:rPr>
              <w:t xml:space="preserve"> </w:t>
            </w:r>
            <w:r w:rsidRPr="00612948">
              <w:rPr>
                <w:rFonts w:ascii="Cambria" w:hAnsi="Cambria"/>
                <w:sz w:val="20"/>
              </w:rPr>
              <w:t>muscles,</w:t>
            </w:r>
            <w:r w:rsidRPr="00612948">
              <w:rPr>
                <w:rFonts w:ascii="Cambria" w:hAnsi="Cambria"/>
                <w:spacing w:val="-9"/>
                <w:sz w:val="20"/>
              </w:rPr>
              <w:t xml:space="preserve"> </w:t>
            </w:r>
            <w:r w:rsidRPr="00612948">
              <w:rPr>
                <w:rFonts w:ascii="Cambria" w:hAnsi="Cambria"/>
                <w:sz w:val="20"/>
              </w:rPr>
              <w:t xml:space="preserve">or </w:t>
            </w:r>
            <w:r w:rsidRPr="00612948">
              <w:rPr>
                <w:rFonts w:ascii="Cambria" w:hAnsi="Cambria"/>
                <w:spacing w:val="-4"/>
                <w:sz w:val="20"/>
              </w:rPr>
              <w:t>both</w:t>
            </w:r>
          </w:p>
          <w:p w14:paraId="73A2A224" w14:textId="77777777" w:rsidR="00123F5E" w:rsidRPr="00612948" w:rsidRDefault="00123F5E" w:rsidP="00BF57FA">
            <w:pPr>
              <w:pStyle w:val="TableParagraph"/>
              <w:spacing w:line="244" w:lineRule="auto"/>
              <w:ind w:left="108" w:right="1265"/>
              <w:rPr>
                <w:rFonts w:ascii="Cambria" w:hAnsi="Cambria"/>
                <w:sz w:val="20"/>
              </w:rPr>
            </w:pPr>
            <w:r w:rsidRPr="00612948">
              <w:rPr>
                <w:rFonts w:ascii="Cambria" w:hAnsi="Cambria"/>
                <w:sz w:val="20"/>
              </w:rPr>
              <w:t>May</w:t>
            </w:r>
            <w:r w:rsidRPr="00612948">
              <w:rPr>
                <w:rFonts w:ascii="Cambria" w:hAnsi="Cambria"/>
                <w:spacing w:val="-8"/>
                <w:sz w:val="20"/>
              </w:rPr>
              <w:t xml:space="preserve"> </w:t>
            </w:r>
            <w:r w:rsidRPr="00612948">
              <w:rPr>
                <w:rFonts w:ascii="Cambria" w:hAnsi="Cambria"/>
                <w:sz w:val="20"/>
              </w:rPr>
              <w:t>also</w:t>
            </w:r>
            <w:r w:rsidRPr="00612948">
              <w:rPr>
                <w:rFonts w:ascii="Cambria" w:hAnsi="Cambria"/>
                <w:spacing w:val="-8"/>
                <w:sz w:val="20"/>
              </w:rPr>
              <w:t xml:space="preserve"> </w:t>
            </w:r>
            <w:r w:rsidRPr="00612948">
              <w:rPr>
                <w:rFonts w:ascii="Cambria" w:hAnsi="Cambria"/>
                <w:sz w:val="20"/>
              </w:rPr>
              <w:t>have</w:t>
            </w:r>
            <w:r w:rsidRPr="00612948">
              <w:rPr>
                <w:rFonts w:ascii="Cambria" w:hAnsi="Cambria"/>
                <w:spacing w:val="-7"/>
                <w:sz w:val="20"/>
              </w:rPr>
              <w:t xml:space="preserve"> </w:t>
            </w:r>
            <w:r w:rsidRPr="00612948">
              <w:rPr>
                <w:rFonts w:ascii="Cambria" w:hAnsi="Cambria"/>
                <w:sz w:val="20"/>
              </w:rPr>
              <w:t>lesser</w:t>
            </w:r>
            <w:r w:rsidRPr="00612948">
              <w:rPr>
                <w:rFonts w:ascii="Cambria" w:hAnsi="Cambria"/>
                <w:spacing w:val="-9"/>
                <w:sz w:val="20"/>
              </w:rPr>
              <w:t xml:space="preserve"> </w:t>
            </w:r>
            <w:r w:rsidRPr="00612948">
              <w:rPr>
                <w:rFonts w:ascii="Cambria" w:hAnsi="Cambria"/>
                <w:sz w:val="20"/>
              </w:rPr>
              <w:t>involvement</w:t>
            </w:r>
            <w:r w:rsidRPr="00612948">
              <w:rPr>
                <w:rFonts w:ascii="Cambria" w:hAnsi="Cambria"/>
                <w:spacing w:val="-9"/>
                <w:sz w:val="20"/>
              </w:rPr>
              <w:t xml:space="preserve"> </w:t>
            </w:r>
            <w:r w:rsidRPr="00612948">
              <w:rPr>
                <w:rFonts w:ascii="Cambria" w:hAnsi="Cambria"/>
                <w:sz w:val="20"/>
              </w:rPr>
              <w:t>of oropharyngeal muscles</w:t>
            </w:r>
          </w:p>
        </w:tc>
      </w:tr>
      <w:tr w:rsidR="00123F5E" w14:paraId="1AB3A553" w14:textId="77777777" w:rsidTr="00DB69DC">
        <w:trPr>
          <w:trHeight w:val="986"/>
        </w:trPr>
        <w:tc>
          <w:tcPr>
            <w:tcW w:w="1239" w:type="dxa"/>
          </w:tcPr>
          <w:p w14:paraId="66689AF8" w14:textId="77777777" w:rsidR="00123F5E" w:rsidRPr="00612948" w:rsidRDefault="00123F5E" w:rsidP="00BF57FA">
            <w:pPr>
              <w:pStyle w:val="TableParagraph"/>
              <w:rPr>
                <w:rFonts w:ascii="Cambria" w:hAnsi="Cambria"/>
                <w:sz w:val="20"/>
              </w:rPr>
            </w:pPr>
            <w:r w:rsidRPr="00612948">
              <w:rPr>
                <w:rFonts w:ascii="Cambria" w:hAnsi="Cambria"/>
                <w:spacing w:val="-5"/>
                <w:sz w:val="20"/>
              </w:rPr>
              <w:t>IIb</w:t>
            </w:r>
          </w:p>
        </w:tc>
        <w:tc>
          <w:tcPr>
            <w:tcW w:w="7777" w:type="dxa"/>
          </w:tcPr>
          <w:p w14:paraId="560DF6C2" w14:textId="77777777" w:rsidR="00123F5E" w:rsidRPr="00612948" w:rsidRDefault="00123F5E" w:rsidP="00BF57FA">
            <w:pPr>
              <w:pStyle w:val="TableParagraph"/>
              <w:spacing w:line="244" w:lineRule="auto"/>
              <w:ind w:left="108" w:right="208"/>
              <w:rPr>
                <w:rFonts w:ascii="Cambria" w:hAnsi="Cambria"/>
                <w:sz w:val="20"/>
              </w:rPr>
            </w:pPr>
            <w:r w:rsidRPr="00612948">
              <w:rPr>
                <w:rFonts w:ascii="Cambria" w:hAnsi="Cambria"/>
                <w:sz w:val="20"/>
              </w:rPr>
              <w:t>Predominantly</w:t>
            </w:r>
            <w:r w:rsidRPr="00612948">
              <w:rPr>
                <w:rFonts w:ascii="Cambria" w:hAnsi="Cambria"/>
                <w:spacing w:val="-12"/>
                <w:sz w:val="20"/>
              </w:rPr>
              <w:t xml:space="preserve"> </w:t>
            </w:r>
            <w:r w:rsidRPr="00612948">
              <w:rPr>
                <w:rFonts w:ascii="Cambria" w:hAnsi="Cambria"/>
                <w:sz w:val="20"/>
              </w:rPr>
              <w:t>affecting</w:t>
            </w:r>
            <w:r w:rsidRPr="00612948">
              <w:rPr>
                <w:rFonts w:ascii="Cambria" w:hAnsi="Cambria"/>
                <w:spacing w:val="-11"/>
                <w:sz w:val="20"/>
              </w:rPr>
              <w:t xml:space="preserve"> </w:t>
            </w:r>
            <w:r w:rsidRPr="00612948">
              <w:rPr>
                <w:rFonts w:ascii="Cambria" w:hAnsi="Cambria"/>
                <w:sz w:val="20"/>
              </w:rPr>
              <w:t>oropharyngeal, respiratory muscles, or both</w:t>
            </w:r>
          </w:p>
          <w:p w14:paraId="70C04212" w14:textId="77777777" w:rsidR="00123F5E" w:rsidRPr="00612948" w:rsidRDefault="00123F5E" w:rsidP="00BF57FA">
            <w:pPr>
              <w:pStyle w:val="TableParagraph"/>
              <w:spacing w:line="244" w:lineRule="auto"/>
              <w:ind w:left="108"/>
              <w:rPr>
                <w:rFonts w:ascii="Cambria" w:hAnsi="Cambria"/>
                <w:sz w:val="20"/>
              </w:rPr>
            </w:pPr>
            <w:r w:rsidRPr="00612948">
              <w:rPr>
                <w:rFonts w:ascii="Cambria" w:hAnsi="Cambria"/>
                <w:sz w:val="20"/>
              </w:rPr>
              <w:t>May</w:t>
            </w:r>
            <w:r w:rsidRPr="00612948">
              <w:rPr>
                <w:rFonts w:ascii="Cambria" w:hAnsi="Cambria"/>
                <w:spacing w:val="-5"/>
                <w:sz w:val="20"/>
              </w:rPr>
              <w:t xml:space="preserve"> </w:t>
            </w:r>
            <w:r w:rsidRPr="00612948">
              <w:rPr>
                <w:rFonts w:ascii="Cambria" w:hAnsi="Cambria"/>
                <w:sz w:val="20"/>
              </w:rPr>
              <w:t>also</w:t>
            </w:r>
            <w:r w:rsidRPr="00612948">
              <w:rPr>
                <w:rFonts w:ascii="Cambria" w:hAnsi="Cambria"/>
                <w:spacing w:val="-5"/>
                <w:sz w:val="20"/>
              </w:rPr>
              <w:t xml:space="preserve"> </w:t>
            </w:r>
            <w:r w:rsidRPr="00612948">
              <w:rPr>
                <w:rFonts w:ascii="Cambria" w:hAnsi="Cambria"/>
                <w:sz w:val="20"/>
              </w:rPr>
              <w:t>have</w:t>
            </w:r>
            <w:r w:rsidRPr="00612948">
              <w:rPr>
                <w:rFonts w:ascii="Cambria" w:hAnsi="Cambria"/>
                <w:spacing w:val="-4"/>
                <w:sz w:val="20"/>
              </w:rPr>
              <w:t xml:space="preserve"> </w:t>
            </w:r>
            <w:r w:rsidRPr="00612948">
              <w:rPr>
                <w:rFonts w:ascii="Cambria" w:hAnsi="Cambria"/>
                <w:sz w:val="20"/>
              </w:rPr>
              <w:t>lesser</w:t>
            </w:r>
            <w:r w:rsidRPr="00612948">
              <w:rPr>
                <w:rFonts w:ascii="Cambria" w:hAnsi="Cambria"/>
                <w:spacing w:val="-6"/>
                <w:sz w:val="20"/>
              </w:rPr>
              <w:t xml:space="preserve"> </w:t>
            </w:r>
            <w:r w:rsidRPr="00612948">
              <w:rPr>
                <w:rFonts w:ascii="Cambria" w:hAnsi="Cambria"/>
                <w:sz w:val="20"/>
              </w:rPr>
              <w:t>or</w:t>
            </w:r>
            <w:r w:rsidRPr="00612948">
              <w:rPr>
                <w:rFonts w:ascii="Cambria" w:hAnsi="Cambria"/>
                <w:spacing w:val="-6"/>
                <w:sz w:val="20"/>
              </w:rPr>
              <w:t xml:space="preserve"> </w:t>
            </w:r>
            <w:r w:rsidRPr="00612948">
              <w:rPr>
                <w:rFonts w:ascii="Cambria" w:hAnsi="Cambria"/>
                <w:sz w:val="20"/>
              </w:rPr>
              <w:t>equal</w:t>
            </w:r>
            <w:r w:rsidRPr="00612948">
              <w:rPr>
                <w:rFonts w:ascii="Cambria" w:hAnsi="Cambria"/>
                <w:spacing w:val="-4"/>
                <w:sz w:val="20"/>
              </w:rPr>
              <w:t xml:space="preserve"> </w:t>
            </w:r>
            <w:r w:rsidRPr="00612948">
              <w:rPr>
                <w:rFonts w:ascii="Cambria" w:hAnsi="Cambria"/>
                <w:sz w:val="20"/>
              </w:rPr>
              <w:t>involvement</w:t>
            </w:r>
            <w:r w:rsidRPr="00612948">
              <w:rPr>
                <w:rFonts w:ascii="Cambria" w:hAnsi="Cambria"/>
                <w:spacing w:val="-6"/>
                <w:sz w:val="20"/>
              </w:rPr>
              <w:t xml:space="preserve"> </w:t>
            </w:r>
            <w:r w:rsidRPr="00612948">
              <w:rPr>
                <w:rFonts w:ascii="Cambria" w:hAnsi="Cambria"/>
                <w:sz w:val="20"/>
              </w:rPr>
              <w:t>of</w:t>
            </w:r>
            <w:r w:rsidRPr="00612948">
              <w:rPr>
                <w:rFonts w:ascii="Cambria" w:hAnsi="Cambria"/>
                <w:spacing w:val="-6"/>
                <w:sz w:val="20"/>
              </w:rPr>
              <w:t xml:space="preserve"> </w:t>
            </w:r>
            <w:r w:rsidRPr="00612948">
              <w:rPr>
                <w:rFonts w:ascii="Cambria" w:hAnsi="Cambria"/>
                <w:sz w:val="20"/>
              </w:rPr>
              <w:t>limb, axial muscles, or both</w:t>
            </w:r>
          </w:p>
        </w:tc>
      </w:tr>
      <w:tr w:rsidR="00123F5E" w:rsidRPr="00612948" w14:paraId="6E173E06" w14:textId="77777777" w:rsidTr="00DB69DC">
        <w:trPr>
          <w:trHeight w:val="831"/>
        </w:trPr>
        <w:tc>
          <w:tcPr>
            <w:tcW w:w="1239" w:type="dxa"/>
          </w:tcPr>
          <w:p w14:paraId="78DA337F" w14:textId="77777777" w:rsidR="00123F5E" w:rsidRPr="00612948" w:rsidRDefault="00123F5E" w:rsidP="00BF57FA">
            <w:pPr>
              <w:pStyle w:val="TableParagraph"/>
              <w:rPr>
                <w:rFonts w:ascii="Cambria" w:hAnsi="Cambria"/>
                <w:b/>
                <w:sz w:val="20"/>
              </w:rPr>
            </w:pPr>
            <w:r w:rsidRPr="00612948">
              <w:rPr>
                <w:rFonts w:ascii="Cambria" w:hAnsi="Cambria"/>
                <w:b/>
                <w:sz w:val="20"/>
              </w:rPr>
              <w:t>Class</w:t>
            </w:r>
            <w:r w:rsidRPr="00612948">
              <w:rPr>
                <w:rFonts w:ascii="Cambria" w:hAnsi="Cambria"/>
                <w:b/>
                <w:spacing w:val="-7"/>
                <w:sz w:val="20"/>
              </w:rPr>
              <w:t xml:space="preserve"> </w:t>
            </w:r>
            <w:r w:rsidRPr="00612948">
              <w:rPr>
                <w:rFonts w:ascii="Cambria" w:hAnsi="Cambria"/>
                <w:b/>
                <w:spacing w:val="-5"/>
                <w:sz w:val="20"/>
              </w:rPr>
              <w:t>III</w:t>
            </w:r>
          </w:p>
        </w:tc>
        <w:tc>
          <w:tcPr>
            <w:tcW w:w="7777" w:type="dxa"/>
          </w:tcPr>
          <w:p w14:paraId="65F680E0" w14:textId="77777777" w:rsidR="00123F5E" w:rsidRPr="00612948" w:rsidRDefault="00123F5E" w:rsidP="00BF57FA">
            <w:pPr>
              <w:pStyle w:val="TableParagraph"/>
              <w:spacing w:line="244" w:lineRule="auto"/>
              <w:ind w:left="108"/>
              <w:rPr>
                <w:rFonts w:ascii="Cambria" w:hAnsi="Cambria"/>
                <w:sz w:val="20"/>
              </w:rPr>
            </w:pPr>
            <w:r w:rsidRPr="00612948">
              <w:rPr>
                <w:rFonts w:ascii="Cambria" w:hAnsi="Cambria"/>
                <w:sz w:val="20"/>
              </w:rPr>
              <w:t>Moderate</w:t>
            </w:r>
            <w:r w:rsidRPr="00612948">
              <w:rPr>
                <w:rFonts w:ascii="Cambria" w:hAnsi="Cambria"/>
                <w:spacing w:val="-7"/>
                <w:sz w:val="20"/>
              </w:rPr>
              <w:t xml:space="preserve"> </w:t>
            </w:r>
            <w:r w:rsidRPr="00612948">
              <w:rPr>
                <w:rFonts w:ascii="Cambria" w:hAnsi="Cambria"/>
                <w:sz w:val="20"/>
              </w:rPr>
              <w:t>weakness</w:t>
            </w:r>
            <w:r w:rsidRPr="00612948">
              <w:rPr>
                <w:rFonts w:ascii="Cambria" w:hAnsi="Cambria"/>
                <w:spacing w:val="-7"/>
                <w:sz w:val="20"/>
              </w:rPr>
              <w:t xml:space="preserve"> </w:t>
            </w:r>
            <w:r w:rsidRPr="00612948">
              <w:rPr>
                <w:rFonts w:ascii="Cambria" w:hAnsi="Cambria"/>
                <w:sz w:val="20"/>
              </w:rPr>
              <w:t>affecting</w:t>
            </w:r>
            <w:r w:rsidRPr="00612948">
              <w:rPr>
                <w:rFonts w:ascii="Cambria" w:hAnsi="Cambria"/>
                <w:spacing w:val="-8"/>
                <w:sz w:val="20"/>
              </w:rPr>
              <w:t xml:space="preserve"> </w:t>
            </w:r>
            <w:r w:rsidRPr="00612948">
              <w:rPr>
                <w:rFonts w:ascii="Cambria" w:hAnsi="Cambria"/>
                <w:sz w:val="20"/>
              </w:rPr>
              <w:t>other</w:t>
            </w:r>
            <w:r w:rsidRPr="00612948">
              <w:rPr>
                <w:rFonts w:ascii="Cambria" w:hAnsi="Cambria"/>
                <w:spacing w:val="-7"/>
                <w:sz w:val="20"/>
              </w:rPr>
              <w:t xml:space="preserve"> </w:t>
            </w:r>
            <w:r w:rsidRPr="00612948">
              <w:rPr>
                <w:rFonts w:ascii="Cambria" w:hAnsi="Cambria"/>
                <w:sz w:val="20"/>
              </w:rPr>
              <w:t>than</w:t>
            </w:r>
            <w:r w:rsidRPr="00612948">
              <w:rPr>
                <w:rFonts w:ascii="Cambria" w:hAnsi="Cambria"/>
                <w:spacing w:val="-9"/>
                <w:sz w:val="20"/>
              </w:rPr>
              <w:t xml:space="preserve"> </w:t>
            </w:r>
            <w:r w:rsidRPr="00612948">
              <w:rPr>
                <w:rFonts w:ascii="Cambria" w:hAnsi="Cambria"/>
                <w:sz w:val="20"/>
              </w:rPr>
              <w:t xml:space="preserve">ocular </w:t>
            </w:r>
            <w:r w:rsidRPr="00612948">
              <w:rPr>
                <w:rFonts w:ascii="Cambria" w:hAnsi="Cambria"/>
                <w:spacing w:val="-2"/>
                <w:sz w:val="20"/>
              </w:rPr>
              <w:t>muscles</w:t>
            </w:r>
          </w:p>
          <w:p w14:paraId="3CBB0763" w14:textId="77777777" w:rsidR="00123F5E" w:rsidRPr="00612948" w:rsidRDefault="00123F5E" w:rsidP="00BF57FA">
            <w:pPr>
              <w:pStyle w:val="TableParagraph"/>
              <w:spacing w:line="244" w:lineRule="auto"/>
              <w:ind w:left="108"/>
              <w:rPr>
                <w:rFonts w:ascii="Cambria" w:hAnsi="Cambria"/>
                <w:sz w:val="20"/>
              </w:rPr>
            </w:pPr>
            <w:r w:rsidRPr="00612948">
              <w:rPr>
                <w:rFonts w:ascii="Cambria" w:hAnsi="Cambria"/>
                <w:sz w:val="20"/>
              </w:rPr>
              <w:t>May</w:t>
            </w:r>
            <w:r w:rsidRPr="00612948">
              <w:rPr>
                <w:rFonts w:ascii="Cambria" w:hAnsi="Cambria"/>
                <w:spacing w:val="-6"/>
                <w:sz w:val="20"/>
              </w:rPr>
              <w:t xml:space="preserve"> </w:t>
            </w:r>
            <w:r w:rsidRPr="00612948">
              <w:rPr>
                <w:rFonts w:ascii="Cambria" w:hAnsi="Cambria"/>
                <w:sz w:val="20"/>
              </w:rPr>
              <w:t>also</w:t>
            </w:r>
            <w:r w:rsidRPr="00612948">
              <w:rPr>
                <w:rFonts w:ascii="Cambria" w:hAnsi="Cambria"/>
                <w:spacing w:val="-6"/>
                <w:sz w:val="20"/>
              </w:rPr>
              <w:t xml:space="preserve"> </w:t>
            </w:r>
            <w:r w:rsidRPr="00612948">
              <w:rPr>
                <w:rFonts w:ascii="Cambria" w:hAnsi="Cambria"/>
                <w:sz w:val="20"/>
              </w:rPr>
              <w:t>have</w:t>
            </w:r>
            <w:r w:rsidRPr="00612948">
              <w:rPr>
                <w:rFonts w:ascii="Cambria" w:hAnsi="Cambria"/>
                <w:spacing w:val="-5"/>
                <w:sz w:val="20"/>
              </w:rPr>
              <w:t xml:space="preserve"> </w:t>
            </w:r>
            <w:r w:rsidRPr="00612948">
              <w:rPr>
                <w:rFonts w:ascii="Cambria" w:hAnsi="Cambria"/>
                <w:sz w:val="20"/>
              </w:rPr>
              <w:t>ocular</w:t>
            </w:r>
            <w:r w:rsidRPr="00612948">
              <w:rPr>
                <w:rFonts w:ascii="Cambria" w:hAnsi="Cambria"/>
                <w:spacing w:val="-7"/>
                <w:sz w:val="20"/>
              </w:rPr>
              <w:t xml:space="preserve"> </w:t>
            </w:r>
            <w:r w:rsidRPr="00612948">
              <w:rPr>
                <w:rFonts w:ascii="Cambria" w:hAnsi="Cambria"/>
                <w:sz w:val="20"/>
              </w:rPr>
              <w:t>muscle</w:t>
            </w:r>
            <w:r w:rsidRPr="00612948">
              <w:rPr>
                <w:rFonts w:ascii="Cambria" w:hAnsi="Cambria"/>
                <w:spacing w:val="-7"/>
                <w:sz w:val="20"/>
              </w:rPr>
              <w:t xml:space="preserve"> </w:t>
            </w:r>
            <w:r w:rsidRPr="00612948">
              <w:rPr>
                <w:rFonts w:ascii="Cambria" w:hAnsi="Cambria"/>
                <w:sz w:val="20"/>
              </w:rPr>
              <w:t>weakness</w:t>
            </w:r>
            <w:r w:rsidRPr="00612948">
              <w:rPr>
                <w:rFonts w:ascii="Cambria" w:hAnsi="Cambria"/>
                <w:spacing w:val="-6"/>
                <w:sz w:val="20"/>
              </w:rPr>
              <w:t xml:space="preserve"> </w:t>
            </w:r>
            <w:r w:rsidRPr="00612948">
              <w:rPr>
                <w:rFonts w:ascii="Cambria" w:hAnsi="Cambria"/>
                <w:sz w:val="20"/>
              </w:rPr>
              <w:t>of</w:t>
            </w:r>
            <w:r w:rsidRPr="00612948">
              <w:rPr>
                <w:rFonts w:ascii="Cambria" w:hAnsi="Cambria"/>
                <w:spacing w:val="-7"/>
                <w:sz w:val="20"/>
              </w:rPr>
              <w:t xml:space="preserve"> </w:t>
            </w:r>
            <w:r w:rsidRPr="00612948">
              <w:rPr>
                <w:rFonts w:ascii="Cambria" w:hAnsi="Cambria"/>
                <w:sz w:val="20"/>
              </w:rPr>
              <w:t xml:space="preserve">any </w:t>
            </w:r>
            <w:r w:rsidRPr="00612948">
              <w:rPr>
                <w:rFonts w:ascii="Cambria" w:hAnsi="Cambria"/>
                <w:spacing w:val="-2"/>
                <w:sz w:val="20"/>
              </w:rPr>
              <w:t>severity</w:t>
            </w:r>
          </w:p>
        </w:tc>
      </w:tr>
      <w:tr w:rsidR="00123F5E" w:rsidRPr="00612948" w14:paraId="75FEC9A2" w14:textId="77777777" w:rsidTr="00DB69DC">
        <w:trPr>
          <w:trHeight w:val="829"/>
        </w:trPr>
        <w:tc>
          <w:tcPr>
            <w:tcW w:w="1239" w:type="dxa"/>
          </w:tcPr>
          <w:p w14:paraId="0CB35CF3" w14:textId="77777777" w:rsidR="00123F5E" w:rsidRPr="00612948" w:rsidRDefault="00123F5E" w:rsidP="00BF57FA">
            <w:pPr>
              <w:pStyle w:val="TableParagraph"/>
              <w:rPr>
                <w:rFonts w:ascii="Cambria" w:hAnsi="Cambria"/>
                <w:sz w:val="20"/>
              </w:rPr>
            </w:pPr>
            <w:r w:rsidRPr="00612948">
              <w:rPr>
                <w:rFonts w:ascii="Cambria" w:hAnsi="Cambria"/>
                <w:spacing w:val="-4"/>
                <w:sz w:val="20"/>
              </w:rPr>
              <w:t>IIIa</w:t>
            </w:r>
          </w:p>
        </w:tc>
        <w:tc>
          <w:tcPr>
            <w:tcW w:w="7777" w:type="dxa"/>
          </w:tcPr>
          <w:p w14:paraId="580197FD" w14:textId="77777777" w:rsidR="00123F5E" w:rsidRPr="00612948" w:rsidRDefault="00123F5E" w:rsidP="00BF57FA">
            <w:pPr>
              <w:pStyle w:val="TableParagraph"/>
              <w:spacing w:line="244" w:lineRule="auto"/>
              <w:ind w:left="108" w:right="208"/>
              <w:rPr>
                <w:rFonts w:ascii="Cambria" w:hAnsi="Cambria"/>
                <w:sz w:val="20"/>
              </w:rPr>
            </w:pPr>
            <w:r w:rsidRPr="00612948">
              <w:rPr>
                <w:rFonts w:ascii="Cambria" w:hAnsi="Cambria"/>
                <w:sz w:val="20"/>
              </w:rPr>
              <w:t>Predominantly</w:t>
            </w:r>
            <w:r w:rsidRPr="00612948">
              <w:rPr>
                <w:rFonts w:ascii="Cambria" w:hAnsi="Cambria"/>
                <w:spacing w:val="-9"/>
                <w:sz w:val="20"/>
              </w:rPr>
              <w:t xml:space="preserve"> </w:t>
            </w:r>
            <w:r w:rsidRPr="00612948">
              <w:rPr>
                <w:rFonts w:ascii="Cambria" w:hAnsi="Cambria"/>
                <w:sz w:val="20"/>
              </w:rPr>
              <w:t>affecting</w:t>
            </w:r>
            <w:r w:rsidRPr="00612948">
              <w:rPr>
                <w:rFonts w:ascii="Cambria" w:hAnsi="Cambria"/>
                <w:spacing w:val="-9"/>
                <w:sz w:val="20"/>
              </w:rPr>
              <w:t xml:space="preserve"> </w:t>
            </w:r>
            <w:r w:rsidRPr="00612948">
              <w:rPr>
                <w:rFonts w:ascii="Cambria" w:hAnsi="Cambria"/>
                <w:sz w:val="20"/>
              </w:rPr>
              <w:t>limb,</w:t>
            </w:r>
            <w:r w:rsidRPr="00612948">
              <w:rPr>
                <w:rFonts w:ascii="Cambria" w:hAnsi="Cambria"/>
                <w:spacing w:val="-9"/>
                <w:sz w:val="20"/>
              </w:rPr>
              <w:t xml:space="preserve"> </w:t>
            </w:r>
            <w:r w:rsidRPr="00612948">
              <w:rPr>
                <w:rFonts w:ascii="Cambria" w:hAnsi="Cambria"/>
                <w:sz w:val="20"/>
              </w:rPr>
              <w:t>axial</w:t>
            </w:r>
            <w:r w:rsidRPr="00612948">
              <w:rPr>
                <w:rFonts w:ascii="Cambria" w:hAnsi="Cambria"/>
                <w:spacing w:val="-8"/>
                <w:sz w:val="20"/>
              </w:rPr>
              <w:t xml:space="preserve"> </w:t>
            </w:r>
            <w:r w:rsidRPr="00612948">
              <w:rPr>
                <w:rFonts w:ascii="Cambria" w:hAnsi="Cambria"/>
                <w:sz w:val="20"/>
              </w:rPr>
              <w:t>muscles,</w:t>
            </w:r>
            <w:r w:rsidRPr="00612948">
              <w:rPr>
                <w:rFonts w:ascii="Cambria" w:hAnsi="Cambria"/>
                <w:spacing w:val="-9"/>
                <w:sz w:val="20"/>
              </w:rPr>
              <w:t xml:space="preserve"> </w:t>
            </w:r>
            <w:r w:rsidRPr="00612948">
              <w:rPr>
                <w:rFonts w:ascii="Cambria" w:hAnsi="Cambria"/>
                <w:sz w:val="20"/>
              </w:rPr>
              <w:t xml:space="preserve">or </w:t>
            </w:r>
            <w:r w:rsidRPr="00612948">
              <w:rPr>
                <w:rFonts w:ascii="Cambria" w:hAnsi="Cambria"/>
                <w:spacing w:val="-4"/>
                <w:sz w:val="20"/>
              </w:rPr>
              <w:t>both</w:t>
            </w:r>
          </w:p>
          <w:p w14:paraId="5030AA36" w14:textId="77777777" w:rsidR="00123F5E" w:rsidRPr="00612948" w:rsidRDefault="00123F5E" w:rsidP="00BF57FA">
            <w:pPr>
              <w:pStyle w:val="TableParagraph"/>
              <w:spacing w:line="244" w:lineRule="auto"/>
              <w:ind w:left="108" w:right="1265"/>
              <w:rPr>
                <w:rFonts w:ascii="Cambria" w:hAnsi="Cambria"/>
                <w:sz w:val="20"/>
              </w:rPr>
            </w:pPr>
            <w:r w:rsidRPr="00612948">
              <w:rPr>
                <w:rFonts w:ascii="Cambria" w:hAnsi="Cambria"/>
                <w:sz w:val="20"/>
              </w:rPr>
              <w:t>May</w:t>
            </w:r>
            <w:r w:rsidRPr="00612948">
              <w:rPr>
                <w:rFonts w:ascii="Cambria" w:hAnsi="Cambria"/>
                <w:spacing w:val="-8"/>
                <w:sz w:val="20"/>
              </w:rPr>
              <w:t xml:space="preserve"> </w:t>
            </w:r>
            <w:r w:rsidRPr="00612948">
              <w:rPr>
                <w:rFonts w:ascii="Cambria" w:hAnsi="Cambria"/>
                <w:sz w:val="20"/>
              </w:rPr>
              <w:t>also</w:t>
            </w:r>
            <w:r w:rsidRPr="00612948">
              <w:rPr>
                <w:rFonts w:ascii="Cambria" w:hAnsi="Cambria"/>
                <w:spacing w:val="-8"/>
                <w:sz w:val="20"/>
              </w:rPr>
              <w:t xml:space="preserve"> </w:t>
            </w:r>
            <w:r w:rsidRPr="00612948">
              <w:rPr>
                <w:rFonts w:ascii="Cambria" w:hAnsi="Cambria"/>
                <w:sz w:val="20"/>
              </w:rPr>
              <w:t>have</w:t>
            </w:r>
            <w:r w:rsidRPr="00612948">
              <w:rPr>
                <w:rFonts w:ascii="Cambria" w:hAnsi="Cambria"/>
                <w:spacing w:val="-7"/>
                <w:sz w:val="20"/>
              </w:rPr>
              <w:t xml:space="preserve"> </w:t>
            </w:r>
            <w:r w:rsidRPr="00612948">
              <w:rPr>
                <w:rFonts w:ascii="Cambria" w:hAnsi="Cambria"/>
                <w:sz w:val="20"/>
              </w:rPr>
              <w:t>lesser</w:t>
            </w:r>
            <w:r w:rsidRPr="00612948">
              <w:rPr>
                <w:rFonts w:ascii="Cambria" w:hAnsi="Cambria"/>
                <w:spacing w:val="-9"/>
                <w:sz w:val="20"/>
              </w:rPr>
              <w:t xml:space="preserve"> </w:t>
            </w:r>
            <w:r w:rsidRPr="00612948">
              <w:rPr>
                <w:rFonts w:ascii="Cambria" w:hAnsi="Cambria"/>
                <w:sz w:val="20"/>
              </w:rPr>
              <w:t>involvement</w:t>
            </w:r>
            <w:r w:rsidRPr="00612948">
              <w:rPr>
                <w:rFonts w:ascii="Cambria" w:hAnsi="Cambria"/>
                <w:spacing w:val="-9"/>
                <w:sz w:val="20"/>
              </w:rPr>
              <w:t xml:space="preserve"> </w:t>
            </w:r>
            <w:r w:rsidRPr="00612948">
              <w:rPr>
                <w:rFonts w:ascii="Cambria" w:hAnsi="Cambria"/>
                <w:sz w:val="20"/>
              </w:rPr>
              <w:t>of oropharyngeal muscles</w:t>
            </w:r>
          </w:p>
        </w:tc>
      </w:tr>
      <w:tr w:rsidR="00123F5E" w:rsidRPr="00612948" w14:paraId="171EBD39" w14:textId="77777777" w:rsidTr="00DB69DC">
        <w:trPr>
          <w:trHeight w:val="983"/>
        </w:trPr>
        <w:tc>
          <w:tcPr>
            <w:tcW w:w="1239" w:type="dxa"/>
          </w:tcPr>
          <w:p w14:paraId="4A8A3AE5" w14:textId="77777777" w:rsidR="00123F5E" w:rsidRPr="00612948" w:rsidRDefault="00123F5E" w:rsidP="00BF57FA">
            <w:pPr>
              <w:pStyle w:val="TableParagraph"/>
              <w:rPr>
                <w:rFonts w:ascii="Cambria" w:hAnsi="Cambria"/>
                <w:sz w:val="20"/>
              </w:rPr>
            </w:pPr>
            <w:proofErr w:type="spellStart"/>
            <w:r w:rsidRPr="00612948">
              <w:rPr>
                <w:rFonts w:ascii="Cambria" w:hAnsi="Cambria"/>
                <w:spacing w:val="-4"/>
                <w:sz w:val="20"/>
              </w:rPr>
              <w:t>IIIb</w:t>
            </w:r>
            <w:proofErr w:type="spellEnd"/>
          </w:p>
        </w:tc>
        <w:tc>
          <w:tcPr>
            <w:tcW w:w="7777" w:type="dxa"/>
          </w:tcPr>
          <w:p w14:paraId="34024486" w14:textId="77777777" w:rsidR="00123F5E" w:rsidRPr="00612948" w:rsidRDefault="00123F5E" w:rsidP="00BF57FA">
            <w:pPr>
              <w:pStyle w:val="TableParagraph"/>
              <w:spacing w:line="244" w:lineRule="auto"/>
              <w:ind w:left="108"/>
              <w:rPr>
                <w:rFonts w:ascii="Cambria" w:hAnsi="Cambria"/>
                <w:sz w:val="20"/>
              </w:rPr>
            </w:pPr>
            <w:r w:rsidRPr="00612948">
              <w:rPr>
                <w:rFonts w:ascii="Cambria" w:hAnsi="Cambria"/>
                <w:sz w:val="20"/>
              </w:rPr>
              <w:t>Predominantly</w:t>
            </w:r>
            <w:r w:rsidRPr="00612948">
              <w:rPr>
                <w:rFonts w:ascii="Cambria" w:hAnsi="Cambria"/>
                <w:spacing w:val="-12"/>
                <w:sz w:val="20"/>
              </w:rPr>
              <w:t xml:space="preserve"> </w:t>
            </w:r>
            <w:r w:rsidRPr="00612948">
              <w:rPr>
                <w:rFonts w:ascii="Cambria" w:hAnsi="Cambria"/>
                <w:sz w:val="20"/>
              </w:rPr>
              <w:t>affecting</w:t>
            </w:r>
            <w:r w:rsidRPr="00612948">
              <w:rPr>
                <w:rFonts w:ascii="Cambria" w:hAnsi="Cambria"/>
                <w:spacing w:val="-11"/>
                <w:sz w:val="20"/>
              </w:rPr>
              <w:t xml:space="preserve"> </w:t>
            </w:r>
            <w:r w:rsidRPr="00612948">
              <w:rPr>
                <w:rFonts w:ascii="Cambria" w:hAnsi="Cambria"/>
                <w:sz w:val="20"/>
              </w:rPr>
              <w:t>oropharyngeal</w:t>
            </w:r>
            <w:r w:rsidRPr="00612948">
              <w:rPr>
                <w:rFonts w:ascii="Cambria" w:hAnsi="Cambria"/>
                <w:spacing w:val="-11"/>
                <w:sz w:val="20"/>
              </w:rPr>
              <w:t xml:space="preserve"> </w:t>
            </w:r>
            <w:r w:rsidRPr="00612948">
              <w:rPr>
                <w:rFonts w:ascii="Cambria" w:hAnsi="Cambria"/>
                <w:sz w:val="20"/>
              </w:rPr>
              <w:t>muscles, respiratory muscles, or both</w:t>
            </w:r>
          </w:p>
          <w:p w14:paraId="560BA0A5" w14:textId="77777777" w:rsidR="00123F5E" w:rsidRPr="00612948" w:rsidRDefault="00123F5E" w:rsidP="00BF57FA">
            <w:pPr>
              <w:pStyle w:val="TableParagraph"/>
              <w:spacing w:line="244" w:lineRule="auto"/>
              <w:ind w:left="108"/>
              <w:rPr>
                <w:rFonts w:ascii="Cambria" w:hAnsi="Cambria"/>
                <w:sz w:val="20"/>
              </w:rPr>
            </w:pPr>
            <w:r w:rsidRPr="00612948">
              <w:rPr>
                <w:rFonts w:ascii="Cambria" w:hAnsi="Cambria"/>
                <w:sz w:val="20"/>
              </w:rPr>
              <w:t>May</w:t>
            </w:r>
            <w:r w:rsidRPr="00612948">
              <w:rPr>
                <w:rFonts w:ascii="Cambria" w:hAnsi="Cambria"/>
                <w:spacing w:val="-5"/>
                <w:sz w:val="20"/>
              </w:rPr>
              <w:t xml:space="preserve"> </w:t>
            </w:r>
            <w:r w:rsidRPr="00612948">
              <w:rPr>
                <w:rFonts w:ascii="Cambria" w:hAnsi="Cambria"/>
                <w:sz w:val="20"/>
              </w:rPr>
              <w:t>also</w:t>
            </w:r>
            <w:r w:rsidRPr="00612948">
              <w:rPr>
                <w:rFonts w:ascii="Cambria" w:hAnsi="Cambria"/>
                <w:spacing w:val="-5"/>
                <w:sz w:val="20"/>
              </w:rPr>
              <w:t xml:space="preserve"> </w:t>
            </w:r>
            <w:r w:rsidRPr="00612948">
              <w:rPr>
                <w:rFonts w:ascii="Cambria" w:hAnsi="Cambria"/>
                <w:sz w:val="20"/>
              </w:rPr>
              <w:t>have</w:t>
            </w:r>
            <w:r w:rsidRPr="00612948">
              <w:rPr>
                <w:rFonts w:ascii="Cambria" w:hAnsi="Cambria"/>
                <w:spacing w:val="-4"/>
                <w:sz w:val="20"/>
              </w:rPr>
              <w:t xml:space="preserve"> </w:t>
            </w:r>
            <w:r w:rsidRPr="00612948">
              <w:rPr>
                <w:rFonts w:ascii="Cambria" w:hAnsi="Cambria"/>
                <w:sz w:val="20"/>
              </w:rPr>
              <w:t>lesser</w:t>
            </w:r>
            <w:r w:rsidRPr="00612948">
              <w:rPr>
                <w:rFonts w:ascii="Cambria" w:hAnsi="Cambria"/>
                <w:spacing w:val="-6"/>
                <w:sz w:val="20"/>
              </w:rPr>
              <w:t xml:space="preserve"> </w:t>
            </w:r>
            <w:r w:rsidRPr="00612948">
              <w:rPr>
                <w:rFonts w:ascii="Cambria" w:hAnsi="Cambria"/>
                <w:sz w:val="20"/>
              </w:rPr>
              <w:t>or</w:t>
            </w:r>
            <w:r w:rsidRPr="00612948">
              <w:rPr>
                <w:rFonts w:ascii="Cambria" w:hAnsi="Cambria"/>
                <w:spacing w:val="-6"/>
                <w:sz w:val="20"/>
              </w:rPr>
              <w:t xml:space="preserve"> </w:t>
            </w:r>
            <w:r w:rsidRPr="00612948">
              <w:rPr>
                <w:rFonts w:ascii="Cambria" w:hAnsi="Cambria"/>
                <w:sz w:val="20"/>
              </w:rPr>
              <w:t>equal</w:t>
            </w:r>
            <w:r w:rsidRPr="00612948">
              <w:rPr>
                <w:rFonts w:ascii="Cambria" w:hAnsi="Cambria"/>
                <w:spacing w:val="-4"/>
                <w:sz w:val="20"/>
              </w:rPr>
              <w:t xml:space="preserve"> </w:t>
            </w:r>
            <w:r w:rsidRPr="00612948">
              <w:rPr>
                <w:rFonts w:ascii="Cambria" w:hAnsi="Cambria"/>
                <w:sz w:val="20"/>
              </w:rPr>
              <w:t>involvement</w:t>
            </w:r>
            <w:r w:rsidRPr="00612948">
              <w:rPr>
                <w:rFonts w:ascii="Cambria" w:hAnsi="Cambria"/>
                <w:spacing w:val="-6"/>
                <w:sz w:val="20"/>
              </w:rPr>
              <w:t xml:space="preserve"> </w:t>
            </w:r>
            <w:r w:rsidRPr="00612948">
              <w:rPr>
                <w:rFonts w:ascii="Cambria" w:hAnsi="Cambria"/>
                <w:sz w:val="20"/>
              </w:rPr>
              <w:t>of</w:t>
            </w:r>
            <w:r w:rsidRPr="00612948">
              <w:rPr>
                <w:rFonts w:ascii="Cambria" w:hAnsi="Cambria"/>
                <w:spacing w:val="-6"/>
                <w:sz w:val="20"/>
              </w:rPr>
              <w:t xml:space="preserve"> </w:t>
            </w:r>
            <w:r w:rsidRPr="00612948">
              <w:rPr>
                <w:rFonts w:ascii="Cambria" w:hAnsi="Cambria"/>
                <w:sz w:val="20"/>
              </w:rPr>
              <w:t>limb, axial muscles, or both</w:t>
            </w:r>
          </w:p>
        </w:tc>
      </w:tr>
      <w:tr w:rsidR="00123F5E" w:rsidRPr="00612948" w14:paraId="3AE48D9F" w14:textId="77777777" w:rsidTr="00DB69DC">
        <w:trPr>
          <w:trHeight w:val="713"/>
        </w:trPr>
        <w:tc>
          <w:tcPr>
            <w:tcW w:w="1239" w:type="dxa"/>
          </w:tcPr>
          <w:p w14:paraId="114E0109" w14:textId="77777777" w:rsidR="00123F5E" w:rsidRPr="00612948" w:rsidRDefault="00123F5E" w:rsidP="00BF57FA">
            <w:pPr>
              <w:pStyle w:val="TableParagraph"/>
              <w:rPr>
                <w:rFonts w:ascii="Cambria" w:hAnsi="Cambria"/>
                <w:b/>
                <w:sz w:val="20"/>
              </w:rPr>
            </w:pPr>
            <w:r w:rsidRPr="00612948">
              <w:rPr>
                <w:rFonts w:ascii="Cambria" w:hAnsi="Cambria"/>
                <w:b/>
                <w:sz w:val="20"/>
              </w:rPr>
              <w:t>Class</w:t>
            </w:r>
            <w:r w:rsidRPr="00612948">
              <w:rPr>
                <w:rFonts w:ascii="Cambria" w:hAnsi="Cambria"/>
                <w:b/>
                <w:spacing w:val="-7"/>
                <w:sz w:val="20"/>
              </w:rPr>
              <w:t xml:space="preserve"> IV</w:t>
            </w:r>
          </w:p>
        </w:tc>
        <w:tc>
          <w:tcPr>
            <w:tcW w:w="7777" w:type="dxa"/>
          </w:tcPr>
          <w:p w14:paraId="788A7B20" w14:textId="77777777" w:rsidR="00123F5E" w:rsidRPr="00612948" w:rsidRDefault="00123F5E" w:rsidP="00BF57FA">
            <w:pPr>
              <w:pStyle w:val="TableParagraph"/>
              <w:spacing w:line="244" w:lineRule="auto"/>
              <w:ind w:left="108" w:right="208"/>
              <w:rPr>
                <w:rFonts w:ascii="Cambria" w:hAnsi="Cambria"/>
                <w:sz w:val="20"/>
              </w:rPr>
            </w:pPr>
            <w:r w:rsidRPr="00612948">
              <w:rPr>
                <w:rFonts w:ascii="Cambria" w:hAnsi="Cambria"/>
                <w:sz w:val="20"/>
              </w:rPr>
              <w:t>Severe</w:t>
            </w:r>
            <w:r w:rsidRPr="00612948">
              <w:rPr>
                <w:rFonts w:ascii="Cambria" w:hAnsi="Cambria"/>
                <w:spacing w:val="-7"/>
                <w:sz w:val="20"/>
              </w:rPr>
              <w:t xml:space="preserve"> </w:t>
            </w:r>
            <w:r w:rsidRPr="00612948">
              <w:rPr>
                <w:rFonts w:ascii="Cambria" w:hAnsi="Cambria"/>
                <w:sz w:val="20"/>
              </w:rPr>
              <w:t>weakness</w:t>
            </w:r>
            <w:r w:rsidRPr="00612948">
              <w:rPr>
                <w:rFonts w:ascii="Cambria" w:hAnsi="Cambria"/>
                <w:spacing w:val="-8"/>
                <w:sz w:val="20"/>
              </w:rPr>
              <w:t xml:space="preserve"> </w:t>
            </w:r>
            <w:r w:rsidRPr="00612948">
              <w:rPr>
                <w:rFonts w:ascii="Cambria" w:hAnsi="Cambria"/>
                <w:sz w:val="20"/>
              </w:rPr>
              <w:t>affecting</w:t>
            </w:r>
            <w:r w:rsidRPr="00612948">
              <w:rPr>
                <w:rFonts w:ascii="Cambria" w:hAnsi="Cambria"/>
                <w:spacing w:val="-8"/>
                <w:sz w:val="20"/>
              </w:rPr>
              <w:t xml:space="preserve"> </w:t>
            </w:r>
            <w:r w:rsidRPr="00612948">
              <w:rPr>
                <w:rFonts w:ascii="Cambria" w:hAnsi="Cambria"/>
                <w:sz w:val="20"/>
              </w:rPr>
              <w:t>other</w:t>
            </w:r>
            <w:r w:rsidRPr="00612948">
              <w:rPr>
                <w:rFonts w:ascii="Cambria" w:hAnsi="Cambria"/>
                <w:spacing w:val="-9"/>
                <w:sz w:val="20"/>
              </w:rPr>
              <w:t xml:space="preserve"> </w:t>
            </w:r>
            <w:r w:rsidRPr="00612948">
              <w:rPr>
                <w:rFonts w:ascii="Cambria" w:hAnsi="Cambria"/>
                <w:sz w:val="20"/>
              </w:rPr>
              <w:t>than</w:t>
            </w:r>
            <w:r w:rsidRPr="00612948">
              <w:rPr>
                <w:rFonts w:ascii="Cambria" w:hAnsi="Cambria"/>
                <w:spacing w:val="-9"/>
                <w:sz w:val="20"/>
              </w:rPr>
              <w:t xml:space="preserve"> </w:t>
            </w:r>
            <w:r w:rsidRPr="00612948">
              <w:rPr>
                <w:rFonts w:ascii="Cambria" w:hAnsi="Cambria"/>
                <w:sz w:val="20"/>
              </w:rPr>
              <w:t xml:space="preserve">ocular </w:t>
            </w:r>
            <w:r w:rsidRPr="00612948">
              <w:rPr>
                <w:rFonts w:ascii="Cambria" w:hAnsi="Cambria"/>
                <w:spacing w:val="-2"/>
                <w:sz w:val="20"/>
              </w:rPr>
              <w:t>muscles</w:t>
            </w:r>
          </w:p>
          <w:p w14:paraId="73A2780D" w14:textId="77777777" w:rsidR="00123F5E" w:rsidRPr="00612948" w:rsidRDefault="00123F5E" w:rsidP="00BF57FA">
            <w:pPr>
              <w:pStyle w:val="TableParagraph"/>
              <w:spacing w:line="244" w:lineRule="auto"/>
              <w:ind w:left="108"/>
              <w:rPr>
                <w:rFonts w:ascii="Cambria" w:hAnsi="Cambria"/>
                <w:sz w:val="20"/>
              </w:rPr>
            </w:pPr>
            <w:r w:rsidRPr="00612948">
              <w:rPr>
                <w:rFonts w:ascii="Cambria" w:hAnsi="Cambria"/>
                <w:sz w:val="20"/>
              </w:rPr>
              <w:t>May</w:t>
            </w:r>
            <w:r w:rsidRPr="00612948">
              <w:rPr>
                <w:rFonts w:ascii="Cambria" w:hAnsi="Cambria"/>
                <w:spacing w:val="-6"/>
                <w:sz w:val="20"/>
              </w:rPr>
              <w:t xml:space="preserve"> </w:t>
            </w:r>
            <w:r w:rsidRPr="00612948">
              <w:rPr>
                <w:rFonts w:ascii="Cambria" w:hAnsi="Cambria"/>
                <w:sz w:val="20"/>
              </w:rPr>
              <w:t>also</w:t>
            </w:r>
            <w:r w:rsidRPr="00612948">
              <w:rPr>
                <w:rFonts w:ascii="Cambria" w:hAnsi="Cambria"/>
                <w:spacing w:val="-6"/>
                <w:sz w:val="20"/>
              </w:rPr>
              <w:t xml:space="preserve"> </w:t>
            </w:r>
            <w:r w:rsidRPr="00612948">
              <w:rPr>
                <w:rFonts w:ascii="Cambria" w:hAnsi="Cambria"/>
                <w:sz w:val="20"/>
              </w:rPr>
              <w:t>have</w:t>
            </w:r>
            <w:r w:rsidRPr="00612948">
              <w:rPr>
                <w:rFonts w:ascii="Cambria" w:hAnsi="Cambria"/>
                <w:spacing w:val="-5"/>
                <w:sz w:val="20"/>
              </w:rPr>
              <w:t xml:space="preserve"> </w:t>
            </w:r>
            <w:r w:rsidRPr="00612948">
              <w:rPr>
                <w:rFonts w:ascii="Cambria" w:hAnsi="Cambria"/>
                <w:sz w:val="20"/>
              </w:rPr>
              <w:t>ocular</w:t>
            </w:r>
            <w:r w:rsidRPr="00612948">
              <w:rPr>
                <w:rFonts w:ascii="Cambria" w:hAnsi="Cambria"/>
                <w:spacing w:val="-7"/>
                <w:sz w:val="20"/>
              </w:rPr>
              <w:t xml:space="preserve"> </w:t>
            </w:r>
            <w:r w:rsidRPr="00612948">
              <w:rPr>
                <w:rFonts w:ascii="Cambria" w:hAnsi="Cambria"/>
                <w:sz w:val="20"/>
              </w:rPr>
              <w:t>muscle</w:t>
            </w:r>
            <w:r w:rsidRPr="00612948">
              <w:rPr>
                <w:rFonts w:ascii="Cambria" w:hAnsi="Cambria"/>
                <w:spacing w:val="-7"/>
                <w:sz w:val="20"/>
              </w:rPr>
              <w:t xml:space="preserve"> </w:t>
            </w:r>
            <w:r w:rsidRPr="00612948">
              <w:rPr>
                <w:rFonts w:ascii="Cambria" w:hAnsi="Cambria"/>
                <w:sz w:val="20"/>
              </w:rPr>
              <w:t>weakness</w:t>
            </w:r>
            <w:r w:rsidRPr="00612948">
              <w:rPr>
                <w:rFonts w:ascii="Cambria" w:hAnsi="Cambria"/>
                <w:spacing w:val="-6"/>
                <w:sz w:val="20"/>
              </w:rPr>
              <w:t xml:space="preserve"> </w:t>
            </w:r>
            <w:r w:rsidRPr="00612948">
              <w:rPr>
                <w:rFonts w:ascii="Cambria" w:hAnsi="Cambria"/>
                <w:sz w:val="20"/>
              </w:rPr>
              <w:t>of</w:t>
            </w:r>
            <w:r w:rsidRPr="00612948">
              <w:rPr>
                <w:rFonts w:ascii="Cambria" w:hAnsi="Cambria"/>
                <w:spacing w:val="-7"/>
                <w:sz w:val="20"/>
              </w:rPr>
              <w:t xml:space="preserve"> </w:t>
            </w:r>
            <w:r w:rsidRPr="00612948">
              <w:rPr>
                <w:rFonts w:ascii="Cambria" w:hAnsi="Cambria"/>
                <w:sz w:val="20"/>
              </w:rPr>
              <w:t xml:space="preserve">any </w:t>
            </w:r>
            <w:r w:rsidRPr="00612948">
              <w:rPr>
                <w:rFonts w:ascii="Cambria" w:hAnsi="Cambria"/>
                <w:spacing w:val="-2"/>
                <w:sz w:val="20"/>
              </w:rPr>
              <w:t>severity</w:t>
            </w:r>
          </w:p>
        </w:tc>
      </w:tr>
      <w:tr w:rsidR="00123F5E" w:rsidRPr="00612948" w14:paraId="26DF6E6A" w14:textId="77777777" w:rsidTr="00DB69DC">
        <w:trPr>
          <w:trHeight w:val="712"/>
        </w:trPr>
        <w:tc>
          <w:tcPr>
            <w:tcW w:w="1239" w:type="dxa"/>
          </w:tcPr>
          <w:p w14:paraId="6D19F330" w14:textId="77777777" w:rsidR="00123F5E" w:rsidRPr="00612948" w:rsidRDefault="00123F5E" w:rsidP="00BF57FA">
            <w:pPr>
              <w:pStyle w:val="TableParagraph"/>
              <w:rPr>
                <w:rFonts w:ascii="Cambria" w:hAnsi="Cambria"/>
                <w:sz w:val="20"/>
              </w:rPr>
            </w:pPr>
            <w:proofErr w:type="spellStart"/>
            <w:r w:rsidRPr="00612948">
              <w:rPr>
                <w:rFonts w:ascii="Cambria" w:hAnsi="Cambria"/>
                <w:spacing w:val="-5"/>
                <w:sz w:val="20"/>
              </w:rPr>
              <w:t>IVa</w:t>
            </w:r>
            <w:proofErr w:type="spellEnd"/>
          </w:p>
        </w:tc>
        <w:tc>
          <w:tcPr>
            <w:tcW w:w="7777" w:type="dxa"/>
          </w:tcPr>
          <w:p w14:paraId="17935DE5" w14:textId="77777777" w:rsidR="00123F5E" w:rsidRPr="00612948" w:rsidRDefault="00123F5E" w:rsidP="00BF57FA">
            <w:pPr>
              <w:pStyle w:val="TableParagraph"/>
              <w:spacing w:line="244" w:lineRule="auto"/>
              <w:ind w:left="108" w:right="208"/>
              <w:rPr>
                <w:rFonts w:ascii="Cambria" w:hAnsi="Cambria"/>
                <w:sz w:val="20"/>
              </w:rPr>
            </w:pPr>
            <w:r w:rsidRPr="00612948">
              <w:rPr>
                <w:rFonts w:ascii="Cambria" w:hAnsi="Cambria"/>
                <w:sz w:val="20"/>
              </w:rPr>
              <w:t>Predominantly</w:t>
            </w:r>
            <w:r w:rsidRPr="00612948">
              <w:rPr>
                <w:rFonts w:ascii="Cambria" w:hAnsi="Cambria"/>
                <w:spacing w:val="-10"/>
                <w:sz w:val="20"/>
              </w:rPr>
              <w:t xml:space="preserve"> </w:t>
            </w:r>
            <w:r w:rsidRPr="00612948">
              <w:rPr>
                <w:rFonts w:ascii="Cambria" w:hAnsi="Cambria"/>
                <w:sz w:val="20"/>
              </w:rPr>
              <w:t>affecting</w:t>
            </w:r>
            <w:r w:rsidRPr="00612948">
              <w:rPr>
                <w:rFonts w:ascii="Cambria" w:hAnsi="Cambria"/>
                <w:spacing w:val="-10"/>
                <w:sz w:val="20"/>
              </w:rPr>
              <w:t xml:space="preserve"> </w:t>
            </w:r>
            <w:r w:rsidRPr="00612948">
              <w:rPr>
                <w:rFonts w:ascii="Cambria" w:hAnsi="Cambria"/>
                <w:sz w:val="20"/>
              </w:rPr>
              <w:t>limb</w:t>
            </w:r>
            <w:r w:rsidRPr="00612948">
              <w:rPr>
                <w:rFonts w:ascii="Cambria" w:hAnsi="Cambria"/>
                <w:spacing w:val="-11"/>
                <w:sz w:val="20"/>
              </w:rPr>
              <w:t xml:space="preserve"> </w:t>
            </w:r>
            <w:r w:rsidRPr="00612948">
              <w:rPr>
                <w:rFonts w:ascii="Cambria" w:hAnsi="Cambria"/>
                <w:sz w:val="20"/>
              </w:rPr>
              <w:t>and/or</w:t>
            </w:r>
            <w:r w:rsidRPr="00612948">
              <w:rPr>
                <w:rFonts w:ascii="Cambria" w:hAnsi="Cambria"/>
                <w:spacing w:val="-11"/>
                <w:sz w:val="20"/>
              </w:rPr>
              <w:t xml:space="preserve"> </w:t>
            </w:r>
            <w:r w:rsidRPr="00612948">
              <w:rPr>
                <w:rFonts w:ascii="Cambria" w:hAnsi="Cambria"/>
                <w:sz w:val="20"/>
              </w:rPr>
              <w:t xml:space="preserve">axial </w:t>
            </w:r>
            <w:r w:rsidRPr="00612948">
              <w:rPr>
                <w:rFonts w:ascii="Cambria" w:hAnsi="Cambria"/>
                <w:spacing w:val="-2"/>
                <w:sz w:val="20"/>
              </w:rPr>
              <w:t>muscles</w:t>
            </w:r>
          </w:p>
          <w:p w14:paraId="0B85CB93" w14:textId="77777777" w:rsidR="00123F5E" w:rsidRPr="00612948" w:rsidRDefault="00123F5E" w:rsidP="00BF57FA">
            <w:pPr>
              <w:pStyle w:val="TableParagraph"/>
              <w:spacing w:line="244" w:lineRule="auto"/>
              <w:ind w:left="108" w:right="1265"/>
              <w:rPr>
                <w:rFonts w:ascii="Cambria" w:hAnsi="Cambria"/>
                <w:sz w:val="20"/>
              </w:rPr>
            </w:pPr>
            <w:r w:rsidRPr="00612948">
              <w:rPr>
                <w:rFonts w:ascii="Cambria" w:hAnsi="Cambria"/>
                <w:sz w:val="20"/>
              </w:rPr>
              <w:t>May</w:t>
            </w:r>
            <w:r w:rsidRPr="00612948">
              <w:rPr>
                <w:rFonts w:ascii="Cambria" w:hAnsi="Cambria"/>
                <w:spacing w:val="-8"/>
                <w:sz w:val="20"/>
              </w:rPr>
              <w:t xml:space="preserve"> </w:t>
            </w:r>
            <w:r w:rsidRPr="00612948">
              <w:rPr>
                <w:rFonts w:ascii="Cambria" w:hAnsi="Cambria"/>
                <w:sz w:val="20"/>
              </w:rPr>
              <w:t>also</w:t>
            </w:r>
            <w:r w:rsidRPr="00612948">
              <w:rPr>
                <w:rFonts w:ascii="Cambria" w:hAnsi="Cambria"/>
                <w:spacing w:val="-8"/>
                <w:sz w:val="20"/>
              </w:rPr>
              <w:t xml:space="preserve"> </w:t>
            </w:r>
            <w:r w:rsidRPr="00612948">
              <w:rPr>
                <w:rFonts w:ascii="Cambria" w:hAnsi="Cambria"/>
                <w:sz w:val="20"/>
              </w:rPr>
              <w:t>have</w:t>
            </w:r>
            <w:r w:rsidRPr="00612948">
              <w:rPr>
                <w:rFonts w:ascii="Cambria" w:hAnsi="Cambria"/>
                <w:spacing w:val="-7"/>
                <w:sz w:val="20"/>
              </w:rPr>
              <w:t xml:space="preserve"> </w:t>
            </w:r>
            <w:r w:rsidRPr="00612948">
              <w:rPr>
                <w:rFonts w:ascii="Cambria" w:hAnsi="Cambria"/>
                <w:sz w:val="20"/>
              </w:rPr>
              <w:t>lesser</w:t>
            </w:r>
            <w:r w:rsidRPr="00612948">
              <w:rPr>
                <w:rFonts w:ascii="Cambria" w:hAnsi="Cambria"/>
                <w:spacing w:val="-9"/>
                <w:sz w:val="20"/>
              </w:rPr>
              <w:t xml:space="preserve"> </w:t>
            </w:r>
            <w:r w:rsidRPr="00612948">
              <w:rPr>
                <w:rFonts w:ascii="Cambria" w:hAnsi="Cambria"/>
                <w:sz w:val="20"/>
              </w:rPr>
              <w:t>involvement</w:t>
            </w:r>
            <w:r w:rsidRPr="00612948">
              <w:rPr>
                <w:rFonts w:ascii="Cambria" w:hAnsi="Cambria"/>
                <w:spacing w:val="-9"/>
                <w:sz w:val="20"/>
              </w:rPr>
              <w:t xml:space="preserve"> </w:t>
            </w:r>
            <w:r w:rsidRPr="00612948">
              <w:rPr>
                <w:rFonts w:ascii="Cambria" w:hAnsi="Cambria"/>
                <w:sz w:val="20"/>
              </w:rPr>
              <w:t>of oropharyngeal muscles</w:t>
            </w:r>
          </w:p>
        </w:tc>
      </w:tr>
      <w:tr w:rsidR="00123F5E" w:rsidRPr="00612948" w14:paraId="154F9EF0" w14:textId="77777777" w:rsidTr="00DB69DC">
        <w:trPr>
          <w:trHeight w:val="980"/>
        </w:trPr>
        <w:tc>
          <w:tcPr>
            <w:tcW w:w="1239" w:type="dxa"/>
          </w:tcPr>
          <w:p w14:paraId="649BB232" w14:textId="691304C2" w:rsidR="00123F5E" w:rsidRPr="00612948" w:rsidRDefault="00BA12C8" w:rsidP="00BF57FA">
            <w:pPr>
              <w:pStyle w:val="TableParagraph"/>
              <w:rPr>
                <w:rFonts w:ascii="Cambria" w:hAnsi="Cambria"/>
                <w:sz w:val="20"/>
              </w:rPr>
            </w:pPr>
            <w:proofErr w:type="spellStart"/>
            <w:r>
              <w:rPr>
                <w:rFonts w:ascii="Cambria" w:hAnsi="Cambria"/>
                <w:spacing w:val="-5"/>
                <w:sz w:val="20"/>
              </w:rPr>
              <w:t>IVb</w:t>
            </w:r>
            <w:proofErr w:type="spellEnd"/>
          </w:p>
        </w:tc>
        <w:tc>
          <w:tcPr>
            <w:tcW w:w="7777" w:type="dxa"/>
          </w:tcPr>
          <w:p w14:paraId="44101243" w14:textId="77777777" w:rsidR="00123F5E" w:rsidRPr="00612948" w:rsidRDefault="00123F5E" w:rsidP="00BF57FA">
            <w:pPr>
              <w:pStyle w:val="TableParagraph"/>
              <w:spacing w:line="244" w:lineRule="auto"/>
              <w:ind w:left="108" w:right="208"/>
              <w:rPr>
                <w:rFonts w:ascii="Cambria" w:hAnsi="Cambria"/>
                <w:sz w:val="20"/>
              </w:rPr>
            </w:pPr>
            <w:r w:rsidRPr="00612948">
              <w:rPr>
                <w:rFonts w:ascii="Cambria" w:hAnsi="Cambria"/>
                <w:sz w:val="20"/>
              </w:rPr>
              <w:t>Predominantly</w:t>
            </w:r>
            <w:r w:rsidRPr="00612948">
              <w:rPr>
                <w:rFonts w:ascii="Cambria" w:hAnsi="Cambria"/>
                <w:spacing w:val="-12"/>
                <w:sz w:val="20"/>
              </w:rPr>
              <w:t xml:space="preserve"> </w:t>
            </w:r>
            <w:r w:rsidRPr="00612948">
              <w:rPr>
                <w:rFonts w:ascii="Cambria" w:hAnsi="Cambria"/>
                <w:sz w:val="20"/>
              </w:rPr>
              <w:t>affecting</w:t>
            </w:r>
            <w:r w:rsidRPr="00612948">
              <w:rPr>
                <w:rFonts w:ascii="Cambria" w:hAnsi="Cambria"/>
                <w:spacing w:val="-11"/>
                <w:sz w:val="20"/>
              </w:rPr>
              <w:t xml:space="preserve"> </w:t>
            </w:r>
            <w:r w:rsidRPr="00612948">
              <w:rPr>
                <w:rFonts w:ascii="Cambria" w:hAnsi="Cambria"/>
                <w:sz w:val="20"/>
              </w:rPr>
              <w:t>oropharyngeal, respiratory muscles, or both</w:t>
            </w:r>
          </w:p>
          <w:p w14:paraId="379975F9" w14:textId="77777777" w:rsidR="00123F5E" w:rsidRPr="00612948" w:rsidRDefault="00123F5E" w:rsidP="00BF57FA">
            <w:pPr>
              <w:pStyle w:val="TableParagraph"/>
              <w:spacing w:line="244" w:lineRule="auto"/>
              <w:ind w:left="108"/>
              <w:rPr>
                <w:rFonts w:ascii="Cambria" w:hAnsi="Cambria"/>
                <w:sz w:val="20"/>
              </w:rPr>
            </w:pPr>
            <w:r w:rsidRPr="00612948">
              <w:rPr>
                <w:rFonts w:ascii="Cambria" w:hAnsi="Cambria"/>
                <w:sz w:val="20"/>
              </w:rPr>
              <w:t>May</w:t>
            </w:r>
            <w:r w:rsidRPr="00612948">
              <w:rPr>
                <w:rFonts w:ascii="Cambria" w:hAnsi="Cambria"/>
                <w:spacing w:val="-5"/>
                <w:sz w:val="20"/>
              </w:rPr>
              <w:t xml:space="preserve"> </w:t>
            </w:r>
            <w:r w:rsidRPr="00612948">
              <w:rPr>
                <w:rFonts w:ascii="Cambria" w:hAnsi="Cambria"/>
                <w:sz w:val="20"/>
              </w:rPr>
              <w:t>also</w:t>
            </w:r>
            <w:r w:rsidRPr="00612948">
              <w:rPr>
                <w:rFonts w:ascii="Cambria" w:hAnsi="Cambria"/>
                <w:spacing w:val="-5"/>
                <w:sz w:val="20"/>
              </w:rPr>
              <w:t xml:space="preserve"> </w:t>
            </w:r>
            <w:r w:rsidRPr="00612948">
              <w:rPr>
                <w:rFonts w:ascii="Cambria" w:hAnsi="Cambria"/>
                <w:sz w:val="20"/>
              </w:rPr>
              <w:t>have</w:t>
            </w:r>
            <w:r w:rsidRPr="00612948">
              <w:rPr>
                <w:rFonts w:ascii="Cambria" w:hAnsi="Cambria"/>
                <w:spacing w:val="-4"/>
                <w:sz w:val="20"/>
              </w:rPr>
              <w:t xml:space="preserve"> </w:t>
            </w:r>
            <w:r w:rsidRPr="00612948">
              <w:rPr>
                <w:rFonts w:ascii="Cambria" w:hAnsi="Cambria"/>
                <w:sz w:val="20"/>
              </w:rPr>
              <w:t>lesser</w:t>
            </w:r>
            <w:r w:rsidRPr="00612948">
              <w:rPr>
                <w:rFonts w:ascii="Cambria" w:hAnsi="Cambria"/>
                <w:spacing w:val="-6"/>
                <w:sz w:val="20"/>
              </w:rPr>
              <w:t xml:space="preserve"> </w:t>
            </w:r>
            <w:r w:rsidRPr="00612948">
              <w:rPr>
                <w:rFonts w:ascii="Cambria" w:hAnsi="Cambria"/>
                <w:sz w:val="20"/>
              </w:rPr>
              <w:t>or</w:t>
            </w:r>
            <w:r w:rsidRPr="00612948">
              <w:rPr>
                <w:rFonts w:ascii="Cambria" w:hAnsi="Cambria"/>
                <w:spacing w:val="-6"/>
                <w:sz w:val="20"/>
              </w:rPr>
              <w:t xml:space="preserve"> </w:t>
            </w:r>
            <w:r w:rsidRPr="00612948">
              <w:rPr>
                <w:rFonts w:ascii="Cambria" w:hAnsi="Cambria"/>
                <w:sz w:val="20"/>
              </w:rPr>
              <w:t>equal</w:t>
            </w:r>
            <w:r w:rsidRPr="00612948">
              <w:rPr>
                <w:rFonts w:ascii="Cambria" w:hAnsi="Cambria"/>
                <w:spacing w:val="-4"/>
                <w:sz w:val="20"/>
              </w:rPr>
              <w:t xml:space="preserve"> </w:t>
            </w:r>
            <w:r w:rsidRPr="00612948">
              <w:rPr>
                <w:rFonts w:ascii="Cambria" w:hAnsi="Cambria"/>
                <w:sz w:val="20"/>
              </w:rPr>
              <w:t>involvement</w:t>
            </w:r>
            <w:r w:rsidRPr="00612948">
              <w:rPr>
                <w:rFonts w:ascii="Cambria" w:hAnsi="Cambria"/>
                <w:spacing w:val="-6"/>
                <w:sz w:val="20"/>
              </w:rPr>
              <w:t xml:space="preserve"> </w:t>
            </w:r>
            <w:r w:rsidRPr="00612948">
              <w:rPr>
                <w:rFonts w:ascii="Cambria" w:hAnsi="Cambria"/>
                <w:sz w:val="20"/>
              </w:rPr>
              <w:t>of</w:t>
            </w:r>
            <w:r w:rsidRPr="00612948">
              <w:rPr>
                <w:rFonts w:ascii="Cambria" w:hAnsi="Cambria"/>
                <w:spacing w:val="-6"/>
                <w:sz w:val="20"/>
              </w:rPr>
              <w:t xml:space="preserve"> </w:t>
            </w:r>
            <w:r w:rsidRPr="00612948">
              <w:rPr>
                <w:rFonts w:ascii="Cambria" w:hAnsi="Cambria"/>
                <w:sz w:val="20"/>
              </w:rPr>
              <w:t>limb, axial muscles, or both</w:t>
            </w:r>
          </w:p>
        </w:tc>
      </w:tr>
      <w:tr w:rsidR="00123F5E" w:rsidRPr="00612948" w14:paraId="1E0342A1" w14:textId="77777777" w:rsidTr="00DB69DC">
        <w:trPr>
          <w:trHeight w:val="825"/>
        </w:trPr>
        <w:tc>
          <w:tcPr>
            <w:tcW w:w="1239" w:type="dxa"/>
          </w:tcPr>
          <w:p w14:paraId="2A91099F" w14:textId="77777777" w:rsidR="00123F5E" w:rsidRPr="00612948" w:rsidRDefault="00123F5E" w:rsidP="00BF57FA">
            <w:pPr>
              <w:pStyle w:val="TableParagraph"/>
              <w:rPr>
                <w:rFonts w:ascii="Cambria" w:hAnsi="Cambria"/>
                <w:b/>
                <w:sz w:val="20"/>
              </w:rPr>
            </w:pPr>
            <w:r w:rsidRPr="00612948">
              <w:rPr>
                <w:rFonts w:ascii="Cambria" w:hAnsi="Cambria"/>
                <w:b/>
                <w:sz w:val="20"/>
              </w:rPr>
              <w:t>Class</w:t>
            </w:r>
            <w:r w:rsidRPr="00612948">
              <w:rPr>
                <w:rFonts w:ascii="Cambria" w:hAnsi="Cambria"/>
                <w:b/>
                <w:spacing w:val="-7"/>
                <w:sz w:val="20"/>
              </w:rPr>
              <w:t xml:space="preserve"> </w:t>
            </w:r>
            <w:r w:rsidRPr="00612948">
              <w:rPr>
                <w:rFonts w:ascii="Cambria" w:hAnsi="Cambria"/>
                <w:b/>
                <w:spacing w:val="-12"/>
                <w:sz w:val="20"/>
              </w:rPr>
              <w:t>V</w:t>
            </w:r>
          </w:p>
        </w:tc>
        <w:tc>
          <w:tcPr>
            <w:tcW w:w="7777" w:type="dxa"/>
          </w:tcPr>
          <w:p w14:paraId="192AE797" w14:textId="77777777" w:rsidR="00123F5E" w:rsidRPr="00612948" w:rsidRDefault="00123F5E" w:rsidP="00BF57FA">
            <w:pPr>
              <w:pStyle w:val="TableParagraph"/>
              <w:spacing w:line="244" w:lineRule="auto"/>
              <w:ind w:left="108" w:right="208"/>
              <w:rPr>
                <w:rFonts w:ascii="Cambria" w:hAnsi="Cambria"/>
                <w:sz w:val="20"/>
              </w:rPr>
            </w:pPr>
            <w:r w:rsidRPr="00612948">
              <w:rPr>
                <w:rFonts w:ascii="Cambria" w:hAnsi="Cambria"/>
                <w:sz w:val="20"/>
              </w:rPr>
              <w:t>Defined by intubation, with or without mechanical</w:t>
            </w:r>
            <w:r w:rsidRPr="00612948">
              <w:rPr>
                <w:rFonts w:ascii="Cambria" w:hAnsi="Cambria"/>
                <w:spacing w:val="-9"/>
                <w:sz w:val="20"/>
              </w:rPr>
              <w:t xml:space="preserve"> </w:t>
            </w:r>
            <w:r w:rsidRPr="00612948">
              <w:rPr>
                <w:rFonts w:ascii="Cambria" w:hAnsi="Cambria"/>
                <w:sz w:val="20"/>
              </w:rPr>
              <w:t>ventilation,</w:t>
            </w:r>
            <w:r w:rsidRPr="00612948">
              <w:rPr>
                <w:rFonts w:ascii="Cambria" w:hAnsi="Cambria"/>
                <w:spacing w:val="-10"/>
                <w:sz w:val="20"/>
              </w:rPr>
              <w:t xml:space="preserve"> </w:t>
            </w:r>
            <w:r w:rsidRPr="00612948">
              <w:rPr>
                <w:rFonts w:ascii="Cambria" w:hAnsi="Cambria"/>
                <w:sz w:val="20"/>
              </w:rPr>
              <w:t>except</w:t>
            </w:r>
            <w:r w:rsidRPr="00612948">
              <w:rPr>
                <w:rFonts w:ascii="Cambria" w:hAnsi="Cambria"/>
                <w:spacing w:val="-11"/>
                <w:sz w:val="20"/>
              </w:rPr>
              <w:t xml:space="preserve"> </w:t>
            </w:r>
            <w:r w:rsidRPr="00612948">
              <w:rPr>
                <w:rFonts w:ascii="Cambria" w:hAnsi="Cambria"/>
                <w:sz w:val="20"/>
              </w:rPr>
              <w:t>when</w:t>
            </w:r>
            <w:r w:rsidRPr="00612948">
              <w:rPr>
                <w:rFonts w:ascii="Cambria" w:hAnsi="Cambria"/>
                <w:spacing w:val="-11"/>
                <w:sz w:val="20"/>
              </w:rPr>
              <w:t xml:space="preserve"> </w:t>
            </w:r>
            <w:r w:rsidRPr="00612948">
              <w:rPr>
                <w:rFonts w:ascii="Cambria" w:hAnsi="Cambria"/>
                <w:sz w:val="20"/>
              </w:rPr>
              <w:t>employed during routine postoperative management.</w:t>
            </w:r>
          </w:p>
        </w:tc>
      </w:tr>
    </w:tbl>
    <w:p w14:paraId="203E1A33" w14:textId="77777777" w:rsidR="00123F5E" w:rsidRDefault="00123F5E" w:rsidP="00DB69DC">
      <w:pPr>
        <w:pStyle w:val="TableDescription"/>
        <w:rPr>
          <w:spacing w:val="-2"/>
          <w:position w:val="4"/>
          <w:sz w:val="12"/>
        </w:rPr>
      </w:pPr>
      <w:r>
        <w:t>Adapted</w:t>
      </w:r>
      <w:r>
        <w:rPr>
          <w:spacing w:val="-4"/>
        </w:rPr>
        <w:t xml:space="preserve"> </w:t>
      </w:r>
      <w:r>
        <w:t>from</w:t>
      </w:r>
      <w:r>
        <w:rPr>
          <w:spacing w:val="-2"/>
        </w:rPr>
        <w:t xml:space="preserve"> </w:t>
      </w:r>
      <w:r>
        <w:t>Bird</w:t>
      </w:r>
      <w:r>
        <w:rPr>
          <w:spacing w:val="-3"/>
        </w:rPr>
        <w:t xml:space="preserve"> </w:t>
      </w:r>
      <w:r>
        <w:t>SJ,</w:t>
      </w:r>
      <w:r>
        <w:rPr>
          <w:spacing w:val="-2"/>
        </w:rPr>
        <w:t xml:space="preserve"> </w:t>
      </w:r>
      <w:proofErr w:type="spellStart"/>
      <w:r>
        <w:t>Shefner</w:t>
      </w:r>
      <w:proofErr w:type="spellEnd"/>
      <w:r>
        <w:rPr>
          <w:spacing w:val="-4"/>
        </w:rPr>
        <w:t xml:space="preserve"> </w:t>
      </w:r>
      <w:r>
        <w:t>JM,</w:t>
      </w:r>
      <w:r>
        <w:rPr>
          <w:spacing w:val="-2"/>
        </w:rPr>
        <w:t xml:space="preserve"> </w:t>
      </w:r>
      <w:r>
        <w:t>Goddeau</w:t>
      </w:r>
      <w:r>
        <w:rPr>
          <w:spacing w:val="-3"/>
        </w:rPr>
        <w:t xml:space="preserve"> </w:t>
      </w:r>
      <w:r>
        <w:t>Jr</w:t>
      </w:r>
      <w:r>
        <w:rPr>
          <w:spacing w:val="-1"/>
        </w:rPr>
        <w:t xml:space="preserve"> </w:t>
      </w:r>
      <w:r>
        <w:t>RP.</w:t>
      </w:r>
      <w:r>
        <w:rPr>
          <w:spacing w:val="-2"/>
        </w:rPr>
        <w:t xml:space="preserve"> </w:t>
      </w:r>
      <w:r>
        <w:t>Clinical</w:t>
      </w:r>
      <w:r>
        <w:rPr>
          <w:spacing w:val="-2"/>
        </w:rPr>
        <w:t xml:space="preserve"> </w:t>
      </w:r>
      <w:r>
        <w:t>manifestations</w:t>
      </w:r>
      <w:r>
        <w:rPr>
          <w:spacing w:val="-1"/>
        </w:rPr>
        <w:t xml:space="preserve"> </w:t>
      </w:r>
      <w:r>
        <w:t>of</w:t>
      </w:r>
      <w:r>
        <w:rPr>
          <w:spacing w:val="-3"/>
        </w:rPr>
        <w:t xml:space="preserve"> </w:t>
      </w:r>
      <w:r>
        <w:t>myasthenia</w:t>
      </w:r>
      <w:r>
        <w:rPr>
          <w:spacing w:val="-3"/>
        </w:rPr>
        <w:t xml:space="preserve"> </w:t>
      </w:r>
      <w:r>
        <w:t>gravis.</w:t>
      </w:r>
      <w:r>
        <w:rPr>
          <w:spacing w:val="-4"/>
        </w:rPr>
        <w:t xml:space="preserve"> </w:t>
      </w:r>
      <w:r>
        <w:rPr>
          <w:spacing w:val="-2"/>
        </w:rPr>
        <w:t>UpToDate.</w:t>
      </w:r>
      <w:r>
        <w:rPr>
          <w:spacing w:val="-2"/>
          <w:position w:val="4"/>
          <w:sz w:val="12"/>
        </w:rPr>
        <w:t>3</w:t>
      </w:r>
    </w:p>
    <w:p w14:paraId="6A18DD66" w14:textId="744C6271" w:rsidR="00057B2C" w:rsidRDefault="00057B2C" w:rsidP="00DB69DC">
      <w:pPr>
        <w:rPr>
          <w:position w:val="5"/>
          <w:sz w:val="14"/>
        </w:rPr>
      </w:pPr>
      <w:r w:rsidRPr="00AE1E20">
        <w:t xml:space="preserve">Over time, manifestations of MG typically worsen and become more persistent. Many patients </w:t>
      </w:r>
      <w:r w:rsidR="000C540D">
        <w:t xml:space="preserve">who </w:t>
      </w:r>
      <w:r w:rsidRPr="00AE1E20">
        <w:t>initial</w:t>
      </w:r>
      <w:r w:rsidR="000C540D">
        <w:t>l</w:t>
      </w:r>
      <w:r w:rsidRPr="00AE1E20">
        <w:t>y present with symptoms isolated to ocular muscles eventually develop weakness in other muscle groups</w:t>
      </w:r>
      <w:r w:rsidR="004A1E2D">
        <w:t>. A</w:t>
      </w:r>
      <w:r w:rsidRPr="00AE1E20">
        <w:t>pproximately 80% who present with isolated ocular symptoms develop generalised symptoms after 2-3 years.</w:t>
      </w:r>
      <w:r w:rsidR="00346459">
        <w:fldChar w:fldCharType="begin"/>
      </w:r>
      <w:r w:rsidR="00346459">
        <w:instrText xml:space="preserve"> NOTEREF _Ref223438517 \f </w:instrText>
      </w:r>
      <w:r w:rsidR="00346459">
        <w:fldChar w:fldCharType="separate"/>
      </w:r>
      <w:r w:rsidR="00346459" w:rsidRPr="00346459">
        <w:rPr>
          <w:rStyle w:val="FootnoteReference"/>
        </w:rPr>
        <w:t>3</w:t>
      </w:r>
      <w:r w:rsidR="00346459">
        <w:rPr>
          <w:rStyle w:val="FootnoteReference"/>
        </w:rPr>
        <w:fldChar w:fldCharType="end"/>
      </w:r>
      <w:r w:rsidRPr="00AE1E20">
        <w:t xml:space="preserve"> A potentially life-threatening complication is myasthenic crisis, which may affect 10-20% of patients at least once, manifesting as increasing generalised</w:t>
      </w:r>
      <w:r>
        <w:t xml:space="preserve"> or bulbar weakness and respiratory insufficiency.</w:t>
      </w:r>
      <w:bookmarkStart w:id="22" w:name="_Ref223439351"/>
      <w:r w:rsidR="00346459">
        <w:rPr>
          <w:rStyle w:val="FootnoteReference"/>
        </w:rPr>
        <w:footnoteReference w:id="5"/>
      </w:r>
      <w:bookmarkEnd w:id="22"/>
      <w:r>
        <w:rPr>
          <w:position w:val="5"/>
          <w:szCs w:val="22"/>
          <w:vertAlign w:val="superscript"/>
        </w:rPr>
        <w:t xml:space="preserve"> </w:t>
      </w:r>
      <w:r>
        <w:t>Crises may be associated with a precipitant, such as concurrent infection, surgery or certain medications, and generally require management in an intensive care setting.</w:t>
      </w:r>
      <w:r w:rsidR="00346CCC">
        <w:fldChar w:fldCharType="begin"/>
      </w:r>
      <w:r w:rsidR="00346CCC">
        <w:instrText xml:space="preserve"> NOTEREF _Ref223439351 \f </w:instrText>
      </w:r>
      <w:r w:rsidR="00346CCC">
        <w:fldChar w:fldCharType="separate"/>
      </w:r>
      <w:r w:rsidR="00346CCC" w:rsidRPr="00346CCC">
        <w:rPr>
          <w:rStyle w:val="FootnoteReference"/>
        </w:rPr>
        <w:t>5</w:t>
      </w:r>
      <w:r w:rsidR="00346CCC">
        <w:rPr>
          <w:rStyle w:val="FootnoteReference"/>
        </w:rPr>
        <w:fldChar w:fldCharType="end"/>
      </w:r>
      <w:r w:rsidR="00346459">
        <w:rPr>
          <w:position w:val="5"/>
          <w:sz w:val="14"/>
        </w:rPr>
        <w:t xml:space="preserve"> </w:t>
      </w:r>
    </w:p>
    <w:p w14:paraId="757FFE67" w14:textId="1D994611" w:rsidR="00934C0F" w:rsidRDefault="00057B2C" w:rsidP="00057B2C">
      <w:pPr>
        <w:rPr>
          <w:spacing w:val="15"/>
          <w:position w:val="5"/>
          <w:sz w:val="14"/>
        </w:rPr>
      </w:pPr>
      <w:r>
        <w:t>Multiple autoantibodies are implicated in the pathogenesis of MG. Eighty to 90% of patients have detectable autoantibodies against the acetylcholine receptor (</w:t>
      </w:r>
      <w:proofErr w:type="spellStart"/>
      <w:r>
        <w:t>AChR</w:t>
      </w:r>
      <w:proofErr w:type="spellEnd"/>
      <w:r>
        <w:t xml:space="preserve">), primarily of the IgG1 and IgG3 subtypes, which exert their pathologic effect by blocking acetylcholine binding to the </w:t>
      </w:r>
      <w:proofErr w:type="spellStart"/>
      <w:r>
        <w:t>AChR</w:t>
      </w:r>
      <w:proofErr w:type="spellEnd"/>
      <w:r>
        <w:t xml:space="preserve">, </w:t>
      </w:r>
      <w:r>
        <w:lastRenderedPageBreak/>
        <w:t xml:space="preserve">as well as cross-linking and internalisation of </w:t>
      </w:r>
      <w:proofErr w:type="spellStart"/>
      <w:r>
        <w:t>AChR</w:t>
      </w:r>
      <w:proofErr w:type="spellEnd"/>
      <w:r>
        <w:t>, and complement activation.</w:t>
      </w:r>
      <w:r w:rsidR="006D69AB">
        <w:fldChar w:fldCharType="begin"/>
      </w:r>
      <w:r w:rsidR="006D69AB">
        <w:instrText xml:space="preserve"> NOTEREF _Ref223438328 \f </w:instrText>
      </w:r>
      <w:r w:rsidR="006D69AB">
        <w:fldChar w:fldCharType="separate"/>
      </w:r>
      <w:r w:rsidR="006D69AB" w:rsidRPr="006D69AB">
        <w:rPr>
          <w:rStyle w:val="FootnoteReference"/>
        </w:rPr>
        <w:t>2</w:t>
      </w:r>
      <w:r w:rsidR="006D69AB">
        <w:rPr>
          <w:rStyle w:val="FootnoteReference"/>
        </w:rPr>
        <w:fldChar w:fldCharType="end"/>
      </w:r>
      <w:r w:rsidR="006D69AB" w:rsidRPr="006D69AB">
        <w:rPr>
          <w:vertAlign w:val="superscript"/>
        </w:rPr>
        <w:t>,</w:t>
      </w:r>
      <w:r w:rsidR="00E01CC3">
        <w:t xml:space="preserve"> </w:t>
      </w:r>
      <w:bookmarkStart w:id="23" w:name="_Ref223440128"/>
      <w:r w:rsidR="009F04F4">
        <w:rPr>
          <w:rStyle w:val="FootnoteReference"/>
        </w:rPr>
        <w:footnoteReference w:id="6"/>
      </w:r>
      <w:bookmarkEnd w:id="23"/>
      <w:r w:rsidR="00F026C8">
        <w:t xml:space="preserve"> </w:t>
      </w:r>
      <w:r>
        <w:t xml:space="preserve">Among </w:t>
      </w:r>
      <w:proofErr w:type="spellStart"/>
      <w:r>
        <w:t>AChR</w:t>
      </w:r>
      <w:proofErr w:type="spellEnd"/>
      <w:r>
        <w:t xml:space="preserve"> antibody-positive patients, the majority have thymic abnormalities, with hyperplasia seen in 60-70%, and thymoma in 10-12%.</w:t>
      </w:r>
      <w:r>
        <w:rPr>
          <w:spacing w:val="24"/>
          <w:position w:val="5"/>
          <w:sz w:val="14"/>
        </w:rPr>
        <w:t xml:space="preserve"> </w:t>
      </w:r>
      <w:r>
        <w:t>Autoantibodies against muscle-specific receptor tyrosine kinase (</w:t>
      </w:r>
      <w:proofErr w:type="spellStart"/>
      <w:r>
        <w:t>MuSK</w:t>
      </w:r>
      <w:proofErr w:type="spellEnd"/>
      <w:r>
        <w:t>) are found in 1-10% of patients, associated with more severe weakness, commonly involving facial and bulbar muscles, with limb and ocular weakness less common.</w:t>
      </w:r>
      <w:r w:rsidR="00E01CC3">
        <w:fldChar w:fldCharType="begin"/>
      </w:r>
      <w:r w:rsidR="00E01CC3">
        <w:instrText xml:space="preserve"> NOTEREF _Ref223438328 \f </w:instrText>
      </w:r>
      <w:r w:rsidR="00E01CC3">
        <w:fldChar w:fldCharType="separate"/>
      </w:r>
      <w:r w:rsidR="00E01CC3" w:rsidRPr="00E01CC3">
        <w:rPr>
          <w:rStyle w:val="FootnoteReference"/>
        </w:rPr>
        <w:t>2</w:t>
      </w:r>
      <w:r w:rsidR="00E01CC3">
        <w:rPr>
          <w:rStyle w:val="FootnoteReference"/>
        </w:rPr>
        <w:fldChar w:fldCharType="end"/>
      </w:r>
      <w:r>
        <w:rPr>
          <w:spacing w:val="28"/>
          <w:position w:val="5"/>
          <w:sz w:val="14"/>
        </w:rPr>
        <w:t xml:space="preserve"> </w:t>
      </w:r>
      <w:r>
        <w:t>Around 1% of patients with MG have detectable antibodies against lipoprotein-related</w:t>
      </w:r>
      <w:r>
        <w:rPr>
          <w:spacing w:val="-1"/>
        </w:rPr>
        <w:t xml:space="preserve"> </w:t>
      </w:r>
      <w:r>
        <w:t>protein</w:t>
      </w:r>
      <w:r>
        <w:rPr>
          <w:spacing w:val="-2"/>
        </w:rPr>
        <w:t xml:space="preserve"> </w:t>
      </w:r>
      <w:r>
        <w:t>4</w:t>
      </w:r>
      <w:r>
        <w:rPr>
          <w:spacing w:val="-1"/>
        </w:rPr>
        <w:t xml:space="preserve"> </w:t>
      </w:r>
      <w:r>
        <w:t>(LRP4),</w:t>
      </w:r>
      <w:r>
        <w:rPr>
          <w:spacing w:val="-3"/>
        </w:rPr>
        <w:t xml:space="preserve"> </w:t>
      </w:r>
      <w:r>
        <w:t>associated</w:t>
      </w:r>
      <w:r>
        <w:rPr>
          <w:spacing w:val="-1"/>
        </w:rPr>
        <w:t xml:space="preserve"> </w:t>
      </w:r>
      <w:r>
        <w:t>with</w:t>
      </w:r>
      <w:r>
        <w:rPr>
          <w:spacing w:val="-3"/>
        </w:rPr>
        <w:t xml:space="preserve"> </w:t>
      </w:r>
      <w:r>
        <w:t>mild</w:t>
      </w:r>
      <w:r>
        <w:rPr>
          <w:spacing w:val="-1"/>
        </w:rPr>
        <w:t xml:space="preserve"> </w:t>
      </w:r>
      <w:r>
        <w:t>to</w:t>
      </w:r>
      <w:r>
        <w:rPr>
          <w:spacing w:val="-1"/>
        </w:rPr>
        <w:t xml:space="preserve"> </w:t>
      </w:r>
      <w:r>
        <w:t>moderate</w:t>
      </w:r>
      <w:r>
        <w:rPr>
          <w:spacing w:val="-1"/>
        </w:rPr>
        <w:t xml:space="preserve"> </w:t>
      </w:r>
      <w:r>
        <w:t>disease</w:t>
      </w:r>
      <w:r>
        <w:rPr>
          <w:spacing w:val="-1"/>
        </w:rPr>
        <w:t xml:space="preserve"> </w:t>
      </w:r>
      <w:r>
        <w:t>severity.</w:t>
      </w:r>
      <w:r>
        <w:rPr>
          <w:position w:val="5"/>
          <w:sz w:val="14"/>
        </w:rPr>
        <w:t>2,</w:t>
      </w:r>
      <w:r w:rsidR="00E01CC3">
        <w:rPr>
          <w:position w:val="5"/>
          <w:sz w:val="14"/>
        </w:rPr>
        <w:t xml:space="preserve"> </w:t>
      </w:r>
      <w:r w:rsidR="00E01CC3">
        <w:rPr>
          <w:position w:val="5"/>
          <w:sz w:val="14"/>
        </w:rPr>
        <w:fldChar w:fldCharType="begin"/>
      </w:r>
      <w:r w:rsidR="00E01CC3">
        <w:rPr>
          <w:position w:val="5"/>
          <w:sz w:val="14"/>
        </w:rPr>
        <w:instrText xml:space="preserve"> NOTEREF _Ref223440128 \f </w:instrText>
      </w:r>
      <w:r w:rsidR="00E01CC3">
        <w:rPr>
          <w:position w:val="5"/>
          <w:sz w:val="14"/>
        </w:rPr>
        <w:fldChar w:fldCharType="separate"/>
      </w:r>
      <w:r w:rsidR="00E01CC3" w:rsidRPr="00E01CC3">
        <w:rPr>
          <w:rStyle w:val="FootnoteReference"/>
        </w:rPr>
        <w:t>6</w:t>
      </w:r>
      <w:r w:rsidR="00E01CC3">
        <w:rPr>
          <w:position w:val="5"/>
          <w:sz w:val="14"/>
        </w:rPr>
        <w:fldChar w:fldCharType="end"/>
      </w:r>
      <w:r>
        <w:rPr>
          <w:spacing w:val="-2"/>
          <w:position w:val="5"/>
          <w:sz w:val="14"/>
        </w:rPr>
        <w:t xml:space="preserve"> </w:t>
      </w:r>
      <w:r>
        <w:t>Seronegative</w:t>
      </w:r>
      <w:r>
        <w:rPr>
          <w:spacing w:val="-1"/>
        </w:rPr>
        <w:t xml:space="preserve"> </w:t>
      </w:r>
      <w:r>
        <w:t>MG is denoted by the absence of detectable serum antibodies against neuromuscular junction proteins,</w:t>
      </w:r>
      <w:r>
        <w:rPr>
          <w:spacing w:val="-1"/>
        </w:rPr>
        <w:t xml:space="preserve"> </w:t>
      </w:r>
      <w:r>
        <w:t>accounting for</w:t>
      </w:r>
      <w:r>
        <w:rPr>
          <w:spacing w:val="-1"/>
        </w:rPr>
        <w:t xml:space="preserve"> </w:t>
      </w:r>
      <w:r>
        <w:t>10-15%</w:t>
      </w:r>
      <w:r>
        <w:rPr>
          <w:spacing w:val="-1"/>
        </w:rPr>
        <w:t xml:space="preserve"> </w:t>
      </w:r>
      <w:r>
        <w:t>of</w:t>
      </w:r>
      <w:r>
        <w:rPr>
          <w:spacing w:val="-1"/>
        </w:rPr>
        <w:t xml:space="preserve"> </w:t>
      </w:r>
      <w:r>
        <w:t>patients.</w:t>
      </w:r>
      <w:r w:rsidR="00165D01">
        <w:fldChar w:fldCharType="begin"/>
      </w:r>
      <w:r w:rsidR="00165D01">
        <w:instrText xml:space="preserve"> NOTEREF _Ref223438328 \f </w:instrText>
      </w:r>
      <w:r w:rsidR="00165D01">
        <w:fldChar w:fldCharType="separate"/>
      </w:r>
      <w:r w:rsidR="00165D01" w:rsidRPr="00165D01">
        <w:rPr>
          <w:rStyle w:val="FootnoteReference"/>
        </w:rPr>
        <w:t>2</w:t>
      </w:r>
      <w:r w:rsidR="00165D01">
        <w:rPr>
          <w:rStyle w:val="FootnoteReference"/>
        </w:rPr>
        <w:fldChar w:fldCharType="end"/>
      </w:r>
    </w:p>
    <w:p w14:paraId="56F281FF" w14:textId="76712EDE" w:rsidR="00057B2C" w:rsidRDefault="00057B2C" w:rsidP="00057B2C">
      <w:r>
        <w:t>Diagnosis of</w:t>
      </w:r>
      <w:r>
        <w:rPr>
          <w:spacing w:val="-3"/>
        </w:rPr>
        <w:t xml:space="preserve"> </w:t>
      </w:r>
      <w:r>
        <w:t>MG</w:t>
      </w:r>
      <w:r>
        <w:rPr>
          <w:spacing w:val="-2"/>
        </w:rPr>
        <w:t xml:space="preserve"> </w:t>
      </w:r>
      <w:r>
        <w:t>can</w:t>
      </w:r>
      <w:r>
        <w:rPr>
          <w:spacing w:val="-2"/>
        </w:rPr>
        <w:t xml:space="preserve"> </w:t>
      </w:r>
      <w:r>
        <w:t>be</w:t>
      </w:r>
      <w:r>
        <w:rPr>
          <w:spacing w:val="-1"/>
        </w:rPr>
        <w:t xml:space="preserve"> </w:t>
      </w:r>
      <w:r>
        <w:t>confirmed</w:t>
      </w:r>
      <w:r>
        <w:rPr>
          <w:spacing w:val="-1"/>
        </w:rPr>
        <w:t xml:space="preserve"> </w:t>
      </w:r>
      <w:r>
        <w:t>by</w:t>
      </w:r>
      <w:r>
        <w:rPr>
          <w:spacing w:val="-2"/>
        </w:rPr>
        <w:t xml:space="preserve"> </w:t>
      </w:r>
      <w:r>
        <w:t>the</w:t>
      </w:r>
      <w:r>
        <w:rPr>
          <w:spacing w:val="-1"/>
        </w:rPr>
        <w:t xml:space="preserve"> </w:t>
      </w:r>
      <w:r>
        <w:t>presence of</w:t>
      </w:r>
      <w:r>
        <w:rPr>
          <w:spacing w:val="-4"/>
        </w:rPr>
        <w:t xml:space="preserve"> </w:t>
      </w:r>
      <w:r>
        <w:t>typical</w:t>
      </w:r>
      <w:r>
        <w:rPr>
          <w:spacing w:val="-4"/>
        </w:rPr>
        <w:t xml:space="preserve"> </w:t>
      </w:r>
      <w:r>
        <w:t>symptoms</w:t>
      </w:r>
      <w:r>
        <w:rPr>
          <w:spacing w:val="-3"/>
        </w:rPr>
        <w:t xml:space="preserve"> </w:t>
      </w:r>
      <w:r>
        <w:t>with</w:t>
      </w:r>
      <w:r>
        <w:rPr>
          <w:spacing w:val="-6"/>
        </w:rPr>
        <w:t xml:space="preserve"> </w:t>
      </w:r>
      <w:r>
        <w:t>detectable</w:t>
      </w:r>
      <w:r>
        <w:rPr>
          <w:spacing w:val="-4"/>
        </w:rPr>
        <w:t xml:space="preserve"> </w:t>
      </w:r>
      <w:r>
        <w:t>autoantibodies,</w:t>
      </w:r>
      <w:r>
        <w:rPr>
          <w:spacing w:val="-4"/>
        </w:rPr>
        <w:t xml:space="preserve"> </w:t>
      </w:r>
      <w:r>
        <w:t>supplemented</w:t>
      </w:r>
      <w:r>
        <w:rPr>
          <w:spacing w:val="-4"/>
        </w:rPr>
        <w:t xml:space="preserve"> </w:t>
      </w:r>
      <w:r>
        <w:t>by</w:t>
      </w:r>
      <w:r>
        <w:rPr>
          <w:spacing w:val="-5"/>
        </w:rPr>
        <w:t xml:space="preserve"> </w:t>
      </w:r>
      <w:r>
        <w:t>neurophysiologic</w:t>
      </w:r>
      <w:r>
        <w:rPr>
          <w:spacing w:val="-3"/>
        </w:rPr>
        <w:t xml:space="preserve"> </w:t>
      </w:r>
      <w:r>
        <w:t>testing, pharmacologic testing, and response to treatment with an acetylcholinesterase inhibitor in seronegative patients or those with atypical features.</w:t>
      </w:r>
      <w:r w:rsidR="00165D01">
        <w:fldChar w:fldCharType="begin"/>
      </w:r>
      <w:r w:rsidR="00165D01">
        <w:instrText xml:space="preserve"> NOTEREF _Ref223438328 \f </w:instrText>
      </w:r>
      <w:r w:rsidR="00165D01">
        <w:fldChar w:fldCharType="separate"/>
      </w:r>
      <w:r w:rsidR="00165D01" w:rsidRPr="00165D01">
        <w:rPr>
          <w:rStyle w:val="FootnoteReference"/>
        </w:rPr>
        <w:t>2</w:t>
      </w:r>
      <w:r w:rsidR="00165D01">
        <w:rPr>
          <w:rStyle w:val="FootnoteReference"/>
        </w:rPr>
        <w:fldChar w:fldCharType="end"/>
      </w:r>
      <w:r>
        <w:rPr>
          <w:position w:val="5"/>
          <w:sz w:val="14"/>
        </w:rPr>
        <w:t xml:space="preserve">, </w:t>
      </w:r>
      <w:r w:rsidR="00636D0A">
        <w:rPr>
          <w:position w:val="5"/>
          <w:sz w:val="14"/>
        </w:rPr>
        <w:fldChar w:fldCharType="begin"/>
      </w:r>
      <w:r w:rsidR="00636D0A">
        <w:rPr>
          <w:position w:val="5"/>
          <w:sz w:val="14"/>
        </w:rPr>
        <w:instrText xml:space="preserve"> NOTEREF _Ref223440213 \f </w:instrText>
      </w:r>
      <w:r w:rsidR="00636D0A">
        <w:rPr>
          <w:position w:val="5"/>
          <w:sz w:val="14"/>
        </w:rPr>
        <w:fldChar w:fldCharType="separate"/>
      </w:r>
      <w:r w:rsidR="00636D0A" w:rsidRPr="00636D0A">
        <w:rPr>
          <w:rStyle w:val="FootnoteReference"/>
        </w:rPr>
        <w:t>4</w:t>
      </w:r>
      <w:r w:rsidR="00636D0A">
        <w:rPr>
          <w:position w:val="5"/>
          <w:sz w:val="14"/>
        </w:rPr>
        <w:fldChar w:fldCharType="end"/>
      </w:r>
      <w:r>
        <w:rPr>
          <w:position w:val="5"/>
          <w:sz w:val="14"/>
        </w:rPr>
        <w:t xml:space="preserve"> </w:t>
      </w:r>
    </w:p>
    <w:p w14:paraId="3072072D" w14:textId="5D1BD482" w:rsidR="00057B2C" w:rsidRDefault="00057B2C" w:rsidP="00057B2C">
      <w:pPr>
        <w:rPr>
          <w:position w:val="5"/>
          <w:sz w:val="14"/>
        </w:rPr>
      </w:pPr>
      <w:r>
        <w:t>MG is relatively uncommon, with an estimated annual global incidence of 7 to 30 new cases per million people.</w:t>
      </w:r>
      <w:r w:rsidR="00636D0A">
        <w:fldChar w:fldCharType="begin"/>
      </w:r>
      <w:r w:rsidR="00636D0A">
        <w:instrText xml:space="preserve"> NOTEREF _Ref223438517 \f </w:instrText>
      </w:r>
      <w:r w:rsidR="00636D0A">
        <w:fldChar w:fldCharType="separate"/>
      </w:r>
      <w:r w:rsidR="00636D0A" w:rsidRPr="00636D0A">
        <w:rPr>
          <w:rStyle w:val="FootnoteReference"/>
        </w:rPr>
        <w:t>3</w:t>
      </w:r>
      <w:r w:rsidR="00636D0A">
        <w:rPr>
          <w:rStyle w:val="FootnoteReference"/>
        </w:rPr>
        <w:fldChar w:fldCharType="end"/>
      </w:r>
      <w:r>
        <w:t xml:space="preserve"> </w:t>
      </w:r>
      <w:r w:rsidRPr="00434719">
        <w:rPr>
          <w:rStyle w:val="FootnoteReference"/>
        </w:rPr>
        <w:t xml:space="preserve"> </w:t>
      </w:r>
      <w:r>
        <w:t>It can occur at any age, however, a bimodal distribution has been characterised, with an early peak in the second and third decades which shows a female predominance, and a late peak in the sixth to eighth decades which shows a male predominance.</w:t>
      </w:r>
      <w:r w:rsidR="00636D0A">
        <w:fldChar w:fldCharType="begin"/>
      </w:r>
      <w:r w:rsidR="00636D0A">
        <w:instrText xml:space="preserve"> NOTEREF _Ref223438517 \f </w:instrText>
      </w:r>
      <w:r w:rsidR="00636D0A">
        <w:fldChar w:fldCharType="separate"/>
      </w:r>
      <w:r w:rsidR="00636D0A" w:rsidRPr="00636D0A">
        <w:rPr>
          <w:rStyle w:val="FootnoteReference"/>
        </w:rPr>
        <w:t>3</w:t>
      </w:r>
      <w:r w:rsidR="00636D0A">
        <w:rPr>
          <w:rStyle w:val="FootnoteReference"/>
        </w:rPr>
        <w:fldChar w:fldCharType="end"/>
      </w:r>
      <w:r>
        <w:rPr>
          <w:spacing w:val="25"/>
          <w:position w:val="5"/>
          <w:sz w:val="14"/>
        </w:rPr>
        <w:t xml:space="preserve"> </w:t>
      </w:r>
      <w:r>
        <w:t>Estimated Australian</w:t>
      </w:r>
      <w:r>
        <w:rPr>
          <w:spacing w:val="-1"/>
        </w:rPr>
        <w:t xml:space="preserve"> </w:t>
      </w:r>
      <w:r>
        <w:t>incidence</w:t>
      </w:r>
      <w:r>
        <w:rPr>
          <w:spacing w:val="-2"/>
        </w:rPr>
        <w:t xml:space="preserve"> </w:t>
      </w:r>
      <w:r>
        <w:t>is 24.9 per 1 million</w:t>
      </w:r>
      <w:r>
        <w:rPr>
          <w:spacing w:val="-1"/>
        </w:rPr>
        <w:t xml:space="preserve"> </w:t>
      </w:r>
      <w:r>
        <w:t>residents,</w:t>
      </w:r>
      <w:r>
        <w:rPr>
          <w:spacing w:val="-2"/>
        </w:rPr>
        <w:t xml:space="preserve"> </w:t>
      </w:r>
      <w:r>
        <w:t>in</w:t>
      </w:r>
      <w:r>
        <w:rPr>
          <w:spacing w:val="-1"/>
        </w:rPr>
        <w:t xml:space="preserve"> </w:t>
      </w:r>
      <w:r>
        <w:t>line with global estimates, with estimated prevalence</w:t>
      </w:r>
      <w:r>
        <w:rPr>
          <w:spacing w:val="-2"/>
        </w:rPr>
        <w:t xml:space="preserve"> </w:t>
      </w:r>
      <w:r>
        <w:t>117</w:t>
      </w:r>
      <w:r>
        <w:rPr>
          <w:spacing w:val="-2"/>
        </w:rPr>
        <w:t xml:space="preserve"> </w:t>
      </w:r>
      <w:r>
        <w:t>per</w:t>
      </w:r>
      <w:r>
        <w:rPr>
          <w:spacing w:val="-4"/>
        </w:rPr>
        <w:t xml:space="preserve"> </w:t>
      </w:r>
      <w:r>
        <w:t>million.</w:t>
      </w:r>
      <w:r w:rsidR="00C74E19">
        <w:rPr>
          <w:rStyle w:val="FootnoteReference"/>
        </w:rPr>
        <w:footnoteReference w:id="7"/>
      </w:r>
      <w:r>
        <w:t xml:space="preserve"> With</w:t>
      </w:r>
      <w:r>
        <w:rPr>
          <w:spacing w:val="-2"/>
        </w:rPr>
        <w:t xml:space="preserve"> </w:t>
      </w:r>
      <w:r>
        <w:t>appropriate</w:t>
      </w:r>
      <w:r>
        <w:rPr>
          <w:spacing w:val="-2"/>
        </w:rPr>
        <w:t xml:space="preserve"> </w:t>
      </w:r>
      <w:r>
        <w:t>treatment,</w:t>
      </w:r>
      <w:r>
        <w:rPr>
          <w:spacing w:val="-2"/>
        </w:rPr>
        <w:t xml:space="preserve"> </w:t>
      </w:r>
      <w:r>
        <w:t>prognosis</w:t>
      </w:r>
      <w:r>
        <w:rPr>
          <w:spacing w:val="-1"/>
        </w:rPr>
        <w:t xml:space="preserve"> </w:t>
      </w:r>
      <w:r>
        <w:t>in</w:t>
      </w:r>
      <w:r>
        <w:rPr>
          <w:spacing w:val="-3"/>
        </w:rPr>
        <w:t xml:space="preserve"> </w:t>
      </w:r>
      <w:r>
        <w:t>terms</w:t>
      </w:r>
      <w:r>
        <w:rPr>
          <w:spacing w:val="-1"/>
        </w:rPr>
        <w:t xml:space="preserve"> </w:t>
      </w:r>
      <w:r>
        <w:t>of</w:t>
      </w:r>
      <w:r>
        <w:rPr>
          <w:spacing w:val="-2"/>
        </w:rPr>
        <w:t xml:space="preserve"> </w:t>
      </w:r>
      <w:r>
        <w:t>muscle</w:t>
      </w:r>
      <w:r>
        <w:rPr>
          <w:spacing w:val="-4"/>
        </w:rPr>
        <w:t xml:space="preserve"> </w:t>
      </w:r>
      <w:r>
        <w:t>strength, function, quality of life and survival is generally good.</w:t>
      </w:r>
      <w:r w:rsidR="008C29B1">
        <w:fldChar w:fldCharType="begin"/>
      </w:r>
      <w:r w:rsidR="008C29B1">
        <w:instrText xml:space="preserve"> NOTEREF _Ref223438328 \f </w:instrText>
      </w:r>
      <w:r w:rsidR="008C29B1">
        <w:fldChar w:fldCharType="separate"/>
      </w:r>
      <w:r w:rsidR="008C29B1" w:rsidRPr="008C29B1">
        <w:rPr>
          <w:rStyle w:val="FootnoteReference"/>
        </w:rPr>
        <w:t>2</w:t>
      </w:r>
      <w:r w:rsidR="008C29B1">
        <w:rPr>
          <w:rStyle w:val="FootnoteReference"/>
        </w:rPr>
        <w:fldChar w:fldCharType="end"/>
      </w:r>
    </w:p>
    <w:p w14:paraId="255E083A" w14:textId="4C722564" w:rsidR="00CB6813" w:rsidRDefault="00CB6813" w:rsidP="00420F7D">
      <w:pPr>
        <w:pStyle w:val="Heading4"/>
      </w:pPr>
      <w:bookmarkStart w:id="24" w:name="_Toc225173539"/>
      <w:r w:rsidRPr="00420F7D">
        <w:t>Current treatment options</w:t>
      </w:r>
      <w:bookmarkEnd w:id="24"/>
    </w:p>
    <w:p w14:paraId="4757A190" w14:textId="1F0F284E" w:rsidR="00804B1C" w:rsidRDefault="009F1375" w:rsidP="009F1375">
      <w:pPr>
        <w:rPr>
          <w:spacing w:val="31"/>
          <w:position w:val="5"/>
          <w:sz w:val="16"/>
          <w:szCs w:val="16"/>
        </w:rPr>
      </w:pPr>
      <w:r>
        <w:t>The goals of MG treatment are remission of symptoms and maximisation of function, whil</w:t>
      </w:r>
      <w:r w:rsidR="00E46B20">
        <w:t>e</w:t>
      </w:r>
      <w:r>
        <w:t xml:space="preserve"> minimising medication side effects. There are four primary therapeutic options</w:t>
      </w:r>
      <w:r w:rsidR="00177969">
        <w:t>:</w:t>
      </w:r>
      <w:r>
        <w:t xml:space="preserve"> symptomatic treatment, consisting of acetylcholinesterase inhibition usually with pyridostigmine</w:t>
      </w:r>
      <w:r w:rsidR="00177969">
        <w:t>;</w:t>
      </w:r>
      <w:r>
        <w:t xml:space="preserve"> chronic immunotherapies</w:t>
      </w:r>
      <w:r>
        <w:rPr>
          <w:spacing w:val="-4"/>
        </w:rPr>
        <w:t xml:space="preserve"> </w:t>
      </w:r>
      <w:r>
        <w:t>including</w:t>
      </w:r>
      <w:r>
        <w:rPr>
          <w:spacing w:val="-4"/>
        </w:rPr>
        <w:t xml:space="preserve"> </w:t>
      </w:r>
      <w:r>
        <w:t>corticosteroids</w:t>
      </w:r>
      <w:r>
        <w:rPr>
          <w:spacing w:val="-4"/>
        </w:rPr>
        <w:t xml:space="preserve"> </w:t>
      </w:r>
      <w:r>
        <w:t>and</w:t>
      </w:r>
      <w:r>
        <w:rPr>
          <w:spacing w:val="-5"/>
        </w:rPr>
        <w:t xml:space="preserve"> </w:t>
      </w:r>
      <w:r>
        <w:t>nonsteroidal</w:t>
      </w:r>
      <w:r>
        <w:rPr>
          <w:spacing w:val="-7"/>
        </w:rPr>
        <w:t xml:space="preserve"> </w:t>
      </w:r>
      <w:r>
        <w:t>immunosuppressive</w:t>
      </w:r>
      <w:r>
        <w:rPr>
          <w:spacing w:val="-5"/>
        </w:rPr>
        <w:t xml:space="preserve"> </w:t>
      </w:r>
      <w:r>
        <w:t>agents</w:t>
      </w:r>
      <w:r w:rsidR="00177969">
        <w:t>;</w:t>
      </w:r>
      <w:r>
        <w:rPr>
          <w:spacing w:val="-5"/>
        </w:rPr>
        <w:t xml:space="preserve"> </w:t>
      </w:r>
      <w:r>
        <w:t>rapid but short-acting immunomodulators including intravenous immunoglobulin (IVIg) and plasma exchange</w:t>
      </w:r>
      <w:r w:rsidR="0027615D">
        <w:t>;</w:t>
      </w:r>
      <w:r>
        <w:t xml:space="preserve"> and surgical thymectomy.</w:t>
      </w:r>
      <w:bookmarkStart w:id="25" w:name="_Ref223440695"/>
      <w:r w:rsidR="003747F1">
        <w:rPr>
          <w:rStyle w:val="FootnoteReference"/>
        </w:rPr>
        <w:footnoteReference w:id="8"/>
      </w:r>
      <w:bookmarkEnd w:id="25"/>
      <w:r w:rsidRPr="00A464EA">
        <w:rPr>
          <w:spacing w:val="31"/>
          <w:position w:val="5"/>
          <w:sz w:val="16"/>
          <w:szCs w:val="16"/>
        </w:rPr>
        <w:t xml:space="preserve"> </w:t>
      </w:r>
    </w:p>
    <w:p w14:paraId="764574F9" w14:textId="161CBCAC" w:rsidR="009F1375" w:rsidRDefault="009F1375" w:rsidP="009F1375">
      <w:pPr>
        <w:rPr>
          <w:position w:val="5"/>
          <w:sz w:val="14"/>
        </w:rPr>
      </w:pPr>
      <w:r>
        <w:t>Treatment approach is variable, depending on specific clinical features, severity, autoantibody status, presence of thymic abnormalities, and treatment availability.</w:t>
      </w:r>
      <w:r w:rsidR="00526ABA">
        <w:fldChar w:fldCharType="begin"/>
      </w:r>
      <w:r w:rsidR="00526ABA">
        <w:instrText xml:space="preserve"> NOTEREF _Ref223438328 \f </w:instrText>
      </w:r>
      <w:r w:rsidR="00526ABA">
        <w:fldChar w:fldCharType="separate"/>
      </w:r>
      <w:r w:rsidR="00526ABA" w:rsidRPr="00526ABA">
        <w:rPr>
          <w:rStyle w:val="FootnoteReference"/>
        </w:rPr>
        <w:t>2</w:t>
      </w:r>
      <w:r w:rsidR="00526ABA">
        <w:rPr>
          <w:rStyle w:val="FootnoteReference"/>
        </w:rPr>
        <w:fldChar w:fldCharType="end"/>
      </w:r>
      <w:r w:rsidR="00FB7CFB" w:rsidRPr="00FB7CFB">
        <w:rPr>
          <w:vertAlign w:val="superscript"/>
        </w:rPr>
        <w:t>,</w:t>
      </w:r>
      <w:r w:rsidR="00FB7CFB">
        <w:rPr>
          <w:vertAlign w:val="superscript"/>
        </w:rPr>
        <w:t xml:space="preserve"> </w:t>
      </w:r>
      <w:r w:rsidR="00FB7CFB">
        <w:fldChar w:fldCharType="begin"/>
      </w:r>
      <w:r w:rsidR="00FB7CFB">
        <w:instrText xml:space="preserve"> NOTEREF _Ref223439351 \f </w:instrText>
      </w:r>
      <w:r w:rsidR="00FB7CFB">
        <w:fldChar w:fldCharType="separate"/>
      </w:r>
      <w:r w:rsidR="00FB7CFB" w:rsidRPr="00FB7CFB">
        <w:rPr>
          <w:rStyle w:val="FootnoteReference"/>
        </w:rPr>
        <w:t>5</w:t>
      </w:r>
      <w:r w:rsidR="00FB7CFB">
        <w:rPr>
          <w:rStyle w:val="FootnoteReference"/>
        </w:rPr>
        <w:fldChar w:fldCharType="end"/>
      </w:r>
    </w:p>
    <w:p w14:paraId="0F6F86E2" w14:textId="0375B37B" w:rsidR="009158D1" w:rsidRPr="000C7406" w:rsidRDefault="009F1375" w:rsidP="009F1375">
      <w:pPr>
        <w:rPr>
          <w:rStyle w:val="FootnoteReference"/>
        </w:rPr>
      </w:pPr>
      <w:r>
        <w:t>Pyridostigmine</w:t>
      </w:r>
      <w:r w:rsidRPr="000C7406">
        <w:t xml:space="preserve"> </w:t>
      </w:r>
      <w:r>
        <w:t>is</w:t>
      </w:r>
      <w:r w:rsidRPr="000C7406">
        <w:t xml:space="preserve"> </w:t>
      </w:r>
      <w:r>
        <w:t>generally</w:t>
      </w:r>
      <w:r w:rsidRPr="000C7406">
        <w:t xml:space="preserve"> </w:t>
      </w:r>
      <w:r w:rsidR="00EC49AF">
        <w:t xml:space="preserve">the </w:t>
      </w:r>
      <w:r>
        <w:t>preferred</w:t>
      </w:r>
      <w:r w:rsidRPr="000C7406">
        <w:t xml:space="preserve"> </w:t>
      </w:r>
      <w:r>
        <w:t>option</w:t>
      </w:r>
      <w:r w:rsidRPr="000C7406">
        <w:t xml:space="preserve"> </w:t>
      </w:r>
      <w:r>
        <w:t>for</w:t>
      </w:r>
      <w:r w:rsidRPr="000C7406">
        <w:t xml:space="preserve"> </w:t>
      </w:r>
      <w:r>
        <w:t>symptomatic</w:t>
      </w:r>
      <w:r w:rsidRPr="000C7406">
        <w:t xml:space="preserve"> </w:t>
      </w:r>
      <w:r>
        <w:t>treatment</w:t>
      </w:r>
      <w:r w:rsidRPr="000C7406">
        <w:t xml:space="preserve"> </w:t>
      </w:r>
      <w:r>
        <w:t>and</w:t>
      </w:r>
      <w:r w:rsidRPr="000C7406">
        <w:t xml:space="preserve"> </w:t>
      </w:r>
      <w:r>
        <w:t>is</w:t>
      </w:r>
      <w:r w:rsidRPr="000C7406">
        <w:t xml:space="preserve"> </w:t>
      </w:r>
      <w:r>
        <w:t>part</w:t>
      </w:r>
      <w:r w:rsidRPr="000C7406">
        <w:t xml:space="preserve"> </w:t>
      </w:r>
      <w:r>
        <w:t>of</w:t>
      </w:r>
      <w:r w:rsidRPr="000C7406">
        <w:t xml:space="preserve"> </w:t>
      </w:r>
      <w:r>
        <w:t xml:space="preserve">initial </w:t>
      </w:r>
      <w:r w:rsidR="000C7406">
        <w:t>t</w:t>
      </w:r>
      <w:r>
        <w:t>reatment in most patients</w:t>
      </w:r>
      <w:r w:rsidR="00A30141">
        <w:t>.</w:t>
      </w:r>
      <w:bookmarkStart w:id="26" w:name="_Ref223440610"/>
      <w:r w:rsidR="00391D12" w:rsidRPr="000C7406">
        <w:rPr>
          <w:rStyle w:val="FootnoteReference"/>
        </w:rPr>
        <w:footnoteReference w:customMarkFollows="1" w:id="9"/>
        <w:t>9</w:t>
      </w:r>
      <w:bookmarkEnd w:id="26"/>
      <w:r w:rsidR="000C7406">
        <w:t xml:space="preserve"> </w:t>
      </w:r>
      <w:r w:rsidR="00A30141">
        <w:t>W</w:t>
      </w:r>
      <w:r>
        <w:t>hil</w:t>
      </w:r>
      <w:r w:rsidR="00351CCC">
        <w:t>e</w:t>
      </w:r>
      <w:r>
        <w:t xml:space="preserve"> all subgroups of disease respond to acetylcholinesterase inhibition</w:t>
      </w:r>
      <w:r w:rsidR="00D608FD">
        <w:t>,</w:t>
      </w:r>
      <w:r>
        <w:t xml:space="preserve"> those with anti-</w:t>
      </w:r>
      <w:proofErr w:type="spellStart"/>
      <w:r>
        <w:t>MuSK</w:t>
      </w:r>
      <w:proofErr w:type="spellEnd"/>
      <w:r>
        <w:t xml:space="preserve"> antibodies generally respond less favourably to symptomatic treatment.</w:t>
      </w:r>
      <w:r w:rsidRPr="000C7406">
        <w:rPr>
          <w:rStyle w:val="FootnoteReference"/>
        </w:rPr>
        <w:t>2</w:t>
      </w:r>
      <w:r w:rsidRPr="000C7406">
        <w:t xml:space="preserve"> </w:t>
      </w:r>
      <w:r>
        <w:t xml:space="preserve">Most patients with </w:t>
      </w:r>
      <w:proofErr w:type="spellStart"/>
      <w:r>
        <w:t>gMG</w:t>
      </w:r>
      <w:proofErr w:type="spellEnd"/>
      <w:r>
        <w:t xml:space="preserve"> require additional immunosuppressive therapy to achieve treatment goals.</w:t>
      </w:r>
      <w:r w:rsidRPr="000C7406">
        <w:rPr>
          <w:rStyle w:val="FootnoteReference"/>
        </w:rPr>
        <w:t xml:space="preserve">2, 8 </w:t>
      </w:r>
    </w:p>
    <w:p w14:paraId="552B6A41" w14:textId="405F9DF5" w:rsidR="009158D1" w:rsidRDefault="009F1375" w:rsidP="009F1375">
      <w:pPr>
        <w:rPr>
          <w:spacing w:val="15"/>
          <w:position w:val="5"/>
          <w:sz w:val="14"/>
        </w:rPr>
      </w:pPr>
      <w:r>
        <w:lastRenderedPageBreak/>
        <w:t>Corticosteroids are used commonly either alone or in combination with a nonsteroidal agent such as azathioprine or mycophenolate.</w:t>
      </w:r>
      <w:r w:rsidR="009578A0">
        <w:fldChar w:fldCharType="begin"/>
      </w:r>
      <w:r w:rsidR="009578A0">
        <w:instrText xml:space="preserve"> NOTEREF _Ref223438328 \f </w:instrText>
      </w:r>
      <w:r w:rsidR="009578A0">
        <w:fldChar w:fldCharType="separate"/>
      </w:r>
      <w:r w:rsidR="009578A0" w:rsidRPr="009578A0">
        <w:rPr>
          <w:rStyle w:val="FootnoteReference"/>
        </w:rPr>
        <w:t>2</w:t>
      </w:r>
      <w:r w:rsidR="009578A0">
        <w:rPr>
          <w:rStyle w:val="FootnoteReference"/>
        </w:rPr>
        <w:fldChar w:fldCharType="end"/>
      </w:r>
      <w:r w:rsidRPr="004F0C2E">
        <w:rPr>
          <w:rStyle w:val="FootnoteReference"/>
        </w:rPr>
        <w:t xml:space="preserve">, </w:t>
      </w:r>
      <w:r w:rsidR="009578A0">
        <w:fldChar w:fldCharType="begin"/>
      </w:r>
      <w:r w:rsidR="009578A0">
        <w:rPr>
          <w:rStyle w:val="FootnoteReference"/>
        </w:rPr>
        <w:instrText xml:space="preserve"> NOTEREF _Ref223440610 \f </w:instrText>
      </w:r>
      <w:r w:rsidR="009578A0">
        <w:fldChar w:fldCharType="separate"/>
      </w:r>
      <w:r w:rsidR="009578A0" w:rsidRPr="009578A0">
        <w:rPr>
          <w:rStyle w:val="FootnoteReference"/>
        </w:rPr>
        <w:t>9</w:t>
      </w:r>
      <w:r w:rsidR="009578A0">
        <w:fldChar w:fldCharType="end"/>
      </w:r>
      <w:r w:rsidR="009578A0">
        <w:t xml:space="preserve"> </w:t>
      </w:r>
      <w:r>
        <w:t>Other nonsteroidal options include cyclosporine, methotrexate and tacrolimus, with significant variance seen in clinical practice.</w:t>
      </w:r>
      <w:r>
        <w:rPr>
          <w:position w:val="5"/>
          <w:sz w:val="14"/>
        </w:rPr>
        <w:t>9</w:t>
      </w:r>
      <w:r>
        <w:rPr>
          <w:spacing w:val="15"/>
          <w:position w:val="5"/>
          <w:sz w:val="14"/>
        </w:rPr>
        <w:t xml:space="preserve"> </w:t>
      </w:r>
    </w:p>
    <w:p w14:paraId="4E82AF68" w14:textId="4A9618E3" w:rsidR="009158D1" w:rsidRDefault="009F1375" w:rsidP="00245C46">
      <w:pPr>
        <w:pStyle w:val="ListBullet"/>
        <w:rPr>
          <w:spacing w:val="30"/>
          <w:position w:val="5"/>
          <w:sz w:val="14"/>
        </w:rPr>
      </w:pPr>
      <w:r>
        <w:t>Rituximab</w:t>
      </w:r>
      <w:r>
        <w:rPr>
          <w:spacing w:val="-2"/>
        </w:rPr>
        <w:t xml:space="preserve"> </w:t>
      </w:r>
      <w:r>
        <w:t>is a</w:t>
      </w:r>
      <w:r>
        <w:rPr>
          <w:spacing w:val="-1"/>
        </w:rPr>
        <w:t xml:space="preserve"> </w:t>
      </w:r>
      <w:r>
        <w:t>treatment</w:t>
      </w:r>
      <w:r>
        <w:rPr>
          <w:spacing w:val="-1"/>
        </w:rPr>
        <w:t xml:space="preserve"> </w:t>
      </w:r>
      <w:r>
        <w:t>option</w:t>
      </w:r>
      <w:r>
        <w:rPr>
          <w:spacing w:val="-4"/>
        </w:rPr>
        <w:t xml:space="preserve"> </w:t>
      </w:r>
      <w:r>
        <w:t>in</w:t>
      </w:r>
      <w:r>
        <w:rPr>
          <w:spacing w:val="-2"/>
        </w:rPr>
        <w:t xml:space="preserve"> </w:t>
      </w:r>
      <w:r>
        <w:t>patients with</w:t>
      </w:r>
      <w:r>
        <w:rPr>
          <w:spacing w:val="-3"/>
        </w:rPr>
        <w:t xml:space="preserve"> </w:t>
      </w:r>
      <w:r>
        <w:t>insufficient</w:t>
      </w:r>
      <w:r>
        <w:rPr>
          <w:spacing w:val="-1"/>
        </w:rPr>
        <w:t xml:space="preserve"> </w:t>
      </w:r>
      <w:r>
        <w:t>response</w:t>
      </w:r>
      <w:r>
        <w:rPr>
          <w:spacing w:val="-1"/>
        </w:rPr>
        <w:t xml:space="preserve"> </w:t>
      </w:r>
      <w:r>
        <w:t>to</w:t>
      </w:r>
      <w:r>
        <w:rPr>
          <w:spacing w:val="-1"/>
        </w:rPr>
        <w:t xml:space="preserve"> </w:t>
      </w:r>
      <w:r>
        <w:t>therapy,</w:t>
      </w:r>
      <w:r>
        <w:rPr>
          <w:spacing w:val="-1"/>
        </w:rPr>
        <w:t xml:space="preserve"> </w:t>
      </w:r>
      <w:r>
        <w:t>with consensus guidelines specifically advocating its use in patients who are anti-</w:t>
      </w:r>
      <w:proofErr w:type="spellStart"/>
      <w:r>
        <w:t>MuSK</w:t>
      </w:r>
      <w:proofErr w:type="spellEnd"/>
      <w:r>
        <w:t xml:space="preserve"> antibody positive with an inadequate response to initial immunotherapy.</w:t>
      </w:r>
      <w:r w:rsidR="00E44A21">
        <w:rPr>
          <w:rStyle w:val="FootnoteReference"/>
          <w:spacing w:val="30"/>
          <w:position w:val="5"/>
          <w:sz w:val="14"/>
        </w:rPr>
        <w:t xml:space="preserve"> </w:t>
      </w:r>
      <w:bookmarkStart w:id="27" w:name="_Ref223440673"/>
      <w:r w:rsidR="00E44A21" w:rsidRPr="002D3A07">
        <w:rPr>
          <w:rStyle w:val="FootnoteReference"/>
        </w:rPr>
        <w:footnoteReference w:customMarkFollows="1" w:id="10"/>
        <w:t>1</w:t>
      </w:r>
      <w:bookmarkEnd w:id="27"/>
      <w:r w:rsidR="00E44A21" w:rsidRPr="002D3A07">
        <w:rPr>
          <w:rStyle w:val="FootnoteReference"/>
        </w:rPr>
        <w:t>0</w:t>
      </w:r>
      <w:r w:rsidRPr="00E44A21">
        <w:rPr>
          <w:spacing w:val="30"/>
          <w:position w:val="5"/>
          <w:szCs w:val="22"/>
        </w:rPr>
        <w:t xml:space="preserve"> </w:t>
      </w:r>
    </w:p>
    <w:p w14:paraId="407A4479" w14:textId="17A5445A" w:rsidR="009158D1" w:rsidRDefault="009F1375" w:rsidP="009F1375">
      <w:pPr>
        <w:rPr>
          <w:spacing w:val="25"/>
          <w:position w:val="5"/>
          <w:sz w:val="14"/>
        </w:rPr>
      </w:pPr>
      <w:r>
        <w:t>Eculizumab, a humanised monoclonal antibody against the terminal C5 complement molecule, may be used in severe or refractory disease in anti-</w:t>
      </w:r>
      <w:proofErr w:type="spellStart"/>
      <w:r>
        <w:t>AChR</w:t>
      </w:r>
      <w:proofErr w:type="spellEnd"/>
      <w:r>
        <w:t xml:space="preserve"> antibody positive patients.</w:t>
      </w:r>
      <w:r w:rsidR="00615853">
        <w:fldChar w:fldCharType="begin"/>
      </w:r>
      <w:r w:rsidR="00615853">
        <w:instrText xml:space="preserve"> NOTEREF _Ref223440673 \f </w:instrText>
      </w:r>
      <w:r w:rsidR="00615853">
        <w:fldChar w:fldCharType="separate"/>
      </w:r>
      <w:r w:rsidR="00615853" w:rsidRPr="00615853">
        <w:rPr>
          <w:rStyle w:val="FootnoteReference"/>
        </w:rPr>
        <w:t>10</w:t>
      </w:r>
      <w:r w:rsidR="00615853">
        <w:rPr>
          <w:rStyle w:val="FootnoteReference"/>
        </w:rPr>
        <w:fldChar w:fldCharType="end"/>
      </w:r>
      <w:r>
        <w:rPr>
          <w:spacing w:val="27"/>
          <w:position w:val="5"/>
          <w:sz w:val="14"/>
        </w:rPr>
        <w:t xml:space="preserve"> </w:t>
      </w:r>
      <w:r>
        <w:t xml:space="preserve">Other biologic therapies including </w:t>
      </w:r>
      <w:proofErr w:type="spellStart"/>
      <w:r>
        <w:t>ravulizumab</w:t>
      </w:r>
      <w:proofErr w:type="spellEnd"/>
      <w:r>
        <w:rPr>
          <w:spacing w:val="-1"/>
        </w:rPr>
        <w:t xml:space="preserve"> </w:t>
      </w:r>
      <w:r>
        <w:t xml:space="preserve">and </w:t>
      </w:r>
      <w:proofErr w:type="spellStart"/>
      <w:r>
        <w:t>zilucoplan</w:t>
      </w:r>
      <w:proofErr w:type="spellEnd"/>
      <w:r>
        <w:t>, which both act on</w:t>
      </w:r>
      <w:r>
        <w:rPr>
          <w:spacing w:val="-1"/>
        </w:rPr>
        <w:t xml:space="preserve"> </w:t>
      </w:r>
      <w:r>
        <w:t>complement activation,</w:t>
      </w:r>
      <w:r>
        <w:rPr>
          <w:spacing w:val="-2"/>
        </w:rPr>
        <w:t xml:space="preserve"> </w:t>
      </w:r>
      <w:r>
        <w:t>have an</w:t>
      </w:r>
      <w:r>
        <w:rPr>
          <w:spacing w:val="-1"/>
        </w:rPr>
        <w:t xml:space="preserve"> </w:t>
      </w:r>
      <w:r>
        <w:t>emerging role</w:t>
      </w:r>
      <w:r>
        <w:rPr>
          <w:spacing w:val="-2"/>
        </w:rPr>
        <w:t xml:space="preserve"> </w:t>
      </w:r>
      <w:r>
        <w:t>in treatment.</w:t>
      </w:r>
      <w:r w:rsidR="00554532">
        <w:fldChar w:fldCharType="begin"/>
      </w:r>
      <w:r w:rsidR="00554532">
        <w:instrText xml:space="preserve"> NOTEREF _Ref223440695 \f </w:instrText>
      </w:r>
      <w:r w:rsidR="00554532">
        <w:fldChar w:fldCharType="separate"/>
      </w:r>
      <w:r w:rsidR="00554532" w:rsidRPr="00554532">
        <w:rPr>
          <w:rStyle w:val="FootnoteReference"/>
        </w:rPr>
        <w:t>8</w:t>
      </w:r>
      <w:r w:rsidR="00554532">
        <w:rPr>
          <w:rStyle w:val="FootnoteReference"/>
        </w:rPr>
        <w:fldChar w:fldCharType="end"/>
      </w:r>
      <w:r>
        <w:rPr>
          <w:spacing w:val="25"/>
          <w:position w:val="5"/>
          <w:sz w:val="14"/>
        </w:rPr>
        <w:t xml:space="preserve"> </w:t>
      </w:r>
    </w:p>
    <w:p w14:paraId="61A57B40" w14:textId="713617E3" w:rsidR="009F1375" w:rsidRDefault="00CF2E5F" w:rsidP="009F1375">
      <w:pPr>
        <w:rPr>
          <w:position w:val="5"/>
          <w:sz w:val="14"/>
        </w:rPr>
      </w:pPr>
      <w:r>
        <w:t>Th</w:t>
      </w:r>
      <w:r w:rsidR="009F1375">
        <w:t>ymectomy is a therapeutic option for patients with demonstrated thymoma, and for</w:t>
      </w:r>
      <w:r w:rsidR="009F1375">
        <w:rPr>
          <w:spacing w:val="-1"/>
        </w:rPr>
        <w:t xml:space="preserve"> </w:t>
      </w:r>
      <w:r w:rsidR="009F1375">
        <w:t>certain</w:t>
      </w:r>
      <w:r w:rsidR="009F1375">
        <w:rPr>
          <w:spacing w:val="-2"/>
        </w:rPr>
        <w:t xml:space="preserve"> </w:t>
      </w:r>
      <w:r w:rsidR="009F1375">
        <w:t>patient</w:t>
      </w:r>
      <w:r w:rsidR="009F1375">
        <w:rPr>
          <w:spacing w:val="-1"/>
        </w:rPr>
        <w:t xml:space="preserve"> </w:t>
      </w:r>
      <w:r w:rsidR="009F1375">
        <w:t>subgroups without</w:t>
      </w:r>
      <w:r w:rsidR="009F1375">
        <w:rPr>
          <w:spacing w:val="-1"/>
        </w:rPr>
        <w:t xml:space="preserve"> </w:t>
      </w:r>
      <w:r w:rsidR="009F1375">
        <w:t>thymoma.</w:t>
      </w:r>
      <w:r w:rsidR="00670FB2">
        <w:fldChar w:fldCharType="begin"/>
      </w:r>
      <w:r w:rsidR="00670FB2">
        <w:instrText xml:space="preserve"> NOTEREF _Ref223440695 \f </w:instrText>
      </w:r>
      <w:r w:rsidR="00670FB2">
        <w:fldChar w:fldCharType="separate"/>
      </w:r>
      <w:r w:rsidR="00670FB2" w:rsidRPr="00670FB2">
        <w:rPr>
          <w:rStyle w:val="FootnoteReference"/>
        </w:rPr>
        <w:t>8</w:t>
      </w:r>
      <w:r w:rsidR="00670FB2">
        <w:rPr>
          <w:rStyle w:val="FootnoteReference"/>
        </w:rPr>
        <w:fldChar w:fldCharType="end"/>
      </w:r>
      <w:r w:rsidR="009F1375">
        <w:rPr>
          <w:spacing w:val="15"/>
          <w:position w:val="5"/>
          <w:sz w:val="14"/>
        </w:rPr>
        <w:t xml:space="preserve"> </w:t>
      </w:r>
      <w:r w:rsidR="009F1375">
        <w:t>For</w:t>
      </w:r>
      <w:r w:rsidR="009F1375">
        <w:rPr>
          <w:spacing w:val="-1"/>
        </w:rPr>
        <w:t xml:space="preserve"> </w:t>
      </w:r>
      <w:r w:rsidR="009F1375">
        <w:t>acute</w:t>
      </w:r>
      <w:r w:rsidR="009F1375">
        <w:rPr>
          <w:spacing w:val="-1"/>
        </w:rPr>
        <w:t xml:space="preserve"> </w:t>
      </w:r>
      <w:r w:rsidR="009F1375">
        <w:t>exacerbations,</w:t>
      </w:r>
      <w:r w:rsidR="009F1375">
        <w:rPr>
          <w:spacing w:val="-3"/>
        </w:rPr>
        <w:t xml:space="preserve"> </w:t>
      </w:r>
      <w:r w:rsidR="009F1375">
        <w:t>including</w:t>
      </w:r>
      <w:r w:rsidR="009F1375">
        <w:rPr>
          <w:spacing w:val="-2"/>
        </w:rPr>
        <w:t xml:space="preserve"> </w:t>
      </w:r>
      <w:r w:rsidR="009F1375">
        <w:t>myasthenic crisis,</w:t>
      </w:r>
      <w:r w:rsidR="009F1375">
        <w:rPr>
          <w:spacing w:val="-3"/>
        </w:rPr>
        <w:t xml:space="preserve"> </w:t>
      </w:r>
      <w:r w:rsidR="009F1375">
        <w:t>rapid</w:t>
      </w:r>
      <w:r w:rsidR="009F1375">
        <w:rPr>
          <w:spacing w:val="-3"/>
        </w:rPr>
        <w:t xml:space="preserve"> </w:t>
      </w:r>
      <w:r w:rsidR="009F1375">
        <w:t>acting</w:t>
      </w:r>
      <w:r w:rsidR="009F1375">
        <w:rPr>
          <w:spacing w:val="-2"/>
        </w:rPr>
        <w:t xml:space="preserve"> </w:t>
      </w:r>
      <w:r w:rsidR="009F1375">
        <w:t>treatment</w:t>
      </w:r>
      <w:r w:rsidR="009F1375">
        <w:rPr>
          <w:spacing w:val="-3"/>
        </w:rPr>
        <w:t xml:space="preserve"> </w:t>
      </w:r>
      <w:r w:rsidR="009F1375">
        <w:t>options</w:t>
      </w:r>
      <w:r w:rsidR="009F1375">
        <w:rPr>
          <w:spacing w:val="-2"/>
        </w:rPr>
        <w:t xml:space="preserve"> </w:t>
      </w:r>
      <w:r w:rsidR="009F1375">
        <w:t>including</w:t>
      </w:r>
      <w:r w:rsidR="009F1375">
        <w:rPr>
          <w:spacing w:val="-2"/>
        </w:rPr>
        <w:t xml:space="preserve"> </w:t>
      </w:r>
      <w:r w:rsidR="009F1375">
        <w:t>IVIg</w:t>
      </w:r>
      <w:r w:rsidR="009F1375">
        <w:rPr>
          <w:spacing w:val="-4"/>
        </w:rPr>
        <w:t xml:space="preserve"> </w:t>
      </w:r>
      <w:r w:rsidR="009F1375">
        <w:t>and</w:t>
      </w:r>
      <w:r w:rsidR="009F1375">
        <w:rPr>
          <w:spacing w:val="-3"/>
        </w:rPr>
        <w:t xml:space="preserve"> </w:t>
      </w:r>
      <w:r w:rsidR="009F1375">
        <w:t>plasma</w:t>
      </w:r>
      <w:r w:rsidR="009F1375">
        <w:rPr>
          <w:spacing w:val="-3"/>
        </w:rPr>
        <w:t xml:space="preserve"> </w:t>
      </w:r>
      <w:r w:rsidR="009F1375">
        <w:t>exchange</w:t>
      </w:r>
      <w:r w:rsidR="009F1375">
        <w:rPr>
          <w:spacing w:val="-3"/>
        </w:rPr>
        <w:t xml:space="preserve"> </w:t>
      </w:r>
      <w:r w:rsidR="009F1375">
        <w:t>can</w:t>
      </w:r>
      <w:r w:rsidR="009F1375">
        <w:rPr>
          <w:spacing w:val="-6"/>
        </w:rPr>
        <w:t xml:space="preserve"> </w:t>
      </w:r>
      <w:r w:rsidR="009F1375">
        <w:t>be</w:t>
      </w:r>
      <w:r w:rsidR="009F1375">
        <w:rPr>
          <w:spacing w:val="-3"/>
        </w:rPr>
        <w:t xml:space="preserve"> </w:t>
      </w:r>
      <w:r w:rsidR="009F1375">
        <w:t>used</w:t>
      </w:r>
      <w:r w:rsidR="009F1375">
        <w:rPr>
          <w:spacing w:val="-3"/>
        </w:rPr>
        <w:t xml:space="preserve"> </w:t>
      </w:r>
      <w:r w:rsidR="009F1375">
        <w:t>alongside a combination of supportive care, symptomatic</w:t>
      </w:r>
      <w:r w:rsidR="00245C46">
        <w:t>,</w:t>
      </w:r>
      <w:r w:rsidR="009F1375">
        <w:t xml:space="preserve"> and immunosuppressive treatment.</w:t>
      </w:r>
      <w:r w:rsidR="00670FB2">
        <w:fldChar w:fldCharType="begin"/>
      </w:r>
      <w:r w:rsidR="00670FB2">
        <w:instrText xml:space="preserve"> NOTEREF _Ref223438328 \f </w:instrText>
      </w:r>
      <w:r w:rsidR="00670FB2">
        <w:fldChar w:fldCharType="separate"/>
      </w:r>
      <w:r w:rsidR="00670FB2" w:rsidRPr="00670FB2">
        <w:rPr>
          <w:rStyle w:val="FootnoteReference"/>
        </w:rPr>
        <w:t>2</w:t>
      </w:r>
      <w:r w:rsidR="00670FB2">
        <w:rPr>
          <w:rStyle w:val="FootnoteReference"/>
        </w:rPr>
        <w:fldChar w:fldCharType="end"/>
      </w:r>
      <w:r w:rsidR="00AB5661">
        <w:rPr>
          <w:vertAlign w:val="superscript"/>
        </w:rPr>
        <w:t>,</w:t>
      </w:r>
      <w:r w:rsidR="00670FB2">
        <w:t xml:space="preserve"> </w:t>
      </w:r>
      <w:r w:rsidR="00670FB2">
        <w:fldChar w:fldCharType="begin"/>
      </w:r>
      <w:r w:rsidR="00670FB2">
        <w:instrText xml:space="preserve"> NOTEREF _Ref223440695 \f </w:instrText>
      </w:r>
      <w:r w:rsidR="00670FB2">
        <w:fldChar w:fldCharType="separate"/>
      </w:r>
      <w:r w:rsidR="00670FB2" w:rsidRPr="00670FB2">
        <w:rPr>
          <w:rStyle w:val="FootnoteReference"/>
        </w:rPr>
        <w:t>8</w:t>
      </w:r>
      <w:r w:rsidR="00670FB2">
        <w:rPr>
          <w:rStyle w:val="FootnoteReference"/>
        </w:rPr>
        <w:fldChar w:fldCharType="end"/>
      </w:r>
      <w:r w:rsidR="00AB5661">
        <w:rPr>
          <w:vertAlign w:val="superscript"/>
        </w:rPr>
        <w:t>,</w:t>
      </w:r>
      <w:r w:rsidR="00670FB2">
        <w:t xml:space="preserve"> </w:t>
      </w:r>
      <w:r w:rsidR="00670FB2">
        <w:fldChar w:fldCharType="begin"/>
      </w:r>
      <w:r w:rsidR="00670FB2">
        <w:instrText xml:space="preserve"> NOTEREF _Ref223440610 \f </w:instrText>
      </w:r>
      <w:r w:rsidR="00670FB2">
        <w:fldChar w:fldCharType="separate"/>
      </w:r>
      <w:r w:rsidR="00670FB2" w:rsidRPr="00670FB2">
        <w:rPr>
          <w:rStyle w:val="FootnoteReference"/>
        </w:rPr>
        <w:t>9</w:t>
      </w:r>
      <w:r w:rsidR="00670FB2">
        <w:rPr>
          <w:rStyle w:val="FootnoteReference"/>
        </w:rPr>
        <w:fldChar w:fldCharType="end"/>
      </w:r>
    </w:p>
    <w:p w14:paraId="24763DC3" w14:textId="77777777" w:rsidR="009F1375" w:rsidRDefault="009F1375" w:rsidP="009F1375">
      <w:r>
        <w:t>The</w:t>
      </w:r>
      <w:r>
        <w:rPr>
          <w:spacing w:val="-7"/>
        </w:rPr>
        <w:t xml:space="preserve"> </w:t>
      </w:r>
      <w:r>
        <w:t>ARTG</w:t>
      </w:r>
      <w:r>
        <w:rPr>
          <w:spacing w:val="-4"/>
        </w:rPr>
        <w:t xml:space="preserve"> </w:t>
      </w:r>
      <w:r>
        <w:t>currently</w:t>
      </w:r>
      <w:r>
        <w:rPr>
          <w:spacing w:val="-5"/>
        </w:rPr>
        <w:t xml:space="preserve"> </w:t>
      </w:r>
      <w:r>
        <w:t>includes</w:t>
      </w:r>
      <w:r>
        <w:rPr>
          <w:spacing w:val="-3"/>
        </w:rPr>
        <w:t xml:space="preserve"> </w:t>
      </w:r>
      <w:r>
        <w:t>the</w:t>
      </w:r>
      <w:r>
        <w:rPr>
          <w:spacing w:val="-4"/>
        </w:rPr>
        <w:t xml:space="preserve"> </w:t>
      </w:r>
      <w:r>
        <w:t>following</w:t>
      </w:r>
      <w:r>
        <w:rPr>
          <w:spacing w:val="-4"/>
        </w:rPr>
        <w:t xml:space="preserve"> </w:t>
      </w:r>
      <w:r>
        <w:t>products</w:t>
      </w:r>
      <w:r>
        <w:rPr>
          <w:spacing w:val="-3"/>
        </w:rPr>
        <w:t xml:space="preserve"> </w:t>
      </w:r>
      <w:r>
        <w:t>with</w:t>
      </w:r>
      <w:r>
        <w:rPr>
          <w:spacing w:val="-3"/>
        </w:rPr>
        <w:t xml:space="preserve"> </w:t>
      </w:r>
      <w:r>
        <w:t>an</w:t>
      </w:r>
      <w:r>
        <w:rPr>
          <w:spacing w:val="-7"/>
        </w:rPr>
        <w:t xml:space="preserve"> </w:t>
      </w:r>
      <w:r>
        <w:t>indication</w:t>
      </w:r>
      <w:r>
        <w:rPr>
          <w:spacing w:val="-5"/>
        </w:rPr>
        <w:t xml:space="preserve"> </w:t>
      </w:r>
      <w:r>
        <w:t>for</w:t>
      </w:r>
      <w:r>
        <w:rPr>
          <w:spacing w:val="-4"/>
        </w:rPr>
        <w:t xml:space="preserve"> </w:t>
      </w:r>
      <w:r>
        <w:rPr>
          <w:spacing w:val="-5"/>
        </w:rPr>
        <w:t>MG:</w:t>
      </w:r>
    </w:p>
    <w:p w14:paraId="672C30D0" w14:textId="77777777" w:rsidR="009F1375" w:rsidRPr="00207A13" w:rsidRDefault="009F1375" w:rsidP="00207A13">
      <w:pPr>
        <w:pStyle w:val="ListBullet"/>
        <w:numPr>
          <w:ilvl w:val="0"/>
          <w:numId w:val="31"/>
        </w:numPr>
        <w:ind w:left="357" w:hanging="357"/>
        <w:rPr>
          <w:szCs w:val="22"/>
        </w:rPr>
      </w:pPr>
      <w:r w:rsidRPr="00207A13">
        <w:rPr>
          <w:szCs w:val="22"/>
        </w:rPr>
        <w:t>Neostigmine, indicated for ‘… treatment of myasthenia gravis during acute exacerbations, when the condition is severe or in neonates.’</w:t>
      </w:r>
    </w:p>
    <w:p w14:paraId="255986A3" w14:textId="77777777" w:rsidR="009F1375" w:rsidRPr="00207A13" w:rsidRDefault="009F1375" w:rsidP="00207A13">
      <w:pPr>
        <w:pStyle w:val="ListBullet"/>
        <w:numPr>
          <w:ilvl w:val="0"/>
          <w:numId w:val="31"/>
        </w:numPr>
        <w:ind w:left="357" w:hanging="357"/>
        <w:rPr>
          <w:szCs w:val="22"/>
        </w:rPr>
      </w:pPr>
      <w:r w:rsidRPr="00207A13">
        <w:rPr>
          <w:szCs w:val="22"/>
        </w:rPr>
        <w:t>Normal immunoglobulin, indicated for ‘… Myasthenia Gravis (MG) in acute exacerbation (myasthenia crisis) or prior to surgery and/or thymectomy: as maintenance therapy for moderate to severe MG when other treatments have been ineffective or caused intolerable side effects.’</w:t>
      </w:r>
    </w:p>
    <w:p w14:paraId="768EE458" w14:textId="77777777" w:rsidR="009F1375" w:rsidRPr="00207A13" w:rsidRDefault="009F1375" w:rsidP="00207A13">
      <w:pPr>
        <w:pStyle w:val="ListBullet"/>
        <w:numPr>
          <w:ilvl w:val="0"/>
          <w:numId w:val="31"/>
        </w:numPr>
        <w:ind w:left="357" w:hanging="357"/>
        <w:rPr>
          <w:szCs w:val="22"/>
        </w:rPr>
      </w:pPr>
      <w:r w:rsidRPr="00207A13">
        <w:rPr>
          <w:szCs w:val="22"/>
        </w:rPr>
        <w:t>Pyridostigmine, indicated for ‘… treatment of myasthenia gravis.’</w:t>
      </w:r>
    </w:p>
    <w:p w14:paraId="62DAE898" w14:textId="20200158" w:rsidR="009F1375" w:rsidRPr="00207A13" w:rsidRDefault="009F1375" w:rsidP="00207A13">
      <w:pPr>
        <w:pStyle w:val="ListBullet"/>
        <w:numPr>
          <w:ilvl w:val="0"/>
          <w:numId w:val="31"/>
        </w:numPr>
        <w:ind w:left="357" w:hanging="357"/>
        <w:rPr>
          <w:szCs w:val="22"/>
        </w:rPr>
      </w:pPr>
      <w:proofErr w:type="spellStart"/>
      <w:r w:rsidRPr="00207A13">
        <w:rPr>
          <w:szCs w:val="22"/>
        </w:rPr>
        <w:t>Ravulizumab</w:t>
      </w:r>
      <w:proofErr w:type="spellEnd"/>
      <w:r w:rsidRPr="00207A13">
        <w:rPr>
          <w:szCs w:val="22"/>
        </w:rPr>
        <w:t>, indicated ‘… as an add-on to standard therapy for the treatment of adult patients with generalised myasthenia gravis (</w:t>
      </w:r>
      <w:proofErr w:type="spellStart"/>
      <w:r w:rsidRPr="00207A13">
        <w:rPr>
          <w:szCs w:val="22"/>
        </w:rPr>
        <w:t>gMG</w:t>
      </w:r>
      <w:proofErr w:type="spellEnd"/>
      <w:r w:rsidRPr="00207A13">
        <w:rPr>
          <w:szCs w:val="22"/>
        </w:rPr>
        <w:t>) who are anti-acetylcholine receptor (</w:t>
      </w:r>
      <w:proofErr w:type="spellStart"/>
      <w:r w:rsidRPr="00207A13">
        <w:rPr>
          <w:szCs w:val="22"/>
        </w:rPr>
        <w:t>AChR</w:t>
      </w:r>
      <w:proofErr w:type="spellEnd"/>
      <w:r w:rsidRPr="00207A13">
        <w:rPr>
          <w:szCs w:val="22"/>
        </w:rPr>
        <w:t>) antibody-positive’.</w:t>
      </w:r>
    </w:p>
    <w:p w14:paraId="031A0D54" w14:textId="77777777" w:rsidR="009F1375" w:rsidRPr="00207A13" w:rsidRDefault="009F1375" w:rsidP="00207A13">
      <w:pPr>
        <w:pStyle w:val="ListBullet"/>
        <w:numPr>
          <w:ilvl w:val="0"/>
          <w:numId w:val="31"/>
        </w:numPr>
        <w:ind w:left="357" w:hanging="357"/>
        <w:rPr>
          <w:szCs w:val="22"/>
        </w:rPr>
      </w:pPr>
      <w:proofErr w:type="spellStart"/>
      <w:r w:rsidRPr="00207A13">
        <w:rPr>
          <w:szCs w:val="22"/>
        </w:rPr>
        <w:t>Zilucoplan</w:t>
      </w:r>
      <w:proofErr w:type="spellEnd"/>
      <w:r w:rsidRPr="00207A13">
        <w:rPr>
          <w:szCs w:val="22"/>
        </w:rPr>
        <w:t xml:space="preserve"> tetrasodium, indicated ‘… as an add-on to standard therapy for the treatment of generalised myasthenia gravis (</w:t>
      </w:r>
      <w:proofErr w:type="spellStart"/>
      <w:r w:rsidRPr="00207A13">
        <w:rPr>
          <w:szCs w:val="22"/>
        </w:rPr>
        <w:t>gMG</w:t>
      </w:r>
      <w:proofErr w:type="spellEnd"/>
      <w:r w:rsidRPr="00207A13">
        <w:rPr>
          <w:szCs w:val="22"/>
        </w:rPr>
        <w:t>) in adult patients who are anti-acetylcholine receptor (</w:t>
      </w:r>
      <w:proofErr w:type="spellStart"/>
      <w:r w:rsidRPr="00207A13">
        <w:rPr>
          <w:szCs w:val="22"/>
        </w:rPr>
        <w:t>AChR</w:t>
      </w:r>
      <w:proofErr w:type="spellEnd"/>
      <w:r w:rsidRPr="00207A13">
        <w:rPr>
          <w:szCs w:val="22"/>
        </w:rPr>
        <w:t>) antibody positive.’</w:t>
      </w:r>
    </w:p>
    <w:p w14:paraId="58C96215" w14:textId="1F26D6AC" w:rsidR="009515D1" w:rsidRDefault="009515D1" w:rsidP="009515D1">
      <w:pPr>
        <w:pStyle w:val="Heading4"/>
      </w:pPr>
      <w:bookmarkStart w:id="28" w:name="_bookmark7"/>
      <w:bookmarkStart w:id="29" w:name="_Toc225173540"/>
      <w:bookmarkEnd w:id="28"/>
      <w:r>
        <w:t>C</w:t>
      </w:r>
      <w:r w:rsidRPr="00DE1344">
        <w:t>linical rational</w:t>
      </w:r>
      <w:r>
        <w:t>e</w:t>
      </w:r>
      <w:bookmarkEnd w:id="29"/>
    </w:p>
    <w:p w14:paraId="6B97B65F" w14:textId="5BDB608F" w:rsidR="00CE1ACD" w:rsidRDefault="00CE1ACD" w:rsidP="00CE1ACD">
      <w:r>
        <w:t>Efgartigimod alfa is a human IgG1 antibody Fc fragment, engineered for increased affinity to the neonatal Fc [fragment crystallizable] receptor (</w:t>
      </w:r>
      <w:proofErr w:type="spellStart"/>
      <w:r>
        <w:t>FcRn</w:t>
      </w:r>
      <w:proofErr w:type="spellEnd"/>
      <w:r>
        <w:t xml:space="preserve">), functioning as an </w:t>
      </w:r>
      <w:proofErr w:type="spellStart"/>
      <w:r>
        <w:t>FcRn</w:t>
      </w:r>
      <w:proofErr w:type="spellEnd"/>
      <w:r>
        <w:t xml:space="preserve"> antagonist.</w:t>
      </w:r>
      <w:r>
        <w:rPr>
          <w:spacing w:val="-1"/>
        </w:rPr>
        <w:t xml:space="preserve"> </w:t>
      </w:r>
      <w:proofErr w:type="spellStart"/>
      <w:r>
        <w:t>FcRn</w:t>
      </w:r>
      <w:proofErr w:type="spellEnd"/>
      <w:r>
        <w:rPr>
          <w:spacing w:val="-2"/>
        </w:rPr>
        <w:t xml:space="preserve"> </w:t>
      </w:r>
      <w:r>
        <w:t>is widely</w:t>
      </w:r>
      <w:r>
        <w:rPr>
          <w:spacing w:val="-4"/>
        </w:rPr>
        <w:t xml:space="preserve"> </w:t>
      </w:r>
      <w:r>
        <w:t>expressed</w:t>
      </w:r>
      <w:r>
        <w:rPr>
          <w:spacing w:val="-1"/>
        </w:rPr>
        <w:t xml:space="preserve"> </w:t>
      </w:r>
      <w:r>
        <w:t>across different</w:t>
      </w:r>
      <w:r>
        <w:rPr>
          <w:spacing w:val="-1"/>
        </w:rPr>
        <w:t xml:space="preserve"> </w:t>
      </w:r>
      <w:r>
        <w:t>human</w:t>
      </w:r>
      <w:r>
        <w:rPr>
          <w:spacing w:val="-2"/>
        </w:rPr>
        <w:t xml:space="preserve"> </w:t>
      </w:r>
      <w:r>
        <w:t>cell</w:t>
      </w:r>
      <w:r>
        <w:rPr>
          <w:spacing w:val="-1"/>
        </w:rPr>
        <w:t xml:space="preserve"> </w:t>
      </w:r>
      <w:r>
        <w:t>types and</w:t>
      </w:r>
      <w:r>
        <w:rPr>
          <w:spacing w:val="-1"/>
        </w:rPr>
        <w:t xml:space="preserve"> </w:t>
      </w:r>
      <w:r>
        <w:t>has a</w:t>
      </w:r>
      <w:r>
        <w:rPr>
          <w:spacing w:val="-1"/>
        </w:rPr>
        <w:t xml:space="preserve"> </w:t>
      </w:r>
      <w:r>
        <w:t>specific role</w:t>
      </w:r>
      <w:r>
        <w:rPr>
          <w:spacing w:val="-3"/>
        </w:rPr>
        <w:t xml:space="preserve"> </w:t>
      </w:r>
      <w:r>
        <w:t>in recycling</w:t>
      </w:r>
      <w:r>
        <w:rPr>
          <w:spacing w:val="-3"/>
        </w:rPr>
        <w:t xml:space="preserve"> </w:t>
      </w:r>
      <w:r>
        <w:t>of</w:t>
      </w:r>
      <w:r>
        <w:rPr>
          <w:spacing w:val="-4"/>
        </w:rPr>
        <w:t xml:space="preserve"> </w:t>
      </w:r>
      <w:r>
        <w:t>all</w:t>
      </w:r>
      <w:r>
        <w:rPr>
          <w:spacing w:val="-4"/>
        </w:rPr>
        <w:t xml:space="preserve"> </w:t>
      </w:r>
      <w:r>
        <w:t>IgG</w:t>
      </w:r>
      <w:r>
        <w:rPr>
          <w:spacing w:val="-4"/>
        </w:rPr>
        <w:t xml:space="preserve"> </w:t>
      </w:r>
      <w:r>
        <w:t>subtypes,</w:t>
      </w:r>
      <w:r>
        <w:rPr>
          <w:spacing w:val="-4"/>
        </w:rPr>
        <w:t xml:space="preserve"> </w:t>
      </w:r>
      <w:r>
        <w:t>rescuing</w:t>
      </w:r>
      <w:r>
        <w:rPr>
          <w:spacing w:val="-3"/>
        </w:rPr>
        <w:t xml:space="preserve"> </w:t>
      </w:r>
      <w:r>
        <w:t>them</w:t>
      </w:r>
      <w:r>
        <w:rPr>
          <w:spacing w:val="-3"/>
        </w:rPr>
        <w:t xml:space="preserve"> </w:t>
      </w:r>
      <w:r>
        <w:t>from</w:t>
      </w:r>
      <w:r>
        <w:rPr>
          <w:spacing w:val="-3"/>
        </w:rPr>
        <w:t xml:space="preserve"> </w:t>
      </w:r>
      <w:r>
        <w:t>lysosomal</w:t>
      </w:r>
      <w:r>
        <w:rPr>
          <w:spacing w:val="-4"/>
        </w:rPr>
        <w:t xml:space="preserve"> </w:t>
      </w:r>
      <w:r>
        <w:t>destruction.</w:t>
      </w:r>
      <w:r>
        <w:rPr>
          <w:spacing w:val="-4"/>
        </w:rPr>
        <w:t xml:space="preserve"> </w:t>
      </w:r>
      <w:r>
        <w:t>Efgartigimod</w:t>
      </w:r>
      <w:r>
        <w:rPr>
          <w:spacing w:val="-4"/>
        </w:rPr>
        <w:t xml:space="preserve"> </w:t>
      </w:r>
      <w:r>
        <w:t xml:space="preserve">competes with endogenous IgG binding, thus preventing </w:t>
      </w:r>
      <w:proofErr w:type="spellStart"/>
      <w:r>
        <w:t>FcRn</w:t>
      </w:r>
      <w:proofErr w:type="spellEnd"/>
      <w:r>
        <w:t xml:space="preserve">-mediated recycling of </w:t>
      </w:r>
      <w:proofErr w:type="spellStart"/>
      <w:r>
        <w:t>IgGs</w:t>
      </w:r>
      <w:proofErr w:type="spellEnd"/>
      <w:r>
        <w:t>, leading to increased IgG degradation. This process affects all IgG subtypes, resulting in reduced IgG levels in serum.</w:t>
      </w:r>
    </w:p>
    <w:p w14:paraId="6EE55139" w14:textId="77777777" w:rsidR="00D23D1D" w:rsidRDefault="00CE1ACD" w:rsidP="00CE1ACD">
      <w:pPr>
        <w:rPr>
          <w:spacing w:val="-3"/>
        </w:rPr>
      </w:pPr>
      <w:r>
        <w:t>The sponsor’s stated rationale for product development notes that current treatment options for generalised myasthenia gravis (</w:t>
      </w:r>
      <w:proofErr w:type="spellStart"/>
      <w:r>
        <w:t>gMG</w:t>
      </w:r>
      <w:proofErr w:type="spellEnd"/>
      <w:r>
        <w:t>) may provide inadequate disease control or are associated with risk of serious side-effects or patient inconvenience, whil</w:t>
      </w:r>
      <w:r w:rsidR="00D23D1D">
        <w:t>e</w:t>
      </w:r>
      <w:r>
        <w:t xml:space="preserve"> commonly used medicines</w:t>
      </w:r>
      <w:r>
        <w:rPr>
          <w:spacing w:val="-3"/>
        </w:rPr>
        <w:t xml:space="preserve"> </w:t>
      </w:r>
      <w:r>
        <w:t>such</w:t>
      </w:r>
      <w:r>
        <w:rPr>
          <w:spacing w:val="-3"/>
        </w:rPr>
        <w:t xml:space="preserve"> </w:t>
      </w:r>
      <w:r>
        <w:t>as</w:t>
      </w:r>
      <w:r>
        <w:rPr>
          <w:spacing w:val="-3"/>
        </w:rPr>
        <w:t xml:space="preserve"> </w:t>
      </w:r>
      <w:r>
        <w:t>corticosteroids</w:t>
      </w:r>
      <w:r>
        <w:rPr>
          <w:spacing w:val="-3"/>
        </w:rPr>
        <w:t xml:space="preserve"> </w:t>
      </w:r>
      <w:r>
        <w:t>or</w:t>
      </w:r>
      <w:r>
        <w:rPr>
          <w:spacing w:val="-4"/>
        </w:rPr>
        <w:t xml:space="preserve"> </w:t>
      </w:r>
      <w:r>
        <w:t>non-steroidal</w:t>
      </w:r>
      <w:r>
        <w:rPr>
          <w:spacing w:val="-4"/>
        </w:rPr>
        <w:t xml:space="preserve"> </w:t>
      </w:r>
      <w:r>
        <w:t>immunosuppressive</w:t>
      </w:r>
      <w:r>
        <w:rPr>
          <w:spacing w:val="-4"/>
        </w:rPr>
        <w:t xml:space="preserve"> </w:t>
      </w:r>
      <w:r>
        <w:t>drugs</w:t>
      </w:r>
      <w:r>
        <w:rPr>
          <w:spacing w:val="-5"/>
        </w:rPr>
        <w:t xml:space="preserve"> </w:t>
      </w:r>
      <w:r>
        <w:t>lack</w:t>
      </w:r>
      <w:r>
        <w:rPr>
          <w:spacing w:val="-5"/>
        </w:rPr>
        <w:t xml:space="preserve"> </w:t>
      </w:r>
      <w:r>
        <w:t>randomised controlled trial data in</w:t>
      </w:r>
      <w:r>
        <w:rPr>
          <w:spacing w:val="-4"/>
        </w:rPr>
        <w:t xml:space="preserve"> </w:t>
      </w:r>
      <w:r>
        <w:t>myasthenia</w:t>
      </w:r>
      <w:r>
        <w:rPr>
          <w:spacing w:val="-3"/>
        </w:rPr>
        <w:t xml:space="preserve"> </w:t>
      </w:r>
      <w:r>
        <w:t>gravis (MG) and</w:t>
      </w:r>
      <w:r>
        <w:rPr>
          <w:spacing w:val="-3"/>
        </w:rPr>
        <w:t xml:space="preserve"> </w:t>
      </w:r>
      <w:r>
        <w:t>are often</w:t>
      </w:r>
      <w:r>
        <w:rPr>
          <w:spacing w:val="-2"/>
        </w:rPr>
        <w:t xml:space="preserve"> </w:t>
      </w:r>
      <w:r>
        <w:t xml:space="preserve">used </w:t>
      </w:r>
      <w:proofErr w:type="gramStart"/>
      <w:r>
        <w:t>off-label</w:t>
      </w:r>
      <w:proofErr w:type="gramEnd"/>
      <w:r>
        <w:t>.</w:t>
      </w:r>
      <w:r>
        <w:rPr>
          <w:spacing w:val="-3"/>
        </w:rPr>
        <w:t xml:space="preserve"> </w:t>
      </w:r>
    </w:p>
    <w:p w14:paraId="363C3ADF" w14:textId="4E135202" w:rsidR="00CE1ACD" w:rsidRDefault="006353CD" w:rsidP="00DB69DC">
      <w:pPr>
        <w:pageBreakBefore/>
      </w:pPr>
      <w:r>
        <w:lastRenderedPageBreak/>
        <w:t>Additionally, t</w:t>
      </w:r>
      <w:r w:rsidR="00CE1ACD">
        <w:t>he sponsor</w:t>
      </w:r>
      <w:r w:rsidR="00CE1ACD">
        <w:rPr>
          <w:spacing w:val="-4"/>
        </w:rPr>
        <w:t xml:space="preserve"> </w:t>
      </w:r>
      <w:r w:rsidR="00CE1ACD">
        <w:t>states that the solution for subcutaneous injection formulation was developed with the aim of improving treatment flexibility for patients. The solution for subcutaneous injection is formulated with human recombinant hyaluronidase (rHuPH20), intended to increase dispersion and absorption of efgartigimod.</w:t>
      </w:r>
    </w:p>
    <w:p w14:paraId="0D615854" w14:textId="4CAAAA36" w:rsidR="00324B33" w:rsidRPr="003F31A2" w:rsidRDefault="00324B33" w:rsidP="00324B33">
      <w:pPr>
        <w:pStyle w:val="Heading3"/>
      </w:pPr>
      <w:bookmarkStart w:id="30" w:name="_Toc103679291"/>
      <w:bookmarkStart w:id="31" w:name="_Toc225173541"/>
      <w:r>
        <w:t>Regulatory status</w:t>
      </w:r>
      <w:bookmarkEnd w:id="16"/>
      <w:bookmarkEnd w:id="17"/>
      <w:bookmarkEnd w:id="30"/>
      <w:r w:rsidR="006353CD">
        <w:t xml:space="preserve"> at the time of assessment</w:t>
      </w:r>
      <w:bookmarkEnd w:id="31"/>
    </w:p>
    <w:p w14:paraId="72C889D6" w14:textId="7E200950" w:rsidR="0017005C" w:rsidRPr="00BD5DBD" w:rsidRDefault="0017005C" w:rsidP="00741AB9">
      <w:pPr>
        <w:pStyle w:val="Heading4"/>
      </w:pPr>
      <w:bookmarkStart w:id="32" w:name="_Toc225173542"/>
      <w:r w:rsidRPr="00BD5DBD">
        <w:t>Australian regulatory</w:t>
      </w:r>
      <w:r>
        <w:t xml:space="preserve"> sta</w:t>
      </w:r>
      <w:r w:rsidR="0025785B">
        <w:t>t</w:t>
      </w:r>
      <w:r>
        <w:t>us</w:t>
      </w:r>
      <w:bookmarkEnd w:id="32"/>
    </w:p>
    <w:p w14:paraId="6A8633FA" w14:textId="70374237"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546C1031" w14:textId="4EF98FA1" w:rsidR="0017005C" w:rsidRDefault="00131B1B" w:rsidP="0017005C">
      <w:pPr>
        <w:pStyle w:val="Heading4"/>
      </w:pPr>
      <w:bookmarkStart w:id="33" w:name="_Toc225173543"/>
      <w:r>
        <w:t xml:space="preserve">International </w:t>
      </w:r>
      <w:r w:rsidR="0017005C" w:rsidRPr="00BD5DBD">
        <w:t>regulatory</w:t>
      </w:r>
      <w:r w:rsidR="0017005C">
        <w:t xml:space="preserve"> status</w:t>
      </w:r>
      <w:bookmarkEnd w:id="33"/>
    </w:p>
    <w:p w14:paraId="79EC0762" w14:textId="7E07250A" w:rsidR="00C133AB" w:rsidRDefault="00C133AB" w:rsidP="00C52B7B">
      <w:pPr>
        <w:rPr>
          <w:szCs w:val="22"/>
        </w:rPr>
      </w:pPr>
      <w:r w:rsidRPr="00BD5DBD">
        <w:rPr>
          <w:szCs w:val="22"/>
        </w:rPr>
        <w:t xml:space="preserve">This submission was submitted through the TGA’s </w:t>
      </w:r>
      <w:hyperlink r:id="rId21" w:history="1">
        <w:r w:rsidRPr="00BD5DBD">
          <w:rPr>
            <w:rStyle w:val="Hyperlink"/>
            <w:szCs w:val="22"/>
          </w:rPr>
          <w:t>Comparable Overseas Regulator</w:t>
        </w:r>
      </w:hyperlink>
      <w:r w:rsidRPr="00BD5DBD">
        <w:rPr>
          <w:szCs w:val="22"/>
        </w:rPr>
        <w:t xml:space="preserve"> </w:t>
      </w:r>
      <w:r w:rsidRPr="00070DD9">
        <w:rPr>
          <w:szCs w:val="22"/>
        </w:rPr>
        <w:t>(COR-B)</w:t>
      </w:r>
      <w:r w:rsidRPr="00BD5DBD">
        <w:rPr>
          <w:szCs w:val="22"/>
        </w:rPr>
        <w:t xml:space="preserve"> process, using evaluation reports from </w:t>
      </w:r>
      <w:r w:rsidR="00070DD9">
        <w:rPr>
          <w:color w:val="000000" w:themeColor="text1"/>
        </w:rPr>
        <w:t xml:space="preserve">the </w:t>
      </w:r>
      <w:r w:rsidR="00B46BAA">
        <w:rPr>
          <w:color w:val="000000" w:themeColor="text1"/>
        </w:rPr>
        <w:t xml:space="preserve">European </w:t>
      </w:r>
      <w:r w:rsidR="008B4570">
        <w:rPr>
          <w:color w:val="000000" w:themeColor="text1"/>
        </w:rPr>
        <w:t>Medicines Agency (EMA)</w:t>
      </w:r>
      <w:r w:rsidR="00B46BAA">
        <w:rPr>
          <w:color w:val="000000" w:themeColor="text1"/>
        </w:rPr>
        <w:t xml:space="preserve"> </w:t>
      </w:r>
      <w:r w:rsidRPr="0017005C">
        <w:t>.</w:t>
      </w:r>
      <w:r w:rsidRPr="00BD5DBD">
        <w:rPr>
          <w:iCs/>
          <w:szCs w:val="22"/>
        </w:rPr>
        <w:t xml:space="preserve"> </w:t>
      </w:r>
      <w:r w:rsidRPr="00BD5DBD">
        <w:rPr>
          <w:szCs w:val="22"/>
        </w:rPr>
        <w:t>The full dossier was submitted to the TGA.</w:t>
      </w:r>
    </w:p>
    <w:p w14:paraId="733E07A1" w14:textId="2DB7A2C7" w:rsidR="009E609C" w:rsidRPr="00C133AB" w:rsidRDefault="009E609C" w:rsidP="00C52B7B">
      <w:r>
        <w:t>The 400 mg/20 mL concentrated solution for intravenous infusion formulation received EMA marketing authorisation on 10 August 2022, and the 1000 mg/5.6 mL solution for injection formulation received EMA marketing authorisation</w:t>
      </w:r>
      <w:r>
        <w:rPr>
          <w:spacing w:val="-3"/>
        </w:rPr>
        <w:t xml:space="preserve"> </w:t>
      </w:r>
      <w:r>
        <w:t>on</w:t>
      </w:r>
      <w:r>
        <w:rPr>
          <w:spacing w:val="-4"/>
        </w:rPr>
        <w:t xml:space="preserve"> </w:t>
      </w:r>
      <w:r>
        <w:t>15</w:t>
      </w:r>
      <w:r>
        <w:rPr>
          <w:spacing w:val="-3"/>
        </w:rPr>
        <w:t xml:space="preserve"> </w:t>
      </w:r>
      <w:r>
        <w:t>December</w:t>
      </w:r>
      <w:r>
        <w:rPr>
          <w:spacing w:val="-3"/>
        </w:rPr>
        <w:t xml:space="preserve"> </w:t>
      </w:r>
      <w:r>
        <w:t>2023,</w:t>
      </w:r>
      <w:r>
        <w:rPr>
          <w:spacing w:val="-3"/>
        </w:rPr>
        <w:t xml:space="preserve"> </w:t>
      </w:r>
      <w:r>
        <w:t>as</w:t>
      </w:r>
      <w:r>
        <w:rPr>
          <w:spacing w:val="-2"/>
        </w:rPr>
        <w:t xml:space="preserve"> </w:t>
      </w:r>
      <w:r>
        <w:t>an</w:t>
      </w:r>
      <w:r>
        <w:rPr>
          <w:spacing w:val="-3"/>
        </w:rPr>
        <w:t xml:space="preserve"> </w:t>
      </w:r>
      <w:r>
        <w:t>extension</w:t>
      </w:r>
      <w:r>
        <w:rPr>
          <w:spacing w:val="-4"/>
        </w:rPr>
        <w:t xml:space="preserve"> </w:t>
      </w:r>
      <w:r>
        <w:t>of</w:t>
      </w:r>
      <w:r>
        <w:rPr>
          <w:spacing w:val="-3"/>
        </w:rPr>
        <w:t xml:space="preserve"> </w:t>
      </w:r>
      <w:r>
        <w:t>the</w:t>
      </w:r>
      <w:r>
        <w:rPr>
          <w:spacing w:val="-3"/>
        </w:rPr>
        <w:t xml:space="preserve"> </w:t>
      </w:r>
      <w:r>
        <w:t>marketing</w:t>
      </w:r>
      <w:r>
        <w:rPr>
          <w:spacing w:val="-2"/>
        </w:rPr>
        <w:t xml:space="preserve"> </w:t>
      </w:r>
      <w:r>
        <w:t>authorisation</w:t>
      </w:r>
      <w:r>
        <w:rPr>
          <w:spacing w:val="-3"/>
        </w:rPr>
        <w:t xml:space="preserve"> </w:t>
      </w:r>
      <w:r>
        <w:t>for</w:t>
      </w:r>
      <w:r>
        <w:rPr>
          <w:spacing w:val="-3"/>
        </w:rPr>
        <w:t xml:space="preserve"> </w:t>
      </w:r>
      <w:r>
        <w:t>addition of the new strength, pharmaceutical form, and route of administration.</w:t>
      </w:r>
    </w:p>
    <w:p w14:paraId="7E9E9BB6" w14:textId="77777777" w:rsidR="00056BD9" w:rsidRDefault="005B05F6" w:rsidP="005B05F6">
      <w:bookmarkStart w:id="34" w:name="_Ref99705479"/>
      <w:r>
        <w:t xml:space="preserve">Current international regulatory status for both the IV and SC formulations is summarised in Table 2. Of note, the indication sought in this application is </w:t>
      </w:r>
      <w:proofErr w:type="gramStart"/>
      <w:r>
        <w:t>similar to</w:t>
      </w:r>
      <w:proofErr w:type="gramEnd"/>
      <w:r>
        <w:t xml:space="preserve"> approved indications in the European Union (EMA), United States (FDA) and Canada (Health Canada). Orphan drug designation was granted by FDA on 20 September 2017 and by EMA on 21 March 2018. </w:t>
      </w:r>
    </w:p>
    <w:p w14:paraId="43D2E038" w14:textId="30B7921C" w:rsidR="005B05F6" w:rsidRDefault="005B05F6" w:rsidP="005B05F6">
      <w:r>
        <w:t>The sponsor</w:t>
      </w:r>
      <w:r>
        <w:rPr>
          <w:spacing w:val="-3"/>
        </w:rPr>
        <w:t xml:space="preserve"> </w:t>
      </w:r>
      <w:r>
        <w:t>has</w:t>
      </w:r>
      <w:r>
        <w:rPr>
          <w:spacing w:val="-2"/>
        </w:rPr>
        <w:t xml:space="preserve"> </w:t>
      </w:r>
      <w:r>
        <w:t>confirmed</w:t>
      </w:r>
      <w:r>
        <w:rPr>
          <w:spacing w:val="-3"/>
        </w:rPr>
        <w:t xml:space="preserve"> </w:t>
      </w:r>
      <w:r>
        <w:t>that</w:t>
      </w:r>
      <w:r>
        <w:rPr>
          <w:spacing w:val="-3"/>
        </w:rPr>
        <w:t xml:space="preserve"> </w:t>
      </w:r>
      <w:r w:rsidR="00EB79A1">
        <w:t>no</w:t>
      </w:r>
      <w:r>
        <w:rPr>
          <w:spacing w:val="-4"/>
        </w:rPr>
        <w:t xml:space="preserve"> </w:t>
      </w:r>
      <w:r>
        <w:t>application</w:t>
      </w:r>
      <w:r>
        <w:rPr>
          <w:spacing w:val="-4"/>
        </w:rPr>
        <w:t xml:space="preserve"> </w:t>
      </w:r>
      <w:r>
        <w:t>to</w:t>
      </w:r>
      <w:r>
        <w:rPr>
          <w:spacing w:val="-3"/>
        </w:rPr>
        <w:t xml:space="preserve"> </w:t>
      </w:r>
      <w:r>
        <w:t>register</w:t>
      </w:r>
      <w:r>
        <w:rPr>
          <w:spacing w:val="-3"/>
        </w:rPr>
        <w:t xml:space="preserve"> </w:t>
      </w:r>
      <w:r w:rsidR="00056BD9">
        <w:t>Vy</w:t>
      </w:r>
      <w:r w:rsidR="00621DF0">
        <w:t>v</w:t>
      </w:r>
      <w:r w:rsidR="00056BD9">
        <w:t>gart</w:t>
      </w:r>
      <w:r>
        <w:rPr>
          <w:spacing w:val="-2"/>
        </w:rPr>
        <w:t xml:space="preserve"> </w:t>
      </w:r>
      <w:r>
        <w:t>for</w:t>
      </w:r>
      <w:r>
        <w:rPr>
          <w:spacing w:val="-3"/>
        </w:rPr>
        <w:t xml:space="preserve"> </w:t>
      </w:r>
      <w:r>
        <w:t>the</w:t>
      </w:r>
      <w:r>
        <w:rPr>
          <w:spacing w:val="-3"/>
        </w:rPr>
        <w:t xml:space="preserve"> </w:t>
      </w:r>
      <w:proofErr w:type="spellStart"/>
      <w:r>
        <w:t>gMG</w:t>
      </w:r>
      <w:proofErr w:type="spellEnd"/>
      <w:r>
        <w:rPr>
          <w:spacing w:val="-4"/>
        </w:rPr>
        <w:t xml:space="preserve"> </w:t>
      </w:r>
      <w:r>
        <w:t>indication</w:t>
      </w:r>
      <w:r>
        <w:rPr>
          <w:spacing w:val="-4"/>
        </w:rPr>
        <w:t xml:space="preserve"> </w:t>
      </w:r>
      <w:r>
        <w:t>has</w:t>
      </w:r>
      <w:r>
        <w:rPr>
          <w:spacing w:val="-2"/>
        </w:rPr>
        <w:t xml:space="preserve"> </w:t>
      </w:r>
      <w:r>
        <w:t>been withdrawn or rejected by any regulatory authority.</w:t>
      </w:r>
    </w:p>
    <w:p w14:paraId="2A52D2D7" w14:textId="1EE91286" w:rsidR="005B05F6" w:rsidRDefault="005B05F6" w:rsidP="00DB69DC">
      <w:pPr>
        <w:pStyle w:val="TableTitle"/>
        <w:rPr>
          <w:spacing w:val="-2"/>
        </w:rPr>
      </w:pPr>
      <w:r>
        <w:t>Table</w:t>
      </w:r>
      <w:r>
        <w:rPr>
          <w:spacing w:val="-3"/>
        </w:rPr>
        <w:t xml:space="preserve"> </w:t>
      </w:r>
      <w:r>
        <w:t>2.</w:t>
      </w:r>
      <w:r>
        <w:rPr>
          <w:spacing w:val="-4"/>
        </w:rPr>
        <w:t xml:space="preserve"> </w:t>
      </w:r>
      <w:r>
        <w:t>International</w:t>
      </w:r>
      <w:r>
        <w:rPr>
          <w:spacing w:val="-4"/>
        </w:rPr>
        <w:t xml:space="preserve"> </w:t>
      </w:r>
      <w:r>
        <w:t>regulatory</w:t>
      </w:r>
      <w:r>
        <w:rPr>
          <w:spacing w:val="-3"/>
        </w:rPr>
        <w:t xml:space="preserve"> </w:t>
      </w:r>
      <w:r>
        <w:t>status</w:t>
      </w:r>
      <w:r>
        <w:rPr>
          <w:spacing w:val="-4"/>
        </w:rPr>
        <w:t xml:space="preserve"> </w:t>
      </w:r>
      <w:r>
        <w:t>for</w:t>
      </w:r>
      <w:r>
        <w:rPr>
          <w:spacing w:val="-4"/>
        </w:rPr>
        <w:t xml:space="preserve"> </w:t>
      </w:r>
      <w:r>
        <w:t>V</w:t>
      </w:r>
      <w:r w:rsidR="003344B2">
        <w:t>yvgart,</w:t>
      </w:r>
      <w:r>
        <w:rPr>
          <w:spacing w:val="-4"/>
        </w:rPr>
        <w:t xml:space="preserve"> </w:t>
      </w:r>
      <w:r>
        <w:t>in</w:t>
      </w:r>
      <w:r>
        <w:rPr>
          <w:spacing w:val="-2"/>
        </w:rPr>
        <w:t xml:space="preserve"> </w:t>
      </w:r>
      <w:r>
        <w:t>intravenous</w:t>
      </w:r>
      <w:r>
        <w:rPr>
          <w:spacing w:val="-4"/>
        </w:rPr>
        <w:t xml:space="preserve"> </w:t>
      </w:r>
      <w:r>
        <w:t>and</w:t>
      </w:r>
      <w:r>
        <w:rPr>
          <w:spacing w:val="-3"/>
        </w:rPr>
        <w:t xml:space="preserve"> </w:t>
      </w:r>
      <w:r>
        <w:t xml:space="preserve">subcutaneous </w:t>
      </w:r>
      <w:r>
        <w:rPr>
          <w:spacing w:val="-2"/>
        </w:rPr>
        <w:t>formulations</w:t>
      </w:r>
      <w:r w:rsidR="006471ED">
        <w:rPr>
          <w:spacing w:val="-2"/>
        </w:rPr>
        <w:t xml:space="preserve"> at the time of </w:t>
      </w:r>
      <w:r w:rsidR="0086772C">
        <w:rPr>
          <w:spacing w:val="-2"/>
        </w:rPr>
        <w:t xml:space="preserve">this </w:t>
      </w:r>
      <w:r w:rsidR="006471ED">
        <w:rPr>
          <w:spacing w:val="-2"/>
        </w:rPr>
        <w:t>assessment</w:t>
      </w:r>
    </w:p>
    <w:p w14:paraId="32C0A0C6" w14:textId="0EB71583" w:rsidR="00DB69DC" w:rsidRPr="00DB69DC" w:rsidRDefault="00DB69DC" w:rsidP="00DB69DC">
      <w:r>
        <w:rPr>
          <w:noProof/>
        </w:rPr>
        <w:drawing>
          <wp:inline distT="0" distB="0" distL="0" distR="0" wp14:anchorId="20C0FD43" wp14:editId="07376EA7">
            <wp:extent cx="5688330" cy="1816735"/>
            <wp:effectExtent l="0" t="0" r="7620" b="0"/>
            <wp:docPr id="1699979526" name="Picture 1" descr="Table 2. International regulatory status for Vyvgart, in intravenous and subcutaneous formulations at the time of thi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79526" name="Picture 1" descr="Table 2. International regulatory status for Vyvgart, in intravenous and subcutaneous formulations at the time of this assess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330" cy="1816735"/>
                    </a:xfrm>
                    <a:prstGeom prst="rect">
                      <a:avLst/>
                    </a:prstGeom>
                    <a:noFill/>
                  </pic:spPr>
                </pic:pic>
              </a:graphicData>
            </a:graphic>
          </wp:inline>
        </w:drawing>
      </w:r>
    </w:p>
    <w:p w14:paraId="6D92589C" w14:textId="09786CEF" w:rsidR="00324B33" w:rsidRDefault="00324B33" w:rsidP="00324B33">
      <w:pPr>
        <w:pStyle w:val="Heading2"/>
      </w:pPr>
      <w:bookmarkStart w:id="35" w:name="_Toc504480011"/>
      <w:bookmarkStart w:id="36" w:name="_Toc103679293"/>
      <w:bookmarkStart w:id="37" w:name="_Toc225173544"/>
      <w:bookmarkEnd w:id="34"/>
      <w:r>
        <w:t>Registration timeline</w:t>
      </w:r>
      <w:bookmarkEnd w:id="35"/>
      <w:bookmarkEnd w:id="36"/>
      <w:bookmarkEnd w:id="37"/>
    </w:p>
    <w:p w14:paraId="44628C5F" w14:textId="0D711907" w:rsidR="00324B33" w:rsidRPr="000132E4" w:rsidRDefault="00324B33" w:rsidP="002C1232">
      <w:pPr>
        <w:pStyle w:val="TableTitle"/>
      </w:pPr>
      <w:r w:rsidRPr="002C1232">
        <w:t xml:space="preserve">Table </w:t>
      </w:r>
      <w:r w:rsidR="0086772C">
        <w:t>3</w:t>
      </w:r>
      <w:r w:rsidRPr="002C1232">
        <w:t xml:space="preserve">: Timeline for Submission </w:t>
      </w:r>
      <w:r w:rsidR="000132E4" w:rsidRPr="000132E4">
        <w:rPr>
          <w:spacing w:val="-8"/>
        </w:rPr>
        <w:t>P</w:t>
      </w:r>
      <w:r w:rsidR="000132E4" w:rsidRPr="000132E4">
        <w:t>M-2024-01111-1-1</w:t>
      </w:r>
    </w:p>
    <w:tbl>
      <w:tblPr>
        <w:tblStyle w:val="TableTGAblue2023"/>
        <w:tblW w:w="8642" w:type="dxa"/>
        <w:tblLook w:val="04A0" w:firstRow="1" w:lastRow="0" w:firstColumn="1" w:lastColumn="0" w:noHBand="0" w:noVBand="1"/>
      </w:tblPr>
      <w:tblGrid>
        <w:gridCol w:w="6658"/>
        <w:gridCol w:w="1984"/>
      </w:tblGrid>
      <w:tr w:rsidR="00324B33" w:rsidRPr="00D01DDB" w14:paraId="6C59BE9C" w14:textId="77777777" w:rsidTr="00DB6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6D80E78" w14:textId="3EC0CCAF" w:rsidR="00324B33" w:rsidRPr="00D01DDB" w:rsidRDefault="00324B33" w:rsidP="00324B33">
            <w:pPr>
              <w:rPr>
                <w:szCs w:val="22"/>
              </w:rPr>
            </w:pPr>
            <w:r w:rsidRPr="00D01DDB">
              <w:rPr>
                <w:szCs w:val="22"/>
              </w:rPr>
              <w:t>Description</w:t>
            </w:r>
          </w:p>
        </w:tc>
        <w:tc>
          <w:tcPr>
            <w:tcW w:w="1984"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DB69DC">
        <w:tc>
          <w:tcPr>
            <w:cnfStyle w:val="001000000000" w:firstRow="0" w:lastRow="0" w:firstColumn="1" w:lastColumn="0" w:oddVBand="0" w:evenVBand="0" w:oddHBand="0" w:evenHBand="0" w:firstRowFirstColumn="0" w:firstRowLastColumn="0" w:lastRowFirstColumn="0" w:lastRowLastColumn="0"/>
            <w:tcW w:w="6658" w:type="dxa"/>
          </w:tcPr>
          <w:p w14:paraId="759D2A12" w14:textId="0D705F83" w:rsidR="00324B33" w:rsidRPr="00E679D1" w:rsidRDefault="00324B33" w:rsidP="00E679D1">
            <w:r w:rsidRPr="00E679D1">
              <w:t>Submission dossier accepted and first round evaluation commenced</w:t>
            </w:r>
          </w:p>
        </w:tc>
        <w:tc>
          <w:tcPr>
            <w:tcW w:w="1984" w:type="dxa"/>
          </w:tcPr>
          <w:p w14:paraId="2963D9D8" w14:textId="0C5D3E91" w:rsidR="00324B33" w:rsidRPr="00D01DDB" w:rsidRDefault="00B95EE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April 2024</w:t>
            </w:r>
          </w:p>
        </w:tc>
      </w:tr>
      <w:tr w:rsidR="00A07C1B" w:rsidRPr="00D01DDB" w14:paraId="6C36FF54" w14:textId="77777777" w:rsidTr="00DB69DC">
        <w:tc>
          <w:tcPr>
            <w:cnfStyle w:val="001000000000" w:firstRow="0" w:lastRow="0" w:firstColumn="1" w:lastColumn="0" w:oddVBand="0" w:evenVBand="0" w:oddHBand="0" w:evenHBand="0" w:firstRowFirstColumn="0" w:firstRowLastColumn="0" w:lastRowFirstColumn="0" w:lastRowLastColumn="0"/>
            <w:tcW w:w="6658" w:type="dxa"/>
          </w:tcPr>
          <w:p w14:paraId="5C7C4685" w14:textId="254FA241" w:rsidR="00A07C1B" w:rsidRDefault="00A07C1B" w:rsidP="00E679D1">
            <w:r>
              <w:lastRenderedPageBreak/>
              <w:t xml:space="preserve">Evaluation </w:t>
            </w:r>
            <w:r w:rsidR="00B629B1">
              <w:t>completed</w:t>
            </w:r>
          </w:p>
        </w:tc>
        <w:tc>
          <w:tcPr>
            <w:tcW w:w="1984" w:type="dxa"/>
          </w:tcPr>
          <w:p w14:paraId="26AA3EC6" w14:textId="3090B5C4" w:rsidR="00A07C1B" w:rsidRDefault="00051C4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November 2024</w:t>
            </w:r>
          </w:p>
        </w:tc>
      </w:tr>
      <w:tr w:rsidR="00324B33" w:rsidRPr="00D01DDB" w14:paraId="6E5D32FE" w14:textId="77777777" w:rsidTr="00DB69DC">
        <w:tc>
          <w:tcPr>
            <w:cnfStyle w:val="001000000000" w:firstRow="0" w:lastRow="0" w:firstColumn="1" w:lastColumn="0" w:oddVBand="0" w:evenVBand="0" w:oddHBand="0" w:evenHBand="0" w:firstRowFirstColumn="0" w:firstRowLastColumn="0" w:lastRowFirstColumn="0" w:lastRowLastColumn="0"/>
            <w:tcW w:w="6658" w:type="dxa"/>
          </w:tcPr>
          <w:p w14:paraId="4E95C44C" w14:textId="7A91C710" w:rsidR="00324B33" w:rsidRPr="00E679D1" w:rsidRDefault="00324B33" w:rsidP="00E679D1">
            <w:r w:rsidRPr="00E679D1">
              <w:t>Registration decision (Outcome)</w:t>
            </w:r>
          </w:p>
        </w:tc>
        <w:tc>
          <w:tcPr>
            <w:tcW w:w="1984" w:type="dxa"/>
          </w:tcPr>
          <w:p w14:paraId="62987ABD" w14:textId="765A65EE" w:rsidR="00324B33" w:rsidRPr="00D01DDB" w:rsidRDefault="00CA779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 February 2025</w:t>
            </w:r>
          </w:p>
        </w:tc>
      </w:tr>
      <w:tr w:rsidR="00324B33" w:rsidRPr="00D01DDB" w14:paraId="6DDCDDA4" w14:textId="77777777" w:rsidTr="00DB69DC">
        <w:tc>
          <w:tcPr>
            <w:cnfStyle w:val="001000000000" w:firstRow="0" w:lastRow="0" w:firstColumn="1" w:lastColumn="0" w:oddVBand="0" w:evenVBand="0" w:oddHBand="0" w:evenHBand="0" w:firstRowFirstColumn="0" w:firstRowLastColumn="0" w:lastRowFirstColumn="0" w:lastRowLastColumn="0"/>
            <w:tcW w:w="6658" w:type="dxa"/>
          </w:tcPr>
          <w:p w14:paraId="192FD19D" w14:textId="425C9595" w:rsidR="00324B33" w:rsidRPr="00E679D1" w:rsidRDefault="0013132F" w:rsidP="007311B9">
            <w:pPr>
              <w:ind w:left="0"/>
            </w:pPr>
            <w:r w:rsidRPr="00E679D1">
              <w:t xml:space="preserve"> </w:t>
            </w:r>
            <w:r w:rsidR="001753E5">
              <w:t xml:space="preserve"> </w:t>
            </w:r>
            <w:r w:rsidR="00C00844">
              <w:t>R</w:t>
            </w:r>
            <w:r w:rsidRPr="00E679D1">
              <w:t xml:space="preserve">egistration </w:t>
            </w:r>
            <w:r w:rsidR="005C4B46" w:rsidRPr="00E679D1">
              <w:t xml:space="preserve">in </w:t>
            </w:r>
            <w:r w:rsidRPr="00E679D1">
              <w:t>the ARTG completed</w:t>
            </w:r>
          </w:p>
        </w:tc>
        <w:tc>
          <w:tcPr>
            <w:tcW w:w="1984" w:type="dxa"/>
          </w:tcPr>
          <w:p w14:paraId="5A8923FD" w14:textId="4F1C8267" w:rsidR="00324B33" w:rsidRPr="00D01DDB" w:rsidRDefault="00CA779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24 February </w:t>
            </w:r>
            <w:r w:rsidR="00873887">
              <w:rPr>
                <w:szCs w:val="22"/>
              </w:rPr>
              <w:t>2025</w:t>
            </w:r>
          </w:p>
        </w:tc>
      </w:tr>
      <w:tr w:rsidR="00324B33" w:rsidRPr="00D01DDB" w14:paraId="56D922E2" w14:textId="77777777" w:rsidTr="00DB69DC">
        <w:tc>
          <w:tcPr>
            <w:cnfStyle w:val="001000000000" w:firstRow="0" w:lastRow="0" w:firstColumn="1" w:lastColumn="0" w:oddVBand="0" w:evenVBand="0" w:oddHBand="0" w:evenHBand="0" w:firstRowFirstColumn="0" w:firstRowLastColumn="0" w:lastRowFirstColumn="0" w:lastRowLastColumn="0"/>
            <w:tcW w:w="6658" w:type="dxa"/>
          </w:tcPr>
          <w:p w14:paraId="787FD8DD" w14:textId="0E0CF97F" w:rsidR="00324B33" w:rsidRPr="00E679D1" w:rsidRDefault="00324B33" w:rsidP="00E679D1">
            <w:r w:rsidRPr="00E679D1">
              <w:t>Number of working days from submission dossier acceptance to registration decision*</w:t>
            </w:r>
          </w:p>
        </w:tc>
        <w:tc>
          <w:tcPr>
            <w:tcW w:w="1984" w:type="dxa"/>
          </w:tcPr>
          <w:p w14:paraId="5BAF9FA1" w14:textId="7D06C23F" w:rsidR="00324B33" w:rsidRPr="00D01DDB" w:rsidRDefault="001753E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119</w:t>
            </w:r>
          </w:p>
        </w:tc>
      </w:tr>
    </w:tbl>
    <w:p w14:paraId="47E88CFC" w14:textId="52215AAF" w:rsidR="00433318" w:rsidRDefault="00433318" w:rsidP="00854D98">
      <w:pPr>
        <w:pStyle w:val="TableDescription"/>
      </w:pPr>
      <w:r w:rsidRPr="00006FAB">
        <w:t>* The COR-B process has a 175 working day evaluation and decision timeframe.</w:t>
      </w:r>
    </w:p>
    <w:p w14:paraId="220925F1" w14:textId="149F7FB7" w:rsidR="00C22214" w:rsidRPr="00792A32" w:rsidRDefault="00083763" w:rsidP="00C22214">
      <w:pPr>
        <w:pStyle w:val="Heading2"/>
      </w:pPr>
      <w:bookmarkStart w:id="38" w:name="_Toc225173545"/>
      <w:bookmarkStart w:id="39" w:name="_Toc196046504"/>
      <w:bookmarkStart w:id="40" w:name="_Toc247691527"/>
      <w:bookmarkStart w:id="41" w:name="_Toc314842510"/>
      <w:bookmarkStart w:id="42" w:name="_Toc103679294"/>
      <w:r>
        <w:t xml:space="preserve">Assessment </w:t>
      </w:r>
      <w:r w:rsidR="00C22214" w:rsidRPr="00006FAB">
        <w:t>overview</w:t>
      </w:r>
      <w:bookmarkEnd w:id="38"/>
      <w:r w:rsidR="00C22214" w:rsidRPr="00006FAB">
        <w:t xml:space="preserve"> </w:t>
      </w:r>
      <w:bookmarkEnd w:id="39"/>
      <w:bookmarkEnd w:id="40"/>
      <w:bookmarkEnd w:id="41"/>
      <w:bookmarkEnd w:id="42"/>
    </w:p>
    <w:p w14:paraId="37F5A1C0" w14:textId="5D3D5FE0" w:rsidR="00C22214" w:rsidRDefault="00095C6A" w:rsidP="00C22214">
      <w:pPr>
        <w:pStyle w:val="Heading3"/>
      </w:pPr>
      <w:bookmarkStart w:id="43" w:name="_Toc247691528"/>
      <w:bookmarkStart w:id="44" w:name="_Toc314842511"/>
      <w:bookmarkStart w:id="45" w:name="_Toc103679295"/>
      <w:bookmarkStart w:id="46" w:name="_Toc225173546"/>
      <w:r>
        <w:t>Q</w:t>
      </w:r>
      <w:r w:rsidR="00C22214">
        <w:t>uality</w:t>
      </w:r>
      <w:bookmarkEnd w:id="43"/>
      <w:bookmarkEnd w:id="44"/>
      <w:bookmarkEnd w:id="45"/>
      <w:r w:rsidR="007E6443">
        <w:t xml:space="preserve"> evaluation</w:t>
      </w:r>
      <w:r>
        <w:t xml:space="preserve"> summary</w:t>
      </w:r>
      <w:bookmarkEnd w:id="46"/>
    </w:p>
    <w:p w14:paraId="708E7BFF" w14:textId="1B661509" w:rsidR="00EB3AEC" w:rsidRDefault="00FC6C5C" w:rsidP="00A3651C">
      <w:r>
        <w:t>V</w:t>
      </w:r>
      <w:r w:rsidR="00CE6A81">
        <w:t xml:space="preserve">yvgart </w:t>
      </w:r>
      <w:r>
        <w:t>is presented as</w:t>
      </w:r>
      <w:r w:rsidR="00EB3AEC">
        <w:t xml:space="preserve"> a:</w:t>
      </w:r>
    </w:p>
    <w:p w14:paraId="58B6B0B3" w14:textId="10546E54" w:rsidR="00EB3AEC" w:rsidRPr="00B5583C" w:rsidRDefault="00FC6C5C" w:rsidP="00B5583C">
      <w:pPr>
        <w:pStyle w:val="ListBullet"/>
        <w:numPr>
          <w:ilvl w:val="0"/>
          <w:numId w:val="31"/>
        </w:numPr>
        <w:ind w:left="357" w:hanging="357"/>
        <w:rPr>
          <w:szCs w:val="22"/>
        </w:rPr>
      </w:pPr>
      <w:r w:rsidRPr="00B5583C">
        <w:rPr>
          <w:szCs w:val="22"/>
        </w:rPr>
        <w:t>concentrated injection for</w:t>
      </w:r>
      <w:r w:rsidR="00EB3AEC" w:rsidRPr="00B5583C">
        <w:rPr>
          <w:szCs w:val="22"/>
        </w:rPr>
        <w:t xml:space="preserve"> </w:t>
      </w:r>
      <w:r w:rsidRPr="00B5583C">
        <w:rPr>
          <w:szCs w:val="22"/>
        </w:rPr>
        <w:t>intravenous administration containing</w:t>
      </w:r>
      <w:r w:rsidR="008657F0" w:rsidRPr="00B5583C">
        <w:rPr>
          <w:szCs w:val="22"/>
        </w:rPr>
        <w:t xml:space="preserve"> </w:t>
      </w:r>
      <w:r w:rsidRPr="00B5583C">
        <w:rPr>
          <w:szCs w:val="22"/>
        </w:rPr>
        <w:t xml:space="preserve">412 mg/vial of efgartigimod as active substance </w:t>
      </w:r>
    </w:p>
    <w:p w14:paraId="15657312" w14:textId="77777777" w:rsidR="00EB3AEC" w:rsidRPr="00B5583C" w:rsidRDefault="00FC6C5C" w:rsidP="00B5583C">
      <w:pPr>
        <w:pStyle w:val="ListBullet"/>
        <w:numPr>
          <w:ilvl w:val="0"/>
          <w:numId w:val="31"/>
        </w:numPr>
        <w:ind w:left="357" w:hanging="357"/>
        <w:rPr>
          <w:szCs w:val="22"/>
        </w:rPr>
      </w:pPr>
      <w:r w:rsidRPr="00B5583C">
        <w:rPr>
          <w:szCs w:val="22"/>
        </w:rPr>
        <w:t xml:space="preserve">solution for injection for subcutaneous administration containing 1206 mg per vial of efgartigimod as active substance. </w:t>
      </w:r>
    </w:p>
    <w:p w14:paraId="5EBBCE02" w14:textId="410521F0" w:rsidR="00A3651C" w:rsidRDefault="00FC6C5C" w:rsidP="00EB3AEC">
      <w:pPr>
        <w:pStyle w:val="ListBullet"/>
      </w:pPr>
      <w:r>
        <w:t xml:space="preserve">Formulations for </w:t>
      </w:r>
      <w:r w:rsidR="00A3651C">
        <w:t xml:space="preserve">each presentation are outlined in Table </w:t>
      </w:r>
      <w:r w:rsidR="00C8580E">
        <w:t>4</w:t>
      </w:r>
      <w:r w:rsidR="00A3651C">
        <w:t>.</w:t>
      </w:r>
    </w:p>
    <w:p w14:paraId="58D6E9F3" w14:textId="77777777" w:rsidR="00B17D4C" w:rsidRDefault="00B17D4C" w:rsidP="00B17D4C">
      <w:pPr>
        <w:rPr>
          <w:spacing w:val="-5"/>
        </w:rPr>
      </w:pPr>
      <w:r>
        <w:t>The Vyvgart efgartigimod IV product is available in a 20-ml glass vial (type I glass) with a rubber</w:t>
      </w:r>
      <w:r>
        <w:rPr>
          <w:spacing w:val="-3"/>
        </w:rPr>
        <w:t xml:space="preserve"> </w:t>
      </w:r>
      <w:r>
        <w:t>stopper,</w:t>
      </w:r>
      <w:r>
        <w:rPr>
          <w:spacing w:val="-3"/>
        </w:rPr>
        <w:t xml:space="preserve"> </w:t>
      </w:r>
      <w:r>
        <w:t>an</w:t>
      </w:r>
      <w:r>
        <w:rPr>
          <w:spacing w:val="-4"/>
        </w:rPr>
        <w:t xml:space="preserve"> </w:t>
      </w:r>
      <w:r>
        <w:t>aluminium</w:t>
      </w:r>
      <w:r>
        <w:rPr>
          <w:spacing w:val="-4"/>
        </w:rPr>
        <w:t xml:space="preserve"> </w:t>
      </w:r>
      <w:r>
        <w:t>seal,</w:t>
      </w:r>
      <w:r>
        <w:rPr>
          <w:spacing w:val="-3"/>
        </w:rPr>
        <w:t xml:space="preserve"> </w:t>
      </w:r>
      <w:r>
        <w:t>and</w:t>
      </w:r>
      <w:r>
        <w:rPr>
          <w:spacing w:val="-3"/>
        </w:rPr>
        <w:t xml:space="preserve"> </w:t>
      </w:r>
      <w:r>
        <w:t>a</w:t>
      </w:r>
      <w:r>
        <w:rPr>
          <w:spacing w:val="-3"/>
        </w:rPr>
        <w:t xml:space="preserve"> </w:t>
      </w:r>
      <w:r>
        <w:t>polypropylene</w:t>
      </w:r>
      <w:r>
        <w:rPr>
          <w:spacing w:val="-3"/>
        </w:rPr>
        <w:t xml:space="preserve"> </w:t>
      </w:r>
      <w:r>
        <w:t>flip-off</w:t>
      </w:r>
      <w:r>
        <w:rPr>
          <w:spacing w:val="-5"/>
        </w:rPr>
        <w:t xml:space="preserve"> </w:t>
      </w:r>
      <w:r>
        <w:t>cap.</w:t>
      </w:r>
      <w:r>
        <w:rPr>
          <w:spacing w:val="-5"/>
        </w:rPr>
        <w:t xml:space="preserve"> </w:t>
      </w:r>
    </w:p>
    <w:p w14:paraId="47D9E7EB" w14:textId="77777777" w:rsidR="00B17D4C" w:rsidRDefault="00B17D4C" w:rsidP="00B17D4C">
      <w:r>
        <w:t>The</w:t>
      </w:r>
      <w:r>
        <w:rPr>
          <w:spacing w:val="-5"/>
        </w:rPr>
        <w:t xml:space="preserve"> </w:t>
      </w:r>
      <w:r>
        <w:t>Vyvgart</w:t>
      </w:r>
      <w:r>
        <w:rPr>
          <w:spacing w:val="-1"/>
        </w:rPr>
        <w:t xml:space="preserve"> </w:t>
      </w:r>
      <w:r>
        <w:t>efgartigimod SC product is available in a 6-ml glass vial (type I glass) with a rubber stopper, an aluminium seal, and a polypropylene flip-off cap.</w:t>
      </w:r>
    </w:p>
    <w:p w14:paraId="54E18B11" w14:textId="749CA3ED" w:rsidR="00FC6C5C" w:rsidRDefault="00FC6C5C" w:rsidP="002A7429">
      <w:pPr>
        <w:pStyle w:val="TableTitle"/>
        <w:pageBreakBefore/>
      </w:pPr>
      <w:r>
        <w:lastRenderedPageBreak/>
        <w:t>Table</w:t>
      </w:r>
      <w:r>
        <w:rPr>
          <w:spacing w:val="-3"/>
        </w:rPr>
        <w:t xml:space="preserve"> </w:t>
      </w:r>
      <w:r w:rsidR="00470293">
        <w:t>4</w:t>
      </w:r>
      <w:r>
        <w:t>.</w:t>
      </w:r>
      <w:r>
        <w:rPr>
          <w:spacing w:val="-4"/>
        </w:rPr>
        <w:t xml:space="preserve"> </w:t>
      </w:r>
      <w:r>
        <w:t>Formulation</w:t>
      </w:r>
      <w:r>
        <w:rPr>
          <w:spacing w:val="-2"/>
        </w:rPr>
        <w:t xml:space="preserve"> </w:t>
      </w:r>
      <w:r>
        <w:t>of</w:t>
      </w:r>
      <w:r>
        <w:rPr>
          <w:spacing w:val="-3"/>
        </w:rPr>
        <w:t xml:space="preserve"> </w:t>
      </w:r>
      <w:r>
        <w:t>V</w:t>
      </w:r>
      <w:r w:rsidR="00C8580E">
        <w:t>yvgart</w:t>
      </w:r>
      <w:r>
        <w:rPr>
          <w:spacing w:val="-3"/>
        </w:rPr>
        <w:t xml:space="preserve"> </w:t>
      </w:r>
      <w:r>
        <w:t>(efgartigimod</w:t>
      </w:r>
      <w:r>
        <w:rPr>
          <w:spacing w:val="-5"/>
        </w:rPr>
        <w:t xml:space="preserve"> </w:t>
      </w:r>
      <w:r>
        <w:t>alfa)</w:t>
      </w:r>
      <w:r>
        <w:rPr>
          <w:spacing w:val="-2"/>
        </w:rPr>
        <w:t xml:space="preserve"> </w:t>
      </w:r>
      <w:r>
        <w:t>in</w:t>
      </w:r>
      <w:r>
        <w:rPr>
          <w:spacing w:val="-2"/>
        </w:rPr>
        <w:t xml:space="preserve"> </w:t>
      </w:r>
      <w:r>
        <w:t>the</w:t>
      </w:r>
      <w:r>
        <w:rPr>
          <w:spacing w:val="-3"/>
        </w:rPr>
        <w:t xml:space="preserve"> </w:t>
      </w:r>
      <w:r>
        <w:t>concentrated</w:t>
      </w:r>
      <w:r>
        <w:rPr>
          <w:spacing w:val="-3"/>
        </w:rPr>
        <w:t xml:space="preserve"> </w:t>
      </w:r>
      <w:r>
        <w:t>injection</w:t>
      </w:r>
      <w:r>
        <w:rPr>
          <w:spacing w:val="-2"/>
        </w:rPr>
        <w:t xml:space="preserve"> </w:t>
      </w:r>
      <w:r>
        <w:t>for intravenous infusion and solution for injection presentations</w:t>
      </w:r>
    </w:p>
    <w:tbl>
      <w:tblPr>
        <w:tblStyle w:val="TableTGAblue1"/>
        <w:tblW w:w="0" w:type="auto"/>
        <w:tblLayout w:type="fixed"/>
        <w:tblLook w:val="01E0" w:firstRow="1" w:lastRow="1" w:firstColumn="1" w:lastColumn="1" w:noHBand="0" w:noVBand="0"/>
      </w:tblPr>
      <w:tblGrid>
        <w:gridCol w:w="1843"/>
        <w:gridCol w:w="1274"/>
        <w:gridCol w:w="1135"/>
        <w:gridCol w:w="1277"/>
        <w:gridCol w:w="1133"/>
        <w:gridCol w:w="1275"/>
        <w:gridCol w:w="1419"/>
      </w:tblGrid>
      <w:tr w:rsidR="00FC6C5C" w:rsidRPr="002A7429" w14:paraId="17872CFD" w14:textId="77777777" w:rsidTr="002A7429">
        <w:trPr>
          <w:cnfStyle w:val="100000000000" w:firstRow="1" w:lastRow="0" w:firstColumn="0" w:lastColumn="0" w:oddVBand="0" w:evenVBand="0" w:oddHBand="0" w:evenHBand="0" w:firstRowFirstColumn="0" w:firstRowLastColumn="0" w:lastRowFirstColumn="0" w:lastRowLastColumn="0"/>
          <w:trHeight w:val="869"/>
          <w:tblHeader/>
        </w:trPr>
        <w:tc>
          <w:tcPr>
            <w:cnfStyle w:val="001000000000" w:firstRow="0" w:lastRow="0" w:firstColumn="1" w:lastColumn="0" w:oddVBand="0" w:evenVBand="0" w:oddHBand="0" w:evenHBand="0" w:firstRowFirstColumn="0" w:firstRowLastColumn="0" w:lastRowFirstColumn="0" w:lastRowLastColumn="0"/>
            <w:tcW w:w="1843" w:type="dxa"/>
          </w:tcPr>
          <w:p w14:paraId="6EC524CB" w14:textId="77777777" w:rsidR="00FC6C5C" w:rsidRPr="002A7429" w:rsidRDefault="00FC6C5C" w:rsidP="00DB69DC">
            <w:pPr>
              <w:rPr>
                <w:b w:val="0"/>
                <w:sz w:val="20"/>
                <w:szCs w:val="20"/>
              </w:rPr>
            </w:pPr>
            <w:r w:rsidRPr="002A7429">
              <w:rPr>
                <w:spacing w:val="-2"/>
                <w:sz w:val="20"/>
                <w:szCs w:val="20"/>
              </w:rPr>
              <w:t>Active</w:t>
            </w:r>
            <w:r w:rsidRPr="002A7429">
              <w:rPr>
                <w:spacing w:val="-1"/>
                <w:sz w:val="20"/>
                <w:szCs w:val="20"/>
              </w:rPr>
              <w:t xml:space="preserve"> </w:t>
            </w:r>
            <w:r w:rsidRPr="002A7429">
              <w:rPr>
                <w:spacing w:val="-2"/>
                <w:sz w:val="20"/>
                <w:szCs w:val="20"/>
              </w:rPr>
              <w:t>ingredient</w:t>
            </w:r>
          </w:p>
        </w:tc>
        <w:tc>
          <w:tcPr>
            <w:tcW w:w="2409" w:type="dxa"/>
            <w:gridSpan w:val="2"/>
          </w:tcPr>
          <w:p w14:paraId="1C217516" w14:textId="060C7EC8" w:rsidR="00FC6C5C" w:rsidRPr="002A7429" w:rsidRDefault="00FC6C5C" w:rsidP="00DB69DC">
            <w:pPr>
              <w:cnfStyle w:val="100000000000" w:firstRow="1" w:lastRow="0" w:firstColumn="0" w:lastColumn="0" w:oddVBand="0" w:evenVBand="0" w:oddHBand="0" w:evenHBand="0" w:firstRowFirstColumn="0" w:firstRowLastColumn="0" w:lastRowFirstColumn="0" w:lastRowLastColumn="0"/>
              <w:rPr>
                <w:b w:val="0"/>
                <w:sz w:val="20"/>
                <w:szCs w:val="20"/>
              </w:rPr>
            </w:pPr>
            <w:r w:rsidRPr="002A7429">
              <w:rPr>
                <w:sz w:val="20"/>
                <w:szCs w:val="20"/>
              </w:rPr>
              <w:t>Quantity</w:t>
            </w:r>
            <w:r w:rsidRPr="002A7429">
              <w:rPr>
                <w:spacing w:val="-3"/>
                <w:sz w:val="20"/>
                <w:szCs w:val="20"/>
              </w:rPr>
              <w:t xml:space="preserve"> </w:t>
            </w:r>
            <w:r w:rsidR="002A7429" w:rsidRPr="002A7429">
              <w:rPr>
                <w:spacing w:val="-3"/>
                <w:sz w:val="20"/>
                <w:szCs w:val="20"/>
              </w:rPr>
              <w:t>(</w:t>
            </w:r>
            <w:r w:rsidRPr="002A7429">
              <w:rPr>
                <w:spacing w:val="-2"/>
                <w:sz w:val="20"/>
                <w:szCs w:val="20"/>
              </w:rPr>
              <w:t>mg/vial)</w:t>
            </w:r>
          </w:p>
        </w:tc>
        <w:tc>
          <w:tcPr>
            <w:tcW w:w="1277" w:type="dxa"/>
          </w:tcPr>
          <w:p w14:paraId="4A9591DA" w14:textId="77777777" w:rsidR="00FC6C5C" w:rsidRPr="002A7429" w:rsidRDefault="00FC6C5C" w:rsidP="00DB69DC">
            <w:pPr>
              <w:cnfStyle w:val="100000000000" w:firstRow="1" w:lastRow="0" w:firstColumn="0" w:lastColumn="0" w:oddVBand="0" w:evenVBand="0" w:oddHBand="0" w:evenHBand="0" w:firstRowFirstColumn="0" w:firstRowLastColumn="0" w:lastRowFirstColumn="0" w:lastRowLastColumn="0"/>
              <w:rPr>
                <w:sz w:val="20"/>
                <w:szCs w:val="20"/>
              </w:rPr>
            </w:pPr>
          </w:p>
        </w:tc>
        <w:tc>
          <w:tcPr>
            <w:tcW w:w="1133" w:type="dxa"/>
          </w:tcPr>
          <w:p w14:paraId="67092F43" w14:textId="77777777" w:rsidR="00FC6C5C" w:rsidRPr="002A7429" w:rsidRDefault="00FC6C5C" w:rsidP="00DB69DC">
            <w:pPr>
              <w:cnfStyle w:val="100000000000" w:firstRow="1" w:lastRow="0" w:firstColumn="0" w:lastColumn="0" w:oddVBand="0" w:evenVBand="0" w:oddHBand="0" w:evenHBand="0" w:firstRowFirstColumn="0" w:firstRowLastColumn="0" w:lastRowFirstColumn="0" w:lastRowLastColumn="0"/>
              <w:rPr>
                <w:sz w:val="20"/>
                <w:szCs w:val="20"/>
              </w:rPr>
            </w:pPr>
          </w:p>
        </w:tc>
        <w:tc>
          <w:tcPr>
            <w:tcW w:w="2694" w:type="dxa"/>
            <w:gridSpan w:val="2"/>
          </w:tcPr>
          <w:p w14:paraId="6666F9B9" w14:textId="77777777" w:rsidR="00FC6C5C" w:rsidRPr="002A7429" w:rsidRDefault="00FC6C5C" w:rsidP="00DB69DC">
            <w:pPr>
              <w:cnfStyle w:val="100000000000" w:firstRow="1" w:lastRow="0" w:firstColumn="0" w:lastColumn="0" w:oddVBand="0" w:evenVBand="0" w:oddHBand="0" w:evenHBand="0" w:firstRowFirstColumn="0" w:firstRowLastColumn="0" w:lastRowFirstColumn="0" w:lastRowLastColumn="0"/>
              <w:rPr>
                <w:b w:val="0"/>
                <w:sz w:val="20"/>
                <w:szCs w:val="20"/>
              </w:rPr>
            </w:pPr>
            <w:r w:rsidRPr="002A7429">
              <w:rPr>
                <w:spacing w:val="-2"/>
                <w:sz w:val="20"/>
                <w:szCs w:val="20"/>
              </w:rPr>
              <w:t>Concentration</w:t>
            </w:r>
            <w:r w:rsidRPr="002A7429">
              <w:rPr>
                <w:spacing w:val="14"/>
                <w:sz w:val="20"/>
                <w:szCs w:val="20"/>
              </w:rPr>
              <w:t xml:space="preserve"> </w:t>
            </w:r>
            <w:r w:rsidRPr="002A7429">
              <w:rPr>
                <w:spacing w:val="-2"/>
                <w:sz w:val="20"/>
                <w:szCs w:val="20"/>
              </w:rPr>
              <w:t>(mg/mL)</w:t>
            </w:r>
          </w:p>
        </w:tc>
      </w:tr>
      <w:tr w:rsidR="002A7429" w:rsidRPr="002A7429" w14:paraId="5DDD55E8" w14:textId="77777777" w:rsidTr="002A7429">
        <w:trPr>
          <w:trHeight w:val="712"/>
        </w:trPr>
        <w:tc>
          <w:tcPr>
            <w:cnfStyle w:val="001000000000" w:firstRow="0" w:lastRow="0" w:firstColumn="1" w:lastColumn="0" w:oddVBand="0" w:evenVBand="0" w:oddHBand="0" w:evenHBand="0" w:firstRowFirstColumn="0" w:firstRowLastColumn="0" w:lastRowFirstColumn="0" w:lastRowLastColumn="0"/>
            <w:tcW w:w="1843" w:type="dxa"/>
            <w:shd w:val="clear" w:color="auto" w:fill="B4C6E7" w:themeFill="accent1" w:themeFillTint="66"/>
          </w:tcPr>
          <w:p w14:paraId="213C1D4B" w14:textId="77777777" w:rsidR="002A7429" w:rsidRPr="002A7429" w:rsidRDefault="002A7429" w:rsidP="00DB69DC">
            <w:pPr>
              <w:rPr>
                <w:spacing w:val="-2"/>
                <w:sz w:val="20"/>
              </w:rPr>
            </w:pPr>
          </w:p>
        </w:tc>
        <w:tc>
          <w:tcPr>
            <w:tcW w:w="1274" w:type="dxa"/>
            <w:shd w:val="clear" w:color="auto" w:fill="B4C6E7" w:themeFill="accent1" w:themeFillTint="66"/>
          </w:tcPr>
          <w:p w14:paraId="1A3C81E4" w14:textId="303BC61B" w:rsidR="002A7429" w:rsidRPr="002A7429" w:rsidRDefault="002A7429" w:rsidP="00DB69DC">
            <w:pPr>
              <w:cnfStyle w:val="000000000000" w:firstRow="0" w:lastRow="0" w:firstColumn="0" w:lastColumn="0" w:oddVBand="0" w:evenVBand="0" w:oddHBand="0" w:evenHBand="0" w:firstRowFirstColumn="0" w:firstRowLastColumn="0" w:lastRowFirstColumn="0" w:lastRowLastColumn="0"/>
              <w:rPr>
                <w:sz w:val="20"/>
              </w:rPr>
            </w:pPr>
            <w:r w:rsidRPr="002A7429">
              <w:rPr>
                <w:color w:val="auto"/>
                <w:spacing w:val="-2"/>
                <w:sz w:val="20"/>
                <w:szCs w:val="20"/>
              </w:rPr>
              <w:t>Concentrated</w:t>
            </w:r>
            <w:r w:rsidRPr="002A7429">
              <w:rPr>
                <w:color w:val="auto"/>
                <w:spacing w:val="40"/>
                <w:sz w:val="20"/>
                <w:szCs w:val="20"/>
              </w:rPr>
              <w:t xml:space="preserve"> </w:t>
            </w:r>
            <w:r w:rsidRPr="002A7429">
              <w:rPr>
                <w:color w:val="auto"/>
                <w:sz w:val="20"/>
                <w:szCs w:val="20"/>
              </w:rPr>
              <w:t xml:space="preserve">injection for </w:t>
            </w:r>
            <w:r w:rsidRPr="002A7429">
              <w:rPr>
                <w:color w:val="auto"/>
                <w:spacing w:val="-4"/>
                <w:sz w:val="20"/>
                <w:szCs w:val="20"/>
              </w:rPr>
              <w:t xml:space="preserve">I.V. </w:t>
            </w:r>
            <w:r w:rsidRPr="002A7429">
              <w:rPr>
                <w:color w:val="auto"/>
                <w:spacing w:val="-2"/>
                <w:sz w:val="20"/>
                <w:szCs w:val="20"/>
              </w:rPr>
              <w:t>infusion</w:t>
            </w:r>
          </w:p>
        </w:tc>
        <w:tc>
          <w:tcPr>
            <w:tcW w:w="1135" w:type="dxa"/>
            <w:shd w:val="clear" w:color="auto" w:fill="B4C6E7" w:themeFill="accent1" w:themeFillTint="66"/>
          </w:tcPr>
          <w:p w14:paraId="1E4FD1C9" w14:textId="19F46E1F" w:rsidR="002A7429" w:rsidRPr="002A7429" w:rsidRDefault="002A7429" w:rsidP="00DB69DC">
            <w:pPr>
              <w:cnfStyle w:val="000000000000" w:firstRow="0" w:lastRow="0" w:firstColumn="0" w:lastColumn="0" w:oddVBand="0" w:evenVBand="0" w:oddHBand="0" w:evenHBand="0" w:firstRowFirstColumn="0" w:firstRowLastColumn="0" w:lastRowFirstColumn="0" w:lastRowLastColumn="0"/>
              <w:rPr>
                <w:sz w:val="20"/>
              </w:rPr>
            </w:pPr>
            <w:r w:rsidRPr="002A7429">
              <w:rPr>
                <w:color w:val="auto"/>
                <w:sz w:val="20"/>
                <w:szCs w:val="20"/>
              </w:rPr>
              <w:t>Solution</w:t>
            </w:r>
            <w:r w:rsidRPr="002A7429">
              <w:rPr>
                <w:color w:val="auto"/>
                <w:spacing w:val="-10"/>
                <w:sz w:val="20"/>
                <w:szCs w:val="20"/>
              </w:rPr>
              <w:t xml:space="preserve"> </w:t>
            </w:r>
            <w:r w:rsidRPr="002A7429">
              <w:rPr>
                <w:color w:val="auto"/>
                <w:sz w:val="20"/>
                <w:szCs w:val="20"/>
              </w:rPr>
              <w:t>for</w:t>
            </w:r>
            <w:r w:rsidRPr="002A7429">
              <w:rPr>
                <w:color w:val="auto"/>
                <w:spacing w:val="40"/>
                <w:sz w:val="20"/>
                <w:szCs w:val="20"/>
              </w:rPr>
              <w:t xml:space="preserve"> </w:t>
            </w:r>
            <w:r w:rsidRPr="002A7429">
              <w:rPr>
                <w:color w:val="auto"/>
                <w:spacing w:val="-2"/>
                <w:sz w:val="20"/>
                <w:szCs w:val="20"/>
              </w:rPr>
              <w:t>injection</w:t>
            </w:r>
            <w:r w:rsidRPr="002A7429">
              <w:rPr>
                <w:color w:val="auto"/>
                <w:spacing w:val="40"/>
                <w:sz w:val="20"/>
                <w:szCs w:val="20"/>
              </w:rPr>
              <w:t xml:space="preserve"> </w:t>
            </w:r>
            <w:r w:rsidRPr="002A7429">
              <w:rPr>
                <w:color w:val="auto"/>
                <w:spacing w:val="-4"/>
                <w:sz w:val="20"/>
                <w:szCs w:val="20"/>
              </w:rPr>
              <w:t>S.C.</w:t>
            </w:r>
          </w:p>
        </w:tc>
        <w:tc>
          <w:tcPr>
            <w:tcW w:w="1277" w:type="dxa"/>
            <w:shd w:val="clear" w:color="auto" w:fill="B4C6E7" w:themeFill="accent1" w:themeFillTint="66"/>
          </w:tcPr>
          <w:p w14:paraId="772FCA35" w14:textId="77777777" w:rsidR="002A7429" w:rsidRPr="002A7429" w:rsidRDefault="002A7429" w:rsidP="00DB69DC">
            <w:pPr>
              <w:cnfStyle w:val="000000000000" w:firstRow="0" w:lastRow="0" w:firstColumn="0" w:lastColumn="0" w:oddVBand="0" w:evenVBand="0" w:oddHBand="0" w:evenHBand="0" w:firstRowFirstColumn="0" w:firstRowLastColumn="0" w:lastRowFirstColumn="0" w:lastRowLastColumn="0"/>
              <w:rPr>
                <w:sz w:val="20"/>
              </w:rPr>
            </w:pPr>
          </w:p>
        </w:tc>
        <w:tc>
          <w:tcPr>
            <w:tcW w:w="1133" w:type="dxa"/>
            <w:shd w:val="clear" w:color="auto" w:fill="B4C6E7" w:themeFill="accent1" w:themeFillTint="66"/>
          </w:tcPr>
          <w:p w14:paraId="7F6D4A50" w14:textId="77777777" w:rsidR="002A7429" w:rsidRPr="002A7429" w:rsidRDefault="002A7429" w:rsidP="00DB69DC">
            <w:pPr>
              <w:cnfStyle w:val="000000000000" w:firstRow="0" w:lastRow="0" w:firstColumn="0" w:lastColumn="0" w:oddVBand="0" w:evenVBand="0" w:oddHBand="0" w:evenHBand="0" w:firstRowFirstColumn="0" w:firstRowLastColumn="0" w:lastRowFirstColumn="0" w:lastRowLastColumn="0"/>
              <w:rPr>
                <w:sz w:val="20"/>
              </w:rPr>
            </w:pPr>
          </w:p>
        </w:tc>
        <w:tc>
          <w:tcPr>
            <w:tcW w:w="1275" w:type="dxa"/>
            <w:shd w:val="clear" w:color="auto" w:fill="B4C6E7" w:themeFill="accent1" w:themeFillTint="66"/>
          </w:tcPr>
          <w:p w14:paraId="1EC8D108" w14:textId="43788158" w:rsidR="002A7429" w:rsidRPr="002A7429" w:rsidRDefault="002A7429" w:rsidP="00DB69DC">
            <w:pPr>
              <w:cnfStyle w:val="000000000000" w:firstRow="0" w:lastRow="0" w:firstColumn="0" w:lastColumn="0" w:oddVBand="0" w:evenVBand="0" w:oddHBand="0" w:evenHBand="0" w:firstRowFirstColumn="0" w:firstRowLastColumn="0" w:lastRowFirstColumn="0" w:lastRowLastColumn="0"/>
              <w:rPr>
                <w:spacing w:val="-5"/>
                <w:sz w:val="20"/>
              </w:rPr>
            </w:pPr>
            <w:r w:rsidRPr="002A7429">
              <w:rPr>
                <w:color w:val="auto"/>
                <w:spacing w:val="-2"/>
                <w:sz w:val="20"/>
                <w:szCs w:val="20"/>
              </w:rPr>
              <w:t>Concentrated</w:t>
            </w:r>
            <w:r w:rsidRPr="002A7429">
              <w:rPr>
                <w:color w:val="auto"/>
                <w:spacing w:val="40"/>
                <w:sz w:val="20"/>
                <w:szCs w:val="20"/>
              </w:rPr>
              <w:t xml:space="preserve"> </w:t>
            </w:r>
            <w:r w:rsidRPr="002A7429">
              <w:rPr>
                <w:color w:val="auto"/>
                <w:sz w:val="20"/>
                <w:szCs w:val="20"/>
              </w:rPr>
              <w:t xml:space="preserve">injection for </w:t>
            </w:r>
            <w:r w:rsidRPr="002A7429">
              <w:rPr>
                <w:color w:val="auto"/>
                <w:spacing w:val="-4"/>
                <w:sz w:val="20"/>
                <w:szCs w:val="20"/>
              </w:rPr>
              <w:t xml:space="preserve">I.V. </w:t>
            </w:r>
            <w:r w:rsidRPr="002A7429">
              <w:rPr>
                <w:color w:val="auto"/>
                <w:spacing w:val="-2"/>
                <w:sz w:val="20"/>
                <w:szCs w:val="20"/>
              </w:rPr>
              <w:t>infusion</w:t>
            </w:r>
          </w:p>
        </w:tc>
        <w:tc>
          <w:tcPr>
            <w:tcW w:w="1419" w:type="dxa"/>
            <w:shd w:val="clear" w:color="auto" w:fill="B4C6E7" w:themeFill="accent1" w:themeFillTint="66"/>
          </w:tcPr>
          <w:p w14:paraId="1907DE06" w14:textId="37949875" w:rsidR="002A7429" w:rsidRPr="002A7429" w:rsidRDefault="002A7429" w:rsidP="00DB69DC">
            <w:pPr>
              <w:cnfStyle w:val="000000000000" w:firstRow="0" w:lastRow="0" w:firstColumn="0" w:lastColumn="0" w:oddVBand="0" w:evenVBand="0" w:oddHBand="0" w:evenHBand="0" w:firstRowFirstColumn="0" w:firstRowLastColumn="0" w:lastRowFirstColumn="0" w:lastRowLastColumn="0"/>
              <w:rPr>
                <w:spacing w:val="-5"/>
                <w:sz w:val="20"/>
              </w:rPr>
            </w:pPr>
            <w:r w:rsidRPr="002A7429">
              <w:rPr>
                <w:color w:val="auto"/>
                <w:sz w:val="20"/>
                <w:szCs w:val="20"/>
              </w:rPr>
              <w:t>Solution for</w:t>
            </w:r>
            <w:r w:rsidRPr="002A7429">
              <w:rPr>
                <w:color w:val="auto"/>
                <w:spacing w:val="40"/>
                <w:sz w:val="20"/>
                <w:szCs w:val="20"/>
              </w:rPr>
              <w:t xml:space="preserve"> </w:t>
            </w:r>
            <w:r w:rsidRPr="002A7429">
              <w:rPr>
                <w:color w:val="auto"/>
                <w:sz w:val="20"/>
                <w:szCs w:val="20"/>
              </w:rPr>
              <w:t>injection</w:t>
            </w:r>
            <w:r w:rsidRPr="002A7429">
              <w:rPr>
                <w:color w:val="auto"/>
                <w:spacing w:val="-10"/>
                <w:sz w:val="20"/>
                <w:szCs w:val="20"/>
              </w:rPr>
              <w:t xml:space="preserve"> </w:t>
            </w:r>
            <w:r w:rsidRPr="002A7429">
              <w:rPr>
                <w:color w:val="auto"/>
                <w:sz w:val="20"/>
                <w:szCs w:val="20"/>
              </w:rPr>
              <w:t>S.C.</w:t>
            </w:r>
          </w:p>
        </w:tc>
      </w:tr>
      <w:tr w:rsidR="00FC6C5C" w:rsidRPr="002A7429" w14:paraId="4EE9231F" w14:textId="77777777" w:rsidTr="002A7429">
        <w:trPr>
          <w:trHeight w:val="712"/>
        </w:trPr>
        <w:tc>
          <w:tcPr>
            <w:cnfStyle w:val="001000000000" w:firstRow="0" w:lastRow="0" w:firstColumn="1" w:lastColumn="0" w:oddVBand="0" w:evenVBand="0" w:oddHBand="0" w:evenHBand="0" w:firstRowFirstColumn="0" w:firstRowLastColumn="0" w:lastRowFirstColumn="0" w:lastRowLastColumn="0"/>
            <w:tcW w:w="1843" w:type="dxa"/>
          </w:tcPr>
          <w:p w14:paraId="23B2B498" w14:textId="77777777" w:rsidR="00FC6C5C" w:rsidRPr="002A7429" w:rsidRDefault="00FC6C5C" w:rsidP="00DB69DC">
            <w:pPr>
              <w:rPr>
                <w:sz w:val="20"/>
                <w:szCs w:val="20"/>
              </w:rPr>
            </w:pPr>
            <w:r w:rsidRPr="002A7429">
              <w:rPr>
                <w:spacing w:val="-2"/>
                <w:sz w:val="20"/>
                <w:szCs w:val="20"/>
              </w:rPr>
              <w:t>Efgartigimod</w:t>
            </w:r>
            <w:r w:rsidRPr="002A7429">
              <w:rPr>
                <w:spacing w:val="40"/>
                <w:sz w:val="20"/>
                <w:szCs w:val="20"/>
              </w:rPr>
              <w:t xml:space="preserve"> </w:t>
            </w:r>
            <w:r w:rsidRPr="002A7429">
              <w:rPr>
                <w:spacing w:val="-2"/>
                <w:sz w:val="20"/>
                <w:szCs w:val="20"/>
              </w:rPr>
              <w:t>(ARGX-113)</w:t>
            </w:r>
          </w:p>
        </w:tc>
        <w:tc>
          <w:tcPr>
            <w:tcW w:w="1274" w:type="dxa"/>
          </w:tcPr>
          <w:p w14:paraId="19C6F1E1"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p w14:paraId="003A033C"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412.0</w:t>
            </w:r>
          </w:p>
        </w:tc>
        <w:tc>
          <w:tcPr>
            <w:tcW w:w="1135" w:type="dxa"/>
          </w:tcPr>
          <w:p w14:paraId="4C9AB4A4"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p w14:paraId="6610D8FC"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1206.0</w:t>
            </w:r>
          </w:p>
        </w:tc>
        <w:tc>
          <w:tcPr>
            <w:tcW w:w="1277" w:type="dxa"/>
          </w:tcPr>
          <w:p w14:paraId="2F6128DE"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133" w:type="dxa"/>
          </w:tcPr>
          <w:p w14:paraId="3D69A703"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1938FA2E"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20</w:t>
            </w:r>
          </w:p>
          <w:p w14:paraId="39E27341"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4"/>
                <w:sz w:val="20"/>
                <w:szCs w:val="20"/>
              </w:rPr>
              <w:t>(400</w:t>
            </w:r>
          </w:p>
          <w:p w14:paraId="3F6C5576"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mg/20mL)</w:t>
            </w:r>
          </w:p>
        </w:tc>
        <w:tc>
          <w:tcPr>
            <w:tcW w:w="1419" w:type="dxa"/>
          </w:tcPr>
          <w:p w14:paraId="3A176955"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180</w:t>
            </w:r>
          </w:p>
          <w:p w14:paraId="2F30B713"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(1000</w:t>
            </w:r>
          </w:p>
          <w:p w14:paraId="7AEC1B88"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 xml:space="preserve">mg/5.6 </w:t>
            </w:r>
            <w:r w:rsidRPr="002A7429">
              <w:rPr>
                <w:spacing w:val="-5"/>
                <w:sz w:val="20"/>
                <w:szCs w:val="20"/>
              </w:rPr>
              <w:t>mL)</w:t>
            </w:r>
          </w:p>
        </w:tc>
      </w:tr>
      <w:tr w:rsidR="00FC6C5C" w:rsidRPr="002A7429" w14:paraId="26F2AE96" w14:textId="77777777" w:rsidTr="002A7429">
        <w:trPr>
          <w:trHeight w:val="520"/>
        </w:trPr>
        <w:tc>
          <w:tcPr>
            <w:cnfStyle w:val="001000000000" w:firstRow="0" w:lastRow="0" w:firstColumn="1" w:lastColumn="0" w:oddVBand="0" w:evenVBand="0" w:oddHBand="0" w:evenHBand="0" w:firstRowFirstColumn="0" w:firstRowLastColumn="0" w:lastRowFirstColumn="0" w:lastRowLastColumn="0"/>
            <w:tcW w:w="1843" w:type="dxa"/>
          </w:tcPr>
          <w:p w14:paraId="60F539B2" w14:textId="77777777" w:rsidR="00FC6C5C" w:rsidRPr="002A7429" w:rsidRDefault="00FC6C5C" w:rsidP="00DB69DC">
            <w:pPr>
              <w:rPr>
                <w:sz w:val="20"/>
                <w:szCs w:val="20"/>
              </w:rPr>
            </w:pPr>
            <w:r w:rsidRPr="002A7429">
              <w:rPr>
                <w:spacing w:val="-2"/>
                <w:sz w:val="20"/>
                <w:szCs w:val="20"/>
              </w:rPr>
              <w:t>Excipients</w:t>
            </w:r>
          </w:p>
        </w:tc>
        <w:tc>
          <w:tcPr>
            <w:tcW w:w="2409" w:type="dxa"/>
            <w:gridSpan w:val="2"/>
          </w:tcPr>
          <w:p w14:paraId="3AB34EE9"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Quantity</w:t>
            </w:r>
            <w:r w:rsidRPr="002A7429">
              <w:rPr>
                <w:spacing w:val="-3"/>
                <w:sz w:val="20"/>
                <w:szCs w:val="20"/>
              </w:rPr>
              <w:t xml:space="preserve"> </w:t>
            </w:r>
            <w:r w:rsidRPr="002A7429">
              <w:rPr>
                <w:spacing w:val="-2"/>
                <w:sz w:val="20"/>
                <w:szCs w:val="20"/>
              </w:rPr>
              <w:t>(mg/vial)</w:t>
            </w:r>
          </w:p>
        </w:tc>
        <w:tc>
          <w:tcPr>
            <w:tcW w:w="1277" w:type="dxa"/>
          </w:tcPr>
          <w:p w14:paraId="0BE7140B"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Role in</w:t>
            </w:r>
            <w:r w:rsidRPr="002A7429">
              <w:rPr>
                <w:spacing w:val="40"/>
                <w:sz w:val="20"/>
                <w:szCs w:val="20"/>
              </w:rPr>
              <w:t xml:space="preserve"> </w:t>
            </w:r>
            <w:r w:rsidRPr="002A7429">
              <w:rPr>
                <w:spacing w:val="-2"/>
                <w:sz w:val="20"/>
                <w:szCs w:val="20"/>
              </w:rPr>
              <w:t>formulation</w:t>
            </w:r>
          </w:p>
        </w:tc>
        <w:tc>
          <w:tcPr>
            <w:tcW w:w="1133" w:type="dxa"/>
          </w:tcPr>
          <w:p w14:paraId="3AF8A3D7"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Standards</w:t>
            </w:r>
          </w:p>
        </w:tc>
        <w:tc>
          <w:tcPr>
            <w:tcW w:w="2694" w:type="dxa"/>
            <w:gridSpan w:val="2"/>
          </w:tcPr>
          <w:p w14:paraId="6FB251A2"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Concentration</w:t>
            </w:r>
            <w:r w:rsidRPr="002A7429">
              <w:rPr>
                <w:spacing w:val="14"/>
                <w:sz w:val="20"/>
                <w:szCs w:val="20"/>
              </w:rPr>
              <w:t xml:space="preserve"> </w:t>
            </w:r>
            <w:r w:rsidRPr="002A7429">
              <w:rPr>
                <w:spacing w:val="-2"/>
                <w:sz w:val="20"/>
                <w:szCs w:val="20"/>
              </w:rPr>
              <w:t>(mg/mL)</w:t>
            </w:r>
          </w:p>
        </w:tc>
      </w:tr>
      <w:tr w:rsidR="00FC6C5C" w:rsidRPr="002A7429" w14:paraId="231F6394" w14:textId="77777777" w:rsidTr="002A7429">
        <w:trPr>
          <w:trHeight w:val="462"/>
        </w:trPr>
        <w:tc>
          <w:tcPr>
            <w:cnfStyle w:val="001000000000" w:firstRow="0" w:lastRow="0" w:firstColumn="1" w:lastColumn="0" w:oddVBand="0" w:evenVBand="0" w:oddHBand="0" w:evenHBand="0" w:firstRowFirstColumn="0" w:firstRowLastColumn="0" w:lastRowFirstColumn="0" w:lastRowLastColumn="0"/>
            <w:tcW w:w="1843" w:type="dxa"/>
          </w:tcPr>
          <w:p w14:paraId="47207859" w14:textId="77777777" w:rsidR="00FC6C5C" w:rsidRPr="002A7429" w:rsidRDefault="00FC6C5C" w:rsidP="00DB69DC">
            <w:pPr>
              <w:rPr>
                <w:sz w:val="20"/>
                <w:szCs w:val="20"/>
              </w:rPr>
            </w:pPr>
            <w:proofErr w:type="spellStart"/>
            <w:r w:rsidRPr="002A7429">
              <w:rPr>
                <w:spacing w:val="-2"/>
                <w:sz w:val="20"/>
                <w:szCs w:val="20"/>
              </w:rPr>
              <w:t>Vorhyaluronidase</w:t>
            </w:r>
            <w:proofErr w:type="spellEnd"/>
            <w:r w:rsidRPr="002A7429">
              <w:rPr>
                <w:spacing w:val="40"/>
                <w:sz w:val="20"/>
                <w:szCs w:val="20"/>
              </w:rPr>
              <w:t xml:space="preserve"> </w:t>
            </w:r>
            <w:r w:rsidRPr="002A7429">
              <w:rPr>
                <w:sz w:val="20"/>
                <w:szCs w:val="20"/>
              </w:rPr>
              <w:t>alfa</w:t>
            </w:r>
            <w:r w:rsidRPr="002A7429">
              <w:rPr>
                <w:spacing w:val="-3"/>
                <w:sz w:val="20"/>
                <w:szCs w:val="20"/>
              </w:rPr>
              <w:t xml:space="preserve"> </w:t>
            </w:r>
            <w:r w:rsidRPr="002A7429">
              <w:rPr>
                <w:sz w:val="20"/>
                <w:szCs w:val="20"/>
              </w:rPr>
              <w:t>(rHuPH20)</w:t>
            </w:r>
          </w:p>
        </w:tc>
        <w:tc>
          <w:tcPr>
            <w:tcW w:w="1274" w:type="dxa"/>
          </w:tcPr>
          <w:p w14:paraId="43B5CF97"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135" w:type="dxa"/>
          </w:tcPr>
          <w:p w14:paraId="30E9A4DB"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13</w:t>
            </w:r>
            <w:r w:rsidRPr="002A7429">
              <w:rPr>
                <w:spacing w:val="-1"/>
                <w:sz w:val="20"/>
                <w:szCs w:val="20"/>
              </w:rPr>
              <w:t xml:space="preserve"> </w:t>
            </w:r>
            <w:r w:rsidRPr="002A7429">
              <w:rPr>
                <w:sz w:val="20"/>
                <w:szCs w:val="20"/>
              </w:rPr>
              <w:t>400</w:t>
            </w:r>
            <w:r w:rsidRPr="002A7429">
              <w:rPr>
                <w:spacing w:val="-1"/>
                <w:sz w:val="20"/>
                <w:szCs w:val="20"/>
              </w:rPr>
              <w:t xml:space="preserve"> </w:t>
            </w:r>
            <w:r w:rsidRPr="002A7429">
              <w:rPr>
                <w:spacing w:val="-10"/>
                <w:sz w:val="20"/>
                <w:szCs w:val="20"/>
              </w:rPr>
              <w:t>U</w:t>
            </w:r>
          </w:p>
        </w:tc>
        <w:tc>
          <w:tcPr>
            <w:tcW w:w="1277" w:type="dxa"/>
          </w:tcPr>
          <w:p w14:paraId="0E66269A"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Permeation</w:t>
            </w:r>
            <w:r w:rsidRPr="002A7429">
              <w:rPr>
                <w:spacing w:val="40"/>
                <w:sz w:val="20"/>
                <w:szCs w:val="20"/>
              </w:rPr>
              <w:t xml:space="preserve"> </w:t>
            </w:r>
            <w:r w:rsidRPr="002A7429">
              <w:rPr>
                <w:spacing w:val="-2"/>
                <w:sz w:val="20"/>
                <w:szCs w:val="20"/>
              </w:rPr>
              <w:t>enhancer</w:t>
            </w:r>
          </w:p>
        </w:tc>
        <w:tc>
          <w:tcPr>
            <w:tcW w:w="1133" w:type="dxa"/>
          </w:tcPr>
          <w:p w14:paraId="7FE38888"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Ph.</w:t>
            </w:r>
            <w:r w:rsidRPr="002A7429">
              <w:rPr>
                <w:spacing w:val="-1"/>
                <w:sz w:val="20"/>
                <w:szCs w:val="20"/>
              </w:rPr>
              <w:t xml:space="preserve"> </w:t>
            </w:r>
            <w:r w:rsidRPr="002A7429">
              <w:rPr>
                <w:spacing w:val="-4"/>
                <w:sz w:val="20"/>
                <w:szCs w:val="20"/>
              </w:rPr>
              <w:t>Eur.</w:t>
            </w:r>
          </w:p>
        </w:tc>
        <w:tc>
          <w:tcPr>
            <w:tcW w:w="1275" w:type="dxa"/>
          </w:tcPr>
          <w:p w14:paraId="56F9B826"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419" w:type="dxa"/>
          </w:tcPr>
          <w:p w14:paraId="451A75A0"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2000</w:t>
            </w:r>
            <w:r w:rsidRPr="002A7429">
              <w:rPr>
                <w:spacing w:val="-3"/>
                <w:sz w:val="20"/>
                <w:szCs w:val="20"/>
              </w:rPr>
              <w:t xml:space="preserve"> </w:t>
            </w:r>
            <w:r w:rsidRPr="002A7429">
              <w:rPr>
                <w:spacing w:val="-4"/>
                <w:sz w:val="20"/>
                <w:szCs w:val="20"/>
              </w:rPr>
              <w:t>U/mL</w:t>
            </w:r>
          </w:p>
        </w:tc>
      </w:tr>
      <w:tr w:rsidR="00FC6C5C" w:rsidRPr="002A7429" w14:paraId="7611B1CD" w14:textId="77777777" w:rsidTr="002A7429">
        <w:trPr>
          <w:trHeight w:val="462"/>
        </w:trPr>
        <w:tc>
          <w:tcPr>
            <w:cnfStyle w:val="001000000000" w:firstRow="0" w:lastRow="0" w:firstColumn="1" w:lastColumn="0" w:oddVBand="0" w:evenVBand="0" w:oddHBand="0" w:evenHBand="0" w:firstRowFirstColumn="0" w:firstRowLastColumn="0" w:lastRowFirstColumn="0" w:lastRowLastColumn="0"/>
            <w:tcW w:w="1843" w:type="dxa"/>
          </w:tcPr>
          <w:p w14:paraId="063BE030" w14:textId="77777777" w:rsidR="00FC6C5C" w:rsidRPr="002A7429" w:rsidRDefault="00FC6C5C" w:rsidP="00DB69DC">
            <w:pPr>
              <w:rPr>
                <w:sz w:val="20"/>
                <w:szCs w:val="20"/>
              </w:rPr>
            </w:pPr>
            <w:r w:rsidRPr="002A7429">
              <w:rPr>
                <w:spacing w:val="-2"/>
                <w:sz w:val="20"/>
                <w:szCs w:val="20"/>
              </w:rPr>
              <w:t>Histidine</w:t>
            </w:r>
          </w:p>
        </w:tc>
        <w:tc>
          <w:tcPr>
            <w:tcW w:w="1274" w:type="dxa"/>
          </w:tcPr>
          <w:p w14:paraId="4214467D"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135" w:type="dxa"/>
          </w:tcPr>
          <w:p w14:paraId="1EE0F3F7"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9.4</w:t>
            </w:r>
          </w:p>
        </w:tc>
        <w:tc>
          <w:tcPr>
            <w:tcW w:w="1277" w:type="dxa"/>
          </w:tcPr>
          <w:p w14:paraId="36FC1A4E"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Buffering</w:t>
            </w:r>
            <w:r w:rsidRPr="002A7429">
              <w:rPr>
                <w:spacing w:val="40"/>
                <w:sz w:val="20"/>
                <w:szCs w:val="20"/>
              </w:rPr>
              <w:t xml:space="preserve"> </w:t>
            </w:r>
            <w:r w:rsidRPr="002A7429">
              <w:rPr>
                <w:spacing w:val="-2"/>
                <w:sz w:val="20"/>
                <w:szCs w:val="20"/>
              </w:rPr>
              <w:t>agent</w:t>
            </w:r>
          </w:p>
        </w:tc>
        <w:tc>
          <w:tcPr>
            <w:tcW w:w="1133" w:type="dxa"/>
          </w:tcPr>
          <w:p w14:paraId="0089F86F"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Ph.</w:t>
            </w:r>
            <w:r w:rsidRPr="002A7429">
              <w:rPr>
                <w:spacing w:val="-1"/>
                <w:sz w:val="20"/>
                <w:szCs w:val="20"/>
              </w:rPr>
              <w:t xml:space="preserve"> </w:t>
            </w:r>
            <w:r w:rsidRPr="002A7429">
              <w:rPr>
                <w:spacing w:val="-4"/>
                <w:sz w:val="20"/>
                <w:szCs w:val="20"/>
              </w:rPr>
              <w:t>Eur.</w:t>
            </w:r>
          </w:p>
        </w:tc>
        <w:tc>
          <w:tcPr>
            <w:tcW w:w="1275" w:type="dxa"/>
          </w:tcPr>
          <w:p w14:paraId="480C627C"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419" w:type="dxa"/>
          </w:tcPr>
          <w:p w14:paraId="1E2B16AD"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1.4</w:t>
            </w:r>
          </w:p>
        </w:tc>
      </w:tr>
      <w:tr w:rsidR="00FC6C5C" w:rsidRPr="002A7429" w14:paraId="59134284" w14:textId="77777777" w:rsidTr="002A7429">
        <w:trPr>
          <w:trHeight w:val="671"/>
        </w:trPr>
        <w:tc>
          <w:tcPr>
            <w:cnfStyle w:val="001000000000" w:firstRow="0" w:lastRow="0" w:firstColumn="1" w:lastColumn="0" w:oddVBand="0" w:evenVBand="0" w:oddHBand="0" w:evenHBand="0" w:firstRowFirstColumn="0" w:firstRowLastColumn="0" w:lastRowFirstColumn="0" w:lastRowLastColumn="0"/>
            <w:tcW w:w="1843" w:type="dxa"/>
          </w:tcPr>
          <w:p w14:paraId="1FDF0634" w14:textId="77777777" w:rsidR="00FC6C5C" w:rsidRPr="002A7429" w:rsidRDefault="00FC6C5C" w:rsidP="00DB69DC">
            <w:pPr>
              <w:rPr>
                <w:sz w:val="20"/>
                <w:szCs w:val="20"/>
              </w:rPr>
            </w:pPr>
            <w:r w:rsidRPr="002A7429">
              <w:rPr>
                <w:spacing w:val="-2"/>
                <w:sz w:val="20"/>
                <w:szCs w:val="20"/>
              </w:rPr>
              <w:t>Histidine</w:t>
            </w:r>
            <w:r w:rsidRPr="002A7429">
              <w:rPr>
                <w:spacing w:val="40"/>
                <w:sz w:val="20"/>
                <w:szCs w:val="20"/>
              </w:rPr>
              <w:t xml:space="preserve"> </w:t>
            </w:r>
            <w:r w:rsidRPr="002A7429">
              <w:rPr>
                <w:spacing w:val="-2"/>
                <w:sz w:val="20"/>
                <w:szCs w:val="20"/>
              </w:rPr>
              <w:t>hydrochloride</w:t>
            </w:r>
            <w:r w:rsidRPr="002A7429">
              <w:rPr>
                <w:spacing w:val="40"/>
                <w:sz w:val="20"/>
                <w:szCs w:val="20"/>
              </w:rPr>
              <w:t xml:space="preserve"> </w:t>
            </w:r>
            <w:r w:rsidRPr="002A7429">
              <w:rPr>
                <w:spacing w:val="-2"/>
                <w:sz w:val="20"/>
                <w:szCs w:val="20"/>
              </w:rPr>
              <w:t>monohydrate</w:t>
            </w:r>
          </w:p>
        </w:tc>
        <w:tc>
          <w:tcPr>
            <w:tcW w:w="1274" w:type="dxa"/>
          </w:tcPr>
          <w:p w14:paraId="49FDAEC4"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135" w:type="dxa"/>
          </w:tcPr>
          <w:p w14:paraId="24265FAF"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4"/>
                <w:sz w:val="20"/>
                <w:szCs w:val="20"/>
              </w:rPr>
              <w:t>14.7</w:t>
            </w:r>
          </w:p>
        </w:tc>
        <w:tc>
          <w:tcPr>
            <w:tcW w:w="1277" w:type="dxa"/>
          </w:tcPr>
          <w:p w14:paraId="6F31852D"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Buffering</w:t>
            </w:r>
            <w:r w:rsidRPr="002A7429">
              <w:rPr>
                <w:spacing w:val="40"/>
                <w:sz w:val="20"/>
                <w:szCs w:val="20"/>
              </w:rPr>
              <w:t xml:space="preserve"> </w:t>
            </w:r>
            <w:r w:rsidRPr="002A7429">
              <w:rPr>
                <w:spacing w:val="-2"/>
                <w:sz w:val="20"/>
                <w:szCs w:val="20"/>
              </w:rPr>
              <w:t>agent</w:t>
            </w:r>
          </w:p>
        </w:tc>
        <w:tc>
          <w:tcPr>
            <w:tcW w:w="1133" w:type="dxa"/>
          </w:tcPr>
          <w:p w14:paraId="59CF0FEC"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Ph.</w:t>
            </w:r>
            <w:r w:rsidRPr="002A7429">
              <w:rPr>
                <w:spacing w:val="-1"/>
                <w:sz w:val="20"/>
                <w:szCs w:val="20"/>
              </w:rPr>
              <w:t xml:space="preserve"> </w:t>
            </w:r>
            <w:r w:rsidRPr="002A7429">
              <w:rPr>
                <w:spacing w:val="-4"/>
                <w:sz w:val="20"/>
                <w:szCs w:val="20"/>
              </w:rPr>
              <w:t>Eur.</w:t>
            </w:r>
          </w:p>
        </w:tc>
        <w:tc>
          <w:tcPr>
            <w:tcW w:w="1275" w:type="dxa"/>
          </w:tcPr>
          <w:p w14:paraId="77A2C53F"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419" w:type="dxa"/>
          </w:tcPr>
          <w:p w14:paraId="3A75ED09"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2.2</w:t>
            </w:r>
          </w:p>
        </w:tc>
      </w:tr>
      <w:tr w:rsidR="00FC6C5C" w:rsidRPr="002A7429" w14:paraId="433B2FB1" w14:textId="77777777" w:rsidTr="002A7429">
        <w:trPr>
          <w:trHeight w:val="462"/>
        </w:trPr>
        <w:tc>
          <w:tcPr>
            <w:cnfStyle w:val="001000000000" w:firstRow="0" w:lastRow="0" w:firstColumn="1" w:lastColumn="0" w:oddVBand="0" w:evenVBand="0" w:oddHBand="0" w:evenHBand="0" w:firstRowFirstColumn="0" w:firstRowLastColumn="0" w:lastRowFirstColumn="0" w:lastRowLastColumn="0"/>
            <w:tcW w:w="1843" w:type="dxa"/>
          </w:tcPr>
          <w:p w14:paraId="52EBB066" w14:textId="77777777" w:rsidR="00FC6C5C" w:rsidRPr="002A7429" w:rsidRDefault="00FC6C5C" w:rsidP="00DB69DC">
            <w:pPr>
              <w:rPr>
                <w:sz w:val="20"/>
                <w:szCs w:val="20"/>
              </w:rPr>
            </w:pPr>
            <w:r w:rsidRPr="002A7429">
              <w:rPr>
                <w:spacing w:val="-2"/>
                <w:sz w:val="20"/>
                <w:szCs w:val="20"/>
              </w:rPr>
              <w:t>Methionine</w:t>
            </w:r>
          </w:p>
        </w:tc>
        <w:tc>
          <w:tcPr>
            <w:tcW w:w="1274" w:type="dxa"/>
          </w:tcPr>
          <w:p w14:paraId="36DB08DB"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135" w:type="dxa"/>
          </w:tcPr>
          <w:p w14:paraId="0BEF7E32"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4"/>
                <w:sz w:val="20"/>
                <w:szCs w:val="20"/>
              </w:rPr>
              <w:t>10.1</w:t>
            </w:r>
          </w:p>
        </w:tc>
        <w:tc>
          <w:tcPr>
            <w:tcW w:w="1277" w:type="dxa"/>
          </w:tcPr>
          <w:p w14:paraId="7DC90653"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Stabilising</w:t>
            </w:r>
            <w:r w:rsidRPr="002A7429">
              <w:rPr>
                <w:spacing w:val="40"/>
                <w:sz w:val="20"/>
                <w:szCs w:val="20"/>
              </w:rPr>
              <w:t xml:space="preserve"> </w:t>
            </w:r>
            <w:r w:rsidRPr="002A7429">
              <w:rPr>
                <w:spacing w:val="-2"/>
                <w:sz w:val="20"/>
                <w:szCs w:val="20"/>
              </w:rPr>
              <w:t>agent</w:t>
            </w:r>
          </w:p>
        </w:tc>
        <w:tc>
          <w:tcPr>
            <w:tcW w:w="1133" w:type="dxa"/>
          </w:tcPr>
          <w:p w14:paraId="240486E7"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Ph.</w:t>
            </w:r>
            <w:r w:rsidRPr="002A7429">
              <w:rPr>
                <w:spacing w:val="-1"/>
                <w:sz w:val="20"/>
                <w:szCs w:val="20"/>
              </w:rPr>
              <w:t xml:space="preserve"> </w:t>
            </w:r>
            <w:r w:rsidRPr="002A7429">
              <w:rPr>
                <w:spacing w:val="-4"/>
                <w:sz w:val="20"/>
                <w:szCs w:val="20"/>
              </w:rPr>
              <w:t>Eur.</w:t>
            </w:r>
          </w:p>
        </w:tc>
        <w:tc>
          <w:tcPr>
            <w:tcW w:w="1275" w:type="dxa"/>
          </w:tcPr>
          <w:p w14:paraId="5CB8235C"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419" w:type="dxa"/>
          </w:tcPr>
          <w:p w14:paraId="1F31594A"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1.5</w:t>
            </w:r>
          </w:p>
        </w:tc>
      </w:tr>
      <w:tr w:rsidR="00FC6C5C" w:rsidRPr="002A7429" w14:paraId="530426C8" w14:textId="77777777" w:rsidTr="002A7429">
        <w:trPr>
          <w:trHeight w:val="462"/>
        </w:trPr>
        <w:tc>
          <w:tcPr>
            <w:cnfStyle w:val="001000000000" w:firstRow="0" w:lastRow="0" w:firstColumn="1" w:lastColumn="0" w:oddVBand="0" w:evenVBand="0" w:oddHBand="0" w:evenHBand="0" w:firstRowFirstColumn="0" w:firstRowLastColumn="0" w:lastRowFirstColumn="0" w:lastRowLastColumn="0"/>
            <w:tcW w:w="1843" w:type="dxa"/>
          </w:tcPr>
          <w:p w14:paraId="4EA50499" w14:textId="77777777" w:rsidR="00FC6C5C" w:rsidRPr="002A7429" w:rsidRDefault="00FC6C5C" w:rsidP="00DB69DC">
            <w:pPr>
              <w:rPr>
                <w:sz w:val="20"/>
                <w:szCs w:val="20"/>
              </w:rPr>
            </w:pPr>
            <w:r w:rsidRPr="002A7429">
              <w:rPr>
                <w:spacing w:val="-2"/>
                <w:sz w:val="20"/>
                <w:szCs w:val="20"/>
              </w:rPr>
              <w:t>Sucrose</w:t>
            </w:r>
          </w:p>
        </w:tc>
        <w:tc>
          <w:tcPr>
            <w:tcW w:w="1274" w:type="dxa"/>
          </w:tcPr>
          <w:p w14:paraId="2BAE5340"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135" w:type="dxa"/>
          </w:tcPr>
          <w:p w14:paraId="59BC86C8"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137.4</w:t>
            </w:r>
          </w:p>
        </w:tc>
        <w:tc>
          <w:tcPr>
            <w:tcW w:w="1277" w:type="dxa"/>
          </w:tcPr>
          <w:p w14:paraId="308B79E7"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Tonicity</w:t>
            </w:r>
            <w:r w:rsidRPr="002A7429">
              <w:rPr>
                <w:spacing w:val="40"/>
                <w:sz w:val="20"/>
                <w:szCs w:val="20"/>
              </w:rPr>
              <w:t xml:space="preserve"> </w:t>
            </w:r>
            <w:r w:rsidRPr="002A7429">
              <w:rPr>
                <w:spacing w:val="-2"/>
                <w:sz w:val="20"/>
                <w:szCs w:val="20"/>
              </w:rPr>
              <w:t>agent</w:t>
            </w:r>
          </w:p>
        </w:tc>
        <w:tc>
          <w:tcPr>
            <w:tcW w:w="1133" w:type="dxa"/>
          </w:tcPr>
          <w:p w14:paraId="71D06530"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Ph.</w:t>
            </w:r>
            <w:r w:rsidRPr="002A7429">
              <w:rPr>
                <w:spacing w:val="-1"/>
                <w:sz w:val="20"/>
                <w:szCs w:val="20"/>
              </w:rPr>
              <w:t xml:space="preserve"> </w:t>
            </w:r>
            <w:r w:rsidRPr="002A7429">
              <w:rPr>
                <w:spacing w:val="-4"/>
                <w:sz w:val="20"/>
                <w:szCs w:val="20"/>
              </w:rPr>
              <w:t>Eur.</w:t>
            </w:r>
          </w:p>
        </w:tc>
        <w:tc>
          <w:tcPr>
            <w:tcW w:w="1275" w:type="dxa"/>
          </w:tcPr>
          <w:p w14:paraId="62C6CD35"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419" w:type="dxa"/>
          </w:tcPr>
          <w:p w14:paraId="7FBB644F"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4"/>
                <w:sz w:val="20"/>
                <w:szCs w:val="20"/>
              </w:rPr>
              <w:t>20.5</w:t>
            </w:r>
          </w:p>
        </w:tc>
      </w:tr>
      <w:tr w:rsidR="00FC6C5C" w:rsidRPr="002A7429" w14:paraId="55D72030" w14:textId="77777777" w:rsidTr="002A7429">
        <w:trPr>
          <w:trHeight w:val="674"/>
        </w:trPr>
        <w:tc>
          <w:tcPr>
            <w:cnfStyle w:val="001000000000" w:firstRow="0" w:lastRow="0" w:firstColumn="1" w:lastColumn="0" w:oddVBand="0" w:evenVBand="0" w:oddHBand="0" w:evenHBand="0" w:firstRowFirstColumn="0" w:firstRowLastColumn="0" w:lastRowFirstColumn="0" w:lastRowLastColumn="0"/>
            <w:tcW w:w="1843" w:type="dxa"/>
          </w:tcPr>
          <w:p w14:paraId="615098B3" w14:textId="77777777" w:rsidR="00FC6C5C" w:rsidRPr="002A7429" w:rsidRDefault="00FC6C5C" w:rsidP="00DB69DC">
            <w:pPr>
              <w:rPr>
                <w:sz w:val="20"/>
                <w:szCs w:val="20"/>
              </w:rPr>
            </w:pPr>
            <w:r w:rsidRPr="002A7429">
              <w:rPr>
                <w:sz w:val="20"/>
                <w:szCs w:val="20"/>
              </w:rPr>
              <w:t>Monobasic</w:t>
            </w:r>
            <w:r w:rsidRPr="002A7429">
              <w:rPr>
                <w:spacing w:val="-10"/>
                <w:sz w:val="20"/>
                <w:szCs w:val="20"/>
              </w:rPr>
              <w:t xml:space="preserve"> </w:t>
            </w:r>
            <w:r w:rsidRPr="002A7429">
              <w:rPr>
                <w:sz w:val="20"/>
                <w:szCs w:val="20"/>
              </w:rPr>
              <w:t>sodium</w:t>
            </w:r>
            <w:r w:rsidRPr="002A7429">
              <w:rPr>
                <w:spacing w:val="40"/>
                <w:sz w:val="20"/>
                <w:szCs w:val="20"/>
              </w:rPr>
              <w:t xml:space="preserve"> </w:t>
            </w:r>
            <w:r w:rsidRPr="002A7429">
              <w:rPr>
                <w:spacing w:val="-2"/>
                <w:sz w:val="20"/>
                <w:szCs w:val="20"/>
              </w:rPr>
              <w:t>phosphate</w:t>
            </w:r>
            <w:r w:rsidRPr="002A7429">
              <w:rPr>
                <w:spacing w:val="40"/>
                <w:sz w:val="20"/>
                <w:szCs w:val="20"/>
              </w:rPr>
              <w:t xml:space="preserve"> </w:t>
            </w:r>
            <w:r w:rsidRPr="002A7429">
              <w:rPr>
                <w:spacing w:val="-2"/>
                <w:sz w:val="20"/>
                <w:szCs w:val="20"/>
              </w:rPr>
              <w:t>monohydrate</w:t>
            </w:r>
          </w:p>
        </w:tc>
        <w:tc>
          <w:tcPr>
            <w:tcW w:w="1274" w:type="dxa"/>
          </w:tcPr>
          <w:p w14:paraId="6BFF0742"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4"/>
                <w:sz w:val="20"/>
                <w:szCs w:val="20"/>
              </w:rPr>
              <w:t>22.7</w:t>
            </w:r>
          </w:p>
        </w:tc>
        <w:tc>
          <w:tcPr>
            <w:tcW w:w="1135" w:type="dxa"/>
          </w:tcPr>
          <w:p w14:paraId="31C64EF6"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277" w:type="dxa"/>
          </w:tcPr>
          <w:p w14:paraId="1FD00112"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Buffering</w:t>
            </w:r>
            <w:r w:rsidRPr="002A7429">
              <w:rPr>
                <w:spacing w:val="40"/>
                <w:sz w:val="20"/>
                <w:szCs w:val="20"/>
              </w:rPr>
              <w:t xml:space="preserve"> </w:t>
            </w:r>
            <w:r w:rsidRPr="002A7429">
              <w:rPr>
                <w:spacing w:val="-2"/>
                <w:sz w:val="20"/>
                <w:szCs w:val="20"/>
              </w:rPr>
              <w:t>agent</w:t>
            </w:r>
          </w:p>
        </w:tc>
        <w:tc>
          <w:tcPr>
            <w:tcW w:w="1133" w:type="dxa"/>
          </w:tcPr>
          <w:p w14:paraId="09C5D0E1"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USP</w:t>
            </w:r>
          </w:p>
        </w:tc>
        <w:tc>
          <w:tcPr>
            <w:tcW w:w="1275" w:type="dxa"/>
          </w:tcPr>
          <w:p w14:paraId="04EB0A34"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1.1</w:t>
            </w:r>
          </w:p>
        </w:tc>
        <w:tc>
          <w:tcPr>
            <w:tcW w:w="1419" w:type="dxa"/>
          </w:tcPr>
          <w:p w14:paraId="47F324C9"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r>
      <w:tr w:rsidR="00FC6C5C" w:rsidRPr="002A7429" w14:paraId="073F12A1" w14:textId="77777777" w:rsidTr="002A7429">
        <w:trPr>
          <w:trHeight w:val="460"/>
        </w:trPr>
        <w:tc>
          <w:tcPr>
            <w:cnfStyle w:val="001000000000" w:firstRow="0" w:lastRow="0" w:firstColumn="1" w:lastColumn="0" w:oddVBand="0" w:evenVBand="0" w:oddHBand="0" w:evenHBand="0" w:firstRowFirstColumn="0" w:firstRowLastColumn="0" w:lastRowFirstColumn="0" w:lastRowLastColumn="0"/>
            <w:tcW w:w="1843" w:type="dxa"/>
          </w:tcPr>
          <w:p w14:paraId="38FAC43A" w14:textId="77777777" w:rsidR="00FC6C5C" w:rsidRPr="002A7429" w:rsidRDefault="00FC6C5C" w:rsidP="00DB69DC">
            <w:pPr>
              <w:rPr>
                <w:sz w:val="20"/>
                <w:szCs w:val="20"/>
              </w:rPr>
            </w:pPr>
            <w:r w:rsidRPr="002A7429">
              <w:rPr>
                <w:sz w:val="20"/>
                <w:szCs w:val="20"/>
              </w:rPr>
              <w:t>Dibasic</w:t>
            </w:r>
            <w:r w:rsidRPr="002A7429">
              <w:rPr>
                <w:spacing w:val="-10"/>
                <w:sz w:val="20"/>
                <w:szCs w:val="20"/>
              </w:rPr>
              <w:t xml:space="preserve"> </w:t>
            </w:r>
            <w:r w:rsidRPr="002A7429">
              <w:rPr>
                <w:sz w:val="20"/>
                <w:szCs w:val="20"/>
              </w:rPr>
              <w:t>sodium</w:t>
            </w:r>
            <w:r w:rsidRPr="002A7429">
              <w:rPr>
                <w:spacing w:val="40"/>
                <w:sz w:val="20"/>
                <w:szCs w:val="20"/>
              </w:rPr>
              <w:t xml:space="preserve"> </w:t>
            </w:r>
            <w:r w:rsidRPr="002A7429">
              <w:rPr>
                <w:spacing w:val="-2"/>
                <w:sz w:val="20"/>
                <w:szCs w:val="20"/>
              </w:rPr>
              <w:t>phosphate</w:t>
            </w:r>
          </w:p>
        </w:tc>
        <w:tc>
          <w:tcPr>
            <w:tcW w:w="1274" w:type="dxa"/>
          </w:tcPr>
          <w:p w14:paraId="0746C967"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4"/>
                <w:sz w:val="20"/>
                <w:szCs w:val="20"/>
              </w:rPr>
              <w:t>49.4</w:t>
            </w:r>
          </w:p>
        </w:tc>
        <w:tc>
          <w:tcPr>
            <w:tcW w:w="1135" w:type="dxa"/>
          </w:tcPr>
          <w:p w14:paraId="41A93036"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277" w:type="dxa"/>
          </w:tcPr>
          <w:p w14:paraId="12AB5F83"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Buffering</w:t>
            </w:r>
            <w:r w:rsidRPr="002A7429">
              <w:rPr>
                <w:spacing w:val="40"/>
                <w:sz w:val="20"/>
                <w:szCs w:val="20"/>
              </w:rPr>
              <w:t xml:space="preserve"> </w:t>
            </w:r>
            <w:r w:rsidRPr="002A7429">
              <w:rPr>
                <w:spacing w:val="-2"/>
                <w:sz w:val="20"/>
                <w:szCs w:val="20"/>
              </w:rPr>
              <w:t>agent</w:t>
            </w:r>
          </w:p>
        </w:tc>
        <w:tc>
          <w:tcPr>
            <w:tcW w:w="1133" w:type="dxa"/>
          </w:tcPr>
          <w:p w14:paraId="537BDA8A"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USP,</w:t>
            </w:r>
            <w:r w:rsidRPr="002A7429">
              <w:rPr>
                <w:spacing w:val="-10"/>
                <w:sz w:val="20"/>
                <w:szCs w:val="20"/>
              </w:rPr>
              <w:t xml:space="preserve"> </w:t>
            </w:r>
            <w:r w:rsidRPr="002A7429">
              <w:rPr>
                <w:sz w:val="20"/>
                <w:szCs w:val="20"/>
              </w:rPr>
              <w:t>Ph.</w:t>
            </w:r>
            <w:r w:rsidRPr="002A7429">
              <w:rPr>
                <w:spacing w:val="40"/>
                <w:sz w:val="20"/>
                <w:szCs w:val="20"/>
              </w:rPr>
              <w:t xml:space="preserve"> </w:t>
            </w:r>
            <w:r w:rsidRPr="002A7429">
              <w:rPr>
                <w:sz w:val="20"/>
                <w:szCs w:val="20"/>
              </w:rPr>
              <w:t>Eur.,</w:t>
            </w:r>
            <w:r w:rsidRPr="002A7429">
              <w:rPr>
                <w:spacing w:val="-4"/>
                <w:sz w:val="20"/>
                <w:szCs w:val="20"/>
              </w:rPr>
              <w:t xml:space="preserve"> </w:t>
            </w:r>
            <w:r w:rsidRPr="002A7429">
              <w:rPr>
                <w:spacing w:val="-5"/>
                <w:sz w:val="20"/>
                <w:szCs w:val="20"/>
              </w:rPr>
              <w:t>JPE</w:t>
            </w:r>
          </w:p>
        </w:tc>
        <w:tc>
          <w:tcPr>
            <w:tcW w:w="1275" w:type="dxa"/>
          </w:tcPr>
          <w:p w14:paraId="517BB194"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2.4</w:t>
            </w:r>
          </w:p>
        </w:tc>
        <w:tc>
          <w:tcPr>
            <w:tcW w:w="1419" w:type="dxa"/>
          </w:tcPr>
          <w:p w14:paraId="1158659E"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r>
      <w:tr w:rsidR="00FC6C5C" w:rsidRPr="002A7429" w14:paraId="7E4AFC46" w14:textId="77777777" w:rsidTr="002A7429">
        <w:trPr>
          <w:trHeight w:val="462"/>
        </w:trPr>
        <w:tc>
          <w:tcPr>
            <w:cnfStyle w:val="001000000000" w:firstRow="0" w:lastRow="0" w:firstColumn="1" w:lastColumn="0" w:oddVBand="0" w:evenVBand="0" w:oddHBand="0" w:evenHBand="0" w:firstRowFirstColumn="0" w:firstRowLastColumn="0" w:lastRowFirstColumn="0" w:lastRowLastColumn="0"/>
            <w:tcW w:w="1843" w:type="dxa"/>
          </w:tcPr>
          <w:p w14:paraId="19BA4EC2" w14:textId="77777777" w:rsidR="00FC6C5C" w:rsidRPr="002A7429" w:rsidRDefault="00FC6C5C" w:rsidP="00DB69DC">
            <w:pPr>
              <w:rPr>
                <w:sz w:val="20"/>
                <w:szCs w:val="20"/>
              </w:rPr>
            </w:pPr>
            <w:r w:rsidRPr="002A7429">
              <w:rPr>
                <w:sz w:val="20"/>
                <w:szCs w:val="20"/>
              </w:rPr>
              <w:t>Sodium</w:t>
            </w:r>
            <w:r w:rsidRPr="002A7429">
              <w:rPr>
                <w:spacing w:val="-2"/>
                <w:sz w:val="20"/>
                <w:szCs w:val="20"/>
              </w:rPr>
              <w:t xml:space="preserve"> chloride</w:t>
            </w:r>
          </w:p>
        </w:tc>
        <w:tc>
          <w:tcPr>
            <w:tcW w:w="1274" w:type="dxa"/>
          </w:tcPr>
          <w:p w14:paraId="1B6C18A8"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119.5</w:t>
            </w:r>
          </w:p>
        </w:tc>
        <w:tc>
          <w:tcPr>
            <w:tcW w:w="1135" w:type="dxa"/>
          </w:tcPr>
          <w:p w14:paraId="1CFAB701"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4"/>
                <w:sz w:val="20"/>
                <w:szCs w:val="20"/>
              </w:rPr>
              <w:t>38.9</w:t>
            </w:r>
          </w:p>
        </w:tc>
        <w:tc>
          <w:tcPr>
            <w:tcW w:w="1277" w:type="dxa"/>
          </w:tcPr>
          <w:p w14:paraId="594B7043"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Tonicity</w:t>
            </w:r>
            <w:r w:rsidRPr="002A7429">
              <w:rPr>
                <w:spacing w:val="40"/>
                <w:sz w:val="20"/>
                <w:szCs w:val="20"/>
              </w:rPr>
              <w:t xml:space="preserve"> </w:t>
            </w:r>
            <w:r w:rsidRPr="002A7429">
              <w:rPr>
                <w:spacing w:val="-2"/>
                <w:sz w:val="20"/>
                <w:szCs w:val="20"/>
              </w:rPr>
              <w:t>agent</w:t>
            </w:r>
          </w:p>
        </w:tc>
        <w:tc>
          <w:tcPr>
            <w:tcW w:w="1133" w:type="dxa"/>
          </w:tcPr>
          <w:p w14:paraId="3E1E9E72"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USP,</w:t>
            </w:r>
            <w:r w:rsidRPr="002A7429">
              <w:rPr>
                <w:spacing w:val="-10"/>
                <w:sz w:val="20"/>
                <w:szCs w:val="20"/>
              </w:rPr>
              <w:t xml:space="preserve"> </w:t>
            </w:r>
            <w:r w:rsidRPr="002A7429">
              <w:rPr>
                <w:sz w:val="20"/>
                <w:szCs w:val="20"/>
              </w:rPr>
              <w:t>Ph.</w:t>
            </w:r>
            <w:r w:rsidRPr="002A7429">
              <w:rPr>
                <w:spacing w:val="40"/>
                <w:sz w:val="20"/>
                <w:szCs w:val="20"/>
              </w:rPr>
              <w:t xml:space="preserve"> </w:t>
            </w:r>
            <w:r w:rsidRPr="002A7429">
              <w:rPr>
                <w:sz w:val="20"/>
                <w:szCs w:val="20"/>
              </w:rPr>
              <w:t>Eur.,</w:t>
            </w:r>
            <w:r w:rsidRPr="002A7429">
              <w:rPr>
                <w:spacing w:val="-1"/>
                <w:sz w:val="20"/>
                <w:szCs w:val="20"/>
              </w:rPr>
              <w:t xml:space="preserve"> </w:t>
            </w:r>
            <w:r w:rsidRPr="002A7429">
              <w:rPr>
                <w:sz w:val="20"/>
                <w:szCs w:val="20"/>
              </w:rPr>
              <w:t>JP</w:t>
            </w:r>
          </w:p>
        </w:tc>
        <w:tc>
          <w:tcPr>
            <w:tcW w:w="1275" w:type="dxa"/>
          </w:tcPr>
          <w:p w14:paraId="37B148AA"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5.8</w:t>
            </w:r>
          </w:p>
        </w:tc>
        <w:tc>
          <w:tcPr>
            <w:tcW w:w="1419" w:type="dxa"/>
          </w:tcPr>
          <w:p w14:paraId="273D8604"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5.8</w:t>
            </w:r>
          </w:p>
        </w:tc>
      </w:tr>
      <w:tr w:rsidR="00FC6C5C" w:rsidRPr="002A7429" w14:paraId="74E5B392" w14:textId="77777777" w:rsidTr="002A7429">
        <w:trPr>
          <w:trHeight w:val="482"/>
        </w:trPr>
        <w:tc>
          <w:tcPr>
            <w:cnfStyle w:val="001000000000" w:firstRow="0" w:lastRow="0" w:firstColumn="1" w:lastColumn="0" w:oddVBand="0" w:evenVBand="0" w:oddHBand="0" w:evenHBand="0" w:firstRowFirstColumn="0" w:firstRowLastColumn="0" w:lastRowFirstColumn="0" w:lastRowLastColumn="0"/>
            <w:tcW w:w="1843" w:type="dxa"/>
          </w:tcPr>
          <w:p w14:paraId="1DBD0BCF" w14:textId="77777777" w:rsidR="00FC6C5C" w:rsidRPr="002A7429" w:rsidRDefault="00FC6C5C" w:rsidP="00DB69DC">
            <w:pPr>
              <w:rPr>
                <w:sz w:val="20"/>
                <w:szCs w:val="20"/>
              </w:rPr>
            </w:pPr>
            <w:r w:rsidRPr="002A7429">
              <w:rPr>
                <w:spacing w:val="-2"/>
                <w:sz w:val="20"/>
                <w:szCs w:val="20"/>
              </w:rPr>
              <w:t>Arginine</w:t>
            </w:r>
            <w:r w:rsidRPr="002A7429">
              <w:rPr>
                <w:spacing w:val="40"/>
                <w:sz w:val="20"/>
                <w:szCs w:val="20"/>
              </w:rPr>
              <w:t xml:space="preserve"> </w:t>
            </w:r>
            <w:r w:rsidRPr="002A7429">
              <w:rPr>
                <w:spacing w:val="-2"/>
                <w:sz w:val="20"/>
                <w:szCs w:val="20"/>
              </w:rPr>
              <w:t>hydrochloride</w:t>
            </w:r>
          </w:p>
        </w:tc>
        <w:tc>
          <w:tcPr>
            <w:tcW w:w="1274" w:type="dxa"/>
          </w:tcPr>
          <w:p w14:paraId="787AB9C5"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651.0</w:t>
            </w:r>
          </w:p>
        </w:tc>
        <w:tc>
          <w:tcPr>
            <w:tcW w:w="1135" w:type="dxa"/>
          </w:tcPr>
          <w:p w14:paraId="1735B5E7"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277" w:type="dxa"/>
          </w:tcPr>
          <w:p w14:paraId="029011CC"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Tonicity</w:t>
            </w:r>
            <w:r w:rsidRPr="002A7429">
              <w:rPr>
                <w:spacing w:val="40"/>
                <w:sz w:val="20"/>
                <w:szCs w:val="20"/>
              </w:rPr>
              <w:t xml:space="preserve"> </w:t>
            </w:r>
            <w:r w:rsidRPr="002A7429">
              <w:rPr>
                <w:spacing w:val="-2"/>
                <w:sz w:val="20"/>
                <w:szCs w:val="20"/>
              </w:rPr>
              <w:t>agent</w:t>
            </w:r>
          </w:p>
        </w:tc>
        <w:tc>
          <w:tcPr>
            <w:tcW w:w="1133" w:type="dxa"/>
          </w:tcPr>
          <w:p w14:paraId="6C077F65"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USP,</w:t>
            </w:r>
            <w:r w:rsidRPr="002A7429">
              <w:rPr>
                <w:spacing w:val="-10"/>
                <w:sz w:val="20"/>
                <w:szCs w:val="20"/>
              </w:rPr>
              <w:t xml:space="preserve"> </w:t>
            </w:r>
            <w:r w:rsidRPr="002A7429">
              <w:rPr>
                <w:sz w:val="20"/>
                <w:szCs w:val="20"/>
              </w:rPr>
              <w:t>Ph.</w:t>
            </w:r>
            <w:r w:rsidRPr="002A7429">
              <w:rPr>
                <w:spacing w:val="40"/>
                <w:sz w:val="20"/>
                <w:szCs w:val="20"/>
              </w:rPr>
              <w:t xml:space="preserve"> </w:t>
            </w:r>
            <w:r w:rsidRPr="002A7429">
              <w:rPr>
                <w:sz w:val="20"/>
                <w:szCs w:val="20"/>
              </w:rPr>
              <w:t>Eur.,</w:t>
            </w:r>
            <w:r w:rsidRPr="002A7429">
              <w:rPr>
                <w:spacing w:val="-1"/>
                <w:sz w:val="20"/>
                <w:szCs w:val="20"/>
              </w:rPr>
              <w:t xml:space="preserve"> </w:t>
            </w:r>
            <w:r w:rsidRPr="002A7429">
              <w:rPr>
                <w:sz w:val="20"/>
                <w:szCs w:val="20"/>
              </w:rPr>
              <w:t>JP</w:t>
            </w:r>
          </w:p>
        </w:tc>
        <w:tc>
          <w:tcPr>
            <w:tcW w:w="1275" w:type="dxa"/>
          </w:tcPr>
          <w:p w14:paraId="76AF400C"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4"/>
                <w:sz w:val="20"/>
                <w:szCs w:val="20"/>
              </w:rPr>
              <w:t>31.6</w:t>
            </w:r>
          </w:p>
        </w:tc>
        <w:tc>
          <w:tcPr>
            <w:tcW w:w="1419" w:type="dxa"/>
          </w:tcPr>
          <w:p w14:paraId="3C3914F4"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r>
      <w:tr w:rsidR="00FC6C5C" w:rsidRPr="002A7429" w14:paraId="78BFCEC5" w14:textId="77777777" w:rsidTr="002A7429">
        <w:trPr>
          <w:trHeight w:val="462"/>
        </w:trPr>
        <w:tc>
          <w:tcPr>
            <w:cnfStyle w:val="001000000000" w:firstRow="0" w:lastRow="0" w:firstColumn="1" w:lastColumn="0" w:oddVBand="0" w:evenVBand="0" w:oddHBand="0" w:evenHBand="0" w:firstRowFirstColumn="0" w:firstRowLastColumn="0" w:lastRowFirstColumn="0" w:lastRowLastColumn="0"/>
            <w:tcW w:w="1843" w:type="dxa"/>
          </w:tcPr>
          <w:p w14:paraId="2B26ED90" w14:textId="77777777" w:rsidR="00FC6C5C" w:rsidRPr="002A7429" w:rsidRDefault="00FC6C5C" w:rsidP="00DB69DC">
            <w:pPr>
              <w:rPr>
                <w:sz w:val="20"/>
                <w:szCs w:val="20"/>
              </w:rPr>
            </w:pPr>
            <w:r w:rsidRPr="002A7429">
              <w:rPr>
                <w:sz w:val="20"/>
                <w:szCs w:val="20"/>
              </w:rPr>
              <w:t>Polysorbate</w:t>
            </w:r>
            <w:r w:rsidRPr="002A7429">
              <w:rPr>
                <w:spacing w:val="-6"/>
                <w:sz w:val="20"/>
                <w:szCs w:val="20"/>
              </w:rPr>
              <w:t xml:space="preserve"> </w:t>
            </w:r>
            <w:r w:rsidRPr="002A7429">
              <w:rPr>
                <w:spacing w:val="-5"/>
                <w:sz w:val="20"/>
                <w:szCs w:val="20"/>
              </w:rPr>
              <w:t>80</w:t>
            </w:r>
          </w:p>
        </w:tc>
        <w:tc>
          <w:tcPr>
            <w:tcW w:w="1274" w:type="dxa"/>
          </w:tcPr>
          <w:p w14:paraId="0F747B2B"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4.1</w:t>
            </w:r>
          </w:p>
        </w:tc>
        <w:tc>
          <w:tcPr>
            <w:tcW w:w="1135" w:type="dxa"/>
          </w:tcPr>
          <w:p w14:paraId="02A5C989"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277" w:type="dxa"/>
          </w:tcPr>
          <w:p w14:paraId="2D3146FE"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Surfactant</w:t>
            </w:r>
          </w:p>
        </w:tc>
        <w:tc>
          <w:tcPr>
            <w:tcW w:w="1133" w:type="dxa"/>
          </w:tcPr>
          <w:p w14:paraId="567D36EC"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NF,</w:t>
            </w:r>
            <w:r w:rsidRPr="002A7429">
              <w:rPr>
                <w:spacing w:val="-10"/>
                <w:sz w:val="20"/>
                <w:szCs w:val="20"/>
              </w:rPr>
              <w:t xml:space="preserve"> </w:t>
            </w:r>
            <w:r w:rsidRPr="002A7429">
              <w:rPr>
                <w:sz w:val="20"/>
                <w:szCs w:val="20"/>
              </w:rPr>
              <w:t>Ph.</w:t>
            </w:r>
            <w:r w:rsidRPr="002A7429">
              <w:rPr>
                <w:spacing w:val="40"/>
                <w:sz w:val="20"/>
                <w:szCs w:val="20"/>
              </w:rPr>
              <w:t xml:space="preserve"> </w:t>
            </w:r>
            <w:r w:rsidRPr="002A7429">
              <w:rPr>
                <w:sz w:val="20"/>
                <w:szCs w:val="20"/>
              </w:rPr>
              <w:t>Eur.,</w:t>
            </w:r>
            <w:r w:rsidRPr="002A7429">
              <w:rPr>
                <w:spacing w:val="-4"/>
                <w:sz w:val="20"/>
                <w:szCs w:val="20"/>
              </w:rPr>
              <w:t xml:space="preserve"> </w:t>
            </w:r>
            <w:r w:rsidRPr="002A7429">
              <w:rPr>
                <w:spacing w:val="-5"/>
                <w:sz w:val="20"/>
                <w:szCs w:val="20"/>
              </w:rPr>
              <w:t>JP</w:t>
            </w:r>
          </w:p>
        </w:tc>
        <w:tc>
          <w:tcPr>
            <w:tcW w:w="1275" w:type="dxa"/>
          </w:tcPr>
          <w:p w14:paraId="1CB0D281"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0.2</w:t>
            </w:r>
          </w:p>
        </w:tc>
        <w:tc>
          <w:tcPr>
            <w:tcW w:w="1419" w:type="dxa"/>
          </w:tcPr>
          <w:p w14:paraId="46885F60"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r>
      <w:tr w:rsidR="00FC6C5C" w:rsidRPr="002A7429" w14:paraId="4AB598D4" w14:textId="77777777" w:rsidTr="002A7429">
        <w:trPr>
          <w:trHeight w:val="460"/>
        </w:trPr>
        <w:tc>
          <w:tcPr>
            <w:cnfStyle w:val="001000000000" w:firstRow="0" w:lastRow="0" w:firstColumn="1" w:lastColumn="0" w:oddVBand="0" w:evenVBand="0" w:oddHBand="0" w:evenHBand="0" w:firstRowFirstColumn="0" w:firstRowLastColumn="0" w:lastRowFirstColumn="0" w:lastRowLastColumn="0"/>
            <w:tcW w:w="1843" w:type="dxa"/>
          </w:tcPr>
          <w:p w14:paraId="716C6728" w14:textId="77777777" w:rsidR="00FC6C5C" w:rsidRPr="002A7429" w:rsidRDefault="00FC6C5C" w:rsidP="00DB69DC">
            <w:pPr>
              <w:rPr>
                <w:sz w:val="20"/>
                <w:szCs w:val="20"/>
              </w:rPr>
            </w:pPr>
            <w:r w:rsidRPr="002A7429">
              <w:rPr>
                <w:sz w:val="20"/>
                <w:szCs w:val="20"/>
              </w:rPr>
              <w:t>Polysorbate</w:t>
            </w:r>
            <w:r w:rsidRPr="002A7429">
              <w:rPr>
                <w:spacing w:val="-6"/>
                <w:sz w:val="20"/>
                <w:szCs w:val="20"/>
              </w:rPr>
              <w:t xml:space="preserve"> </w:t>
            </w:r>
            <w:r w:rsidRPr="002A7429">
              <w:rPr>
                <w:spacing w:val="-5"/>
                <w:sz w:val="20"/>
                <w:szCs w:val="20"/>
              </w:rPr>
              <w:t>20</w:t>
            </w:r>
          </w:p>
        </w:tc>
        <w:tc>
          <w:tcPr>
            <w:tcW w:w="1274" w:type="dxa"/>
          </w:tcPr>
          <w:p w14:paraId="66BE52A7"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135" w:type="dxa"/>
          </w:tcPr>
          <w:p w14:paraId="2E75CAE1"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2.7</w:t>
            </w:r>
          </w:p>
        </w:tc>
        <w:tc>
          <w:tcPr>
            <w:tcW w:w="1277" w:type="dxa"/>
          </w:tcPr>
          <w:p w14:paraId="77F4D707"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Surfactant</w:t>
            </w:r>
          </w:p>
        </w:tc>
        <w:tc>
          <w:tcPr>
            <w:tcW w:w="1133" w:type="dxa"/>
          </w:tcPr>
          <w:p w14:paraId="06EA17B7"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NF,</w:t>
            </w:r>
            <w:r w:rsidRPr="002A7429">
              <w:rPr>
                <w:spacing w:val="-10"/>
                <w:sz w:val="20"/>
                <w:szCs w:val="20"/>
              </w:rPr>
              <w:t xml:space="preserve"> </w:t>
            </w:r>
            <w:r w:rsidRPr="002A7429">
              <w:rPr>
                <w:sz w:val="20"/>
                <w:szCs w:val="20"/>
              </w:rPr>
              <w:t>Ph.</w:t>
            </w:r>
            <w:r w:rsidRPr="002A7429">
              <w:rPr>
                <w:spacing w:val="40"/>
                <w:sz w:val="20"/>
                <w:szCs w:val="20"/>
              </w:rPr>
              <w:t xml:space="preserve"> </w:t>
            </w:r>
            <w:r w:rsidRPr="002A7429">
              <w:rPr>
                <w:sz w:val="20"/>
                <w:szCs w:val="20"/>
              </w:rPr>
              <w:t>Eur.,</w:t>
            </w:r>
            <w:r w:rsidRPr="002A7429">
              <w:rPr>
                <w:spacing w:val="-4"/>
                <w:sz w:val="20"/>
                <w:szCs w:val="20"/>
              </w:rPr>
              <w:t xml:space="preserve"> </w:t>
            </w:r>
            <w:r w:rsidRPr="002A7429">
              <w:rPr>
                <w:spacing w:val="-5"/>
                <w:sz w:val="20"/>
                <w:szCs w:val="20"/>
              </w:rPr>
              <w:t>JP</w:t>
            </w:r>
          </w:p>
        </w:tc>
        <w:tc>
          <w:tcPr>
            <w:tcW w:w="1275" w:type="dxa"/>
          </w:tcPr>
          <w:p w14:paraId="5D9C77CF"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
        </w:tc>
        <w:tc>
          <w:tcPr>
            <w:tcW w:w="1419" w:type="dxa"/>
          </w:tcPr>
          <w:p w14:paraId="56AD201B"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5"/>
                <w:sz w:val="20"/>
                <w:szCs w:val="20"/>
              </w:rPr>
              <w:t>0.4</w:t>
            </w:r>
          </w:p>
        </w:tc>
      </w:tr>
      <w:tr w:rsidR="00FC6C5C" w:rsidRPr="002A7429" w14:paraId="3C89A083" w14:textId="77777777" w:rsidTr="002A7429">
        <w:trPr>
          <w:trHeight w:val="462"/>
        </w:trPr>
        <w:tc>
          <w:tcPr>
            <w:cnfStyle w:val="001000000000" w:firstRow="0" w:lastRow="0" w:firstColumn="1" w:lastColumn="0" w:oddVBand="0" w:evenVBand="0" w:oddHBand="0" w:evenHBand="0" w:firstRowFirstColumn="0" w:firstRowLastColumn="0" w:lastRowFirstColumn="0" w:lastRowLastColumn="0"/>
            <w:tcW w:w="1843" w:type="dxa"/>
          </w:tcPr>
          <w:p w14:paraId="33B4E1DF" w14:textId="77777777" w:rsidR="00FC6C5C" w:rsidRPr="002A7429" w:rsidRDefault="00FC6C5C" w:rsidP="00DB69DC">
            <w:pPr>
              <w:rPr>
                <w:sz w:val="20"/>
                <w:szCs w:val="20"/>
              </w:rPr>
            </w:pPr>
            <w:r w:rsidRPr="002A7429">
              <w:rPr>
                <w:sz w:val="20"/>
                <w:szCs w:val="20"/>
              </w:rPr>
              <w:t>Water for</w:t>
            </w:r>
            <w:r w:rsidRPr="002A7429">
              <w:rPr>
                <w:spacing w:val="-2"/>
                <w:sz w:val="20"/>
                <w:szCs w:val="20"/>
              </w:rPr>
              <w:t xml:space="preserve"> injections</w:t>
            </w:r>
          </w:p>
        </w:tc>
        <w:tc>
          <w:tcPr>
            <w:tcW w:w="1274" w:type="dxa"/>
          </w:tcPr>
          <w:p w14:paraId="3D49EE38"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position w:val="4"/>
                <w:sz w:val="20"/>
                <w:szCs w:val="20"/>
              </w:rPr>
            </w:pPr>
            <w:proofErr w:type="spellStart"/>
            <w:r w:rsidRPr="002A7429">
              <w:rPr>
                <w:sz w:val="20"/>
                <w:szCs w:val="20"/>
              </w:rPr>
              <w:t>q.s</w:t>
            </w:r>
            <w:proofErr w:type="spellEnd"/>
            <w:r w:rsidRPr="002A7429">
              <w:rPr>
                <w:sz w:val="20"/>
                <w:szCs w:val="20"/>
              </w:rPr>
              <w:t>.</w:t>
            </w:r>
            <w:r w:rsidRPr="002A7429">
              <w:rPr>
                <w:spacing w:val="-10"/>
                <w:sz w:val="20"/>
                <w:szCs w:val="20"/>
              </w:rPr>
              <w:t xml:space="preserve"> </w:t>
            </w:r>
            <w:r w:rsidRPr="002A7429">
              <w:rPr>
                <w:sz w:val="20"/>
                <w:szCs w:val="20"/>
              </w:rPr>
              <w:t>to</w:t>
            </w:r>
            <w:r w:rsidRPr="002A7429">
              <w:rPr>
                <w:spacing w:val="-10"/>
                <w:sz w:val="20"/>
                <w:szCs w:val="20"/>
              </w:rPr>
              <w:t xml:space="preserve"> </w:t>
            </w:r>
            <w:r w:rsidRPr="002A7429">
              <w:rPr>
                <w:sz w:val="20"/>
                <w:szCs w:val="20"/>
              </w:rPr>
              <w:t>20.6</w:t>
            </w:r>
            <w:r w:rsidRPr="002A7429">
              <w:rPr>
                <w:spacing w:val="40"/>
                <w:sz w:val="20"/>
                <w:szCs w:val="20"/>
              </w:rPr>
              <w:t xml:space="preserve"> </w:t>
            </w:r>
            <w:r w:rsidRPr="002A7429">
              <w:rPr>
                <w:spacing w:val="-4"/>
                <w:sz w:val="20"/>
                <w:szCs w:val="20"/>
              </w:rPr>
              <w:t>mL</w:t>
            </w:r>
            <w:r w:rsidRPr="002A7429">
              <w:rPr>
                <w:spacing w:val="-4"/>
                <w:position w:val="4"/>
                <w:sz w:val="20"/>
                <w:szCs w:val="20"/>
              </w:rPr>
              <w:t>1</w:t>
            </w:r>
          </w:p>
        </w:tc>
        <w:tc>
          <w:tcPr>
            <w:tcW w:w="1135" w:type="dxa"/>
          </w:tcPr>
          <w:p w14:paraId="5844BBC0"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position w:val="4"/>
                <w:sz w:val="20"/>
                <w:szCs w:val="20"/>
              </w:rPr>
            </w:pPr>
            <w:proofErr w:type="spellStart"/>
            <w:r w:rsidRPr="002A7429">
              <w:rPr>
                <w:sz w:val="20"/>
                <w:szCs w:val="20"/>
              </w:rPr>
              <w:t>q.s</w:t>
            </w:r>
            <w:proofErr w:type="spellEnd"/>
            <w:r w:rsidRPr="002A7429">
              <w:rPr>
                <w:sz w:val="20"/>
                <w:szCs w:val="20"/>
              </w:rPr>
              <w:t>.</w:t>
            </w:r>
            <w:r w:rsidRPr="002A7429">
              <w:rPr>
                <w:spacing w:val="-1"/>
                <w:sz w:val="20"/>
                <w:szCs w:val="20"/>
              </w:rPr>
              <w:t xml:space="preserve"> </w:t>
            </w:r>
            <w:r w:rsidRPr="002A7429">
              <w:rPr>
                <w:sz w:val="20"/>
                <w:szCs w:val="20"/>
              </w:rPr>
              <w:t>to</w:t>
            </w:r>
            <w:r w:rsidRPr="002A7429">
              <w:rPr>
                <w:spacing w:val="40"/>
                <w:sz w:val="20"/>
                <w:szCs w:val="20"/>
              </w:rPr>
              <w:t xml:space="preserve"> </w:t>
            </w:r>
            <w:r w:rsidRPr="002A7429">
              <w:rPr>
                <w:spacing w:val="-2"/>
                <w:sz w:val="20"/>
                <w:szCs w:val="20"/>
              </w:rPr>
              <w:t>6.7mL</w:t>
            </w:r>
            <w:r w:rsidRPr="002A7429">
              <w:rPr>
                <w:spacing w:val="-2"/>
                <w:position w:val="4"/>
                <w:sz w:val="20"/>
                <w:szCs w:val="20"/>
              </w:rPr>
              <w:t>2</w:t>
            </w:r>
          </w:p>
        </w:tc>
        <w:tc>
          <w:tcPr>
            <w:tcW w:w="1277" w:type="dxa"/>
          </w:tcPr>
          <w:p w14:paraId="5FE393AF"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2"/>
                <w:sz w:val="20"/>
                <w:szCs w:val="20"/>
              </w:rPr>
              <w:t>Diluent</w:t>
            </w:r>
          </w:p>
        </w:tc>
        <w:tc>
          <w:tcPr>
            <w:tcW w:w="1133" w:type="dxa"/>
          </w:tcPr>
          <w:p w14:paraId="38A57FBC"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z w:val="20"/>
                <w:szCs w:val="20"/>
              </w:rPr>
              <w:t>USP,</w:t>
            </w:r>
            <w:r w:rsidRPr="002A7429">
              <w:rPr>
                <w:spacing w:val="-1"/>
                <w:sz w:val="20"/>
                <w:szCs w:val="20"/>
              </w:rPr>
              <w:t xml:space="preserve"> </w:t>
            </w:r>
            <w:r w:rsidRPr="002A7429">
              <w:rPr>
                <w:spacing w:val="-5"/>
                <w:sz w:val="20"/>
                <w:szCs w:val="20"/>
              </w:rPr>
              <w:t>Ph.</w:t>
            </w:r>
          </w:p>
          <w:p w14:paraId="40221CFF"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r w:rsidRPr="002A7429">
              <w:rPr>
                <w:spacing w:val="-4"/>
                <w:sz w:val="20"/>
                <w:szCs w:val="20"/>
              </w:rPr>
              <w:t>Eur.</w:t>
            </w:r>
          </w:p>
        </w:tc>
        <w:tc>
          <w:tcPr>
            <w:tcW w:w="1275" w:type="dxa"/>
          </w:tcPr>
          <w:p w14:paraId="77BF4A56"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2A7429">
              <w:rPr>
                <w:sz w:val="20"/>
                <w:szCs w:val="20"/>
              </w:rPr>
              <w:t>q.s</w:t>
            </w:r>
            <w:proofErr w:type="spellEnd"/>
            <w:r w:rsidRPr="002A7429">
              <w:rPr>
                <w:sz w:val="20"/>
                <w:szCs w:val="20"/>
              </w:rPr>
              <w:t>.</w:t>
            </w:r>
            <w:r w:rsidRPr="002A7429">
              <w:rPr>
                <w:spacing w:val="-10"/>
                <w:sz w:val="20"/>
                <w:szCs w:val="20"/>
              </w:rPr>
              <w:t xml:space="preserve"> </w:t>
            </w:r>
            <w:r w:rsidRPr="002A7429">
              <w:rPr>
                <w:sz w:val="20"/>
                <w:szCs w:val="20"/>
              </w:rPr>
              <w:t>ad</w:t>
            </w:r>
            <w:r w:rsidRPr="002A7429">
              <w:rPr>
                <w:spacing w:val="-10"/>
                <w:sz w:val="20"/>
                <w:szCs w:val="20"/>
              </w:rPr>
              <w:t xml:space="preserve"> </w:t>
            </w:r>
            <w:r w:rsidRPr="002A7429">
              <w:rPr>
                <w:sz w:val="20"/>
                <w:szCs w:val="20"/>
              </w:rPr>
              <w:t>1.0</w:t>
            </w:r>
            <w:r w:rsidRPr="002A7429">
              <w:rPr>
                <w:spacing w:val="40"/>
                <w:sz w:val="20"/>
                <w:szCs w:val="20"/>
              </w:rPr>
              <w:t xml:space="preserve"> </w:t>
            </w:r>
            <w:r w:rsidRPr="002A7429">
              <w:rPr>
                <w:spacing w:val="-6"/>
                <w:sz w:val="20"/>
                <w:szCs w:val="20"/>
              </w:rPr>
              <w:t>mL</w:t>
            </w:r>
          </w:p>
        </w:tc>
        <w:tc>
          <w:tcPr>
            <w:tcW w:w="1419" w:type="dxa"/>
          </w:tcPr>
          <w:p w14:paraId="0093AE12" w14:textId="77777777" w:rsidR="00FC6C5C" w:rsidRPr="002A7429" w:rsidRDefault="00FC6C5C" w:rsidP="00DB69DC">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2A7429">
              <w:rPr>
                <w:sz w:val="20"/>
                <w:szCs w:val="20"/>
              </w:rPr>
              <w:t>q.s</w:t>
            </w:r>
            <w:proofErr w:type="spellEnd"/>
            <w:r w:rsidRPr="002A7429">
              <w:rPr>
                <w:sz w:val="20"/>
                <w:szCs w:val="20"/>
              </w:rPr>
              <w:t>.</w:t>
            </w:r>
            <w:r w:rsidRPr="002A7429">
              <w:rPr>
                <w:spacing w:val="-1"/>
                <w:sz w:val="20"/>
                <w:szCs w:val="20"/>
              </w:rPr>
              <w:t xml:space="preserve"> </w:t>
            </w:r>
            <w:r w:rsidRPr="002A7429">
              <w:rPr>
                <w:sz w:val="20"/>
                <w:szCs w:val="20"/>
              </w:rPr>
              <w:t>ad 1.0</w:t>
            </w:r>
            <w:r w:rsidRPr="002A7429">
              <w:rPr>
                <w:spacing w:val="-1"/>
                <w:sz w:val="20"/>
                <w:szCs w:val="20"/>
              </w:rPr>
              <w:t xml:space="preserve"> </w:t>
            </w:r>
            <w:r w:rsidRPr="002A7429">
              <w:rPr>
                <w:spacing w:val="-5"/>
                <w:sz w:val="20"/>
                <w:szCs w:val="20"/>
              </w:rPr>
              <w:t>mL</w:t>
            </w:r>
          </w:p>
        </w:tc>
      </w:tr>
    </w:tbl>
    <w:p w14:paraId="06DF8F5F" w14:textId="77777777" w:rsidR="00FC6C5C" w:rsidRDefault="00FC6C5C" w:rsidP="00FC6C5C">
      <w:pPr>
        <w:spacing w:before="175" w:line="307" w:lineRule="auto"/>
        <w:ind w:left="165" w:right="322" w:hanging="1"/>
        <w:rPr>
          <w:sz w:val="16"/>
        </w:rPr>
      </w:pPr>
      <w:r>
        <w:rPr>
          <w:position w:val="4"/>
          <w:sz w:val="10"/>
        </w:rPr>
        <w:lastRenderedPageBreak/>
        <w:t>1</w:t>
      </w:r>
      <w:r>
        <w:rPr>
          <w:spacing w:val="15"/>
          <w:position w:val="4"/>
          <w:sz w:val="10"/>
        </w:rPr>
        <w:t xml:space="preserve"> </w:t>
      </w:r>
      <w:r>
        <w:rPr>
          <w:sz w:val="16"/>
        </w:rPr>
        <w:t xml:space="preserve">The target fill volume is 20.6 </w:t>
      </w:r>
      <w:proofErr w:type="spellStart"/>
      <w:r>
        <w:rPr>
          <w:sz w:val="16"/>
        </w:rPr>
        <w:t>mL.</w:t>
      </w:r>
      <w:proofErr w:type="spellEnd"/>
      <w:r>
        <w:rPr>
          <w:sz w:val="16"/>
        </w:rPr>
        <w:t xml:space="preserve"> This includes 3% overfill to guarantee withdrawal</w:t>
      </w:r>
      <w:r>
        <w:rPr>
          <w:spacing w:val="-1"/>
          <w:sz w:val="16"/>
        </w:rPr>
        <w:t xml:space="preserve"> </w:t>
      </w:r>
      <w:r>
        <w:rPr>
          <w:sz w:val="16"/>
        </w:rPr>
        <w:t>of at least 20.0 mL of</w:t>
      </w:r>
      <w:r>
        <w:rPr>
          <w:spacing w:val="-1"/>
          <w:sz w:val="16"/>
        </w:rPr>
        <w:t xml:space="preserve"> </w:t>
      </w:r>
      <w:r>
        <w:rPr>
          <w:sz w:val="16"/>
        </w:rPr>
        <w:t>drug product from the</w:t>
      </w:r>
      <w:r>
        <w:rPr>
          <w:spacing w:val="40"/>
          <w:sz w:val="16"/>
        </w:rPr>
        <w:t xml:space="preserve"> </w:t>
      </w:r>
      <w:r>
        <w:rPr>
          <w:sz w:val="16"/>
        </w:rPr>
        <w:t xml:space="preserve">vial. </w:t>
      </w:r>
      <w:r>
        <w:rPr>
          <w:position w:val="4"/>
          <w:sz w:val="10"/>
        </w:rPr>
        <w:t>2</w:t>
      </w:r>
      <w:r>
        <w:rPr>
          <w:spacing w:val="9"/>
          <w:position w:val="4"/>
          <w:sz w:val="10"/>
        </w:rPr>
        <w:t xml:space="preserve"> </w:t>
      </w:r>
      <w:r>
        <w:rPr>
          <w:sz w:val="16"/>
        </w:rPr>
        <w:t>The</w:t>
      </w:r>
      <w:r>
        <w:rPr>
          <w:spacing w:val="-2"/>
          <w:sz w:val="16"/>
        </w:rPr>
        <w:t xml:space="preserve"> </w:t>
      </w:r>
      <w:r>
        <w:rPr>
          <w:sz w:val="16"/>
        </w:rPr>
        <w:t>target fill</w:t>
      </w:r>
      <w:r>
        <w:rPr>
          <w:spacing w:val="-4"/>
          <w:sz w:val="16"/>
        </w:rPr>
        <w:t xml:space="preserve"> </w:t>
      </w:r>
      <w:r>
        <w:rPr>
          <w:sz w:val="16"/>
        </w:rPr>
        <w:t>volume</w:t>
      </w:r>
      <w:r>
        <w:rPr>
          <w:spacing w:val="-2"/>
          <w:sz w:val="16"/>
        </w:rPr>
        <w:t xml:space="preserve"> </w:t>
      </w:r>
      <w:r>
        <w:rPr>
          <w:sz w:val="16"/>
        </w:rPr>
        <w:t>is 6.7</w:t>
      </w:r>
      <w:r>
        <w:rPr>
          <w:spacing w:val="-3"/>
          <w:sz w:val="16"/>
        </w:rPr>
        <w:t xml:space="preserve"> </w:t>
      </w:r>
      <w:proofErr w:type="spellStart"/>
      <w:r>
        <w:rPr>
          <w:sz w:val="16"/>
        </w:rPr>
        <w:t>mL.</w:t>
      </w:r>
      <w:proofErr w:type="spellEnd"/>
      <w:r>
        <w:rPr>
          <w:sz w:val="16"/>
        </w:rPr>
        <w:t xml:space="preserve"> This</w:t>
      </w:r>
      <w:r>
        <w:rPr>
          <w:spacing w:val="-3"/>
          <w:sz w:val="16"/>
        </w:rPr>
        <w:t xml:space="preserve"> </w:t>
      </w:r>
      <w:r>
        <w:rPr>
          <w:sz w:val="16"/>
        </w:rPr>
        <w:t>includes 8%</w:t>
      </w:r>
      <w:r>
        <w:rPr>
          <w:spacing w:val="-2"/>
          <w:sz w:val="16"/>
        </w:rPr>
        <w:t xml:space="preserve"> </w:t>
      </w:r>
      <w:r>
        <w:rPr>
          <w:sz w:val="16"/>
        </w:rPr>
        <w:t>overfill</w:t>
      </w:r>
      <w:r>
        <w:rPr>
          <w:spacing w:val="-4"/>
          <w:sz w:val="16"/>
        </w:rPr>
        <w:t xml:space="preserve"> </w:t>
      </w:r>
      <w:r>
        <w:rPr>
          <w:sz w:val="16"/>
        </w:rPr>
        <w:t>to</w:t>
      </w:r>
      <w:r>
        <w:rPr>
          <w:spacing w:val="-2"/>
          <w:sz w:val="16"/>
        </w:rPr>
        <w:t xml:space="preserve"> </w:t>
      </w:r>
      <w:r>
        <w:rPr>
          <w:sz w:val="16"/>
        </w:rPr>
        <w:t>allow</w:t>
      </w:r>
      <w:r>
        <w:rPr>
          <w:spacing w:val="-3"/>
          <w:sz w:val="16"/>
        </w:rPr>
        <w:t xml:space="preserve"> </w:t>
      </w:r>
      <w:r>
        <w:rPr>
          <w:sz w:val="16"/>
        </w:rPr>
        <w:t>withdrawal</w:t>
      </w:r>
      <w:r>
        <w:rPr>
          <w:spacing w:val="-1"/>
          <w:sz w:val="16"/>
        </w:rPr>
        <w:t xml:space="preserve"> </w:t>
      </w:r>
      <w:r>
        <w:rPr>
          <w:sz w:val="16"/>
        </w:rPr>
        <w:t>of</w:t>
      </w:r>
      <w:r>
        <w:rPr>
          <w:spacing w:val="-4"/>
          <w:sz w:val="16"/>
        </w:rPr>
        <w:t xml:space="preserve"> </w:t>
      </w:r>
      <w:r>
        <w:rPr>
          <w:sz w:val="16"/>
        </w:rPr>
        <w:t>at</w:t>
      </w:r>
      <w:r>
        <w:rPr>
          <w:spacing w:val="-2"/>
          <w:sz w:val="16"/>
        </w:rPr>
        <w:t xml:space="preserve"> </w:t>
      </w:r>
      <w:r>
        <w:rPr>
          <w:sz w:val="16"/>
        </w:rPr>
        <w:t>least</w:t>
      </w:r>
      <w:r>
        <w:rPr>
          <w:spacing w:val="-2"/>
          <w:sz w:val="16"/>
        </w:rPr>
        <w:t xml:space="preserve"> </w:t>
      </w:r>
      <w:r>
        <w:rPr>
          <w:sz w:val="16"/>
        </w:rPr>
        <w:t>6.2</w:t>
      </w:r>
      <w:r>
        <w:rPr>
          <w:spacing w:val="-3"/>
          <w:sz w:val="16"/>
        </w:rPr>
        <w:t xml:space="preserve"> </w:t>
      </w:r>
      <w:r>
        <w:rPr>
          <w:sz w:val="16"/>
        </w:rPr>
        <w:t>mL</w:t>
      </w:r>
      <w:r>
        <w:rPr>
          <w:spacing w:val="-3"/>
          <w:sz w:val="16"/>
        </w:rPr>
        <w:t xml:space="preserve"> </w:t>
      </w:r>
      <w:r>
        <w:rPr>
          <w:sz w:val="16"/>
        </w:rPr>
        <w:t>of</w:t>
      </w:r>
      <w:r>
        <w:rPr>
          <w:spacing w:val="-4"/>
          <w:sz w:val="16"/>
        </w:rPr>
        <w:t xml:space="preserve"> </w:t>
      </w:r>
      <w:r>
        <w:rPr>
          <w:sz w:val="16"/>
        </w:rPr>
        <w:t>the</w:t>
      </w:r>
      <w:r>
        <w:rPr>
          <w:spacing w:val="-2"/>
          <w:sz w:val="16"/>
        </w:rPr>
        <w:t xml:space="preserve"> </w:t>
      </w:r>
      <w:r>
        <w:rPr>
          <w:sz w:val="16"/>
        </w:rPr>
        <w:t>drug</w:t>
      </w:r>
      <w:r>
        <w:rPr>
          <w:spacing w:val="-1"/>
          <w:sz w:val="16"/>
        </w:rPr>
        <w:t xml:space="preserve"> </w:t>
      </w:r>
      <w:r>
        <w:rPr>
          <w:sz w:val="16"/>
        </w:rPr>
        <w:t>product from</w:t>
      </w:r>
      <w:r>
        <w:rPr>
          <w:spacing w:val="-2"/>
          <w:sz w:val="16"/>
        </w:rPr>
        <w:t xml:space="preserve"> </w:t>
      </w:r>
      <w:r>
        <w:rPr>
          <w:sz w:val="16"/>
        </w:rPr>
        <w:t>the</w:t>
      </w:r>
      <w:r>
        <w:rPr>
          <w:spacing w:val="40"/>
          <w:sz w:val="16"/>
        </w:rPr>
        <w:t xml:space="preserve"> </w:t>
      </w:r>
      <w:r>
        <w:rPr>
          <w:spacing w:val="-2"/>
          <w:sz w:val="16"/>
        </w:rPr>
        <w:t>vial.</w:t>
      </w:r>
    </w:p>
    <w:p w14:paraId="42BA0D60" w14:textId="3BF7B3AA" w:rsidR="00FC6C5C" w:rsidRDefault="00FC6C5C" w:rsidP="00FC6C5C">
      <w:pPr>
        <w:pStyle w:val="Heading5"/>
      </w:pPr>
      <w:bookmarkStart w:id="47" w:name="Structure_and_Manufacture"/>
      <w:bookmarkEnd w:id="47"/>
      <w:r>
        <w:t>Structure</w:t>
      </w:r>
      <w:r>
        <w:rPr>
          <w:spacing w:val="-5"/>
        </w:rPr>
        <w:t xml:space="preserve"> </w:t>
      </w:r>
      <w:r>
        <w:t>and</w:t>
      </w:r>
      <w:r>
        <w:rPr>
          <w:spacing w:val="-5"/>
        </w:rPr>
        <w:t xml:space="preserve"> </w:t>
      </w:r>
      <w:r w:rsidR="007E73A7">
        <w:rPr>
          <w:spacing w:val="-5"/>
        </w:rPr>
        <w:t>m</w:t>
      </w:r>
      <w:r>
        <w:rPr>
          <w:spacing w:val="-2"/>
        </w:rPr>
        <w:t>anufacture</w:t>
      </w:r>
    </w:p>
    <w:p w14:paraId="769FF21D" w14:textId="77777777" w:rsidR="00FC6C5C" w:rsidRDefault="00FC6C5C" w:rsidP="007E73A7">
      <w:r>
        <w:t>Efgartigimod drug substance is comprised of two identical peptide chains linked together by two</w:t>
      </w:r>
      <w:r>
        <w:rPr>
          <w:spacing w:val="-2"/>
        </w:rPr>
        <w:t xml:space="preserve"> </w:t>
      </w:r>
      <w:r>
        <w:t>interchain</w:t>
      </w:r>
      <w:r>
        <w:rPr>
          <w:spacing w:val="-3"/>
        </w:rPr>
        <w:t xml:space="preserve"> </w:t>
      </w:r>
      <w:r>
        <w:t>disulfide</w:t>
      </w:r>
      <w:r>
        <w:rPr>
          <w:spacing w:val="-2"/>
        </w:rPr>
        <w:t xml:space="preserve"> </w:t>
      </w:r>
      <w:r>
        <w:t>bonds.</w:t>
      </w:r>
      <w:r>
        <w:rPr>
          <w:spacing w:val="-2"/>
        </w:rPr>
        <w:t xml:space="preserve"> </w:t>
      </w:r>
      <w:r>
        <w:t>Efgartigimod</w:t>
      </w:r>
      <w:r>
        <w:rPr>
          <w:spacing w:val="-4"/>
        </w:rPr>
        <w:t xml:space="preserve"> </w:t>
      </w:r>
      <w:r>
        <w:t>contains</w:t>
      </w:r>
      <w:r>
        <w:rPr>
          <w:spacing w:val="-1"/>
        </w:rPr>
        <w:t xml:space="preserve"> </w:t>
      </w:r>
      <w:r>
        <w:t>an</w:t>
      </w:r>
      <w:r>
        <w:rPr>
          <w:spacing w:val="-3"/>
        </w:rPr>
        <w:t xml:space="preserve"> </w:t>
      </w:r>
      <w:r>
        <w:t>N-glycosylation</w:t>
      </w:r>
      <w:r>
        <w:rPr>
          <w:spacing w:val="-5"/>
        </w:rPr>
        <w:t xml:space="preserve"> </w:t>
      </w:r>
      <w:r>
        <w:t>site</w:t>
      </w:r>
      <w:r>
        <w:rPr>
          <w:spacing w:val="-2"/>
        </w:rPr>
        <w:t xml:space="preserve"> </w:t>
      </w:r>
      <w:r>
        <w:t>in</w:t>
      </w:r>
      <w:r>
        <w:rPr>
          <w:spacing w:val="-3"/>
        </w:rPr>
        <w:t xml:space="preserve"> </w:t>
      </w:r>
      <w:r>
        <w:t>the</w:t>
      </w:r>
      <w:r>
        <w:rPr>
          <w:spacing w:val="-2"/>
        </w:rPr>
        <w:t xml:space="preserve"> </w:t>
      </w:r>
      <w:r>
        <w:t>CH2</w:t>
      </w:r>
      <w:r>
        <w:rPr>
          <w:spacing w:val="-2"/>
        </w:rPr>
        <w:t xml:space="preserve"> </w:t>
      </w:r>
      <w:r>
        <w:t>domain of each peptide chain and residues modified with engineered mutations (</w:t>
      </w:r>
      <w:proofErr w:type="spellStart"/>
      <w:r>
        <w:t>AntiBody</w:t>
      </w:r>
      <w:proofErr w:type="spellEnd"/>
      <w:r>
        <w:t xml:space="preserve"> that enhances IgG </w:t>
      </w:r>
      <w:proofErr w:type="spellStart"/>
      <w:r>
        <w:t>DEGradation</w:t>
      </w:r>
      <w:proofErr w:type="spellEnd"/>
      <w:r>
        <w:t>; ABDEG</w:t>
      </w:r>
      <w:r>
        <w:rPr>
          <w:position w:val="5"/>
          <w:sz w:val="14"/>
        </w:rPr>
        <w:t>TM</w:t>
      </w:r>
      <w:r>
        <w:t>) in either of the CH2 or CH3 domain of the Fc fragment.</w:t>
      </w:r>
    </w:p>
    <w:p w14:paraId="582FB8C7" w14:textId="77777777" w:rsidR="003B0B8B" w:rsidRDefault="00FC6C5C" w:rsidP="007E73A7">
      <w:r>
        <w:t>These</w:t>
      </w:r>
      <w:r>
        <w:rPr>
          <w:spacing w:val="-4"/>
        </w:rPr>
        <w:t xml:space="preserve"> </w:t>
      </w:r>
      <w:r>
        <w:t>mutations</w:t>
      </w:r>
      <w:r>
        <w:rPr>
          <w:spacing w:val="-1"/>
        </w:rPr>
        <w:t xml:space="preserve"> </w:t>
      </w:r>
      <w:r>
        <w:t>increase</w:t>
      </w:r>
      <w:r>
        <w:rPr>
          <w:spacing w:val="-4"/>
        </w:rPr>
        <w:t xml:space="preserve"> </w:t>
      </w:r>
      <w:r>
        <w:t>the</w:t>
      </w:r>
      <w:r>
        <w:rPr>
          <w:spacing w:val="-2"/>
        </w:rPr>
        <w:t xml:space="preserve"> </w:t>
      </w:r>
      <w:r>
        <w:t>affinity</w:t>
      </w:r>
      <w:r>
        <w:rPr>
          <w:spacing w:val="-3"/>
        </w:rPr>
        <w:t xml:space="preserve"> </w:t>
      </w:r>
      <w:r>
        <w:t>of</w:t>
      </w:r>
      <w:r>
        <w:rPr>
          <w:spacing w:val="-2"/>
        </w:rPr>
        <w:t xml:space="preserve"> </w:t>
      </w:r>
      <w:r>
        <w:t>the</w:t>
      </w:r>
      <w:r>
        <w:rPr>
          <w:spacing w:val="-2"/>
        </w:rPr>
        <w:t xml:space="preserve"> </w:t>
      </w:r>
      <w:r>
        <w:t>efgartigimod</w:t>
      </w:r>
      <w:r>
        <w:rPr>
          <w:spacing w:val="-2"/>
        </w:rPr>
        <w:t xml:space="preserve"> </w:t>
      </w:r>
      <w:r>
        <w:t>for</w:t>
      </w:r>
      <w:r>
        <w:rPr>
          <w:spacing w:val="-2"/>
        </w:rPr>
        <w:t xml:space="preserve"> </w:t>
      </w:r>
      <w:proofErr w:type="spellStart"/>
      <w:r>
        <w:t>FcRn</w:t>
      </w:r>
      <w:proofErr w:type="spellEnd"/>
      <w:r>
        <w:rPr>
          <w:spacing w:val="-3"/>
        </w:rPr>
        <w:t xml:space="preserve"> </w:t>
      </w:r>
      <w:r>
        <w:t>at</w:t>
      </w:r>
      <w:r>
        <w:rPr>
          <w:spacing w:val="-2"/>
        </w:rPr>
        <w:t xml:space="preserve"> </w:t>
      </w:r>
      <w:r>
        <w:t>neutral</w:t>
      </w:r>
      <w:r>
        <w:rPr>
          <w:spacing w:val="-2"/>
        </w:rPr>
        <w:t xml:space="preserve"> </w:t>
      </w:r>
      <w:r>
        <w:t>pH</w:t>
      </w:r>
      <w:r>
        <w:rPr>
          <w:spacing w:val="-2"/>
        </w:rPr>
        <w:t xml:space="preserve"> </w:t>
      </w:r>
      <w:r>
        <w:t>and</w:t>
      </w:r>
      <w:r>
        <w:rPr>
          <w:spacing w:val="-2"/>
        </w:rPr>
        <w:t xml:space="preserve"> </w:t>
      </w:r>
      <w:r>
        <w:t>pH</w:t>
      </w:r>
      <w:r>
        <w:rPr>
          <w:spacing w:val="-2"/>
        </w:rPr>
        <w:t xml:space="preserve"> </w:t>
      </w:r>
      <w:r>
        <w:t>6.0.</w:t>
      </w:r>
      <w:r>
        <w:rPr>
          <w:spacing w:val="-2"/>
        </w:rPr>
        <w:t xml:space="preserve"> </w:t>
      </w:r>
      <w:r>
        <w:t>The molecular weight is approximately 53kD. The active ingredient was produced using recombinant DNA technology in a CHO cell line. Information about the manufacturing, storage and control facilities for the active substance has been provided in the dossier</w:t>
      </w:r>
      <w:r w:rsidR="003B0B8B">
        <w:t>.</w:t>
      </w:r>
      <w:r>
        <w:t xml:space="preserve"> </w:t>
      </w:r>
    </w:p>
    <w:p w14:paraId="7118455B" w14:textId="3E5F1DD8" w:rsidR="00FC6C5C" w:rsidRDefault="00FC6C5C" w:rsidP="007E73A7">
      <w:r>
        <w:t>TGA GMP clearance for some manufacturers</w:t>
      </w:r>
      <w:r w:rsidR="0019321A">
        <w:t xml:space="preserve"> remained</w:t>
      </w:r>
      <w:r>
        <w:t xml:space="preserve"> outstanding</w:t>
      </w:r>
      <w:r w:rsidR="0019321A">
        <w:t xml:space="preserve"> at the time of review</w:t>
      </w:r>
      <w:r>
        <w:t>. Manufacturing and purification processes were described in sufficient detail.</w:t>
      </w:r>
    </w:p>
    <w:p w14:paraId="4B29B9F5" w14:textId="77777777" w:rsidR="00FC6C5C" w:rsidRDefault="00FC6C5C" w:rsidP="007E73A7">
      <w:r>
        <w:t>The overall quality of the active substance was demonstrated via adequate control of the starting material, control of critical steps and intermediates, process validation, extensive characterisation</w:t>
      </w:r>
      <w:r>
        <w:rPr>
          <w:spacing w:val="-5"/>
        </w:rPr>
        <w:t xml:space="preserve"> </w:t>
      </w:r>
      <w:r>
        <w:t>using</w:t>
      </w:r>
      <w:r>
        <w:rPr>
          <w:spacing w:val="-5"/>
        </w:rPr>
        <w:t xml:space="preserve"> </w:t>
      </w:r>
      <w:r>
        <w:t>orthogonal</w:t>
      </w:r>
      <w:r>
        <w:rPr>
          <w:spacing w:val="-4"/>
        </w:rPr>
        <w:t xml:space="preserve"> </w:t>
      </w:r>
      <w:r>
        <w:t>and</w:t>
      </w:r>
      <w:r>
        <w:rPr>
          <w:spacing w:val="-4"/>
        </w:rPr>
        <w:t xml:space="preserve"> </w:t>
      </w:r>
      <w:r>
        <w:t>state-of-the-art</w:t>
      </w:r>
      <w:r>
        <w:rPr>
          <w:spacing w:val="-4"/>
        </w:rPr>
        <w:t xml:space="preserve"> </w:t>
      </w:r>
      <w:r>
        <w:t>analytical</w:t>
      </w:r>
      <w:r>
        <w:rPr>
          <w:spacing w:val="-4"/>
        </w:rPr>
        <w:t xml:space="preserve"> </w:t>
      </w:r>
      <w:r>
        <w:t>methods,</w:t>
      </w:r>
      <w:r>
        <w:rPr>
          <w:spacing w:val="-5"/>
        </w:rPr>
        <w:t xml:space="preserve"> </w:t>
      </w:r>
      <w:r>
        <w:t>control</w:t>
      </w:r>
      <w:r>
        <w:rPr>
          <w:spacing w:val="-4"/>
        </w:rPr>
        <w:t xml:space="preserve"> </w:t>
      </w:r>
      <w:r>
        <w:t>of</w:t>
      </w:r>
      <w:r>
        <w:rPr>
          <w:spacing w:val="-4"/>
        </w:rPr>
        <w:t xml:space="preserve"> </w:t>
      </w:r>
      <w:r>
        <w:t>impurities and contaminants, generation of robust reference materials and batch analyses that covered multiple manufacturing campaigns.</w:t>
      </w:r>
    </w:p>
    <w:p w14:paraId="20DFBF4C" w14:textId="22C824DD" w:rsidR="00FC6C5C" w:rsidRDefault="00FC6C5C" w:rsidP="00FC6C5C">
      <w:pPr>
        <w:pStyle w:val="Heading5"/>
      </w:pPr>
      <w:bookmarkStart w:id="48" w:name="Formulation_and_Manufacture"/>
      <w:bookmarkEnd w:id="48"/>
      <w:r>
        <w:t>Formulation</w:t>
      </w:r>
      <w:r>
        <w:rPr>
          <w:spacing w:val="-5"/>
        </w:rPr>
        <w:t xml:space="preserve"> </w:t>
      </w:r>
      <w:r>
        <w:t>and</w:t>
      </w:r>
      <w:r>
        <w:rPr>
          <w:spacing w:val="-4"/>
        </w:rPr>
        <w:t xml:space="preserve"> </w:t>
      </w:r>
      <w:r w:rsidR="007E73A7">
        <w:rPr>
          <w:spacing w:val="-4"/>
        </w:rPr>
        <w:t>m</w:t>
      </w:r>
      <w:r>
        <w:rPr>
          <w:spacing w:val="-2"/>
        </w:rPr>
        <w:t>anufacture</w:t>
      </w:r>
    </w:p>
    <w:p w14:paraId="06AB3283" w14:textId="3E158C51" w:rsidR="00FC6C5C" w:rsidRDefault="00FC6C5C" w:rsidP="007E73A7">
      <w:r>
        <w:t>The formulation development for both presentations has been adequately described and the final</w:t>
      </w:r>
      <w:r>
        <w:rPr>
          <w:spacing w:val="-3"/>
        </w:rPr>
        <w:t xml:space="preserve"> </w:t>
      </w:r>
      <w:r>
        <w:t>formulation</w:t>
      </w:r>
      <w:r>
        <w:rPr>
          <w:spacing w:val="-4"/>
        </w:rPr>
        <w:t xml:space="preserve"> </w:t>
      </w:r>
      <w:r>
        <w:t>intended</w:t>
      </w:r>
      <w:r>
        <w:rPr>
          <w:spacing w:val="-3"/>
        </w:rPr>
        <w:t xml:space="preserve"> </w:t>
      </w:r>
      <w:r>
        <w:t>for</w:t>
      </w:r>
      <w:r>
        <w:rPr>
          <w:spacing w:val="-3"/>
        </w:rPr>
        <w:t xml:space="preserve"> </w:t>
      </w:r>
      <w:r>
        <w:t>marketing</w:t>
      </w:r>
      <w:r>
        <w:rPr>
          <w:spacing w:val="-2"/>
        </w:rPr>
        <w:t xml:space="preserve"> </w:t>
      </w:r>
      <w:r>
        <w:t>was</w:t>
      </w:r>
      <w:r>
        <w:rPr>
          <w:spacing w:val="-4"/>
        </w:rPr>
        <w:t xml:space="preserve"> </w:t>
      </w:r>
      <w:r>
        <w:t>used</w:t>
      </w:r>
      <w:r>
        <w:rPr>
          <w:spacing w:val="-3"/>
        </w:rPr>
        <w:t xml:space="preserve"> </w:t>
      </w:r>
      <w:r>
        <w:t>in</w:t>
      </w:r>
      <w:r>
        <w:rPr>
          <w:spacing w:val="-4"/>
        </w:rPr>
        <w:t xml:space="preserve"> </w:t>
      </w:r>
      <w:r>
        <w:t>the</w:t>
      </w:r>
      <w:r>
        <w:rPr>
          <w:spacing w:val="-3"/>
        </w:rPr>
        <w:t xml:space="preserve"> </w:t>
      </w:r>
      <w:r>
        <w:t>phase</w:t>
      </w:r>
      <w:r>
        <w:rPr>
          <w:spacing w:val="-3"/>
        </w:rPr>
        <w:t xml:space="preserve"> </w:t>
      </w:r>
      <w:r>
        <w:t>III</w:t>
      </w:r>
      <w:r>
        <w:rPr>
          <w:spacing w:val="-3"/>
        </w:rPr>
        <w:t xml:space="preserve"> </w:t>
      </w:r>
      <w:r>
        <w:t>clinical</w:t>
      </w:r>
      <w:r>
        <w:rPr>
          <w:spacing w:val="-3"/>
        </w:rPr>
        <w:t xml:space="preserve"> </w:t>
      </w:r>
      <w:r>
        <w:t>trials.</w:t>
      </w:r>
      <w:r>
        <w:rPr>
          <w:spacing w:val="-3"/>
        </w:rPr>
        <w:t xml:space="preserve"> </w:t>
      </w:r>
      <w:r>
        <w:t>All</w:t>
      </w:r>
      <w:r>
        <w:rPr>
          <w:spacing w:val="-3"/>
        </w:rPr>
        <w:t xml:space="preserve"> </w:t>
      </w:r>
      <w:r>
        <w:t xml:space="preserve">excipients are well known pharmaceutical </w:t>
      </w:r>
      <w:proofErr w:type="gramStart"/>
      <w:r>
        <w:t>ingredients</w:t>
      </w:r>
      <w:proofErr w:type="gramEnd"/>
      <w:r>
        <w:t xml:space="preserve"> and their quality is compliant with Ph.</w:t>
      </w:r>
      <w:r w:rsidR="00730CCE">
        <w:t xml:space="preserve"> </w:t>
      </w:r>
      <w:proofErr w:type="spellStart"/>
      <w:r>
        <w:t>Eur</w:t>
      </w:r>
      <w:proofErr w:type="spellEnd"/>
      <w:r>
        <w:t>/NF/USP/JP</w:t>
      </w:r>
      <w:r>
        <w:rPr>
          <w:spacing w:val="-10"/>
        </w:rPr>
        <w:t xml:space="preserve"> </w:t>
      </w:r>
      <w:r>
        <w:t>standards.</w:t>
      </w:r>
      <w:r>
        <w:rPr>
          <w:spacing w:val="-4"/>
        </w:rPr>
        <w:t xml:space="preserve"> </w:t>
      </w:r>
      <w:r>
        <w:t>There</w:t>
      </w:r>
      <w:r>
        <w:rPr>
          <w:spacing w:val="-5"/>
        </w:rPr>
        <w:t xml:space="preserve"> </w:t>
      </w:r>
      <w:r>
        <w:t>no</w:t>
      </w:r>
      <w:r>
        <w:rPr>
          <w:spacing w:val="-5"/>
        </w:rPr>
        <w:t xml:space="preserve"> </w:t>
      </w:r>
      <w:r>
        <w:t>novel</w:t>
      </w:r>
      <w:r>
        <w:rPr>
          <w:spacing w:val="-4"/>
        </w:rPr>
        <w:t xml:space="preserve"> </w:t>
      </w:r>
      <w:r>
        <w:t>excipients</w:t>
      </w:r>
      <w:r>
        <w:rPr>
          <w:spacing w:val="-4"/>
        </w:rPr>
        <w:t xml:space="preserve"> </w:t>
      </w:r>
      <w:r>
        <w:t>used</w:t>
      </w:r>
      <w:r>
        <w:rPr>
          <w:spacing w:val="-4"/>
        </w:rPr>
        <w:t xml:space="preserve"> </w:t>
      </w:r>
      <w:r>
        <w:t>in</w:t>
      </w:r>
      <w:r>
        <w:rPr>
          <w:spacing w:val="-6"/>
        </w:rPr>
        <w:t xml:space="preserve"> </w:t>
      </w:r>
      <w:r>
        <w:t>the</w:t>
      </w:r>
      <w:r>
        <w:rPr>
          <w:spacing w:val="-6"/>
        </w:rPr>
        <w:t xml:space="preserve"> </w:t>
      </w:r>
      <w:r>
        <w:t>finished</w:t>
      </w:r>
      <w:r>
        <w:rPr>
          <w:spacing w:val="-5"/>
        </w:rPr>
        <w:t xml:space="preserve"> </w:t>
      </w:r>
      <w:r>
        <w:t>product</w:t>
      </w:r>
      <w:r>
        <w:rPr>
          <w:spacing w:val="-4"/>
        </w:rPr>
        <w:t xml:space="preserve"> </w:t>
      </w:r>
      <w:r>
        <w:rPr>
          <w:spacing w:val="-2"/>
        </w:rPr>
        <w:t>formulation.</w:t>
      </w:r>
    </w:p>
    <w:p w14:paraId="32C5E992" w14:textId="77777777" w:rsidR="00FC6C5C" w:rsidRDefault="00FC6C5C" w:rsidP="00730CCE">
      <w:r>
        <w:t>The</w:t>
      </w:r>
      <w:r>
        <w:rPr>
          <w:spacing w:val="-5"/>
        </w:rPr>
        <w:t xml:space="preserve"> </w:t>
      </w:r>
      <w:r>
        <w:t>container</w:t>
      </w:r>
      <w:r>
        <w:rPr>
          <w:spacing w:val="-3"/>
        </w:rPr>
        <w:t xml:space="preserve"> </w:t>
      </w:r>
      <w:r>
        <w:t>closure</w:t>
      </w:r>
      <w:r>
        <w:rPr>
          <w:spacing w:val="-3"/>
        </w:rPr>
        <w:t xml:space="preserve"> </w:t>
      </w:r>
      <w:r>
        <w:t>is</w:t>
      </w:r>
      <w:r>
        <w:rPr>
          <w:spacing w:val="-2"/>
        </w:rPr>
        <w:t xml:space="preserve"> </w:t>
      </w:r>
      <w:r>
        <w:t>considered</w:t>
      </w:r>
      <w:r>
        <w:rPr>
          <w:spacing w:val="-5"/>
        </w:rPr>
        <w:t xml:space="preserve"> </w:t>
      </w:r>
      <w:r>
        <w:t>suitable</w:t>
      </w:r>
      <w:r>
        <w:rPr>
          <w:spacing w:val="-3"/>
        </w:rPr>
        <w:t xml:space="preserve"> </w:t>
      </w:r>
      <w:r>
        <w:t>for</w:t>
      </w:r>
      <w:r>
        <w:rPr>
          <w:spacing w:val="-3"/>
        </w:rPr>
        <w:t xml:space="preserve"> </w:t>
      </w:r>
      <w:r>
        <w:t>its</w:t>
      </w:r>
      <w:r>
        <w:rPr>
          <w:spacing w:val="-4"/>
        </w:rPr>
        <w:t xml:space="preserve"> </w:t>
      </w:r>
      <w:r>
        <w:t>intended</w:t>
      </w:r>
      <w:r>
        <w:rPr>
          <w:spacing w:val="-3"/>
        </w:rPr>
        <w:t xml:space="preserve"> </w:t>
      </w:r>
      <w:r>
        <w:t>use</w:t>
      </w:r>
      <w:r>
        <w:rPr>
          <w:spacing w:val="-3"/>
        </w:rPr>
        <w:t xml:space="preserve"> </w:t>
      </w:r>
      <w:r>
        <w:t>as</w:t>
      </w:r>
      <w:r>
        <w:rPr>
          <w:spacing w:val="-2"/>
        </w:rPr>
        <w:t xml:space="preserve"> </w:t>
      </w:r>
      <w:r>
        <w:t>demonstrated</w:t>
      </w:r>
      <w:r>
        <w:rPr>
          <w:spacing w:val="-3"/>
        </w:rPr>
        <w:t xml:space="preserve"> </w:t>
      </w:r>
      <w:r>
        <w:t>by compatibility and stability studies.</w:t>
      </w:r>
    </w:p>
    <w:p w14:paraId="6D9E52B0" w14:textId="77777777" w:rsidR="00FC6C5C" w:rsidRDefault="00FC6C5C" w:rsidP="00730CCE">
      <w:r>
        <w:t>To</w:t>
      </w:r>
      <w:r>
        <w:rPr>
          <w:spacing w:val="-3"/>
        </w:rPr>
        <w:t xml:space="preserve"> </w:t>
      </w:r>
      <w:r>
        <w:t>ensure</w:t>
      </w:r>
      <w:r>
        <w:rPr>
          <w:spacing w:val="-3"/>
        </w:rPr>
        <w:t xml:space="preserve"> </w:t>
      </w:r>
      <w:r>
        <w:t>that</w:t>
      </w:r>
      <w:r>
        <w:rPr>
          <w:spacing w:val="-3"/>
        </w:rPr>
        <w:t xml:space="preserve"> </w:t>
      </w:r>
      <w:r>
        <w:t>the</w:t>
      </w:r>
      <w:r>
        <w:rPr>
          <w:spacing w:val="-3"/>
        </w:rPr>
        <w:t xml:space="preserve"> </w:t>
      </w:r>
      <w:r>
        <w:t>finished</w:t>
      </w:r>
      <w:r>
        <w:rPr>
          <w:spacing w:val="-3"/>
        </w:rPr>
        <w:t xml:space="preserve"> </w:t>
      </w:r>
      <w:r>
        <w:t>product</w:t>
      </w:r>
      <w:r>
        <w:rPr>
          <w:spacing w:val="-3"/>
        </w:rPr>
        <w:t xml:space="preserve"> </w:t>
      </w:r>
      <w:r>
        <w:t>meets</w:t>
      </w:r>
      <w:r>
        <w:rPr>
          <w:spacing w:val="-2"/>
        </w:rPr>
        <w:t xml:space="preserve"> </w:t>
      </w:r>
      <w:r>
        <w:t>high</w:t>
      </w:r>
      <w:r>
        <w:rPr>
          <w:spacing w:val="-2"/>
        </w:rPr>
        <w:t xml:space="preserve"> </w:t>
      </w:r>
      <w:r>
        <w:t>quality</w:t>
      </w:r>
      <w:r>
        <w:rPr>
          <w:spacing w:val="-4"/>
        </w:rPr>
        <w:t xml:space="preserve"> </w:t>
      </w:r>
      <w:r>
        <w:t>standards,</w:t>
      </w:r>
      <w:r>
        <w:rPr>
          <w:spacing w:val="-5"/>
        </w:rPr>
        <w:t xml:space="preserve"> </w:t>
      </w:r>
      <w:r>
        <w:t>its</w:t>
      </w:r>
      <w:r>
        <w:rPr>
          <w:spacing w:val="-4"/>
        </w:rPr>
        <w:t xml:space="preserve"> </w:t>
      </w:r>
      <w:r>
        <w:t>manufacturing</w:t>
      </w:r>
      <w:r>
        <w:rPr>
          <w:spacing w:val="-2"/>
        </w:rPr>
        <w:t xml:space="preserve"> </w:t>
      </w:r>
      <w:r>
        <w:t>process was</w:t>
      </w:r>
      <w:r>
        <w:rPr>
          <w:spacing w:val="-2"/>
        </w:rPr>
        <w:t xml:space="preserve"> </w:t>
      </w:r>
      <w:r>
        <w:t>developed</w:t>
      </w:r>
      <w:r>
        <w:rPr>
          <w:spacing w:val="-3"/>
        </w:rPr>
        <w:t xml:space="preserve"> </w:t>
      </w:r>
      <w:r>
        <w:t>with</w:t>
      </w:r>
      <w:r>
        <w:rPr>
          <w:spacing w:val="-2"/>
        </w:rPr>
        <w:t xml:space="preserve"> </w:t>
      </w:r>
      <w:r>
        <w:t>defined</w:t>
      </w:r>
      <w:r>
        <w:rPr>
          <w:spacing w:val="-3"/>
        </w:rPr>
        <w:t xml:space="preserve"> </w:t>
      </w:r>
      <w:r>
        <w:t>manufacturing</w:t>
      </w:r>
      <w:r>
        <w:rPr>
          <w:spacing w:val="-2"/>
        </w:rPr>
        <w:t xml:space="preserve"> </w:t>
      </w:r>
      <w:r>
        <w:t>procedures,</w:t>
      </w:r>
      <w:r>
        <w:rPr>
          <w:spacing w:val="-3"/>
        </w:rPr>
        <w:t xml:space="preserve"> </w:t>
      </w:r>
      <w:r>
        <w:t>process</w:t>
      </w:r>
      <w:r>
        <w:rPr>
          <w:spacing w:val="-2"/>
        </w:rPr>
        <w:t xml:space="preserve"> </w:t>
      </w:r>
      <w:r>
        <w:t>validations,</w:t>
      </w:r>
      <w:r>
        <w:rPr>
          <w:spacing w:val="-5"/>
        </w:rPr>
        <w:t xml:space="preserve"> </w:t>
      </w:r>
      <w:r>
        <w:t>critical</w:t>
      </w:r>
      <w:r>
        <w:rPr>
          <w:spacing w:val="-3"/>
        </w:rPr>
        <w:t xml:space="preserve"> </w:t>
      </w:r>
      <w:r>
        <w:t>process parameters, in-process parameters, batch analyses of multiple manufacturing campaigns.</w:t>
      </w:r>
    </w:p>
    <w:p w14:paraId="6DD7232B" w14:textId="77777777" w:rsidR="00FC6C5C" w:rsidRDefault="00FC6C5C" w:rsidP="00730CCE">
      <w:r>
        <w:t>Finished</w:t>
      </w:r>
      <w:r>
        <w:rPr>
          <w:spacing w:val="-4"/>
        </w:rPr>
        <w:t xml:space="preserve"> </w:t>
      </w:r>
      <w:r>
        <w:t>product</w:t>
      </w:r>
      <w:r>
        <w:rPr>
          <w:spacing w:val="-4"/>
        </w:rPr>
        <w:t xml:space="preserve"> </w:t>
      </w:r>
      <w:r>
        <w:t>and</w:t>
      </w:r>
      <w:r>
        <w:rPr>
          <w:spacing w:val="-4"/>
        </w:rPr>
        <w:t xml:space="preserve"> </w:t>
      </w:r>
      <w:r>
        <w:t>active</w:t>
      </w:r>
      <w:r>
        <w:rPr>
          <w:spacing w:val="-4"/>
        </w:rPr>
        <w:t xml:space="preserve"> </w:t>
      </w:r>
      <w:r>
        <w:t>substance</w:t>
      </w:r>
      <w:r>
        <w:rPr>
          <w:spacing w:val="-6"/>
        </w:rPr>
        <w:t xml:space="preserve"> </w:t>
      </w:r>
      <w:r>
        <w:t>comparability</w:t>
      </w:r>
      <w:r>
        <w:rPr>
          <w:spacing w:val="-5"/>
        </w:rPr>
        <w:t xml:space="preserve"> </w:t>
      </w:r>
      <w:r>
        <w:t>studies</w:t>
      </w:r>
      <w:r>
        <w:rPr>
          <w:spacing w:val="-3"/>
        </w:rPr>
        <w:t xml:space="preserve"> </w:t>
      </w:r>
      <w:r>
        <w:t>were</w:t>
      </w:r>
      <w:r>
        <w:rPr>
          <w:spacing w:val="-4"/>
        </w:rPr>
        <w:t xml:space="preserve"> </w:t>
      </w:r>
      <w:r>
        <w:t>conducted</w:t>
      </w:r>
      <w:r>
        <w:rPr>
          <w:spacing w:val="-4"/>
        </w:rPr>
        <w:t xml:space="preserve"> </w:t>
      </w:r>
      <w:r>
        <w:t>to</w:t>
      </w:r>
      <w:r>
        <w:rPr>
          <w:spacing w:val="-4"/>
        </w:rPr>
        <w:t xml:space="preserve"> </w:t>
      </w:r>
      <w:r>
        <w:t>demonstrate that the quality of the commercial manufacturing process is comparable to the pre-change product. These were assessed and considered satisfactory.</w:t>
      </w:r>
    </w:p>
    <w:p w14:paraId="716D24ED" w14:textId="77777777" w:rsidR="00FC6C5C" w:rsidRDefault="00FC6C5C" w:rsidP="00730CCE">
      <w:r>
        <w:t>All analytical methods used for testing of the finished product are satisfactorily described in the dossier and non-compendial methods have been validated. Many test methods used for release testing</w:t>
      </w:r>
      <w:r>
        <w:rPr>
          <w:spacing w:val="-1"/>
        </w:rPr>
        <w:t xml:space="preserve"> </w:t>
      </w:r>
      <w:r>
        <w:t>and</w:t>
      </w:r>
      <w:r>
        <w:rPr>
          <w:spacing w:val="-2"/>
        </w:rPr>
        <w:t xml:space="preserve"> </w:t>
      </w:r>
      <w:r>
        <w:t>stability</w:t>
      </w:r>
      <w:r>
        <w:rPr>
          <w:spacing w:val="-3"/>
        </w:rPr>
        <w:t xml:space="preserve"> </w:t>
      </w:r>
      <w:r>
        <w:t>testing</w:t>
      </w:r>
      <w:r>
        <w:rPr>
          <w:spacing w:val="-1"/>
        </w:rPr>
        <w:t xml:space="preserve"> </w:t>
      </w:r>
      <w:r>
        <w:t>of</w:t>
      </w:r>
      <w:r>
        <w:rPr>
          <w:spacing w:val="-2"/>
        </w:rPr>
        <w:t xml:space="preserve"> </w:t>
      </w:r>
      <w:r>
        <w:t>the</w:t>
      </w:r>
      <w:r>
        <w:rPr>
          <w:spacing w:val="-2"/>
        </w:rPr>
        <w:t xml:space="preserve"> </w:t>
      </w:r>
      <w:r>
        <w:t>finished</w:t>
      </w:r>
      <w:r>
        <w:rPr>
          <w:spacing w:val="-2"/>
        </w:rPr>
        <w:t xml:space="preserve"> </w:t>
      </w:r>
      <w:r>
        <w:t>product</w:t>
      </w:r>
      <w:r>
        <w:rPr>
          <w:spacing w:val="-2"/>
        </w:rPr>
        <w:t xml:space="preserve"> </w:t>
      </w:r>
      <w:r>
        <w:t>are</w:t>
      </w:r>
      <w:r>
        <w:rPr>
          <w:spacing w:val="-2"/>
        </w:rPr>
        <w:t xml:space="preserve"> </w:t>
      </w:r>
      <w:r>
        <w:t>the</w:t>
      </w:r>
      <w:r>
        <w:rPr>
          <w:spacing w:val="-2"/>
        </w:rPr>
        <w:t xml:space="preserve"> </w:t>
      </w:r>
      <w:r>
        <w:t>same</w:t>
      </w:r>
      <w:r>
        <w:rPr>
          <w:spacing w:val="-2"/>
        </w:rPr>
        <w:t xml:space="preserve"> </w:t>
      </w:r>
      <w:r>
        <w:t>as</w:t>
      </w:r>
      <w:r>
        <w:rPr>
          <w:spacing w:val="-1"/>
        </w:rPr>
        <w:t xml:space="preserve"> </w:t>
      </w:r>
      <w:r>
        <w:t>those</w:t>
      </w:r>
      <w:r>
        <w:rPr>
          <w:spacing w:val="-2"/>
        </w:rPr>
        <w:t xml:space="preserve"> </w:t>
      </w:r>
      <w:r>
        <w:t>used</w:t>
      </w:r>
      <w:r>
        <w:rPr>
          <w:spacing w:val="-4"/>
        </w:rPr>
        <w:t xml:space="preserve"> </w:t>
      </w:r>
      <w:r>
        <w:t>for</w:t>
      </w:r>
      <w:r>
        <w:rPr>
          <w:spacing w:val="-2"/>
        </w:rPr>
        <w:t xml:space="preserve"> </w:t>
      </w:r>
      <w:r>
        <w:t>release</w:t>
      </w:r>
      <w:r>
        <w:rPr>
          <w:spacing w:val="-2"/>
        </w:rPr>
        <w:t xml:space="preserve"> </w:t>
      </w:r>
      <w:r>
        <w:t>testing and stability testing of the active substance.</w:t>
      </w:r>
    </w:p>
    <w:p w14:paraId="29CFBF2D" w14:textId="7912205B" w:rsidR="00FC6C5C" w:rsidRDefault="00FC6C5C" w:rsidP="00FC6C5C">
      <w:pPr>
        <w:pStyle w:val="Heading5"/>
      </w:pPr>
      <w:bookmarkStart w:id="49" w:name="Specification_and_Stability"/>
      <w:bookmarkEnd w:id="49"/>
      <w:r>
        <w:t>Specification</w:t>
      </w:r>
      <w:r>
        <w:rPr>
          <w:spacing w:val="-6"/>
        </w:rPr>
        <w:t xml:space="preserve"> </w:t>
      </w:r>
      <w:r>
        <w:t>and</w:t>
      </w:r>
      <w:r>
        <w:rPr>
          <w:spacing w:val="-5"/>
        </w:rPr>
        <w:t xml:space="preserve"> </w:t>
      </w:r>
      <w:r w:rsidR="00BC2F22">
        <w:rPr>
          <w:spacing w:val="-5"/>
        </w:rPr>
        <w:t>s</w:t>
      </w:r>
      <w:r>
        <w:rPr>
          <w:spacing w:val="-2"/>
        </w:rPr>
        <w:t>tability</w:t>
      </w:r>
    </w:p>
    <w:p w14:paraId="0AA699DF" w14:textId="36D7520B" w:rsidR="00FC6C5C" w:rsidRDefault="00FC6C5C" w:rsidP="00730CCE">
      <w:r>
        <w:t>Stability</w:t>
      </w:r>
      <w:r>
        <w:rPr>
          <w:spacing w:val="-4"/>
        </w:rPr>
        <w:t xml:space="preserve"> </w:t>
      </w:r>
      <w:r>
        <w:t>data</w:t>
      </w:r>
      <w:r>
        <w:rPr>
          <w:spacing w:val="-3"/>
        </w:rPr>
        <w:t xml:space="preserve"> </w:t>
      </w:r>
      <w:r>
        <w:t>have</w:t>
      </w:r>
      <w:r>
        <w:rPr>
          <w:spacing w:val="-3"/>
        </w:rPr>
        <w:t xml:space="preserve"> </w:t>
      </w:r>
      <w:r>
        <w:t>been</w:t>
      </w:r>
      <w:r>
        <w:rPr>
          <w:spacing w:val="-4"/>
        </w:rPr>
        <w:t xml:space="preserve"> </w:t>
      </w:r>
      <w:r>
        <w:t>generated</w:t>
      </w:r>
      <w:r>
        <w:rPr>
          <w:spacing w:val="-3"/>
        </w:rPr>
        <w:t xml:space="preserve"> </w:t>
      </w:r>
      <w:r>
        <w:t>under</w:t>
      </w:r>
      <w:r>
        <w:rPr>
          <w:spacing w:val="-3"/>
        </w:rPr>
        <w:t xml:space="preserve"> </w:t>
      </w:r>
      <w:r>
        <w:t>stressed</w:t>
      </w:r>
      <w:r>
        <w:rPr>
          <w:spacing w:val="-3"/>
        </w:rPr>
        <w:t xml:space="preserve"> </w:t>
      </w:r>
      <w:r>
        <w:t>and</w:t>
      </w:r>
      <w:r>
        <w:rPr>
          <w:spacing w:val="-3"/>
        </w:rPr>
        <w:t xml:space="preserve"> </w:t>
      </w:r>
      <w:r>
        <w:t>real</w:t>
      </w:r>
      <w:r>
        <w:rPr>
          <w:spacing w:val="-3"/>
        </w:rPr>
        <w:t xml:space="preserve"> </w:t>
      </w:r>
      <w:r>
        <w:t>time</w:t>
      </w:r>
      <w:r>
        <w:rPr>
          <w:spacing w:val="-3"/>
        </w:rPr>
        <w:t xml:space="preserve"> </w:t>
      </w:r>
      <w:r>
        <w:t>conditions</w:t>
      </w:r>
      <w:r>
        <w:rPr>
          <w:spacing w:val="-2"/>
        </w:rPr>
        <w:t xml:space="preserve"> </w:t>
      </w:r>
      <w:r>
        <w:t>to</w:t>
      </w:r>
      <w:r>
        <w:rPr>
          <w:spacing w:val="-5"/>
        </w:rPr>
        <w:t xml:space="preserve"> </w:t>
      </w:r>
      <w:r>
        <w:t>characterise</w:t>
      </w:r>
      <w:r>
        <w:rPr>
          <w:spacing w:val="-3"/>
        </w:rPr>
        <w:t xml:space="preserve"> </w:t>
      </w:r>
      <w:r>
        <w:t>the stability profile of the product.</w:t>
      </w:r>
      <w:r>
        <w:rPr>
          <w:spacing w:val="40"/>
        </w:rPr>
        <w:t xml:space="preserve"> </w:t>
      </w:r>
      <w:r>
        <w:t xml:space="preserve">Following evaluation, the recommended storage condition for </w:t>
      </w:r>
      <w:r w:rsidR="00060D6B">
        <w:t>Vyvgart</w:t>
      </w:r>
      <w:r>
        <w:t xml:space="preserve"> IV is 36 months when stored at 5 ± 3°C and 18 months when stored at 5 ± 3°C for </w:t>
      </w:r>
      <w:r w:rsidR="00060D6B">
        <w:t xml:space="preserve">Vyvgart </w:t>
      </w:r>
      <w:r>
        <w:t>SC.</w:t>
      </w:r>
    </w:p>
    <w:p w14:paraId="3469BD14" w14:textId="3C652FFA" w:rsidR="00FC6C5C" w:rsidRDefault="00FC6C5C" w:rsidP="00730CCE">
      <w:r>
        <w:t xml:space="preserve">In-use stability data have also been submitted. The recommended shelf life and storage conditions for the diluted </w:t>
      </w:r>
      <w:r w:rsidR="00060D6B">
        <w:t>Vyvgart</w:t>
      </w:r>
      <w:r>
        <w:t xml:space="preserve"> IV product are 24 hours when stored at 5 ± 3°C. For the </w:t>
      </w:r>
      <w:r w:rsidR="00060D6B">
        <w:t>Vyvgart</w:t>
      </w:r>
      <w:r>
        <w:rPr>
          <w:spacing w:val="-1"/>
        </w:rPr>
        <w:t xml:space="preserve"> </w:t>
      </w:r>
      <w:r>
        <w:t>SC</w:t>
      </w:r>
      <w:r>
        <w:rPr>
          <w:spacing w:val="-1"/>
        </w:rPr>
        <w:t xml:space="preserve"> </w:t>
      </w:r>
      <w:r>
        <w:t>product,</w:t>
      </w:r>
      <w:r>
        <w:rPr>
          <w:spacing w:val="-2"/>
        </w:rPr>
        <w:t xml:space="preserve"> </w:t>
      </w:r>
      <w:r>
        <w:t>unopened</w:t>
      </w:r>
      <w:r>
        <w:rPr>
          <w:spacing w:val="-2"/>
        </w:rPr>
        <w:t xml:space="preserve"> </w:t>
      </w:r>
      <w:r>
        <w:t>vials</w:t>
      </w:r>
      <w:r>
        <w:rPr>
          <w:spacing w:val="-3"/>
        </w:rPr>
        <w:t xml:space="preserve"> </w:t>
      </w:r>
      <w:r>
        <w:t>may</w:t>
      </w:r>
      <w:r>
        <w:rPr>
          <w:spacing w:val="-3"/>
        </w:rPr>
        <w:t xml:space="preserve"> </w:t>
      </w:r>
      <w:r>
        <w:t>be</w:t>
      </w:r>
      <w:r>
        <w:rPr>
          <w:spacing w:val="-2"/>
        </w:rPr>
        <w:t xml:space="preserve"> </w:t>
      </w:r>
      <w:r>
        <w:t>stored</w:t>
      </w:r>
      <w:r>
        <w:rPr>
          <w:spacing w:val="-2"/>
        </w:rPr>
        <w:t xml:space="preserve"> </w:t>
      </w:r>
      <w:r>
        <w:t>at</w:t>
      </w:r>
      <w:r>
        <w:rPr>
          <w:spacing w:val="-2"/>
        </w:rPr>
        <w:t xml:space="preserve"> </w:t>
      </w:r>
      <w:r>
        <w:t>up</w:t>
      </w:r>
      <w:r>
        <w:rPr>
          <w:spacing w:val="-2"/>
        </w:rPr>
        <w:t xml:space="preserve"> </w:t>
      </w:r>
      <w:r>
        <w:t>to</w:t>
      </w:r>
      <w:r>
        <w:rPr>
          <w:spacing w:val="-2"/>
        </w:rPr>
        <w:t xml:space="preserve"> </w:t>
      </w:r>
      <w:r>
        <w:t>30°C</w:t>
      </w:r>
      <w:r>
        <w:rPr>
          <w:spacing w:val="-1"/>
        </w:rPr>
        <w:t xml:space="preserve"> </w:t>
      </w:r>
      <w:r>
        <w:t>for</w:t>
      </w:r>
      <w:r>
        <w:rPr>
          <w:spacing w:val="-2"/>
        </w:rPr>
        <w:t xml:space="preserve"> </w:t>
      </w:r>
      <w:r>
        <w:t>up</w:t>
      </w:r>
      <w:r>
        <w:rPr>
          <w:spacing w:val="-2"/>
        </w:rPr>
        <w:t xml:space="preserve"> </w:t>
      </w:r>
      <w:r>
        <w:t>to</w:t>
      </w:r>
      <w:r>
        <w:rPr>
          <w:spacing w:val="-4"/>
        </w:rPr>
        <w:t xml:space="preserve"> </w:t>
      </w:r>
      <w:r>
        <w:t>3</w:t>
      </w:r>
      <w:r>
        <w:rPr>
          <w:spacing w:val="-4"/>
        </w:rPr>
        <w:t xml:space="preserve"> </w:t>
      </w:r>
      <w:r>
        <w:t>days</w:t>
      </w:r>
      <w:r>
        <w:rPr>
          <w:spacing w:val="-1"/>
        </w:rPr>
        <w:t xml:space="preserve"> </w:t>
      </w:r>
      <w:r>
        <w:t>and</w:t>
      </w:r>
      <w:r>
        <w:rPr>
          <w:spacing w:val="-2"/>
        </w:rPr>
        <w:t xml:space="preserve"> </w:t>
      </w:r>
      <w:r>
        <w:t>may</w:t>
      </w:r>
      <w:r>
        <w:rPr>
          <w:spacing w:val="-3"/>
        </w:rPr>
        <w:t xml:space="preserve"> </w:t>
      </w:r>
      <w:r>
        <w:t xml:space="preserve">be </w:t>
      </w:r>
      <w:r>
        <w:lastRenderedPageBreak/>
        <w:t>returned to refrigeration</w:t>
      </w:r>
      <w:r>
        <w:rPr>
          <w:spacing w:val="-1"/>
        </w:rPr>
        <w:t xml:space="preserve"> </w:t>
      </w:r>
      <w:r>
        <w:t>if unopened. The total combined time out</w:t>
      </w:r>
      <w:r>
        <w:rPr>
          <w:spacing w:val="-1"/>
        </w:rPr>
        <w:t xml:space="preserve"> </w:t>
      </w:r>
      <w:r>
        <w:t>of refrigeration should not exceed 3 days.</w:t>
      </w:r>
    </w:p>
    <w:p w14:paraId="57878387" w14:textId="56AB7168" w:rsidR="00FC6C5C" w:rsidRDefault="00FC6C5C" w:rsidP="00730CCE">
      <w:r>
        <w:t>Stability</w:t>
      </w:r>
      <w:r>
        <w:rPr>
          <w:spacing w:val="-8"/>
        </w:rPr>
        <w:t xml:space="preserve"> </w:t>
      </w:r>
      <w:r>
        <w:t>studies</w:t>
      </w:r>
      <w:r>
        <w:rPr>
          <w:spacing w:val="-4"/>
        </w:rPr>
        <w:t xml:space="preserve"> </w:t>
      </w:r>
      <w:r>
        <w:t>have</w:t>
      </w:r>
      <w:r>
        <w:rPr>
          <w:spacing w:val="-5"/>
        </w:rPr>
        <w:t xml:space="preserve"> </w:t>
      </w:r>
      <w:r>
        <w:t>been</w:t>
      </w:r>
      <w:r>
        <w:rPr>
          <w:spacing w:val="-6"/>
        </w:rPr>
        <w:t xml:space="preserve"> </w:t>
      </w:r>
      <w:r>
        <w:t>conducted</w:t>
      </w:r>
      <w:r>
        <w:rPr>
          <w:spacing w:val="-5"/>
        </w:rPr>
        <w:t xml:space="preserve"> </w:t>
      </w:r>
      <w:r>
        <w:t>in</w:t>
      </w:r>
      <w:r>
        <w:rPr>
          <w:spacing w:val="-5"/>
        </w:rPr>
        <w:t xml:space="preserve"> </w:t>
      </w:r>
      <w:r>
        <w:t>accordance</w:t>
      </w:r>
      <w:r>
        <w:rPr>
          <w:spacing w:val="-5"/>
        </w:rPr>
        <w:t xml:space="preserve"> </w:t>
      </w:r>
      <w:r>
        <w:t>with</w:t>
      </w:r>
      <w:r>
        <w:rPr>
          <w:spacing w:val="-4"/>
        </w:rPr>
        <w:t xml:space="preserve"> </w:t>
      </w:r>
      <w:r>
        <w:t>relevant</w:t>
      </w:r>
      <w:r>
        <w:rPr>
          <w:spacing w:val="-5"/>
        </w:rPr>
        <w:t xml:space="preserve"> </w:t>
      </w:r>
      <w:r>
        <w:t>ICH</w:t>
      </w:r>
      <w:r>
        <w:rPr>
          <w:spacing w:val="-7"/>
        </w:rPr>
        <w:t xml:space="preserve"> </w:t>
      </w:r>
      <w:r>
        <w:rPr>
          <w:spacing w:val="-2"/>
        </w:rPr>
        <w:t>guidelines.</w:t>
      </w:r>
    </w:p>
    <w:p w14:paraId="04CDB507" w14:textId="45D92ABF" w:rsidR="00FC6C5C" w:rsidRPr="004B6B8D" w:rsidRDefault="00FC6C5C" w:rsidP="004B6B8D">
      <w:pPr>
        <w:rPr>
          <w:b/>
          <w:bCs/>
        </w:rPr>
      </w:pPr>
      <w:r w:rsidRPr="004B6B8D">
        <w:rPr>
          <w:b/>
          <w:bCs/>
        </w:rPr>
        <w:t>There</w:t>
      </w:r>
      <w:r w:rsidRPr="004B6B8D">
        <w:rPr>
          <w:b/>
          <w:bCs/>
          <w:spacing w:val="-3"/>
        </w:rPr>
        <w:t xml:space="preserve"> </w:t>
      </w:r>
      <w:r w:rsidRPr="004B6B8D">
        <w:rPr>
          <w:b/>
          <w:bCs/>
        </w:rPr>
        <w:t>are</w:t>
      </w:r>
      <w:r w:rsidRPr="004B6B8D">
        <w:rPr>
          <w:b/>
          <w:bCs/>
          <w:spacing w:val="-3"/>
        </w:rPr>
        <w:t xml:space="preserve"> </w:t>
      </w:r>
      <w:r w:rsidRPr="004B6B8D">
        <w:rPr>
          <w:b/>
          <w:bCs/>
        </w:rPr>
        <w:t>no</w:t>
      </w:r>
      <w:r w:rsidRPr="004B6B8D">
        <w:rPr>
          <w:b/>
          <w:bCs/>
          <w:spacing w:val="-4"/>
        </w:rPr>
        <w:t xml:space="preserve"> </w:t>
      </w:r>
      <w:r w:rsidRPr="004B6B8D">
        <w:rPr>
          <w:b/>
          <w:bCs/>
        </w:rPr>
        <w:t>allowable</w:t>
      </w:r>
      <w:r w:rsidRPr="004B6B8D">
        <w:rPr>
          <w:b/>
          <w:bCs/>
          <w:spacing w:val="-3"/>
        </w:rPr>
        <w:t xml:space="preserve"> </w:t>
      </w:r>
      <w:r w:rsidRPr="004B6B8D">
        <w:rPr>
          <w:b/>
          <w:bCs/>
        </w:rPr>
        <w:t>temperature</w:t>
      </w:r>
      <w:r w:rsidRPr="004B6B8D">
        <w:rPr>
          <w:b/>
          <w:bCs/>
          <w:spacing w:val="-3"/>
        </w:rPr>
        <w:t xml:space="preserve"> </w:t>
      </w:r>
      <w:r w:rsidRPr="004B6B8D">
        <w:rPr>
          <w:b/>
          <w:bCs/>
        </w:rPr>
        <w:t>excursions</w:t>
      </w:r>
      <w:r w:rsidRPr="004B6B8D">
        <w:rPr>
          <w:b/>
          <w:bCs/>
          <w:spacing w:val="-6"/>
        </w:rPr>
        <w:t xml:space="preserve"> </w:t>
      </w:r>
      <w:r w:rsidRPr="004B6B8D">
        <w:rPr>
          <w:b/>
          <w:bCs/>
        </w:rPr>
        <w:t>when</w:t>
      </w:r>
      <w:r w:rsidRPr="004B6B8D">
        <w:rPr>
          <w:b/>
          <w:bCs/>
          <w:spacing w:val="-2"/>
        </w:rPr>
        <w:t xml:space="preserve"> </w:t>
      </w:r>
      <w:r w:rsidRPr="004B6B8D">
        <w:rPr>
          <w:b/>
          <w:bCs/>
        </w:rPr>
        <w:t>shipping</w:t>
      </w:r>
      <w:r w:rsidRPr="004B6B8D">
        <w:rPr>
          <w:b/>
          <w:bCs/>
          <w:spacing w:val="-3"/>
        </w:rPr>
        <w:t xml:space="preserve"> </w:t>
      </w:r>
      <w:r w:rsidRPr="004B6B8D">
        <w:rPr>
          <w:b/>
          <w:bCs/>
        </w:rPr>
        <w:t>the</w:t>
      </w:r>
      <w:r w:rsidRPr="004B6B8D">
        <w:rPr>
          <w:b/>
          <w:bCs/>
          <w:spacing w:val="-3"/>
        </w:rPr>
        <w:t xml:space="preserve"> </w:t>
      </w:r>
      <w:r w:rsidRPr="004B6B8D">
        <w:rPr>
          <w:b/>
          <w:bCs/>
        </w:rPr>
        <w:t>V</w:t>
      </w:r>
      <w:r w:rsidR="005810E4">
        <w:rPr>
          <w:b/>
          <w:bCs/>
        </w:rPr>
        <w:t>yvgart</w:t>
      </w:r>
      <w:r w:rsidRPr="004B6B8D">
        <w:rPr>
          <w:b/>
          <w:bCs/>
          <w:spacing w:val="-3"/>
        </w:rPr>
        <w:t xml:space="preserve"> </w:t>
      </w:r>
      <w:r w:rsidRPr="004B6B8D">
        <w:rPr>
          <w:b/>
          <w:bCs/>
        </w:rPr>
        <w:t>IV</w:t>
      </w:r>
      <w:r w:rsidRPr="004B6B8D">
        <w:rPr>
          <w:b/>
          <w:bCs/>
          <w:spacing w:val="-4"/>
        </w:rPr>
        <w:t xml:space="preserve"> </w:t>
      </w:r>
      <w:r w:rsidRPr="004B6B8D">
        <w:rPr>
          <w:b/>
          <w:bCs/>
        </w:rPr>
        <w:t>and</w:t>
      </w:r>
      <w:r w:rsidRPr="004B6B8D">
        <w:rPr>
          <w:b/>
          <w:bCs/>
          <w:spacing w:val="-3"/>
        </w:rPr>
        <w:t xml:space="preserve"> </w:t>
      </w:r>
      <w:r w:rsidRPr="004B6B8D">
        <w:rPr>
          <w:b/>
          <w:bCs/>
        </w:rPr>
        <w:t xml:space="preserve">SC </w:t>
      </w:r>
      <w:r w:rsidRPr="004B6B8D">
        <w:rPr>
          <w:b/>
          <w:bCs/>
          <w:spacing w:val="-2"/>
        </w:rPr>
        <w:t>product.</w:t>
      </w:r>
    </w:p>
    <w:p w14:paraId="2862D1FB" w14:textId="09F753CE" w:rsidR="00FC6C5C" w:rsidRDefault="00FC6C5C" w:rsidP="004B6B8D">
      <w:pPr>
        <w:rPr>
          <w:i/>
        </w:rPr>
      </w:pPr>
      <w:r>
        <w:rPr>
          <w:b/>
        </w:rPr>
        <w:t>Storage/</w:t>
      </w:r>
      <w:r w:rsidR="004B6B8D">
        <w:rPr>
          <w:b/>
        </w:rPr>
        <w:t>shelf</w:t>
      </w:r>
      <w:r w:rsidR="004B6B8D">
        <w:rPr>
          <w:b/>
          <w:spacing w:val="-7"/>
        </w:rPr>
        <w:t>-life</w:t>
      </w:r>
      <w:r>
        <w:rPr>
          <w:b/>
          <w:spacing w:val="-4"/>
        </w:rPr>
        <w:t xml:space="preserve"> </w:t>
      </w:r>
      <w:r>
        <w:rPr>
          <w:b/>
        </w:rPr>
        <w:t>details</w:t>
      </w:r>
      <w:r>
        <w:rPr>
          <w:b/>
          <w:spacing w:val="-5"/>
        </w:rPr>
        <w:t xml:space="preserve"> </w:t>
      </w:r>
      <w:r>
        <w:rPr>
          <w:b/>
        </w:rPr>
        <w:t>on</w:t>
      </w:r>
      <w:r>
        <w:rPr>
          <w:b/>
          <w:spacing w:val="-4"/>
        </w:rPr>
        <w:t xml:space="preserve"> </w:t>
      </w:r>
      <w:r>
        <w:rPr>
          <w:b/>
        </w:rPr>
        <w:t>the</w:t>
      </w:r>
      <w:r>
        <w:rPr>
          <w:b/>
          <w:spacing w:val="-5"/>
        </w:rPr>
        <w:t xml:space="preserve"> </w:t>
      </w:r>
      <w:r>
        <w:rPr>
          <w:b/>
        </w:rPr>
        <w:t>label(s)</w:t>
      </w:r>
      <w:r>
        <w:rPr>
          <w:b/>
          <w:spacing w:val="-3"/>
        </w:rPr>
        <w:t xml:space="preserve"> </w:t>
      </w:r>
      <w:r>
        <w:rPr>
          <w:b/>
        </w:rPr>
        <w:t>for</w:t>
      </w:r>
      <w:r>
        <w:rPr>
          <w:b/>
          <w:spacing w:val="-6"/>
        </w:rPr>
        <w:t xml:space="preserve"> </w:t>
      </w:r>
      <w:r>
        <w:rPr>
          <w:b/>
        </w:rPr>
        <w:t>both</w:t>
      </w:r>
      <w:r>
        <w:rPr>
          <w:b/>
          <w:spacing w:val="-4"/>
        </w:rPr>
        <w:t xml:space="preserve"> </w:t>
      </w:r>
      <w:r>
        <w:rPr>
          <w:b/>
          <w:spacing w:val="-2"/>
        </w:rPr>
        <w:t>presentations:</w:t>
      </w:r>
      <w:r w:rsidR="005F22A6">
        <w:rPr>
          <w:b/>
          <w:spacing w:val="-2"/>
        </w:rPr>
        <w:t xml:space="preserve"> </w:t>
      </w:r>
      <w:r>
        <w:rPr>
          <w:i/>
        </w:rPr>
        <w:t>Store</w:t>
      </w:r>
      <w:r>
        <w:rPr>
          <w:i/>
          <w:spacing w:val="-6"/>
        </w:rPr>
        <w:t xml:space="preserve"> </w:t>
      </w:r>
      <w:r>
        <w:rPr>
          <w:i/>
        </w:rPr>
        <w:t>at</w:t>
      </w:r>
      <w:r>
        <w:rPr>
          <w:i/>
          <w:spacing w:val="-3"/>
        </w:rPr>
        <w:t xml:space="preserve"> </w:t>
      </w:r>
      <w:r>
        <w:rPr>
          <w:i/>
        </w:rPr>
        <w:t>2°C</w:t>
      </w:r>
      <w:r>
        <w:rPr>
          <w:i/>
          <w:spacing w:val="-3"/>
        </w:rPr>
        <w:t xml:space="preserve"> </w:t>
      </w:r>
      <w:r>
        <w:rPr>
          <w:i/>
        </w:rPr>
        <w:t>to</w:t>
      </w:r>
      <w:r>
        <w:rPr>
          <w:i/>
          <w:spacing w:val="-3"/>
        </w:rPr>
        <w:t xml:space="preserve"> </w:t>
      </w:r>
      <w:r>
        <w:rPr>
          <w:i/>
        </w:rPr>
        <w:t>8°C</w:t>
      </w:r>
      <w:r>
        <w:rPr>
          <w:i/>
          <w:spacing w:val="-2"/>
        </w:rPr>
        <w:t xml:space="preserve"> </w:t>
      </w:r>
      <w:r>
        <w:rPr>
          <w:i/>
        </w:rPr>
        <w:t>(Refrigerate.</w:t>
      </w:r>
      <w:r>
        <w:rPr>
          <w:i/>
          <w:spacing w:val="-5"/>
        </w:rPr>
        <w:t xml:space="preserve"> </w:t>
      </w:r>
      <w:r>
        <w:rPr>
          <w:i/>
        </w:rPr>
        <w:t>Do</w:t>
      </w:r>
      <w:r>
        <w:rPr>
          <w:i/>
          <w:spacing w:val="-3"/>
        </w:rPr>
        <w:t xml:space="preserve"> </w:t>
      </w:r>
      <w:r>
        <w:rPr>
          <w:i/>
        </w:rPr>
        <w:t>not</w:t>
      </w:r>
      <w:r>
        <w:rPr>
          <w:i/>
          <w:spacing w:val="-2"/>
        </w:rPr>
        <w:t xml:space="preserve"> freeze)</w:t>
      </w:r>
      <w:r w:rsidR="005F22A6">
        <w:rPr>
          <w:i/>
          <w:spacing w:val="-2"/>
        </w:rPr>
        <w:t>.</w:t>
      </w:r>
    </w:p>
    <w:p w14:paraId="124C333A" w14:textId="77777777" w:rsidR="00FC6C5C" w:rsidRDefault="00FC6C5C" w:rsidP="00FC6C5C">
      <w:pPr>
        <w:pStyle w:val="Heading5"/>
      </w:pPr>
      <w:bookmarkStart w:id="50" w:name="Secondary_evaluations"/>
      <w:bookmarkEnd w:id="50"/>
      <w:r>
        <w:t>Secondary</w:t>
      </w:r>
      <w:r>
        <w:rPr>
          <w:spacing w:val="-6"/>
        </w:rPr>
        <w:t xml:space="preserve"> </w:t>
      </w:r>
      <w:r>
        <w:rPr>
          <w:spacing w:val="-2"/>
        </w:rPr>
        <w:t>evaluations</w:t>
      </w:r>
    </w:p>
    <w:p w14:paraId="3497F9A0" w14:textId="77777777" w:rsidR="009C1590" w:rsidRDefault="00FC6C5C" w:rsidP="005F22A6">
      <w:r>
        <w:t>Sterility, adventitious agents (viral, TSE and mycoplasma), container and endotoxin safety assessments</w:t>
      </w:r>
      <w:r>
        <w:rPr>
          <w:spacing w:val="-1"/>
        </w:rPr>
        <w:t xml:space="preserve"> </w:t>
      </w:r>
      <w:r>
        <w:t>were</w:t>
      </w:r>
      <w:r>
        <w:rPr>
          <w:spacing w:val="-2"/>
        </w:rPr>
        <w:t xml:space="preserve"> </w:t>
      </w:r>
      <w:r>
        <w:t>carried</w:t>
      </w:r>
      <w:r>
        <w:rPr>
          <w:spacing w:val="-5"/>
        </w:rPr>
        <w:t xml:space="preserve"> </w:t>
      </w:r>
      <w:r>
        <w:t>out</w:t>
      </w:r>
      <w:r>
        <w:rPr>
          <w:spacing w:val="-2"/>
        </w:rPr>
        <w:t xml:space="preserve"> </w:t>
      </w:r>
      <w:r>
        <w:t>with</w:t>
      </w:r>
      <w:r>
        <w:rPr>
          <w:spacing w:val="-1"/>
        </w:rPr>
        <w:t xml:space="preserve"> </w:t>
      </w:r>
      <w:r>
        <w:t>the</w:t>
      </w:r>
      <w:r>
        <w:rPr>
          <w:spacing w:val="-2"/>
        </w:rPr>
        <w:t xml:space="preserve"> </w:t>
      </w:r>
      <w:r>
        <w:t>aim</w:t>
      </w:r>
      <w:r>
        <w:rPr>
          <w:spacing w:val="-1"/>
        </w:rPr>
        <w:t xml:space="preserve"> </w:t>
      </w:r>
      <w:r>
        <w:t>of</w:t>
      </w:r>
      <w:r>
        <w:rPr>
          <w:spacing w:val="-4"/>
        </w:rPr>
        <w:t xml:space="preserve"> </w:t>
      </w:r>
      <w:r>
        <w:t>ensuring</w:t>
      </w:r>
      <w:r>
        <w:rPr>
          <w:spacing w:val="-1"/>
        </w:rPr>
        <w:t xml:space="preserve"> </w:t>
      </w:r>
      <w:r>
        <w:t>product</w:t>
      </w:r>
      <w:r>
        <w:rPr>
          <w:spacing w:val="-2"/>
        </w:rPr>
        <w:t xml:space="preserve"> </w:t>
      </w:r>
      <w:r>
        <w:t>quality</w:t>
      </w:r>
      <w:r>
        <w:rPr>
          <w:spacing w:val="-3"/>
        </w:rPr>
        <w:t xml:space="preserve"> </w:t>
      </w:r>
      <w:r>
        <w:t>and</w:t>
      </w:r>
      <w:r>
        <w:rPr>
          <w:spacing w:val="-4"/>
        </w:rPr>
        <w:t xml:space="preserve"> </w:t>
      </w:r>
      <w:r>
        <w:t>safety.</w:t>
      </w:r>
      <w:r>
        <w:rPr>
          <w:spacing w:val="-2"/>
        </w:rPr>
        <w:t xml:space="preserve"> </w:t>
      </w:r>
      <w:r>
        <w:t>These</w:t>
      </w:r>
      <w:r>
        <w:rPr>
          <w:spacing w:val="-2"/>
        </w:rPr>
        <w:t xml:space="preserve"> </w:t>
      </w:r>
      <w:r>
        <w:t xml:space="preserve">include (where appropriate) control/testing of starting materials, containers, in-process steps, decontamination/reduction steps active ingredient and finished product tests. </w:t>
      </w:r>
    </w:p>
    <w:p w14:paraId="1055EFE5" w14:textId="5F49FDBC" w:rsidR="00FC6C5C" w:rsidRDefault="00FC6C5C" w:rsidP="005F22A6">
      <w:r>
        <w:t xml:space="preserve">Adequate data has been presented which give reassurance on removal/reduction (to safe levels) of </w:t>
      </w:r>
      <w:r>
        <w:rPr>
          <w:spacing w:val="-2"/>
        </w:rPr>
        <w:t>contaminants.</w:t>
      </w:r>
    </w:p>
    <w:p w14:paraId="4BE0E408" w14:textId="77777777" w:rsidR="00FC6C5C" w:rsidRDefault="00FC6C5C" w:rsidP="00FC6C5C">
      <w:pPr>
        <w:pStyle w:val="BodyText"/>
        <w:spacing w:before="102"/>
      </w:pPr>
    </w:p>
    <w:p w14:paraId="0D98D775" w14:textId="77777777" w:rsidR="00FC6C5C" w:rsidRDefault="00FC6C5C" w:rsidP="00FC6C5C">
      <w:pPr>
        <w:pStyle w:val="Heading5"/>
        <w:spacing w:before="1"/>
      </w:pPr>
      <w:bookmarkStart w:id="51" w:name="Conclusions_and_outstanding_issues"/>
      <w:bookmarkEnd w:id="51"/>
      <w:r>
        <w:t>Conclusions</w:t>
      </w:r>
      <w:r>
        <w:rPr>
          <w:spacing w:val="-7"/>
        </w:rPr>
        <w:t xml:space="preserve"> </w:t>
      </w:r>
      <w:r>
        <w:t>and</w:t>
      </w:r>
      <w:r>
        <w:rPr>
          <w:spacing w:val="-6"/>
        </w:rPr>
        <w:t xml:space="preserve"> </w:t>
      </w:r>
      <w:r>
        <w:t>outstanding</w:t>
      </w:r>
      <w:r>
        <w:rPr>
          <w:spacing w:val="-6"/>
        </w:rPr>
        <w:t xml:space="preserve"> </w:t>
      </w:r>
      <w:r>
        <w:rPr>
          <w:spacing w:val="-2"/>
        </w:rPr>
        <w:t>issues</w:t>
      </w:r>
    </w:p>
    <w:p w14:paraId="2234FE31" w14:textId="7B5C9C26" w:rsidR="00FC6C5C" w:rsidRDefault="00FC6C5C" w:rsidP="005F22A6">
      <w:r>
        <w:t xml:space="preserve">The quality of this product </w:t>
      </w:r>
      <w:proofErr w:type="gramStart"/>
      <w:r>
        <w:t>is considered to be</w:t>
      </w:r>
      <w:proofErr w:type="gramEnd"/>
      <w:r>
        <w:t xml:space="preserve"> acceptable when used in accordance with the conditions</w:t>
      </w:r>
      <w:r>
        <w:rPr>
          <w:spacing w:val="-2"/>
        </w:rPr>
        <w:t xml:space="preserve"> </w:t>
      </w:r>
      <w:r>
        <w:t>defined</w:t>
      </w:r>
      <w:r>
        <w:rPr>
          <w:spacing w:val="-3"/>
        </w:rPr>
        <w:t xml:space="preserve"> </w:t>
      </w:r>
      <w:r>
        <w:t>in</w:t>
      </w:r>
      <w:r>
        <w:rPr>
          <w:spacing w:val="-4"/>
        </w:rPr>
        <w:t xml:space="preserve"> </w:t>
      </w:r>
      <w:r>
        <w:t>the</w:t>
      </w:r>
      <w:r>
        <w:rPr>
          <w:spacing w:val="-5"/>
        </w:rPr>
        <w:t xml:space="preserve"> </w:t>
      </w:r>
      <w:r>
        <w:t>product</w:t>
      </w:r>
      <w:r>
        <w:rPr>
          <w:spacing w:val="-3"/>
        </w:rPr>
        <w:t xml:space="preserve"> </w:t>
      </w:r>
      <w:r>
        <w:t>information</w:t>
      </w:r>
      <w:r>
        <w:rPr>
          <w:spacing w:val="-4"/>
        </w:rPr>
        <w:t xml:space="preserve"> </w:t>
      </w:r>
      <w:r>
        <w:t>(PI),</w:t>
      </w:r>
      <w:r>
        <w:rPr>
          <w:spacing w:val="-5"/>
        </w:rPr>
        <w:t xml:space="preserve"> </w:t>
      </w:r>
      <w:r>
        <w:t>labels,</w:t>
      </w:r>
      <w:r>
        <w:rPr>
          <w:spacing w:val="-5"/>
        </w:rPr>
        <w:t xml:space="preserve"> </w:t>
      </w:r>
      <w:r>
        <w:t>consumer</w:t>
      </w:r>
      <w:r>
        <w:rPr>
          <w:spacing w:val="-5"/>
        </w:rPr>
        <w:t xml:space="preserve"> </w:t>
      </w:r>
      <w:r>
        <w:t>medicines</w:t>
      </w:r>
      <w:r>
        <w:rPr>
          <w:spacing w:val="-2"/>
        </w:rPr>
        <w:t xml:space="preserve"> </w:t>
      </w:r>
      <w:r>
        <w:t>information</w:t>
      </w:r>
      <w:r>
        <w:rPr>
          <w:spacing w:val="-4"/>
        </w:rPr>
        <w:t xml:space="preserve"> </w:t>
      </w:r>
      <w:r w:rsidR="00875A5D">
        <w:rPr>
          <w:spacing w:val="-4"/>
        </w:rPr>
        <w:t xml:space="preserve">(CMI) </w:t>
      </w:r>
      <w:r>
        <w:t>and the ARTG. Physicochemical and biological aspects relevant to the uniform clinical performance of the product have been investigated and are controlled in a satisfactory way. Information on development, manufacture and control of the active substance and finished product has been presented in a satisfactory manner. The results of tests carried out indicate consistency and uniformity</w:t>
      </w:r>
      <w:r>
        <w:rPr>
          <w:spacing w:val="-3"/>
        </w:rPr>
        <w:t xml:space="preserve"> </w:t>
      </w:r>
      <w:r>
        <w:t>of</w:t>
      </w:r>
      <w:r>
        <w:rPr>
          <w:spacing w:val="-2"/>
        </w:rPr>
        <w:t xml:space="preserve"> </w:t>
      </w:r>
      <w:r>
        <w:t>important</w:t>
      </w:r>
      <w:r>
        <w:rPr>
          <w:spacing w:val="-2"/>
        </w:rPr>
        <w:t xml:space="preserve"> </w:t>
      </w:r>
      <w:r>
        <w:t>product</w:t>
      </w:r>
      <w:r>
        <w:rPr>
          <w:spacing w:val="-2"/>
        </w:rPr>
        <w:t xml:space="preserve"> </w:t>
      </w:r>
      <w:r>
        <w:t>quality</w:t>
      </w:r>
      <w:r>
        <w:rPr>
          <w:spacing w:val="-5"/>
        </w:rPr>
        <w:t xml:space="preserve"> </w:t>
      </w:r>
      <w:r>
        <w:t>characteristics,</w:t>
      </w:r>
      <w:r>
        <w:rPr>
          <w:spacing w:val="-2"/>
        </w:rPr>
        <w:t xml:space="preserve"> </w:t>
      </w:r>
      <w:r>
        <w:t>and</w:t>
      </w:r>
      <w:r>
        <w:rPr>
          <w:spacing w:val="-2"/>
        </w:rPr>
        <w:t xml:space="preserve"> </w:t>
      </w:r>
      <w:r>
        <w:t>these</w:t>
      </w:r>
      <w:r>
        <w:rPr>
          <w:spacing w:val="-4"/>
        </w:rPr>
        <w:t xml:space="preserve"> </w:t>
      </w:r>
      <w:r>
        <w:t>in</w:t>
      </w:r>
      <w:r>
        <w:rPr>
          <w:spacing w:val="-3"/>
        </w:rPr>
        <w:t xml:space="preserve"> </w:t>
      </w:r>
      <w:r>
        <w:t>turn</w:t>
      </w:r>
      <w:r>
        <w:rPr>
          <w:spacing w:val="-3"/>
        </w:rPr>
        <w:t xml:space="preserve"> </w:t>
      </w:r>
      <w:r>
        <w:t>lead</w:t>
      </w:r>
      <w:r>
        <w:rPr>
          <w:spacing w:val="-2"/>
        </w:rPr>
        <w:t xml:space="preserve"> </w:t>
      </w:r>
      <w:r>
        <w:t>to</w:t>
      </w:r>
      <w:r>
        <w:rPr>
          <w:spacing w:val="-2"/>
        </w:rPr>
        <w:t xml:space="preserve"> </w:t>
      </w:r>
      <w:r>
        <w:t>the</w:t>
      </w:r>
      <w:r>
        <w:rPr>
          <w:spacing w:val="-2"/>
        </w:rPr>
        <w:t xml:space="preserve"> </w:t>
      </w:r>
      <w:r>
        <w:t xml:space="preserve">conclusion that the product should have a satisfactory and uniform performance in clinical use. From </w:t>
      </w:r>
      <w:r w:rsidR="00CC13FE">
        <w:t xml:space="preserve">a </w:t>
      </w:r>
      <w:r>
        <w:t>quality perspective, compliance with Therapeutic Goods Legislations (TG Act/Regs) and</w:t>
      </w:r>
      <w:r w:rsidR="005F22A6">
        <w:t xml:space="preserve"> </w:t>
      </w:r>
      <w:r>
        <w:t>relevant</w:t>
      </w:r>
      <w:r>
        <w:rPr>
          <w:spacing w:val="-3"/>
        </w:rPr>
        <w:t xml:space="preserve"> </w:t>
      </w:r>
      <w:r>
        <w:t>TG</w:t>
      </w:r>
      <w:r>
        <w:rPr>
          <w:spacing w:val="-3"/>
        </w:rPr>
        <w:t xml:space="preserve"> </w:t>
      </w:r>
      <w:r>
        <w:t>Orders</w:t>
      </w:r>
      <w:r>
        <w:rPr>
          <w:spacing w:val="-2"/>
        </w:rPr>
        <w:t xml:space="preserve"> </w:t>
      </w:r>
      <w:r>
        <w:t>as</w:t>
      </w:r>
      <w:r>
        <w:rPr>
          <w:spacing w:val="-2"/>
        </w:rPr>
        <w:t xml:space="preserve"> </w:t>
      </w:r>
      <w:r>
        <w:t>well</w:t>
      </w:r>
      <w:r>
        <w:rPr>
          <w:spacing w:val="-3"/>
        </w:rPr>
        <w:t xml:space="preserve"> </w:t>
      </w:r>
      <w:r>
        <w:t>as</w:t>
      </w:r>
      <w:r>
        <w:rPr>
          <w:spacing w:val="-2"/>
        </w:rPr>
        <w:t xml:space="preserve"> </w:t>
      </w:r>
      <w:r>
        <w:t>consistency</w:t>
      </w:r>
      <w:r>
        <w:rPr>
          <w:spacing w:val="-4"/>
        </w:rPr>
        <w:t xml:space="preserve"> </w:t>
      </w:r>
      <w:r>
        <w:t>with</w:t>
      </w:r>
      <w:r>
        <w:rPr>
          <w:spacing w:val="-2"/>
        </w:rPr>
        <w:t xml:space="preserve"> </w:t>
      </w:r>
      <w:r>
        <w:t>relevant</w:t>
      </w:r>
      <w:r>
        <w:rPr>
          <w:spacing w:val="-3"/>
        </w:rPr>
        <w:t xml:space="preserve"> </w:t>
      </w:r>
      <w:r>
        <w:t>guidelines</w:t>
      </w:r>
      <w:r>
        <w:rPr>
          <w:spacing w:val="-2"/>
        </w:rPr>
        <w:t xml:space="preserve"> </w:t>
      </w:r>
      <w:r>
        <w:t>and</w:t>
      </w:r>
      <w:r>
        <w:rPr>
          <w:spacing w:val="-3"/>
        </w:rPr>
        <w:t xml:space="preserve"> </w:t>
      </w:r>
      <w:r>
        <w:t>the</w:t>
      </w:r>
      <w:r>
        <w:rPr>
          <w:spacing w:val="-3"/>
        </w:rPr>
        <w:t xml:space="preserve"> </w:t>
      </w:r>
      <w:r>
        <w:t>ARGPM</w:t>
      </w:r>
      <w:r>
        <w:rPr>
          <w:spacing w:val="-3"/>
        </w:rPr>
        <w:t xml:space="preserve"> </w:t>
      </w:r>
      <w:r>
        <w:t>has</w:t>
      </w:r>
      <w:r>
        <w:rPr>
          <w:spacing w:val="-2"/>
        </w:rPr>
        <w:t xml:space="preserve"> </w:t>
      </w:r>
      <w:r>
        <w:t xml:space="preserve">been </w:t>
      </w:r>
      <w:r>
        <w:rPr>
          <w:spacing w:val="-2"/>
        </w:rPr>
        <w:t>demonstrated.</w:t>
      </w:r>
    </w:p>
    <w:p w14:paraId="660851E0" w14:textId="77777777" w:rsidR="00FC6C5C" w:rsidRDefault="00FC6C5C" w:rsidP="005F22A6">
      <w:r>
        <w:t>TGA</w:t>
      </w:r>
      <w:r>
        <w:rPr>
          <w:spacing w:val="-4"/>
        </w:rPr>
        <w:t xml:space="preserve"> </w:t>
      </w:r>
      <w:r>
        <w:t>GMP</w:t>
      </w:r>
      <w:r>
        <w:rPr>
          <w:spacing w:val="-4"/>
        </w:rPr>
        <w:t xml:space="preserve"> </w:t>
      </w:r>
      <w:r>
        <w:t>clearances</w:t>
      </w:r>
      <w:r>
        <w:rPr>
          <w:spacing w:val="-2"/>
        </w:rPr>
        <w:t xml:space="preserve"> </w:t>
      </w:r>
      <w:r>
        <w:t>for</w:t>
      </w:r>
      <w:r>
        <w:rPr>
          <w:spacing w:val="-3"/>
        </w:rPr>
        <w:t xml:space="preserve"> </w:t>
      </w:r>
      <w:r>
        <w:t>the</w:t>
      </w:r>
      <w:r>
        <w:rPr>
          <w:spacing w:val="-3"/>
        </w:rPr>
        <w:t xml:space="preserve"> </w:t>
      </w:r>
      <w:r>
        <w:t>sites</w:t>
      </w:r>
      <w:r>
        <w:rPr>
          <w:spacing w:val="-2"/>
        </w:rPr>
        <w:t xml:space="preserve"> </w:t>
      </w:r>
      <w:r>
        <w:t>responsible</w:t>
      </w:r>
      <w:r>
        <w:rPr>
          <w:spacing w:val="-3"/>
        </w:rPr>
        <w:t xml:space="preserve"> </w:t>
      </w:r>
      <w:r>
        <w:t>for</w:t>
      </w:r>
      <w:r>
        <w:rPr>
          <w:spacing w:val="-3"/>
        </w:rPr>
        <w:t xml:space="preserve"> </w:t>
      </w:r>
      <w:r>
        <w:t>the</w:t>
      </w:r>
      <w:r>
        <w:rPr>
          <w:spacing w:val="-3"/>
        </w:rPr>
        <w:t xml:space="preserve"> </w:t>
      </w:r>
      <w:r>
        <w:t>manufacture,</w:t>
      </w:r>
      <w:r>
        <w:rPr>
          <w:spacing w:val="-3"/>
        </w:rPr>
        <w:t xml:space="preserve"> </w:t>
      </w:r>
      <w:r>
        <w:t>quality</w:t>
      </w:r>
      <w:r>
        <w:rPr>
          <w:spacing w:val="-4"/>
        </w:rPr>
        <w:t xml:space="preserve"> </w:t>
      </w:r>
      <w:r>
        <w:t>control</w:t>
      </w:r>
      <w:r>
        <w:rPr>
          <w:spacing w:val="-3"/>
        </w:rPr>
        <w:t xml:space="preserve"> </w:t>
      </w:r>
      <w:r>
        <w:t>and</w:t>
      </w:r>
      <w:r>
        <w:rPr>
          <w:spacing w:val="-3"/>
        </w:rPr>
        <w:t xml:space="preserve"> </w:t>
      </w:r>
      <w:r>
        <w:t xml:space="preserve">release testing of the excipient </w:t>
      </w:r>
      <w:proofErr w:type="spellStart"/>
      <w:r>
        <w:t>vorhyaluronidase</w:t>
      </w:r>
      <w:proofErr w:type="spellEnd"/>
      <w:r>
        <w:t xml:space="preserve"> (rHuPH20) are required.</w:t>
      </w:r>
    </w:p>
    <w:p w14:paraId="0F6E232F" w14:textId="2D7AF448" w:rsidR="00AE70AB" w:rsidRDefault="00AE70AB" w:rsidP="005F22A6">
      <w:r>
        <w:t>To address this unresolved issue, the Sponsor submitted GMP clearances for the rel</w:t>
      </w:r>
      <w:r w:rsidR="003A3435">
        <w:t>evant manufacturing sites.</w:t>
      </w:r>
    </w:p>
    <w:p w14:paraId="235A4F56" w14:textId="77777777" w:rsidR="00FC6C5C" w:rsidRDefault="00FC6C5C" w:rsidP="002D384B">
      <w:pPr>
        <w:pStyle w:val="Heading5"/>
      </w:pPr>
      <w:r>
        <w:t>Recommendations</w:t>
      </w:r>
    </w:p>
    <w:p w14:paraId="6FCC6688" w14:textId="0007E9E9" w:rsidR="00FC6C5C" w:rsidRPr="002D384B" w:rsidRDefault="00FC6C5C" w:rsidP="002D384B">
      <w:pPr>
        <w:rPr>
          <w:b/>
          <w:bCs/>
        </w:rPr>
      </w:pPr>
      <w:r w:rsidRPr="002D384B">
        <w:rPr>
          <w:b/>
          <w:bCs/>
        </w:rPr>
        <w:t>There</w:t>
      </w:r>
      <w:r w:rsidRPr="002D384B">
        <w:rPr>
          <w:b/>
          <w:bCs/>
          <w:spacing w:val="-6"/>
        </w:rPr>
        <w:t xml:space="preserve"> </w:t>
      </w:r>
      <w:r w:rsidRPr="002D384B">
        <w:rPr>
          <w:b/>
          <w:bCs/>
        </w:rPr>
        <w:t>are</w:t>
      </w:r>
      <w:r w:rsidRPr="002D384B">
        <w:rPr>
          <w:b/>
          <w:bCs/>
          <w:spacing w:val="-4"/>
        </w:rPr>
        <w:t xml:space="preserve"> </w:t>
      </w:r>
      <w:r w:rsidRPr="002D384B">
        <w:rPr>
          <w:b/>
          <w:bCs/>
        </w:rPr>
        <w:t>no</w:t>
      </w:r>
      <w:r w:rsidRPr="002D384B">
        <w:rPr>
          <w:b/>
          <w:bCs/>
          <w:spacing w:val="-4"/>
        </w:rPr>
        <w:t xml:space="preserve"> </w:t>
      </w:r>
      <w:r w:rsidRPr="002D384B">
        <w:rPr>
          <w:b/>
          <w:bCs/>
        </w:rPr>
        <w:t>objections</w:t>
      </w:r>
      <w:r w:rsidRPr="002D384B">
        <w:rPr>
          <w:b/>
          <w:bCs/>
          <w:spacing w:val="-6"/>
        </w:rPr>
        <w:t xml:space="preserve"> </w:t>
      </w:r>
      <w:r w:rsidRPr="002D384B">
        <w:rPr>
          <w:b/>
          <w:bCs/>
        </w:rPr>
        <w:t>on</w:t>
      </w:r>
      <w:r w:rsidRPr="002D384B">
        <w:rPr>
          <w:b/>
          <w:bCs/>
          <w:spacing w:val="-3"/>
        </w:rPr>
        <w:t xml:space="preserve"> </w:t>
      </w:r>
      <w:r w:rsidRPr="002D384B">
        <w:rPr>
          <w:b/>
          <w:bCs/>
        </w:rPr>
        <w:t>quality</w:t>
      </w:r>
      <w:r w:rsidRPr="002D384B">
        <w:rPr>
          <w:b/>
          <w:bCs/>
          <w:spacing w:val="-4"/>
        </w:rPr>
        <w:t xml:space="preserve"> </w:t>
      </w:r>
      <w:r w:rsidRPr="002D384B">
        <w:rPr>
          <w:b/>
          <w:bCs/>
        </w:rPr>
        <w:t>grounds</w:t>
      </w:r>
      <w:r w:rsidRPr="002D384B">
        <w:rPr>
          <w:b/>
          <w:bCs/>
          <w:spacing w:val="-4"/>
        </w:rPr>
        <w:t xml:space="preserve"> </w:t>
      </w:r>
      <w:r w:rsidRPr="002D384B">
        <w:rPr>
          <w:b/>
          <w:bCs/>
        </w:rPr>
        <w:t>to</w:t>
      </w:r>
      <w:r w:rsidRPr="002D384B">
        <w:rPr>
          <w:b/>
          <w:bCs/>
          <w:spacing w:val="-4"/>
        </w:rPr>
        <w:t xml:space="preserve"> </w:t>
      </w:r>
      <w:r w:rsidRPr="002D384B">
        <w:rPr>
          <w:b/>
          <w:bCs/>
        </w:rPr>
        <w:t>the</w:t>
      </w:r>
      <w:r w:rsidRPr="002D384B">
        <w:rPr>
          <w:b/>
          <w:bCs/>
          <w:spacing w:val="-4"/>
        </w:rPr>
        <w:t xml:space="preserve"> </w:t>
      </w:r>
      <w:r w:rsidRPr="002D384B">
        <w:rPr>
          <w:b/>
          <w:bCs/>
        </w:rPr>
        <w:t>approval</w:t>
      </w:r>
      <w:r w:rsidRPr="002D384B">
        <w:rPr>
          <w:b/>
          <w:bCs/>
          <w:spacing w:val="-4"/>
        </w:rPr>
        <w:t xml:space="preserve"> </w:t>
      </w:r>
      <w:r w:rsidRPr="002D384B">
        <w:rPr>
          <w:b/>
          <w:bCs/>
          <w:spacing w:val="-5"/>
        </w:rPr>
        <w:t>of</w:t>
      </w:r>
      <w:r w:rsidR="00600A62">
        <w:rPr>
          <w:b/>
          <w:bCs/>
          <w:spacing w:val="-5"/>
        </w:rPr>
        <w:t xml:space="preserve"> </w:t>
      </w:r>
      <w:r w:rsidRPr="00942813">
        <w:rPr>
          <w:szCs w:val="22"/>
        </w:rPr>
        <w:t>V</w:t>
      </w:r>
      <w:r w:rsidR="00632BE4" w:rsidRPr="00942813">
        <w:rPr>
          <w:szCs w:val="22"/>
        </w:rPr>
        <w:t>yvgart</w:t>
      </w:r>
      <w:r w:rsidRPr="00942813">
        <w:rPr>
          <w:szCs w:val="22"/>
        </w:rPr>
        <w:t xml:space="preserve"> efgartigimod alfa 400 mg/20 mL concentrated injection for intravenous infusion vial and</w:t>
      </w:r>
      <w:r w:rsidR="00600A62">
        <w:rPr>
          <w:szCs w:val="22"/>
        </w:rPr>
        <w:t xml:space="preserve"> </w:t>
      </w:r>
      <w:r w:rsidRPr="00942813">
        <w:rPr>
          <w:szCs w:val="22"/>
        </w:rPr>
        <w:t>V</w:t>
      </w:r>
      <w:r w:rsidR="00137784" w:rsidRPr="00942813">
        <w:rPr>
          <w:szCs w:val="22"/>
        </w:rPr>
        <w:t>yvgart</w:t>
      </w:r>
      <w:r w:rsidRPr="00942813">
        <w:rPr>
          <w:szCs w:val="22"/>
        </w:rPr>
        <w:t xml:space="preserve"> efgartigimod alfa 1000 mg/5.6 mL solution for injection vial</w:t>
      </w:r>
      <w:r w:rsidR="00BE2AD7">
        <w:rPr>
          <w:szCs w:val="22"/>
        </w:rPr>
        <w:t xml:space="preserve">, </w:t>
      </w:r>
      <w:r w:rsidRPr="002D384B">
        <w:rPr>
          <w:b/>
          <w:bCs/>
        </w:rPr>
        <w:t>provided</w:t>
      </w:r>
      <w:r w:rsidRPr="002D384B">
        <w:rPr>
          <w:b/>
          <w:bCs/>
          <w:spacing w:val="-8"/>
        </w:rPr>
        <w:t xml:space="preserve"> </w:t>
      </w:r>
      <w:r w:rsidRPr="002D384B">
        <w:rPr>
          <w:b/>
          <w:bCs/>
        </w:rPr>
        <w:t>the</w:t>
      </w:r>
      <w:r w:rsidRPr="002D384B">
        <w:rPr>
          <w:b/>
          <w:bCs/>
          <w:spacing w:val="-5"/>
        </w:rPr>
        <w:t xml:space="preserve"> </w:t>
      </w:r>
      <w:r w:rsidRPr="002D384B">
        <w:rPr>
          <w:b/>
          <w:bCs/>
        </w:rPr>
        <w:t>following</w:t>
      </w:r>
      <w:r w:rsidRPr="002D384B">
        <w:rPr>
          <w:b/>
          <w:bCs/>
          <w:spacing w:val="-5"/>
        </w:rPr>
        <w:t xml:space="preserve"> </w:t>
      </w:r>
      <w:r w:rsidRPr="002D384B">
        <w:rPr>
          <w:b/>
          <w:bCs/>
        </w:rPr>
        <w:t>issue</w:t>
      </w:r>
      <w:r w:rsidR="00BE2AD7">
        <w:rPr>
          <w:b/>
          <w:bCs/>
        </w:rPr>
        <w:t xml:space="preserve"> is</w:t>
      </w:r>
      <w:r w:rsidRPr="002D384B">
        <w:rPr>
          <w:b/>
          <w:bCs/>
          <w:spacing w:val="-5"/>
        </w:rPr>
        <w:t xml:space="preserve"> </w:t>
      </w:r>
      <w:r w:rsidRPr="002D384B">
        <w:rPr>
          <w:b/>
          <w:bCs/>
        </w:rPr>
        <w:t>addressed</w:t>
      </w:r>
      <w:r w:rsidRPr="002D384B">
        <w:rPr>
          <w:b/>
          <w:bCs/>
          <w:spacing w:val="-5"/>
        </w:rPr>
        <w:t xml:space="preserve"> </w:t>
      </w:r>
      <w:r w:rsidRPr="002D384B">
        <w:rPr>
          <w:b/>
          <w:bCs/>
          <w:spacing w:val="-2"/>
        </w:rPr>
        <w:t>satisfactorily:</w:t>
      </w:r>
    </w:p>
    <w:p w14:paraId="0F866DBD" w14:textId="77777777" w:rsidR="00FC6C5C" w:rsidRDefault="00FC6C5C" w:rsidP="00B5583C">
      <w:pPr>
        <w:pStyle w:val="ListBullet"/>
        <w:numPr>
          <w:ilvl w:val="0"/>
          <w:numId w:val="31"/>
        </w:numPr>
        <w:ind w:left="357" w:hanging="357"/>
      </w:pPr>
      <w:r>
        <w:t>Provision</w:t>
      </w:r>
      <w:r>
        <w:rPr>
          <w:spacing w:val="-4"/>
        </w:rPr>
        <w:t xml:space="preserve"> </w:t>
      </w:r>
      <w:r>
        <w:t>of</w:t>
      </w:r>
      <w:r>
        <w:rPr>
          <w:spacing w:val="-5"/>
        </w:rPr>
        <w:t xml:space="preserve"> </w:t>
      </w:r>
      <w:r>
        <w:t>TGA</w:t>
      </w:r>
      <w:r>
        <w:rPr>
          <w:spacing w:val="-4"/>
        </w:rPr>
        <w:t xml:space="preserve"> </w:t>
      </w:r>
      <w:r>
        <w:t>GMP</w:t>
      </w:r>
      <w:r>
        <w:rPr>
          <w:spacing w:val="-4"/>
        </w:rPr>
        <w:t xml:space="preserve"> </w:t>
      </w:r>
      <w:r>
        <w:t>clearances</w:t>
      </w:r>
      <w:r>
        <w:rPr>
          <w:spacing w:val="-2"/>
        </w:rPr>
        <w:t xml:space="preserve"> </w:t>
      </w:r>
      <w:r>
        <w:t>for</w:t>
      </w:r>
      <w:r>
        <w:rPr>
          <w:spacing w:val="-3"/>
        </w:rPr>
        <w:t xml:space="preserve"> </w:t>
      </w:r>
      <w:r>
        <w:t>the</w:t>
      </w:r>
      <w:r>
        <w:rPr>
          <w:spacing w:val="-3"/>
        </w:rPr>
        <w:t xml:space="preserve"> </w:t>
      </w:r>
      <w:r>
        <w:t>sites</w:t>
      </w:r>
      <w:r>
        <w:rPr>
          <w:spacing w:val="-2"/>
        </w:rPr>
        <w:t xml:space="preserve"> </w:t>
      </w:r>
      <w:r>
        <w:t>responsible</w:t>
      </w:r>
      <w:r>
        <w:rPr>
          <w:spacing w:val="-3"/>
        </w:rPr>
        <w:t xml:space="preserve"> </w:t>
      </w:r>
      <w:r>
        <w:t>for</w:t>
      </w:r>
      <w:r>
        <w:rPr>
          <w:spacing w:val="-3"/>
        </w:rPr>
        <w:t xml:space="preserve"> </w:t>
      </w:r>
      <w:r>
        <w:t>the</w:t>
      </w:r>
      <w:r>
        <w:rPr>
          <w:spacing w:val="-3"/>
        </w:rPr>
        <w:t xml:space="preserve"> </w:t>
      </w:r>
      <w:r>
        <w:t>manufacture,</w:t>
      </w:r>
      <w:r>
        <w:rPr>
          <w:spacing w:val="-3"/>
        </w:rPr>
        <w:t xml:space="preserve"> </w:t>
      </w:r>
      <w:r>
        <w:t xml:space="preserve">quality control and release testing of the excipient </w:t>
      </w:r>
      <w:proofErr w:type="spellStart"/>
      <w:r>
        <w:t>vorhyaluronidase</w:t>
      </w:r>
      <w:proofErr w:type="spellEnd"/>
      <w:r>
        <w:t xml:space="preserve"> (rHuPH20).</w:t>
      </w:r>
    </w:p>
    <w:p w14:paraId="2BE90AAE" w14:textId="7CC10EAB" w:rsidR="00C22214" w:rsidRDefault="00C22214" w:rsidP="00C22214">
      <w:pPr>
        <w:pStyle w:val="Heading3"/>
      </w:pPr>
      <w:bookmarkStart w:id="52" w:name="_Toc314842512"/>
      <w:bookmarkStart w:id="53" w:name="_Toc103679296"/>
      <w:bookmarkStart w:id="54" w:name="_Toc225173547"/>
      <w:r>
        <w:t>Nonclinical</w:t>
      </w:r>
      <w:bookmarkEnd w:id="52"/>
      <w:bookmarkEnd w:id="53"/>
      <w:r w:rsidR="007E6443">
        <w:t xml:space="preserve"> evaluation</w:t>
      </w:r>
      <w:r w:rsidR="00095C6A">
        <w:t xml:space="preserve"> summary</w:t>
      </w:r>
      <w:bookmarkEnd w:id="54"/>
    </w:p>
    <w:p w14:paraId="3D74104E" w14:textId="60618CE6" w:rsidR="003B2409" w:rsidRDefault="003B2409" w:rsidP="0006695D">
      <w:r>
        <w:t>There</w:t>
      </w:r>
      <w:r w:rsidRPr="006264D1">
        <w:t xml:space="preserve"> </w:t>
      </w:r>
      <w:r>
        <w:t>are</w:t>
      </w:r>
      <w:r w:rsidRPr="006264D1">
        <w:t xml:space="preserve"> </w:t>
      </w:r>
      <w:r>
        <w:t>outstanding</w:t>
      </w:r>
      <w:r w:rsidRPr="006264D1">
        <w:t xml:space="preserve"> </w:t>
      </w:r>
      <w:r>
        <w:t>issues</w:t>
      </w:r>
      <w:r w:rsidRPr="006264D1">
        <w:t xml:space="preserve"> </w:t>
      </w:r>
      <w:r>
        <w:t>in</w:t>
      </w:r>
      <w:r w:rsidRPr="006264D1">
        <w:t xml:space="preserve"> </w:t>
      </w:r>
      <w:r>
        <w:t>nonclinical</w:t>
      </w:r>
      <w:r w:rsidRPr="006264D1">
        <w:t xml:space="preserve"> </w:t>
      </w:r>
      <w:r>
        <w:t>evaluation,</w:t>
      </w:r>
      <w:r w:rsidRPr="006264D1">
        <w:t xml:space="preserve"> </w:t>
      </w:r>
      <w:r>
        <w:t>with</w:t>
      </w:r>
      <w:r w:rsidRPr="006264D1">
        <w:t xml:space="preserve"> </w:t>
      </w:r>
      <w:r>
        <w:t>the</w:t>
      </w:r>
      <w:r w:rsidRPr="006264D1">
        <w:t xml:space="preserve"> </w:t>
      </w:r>
      <w:r>
        <w:t>evaluator</w:t>
      </w:r>
      <w:r w:rsidRPr="006264D1">
        <w:t xml:space="preserve"> </w:t>
      </w:r>
      <w:r>
        <w:t>and</w:t>
      </w:r>
      <w:r w:rsidRPr="006264D1">
        <w:t xml:space="preserve"> </w:t>
      </w:r>
      <w:r>
        <w:t>sponsor</w:t>
      </w:r>
      <w:r w:rsidRPr="006264D1">
        <w:t xml:space="preserve"> </w:t>
      </w:r>
      <w:r>
        <w:t>unable</w:t>
      </w:r>
      <w:r w:rsidRPr="006264D1">
        <w:t xml:space="preserve"> </w:t>
      </w:r>
      <w:r>
        <w:t>to reach agreement</w:t>
      </w:r>
      <w:r w:rsidRPr="006264D1">
        <w:t xml:space="preserve"> </w:t>
      </w:r>
      <w:r>
        <w:t>regarding pregnancy</w:t>
      </w:r>
      <w:r w:rsidRPr="006264D1">
        <w:t xml:space="preserve"> </w:t>
      </w:r>
      <w:r>
        <w:t>category,</w:t>
      </w:r>
      <w:r w:rsidRPr="006264D1">
        <w:t xml:space="preserve"> </w:t>
      </w:r>
      <w:r>
        <w:t>and</w:t>
      </w:r>
      <w:r w:rsidRPr="006264D1">
        <w:t xml:space="preserve"> </w:t>
      </w:r>
      <w:r>
        <w:t>wording</w:t>
      </w:r>
      <w:r w:rsidRPr="006264D1">
        <w:t xml:space="preserve"> </w:t>
      </w:r>
      <w:r>
        <w:t>of</w:t>
      </w:r>
      <w:r w:rsidRPr="006264D1">
        <w:t xml:space="preserve"> </w:t>
      </w:r>
      <w:r>
        <w:t>nonclinical</w:t>
      </w:r>
      <w:r w:rsidRPr="006264D1">
        <w:t xml:space="preserve"> </w:t>
      </w:r>
      <w:r>
        <w:t>data</w:t>
      </w:r>
      <w:r w:rsidRPr="006264D1">
        <w:t xml:space="preserve"> </w:t>
      </w:r>
      <w:r>
        <w:t>in</w:t>
      </w:r>
      <w:r w:rsidRPr="006264D1">
        <w:t xml:space="preserve"> </w:t>
      </w:r>
      <w:r>
        <w:t>the</w:t>
      </w:r>
      <w:r w:rsidRPr="006264D1">
        <w:t xml:space="preserve"> </w:t>
      </w:r>
      <w:r>
        <w:t>PI.</w:t>
      </w:r>
      <w:r w:rsidRPr="006264D1">
        <w:t xml:space="preserve"> </w:t>
      </w:r>
      <w:r>
        <w:t xml:space="preserve">These issues </w:t>
      </w:r>
      <w:r w:rsidR="00D81D6D">
        <w:t>are</w:t>
      </w:r>
      <w:r>
        <w:t xml:space="preserve"> summarised below.</w:t>
      </w:r>
    </w:p>
    <w:p w14:paraId="28A267BD" w14:textId="1A9DF018" w:rsidR="003B2409" w:rsidRDefault="003B2409" w:rsidP="0006695D">
      <w:r>
        <w:lastRenderedPageBreak/>
        <w:t>Following</w:t>
      </w:r>
      <w:r w:rsidRPr="006264D1">
        <w:t xml:space="preserve"> </w:t>
      </w:r>
      <w:r>
        <w:t>first</w:t>
      </w:r>
      <w:r w:rsidRPr="006264D1">
        <w:t xml:space="preserve"> </w:t>
      </w:r>
      <w:r>
        <w:t>round</w:t>
      </w:r>
      <w:r w:rsidRPr="006264D1">
        <w:t xml:space="preserve"> </w:t>
      </w:r>
      <w:r>
        <w:t>evaluation</w:t>
      </w:r>
      <w:r w:rsidR="00810918">
        <w:t>,</w:t>
      </w:r>
      <w:r w:rsidRPr="006264D1">
        <w:t xml:space="preserve"> </w:t>
      </w:r>
      <w:r>
        <w:t>the</w:t>
      </w:r>
      <w:r w:rsidRPr="006264D1">
        <w:t xml:space="preserve"> </w:t>
      </w:r>
      <w:r>
        <w:t>nonclinical</w:t>
      </w:r>
      <w:r w:rsidRPr="006264D1">
        <w:t xml:space="preserve"> </w:t>
      </w:r>
      <w:r>
        <w:t>evaluator</w:t>
      </w:r>
      <w:r w:rsidRPr="006264D1">
        <w:t xml:space="preserve"> </w:t>
      </w:r>
      <w:r>
        <w:t>provided</w:t>
      </w:r>
      <w:r w:rsidRPr="006264D1">
        <w:t xml:space="preserve"> </w:t>
      </w:r>
      <w:r>
        <w:t>the</w:t>
      </w:r>
      <w:r w:rsidRPr="006264D1">
        <w:t xml:space="preserve"> </w:t>
      </w:r>
      <w:r>
        <w:t>following</w:t>
      </w:r>
      <w:r w:rsidRPr="006264D1">
        <w:t xml:space="preserve"> summary:</w:t>
      </w:r>
    </w:p>
    <w:p w14:paraId="79728A9C" w14:textId="7623E779" w:rsidR="003B2409" w:rsidRPr="00EB0483" w:rsidRDefault="003B2409" w:rsidP="00EB0483">
      <w:pPr>
        <w:pStyle w:val="ListBullet"/>
        <w:numPr>
          <w:ilvl w:val="0"/>
          <w:numId w:val="31"/>
        </w:numPr>
        <w:ind w:left="357" w:hanging="357"/>
        <w:rPr>
          <w:szCs w:val="22"/>
        </w:rPr>
      </w:pPr>
      <w:r w:rsidRPr="00EB0483">
        <w:rPr>
          <w:szCs w:val="22"/>
        </w:rPr>
        <w:t xml:space="preserve">Argenx Australia Pty Ltd has applied to register a new biological entity, efgartigimod alfa </w:t>
      </w:r>
      <w:r w:rsidR="00917746" w:rsidRPr="00EB0483">
        <w:rPr>
          <w:szCs w:val="22"/>
        </w:rPr>
        <w:t>Vyvgart</w:t>
      </w:r>
      <w:r w:rsidRPr="00EB0483">
        <w:rPr>
          <w:szCs w:val="22"/>
        </w:rPr>
        <w:t>, a neonatal Fc receptor (</w:t>
      </w:r>
      <w:proofErr w:type="spellStart"/>
      <w:r w:rsidRPr="00EB0483">
        <w:rPr>
          <w:szCs w:val="22"/>
        </w:rPr>
        <w:t>FcRn</w:t>
      </w:r>
      <w:proofErr w:type="spellEnd"/>
      <w:r w:rsidRPr="00EB0483">
        <w:rPr>
          <w:szCs w:val="22"/>
        </w:rPr>
        <w:t xml:space="preserve">) antagonist, for the treatment of </w:t>
      </w:r>
      <w:proofErr w:type="spellStart"/>
      <w:r w:rsidRPr="00EB0483">
        <w:rPr>
          <w:szCs w:val="22"/>
        </w:rPr>
        <w:t>gMG</w:t>
      </w:r>
      <w:proofErr w:type="spellEnd"/>
      <w:r w:rsidRPr="00EB0483">
        <w:rPr>
          <w:szCs w:val="22"/>
        </w:rPr>
        <w:t xml:space="preserve"> in adult patients. V</w:t>
      </w:r>
      <w:r w:rsidR="00917746" w:rsidRPr="00EB0483">
        <w:rPr>
          <w:szCs w:val="22"/>
        </w:rPr>
        <w:t>yvgart</w:t>
      </w:r>
      <w:r w:rsidRPr="00EB0483">
        <w:rPr>
          <w:szCs w:val="22"/>
        </w:rPr>
        <w:t xml:space="preserve"> is supplied as a 20 mg/mL concentrated injection for intravenous infusion, to be administered at 10 mg/kg, as 1 h intravenous infusions in cycles of once weekly for 4 weeks. It is also available as a 180 mg/mL solution for injection for subcutaneous use, which contains permeation enhancer recombinant human hyaluronidase (rHuPH20) and is to be administered at a dose of 1000 mg in cycles of once weekly for 4 weeks. Duration was not specified but V</w:t>
      </w:r>
      <w:r w:rsidR="00917746" w:rsidRPr="00EB0483">
        <w:rPr>
          <w:szCs w:val="22"/>
        </w:rPr>
        <w:t>yvgart</w:t>
      </w:r>
      <w:r w:rsidRPr="00EB0483">
        <w:rPr>
          <w:szCs w:val="22"/>
        </w:rPr>
        <w:t xml:space="preserve"> is likely to be used intermittently.</w:t>
      </w:r>
    </w:p>
    <w:p w14:paraId="3A3C716B" w14:textId="77777777" w:rsidR="003B2409" w:rsidRPr="00EB0483" w:rsidRDefault="003B2409" w:rsidP="00EB0483">
      <w:pPr>
        <w:pStyle w:val="ListBullet"/>
        <w:numPr>
          <w:ilvl w:val="0"/>
          <w:numId w:val="31"/>
        </w:numPr>
        <w:ind w:left="357" w:hanging="357"/>
        <w:rPr>
          <w:szCs w:val="22"/>
        </w:rPr>
      </w:pPr>
      <w:r w:rsidRPr="00EB0483">
        <w:rPr>
          <w:szCs w:val="22"/>
        </w:rPr>
        <w:t>The submitted Module 4 dossier was in accordance with the relevant ICH guideline for the nonclinical assessment of biological medicines (ICH S6). The overall quality of the nonclinical dossier was high. All pivotal safety-related studies were GLP compliant.</w:t>
      </w:r>
    </w:p>
    <w:p w14:paraId="3BD7DB55" w14:textId="422DEC80" w:rsidR="003B2409" w:rsidRPr="00EB0483" w:rsidRDefault="003B2409" w:rsidP="00EB0483">
      <w:pPr>
        <w:pStyle w:val="ListBullet"/>
        <w:numPr>
          <w:ilvl w:val="0"/>
          <w:numId w:val="31"/>
        </w:numPr>
        <w:ind w:left="357" w:hanging="357"/>
        <w:rPr>
          <w:szCs w:val="22"/>
        </w:rPr>
      </w:pPr>
      <w:r w:rsidRPr="00EB0483">
        <w:rPr>
          <w:szCs w:val="22"/>
        </w:rPr>
        <w:t xml:space="preserve">Efgartigimod is designed to compete with endogenous immunoglobulin (IgG) binding to </w:t>
      </w:r>
      <w:proofErr w:type="spellStart"/>
      <w:r w:rsidRPr="00EB0483">
        <w:rPr>
          <w:szCs w:val="22"/>
        </w:rPr>
        <w:t>FcRn</w:t>
      </w:r>
      <w:proofErr w:type="spellEnd"/>
      <w:r w:rsidRPr="00EB0483">
        <w:rPr>
          <w:szCs w:val="22"/>
        </w:rPr>
        <w:t xml:space="preserve"> at both acidic and neutral </w:t>
      </w:r>
      <w:proofErr w:type="spellStart"/>
      <w:r w:rsidRPr="00EB0483">
        <w:rPr>
          <w:szCs w:val="22"/>
        </w:rPr>
        <w:t>pH.</w:t>
      </w:r>
      <w:proofErr w:type="spellEnd"/>
      <w:r w:rsidRPr="00EB0483">
        <w:rPr>
          <w:szCs w:val="22"/>
        </w:rPr>
        <w:t xml:space="preserve"> </w:t>
      </w:r>
      <w:proofErr w:type="spellStart"/>
      <w:r w:rsidRPr="00EB0483">
        <w:rPr>
          <w:szCs w:val="22"/>
        </w:rPr>
        <w:t>IgGs</w:t>
      </w:r>
      <w:proofErr w:type="spellEnd"/>
      <w:r w:rsidRPr="00EB0483">
        <w:rPr>
          <w:szCs w:val="22"/>
        </w:rPr>
        <w:t xml:space="preserve"> do not bind with </w:t>
      </w:r>
      <w:proofErr w:type="spellStart"/>
      <w:r w:rsidRPr="00EB0483">
        <w:rPr>
          <w:szCs w:val="22"/>
        </w:rPr>
        <w:t>FcRn</w:t>
      </w:r>
      <w:proofErr w:type="spellEnd"/>
      <w:r w:rsidRPr="00EB0483">
        <w:rPr>
          <w:szCs w:val="22"/>
        </w:rPr>
        <w:t xml:space="preserve"> at neutral </w:t>
      </w:r>
      <w:proofErr w:type="spellStart"/>
      <w:r w:rsidRPr="00EB0483">
        <w:rPr>
          <w:szCs w:val="22"/>
        </w:rPr>
        <w:t>pH.</w:t>
      </w:r>
      <w:proofErr w:type="spellEnd"/>
      <w:r w:rsidRPr="00EB0483">
        <w:rPr>
          <w:szCs w:val="22"/>
        </w:rPr>
        <w:t xml:space="preserve"> Efgartigimod affinity for human </w:t>
      </w:r>
      <w:proofErr w:type="spellStart"/>
      <w:r w:rsidRPr="00EB0483">
        <w:rPr>
          <w:szCs w:val="22"/>
        </w:rPr>
        <w:t>FcRn</w:t>
      </w:r>
      <w:proofErr w:type="spellEnd"/>
      <w:r w:rsidRPr="00EB0483">
        <w:rPr>
          <w:szCs w:val="22"/>
        </w:rPr>
        <w:t xml:space="preserve"> exceeded that of wild-type Fc at pH 6.0, while at neutral pH (pH 7.4) only efgartigimod maintained affinity for </w:t>
      </w:r>
      <w:proofErr w:type="spellStart"/>
      <w:r w:rsidRPr="00EB0483">
        <w:rPr>
          <w:szCs w:val="22"/>
        </w:rPr>
        <w:t>FcRn</w:t>
      </w:r>
      <w:proofErr w:type="spellEnd"/>
      <w:r w:rsidRPr="00EB0483">
        <w:rPr>
          <w:szCs w:val="22"/>
        </w:rPr>
        <w:t xml:space="preserve"> at clinically relevant concentrations. Efgartigimod cross-reactivity for rat and monkey </w:t>
      </w:r>
      <w:proofErr w:type="spellStart"/>
      <w:r w:rsidRPr="00EB0483">
        <w:rPr>
          <w:szCs w:val="22"/>
        </w:rPr>
        <w:t>FcRn</w:t>
      </w:r>
      <w:proofErr w:type="spellEnd"/>
      <w:r w:rsidRPr="00EB0483">
        <w:rPr>
          <w:szCs w:val="22"/>
        </w:rPr>
        <w:t xml:space="preserve"> was comparable to human </w:t>
      </w:r>
      <w:proofErr w:type="spellStart"/>
      <w:r w:rsidRPr="00EB0483">
        <w:rPr>
          <w:szCs w:val="22"/>
        </w:rPr>
        <w:t>FcRn</w:t>
      </w:r>
      <w:proofErr w:type="spellEnd"/>
      <w:r w:rsidRPr="00EB0483">
        <w:rPr>
          <w:szCs w:val="22"/>
        </w:rPr>
        <w:t xml:space="preserve">, supporting their use in pharmacology and toxicity assessments. In vivo, efgartigimod reduced serum levels of endogenous IgG in mice, rats, monkeys and rabbits, as well as rodent models of disease (i.e. inducing disease by infusing </w:t>
      </w:r>
      <w:proofErr w:type="spellStart"/>
      <w:r w:rsidRPr="00EB0483">
        <w:rPr>
          <w:szCs w:val="22"/>
        </w:rPr>
        <w:t>IgGs</w:t>
      </w:r>
      <w:proofErr w:type="spellEnd"/>
      <w:r w:rsidRPr="00EB0483">
        <w:rPr>
          <w:szCs w:val="22"/>
        </w:rPr>
        <w:t xml:space="preserve"> from MG patients). Primary pharmacology studies adequately demonstrated efficacy for the proposed indication.</w:t>
      </w:r>
    </w:p>
    <w:p w14:paraId="63060DF7" w14:textId="3344B2A8" w:rsidR="003B2409" w:rsidRPr="00EB0483" w:rsidRDefault="003B2409" w:rsidP="00EB0483">
      <w:pPr>
        <w:pStyle w:val="ListBullet"/>
        <w:numPr>
          <w:ilvl w:val="0"/>
          <w:numId w:val="31"/>
        </w:numPr>
        <w:ind w:left="357" w:hanging="357"/>
        <w:rPr>
          <w:szCs w:val="22"/>
        </w:rPr>
      </w:pPr>
      <w:r w:rsidRPr="00EB0483">
        <w:rPr>
          <w:szCs w:val="22"/>
        </w:rPr>
        <w:t>For secondary pharmacology assessments, efgartigimod was shown to bind to Fc</w:t>
      </w:r>
      <w:r w:rsidR="009771D0" w:rsidRPr="00EB0483">
        <w:rPr>
          <w:szCs w:val="22"/>
        </w:rPr>
        <w:t xml:space="preserve"> </w:t>
      </w:r>
      <w:r w:rsidRPr="00EB0483">
        <w:rPr>
          <w:szCs w:val="22"/>
        </w:rPr>
        <w:t>gamma receptors (</w:t>
      </w:r>
      <w:proofErr w:type="spellStart"/>
      <w:r w:rsidRPr="00EB0483">
        <w:rPr>
          <w:szCs w:val="22"/>
        </w:rPr>
        <w:t>FcγRs</w:t>
      </w:r>
      <w:proofErr w:type="spellEnd"/>
      <w:r w:rsidRPr="00EB0483">
        <w:rPr>
          <w:szCs w:val="22"/>
        </w:rPr>
        <w:t xml:space="preserve">) at concentrations at least 10-fold above those expected clinically: thus, effector functions mediated by </w:t>
      </w:r>
      <w:proofErr w:type="spellStart"/>
      <w:r w:rsidRPr="00EB0483">
        <w:rPr>
          <w:szCs w:val="22"/>
        </w:rPr>
        <w:t>FcγRs</w:t>
      </w:r>
      <w:proofErr w:type="spellEnd"/>
      <w:r w:rsidRPr="00EB0483">
        <w:rPr>
          <w:szCs w:val="22"/>
        </w:rPr>
        <w:t xml:space="preserve"> (e.g. ADCC and CDC) are unlikely to contribute to the pharmacological actions of efgartigimod. Efgartigimod did not affect serum albumin or circulating levels of IgA or IgM in animal studies. In vitro, using human and monkey tissue panels, efgartigimod-specific binding was localised to areas known to contain </w:t>
      </w:r>
      <w:proofErr w:type="spellStart"/>
      <w:r w:rsidRPr="00EB0483">
        <w:rPr>
          <w:szCs w:val="22"/>
        </w:rPr>
        <w:t>FcRn</w:t>
      </w:r>
      <w:proofErr w:type="spellEnd"/>
      <w:r w:rsidRPr="00EB0483">
        <w:rPr>
          <w:szCs w:val="22"/>
        </w:rPr>
        <w:t>, namely epithelial and endothelial cells of various tissues.</w:t>
      </w:r>
    </w:p>
    <w:p w14:paraId="7A529E82" w14:textId="77777777" w:rsidR="003B2409" w:rsidRPr="00EB0483" w:rsidRDefault="003B2409" w:rsidP="00EB0483">
      <w:pPr>
        <w:pStyle w:val="ListBullet"/>
        <w:numPr>
          <w:ilvl w:val="0"/>
          <w:numId w:val="31"/>
        </w:numPr>
        <w:ind w:left="357" w:hanging="357"/>
        <w:rPr>
          <w:szCs w:val="22"/>
        </w:rPr>
      </w:pPr>
      <w:r w:rsidRPr="00EB0483">
        <w:rPr>
          <w:szCs w:val="22"/>
        </w:rPr>
        <w:t>Safety pharmacology assessments covered the cardiovascular, respiratory and central nervous systems, which were incorporated in GLP toxicity studies in rats and monkeys. No significant findings were observed in any of the studies, at sufficiently high systemic exposures. Thus, adverse effects on organ system functions of the CNS, cardiovascular or respiratory systems are not expected during clinical use of efgartigimod.</w:t>
      </w:r>
    </w:p>
    <w:p w14:paraId="4E97E300" w14:textId="77777777" w:rsidR="003B2409" w:rsidRPr="00EB0483" w:rsidRDefault="003B2409" w:rsidP="00EB0483">
      <w:pPr>
        <w:pStyle w:val="ListBullet"/>
        <w:numPr>
          <w:ilvl w:val="0"/>
          <w:numId w:val="31"/>
        </w:numPr>
        <w:ind w:left="357" w:hanging="357"/>
        <w:rPr>
          <w:szCs w:val="22"/>
        </w:rPr>
      </w:pPr>
      <w:r w:rsidRPr="00EB0483">
        <w:rPr>
          <w:szCs w:val="22"/>
        </w:rPr>
        <w:t xml:space="preserve">The pharmacokinetic profile of efgartigimod in animals (particularly monkeys) was qualitatively similar to that of humans. Both intravenous and subcutaneous dosing resulted in dose-proportional increases in AUC and </w:t>
      </w:r>
      <w:proofErr w:type="spellStart"/>
      <w:r w:rsidRPr="00EB0483">
        <w:rPr>
          <w:szCs w:val="22"/>
        </w:rPr>
        <w:t>Cmax</w:t>
      </w:r>
      <w:proofErr w:type="spellEnd"/>
      <w:r w:rsidRPr="00EB0483">
        <w:rPr>
          <w:szCs w:val="22"/>
        </w:rPr>
        <w:t xml:space="preserve">. Bioavailability of subcutaneous efgartigimod was similar in monkeys and humans. Higher than expected clearance typical for an IgG was attributed to interference of </w:t>
      </w:r>
      <w:proofErr w:type="spellStart"/>
      <w:r w:rsidRPr="00EB0483">
        <w:rPr>
          <w:szCs w:val="22"/>
        </w:rPr>
        <w:t>FcRn</w:t>
      </w:r>
      <w:proofErr w:type="spellEnd"/>
      <w:r w:rsidRPr="00EB0483">
        <w:rPr>
          <w:szCs w:val="22"/>
        </w:rPr>
        <w:t xml:space="preserve">-mediated recycling. The inclusion of permeation enhancer rHuPH20 in subcutaneous dosing augmented serum concentrations of efgartigimod (as </w:t>
      </w:r>
      <w:proofErr w:type="spellStart"/>
      <w:r w:rsidRPr="00EB0483">
        <w:rPr>
          <w:szCs w:val="22"/>
        </w:rPr>
        <w:t>Cmax</w:t>
      </w:r>
      <w:proofErr w:type="spellEnd"/>
      <w:r w:rsidRPr="00EB0483">
        <w:rPr>
          <w:szCs w:val="22"/>
        </w:rPr>
        <w:t xml:space="preserve"> or AUC). Distribution was not assessed but as an IgG Fc fragment, efgartigimod distribution is expected to be limited to vascular compartments. Efgartigimod is likely catabolised into smaller peptides and/or individual amino acids, via well-understood degradation pathways, and excreted or recycled. However, due to the relatively small peptide size of efgartigimod, low levels may also be excreted renally.</w:t>
      </w:r>
    </w:p>
    <w:p w14:paraId="33EC67EB" w14:textId="77777777" w:rsidR="003B2409" w:rsidRPr="00334CC9" w:rsidRDefault="003B2409" w:rsidP="00334CC9">
      <w:pPr>
        <w:pStyle w:val="ListBullet"/>
        <w:numPr>
          <w:ilvl w:val="0"/>
          <w:numId w:val="31"/>
        </w:numPr>
        <w:ind w:left="357" w:hanging="357"/>
        <w:rPr>
          <w:szCs w:val="22"/>
        </w:rPr>
      </w:pPr>
      <w:r w:rsidRPr="00334CC9">
        <w:rPr>
          <w:szCs w:val="22"/>
        </w:rPr>
        <w:t xml:space="preserve">Due to its pharmacological mode of action on </w:t>
      </w:r>
      <w:proofErr w:type="spellStart"/>
      <w:r w:rsidRPr="00334CC9">
        <w:rPr>
          <w:szCs w:val="22"/>
        </w:rPr>
        <w:t>FcRn</w:t>
      </w:r>
      <w:proofErr w:type="spellEnd"/>
      <w:r w:rsidRPr="00334CC9">
        <w:rPr>
          <w:szCs w:val="22"/>
        </w:rPr>
        <w:t>, efgartigimod may affect elimination of monoclonal antibody products or other immunoglobulin therapies such as IVIg.</w:t>
      </w:r>
    </w:p>
    <w:p w14:paraId="422F2702" w14:textId="77777777" w:rsidR="003B2409" w:rsidRPr="00334CC9" w:rsidRDefault="003B2409" w:rsidP="00334CC9">
      <w:pPr>
        <w:pStyle w:val="ListBullet"/>
        <w:numPr>
          <w:ilvl w:val="0"/>
          <w:numId w:val="31"/>
        </w:numPr>
        <w:ind w:left="357" w:hanging="357"/>
        <w:rPr>
          <w:szCs w:val="22"/>
        </w:rPr>
      </w:pPr>
      <w:r w:rsidRPr="00334CC9">
        <w:rPr>
          <w:szCs w:val="22"/>
        </w:rPr>
        <w:t>Efgartigimod alfa had a low to moderate order of acute oral toxicity in cynomolgus monkeys.</w:t>
      </w:r>
    </w:p>
    <w:p w14:paraId="25F84641" w14:textId="77777777" w:rsidR="003B2409" w:rsidRPr="00334CC9" w:rsidRDefault="003B2409" w:rsidP="00334CC9">
      <w:pPr>
        <w:pStyle w:val="ListBullet"/>
        <w:numPr>
          <w:ilvl w:val="0"/>
          <w:numId w:val="31"/>
        </w:numPr>
        <w:ind w:left="357" w:hanging="357"/>
        <w:rPr>
          <w:szCs w:val="22"/>
        </w:rPr>
      </w:pPr>
      <w:r w:rsidRPr="00334CC9">
        <w:rPr>
          <w:szCs w:val="22"/>
        </w:rPr>
        <w:t xml:space="preserve">Repeat-dose toxicity studies using the IV formulation of efgartigimod were conducted in rats (4 weeks) and monkeys (up to 26 weeks). Maximum exposures (AUC) in monkeys were </w:t>
      </w:r>
      <w:r w:rsidRPr="00334CC9">
        <w:rPr>
          <w:szCs w:val="22"/>
        </w:rPr>
        <w:lastRenderedPageBreak/>
        <w:t>higher when once every 2 days dosing was used cf. once weekly. Efgartigimod was well tolerated in both rats and monkeys, with minimal or sporadic findings of uncertain relevance to treatment. A 12-week bridging study in monkeys using subcutaneous dosing with or without permeation enhance rHuPH20 did not uncover any new toxicities, with treatment reasonably well tolerated. Observations were limited to injection site findings that were minimal to mild in severity (transient swelling at the injection site, presence of inflammatory infiltrates), which resolved following a 12-week recovery period.</w:t>
      </w:r>
    </w:p>
    <w:p w14:paraId="40ABECE0" w14:textId="77777777" w:rsidR="003B2409" w:rsidRPr="00334CC9" w:rsidRDefault="003B2409" w:rsidP="00334CC9">
      <w:pPr>
        <w:pStyle w:val="ListBullet"/>
        <w:numPr>
          <w:ilvl w:val="0"/>
          <w:numId w:val="31"/>
        </w:numPr>
        <w:ind w:left="357" w:hanging="357"/>
        <w:rPr>
          <w:szCs w:val="22"/>
        </w:rPr>
      </w:pPr>
      <w:r w:rsidRPr="00334CC9">
        <w:rPr>
          <w:szCs w:val="22"/>
        </w:rPr>
        <w:t>As a biotechnology product, efgartigimod is not expected to interact with genetic material; thus, genotoxicity studies were not performed or required. In lieu of carcinogenicity studies, the sponsor provided a carcinogenicity risk assessment in which the weight of evidence indicates a low risk of carcinogenicity by efgartigimod.</w:t>
      </w:r>
    </w:p>
    <w:p w14:paraId="1EAB2F3C" w14:textId="77777777" w:rsidR="003B2409" w:rsidRPr="00334CC9" w:rsidRDefault="003B2409" w:rsidP="00334CC9">
      <w:pPr>
        <w:pStyle w:val="ListBullet"/>
        <w:numPr>
          <w:ilvl w:val="0"/>
          <w:numId w:val="31"/>
        </w:numPr>
        <w:ind w:left="357" w:hanging="357"/>
        <w:rPr>
          <w:szCs w:val="22"/>
        </w:rPr>
      </w:pPr>
      <w:r w:rsidRPr="00334CC9">
        <w:rPr>
          <w:szCs w:val="22"/>
        </w:rPr>
        <w:t xml:space="preserve">Fertility assessments in male and female rats did not identify any adverse effects on fertility by efgartigimod at doses up to 100 mg/kg/day IV. There was also no evidence of embryofetal harm (i.e. embryo/fetotoxicity, malformations or variations) at these doses in rats and rabbits, or of any treatment-related findings on gestation, parturition, pup viability, survival and growth, and on behavioural, motor and neurological parameters in the rat pre-/postnatal development study. </w:t>
      </w:r>
      <w:proofErr w:type="spellStart"/>
      <w:r w:rsidRPr="00334CC9">
        <w:rPr>
          <w:szCs w:val="22"/>
        </w:rPr>
        <w:t>FcRn</w:t>
      </w:r>
      <w:proofErr w:type="spellEnd"/>
      <w:r w:rsidRPr="00334CC9">
        <w:rPr>
          <w:szCs w:val="22"/>
        </w:rPr>
        <w:t xml:space="preserve"> is involved in placental transfer of maternal antibodies/IgG to the </w:t>
      </w:r>
      <w:proofErr w:type="spellStart"/>
      <w:r w:rsidRPr="00334CC9">
        <w:rPr>
          <w:szCs w:val="22"/>
        </w:rPr>
        <w:t>fetus</w:t>
      </w:r>
      <w:proofErr w:type="spellEnd"/>
      <w:r w:rsidRPr="00334CC9">
        <w:rPr>
          <w:szCs w:val="22"/>
        </w:rPr>
        <w:t>: thus, through a pharmacologically mediated action, efgartigimod may reduce the transfer of maternal antibodies and impair acquired immunity in infants.</w:t>
      </w:r>
    </w:p>
    <w:p w14:paraId="283FCCD1" w14:textId="77777777" w:rsidR="003B2409" w:rsidRPr="00334CC9" w:rsidRDefault="003B2409" w:rsidP="00334CC9">
      <w:pPr>
        <w:pStyle w:val="ListBullet"/>
        <w:numPr>
          <w:ilvl w:val="0"/>
          <w:numId w:val="31"/>
        </w:numPr>
        <w:ind w:left="357" w:hanging="357"/>
        <w:rPr>
          <w:szCs w:val="22"/>
        </w:rPr>
      </w:pPr>
      <w:r w:rsidRPr="00334CC9">
        <w:rPr>
          <w:szCs w:val="22"/>
        </w:rPr>
        <w:t>Studies in rabbits and monkeys did not raise any concerns about the local tolerability of efgartigimod administered intravenously or subcutaneously.</w:t>
      </w:r>
    </w:p>
    <w:p w14:paraId="32A1345C" w14:textId="77777777" w:rsidR="003B2409" w:rsidRPr="00334CC9" w:rsidRDefault="003B2409" w:rsidP="00334CC9">
      <w:pPr>
        <w:pStyle w:val="ListBullet"/>
        <w:numPr>
          <w:ilvl w:val="0"/>
          <w:numId w:val="31"/>
        </w:numPr>
        <w:ind w:left="357" w:hanging="357"/>
        <w:rPr>
          <w:szCs w:val="22"/>
        </w:rPr>
      </w:pPr>
      <w:r w:rsidRPr="00334CC9">
        <w:rPr>
          <w:szCs w:val="22"/>
        </w:rPr>
        <w:t xml:space="preserve">Lymphocyte typing conducted in toxicity studies and a dedicated study in monkeys assessing the T-cell dependent antibody response (TDAR) to antigen keyhole limpet </w:t>
      </w:r>
      <w:proofErr w:type="spellStart"/>
      <w:r w:rsidRPr="00334CC9">
        <w:rPr>
          <w:szCs w:val="22"/>
        </w:rPr>
        <w:t>haemocyanin</w:t>
      </w:r>
      <w:proofErr w:type="spellEnd"/>
      <w:r w:rsidRPr="00334CC9">
        <w:rPr>
          <w:szCs w:val="22"/>
        </w:rPr>
        <w:t xml:space="preserve"> (KLH) indicated that efgartigimod is unlikely to interfere with immune responses.</w:t>
      </w:r>
    </w:p>
    <w:p w14:paraId="6D627D5E" w14:textId="0FB7406B" w:rsidR="003B2409" w:rsidRDefault="003B2409" w:rsidP="00463F5C">
      <w:r>
        <w:t>Nonclinical</w:t>
      </w:r>
      <w:r w:rsidRPr="00463F5C">
        <w:t xml:space="preserve"> </w:t>
      </w:r>
      <w:r>
        <w:t>evaluator</w:t>
      </w:r>
      <w:r w:rsidRPr="00463F5C">
        <w:t xml:space="preserve"> </w:t>
      </w:r>
      <w:r>
        <w:t>conclusions</w:t>
      </w:r>
      <w:r w:rsidRPr="00463F5C">
        <w:t xml:space="preserve"> </w:t>
      </w:r>
      <w:r>
        <w:t>following</w:t>
      </w:r>
      <w:r w:rsidRPr="00463F5C">
        <w:t xml:space="preserve"> </w:t>
      </w:r>
      <w:r>
        <w:t>first-round</w:t>
      </w:r>
      <w:r w:rsidRPr="00463F5C">
        <w:t xml:space="preserve"> evaluation</w:t>
      </w:r>
      <w:r w:rsidR="009434EC">
        <w:t xml:space="preserve"> included the following.</w:t>
      </w:r>
    </w:p>
    <w:p w14:paraId="76707814" w14:textId="77777777" w:rsidR="003B2409" w:rsidRPr="00334CC9" w:rsidRDefault="003B2409" w:rsidP="00334CC9">
      <w:pPr>
        <w:pStyle w:val="ListBullet"/>
        <w:numPr>
          <w:ilvl w:val="0"/>
          <w:numId w:val="31"/>
        </w:numPr>
        <w:ind w:left="357" w:hanging="357"/>
        <w:rPr>
          <w:szCs w:val="22"/>
        </w:rPr>
      </w:pPr>
      <w:r w:rsidRPr="00334CC9">
        <w:rPr>
          <w:szCs w:val="22"/>
        </w:rPr>
        <w:t>Primary pharmacology studies support the use of efgartigimod for the proposed indication.</w:t>
      </w:r>
    </w:p>
    <w:p w14:paraId="53BB9E10" w14:textId="77777777" w:rsidR="003B2409" w:rsidRPr="00334CC9" w:rsidRDefault="003B2409" w:rsidP="00334CC9">
      <w:pPr>
        <w:pStyle w:val="ListBullet"/>
        <w:numPr>
          <w:ilvl w:val="0"/>
          <w:numId w:val="31"/>
        </w:numPr>
        <w:ind w:left="357" w:hanging="357"/>
        <w:rPr>
          <w:szCs w:val="22"/>
        </w:rPr>
      </w:pPr>
      <w:r w:rsidRPr="00334CC9">
        <w:rPr>
          <w:szCs w:val="22"/>
        </w:rPr>
        <w:t>No clinically relevant off-target or organ system hazards were identified.</w:t>
      </w:r>
    </w:p>
    <w:p w14:paraId="5FAB9CF5" w14:textId="77777777" w:rsidR="003B2409" w:rsidRPr="00334CC9" w:rsidRDefault="003B2409" w:rsidP="00334CC9">
      <w:pPr>
        <w:pStyle w:val="ListBullet"/>
        <w:numPr>
          <w:ilvl w:val="0"/>
          <w:numId w:val="31"/>
        </w:numPr>
        <w:ind w:left="357" w:hanging="357"/>
        <w:rPr>
          <w:szCs w:val="22"/>
        </w:rPr>
      </w:pPr>
      <w:r w:rsidRPr="00334CC9">
        <w:rPr>
          <w:szCs w:val="22"/>
        </w:rPr>
        <w:t>Efgartigimod was well-tolerated in rats and monkeys when administered via the intravenous route (and the subcutaneous route when assessed in the latter).</w:t>
      </w:r>
    </w:p>
    <w:p w14:paraId="55B15857" w14:textId="77777777" w:rsidR="003B2409" w:rsidRPr="00334CC9" w:rsidRDefault="003B2409" w:rsidP="00334CC9">
      <w:pPr>
        <w:pStyle w:val="ListBullet"/>
        <w:numPr>
          <w:ilvl w:val="0"/>
          <w:numId w:val="31"/>
        </w:numPr>
        <w:ind w:left="357" w:hanging="357"/>
        <w:rPr>
          <w:szCs w:val="22"/>
        </w:rPr>
      </w:pPr>
      <w:r w:rsidRPr="00334CC9">
        <w:rPr>
          <w:szCs w:val="22"/>
        </w:rPr>
        <w:t xml:space="preserve">The proposed pregnancy category should be revised from B1 to C, due to the role of </w:t>
      </w:r>
      <w:proofErr w:type="spellStart"/>
      <w:r w:rsidRPr="00334CC9">
        <w:rPr>
          <w:szCs w:val="22"/>
        </w:rPr>
        <w:t>FcRn</w:t>
      </w:r>
      <w:proofErr w:type="spellEnd"/>
      <w:r w:rsidRPr="00334CC9">
        <w:rPr>
          <w:szCs w:val="22"/>
        </w:rPr>
        <w:t xml:space="preserve"> in placental transfer of maternal antibodies to the </w:t>
      </w:r>
      <w:proofErr w:type="spellStart"/>
      <w:r w:rsidRPr="00334CC9">
        <w:rPr>
          <w:szCs w:val="22"/>
        </w:rPr>
        <w:t>fetus</w:t>
      </w:r>
      <w:proofErr w:type="spellEnd"/>
      <w:r w:rsidRPr="00334CC9">
        <w:rPr>
          <w:szCs w:val="22"/>
        </w:rPr>
        <w:t xml:space="preserve"> and potential for impairments to neonatal passive immunity.</w:t>
      </w:r>
    </w:p>
    <w:p w14:paraId="0F96ECAE" w14:textId="77777777" w:rsidR="003B2409" w:rsidRDefault="003B2409" w:rsidP="00334CC9">
      <w:pPr>
        <w:pStyle w:val="ListBullet"/>
        <w:numPr>
          <w:ilvl w:val="0"/>
          <w:numId w:val="31"/>
        </w:numPr>
        <w:ind w:left="357" w:hanging="357"/>
      </w:pPr>
      <w:r w:rsidRPr="00334CC9">
        <w:rPr>
          <w:szCs w:val="22"/>
        </w:rPr>
        <w:t>There are no nonclinical objections to registration of efgartigimod (VYVGART) for the proposed indication</w:t>
      </w:r>
      <w:r>
        <w:t>.</w:t>
      </w:r>
    </w:p>
    <w:p w14:paraId="2C029858" w14:textId="77777777" w:rsidR="003B2409" w:rsidRDefault="003B2409" w:rsidP="007D597E">
      <w:pPr>
        <w:pStyle w:val="ListBullet"/>
        <w:numPr>
          <w:ilvl w:val="0"/>
          <w:numId w:val="31"/>
        </w:numPr>
        <w:ind w:left="357" w:hanging="357"/>
      </w:pPr>
      <w:r>
        <w:t>Amendments</w:t>
      </w:r>
      <w:r>
        <w:rPr>
          <w:spacing w:val="-6"/>
        </w:rPr>
        <w:t xml:space="preserve"> </w:t>
      </w:r>
      <w:r>
        <w:t>were</w:t>
      </w:r>
      <w:r>
        <w:rPr>
          <w:spacing w:val="-4"/>
        </w:rPr>
        <w:t xml:space="preserve"> </w:t>
      </w:r>
      <w:r>
        <w:t>requested</w:t>
      </w:r>
      <w:r>
        <w:rPr>
          <w:spacing w:val="-5"/>
        </w:rPr>
        <w:t xml:space="preserve"> </w:t>
      </w:r>
      <w:r>
        <w:t>to</w:t>
      </w:r>
      <w:r>
        <w:rPr>
          <w:spacing w:val="-4"/>
        </w:rPr>
        <w:t xml:space="preserve"> </w:t>
      </w:r>
      <w:r>
        <w:t>the</w:t>
      </w:r>
      <w:r>
        <w:rPr>
          <w:spacing w:val="-4"/>
        </w:rPr>
        <w:t xml:space="preserve"> </w:t>
      </w:r>
      <w:r>
        <w:t>draft</w:t>
      </w:r>
      <w:r>
        <w:rPr>
          <w:spacing w:val="-4"/>
        </w:rPr>
        <w:t xml:space="preserve"> </w:t>
      </w:r>
      <w:r>
        <w:rPr>
          <w:spacing w:val="-5"/>
        </w:rPr>
        <w:t>PI.</w:t>
      </w:r>
    </w:p>
    <w:p w14:paraId="7A9B263B" w14:textId="697C3662" w:rsidR="003B2409" w:rsidRDefault="003B2409" w:rsidP="00463F5C">
      <w:r>
        <w:t>In their response to first round evaluation, the sponsor respectfully disagreed</w:t>
      </w:r>
      <w:r w:rsidRPr="00463F5C">
        <w:t xml:space="preserve"> </w:t>
      </w:r>
      <w:r>
        <w:t>with</w:t>
      </w:r>
      <w:r w:rsidRPr="00463F5C">
        <w:t xml:space="preserve"> </w:t>
      </w:r>
      <w:r>
        <w:t>the</w:t>
      </w:r>
      <w:r w:rsidRPr="00463F5C">
        <w:t xml:space="preserve"> </w:t>
      </w:r>
      <w:r>
        <w:t>non-clinical</w:t>
      </w:r>
      <w:r w:rsidRPr="00463F5C">
        <w:t xml:space="preserve"> </w:t>
      </w:r>
      <w:r>
        <w:t>evaluator’s</w:t>
      </w:r>
      <w:r w:rsidRPr="00463F5C">
        <w:t xml:space="preserve"> </w:t>
      </w:r>
      <w:r>
        <w:t>recommendation</w:t>
      </w:r>
      <w:r w:rsidRPr="00463F5C">
        <w:t xml:space="preserve"> </w:t>
      </w:r>
      <w:r>
        <w:t>to</w:t>
      </w:r>
      <w:r w:rsidRPr="00463F5C">
        <w:t xml:space="preserve"> </w:t>
      </w:r>
      <w:r>
        <w:t>revise</w:t>
      </w:r>
      <w:r w:rsidRPr="00463F5C">
        <w:t xml:space="preserve"> </w:t>
      </w:r>
      <w:r>
        <w:t>the</w:t>
      </w:r>
      <w:r w:rsidRPr="00463F5C">
        <w:t xml:space="preserve"> </w:t>
      </w:r>
      <w:r>
        <w:t>pregnancy</w:t>
      </w:r>
      <w:r w:rsidRPr="00463F5C">
        <w:t xml:space="preserve"> </w:t>
      </w:r>
      <w:r>
        <w:t>category</w:t>
      </w:r>
      <w:r w:rsidRPr="00463F5C">
        <w:t xml:space="preserve"> </w:t>
      </w:r>
      <w:r>
        <w:t>to category C, and instead proposed category B2 as the most appropriate. The sponsor provided justification for their position that pregnancy category C is inappropriate, supported by published literature references</w:t>
      </w:r>
      <w:r w:rsidR="00BC3377">
        <w:t>.</w:t>
      </w:r>
    </w:p>
    <w:p w14:paraId="0B4EC9A6" w14:textId="77777777" w:rsidR="003B2409" w:rsidRDefault="003B2409" w:rsidP="00A23F51">
      <w:pPr>
        <w:spacing w:before="121"/>
      </w:pPr>
      <w:r>
        <w:t>After considering the sponsor’s response to first round evaluation, and justification for proposed</w:t>
      </w:r>
      <w:r w:rsidRPr="002C48D9">
        <w:t xml:space="preserve"> </w:t>
      </w:r>
      <w:r>
        <w:t>pregnancy</w:t>
      </w:r>
      <w:r w:rsidRPr="002C48D9">
        <w:t xml:space="preserve"> </w:t>
      </w:r>
      <w:r>
        <w:t>category</w:t>
      </w:r>
      <w:r w:rsidRPr="002C48D9">
        <w:t xml:space="preserve"> </w:t>
      </w:r>
      <w:r>
        <w:t>B2,</w:t>
      </w:r>
      <w:r w:rsidRPr="002C48D9">
        <w:t xml:space="preserve"> </w:t>
      </w:r>
      <w:r>
        <w:t>the</w:t>
      </w:r>
      <w:r w:rsidRPr="002C48D9">
        <w:t xml:space="preserve"> </w:t>
      </w:r>
      <w:r>
        <w:t>non-clinical</w:t>
      </w:r>
      <w:r w:rsidRPr="002C48D9">
        <w:t xml:space="preserve"> </w:t>
      </w:r>
      <w:r>
        <w:t>evaluator</w:t>
      </w:r>
      <w:r w:rsidRPr="002C48D9">
        <w:t xml:space="preserve"> </w:t>
      </w:r>
      <w:r>
        <w:t>did</w:t>
      </w:r>
      <w:r w:rsidRPr="002C48D9">
        <w:t xml:space="preserve"> </w:t>
      </w:r>
      <w:r>
        <w:t>not</w:t>
      </w:r>
      <w:r w:rsidRPr="002C48D9">
        <w:t xml:space="preserve"> </w:t>
      </w:r>
      <w:r>
        <w:t>support</w:t>
      </w:r>
      <w:r w:rsidRPr="002C48D9">
        <w:t xml:space="preserve"> </w:t>
      </w:r>
      <w:r>
        <w:t>the</w:t>
      </w:r>
      <w:r w:rsidRPr="002C48D9">
        <w:t xml:space="preserve"> </w:t>
      </w:r>
      <w:r>
        <w:t>proposal</w:t>
      </w:r>
      <w:r w:rsidRPr="002C48D9">
        <w:t xml:space="preserve"> </w:t>
      </w:r>
      <w:r>
        <w:t xml:space="preserve">for pregnancy category B2, maintaining that category C is appropriate due to the potential for efgartigimod to impair passive protection in the </w:t>
      </w:r>
      <w:proofErr w:type="spellStart"/>
      <w:r>
        <w:t>fetus</w:t>
      </w:r>
      <w:proofErr w:type="spellEnd"/>
      <w:r>
        <w:t xml:space="preserve"> and newborn.</w:t>
      </w:r>
    </w:p>
    <w:p w14:paraId="689A9F12" w14:textId="22E89085" w:rsidR="003B2409" w:rsidRDefault="003B2409" w:rsidP="00A23F51">
      <w:pPr>
        <w:spacing w:before="121"/>
      </w:pPr>
      <w:r>
        <w:lastRenderedPageBreak/>
        <w:t>With respect to the outstanding issue in PI wording, the non-clinical evaluator proposed amendments to exposure multiples used in Section 4.6 of the PI (Fertility, Pregnancy and Lactation), under the subheading ‘Effects on fertility’, on the basis that ‘</w:t>
      </w:r>
      <w:r>
        <w:rPr>
          <w:i/>
        </w:rPr>
        <w:t>exposure multiples calculated using clinical AUC values from CSR ARGX-113-1602 have been used, since those were obtained</w:t>
      </w:r>
      <w:r>
        <w:rPr>
          <w:i/>
          <w:spacing w:val="-3"/>
        </w:rPr>
        <w:t xml:space="preserve"> </w:t>
      </w:r>
      <w:r>
        <w:rPr>
          <w:i/>
        </w:rPr>
        <w:t>in</w:t>
      </w:r>
      <w:r>
        <w:rPr>
          <w:i/>
          <w:spacing w:val="-4"/>
        </w:rPr>
        <w:t xml:space="preserve"> </w:t>
      </w:r>
      <w:proofErr w:type="spellStart"/>
      <w:r>
        <w:rPr>
          <w:i/>
        </w:rPr>
        <w:t>gMG</w:t>
      </w:r>
      <w:proofErr w:type="spellEnd"/>
      <w:r>
        <w:rPr>
          <w:i/>
          <w:spacing w:val="-3"/>
        </w:rPr>
        <w:t xml:space="preserve"> </w:t>
      </w:r>
      <w:r>
        <w:rPr>
          <w:i/>
        </w:rPr>
        <w:t>patients</w:t>
      </w:r>
      <w:r>
        <w:rPr>
          <w:i/>
          <w:spacing w:val="-6"/>
        </w:rPr>
        <w:t xml:space="preserve"> </w:t>
      </w:r>
      <w:r>
        <w:rPr>
          <w:i/>
        </w:rPr>
        <w:t>and</w:t>
      </w:r>
      <w:r>
        <w:rPr>
          <w:i/>
          <w:spacing w:val="-3"/>
        </w:rPr>
        <w:t xml:space="preserve"> </w:t>
      </w:r>
      <w:r>
        <w:rPr>
          <w:i/>
        </w:rPr>
        <w:t>represented</w:t>
      </w:r>
      <w:r>
        <w:rPr>
          <w:i/>
          <w:spacing w:val="-3"/>
        </w:rPr>
        <w:t xml:space="preserve"> </w:t>
      </w:r>
      <w:r>
        <w:rPr>
          <w:i/>
        </w:rPr>
        <w:t>higher</w:t>
      </w:r>
      <w:r>
        <w:rPr>
          <w:i/>
          <w:spacing w:val="-2"/>
        </w:rPr>
        <w:t xml:space="preserve"> </w:t>
      </w:r>
      <w:r>
        <w:rPr>
          <w:i/>
        </w:rPr>
        <w:t>exposures</w:t>
      </w:r>
      <w:r>
        <w:rPr>
          <w:i/>
          <w:spacing w:val="-3"/>
        </w:rPr>
        <w:t xml:space="preserve"> </w:t>
      </w:r>
      <w:r>
        <w:rPr>
          <w:i/>
        </w:rPr>
        <w:t>than</w:t>
      </w:r>
      <w:r>
        <w:rPr>
          <w:i/>
          <w:spacing w:val="-4"/>
        </w:rPr>
        <w:t xml:space="preserve"> </w:t>
      </w:r>
      <w:r>
        <w:rPr>
          <w:i/>
        </w:rPr>
        <w:t>those</w:t>
      </w:r>
      <w:r>
        <w:rPr>
          <w:i/>
          <w:spacing w:val="-3"/>
        </w:rPr>
        <w:t xml:space="preserve"> </w:t>
      </w:r>
      <w:r>
        <w:rPr>
          <w:i/>
        </w:rPr>
        <w:t>from</w:t>
      </w:r>
      <w:r>
        <w:rPr>
          <w:i/>
          <w:spacing w:val="-2"/>
        </w:rPr>
        <w:t xml:space="preserve"> </w:t>
      </w:r>
      <w:r>
        <w:rPr>
          <w:i/>
        </w:rPr>
        <w:t>ARGX-113-1501</w:t>
      </w:r>
      <w:r>
        <w:rPr>
          <w:i/>
          <w:spacing w:val="-2"/>
        </w:rPr>
        <w:t xml:space="preserve"> </w:t>
      </w:r>
      <w:r>
        <w:rPr>
          <w:i/>
        </w:rPr>
        <w:t>used by the sponsor.</w:t>
      </w:r>
      <w:r>
        <w:t xml:space="preserve">’ In their response to </w:t>
      </w:r>
      <w:r w:rsidR="007071D4">
        <w:t xml:space="preserve">the </w:t>
      </w:r>
      <w:proofErr w:type="gramStart"/>
      <w:r>
        <w:t>first round</w:t>
      </w:r>
      <w:proofErr w:type="gramEnd"/>
      <w:r>
        <w:t xml:space="preserve"> evaluation, the sponsor proposed to retain the original exposure multiples, </w:t>
      </w:r>
      <w:proofErr w:type="gramStart"/>
      <w:r>
        <w:t>on the basis of</w:t>
      </w:r>
      <w:proofErr w:type="gramEnd"/>
      <w:r>
        <w:t xml:space="preserve"> maintaining consistency with the EU SmPC, particularly given that this application is a COR-B process based on EMA approval. The non-clinical evaluator did not accept this justification and maintained that the exposure multiples requested in first round evaluation should be retained.</w:t>
      </w:r>
    </w:p>
    <w:p w14:paraId="35B580A5" w14:textId="40B226DC" w:rsidR="00C22214" w:rsidRDefault="00C22214" w:rsidP="008804CF">
      <w:pPr>
        <w:pStyle w:val="Heading3"/>
      </w:pPr>
      <w:bookmarkStart w:id="55" w:name="_Toc247691530"/>
      <w:bookmarkStart w:id="56" w:name="_Toc314842513"/>
      <w:bookmarkStart w:id="57" w:name="_Toc103679297"/>
      <w:bookmarkStart w:id="58" w:name="_Toc225173548"/>
      <w:r>
        <w:t>Clinical</w:t>
      </w:r>
      <w:bookmarkEnd w:id="55"/>
      <w:bookmarkEnd w:id="56"/>
      <w:bookmarkEnd w:id="57"/>
      <w:r w:rsidR="00095C6A">
        <w:t xml:space="preserve"> evaluation summary</w:t>
      </w:r>
      <w:bookmarkEnd w:id="58"/>
    </w:p>
    <w:p w14:paraId="604AD23D" w14:textId="77777777" w:rsidR="00753AE5" w:rsidRDefault="00753AE5" w:rsidP="00753AE5">
      <w:pPr>
        <w:spacing w:before="121"/>
      </w:pPr>
      <w:r>
        <w:t>The clinical dossier included COR assessment documents and reports sufficient to meet TGA requirements for COR report-based applications, where the COR is the EMA. The dossier was comprised of EMA reports pertaining to two discrete EMA applications, namely the new biological entity application for efgartigimod alfa in the 400 mg/20 mL concentrated solution for intravenous infusion vial, and a separate application for extension of the marketing authorisation to register a new formulation, strength and route of administration, corresponding</w:t>
      </w:r>
      <w:r w:rsidRPr="00753AE5">
        <w:t xml:space="preserve"> </w:t>
      </w:r>
      <w:r>
        <w:t>to</w:t>
      </w:r>
      <w:r w:rsidRPr="00753AE5">
        <w:t xml:space="preserve"> </w:t>
      </w:r>
      <w:r>
        <w:t>the</w:t>
      </w:r>
      <w:r w:rsidRPr="00753AE5">
        <w:t xml:space="preserve"> </w:t>
      </w:r>
      <w:r>
        <w:t>1000</w:t>
      </w:r>
      <w:r w:rsidRPr="00753AE5">
        <w:t xml:space="preserve"> </w:t>
      </w:r>
      <w:r>
        <w:t>mg/5.6</w:t>
      </w:r>
      <w:r w:rsidRPr="00753AE5">
        <w:t xml:space="preserve"> </w:t>
      </w:r>
      <w:r>
        <w:t>mL</w:t>
      </w:r>
      <w:r w:rsidRPr="00753AE5">
        <w:t xml:space="preserve"> </w:t>
      </w:r>
      <w:r>
        <w:t>solution</w:t>
      </w:r>
      <w:r w:rsidRPr="00753AE5">
        <w:t xml:space="preserve"> </w:t>
      </w:r>
      <w:r>
        <w:t>for</w:t>
      </w:r>
      <w:r w:rsidRPr="00753AE5">
        <w:t xml:space="preserve"> </w:t>
      </w:r>
      <w:r>
        <w:t>injection</w:t>
      </w:r>
      <w:r w:rsidRPr="00753AE5">
        <w:t xml:space="preserve"> </w:t>
      </w:r>
      <w:r>
        <w:t>vial</w:t>
      </w:r>
      <w:r w:rsidRPr="00753AE5">
        <w:t xml:space="preserve"> </w:t>
      </w:r>
      <w:r>
        <w:t>formulation</w:t>
      </w:r>
      <w:r w:rsidRPr="00753AE5">
        <w:t xml:space="preserve"> </w:t>
      </w:r>
      <w:r>
        <w:t>for</w:t>
      </w:r>
      <w:r w:rsidRPr="00753AE5">
        <w:t xml:space="preserve"> </w:t>
      </w:r>
      <w:r>
        <w:t xml:space="preserve">subcutaneous </w:t>
      </w:r>
      <w:r w:rsidRPr="00753AE5">
        <w:t>use.</w:t>
      </w:r>
    </w:p>
    <w:p w14:paraId="5CF34C85" w14:textId="0531C7B3" w:rsidR="009876FE" w:rsidRDefault="009876FE" w:rsidP="005B4DF0">
      <w:pPr>
        <w:spacing w:before="121"/>
      </w:pPr>
      <w:r>
        <w:t>Clinical evaluation is based on the COR assessment reports</w:t>
      </w:r>
      <w:r w:rsidR="00A376A1">
        <w:t xml:space="preserve">, clinical study reports and </w:t>
      </w:r>
      <w:r w:rsidR="002E4B44">
        <w:t>clinical summaries</w:t>
      </w:r>
      <w:r w:rsidR="002E3073">
        <w:t xml:space="preserve">. </w:t>
      </w:r>
      <w:r>
        <w:t>The</w:t>
      </w:r>
      <w:r w:rsidRPr="005B4DF0">
        <w:t xml:space="preserve"> </w:t>
      </w:r>
      <w:r>
        <w:t>sponsor</w:t>
      </w:r>
      <w:r w:rsidRPr="005B4DF0">
        <w:t xml:space="preserve"> </w:t>
      </w:r>
      <w:r>
        <w:t>stated</w:t>
      </w:r>
      <w:r w:rsidRPr="005B4DF0">
        <w:t xml:space="preserve"> </w:t>
      </w:r>
      <w:r>
        <w:t>that</w:t>
      </w:r>
      <w:r w:rsidRPr="005B4DF0">
        <w:t xml:space="preserve"> </w:t>
      </w:r>
      <w:r>
        <w:t>studies</w:t>
      </w:r>
      <w:r w:rsidRPr="005B4DF0">
        <w:t xml:space="preserve"> </w:t>
      </w:r>
      <w:r>
        <w:t>used</w:t>
      </w:r>
      <w:r w:rsidRPr="005B4DF0">
        <w:t xml:space="preserve"> </w:t>
      </w:r>
      <w:r>
        <w:t>as</w:t>
      </w:r>
      <w:r w:rsidRPr="005B4DF0">
        <w:t xml:space="preserve"> </w:t>
      </w:r>
      <w:r>
        <w:t>the</w:t>
      </w:r>
      <w:r w:rsidRPr="005B4DF0">
        <w:t xml:space="preserve"> </w:t>
      </w:r>
      <w:r>
        <w:t>basis</w:t>
      </w:r>
      <w:r w:rsidRPr="005B4DF0">
        <w:t xml:space="preserve"> </w:t>
      </w:r>
      <w:r>
        <w:t>for</w:t>
      </w:r>
      <w:r w:rsidRPr="005B4DF0">
        <w:t xml:space="preserve"> </w:t>
      </w:r>
      <w:r>
        <w:t>clinical</w:t>
      </w:r>
      <w:r w:rsidRPr="005B4DF0">
        <w:t xml:space="preserve"> </w:t>
      </w:r>
      <w:r>
        <w:t>data</w:t>
      </w:r>
      <w:r w:rsidRPr="005B4DF0">
        <w:t xml:space="preserve"> </w:t>
      </w:r>
      <w:r>
        <w:t>in</w:t>
      </w:r>
      <w:r w:rsidRPr="005B4DF0">
        <w:t xml:space="preserve"> </w:t>
      </w:r>
      <w:r>
        <w:t>the dossier are compliant with Good Clinical Practice (GCP).</w:t>
      </w:r>
    </w:p>
    <w:p w14:paraId="7CCB7323" w14:textId="77777777" w:rsidR="009876FE" w:rsidRDefault="009876FE" w:rsidP="005B4DF0">
      <w:pPr>
        <w:spacing w:before="121"/>
      </w:pPr>
      <w:r>
        <w:t>The</w:t>
      </w:r>
      <w:r w:rsidRPr="005B4DF0">
        <w:t xml:space="preserve"> </w:t>
      </w:r>
      <w:r>
        <w:t>following</w:t>
      </w:r>
      <w:r w:rsidRPr="005B4DF0">
        <w:t xml:space="preserve"> </w:t>
      </w:r>
      <w:r>
        <w:t>sections</w:t>
      </w:r>
      <w:r w:rsidRPr="005B4DF0">
        <w:t xml:space="preserve"> </w:t>
      </w:r>
      <w:r>
        <w:t>will</w:t>
      </w:r>
      <w:r w:rsidRPr="005B4DF0">
        <w:t xml:space="preserve"> </w:t>
      </w:r>
      <w:r>
        <w:t>consider</w:t>
      </w:r>
      <w:r w:rsidRPr="005B4DF0">
        <w:t xml:space="preserve"> </w:t>
      </w:r>
      <w:r>
        <w:t>clinical</w:t>
      </w:r>
      <w:r w:rsidRPr="005B4DF0">
        <w:t xml:space="preserve"> </w:t>
      </w:r>
      <w:r>
        <w:t>data</w:t>
      </w:r>
      <w:r w:rsidRPr="005B4DF0">
        <w:t xml:space="preserve"> </w:t>
      </w:r>
      <w:r>
        <w:t>relevant</w:t>
      </w:r>
      <w:r w:rsidRPr="005B4DF0">
        <w:t xml:space="preserve"> </w:t>
      </w:r>
      <w:r>
        <w:t>to</w:t>
      </w:r>
      <w:r w:rsidRPr="005B4DF0">
        <w:t xml:space="preserve"> </w:t>
      </w:r>
      <w:r>
        <w:t>the</w:t>
      </w:r>
      <w:r w:rsidRPr="005B4DF0">
        <w:t xml:space="preserve"> </w:t>
      </w:r>
      <w:r>
        <w:t>400</w:t>
      </w:r>
      <w:r w:rsidRPr="005B4DF0">
        <w:t xml:space="preserve"> </w:t>
      </w:r>
      <w:r>
        <w:t>mg/20</w:t>
      </w:r>
      <w:r w:rsidRPr="005B4DF0">
        <w:t xml:space="preserve"> </w:t>
      </w:r>
      <w:r>
        <w:t>mL</w:t>
      </w:r>
      <w:r w:rsidRPr="005B4DF0">
        <w:t xml:space="preserve"> </w:t>
      </w:r>
      <w:r>
        <w:t>concentrated solution</w:t>
      </w:r>
      <w:r w:rsidRPr="005B4DF0">
        <w:t xml:space="preserve"> </w:t>
      </w:r>
      <w:r>
        <w:t>for</w:t>
      </w:r>
      <w:r w:rsidRPr="005B4DF0">
        <w:t xml:space="preserve"> </w:t>
      </w:r>
      <w:r>
        <w:t>intravenous</w:t>
      </w:r>
      <w:r w:rsidRPr="005B4DF0">
        <w:t xml:space="preserve"> </w:t>
      </w:r>
      <w:r>
        <w:t>infusion</w:t>
      </w:r>
      <w:r w:rsidRPr="005B4DF0">
        <w:t xml:space="preserve"> </w:t>
      </w:r>
      <w:r>
        <w:t>(hereafter</w:t>
      </w:r>
      <w:r w:rsidRPr="005B4DF0">
        <w:t xml:space="preserve"> </w:t>
      </w:r>
      <w:r>
        <w:t>referred</w:t>
      </w:r>
      <w:r w:rsidRPr="005B4DF0">
        <w:t xml:space="preserve"> </w:t>
      </w:r>
      <w:r>
        <w:t>to</w:t>
      </w:r>
      <w:r w:rsidRPr="005B4DF0">
        <w:t xml:space="preserve"> </w:t>
      </w:r>
      <w:r>
        <w:t>as</w:t>
      </w:r>
      <w:r w:rsidRPr="005B4DF0">
        <w:t xml:space="preserve"> </w:t>
      </w:r>
      <w:r>
        <w:t>‘IV</w:t>
      </w:r>
      <w:r w:rsidRPr="005B4DF0">
        <w:t xml:space="preserve"> </w:t>
      </w:r>
      <w:r>
        <w:t>formulation’)</w:t>
      </w:r>
      <w:r w:rsidRPr="005B4DF0">
        <w:t xml:space="preserve"> </w:t>
      </w:r>
      <w:r>
        <w:t>and</w:t>
      </w:r>
      <w:r w:rsidRPr="005B4DF0">
        <w:t xml:space="preserve"> </w:t>
      </w:r>
      <w:r>
        <w:t>1000</w:t>
      </w:r>
      <w:r w:rsidRPr="005B4DF0">
        <w:t xml:space="preserve"> </w:t>
      </w:r>
      <w:r>
        <w:t>mg/5.6 mL solution for injection for subcutaneous use (hereafter referred to as ‘SC formulation’) separately where appropriate, and collectively when clinical data is not specific to a single formulation, with headings for each subsection clarifying the approach for the reader.</w:t>
      </w:r>
    </w:p>
    <w:p w14:paraId="23527291" w14:textId="48E2A3E6" w:rsidR="009876FE" w:rsidRDefault="009876FE" w:rsidP="00DF343A">
      <w:pPr>
        <w:pStyle w:val="Heading5"/>
      </w:pPr>
      <w:bookmarkStart w:id="59" w:name="Information_specific_to_the_SC_formulati"/>
      <w:bookmarkEnd w:id="59"/>
      <w:r>
        <w:t>Information</w:t>
      </w:r>
      <w:r>
        <w:rPr>
          <w:spacing w:val="-4"/>
        </w:rPr>
        <w:t xml:space="preserve"> </w:t>
      </w:r>
      <w:r>
        <w:t>specific</w:t>
      </w:r>
      <w:r>
        <w:rPr>
          <w:spacing w:val="-4"/>
        </w:rPr>
        <w:t xml:space="preserve"> </w:t>
      </w:r>
      <w:r>
        <w:t>to</w:t>
      </w:r>
      <w:r>
        <w:rPr>
          <w:spacing w:val="-6"/>
        </w:rPr>
        <w:t xml:space="preserve"> </w:t>
      </w:r>
      <w:r>
        <w:t>the</w:t>
      </w:r>
      <w:r>
        <w:rPr>
          <w:spacing w:val="-4"/>
        </w:rPr>
        <w:t xml:space="preserve"> </w:t>
      </w:r>
      <w:r>
        <w:t>SC</w:t>
      </w:r>
      <w:r>
        <w:rPr>
          <w:spacing w:val="-3"/>
        </w:rPr>
        <w:t xml:space="preserve"> </w:t>
      </w:r>
      <w:r>
        <w:rPr>
          <w:spacing w:val="-2"/>
        </w:rPr>
        <w:t>formulation</w:t>
      </w:r>
    </w:p>
    <w:p w14:paraId="2D01D8AD" w14:textId="77777777" w:rsidR="009876FE" w:rsidRDefault="009876FE" w:rsidP="003A08B4">
      <w:pPr>
        <w:spacing w:before="121"/>
      </w:pPr>
      <w:r>
        <w:t>The formulation intended for marketing includes human recombinant hyaluronidase (rHuPH20) as a dispersing agent, with efgartigimod concentration 180 mg/mL and rHuPH20 concentration</w:t>
      </w:r>
      <w:r w:rsidRPr="003A08B4">
        <w:t xml:space="preserve"> </w:t>
      </w:r>
      <w:r>
        <w:t>2000</w:t>
      </w:r>
      <w:r w:rsidRPr="003A08B4">
        <w:t xml:space="preserve"> </w:t>
      </w:r>
      <w:r>
        <w:t>U/</w:t>
      </w:r>
      <w:proofErr w:type="spellStart"/>
      <w:r>
        <w:t>mL.</w:t>
      </w:r>
      <w:proofErr w:type="spellEnd"/>
      <w:r w:rsidRPr="003A08B4">
        <w:t xml:space="preserve"> </w:t>
      </w:r>
      <w:r>
        <w:t>This</w:t>
      </w:r>
      <w:r w:rsidRPr="003A08B4">
        <w:t xml:space="preserve"> </w:t>
      </w:r>
      <w:r>
        <w:t>formulation</w:t>
      </w:r>
      <w:r w:rsidRPr="003A08B4">
        <w:t xml:space="preserve"> </w:t>
      </w:r>
      <w:r>
        <w:t>was</w:t>
      </w:r>
      <w:r w:rsidRPr="003A08B4">
        <w:t xml:space="preserve"> </w:t>
      </w:r>
      <w:r>
        <w:t>used</w:t>
      </w:r>
      <w:r w:rsidRPr="003A08B4">
        <w:t xml:space="preserve"> </w:t>
      </w:r>
      <w:r>
        <w:t>in</w:t>
      </w:r>
      <w:r w:rsidRPr="003A08B4">
        <w:t xml:space="preserve"> </w:t>
      </w:r>
      <w:r>
        <w:t>study</w:t>
      </w:r>
      <w:r w:rsidRPr="003A08B4">
        <w:t xml:space="preserve"> </w:t>
      </w:r>
      <w:r>
        <w:t>ARGX-113-2001,</w:t>
      </w:r>
      <w:r w:rsidRPr="003A08B4">
        <w:t xml:space="preserve"> </w:t>
      </w:r>
      <w:r>
        <w:t>a</w:t>
      </w:r>
      <w:r w:rsidRPr="003A08B4">
        <w:t xml:space="preserve"> </w:t>
      </w:r>
      <w:r>
        <w:t>Phase</w:t>
      </w:r>
      <w:r w:rsidRPr="003A08B4">
        <w:t xml:space="preserve"> </w:t>
      </w:r>
      <w:r>
        <w:t>3</w:t>
      </w:r>
      <w:r w:rsidRPr="003A08B4">
        <w:t xml:space="preserve"> </w:t>
      </w:r>
      <w:r>
        <w:t>study which assessed non-inferiority of the pharmacodynamic effect of efgartigimod between the SC formulation and IV formulation, and</w:t>
      </w:r>
      <w:r w:rsidRPr="003A08B4">
        <w:t xml:space="preserve"> </w:t>
      </w:r>
      <w:r>
        <w:t>in study ARGX-113-2002, a Phase 3, long-term, open-label, uncontrolled study evaluating long-term safety and tolerability of the SC formulation.</w:t>
      </w:r>
    </w:p>
    <w:p w14:paraId="3AE240EF" w14:textId="1E7A150D" w:rsidR="009876FE" w:rsidRDefault="009876FE" w:rsidP="003A08B4">
      <w:pPr>
        <w:spacing w:before="121"/>
      </w:pPr>
      <w:r>
        <w:t xml:space="preserve">Other clinical studies in the dossier </w:t>
      </w:r>
      <w:r w:rsidR="00C56AA0">
        <w:t>that</w:t>
      </w:r>
      <w:r>
        <w:t xml:space="preserve"> pertain to the SC formulation, namely ARGX-113-1702, and ARGX-113-1901, used a formulation for SC injection that did not contain rHuPH20, whil</w:t>
      </w:r>
      <w:r w:rsidR="00C56AA0">
        <w:t>e</w:t>
      </w:r>
      <w:r>
        <w:t xml:space="preserve"> study ARGX-113-1907 utilised a formulation</w:t>
      </w:r>
      <w:r w:rsidRPr="003A08B4">
        <w:t xml:space="preserve"> </w:t>
      </w:r>
      <w:r>
        <w:t>with the</w:t>
      </w:r>
      <w:r w:rsidRPr="003A08B4">
        <w:t xml:space="preserve"> </w:t>
      </w:r>
      <w:r>
        <w:t>same concentration as rHuPH20 as the</w:t>
      </w:r>
      <w:r w:rsidRPr="003A08B4">
        <w:t xml:space="preserve"> </w:t>
      </w:r>
      <w:r>
        <w:t>formulation</w:t>
      </w:r>
      <w:r w:rsidRPr="003A08B4">
        <w:t xml:space="preserve"> </w:t>
      </w:r>
      <w:r>
        <w:t>intended</w:t>
      </w:r>
      <w:r w:rsidRPr="003A08B4">
        <w:t xml:space="preserve"> </w:t>
      </w:r>
      <w:r>
        <w:t>for</w:t>
      </w:r>
      <w:r w:rsidRPr="003A08B4">
        <w:t xml:space="preserve"> </w:t>
      </w:r>
      <w:r>
        <w:t>marketing</w:t>
      </w:r>
      <w:r w:rsidRPr="003A08B4">
        <w:t xml:space="preserve"> </w:t>
      </w:r>
      <w:r>
        <w:t>(2000</w:t>
      </w:r>
      <w:r w:rsidRPr="003A08B4">
        <w:t xml:space="preserve"> </w:t>
      </w:r>
      <w:r>
        <w:t>U/mL),</w:t>
      </w:r>
      <w:r w:rsidRPr="003A08B4">
        <w:t xml:space="preserve"> </w:t>
      </w:r>
      <w:r>
        <w:t>but</w:t>
      </w:r>
      <w:r w:rsidRPr="003A08B4">
        <w:t xml:space="preserve"> </w:t>
      </w:r>
      <w:r>
        <w:t>contained</w:t>
      </w:r>
      <w:r w:rsidRPr="003A08B4">
        <w:t xml:space="preserve"> </w:t>
      </w:r>
      <w:r>
        <w:t>a</w:t>
      </w:r>
      <w:r w:rsidRPr="003A08B4">
        <w:t xml:space="preserve"> </w:t>
      </w:r>
      <w:r>
        <w:t>different</w:t>
      </w:r>
      <w:r w:rsidRPr="003A08B4">
        <w:t xml:space="preserve"> </w:t>
      </w:r>
      <w:r>
        <w:t>concentration</w:t>
      </w:r>
      <w:r w:rsidRPr="003A08B4">
        <w:t xml:space="preserve"> </w:t>
      </w:r>
      <w:r>
        <w:t>of efgartigimod (165 mg/mL).</w:t>
      </w:r>
    </w:p>
    <w:p w14:paraId="3B501DC8" w14:textId="77777777" w:rsidR="009876FE" w:rsidRDefault="009876FE" w:rsidP="00BE179A">
      <w:pPr>
        <w:pStyle w:val="Heading4"/>
      </w:pPr>
      <w:bookmarkStart w:id="60" w:name="Pharmacology"/>
      <w:bookmarkStart w:id="61" w:name="Pharmacokinetics_(PK)"/>
      <w:bookmarkStart w:id="62" w:name="_Toc225173549"/>
      <w:bookmarkEnd w:id="60"/>
      <w:bookmarkEnd w:id="61"/>
      <w:r>
        <w:lastRenderedPageBreak/>
        <w:t>Pharmacology</w:t>
      </w:r>
      <w:bookmarkEnd w:id="62"/>
    </w:p>
    <w:p w14:paraId="0B935B20" w14:textId="77777777" w:rsidR="009876FE" w:rsidRDefault="009876FE" w:rsidP="00BE179A">
      <w:pPr>
        <w:pStyle w:val="Heading5"/>
      </w:pPr>
      <w:r w:rsidRPr="002D7B4B">
        <w:t>Pharmacokinetics</w:t>
      </w:r>
      <w:r>
        <w:rPr>
          <w:spacing w:val="14"/>
        </w:rPr>
        <w:t xml:space="preserve"> </w:t>
      </w:r>
      <w:r>
        <w:rPr>
          <w:spacing w:val="-4"/>
        </w:rPr>
        <w:t>(PK)</w:t>
      </w:r>
    </w:p>
    <w:p w14:paraId="2F1B8975" w14:textId="3A613898" w:rsidR="009876FE" w:rsidRDefault="00E806E2" w:rsidP="00E806E2">
      <w:pPr>
        <w:pStyle w:val="Heading6"/>
      </w:pPr>
      <w:bookmarkStart w:id="63" w:name="Pharmacokinetics_for_the_IV_formulation"/>
      <w:bookmarkEnd w:id="63"/>
      <w:r>
        <w:t>PK</w:t>
      </w:r>
      <w:r w:rsidR="009876FE">
        <w:rPr>
          <w:spacing w:val="-6"/>
        </w:rPr>
        <w:t xml:space="preserve"> </w:t>
      </w:r>
      <w:r w:rsidR="009876FE">
        <w:t>for</w:t>
      </w:r>
      <w:r w:rsidR="009876FE">
        <w:rPr>
          <w:spacing w:val="-4"/>
        </w:rPr>
        <w:t xml:space="preserve"> </w:t>
      </w:r>
      <w:r w:rsidR="009876FE">
        <w:t>the</w:t>
      </w:r>
      <w:r w:rsidR="009876FE">
        <w:rPr>
          <w:spacing w:val="-5"/>
        </w:rPr>
        <w:t xml:space="preserve"> </w:t>
      </w:r>
      <w:r w:rsidR="009876FE">
        <w:t>IV</w:t>
      </w:r>
      <w:r w:rsidR="009876FE">
        <w:rPr>
          <w:spacing w:val="-5"/>
        </w:rPr>
        <w:t xml:space="preserve"> </w:t>
      </w:r>
      <w:r w:rsidR="009876FE">
        <w:rPr>
          <w:spacing w:val="-2"/>
        </w:rPr>
        <w:t>formulation</w:t>
      </w:r>
    </w:p>
    <w:p w14:paraId="4E751523" w14:textId="3B9E5192" w:rsidR="009876FE" w:rsidRDefault="009876FE" w:rsidP="001B1FA4">
      <w:pPr>
        <w:spacing w:before="121"/>
      </w:pPr>
      <w:r>
        <w:t>Evaluable PK data for the IV formulation in healthy</w:t>
      </w:r>
      <w:r w:rsidRPr="001B1FA4">
        <w:t xml:space="preserve"> </w:t>
      </w:r>
      <w:r>
        <w:t>subjects was contained in</w:t>
      </w:r>
      <w:r w:rsidRPr="001B1FA4">
        <w:t xml:space="preserve"> </w:t>
      </w:r>
      <w:r>
        <w:t>study ARGX-113-1501, a Phase 1, double-blind, placebo-controlled study which assessed different efgartigimod doses and dosing intervals between two treatment</w:t>
      </w:r>
      <w:r w:rsidRPr="001B1FA4">
        <w:t xml:space="preserve"> </w:t>
      </w:r>
      <w:r>
        <w:t>cohorts, and study</w:t>
      </w:r>
      <w:r w:rsidRPr="001B1FA4">
        <w:t xml:space="preserve"> </w:t>
      </w:r>
      <w:r>
        <w:t xml:space="preserve">ARGX-113-1702, a Phase 1 open-label, parallel group study comparing IV and SC efgartigimod formulations. PK data in patients with </w:t>
      </w:r>
      <w:proofErr w:type="spellStart"/>
      <w:r>
        <w:t>gMG</w:t>
      </w:r>
      <w:proofErr w:type="spellEnd"/>
      <w:r>
        <w:t xml:space="preserve"> is provided in study ARGX-113-1602, a Phase 2, double-blind, placebo-controlled study enrolling 24 subjects, and study ARGX-113-1704, the Phase 3 pivotal efficacy study</w:t>
      </w:r>
      <w:r w:rsidRPr="001B1FA4">
        <w:t xml:space="preserve"> </w:t>
      </w:r>
      <w:r w:rsidR="004414E3">
        <w:t>that</w:t>
      </w:r>
      <w:r w:rsidRPr="001B1FA4">
        <w:t xml:space="preserve"> </w:t>
      </w:r>
      <w:r>
        <w:t>reported</w:t>
      </w:r>
      <w:r w:rsidRPr="001B1FA4">
        <w:t xml:space="preserve"> </w:t>
      </w:r>
      <w:r>
        <w:t>PK</w:t>
      </w:r>
      <w:r w:rsidRPr="001B1FA4">
        <w:t xml:space="preserve"> </w:t>
      </w:r>
      <w:r>
        <w:t>data.</w:t>
      </w:r>
      <w:r w:rsidRPr="001B1FA4">
        <w:t xml:space="preserve"> </w:t>
      </w:r>
      <w:r>
        <w:t>Population</w:t>
      </w:r>
      <w:r w:rsidRPr="001B1FA4">
        <w:t xml:space="preserve"> </w:t>
      </w:r>
      <w:r>
        <w:t>PK</w:t>
      </w:r>
      <w:r w:rsidRPr="001B1FA4">
        <w:t xml:space="preserve"> </w:t>
      </w:r>
      <w:r>
        <w:t>(</w:t>
      </w:r>
      <w:proofErr w:type="spellStart"/>
      <w:r>
        <w:t>popPK</w:t>
      </w:r>
      <w:proofErr w:type="spellEnd"/>
      <w:r>
        <w:t>)</w:t>
      </w:r>
      <w:r w:rsidRPr="001B1FA4">
        <w:t xml:space="preserve"> </w:t>
      </w:r>
      <w:r>
        <w:t>analysis</w:t>
      </w:r>
      <w:r w:rsidRPr="001B1FA4">
        <w:t xml:space="preserve"> </w:t>
      </w:r>
      <w:r>
        <w:t>was</w:t>
      </w:r>
      <w:r w:rsidRPr="001B1FA4">
        <w:t xml:space="preserve"> </w:t>
      </w:r>
      <w:r>
        <w:t>undertaken,</w:t>
      </w:r>
      <w:r w:rsidRPr="001B1FA4">
        <w:t xml:space="preserve"> </w:t>
      </w:r>
      <w:r>
        <w:t>with</w:t>
      </w:r>
      <w:r w:rsidRPr="001B1FA4">
        <w:t xml:space="preserve"> </w:t>
      </w:r>
      <w:r>
        <w:t>the</w:t>
      </w:r>
      <w:r w:rsidRPr="001B1FA4">
        <w:t xml:space="preserve"> </w:t>
      </w:r>
      <w:r>
        <w:t xml:space="preserve">model developed to describe efgartigimod PK in study ARGX-113-1501 in healthy subjects and then optimised to describe PK in subjects with </w:t>
      </w:r>
      <w:proofErr w:type="spellStart"/>
      <w:r>
        <w:t>gMG</w:t>
      </w:r>
      <w:proofErr w:type="spellEnd"/>
      <w:r>
        <w:t xml:space="preserve"> using data from study ARGX-113-1602. The model incorporates first-order distribution and elimination kinetic processes, and model validation showed good agreement between observed and predicted data.</w:t>
      </w:r>
    </w:p>
    <w:p w14:paraId="7CB8AC10" w14:textId="3008CE44" w:rsidR="009876FE" w:rsidRDefault="009876FE" w:rsidP="001B1FA4">
      <w:pPr>
        <w:spacing w:before="121"/>
      </w:pPr>
      <w:r>
        <w:t>As efgartigimod is a therapeutic protein</w:t>
      </w:r>
      <w:r w:rsidR="00B11942">
        <w:t>,</w:t>
      </w:r>
      <w:r>
        <w:t xml:space="preserve"> no dedicated absorption, distribution, metabolism and </w:t>
      </w:r>
      <w:r w:rsidRPr="001B1FA4">
        <w:t xml:space="preserve">excretion (ADME) study was performed. The terminal half-life (t½) is approximately 3-5 days, </w:t>
      </w:r>
      <w:r>
        <w:t>and clearance 0.21 L/h. At the recommended dose of 10 mg/kg the fraction excreted in urine during</w:t>
      </w:r>
      <w:r w:rsidRPr="001B1FA4">
        <w:t xml:space="preserve"> </w:t>
      </w:r>
      <w:r>
        <w:t>72</w:t>
      </w:r>
      <w:r w:rsidRPr="001B1FA4">
        <w:t xml:space="preserve"> </w:t>
      </w:r>
      <w:r>
        <w:t>h</w:t>
      </w:r>
      <w:r w:rsidRPr="001B1FA4">
        <w:t xml:space="preserve"> </w:t>
      </w:r>
      <w:r>
        <w:t>was</w:t>
      </w:r>
      <w:r w:rsidRPr="001B1FA4">
        <w:t xml:space="preserve"> </w:t>
      </w:r>
      <w:r>
        <w:t>0.1%</w:t>
      </w:r>
      <w:r w:rsidRPr="001B1FA4">
        <w:t xml:space="preserve"> </w:t>
      </w:r>
      <w:r>
        <w:t>(n=4).</w:t>
      </w:r>
      <w:r w:rsidRPr="001B1FA4">
        <w:t xml:space="preserve"> </w:t>
      </w:r>
      <w:r>
        <w:t>The</w:t>
      </w:r>
      <w:r w:rsidRPr="001B1FA4">
        <w:t xml:space="preserve"> </w:t>
      </w:r>
      <w:r>
        <w:t>primary</w:t>
      </w:r>
      <w:r w:rsidRPr="001B1FA4">
        <w:t xml:space="preserve"> </w:t>
      </w:r>
      <w:r>
        <w:t>elimination</w:t>
      </w:r>
      <w:r w:rsidRPr="001B1FA4">
        <w:t xml:space="preserve"> </w:t>
      </w:r>
      <w:r>
        <w:t>pathways</w:t>
      </w:r>
      <w:r w:rsidRPr="001B1FA4">
        <w:t xml:space="preserve"> </w:t>
      </w:r>
      <w:r>
        <w:t>for</w:t>
      </w:r>
      <w:r w:rsidRPr="001B1FA4">
        <w:t xml:space="preserve"> </w:t>
      </w:r>
      <w:r>
        <w:t>monoclonal</w:t>
      </w:r>
      <w:r w:rsidRPr="001B1FA4">
        <w:t xml:space="preserve"> </w:t>
      </w:r>
      <w:r>
        <w:t>antibodies,</w:t>
      </w:r>
      <w:r w:rsidRPr="001B1FA4">
        <w:t xml:space="preserve"> </w:t>
      </w:r>
      <w:r>
        <w:t xml:space="preserve">and expectedly also Fc fragments like efgartigimod, are degradation by the reticuloendothelial system or by target-mediated elimination. Estimated volume of distribution in patients with </w:t>
      </w:r>
      <w:proofErr w:type="spellStart"/>
      <w:r>
        <w:t>gMG</w:t>
      </w:r>
      <w:proofErr w:type="spellEnd"/>
      <w:r>
        <w:t xml:space="preserve"> using the </w:t>
      </w:r>
      <w:proofErr w:type="spellStart"/>
      <w:r>
        <w:t>popPK</w:t>
      </w:r>
      <w:proofErr w:type="spellEnd"/>
      <w:r>
        <w:t xml:space="preserve"> model is ~ 13 L.</w:t>
      </w:r>
    </w:p>
    <w:p w14:paraId="6CDF29D2" w14:textId="77777777" w:rsidR="00152D45" w:rsidRDefault="009876FE" w:rsidP="001B1FA4">
      <w:pPr>
        <w:spacing w:before="121"/>
      </w:pPr>
      <w:r>
        <w:t xml:space="preserve">Dose proportionality was demonstrated in the dose range 2.0 – 50 mg/kg for the exposure </w:t>
      </w:r>
      <w:r w:rsidRPr="001B1FA4">
        <w:t xml:space="preserve">parameters </w:t>
      </w:r>
      <w:proofErr w:type="spellStart"/>
      <w:r w:rsidRPr="001B1FA4">
        <w:t>Cmax</w:t>
      </w:r>
      <w:proofErr w:type="spellEnd"/>
      <w:r w:rsidRPr="001B1FA4">
        <w:t xml:space="preserve"> and AUC0-inf in study ARGX-113-1501, following administration of a single dose. </w:t>
      </w:r>
    </w:p>
    <w:p w14:paraId="53ADE589" w14:textId="6C64CE6F" w:rsidR="009876FE" w:rsidRDefault="009876FE" w:rsidP="001B1FA4">
      <w:pPr>
        <w:spacing w:before="121"/>
      </w:pPr>
      <w:r>
        <w:t xml:space="preserve">In study ARGX-113-1602, efgartigimod did not accumulate from day 1 to day 22 during a treatment cycle of 4 weekly IV infusions at 10 mg/kg in patients with </w:t>
      </w:r>
      <w:proofErr w:type="spellStart"/>
      <w:r>
        <w:t>gMG</w:t>
      </w:r>
      <w:proofErr w:type="spellEnd"/>
      <w:r>
        <w:t xml:space="preserve">, evidenced by stable </w:t>
      </w:r>
      <w:r w:rsidRPr="001B1FA4">
        <w:t xml:space="preserve">AUC0-168 and </w:t>
      </w:r>
      <w:proofErr w:type="spellStart"/>
      <w:r w:rsidRPr="001B1FA4">
        <w:t>Cmax</w:t>
      </w:r>
      <w:proofErr w:type="spellEnd"/>
      <w:r w:rsidRPr="001B1FA4">
        <w:t xml:space="preserve">, as shown in Table </w:t>
      </w:r>
      <w:r w:rsidR="003114F3">
        <w:t>5</w:t>
      </w:r>
      <w:r w:rsidRPr="001B1FA4">
        <w:t>.</w:t>
      </w:r>
    </w:p>
    <w:p w14:paraId="6477E3AA" w14:textId="77777777" w:rsidR="00A57BAC" w:rsidRPr="001B1FA4" w:rsidRDefault="00A57BAC" w:rsidP="001B1FA4">
      <w:pPr>
        <w:spacing w:before="121"/>
      </w:pPr>
    </w:p>
    <w:p w14:paraId="5D27269E" w14:textId="61CDA27C" w:rsidR="009876FE" w:rsidRDefault="009876FE" w:rsidP="002D58BC">
      <w:pPr>
        <w:pStyle w:val="TableTitle"/>
      </w:pPr>
      <w:r>
        <w:t xml:space="preserve">Table </w:t>
      </w:r>
      <w:r w:rsidR="00AA24BE">
        <w:t>5</w:t>
      </w:r>
      <w:r>
        <w:t>. Efgartigimod pharmacokinetic parameters after 4 weekly infusions of efgartigimod</w:t>
      </w:r>
      <w:r>
        <w:rPr>
          <w:spacing w:val="-3"/>
        </w:rPr>
        <w:t xml:space="preserve"> </w:t>
      </w:r>
      <w:r>
        <w:t>IV</w:t>
      </w:r>
      <w:r>
        <w:rPr>
          <w:spacing w:val="-4"/>
        </w:rPr>
        <w:t xml:space="preserve"> </w:t>
      </w:r>
      <w:r>
        <w:t>10</w:t>
      </w:r>
      <w:r>
        <w:rPr>
          <w:spacing w:val="-2"/>
        </w:rPr>
        <w:t xml:space="preserve"> </w:t>
      </w:r>
      <w:r>
        <w:t>mg/kg</w:t>
      </w:r>
      <w:r>
        <w:rPr>
          <w:spacing w:val="-3"/>
        </w:rPr>
        <w:t xml:space="preserve"> </w:t>
      </w:r>
      <w:r>
        <w:t>in</w:t>
      </w:r>
      <w:r>
        <w:rPr>
          <w:spacing w:val="-2"/>
        </w:rPr>
        <w:t xml:space="preserve"> </w:t>
      </w:r>
      <w:r>
        <w:t>patients</w:t>
      </w:r>
      <w:r>
        <w:rPr>
          <w:spacing w:val="-4"/>
        </w:rPr>
        <w:t xml:space="preserve"> </w:t>
      </w:r>
      <w:r>
        <w:t>with</w:t>
      </w:r>
      <w:r>
        <w:rPr>
          <w:spacing w:val="-3"/>
        </w:rPr>
        <w:t xml:space="preserve"> </w:t>
      </w:r>
      <w:r>
        <w:t>generalised</w:t>
      </w:r>
      <w:r>
        <w:rPr>
          <w:spacing w:val="-3"/>
        </w:rPr>
        <w:t xml:space="preserve"> </w:t>
      </w:r>
      <w:r>
        <w:t>myasthenia</w:t>
      </w:r>
      <w:r>
        <w:rPr>
          <w:spacing w:val="-4"/>
        </w:rPr>
        <w:t xml:space="preserve"> </w:t>
      </w:r>
      <w:r>
        <w:t>gravis,</w:t>
      </w:r>
      <w:r>
        <w:rPr>
          <w:spacing w:val="-4"/>
        </w:rPr>
        <w:t xml:space="preserve"> </w:t>
      </w:r>
      <w:r>
        <w:t>study</w:t>
      </w:r>
      <w:r>
        <w:rPr>
          <w:spacing w:val="-3"/>
        </w:rPr>
        <w:t xml:space="preserve"> </w:t>
      </w:r>
      <w:r>
        <w:t>ARGX-</w:t>
      </w:r>
      <w:r>
        <w:rPr>
          <w:spacing w:val="-2"/>
        </w:rPr>
        <w:t>113-1602</w:t>
      </w:r>
    </w:p>
    <w:p w14:paraId="3AE810A2" w14:textId="1507D2B9" w:rsidR="007256DB" w:rsidRDefault="007256DB" w:rsidP="002A7429">
      <w:r w:rsidRPr="007256DB">
        <w:rPr>
          <w:noProof/>
        </w:rPr>
        <w:drawing>
          <wp:inline distT="0" distB="0" distL="0" distR="0" wp14:anchorId="476D59E9" wp14:editId="54CB2A3E">
            <wp:extent cx="5657891" cy="1676412"/>
            <wp:effectExtent l="0" t="0" r="0" b="0"/>
            <wp:docPr id="1363903031" name="Picture 1" descr="Table 5. Efgartigimod pharmacokinetic parameters after 4 weekly infusions of efgartigimod IV 10 mg/kg in patients with generalised myasthenia gravis, study ARGX-113-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03031" name="Picture 1" descr="Table 5. Efgartigimod pharmacokinetic parameters after 4 weekly infusions of efgartigimod IV 10 mg/kg in patients with generalised myasthenia gravis, study ARGX-113-1602"/>
                    <pic:cNvPicPr/>
                  </pic:nvPicPr>
                  <pic:blipFill>
                    <a:blip r:embed="rId23"/>
                    <a:stretch>
                      <a:fillRect/>
                    </a:stretch>
                  </pic:blipFill>
                  <pic:spPr>
                    <a:xfrm>
                      <a:off x="0" y="0"/>
                      <a:ext cx="5657891" cy="1676412"/>
                    </a:xfrm>
                    <a:prstGeom prst="rect">
                      <a:avLst/>
                    </a:prstGeom>
                  </pic:spPr>
                </pic:pic>
              </a:graphicData>
            </a:graphic>
          </wp:inline>
        </w:drawing>
      </w:r>
      <w:r w:rsidRPr="007256DB">
        <w:rPr>
          <w:noProof/>
        </w:rPr>
        <w:drawing>
          <wp:inline distT="0" distB="0" distL="0" distR="0" wp14:anchorId="3DF8855D" wp14:editId="4B96F755">
            <wp:extent cx="5724567" cy="742955"/>
            <wp:effectExtent l="0" t="0" r="9525" b="0"/>
            <wp:docPr id="2024199602"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99602" name="Picture 1" descr="A black text on a white background&#10;&#10;AI-generated content may be incorrect."/>
                    <pic:cNvPicPr/>
                  </pic:nvPicPr>
                  <pic:blipFill>
                    <a:blip r:embed="rId24"/>
                    <a:stretch>
                      <a:fillRect/>
                    </a:stretch>
                  </pic:blipFill>
                  <pic:spPr>
                    <a:xfrm>
                      <a:off x="0" y="0"/>
                      <a:ext cx="5724567" cy="742955"/>
                    </a:xfrm>
                    <a:prstGeom prst="rect">
                      <a:avLst/>
                    </a:prstGeom>
                  </pic:spPr>
                </pic:pic>
              </a:graphicData>
            </a:graphic>
          </wp:inline>
        </w:drawing>
      </w:r>
    </w:p>
    <w:p w14:paraId="44AF532F" w14:textId="77777777" w:rsidR="007D79EA" w:rsidRDefault="007D79EA" w:rsidP="007256DB">
      <w:pPr>
        <w:spacing w:before="121"/>
      </w:pPr>
    </w:p>
    <w:p w14:paraId="47D99AB6" w14:textId="24E1DD30" w:rsidR="009876FE" w:rsidRDefault="009876FE" w:rsidP="007256DB">
      <w:pPr>
        <w:spacing w:before="121"/>
      </w:pPr>
      <w:r>
        <w:lastRenderedPageBreak/>
        <w:t>PK</w:t>
      </w:r>
      <w:r w:rsidRPr="007256DB">
        <w:t xml:space="preserve"> </w:t>
      </w:r>
      <w:r>
        <w:t>in</w:t>
      </w:r>
      <w:r w:rsidRPr="007256DB">
        <w:t xml:space="preserve"> </w:t>
      </w:r>
      <w:r>
        <w:t>the</w:t>
      </w:r>
      <w:r w:rsidRPr="007256DB">
        <w:t xml:space="preserve"> </w:t>
      </w:r>
      <w:r>
        <w:t>target</w:t>
      </w:r>
      <w:r w:rsidRPr="007256DB">
        <w:t xml:space="preserve"> </w:t>
      </w:r>
      <w:proofErr w:type="spellStart"/>
      <w:r>
        <w:t>gMG</w:t>
      </w:r>
      <w:proofErr w:type="spellEnd"/>
      <w:r w:rsidRPr="007256DB">
        <w:t xml:space="preserve"> </w:t>
      </w:r>
      <w:r>
        <w:t>population</w:t>
      </w:r>
      <w:r w:rsidRPr="007256DB">
        <w:t xml:space="preserve"> </w:t>
      </w:r>
      <w:r>
        <w:t>is</w:t>
      </w:r>
      <w:r w:rsidRPr="007256DB">
        <w:t xml:space="preserve"> </w:t>
      </w:r>
      <w:proofErr w:type="gramStart"/>
      <w:r>
        <w:t>similar</w:t>
      </w:r>
      <w:r w:rsidRPr="007256DB">
        <w:t xml:space="preserve"> </w:t>
      </w:r>
      <w:r>
        <w:t>to</w:t>
      </w:r>
      <w:proofErr w:type="gramEnd"/>
      <w:r w:rsidRPr="007256DB">
        <w:t xml:space="preserve"> </w:t>
      </w:r>
      <w:r>
        <w:t>PK</w:t>
      </w:r>
      <w:r w:rsidRPr="007256DB">
        <w:t xml:space="preserve"> </w:t>
      </w:r>
      <w:r>
        <w:t>in</w:t>
      </w:r>
      <w:r w:rsidRPr="007256DB">
        <w:t xml:space="preserve"> </w:t>
      </w:r>
      <w:r>
        <w:t>healthy</w:t>
      </w:r>
      <w:r w:rsidRPr="007256DB">
        <w:t xml:space="preserve"> </w:t>
      </w:r>
      <w:r>
        <w:t>subjects.</w:t>
      </w:r>
      <w:r w:rsidRPr="007256DB">
        <w:t xml:space="preserve"> </w:t>
      </w:r>
      <w:r>
        <w:t>Reported</w:t>
      </w:r>
      <w:r w:rsidRPr="007256DB">
        <w:t xml:space="preserve"> </w:t>
      </w:r>
      <w:r>
        <w:t>exposure</w:t>
      </w:r>
      <w:r w:rsidRPr="007256DB">
        <w:t xml:space="preserve"> </w:t>
      </w:r>
      <w:r>
        <w:t>PK</w:t>
      </w:r>
      <w:r w:rsidRPr="007256DB">
        <w:t xml:space="preserve"> </w:t>
      </w:r>
      <w:r>
        <w:t xml:space="preserve">data in the target population dosed with the intended 10 mg/kg IV regimen in the pivotal Phase 3 study ARGX-113-1704 are shown below in Table </w:t>
      </w:r>
      <w:r w:rsidR="001E2602">
        <w:t>6</w:t>
      </w:r>
      <w:r>
        <w:t>.</w:t>
      </w:r>
    </w:p>
    <w:p w14:paraId="652127B5" w14:textId="325F2644" w:rsidR="009876FE" w:rsidRDefault="009876FE" w:rsidP="00826D7B">
      <w:pPr>
        <w:pStyle w:val="TableTitle"/>
        <w:rPr>
          <w:b w:val="0"/>
          <w:sz w:val="8"/>
        </w:rPr>
      </w:pPr>
      <w:r>
        <w:t>Table</w:t>
      </w:r>
      <w:r w:rsidRPr="007256DB">
        <w:t xml:space="preserve"> </w:t>
      </w:r>
      <w:r w:rsidR="007D79EA">
        <w:t>6</w:t>
      </w:r>
      <w:r>
        <w:t>.</w:t>
      </w:r>
      <w:r w:rsidRPr="007256DB">
        <w:t xml:space="preserve"> </w:t>
      </w:r>
      <w:r>
        <w:t>Summary</w:t>
      </w:r>
      <w:r w:rsidRPr="007256DB">
        <w:t xml:space="preserve"> </w:t>
      </w:r>
      <w:r>
        <w:t>of</w:t>
      </w:r>
      <w:r w:rsidRPr="007256DB">
        <w:t xml:space="preserve"> </w:t>
      </w:r>
      <w:r>
        <w:t>efgartigimod</w:t>
      </w:r>
      <w:r w:rsidRPr="007256DB">
        <w:t xml:space="preserve"> </w:t>
      </w:r>
      <w:r>
        <w:t>pharmacokinetic</w:t>
      </w:r>
      <w:r w:rsidRPr="007256DB">
        <w:t xml:space="preserve"> </w:t>
      </w:r>
      <w:r>
        <w:t>parameters</w:t>
      </w:r>
      <w:r w:rsidRPr="007256DB">
        <w:t xml:space="preserve"> </w:t>
      </w:r>
      <w:r>
        <w:t>per</w:t>
      </w:r>
      <w:r w:rsidRPr="007256DB">
        <w:t xml:space="preserve"> </w:t>
      </w:r>
      <w:r>
        <w:t>treatment</w:t>
      </w:r>
      <w:r w:rsidRPr="007256DB">
        <w:t xml:space="preserve"> </w:t>
      </w:r>
      <w:r>
        <w:t>cycle,</w:t>
      </w:r>
      <w:r w:rsidRPr="007256DB">
        <w:t xml:space="preserve"> </w:t>
      </w:r>
      <w:r>
        <w:t>in patients with generalised myasthenia gravis, study ARGX-113-1704</w:t>
      </w:r>
    </w:p>
    <w:p w14:paraId="12EA9223" w14:textId="64798703" w:rsidR="00826D7B" w:rsidRDefault="00826D7B" w:rsidP="002A7429">
      <w:r w:rsidRPr="005676E6">
        <w:rPr>
          <w:noProof/>
        </w:rPr>
        <w:drawing>
          <wp:inline distT="0" distB="0" distL="0" distR="0" wp14:anchorId="2D8182DC" wp14:editId="05A10B13">
            <wp:extent cx="5572125" cy="3189562"/>
            <wp:effectExtent l="0" t="0" r="0" b="0"/>
            <wp:docPr id="1250087399" name="Picture 1" descr="Table 6. Summary of efgartigimod pharmacokinetic parameters per treatment cycle, in patients with generalised myasthenia gravis, study ARGX-113-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87399" name="Picture 1" descr="Table 6. Summary of efgartigimod pharmacokinetic parameters per treatment cycle, in patients with generalised myasthenia gravis, study ARGX-113-1704"/>
                    <pic:cNvPicPr/>
                  </pic:nvPicPr>
                  <pic:blipFill>
                    <a:blip r:embed="rId25"/>
                    <a:stretch>
                      <a:fillRect/>
                    </a:stretch>
                  </pic:blipFill>
                  <pic:spPr>
                    <a:xfrm>
                      <a:off x="0" y="0"/>
                      <a:ext cx="5595310" cy="3202833"/>
                    </a:xfrm>
                    <a:prstGeom prst="rect">
                      <a:avLst/>
                    </a:prstGeom>
                  </pic:spPr>
                </pic:pic>
              </a:graphicData>
            </a:graphic>
          </wp:inline>
        </w:drawing>
      </w:r>
      <w:r w:rsidR="002211FA" w:rsidRPr="002211FA">
        <w:rPr>
          <w:noProof/>
        </w:rPr>
        <w:drawing>
          <wp:inline distT="0" distB="0" distL="0" distR="0" wp14:anchorId="69E43BFA" wp14:editId="075E281A">
            <wp:extent cx="5505450" cy="571500"/>
            <wp:effectExtent l="0" t="0" r="0" b="0"/>
            <wp:docPr id="204086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62325" name=""/>
                    <pic:cNvPicPr/>
                  </pic:nvPicPr>
                  <pic:blipFill>
                    <a:blip r:embed="rId26"/>
                    <a:stretch>
                      <a:fillRect/>
                    </a:stretch>
                  </pic:blipFill>
                  <pic:spPr>
                    <a:xfrm>
                      <a:off x="0" y="0"/>
                      <a:ext cx="5511288" cy="572106"/>
                    </a:xfrm>
                    <a:prstGeom prst="rect">
                      <a:avLst/>
                    </a:prstGeom>
                  </pic:spPr>
                </pic:pic>
              </a:graphicData>
            </a:graphic>
          </wp:inline>
        </w:drawing>
      </w:r>
    </w:p>
    <w:p w14:paraId="0374B727" w14:textId="63F18C17" w:rsidR="009876FE" w:rsidRDefault="009876FE" w:rsidP="00A57BAC">
      <w:r>
        <w:t>No dedicated pharmacokinetic</w:t>
      </w:r>
      <w:r w:rsidRPr="002211FA">
        <w:t xml:space="preserve"> </w:t>
      </w:r>
      <w:r>
        <w:t>studies were performed in</w:t>
      </w:r>
      <w:r w:rsidRPr="002211FA">
        <w:t xml:space="preserve"> </w:t>
      </w:r>
      <w:r>
        <w:t xml:space="preserve">patients with renal impairment. After </w:t>
      </w:r>
      <w:r w:rsidRPr="002211FA">
        <w:t xml:space="preserve">10,000 simulated replicates of the </w:t>
      </w:r>
      <w:proofErr w:type="spellStart"/>
      <w:r w:rsidRPr="002211FA">
        <w:t>popPK</w:t>
      </w:r>
      <w:proofErr w:type="spellEnd"/>
      <w:r w:rsidRPr="002211FA">
        <w:t xml:space="preserve"> dataset, the increase in exposure (AUC0-168h) for </w:t>
      </w:r>
      <w:r>
        <w:t>patients</w:t>
      </w:r>
      <w:r w:rsidRPr="002211FA">
        <w:t xml:space="preserve"> </w:t>
      </w:r>
      <w:r>
        <w:t>with</w:t>
      </w:r>
      <w:r w:rsidRPr="002211FA">
        <w:t xml:space="preserve"> </w:t>
      </w:r>
      <w:r>
        <w:t>mild</w:t>
      </w:r>
      <w:r w:rsidRPr="002211FA">
        <w:t xml:space="preserve"> </w:t>
      </w:r>
      <w:r>
        <w:t>renal</w:t>
      </w:r>
      <w:r w:rsidRPr="002211FA">
        <w:t xml:space="preserve"> </w:t>
      </w:r>
      <w:r>
        <w:t>impairment</w:t>
      </w:r>
      <w:r w:rsidRPr="002211FA">
        <w:t xml:space="preserve"> </w:t>
      </w:r>
      <w:r>
        <w:t>was</w:t>
      </w:r>
      <w:r w:rsidRPr="002211FA">
        <w:t xml:space="preserve"> </w:t>
      </w:r>
      <w:r>
        <w:t>in</w:t>
      </w:r>
      <w:r w:rsidRPr="002211FA">
        <w:t xml:space="preserve"> </w:t>
      </w:r>
      <w:r>
        <w:t>the</w:t>
      </w:r>
      <w:r w:rsidRPr="002211FA">
        <w:t xml:space="preserve"> </w:t>
      </w:r>
      <w:r>
        <w:t>range</w:t>
      </w:r>
      <w:r w:rsidRPr="002211FA">
        <w:t xml:space="preserve"> </w:t>
      </w:r>
      <w:r>
        <w:t>of</w:t>
      </w:r>
      <w:r w:rsidRPr="002211FA">
        <w:t xml:space="preserve"> </w:t>
      </w:r>
      <w:r>
        <w:t>13</w:t>
      </w:r>
      <w:r w:rsidRPr="002211FA">
        <w:t xml:space="preserve"> </w:t>
      </w:r>
      <w:r>
        <w:t>to</w:t>
      </w:r>
      <w:r w:rsidRPr="002211FA">
        <w:t xml:space="preserve"> </w:t>
      </w:r>
      <w:r>
        <w:t>30%. Of</w:t>
      </w:r>
      <w:r w:rsidRPr="002211FA">
        <w:t xml:space="preserve"> </w:t>
      </w:r>
      <w:r>
        <w:t>the</w:t>
      </w:r>
      <w:r w:rsidRPr="002211FA">
        <w:t xml:space="preserve"> </w:t>
      </w:r>
      <w:r>
        <w:t>167</w:t>
      </w:r>
      <w:r w:rsidRPr="002211FA">
        <w:t xml:space="preserve"> </w:t>
      </w:r>
      <w:r>
        <w:t>patients</w:t>
      </w:r>
      <w:r w:rsidRPr="002211FA">
        <w:t xml:space="preserve"> </w:t>
      </w:r>
      <w:r>
        <w:t>included in phase 3 studies, 52 and 6 patients were classified as patients with mild (eGFR ≥ 60 to &lt; 90mL/min/1.73 m</w:t>
      </w:r>
      <w:r w:rsidRPr="002211FA">
        <w:t>2</w:t>
      </w:r>
      <w:r>
        <w:t>) and moderate (eGFR ≥ 30 to &lt; 60 mL/min/1.73 m</w:t>
      </w:r>
      <w:r w:rsidRPr="002211FA">
        <w:t>2</w:t>
      </w:r>
      <w:r>
        <w:t>) renal impairment,</w:t>
      </w:r>
      <w:r w:rsidR="002211FA">
        <w:t xml:space="preserve"> </w:t>
      </w:r>
      <w:r>
        <w:t xml:space="preserve">respectively. With respect to weight, </w:t>
      </w:r>
      <w:proofErr w:type="spellStart"/>
      <w:r>
        <w:t>popPK</w:t>
      </w:r>
      <w:proofErr w:type="spellEnd"/>
      <w:r>
        <w:t xml:space="preserve"> simulations with the chosen body weight adjusted dose regimen suggest an impact of high body weight on exposure. Following weekly doses of </w:t>
      </w:r>
      <w:r w:rsidRPr="002211FA">
        <w:t xml:space="preserve">1200 mg (corresponding to a patient weight of 120 kg), the median increase in exposure (AUC0-168h) was 36%, compared to the reference subject with a median weight of 79 kg. Subjects with </w:t>
      </w:r>
      <w:r>
        <w:t>low body weight (simulated for the 5th percentile body weight of 53 kg) have a median exposure of 80% of the reference patient. These deviations in exposure due to body weight are considered</w:t>
      </w:r>
      <w:r w:rsidRPr="002211FA">
        <w:t xml:space="preserve"> </w:t>
      </w:r>
      <w:r>
        <w:t>low</w:t>
      </w:r>
      <w:r w:rsidRPr="002211FA">
        <w:t xml:space="preserve"> </w:t>
      </w:r>
      <w:r>
        <w:t>and</w:t>
      </w:r>
      <w:r w:rsidRPr="002211FA">
        <w:t xml:space="preserve"> </w:t>
      </w:r>
      <w:r>
        <w:t>not</w:t>
      </w:r>
      <w:r w:rsidRPr="002211FA">
        <w:t xml:space="preserve"> </w:t>
      </w:r>
      <w:r>
        <w:t>clinically</w:t>
      </w:r>
      <w:r w:rsidRPr="002211FA">
        <w:t xml:space="preserve"> </w:t>
      </w:r>
      <w:r>
        <w:t>significant.</w:t>
      </w:r>
      <w:r w:rsidRPr="002211FA">
        <w:t xml:space="preserve"> </w:t>
      </w:r>
      <w:r>
        <w:t>Based</w:t>
      </w:r>
      <w:r w:rsidRPr="002211FA">
        <w:t xml:space="preserve"> </w:t>
      </w:r>
      <w:r>
        <w:t>on</w:t>
      </w:r>
      <w:r w:rsidRPr="002211FA">
        <w:t xml:space="preserve"> </w:t>
      </w:r>
      <w:proofErr w:type="spellStart"/>
      <w:r>
        <w:t>popPK</w:t>
      </w:r>
      <w:proofErr w:type="spellEnd"/>
      <w:r w:rsidRPr="002211FA">
        <w:t xml:space="preserve"> </w:t>
      </w:r>
      <w:r>
        <w:t>analysis</w:t>
      </w:r>
      <w:r w:rsidRPr="002211FA">
        <w:t xml:space="preserve"> </w:t>
      </w:r>
      <w:r>
        <w:t>hepatic</w:t>
      </w:r>
      <w:r w:rsidRPr="002211FA">
        <w:t xml:space="preserve"> </w:t>
      </w:r>
      <w:r>
        <w:t>function</w:t>
      </w:r>
      <w:r w:rsidRPr="002211FA">
        <w:t xml:space="preserve"> </w:t>
      </w:r>
      <w:r>
        <w:t>markers, age and race did not appear to affect PK of efgartigimod.</w:t>
      </w:r>
    </w:p>
    <w:p w14:paraId="2FA3181A" w14:textId="77777777" w:rsidR="009876FE" w:rsidRDefault="009876FE" w:rsidP="002211FA">
      <w:pPr>
        <w:spacing w:before="121"/>
      </w:pPr>
      <w:r>
        <w:t>The EMA assessment concluded that the PK data package was appropriate overall, and considered</w:t>
      </w:r>
      <w:r w:rsidRPr="002211FA">
        <w:t xml:space="preserve"> </w:t>
      </w:r>
      <w:r>
        <w:t>that,</w:t>
      </w:r>
      <w:r w:rsidRPr="002211FA">
        <w:t xml:space="preserve"> </w:t>
      </w:r>
      <w:r>
        <w:t>based</w:t>
      </w:r>
      <w:r w:rsidRPr="002211FA">
        <w:t xml:space="preserve"> </w:t>
      </w:r>
      <w:r>
        <w:t>on</w:t>
      </w:r>
      <w:r w:rsidRPr="002211FA">
        <w:t xml:space="preserve"> </w:t>
      </w:r>
      <w:proofErr w:type="spellStart"/>
      <w:r>
        <w:t>popPK</w:t>
      </w:r>
      <w:proofErr w:type="spellEnd"/>
      <w:r w:rsidRPr="002211FA">
        <w:t xml:space="preserve"> </w:t>
      </w:r>
      <w:r>
        <w:t>data</w:t>
      </w:r>
      <w:r w:rsidRPr="002211FA">
        <w:t xml:space="preserve"> </w:t>
      </w:r>
      <w:r>
        <w:t>provided,</w:t>
      </w:r>
      <w:r w:rsidRPr="002211FA">
        <w:t xml:space="preserve"> </w:t>
      </w:r>
      <w:r>
        <w:t>dose</w:t>
      </w:r>
      <w:r w:rsidRPr="002211FA">
        <w:t xml:space="preserve"> </w:t>
      </w:r>
      <w:r>
        <w:t>adjustment</w:t>
      </w:r>
      <w:r w:rsidRPr="002211FA">
        <w:t xml:space="preserve"> </w:t>
      </w:r>
      <w:r>
        <w:t>in</w:t>
      </w:r>
      <w:r w:rsidRPr="002211FA">
        <w:t xml:space="preserve"> </w:t>
      </w:r>
      <w:r>
        <w:t>hepatic</w:t>
      </w:r>
      <w:r w:rsidRPr="002211FA">
        <w:t xml:space="preserve"> </w:t>
      </w:r>
      <w:r>
        <w:t>impairment</w:t>
      </w:r>
      <w:r w:rsidRPr="002211FA">
        <w:t xml:space="preserve"> </w:t>
      </w:r>
      <w:r>
        <w:t>is</w:t>
      </w:r>
      <w:r w:rsidRPr="002211FA">
        <w:t xml:space="preserve"> </w:t>
      </w:r>
      <w:r>
        <w:t>not required, and that whilst no dose adjustment is required in mild renal impairment, there is insufficient data relating to moderate and severe renal impairment.</w:t>
      </w:r>
    </w:p>
    <w:p w14:paraId="1EE07B7C" w14:textId="1EBD7BA5" w:rsidR="009876FE" w:rsidRPr="002211FA" w:rsidRDefault="00E806E2" w:rsidP="00E806E2">
      <w:pPr>
        <w:pStyle w:val="Heading6"/>
      </w:pPr>
      <w:bookmarkStart w:id="64" w:name="Pharmacokinetics_for_the_SC_formulation"/>
      <w:bookmarkEnd w:id="64"/>
      <w:r>
        <w:t>PK</w:t>
      </w:r>
      <w:r w:rsidR="009876FE" w:rsidRPr="002211FA">
        <w:t xml:space="preserve"> for the SC formulation</w:t>
      </w:r>
    </w:p>
    <w:p w14:paraId="24EDF5F3" w14:textId="77777777" w:rsidR="009876FE" w:rsidRDefault="009876FE" w:rsidP="002211FA">
      <w:pPr>
        <w:spacing w:before="121"/>
      </w:pPr>
      <w:r>
        <w:t>Evaluable PK data for the</w:t>
      </w:r>
      <w:r w:rsidRPr="002211FA">
        <w:t xml:space="preserve"> </w:t>
      </w:r>
      <w:r>
        <w:t>SC formulation in healthy</w:t>
      </w:r>
      <w:r w:rsidRPr="002211FA">
        <w:t xml:space="preserve"> </w:t>
      </w:r>
      <w:r>
        <w:t>subjects was contained in</w:t>
      </w:r>
      <w:r w:rsidRPr="002211FA">
        <w:t xml:space="preserve"> </w:t>
      </w:r>
      <w:r>
        <w:t xml:space="preserve">study ARGX-113-1702, a Phase 1, randomised, open-label, parallel-group study comparing PK and PD of IV and SC formulations of efgartigimod, study ARGX-113-1901, a Phase 1, randomised, open-label, parallel-group study investigating PK and PD of 4 dose levels of efgartigimod formulated with </w:t>
      </w:r>
      <w:r>
        <w:lastRenderedPageBreak/>
        <w:t xml:space="preserve">the dispersing agent rHuPH20, and study ARGX-113-1907, a Phase 1, randomised, open-label, parallel-group non-inferiority study comparing PD of IV and SC formulations (with rHuPH20), with PK data also reported. PK data in patients with </w:t>
      </w:r>
      <w:proofErr w:type="spellStart"/>
      <w:r>
        <w:t>gMG</w:t>
      </w:r>
      <w:proofErr w:type="spellEnd"/>
      <w:r>
        <w:t xml:space="preserve"> was contained in study ARGX-113-2001,</w:t>
      </w:r>
      <w:r w:rsidRPr="002211FA">
        <w:t xml:space="preserve"> </w:t>
      </w:r>
      <w:r>
        <w:t>a</w:t>
      </w:r>
      <w:r w:rsidRPr="002211FA">
        <w:t xml:space="preserve"> </w:t>
      </w:r>
      <w:r>
        <w:t>Phase</w:t>
      </w:r>
      <w:r w:rsidRPr="002211FA">
        <w:t xml:space="preserve"> </w:t>
      </w:r>
      <w:r>
        <w:t>3,</w:t>
      </w:r>
      <w:r w:rsidRPr="002211FA">
        <w:t xml:space="preserve"> </w:t>
      </w:r>
      <w:r>
        <w:t>randomised,</w:t>
      </w:r>
      <w:r w:rsidRPr="002211FA">
        <w:t xml:space="preserve"> </w:t>
      </w:r>
      <w:r>
        <w:t>open-label,</w:t>
      </w:r>
      <w:r w:rsidRPr="002211FA">
        <w:t xml:space="preserve"> </w:t>
      </w:r>
      <w:r>
        <w:t>parallel-group</w:t>
      </w:r>
      <w:r w:rsidRPr="002211FA">
        <w:t xml:space="preserve"> </w:t>
      </w:r>
      <w:r>
        <w:t>non-inferiority</w:t>
      </w:r>
      <w:r w:rsidRPr="002211FA">
        <w:t xml:space="preserve"> </w:t>
      </w:r>
      <w:r>
        <w:t>study</w:t>
      </w:r>
      <w:r w:rsidRPr="002211FA">
        <w:t xml:space="preserve"> </w:t>
      </w:r>
      <w:r>
        <w:t>comparing IV and SC formulations (with rHuPH20) over 4 treatment administrations, and the interim report for study</w:t>
      </w:r>
      <w:r w:rsidRPr="002211FA">
        <w:t xml:space="preserve"> </w:t>
      </w:r>
      <w:r>
        <w:t>ARGX-113-2002,</w:t>
      </w:r>
      <w:r w:rsidRPr="002211FA">
        <w:t xml:space="preserve"> </w:t>
      </w:r>
      <w:r>
        <w:t>a</w:t>
      </w:r>
      <w:r w:rsidRPr="002211FA">
        <w:t xml:space="preserve"> </w:t>
      </w:r>
      <w:r>
        <w:t>Phase</w:t>
      </w:r>
      <w:r w:rsidRPr="002211FA">
        <w:t xml:space="preserve"> </w:t>
      </w:r>
      <w:r>
        <w:t>3,</w:t>
      </w:r>
      <w:r w:rsidRPr="002211FA">
        <w:t xml:space="preserve"> </w:t>
      </w:r>
      <w:r>
        <w:t>long-term,</w:t>
      </w:r>
      <w:r w:rsidRPr="002211FA">
        <w:t xml:space="preserve"> </w:t>
      </w:r>
      <w:r>
        <w:t>open-label</w:t>
      </w:r>
      <w:r w:rsidRPr="002211FA">
        <w:t xml:space="preserve"> </w:t>
      </w:r>
      <w:r>
        <w:t>study</w:t>
      </w:r>
      <w:r w:rsidRPr="002211FA">
        <w:t xml:space="preserve"> </w:t>
      </w:r>
      <w:r>
        <w:t>assessing</w:t>
      </w:r>
      <w:r w:rsidRPr="002211FA">
        <w:t xml:space="preserve"> </w:t>
      </w:r>
      <w:r>
        <w:t>multiple</w:t>
      </w:r>
      <w:r w:rsidRPr="002211FA">
        <w:t xml:space="preserve"> </w:t>
      </w:r>
      <w:r>
        <w:t>SC</w:t>
      </w:r>
      <w:r w:rsidRPr="002211FA">
        <w:t xml:space="preserve"> </w:t>
      </w:r>
      <w:r>
        <w:t>doses</w:t>
      </w:r>
      <w:r w:rsidRPr="002211FA">
        <w:t xml:space="preserve"> </w:t>
      </w:r>
      <w:r>
        <w:t>(with rHuPH20), primarily for safety.</w:t>
      </w:r>
    </w:p>
    <w:p w14:paraId="58014411" w14:textId="77777777" w:rsidR="009876FE" w:rsidRDefault="009876FE" w:rsidP="002211FA">
      <w:pPr>
        <w:spacing w:before="121"/>
      </w:pPr>
      <w:r>
        <w:t xml:space="preserve">The </w:t>
      </w:r>
      <w:proofErr w:type="spellStart"/>
      <w:r>
        <w:t>popPK</w:t>
      </w:r>
      <w:proofErr w:type="spellEnd"/>
      <w:r>
        <w:t xml:space="preserve"> model for the</w:t>
      </w:r>
      <w:r w:rsidRPr="002211FA">
        <w:t xml:space="preserve"> </w:t>
      </w:r>
      <w:r>
        <w:t>SC formulation</w:t>
      </w:r>
      <w:r w:rsidRPr="002211FA">
        <w:t xml:space="preserve"> </w:t>
      </w:r>
      <w:r>
        <w:t>was based</w:t>
      </w:r>
      <w:r w:rsidRPr="002211FA">
        <w:t xml:space="preserve"> </w:t>
      </w:r>
      <w:r>
        <w:t>on</w:t>
      </w:r>
      <w:r w:rsidRPr="002211FA">
        <w:t xml:space="preserve"> </w:t>
      </w:r>
      <w:r>
        <w:t xml:space="preserve">a 3-compartment PK model for the IV treatment, and included healthy subject data from the IV only studies ARGX-113-1501 and ARGX-113-1702 and SC formulation studies ARGX-113-1901 and ARGX-113-1907, and </w:t>
      </w:r>
      <w:proofErr w:type="spellStart"/>
      <w:r>
        <w:t>gMG</w:t>
      </w:r>
      <w:proofErr w:type="spellEnd"/>
      <w:r>
        <w:t xml:space="preserve"> patient</w:t>
      </w:r>
      <w:r w:rsidRPr="002211FA">
        <w:t xml:space="preserve"> </w:t>
      </w:r>
      <w:r>
        <w:t>data</w:t>
      </w:r>
      <w:r w:rsidRPr="002211FA">
        <w:t xml:space="preserve"> </w:t>
      </w:r>
      <w:r>
        <w:t>relating</w:t>
      </w:r>
      <w:r w:rsidRPr="002211FA">
        <w:t xml:space="preserve"> </w:t>
      </w:r>
      <w:r>
        <w:t>to</w:t>
      </w:r>
      <w:r w:rsidRPr="002211FA">
        <w:t xml:space="preserve"> </w:t>
      </w:r>
      <w:r>
        <w:t>both</w:t>
      </w:r>
      <w:r w:rsidRPr="002211FA">
        <w:t xml:space="preserve"> </w:t>
      </w:r>
      <w:r>
        <w:t>IV</w:t>
      </w:r>
      <w:r w:rsidRPr="002211FA">
        <w:t xml:space="preserve"> </w:t>
      </w:r>
      <w:r>
        <w:t>and</w:t>
      </w:r>
      <w:r w:rsidRPr="002211FA">
        <w:t xml:space="preserve"> </w:t>
      </w:r>
      <w:r>
        <w:t>SC</w:t>
      </w:r>
      <w:r w:rsidRPr="002211FA">
        <w:t xml:space="preserve"> </w:t>
      </w:r>
      <w:r>
        <w:t>formulations</w:t>
      </w:r>
      <w:r w:rsidRPr="002211FA">
        <w:t xml:space="preserve"> </w:t>
      </w:r>
      <w:r>
        <w:t>from</w:t>
      </w:r>
      <w:r w:rsidRPr="002211FA">
        <w:t xml:space="preserve"> </w:t>
      </w:r>
      <w:r>
        <w:t>studies</w:t>
      </w:r>
      <w:r w:rsidRPr="002211FA">
        <w:t xml:space="preserve"> </w:t>
      </w:r>
      <w:r>
        <w:t>ARGX-113-1602</w:t>
      </w:r>
      <w:r w:rsidRPr="002211FA">
        <w:t xml:space="preserve"> </w:t>
      </w:r>
      <w:r>
        <w:t>and</w:t>
      </w:r>
      <w:r w:rsidRPr="002211FA">
        <w:t xml:space="preserve"> </w:t>
      </w:r>
      <w:r>
        <w:t xml:space="preserve">ARGX-113-1704. The model was updated with data from ARGX-113-2001 with re-estimation of </w:t>
      </w:r>
      <w:r w:rsidRPr="002211FA">
        <w:t>parameters.</w:t>
      </w:r>
    </w:p>
    <w:p w14:paraId="439D2362" w14:textId="77777777" w:rsidR="009876FE" w:rsidRDefault="009876FE" w:rsidP="002211FA">
      <w:pPr>
        <w:spacing w:before="121"/>
      </w:pPr>
      <w:r>
        <w:t xml:space="preserve">Based on </w:t>
      </w:r>
      <w:proofErr w:type="spellStart"/>
      <w:r>
        <w:t>popPK</w:t>
      </w:r>
      <w:proofErr w:type="spellEnd"/>
      <w:r>
        <w:t xml:space="preserve"> modelling the estimated bioavailability after SC administration is 76.5%, </w:t>
      </w:r>
      <w:r w:rsidRPr="002211FA">
        <w:t xml:space="preserve">median </w:t>
      </w:r>
      <w:proofErr w:type="spellStart"/>
      <w:r w:rsidRPr="002211FA">
        <w:t>Cmax</w:t>
      </w:r>
      <w:proofErr w:type="spellEnd"/>
      <w:r w:rsidRPr="002211FA">
        <w:t xml:space="preserve"> 48 µg/mL and median </w:t>
      </w:r>
      <w:proofErr w:type="spellStart"/>
      <w:r w:rsidRPr="002211FA">
        <w:t>tmax</w:t>
      </w:r>
      <w:proofErr w:type="spellEnd"/>
      <w:r w:rsidRPr="002211FA">
        <w:t xml:space="preserve"> 48 hours, and volume of distribution 18 L. Elimination is comparable between the formulations, with median t1/2 78.7 hours and 82.7 hours for the IV and </w:t>
      </w:r>
      <w:r>
        <w:t>SC formulations respectively. Dose proportionality</w:t>
      </w:r>
      <w:r w:rsidRPr="002211FA">
        <w:t xml:space="preserve"> </w:t>
      </w:r>
      <w:r>
        <w:t xml:space="preserve">has not been assessed after SC dosing; based </w:t>
      </w:r>
      <w:r w:rsidRPr="002211FA">
        <w:t xml:space="preserve">on evaluation of </w:t>
      </w:r>
      <w:proofErr w:type="spellStart"/>
      <w:r w:rsidRPr="002211FA">
        <w:t>Ctrough</w:t>
      </w:r>
      <w:proofErr w:type="spellEnd"/>
      <w:r w:rsidRPr="002211FA">
        <w:t xml:space="preserve"> accumulation of efgartigimod after the fourth administration compared to after the first administration of the SC formulation was minimal. Based on consistent </w:t>
      </w:r>
      <w:proofErr w:type="spellStart"/>
      <w:r w:rsidRPr="002211FA">
        <w:t>Ctrough</w:t>
      </w:r>
      <w:proofErr w:type="spellEnd"/>
      <w:r w:rsidRPr="002211FA">
        <w:t xml:space="preserve"> </w:t>
      </w:r>
      <w:r>
        <w:t>across treatment cycles, the PK of efgartigimod did not appear to change over time with</w:t>
      </w:r>
      <w:r w:rsidRPr="002211FA">
        <w:t xml:space="preserve"> </w:t>
      </w:r>
      <w:r>
        <w:t>multiple cycles.</w:t>
      </w:r>
    </w:p>
    <w:p w14:paraId="7E632CF5" w14:textId="77777777" w:rsidR="009876FE" w:rsidRDefault="009876FE" w:rsidP="002211FA">
      <w:pPr>
        <w:spacing w:before="121"/>
      </w:pPr>
      <w:r>
        <w:t>In a categorical evaluation, patients with mild renal impairment (eGFR</w:t>
      </w:r>
      <w:r w:rsidRPr="002211FA">
        <w:t xml:space="preserve"> </w:t>
      </w:r>
      <w:r>
        <w:t xml:space="preserve">≥ 60 to &lt; 90 </w:t>
      </w:r>
      <w:r w:rsidRPr="002211FA">
        <w:t xml:space="preserve">mL/min/1.73m2) were estimated to show 11% (90% CI: 3% to 19%) higher AUC0-168h, </w:t>
      </w:r>
      <w:r>
        <w:t>compared</w:t>
      </w:r>
      <w:r w:rsidRPr="002211FA">
        <w:t xml:space="preserve"> </w:t>
      </w:r>
      <w:r>
        <w:t>to</w:t>
      </w:r>
      <w:r w:rsidRPr="002211FA">
        <w:t xml:space="preserve"> </w:t>
      </w:r>
      <w:r>
        <w:t>patients</w:t>
      </w:r>
      <w:r w:rsidRPr="002211FA">
        <w:t xml:space="preserve"> </w:t>
      </w:r>
      <w:r>
        <w:t>with</w:t>
      </w:r>
      <w:r w:rsidRPr="002211FA">
        <w:t xml:space="preserve"> </w:t>
      </w:r>
      <w:r>
        <w:t>normal</w:t>
      </w:r>
      <w:r w:rsidRPr="002211FA">
        <w:t xml:space="preserve"> </w:t>
      </w:r>
      <w:r>
        <w:t>renal</w:t>
      </w:r>
      <w:r w:rsidRPr="002211FA">
        <w:t xml:space="preserve"> </w:t>
      </w:r>
      <w:r>
        <w:t>function</w:t>
      </w:r>
      <w:r w:rsidRPr="002211FA">
        <w:t xml:space="preserve"> </w:t>
      </w:r>
      <w:r>
        <w:t>(eGFR</w:t>
      </w:r>
      <w:r w:rsidRPr="002211FA">
        <w:t xml:space="preserve"> </w:t>
      </w:r>
      <w:r>
        <w:t>≥</w:t>
      </w:r>
      <w:r w:rsidRPr="002211FA">
        <w:t xml:space="preserve"> </w:t>
      </w:r>
      <w:r>
        <w:t>90</w:t>
      </w:r>
      <w:r w:rsidRPr="002211FA">
        <w:t xml:space="preserve"> </w:t>
      </w:r>
      <w:r>
        <w:t>mL/min/1.73m</w:t>
      </w:r>
      <w:r w:rsidRPr="002211FA">
        <w:t>2</w:t>
      </w:r>
      <w:r>
        <w:t>).</w:t>
      </w:r>
      <w:r w:rsidRPr="002211FA">
        <w:t xml:space="preserve"> </w:t>
      </w:r>
      <w:r>
        <w:t>No</w:t>
      </w:r>
      <w:r w:rsidRPr="002211FA">
        <w:t xml:space="preserve"> </w:t>
      </w:r>
      <w:r>
        <w:t>patients</w:t>
      </w:r>
      <w:r w:rsidRPr="002211FA">
        <w:t xml:space="preserve"> </w:t>
      </w:r>
      <w:r>
        <w:t xml:space="preserve">with </w:t>
      </w:r>
      <w:proofErr w:type="spellStart"/>
      <w:r>
        <w:t>gMG</w:t>
      </w:r>
      <w:proofErr w:type="spellEnd"/>
      <w:r>
        <w:t xml:space="preserve"> and impaired hepatic function were studied; </w:t>
      </w:r>
      <w:proofErr w:type="spellStart"/>
      <w:r>
        <w:t>popPK</w:t>
      </w:r>
      <w:proofErr w:type="spellEnd"/>
      <w:r>
        <w:t xml:space="preserve"> analysis did not identify any influence of markers of hepatic function. There were no clinically significant differences identified in exposure based on gender, whilst neither age nor race was not found to influence model parameters on </w:t>
      </w:r>
      <w:proofErr w:type="spellStart"/>
      <w:r>
        <w:t>popPK</w:t>
      </w:r>
      <w:proofErr w:type="spellEnd"/>
      <w:r>
        <w:t>/population PD analysis.</w:t>
      </w:r>
    </w:p>
    <w:p w14:paraId="681D10D4" w14:textId="2B9E5831" w:rsidR="009876FE" w:rsidRDefault="009876FE" w:rsidP="002211FA">
      <w:pPr>
        <w:spacing w:before="121"/>
      </w:pPr>
      <w:r>
        <w:t>Results of all analyses indicate that effect of body weight on exposure of efgartigimod is limited and not clinically relevant. Population PK modelling was undertaken to compare PK after fixed dosing of efgartigimod with the SC formulation to</w:t>
      </w:r>
      <w:r w:rsidRPr="002211FA">
        <w:t xml:space="preserve"> </w:t>
      </w:r>
      <w:r>
        <w:t>weight-based dosing with</w:t>
      </w:r>
      <w:r w:rsidRPr="002211FA">
        <w:t xml:space="preserve"> </w:t>
      </w:r>
      <w:r>
        <w:t>the IV formulation, using both actual and modelled exposure PK data from healthy</w:t>
      </w:r>
      <w:r w:rsidRPr="002211FA">
        <w:t xml:space="preserve"> </w:t>
      </w:r>
      <w:r>
        <w:t xml:space="preserve">subjects and </w:t>
      </w:r>
      <w:proofErr w:type="spellStart"/>
      <w:r>
        <w:t>gMG</w:t>
      </w:r>
      <w:proofErr w:type="spellEnd"/>
      <w:r>
        <w:t xml:space="preserve"> patients, with administration of efgartigimod IV 10 mg/kg in participants in the weight range ≥ 60kg and &lt; </w:t>
      </w:r>
      <w:r w:rsidRPr="002211FA">
        <w:t>90kg as a reference. Estimated AUC0-168h was comparable across the body weight groups, &lt;60kg,</w:t>
      </w:r>
      <w:r w:rsidR="002211FA">
        <w:t xml:space="preserve"> </w:t>
      </w:r>
      <w:r>
        <w:t>≥</w:t>
      </w:r>
      <w:r>
        <w:rPr>
          <w:spacing w:val="-2"/>
        </w:rPr>
        <w:t xml:space="preserve"> </w:t>
      </w:r>
      <w:r>
        <w:t>60kg</w:t>
      </w:r>
      <w:r>
        <w:rPr>
          <w:spacing w:val="-1"/>
        </w:rPr>
        <w:t xml:space="preserve"> </w:t>
      </w:r>
      <w:r>
        <w:t>to</w:t>
      </w:r>
      <w:r>
        <w:rPr>
          <w:spacing w:val="-2"/>
        </w:rPr>
        <w:t xml:space="preserve"> </w:t>
      </w:r>
      <w:r>
        <w:t>&lt;</w:t>
      </w:r>
      <w:r>
        <w:rPr>
          <w:spacing w:val="-2"/>
        </w:rPr>
        <w:t xml:space="preserve"> </w:t>
      </w:r>
      <w:r>
        <w:t>90kg,</w:t>
      </w:r>
      <w:r>
        <w:rPr>
          <w:spacing w:val="-4"/>
        </w:rPr>
        <w:t xml:space="preserve"> </w:t>
      </w:r>
      <w:r>
        <w:t>and</w:t>
      </w:r>
      <w:r>
        <w:rPr>
          <w:spacing w:val="-2"/>
        </w:rPr>
        <w:t xml:space="preserve"> </w:t>
      </w:r>
      <w:r>
        <w:t>≥</w:t>
      </w:r>
      <w:r>
        <w:rPr>
          <w:spacing w:val="-2"/>
        </w:rPr>
        <w:t xml:space="preserve"> </w:t>
      </w:r>
      <w:r>
        <w:t>90kg,</w:t>
      </w:r>
      <w:r>
        <w:rPr>
          <w:spacing w:val="-2"/>
        </w:rPr>
        <w:t xml:space="preserve"> </w:t>
      </w:r>
      <w:r>
        <w:t>with</w:t>
      </w:r>
      <w:r>
        <w:rPr>
          <w:spacing w:val="-1"/>
        </w:rPr>
        <w:t xml:space="preserve"> </w:t>
      </w:r>
      <w:r>
        <w:t>the</w:t>
      </w:r>
      <w:r>
        <w:rPr>
          <w:spacing w:val="-2"/>
        </w:rPr>
        <w:t xml:space="preserve"> </w:t>
      </w:r>
      <w:r>
        <w:t>90%</w:t>
      </w:r>
      <w:r>
        <w:rPr>
          <w:spacing w:val="-2"/>
        </w:rPr>
        <w:t xml:space="preserve"> </w:t>
      </w:r>
      <w:r>
        <w:t>CI</w:t>
      </w:r>
      <w:r>
        <w:rPr>
          <w:spacing w:val="-2"/>
        </w:rPr>
        <w:t xml:space="preserve"> </w:t>
      </w:r>
      <w:r>
        <w:t>of</w:t>
      </w:r>
      <w:r>
        <w:rPr>
          <w:spacing w:val="-2"/>
        </w:rPr>
        <w:t xml:space="preserve"> </w:t>
      </w:r>
      <w:r>
        <w:t>the</w:t>
      </w:r>
      <w:r>
        <w:rPr>
          <w:spacing w:val="-2"/>
        </w:rPr>
        <w:t xml:space="preserve"> </w:t>
      </w:r>
      <w:r>
        <w:t>geometric</w:t>
      </w:r>
      <w:r>
        <w:rPr>
          <w:spacing w:val="-1"/>
        </w:rPr>
        <w:t xml:space="preserve"> </w:t>
      </w:r>
      <w:r>
        <w:t>mean</w:t>
      </w:r>
      <w:r>
        <w:rPr>
          <w:spacing w:val="-3"/>
        </w:rPr>
        <w:t xml:space="preserve"> </w:t>
      </w:r>
      <w:r>
        <w:t>ration</w:t>
      </w:r>
      <w:r>
        <w:rPr>
          <w:spacing w:val="-3"/>
        </w:rPr>
        <w:t xml:space="preserve"> </w:t>
      </w:r>
      <w:r>
        <w:t>falling</w:t>
      </w:r>
      <w:r>
        <w:rPr>
          <w:spacing w:val="-1"/>
        </w:rPr>
        <w:t xml:space="preserve"> </w:t>
      </w:r>
      <w:r>
        <w:t>within bioequivalence margins of 0.8 to 1.25.</w:t>
      </w:r>
    </w:p>
    <w:p w14:paraId="3E1B79CB" w14:textId="2CC0FAFC" w:rsidR="009876FE" w:rsidRDefault="009876FE" w:rsidP="002211FA">
      <w:pPr>
        <w:spacing w:before="121"/>
      </w:pPr>
      <w:r>
        <w:t>The</w:t>
      </w:r>
      <w:r w:rsidRPr="002211FA">
        <w:t xml:space="preserve"> </w:t>
      </w:r>
      <w:r>
        <w:t>EMA</w:t>
      </w:r>
      <w:r w:rsidRPr="002211FA">
        <w:t xml:space="preserve"> </w:t>
      </w:r>
      <w:r>
        <w:t>assessment</w:t>
      </w:r>
      <w:r w:rsidRPr="002211FA">
        <w:t xml:space="preserve"> </w:t>
      </w:r>
      <w:r>
        <w:t>concluded</w:t>
      </w:r>
      <w:r w:rsidRPr="002211FA">
        <w:t xml:space="preserve"> </w:t>
      </w:r>
      <w:r>
        <w:t>that</w:t>
      </w:r>
      <w:r w:rsidRPr="002211FA">
        <w:t xml:space="preserve"> </w:t>
      </w:r>
      <w:r>
        <w:t>the</w:t>
      </w:r>
      <w:r w:rsidRPr="002211FA">
        <w:t xml:space="preserve"> </w:t>
      </w:r>
      <w:r>
        <w:t>PK</w:t>
      </w:r>
      <w:r w:rsidRPr="002211FA">
        <w:t xml:space="preserve"> </w:t>
      </w:r>
      <w:r>
        <w:t>data</w:t>
      </w:r>
      <w:r w:rsidRPr="002211FA">
        <w:t xml:space="preserve"> </w:t>
      </w:r>
      <w:r>
        <w:t>package</w:t>
      </w:r>
      <w:r w:rsidRPr="002211FA">
        <w:t xml:space="preserve"> </w:t>
      </w:r>
      <w:r>
        <w:t>was</w:t>
      </w:r>
      <w:r w:rsidRPr="002211FA">
        <w:t xml:space="preserve"> </w:t>
      </w:r>
      <w:r>
        <w:t>adequate</w:t>
      </w:r>
      <w:r w:rsidRPr="002211FA">
        <w:t xml:space="preserve"> </w:t>
      </w:r>
      <w:r>
        <w:t>for</w:t>
      </w:r>
      <w:r w:rsidRPr="002211FA">
        <w:t xml:space="preserve"> </w:t>
      </w:r>
      <w:r>
        <w:t>the</w:t>
      </w:r>
      <w:r w:rsidRPr="002211FA">
        <w:t xml:space="preserve"> </w:t>
      </w:r>
      <w:r>
        <w:t>SC</w:t>
      </w:r>
      <w:r w:rsidRPr="002211FA">
        <w:t xml:space="preserve"> </w:t>
      </w:r>
      <w:r w:rsidR="0091093E">
        <w:t>formulation but</w:t>
      </w:r>
      <w:r>
        <w:t xml:space="preserve"> requested submission of the final bioanalytical reports for the extension study ARGX-113-2002 upon study finalisation.</w:t>
      </w:r>
    </w:p>
    <w:p w14:paraId="3F1C4659" w14:textId="54BF60C7" w:rsidR="009876FE" w:rsidRPr="00C6263E" w:rsidRDefault="009876FE" w:rsidP="00245D53">
      <w:pPr>
        <w:pStyle w:val="Heading5"/>
      </w:pPr>
      <w:bookmarkStart w:id="65" w:name="Pharmacodynamics_(PD)"/>
      <w:bookmarkEnd w:id="65"/>
      <w:r w:rsidRPr="005B5A70">
        <w:t>Pharmacodynamics</w:t>
      </w:r>
      <w:r w:rsidRPr="00C6263E">
        <w:t xml:space="preserve"> (PD)</w:t>
      </w:r>
    </w:p>
    <w:p w14:paraId="3AC3A9DC" w14:textId="77777777" w:rsidR="009876FE" w:rsidRPr="00C6263E" w:rsidRDefault="009876FE" w:rsidP="00BC4960">
      <w:pPr>
        <w:pStyle w:val="Heading6"/>
      </w:pPr>
      <w:bookmarkStart w:id="66" w:name="Mechanism_of_action"/>
      <w:bookmarkEnd w:id="66"/>
      <w:r w:rsidRPr="00C6263E">
        <w:t>Mechanism of action</w:t>
      </w:r>
    </w:p>
    <w:p w14:paraId="7F583B7A" w14:textId="77777777" w:rsidR="009876FE" w:rsidRDefault="009876FE" w:rsidP="00C6263E">
      <w:pPr>
        <w:spacing w:before="121"/>
      </w:pPr>
      <w:r>
        <w:t>The neonatal Fc receptor (</w:t>
      </w:r>
      <w:proofErr w:type="spellStart"/>
      <w:r>
        <w:t>FcRn</w:t>
      </w:r>
      <w:proofErr w:type="spellEnd"/>
      <w:r>
        <w:t>) has a specific role in IgG homeostasis and recycles all IgG subtypes</w:t>
      </w:r>
      <w:r w:rsidRPr="00C6263E">
        <w:t xml:space="preserve"> </w:t>
      </w:r>
      <w:r>
        <w:t>(IgG1,</w:t>
      </w:r>
      <w:r w:rsidRPr="00C6263E">
        <w:t xml:space="preserve"> </w:t>
      </w:r>
      <w:r>
        <w:t>IgG2,</w:t>
      </w:r>
      <w:r w:rsidRPr="00C6263E">
        <w:t xml:space="preserve"> </w:t>
      </w:r>
      <w:r>
        <w:t>IgG3,</w:t>
      </w:r>
      <w:r w:rsidRPr="00C6263E">
        <w:t xml:space="preserve"> </w:t>
      </w:r>
      <w:r>
        <w:t>IgG4),</w:t>
      </w:r>
      <w:r w:rsidRPr="00C6263E">
        <w:t xml:space="preserve"> </w:t>
      </w:r>
      <w:r>
        <w:t>rescuing</w:t>
      </w:r>
      <w:r w:rsidRPr="00C6263E">
        <w:t xml:space="preserve"> </w:t>
      </w:r>
      <w:r>
        <w:t>them</w:t>
      </w:r>
      <w:r w:rsidRPr="00C6263E">
        <w:t xml:space="preserve"> </w:t>
      </w:r>
      <w:r>
        <w:t>from</w:t>
      </w:r>
      <w:r w:rsidRPr="00C6263E">
        <w:t xml:space="preserve"> </w:t>
      </w:r>
      <w:r>
        <w:t>intracellular</w:t>
      </w:r>
      <w:r w:rsidRPr="00C6263E">
        <w:t xml:space="preserve"> </w:t>
      </w:r>
      <w:r>
        <w:t>lysosomal</w:t>
      </w:r>
      <w:r w:rsidRPr="00C6263E">
        <w:t xml:space="preserve"> </w:t>
      </w:r>
      <w:r>
        <w:t>degradation.</w:t>
      </w:r>
      <w:r w:rsidRPr="00C6263E">
        <w:t xml:space="preserve"> </w:t>
      </w:r>
      <w:proofErr w:type="spellStart"/>
      <w:r>
        <w:t>FcRn</w:t>
      </w:r>
      <w:proofErr w:type="spellEnd"/>
      <w:r>
        <w:t xml:space="preserve"> binds to </w:t>
      </w:r>
      <w:proofErr w:type="spellStart"/>
      <w:r>
        <w:t>pinocytosed</w:t>
      </w:r>
      <w:proofErr w:type="spellEnd"/>
      <w:r>
        <w:t xml:space="preserve"> IgG and protects the IgG from transport to degradative lysosomes by recycling it back to the extracellular compartment. This </w:t>
      </w:r>
      <w:proofErr w:type="spellStart"/>
      <w:r>
        <w:t>FcRn</w:t>
      </w:r>
      <w:proofErr w:type="spellEnd"/>
      <w:r>
        <w:t xml:space="preserve">-mediated recycling accounts for the longer half-life and higher plasma concentrations of </w:t>
      </w:r>
      <w:proofErr w:type="spellStart"/>
      <w:r>
        <w:t>IgGs</w:t>
      </w:r>
      <w:proofErr w:type="spellEnd"/>
      <w:r>
        <w:t xml:space="preserve"> compared to other immunoglobulins that are not recycled by </w:t>
      </w:r>
      <w:proofErr w:type="spellStart"/>
      <w:r>
        <w:t>FcRn</w:t>
      </w:r>
      <w:proofErr w:type="spellEnd"/>
      <w:r>
        <w:t xml:space="preserve">. Efgartigimod alfa is a human IgG1 Fc-fragment </w:t>
      </w:r>
      <w:r>
        <w:lastRenderedPageBreak/>
        <w:t xml:space="preserve">modified to have an increased affinity to </w:t>
      </w:r>
      <w:proofErr w:type="spellStart"/>
      <w:r>
        <w:t>FcRn</w:t>
      </w:r>
      <w:proofErr w:type="spellEnd"/>
      <w:r>
        <w:t xml:space="preserve">. Efgartigimod outcompetes endogenous IgG binding, preventing </w:t>
      </w:r>
      <w:proofErr w:type="spellStart"/>
      <w:r>
        <w:t>FcRn</w:t>
      </w:r>
      <w:proofErr w:type="spellEnd"/>
      <w:r>
        <w:t xml:space="preserve">-mediated recycling of </w:t>
      </w:r>
      <w:proofErr w:type="spellStart"/>
      <w:r>
        <w:t>IgGs</w:t>
      </w:r>
      <w:proofErr w:type="spellEnd"/>
      <w:r>
        <w:t xml:space="preserve"> and results in increased IgG degradation including pathogenic IgG autoantibodies.</w:t>
      </w:r>
    </w:p>
    <w:p w14:paraId="76EEC05C" w14:textId="73399C11" w:rsidR="009876FE" w:rsidRPr="00C6263E" w:rsidRDefault="00BC4960" w:rsidP="00BC4960">
      <w:pPr>
        <w:pStyle w:val="Heading6"/>
      </w:pPr>
      <w:bookmarkStart w:id="67" w:name="Pharmacodynamics_for_the_IV_formulation"/>
      <w:bookmarkEnd w:id="67"/>
      <w:r>
        <w:t>PD</w:t>
      </w:r>
      <w:r w:rsidR="009876FE" w:rsidRPr="00C6263E">
        <w:t xml:space="preserve"> for the IV formulation</w:t>
      </w:r>
    </w:p>
    <w:p w14:paraId="4056922B" w14:textId="77777777" w:rsidR="009876FE" w:rsidRDefault="009876FE" w:rsidP="00C6263E">
      <w:pPr>
        <w:spacing w:before="121"/>
      </w:pPr>
      <w:r>
        <w:t xml:space="preserve">Evaluable PD data for the IV formulation in healthy subjects was contained in studies ARGX-113-1501 and ARGX-113-1702, which also contained PK data summarised above, and in patients with </w:t>
      </w:r>
      <w:proofErr w:type="spellStart"/>
      <w:r>
        <w:t>gMG</w:t>
      </w:r>
      <w:proofErr w:type="spellEnd"/>
      <w:r>
        <w:t xml:space="preserve"> in studies ARGX-113-1602 and ARGX-113-1704, both included in the PK section above, as well as study ARGX-113-1705, a Phase 3 open-label extension of ARGX-113-1704. PD markers in all studies included total IgG and IgG subtypes (IgG1, IgG2, IgG3, IgG4), whilst to assess selective reduction of IgG by efgartigimod some studies assessed other Ig isotypes</w:t>
      </w:r>
      <w:r w:rsidRPr="00C6263E">
        <w:t xml:space="preserve"> </w:t>
      </w:r>
      <w:r>
        <w:t>IgA,</w:t>
      </w:r>
      <w:r w:rsidRPr="00C6263E">
        <w:t xml:space="preserve"> </w:t>
      </w:r>
      <w:proofErr w:type="spellStart"/>
      <w:r>
        <w:t>IgD</w:t>
      </w:r>
      <w:proofErr w:type="spellEnd"/>
      <w:r>
        <w:t>,</w:t>
      </w:r>
      <w:r w:rsidRPr="00C6263E">
        <w:t xml:space="preserve"> </w:t>
      </w:r>
      <w:r>
        <w:t>IgE</w:t>
      </w:r>
      <w:r w:rsidRPr="00C6263E">
        <w:t xml:space="preserve"> </w:t>
      </w:r>
      <w:r>
        <w:t>and</w:t>
      </w:r>
      <w:r w:rsidRPr="00C6263E">
        <w:t xml:space="preserve"> </w:t>
      </w:r>
      <w:r>
        <w:t>IgM,</w:t>
      </w:r>
      <w:r w:rsidRPr="00C6263E">
        <w:t xml:space="preserve"> </w:t>
      </w:r>
      <w:r>
        <w:t>and</w:t>
      </w:r>
      <w:r w:rsidRPr="00C6263E">
        <w:t xml:space="preserve"> </w:t>
      </w:r>
      <w:r>
        <w:t>in</w:t>
      </w:r>
      <w:r w:rsidRPr="00C6263E">
        <w:t xml:space="preserve"> </w:t>
      </w:r>
      <w:r>
        <w:t>patients</w:t>
      </w:r>
      <w:r w:rsidRPr="00C6263E">
        <w:t xml:space="preserve"> </w:t>
      </w:r>
      <w:r>
        <w:t>with</w:t>
      </w:r>
      <w:r w:rsidRPr="00C6263E">
        <w:t xml:space="preserve"> </w:t>
      </w:r>
      <w:proofErr w:type="spellStart"/>
      <w:r>
        <w:t>gMG</w:t>
      </w:r>
      <w:proofErr w:type="spellEnd"/>
      <w:r>
        <w:t>,</w:t>
      </w:r>
      <w:r w:rsidRPr="00C6263E">
        <w:t xml:space="preserve"> </w:t>
      </w:r>
      <w:r>
        <w:t>the</w:t>
      </w:r>
      <w:r w:rsidRPr="00C6263E">
        <w:t xml:space="preserve"> </w:t>
      </w:r>
      <w:r>
        <w:t>autoantibodies</w:t>
      </w:r>
      <w:r w:rsidRPr="00C6263E">
        <w:t xml:space="preserve"> </w:t>
      </w:r>
      <w:proofErr w:type="spellStart"/>
      <w:r>
        <w:t>AChR</w:t>
      </w:r>
      <w:proofErr w:type="spellEnd"/>
      <w:r>
        <w:t>-Ab</w:t>
      </w:r>
      <w:r w:rsidRPr="00C6263E">
        <w:t xml:space="preserve"> </w:t>
      </w:r>
      <w:r>
        <w:t>and</w:t>
      </w:r>
      <w:r w:rsidRPr="00C6263E">
        <w:t xml:space="preserve"> </w:t>
      </w:r>
      <w:r>
        <w:t>anti-</w:t>
      </w:r>
      <w:proofErr w:type="spellStart"/>
      <w:r>
        <w:t>MuSK</w:t>
      </w:r>
      <w:proofErr w:type="spellEnd"/>
      <w:r>
        <w:t xml:space="preserve"> antibodies were assessed.</w:t>
      </w:r>
    </w:p>
    <w:p w14:paraId="271FC2E8" w14:textId="6DE4197F" w:rsidR="00516AD8" w:rsidRDefault="009876FE" w:rsidP="00A57BAC">
      <w:pPr>
        <w:spacing w:before="121"/>
        <w:rPr>
          <w:rFonts w:ascii="Calibri" w:eastAsia="Calibri" w:hAnsi="Calibri" w:cs="Calibri"/>
          <w:szCs w:val="22"/>
          <w:lang w:val="en-US"/>
        </w:rPr>
      </w:pPr>
      <w:r>
        <w:t xml:space="preserve">The PD effects elicited by efgartigimod were comparable in patients with </w:t>
      </w:r>
      <w:proofErr w:type="spellStart"/>
      <w:r>
        <w:t>gMG</w:t>
      </w:r>
      <w:proofErr w:type="spellEnd"/>
      <w:r>
        <w:t xml:space="preserve"> and healthy subjects.</w:t>
      </w:r>
      <w:r w:rsidRPr="00C6263E">
        <w:t xml:space="preserve"> </w:t>
      </w:r>
      <w:r>
        <w:t>After</w:t>
      </w:r>
      <w:r w:rsidRPr="00C6263E">
        <w:t xml:space="preserve"> </w:t>
      </w:r>
      <w:r>
        <w:t>administration</w:t>
      </w:r>
      <w:r w:rsidRPr="00C6263E">
        <w:t xml:space="preserve"> </w:t>
      </w:r>
      <w:r>
        <w:t>of</w:t>
      </w:r>
      <w:r w:rsidRPr="00C6263E">
        <w:t xml:space="preserve"> </w:t>
      </w:r>
      <w:r>
        <w:t>4</w:t>
      </w:r>
      <w:r w:rsidRPr="00C6263E">
        <w:t xml:space="preserve"> </w:t>
      </w:r>
      <w:r>
        <w:t>weekly</w:t>
      </w:r>
      <w:r w:rsidRPr="00C6263E">
        <w:t xml:space="preserve"> </w:t>
      </w:r>
      <w:r>
        <w:t>infusions</w:t>
      </w:r>
      <w:r w:rsidRPr="00C6263E">
        <w:t xml:space="preserve"> </w:t>
      </w:r>
      <w:r>
        <w:t>of</w:t>
      </w:r>
      <w:r w:rsidRPr="00C6263E">
        <w:t xml:space="preserve"> </w:t>
      </w:r>
      <w:r>
        <w:t>efgartigimod</w:t>
      </w:r>
      <w:r w:rsidRPr="00C6263E">
        <w:t xml:space="preserve"> </w:t>
      </w:r>
      <w:r>
        <w:t>IV</w:t>
      </w:r>
      <w:r w:rsidRPr="00C6263E">
        <w:t xml:space="preserve"> </w:t>
      </w:r>
      <w:r>
        <w:t>10</w:t>
      </w:r>
      <w:r w:rsidRPr="00C6263E">
        <w:t xml:space="preserve"> </w:t>
      </w:r>
      <w:r>
        <w:t>mg/kg,</w:t>
      </w:r>
      <w:r w:rsidRPr="00C6263E">
        <w:t xml:space="preserve"> </w:t>
      </w:r>
      <w:r>
        <w:t>the</w:t>
      </w:r>
      <w:r w:rsidRPr="00C6263E">
        <w:t xml:space="preserve"> </w:t>
      </w:r>
      <w:r>
        <w:t>pattern</w:t>
      </w:r>
      <w:r w:rsidRPr="00C6263E">
        <w:t xml:space="preserve"> </w:t>
      </w:r>
      <w:r>
        <w:t xml:space="preserve">of total IgG reduction was similar in both populations achieving a maximum reduction one week after the last infusion. Based on the change from baseline values, after 4 weekly infusions total IgG was reduced by approximately 70% in healthy subjects and 60% to 70% in patients with </w:t>
      </w:r>
      <w:proofErr w:type="spellStart"/>
      <w:r>
        <w:t>gMG</w:t>
      </w:r>
      <w:proofErr w:type="spellEnd"/>
      <w:r>
        <w:t>,</w:t>
      </w:r>
      <w:r w:rsidRPr="00C6263E">
        <w:t xml:space="preserve"> </w:t>
      </w:r>
      <w:r>
        <w:t>as</w:t>
      </w:r>
      <w:r w:rsidRPr="00C6263E">
        <w:t xml:space="preserve"> </w:t>
      </w:r>
      <w:r>
        <w:t>shown</w:t>
      </w:r>
      <w:r w:rsidRPr="00C6263E">
        <w:t xml:space="preserve"> </w:t>
      </w:r>
      <w:r>
        <w:t>in</w:t>
      </w:r>
      <w:r w:rsidRPr="00C6263E">
        <w:t xml:space="preserve"> </w:t>
      </w:r>
      <w:r>
        <w:t>Figure</w:t>
      </w:r>
      <w:r w:rsidRPr="00C6263E">
        <w:t xml:space="preserve"> </w:t>
      </w:r>
      <w:r>
        <w:t>1.</w:t>
      </w:r>
      <w:r w:rsidRPr="00C6263E">
        <w:t xml:space="preserve"> </w:t>
      </w:r>
      <w:r>
        <w:t>Whilst</w:t>
      </w:r>
      <w:r w:rsidRPr="00C6263E">
        <w:t xml:space="preserve"> </w:t>
      </w:r>
      <w:r>
        <w:t>total</w:t>
      </w:r>
      <w:r w:rsidRPr="00C6263E">
        <w:t xml:space="preserve"> </w:t>
      </w:r>
      <w:r>
        <w:t>IgG</w:t>
      </w:r>
      <w:r w:rsidRPr="00C6263E">
        <w:t xml:space="preserve"> </w:t>
      </w:r>
      <w:r>
        <w:t>baseline</w:t>
      </w:r>
      <w:r w:rsidRPr="00C6263E">
        <w:t xml:space="preserve"> </w:t>
      </w:r>
      <w:r>
        <w:t>values</w:t>
      </w:r>
      <w:r w:rsidRPr="00C6263E">
        <w:t xml:space="preserve"> </w:t>
      </w:r>
      <w:r>
        <w:t>differed</w:t>
      </w:r>
      <w:r w:rsidRPr="00C6263E">
        <w:t xml:space="preserve"> </w:t>
      </w:r>
      <w:r>
        <w:t>between</w:t>
      </w:r>
      <w:r w:rsidRPr="00C6263E">
        <w:t xml:space="preserve"> </w:t>
      </w:r>
      <w:r>
        <w:t>patients</w:t>
      </w:r>
      <w:r w:rsidRPr="00C6263E">
        <w:t xml:space="preserve"> </w:t>
      </w:r>
      <w:r>
        <w:t>with</w:t>
      </w:r>
      <w:r w:rsidRPr="00C6263E">
        <w:t xml:space="preserve"> </w:t>
      </w:r>
      <w:proofErr w:type="spellStart"/>
      <w:r>
        <w:t>gMG</w:t>
      </w:r>
      <w:proofErr w:type="spellEnd"/>
      <w:r>
        <w:t xml:space="preserve"> and</w:t>
      </w:r>
      <w:r w:rsidRPr="00C6263E">
        <w:t xml:space="preserve"> </w:t>
      </w:r>
      <w:r>
        <w:t>healthy</w:t>
      </w:r>
      <w:r w:rsidRPr="00C6263E">
        <w:t xml:space="preserve"> </w:t>
      </w:r>
      <w:r>
        <w:t>subjects,</w:t>
      </w:r>
      <w:r w:rsidRPr="00C6263E">
        <w:t xml:space="preserve"> </w:t>
      </w:r>
      <w:r>
        <w:t>reduction</w:t>
      </w:r>
      <w:r w:rsidRPr="00C6263E">
        <w:t xml:space="preserve"> </w:t>
      </w:r>
      <w:r>
        <w:t>following</w:t>
      </w:r>
      <w:r w:rsidRPr="00C6263E">
        <w:t xml:space="preserve"> </w:t>
      </w:r>
      <w:r>
        <w:t>4</w:t>
      </w:r>
      <w:r w:rsidRPr="00C6263E">
        <w:t xml:space="preserve"> </w:t>
      </w:r>
      <w:r>
        <w:t>weekly</w:t>
      </w:r>
      <w:r w:rsidRPr="00C6263E">
        <w:t xml:space="preserve"> </w:t>
      </w:r>
      <w:r>
        <w:t>infusions</w:t>
      </w:r>
      <w:r w:rsidRPr="00C6263E">
        <w:t xml:space="preserve"> </w:t>
      </w:r>
      <w:r>
        <w:t>consistently</w:t>
      </w:r>
      <w:r w:rsidRPr="00C6263E">
        <w:t xml:space="preserve"> </w:t>
      </w:r>
      <w:r>
        <w:t>reduced</w:t>
      </w:r>
      <w:r w:rsidRPr="00C6263E">
        <w:t xml:space="preserve"> </w:t>
      </w:r>
      <w:r>
        <w:t>total</w:t>
      </w:r>
      <w:r w:rsidRPr="00C6263E">
        <w:t xml:space="preserve"> </w:t>
      </w:r>
      <w:r>
        <w:t>IgG</w:t>
      </w:r>
      <w:r w:rsidRPr="00C6263E">
        <w:t xml:space="preserve"> </w:t>
      </w:r>
      <w:r>
        <w:t>to</w:t>
      </w:r>
      <w:r w:rsidRPr="00C6263E">
        <w:t xml:space="preserve"> </w:t>
      </w:r>
      <w:r>
        <w:t>a nadir level of 2500 to 3500 µg/mL in both populations.</w:t>
      </w:r>
    </w:p>
    <w:p w14:paraId="7E747D60" w14:textId="1D87898E" w:rsidR="00A76471" w:rsidRDefault="00A76471" w:rsidP="00A76471">
      <w:pPr>
        <w:pStyle w:val="FigureTitle"/>
      </w:pPr>
      <w:r>
        <w:t>Figure 1. Mean percent change from baseline in total IgG after 4 weekly infusions of efgartigimod</w:t>
      </w:r>
      <w:r>
        <w:rPr>
          <w:spacing w:val="-3"/>
        </w:rPr>
        <w:t xml:space="preserve"> </w:t>
      </w:r>
      <w:r>
        <w:t>IV</w:t>
      </w:r>
      <w:r>
        <w:rPr>
          <w:spacing w:val="-4"/>
        </w:rPr>
        <w:t xml:space="preserve"> </w:t>
      </w:r>
      <w:r>
        <w:t>10</w:t>
      </w:r>
      <w:r>
        <w:rPr>
          <w:spacing w:val="-2"/>
        </w:rPr>
        <w:t xml:space="preserve"> </w:t>
      </w:r>
      <w:r>
        <w:t>mg/kg</w:t>
      </w:r>
      <w:r>
        <w:rPr>
          <w:spacing w:val="-3"/>
        </w:rPr>
        <w:t xml:space="preserve"> </w:t>
      </w:r>
      <w:r>
        <w:t>in</w:t>
      </w:r>
      <w:r>
        <w:rPr>
          <w:spacing w:val="-2"/>
        </w:rPr>
        <w:t xml:space="preserve"> </w:t>
      </w:r>
      <w:r>
        <w:t>healthy</w:t>
      </w:r>
      <w:r>
        <w:rPr>
          <w:spacing w:val="-3"/>
        </w:rPr>
        <w:t xml:space="preserve"> </w:t>
      </w:r>
      <w:r>
        <w:t>subjects,</w:t>
      </w:r>
      <w:r>
        <w:rPr>
          <w:spacing w:val="-4"/>
        </w:rPr>
        <w:t xml:space="preserve"> </w:t>
      </w:r>
      <w:r>
        <w:t>and</w:t>
      </w:r>
      <w:r>
        <w:rPr>
          <w:spacing w:val="-3"/>
        </w:rPr>
        <w:t xml:space="preserve"> </w:t>
      </w:r>
      <w:r>
        <w:t>patients</w:t>
      </w:r>
      <w:r>
        <w:rPr>
          <w:spacing w:val="-4"/>
        </w:rPr>
        <w:t xml:space="preserve"> </w:t>
      </w:r>
      <w:r>
        <w:t>with</w:t>
      </w:r>
      <w:r>
        <w:rPr>
          <w:spacing w:val="-3"/>
        </w:rPr>
        <w:t xml:space="preserve"> </w:t>
      </w:r>
      <w:r>
        <w:t>generalised</w:t>
      </w:r>
      <w:r>
        <w:rPr>
          <w:spacing w:val="-3"/>
        </w:rPr>
        <w:t xml:space="preserve"> </w:t>
      </w:r>
      <w:r>
        <w:t xml:space="preserve">myasthenia </w:t>
      </w:r>
      <w:r>
        <w:rPr>
          <w:spacing w:val="-2"/>
        </w:rPr>
        <w:t>gravis</w:t>
      </w:r>
    </w:p>
    <w:p w14:paraId="5180D257" w14:textId="62B306EF" w:rsidR="0052547B" w:rsidRDefault="000F596E">
      <w:r w:rsidRPr="000F596E">
        <w:rPr>
          <w:noProof/>
        </w:rPr>
        <w:drawing>
          <wp:inline distT="0" distB="0" distL="0" distR="0" wp14:anchorId="15EC1945" wp14:editId="6E9BF66D">
            <wp:extent cx="5583600" cy="2887200"/>
            <wp:effectExtent l="0" t="0" r="0" b="8890"/>
            <wp:docPr id="876369956" name="Picture 1" descr="Figure 1. Mean percent change from baseline in total IgG after 4 weekly infusions of efgartigimod IV 10 mg/kg in healthy subjects, and patients with generalised myasthenia gr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69956" name="Picture 1" descr="Figure 1. Mean percent change from baseline in total IgG after 4 weekly infusions of efgartigimod IV 10 mg/kg in healthy subjects, and patients with generalised myasthenia gravis."/>
                    <pic:cNvPicPr/>
                  </pic:nvPicPr>
                  <pic:blipFill>
                    <a:blip r:embed="rId27"/>
                    <a:stretch>
                      <a:fillRect/>
                    </a:stretch>
                  </pic:blipFill>
                  <pic:spPr>
                    <a:xfrm>
                      <a:off x="0" y="0"/>
                      <a:ext cx="5583600" cy="2887200"/>
                    </a:xfrm>
                    <a:prstGeom prst="rect">
                      <a:avLst/>
                    </a:prstGeom>
                  </pic:spPr>
                </pic:pic>
              </a:graphicData>
            </a:graphic>
          </wp:inline>
        </w:drawing>
      </w:r>
      <w:r w:rsidR="008D28E7" w:rsidRPr="008D28E7">
        <w:rPr>
          <w:noProof/>
        </w:rPr>
        <w:drawing>
          <wp:inline distT="0" distB="0" distL="0" distR="0" wp14:anchorId="70A36FBA" wp14:editId="751A9F66">
            <wp:extent cx="5848393" cy="819156"/>
            <wp:effectExtent l="0" t="0" r="0" b="0"/>
            <wp:docPr id="909471379"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71379" name="Picture 1" descr="A black text on a white background&#10;&#10;AI-generated content may be incorrect."/>
                    <pic:cNvPicPr/>
                  </pic:nvPicPr>
                  <pic:blipFill>
                    <a:blip r:embed="rId28"/>
                    <a:stretch>
                      <a:fillRect/>
                    </a:stretch>
                  </pic:blipFill>
                  <pic:spPr>
                    <a:xfrm>
                      <a:off x="0" y="0"/>
                      <a:ext cx="5848393" cy="819156"/>
                    </a:xfrm>
                    <a:prstGeom prst="rect">
                      <a:avLst/>
                    </a:prstGeom>
                  </pic:spPr>
                </pic:pic>
              </a:graphicData>
            </a:graphic>
          </wp:inline>
        </w:drawing>
      </w:r>
    </w:p>
    <w:p w14:paraId="55F0A9EC" w14:textId="55D3A670" w:rsidR="00387E8D" w:rsidRDefault="00387E8D" w:rsidP="006B6D16">
      <w:pPr>
        <w:spacing w:before="121"/>
      </w:pPr>
      <w:r>
        <w:t xml:space="preserve">The reduction of </w:t>
      </w:r>
      <w:proofErr w:type="spellStart"/>
      <w:r>
        <w:t>AChR</w:t>
      </w:r>
      <w:proofErr w:type="spellEnd"/>
      <w:r>
        <w:t>-Ab clearly followed the pattern of reduction of total IgG, and the time course and magnitude in reduction of the PD markers in subsequent cycles was comparable to cycle</w:t>
      </w:r>
      <w:r w:rsidRPr="006B6D16">
        <w:t xml:space="preserve"> </w:t>
      </w:r>
      <w:r>
        <w:t>1.</w:t>
      </w:r>
      <w:r w:rsidRPr="006B6D16">
        <w:t xml:space="preserve"> </w:t>
      </w:r>
      <w:r>
        <w:t>Across</w:t>
      </w:r>
      <w:r w:rsidRPr="006B6D16">
        <w:t xml:space="preserve"> </w:t>
      </w:r>
      <w:r>
        <w:t>the</w:t>
      </w:r>
      <w:r w:rsidRPr="006B6D16">
        <w:t xml:space="preserve"> </w:t>
      </w:r>
      <w:r>
        <w:t>studies,</w:t>
      </w:r>
      <w:r w:rsidRPr="006B6D16">
        <w:t xml:space="preserve"> </w:t>
      </w:r>
      <w:r>
        <w:t>similar</w:t>
      </w:r>
      <w:r w:rsidRPr="006B6D16">
        <w:t xml:space="preserve"> </w:t>
      </w:r>
      <w:r>
        <w:t>results</w:t>
      </w:r>
      <w:r w:rsidRPr="006B6D16">
        <w:t xml:space="preserve"> </w:t>
      </w:r>
      <w:r>
        <w:t>were</w:t>
      </w:r>
      <w:r w:rsidRPr="006B6D16">
        <w:t xml:space="preserve"> </w:t>
      </w:r>
      <w:r>
        <w:t>obtained</w:t>
      </w:r>
      <w:r w:rsidRPr="006B6D16">
        <w:t xml:space="preserve"> </w:t>
      </w:r>
      <w:r>
        <w:t>for</w:t>
      </w:r>
      <w:r w:rsidRPr="006B6D16">
        <w:t xml:space="preserve"> </w:t>
      </w:r>
      <w:r>
        <w:t>the</w:t>
      </w:r>
      <w:r w:rsidRPr="006B6D16">
        <w:t xml:space="preserve"> </w:t>
      </w:r>
      <w:r>
        <w:t>different</w:t>
      </w:r>
      <w:r w:rsidRPr="006B6D16">
        <w:t xml:space="preserve"> </w:t>
      </w:r>
      <w:r>
        <w:t>IgG</w:t>
      </w:r>
      <w:r w:rsidRPr="006B6D16">
        <w:t xml:space="preserve"> </w:t>
      </w:r>
      <w:r>
        <w:t>subtypes,</w:t>
      </w:r>
      <w:r w:rsidRPr="006B6D16">
        <w:t xml:space="preserve"> </w:t>
      </w:r>
      <w:r>
        <w:t>although mean reduction in IgG4 was slightly less.</w:t>
      </w:r>
    </w:p>
    <w:p w14:paraId="0CB3AEEF" w14:textId="77777777" w:rsidR="00387E8D" w:rsidRDefault="00387E8D" w:rsidP="006B6D16">
      <w:pPr>
        <w:spacing w:before="121"/>
      </w:pPr>
      <w:r>
        <w:lastRenderedPageBreak/>
        <w:t>Based on results from the pivotal efficacy study ARGX-113-1704, PD effect correlated with efficacy,</w:t>
      </w:r>
      <w:r w:rsidRPr="006B6D16">
        <w:t xml:space="preserve"> </w:t>
      </w:r>
      <w:r>
        <w:t>evidenced</w:t>
      </w:r>
      <w:r w:rsidRPr="006B6D16">
        <w:t xml:space="preserve"> </w:t>
      </w:r>
      <w:r>
        <w:t>by</w:t>
      </w:r>
      <w:r w:rsidRPr="006B6D16">
        <w:t xml:space="preserve"> </w:t>
      </w:r>
      <w:r>
        <w:t>reduction</w:t>
      </w:r>
      <w:r w:rsidRPr="006B6D16">
        <w:t xml:space="preserve"> </w:t>
      </w:r>
      <w:r>
        <w:t>in</w:t>
      </w:r>
      <w:r w:rsidRPr="006B6D16">
        <w:t xml:space="preserve"> </w:t>
      </w:r>
      <w:r>
        <w:t>Myasthenia</w:t>
      </w:r>
      <w:r w:rsidRPr="006B6D16">
        <w:t xml:space="preserve"> </w:t>
      </w:r>
      <w:r>
        <w:t>Gravis</w:t>
      </w:r>
      <w:r w:rsidRPr="006B6D16">
        <w:t xml:space="preserve"> </w:t>
      </w:r>
      <w:r>
        <w:t>Activities</w:t>
      </w:r>
      <w:r w:rsidRPr="006B6D16">
        <w:t xml:space="preserve"> </w:t>
      </w:r>
      <w:r>
        <w:t>of</w:t>
      </w:r>
      <w:r w:rsidRPr="006B6D16">
        <w:t xml:space="preserve"> </w:t>
      </w:r>
      <w:r>
        <w:t>Daily</w:t>
      </w:r>
      <w:r w:rsidRPr="006B6D16">
        <w:t xml:space="preserve"> </w:t>
      </w:r>
      <w:r>
        <w:t>Living</w:t>
      </w:r>
      <w:r w:rsidRPr="006B6D16">
        <w:t xml:space="preserve"> </w:t>
      </w:r>
      <w:r>
        <w:t>(MG-ADL)</w:t>
      </w:r>
      <w:r w:rsidRPr="006B6D16">
        <w:t xml:space="preserve"> </w:t>
      </w:r>
      <w:r>
        <w:t xml:space="preserve">scores matching the time course of reduced total IgG and </w:t>
      </w:r>
      <w:proofErr w:type="spellStart"/>
      <w:r>
        <w:t>AChR</w:t>
      </w:r>
      <w:proofErr w:type="spellEnd"/>
      <w:r>
        <w:t>-Ab levels, shown in Figure 2.</w:t>
      </w:r>
    </w:p>
    <w:p w14:paraId="2F77F8F1" w14:textId="70499E25" w:rsidR="00145C9C" w:rsidRDefault="00145C9C" w:rsidP="00145C9C">
      <w:pPr>
        <w:pStyle w:val="FigureTitle"/>
      </w:pPr>
      <w:r>
        <w:t>Figure</w:t>
      </w:r>
      <w:r>
        <w:rPr>
          <w:spacing w:val="-4"/>
        </w:rPr>
        <w:t xml:space="preserve"> </w:t>
      </w:r>
      <w:r>
        <w:t>2.</w:t>
      </w:r>
      <w:r>
        <w:rPr>
          <w:spacing w:val="-3"/>
        </w:rPr>
        <w:t xml:space="preserve"> </w:t>
      </w:r>
      <w:r>
        <w:t>Change</w:t>
      </w:r>
      <w:r>
        <w:rPr>
          <w:spacing w:val="-2"/>
        </w:rPr>
        <w:t xml:space="preserve"> </w:t>
      </w:r>
      <w:r>
        <w:t>in</w:t>
      </w:r>
      <w:r>
        <w:rPr>
          <w:spacing w:val="-1"/>
        </w:rPr>
        <w:t xml:space="preserve"> </w:t>
      </w:r>
      <w:r>
        <w:t>MG-ADL</w:t>
      </w:r>
      <w:r>
        <w:rPr>
          <w:spacing w:val="-1"/>
        </w:rPr>
        <w:t xml:space="preserve"> </w:t>
      </w:r>
      <w:r>
        <w:t>total</w:t>
      </w:r>
      <w:r>
        <w:rPr>
          <w:spacing w:val="-3"/>
        </w:rPr>
        <w:t xml:space="preserve"> </w:t>
      </w:r>
      <w:r>
        <w:t>score</w:t>
      </w:r>
      <w:r>
        <w:rPr>
          <w:spacing w:val="-2"/>
        </w:rPr>
        <w:t xml:space="preserve"> </w:t>
      </w:r>
      <w:r>
        <w:t>and</w:t>
      </w:r>
      <w:r>
        <w:rPr>
          <w:spacing w:val="-2"/>
        </w:rPr>
        <w:t xml:space="preserve"> </w:t>
      </w:r>
      <w:r>
        <w:t>percent</w:t>
      </w:r>
      <w:r>
        <w:rPr>
          <w:spacing w:val="-1"/>
        </w:rPr>
        <w:t xml:space="preserve"> </w:t>
      </w:r>
      <w:r>
        <w:t>change</w:t>
      </w:r>
      <w:r>
        <w:rPr>
          <w:spacing w:val="-2"/>
        </w:rPr>
        <w:t xml:space="preserve"> </w:t>
      </w:r>
      <w:r>
        <w:t>in</w:t>
      </w:r>
      <w:r>
        <w:rPr>
          <w:spacing w:val="-1"/>
        </w:rPr>
        <w:t xml:space="preserve"> </w:t>
      </w:r>
      <w:r>
        <w:t>levels</w:t>
      </w:r>
      <w:r>
        <w:rPr>
          <w:spacing w:val="-3"/>
        </w:rPr>
        <w:t xml:space="preserve"> </w:t>
      </w:r>
      <w:r>
        <w:t>of</w:t>
      </w:r>
      <w:r>
        <w:rPr>
          <w:spacing w:val="-2"/>
        </w:rPr>
        <w:t xml:space="preserve"> </w:t>
      </w:r>
      <w:r>
        <w:t>IgG</w:t>
      </w:r>
      <w:r>
        <w:rPr>
          <w:spacing w:val="-1"/>
        </w:rPr>
        <w:t xml:space="preserve"> </w:t>
      </w:r>
      <w:r>
        <w:t>and</w:t>
      </w:r>
      <w:r>
        <w:rPr>
          <w:spacing w:val="-2"/>
        </w:rPr>
        <w:t xml:space="preserve"> </w:t>
      </w:r>
      <w:proofErr w:type="spellStart"/>
      <w:r>
        <w:t>ACh</w:t>
      </w:r>
      <w:proofErr w:type="spellEnd"/>
      <w:r>
        <w:t xml:space="preserve">-R-Ab by cycle in the </w:t>
      </w:r>
      <w:proofErr w:type="spellStart"/>
      <w:r>
        <w:t>ACh</w:t>
      </w:r>
      <w:proofErr w:type="spellEnd"/>
      <w:r>
        <w:t>-R seropositive population, study ARGX-113-1704</w:t>
      </w:r>
    </w:p>
    <w:p w14:paraId="4F80CBFF" w14:textId="77777777" w:rsidR="009876FE" w:rsidRDefault="009876FE" w:rsidP="009876FE">
      <w:pPr>
        <w:pStyle w:val="BodyText"/>
        <w:spacing w:before="9"/>
        <w:rPr>
          <w:sz w:val="7"/>
        </w:rPr>
      </w:pPr>
    </w:p>
    <w:p w14:paraId="61DB4342" w14:textId="77777777" w:rsidR="00145C9C" w:rsidRDefault="00145C9C" w:rsidP="009876FE">
      <w:pPr>
        <w:pStyle w:val="BodyText"/>
        <w:spacing w:before="9"/>
        <w:rPr>
          <w:sz w:val="7"/>
        </w:rPr>
      </w:pPr>
    </w:p>
    <w:p w14:paraId="53917343" w14:textId="1B2C19AD" w:rsidR="0023771C" w:rsidRDefault="003C5A25" w:rsidP="002A7429">
      <w:pPr>
        <w:ind w:left="165"/>
      </w:pPr>
      <w:r w:rsidRPr="003C5A25">
        <w:rPr>
          <w:noProof/>
          <w:sz w:val="20"/>
        </w:rPr>
        <w:drawing>
          <wp:inline distT="0" distB="0" distL="0" distR="0" wp14:anchorId="65A7E3CE" wp14:editId="4B30A895">
            <wp:extent cx="5338800" cy="3272400"/>
            <wp:effectExtent l="0" t="0" r="0" b="4445"/>
            <wp:docPr id="622702213" name="Picture 1" descr="Figure 2. Change in MG-ADL total score and percent change in levels of IgG and ACh-R-Ab by cycle in the ACh-R seropositive population, study ARGX-113-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02213" name="Picture 1" descr="Figure 2. Change in MG-ADL total score and percent change in levels of IgG and ACh-R-Ab by cycle in the ACh-R seropositive population, study ARGX-113-1704"/>
                    <pic:cNvPicPr/>
                  </pic:nvPicPr>
                  <pic:blipFill>
                    <a:blip r:embed="rId29"/>
                    <a:stretch>
                      <a:fillRect/>
                    </a:stretch>
                  </pic:blipFill>
                  <pic:spPr>
                    <a:xfrm>
                      <a:off x="0" y="0"/>
                      <a:ext cx="5338800" cy="3272400"/>
                    </a:xfrm>
                    <a:prstGeom prst="rect">
                      <a:avLst/>
                    </a:prstGeom>
                  </pic:spPr>
                </pic:pic>
              </a:graphicData>
            </a:graphic>
          </wp:inline>
        </w:drawing>
      </w:r>
      <w:r w:rsidR="008467F2" w:rsidRPr="008467F2">
        <w:rPr>
          <w:noProof/>
          <w:sz w:val="20"/>
        </w:rPr>
        <w:drawing>
          <wp:inline distT="0" distB="0" distL="0" distR="0" wp14:anchorId="7A516E7B" wp14:editId="40FB73DC">
            <wp:extent cx="5191200" cy="284400"/>
            <wp:effectExtent l="0" t="0" r="0" b="1905"/>
            <wp:docPr id="78063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3033" name=""/>
                    <pic:cNvPicPr/>
                  </pic:nvPicPr>
                  <pic:blipFill>
                    <a:blip r:embed="rId30"/>
                    <a:stretch>
                      <a:fillRect/>
                    </a:stretch>
                  </pic:blipFill>
                  <pic:spPr>
                    <a:xfrm>
                      <a:off x="0" y="0"/>
                      <a:ext cx="5191200" cy="284400"/>
                    </a:xfrm>
                    <a:prstGeom prst="rect">
                      <a:avLst/>
                    </a:prstGeom>
                  </pic:spPr>
                </pic:pic>
              </a:graphicData>
            </a:graphic>
          </wp:inline>
        </w:drawing>
      </w:r>
    </w:p>
    <w:p w14:paraId="1595DBB5" w14:textId="4AB9C398" w:rsidR="009876FE" w:rsidRDefault="009876FE" w:rsidP="00564448">
      <w:pPr>
        <w:spacing w:before="121"/>
      </w:pPr>
      <w:r>
        <w:t xml:space="preserve">In a pooled PD analysis evaluating the total IgG levels in patients with </w:t>
      </w:r>
      <w:proofErr w:type="spellStart"/>
      <w:r>
        <w:t>gMG</w:t>
      </w:r>
      <w:proofErr w:type="spellEnd"/>
      <w:r>
        <w:t>, the percentage change</w:t>
      </w:r>
      <w:r w:rsidRPr="00564448">
        <w:t xml:space="preserve"> </w:t>
      </w:r>
      <w:r>
        <w:t>from</w:t>
      </w:r>
      <w:r w:rsidRPr="00564448">
        <w:t xml:space="preserve"> </w:t>
      </w:r>
      <w:r>
        <w:t>cycle</w:t>
      </w:r>
      <w:r w:rsidRPr="00564448">
        <w:t xml:space="preserve"> </w:t>
      </w:r>
      <w:r>
        <w:t>baseline</w:t>
      </w:r>
      <w:r w:rsidRPr="00564448">
        <w:t xml:space="preserve"> </w:t>
      </w:r>
      <w:r>
        <w:t>did</w:t>
      </w:r>
      <w:r w:rsidRPr="00564448">
        <w:t xml:space="preserve"> </w:t>
      </w:r>
      <w:r>
        <w:t>not</w:t>
      </w:r>
      <w:r w:rsidRPr="00564448">
        <w:t xml:space="preserve"> </w:t>
      </w:r>
      <w:r>
        <w:t>differ</w:t>
      </w:r>
      <w:r w:rsidRPr="00564448">
        <w:t xml:space="preserve"> </w:t>
      </w:r>
      <w:r>
        <w:t>across</w:t>
      </w:r>
      <w:r w:rsidRPr="00564448">
        <w:t xml:space="preserve"> </w:t>
      </w:r>
      <w:r>
        <w:t>the</w:t>
      </w:r>
      <w:r w:rsidRPr="00564448">
        <w:t xml:space="preserve"> </w:t>
      </w:r>
      <w:r>
        <w:t>first</w:t>
      </w:r>
      <w:r w:rsidRPr="00564448">
        <w:t xml:space="preserve"> </w:t>
      </w:r>
      <w:r>
        <w:t>7</w:t>
      </w:r>
      <w:r w:rsidRPr="00564448">
        <w:t xml:space="preserve"> </w:t>
      </w:r>
      <w:r>
        <w:t>cycles,</w:t>
      </w:r>
      <w:r w:rsidRPr="00564448">
        <w:t xml:space="preserve"> </w:t>
      </w:r>
      <w:r>
        <w:t>whilst</w:t>
      </w:r>
      <w:r w:rsidRPr="00564448">
        <w:t xml:space="preserve"> </w:t>
      </w:r>
      <w:r>
        <w:t>there</w:t>
      </w:r>
      <w:r w:rsidRPr="00564448">
        <w:t xml:space="preserve"> </w:t>
      </w:r>
      <w:r>
        <w:t>was</w:t>
      </w:r>
      <w:r w:rsidRPr="00564448">
        <w:t xml:space="preserve"> </w:t>
      </w:r>
      <w:r>
        <w:t>no</w:t>
      </w:r>
      <w:r w:rsidRPr="00564448">
        <w:t xml:space="preserve"> </w:t>
      </w:r>
      <w:r>
        <w:t>difference in total IgG levels based on the presence of anti-drug antibodies (ADAs).</w:t>
      </w:r>
    </w:p>
    <w:p w14:paraId="311A708B" w14:textId="11C5C630" w:rsidR="009876FE" w:rsidRPr="00564448" w:rsidRDefault="008019D4" w:rsidP="008019D4">
      <w:pPr>
        <w:pStyle w:val="Heading6"/>
      </w:pPr>
      <w:bookmarkStart w:id="68" w:name="Pharmacodynamics_for_the_SC_formulation"/>
      <w:bookmarkEnd w:id="68"/>
      <w:r>
        <w:t>PD</w:t>
      </w:r>
      <w:r w:rsidR="009876FE" w:rsidRPr="00564448">
        <w:t xml:space="preserve"> for the SC formulation</w:t>
      </w:r>
    </w:p>
    <w:p w14:paraId="5E5C4A67" w14:textId="77777777" w:rsidR="009876FE" w:rsidRDefault="009876FE" w:rsidP="00564448">
      <w:pPr>
        <w:spacing w:before="121"/>
      </w:pPr>
      <w:r>
        <w:t>Comparative</w:t>
      </w:r>
      <w:r w:rsidRPr="00564448">
        <w:t xml:space="preserve"> </w:t>
      </w:r>
      <w:r>
        <w:t>PD</w:t>
      </w:r>
      <w:r w:rsidRPr="00564448">
        <w:t xml:space="preserve"> </w:t>
      </w:r>
      <w:r>
        <w:t>data</w:t>
      </w:r>
      <w:r w:rsidRPr="00564448">
        <w:t xml:space="preserve"> </w:t>
      </w:r>
      <w:r>
        <w:t>in</w:t>
      </w:r>
      <w:r w:rsidRPr="00564448">
        <w:t xml:space="preserve"> </w:t>
      </w:r>
      <w:r>
        <w:t>healthy</w:t>
      </w:r>
      <w:r w:rsidRPr="00564448">
        <w:t xml:space="preserve"> </w:t>
      </w:r>
      <w:r>
        <w:t>subjects</w:t>
      </w:r>
      <w:r w:rsidRPr="00564448">
        <w:t xml:space="preserve"> </w:t>
      </w:r>
      <w:r>
        <w:t>for</w:t>
      </w:r>
      <w:r w:rsidRPr="00564448">
        <w:t xml:space="preserve"> </w:t>
      </w:r>
      <w:r>
        <w:t>the</w:t>
      </w:r>
      <w:r w:rsidRPr="00564448">
        <w:t xml:space="preserve"> </w:t>
      </w:r>
      <w:r>
        <w:t>IV</w:t>
      </w:r>
      <w:r w:rsidRPr="00564448">
        <w:t xml:space="preserve"> </w:t>
      </w:r>
      <w:r>
        <w:t>and</w:t>
      </w:r>
      <w:r w:rsidRPr="00564448">
        <w:t xml:space="preserve"> </w:t>
      </w:r>
      <w:r>
        <w:t>SC</w:t>
      </w:r>
      <w:r w:rsidRPr="00564448">
        <w:t xml:space="preserve"> </w:t>
      </w:r>
      <w:r>
        <w:t>formulations</w:t>
      </w:r>
      <w:r w:rsidRPr="00564448">
        <w:t xml:space="preserve"> </w:t>
      </w:r>
      <w:r>
        <w:t>was</w:t>
      </w:r>
      <w:r w:rsidRPr="00564448">
        <w:t xml:space="preserve"> </w:t>
      </w:r>
      <w:r>
        <w:t>contained</w:t>
      </w:r>
      <w:r w:rsidRPr="00564448">
        <w:t xml:space="preserve"> </w:t>
      </w:r>
      <w:r>
        <w:t>in</w:t>
      </w:r>
      <w:r w:rsidRPr="00564448">
        <w:t xml:space="preserve"> </w:t>
      </w:r>
      <w:r>
        <w:t>study ARGX-113-1907, which compared 4 once-weekly IV infusions 10 mg/kg efgartigimod and 4 once-weekly</w:t>
      </w:r>
      <w:r w:rsidRPr="00564448">
        <w:t xml:space="preserve"> </w:t>
      </w:r>
      <w:r>
        <w:t>1000</w:t>
      </w:r>
      <w:r w:rsidRPr="00564448">
        <w:t xml:space="preserve"> </w:t>
      </w:r>
      <w:r>
        <w:t>mg SC injections in</w:t>
      </w:r>
      <w:r w:rsidRPr="00564448">
        <w:t xml:space="preserve"> </w:t>
      </w:r>
      <w:r>
        <w:t>54</w:t>
      </w:r>
      <w:r w:rsidRPr="00564448">
        <w:t xml:space="preserve"> </w:t>
      </w:r>
      <w:r>
        <w:t>subjects randomised</w:t>
      </w:r>
      <w:r w:rsidRPr="00564448">
        <w:t xml:space="preserve"> </w:t>
      </w:r>
      <w:r>
        <w:t>1:1.</w:t>
      </w:r>
      <w:r w:rsidRPr="00564448">
        <w:t xml:space="preserve"> </w:t>
      </w:r>
      <w:r>
        <w:t>The</w:t>
      </w:r>
      <w:r w:rsidRPr="00564448">
        <w:t xml:space="preserve"> </w:t>
      </w:r>
      <w:r>
        <w:t>two</w:t>
      </w:r>
      <w:r w:rsidRPr="00564448">
        <w:t xml:space="preserve"> </w:t>
      </w:r>
      <w:r>
        <w:t>formulations were non-inferior for the PD endpoint of total IgG level reduction at day 29, at the non-inferiority margin of 10%.</w:t>
      </w:r>
    </w:p>
    <w:p w14:paraId="159F3D51" w14:textId="77777777" w:rsidR="009876FE" w:rsidRDefault="009876FE" w:rsidP="00564448">
      <w:pPr>
        <w:spacing w:before="121"/>
      </w:pPr>
      <w:r>
        <w:t>Similar results were shown in patients with</w:t>
      </w:r>
      <w:r w:rsidRPr="00564448">
        <w:t xml:space="preserve"> </w:t>
      </w:r>
      <w:proofErr w:type="spellStart"/>
      <w:r>
        <w:t>gMG</w:t>
      </w:r>
      <w:proofErr w:type="spellEnd"/>
      <w:r>
        <w:t xml:space="preserve"> in</w:t>
      </w:r>
      <w:r w:rsidRPr="00564448">
        <w:t xml:space="preserve"> </w:t>
      </w:r>
      <w:r>
        <w:t>study ARGX-113-2001, which had the same study treatments and dosing frequency, with 111 participants randomised between the IV and SC</w:t>
      </w:r>
      <w:r w:rsidRPr="00564448">
        <w:t xml:space="preserve"> </w:t>
      </w:r>
      <w:r>
        <w:t>formulations.</w:t>
      </w:r>
      <w:r w:rsidRPr="00564448">
        <w:t xml:space="preserve"> </w:t>
      </w:r>
      <w:r>
        <w:t>The</w:t>
      </w:r>
      <w:r w:rsidRPr="00564448">
        <w:t xml:space="preserve"> </w:t>
      </w:r>
      <w:r>
        <w:t>two</w:t>
      </w:r>
      <w:r w:rsidRPr="00564448">
        <w:t xml:space="preserve"> </w:t>
      </w:r>
      <w:r>
        <w:t>formulations</w:t>
      </w:r>
      <w:r w:rsidRPr="00564448">
        <w:t xml:space="preserve"> </w:t>
      </w:r>
      <w:r>
        <w:t>were</w:t>
      </w:r>
      <w:r w:rsidRPr="00564448">
        <w:t xml:space="preserve"> </w:t>
      </w:r>
      <w:r>
        <w:t>non-inferior</w:t>
      </w:r>
      <w:r w:rsidRPr="00564448">
        <w:t xml:space="preserve"> </w:t>
      </w:r>
      <w:r>
        <w:t>in</w:t>
      </w:r>
      <w:r w:rsidRPr="00564448">
        <w:t xml:space="preserve"> </w:t>
      </w:r>
      <w:r>
        <w:t>terms</w:t>
      </w:r>
      <w:r w:rsidRPr="00564448">
        <w:t xml:space="preserve"> </w:t>
      </w:r>
      <w:r>
        <w:t>of</w:t>
      </w:r>
      <w:r w:rsidRPr="00564448">
        <w:t xml:space="preserve"> </w:t>
      </w:r>
      <w:r>
        <w:t>total</w:t>
      </w:r>
      <w:r w:rsidRPr="00564448">
        <w:t xml:space="preserve"> </w:t>
      </w:r>
      <w:r>
        <w:t>IgG</w:t>
      </w:r>
      <w:r w:rsidRPr="00564448">
        <w:t xml:space="preserve"> </w:t>
      </w:r>
      <w:r>
        <w:t>level</w:t>
      </w:r>
      <w:r w:rsidRPr="00564448">
        <w:t xml:space="preserve"> </w:t>
      </w:r>
      <w:r>
        <w:t>reduction</w:t>
      </w:r>
      <w:r w:rsidRPr="00564448">
        <w:t xml:space="preserve"> </w:t>
      </w:r>
      <w:r>
        <w:t xml:space="preserve">at day 29, again at the non-inferiority margin of 10%. This is demonstrated in Figure 3. The least-squares mean (LSM) estimate of the percent change from baseline in total IgG levels at day 29 was -66.4% (95% CI: -68.91% to -63.86%) in the SC formulation arm, and -62.2% (95% CI: - 64.66% to -59.71%) in the IV formulation arm. The results were consistent when the ANCOVA analysis was repeated for total IgG in the </w:t>
      </w:r>
      <w:proofErr w:type="spellStart"/>
      <w:r>
        <w:t>AChR</w:t>
      </w:r>
      <w:proofErr w:type="spellEnd"/>
      <w:r>
        <w:t>-Ab seropositive population.</w:t>
      </w:r>
    </w:p>
    <w:p w14:paraId="3344ED58" w14:textId="1A2041EE" w:rsidR="009876FE" w:rsidRDefault="00BF758F" w:rsidP="00F73F8A">
      <w:pPr>
        <w:pStyle w:val="FigureTitle"/>
        <w:rPr>
          <w:sz w:val="17"/>
        </w:rPr>
      </w:pPr>
      <w:r>
        <w:lastRenderedPageBreak/>
        <w:t>Figure</w:t>
      </w:r>
      <w:r>
        <w:rPr>
          <w:spacing w:val="-5"/>
        </w:rPr>
        <w:t xml:space="preserve"> </w:t>
      </w:r>
      <w:r>
        <w:t>3.</w:t>
      </w:r>
      <w:r>
        <w:rPr>
          <w:spacing w:val="-4"/>
        </w:rPr>
        <w:t xml:space="preserve"> </w:t>
      </w:r>
      <w:r>
        <w:t>Total</w:t>
      </w:r>
      <w:r>
        <w:rPr>
          <w:spacing w:val="-4"/>
        </w:rPr>
        <w:t xml:space="preserve"> </w:t>
      </w:r>
      <w:r>
        <w:t>IgG</w:t>
      </w:r>
      <w:r>
        <w:rPr>
          <w:spacing w:val="-2"/>
        </w:rPr>
        <w:t xml:space="preserve"> </w:t>
      </w:r>
      <w:r>
        <w:t>level</w:t>
      </w:r>
      <w:r>
        <w:rPr>
          <w:spacing w:val="-6"/>
        </w:rPr>
        <w:t xml:space="preserve"> </w:t>
      </w:r>
      <w:r>
        <w:t>percent</w:t>
      </w:r>
      <w:r>
        <w:rPr>
          <w:spacing w:val="-2"/>
        </w:rPr>
        <w:t xml:space="preserve"> </w:t>
      </w:r>
      <w:r>
        <w:t>change</w:t>
      </w:r>
      <w:r>
        <w:rPr>
          <w:spacing w:val="-3"/>
        </w:rPr>
        <w:t xml:space="preserve"> </w:t>
      </w:r>
      <w:r>
        <w:t>from</w:t>
      </w:r>
      <w:r>
        <w:rPr>
          <w:spacing w:val="-3"/>
        </w:rPr>
        <w:t xml:space="preserve"> </w:t>
      </w:r>
      <w:r>
        <w:t>baseline</w:t>
      </w:r>
      <w:r>
        <w:rPr>
          <w:spacing w:val="-3"/>
        </w:rPr>
        <w:t xml:space="preserve"> </w:t>
      </w:r>
      <w:r>
        <w:t>over</w:t>
      </w:r>
      <w:r>
        <w:rPr>
          <w:spacing w:val="-4"/>
        </w:rPr>
        <w:t xml:space="preserve"> </w:t>
      </w:r>
      <w:r>
        <w:t>time</w:t>
      </w:r>
      <w:r>
        <w:rPr>
          <w:spacing w:val="-3"/>
        </w:rPr>
        <w:t xml:space="preserve"> </w:t>
      </w:r>
      <w:r>
        <w:t>for</w:t>
      </w:r>
      <w:r>
        <w:rPr>
          <w:spacing w:val="-4"/>
        </w:rPr>
        <w:t xml:space="preserve"> </w:t>
      </w:r>
      <w:r>
        <w:t>the</w:t>
      </w:r>
      <w:r>
        <w:rPr>
          <w:spacing w:val="-5"/>
        </w:rPr>
        <w:t xml:space="preserve"> </w:t>
      </w:r>
      <w:r>
        <w:t xml:space="preserve">overall population, </w:t>
      </w:r>
      <w:proofErr w:type="spellStart"/>
      <w:r>
        <w:t>mITT</w:t>
      </w:r>
      <w:proofErr w:type="spellEnd"/>
      <w:r>
        <w:t xml:space="preserve"> Analysis Set, study ARGX-113-2001</w:t>
      </w:r>
    </w:p>
    <w:p w14:paraId="765224C1" w14:textId="77777777" w:rsidR="009876FE" w:rsidRDefault="009876FE" w:rsidP="009876FE">
      <w:pPr>
        <w:ind w:left="295"/>
        <w:rPr>
          <w:sz w:val="20"/>
        </w:rPr>
      </w:pPr>
      <w:r>
        <w:rPr>
          <w:noProof/>
          <w:sz w:val="20"/>
        </w:rPr>
        <w:drawing>
          <wp:inline distT="0" distB="0" distL="0" distR="0" wp14:anchorId="39A6619C" wp14:editId="11A419F7">
            <wp:extent cx="5585832" cy="3337655"/>
            <wp:effectExtent l="0" t="0" r="0" b="0"/>
            <wp:docPr id="19" name="Image 19" descr="Figure 3. Total IgG level percent change from baseline over time for the overall population, mITT Analysis Set, study ARGX-113-2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Figure 3. Total IgG level percent change from baseline over time for the overall population, mITT Analysis Set, study ARGX-113-2001"/>
                    <pic:cNvPicPr/>
                  </pic:nvPicPr>
                  <pic:blipFill>
                    <a:blip r:embed="rId31" cstate="print"/>
                    <a:stretch>
                      <a:fillRect/>
                    </a:stretch>
                  </pic:blipFill>
                  <pic:spPr>
                    <a:xfrm>
                      <a:off x="0" y="0"/>
                      <a:ext cx="5585832" cy="3337655"/>
                    </a:xfrm>
                    <a:prstGeom prst="rect">
                      <a:avLst/>
                    </a:prstGeom>
                  </pic:spPr>
                </pic:pic>
              </a:graphicData>
            </a:graphic>
          </wp:inline>
        </w:drawing>
      </w:r>
    </w:p>
    <w:p w14:paraId="4858ED82" w14:textId="3DDCC627" w:rsidR="009876FE" w:rsidRDefault="00C94F0C" w:rsidP="009876FE">
      <w:pPr>
        <w:pStyle w:val="BodyText"/>
        <w:spacing w:before="35"/>
        <w:rPr>
          <w:sz w:val="20"/>
        </w:rPr>
      </w:pPr>
      <w:r>
        <w:rPr>
          <w:noProof/>
          <w:sz w:val="20"/>
        </w:rPr>
        <w:drawing>
          <wp:anchor distT="0" distB="0" distL="0" distR="0" simplePos="0" relativeHeight="251669504" behindDoc="1" locked="0" layoutInCell="1" allowOverlap="1" wp14:anchorId="59AA9E95" wp14:editId="0192A0DC">
            <wp:simplePos x="0" y="0"/>
            <wp:positionH relativeFrom="page">
              <wp:posOffset>809625</wp:posOffset>
            </wp:positionH>
            <wp:positionV relativeFrom="paragraph">
              <wp:posOffset>151130</wp:posOffset>
            </wp:positionV>
            <wp:extent cx="1708170" cy="9286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2" cstate="print"/>
                    <a:stretch>
                      <a:fillRect/>
                    </a:stretch>
                  </pic:blipFill>
                  <pic:spPr>
                    <a:xfrm>
                      <a:off x="0" y="0"/>
                      <a:ext cx="1708170" cy="92868"/>
                    </a:xfrm>
                    <a:prstGeom prst="rect">
                      <a:avLst/>
                    </a:prstGeom>
                  </pic:spPr>
                </pic:pic>
              </a:graphicData>
            </a:graphic>
          </wp:anchor>
        </w:drawing>
      </w:r>
    </w:p>
    <w:p w14:paraId="1B19E24A" w14:textId="07803ADC" w:rsidR="009876FE" w:rsidRDefault="009876FE" w:rsidP="002E4390">
      <w:pPr>
        <w:spacing w:before="121"/>
      </w:pPr>
      <w:r>
        <w:t>Evaluable</w:t>
      </w:r>
      <w:r w:rsidRPr="002E4390">
        <w:t xml:space="preserve"> </w:t>
      </w:r>
      <w:r>
        <w:t>PD</w:t>
      </w:r>
      <w:r w:rsidRPr="002E4390">
        <w:t xml:space="preserve"> </w:t>
      </w:r>
      <w:r>
        <w:t>data</w:t>
      </w:r>
      <w:r w:rsidRPr="002E4390">
        <w:t xml:space="preserve"> </w:t>
      </w:r>
      <w:r>
        <w:t>showed</w:t>
      </w:r>
      <w:r w:rsidRPr="002E4390">
        <w:t xml:space="preserve"> </w:t>
      </w:r>
      <w:r>
        <w:t>no</w:t>
      </w:r>
      <w:r w:rsidRPr="002E4390">
        <w:t xml:space="preserve"> </w:t>
      </w:r>
      <w:r>
        <w:t>evidence</w:t>
      </w:r>
      <w:r w:rsidRPr="002E4390">
        <w:t xml:space="preserve"> </w:t>
      </w:r>
      <w:r>
        <w:t>of</w:t>
      </w:r>
      <w:r w:rsidRPr="002E4390">
        <w:t xml:space="preserve"> </w:t>
      </w:r>
      <w:r>
        <w:t>difference</w:t>
      </w:r>
      <w:r w:rsidRPr="002E4390">
        <w:t xml:space="preserve"> </w:t>
      </w:r>
      <w:r>
        <w:t>attributable</w:t>
      </w:r>
      <w:r w:rsidRPr="002E4390">
        <w:t xml:space="preserve"> </w:t>
      </w:r>
      <w:r>
        <w:t>to</w:t>
      </w:r>
      <w:r w:rsidRPr="002E4390">
        <w:t xml:space="preserve"> ADAs.</w:t>
      </w:r>
    </w:p>
    <w:p w14:paraId="4B0AFE35" w14:textId="42E5D3E7" w:rsidR="009876FE" w:rsidRDefault="009876FE" w:rsidP="002E4390">
      <w:pPr>
        <w:spacing w:before="121"/>
      </w:pPr>
      <w:r>
        <w:t>The EMA assessment concluded that, based on data as summarised from studies ARGX-113-1907</w:t>
      </w:r>
      <w:r w:rsidR="002E4390">
        <w:br/>
      </w:r>
      <w:r>
        <w:t>and</w:t>
      </w:r>
      <w:r w:rsidRPr="002E4390">
        <w:t xml:space="preserve"> </w:t>
      </w:r>
      <w:r>
        <w:t>-2001,</w:t>
      </w:r>
      <w:r w:rsidRPr="002E4390">
        <w:t xml:space="preserve"> </w:t>
      </w:r>
      <w:r>
        <w:t>reduction</w:t>
      </w:r>
      <w:r w:rsidRPr="002E4390">
        <w:t xml:space="preserve"> </w:t>
      </w:r>
      <w:r>
        <w:t>in</w:t>
      </w:r>
      <w:r w:rsidRPr="002E4390">
        <w:t xml:space="preserve"> </w:t>
      </w:r>
      <w:r>
        <w:t>total</w:t>
      </w:r>
      <w:r w:rsidRPr="002E4390">
        <w:t xml:space="preserve"> </w:t>
      </w:r>
      <w:r>
        <w:t>IgG</w:t>
      </w:r>
      <w:r w:rsidRPr="002E4390">
        <w:t xml:space="preserve"> </w:t>
      </w:r>
      <w:r>
        <w:t>between</w:t>
      </w:r>
      <w:r w:rsidRPr="002E4390">
        <w:t xml:space="preserve"> </w:t>
      </w:r>
      <w:r>
        <w:t>healthy</w:t>
      </w:r>
      <w:r w:rsidRPr="002E4390">
        <w:t xml:space="preserve"> </w:t>
      </w:r>
      <w:r>
        <w:t>subjects</w:t>
      </w:r>
      <w:r w:rsidRPr="002E4390">
        <w:t xml:space="preserve"> </w:t>
      </w:r>
      <w:r>
        <w:t>and</w:t>
      </w:r>
      <w:r w:rsidRPr="002E4390">
        <w:t xml:space="preserve"> </w:t>
      </w:r>
      <w:proofErr w:type="spellStart"/>
      <w:r>
        <w:t>gMG</w:t>
      </w:r>
      <w:proofErr w:type="spellEnd"/>
      <w:r w:rsidRPr="002E4390">
        <w:t xml:space="preserve"> </w:t>
      </w:r>
      <w:r>
        <w:t>patients</w:t>
      </w:r>
      <w:r w:rsidRPr="002E4390">
        <w:t xml:space="preserve"> </w:t>
      </w:r>
      <w:r>
        <w:t>receiving</w:t>
      </w:r>
      <w:r w:rsidRPr="002E4390">
        <w:t xml:space="preserve"> </w:t>
      </w:r>
      <w:r>
        <w:t>SC efgartigimod was very similar.</w:t>
      </w:r>
    </w:p>
    <w:p w14:paraId="15827964" w14:textId="24FF433B" w:rsidR="009876FE" w:rsidRDefault="009876FE" w:rsidP="008019D4">
      <w:pPr>
        <w:pStyle w:val="Heading4"/>
      </w:pPr>
      <w:bookmarkStart w:id="69" w:name="_Toc225173550"/>
      <w:r>
        <w:t>Efficacy</w:t>
      </w:r>
      <w:r w:rsidR="007B212D">
        <w:t xml:space="preserve"> evaluation</w:t>
      </w:r>
      <w:bookmarkEnd w:id="69"/>
    </w:p>
    <w:p w14:paraId="4977A780" w14:textId="77777777" w:rsidR="009876FE" w:rsidRDefault="009876FE" w:rsidP="007B212D">
      <w:pPr>
        <w:spacing w:before="121"/>
      </w:pPr>
      <w:r>
        <w:t>Efficacy</w:t>
      </w:r>
      <w:r w:rsidRPr="007B212D">
        <w:t xml:space="preserve"> </w:t>
      </w:r>
      <w:r>
        <w:t>endpoints</w:t>
      </w:r>
      <w:r w:rsidRPr="007B212D">
        <w:t xml:space="preserve"> </w:t>
      </w:r>
      <w:r>
        <w:t>used</w:t>
      </w:r>
      <w:r w:rsidRPr="007B212D">
        <w:t xml:space="preserve"> </w:t>
      </w:r>
      <w:r>
        <w:t>throughout</w:t>
      </w:r>
      <w:r w:rsidRPr="007B212D">
        <w:t xml:space="preserve"> </w:t>
      </w:r>
      <w:r>
        <w:t>the</w:t>
      </w:r>
      <w:r w:rsidRPr="007B212D">
        <w:t xml:space="preserve"> </w:t>
      </w:r>
      <w:r>
        <w:t>dossier</w:t>
      </w:r>
      <w:r w:rsidRPr="007B212D">
        <w:t xml:space="preserve"> </w:t>
      </w:r>
      <w:r>
        <w:t>include</w:t>
      </w:r>
      <w:r w:rsidRPr="007B212D">
        <w:t xml:space="preserve"> </w:t>
      </w:r>
      <w:r>
        <w:t>the</w:t>
      </w:r>
      <w:r w:rsidRPr="007B212D">
        <w:t xml:space="preserve"> </w:t>
      </w:r>
      <w:r>
        <w:t>MG-ADL</w:t>
      </w:r>
      <w:r w:rsidRPr="007B212D">
        <w:t xml:space="preserve"> </w:t>
      </w:r>
      <w:r>
        <w:t>and</w:t>
      </w:r>
      <w:r w:rsidRPr="007B212D">
        <w:t xml:space="preserve"> </w:t>
      </w:r>
      <w:r>
        <w:t>Quantitative Myasthenia Gravis (QMG) scale.</w:t>
      </w:r>
    </w:p>
    <w:p w14:paraId="0E61BFDB" w14:textId="77777777" w:rsidR="009876FE" w:rsidRDefault="009876FE" w:rsidP="007B212D">
      <w:pPr>
        <w:spacing w:before="121"/>
      </w:pPr>
      <w:r>
        <w:t>The</w:t>
      </w:r>
      <w:r w:rsidRPr="007B212D">
        <w:t xml:space="preserve"> </w:t>
      </w:r>
      <w:r>
        <w:t>MG-ADL</w:t>
      </w:r>
      <w:r w:rsidRPr="007B212D">
        <w:t xml:space="preserve"> </w:t>
      </w:r>
      <w:r>
        <w:t>scale</w:t>
      </w:r>
      <w:r w:rsidRPr="007B212D">
        <w:t xml:space="preserve"> </w:t>
      </w:r>
      <w:r>
        <w:t>is</w:t>
      </w:r>
      <w:r w:rsidRPr="007B212D">
        <w:t xml:space="preserve"> </w:t>
      </w:r>
      <w:r>
        <w:t>an</w:t>
      </w:r>
      <w:r w:rsidRPr="007B212D">
        <w:t xml:space="preserve"> </w:t>
      </w:r>
      <w:r>
        <w:t>8-item</w:t>
      </w:r>
      <w:r w:rsidRPr="007B212D">
        <w:t xml:space="preserve"> </w:t>
      </w:r>
      <w:r>
        <w:t>patient-reported</w:t>
      </w:r>
      <w:r w:rsidRPr="007B212D">
        <w:t xml:space="preserve"> </w:t>
      </w:r>
      <w:r>
        <w:t>outcome</w:t>
      </w:r>
      <w:r w:rsidRPr="007B212D">
        <w:t xml:space="preserve"> </w:t>
      </w:r>
      <w:r>
        <w:t>tool</w:t>
      </w:r>
      <w:r w:rsidRPr="007B212D">
        <w:t xml:space="preserve"> </w:t>
      </w:r>
      <w:r>
        <w:t>used</w:t>
      </w:r>
      <w:r w:rsidRPr="007B212D">
        <w:t xml:space="preserve"> </w:t>
      </w:r>
      <w:r>
        <w:t>to</w:t>
      </w:r>
      <w:r w:rsidRPr="007B212D">
        <w:t xml:space="preserve"> </w:t>
      </w:r>
      <w:r>
        <w:t>assess</w:t>
      </w:r>
      <w:r w:rsidRPr="007B212D">
        <w:t xml:space="preserve"> </w:t>
      </w:r>
      <w:r>
        <w:t>MG</w:t>
      </w:r>
      <w:r w:rsidRPr="007B212D">
        <w:t xml:space="preserve"> </w:t>
      </w:r>
      <w:r>
        <w:t>symptoms</w:t>
      </w:r>
      <w:r w:rsidRPr="007B212D">
        <w:t xml:space="preserve"> </w:t>
      </w:r>
      <w:r>
        <w:t xml:space="preserve">and effects on daily activities. The scale comprises 2 items on daily life activities and 6 items on </w:t>
      </w:r>
      <w:r w:rsidRPr="007B212D">
        <w:t>symptoms.</w:t>
      </w:r>
    </w:p>
    <w:p w14:paraId="5709ECAE" w14:textId="77777777" w:rsidR="009876FE" w:rsidRDefault="009876FE" w:rsidP="007B212D">
      <w:pPr>
        <w:pStyle w:val="ListBullet"/>
        <w:numPr>
          <w:ilvl w:val="0"/>
          <w:numId w:val="31"/>
        </w:numPr>
        <w:ind w:left="357" w:hanging="357"/>
      </w:pPr>
      <w:r>
        <w:t>The</w:t>
      </w:r>
      <w:r w:rsidRPr="007B212D">
        <w:t xml:space="preserve"> </w:t>
      </w:r>
      <w:r>
        <w:t>daily</w:t>
      </w:r>
      <w:r w:rsidRPr="007B212D">
        <w:t xml:space="preserve"> </w:t>
      </w:r>
      <w:r>
        <w:t>living</w:t>
      </w:r>
      <w:r w:rsidRPr="007B212D">
        <w:t xml:space="preserve"> </w:t>
      </w:r>
      <w:r>
        <w:t>items</w:t>
      </w:r>
      <w:r w:rsidRPr="007B212D">
        <w:t xml:space="preserve"> </w:t>
      </w:r>
      <w:r>
        <w:t>are</w:t>
      </w:r>
      <w:r w:rsidRPr="007B212D">
        <w:t xml:space="preserve"> </w:t>
      </w:r>
      <w:r>
        <w:t>(1)</w:t>
      </w:r>
      <w:r w:rsidRPr="007B212D">
        <w:t xml:space="preserve"> </w:t>
      </w:r>
      <w:r>
        <w:t>ability</w:t>
      </w:r>
      <w:r w:rsidRPr="007B212D">
        <w:t xml:space="preserve"> </w:t>
      </w:r>
      <w:r>
        <w:t>to</w:t>
      </w:r>
      <w:r w:rsidRPr="007B212D">
        <w:t xml:space="preserve"> </w:t>
      </w:r>
      <w:r>
        <w:t>brush</w:t>
      </w:r>
      <w:r w:rsidRPr="007B212D">
        <w:t xml:space="preserve"> </w:t>
      </w:r>
      <w:r>
        <w:t>teeth</w:t>
      </w:r>
      <w:r w:rsidRPr="007B212D">
        <w:t xml:space="preserve"> </w:t>
      </w:r>
      <w:r>
        <w:t>or</w:t>
      </w:r>
      <w:r w:rsidRPr="007B212D">
        <w:t xml:space="preserve"> </w:t>
      </w:r>
      <w:r>
        <w:t>comb</w:t>
      </w:r>
      <w:r w:rsidRPr="007B212D">
        <w:t xml:space="preserve"> </w:t>
      </w:r>
      <w:r>
        <w:t>hair</w:t>
      </w:r>
      <w:r w:rsidRPr="007B212D">
        <w:t xml:space="preserve"> </w:t>
      </w:r>
      <w:r>
        <w:t>and</w:t>
      </w:r>
      <w:r w:rsidRPr="007B212D">
        <w:t xml:space="preserve"> </w:t>
      </w:r>
      <w:r>
        <w:t>(2)</w:t>
      </w:r>
      <w:r w:rsidRPr="007B212D">
        <w:t xml:space="preserve"> </w:t>
      </w:r>
      <w:r>
        <w:t>limitations</w:t>
      </w:r>
      <w:r w:rsidRPr="007B212D">
        <w:t xml:space="preserve"> </w:t>
      </w:r>
      <w:r>
        <w:t>in the ability to rise from a chair.</w:t>
      </w:r>
    </w:p>
    <w:p w14:paraId="32C9AAED" w14:textId="6B803658" w:rsidR="009876FE" w:rsidRDefault="009876FE" w:rsidP="007B212D">
      <w:pPr>
        <w:pStyle w:val="ListBullet"/>
        <w:numPr>
          <w:ilvl w:val="0"/>
          <w:numId w:val="31"/>
        </w:numPr>
        <w:ind w:left="357" w:hanging="357"/>
      </w:pPr>
      <w:r>
        <w:t>The</w:t>
      </w:r>
      <w:r w:rsidRPr="007B212D">
        <w:t xml:space="preserve"> </w:t>
      </w:r>
      <w:r>
        <w:t>MG</w:t>
      </w:r>
      <w:r w:rsidRPr="007B212D">
        <w:t xml:space="preserve"> </w:t>
      </w:r>
      <w:r>
        <w:t>symptom</w:t>
      </w:r>
      <w:r w:rsidRPr="007B212D">
        <w:t xml:space="preserve"> </w:t>
      </w:r>
      <w:r>
        <w:t>categories</w:t>
      </w:r>
      <w:r w:rsidRPr="007B212D">
        <w:t xml:space="preserve"> </w:t>
      </w:r>
      <w:r>
        <w:t>are</w:t>
      </w:r>
      <w:r w:rsidRPr="007B212D">
        <w:t xml:space="preserve"> </w:t>
      </w:r>
      <w:r>
        <w:t>diplopia,</w:t>
      </w:r>
      <w:r w:rsidRPr="007B212D">
        <w:t xml:space="preserve"> </w:t>
      </w:r>
      <w:r>
        <w:t>chewing,</w:t>
      </w:r>
      <w:r w:rsidRPr="007B212D">
        <w:t xml:space="preserve"> </w:t>
      </w:r>
      <w:r>
        <w:t>voice/speech,</w:t>
      </w:r>
      <w:r w:rsidRPr="007B212D">
        <w:t xml:space="preserve"> </w:t>
      </w:r>
      <w:r>
        <w:t>ptosis,</w:t>
      </w:r>
      <w:r w:rsidRPr="007B212D">
        <w:t xml:space="preserve"> </w:t>
      </w:r>
      <w:r>
        <w:t xml:space="preserve">swallowing, </w:t>
      </w:r>
      <w:r w:rsidR="00410929">
        <w:t xml:space="preserve">and </w:t>
      </w:r>
      <w:r w:rsidRPr="007B212D">
        <w:t>respiratory</w:t>
      </w:r>
      <w:r w:rsidR="00F3278D">
        <w:t>.</w:t>
      </w:r>
    </w:p>
    <w:p w14:paraId="7DAF0628" w14:textId="77777777" w:rsidR="009876FE" w:rsidRDefault="009876FE" w:rsidP="007B212D">
      <w:pPr>
        <w:spacing w:before="121"/>
      </w:pPr>
      <w:r>
        <w:t>Each</w:t>
      </w:r>
      <w:r w:rsidRPr="007B212D">
        <w:t xml:space="preserve"> </w:t>
      </w:r>
      <w:r>
        <w:t>item</w:t>
      </w:r>
      <w:r w:rsidRPr="007B212D">
        <w:t xml:space="preserve"> </w:t>
      </w:r>
      <w:r>
        <w:t>is</w:t>
      </w:r>
      <w:r w:rsidRPr="007B212D">
        <w:t xml:space="preserve"> </w:t>
      </w:r>
      <w:r>
        <w:t>graded</w:t>
      </w:r>
      <w:r w:rsidRPr="007B212D">
        <w:t xml:space="preserve"> </w:t>
      </w:r>
      <w:r>
        <w:t>on</w:t>
      </w:r>
      <w:r w:rsidRPr="007B212D">
        <w:t xml:space="preserve"> </w:t>
      </w:r>
      <w:r>
        <w:t>4-point</w:t>
      </w:r>
      <w:r w:rsidRPr="007B212D">
        <w:t xml:space="preserve"> </w:t>
      </w:r>
      <w:r>
        <w:t>symptom</w:t>
      </w:r>
      <w:r w:rsidRPr="007B212D">
        <w:t xml:space="preserve"> </w:t>
      </w:r>
      <w:r>
        <w:t>severity</w:t>
      </w:r>
      <w:r w:rsidRPr="007B212D">
        <w:t xml:space="preserve"> </w:t>
      </w:r>
      <w:r>
        <w:t>scale</w:t>
      </w:r>
      <w:r w:rsidRPr="007B212D">
        <w:t xml:space="preserve"> </w:t>
      </w:r>
      <w:r>
        <w:t>(0</w:t>
      </w:r>
      <w:r w:rsidRPr="007B212D">
        <w:t xml:space="preserve"> </w:t>
      </w:r>
      <w:r>
        <w:t>=</w:t>
      </w:r>
      <w:r w:rsidRPr="007B212D">
        <w:t xml:space="preserve"> </w:t>
      </w:r>
      <w:r>
        <w:t>normal</w:t>
      </w:r>
      <w:r w:rsidRPr="007B212D">
        <w:t xml:space="preserve"> </w:t>
      </w:r>
      <w:r>
        <w:t>to</w:t>
      </w:r>
      <w:r w:rsidRPr="007B212D">
        <w:t xml:space="preserve"> </w:t>
      </w:r>
      <w:r>
        <w:t>3</w:t>
      </w:r>
      <w:r w:rsidRPr="007B212D">
        <w:t xml:space="preserve"> </w:t>
      </w:r>
      <w:r>
        <w:t>=</w:t>
      </w:r>
      <w:r w:rsidRPr="007B212D">
        <w:t xml:space="preserve"> </w:t>
      </w:r>
      <w:r>
        <w:t>most</w:t>
      </w:r>
      <w:r w:rsidRPr="007B212D">
        <w:t xml:space="preserve"> </w:t>
      </w:r>
      <w:r>
        <w:t>severe),</w:t>
      </w:r>
      <w:r w:rsidRPr="007B212D">
        <w:t xml:space="preserve"> </w:t>
      </w:r>
      <w:r>
        <w:t>with</w:t>
      </w:r>
      <w:r w:rsidRPr="007B212D">
        <w:t xml:space="preserve"> </w:t>
      </w:r>
      <w:r>
        <w:t>the total score ranging from 0 to 24.</w:t>
      </w:r>
    </w:p>
    <w:p w14:paraId="3E8C3859" w14:textId="1B9DC561" w:rsidR="009876FE" w:rsidRDefault="009876FE" w:rsidP="007B212D">
      <w:pPr>
        <w:spacing w:before="121"/>
      </w:pPr>
      <w:r>
        <w:t>The QMG includes 13 items that measure endurance or fatigability, and accounts for fluctuations</w:t>
      </w:r>
      <w:r w:rsidRPr="007B212D">
        <w:t xml:space="preserve"> </w:t>
      </w:r>
      <w:r>
        <w:t>in</w:t>
      </w:r>
      <w:r w:rsidRPr="007B212D">
        <w:t xml:space="preserve"> </w:t>
      </w:r>
      <w:r>
        <w:t>disease</w:t>
      </w:r>
      <w:r w:rsidRPr="007B212D">
        <w:t xml:space="preserve"> </w:t>
      </w:r>
      <w:r>
        <w:t>state.</w:t>
      </w:r>
      <w:r w:rsidRPr="007B212D">
        <w:t xml:space="preserve"> </w:t>
      </w:r>
      <w:r>
        <w:t>The</w:t>
      </w:r>
      <w:r w:rsidRPr="007B212D">
        <w:t xml:space="preserve"> </w:t>
      </w:r>
      <w:r>
        <w:t>investigator-rated</w:t>
      </w:r>
      <w:r w:rsidRPr="007B212D">
        <w:t xml:space="preserve"> </w:t>
      </w:r>
      <w:r>
        <w:t>items</w:t>
      </w:r>
      <w:r w:rsidRPr="007B212D">
        <w:t xml:space="preserve"> </w:t>
      </w:r>
      <w:r>
        <w:t>are</w:t>
      </w:r>
      <w:r w:rsidRPr="007B212D">
        <w:t xml:space="preserve"> </w:t>
      </w:r>
      <w:r>
        <w:t>scored</w:t>
      </w:r>
      <w:r w:rsidRPr="007B212D">
        <w:t xml:space="preserve"> </w:t>
      </w:r>
      <w:r>
        <w:t>on</w:t>
      </w:r>
      <w:r w:rsidRPr="007B212D">
        <w:t xml:space="preserve"> </w:t>
      </w:r>
      <w:r>
        <w:t>a</w:t>
      </w:r>
      <w:r w:rsidRPr="007B212D">
        <w:t xml:space="preserve"> </w:t>
      </w:r>
      <w:r>
        <w:t>4-point</w:t>
      </w:r>
      <w:r w:rsidRPr="007B212D">
        <w:t xml:space="preserve"> </w:t>
      </w:r>
      <w:r>
        <w:t>severity</w:t>
      </w:r>
      <w:r w:rsidRPr="007B212D">
        <w:t xml:space="preserve"> </w:t>
      </w:r>
      <w:r>
        <w:t>scale (0 = no symptoms to 3 = severe symptoms) and permissible scores range from 0 to 39, with higher scores indicative of greater disease severity.</w:t>
      </w:r>
    </w:p>
    <w:p w14:paraId="245A8613" w14:textId="1E7FF7CA" w:rsidR="009876FE" w:rsidRDefault="009876FE" w:rsidP="007B212D">
      <w:pPr>
        <w:spacing w:before="121"/>
      </w:pPr>
      <w:r>
        <w:lastRenderedPageBreak/>
        <w:t>Test</w:t>
      </w:r>
      <w:r w:rsidRPr="007B212D">
        <w:t xml:space="preserve"> </w:t>
      </w:r>
      <w:r>
        <w:t>domains</w:t>
      </w:r>
      <w:r w:rsidRPr="007B212D">
        <w:t xml:space="preserve"> are:</w:t>
      </w:r>
    </w:p>
    <w:p w14:paraId="3FD65547" w14:textId="77777777" w:rsidR="009876FE" w:rsidRDefault="009876FE" w:rsidP="007B212D">
      <w:pPr>
        <w:pStyle w:val="ListBullet"/>
        <w:numPr>
          <w:ilvl w:val="0"/>
          <w:numId w:val="31"/>
        </w:numPr>
        <w:ind w:left="357" w:hanging="357"/>
      </w:pPr>
      <w:r>
        <w:t>ocular</w:t>
      </w:r>
      <w:r w:rsidRPr="007B212D">
        <w:t xml:space="preserve"> </w:t>
      </w:r>
      <w:r>
        <w:t>symptoms</w:t>
      </w:r>
      <w:r w:rsidRPr="007B212D">
        <w:t xml:space="preserve"> </w:t>
      </w:r>
      <w:r>
        <w:t>(2</w:t>
      </w:r>
      <w:r w:rsidRPr="007B212D">
        <w:t xml:space="preserve"> items)</w:t>
      </w:r>
    </w:p>
    <w:p w14:paraId="1C925E7C" w14:textId="77777777" w:rsidR="009876FE" w:rsidRDefault="009876FE" w:rsidP="007B212D">
      <w:pPr>
        <w:pStyle w:val="ListBullet"/>
        <w:numPr>
          <w:ilvl w:val="0"/>
          <w:numId w:val="31"/>
        </w:numPr>
        <w:ind w:left="357" w:hanging="357"/>
      </w:pPr>
      <w:r>
        <w:t>facial/oropharyngeal</w:t>
      </w:r>
      <w:r w:rsidRPr="007B212D">
        <w:t xml:space="preserve"> </w:t>
      </w:r>
      <w:r>
        <w:t>symptoms</w:t>
      </w:r>
      <w:r w:rsidRPr="007B212D">
        <w:t xml:space="preserve"> </w:t>
      </w:r>
      <w:r>
        <w:t>(5</w:t>
      </w:r>
      <w:r w:rsidRPr="007B212D">
        <w:t xml:space="preserve"> </w:t>
      </w:r>
      <w:r>
        <w:t>items,</w:t>
      </w:r>
      <w:r w:rsidRPr="007B212D">
        <w:t xml:space="preserve"> </w:t>
      </w:r>
      <w:r>
        <w:t>including</w:t>
      </w:r>
      <w:r w:rsidRPr="007B212D">
        <w:t xml:space="preserve"> </w:t>
      </w:r>
      <w:r>
        <w:t>2</w:t>
      </w:r>
      <w:r w:rsidRPr="007B212D">
        <w:t xml:space="preserve"> </w:t>
      </w:r>
      <w:r>
        <w:t>ocular</w:t>
      </w:r>
      <w:r w:rsidRPr="007B212D">
        <w:t xml:space="preserve"> items)</w:t>
      </w:r>
    </w:p>
    <w:p w14:paraId="3CEFA04A" w14:textId="77777777" w:rsidR="009876FE" w:rsidRDefault="009876FE" w:rsidP="001E2BA3">
      <w:pPr>
        <w:pStyle w:val="ListBullet"/>
        <w:numPr>
          <w:ilvl w:val="0"/>
          <w:numId w:val="31"/>
        </w:numPr>
        <w:ind w:left="357" w:hanging="357"/>
      </w:pPr>
      <w:r>
        <w:t>non-facial</w:t>
      </w:r>
      <w:r w:rsidRPr="001E2BA3">
        <w:t xml:space="preserve"> </w:t>
      </w:r>
      <w:r>
        <w:t>symptoms</w:t>
      </w:r>
      <w:r w:rsidRPr="001E2BA3">
        <w:t xml:space="preserve"> </w:t>
      </w:r>
      <w:r>
        <w:t>(8</w:t>
      </w:r>
      <w:r w:rsidRPr="001E2BA3">
        <w:t xml:space="preserve"> items).</w:t>
      </w:r>
    </w:p>
    <w:p w14:paraId="4FE5045C" w14:textId="77777777" w:rsidR="009876FE" w:rsidRPr="001E2BA3" w:rsidRDefault="009876FE" w:rsidP="0045721F">
      <w:pPr>
        <w:pStyle w:val="Heading5"/>
      </w:pPr>
      <w:bookmarkStart w:id="70" w:name="Efficacy_of_the_IV_formulation"/>
      <w:bookmarkEnd w:id="70"/>
      <w:r w:rsidRPr="001E2BA3">
        <w:t>Efficacy of the IV formulation</w:t>
      </w:r>
    </w:p>
    <w:p w14:paraId="1FE51038" w14:textId="77777777" w:rsidR="009876FE" w:rsidRDefault="009876FE" w:rsidP="00EE27E1">
      <w:r>
        <w:t xml:space="preserve">Selection of the dose for the pivotal studies was based on results of previous studies in healthy subjects and </w:t>
      </w:r>
      <w:proofErr w:type="spellStart"/>
      <w:r>
        <w:t>gMG</w:t>
      </w:r>
      <w:proofErr w:type="spellEnd"/>
      <w:r>
        <w:t xml:space="preserve"> patients, and </w:t>
      </w:r>
      <w:proofErr w:type="spellStart"/>
      <w:r>
        <w:t>popPK</w:t>
      </w:r>
      <w:proofErr w:type="spellEnd"/>
      <w:r>
        <w:t>/population PD modelling, indicating that a dose of efgartigimod 10 mg/kg, administered as 4 weekly IV infusions, achieved close to maximal IgG reduction. Single ascending dose data showed that up to 10 mg/kg a dose-dependent decrease in IgG levels was observed, with higher doses of 25 mg/kg and 50 mg/kg not resulting in statistically significantly different IgG reduction, supported by similar findings following 4 weekly infusions of 10 mg/kg or 25 mg/kg, and similar IgG reduction observed between q4d dosing or q7d dosing at 10 mg/kg. The EMA assessment concluded that re-treatment with subsequent</w:t>
      </w:r>
      <w:r w:rsidRPr="001E2BA3">
        <w:t xml:space="preserve"> </w:t>
      </w:r>
      <w:r>
        <w:t>cycles</w:t>
      </w:r>
      <w:r w:rsidRPr="001E2BA3">
        <w:t xml:space="preserve"> </w:t>
      </w:r>
      <w:r>
        <w:t>of</w:t>
      </w:r>
      <w:r w:rsidRPr="001E2BA3">
        <w:t xml:space="preserve"> </w:t>
      </w:r>
      <w:r>
        <w:t>weekly</w:t>
      </w:r>
      <w:r w:rsidRPr="001E2BA3">
        <w:t xml:space="preserve"> </w:t>
      </w:r>
      <w:r>
        <w:t>infusions</w:t>
      </w:r>
      <w:r w:rsidRPr="001E2BA3">
        <w:t xml:space="preserve"> </w:t>
      </w:r>
      <w:r>
        <w:t>of</w:t>
      </w:r>
      <w:r w:rsidRPr="001E2BA3">
        <w:t xml:space="preserve"> </w:t>
      </w:r>
      <w:r>
        <w:t>efgartigimod</w:t>
      </w:r>
      <w:r w:rsidRPr="001E2BA3">
        <w:t xml:space="preserve"> </w:t>
      </w:r>
      <w:r>
        <w:t>IV</w:t>
      </w:r>
      <w:r w:rsidRPr="001E2BA3">
        <w:t xml:space="preserve"> </w:t>
      </w:r>
      <w:r>
        <w:t>10</w:t>
      </w:r>
      <w:r w:rsidRPr="001E2BA3">
        <w:t xml:space="preserve"> </w:t>
      </w:r>
      <w:r>
        <w:t>mg/kg</w:t>
      </w:r>
      <w:r w:rsidRPr="001E2BA3">
        <w:t xml:space="preserve"> </w:t>
      </w:r>
      <w:r>
        <w:t>or</w:t>
      </w:r>
      <w:r w:rsidRPr="001E2BA3">
        <w:t xml:space="preserve"> </w:t>
      </w:r>
      <w:r>
        <w:t>4</w:t>
      </w:r>
      <w:r w:rsidRPr="001E2BA3">
        <w:t xml:space="preserve"> </w:t>
      </w:r>
      <w:r>
        <w:t>weeks</w:t>
      </w:r>
      <w:r w:rsidRPr="001E2BA3">
        <w:t xml:space="preserve"> </w:t>
      </w:r>
      <w:r>
        <w:t>based</w:t>
      </w:r>
      <w:r w:rsidRPr="001E2BA3">
        <w:t xml:space="preserve"> </w:t>
      </w:r>
      <w:r>
        <w:t>on</w:t>
      </w:r>
      <w:r w:rsidRPr="001E2BA3">
        <w:t xml:space="preserve"> </w:t>
      </w:r>
      <w:r>
        <w:t xml:space="preserve">clinical evaluation is the most appropriate dose regimen for patients with </w:t>
      </w:r>
      <w:proofErr w:type="spellStart"/>
      <w:r>
        <w:t>gMG</w:t>
      </w:r>
      <w:proofErr w:type="spellEnd"/>
      <w:r>
        <w:t>.</w:t>
      </w:r>
    </w:p>
    <w:p w14:paraId="31AC032B" w14:textId="14D566B9" w:rsidR="009876FE" w:rsidRDefault="009876FE" w:rsidP="00EE27E1">
      <w:r>
        <w:t>Efficacy of efgartigimod in the indication sought was evaluated in 3 clinical studies, a pivotal Phase</w:t>
      </w:r>
      <w:r w:rsidRPr="001E2BA3">
        <w:t xml:space="preserve"> </w:t>
      </w:r>
      <w:r>
        <w:t>3</w:t>
      </w:r>
      <w:r w:rsidRPr="001E2BA3">
        <w:t xml:space="preserve"> </w:t>
      </w:r>
      <w:r>
        <w:t>study</w:t>
      </w:r>
      <w:r w:rsidRPr="001E2BA3">
        <w:t xml:space="preserve"> </w:t>
      </w:r>
      <w:r>
        <w:t>ARGX-113-1704,</w:t>
      </w:r>
      <w:r w:rsidRPr="001E2BA3">
        <w:t xml:space="preserve"> </w:t>
      </w:r>
      <w:r>
        <w:t>an</w:t>
      </w:r>
      <w:r w:rsidRPr="001E2BA3">
        <w:t xml:space="preserve"> </w:t>
      </w:r>
      <w:r>
        <w:t>ongoing</w:t>
      </w:r>
      <w:r w:rsidRPr="001E2BA3">
        <w:t xml:space="preserve"> </w:t>
      </w:r>
      <w:r>
        <w:t>Phase</w:t>
      </w:r>
      <w:r w:rsidRPr="001E2BA3">
        <w:t xml:space="preserve"> </w:t>
      </w:r>
      <w:r>
        <w:t>3</w:t>
      </w:r>
      <w:r w:rsidRPr="001E2BA3">
        <w:t xml:space="preserve"> </w:t>
      </w:r>
      <w:r>
        <w:t>open-label</w:t>
      </w:r>
      <w:r w:rsidRPr="001E2BA3">
        <w:t xml:space="preserve"> </w:t>
      </w:r>
      <w:r>
        <w:t>extension</w:t>
      </w:r>
      <w:r w:rsidRPr="001E2BA3">
        <w:t xml:space="preserve"> </w:t>
      </w:r>
      <w:r>
        <w:t>ARGX-113-1705,</w:t>
      </w:r>
      <w:r w:rsidRPr="001E2BA3">
        <w:t xml:space="preserve"> </w:t>
      </w:r>
      <w:r>
        <w:t>and</w:t>
      </w:r>
      <w:r w:rsidRPr="001E2BA3">
        <w:t xml:space="preserve"> </w:t>
      </w:r>
      <w:r>
        <w:t xml:space="preserve">a supportive Phase 2 double-blind, placebo-controlled study ARGX-113-1602. These studies are summarised in Table </w:t>
      </w:r>
      <w:r w:rsidR="001E2602">
        <w:t>7</w:t>
      </w:r>
      <w:r>
        <w:t>, reproduced from the EMA assessment report.</w:t>
      </w:r>
    </w:p>
    <w:p w14:paraId="2F0265C2" w14:textId="47E43F05" w:rsidR="009876FE" w:rsidRDefault="009876FE" w:rsidP="008A3994">
      <w:pPr>
        <w:pStyle w:val="TableTitle"/>
      </w:pPr>
      <w:r>
        <w:t>Table</w:t>
      </w:r>
      <w:r>
        <w:rPr>
          <w:spacing w:val="-3"/>
        </w:rPr>
        <w:t xml:space="preserve"> </w:t>
      </w:r>
      <w:r w:rsidR="001E2602">
        <w:t>7</w:t>
      </w:r>
      <w:r>
        <w:t>.</w:t>
      </w:r>
      <w:r>
        <w:rPr>
          <w:spacing w:val="-4"/>
        </w:rPr>
        <w:t xml:space="preserve"> </w:t>
      </w:r>
      <w:r>
        <w:t>Clinical</w:t>
      </w:r>
      <w:r>
        <w:rPr>
          <w:spacing w:val="-4"/>
        </w:rPr>
        <w:t xml:space="preserve"> </w:t>
      </w:r>
      <w:r>
        <w:t>studies</w:t>
      </w:r>
      <w:r>
        <w:rPr>
          <w:spacing w:val="-4"/>
        </w:rPr>
        <w:t xml:space="preserve"> </w:t>
      </w:r>
      <w:r>
        <w:t>with</w:t>
      </w:r>
      <w:r>
        <w:rPr>
          <w:spacing w:val="-3"/>
        </w:rPr>
        <w:t xml:space="preserve"> </w:t>
      </w:r>
      <w:r>
        <w:t>efgartigimod</w:t>
      </w:r>
      <w:r>
        <w:rPr>
          <w:spacing w:val="-3"/>
        </w:rPr>
        <w:t xml:space="preserve"> </w:t>
      </w:r>
      <w:r>
        <w:t>supporting</w:t>
      </w:r>
      <w:r>
        <w:rPr>
          <w:spacing w:val="-5"/>
        </w:rPr>
        <w:t xml:space="preserve"> </w:t>
      </w:r>
      <w:r>
        <w:t>the</w:t>
      </w:r>
      <w:r>
        <w:rPr>
          <w:spacing w:val="-3"/>
        </w:rPr>
        <w:t xml:space="preserve"> </w:t>
      </w:r>
      <w:r>
        <w:t>clinical</w:t>
      </w:r>
      <w:r>
        <w:rPr>
          <w:spacing w:val="-4"/>
        </w:rPr>
        <w:t xml:space="preserve"> </w:t>
      </w:r>
      <w:r>
        <w:t>efficacy</w:t>
      </w:r>
      <w:r>
        <w:rPr>
          <w:spacing w:val="-3"/>
        </w:rPr>
        <w:t xml:space="preserve"> </w:t>
      </w:r>
      <w:r>
        <w:t>of</w:t>
      </w:r>
      <w:r>
        <w:rPr>
          <w:spacing w:val="-3"/>
        </w:rPr>
        <w:t xml:space="preserve"> </w:t>
      </w:r>
      <w:r>
        <w:t>efgartigimod in generalised Myasthenia Gravis</w:t>
      </w:r>
    </w:p>
    <w:p w14:paraId="56882EA2" w14:textId="612E39E9" w:rsidR="00C94F0C" w:rsidRDefault="00C94F0C" w:rsidP="00C94F0C">
      <w:r>
        <w:rPr>
          <w:noProof/>
        </w:rPr>
        <w:drawing>
          <wp:inline distT="0" distB="0" distL="0" distR="0" wp14:anchorId="7394CF85" wp14:editId="67746C0B">
            <wp:extent cx="4651380" cy="4349363"/>
            <wp:effectExtent l="0" t="0" r="0" b="0"/>
            <wp:docPr id="300482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4536" cy="4352314"/>
                    </a:xfrm>
                    <a:prstGeom prst="rect">
                      <a:avLst/>
                    </a:prstGeom>
                    <a:noFill/>
                  </pic:spPr>
                </pic:pic>
              </a:graphicData>
            </a:graphic>
          </wp:inline>
        </w:drawing>
      </w:r>
    </w:p>
    <w:p w14:paraId="5E8520D3" w14:textId="77777777" w:rsidR="009876FE" w:rsidRPr="00E0705C" w:rsidRDefault="009876FE" w:rsidP="002674A8">
      <w:pPr>
        <w:pStyle w:val="Heading6"/>
      </w:pPr>
      <w:bookmarkStart w:id="71" w:name="Study_ARGX-113-1704,_pivotal_efficacy_st"/>
      <w:bookmarkEnd w:id="71"/>
      <w:r w:rsidRPr="00E0705C">
        <w:lastRenderedPageBreak/>
        <w:t>Study ARGX-113-1704, pivotal efficacy study</w:t>
      </w:r>
    </w:p>
    <w:p w14:paraId="34492F45" w14:textId="77777777" w:rsidR="009876FE" w:rsidRDefault="009876FE" w:rsidP="00EE27E1">
      <w:r>
        <w:t xml:space="preserve">ARGX-113-1704 was a phase 3, randomised, double-blind, placebo-controlled, parallel-group, multicentre study conducted between August 2018 and April 2020 at 56 sites worldwide, to evaluate efficacy and safety in patients with </w:t>
      </w:r>
      <w:proofErr w:type="spellStart"/>
      <w:r>
        <w:t>gMG</w:t>
      </w:r>
      <w:proofErr w:type="spellEnd"/>
      <w:r>
        <w:t xml:space="preserve"> treated with efgartigimod. Patients were to be randomised 1:1 to receive treatment cycles (TCs) of efgartigimod 10 mg/kg IV or matched placebo infusions concomitantly with their existing </w:t>
      </w:r>
      <w:proofErr w:type="spellStart"/>
      <w:r>
        <w:t>gMG</w:t>
      </w:r>
      <w:proofErr w:type="spellEnd"/>
      <w:r>
        <w:t xml:space="preserve"> therapies, with subsequent TCs administered according to clinical response. Treatment comprised infusions every 7 days for 4 infusions. Patients were stratified according to </w:t>
      </w:r>
      <w:proofErr w:type="spellStart"/>
      <w:r>
        <w:t>AChR</w:t>
      </w:r>
      <w:proofErr w:type="spellEnd"/>
      <w:r>
        <w:t xml:space="preserve">-Ab status, type of concomitant </w:t>
      </w:r>
      <w:proofErr w:type="spellStart"/>
      <w:r>
        <w:t>gMG</w:t>
      </w:r>
      <w:proofErr w:type="spellEnd"/>
      <w:r>
        <w:t xml:space="preserve"> treatment (non-steroidal immunosuppressive drugs [NSIDs] or not NSIDs) and whether they were Japanese or non-Japanese. Total study duration was up to 26 weeks, with the initial TC 8 weeks in duration (3-week treatment period and 5-week follow-up period), followed by a variable</w:t>
      </w:r>
      <w:r w:rsidRPr="00E0705C">
        <w:t xml:space="preserve"> </w:t>
      </w:r>
      <w:r>
        <w:t>inter-TC</w:t>
      </w:r>
      <w:r w:rsidRPr="00E0705C">
        <w:t xml:space="preserve"> </w:t>
      </w:r>
      <w:r>
        <w:t>period</w:t>
      </w:r>
      <w:r w:rsidRPr="00E0705C">
        <w:t xml:space="preserve"> </w:t>
      </w:r>
      <w:r>
        <w:t>depending</w:t>
      </w:r>
      <w:r w:rsidRPr="00E0705C">
        <w:t xml:space="preserve"> </w:t>
      </w:r>
      <w:r>
        <w:t>on</w:t>
      </w:r>
      <w:r w:rsidRPr="00E0705C">
        <w:t xml:space="preserve"> </w:t>
      </w:r>
      <w:r>
        <w:t>clinical</w:t>
      </w:r>
      <w:r w:rsidRPr="00E0705C">
        <w:t xml:space="preserve"> </w:t>
      </w:r>
      <w:r>
        <w:t>response</w:t>
      </w:r>
      <w:r w:rsidRPr="00E0705C">
        <w:t xml:space="preserve"> </w:t>
      </w:r>
      <w:r>
        <w:t>based</w:t>
      </w:r>
      <w:r w:rsidRPr="00E0705C">
        <w:t xml:space="preserve"> </w:t>
      </w:r>
      <w:r>
        <w:t>on</w:t>
      </w:r>
      <w:r w:rsidRPr="00E0705C">
        <w:t xml:space="preserve"> </w:t>
      </w:r>
      <w:r>
        <w:t>pre-specified</w:t>
      </w:r>
      <w:r w:rsidRPr="00E0705C">
        <w:t xml:space="preserve"> </w:t>
      </w:r>
      <w:r>
        <w:t>criteria.</w:t>
      </w:r>
      <w:r w:rsidRPr="00E0705C">
        <w:t xml:space="preserve"> </w:t>
      </w:r>
      <w:r>
        <w:t xml:space="preserve">Changes were not permitted to type or dose of concomitant </w:t>
      </w:r>
      <w:proofErr w:type="spellStart"/>
      <w:r>
        <w:t>gMG</w:t>
      </w:r>
      <w:proofErr w:type="spellEnd"/>
      <w:r>
        <w:t xml:space="preserve"> therapies during the study, and rescue therapy was permitted if a patient deteriorated based on the investigator’s clinical assessment; patients who required rescue therapy were discontinued from the study.</w:t>
      </w:r>
    </w:p>
    <w:p w14:paraId="76A74421" w14:textId="77777777" w:rsidR="009876FE" w:rsidRDefault="009876FE" w:rsidP="00EE27E1">
      <w:r>
        <w:t xml:space="preserve">Key inclusion criteria were adult patients with a diagnosis of MG with generalised muscle weakness, MGFA class II, III, </w:t>
      </w:r>
      <w:proofErr w:type="spellStart"/>
      <w:r>
        <w:t>IVa</w:t>
      </w:r>
      <w:proofErr w:type="spellEnd"/>
      <w:r>
        <w:t xml:space="preserve"> or </w:t>
      </w:r>
      <w:proofErr w:type="spellStart"/>
      <w:r>
        <w:t>IVb</w:t>
      </w:r>
      <w:proofErr w:type="spellEnd"/>
      <w:r>
        <w:t xml:space="preserve">, and MG-ADL total score ≥ 5 points at screening and baseline with &gt;50% of the total score attributed to non-ocular symptoms. Patients were required to be on stable doses of standard-of-care concomitant therapies for </w:t>
      </w:r>
      <w:proofErr w:type="spellStart"/>
      <w:r>
        <w:t>gMG</w:t>
      </w:r>
      <w:proofErr w:type="spellEnd"/>
      <w:r>
        <w:t>, with specific dose stability conditions. Exclusion criteria were categorised as MG-related, including MGFA class I and</w:t>
      </w:r>
      <w:r w:rsidRPr="00E0705C">
        <w:t xml:space="preserve"> </w:t>
      </w:r>
      <w:r>
        <w:t>V patients and</w:t>
      </w:r>
      <w:r w:rsidRPr="00E0705C">
        <w:t xml:space="preserve"> </w:t>
      </w:r>
      <w:r>
        <w:t>a previously documented lack</w:t>
      </w:r>
      <w:r w:rsidRPr="00E0705C">
        <w:t xml:space="preserve"> </w:t>
      </w:r>
      <w:r>
        <w:t>of</w:t>
      </w:r>
      <w:r w:rsidRPr="00E0705C">
        <w:t xml:space="preserve"> </w:t>
      </w:r>
      <w:r>
        <w:t>clinical response to plasma exchange therapy, related to previous or concomitant treatments, including Ig-based therapy in the preceding 1 month or monoclonal antibody therapy in the preceding 6 months, related to infection or malignancy risk, including patients who had received a vaccination in the 4 weeks prior</w:t>
      </w:r>
      <w:r w:rsidRPr="00E0705C">
        <w:t xml:space="preserve"> </w:t>
      </w:r>
      <w:r>
        <w:t>to</w:t>
      </w:r>
      <w:r w:rsidRPr="00E0705C">
        <w:t xml:space="preserve"> </w:t>
      </w:r>
      <w:r>
        <w:t>screening,</w:t>
      </w:r>
      <w:r w:rsidRPr="00E0705C">
        <w:t xml:space="preserve"> </w:t>
      </w:r>
      <w:r>
        <w:t>and</w:t>
      </w:r>
      <w:r w:rsidRPr="00E0705C">
        <w:t xml:space="preserve"> </w:t>
      </w:r>
      <w:r>
        <w:t>other</w:t>
      </w:r>
      <w:r w:rsidRPr="00E0705C">
        <w:t xml:space="preserve"> </w:t>
      </w:r>
      <w:r>
        <w:t>criteria,</w:t>
      </w:r>
      <w:r w:rsidRPr="00E0705C">
        <w:t xml:space="preserve"> </w:t>
      </w:r>
      <w:r>
        <w:t>including</w:t>
      </w:r>
      <w:r w:rsidRPr="00E0705C">
        <w:t xml:space="preserve"> </w:t>
      </w:r>
      <w:r>
        <w:t>pregnant</w:t>
      </w:r>
      <w:r w:rsidRPr="00E0705C">
        <w:t xml:space="preserve"> </w:t>
      </w:r>
      <w:r>
        <w:t>and</w:t>
      </w:r>
      <w:r w:rsidRPr="00E0705C">
        <w:t xml:space="preserve"> </w:t>
      </w:r>
      <w:r>
        <w:t>lactating</w:t>
      </w:r>
      <w:r w:rsidRPr="00E0705C">
        <w:t xml:space="preserve"> </w:t>
      </w:r>
      <w:r>
        <w:t>women</w:t>
      </w:r>
      <w:r w:rsidRPr="00E0705C">
        <w:t xml:space="preserve"> </w:t>
      </w:r>
      <w:r>
        <w:t>and</w:t>
      </w:r>
      <w:r w:rsidRPr="00E0705C">
        <w:t xml:space="preserve"> </w:t>
      </w:r>
      <w:r>
        <w:t>patients</w:t>
      </w:r>
      <w:r w:rsidRPr="00E0705C">
        <w:t xml:space="preserve"> </w:t>
      </w:r>
      <w:r>
        <w:t>with a history of other autoimmune condition.</w:t>
      </w:r>
    </w:p>
    <w:p w14:paraId="09ED8C92" w14:textId="77777777" w:rsidR="009876FE" w:rsidRDefault="009876FE" w:rsidP="00EE27E1">
      <w:r>
        <w:t>The primary efficacy endpoint was percentage of MG-ADL responders after the first TC (TC1), defined as a reduction of at least 2 points on the MG-ADL total score for at least 4 consecutive weeks</w:t>
      </w:r>
      <w:r w:rsidRPr="00E0705C">
        <w:t xml:space="preserve"> </w:t>
      </w:r>
      <w:r>
        <w:t>with</w:t>
      </w:r>
      <w:r w:rsidRPr="00E0705C">
        <w:t xml:space="preserve"> </w:t>
      </w:r>
      <w:r>
        <w:t>the</w:t>
      </w:r>
      <w:r w:rsidRPr="00E0705C">
        <w:t xml:space="preserve"> </w:t>
      </w:r>
      <w:r>
        <w:t>first</w:t>
      </w:r>
      <w:r w:rsidRPr="00E0705C">
        <w:t xml:space="preserve"> </w:t>
      </w:r>
      <w:r>
        <w:t>decrease</w:t>
      </w:r>
      <w:r w:rsidRPr="00E0705C">
        <w:t xml:space="preserve"> </w:t>
      </w:r>
      <w:r>
        <w:t>occurring</w:t>
      </w:r>
      <w:r w:rsidRPr="00E0705C">
        <w:t xml:space="preserve"> </w:t>
      </w:r>
      <w:r>
        <w:t>at</w:t>
      </w:r>
      <w:r w:rsidRPr="00E0705C">
        <w:t xml:space="preserve"> </w:t>
      </w:r>
      <w:r>
        <w:t>the</w:t>
      </w:r>
      <w:r w:rsidRPr="00E0705C">
        <w:t xml:space="preserve"> </w:t>
      </w:r>
      <w:r>
        <w:t>latest</w:t>
      </w:r>
      <w:r w:rsidRPr="00E0705C">
        <w:t xml:space="preserve"> </w:t>
      </w:r>
      <w:r>
        <w:t>1</w:t>
      </w:r>
      <w:r w:rsidRPr="00E0705C">
        <w:t xml:space="preserve"> </w:t>
      </w:r>
      <w:r>
        <w:t>week</w:t>
      </w:r>
      <w:r w:rsidRPr="00E0705C">
        <w:t xml:space="preserve"> </w:t>
      </w:r>
      <w:r>
        <w:t>after</w:t>
      </w:r>
      <w:r w:rsidRPr="00E0705C">
        <w:t xml:space="preserve"> </w:t>
      </w:r>
      <w:r>
        <w:t>the</w:t>
      </w:r>
      <w:r w:rsidRPr="00E0705C">
        <w:t xml:space="preserve"> </w:t>
      </w:r>
      <w:r>
        <w:t>last</w:t>
      </w:r>
      <w:r w:rsidRPr="00E0705C">
        <w:t xml:space="preserve"> </w:t>
      </w:r>
      <w:r>
        <w:t>infusion,</w:t>
      </w:r>
      <w:r w:rsidRPr="00E0705C">
        <w:t xml:space="preserve"> </w:t>
      </w:r>
      <w:r>
        <w:t>in</w:t>
      </w:r>
      <w:r w:rsidRPr="00E0705C">
        <w:t xml:space="preserve"> </w:t>
      </w:r>
      <w:r>
        <w:t>the</w:t>
      </w:r>
      <w:r w:rsidRPr="00E0705C">
        <w:t xml:space="preserve"> </w:t>
      </w:r>
      <w:proofErr w:type="spellStart"/>
      <w:r>
        <w:t>AChR</w:t>
      </w:r>
      <w:proofErr w:type="spellEnd"/>
      <w:r>
        <w:t>-Ab seropositive population. Secondary endpoints included assessment of efficacy based on the QMG score, MG-ADL in the overall study population, and time from week 4 to qualify for re-</w:t>
      </w:r>
      <w:r w:rsidRPr="00E0705C">
        <w:t>treatment.</w:t>
      </w:r>
    </w:p>
    <w:p w14:paraId="793663C6" w14:textId="77777777" w:rsidR="009876FE" w:rsidRDefault="009876FE" w:rsidP="00EE27E1">
      <w:r>
        <w:t xml:space="preserve">Sample size calculation was guided by Phase 2 results, assuming placebo response rate of 30%, and treatment difference 35% for the </w:t>
      </w:r>
      <w:proofErr w:type="spellStart"/>
      <w:r>
        <w:t>AChR</w:t>
      </w:r>
      <w:proofErr w:type="spellEnd"/>
      <w:r>
        <w:t xml:space="preserve">-Ab seropositive population and 5% for the seronegative population. A sample size of 150 was determined to provide power of 96% in the primary population of </w:t>
      </w:r>
      <w:proofErr w:type="spellStart"/>
      <w:r>
        <w:t>AChR</w:t>
      </w:r>
      <w:proofErr w:type="spellEnd"/>
      <w:r>
        <w:t>-Ab seropositive patients to detect a difference of 35% in the proportion</w:t>
      </w:r>
      <w:r w:rsidRPr="00E0705C">
        <w:t xml:space="preserve"> </w:t>
      </w:r>
      <w:r>
        <w:t>of</w:t>
      </w:r>
      <w:r w:rsidRPr="00E0705C">
        <w:t xml:space="preserve"> </w:t>
      </w:r>
      <w:r>
        <w:t>responders</w:t>
      </w:r>
      <w:r w:rsidRPr="00E0705C">
        <w:t xml:space="preserve"> </w:t>
      </w:r>
      <w:r>
        <w:t>with</w:t>
      </w:r>
      <w:r w:rsidRPr="00E0705C">
        <w:t xml:space="preserve"> </w:t>
      </w:r>
      <w:r>
        <w:t>120</w:t>
      </w:r>
      <w:r w:rsidRPr="00E0705C">
        <w:t xml:space="preserve"> </w:t>
      </w:r>
      <w:r>
        <w:t>patients,</w:t>
      </w:r>
      <w:r w:rsidRPr="00E0705C">
        <w:t xml:space="preserve"> </w:t>
      </w:r>
      <w:r>
        <w:t>assuming</w:t>
      </w:r>
      <w:r w:rsidRPr="00E0705C">
        <w:t xml:space="preserve"> </w:t>
      </w:r>
      <w:r>
        <w:t>20%</w:t>
      </w:r>
      <w:r w:rsidRPr="00E0705C">
        <w:t xml:space="preserve"> </w:t>
      </w:r>
      <w:r>
        <w:t>enrolment</w:t>
      </w:r>
      <w:r w:rsidRPr="00E0705C">
        <w:t xml:space="preserve"> </w:t>
      </w:r>
      <w:r>
        <w:t>of</w:t>
      </w:r>
      <w:r w:rsidRPr="00E0705C">
        <w:t xml:space="preserve"> </w:t>
      </w:r>
      <w:proofErr w:type="spellStart"/>
      <w:r>
        <w:t>AChR</w:t>
      </w:r>
      <w:proofErr w:type="spellEnd"/>
      <w:r>
        <w:t>-Ab</w:t>
      </w:r>
      <w:r w:rsidRPr="00E0705C">
        <w:t xml:space="preserve"> </w:t>
      </w:r>
      <w:r>
        <w:t>seronegative patients. The primary efficacy endpoint was to be tested by means of a 2-sided test, stratified according to the pre-defined stratification factors, at the 2-sided 5%</w:t>
      </w:r>
      <w:r w:rsidRPr="00E0705C">
        <w:t xml:space="preserve"> </w:t>
      </w:r>
      <w:r>
        <w:t>significance level,</w:t>
      </w:r>
      <w:r w:rsidRPr="00E0705C">
        <w:t xml:space="preserve"> </w:t>
      </w:r>
      <w:r>
        <w:t xml:space="preserve">in </w:t>
      </w:r>
      <w:proofErr w:type="spellStart"/>
      <w:r>
        <w:t>AChR</w:t>
      </w:r>
      <w:proofErr w:type="spellEnd"/>
      <w:r>
        <w:t>-Ab</w:t>
      </w:r>
      <w:r w:rsidRPr="00E0705C">
        <w:t xml:space="preserve"> </w:t>
      </w:r>
      <w:r>
        <w:t>positive</w:t>
      </w:r>
      <w:r w:rsidRPr="00E0705C">
        <w:t xml:space="preserve"> </w:t>
      </w:r>
      <w:r>
        <w:t>patients.</w:t>
      </w:r>
      <w:r w:rsidRPr="00E0705C">
        <w:t xml:space="preserve"> </w:t>
      </w:r>
      <w:r>
        <w:t>Percentage</w:t>
      </w:r>
      <w:r w:rsidRPr="00E0705C">
        <w:t xml:space="preserve"> </w:t>
      </w:r>
      <w:r>
        <w:t>responders</w:t>
      </w:r>
      <w:r w:rsidRPr="00E0705C">
        <w:t xml:space="preserve"> </w:t>
      </w:r>
      <w:r>
        <w:t>were</w:t>
      </w:r>
      <w:r w:rsidRPr="00E0705C">
        <w:t xml:space="preserve"> </w:t>
      </w:r>
      <w:r>
        <w:t>to</w:t>
      </w:r>
      <w:r w:rsidRPr="00E0705C">
        <w:t xml:space="preserve"> </w:t>
      </w:r>
      <w:r>
        <w:t>be</w:t>
      </w:r>
      <w:r w:rsidRPr="00E0705C">
        <w:t xml:space="preserve"> </w:t>
      </w:r>
      <w:r>
        <w:t>compared</w:t>
      </w:r>
      <w:r w:rsidRPr="00E0705C">
        <w:t xml:space="preserve"> </w:t>
      </w:r>
      <w:r>
        <w:t>between</w:t>
      </w:r>
      <w:r w:rsidRPr="00E0705C">
        <w:t xml:space="preserve"> </w:t>
      </w:r>
      <w:r>
        <w:t>study</w:t>
      </w:r>
      <w:r w:rsidRPr="00E0705C">
        <w:t xml:space="preserve"> </w:t>
      </w:r>
      <w:r>
        <w:t>treatment</w:t>
      </w:r>
      <w:r w:rsidRPr="00E0705C">
        <w:t xml:space="preserve"> </w:t>
      </w:r>
      <w:r>
        <w:t xml:space="preserve">and placebo using logistic regression, with baseline MG-ADL as covariate and Japanese/non-Japanese patient, </w:t>
      </w:r>
      <w:proofErr w:type="spellStart"/>
      <w:r>
        <w:t>AChR</w:t>
      </w:r>
      <w:proofErr w:type="spellEnd"/>
      <w:r>
        <w:t>-Ab serotype, and standard-of-care as stratification variables. A hierarchical testing approach was used to control for multiplicity.</w:t>
      </w:r>
    </w:p>
    <w:p w14:paraId="369E9F9C" w14:textId="77777777" w:rsidR="009876FE" w:rsidRDefault="009876FE" w:rsidP="00EE27E1">
      <w:r>
        <w:t xml:space="preserve">There were 216 patients screened, of whom 167 were enrolled and randomised; 129 (77.2%) were </w:t>
      </w:r>
      <w:proofErr w:type="spellStart"/>
      <w:r>
        <w:t>AChR</w:t>
      </w:r>
      <w:proofErr w:type="spellEnd"/>
      <w:r>
        <w:t>-Ab seropositive, and 38 (22.8%) seronegative. Overall, 152 patients (91.0%) completed</w:t>
      </w:r>
      <w:r w:rsidRPr="00E0705C">
        <w:t xml:space="preserve"> </w:t>
      </w:r>
      <w:r>
        <w:t>treatment</w:t>
      </w:r>
      <w:r w:rsidRPr="00E0705C">
        <w:t xml:space="preserve"> </w:t>
      </w:r>
      <w:r>
        <w:t>and</w:t>
      </w:r>
      <w:r w:rsidRPr="00E0705C">
        <w:t xml:space="preserve"> </w:t>
      </w:r>
      <w:r>
        <w:t>156</w:t>
      </w:r>
      <w:r w:rsidRPr="00E0705C">
        <w:t xml:space="preserve"> </w:t>
      </w:r>
      <w:r>
        <w:t>(93.4%)</w:t>
      </w:r>
      <w:r w:rsidRPr="00E0705C">
        <w:t xml:space="preserve"> </w:t>
      </w:r>
      <w:r>
        <w:t>completed</w:t>
      </w:r>
      <w:r w:rsidRPr="00E0705C">
        <w:t xml:space="preserve"> </w:t>
      </w:r>
      <w:r>
        <w:t>the</w:t>
      </w:r>
      <w:r w:rsidRPr="00E0705C">
        <w:t xml:space="preserve"> </w:t>
      </w:r>
      <w:r>
        <w:t>study.</w:t>
      </w:r>
      <w:r w:rsidRPr="00E0705C">
        <w:t xml:space="preserve"> </w:t>
      </w:r>
      <w:r>
        <w:t>Patients</w:t>
      </w:r>
      <w:r w:rsidRPr="00E0705C">
        <w:t xml:space="preserve"> </w:t>
      </w:r>
      <w:r>
        <w:t>in</w:t>
      </w:r>
      <w:r w:rsidRPr="00E0705C">
        <w:t xml:space="preserve"> </w:t>
      </w:r>
      <w:r>
        <w:t>either</w:t>
      </w:r>
      <w:r w:rsidRPr="00E0705C">
        <w:t xml:space="preserve"> </w:t>
      </w:r>
      <w:r>
        <w:t>group</w:t>
      </w:r>
      <w:r w:rsidRPr="00E0705C">
        <w:t xml:space="preserve"> </w:t>
      </w:r>
      <w:r>
        <w:t>received</w:t>
      </w:r>
      <w:r w:rsidRPr="00E0705C">
        <w:t xml:space="preserve"> </w:t>
      </w:r>
      <w:r>
        <w:t>a maximum of 3 TCs, with number of cycles per patient balanced between treatment groups.</w:t>
      </w:r>
    </w:p>
    <w:p w14:paraId="02CDA923" w14:textId="77777777" w:rsidR="00C94F0C" w:rsidRDefault="00C94F0C" w:rsidP="00EE27E1"/>
    <w:p w14:paraId="48BC41E2" w14:textId="5DAE4D05" w:rsidR="009876FE" w:rsidRDefault="009876FE" w:rsidP="00EE27E1">
      <w:r>
        <w:lastRenderedPageBreak/>
        <w:t>Baseline patient demographics were comparable between treatment groups, with mean age of all patients 45.9 years in the efgartigimod group and 48.2 years in the placebo group, a slightly higher</w:t>
      </w:r>
      <w:r w:rsidRPr="00E0705C">
        <w:t xml:space="preserve"> </w:t>
      </w:r>
      <w:r>
        <w:t>majority</w:t>
      </w:r>
      <w:r w:rsidRPr="00E0705C">
        <w:t xml:space="preserve"> </w:t>
      </w:r>
      <w:r>
        <w:t>of</w:t>
      </w:r>
      <w:r w:rsidRPr="00E0705C">
        <w:t xml:space="preserve"> </w:t>
      </w:r>
      <w:r>
        <w:t>females in</w:t>
      </w:r>
      <w:r w:rsidRPr="00E0705C">
        <w:t xml:space="preserve"> </w:t>
      </w:r>
      <w:r>
        <w:t>the</w:t>
      </w:r>
      <w:r w:rsidRPr="00E0705C">
        <w:t xml:space="preserve"> </w:t>
      </w:r>
      <w:r>
        <w:t>efgartigimod</w:t>
      </w:r>
      <w:r w:rsidRPr="00E0705C">
        <w:t xml:space="preserve"> </w:t>
      </w:r>
      <w:r>
        <w:t>group</w:t>
      </w:r>
      <w:r w:rsidRPr="00E0705C">
        <w:t xml:space="preserve"> </w:t>
      </w:r>
      <w:r>
        <w:t>(75.0%</w:t>
      </w:r>
      <w:r w:rsidRPr="00E0705C">
        <w:t xml:space="preserve"> </w:t>
      </w:r>
      <w:r>
        <w:t>vs 66.3%)</w:t>
      </w:r>
      <w:r w:rsidRPr="00E0705C">
        <w:t xml:space="preserve"> </w:t>
      </w:r>
      <w:r>
        <w:t>and</w:t>
      </w:r>
      <w:r w:rsidRPr="00E0705C">
        <w:t xml:space="preserve"> </w:t>
      </w:r>
      <w:r>
        <w:t>&gt;80%</w:t>
      </w:r>
      <w:r w:rsidRPr="00E0705C">
        <w:t xml:space="preserve"> </w:t>
      </w:r>
      <w:r>
        <w:t>white</w:t>
      </w:r>
      <w:r w:rsidRPr="00E0705C">
        <w:t xml:space="preserve"> </w:t>
      </w:r>
      <w:r>
        <w:t>race</w:t>
      </w:r>
      <w:r w:rsidRPr="00E0705C">
        <w:t xml:space="preserve"> </w:t>
      </w:r>
      <w:r>
        <w:t>in both</w:t>
      </w:r>
      <w:r w:rsidRPr="00E0705C">
        <w:t xml:space="preserve"> </w:t>
      </w:r>
      <w:r>
        <w:t>groups.</w:t>
      </w:r>
      <w:r w:rsidRPr="00E0705C">
        <w:t xml:space="preserve"> </w:t>
      </w:r>
      <w:r>
        <w:t>Notably,</w:t>
      </w:r>
      <w:r w:rsidRPr="00E0705C">
        <w:t xml:space="preserve"> </w:t>
      </w:r>
      <w:r>
        <w:t>among</w:t>
      </w:r>
      <w:r w:rsidRPr="00E0705C">
        <w:t xml:space="preserve"> </w:t>
      </w:r>
      <w:proofErr w:type="spellStart"/>
      <w:r>
        <w:t>AChR</w:t>
      </w:r>
      <w:proofErr w:type="spellEnd"/>
      <w:r>
        <w:t>-Ab</w:t>
      </w:r>
      <w:r w:rsidRPr="00E0705C">
        <w:t xml:space="preserve"> </w:t>
      </w:r>
      <w:r>
        <w:t>seropositive</w:t>
      </w:r>
      <w:r w:rsidRPr="00E0705C">
        <w:t xml:space="preserve"> </w:t>
      </w:r>
      <w:r>
        <w:t>patients</w:t>
      </w:r>
      <w:r w:rsidRPr="00E0705C">
        <w:t xml:space="preserve"> </w:t>
      </w:r>
      <w:r>
        <w:t>receiving</w:t>
      </w:r>
      <w:r w:rsidRPr="00E0705C">
        <w:t xml:space="preserve"> </w:t>
      </w:r>
      <w:r>
        <w:t>efgartigimod</w:t>
      </w:r>
      <w:r w:rsidRPr="00E0705C">
        <w:t xml:space="preserve"> </w:t>
      </w:r>
      <w:r>
        <w:t>only</w:t>
      </w:r>
      <w:r w:rsidRPr="00E0705C">
        <w:t xml:space="preserve"> </w:t>
      </w:r>
      <w:r>
        <w:t>8</w:t>
      </w:r>
      <w:r w:rsidRPr="00E0705C">
        <w:t xml:space="preserve"> </w:t>
      </w:r>
      <w:r>
        <w:t xml:space="preserve">were aged ≥65 years. In terms of baseline disease characteristics, in the </w:t>
      </w:r>
      <w:proofErr w:type="spellStart"/>
      <w:r>
        <w:t>AChR</w:t>
      </w:r>
      <w:proofErr w:type="spellEnd"/>
      <w:r>
        <w:t>-Ab seropositive population a higher proportion of patients in the efgartigimod group had undergone</w:t>
      </w:r>
      <w:r w:rsidR="00E0705C">
        <w:t xml:space="preserve"> th</w:t>
      </w:r>
      <w:r>
        <w:t>ymectomy</w:t>
      </w:r>
      <w:r>
        <w:rPr>
          <w:spacing w:val="-3"/>
        </w:rPr>
        <w:t xml:space="preserve"> </w:t>
      </w:r>
      <w:r>
        <w:t>(69.2%</w:t>
      </w:r>
      <w:r>
        <w:rPr>
          <w:spacing w:val="-2"/>
        </w:rPr>
        <w:t xml:space="preserve"> </w:t>
      </w:r>
      <w:r>
        <w:t>vs</w:t>
      </w:r>
      <w:r>
        <w:rPr>
          <w:spacing w:val="-1"/>
        </w:rPr>
        <w:t xml:space="preserve"> </w:t>
      </w:r>
      <w:r>
        <w:t>46.9%</w:t>
      </w:r>
      <w:r>
        <w:rPr>
          <w:spacing w:val="-2"/>
        </w:rPr>
        <w:t xml:space="preserve"> </w:t>
      </w:r>
      <w:r>
        <w:t>in</w:t>
      </w:r>
      <w:r>
        <w:rPr>
          <w:spacing w:val="-3"/>
        </w:rPr>
        <w:t xml:space="preserve"> </w:t>
      </w:r>
      <w:r>
        <w:t>the</w:t>
      </w:r>
      <w:r>
        <w:rPr>
          <w:spacing w:val="-2"/>
        </w:rPr>
        <w:t xml:space="preserve"> </w:t>
      </w:r>
      <w:r>
        <w:t>placebo</w:t>
      </w:r>
      <w:r>
        <w:rPr>
          <w:spacing w:val="-4"/>
        </w:rPr>
        <w:t xml:space="preserve"> </w:t>
      </w:r>
      <w:r>
        <w:t>group),</w:t>
      </w:r>
      <w:r>
        <w:rPr>
          <w:spacing w:val="-2"/>
        </w:rPr>
        <w:t xml:space="preserve"> </w:t>
      </w:r>
      <w:r>
        <w:t>whilst</w:t>
      </w:r>
      <w:r>
        <w:rPr>
          <w:spacing w:val="-2"/>
        </w:rPr>
        <w:t xml:space="preserve"> </w:t>
      </w:r>
      <w:r>
        <w:t>symptom</w:t>
      </w:r>
      <w:r>
        <w:rPr>
          <w:spacing w:val="-1"/>
        </w:rPr>
        <w:t xml:space="preserve"> </w:t>
      </w:r>
      <w:r>
        <w:t>severity</w:t>
      </w:r>
      <w:r>
        <w:rPr>
          <w:spacing w:val="-3"/>
        </w:rPr>
        <w:t xml:space="preserve"> </w:t>
      </w:r>
      <w:r>
        <w:t>in</w:t>
      </w:r>
      <w:r>
        <w:rPr>
          <w:spacing w:val="-3"/>
        </w:rPr>
        <w:t xml:space="preserve"> </w:t>
      </w:r>
      <w:r>
        <w:t>terms</w:t>
      </w:r>
      <w:r>
        <w:rPr>
          <w:spacing w:val="-3"/>
        </w:rPr>
        <w:t xml:space="preserve"> </w:t>
      </w:r>
      <w:r>
        <w:t>of</w:t>
      </w:r>
      <w:r>
        <w:rPr>
          <w:spacing w:val="-2"/>
        </w:rPr>
        <w:t xml:space="preserve"> </w:t>
      </w:r>
      <w:r>
        <w:t>MGFA class, MG-ADL and QMG scores were comparable. Concomitant steroid use was slightly higher among the efgartigimod group compared to the placebo group (71.4% vs 80.7% in the overall population), but other therapies were broadly similar between treatment groups, with 60.7% and 61.4%</w:t>
      </w:r>
      <w:r>
        <w:rPr>
          <w:spacing w:val="-3"/>
        </w:rPr>
        <w:t xml:space="preserve"> </w:t>
      </w:r>
      <w:r>
        <w:t>in</w:t>
      </w:r>
      <w:r>
        <w:rPr>
          <w:spacing w:val="-1"/>
        </w:rPr>
        <w:t xml:space="preserve"> </w:t>
      </w:r>
      <w:r>
        <w:t>the efgartigimod and placebo</w:t>
      </w:r>
      <w:r>
        <w:rPr>
          <w:spacing w:val="-3"/>
        </w:rPr>
        <w:t xml:space="preserve"> </w:t>
      </w:r>
      <w:r>
        <w:t>groups respectively</w:t>
      </w:r>
      <w:r>
        <w:rPr>
          <w:spacing w:val="-4"/>
        </w:rPr>
        <w:t xml:space="preserve"> </w:t>
      </w:r>
      <w:r>
        <w:t>in</w:t>
      </w:r>
      <w:r>
        <w:rPr>
          <w:spacing w:val="-1"/>
        </w:rPr>
        <w:t xml:space="preserve"> </w:t>
      </w:r>
      <w:r>
        <w:t>the overall</w:t>
      </w:r>
      <w:r>
        <w:rPr>
          <w:spacing w:val="-3"/>
        </w:rPr>
        <w:t xml:space="preserve"> </w:t>
      </w:r>
      <w:r>
        <w:t>population</w:t>
      </w:r>
      <w:r>
        <w:rPr>
          <w:spacing w:val="-1"/>
        </w:rPr>
        <w:t xml:space="preserve"> </w:t>
      </w:r>
      <w:r>
        <w:t>on</w:t>
      </w:r>
      <w:r>
        <w:rPr>
          <w:spacing w:val="-1"/>
        </w:rPr>
        <w:t xml:space="preserve"> </w:t>
      </w:r>
      <w:r>
        <w:t xml:space="preserve">any NSID, the most common of which was azathioprine at a similar rate in both groups, and concomitant pyridostigmine use in 73.8% in the efgartigimod group and 74.7% in the placebo group overall. </w:t>
      </w:r>
      <w:proofErr w:type="gramStart"/>
      <w:r>
        <w:t>The majority of</w:t>
      </w:r>
      <w:proofErr w:type="gramEnd"/>
      <w:r>
        <w:t xml:space="preserve"> patients randomised were on 3 classes of concomitant treatments, with proportions similar across treatment groups.</w:t>
      </w:r>
    </w:p>
    <w:p w14:paraId="793860ED" w14:textId="77777777" w:rsidR="009876FE" w:rsidRPr="00E0705C" w:rsidRDefault="009876FE" w:rsidP="00EE27E1">
      <w:pPr>
        <w:pStyle w:val="BodyText"/>
        <w:spacing w:after="120" w:line="259" w:lineRule="auto"/>
        <w:ind w:left="0" w:right="382"/>
        <w:rPr>
          <w:rFonts w:ascii="Cambria" w:eastAsiaTheme="minorHAnsi" w:hAnsi="Cambria" w:cstheme="minorBidi"/>
          <w:szCs w:val="20"/>
          <w:lang w:val="en-AU"/>
        </w:rPr>
      </w:pPr>
      <w:r w:rsidRPr="00E0705C">
        <w:rPr>
          <w:rFonts w:ascii="Cambria" w:eastAsiaTheme="minorHAnsi" w:hAnsi="Cambria" w:cstheme="minorBidi"/>
          <w:szCs w:val="20"/>
          <w:lang w:val="en-AU"/>
        </w:rPr>
        <w:t>There was a high rate of treatment compliance in both groups and across TCs, with 10 patients in total receiving 3 TCs, 7 in the efgartigimod group, 3 in the placebo group.</w:t>
      </w:r>
    </w:p>
    <w:p w14:paraId="02EB5E89" w14:textId="4FE4599D" w:rsidR="009876FE" w:rsidRPr="00E0705C" w:rsidRDefault="009876FE" w:rsidP="00EE27E1">
      <w:pPr>
        <w:pStyle w:val="BodyText"/>
        <w:spacing w:after="120" w:line="259" w:lineRule="auto"/>
        <w:ind w:left="0" w:right="382"/>
        <w:rPr>
          <w:rFonts w:ascii="Cambria" w:eastAsiaTheme="minorHAnsi" w:hAnsi="Cambria" w:cstheme="minorBidi"/>
          <w:szCs w:val="20"/>
          <w:lang w:val="en-AU"/>
        </w:rPr>
      </w:pPr>
      <w:r w:rsidRPr="00E0705C">
        <w:rPr>
          <w:rFonts w:ascii="Cambria" w:eastAsiaTheme="minorHAnsi" w:hAnsi="Cambria" w:cstheme="minorBidi"/>
          <w:szCs w:val="20"/>
          <w:lang w:val="en-AU"/>
        </w:rPr>
        <w:t xml:space="preserve">In terms of results for the primary efficacy endpoint, the MG-ADL responder criterion was met in 44 (67.7%) </w:t>
      </w:r>
      <w:proofErr w:type="spellStart"/>
      <w:r w:rsidRPr="00E0705C">
        <w:rPr>
          <w:rFonts w:ascii="Cambria" w:eastAsiaTheme="minorHAnsi" w:hAnsi="Cambria" w:cstheme="minorBidi"/>
          <w:szCs w:val="20"/>
          <w:lang w:val="en-AU"/>
        </w:rPr>
        <w:t>AChR</w:t>
      </w:r>
      <w:proofErr w:type="spellEnd"/>
      <w:r w:rsidRPr="00E0705C">
        <w:rPr>
          <w:rFonts w:ascii="Cambria" w:eastAsiaTheme="minorHAnsi" w:hAnsi="Cambria" w:cstheme="minorBidi"/>
          <w:szCs w:val="20"/>
          <w:lang w:val="en-AU"/>
        </w:rPr>
        <w:t xml:space="preserve">-Ab seropositive patients in the efgartigimod group compared to 19 (29.7%) in the placebo group, giving a treatment difference of 38.0%, with an OR of 4.95 (95% CI 2.21; 11.53). This result was statistically significant (p&lt;0.0001; logistic regression testing). Sensitivity analyses were supportive, and subgroup analyses found no major discrepancies according to stratification factors. Of note, among the </w:t>
      </w:r>
      <w:proofErr w:type="spellStart"/>
      <w:r w:rsidRPr="00E0705C">
        <w:rPr>
          <w:rFonts w:ascii="Cambria" w:eastAsiaTheme="minorHAnsi" w:hAnsi="Cambria" w:cstheme="minorBidi"/>
          <w:szCs w:val="20"/>
          <w:lang w:val="en-AU"/>
        </w:rPr>
        <w:t>AChR</w:t>
      </w:r>
      <w:proofErr w:type="spellEnd"/>
      <w:r w:rsidRPr="00E0705C">
        <w:rPr>
          <w:rFonts w:ascii="Cambria" w:eastAsiaTheme="minorHAnsi" w:hAnsi="Cambria" w:cstheme="minorBidi"/>
          <w:szCs w:val="20"/>
          <w:lang w:val="en-AU"/>
        </w:rPr>
        <w:t xml:space="preserve">-Ab seronegative population 13 (68.4%) patients in the efgartigimod group and 12 (63.2%) patients in the placebo group were MG-ADL responders. Results for secondary efficacy endpoints are summarised in Table </w:t>
      </w:r>
      <w:r w:rsidR="00177DBC">
        <w:rPr>
          <w:rFonts w:ascii="Cambria" w:eastAsiaTheme="minorHAnsi" w:hAnsi="Cambria" w:cstheme="minorBidi"/>
          <w:szCs w:val="20"/>
          <w:lang w:val="en-AU"/>
        </w:rPr>
        <w:t>8</w:t>
      </w:r>
      <w:r w:rsidRPr="00E0705C">
        <w:rPr>
          <w:rFonts w:ascii="Cambria" w:eastAsiaTheme="minorHAnsi" w:hAnsi="Cambria" w:cstheme="minorBidi"/>
          <w:szCs w:val="20"/>
          <w:lang w:val="en-AU"/>
        </w:rPr>
        <w:t>.</w:t>
      </w:r>
    </w:p>
    <w:p w14:paraId="1A9659C1" w14:textId="1955CCEF" w:rsidR="009876FE" w:rsidRDefault="009876FE" w:rsidP="00E0705C">
      <w:pPr>
        <w:pStyle w:val="TableTitle"/>
        <w:rPr>
          <w:spacing w:val="-2"/>
        </w:rPr>
      </w:pPr>
      <w:r>
        <w:t>Table</w:t>
      </w:r>
      <w:r>
        <w:rPr>
          <w:spacing w:val="-9"/>
        </w:rPr>
        <w:t xml:space="preserve"> </w:t>
      </w:r>
      <w:r w:rsidR="00177DBC">
        <w:t>8</w:t>
      </w:r>
      <w:r>
        <w:t>.</w:t>
      </w:r>
      <w:r>
        <w:rPr>
          <w:spacing w:val="-8"/>
        </w:rPr>
        <w:t xml:space="preserve"> </w:t>
      </w:r>
      <w:r>
        <w:t>Results</w:t>
      </w:r>
      <w:r>
        <w:rPr>
          <w:spacing w:val="-10"/>
        </w:rPr>
        <w:t xml:space="preserve"> </w:t>
      </w:r>
      <w:r>
        <w:t>for</w:t>
      </w:r>
      <w:r>
        <w:rPr>
          <w:spacing w:val="-8"/>
        </w:rPr>
        <w:t xml:space="preserve"> </w:t>
      </w:r>
      <w:r>
        <w:t>secondary</w:t>
      </w:r>
      <w:r>
        <w:rPr>
          <w:spacing w:val="-9"/>
        </w:rPr>
        <w:t xml:space="preserve"> </w:t>
      </w:r>
      <w:r>
        <w:t>efficacy</w:t>
      </w:r>
      <w:r>
        <w:rPr>
          <w:spacing w:val="-7"/>
        </w:rPr>
        <w:t xml:space="preserve"> </w:t>
      </w:r>
      <w:r>
        <w:t>endpoints</w:t>
      </w:r>
      <w:r>
        <w:rPr>
          <w:spacing w:val="-10"/>
        </w:rPr>
        <w:t xml:space="preserve"> </w:t>
      </w:r>
      <w:r>
        <w:t>in</w:t>
      </w:r>
      <w:r>
        <w:rPr>
          <w:spacing w:val="-7"/>
        </w:rPr>
        <w:t xml:space="preserve"> </w:t>
      </w:r>
      <w:r>
        <w:t>hierarchical</w:t>
      </w:r>
      <w:r>
        <w:rPr>
          <w:spacing w:val="-8"/>
        </w:rPr>
        <w:t xml:space="preserve"> </w:t>
      </w:r>
      <w:r>
        <w:t>order,</w:t>
      </w:r>
      <w:r>
        <w:rPr>
          <w:spacing w:val="-8"/>
        </w:rPr>
        <w:t xml:space="preserve"> </w:t>
      </w:r>
      <w:r>
        <w:t>study</w:t>
      </w:r>
      <w:r>
        <w:rPr>
          <w:spacing w:val="-9"/>
        </w:rPr>
        <w:t xml:space="preserve"> </w:t>
      </w:r>
      <w:r>
        <w:t>ARGX-113-</w:t>
      </w:r>
      <w:r>
        <w:rPr>
          <w:spacing w:val="-2"/>
        </w:rPr>
        <w:t>1704</w:t>
      </w: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1"/>
        <w:gridCol w:w="1455"/>
        <w:gridCol w:w="1193"/>
        <w:gridCol w:w="1109"/>
        <w:gridCol w:w="1291"/>
        <w:gridCol w:w="929"/>
      </w:tblGrid>
      <w:tr w:rsidR="00C94F0C" w:rsidRPr="001661C4" w14:paraId="0583A857" w14:textId="77777777" w:rsidTr="00AB6110">
        <w:trPr>
          <w:trHeight w:val="479"/>
          <w:tblHeader/>
        </w:trPr>
        <w:tc>
          <w:tcPr>
            <w:tcW w:w="3041" w:type="dxa"/>
            <w:vMerge w:val="restart"/>
            <w:shd w:val="clear" w:color="auto" w:fill="006DA7"/>
          </w:tcPr>
          <w:p w14:paraId="32D92326" w14:textId="77777777" w:rsidR="00C94F0C" w:rsidRPr="001661C4" w:rsidRDefault="00C94F0C" w:rsidP="00AB6110">
            <w:pPr>
              <w:rPr>
                <w:color w:val="FFFFFF"/>
                <w:sz w:val="20"/>
                <w:lang w:val="en-US"/>
              </w:rPr>
            </w:pPr>
          </w:p>
        </w:tc>
        <w:tc>
          <w:tcPr>
            <w:tcW w:w="1455" w:type="dxa"/>
            <w:vMerge w:val="restart"/>
            <w:shd w:val="clear" w:color="auto" w:fill="006DA7"/>
          </w:tcPr>
          <w:p w14:paraId="4F263C93" w14:textId="77777777" w:rsidR="00C94F0C" w:rsidRPr="001661C4" w:rsidRDefault="00C94F0C" w:rsidP="00AB6110">
            <w:pPr>
              <w:rPr>
                <w:b/>
                <w:color w:val="FFFFFF"/>
                <w:sz w:val="20"/>
                <w:lang w:val="en-US"/>
              </w:rPr>
            </w:pPr>
          </w:p>
          <w:p w14:paraId="08EEB018" w14:textId="77777777" w:rsidR="00C94F0C" w:rsidRPr="001661C4" w:rsidRDefault="00C94F0C" w:rsidP="00AB6110">
            <w:pPr>
              <w:rPr>
                <w:color w:val="FFFFFF"/>
                <w:sz w:val="20"/>
                <w:lang w:val="en-US"/>
              </w:rPr>
            </w:pPr>
            <w:r w:rsidRPr="001661C4">
              <w:rPr>
                <w:color w:val="FFFFFF"/>
                <w:sz w:val="20"/>
                <w:lang w:val="en-US"/>
              </w:rPr>
              <w:t>Efgartigimod</w:t>
            </w:r>
          </w:p>
        </w:tc>
        <w:tc>
          <w:tcPr>
            <w:tcW w:w="1193" w:type="dxa"/>
            <w:vMerge w:val="restart"/>
            <w:shd w:val="clear" w:color="auto" w:fill="006DA7"/>
          </w:tcPr>
          <w:p w14:paraId="47E63048" w14:textId="77777777" w:rsidR="00C94F0C" w:rsidRPr="001661C4" w:rsidRDefault="00C94F0C" w:rsidP="00AB6110">
            <w:pPr>
              <w:rPr>
                <w:b/>
                <w:color w:val="FFFFFF"/>
                <w:sz w:val="20"/>
                <w:lang w:val="en-US"/>
              </w:rPr>
            </w:pPr>
          </w:p>
          <w:p w14:paraId="64D71066" w14:textId="77777777" w:rsidR="00C94F0C" w:rsidRPr="001661C4" w:rsidRDefault="00C94F0C" w:rsidP="00AB6110">
            <w:pPr>
              <w:rPr>
                <w:color w:val="FFFFFF"/>
                <w:sz w:val="20"/>
                <w:lang w:val="en-US"/>
              </w:rPr>
            </w:pPr>
            <w:r w:rsidRPr="001661C4">
              <w:rPr>
                <w:color w:val="FFFFFF"/>
                <w:sz w:val="20"/>
                <w:lang w:val="en-US"/>
              </w:rPr>
              <w:t>Placebo</w:t>
            </w:r>
          </w:p>
        </w:tc>
        <w:tc>
          <w:tcPr>
            <w:tcW w:w="3329" w:type="dxa"/>
            <w:gridSpan w:val="3"/>
            <w:shd w:val="clear" w:color="auto" w:fill="006DA7"/>
          </w:tcPr>
          <w:p w14:paraId="299CF585" w14:textId="77777777" w:rsidR="00C94F0C" w:rsidRPr="001661C4" w:rsidRDefault="00C94F0C" w:rsidP="00AB6110">
            <w:pPr>
              <w:rPr>
                <w:color w:val="FFFFFF"/>
                <w:sz w:val="20"/>
                <w:lang w:val="en-US"/>
              </w:rPr>
            </w:pPr>
            <w:r w:rsidRPr="001661C4">
              <w:rPr>
                <w:color w:val="FFFFFF"/>
                <w:sz w:val="20"/>
                <w:lang w:val="en-US"/>
              </w:rPr>
              <w:t>Efgartigimod vs Placebo</w:t>
            </w:r>
          </w:p>
        </w:tc>
      </w:tr>
      <w:tr w:rsidR="00C94F0C" w:rsidRPr="001661C4" w14:paraId="32E92B56" w14:textId="77777777" w:rsidTr="00AB6110">
        <w:trPr>
          <w:trHeight w:val="959"/>
          <w:tblHeader/>
        </w:trPr>
        <w:tc>
          <w:tcPr>
            <w:tcW w:w="3041" w:type="dxa"/>
            <w:vMerge/>
            <w:tcBorders>
              <w:top w:val="nil"/>
            </w:tcBorders>
            <w:shd w:val="clear" w:color="auto" w:fill="006DA7"/>
          </w:tcPr>
          <w:p w14:paraId="26DDCDDA" w14:textId="77777777" w:rsidR="00C94F0C" w:rsidRPr="001661C4" w:rsidRDefault="00C94F0C" w:rsidP="00AB6110">
            <w:pPr>
              <w:spacing w:after="0" w:line="240" w:lineRule="auto"/>
              <w:rPr>
                <w:color w:val="FFFFFF"/>
                <w:sz w:val="20"/>
              </w:rPr>
            </w:pPr>
          </w:p>
        </w:tc>
        <w:tc>
          <w:tcPr>
            <w:tcW w:w="1455" w:type="dxa"/>
            <w:vMerge/>
            <w:tcBorders>
              <w:top w:val="nil"/>
            </w:tcBorders>
            <w:shd w:val="clear" w:color="auto" w:fill="006DA7"/>
          </w:tcPr>
          <w:p w14:paraId="262ED92C" w14:textId="77777777" w:rsidR="00C94F0C" w:rsidRPr="001661C4" w:rsidRDefault="00C94F0C" w:rsidP="00AB6110">
            <w:pPr>
              <w:spacing w:after="0" w:line="240" w:lineRule="auto"/>
              <w:rPr>
                <w:color w:val="FFFFFF"/>
                <w:sz w:val="20"/>
              </w:rPr>
            </w:pPr>
          </w:p>
        </w:tc>
        <w:tc>
          <w:tcPr>
            <w:tcW w:w="1193" w:type="dxa"/>
            <w:vMerge/>
            <w:tcBorders>
              <w:top w:val="nil"/>
            </w:tcBorders>
            <w:shd w:val="clear" w:color="auto" w:fill="006DA7"/>
          </w:tcPr>
          <w:p w14:paraId="6E4E3091" w14:textId="77777777" w:rsidR="00C94F0C" w:rsidRPr="001661C4" w:rsidRDefault="00C94F0C" w:rsidP="00AB6110">
            <w:pPr>
              <w:spacing w:after="0" w:line="240" w:lineRule="auto"/>
              <w:rPr>
                <w:color w:val="FFFFFF"/>
                <w:sz w:val="20"/>
              </w:rPr>
            </w:pPr>
          </w:p>
        </w:tc>
        <w:tc>
          <w:tcPr>
            <w:tcW w:w="1109" w:type="dxa"/>
            <w:shd w:val="clear" w:color="auto" w:fill="006DA7"/>
          </w:tcPr>
          <w:p w14:paraId="48AA24BC" w14:textId="77777777" w:rsidR="00C94F0C" w:rsidRPr="001661C4" w:rsidRDefault="00C94F0C" w:rsidP="00AB6110">
            <w:pPr>
              <w:spacing w:line="240" w:lineRule="auto"/>
              <w:rPr>
                <w:color w:val="FFFFFF"/>
                <w:sz w:val="20"/>
                <w:lang w:val="en-US"/>
              </w:rPr>
            </w:pPr>
            <w:r w:rsidRPr="001661C4">
              <w:rPr>
                <w:color w:val="FFFFFF"/>
                <w:sz w:val="20"/>
                <w:lang w:val="en-US"/>
              </w:rPr>
              <w:t>Odds Ratio (95% CI)</w:t>
            </w:r>
          </w:p>
        </w:tc>
        <w:tc>
          <w:tcPr>
            <w:tcW w:w="1291" w:type="dxa"/>
            <w:shd w:val="clear" w:color="auto" w:fill="006DA7"/>
          </w:tcPr>
          <w:p w14:paraId="42501617" w14:textId="77777777" w:rsidR="00C94F0C" w:rsidRPr="001661C4" w:rsidRDefault="00C94F0C" w:rsidP="00AB6110">
            <w:pPr>
              <w:spacing w:line="240" w:lineRule="auto"/>
              <w:rPr>
                <w:color w:val="FFFFFF"/>
                <w:sz w:val="20"/>
                <w:lang w:val="en-US"/>
              </w:rPr>
            </w:pPr>
            <w:r w:rsidRPr="001661C4">
              <w:rPr>
                <w:color w:val="FFFFFF"/>
                <w:sz w:val="20"/>
                <w:lang w:val="en-US"/>
              </w:rPr>
              <w:t>Difference LSM (95% CI)</w:t>
            </w:r>
          </w:p>
        </w:tc>
        <w:tc>
          <w:tcPr>
            <w:tcW w:w="929" w:type="dxa"/>
            <w:shd w:val="clear" w:color="auto" w:fill="006DA7"/>
          </w:tcPr>
          <w:p w14:paraId="156C4960" w14:textId="77777777" w:rsidR="00C94F0C" w:rsidRPr="001661C4" w:rsidRDefault="00C94F0C" w:rsidP="00AB6110">
            <w:pPr>
              <w:rPr>
                <w:b/>
                <w:color w:val="FFFFFF"/>
                <w:sz w:val="20"/>
                <w:lang w:val="en-US"/>
              </w:rPr>
            </w:pPr>
          </w:p>
          <w:p w14:paraId="76479341" w14:textId="77777777" w:rsidR="00C94F0C" w:rsidRPr="001661C4" w:rsidRDefault="00C94F0C" w:rsidP="00AB6110">
            <w:pPr>
              <w:rPr>
                <w:color w:val="FFFFFF"/>
                <w:sz w:val="20"/>
                <w:lang w:val="en-US"/>
              </w:rPr>
            </w:pPr>
            <w:r w:rsidRPr="001661C4">
              <w:rPr>
                <w:color w:val="FFFFFF"/>
                <w:sz w:val="20"/>
                <w:lang w:val="en-US"/>
              </w:rPr>
              <w:t>P-value</w:t>
            </w:r>
          </w:p>
        </w:tc>
      </w:tr>
      <w:tr w:rsidR="00C94F0C" w:rsidRPr="001661C4" w14:paraId="77E454CC" w14:textId="77777777" w:rsidTr="00AB6110">
        <w:trPr>
          <w:trHeight w:val="961"/>
        </w:trPr>
        <w:tc>
          <w:tcPr>
            <w:tcW w:w="3041" w:type="dxa"/>
          </w:tcPr>
          <w:p w14:paraId="36304C7F" w14:textId="77777777" w:rsidR="00C94F0C" w:rsidRPr="001661C4" w:rsidRDefault="00C94F0C" w:rsidP="00AB6110">
            <w:pPr>
              <w:spacing w:line="240" w:lineRule="auto"/>
              <w:rPr>
                <w:sz w:val="20"/>
                <w:lang w:val="en-US"/>
              </w:rPr>
            </w:pPr>
            <w:r w:rsidRPr="001661C4">
              <w:rPr>
                <w:sz w:val="20"/>
                <w:lang w:val="en-US"/>
              </w:rPr>
              <w:t xml:space="preserve">QMG Responders in the </w:t>
            </w:r>
            <w:proofErr w:type="spellStart"/>
            <w:r w:rsidRPr="001661C4">
              <w:rPr>
                <w:sz w:val="20"/>
                <w:lang w:val="en-US"/>
              </w:rPr>
              <w:t>AChR</w:t>
            </w:r>
            <w:proofErr w:type="spellEnd"/>
            <w:r w:rsidRPr="001661C4">
              <w:rPr>
                <w:sz w:val="20"/>
                <w:lang w:val="en-US"/>
              </w:rPr>
              <w:t>-Ab Seropositive Population During Cycle 1</w:t>
            </w:r>
            <w:r w:rsidRPr="001661C4">
              <w:rPr>
                <w:sz w:val="20"/>
                <w:lang w:val="en-US"/>
              </w:rPr>
              <w:tab/>
              <w:t>n/N %</w:t>
            </w:r>
          </w:p>
        </w:tc>
        <w:tc>
          <w:tcPr>
            <w:tcW w:w="1455" w:type="dxa"/>
          </w:tcPr>
          <w:p w14:paraId="75F37E33" w14:textId="77777777" w:rsidR="00C94F0C" w:rsidRPr="001661C4" w:rsidRDefault="00C94F0C" w:rsidP="00AB6110">
            <w:pPr>
              <w:rPr>
                <w:b/>
                <w:sz w:val="20"/>
                <w:lang w:val="en-US"/>
              </w:rPr>
            </w:pPr>
          </w:p>
          <w:p w14:paraId="193D511B" w14:textId="77777777" w:rsidR="00C94F0C" w:rsidRPr="001661C4" w:rsidRDefault="00C94F0C" w:rsidP="00AB6110">
            <w:pPr>
              <w:rPr>
                <w:sz w:val="20"/>
                <w:lang w:val="en-US"/>
              </w:rPr>
            </w:pPr>
            <w:r w:rsidRPr="001661C4">
              <w:rPr>
                <w:sz w:val="20"/>
                <w:lang w:val="en-US"/>
              </w:rPr>
              <w:t>41/65</w:t>
            </w:r>
          </w:p>
          <w:p w14:paraId="605D45E8" w14:textId="77777777" w:rsidR="00C94F0C" w:rsidRPr="001661C4" w:rsidRDefault="00C94F0C" w:rsidP="00AB6110">
            <w:pPr>
              <w:rPr>
                <w:sz w:val="20"/>
                <w:lang w:val="en-US"/>
              </w:rPr>
            </w:pPr>
            <w:r w:rsidRPr="001661C4">
              <w:rPr>
                <w:sz w:val="20"/>
                <w:lang w:val="en-US"/>
              </w:rPr>
              <w:t>63.1%</w:t>
            </w:r>
          </w:p>
        </w:tc>
        <w:tc>
          <w:tcPr>
            <w:tcW w:w="1193" w:type="dxa"/>
          </w:tcPr>
          <w:p w14:paraId="754FD1F6" w14:textId="77777777" w:rsidR="00C94F0C" w:rsidRPr="001661C4" w:rsidRDefault="00C94F0C" w:rsidP="00AB6110">
            <w:pPr>
              <w:rPr>
                <w:b/>
                <w:sz w:val="20"/>
                <w:lang w:val="en-US"/>
              </w:rPr>
            </w:pPr>
          </w:p>
          <w:p w14:paraId="1236ADCD" w14:textId="77777777" w:rsidR="00C94F0C" w:rsidRPr="001661C4" w:rsidRDefault="00C94F0C" w:rsidP="00AB6110">
            <w:pPr>
              <w:rPr>
                <w:sz w:val="20"/>
                <w:lang w:val="en-US"/>
              </w:rPr>
            </w:pPr>
            <w:r w:rsidRPr="001661C4">
              <w:rPr>
                <w:sz w:val="20"/>
                <w:lang w:val="en-US"/>
              </w:rPr>
              <w:t>9/64</w:t>
            </w:r>
          </w:p>
          <w:p w14:paraId="56B64672" w14:textId="77777777" w:rsidR="00C94F0C" w:rsidRPr="001661C4" w:rsidRDefault="00C94F0C" w:rsidP="00AB6110">
            <w:pPr>
              <w:rPr>
                <w:sz w:val="20"/>
                <w:lang w:val="en-US"/>
              </w:rPr>
            </w:pPr>
            <w:r w:rsidRPr="001661C4">
              <w:rPr>
                <w:sz w:val="20"/>
                <w:lang w:val="en-US"/>
              </w:rPr>
              <w:t>14.1%</w:t>
            </w:r>
          </w:p>
        </w:tc>
        <w:tc>
          <w:tcPr>
            <w:tcW w:w="1109" w:type="dxa"/>
          </w:tcPr>
          <w:p w14:paraId="29B96D5D" w14:textId="77777777" w:rsidR="00C94F0C" w:rsidRPr="001661C4" w:rsidRDefault="00C94F0C" w:rsidP="00AB6110">
            <w:pPr>
              <w:rPr>
                <w:sz w:val="20"/>
                <w:lang w:val="en-US"/>
              </w:rPr>
            </w:pPr>
            <w:r w:rsidRPr="001661C4">
              <w:rPr>
                <w:sz w:val="20"/>
                <w:lang w:val="en-US"/>
              </w:rPr>
              <w:t>10.842</w:t>
            </w:r>
          </w:p>
          <w:p w14:paraId="49A55C7B" w14:textId="77777777" w:rsidR="00C94F0C" w:rsidRPr="001661C4" w:rsidRDefault="00C94F0C" w:rsidP="00AB6110">
            <w:pPr>
              <w:rPr>
                <w:sz w:val="20"/>
                <w:lang w:val="en-US"/>
              </w:rPr>
            </w:pPr>
            <w:r w:rsidRPr="001661C4">
              <w:rPr>
                <w:sz w:val="20"/>
                <w:lang w:val="en-US"/>
              </w:rPr>
              <w:t>(4.179,</w:t>
            </w:r>
          </w:p>
          <w:p w14:paraId="67D9B066" w14:textId="77777777" w:rsidR="00C94F0C" w:rsidRPr="001661C4" w:rsidRDefault="00C94F0C" w:rsidP="00AB6110">
            <w:pPr>
              <w:rPr>
                <w:sz w:val="20"/>
                <w:lang w:val="en-US"/>
              </w:rPr>
            </w:pPr>
            <w:r w:rsidRPr="001661C4">
              <w:rPr>
                <w:sz w:val="20"/>
                <w:lang w:val="en-US"/>
              </w:rPr>
              <w:t>31.200)</w:t>
            </w:r>
          </w:p>
        </w:tc>
        <w:tc>
          <w:tcPr>
            <w:tcW w:w="1291" w:type="dxa"/>
          </w:tcPr>
          <w:p w14:paraId="25513177" w14:textId="77777777" w:rsidR="00C94F0C" w:rsidRPr="001661C4" w:rsidRDefault="00C94F0C" w:rsidP="00AB6110">
            <w:pPr>
              <w:rPr>
                <w:sz w:val="20"/>
                <w:lang w:val="en-US"/>
              </w:rPr>
            </w:pPr>
          </w:p>
        </w:tc>
        <w:tc>
          <w:tcPr>
            <w:tcW w:w="929" w:type="dxa"/>
          </w:tcPr>
          <w:p w14:paraId="36E37819" w14:textId="77777777" w:rsidR="00C94F0C" w:rsidRPr="001661C4" w:rsidRDefault="00C94F0C" w:rsidP="00AB6110">
            <w:pPr>
              <w:rPr>
                <w:b/>
                <w:sz w:val="20"/>
                <w:lang w:val="en-US"/>
              </w:rPr>
            </w:pPr>
          </w:p>
          <w:p w14:paraId="4F833711" w14:textId="77777777" w:rsidR="00C94F0C" w:rsidRPr="001661C4" w:rsidRDefault="00C94F0C" w:rsidP="00AB6110">
            <w:pPr>
              <w:rPr>
                <w:sz w:val="20"/>
                <w:lang w:val="en-US"/>
              </w:rPr>
            </w:pPr>
            <w:r w:rsidRPr="001661C4">
              <w:rPr>
                <w:sz w:val="20"/>
                <w:lang w:val="en-US"/>
              </w:rPr>
              <w:t>&lt;0.0001</w:t>
            </w:r>
          </w:p>
        </w:tc>
      </w:tr>
      <w:tr w:rsidR="00C94F0C" w:rsidRPr="001661C4" w14:paraId="11725A6B" w14:textId="77777777" w:rsidTr="00AB6110">
        <w:trPr>
          <w:trHeight w:val="1199"/>
        </w:trPr>
        <w:tc>
          <w:tcPr>
            <w:tcW w:w="3041" w:type="dxa"/>
          </w:tcPr>
          <w:p w14:paraId="0D961D35" w14:textId="77777777" w:rsidR="00C94F0C" w:rsidRPr="001661C4" w:rsidRDefault="00C94F0C" w:rsidP="00AB6110">
            <w:pPr>
              <w:spacing w:line="240" w:lineRule="auto"/>
              <w:rPr>
                <w:sz w:val="20"/>
                <w:lang w:val="en-US"/>
              </w:rPr>
            </w:pPr>
            <w:r w:rsidRPr="001661C4">
              <w:rPr>
                <w:sz w:val="20"/>
                <w:lang w:val="en-US"/>
              </w:rPr>
              <w:t>MG-ADL Responders in the Overall Population During Cycle 1</w:t>
            </w:r>
          </w:p>
          <w:p w14:paraId="52EB40E9" w14:textId="77777777" w:rsidR="00C94F0C" w:rsidRPr="001661C4" w:rsidRDefault="00C94F0C" w:rsidP="00AB6110">
            <w:pPr>
              <w:rPr>
                <w:sz w:val="20"/>
                <w:lang w:val="en-US"/>
              </w:rPr>
            </w:pPr>
            <w:r w:rsidRPr="001661C4">
              <w:rPr>
                <w:sz w:val="20"/>
                <w:lang w:val="en-US"/>
              </w:rPr>
              <w:t>n/N %</w:t>
            </w:r>
          </w:p>
        </w:tc>
        <w:tc>
          <w:tcPr>
            <w:tcW w:w="1455" w:type="dxa"/>
          </w:tcPr>
          <w:p w14:paraId="26260F80" w14:textId="77777777" w:rsidR="00C94F0C" w:rsidRPr="001661C4" w:rsidRDefault="00C94F0C" w:rsidP="00AB6110">
            <w:pPr>
              <w:rPr>
                <w:b/>
                <w:sz w:val="20"/>
                <w:lang w:val="en-US"/>
              </w:rPr>
            </w:pPr>
          </w:p>
          <w:p w14:paraId="1D2D67B6" w14:textId="77777777" w:rsidR="00C94F0C" w:rsidRPr="001661C4" w:rsidRDefault="00C94F0C" w:rsidP="00AB6110">
            <w:pPr>
              <w:rPr>
                <w:sz w:val="20"/>
                <w:lang w:val="en-US"/>
              </w:rPr>
            </w:pPr>
            <w:r w:rsidRPr="001661C4">
              <w:rPr>
                <w:sz w:val="20"/>
                <w:lang w:val="en-US"/>
              </w:rPr>
              <w:t>57/84</w:t>
            </w:r>
          </w:p>
          <w:p w14:paraId="71F06C28" w14:textId="77777777" w:rsidR="00C94F0C" w:rsidRPr="001661C4" w:rsidRDefault="00C94F0C" w:rsidP="00AB6110">
            <w:pPr>
              <w:rPr>
                <w:sz w:val="20"/>
                <w:lang w:val="en-US"/>
              </w:rPr>
            </w:pPr>
            <w:r w:rsidRPr="001661C4">
              <w:rPr>
                <w:sz w:val="20"/>
                <w:lang w:val="en-US"/>
              </w:rPr>
              <w:t>67.9%</w:t>
            </w:r>
          </w:p>
        </w:tc>
        <w:tc>
          <w:tcPr>
            <w:tcW w:w="1193" w:type="dxa"/>
          </w:tcPr>
          <w:p w14:paraId="2F723FD4" w14:textId="77777777" w:rsidR="00C94F0C" w:rsidRPr="001661C4" w:rsidRDefault="00C94F0C" w:rsidP="00AB6110">
            <w:pPr>
              <w:rPr>
                <w:b/>
                <w:sz w:val="20"/>
                <w:lang w:val="en-US"/>
              </w:rPr>
            </w:pPr>
          </w:p>
          <w:p w14:paraId="4D078740" w14:textId="77777777" w:rsidR="00C94F0C" w:rsidRPr="001661C4" w:rsidRDefault="00C94F0C" w:rsidP="00AB6110">
            <w:pPr>
              <w:rPr>
                <w:sz w:val="20"/>
                <w:lang w:val="en-US"/>
              </w:rPr>
            </w:pPr>
            <w:r w:rsidRPr="001661C4">
              <w:rPr>
                <w:sz w:val="20"/>
                <w:lang w:val="en-US"/>
              </w:rPr>
              <w:t>31/83</w:t>
            </w:r>
          </w:p>
          <w:p w14:paraId="34DC76EC" w14:textId="77777777" w:rsidR="00C94F0C" w:rsidRPr="001661C4" w:rsidRDefault="00C94F0C" w:rsidP="00AB6110">
            <w:pPr>
              <w:rPr>
                <w:sz w:val="20"/>
                <w:lang w:val="en-US"/>
              </w:rPr>
            </w:pPr>
            <w:r w:rsidRPr="001661C4">
              <w:rPr>
                <w:sz w:val="20"/>
                <w:lang w:val="en-US"/>
              </w:rPr>
              <w:t>37.3%</w:t>
            </w:r>
          </w:p>
        </w:tc>
        <w:tc>
          <w:tcPr>
            <w:tcW w:w="1109" w:type="dxa"/>
          </w:tcPr>
          <w:p w14:paraId="08CAF8F4" w14:textId="77777777" w:rsidR="00C94F0C" w:rsidRPr="001661C4" w:rsidRDefault="00C94F0C" w:rsidP="00AB6110">
            <w:pPr>
              <w:rPr>
                <w:b/>
                <w:sz w:val="20"/>
                <w:lang w:val="en-US"/>
              </w:rPr>
            </w:pPr>
          </w:p>
          <w:p w14:paraId="6DBD6B79" w14:textId="77777777" w:rsidR="00C94F0C" w:rsidRPr="001661C4" w:rsidRDefault="00C94F0C" w:rsidP="00AB6110">
            <w:pPr>
              <w:rPr>
                <w:sz w:val="20"/>
                <w:lang w:val="en-US"/>
              </w:rPr>
            </w:pPr>
            <w:r w:rsidRPr="001661C4">
              <w:rPr>
                <w:sz w:val="20"/>
                <w:lang w:val="en-US"/>
              </w:rPr>
              <w:t>3.699</w:t>
            </w:r>
          </w:p>
          <w:p w14:paraId="16D10210" w14:textId="77777777" w:rsidR="00C94F0C" w:rsidRPr="001661C4" w:rsidRDefault="00C94F0C" w:rsidP="00AB6110">
            <w:pPr>
              <w:rPr>
                <w:sz w:val="20"/>
                <w:lang w:val="en-US"/>
              </w:rPr>
            </w:pPr>
            <w:r w:rsidRPr="001661C4">
              <w:rPr>
                <w:sz w:val="20"/>
                <w:lang w:val="en-US"/>
              </w:rPr>
              <w:t>(1.854,</w:t>
            </w:r>
          </w:p>
          <w:p w14:paraId="6B48D216" w14:textId="77777777" w:rsidR="00C94F0C" w:rsidRPr="001661C4" w:rsidRDefault="00C94F0C" w:rsidP="00AB6110">
            <w:pPr>
              <w:rPr>
                <w:sz w:val="20"/>
                <w:lang w:val="en-US"/>
              </w:rPr>
            </w:pPr>
            <w:r w:rsidRPr="001661C4">
              <w:rPr>
                <w:sz w:val="20"/>
                <w:lang w:val="en-US"/>
              </w:rPr>
              <w:t>7.578)</w:t>
            </w:r>
          </w:p>
        </w:tc>
        <w:tc>
          <w:tcPr>
            <w:tcW w:w="1291" w:type="dxa"/>
          </w:tcPr>
          <w:p w14:paraId="63B0919F" w14:textId="77777777" w:rsidR="00C94F0C" w:rsidRPr="001661C4" w:rsidRDefault="00C94F0C" w:rsidP="00AB6110">
            <w:pPr>
              <w:rPr>
                <w:sz w:val="20"/>
                <w:lang w:val="en-US"/>
              </w:rPr>
            </w:pPr>
          </w:p>
        </w:tc>
        <w:tc>
          <w:tcPr>
            <w:tcW w:w="929" w:type="dxa"/>
          </w:tcPr>
          <w:p w14:paraId="07CF75E1" w14:textId="77777777" w:rsidR="00C94F0C" w:rsidRPr="001661C4" w:rsidRDefault="00C94F0C" w:rsidP="00AB6110">
            <w:pPr>
              <w:rPr>
                <w:b/>
                <w:sz w:val="20"/>
                <w:lang w:val="en-US"/>
              </w:rPr>
            </w:pPr>
          </w:p>
          <w:p w14:paraId="3CE9E88B" w14:textId="77777777" w:rsidR="00C94F0C" w:rsidRPr="001661C4" w:rsidRDefault="00C94F0C" w:rsidP="00AB6110">
            <w:pPr>
              <w:rPr>
                <w:b/>
                <w:sz w:val="20"/>
                <w:lang w:val="en-US"/>
              </w:rPr>
            </w:pPr>
          </w:p>
          <w:p w14:paraId="748AF1FD" w14:textId="77777777" w:rsidR="00C94F0C" w:rsidRPr="001661C4" w:rsidRDefault="00C94F0C" w:rsidP="00AB6110">
            <w:pPr>
              <w:rPr>
                <w:sz w:val="20"/>
                <w:lang w:val="en-US"/>
              </w:rPr>
            </w:pPr>
            <w:r w:rsidRPr="001661C4">
              <w:rPr>
                <w:sz w:val="20"/>
                <w:lang w:val="en-US"/>
              </w:rPr>
              <w:t>&lt;0.0001</w:t>
            </w:r>
          </w:p>
        </w:tc>
      </w:tr>
      <w:tr w:rsidR="00C94F0C" w:rsidRPr="001661C4" w14:paraId="2989400B" w14:textId="77777777" w:rsidTr="00AB6110">
        <w:trPr>
          <w:trHeight w:val="1439"/>
        </w:trPr>
        <w:tc>
          <w:tcPr>
            <w:tcW w:w="3041" w:type="dxa"/>
          </w:tcPr>
          <w:p w14:paraId="6B0376BD" w14:textId="77777777" w:rsidR="00C94F0C" w:rsidRPr="001661C4" w:rsidRDefault="00C94F0C" w:rsidP="00AB6110">
            <w:pPr>
              <w:spacing w:line="240" w:lineRule="auto"/>
              <w:rPr>
                <w:sz w:val="20"/>
                <w:lang w:val="en-US"/>
              </w:rPr>
            </w:pPr>
            <w:r w:rsidRPr="001661C4">
              <w:rPr>
                <w:sz w:val="20"/>
                <w:lang w:val="en-US"/>
              </w:rPr>
              <w:t xml:space="preserve">MG-ADL Total Score Clinically Meaningful Improvement Percentage of Time in the </w:t>
            </w:r>
            <w:proofErr w:type="spellStart"/>
            <w:r w:rsidRPr="001661C4">
              <w:rPr>
                <w:sz w:val="20"/>
                <w:lang w:val="en-US"/>
              </w:rPr>
              <w:t>AChR</w:t>
            </w:r>
            <w:proofErr w:type="spellEnd"/>
            <w:r w:rsidRPr="001661C4">
              <w:rPr>
                <w:sz w:val="20"/>
                <w:lang w:val="en-US"/>
              </w:rPr>
              <w:t>-Ab Seropositive Population</w:t>
            </w:r>
          </w:p>
          <w:p w14:paraId="7EEF0F84" w14:textId="77777777" w:rsidR="00C94F0C" w:rsidRPr="001661C4" w:rsidRDefault="00C94F0C" w:rsidP="00AB6110">
            <w:pPr>
              <w:rPr>
                <w:sz w:val="20"/>
                <w:lang w:val="en-US"/>
              </w:rPr>
            </w:pPr>
            <w:r w:rsidRPr="001661C4">
              <w:rPr>
                <w:sz w:val="20"/>
                <w:lang w:val="en-US"/>
              </w:rPr>
              <w:t>LSM (95%CI)</w:t>
            </w:r>
          </w:p>
        </w:tc>
        <w:tc>
          <w:tcPr>
            <w:tcW w:w="1455" w:type="dxa"/>
          </w:tcPr>
          <w:p w14:paraId="343339A8" w14:textId="77777777" w:rsidR="00C94F0C" w:rsidRPr="001661C4" w:rsidRDefault="00C94F0C" w:rsidP="00AB6110">
            <w:pPr>
              <w:rPr>
                <w:b/>
                <w:sz w:val="20"/>
                <w:lang w:val="en-US"/>
              </w:rPr>
            </w:pPr>
          </w:p>
          <w:p w14:paraId="2C37C1DE" w14:textId="77777777" w:rsidR="00C94F0C" w:rsidRPr="001661C4" w:rsidRDefault="00C94F0C" w:rsidP="00AB6110">
            <w:pPr>
              <w:rPr>
                <w:sz w:val="20"/>
                <w:lang w:val="en-US"/>
              </w:rPr>
            </w:pPr>
            <w:r w:rsidRPr="001661C4">
              <w:rPr>
                <w:sz w:val="20"/>
                <w:lang w:val="en-US"/>
              </w:rPr>
              <w:t>48.714</w:t>
            </w:r>
          </w:p>
          <w:p w14:paraId="72152156" w14:textId="77777777" w:rsidR="00C94F0C" w:rsidRPr="001661C4" w:rsidRDefault="00C94F0C" w:rsidP="00AB6110">
            <w:pPr>
              <w:rPr>
                <w:sz w:val="20"/>
                <w:lang w:val="en-US"/>
              </w:rPr>
            </w:pPr>
            <w:r w:rsidRPr="001661C4">
              <w:rPr>
                <w:sz w:val="20"/>
                <w:lang w:val="en-US"/>
              </w:rPr>
              <w:t>(</w:t>
            </w:r>
            <w:proofErr w:type="gramStart"/>
            <w:r w:rsidRPr="001661C4">
              <w:rPr>
                <w:sz w:val="20"/>
                <w:lang w:val="en-US"/>
              </w:rPr>
              <w:t>36.517;</w:t>
            </w:r>
            <w:proofErr w:type="gramEnd"/>
          </w:p>
          <w:p w14:paraId="2FACC938" w14:textId="77777777" w:rsidR="00C94F0C" w:rsidRPr="001661C4" w:rsidRDefault="00C94F0C" w:rsidP="00AB6110">
            <w:pPr>
              <w:rPr>
                <w:sz w:val="20"/>
                <w:lang w:val="en-US"/>
              </w:rPr>
            </w:pPr>
            <w:r w:rsidRPr="001661C4">
              <w:rPr>
                <w:sz w:val="20"/>
                <w:lang w:val="en-US"/>
              </w:rPr>
              <w:t>60.912)</w:t>
            </w:r>
          </w:p>
        </w:tc>
        <w:tc>
          <w:tcPr>
            <w:tcW w:w="1193" w:type="dxa"/>
          </w:tcPr>
          <w:p w14:paraId="12B02F41" w14:textId="77777777" w:rsidR="00C94F0C" w:rsidRPr="001661C4" w:rsidRDefault="00C94F0C" w:rsidP="00AB6110">
            <w:pPr>
              <w:rPr>
                <w:b/>
                <w:sz w:val="20"/>
                <w:lang w:val="en-US"/>
              </w:rPr>
            </w:pPr>
          </w:p>
          <w:p w14:paraId="0C119626" w14:textId="77777777" w:rsidR="00C94F0C" w:rsidRPr="001661C4" w:rsidRDefault="00C94F0C" w:rsidP="00AB6110">
            <w:pPr>
              <w:rPr>
                <w:sz w:val="20"/>
                <w:lang w:val="en-US"/>
              </w:rPr>
            </w:pPr>
            <w:r w:rsidRPr="001661C4">
              <w:rPr>
                <w:sz w:val="20"/>
                <w:lang w:val="en-US"/>
              </w:rPr>
              <w:t>26.649</w:t>
            </w:r>
          </w:p>
          <w:p w14:paraId="19B9F8DD" w14:textId="77777777" w:rsidR="00C94F0C" w:rsidRPr="001661C4" w:rsidRDefault="00C94F0C" w:rsidP="00AB6110">
            <w:pPr>
              <w:rPr>
                <w:sz w:val="20"/>
                <w:lang w:val="en-US"/>
              </w:rPr>
            </w:pPr>
            <w:r w:rsidRPr="001661C4">
              <w:rPr>
                <w:sz w:val="20"/>
                <w:lang w:val="en-US"/>
              </w:rPr>
              <w:t>(</w:t>
            </w:r>
            <w:proofErr w:type="gramStart"/>
            <w:r w:rsidRPr="001661C4">
              <w:rPr>
                <w:sz w:val="20"/>
                <w:lang w:val="en-US"/>
              </w:rPr>
              <w:t>14.148;</w:t>
            </w:r>
            <w:proofErr w:type="gramEnd"/>
          </w:p>
          <w:p w14:paraId="0E8CED96" w14:textId="77777777" w:rsidR="00C94F0C" w:rsidRPr="001661C4" w:rsidRDefault="00C94F0C" w:rsidP="00AB6110">
            <w:pPr>
              <w:rPr>
                <w:sz w:val="20"/>
                <w:lang w:val="en-US"/>
              </w:rPr>
            </w:pPr>
            <w:r w:rsidRPr="001661C4">
              <w:rPr>
                <w:sz w:val="20"/>
                <w:lang w:val="en-US"/>
              </w:rPr>
              <w:t>39.151)</w:t>
            </w:r>
          </w:p>
        </w:tc>
        <w:tc>
          <w:tcPr>
            <w:tcW w:w="1109" w:type="dxa"/>
          </w:tcPr>
          <w:p w14:paraId="4F8348EA" w14:textId="77777777" w:rsidR="00C94F0C" w:rsidRPr="001661C4" w:rsidRDefault="00C94F0C" w:rsidP="00AB6110">
            <w:pPr>
              <w:rPr>
                <w:sz w:val="20"/>
                <w:lang w:val="en-US"/>
              </w:rPr>
            </w:pPr>
          </w:p>
        </w:tc>
        <w:tc>
          <w:tcPr>
            <w:tcW w:w="1291" w:type="dxa"/>
          </w:tcPr>
          <w:p w14:paraId="7A912666" w14:textId="77777777" w:rsidR="00C94F0C" w:rsidRPr="001661C4" w:rsidRDefault="00C94F0C" w:rsidP="00AB6110">
            <w:pPr>
              <w:rPr>
                <w:b/>
                <w:sz w:val="20"/>
                <w:lang w:val="en-US"/>
              </w:rPr>
            </w:pPr>
          </w:p>
          <w:p w14:paraId="2D7B1EC0" w14:textId="77777777" w:rsidR="00C94F0C" w:rsidRPr="001661C4" w:rsidRDefault="00C94F0C" w:rsidP="00AB6110">
            <w:pPr>
              <w:rPr>
                <w:sz w:val="20"/>
                <w:lang w:val="en-US"/>
              </w:rPr>
            </w:pPr>
            <w:r w:rsidRPr="001661C4">
              <w:rPr>
                <w:sz w:val="20"/>
                <w:lang w:val="en-US"/>
              </w:rPr>
              <w:t>22.065</w:t>
            </w:r>
          </w:p>
          <w:p w14:paraId="675783CA" w14:textId="77777777" w:rsidR="00C94F0C" w:rsidRPr="001661C4" w:rsidRDefault="00C94F0C" w:rsidP="00AB6110">
            <w:pPr>
              <w:rPr>
                <w:sz w:val="20"/>
                <w:lang w:val="en-US"/>
              </w:rPr>
            </w:pPr>
            <w:r w:rsidRPr="001661C4">
              <w:rPr>
                <w:sz w:val="20"/>
                <w:lang w:val="en-US"/>
              </w:rPr>
              <w:t>(</w:t>
            </w:r>
            <w:proofErr w:type="gramStart"/>
            <w:r w:rsidRPr="001661C4">
              <w:rPr>
                <w:sz w:val="20"/>
                <w:lang w:val="en-US"/>
              </w:rPr>
              <w:t>10.949;</w:t>
            </w:r>
            <w:proofErr w:type="gramEnd"/>
          </w:p>
          <w:p w14:paraId="2367C6A2" w14:textId="77777777" w:rsidR="00C94F0C" w:rsidRPr="001661C4" w:rsidRDefault="00C94F0C" w:rsidP="00AB6110">
            <w:pPr>
              <w:rPr>
                <w:sz w:val="20"/>
                <w:lang w:val="en-US"/>
              </w:rPr>
            </w:pPr>
            <w:r w:rsidRPr="001661C4">
              <w:rPr>
                <w:sz w:val="20"/>
                <w:lang w:val="en-US"/>
              </w:rPr>
              <w:t>33.181)</w:t>
            </w:r>
          </w:p>
        </w:tc>
        <w:tc>
          <w:tcPr>
            <w:tcW w:w="929" w:type="dxa"/>
          </w:tcPr>
          <w:p w14:paraId="5F3BFE0E" w14:textId="77777777" w:rsidR="00C94F0C" w:rsidRPr="001661C4" w:rsidRDefault="00C94F0C" w:rsidP="00AB6110">
            <w:pPr>
              <w:rPr>
                <w:b/>
                <w:sz w:val="20"/>
                <w:lang w:val="en-US"/>
              </w:rPr>
            </w:pPr>
          </w:p>
          <w:p w14:paraId="1B8E4AAF" w14:textId="77777777" w:rsidR="00C94F0C" w:rsidRPr="001661C4" w:rsidRDefault="00C94F0C" w:rsidP="00AB6110">
            <w:pPr>
              <w:rPr>
                <w:b/>
                <w:sz w:val="20"/>
                <w:lang w:val="en-US"/>
              </w:rPr>
            </w:pPr>
          </w:p>
          <w:p w14:paraId="3CD3EF1F" w14:textId="77777777" w:rsidR="00C94F0C" w:rsidRPr="001661C4" w:rsidRDefault="00C94F0C" w:rsidP="00AB6110">
            <w:pPr>
              <w:rPr>
                <w:sz w:val="20"/>
                <w:lang w:val="en-US"/>
              </w:rPr>
            </w:pPr>
            <w:r w:rsidRPr="001661C4">
              <w:rPr>
                <w:sz w:val="20"/>
                <w:lang w:val="en-US"/>
              </w:rPr>
              <w:t>&lt;0.0001</w:t>
            </w:r>
          </w:p>
        </w:tc>
      </w:tr>
      <w:tr w:rsidR="00C94F0C" w:rsidRPr="001661C4" w14:paraId="4D16DF36" w14:textId="77777777" w:rsidTr="00AB6110">
        <w:trPr>
          <w:trHeight w:val="1319"/>
        </w:trPr>
        <w:tc>
          <w:tcPr>
            <w:tcW w:w="3041" w:type="dxa"/>
          </w:tcPr>
          <w:p w14:paraId="116AC04A" w14:textId="77777777" w:rsidR="00C94F0C" w:rsidRPr="001661C4" w:rsidRDefault="00C94F0C" w:rsidP="00AB6110">
            <w:pPr>
              <w:spacing w:line="240" w:lineRule="auto"/>
              <w:rPr>
                <w:sz w:val="20"/>
                <w:lang w:val="en-US"/>
              </w:rPr>
            </w:pPr>
            <w:r w:rsidRPr="001661C4">
              <w:rPr>
                <w:sz w:val="20"/>
                <w:lang w:val="en-US"/>
              </w:rPr>
              <w:lastRenderedPageBreak/>
              <w:t>Time (days) to Qualify for Retreatment</w:t>
            </w:r>
          </w:p>
          <w:p w14:paraId="475F85A3" w14:textId="77777777" w:rsidR="00C94F0C" w:rsidRPr="001661C4" w:rsidRDefault="00C94F0C" w:rsidP="00AB6110">
            <w:pPr>
              <w:spacing w:line="240" w:lineRule="auto"/>
              <w:rPr>
                <w:sz w:val="20"/>
                <w:lang w:val="en-US"/>
              </w:rPr>
            </w:pPr>
            <w:r w:rsidRPr="001661C4">
              <w:rPr>
                <w:sz w:val="20"/>
                <w:lang w:val="en-US"/>
              </w:rPr>
              <w:t>Since Week 4 Visit Median (95% CI)</w:t>
            </w:r>
          </w:p>
        </w:tc>
        <w:tc>
          <w:tcPr>
            <w:tcW w:w="1455" w:type="dxa"/>
          </w:tcPr>
          <w:p w14:paraId="3696A53E" w14:textId="77777777" w:rsidR="00C94F0C" w:rsidRPr="001661C4" w:rsidRDefault="00C94F0C" w:rsidP="00AB6110">
            <w:pPr>
              <w:rPr>
                <w:b/>
                <w:sz w:val="20"/>
                <w:lang w:val="en-US"/>
              </w:rPr>
            </w:pPr>
          </w:p>
          <w:p w14:paraId="4C4E0BFF" w14:textId="77777777" w:rsidR="00C94F0C" w:rsidRPr="001661C4" w:rsidRDefault="00C94F0C" w:rsidP="00AB6110">
            <w:pPr>
              <w:rPr>
                <w:sz w:val="20"/>
                <w:lang w:val="en-US"/>
              </w:rPr>
            </w:pPr>
            <w:r w:rsidRPr="001661C4">
              <w:rPr>
                <w:sz w:val="20"/>
                <w:lang w:val="en-US"/>
              </w:rPr>
              <w:t>35.0</w:t>
            </w:r>
          </w:p>
          <w:p w14:paraId="692F129F" w14:textId="77777777" w:rsidR="00C94F0C" w:rsidRPr="001661C4" w:rsidRDefault="00C94F0C" w:rsidP="00AB6110">
            <w:pPr>
              <w:rPr>
                <w:sz w:val="20"/>
                <w:lang w:val="en-US"/>
              </w:rPr>
            </w:pPr>
            <w:r w:rsidRPr="001661C4">
              <w:rPr>
                <w:sz w:val="20"/>
                <w:lang w:val="en-US"/>
              </w:rPr>
              <w:t>(29.0, 43.0)</w:t>
            </w:r>
          </w:p>
        </w:tc>
        <w:tc>
          <w:tcPr>
            <w:tcW w:w="1193" w:type="dxa"/>
          </w:tcPr>
          <w:p w14:paraId="4DEA478F" w14:textId="77777777" w:rsidR="00C94F0C" w:rsidRPr="001661C4" w:rsidRDefault="00C94F0C" w:rsidP="00AB6110">
            <w:pPr>
              <w:rPr>
                <w:b/>
                <w:sz w:val="20"/>
                <w:lang w:val="en-US"/>
              </w:rPr>
            </w:pPr>
          </w:p>
          <w:p w14:paraId="2FC82512" w14:textId="77777777" w:rsidR="00C94F0C" w:rsidRPr="001661C4" w:rsidRDefault="00C94F0C" w:rsidP="00AB6110">
            <w:pPr>
              <w:rPr>
                <w:sz w:val="20"/>
                <w:lang w:val="en-US"/>
              </w:rPr>
            </w:pPr>
            <w:r w:rsidRPr="001661C4">
              <w:rPr>
                <w:sz w:val="20"/>
                <w:lang w:val="en-US"/>
              </w:rPr>
              <w:t>8.0</w:t>
            </w:r>
          </w:p>
          <w:p w14:paraId="2C430180" w14:textId="77777777" w:rsidR="00C94F0C" w:rsidRPr="001661C4" w:rsidRDefault="00C94F0C" w:rsidP="00AB6110">
            <w:pPr>
              <w:rPr>
                <w:sz w:val="20"/>
                <w:lang w:val="en-US"/>
              </w:rPr>
            </w:pPr>
            <w:r w:rsidRPr="001661C4">
              <w:rPr>
                <w:sz w:val="20"/>
                <w:lang w:val="en-US"/>
              </w:rPr>
              <w:t>(1.0; 30.0)</w:t>
            </w:r>
          </w:p>
        </w:tc>
        <w:tc>
          <w:tcPr>
            <w:tcW w:w="1109" w:type="dxa"/>
          </w:tcPr>
          <w:p w14:paraId="219D5CCD" w14:textId="77777777" w:rsidR="00C94F0C" w:rsidRPr="001661C4" w:rsidRDefault="00C94F0C" w:rsidP="00AB6110">
            <w:pPr>
              <w:rPr>
                <w:sz w:val="20"/>
                <w:lang w:val="en-US"/>
              </w:rPr>
            </w:pPr>
          </w:p>
        </w:tc>
        <w:tc>
          <w:tcPr>
            <w:tcW w:w="1291" w:type="dxa"/>
          </w:tcPr>
          <w:p w14:paraId="2CFDDB06" w14:textId="77777777" w:rsidR="00C94F0C" w:rsidRPr="001661C4" w:rsidRDefault="00C94F0C" w:rsidP="00AB6110">
            <w:pPr>
              <w:rPr>
                <w:sz w:val="20"/>
                <w:lang w:val="en-US"/>
              </w:rPr>
            </w:pPr>
          </w:p>
        </w:tc>
        <w:tc>
          <w:tcPr>
            <w:tcW w:w="929" w:type="dxa"/>
          </w:tcPr>
          <w:p w14:paraId="21C831A6" w14:textId="77777777" w:rsidR="00C94F0C" w:rsidRPr="001661C4" w:rsidRDefault="00C94F0C" w:rsidP="00AB6110">
            <w:pPr>
              <w:rPr>
                <w:b/>
                <w:sz w:val="20"/>
                <w:lang w:val="en-US"/>
              </w:rPr>
            </w:pPr>
          </w:p>
          <w:p w14:paraId="18257730" w14:textId="77777777" w:rsidR="00C94F0C" w:rsidRPr="001661C4" w:rsidRDefault="00C94F0C" w:rsidP="00AB6110">
            <w:pPr>
              <w:rPr>
                <w:b/>
                <w:sz w:val="20"/>
                <w:lang w:val="en-US"/>
              </w:rPr>
            </w:pPr>
          </w:p>
          <w:p w14:paraId="705A23A8" w14:textId="77777777" w:rsidR="00C94F0C" w:rsidRPr="001661C4" w:rsidRDefault="00C94F0C" w:rsidP="00AB6110">
            <w:pPr>
              <w:rPr>
                <w:sz w:val="20"/>
                <w:lang w:val="en-US"/>
              </w:rPr>
            </w:pPr>
            <w:r w:rsidRPr="001661C4">
              <w:rPr>
                <w:sz w:val="20"/>
                <w:lang w:val="en-US"/>
              </w:rPr>
              <w:t>0.2604</w:t>
            </w:r>
          </w:p>
        </w:tc>
      </w:tr>
    </w:tbl>
    <w:p w14:paraId="6A969F01" w14:textId="77777777" w:rsidR="009876FE" w:rsidRDefault="009876FE" w:rsidP="00C94F0C">
      <w:pPr>
        <w:pStyle w:val="TableDescription"/>
      </w:pPr>
      <w:proofErr w:type="spellStart"/>
      <w:r>
        <w:t>AChR</w:t>
      </w:r>
      <w:proofErr w:type="spellEnd"/>
      <w:r>
        <w:t>-Ab</w:t>
      </w:r>
      <w:r>
        <w:rPr>
          <w:spacing w:val="-1"/>
        </w:rPr>
        <w:t xml:space="preserve"> </w:t>
      </w:r>
      <w:r>
        <w:t>=</w:t>
      </w:r>
      <w:r>
        <w:rPr>
          <w:spacing w:val="-4"/>
        </w:rPr>
        <w:t xml:space="preserve"> </w:t>
      </w:r>
      <w:r>
        <w:t>acetylcholine</w:t>
      </w:r>
      <w:r>
        <w:rPr>
          <w:spacing w:val="-1"/>
        </w:rPr>
        <w:t xml:space="preserve"> </w:t>
      </w:r>
      <w:r>
        <w:t>receptor</w:t>
      </w:r>
      <w:r>
        <w:rPr>
          <w:spacing w:val="-3"/>
        </w:rPr>
        <w:t xml:space="preserve"> </w:t>
      </w:r>
      <w:r>
        <w:t>antibody;</w:t>
      </w:r>
      <w:r>
        <w:rPr>
          <w:spacing w:val="-1"/>
        </w:rPr>
        <w:t xml:space="preserve"> </w:t>
      </w:r>
      <w:r>
        <w:t>QMG</w:t>
      </w:r>
      <w:r>
        <w:rPr>
          <w:spacing w:val="-4"/>
        </w:rPr>
        <w:t xml:space="preserve"> </w:t>
      </w:r>
      <w:r>
        <w:t>=</w:t>
      </w:r>
      <w:r>
        <w:rPr>
          <w:spacing w:val="-2"/>
        </w:rPr>
        <w:t xml:space="preserve"> </w:t>
      </w:r>
      <w:r>
        <w:t>Quantitative</w:t>
      </w:r>
      <w:r>
        <w:rPr>
          <w:spacing w:val="-1"/>
        </w:rPr>
        <w:t xml:space="preserve"> </w:t>
      </w:r>
      <w:r>
        <w:t>Myasthenia</w:t>
      </w:r>
      <w:r>
        <w:rPr>
          <w:spacing w:val="-3"/>
        </w:rPr>
        <w:t xml:space="preserve"> </w:t>
      </w:r>
      <w:r>
        <w:t>Gravis;</w:t>
      </w:r>
      <w:r>
        <w:rPr>
          <w:spacing w:val="-1"/>
        </w:rPr>
        <w:t xml:space="preserve"> </w:t>
      </w:r>
      <w:r>
        <w:t>MG-ADL</w:t>
      </w:r>
      <w:r>
        <w:rPr>
          <w:spacing w:val="-4"/>
        </w:rPr>
        <w:t xml:space="preserve"> </w:t>
      </w:r>
      <w:r>
        <w:t>=</w:t>
      </w:r>
      <w:r>
        <w:rPr>
          <w:spacing w:val="-4"/>
        </w:rPr>
        <w:t xml:space="preserve"> </w:t>
      </w:r>
      <w:r>
        <w:t>Myasthenia</w:t>
      </w:r>
      <w:r>
        <w:rPr>
          <w:spacing w:val="-3"/>
        </w:rPr>
        <w:t xml:space="preserve"> </w:t>
      </w:r>
      <w:r>
        <w:t>Gravis</w:t>
      </w:r>
      <w:r>
        <w:rPr>
          <w:spacing w:val="-1"/>
        </w:rPr>
        <w:t xml:space="preserve"> </w:t>
      </w:r>
      <w:r>
        <w:t>Activities</w:t>
      </w:r>
      <w:r>
        <w:rPr>
          <w:spacing w:val="-4"/>
        </w:rPr>
        <w:t xml:space="preserve"> </w:t>
      </w:r>
      <w:r>
        <w:t>of</w:t>
      </w:r>
      <w:r>
        <w:rPr>
          <w:spacing w:val="-2"/>
        </w:rPr>
        <w:t xml:space="preserve"> </w:t>
      </w:r>
      <w:r>
        <w:t>Daily</w:t>
      </w:r>
      <w:r>
        <w:rPr>
          <w:spacing w:val="40"/>
        </w:rPr>
        <w:t xml:space="preserve"> </w:t>
      </w:r>
      <w:r>
        <w:t>Living; LSM = least squares mean; n = number of patients for whom the observation was reported; N = number of patients in the</w:t>
      </w:r>
      <w:r>
        <w:rPr>
          <w:spacing w:val="40"/>
        </w:rPr>
        <w:t xml:space="preserve"> </w:t>
      </w:r>
      <w:r>
        <w:t>analysis</w:t>
      </w:r>
      <w:r>
        <w:rPr>
          <w:spacing w:val="-9"/>
        </w:rPr>
        <w:t xml:space="preserve"> </w:t>
      </w:r>
      <w:r>
        <w:t>set.</w:t>
      </w:r>
    </w:p>
    <w:p w14:paraId="7EA24B45" w14:textId="4EBC9EDA" w:rsidR="009876FE" w:rsidRPr="00EE27E1" w:rsidRDefault="009876FE" w:rsidP="00EE27E1">
      <w:pPr>
        <w:pStyle w:val="BodyText"/>
        <w:spacing w:after="120" w:line="259" w:lineRule="auto"/>
        <w:ind w:left="0" w:right="382"/>
        <w:rPr>
          <w:rFonts w:ascii="Cambria" w:eastAsiaTheme="minorHAnsi" w:hAnsi="Cambria" w:cstheme="minorBidi"/>
          <w:szCs w:val="20"/>
          <w:lang w:val="en-AU"/>
        </w:rPr>
      </w:pPr>
      <w:r w:rsidRPr="00EE27E1">
        <w:rPr>
          <w:rFonts w:ascii="Cambria" w:eastAsiaTheme="minorHAnsi" w:hAnsi="Cambria" w:cstheme="minorBidi"/>
          <w:szCs w:val="20"/>
          <w:lang w:val="en-AU"/>
        </w:rPr>
        <w:t xml:space="preserve">The EMA assessment considered overall study design to be acceptable, with the 26-week study duration sufficient to demonstrate short-term efficacy. They noted concern with the choice of placebo-controlled trial despite available approved therapies for </w:t>
      </w:r>
      <w:proofErr w:type="spellStart"/>
      <w:r w:rsidRPr="00EE27E1">
        <w:rPr>
          <w:rFonts w:ascii="Cambria" w:eastAsiaTheme="minorHAnsi" w:hAnsi="Cambria" w:cstheme="minorBidi"/>
          <w:szCs w:val="20"/>
          <w:lang w:val="en-AU"/>
        </w:rPr>
        <w:t>gMG</w:t>
      </w:r>
      <w:proofErr w:type="spellEnd"/>
      <w:r w:rsidRPr="00EE27E1">
        <w:rPr>
          <w:rFonts w:ascii="Cambria" w:eastAsiaTheme="minorHAnsi" w:hAnsi="Cambria" w:cstheme="minorBidi"/>
          <w:szCs w:val="20"/>
          <w:lang w:val="en-AU"/>
        </w:rPr>
        <w:t xml:space="preserve">, however, concluded that given background concomitant </w:t>
      </w:r>
      <w:proofErr w:type="spellStart"/>
      <w:r w:rsidRPr="00EE27E1">
        <w:rPr>
          <w:rFonts w:ascii="Cambria" w:eastAsiaTheme="minorHAnsi" w:hAnsi="Cambria" w:cstheme="minorBidi"/>
          <w:szCs w:val="20"/>
          <w:lang w:val="en-AU"/>
        </w:rPr>
        <w:t>gMG</w:t>
      </w:r>
      <w:proofErr w:type="spellEnd"/>
      <w:r w:rsidRPr="00EE27E1">
        <w:rPr>
          <w:rFonts w:ascii="Cambria" w:eastAsiaTheme="minorHAnsi" w:hAnsi="Cambria" w:cstheme="minorBidi"/>
          <w:szCs w:val="20"/>
          <w:lang w:val="en-AU"/>
        </w:rPr>
        <w:t xml:space="preserve"> therapies were continued during the study that the</w:t>
      </w:r>
      <w:r w:rsidR="00B45770" w:rsidRPr="00EE27E1">
        <w:rPr>
          <w:rFonts w:ascii="Cambria" w:eastAsiaTheme="minorHAnsi" w:hAnsi="Cambria" w:cstheme="minorBidi"/>
          <w:szCs w:val="20"/>
          <w:lang w:val="en-AU"/>
        </w:rPr>
        <w:t xml:space="preserve"> </w:t>
      </w:r>
      <w:r w:rsidRPr="00EE27E1">
        <w:rPr>
          <w:rFonts w:ascii="Cambria" w:eastAsiaTheme="minorHAnsi" w:hAnsi="Cambria" w:cstheme="minorBidi"/>
          <w:szCs w:val="20"/>
          <w:lang w:val="en-AU"/>
        </w:rPr>
        <w:t xml:space="preserve">approach was acceptable. The assessment also noted that background therapy may make it more difficult to interpret clinical results, in particular the assessment of the effect of an additional therapeutic agent (efgartigimod), however, the Committee for Medicinal Products for Human use (CHMP) concluded this did not hinder the strength of efficacy results. The use of both </w:t>
      </w:r>
      <w:proofErr w:type="gramStart"/>
      <w:r w:rsidRPr="00EE27E1">
        <w:rPr>
          <w:rFonts w:ascii="Cambria" w:eastAsiaTheme="minorHAnsi" w:hAnsi="Cambria" w:cstheme="minorBidi"/>
          <w:szCs w:val="20"/>
          <w:lang w:val="en-AU"/>
        </w:rPr>
        <w:t>patient</w:t>
      </w:r>
      <w:proofErr w:type="gramEnd"/>
      <w:r w:rsidRPr="00EE27E1">
        <w:rPr>
          <w:rFonts w:ascii="Cambria" w:eastAsiaTheme="minorHAnsi" w:hAnsi="Cambria" w:cstheme="minorBidi"/>
          <w:szCs w:val="20"/>
          <w:lang w:val="en-AU"/>
        </w:rPr>
        <w:t xml:space="preserve"> evaluated (MG-ADL) and physician evaluated (QMG) efficacy endpoints was considered appropriate. A 2-point reduction in MG-ADL total score was considered clinically meaningful, whilst QMG results for the first secondary efficacy endpoint were also considered clinically meaningful.</w:t>
      </w:r>
    </w:p>
    <w:p w14:paraId="332EA196" w14:textId="77777777" w:rsidR="009876FE" w:rsidRPr="00EE27E1" w:rsidRDefault="009876FE" w:rsidP="00EE27E1">
      <w:pPr>
        <w:pStyle w:val="BodyText"/>
        <w:spacing w:after="120" w:line="259" w:lineRule="auto"/>
        <w:ind w:left="0" w:right="382"/>
        <w:rPr>
          <w:rFonts w:ascii="Cambria" w:eastAsiaTheme="minorHAnsi" w:hAnsi="Cambria" w:cstheme="minorBidi"/>
          <w:szCs w:val="20"/>
          <w:lang w:val="en-AU"/>
        </w:rPr>
      </w:pPr>
      <w:r w:rsidRPr="00EE27E1">
        <w:rPr>
          <w:rFonts w:ascii="Cambria" w:eastAsiaTheme="minorHAnsi" w:hAnsi="Cambria" w:cstheme="minorBidi"/>
          <w:szCs w:val="20"/>
          <w:lang w:val="en-AU"/>
        </w:rPr>
        <w:t xml:space="preserve">Given that MGFA class V patients were excluded from the study, and that data suggested onset of response can be delayed (seen within 2 weeks of initial infusion in 37/44 [84%] of patients treated with efgartigimod in the </w:t>
      </w:r>
      <w:proofErr w:type="spellStart"/>
      <w:r w:rsidRPr="00EE27E1">
        <w:rPr>
          <w:rFonts w:ascii="Cambria" w:eastAsiaTheme="minorHAnsi" w:hAnsi="Cambria" w:cstheme="minorBidi"/>
          <w:szCs w:val="20"/>
          <w:lang w:val="en-AU"/>
        </w:rPr>
        <w:t>AChR</w:t>
      </w:r>
      <w:proofErr w:type="spellEnd"/>
      <w:r w:rsidRPr="00EE27E1">
        <w:rPr>
          <w:rFonts w:ascii="Cambria" w:eastAsiaTheme="minorHAnsi" w:hAnsi="Cambria" w:cstheme="minorBidi"/>
          <w:szCs w:val="20"/>
          <w:lang w:val="en-AU"/>
        </w:rPr>
        <w:t>-Ab seropositive MG-ADL responders), the EMA assessment cautioned that clinicians should not use efgartigimod as bridging therapy, or at the time of myasthenic exacerbations as rescue therapy.</w:t>
      </w:r>
    </w:p>
    <w:p w14:paraId="1EF9B35D" w14:textId="3249FBFA" w:rsidR="009876FE" w:rsidRPr="00EE27E1" w:rsidRDefault="009876FE" w:rsidP="00EE27E1">
      <w:pPr>
        <w:pStyle w:val="BodyText"/>
        <w:spacing w:after="120" w:line="259" w:lineRule="auto"/>
        <w:ind w:left="0" w:right="382"/>
        <w:rPr>
          <w:rFonts w:ascii="Cambria" w:eastAsiaTheme="minorHAnsi" w:hAnsi="Cambria" w:cstheme="minorBidi"/>
          <w:szCs w:val="20"/>
          <w:lang w:val="en-AU"/>
        </w:rPr>
      </w:pPr>
      <w:r w:rsidRPr="00EE27E1">
        <w:rPr>
          <w:rFonts w:ascii="Cambria" w:eastAsiaTheme="minorHAnsi" w:hAnsi="Cambria" w:cstheme="minorBidi"/>
          <w:szCs w:val="20"/>
          <w:lang w:val="en-AU"/>
        </w:rPr>
        <w:t xml:space="preserve">The EMA and TGA evaluators both noted that, due to lack of power to assess the efficacy in </w:t>
      </w:r>
      <w:proofErr w:type="spellStart"/>
      <w:r w:rsidRPr="00EE27E1">
        <w:rPr>
          <w:rFonts w:ascii="Cambria" w:eastAsiaTheme="minorHAnsi" w:hAnsi="Cambria" w:cstheme="minorBidi"/>
          <w:szCs w:val="20"/>
          <w:lang w:val="en-AU"/>
        </w:rPr>
        <w:t>AChR</w:t>
      </w:r>
      <w:proofErr w:type="spellEnd"/>
      <w:r w:rsidRPr="00EE27E1">
        <w:rPr>
          <w:rFonts w:ascii="Cambria" w:eastAsiaTheme="minorHAnsi" w:hAnsi="Cambria" w:cstheme="minorBidi"/>
          <w:szCs w:val="20"/>
          <w:lang w:val="en-AU"/>
        </w:rPr>
        <w:t xml:space="preserve">-Ab seronegative patients based on sample size considerations and the primary endpoint definition, heterogeneity resulting from inclusion of a broad </w:t>
      </w:r>
      <w:proofErr w:type="spellStart"/>
      <w:r w:rsidRPr="00EE27E1">
        <w:rPr>
          <w:rFonts w:ascii="Cambria" w:eastAsiaTheme="minorHAnsi" w:hAnsi="Cambria" w:cstheme="minorBidi"/>
          <w:szCs w:val="20"/>
          <w:lang w:val="en-AU"/>
        </w:rPr>
        <w:t>AChR</w:t>
      </w:r>
      <w:proofErr w:type="spellEnd"/>
      <w:r w:rsidRPr="00EE27E1">
        <w:rPr>
          <w:rFonts w:ascii="Cambria" w:eastAsiaTheme="minorHAnsi" w:hAnsi="Cambria" w:cstheme="minorBidi"/>
          <w:szCs w:val="20"/>
          <w:lang w:val="en-AU"/>
        </w:rPr>
        <w:t xml:space="preserve">-Ab seronegative population, and no evidence of benefit for </w:t>
      </w:r>
      <w:proofErr w:type="spellStart"/>
      <w:r w:rsidRPr="00EE27E1">
        <w:rPr>
          <w:rFonts w:ascii="Cambria" w:eastAsiaTheme="minorHAnsi" w:hAnsi="Cambria" w:cstheme="minorBidi"/>
          <w:szCs w:val="20"/>
          <w:lang w:val="en-AU"/>
        </w:rPr>
        <w:t>AChR</w:t>
      </w:r>
      <w:proofErr w:type="spellEnd"/>
      <w:r w:rsidRPr="00EE27E1">
        <w:rPr>
          <w:rFonts w:ascii="Cambria" w:eastAsiaTheme="minorHAnsi" w:hAnsi="Cambria" w:cstheme="minorBidi"/>
          <w:szCs w:val="20"/>
          <w:lang w:val="en-AU"/>
        </w:rPr>
        <w:t xml:space="preserve">-Ab seronegative patients on MG-ADL over placebo, the indication should be limited to </w:t>
      </w:r>
      <w:proofErr w:type="spellStart"/>
      <w:r w:rsidRPr="00EE27E1">
        <w:rPr>
          <w:rFonts w:ascii="Cambria" w:eastAsiaTheme="minorHAnsi" w:hAnsi="Cambria" w:cstheme="minorBidi"/>
          <w:szCs w:val="20"/>
          <w:lang w:val="en-AU"/>
        </w:rPr>
        <w:t>AChR</w:t>
      </w:r>
      <w:proofErr w:type="spellEnd"/>
      <w:r w:rsidRPr="00EE27E1">
        <w:rPr>
          <w:rFonts w:ascii="Cambria" w:eastAsiaTheme="minorHAnsi" w:hAnsi="Cambria" w:cstheme="minorBidi"/>
          <w:szCs w:val="20"/>
          <w:lang w:val="en-AU"/>
        </w:rPr>
        <w:t>-Ab seropositive patients, which was agreed between the sponsor and CHMP.</w:t>
      </w:r>
    </w:p>
    <w:p w14:paraId="6C62AF47" w14:textId="77777777" w:rsidR="009876FE" w:rsidRPr="00F43715" w:rsidRDefault="009876FE" w:rsidP="001D1F7C">
      <w:pPr>
        <w:pStyle w:val="Heading6"/>
      </w:pPr>
      <w:bookmarkStart w:id="72" w:name="Study_ARGX-113-1705"/>
      <w:bookmarkEnd w:id="72"/>
      <w:r w:rsidRPr="00F43715">
        <w:t>Study ARGX-113-1705</w:t>
      </w:r>
    </w:p>
    <w:p w14:paraId="20EB3559" w14:textId="77777777" w:rsidR="009876FE" w:rsidRPr="00EE27E1" w:rsidRDefault="009876FE" w:rsidP="00EE27E1">
      <w:pPr>
        <w:pStyle w:val="BodyText"/>
        <w:spacing w:after="120" w:line="259" w:lineRule="auto"/>
        <w:ind w:left="0" w:right="382"/>
        <w:rPr>
          <w:rFonts w:ascii="Cambria" w:eastAsiaTheme="minorHAnsi" w:hAnsi="Cambria" w:cstheme="minorBidi"/>
          <w:szCs w:val="20"/>
          <w:lang w:val="en-AU"/>
        </w:rPr>
      </w:pPr>
      <w:r w:rsidRPr="00EE27E1">
        <w:rPr>
          <w:rFonts w:ascii="Cambria" w:eastAsiaTheme="minorHAnsi" w:hAnsi="Cambria" w:cstheme="minorBidi"/>
          <w:szCs w:val="20"/>
          <w:lang w:val="en-AU"/>
        </w:rPr>
        <w:t xml:space="preserve">Study ARGX-113-1705 is the open-label, single-arm, 2-part, 3-year extension of study ARGX-113-1704, ongoing at the time of submission. Patients are treated with efgartigimod 10 mg/kg IV on an “as needed” basis. There were 151 patients rolled onto this study, and 139 had received at least one dose of efgartigimod, of which 73 received efgartigimod in the preceding study (“efgartigimod-efgartigimod cohort”), and 66 patients had previously received placebo (“placebo-efgartigimod cohort”). Overall, 29 (20.9%) patients had discontinued treatment, and the maximum number of TCs completed was 10. In the </w:t>
      </w:r>
      <w:proofErr w:type="spellStart"/>
      <w:r w:rsidRPr="00EE27E1">
        <w:rPr>
          <w:rFonts w:ascii="Cambria" w:eastAsiaTheme="minorHAnsi" w:hAnsi="Cambria" w:cstheme="minorBidi"/>
          <w:szCs w:val="20"/>
          <w:lang w:val="en-AU"/>
        </w:rPr>
        <w:t>AChR</w:t>
      </w:r>
      <w:proofErr w:type="spellEnd"/>
      <w:r w:rsidRPr="00EE27E1">
        <w:rPr>
          <w:rFonts w:ascii="Cambria" w:eastAsiaTheme="minorHAnsi" w:hAnsi="Cambria" w:cstheme="minorBidi"/>
          <w:szCs w:val="20"/>
          <w:lang w:val="en-AU"/>
        </w:rPr>
        <w:t xml:space="preserve">-Ab seropositive population mean change in MG-ADL from cycle baseline measured at cycle week 3 was similar for each TC up to cycle 9 in each treatment group, with generally lower mean reduction in MG-ADL seen for each TC in the placebo-efgartigimod cohort. This was an exploratory </w:t>
      </w:r>
      <w:proofErr w:type="gramStart"/>
      <w:r w:rsidRPr="00EE27E1">
        <w:rPr>
          <w:rFonts w:ascii="Cambria" w:eastAsiaTheme="minorHAnsi" w:hAnsi="Cambria" w:cstheme="minorBidi"/>
          <w:szCs w:val="20"/>
          <w:lang w:val="en-AU"/>
        </w:rPr>
        <w:t>endpoint</w:t>
      </w:r>
      <w:proofErr w:type="gramEnd"/>
      <w:r w:rsidRPr="00EE27E1">
        <w:rPr>
          <w:rFonts w:ascii="Cambria" w:eastAsiaTheme="minorHAnsi" w:hAnsi="Cambria" w:cstheme="minorBidi"/>
          <w:szCs w:val="20"/>
          <w:lang w:val="en-AU"/>
        </w:rPr>
        <w:t xml:space="preserve"> and no statistical comparison was completed.</w:t>
      </w:r>
    </w:p>
    <w:p w14:paraId="7A6A693A" w14:textId="77777777" w:rsidR="009876FE" w:rsidRPr="00F43715" w:rsidRDefault="009876FE" w:rsidP="001D1F7C">
      <w:pPr>
        <w:pStyle w:val="Heading6"/>
      </w:pPr>
      <w:bookmarkStart w:id="73" w:name="Study_ARGX-113-1602"/>
      <w:bookmarkEnd w:id="73"/>
      <w:r w:rsidRPr="00F43715">
        <w:lastRenderedPageBreak/>
        <w:t>Study ARGX-113-1602</w:t>
      </w:r>
    </w:p>
    <w:p w14:paraId="5F53C45D" w14:textId="77777777" w:rsidR="009876FE" w:rsidRPr="00EE27E1" w:rsidRDefault="009876FE" w:rsidP="00EE27E1">
      <w:pPr>
        <w:pStyle w:val="BodyText"/>
        <w:spacing w:after="120" w:line="259" w:lineRule="auto"/>
        <w:ind w:left="0" w:right="382"/>
        <w:rPr>
          <w:rFonts w:ascii="Cambria" w:eastAsiaTheme="minorHAnsi" w:hAnsi="Cambria" w:cstheme="minorBidi"/>
          <w:szCs w:val="20"/>
          <w:lang w:val="en-AU"/>
        </w:rPr>
      </w:pPr>
      <w:r w:rsidRPr="00EE27E1">
        <w:rPr>
          <w:rFonts w:ascii="Cambria" w:eastAsiaTheme="minorHAnsi" w:hAnsi="Cambria" w:cstheme="minorBidi"/>
          <w:szCs w:val="20"/>
          <w:lang w:val="en-AU"/>
        </w:rPr>
        <w:t xml:space="preserve">Study ARGX-113-1602 was a Phase 2, randomised, double-blind, placebo-controlled study, which enrolled 24 patients with </w:t>
      </w:r>
      <w:proofErr w:type="spellStart"/>
      <w:r w:rsidRPr="00EE27E1">
        <w:rPr>
          <w:rFonts w:ascii="Cambria" w:eastAsiaTheme="minorHAnsi" w:hAnsi="Cambria" w:cstheme="minorBidi"/>
          <w:szCs w:val="20"/>
          <w:lang w:val="en-AU"/>
        </w:rPr>
        <w:t>gMG</w:t>
      </w:r>
      <w:proofErr w:type="spellEnd"/>
      <w:r w:rsidRPr="00EE27E1">
        <w:rPr>
          <w:rFonts w:ascii="Cambria" w:eastAsiaTheme="minorHAnsi" w:hAnsi="Cambria" w:cstheme="minorBidi"/>
          <w:szCs w:val="20"/>
          <w:lang w:val="en-AU"/>
        </w:rPr>
        <w:t xml:space="preserve"> randomised 1:1 to study treatments efgartigimod IV 10 mg/kg or matched placebo IV infusion q7d for 4 infusions, concomitantly with existing </w:t>
      </w:r>
      <w:proofErr w:type="spellStart"/>
      <w:r w:rsidRPr="00EE27E1">
        <w:rPr>
          <w:rFonts w:ascii="Cambria" w:eastAsiaTheme="minorHAnsi" w:hAnsi="Cambria" w:cstheme="minorBidi"/>
          <w:szCs w:val="20"/>
          <w:lang w:val="en-AU"/>
        </w:rPr>
        <w:t>gMG</w:t>
      </w:r>
      <w:proofErr w:type="spellEnd"/>
      <w:r w:rsidRPr="00EE27E1">
        <w:rPr>
          <w:rFonts w:ascii="Cambria" w:eastAsiaTheme="minorHAnsi" w:hAnsi="Cambria" w:cstheme="minorBidi"/>
          <w:szCs w:val="20"/>
          <w:lang w:val="en-AU"/>
        </w:rPr>
        <w:t xml:space="preserve"> therapies. Study inclusion and exclusion criteria were similar as for the pivotal study, ARGX-113-1704, and all patients in the study were </w:t>
      </w:r>
      <w:proofErr w:type="spellStart"/>
      <w:r w:rsidRPr="00EE27E1">
        <w:rPr>
          <w:rFonts w:ascii="Cambria" w:eastAsiaTheme="minorHAnsi" w:hAnsi="Cambria" w:cstheme="minorBidi"/>
          <w:szCs w:val="20"/>
          <w:lang w:val="en-AU"/>
        </w:rPr>
        <w:t>AChR</w:t>
      </w:r>
      <w:proofErr w:type="spellEnd"/>
      <w:r w:rsidRPr="00EE27E1">
        <w:rPr>
          <w:rFonts w:ascii="Cambria" w:eastAsiaTheme="minorHAnsi" w:hAnsi="Cambria" w:cstheme="minorBidi"/>
          <w:szCs w:val="20"/>
          <w:lang w:val="en-AU"/>
        </w:rPr>
        <w:t>-Ab seropositive. The study included a 3-week treatment period, and 8-week follow-up period. Figure 4 shows mean change in MG-ADL from baseline between treatment groups measured at each study visit. Observed efficacy results were similar using other measures of MG disease severity.</w:t>
      </w:r>
    </w:p>
    <w:p w14:paraId="7FAE8797" w14:textId="3F89B36A" w:rsidR="008C06BE" w:rsidRDefault="008C06BE" w:rsidP="008C06BE">
      <w:pPr>
        <w:pStyle w:val="FigureTitle"/>
      </w:pPr>
      <w:r>
        <w:t>Figure</w:t>
      </w:r>
      <w:r>
        <w:rPr>
          <w:spacing w:val="-9"/>
        </w:rPr>
        <w:t xml:space="preserve"> </w:t>
      </w:r>
      <w:r>
        <w:t>4.</w:t>
      </w:r>
      <w:r>
        <w:rPr>
          <w:spacing w:val="-6"/>
        </w:rPr>
        <w:t xml:space="preserve"> </w:t>
      </w:r>
      <w:r>
        <w:t>Mean</w:t>
      </w:r>
      <w:r>
        <w:rPr>
          <w:spacing w:val="-3"/>
        </w:rPr>
        <w:t xml:space="preserve"> </w:t>
      </w:r>
      <w:r>
        <w:t>MG-ADL</w:t>
      </w:r>
      <w:r>
        <w:rPr>
          <w:spacing w:val="-7"/>
        </w:rPr>
        <w:t xml:space="preserve"> </w:t>
      </w:r>
      <w:r>
        <w:t>change</w:t>
      </w:r>
      <w:r>
        <w:rPr>
          <w:spacing w:val="-5"/>
        </w:rPr>
        <w:t xml:space="preserve"> </w:t>
      </w:r>
      <w:r>
        <w:t>from</w:t>
      </w:r>
      <w:r>
        <w:rPr>
          <w:spacing w:val="-4"/>
        </w:rPr>
        <w:t xml:space="preserve"> </w:t>
      </w:r>
      <w:r>
        <w:t>baseline,</w:t>
      </w:r>
      <w:r>
        <w:rPr>
          <w:spacing w:val="-6"/>
        </w:rPr>
        <w:t xml:space="preserve"> </w:t>
      </w:r>
      <w:r>
        <w:t>FAS,</w:t>
      </w:r>
      <w:r>
        <w:rPr>
          <w:spacing w:val="-6"/>
        </w:rPr>
        <w:t xml:space="preserve"> </w:t>
      </w:r>
      <w:r>
        <w:t>study</w:t>
      </w:r>
      <w:r>
        <w:rPr>
          <w:spacing w:val="-4"/>
        </w:rPr>
        <w:t xml:space="preserve"> </w:t>
      </w:r>
      <w:r>
        <w:t>ARGX-113-</w:t>
      </w:r>
      <w:r>
        <w:rPr>
          <w:spacing w:val="-2"/>
        </w:rPr>
        <w:t>1602</w:t>
      </w:r>
    </w:p>
    <w:p w14:paraId="5C569BF7" w14:textId="77777777" w:rsidR="009876FE" w:rsidRDefault="009876FE" w:rsidP="009876FE">
      <w:pPr>
        <w:pStyle w:val="BodyText"/>
        <w:spacing w:before="9"/>
        <w:rPr>
          <w:sz w:val="7"/>
        </w:rPr>
      </w:pPr>
    </w:p>
    <w:p w14:paraId="01AA3A83" w14:textId="77777777" w:rsidR="009876FE" w:rsidRDefault="009876FE" w:rsidP="009876FE">
      <w:pPr>
        <w:ind w:left="165"/>
        <w:rPr>
          <w:sz w:val="20"/>
        </w:rPr>
      </w:pPr>
      <w:r>
        <w:rPr>
          <w:noProof/>
          <w:sz w:val="20"/>
        </w:rPr>
        <w:drawing>
          <wp:inline distT="0" distB="0" distL="0" distR="0" wp14:anchorId="2B52CB23" wp14:editId="57EE0AAD">
            <wp:extent cx="5692440" cy="2221229"/>
            <wp:effectExtent l="0" t="0" r="0" b="0"/>
            <wp:docPr id="22" name="Image 22" descr="Figure 4. Mean MG-ADL change from baseline, FAS, study ARGX-113-1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Figure 4. Mean MG-ADL change from baseline, FAS, study ARGX-113-1602"/>
                    <pic:cNvPicPr/>
                  </pic:nvPicPr>
                  <pic:blipFill>
                    <a:blip r:embed="rId34" cstate="print"/>
                    <a:stretch>
                      <a:fillRect/>
                    </a:stretch>
                  </pic:blipFill>
                  <pic:spPr>
                    <a:xfrm>
                      <a:off x="0" y="0"/>
                      <a:ext cx="5692440" cy="2221229"/>
                    </a:xfrm>
                    <a:prstGeom prst="rect">
                      <a:avLst/>
                    </a:prstGeom>
                  </pic:spPr>
                </pic:pic>
              </a:graphicData>
            </a:graphic>
          </wp:inline>
        </w:drawing>
      </w:r>
    </w:p>
    <w:p w14:paraId="7A9356A7" w14:textId="77777777" w:rsidR="009876FE" w:rsidRDefault="009876FE" w:rsidP="00C94F0C">
      <w:pPr>
        <w:pStyle w:val="FigureDescription"/>
      </w:pPr>
      <w:r>
        <w:t>EID</w:t>
      </w:r>
      <w:r>
        <w:rPr>
          <w:spacing w:val="-1"/>
        </w:rPr>
        <w:t xml:space="preserve"> </w:t>
      </w:r>
      <w:r>
        <w:t>=</w:t>
      </w:r>
      <w:r>
        <w:rPr>
          <w:spacing w:val="-3"/>
        </w:rPr>
        <w:t xml:space="preserve"> </w:t>
      </w:r>
      <w:r>
        <w:t>Early</w:t>
      </w:r>
      <w:r>
        <w:rPr>
          <w:spacing w:val="-3"/>
        </w:rPr>
        <w:t xml:space="preserve"> </w:t>
      </w:r>
      <w:r>
        <w:t>Discontinuation;</w:t>
      </w:r>
      <w:r>
        <w:rPr>
          <w:spacing w:val="-2"/>
        </w:rPr>
        <w:t xml:space="preserve"> </w:t>
      </w:r>
      <w:r>
        <w:t>EOS</w:t>
      </w:r>
      <w:r>
        <w:rPr>
          <w:spacing w:val="-1"/>
        </w:rPr>
        <w:t xml:space="preserve"> </w:t>
      </w:r>
      <w:r>
        <w:t>=</w:t>
      </w:r>
      <w:r>
        <w:rPr>
          <w:spacing w:val="-6"/>
        </w:rPr>
        <w:t xml:space="preserve"> </w:t>
      </w:r>
      <w:proofErr w:type="gramStart"/>
      <w:r>
        <w:t>End.-</w:t>
      </w:r>
      <w:proofErr w:type="gramEnd"/>
      <w:r>
        <w:t>of-Study;</w:t>
      </w:r>
      <w:r>
        <w:rPr>
          <w:spacing w:val="-2"/>
        </w:rPr>
        <w:t xml:space="preserve"> </w:t>
      </w:r>
      <w:r>
        <w:t>FU=</w:t>
      </w:r>
      <w:r>
        <w:rPr>
          <w:spacing w:val="-1"/>
        </w:rPr>
        <w:t xml:space="preserve"> </w:t>
      </w:r>
      <w:r>
        <w:t>Follow-up;</w:t>
      </w:r>
      <w:r>
        <w:rPr>
          <w:spacing w:val="-2"/>
        </w:rPr>
        <w:t xml:space="preserve"> </w:t>
      </w:r>
      <w:r>
        <w:t>MG-ADL</w:t>
      </w:r>
      <w:r>
        <w:rPr>
          <w:spacing w:val="-1"/>
        </w:rPr>
        <w:t xml:space="preserve"> </w:t>
      </w:r>
      <w:r>
        <w:t>=</w:t>
      </w:r>
      <w:r>
        <w:rPr>
          <w:spacing w:val="-3"/>
        </w:rPr>
        <w:t xml:space="preserve"> </w:t>
      </w:r>
      <w:r>
        <w:t>Myasthenia</w:t>
      </w:r>
      <w:r>
        <w:rPr>
          <w:spacing w:val="-2"/>
        </w:rPr>
        <w:t xml:space="preserve"> </w:t>
      </w:r>
      <w:r>
        <w:t>Gravis Activities</w:t>
      </w:r>
      <w:r>
        <w:rPr>
          <w:spacing w:val="-3"/>
        </w:rPr>
        <w:t xml:space="preserve"> </w:t>
      </w:r>
      <w:r>
        <w:t>of</w:t>
      </w:r>
      <w:r>
        <w:rPr>
          <w:spacing w:val="-1"/>
        </w:rPr>
        <w:t xml:space="preserve"> </w:t>
      </w:r>
      <w:r>
        <w:t>Daily Living;</w:t>
      </w:r>
      <w:r>
        <w:rPr>
          <w:spacing w:val="-3"/>
        </w:rPr>
        <w:t xml:space="preserve"> </w:t>
      </w:r>
      <w:r>
        <w:t>QMG</w:t>
      </w:r>
      <w:r>
        <w:rPr>
          <w:spacing w:val="-1"/>
        </w:rPr>
        <w:t xml:space="preserve"> </w:t>
      </w:r>
      <w:r>
        <w:t>=</w:t>
      </w:r>
      <w:r>
        <w:rPr>
          <w:spacing w:val="40"/>
        </w:rPr>
        <w:t xml:space="preserve"> </w:t>
      </w:r>
      <w:r>
        <w:t xml:space="preserve">Quantitative Myasthenia </w:t>
      </w:r>
      <w:proofErr w:type="gramStart"/>
      <w:r>
        <w:t>Gravis;</w:t>
      </w:r>
      <w:proofErr w:type="gramEnd"/>
    </w:p>
    <w:p w14:paraId="0170452D" w14:textId="77777777" w:rsidR="009876FE" w:rsidRDefault="009876FE" w:rsidP="00C94F0C">
      <w:pPr>
        <w:pStyle w:val="FigureDescription"/>
      </w:pPr>
      <w:r>
        <w:t>Arrow</w:t>
      </w:r>
      <w:r>
        <w:rPr>
          <w:spacing w:val="-8"/>
        </w:rPr>
        <w:t xml:space="preserve"> </w:t>
      </w:r>
      <w:r>
        <w:t>shows</w:t>
      </w:r>
      <w:r>
        <w:rPr>
          <w:spacing w:val="-5"/>
        </w:rPr>
        <w:t xml:space="preserve"> </w:t>
      </w:r>
      <w:r>
        <w:t>statistically</w:t>
      </w:r>
      <w:r>
        <w:rPr>
          <w:spacing w:val="-4"/>
        </w:rPr>
        <w:t xml:space="preserve"> </w:t>
      </w:r>
      <w:r>
        <w:t>significant</w:t>
      </w:r>
      <w:r>
        <w:rPr>
          <w:spacing w:val="-5"/>
        </w:rPr>
        <w:t xml:space="preserve"> </w:t>
      </w:r>
      <w:r>
        <w:t>difference</w:t>
      </w:r>
      <w:r>
        <w:rPr>
          <w:spacing w:val="-7"/>
        </w:rPr>
        <w:t xml:space="preserve"> </w:t>
      </w:r>
      <w:r>
        <w:t>between</w:t>
      </w:r>
      <w:r>
        <w:rPr>
          <w:spacing w:val="22"/>
        </w:rPr>
        <w:t xml:space="preserve"> </w:t>
      </w:r>
      <w:r>
        <w:t>ARGX-113</w:t>
      </w:r>
      <w:r>
        <w:rPr>
          <w:spacing w:val="-7"/>
        </w:rPr>
        <w:t xml:space="preserve"> </w:t>
      </w:r>
      <w:r>
        <w:t>and</w:t>
      </w:r>
      <w:r>
        <w:rPr>
          <w:spacing w:val="-5"/>
        </w:rPr>
        <w:t xml:space="preserve"> </w:t>
      </w:r>
      <w:r>
        <w:rPr>
          <w:spacing w:val="-2"/>
        </w:rPr>
        <w:t>placebo</w:t>
      </w:r>
    </w:p>
    <w:p w14:paraId="4B1A7BC8" w14:textId="77777777" w:rsidR="009876FE" w:rsidRDefault="009876FE" w:rsidP="00C94F0C">
      <w:pPr>
        <w:pStyle w:val="FigureDescription"/>
      </w:pPr>
      <w:r>
        <w:t>Visit 3</w:t>
      </w:r>
      <w:r>
        <w:rPr>
          <w:spacing w:val="-1"/>
        </w:rPr>
        <w:t xml:space="preserve"> </w:t>
      </w:r>
      <w:r>
        <w:t>=</w:t>
      </w:r>
      <w:r>
        <w:rPr>
          <w:spacing w:val="-3"/>
        </w:rPr>
        <w:t xml:space="preserve"> </w:t>
      </w:r>
      <w:r>
        <w:t>Day</w:t>
      </w:r>
      <w:r>
        <w:rPr>
          <w:spacing w:val="-3"/>
        </w:rPr>
        <w:t xml:space="preserve"> </w:t>
      </w:r>
      <w:r>
        <w:t>8</w:t>
      </w:r>
      <w:r>
        <w:rPr>
          <w:spacing w:val="-1"/>
        </w:rPr>
        <w:t xml:space="preserve"> </w:t>
      </w:r>
      <w:r>
        <w:t>,</w:t>
      </w:r>
      <w:r>
        <w:rPr>
          <w:spacing w:val="-2"/>
        </w:rPr>
        <w:t xml:space="preserve"> </w:t>
      </w:r>
      <w:r>
        <w:t>Visit</w:t>
      </w:r>
      <w:r>
        <w:rPr>
          <w:spacing w:val="-2"/>
        </w:rPr>
        <w:t xml:space="preserve"> </w:t>
      </w:r>
      <w:r>
        <w:t>5</w:t>
      </w:r>
      <w:r>
        <w:rPr>
          <w:spacing w:val="-1"/>
        </w:rPr>
        <w:t xml:space="preserve"> </w:t>
      </w:r>
      <w:r>
        <w:t>=Day 15; Visit 7</w:t>
      </w:r>
      <w:r>
        <w:rPr>
          <w:spacing w:val="-1"/>
        </w:rPr>
        <w:t xml:space="preserve"> </w:t>
      </w:r>
      <w:r>
        <w:t>=</w:t>
      </w:r>
      <w:r>
        <w:rPr>
          <w:spacing w:val="-3"/>
        </w:rPr>
        <w:t xml:space="preserve"> </w:t>
      </w:r>
      <w:r>
        <w:t>Day</w:t>
      </w:r>
      <w:r>
        <w:rPr>
          <w:spacing w:val="-3"/>
        </w:rPr>
        <w:t xml:space="preserve"> </w:t>
      </w:r>
      <w:r>
        <w:t>22, Visit 9</w:t>
      </w:r>
      <w:r>
        <w:rPr>
          <w:spacing w:val="-3"/>
        </w:rPr>
        <w:t xml:space="preserve"> </w:t>
      </w:r>
      <w:r>
        <w:t>(Week</w:t>
      </w:r>
      <w:r>
        <w:rPr>
          <w:spacing w:val="-1"/>
        </w:rPr>
        <w:t xml:space="preserve"> </w:t>
      </w:r>
      <w:r>
        <w:t>l</w:t>
      </w:r>
      <w:r>
        <w:rPr>
          <w:spacing w:val="-4"/>
        </w:rPr>
        <w:t xml:space="preserve"> </w:t>
      </w:r>
      <w:r>
        <w:t>FU) =</w:t>
      </w:r>
      <w:r>
        <w:rPr>
          <w:spacing w:val="-3"/>
        </w:rPr>
        <w:t xml:space="preserve"> </w:t>
      </w:r>
      <w:r>
        <w:t>Day 29, Visit</w:t>
      </w:r>
      <w:r>
        <w:rPr>
          <w:spacing w:val="-2"/>
        </w:rPr>
        <w:t xml:space="preserve"> </w:t>
      </w:r>
      <w:r>
        <w:t>10</w:t>
      </w:r>
      <w:r>
        <w:rPr>
          <w:spacing w:val="-3"/>
        </w:rPr>
        <w:t xml:space="preserve"> </w:t>
      </w:r>
      <w:r>
        <w:t>(Week</w:t>
      </w:r>
      <w:r>
        <w:rPr>
          <w:spacing w:val="-3"/>
        </w:rPr>
        <w:t xml:space="preserve"> </w:t>
      </w:r>
      <w:r>
        <w:t>2</w:t>
      </w:r>
      <w:r>
        <w:rPr>
          <w:spacing w:val="-1"/>
        </w:rPr>
        <w:t xml:space="preserve"> </w:t>
      </w:r>
      <w:r>
        <w:t>FU) =</w:t>
      </w:r>
      <w:r>
        <w:rPr>
          <w:spacing w:val="-1"/>
        </w:rPr>
        <w:t xml:space="preserve"> </w:t>
      </w:r>
      <w:r>
        <w:t>Day</w:t>
      </w:r>
      <w:r>
        <w:rPr>
          <w:spacing w:val="-3"/>
        </w:rPr>
        <w:t xml:space="preserve"> </w:t>
      </w:r>
      <w:r>
        <w:t>36, Visit</w:t>
      </w:r>
      <w:r>
        <w:rPr>
          <w:spacing w:val="-2"/>
        </w:rPr>
        <w:t xml:space="preserve"> </w:t>
      </w:r>
      <w:r>
        <w:t>11</w:t>
      </w:r>
      <w:r>
        <w:rPr>
          <w:spacing w:val="-3"/>
        </w:rPr>
        <w:t xml:space="preserve"> </w:t>
      </w:r>
      <w:r>
        <w:t>(Week</w:t>
      </w:r>
      <w:r>
        <w:rPr>
          <w:spacing w:val="-3"/>
        </w:rPr>
        <w:t xml:space="preserve"> </w:t>
      </w:r>
      <w:r>
        <w:t>3</w:t>
      </w:r>
      <w:r>
        <w:rPr>
          <w:spacing w:val="-1"/>
        </w:rPr>
        <w:t xml:space="preserve"> </w:t>
      </w:r>
      <w:r>
        <w:t>FU)</w:t>
      </w:r>
      <w:r>
        <w:rPr>
          <w:spacing w:val="-2"/>
        </w:rPr>
        <w:t xml:space="preserve"> </w:t>
      </w:r>
      <w:r>
        <w:t>=</w:t>
      </w:r>
      <w:r>
        <w:rPr>
          <w:spacing w:val="40"/>
        </w:rPr>
        <w:t xml:space="preserve"> </w:t>
      </w:r>
      <w:r>
        <w:t>Day 43, Visit 12 (Week 4 FU) = Day 50, Visit 14 (Week 6 FU) = Day 64, Visit l6 (Week S FU EOS/ED) = Day 78</w:t>
      </w:r>
    </w:p>
    <w:p w14:paraId="520B767B" w14:textId="77777777" w:rsidR="009876FE" w:rsidRDefault="009876FE" w:rsidP="00C94F0C">
      <w:pPr>
        <w:pStyle w:val="FigureDescription"/>
      </w:pPr>
      <w:r>
        <w:t>Doses</w:t>
      </w:r>
      <w:r>
        <w:rPr>
          <w:spacing w:val="-2"/>
        </w:rPr>
        <w:t xml:space="preserve"> </w:t>
      </w:r>
      <w:r>
        <w:t>administered</w:t>
      </w:r>
      <w:r>
        <w:rPr>
          <w:spacing w:val="-6"/>
        </w:rPr>
        <w:t xml:space="preserve"> </w:t>
      </w:r>
      <w:r>
        <w:t>at</w:t>
      </w:r>
      <w:r>
        <w:rPr>
          <w:spacing w:val="-2"/>
        </w:rPr>
        <w:t xml:space="preserve"> </w:t>
      </w:r>
      <w:r>
        <w:t>Day</w:t>
      </w:r>
      <w:r>
        <w:rPr>
          <w:spacing w:val="-4"/>
        </w:rPr>
        <w:t xml:space="preserve"> </w:t>
      </w:r>
      <w:r>
        <w:t>l</w:t>
      </w:r>
      <w:r>
        <w:rPr>
          <w:spacing w:val="-3"/>
        </w:rPr>
        <w:t xml:space="preserve"> </w:t>
      </w:r>
      <w:r>
        <w:t>(Visit</w:t>
      </w:r>
      <w:r>
        <w:rPr>
          <w:spacing w:val="-2"/>
        </w:rPr>
        <w:t xml:space="preserve"> </w:t>
      </w:r>
      <w:r>
        <w:t>I</w:t>
      </w:r>
      <w:proofErr w:type="gramStart"/>
      <w:r>
        <w:t>)</w:t>
      </w:r>
      <w:r>
        <w:rPr>
          <w:spacing w:val="-3"/>
        </w:rPr>
        <w:t xml:space="preserve"> </w:t>
      </w:r>
      <w:r>
        <w:t>,</w:t>
      </w:r>
      <w:proofErr w:type="gramEnd"/>
      <w:r>
        <w:rPr>
          <w:spacing w:val="-2"/>
        </w:rPr>
        <w:t xml:space="preserve"> </w:t>
      </w:r>
      <w:r>
        <w:t>Day</w:t>
      </w:r>
      <w:r>
        <w:rPr>
          <w:spacing w:val="-2"/>
        </w:rPr>
        <w:t xml:space="preserve"> </w:t>
      </w:r>
      <w:r>
        <w:t>8</w:t>
      </w:r>
      <w:r>
        <w:rPr>
          <w:spacing w:val="-4"/>
        </w:rPr>
        <w:t xml:space="preserve"> </w:t>
      </w:r>
      <w:r>
        <w:t>(Visit</w:t>
      </w:r>
      <w:r>
        <w:rPr>
          <w:spacing w:val="-4"/>
        </w:rPr>
        <w:t xml:space="preserve"> </w:t>
      </w:r>
      <w:r>
        <w:t>3),</w:t>
      </w:r>
      <w:r>
        <w:rPr>
          <w:spacing w:val="-2"/>
        </w:rPr>
        <w:t xml:space="preserve"> </w:t>
      </w:r>
      <w:r>
        <w:t>Day</w:t>
      </w:r>
      <w:r>
        <w:rPr>
          <w:spacing w:val="-2"/>
        </w:rPr>
        <w:t xml:space="preserve"> </w:t>
      </w:r>
      <w:r>
        <w:t>5</w:t>
      </w:r>
      <w:r>
        <w:rPr>
          <w:spacing w:val="-4"/>
        </w:rPr>
        <w:t xml:space="preserve"> </w:t>
      </w:r>
      <w:r>
        <w:t>(Visit</w:t>
      </w:r>
      <w:r>
        <w:rPr>
          <w:spacing w:val="-2"/>
        </w:rPr>
        <w:t xml:space="preserve"> </w:t>
      </w:r>
      <w:r>
        <w:t>5</w:t>
      </w:r>
      <w:proofErr w:type="gramStart"/>
      <w:r>
        <w:t>)</w:t>
      </w:r>
      <w:r>
        <w:rPr>
          <w:spacing w:val="-2"/>
        </w:rPr>
        <w:t xml:space="preserve"> </w:t>
      </w:r>
      <w:r>
        <w:t>,</w:t>
      </w:r>
      <w:proofErr w:type="gramEnd"/>
      <w:r>
        <w:rPr>
          <w:spacing w:val="-3"/>
        </w:rPr>
        <w:t xml:space="preserve"> </w:t>
      </w:r>
      <w:r>
        <w:t>and</w:t>
      </w:r>
      <w:r>
        <w:rPr>
          <w:spacing w:val="-3"/>
        </w:rPr>
        <w:t xml:space="preserve"> </w:t>
      </w:r>
      <w:r>
        <w:t>Day</w:t>
      </w:r>
      <w:r>
        <w:rPr>
          <w:spacing w:val="-2"/>
        </w:rPr>
        <w:t xml:space="preserve"> </w:t>
      </w:r>
      <w:r>
        <w:t>21</w:t>
      </w:r>
      <w:r>
        <w:rPr>
          <w:spacing w:val="-3"/>
        </w:rPr>
        <w:t xml:space="preserve"> </w:t>
      </w:r>
      <w:r>
        <w:t>(Visit</w:t>
      </w:r>
      <w:r>
        <w:rPr>
          <w:spacing w:val="-1"/>
        </w:rPr>
        <w:t xml:space="preserve"> </w:t>
      </w:r>
      <w:r>
        <w:rPr>
          <w:spacing w:val="-5"/>
        </w:rPr>
        <w:t>7)</w:t>
      </w:r>
    </w:p>
    <w:p w14:paraId="2082368C" w14:textId="77777777" w:rsidR="009876FE" w:rsidRPr="00F43715" w:rsidRDefault="009876FE" w:rsidP="00ED5885">
      <w:pPr>
        <w:pStyle w:val="Heading6"/>
      </w:pPr>
      <w:r>
        <w:t>Evaluator</w:t>
      </w:r>
      <w:r w:rsidRPr="00F43715">
        <w:t xml:space="preserve"> </w:t>
      </w:r>
      <w:r>
        <w:t>conclusions</w:t>
      </w:r>
      <w:r w:rsidRPr="00F43715">
        <w:t xml:space="preserve"> </w:t>
      </w:r>
      <w:r>
        <w:t>on</w:t>
      </w:r>
      <w:r w:rsidRPr="00F43715">
        <w:t xml:space="preserve"> </w:t>
      </w:r>
      <w:r>
        <w:t>efficacy</w:t>
      </w:r>
      <w:r w:rsidRPr="00F43715">
        <w:t xml:space="preserve"> </w:t>
      </w:r>
      <w:r>
        <w:t>for</w:t>
      </w:r>
      <w:r w:rsidRPr="00F43715">
        <w:t xml:space="preserve"> </w:t>
      </w:r>
      <w:r>
        <w:t>the</w:t>
      </w:r>
      <w:r w:rsidRPr="00F43715">
        <w:t xml:space="preserve"> </w:t>
      </w:r>
      <w:r>
        <w:t>IV</w:t>
      </w:r>
      <w:r w:rsidRPr="00F43715">
        <w:t xml:space="preserve"> formulation</w:t>
      </w:r>
    </w:p>
    <w:p w14:paraId="3E73642A" w14:textId="77777777"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 xml:space="preserve">The EMA assessment concluded that evidence of efficacy of VYVGART in the treatment of adult patients with </w:t>
      </w:r>
      <w:proofErr w:type="spellStart"/>
      <w:r w:rsidRPr="00F43715">
        <w:rPr>
          <w:rFonts w:ascii="Cambria" w:eastAsiaTheme="minorHAnsi" w:hAnsi="Cambria" w:cstheme="minorBidi"/>
          <w:szCs w:val="20"/>
          <w:lang w:val="en-AU"/>
        </w:rPr>
        <w:t>gMG</w:t>
      </w:r>
      <w:proofErr w:type="spellEnd"/>
      <w:r w:rsidRPr="00F43715">
        <w:rPr>
          <w:rFonts w:ascii="Cambria" w:eastAsiaTheme="minorHAnsi" w:hAnsi="Cambria" w:cstheme="minorBidi"/>
          <w:szCs w:val="20"/>
          <w:lang w:val="en-AU"/>
        </w:rPr>
        <w:t xml:space="preserve"> who are </w:t>
      </w:r>
      <w:proofErr w:type="spellStart"/>
      <w:r w:rsidRPr="00F43715">
        <w:rPr>
          <w:rFonts w:ascii="Cambria" w:eastAsiaTheme="minorHAnsi" w:hAnsi="Cambria" w:cstheme="minorBidi"/>
          <w:szCs w:val="20"/>
          <w:lang w:val="en-AU"/>
        </w:rPr>
        <w:t>AChR</w:t>
      </w:r>
      <w:proofErr w:type="spellEnd"/>
      <w:r w:rsidRPr="00F43715">
        <w:rPr>
          <w:rFonts w:ascii="Cambria" w:eastAsiaTheme="minorHAnsi" w:hAnsi="Cambria" w:cstheme="minorBidi"/>
          <w:szCs w:val="20"/>
          <w:lang w:val="en-AU"/>
        </w:rPr>
        <w:t xml:space="preserve">-Ab seropositive, as an add-on to standard therapy, was demonstrated. They noted that maintenance of effect remains to be confirmed by longer term data. The TGA evaluator noted that efficacy data could be sufficient to support marketing authorisation in </w:t>
      </w:r>
      <w:proofErr w:type="spellStart"/>
      <w:r w:rsidRPr="00F43715">
        <w:rPr>
          <w:rFonts w:ascii="Cambria" w:eastAsiaTheme="minorHAnsi" w:hAnsi="Cambria" w:cstheme="minorBidi"/>
          <w:szCs w:val="20"/>
          <w:lang w:val="en-AU"/>
        </w:rPr>
        <w:t>gMG</w:t>
      </w:r>
      <w:proofErr w:type="spellEnd"/>
      <w:r w:rsidRPr="00F43715">
        <w:rPr>
          <w:rFonts w:ascii="Cambria" w:eastAsiaTheme="minorHAnsi" w:hAnsi="Cambria" w:cstheme="minorBidi"/>
          <w:szCs w:val="20"/>
          <w:lang w:val="en-AU"/>
        </w:rPr>
        <w:t xml:space="preserve"> due to rarity of the condition, if the pivotal study is considered as a single well-conducted and adequately powered confirmatory trial showing results sufficiently compelling with respect to internal and external validity.</w:t>
      </w:r>
    </w:p>
    <w:p w14:paraId="6BD667C9" w14:textId="77777777" w:rsidR="009876FE" w:rsidRDefault="009876FE" w:rsidP="00ED5885">
      <w:pPr>
        <w:pStyle w:val="Heading5"/>
      </w:pPr>
      <w:bookmarkStart w:id="74" w:name="Efficacy_of_the_SC_formulation"/>
      <w:bookmarkEnd w:id="74"/>
      <w:r>
        <w:t>Efficacy</w:t>
      </w:r>
      <w:r>
        <w:rPr>
          <w:spacing w:val="-3"/>
        </w:rPr>
        <w:t xml:space="preserve"> </w:t>
      </w:r>
      <w:r>
        <w:t>of</w:t>
      </w:r>
      <w:r>
        <w:rPr>
          <w:spacing w:val="-4"/>
        </w:rPr>
        <w:t xml:space="preserve"> </w:t>
      </w:r>
      <w:r>
        <w:t>the</w:t>
      </w:r>
      <w:r>
        <w:rPr>
          <w:spacing w:val="-3"/>
        </w:rPr>
        <w:t xml:space="preserve"> </w:t>
      </w:r>
      <w:r>
        <w:t>SC</w:t>
      </w:r>
      <w:r>
        <w:rPr>
          <w:spacing w:val="-2"/>
        </w:rPr>
        <w:t xml:space="preserve"> formulation</w:t>
      </w:r>
    </w:p>
    <w:p w14:paraId="1B5883A1" w14:textId="77777777"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 xml:space="preserve">Selection of the dose for pivotal studies for the SC formulation was based on population PK/PD approach using data from study ARGX-113-1901, which evaluated PD of multiple doses of SC formulation. A fixed SC dose resulting in a similar PD effect as achieved with the efficacious and safe treatment cycle of efgartigimod IV 10mg/kg was targeted. Using the PK/PD model, simulating doses in the range 750 mg-1750 mg, using PK exposure and total IgG reduction metrics, SC doses of 925 mg, 900 mg, and 825 mg were found most comparable to the established IV dose. Taking into consideration both median values and </w:t>
      </w:r>
      <w:r w:rsidRPr="00F43715">
        <w:rPr>
          <w:rFonts w:ascii="Cambria" w:eastAsiaTheme="minorHAnsi" w:hAnsi="Cambria" w:cstheme="minorBidi"/>
          <w:szCs w:val="20"/>
          <w:lang w:val="en-AU"/>
        </w:rPr>
        <w:lastRenderedPageBreak/>
        <w:t>90% CI ranges of the PD outcome parameters considered, an SC dose of 1000 mg was chosen.</w:t>
      </w:r>
    </w:p>
    <w:p w14:paraId="2DBE89D6" w14:textId="77777777"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In the EMA assessment clinical studies using both IV and SC formulations were considered as providing evaluable efficacy data. The pivotal efficacy study for the SC formulation is ARGX-113-2001, a Phase 3 open-label study comparing efgartigimod IV and SC formulations with PD and efficacy endpoints, and ARGX-113-2002, the corresponding open-label extension study.</w:t>
      </w:r>
    </w:p>
    <w:p w14:paraId="01BAA220" w14:textId="02983F9E" w:rsidR="009876FE" w:rsidRPr="00F43715" w:rsidRDefault="009876FE" w:rsidP="00ED5885">
      <w:pPr>
        <w:pStyle w:val="Heading6"/>
      </w:pPr>
      <w:bookmarkStart w:id="75" w:name="Study_ARGX-113-2001"/>
      <w:bookmarkEnd w:id="75"/>
      <w:r w:rsidRPr="00F43715">
        <w:t>Study ARGX-113-2001</w:t>
      </w:r>
    </w:p>
    <w:p w14:paraId="430DB674" w14:textId="3A7FBC57" w:rsidR="009876FE" w:rsidRPr="009F6CEE"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 xml:space="preserve">Study ARGX-113-2001 was a Phase 3, randomised, open-label, parallel-group 12-week study comparing PD, PK, efficacy, safety and immunogenicity of IV and SC formulations of efgartigimod, conducted from 5 February 2021 to 13 December 2021. This study sought to bridge from efgartigimod IV formulation to SC formulation by demonstrating a similar PD effect, measured by percent reduction from baseline in total IgG at day 29 with a non-inferiority margin of 10%, and by demonstrating that total IgG reduction was associated with clinical response in </w:t>
      </w:r>
      <w:proofErr w:type="spellStart"/>
      <w:r w:rsidRPr="00F43715">
        <w:rPr>
          <w:rFonts w:ascii="Cambria" w:eastAsiaTheme="minorHAnsi" w:hAnsi="Cambria" w:cstheme="minorBidi"/>
          <w:szCs w:val="20"/>
          <w:lang w:val="en-AU"/>
        </w:rPr>
        <w:t>gMG</w:t>
      </w:r>
      <w:proofErr w:type="spellEnd"/>
      <w:r w:rsidRPr="00F43715">
        <w:rPr>
          <w:rFonts w:ascii="Cambria" w:eastAsiaTheme="minorHAnsi" w:hAnsi="Cambria" w:cstheme="minorBidi"/>
          <w:szCs w:val="20"/>
          <w:lang w:val="en-AU"/>
        </w:rPr>
        <w:t xml:space="preserve"> patients.</w:t>
      </w:r>
      <w:r w:rsidRPr="009F6CEE">
        <w:rPr>
          <w:rFonts w:ascii="Cambria" w:eastAsiaTheme="minorHAnsi" w:hAnsi="Cambria" w:cstheme="minorBidi"/>
          <w:szCs w:val="20"/>
          <w:lang w:val="en-AU"/>
        </w:rPr>
        <w:t xml:space="preserve"> Criteria for MG diagnosis, study inclusion and exclusion were </w:t>
      </w:r>
      <w:proofErr w:type="gramStart"/>
      <w:r w:rsidRPr="009F6CEE">
        <w:rPr>
          <w:rFonts w:ascii="Cambria" w:eastAsiaTheme="minorHAnsi" w:hAnsi="Cambria" w:cstheme="minorBidi"/>
          <w:szCs w:val="20"/>
          <w:lang w:val="en-AU"/>
        </w:rPr>
        <w:t>similar to</w:t>
      </w:r>
      <w:proofErr w:type="gramEnd"/>
      <w:r w:rsidRPr="009F6CEE">
        <w:rPr>
          <w:rFonts w:ascii="Cambria" w:eastAsiaTheme="minorHAnsi" w:hAnsi="Cambria" w:cstheme="minorBidi"/>
          <w:szCs w:val="20"/>
          <w:lang w:val="en-AU"/>
        </w:rPr>
        <w:t xml:space="preserve"> the pivotal study for the IV formulation, ARGX-113-1704. Study treatments were 1000 mg of SC formulation or 10 mg/kg of the IV formulation once weekly for 4 administrations (on days 1,</w:t>
      </w:r>
      <w:r w:rsidR="00F43715" w:rsidRPr="009F6CEE">
        <w:rPr>
          <w:rFonts w:ascii="Cambria" w:eastAsiaTheme="minorHAnsi" w:hAnsi="Cambria" w:cstheme="minorBidi"/>
          <w:szCs w:val="20"/>
          <w:lang w:val="en-AU"/>
        </w:rPr>
        <w:t xml:space="preserve"> </w:t>
      </w:r>
      <w:r w:rsidRPr="009F6CEE">
        <w:rPr>
          <w:rFonts w:ascii="Cambria" w:eastAsiaTheme="minorHAnsi" w:hAnsi="Cambria" w:cstheme="minorBidi"/>
          <w:szCs w:val="20"/>
          <w:lang w:val="en-AU"/>
        </w:rPr>
        <w:t xml:space="preserve">8, 15 and 22), with concomitant stable dose of the patient’s current </w:t>
      </w:r>
      <w:proofErr w:type="spellStart"/>
      <w:r w:rsidRPr="009F6CEE">
        <w:rPr>
          <w:rFonts w:ascii="Cambria" w:eastAsiaTheme="minorHAnsi" w:hAnsi="Cambria" w:cstheme="minorBidi"/>
          <w:szCs w:val="20"/>
          <w:lang w:val="en-AU"/>
        </w:rPr>
        <w:t>gMG</w:t>
      </w:r>
      <w:proofErr w:type="spellEnd"/>
      <w:r w:rsidRPr="009F6CEE">
        <w:rPr>
          <w:rFonts w:ascii="Cambria" w:eastAsiaTheme="minorHAnsi" w:hAnsi="Cambria" w:cstheme="minorBidi"/>
          <w:szCs w:val="20"/>
          <w:lang w:val="en-AU"/>
        </w:rPr>
        <w:t xml:space="preserve"> therapy. In line with the PD bridging intent for the study, the primary endpoint was percent reduction from baseline in total IgG at day 29, with secondary efficacy endpoints including clinical response based on MG-ADL and QMG scores.</w:t>
      </w:r>
    </w:p>
    <w:p w14:paraId="001D654C" w14:textId="77777777"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Sample size calculation was initially based on mean percent reduction in total IgG results from studies ARGX-113-1704 and ARGX-113-1907, with 20 participants calculated per treatment arm for 90% power to detect non-inferiority at the 10% level using a 1-sided, 2-sample t-test at a 2.5% significance level. Additional participants were planned to account for attrition, and in a subsequent protocol version to better quantify safety and efficacy profile.</w:t>
      </w:r>
    </w:p>
    <w:p w14:paraId="02C3D055" w14:textId="5D48ECD7"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In terms of statistical methods, the primary (PD) endpoint was analysed using an ANCOVA model with treatment as a factor and total IgG levels at baseline as a covariate, with noninferiority evaluation based on margin of 10%. Secondary endpoints, including efficacy endpoints, were summarised with descriptive statistics by treatment arm and overall. The difference in MG-ADL responders between treatment arms was analysed using meta-analysis predictive approach incorporating TC 1 data from the efgartigimod IV treatment arm in study ARGX-113-1704 as historical active controls, using a Bayesian hierarchical model. The TGA evaluator noted that provision for multiplicity was not mentioned.</w:t>
      </w:r>
    </w:p>
    <w:p w14:paraId="2D1BF771" w14:textId="77777777"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 xml:space="preserve">A total of 111 patients were enrolled and randomised, 55 to the SC arm and 56 to the IV arm. Patient demographics were similar between groups; in the total population mean age was 53.4 years, 27.3% were ≥65 years, the majority were female (59.1%), over 90% were white race, and mean weight was 80.61 kg. The </w:t>
      </w:r>
      <w:proofErr w:type="spellStart"/>
      <w:r w:rsidRPr="00F43715">
        <w:rPr>
          <w:rFonts w:ascii="Cambria" w:eastAsiaTheme="minorHAnsi" w:hAnsi="Cambria" w:cstheme="minorBidi"/>
          <w:szCs w:val="20"/>
          <w:lang w:val="en-AU"/>
        </w:rPr>
        <w:t>AChR</w:t>
      </w:r>
      <w:proofErr w:type="spellEnd"/>
      <w:r w:rsidRPr="00F43715">
        <w:rPr>
          <w:rFonts w:ascii="Cambria" w:eastAsiaTheme="minorHAnsi" w:hAnsi="Cambria" w:cstheme="minorBidi"/>
          <w:szCs w:val="20"/>
          <w:lang w:val="en-AU"/>
        </w:rPr>
        <w:t xml:space="preserve">-Ab seropositive population demographics were comparable to the overall population. Disease severity was also comparable at baseline, with mean MG-ADL score in the SC group 8.8 and IV group 8.5. In the SC group 81.8% were </w:t>
      </w:r>
      <w:proofErr w:type="spellStart"/>
      <w:r w:rsidRPr="00F43715">
        <w:rPr>
          <w:rFonts w:ascii="Cambria" w:eastAsiaTheme="minorHAnsi" w:hAnsi="Cambria" w:cstheme="minorBidi"/>
          <w:szCs w:val="20"/>
          <w:lang w:val="en-AU"/>
        </w:rPr>
        <w:t>AChR</w:t>
      </w:r>
      <w:proofErr w:type="spellEnd"/>
      <w:r w:rsidRPr="00F43715">
        <w:rPr>
          <w:rFonts w:ascii="Cambria" w:eastAsiaTheme="minorHAnsi" w:hAnsi="Cambria" w:cstheme="minorBidi"/>
          <w:szCs w:val="20"/>
          <w:lang w:val="en-AU"/>
        </w:rPr>
        <w:t>-Ab seropositive, compared to 83.6% in the IV group. In terms of concomitant therapies, 69.1% in both treatment groups were on ≥2 baseline MG therapies, with comparable rates of corticosteroid, pyridostigmine and NSID use between groups.</w:t>
      </w:r>
    </w:p>
    <w:p w14:paraId="6BC69DE3" w14:textId="77777777" w:rsidR="00817DF2" w:rsidRDefault="00817DF2" w:rsidP="00F43715">
      <w:pPr>
        <w:pStyle w:val="BodyText"/>
        <w:spacing w:after="120" w:line="259" w:lineRule="auto"/>
        <w:ind w:left="0" w:right="382"/>
        <w:rPr>
          <w:rFonts w:ascii="Cambria" w:eastAsiaTheme="minorHAnsi" w:hAnsi="Cambria" w:cstheme="minorBidi"/>
          <w:szCs w:val="20"/>
          <w:lang w:val="en-AU"/>
        </w:rPr>
      </w:pPr>
    </w:p>
    <w:p w14:paraId="57FDFE44" w14:textId="77777777" w:rsidR="00817DF2" w:rsidRDefault="00817DF2" w:rsidP="00F43715">
      <w:pPr>
        <w:pStyle w:val="BodyText"/>
        <w:spacing w:after="120" w:line="259" w:lineRule="auto"/>
        <w:ind w:left="0" w:right="382"/>
        <w:rPr>
          <w:rFonts w:ascii="Cambria" w:eastAsiaTheme="minorHAnsi" w:hAnsi="Cambria" w:cstheme="minorBidi"/>
          <w:szCs w:val="20"/>
          <w:lang w:val="en-AU"/>
        </w:rPr>
      </w:pPr>
    </w:p>
    <w:p w14:paraId="7C8F836A" w14:textId="77777777" w:rsidR="00817DF2" w:rsidRDefault="00817DF2" w:rsidP="00F43715">
      <w:pPr>
        <w:pStyle w:val="BodyText"/>
        <w:spacing w:after="120" w:line="259" w:lineRule="auto"/>
        <w:ind w:left="0" w:right="382"/>
        <w:rPr>
          <w:rFonts w:ascii="Cambria" w:eastAsiaTheme="minorHAnsi" w:hAnsi="Cambria" w:cstheme="minorBidi"/>
          <w:szCs w:val="20"/>
          <w:lang w:val="en-AU"/>
        </w:rPr>
      </w:pPr>
    </w:p>
    <w:p w14:paraId="24F0727F" w14:textId="46105B68" w:rsidR="009876FE"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lastRenderedPageBreak/>
        <w:t xml:space="preserve">In terms of results for the primary endpoint, total IgG reduction at day 29 was non-inferior between the treatment groups after 1 TC of 4 weekly administrations; in the </w:t>
      </w:r>
      <w:proofErr w:type="spellStart"/>
      <w:r w:rsidRPr="00F43715">
        <w:rPr>
          <w:rFonts w:ascii="Cambria" w:eastAsiaTheme="minorHAnsi" w:hAnsi="Cambria" w:cstheme="minorBidi"/>
          <w:szCs w:val="20"/>
          <w:lang w:val="en-AU"/>
        </w:rPr>
        <w:t>AChR</w:t>
      </w:r>
      <w:proofErr w:type="spellEnd"/>
      <w:r w:rsidRPr="00F43715">
        <w:rPr>
          <w:rFonts w:ascii="Cambria" w:eastAsiaTheme="minorHAnsi" w:hAnsi="Cambria" w:cstheme="minorBidi"/>
          <w:szCs w:val="20"/>
          <w:lang w:val="en-AU"/>
        </w:rPr>
        <w:t xml:space="preserve">-Ab seropositive population LSM change in total IgG in the SC group was -66.9, and in the IV group - 62.4, with pre-specified non-inferiority criteria met. Results for secondary efficacy endpoints are summarised in Table </w:t>
      </w:r>
      <w:r w:rsidR="009750CF">
        <w:rPr>
          <w:rFonts w:ascii="Cambria" w:eastAsiaTheme="minorHAnsi" w:hAnsi="Cambria" w:cstheme="minorBidi"/>
          <w:szCs w:val="20"/>
          <w:lang w:val="en-AU"/>
        </w:rPr>
        <w:t>9</w:t>
      </w:r>
      <w:r w:rsidRPr="00F43715">
        <w:rPr>
          <w:rFonts w:ascii="Cambria" w:eastAsiaTheme="minorHAnsi" w:hAnsi="Cambria" w:cstheme="minorBidi"/>
          <w:szCs w:val="20"/>
          <w:lang w:val="en-AU"/>
        </w:rPr>
        <w:t>, showing similar results for the SC and IV formulations.</w:t>
      </w:r>
    </w:p>
    <w:p w14:paraId="37653E87" w14:textId="7D3BBEDA" w:rsidR="009876FE" w:rsidRDefault="009876FE" w:rsidP="00F43715">
      <w:pPr>
        <w:pStyle w:val="TableTitle"/>
      </w:pPr>
      <w:r>
        <w:t>Table</w:t>
      </w:r>
      <w:r>
        <w:rPr>
          <w:spacing w:val="-3"/>
        </w:rPr>
        <w:t xml:space="preserve"> </w:t>
      </w:r>
      <w:r w:rsidR="009750CF">
        <w:t>9</w:t>
      </w:r>
      <w:r>
        <w:t>.</w:t>
      </w:r>
      <w:r>
        <w:rPr>
          <w:spacing w:val="-4"/>
        </w:rPr>
        <w:t xml:space="preserve"> </w:t>
      </w:r>
      <w:r>
        <w:t>Percentage</w:t>
      </w:r>
      <w:r>
        <w:rPr>
          <w:spacing w:val="-2"/>
        </w:rPr>
        <w:t xml:space="preserve"> </w:t>
      </w:r>
      <w:r>
        <w:t>of</w:t>
      </w:r>
      <w:r>
        <w:rPr>
          <w:spacing w:val="-5"/>
        </w:rPr>
        <w:t xml:space="preserve"> </w:t>
      </w:r>
      <w:r>
        <w:t>MG-ADL</w:t>
      </w:r>
      <w:r>
        <w:rPr>
          <w:spacing w:val="-2"/>
        </w:rPr>
        <w:t xml:space="preserve"> </w:t>
      </w:r>
      <w:r>
        <w:t>responders</w:t>
      </w:r>
      <w:r>
        <w:rPr>
          <w:spacing w:val="-4"/>
        </w:rPr>
        <w:t xml:space="preserve"> </w:t>
      </w:r>
      <w:r>
        <w:t>by</w:t>
      </w:r>
      <w:r>
        <w:rPr>
          <w:spacing w:val="-3"/>
        </w:rPr>
        <w:t xml:space="preserve"> </w:t>
      </w:r>
      <w:proofErr w:type="spellStart"/>
      <w:r>
        <w:t>AChR</w:t>
      </w:r>
      <w:proofErr w:type="spellEnd"/>
      <w:r>
        <w:t>-Ab</w:t>
      </w:r>
      <w:r>
        <w:rPr>
          <w:spacing w:val="-4"/>
        </w:rPr>
        <w:t xml:space="preserve"> </w:t>
      </w:r>
      <w:r>
        <w:t>status</w:t>
      </w:r>
      <w:r>
        <w:rPr>
          <w:spacing w:val="-4"/>
        </w:rPr>
        <w:t xml:space="preserve"> </w:t>
      </w:r>
      <w:r>
        <w:t>and</w:t>
      </w:r>
      <w:r>
        <w:rPr>
          <w:spacing w:val="-3"/>
        </w:rPr>
        <w:t xml:space="preserve"> </w:t>
      </w:r>
      <w:r>
        <w:t>overall</w:t>
      </w:r>
      <w:r>
        <w:rPr>
          <w:spacing w:val="-4"/>
        </w:rPr>
        <w:t xml:space="preserve"> </w:t>
      </w:r>
      <w:r>
        <w:t>(ITT</w:t>
      </w:r>
      <w:r>
        <w:rPr>
          <w:spacing w:val="-3"/>
        </w:rPr>
        <w:t xml:space="preserve"> </w:t>
      </w:r>
      <w:r>
        <w:t>analysis set), study ARGX-113-2001</w:t>
      </w:r>
    </w:p>
    <w:p w14:paraId="5C9B86D3" w14:textId="28B16329" w:rsidR="009876FE" w:rsidRDefault="009876FE" w:rsidP="00817DF2">
      <w:pPr>
        <w:rPr>
          <w:sz w:val="16"/>
        </w:rPr>
      </w:pPr>
      <w:r>
        <w:rPr>
          <w:noProof/>
        </w:rPr>
        <w:drawing>
          <wp:anchor distT="0" distB="0" distL="0" distR="0" simplePos="0" relativeHeight="251657216" behindDoc="1" locked="0" layoutInCell="1" allowOverlap="1" wp14:anchorId="345F8B39" wp14:editId="136ADD77">
            <wp:simplePos x="0" y="0"/>
            <wp:positionH relativeFrom="page">
              <wp:posOffset>938248</wp:posOffset>
            </wp:positionH>
            <wp:positionV relativeFrom="paragraph">
              <wp:posOffset>92373</wp:posOffset>
            </wp:positionV>
            <wp:extent cx="5655499" cy="1106805"/>
            <wp:effectExtent l="0" t="0" r="0" b="0"/>
            <wp:wrapTopAndBottom/>
            <wp:docPr id="23" name="Image 23" descr="Table 9. Percentage of MG-ADL responders by AChR-Ab status and overall (ITT analysis set), study ARGX-113-200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Table 9. Percentage of MG-ADL responders by AChR-Ab status and overall (ITT analysis set), study ARGX-113-2001 "/>
                    <pic:cNvPicPr/>
                  </pic:nvPicPr>
                  <pic:blipFill>
                    <a:blip r:embed="rId35" cstate="print"/>
                    <a:stretch>
                      <a:fillRect/>
                    </a:stretch>
                  </pic:blipFill>
                  <pic:spPr>
                    <a:xfrm>
                      <a:off x="0" y="0"/>
                      <a:ext cx="5655499" cy="1106805"/>
                    </a:xfrm>
                    <a:prstGeom prst="rect">
                      <a:avLst/>
                    </a:prstGeom>
                  </pic:spPr>
                </pic:pic>
              </a:graphicData>
            </a:graphic>
          </wp:anchor>
        </w:drawing>
      </w:r>
      <w:proofErr w:type="spellStart"/>
      <w:r>
        <w:rPr>
          <w:sz w:val="16"/>
        </w:rPr>
        <w:t>AChR</w:t>
      </w:r>
      <w:proofErr w:type="spellEnd"/>
      <w:r>
        <w:rPr>
          <w:sz w:val="16"/>
        </w:rPr>
        <w:t>-Ab</w:t>
      </w:r>
      <w:r>
        <w:rPr>
          <w:spacing w:val="-1"/>
          <w:sz w:val="16"/>
        </w:rPr>
        <w:t xml:space="preserve"> </w:t>
      </w:r>
      <w:r>
        <w:rPr>
          <w:sz w:val="16"/>
        </w:rPr>
        <w:t>=</w:t>
      </w:r>
      <w:r>
        <w:rPr>
          <w:spacing w:val="-4"/>
          <w:sz w:val="16"/>
        </w:rPr>
        <w:t xml:space="preserve"> </w:t>
      </w:r>
      <w:r>
        <w:rPr>
          <w:sz w:val="16"/>
        </w:rPr>
        <w:t>anti-acetylcholine</w:t>
      </w:r>
      <w:r>
        <w:rPr>
          <w:spacing w:val="-1"/>
          <w:sz w:val="16"/>
        </w:rPr>
        <w:t xml:space="preserve"> </w:t>
      </w:r>
      <w:r>
        <w:rPr>
          <w:sz w:val="16"/>
        </w:rPr>
        <w:t>receptor</w:t>
      </w:r>
      <w:r>
        <w:rPr>
          <w:spacing w:val="-3"/>
          <w:sz w:val="16"/>
        </w:rPr>
        <w:t xml:space="preserve"> </w:t>
      </w:r>
      <w:r>
        <w:rPr>
          <w:sz w:val="16"/>
        </w:rPr>
        <w:t>antibody;</w:t>
      </w:r>
      <w:r>
        <w:rPr>
          <w:spacing w:val="-3"/>
          <w:sz w:val="16"/>
        </w:rPr>
        <w:t xml:space="preserve"> </w:t>
      </w:r>
      <w:r>
        <w:rPr>
          <w:sz w:val="16"/>
        </w:rPr>
        <w:t>MG-ADL</w:t>
      </w:r>
      <w:r>
        <w:rPr>
          <w:spacing w:val="-2"/>
          <w:sz w:val="16"/>
        </w:rPr>
        <w:t xml:space="preserve"> </w:t>
      </w:r>
      <w:r>
        <w:rPr>
          <w:sz w:val="16"/>
        </w:rPr>
        <w:t>=</w:t>
      </w:r>
      <w:r>
        <w:rPr>
          <w:spacing w:val="-4"/>
          <w:sz w:val="16"/>
        </w:rPr>
        <w:t xml:space="preserve"> </w:t>
      </w:r>
      <w:r>
        <w:rPr>
          <w:sz w:val="16"/>
        </w:rPr>
        <w:t>Myasthenia</w:t>
      </w:r>
      <w:r>
        <w:rPr>
          <w:spacing w:val="-3"/>
          <w:sz w:val="16"/>
        </w:rPr>
        <w:t xml:space="preserve"> </w:t>
      </w:r>
      <w:r>
        <w:rPr>
          <w:sz w:val="16"/>
        </w:rPr>
        <w:t>Gravis</w:t>
      </w:r>
      <w:r>
        <w:rPr>
          <w:spacing w:val="-1"/>
          <w:sz w:val="16"/>
        </w:rPr>
        <w:t xml:space="preserve"> </w:t>
      </w:r>
      <w:r>
        <w:rPr>
          <w:sz w:val="16"/>
        </w:rPr>
        <w:t>Activities</w:t>
      </w:r>
      <w:r>
        <w:rPr>
          <w:spacing w:val="-4"/>
          <w:sz w:val="16"/>
        </w:rPr>
        <w:t xml:space="preserve"> </w:t>
      </w:r>
      <w:r>
        <w:rPr>
          <w:sz w:val="16"/>
        </w:rPr>
        <w:t>of</w:t>
      </w:r>
      <w:r>
        <w:rPr>
          <w:spacing w:val="-2"/>
          <w:sz w:val="16"/>
        </w:rPr>
        <w:t xml:space="preserve"> </w:t>
      </w:r>
      <w:r>
        <w:rPr>
          <w:sz w:val="16"/>
        </w:rPr>
        <w:t>Daily</w:t>
      </w:r>
      <w:r>
        <w:rPr>
          <w:spacing w:val="-1"/>
          <w:sz w:val="16"/>
        </w:rPr>
        <w:t xml:space="preserve"> </w:t>
      </w:r>
      <w:r>
        <w:rPr>
          <w:sz w:val="16"/>
        </w:rPr>
        <w:t>Living;</w:t>
      </w:r>
      <w:r>
        <w:rPr>
          <w:spacing w:val="-3"/>
          <w:sz w:val="16"/>
        </w:rPr>
        <w:t xml:space="preserve"> </w:t>
      </w:r>
      <w:r>
        <w:rPr>
          <w:sz w:val="16"/>
        </w:rPr>
        <w:t>N</w:t>
      </w:r>
      <w:r>
        <w:rPr>
          <w:spacing w:val="-3"/>
          <w:sz w:val="16"/>
        </w:rPr>
        <w:t xml:space="preserve"> </w:t>
      </w:r>
      <w:r>
        <w:rPr>
          <w:sz w:val="16"/>
        </w:rPr>
        <w:t>=</w:t>
      </w:r>
      <w:r>
        <w:rPr>
          <w:spacing w:val="-2"/>
          <w:sz w:val="16"/>
        </w:rPr>
        <w:t xml:space="preserve"> </w:t>
      </w:r>
      <w:r>
        <w:rPr>
          <w:sz w:val="16"/>
        </w:rPr>
        <w:t>number</w:t>
      </w:r>
      <w:r>
        <w:rPr>
          <w:spacing w:val="-3"/>
          <w:sz w:val="16"/>
        </w:rPr>
        <w:t xml:space="preserve"> </w:t>
      </w:r>
      <w:r>
        <w:rPr>
          <w:sz w:val="16"/>
        </w:rPr>
        <w:t>of</w:t>
      </w:r>
      <w:r>
        <w:rPr>
          <w:spacing w:val="-2"/>
          <w:sz w:val="16"/>
        </w:rPr>
        <w:t xml:space="preserve"> </w:t>
      </w:r>
      <w:r>
        <w:rPr>
          <w:sz w:val="16"/>
        </w:rPr>
        <w:t>participants</w:t>
      </w:r>
      <w:r>
        <w:rPr>
          <w:spacing w:val="40"/>
          <w:sz w:val="16"/>
        </w:rPr>
        <w:t xml:space="preserve"> </w:t>
      </w:r>
      <w:r>
        <w:rPr>
          <w:sz w:val="16"/>
        </w:rPr>
        <w:t>in the analysis set; n = number of participants for whom the observation was reported.</w:t>
      </w:r>
    </w:p>
    <w:p w14:paraId="19351E03" w14:textId="4CC10486"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 xml:space="preserve">Post-hoc analysis showed that reduction in </w:t>
      </w:r>
      <w:proofErr w:type="spellStart"/>
      <w:r w:rsidRPr="00F43715">
        <w:rPr>
          <w:rFonts w:ascii="Cambria" w:eastAsiaTheme="minorHAnsi" w:hAnsi="Cambria" w:cstheme="minorBidi"/>
          <w:szCs w:val="20"/>
          <w:lang w:val="en-AU"/>
        </w:rPr>
        <w:t>AChR</w:t>
      </w:r>
      <w:proofErr w:type="spellEnd"/>
      <w:r w:rsidRPr="00F43715">
        <w:rPr>
          <w:rFonts w:ascii="Cambria" w:eastAsiaTheme="minorHAnsi" w:hAnsi="Cambria" w:cstheme="minorBidi"/>
          <w:szCs w:val="20"/>
          <w:lang w:val="en-AU"/>
        </w:rPr>
        <w:t xml:space="preserve">-Ab levels followed a comparable time course as total IgG levels in </w:t>
      </w:r>
      <w:proofErr w:type="spellStart"/>
      <w:r w:rsidRPr="00F43715">
        <w:rPr>
          <w:rFonts w:ascii="Cambria" w:eastAsiaTheme="minorHAnsi" w:hAnsi="Cambria" w:cstheme="minorBidi"/>
          <w:szCs w:val="20"/>
          <w:lang w:val="en-AU"/>
        </w:rPr>
        <w:t>AChR</w:t>
      </w:r>
      <w:proofErr w:type="spellEnd"/>
      <w:r w:rsidRPr="00F43715">
        <w:rPr>
          <w:rFonts w:ascii="Cambria" w:eastAsiaTheme="minorHAnsi" w:hAnsi="Cambria" w:cstheme="minorBidi"/>
          <w:szCs w:val="20"/>
          <w:lang w:val="en-AU"/>
        </w:rPr>
        <w:t>-Ab seropositive patients and were similar between the SC and IV treatment groups.</w:t>
      </w:r>
    </w:p>
    <w:p w14:paraId="25CD21D9" w14:textId="77777777"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 xml:space="preserve">The TGA evaluator highlighted that the study was powered to show non-inferiority in the primary endpoint only. The EMA assessment concluded that clinical efficacy of efgartigimod in the SC formulation was </w:t>
      </w:r>
      <w:proofErr w:type="gramStart"/>
      <w:r w:rsidRPr="00F43715">
        <w:rPr>
          <w:rFonts w:ascii="Cambria" w:eastAsiaTheme="minorHAnsi" w:hAnsi="Cambria" w:cstheme="minorBidi"/>
          <w:szCs w:val="20"/>
          <w:lang w:val="en-AU"/>
        </w:rPr>
        <w:t>similar to</w:t>
      </w:r>
      <w:proofErr w:type="gramEnd"/>
      <w:r w:rsidRPr="00F43715">
        <w:rPr>
          <w:rFonts w:ascii="Cambria" w:eastAsiaTheme="minorHAnsi" w:hAnsi="Cambria" w:cstheme="minorBidi"/>
          <w:szCs w:val="20"/>
          <w:lang w:val="en-AU"/>
        </w:rPr>
        <w:t xml:space="preserve"> efficacy for the IV formulation after 1 TC of 4 weekly infusions.</w:t>
      </w:r>
    </w:p>
    <w:p w14:paraId="7166F0AB" w14:textId="164B9F1E" w:rsidR="009876FE" w:rsidRDefault="009876FE" w:rsidP="004642E4">
      <w:pPr>
        <w:pStyle w:val="Heading6"/>
      </w:pPr>
      <w:bookmarkStart w:id="76" w:name="Study_ARGX-113-2002,_interim_analysis"/>
      <w:bookmarkEnd w:id="76"/>
      <w:r>
        <w:t>Study</w:t>
      </w:r>
      <w:r>
        <w:rPr>
          <w:spacing w:val="-9"/>
        </w:rPr>
        <w:t xml:space="preserve"> </w:t>
      </w:r>
      <w:r>
        <w:t>ARGX-113-2002,</w:t>
      </w:r>
      <w:r>
        <w:rPr>
          <w:spacing w:val="-9"/>
        </w:rPr>
        <w:t xml:space="preserve"> </w:t>
      </w:r>
      <w:r>
        <w:t>interim</w:t>
      </w:r>
      <w:r>
        <w:rPr>
          <w:spacing w:val="-6"/>
        </w:rPr>
        <w:t xml:space="preserve"> </w:t>
      </w:r>
      <w:r>
        <w:rPr>
          <w:spacing w:val="-2"/>
        </w:rPr>
        <w:t>analysis</w:t>
      </w:r>
    </w:p>
    <w:p w14:paraId="152BBC05" w14:textId="608A133C"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 xml:space="preserve">Study ARGX-113-2002 is a Phase 3, long-term, single-arm, open-label, multicentre study enrolling participants from studies ARGX-113-2001 and ARGX-113-1705, ongoing at the time of submission to the EMA. The interim analysis was considered to provide supportive evidence for efficacy of efgartigimod in the SC formulation for up to 5 TCs. The study was primarily a safety </w:t>
      </w:r>
      <w:r w:rsidR="005106CA" w:rsidRPr="00F43715">
        <w:rPr>
          <w:rFonts w:ascii="Cambria" w:eastAsiaTheme="minorHAnsi" w:hAnsi="Cambria" w:cstheme="minorBidi"/>
          <w:szCs w:val="20"/>
          <w:lang w:val="en-AU"/>
        </w:rPr>
        <w:t>study but</w:t>
      </w:r>
      <w:r w:rsidRPr="00F43715">
        <w:rPr>
          <w:rFonts w:ascii="Cambria" w:eastAsiaTheme="minorHAnsi" w:hAnsi="Cambria" w:cstheme="minorBidi"/>
          <w:szCs w:val="20"/>
          <w:lang w:val="en-AU"/>
        </w:rPr>
        <w:t xml:space="preserve"> included secondary efficacy and PD endpoints. As of the cutoff date, 178 patients had rolled over to the study from antecedent studies, of whom 53 had received efgartigimod SC formulation in ARGX-113-2001, 52 had received the IV formulation in ARGX-113-2001, and 73 received the IV formulation in ARGX-113-1705.</w:t>
      </w:r>
    </w:p>
    <w:p w14:paraId="1E6B4CAD" w14:textId="40A30985"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 xml:space="preserve">A treatment period and its corresponding inter-treatment period were grouped into cycles for analysis. Median cycle durations were 56.0 days for Cycle 1 (C1), 56.0 days for C2, 50.0 days for C3, and 50.0 days for C4, with the maximum cycle duration of C1 reaching up to 204 days. The mean (SE) change from study baseline in MG-ADL total score in the total group at week 4 in the </w:t>
      </w:r>
      <w:proofErr w:type="spellStart"/>
      <w:r w:rsidRPr="00F43715">
        <w:rPr>
          <w:rFonts w:ascii="Cambria" w:eastAsiaTheme="minorHAnsi" w:hAnsi="Cambria" w:cstheme="minorBidi"/>
          <w:szCs w:val="20"/>
          <w:lang w:val="en-AU"/>
        </w:rPr>
        <w:t>AChR</w:t>
      </w:r>
      <w:proofErr w:type="spellEnd"/>
      <w:r w:rsidRPr="00F43715">
        <w:rPr>
          <w:rFonts w:ascii="Cambria" w:eastAsiaTheme="minorHAnsi" w:hAnsi="Cambria" w:cstheme="minorBidi"/>
          <w:szCs w:val="20"/>
          <w:lang w:val="en-AU"/>
        </w:rPr>
        <w:t>-Ab seropositive population was -4.1 (0.29) in C1, -4.0 (0.32) in C2, -4.2 (0.35) in C3, and -4.6 (0.46) in C4.</w:t>
      </w:r>
    </w:p>
    <w:p w14:paraId="15693E46" w14:textId="77777777"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The EMA evaluation concluded that, being aware of limitations relating to study design including exclusion of patients who did not respond to efgartigimod from rolling over into study ARGX-113-2002, the efficacy data is assessed as supportive evidence for maintenance of efficacy beyond the first cycle with the SC formulation.</w:t>
      </w:r>
    </w:p>
    <w:p w14:paraId="0186CA77" w14:textId="77777777" w:rsidR="009876FE" w:rsidRPr="00F43715" w:rsidRDefault="009876FE" w:rsidP="004F060E">
      <w:pPr>
        <w:pStyle w:val="Heading5"/>
      </w:pPr>
      <w:bookmarkStart w:id="77" w:name="Evaluator_conclusions_on_efficacy_for_th"/>
      <w:bookmarkEnd w:id="77"/>
      <w:r>
        <w:t>Evaluator</w:t>
      </w:r>
      <w:r w:rsidRPr="00F43715">
        <w:t xml:space="preserve"> </w:t>
      </w:r>
      <w:r>
        <w:t>conclusions</w:t>
      </w:r>
      <w:r w:rsidRPr="00F43715">
        <w:t xml:space="preserve"> </w:t>
      </w:r>
      <w:r>
        <w:t>on</w:t>
      </w:r>
      <w:r w:rsidRPr="00F43715">
        <w:t xml:space="preserve"> </w:t>
      </w:r>
      <w:r>
        <w:t>efficacy</w:t>
      </w:r>
      <w:r w:rsidRPr="00F43715">
        <w:t xml:space="preserve"> </w:t>
      </w:r>
      <w:r>
        <w:t>for</w:t>
      </w:r>
      <w:r w:rsidRPr="00F43715">
        <w:t xml:space="preserve"> </w:t>
      </w:r>
      <w:r>
        <w:t>the</w:t>
      </w:r>
      <w:r w:rsidRPr="00F43715">
        <w:t xml:space="preserve"> </w:t>
      </w:r>
      <w:r>
        <w:t>SC</w:t>
      </w:r>
      <w:r w:rsidRPr="00F43715">
        <w:t xml:space="preserve"> formulation</w:t>
      </w:r>
    </w:p>
    <w:p w14:paraId="2B11F233" w14:textId="77777777"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The EMA assessment report, and conclusions on clinical efficacy, were based on the application to the EMA for marketing authorisation of the SC formulation being a line extension request, based on the previously approved IV formulation. Overall, study ARGX-</w:t>
      </w:r>
      <w:r w:rsidRPr="00F43715">
        <w:rPr>
          <w:rFonts w:ascii="Cambria" w:eastAsiaTheme="minorHAnsi" w:hAnsi="Cambria" w:cstheme="minorBidi"/>
          <w:szCs w:val="20"/>
          <w:lang w:val="en-AU"/>
        </w:rPr>
        <w:lastRenderedPageBreak/>
        <w:t xml:space="preserve">113-2001 was considered acceptable for the purpose of showing therapeutic equivalence of the two formulations. The primary endpoint was not considered adequate on its own to demonstrate therapeutic equivalence, given that total IgG reduction as a PD biomarker is not mechanistically linked to the disease; reduction of </w:t>
      </w:r>
      <w:proofErr w:type="spellStart"/>
      <w:r w:rsidRPr="00F43715">
        <w:rPr>
          <w:rFonts w:ascii="Cambria" w:eastAsiaTheme="minorHAnsi" w:hAnsi="Cambria" w:cstheme="minorBidi"/>
          <w:szCs w:val="20"/>
          <w:lang w:val="en-AU"/>
        </w:rPr>
        <w:t>AChR</w:t>
      </w:r>
      <w:proofErr w:type="spellEnd"/>
      <w:r w:rsidRPr="00F43715">
        <w:rPr>
          <w:rFonts w:ascii="Cambria" w:eastAsiaTheme="minorHAnsi" w:hAnsi="Cambria" w:cstheme="minorBidi"/>
          <w:szCs w:val="20"/>
          <w:lang w:val="en-AU"/>
        </w:rPr>
        <w:t xml:space="preserve">-Ab levels could be linked for the </w:t>
      </w:r>
      <w:proofErr w:type="spellStart"/>
      <w:r w:rsidRPr="00F43715">
        <w:rPr>
          <w:rFonts w:ascii="Cambria" w:eastAsiaTheme="minorHAnsi" w:hAnsi="Cambria" w:cstheme="minorBidi"/>
          <w:szCs w:val="20"/>
          <w:lang w:val="en-AU"/>
        </w:rPr>
        <w:t>AChR</w:t>
      </w:r>
      <w:proofErr w:type="spellEnd"/>
      <w:r w:rsidRPr="00F43715">
        <w:rPr>
          <w:rFonts w:ascii="Cambria" w:eastAsiaTheme="minorHAnsi" w:hAnsi="Cambria" w:cstheme="minorBidi"/>
          <w:szCs w:val="20"/>
          <w:lang w:val="en-AU"/>
        </w:rPr>
        <w:t xml:space="preserve">-Ab seropositive population. The post-hoc analysis of reduction in </w:t>
      </w:r>
      <w:proofErr w:type="spellStart"/>
      <w:r w:rsidRPr="00F43715">
        <w:rPr>
          <w:rFonts w:ascii="Cambria" w:eastAsiaTheme="minorHAnsi" w:hAnsi="Cambria" w:cstheme="minorBidi"/>
          <w:szCs w:val="20"/>
          <w:lang w:val="en-AU"/>
        </w:rPr>
        <w:t>AChR</w:t>
      </w:r>
      <w:proofErr w:type="spellEnd"/>
      <w:r w:rsidRPr="00F43715">
        <w:rPr>
          <w:rFonts w:ascii="Cambria" w:eastAsiaTheme="minorHAnsi" w:hAnsi="Cambria" w:cstheme="minorBidi"/>
          <w:szCs w:val="20"/>
          <w:lang w:val="en-AU"/>
        </w:rPr>
        <w:t>-Ab levels is therefore considered relevant.</w:t>
      </w:r>
    </w:p>
    <w:p w14:paraId="6A85667E" w14:textId="77777777"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 xml:space="preserve">The EMA assessment concluded that overall, in study ARGX-113-2001, the SC and IV formulations have demonstrated a similar and clinically relevant efficacy in treatment of </w:t>
      </w:r>
      <w:proofErr w:type="spellStart"/>
      <w:r w:rsidRPr="00F43715">
        <w:rPr>
          <w:rFonts w:ascii="Cambria" w:eastAsiaTheme="minorHAnsi" w:hAnsi="Cambria" w:cstheme="minorBidi"/>
          <w:szCs w:val="20"/>
          <w:lang w:val="en-AU"/>
        </w:rPr>
        <w:t>AChR</w:t>
      </w:r>
      <w:proofErr w:type="spellEnd"/>
      <w:r w:rsidRPr="00F43715">
        <w:rPr>
          <w:rFonts w:ascii="Cambria" w:eastAsiaTheme="minorHAnsi" w:hAnsi="Cambria" w:cstheme="minorBidi"/>
          <w:szCs w:val="20"/>
          <w:lang w:val="en-AU"/>
        </w:rPr>
        <w:t>-Ab seropositive population in one treatment cycle, based on patient and physician rating, and by total IgG reduction at day 29. Results of study ARGX-113-2002 were considered supportive up to 4 cycles. Whilst the primary PD endpoint cannot be accepted to show therapeutic equivalence, the totality of evidence is considered to support therapeutic equivalence of the SC and IV formulations.</w:t>
      </w:r>
    </w:p>
    <w:p w14:paraId="1AB9DE8F" w14:textId="77777777"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The TGA evaluator noted the discrepancy between applications to the EMA, with the SC formulation submitted as a line extension to the previously approved IV formulation, opposed to the TGA application for both formulations concurrently. The evaluator noted the lack of control for multiplicity in statistical testing.</w:t>
      </w:r>
    </w:p>
    <w:p w14:paraId="5E91CE84" w14:textId="0A20FA41" w:rsidR="009876FE" w:rsidRPr="007042D6" w:rsidRDefault="009876FE" w:rsidP="007042D6">
      <w:pPr>
        <w:pStyle w:val="Heading4"/>
      </w:pPr>
      <w:bookmarkStart w:id="78" w:name="_Toc225173551"/>
      <w:r w:rsidRPr="007042D6">
        <w:t>Safety</w:t>
      </w:r>
      <w:r w:rsidR="00F43715" w:rsidRPr="007042D6">
        <w:t xml:space="preserve"> evaluation</w:t>
      </w:r>
      <w:bookmarkEnd w:id="78"/>
    </w:p>
    <w:p w14:paraId="1AAC994A" w14:textId="77777777" w:rsidR="009876FE" w:rsidRPr="00F43715" w:rsidRDefault="009876FE" w:rsidP="004F060E">
      <w:pPr>
        <w:pStyle w:val="Heading5"/>
      </w:pPr>
      <w:bookmarkStart w:id="79" w:name="Safety_for_the_IV_formulation"/>
      <w:bookmarkEnd w:id="79"/>
      <w:r w:rsidRPr="00F43715">
        <w:t>Safety for the IV formulation</w:t>
      </w:r>
    </w:p>
    <w:p w14:paraId="6A815E9B" w14:textId="77777777" w:rsidR="009876FE" w:rsidRPr="00F43715"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 xml:space="preserve">Safety data were presented according to individual studies and as pooled data, with pooling block 1 (PB1) including data from placebo-controlled studies in patients with </w:t>
      </w:r>
      <w:proofErr w:type="spellStart"/>
      <w:r w:rsidRPr="00F43715">
        <w:rPr>
          <w:rFonts w:ascii="Cambria" w:eastAsiaTheme="minorHAnsi" w:hAnsi="Cambria" w:cstheme="minorBidi"/>
          <w:szCs w:val="20"/>
          <w:lang w:val="en-AU"/>
        </w:rPr>
        <w:t>gMG</w:t>
      </w:r>
      <w:proofErr w:type="spellEnd"/>
      <w:r w:rsidRPr="00F43715">
        <w:rPr>
          <w:rFonts w:ascii="Cambria" w:eastAsiaTheme="minorHAnsi" w:hAnsi="Cambria" w:cstheme="minorBidi"/>
          <w:szCs w:val="20"/>
          <w:lang w:val="en-AU"/>
        </w:rPr>
        <w:t xml:space="preserve"> (ARGX-113-1602, and cycle 1 ARGX-113-1704), and pooling block 2 (PB2) including all </w:t>
      </w:r>
      <w:proofErr w:type="spellStart"/>
      <w:r w:rsidRPr="00F43715">
        <w:rPr>
          <w:rFonts w:ascii="Cambria" w:eastAsiaTheme="minorHAnsi" w:hAnsi="Cambria" w:cstheme="minorBidi"/>
          <w:szCs w:val="20"/>
          <w:lang w:val="en-AU"/>
        </w:rPr>
        <w:t>gMG</w:t>
      </w:r>
      <w:proofErr w:type="spellEnd"/>
      <w:r w:rsidRPr="00F43715">
        <w:rPr>
          <w:rFonts w:ascii="Cambria" w:eastAsiaTheme="minorHAnsi" w:hAnsi="Cambria" w:cstheme="minorBidi"/>
          <w:szCs w:val="20"/>
          <w:lang w:val="en-AU"/>
        </w:rPr>
        <w:t xml:space="preserve"> patients treated with efgartigimod (studies ARGX-113-1602, -1704, and -1705 up to data cutoff).</w:t>
      </w:r>
    </w:p>
    <w:p w14:paraId="450CD65F" w14:textId="0F550CA6" w:rsidR="009876FE" w:rsidRDefault="009876FE" w:rsidP="00F43715">
      <w:pPr>
        <w:pStyle w:val="BodyText"/>
        <w:spacing w:after="120" w:line="259" w:lineRule="auto"/>
        <w:ind w:left="0" w:right="382"/>
        <w:rPr>
          <w:rFonts w:ascii="Cambria" w:eastAsiaTheme="minorHAnsi" w:hAnsi="Cambria" w:cstheme="minorBidi"/>
          <w:szCs w:val="20"/>
          <w:lang w:val="en-AU"/>
        </w:rPr>
      </w:pPr>
      <w:r w:rsidRPr="00F43715">
        <w:rPr>
          <w:rFonts w:ascii="Cambria" w:eastAsiaTheme="minorHAnsi" w:hAnsi="Cambria" w:cstheme="minorBidi"/>
          <w:szCs w:val="20"/>
          <w:lang w:val="en-AU"/>
        </w:rPr>
        <w:t xml:space="preserve">Among all </w:t>
      </w:r>
      <w:proofErr w:type="spellStart"/>
      <w:r w:rsidRPr="00F43715">
        <w:rPr>
          <w:rFonts w:ascii="Cambria" w:eastAsiaTheme="minorHAnsi" w:hAnsi="Cambria" w:cstheme="minorBidi"/>
          <w:szCs w:val="20"/>
          <w:lang w:val="en-AU"/>
        </w:rPr>
        <w:t>gMG</w:t>
      </w:r>
      <w:proofErr w:type="spellEnd"/>
      <w:r w:rsidRPr="00F43715">
        <w:rPr>
          <w:rFonts w:ascii="Cambria" w:eastAsiaTheme="minorHAnsi" w:hAnsi="Cambria" w:cstheme="minorBidi"/>
          <w:szCs w:val="20"/>
          <w:lang w:val="en-AU"/>
        </w:rPr>
        <w:t xml:space="preserve"> patients administered efgartigimod, 162 patients received at least 1 dose, mean (SD) duration of treatment combined with follow-up was 413.9 (170.26) days, and cumulative treatment exposure 183.6 patient-years. Duration of treatment and follow-up was at least 12</w:t>
      </w:r>
      <w:r w:rsidR="00F43715">
        <w:rPr>
          <w:rFonts w:ascii="Cambria" w:eastAsiaTheme="minorHAnsi" w:hAnsi="Cambria" w:cstheme="minorBidi"/>
          <w:szCs w:val="20"/>
          <w:lang w:val="en-AU"/>
        </w:rPr>
        <w:t xml:space="preserve"> </w:t>
      </w:r>
      <w:r w:rsidRPr="009758E2">
        <w:rPr>
          <w:rFonts w:ascii="Cambria" w:eastAsiaTheme="minorHAnsi" w:hAnsi="Cambria" w:cstheme="minorBidi"/>
          <w:szCs w:val="20"/>
          <w:lang w:val="en-AU"/>
        </w:rPr>
        <w:t xml:space="preserve">months in 118 (72.6%) patients. Table </w:t>
      </w:r>
      <w:r w:rsidR="004F060E">
        <w:rPr>
          <w:rFonts w:ascii="Cambria" w:eastAsiaTheme="minorHAnsi" w:hAnsi="Cambria" w:cstheme="minorBidi"/>
          <w:szCs w:val="20"/>
          <w:lang w:val="en-AU"/>
        </w:rPr>
        <w:t>10</w:t>
      </w:r>
      <w:r w:rsidRPr="009758E2">
        <w:rPr>
          <w:rFonts w:ascii="Cambria" w:eastAsiaTheme="minorHAnsi" w:hAnsi="Cambria" w:cstheme="minorBidi"/>
          <w:szCs w:val="20"/>
          <w:lang w:val="en-AU"/>
        </w:rPr>
        <w:t xml:space="preserve"> gives an overview of treatment emergent adverse events (TEAEs) in pivotal study ARGX-113-1704 and long-term extension -1705.</w:t>
      </w:r>
    </w:p>
    <w:p w14:paraId="1888D0C2" w14:textId="6EE795FF" w:rsidR="009876FE" w:rsidRDefault="009876FE" w:rsidP="009758E2">
      <w:pPr>
        <w:pStyle w:val="TableTitle"/>
      </w:pPr>
      <w:r>
        <w:lastRenderedPageBreak/>
        <w:t>Table</w:t>
      </w:r>
      <w:r>
        <w:rPr>
          <w:spacing w:val="-3"/>
        </w:rPr>
        <w:t xml:space="preserve"> </w:t>
      </w:r>
      <w:r w:rsidR="004F060E">
        <w:t>10</w:t>
      </w:r>
      <w:r>
        <w:t>.</w:t>
      </w:r>
      <w:r>
        <w:rPr>
          <w:spacing w:val="-4"/>
        </w:rPr>
        <w:t xml:space="preserve"> </w:t>
      </w:r>
      <w:r>
        <w:t>Overview</w:t>
      </w:r>
      <w:r>
        <w:rPr>
          <w:spacing w:val="-4"/>
        </w:rPr>
        <w:t xml:space="preserve"> </w:t>
      </w:r>
      <w:r>
        <w:t>of</w:t>
      </w:r>
      <w:r>
        <w:rPr>
          <w:spacing w:val="-3"/>
        </w:rPr>
        <w:t xml:space="preserve"> </w:t>
      </w:r>
      <w:r>
        <w:t>treatment</w:t>
      </w:r>
      <w:r>
        <w:rPr>
          <w:spacing w:val="-4"/>
        </w:rPr>
        <w:t xml:space="preserve"> </w:t>
      </w:r>
      <w:r>
        <w:t>emergent</w:t>
      </w:r>
      <w:r>
        <w:rPr>
          <w:spacing w:val="-3"/>
        </w:rPr>
        <w:t xml:space="preserve"> </w:t>
      </w:r>
      <w:r>
        <w:t>adverse</w:t>
      </w:r>
      <w:r>
        <w:rPr>
          <w:spacing w:val="-3"/>
        </w:rPr>
        <w:t xml:space="preserve"> </w:t>
      </w:r>
      <w:r>
        <w:t>events,</w:t>
      </w:r>
      <w:r>
        <w:rPr>
          <w:spacing w:val="-4"/>
        </w:rPr>
        <w:t xml:space="preserve"> </w:t>
      </w:r>
      <w:r>
        <w:t>studies</w:t>
      </w:r>
      <w:r>
        <w:rPr>
          <w:spacing w:val="-4"/>
        </w:rPr>
        <w:t xml:space="preserve"> </w:t>
      </w:r>
      <w:r>
        <w:t>ARGX-113-1704</w:t>
      </w:r>
      <w:r>
        <w:rPr>
          <w:spacing w:val="-3"/>
        </w:rPr>
        <w:t xml:space="preserve"> </w:t>
      </w:r>
      <w:r>
        <w:t>and ARGX-113-1705 (safety analysis set)</w:t>
      </w:r>
    </w:p>
    <w:p w14:paraId="53BD5893" w14:textId="0E36A550" w:rsidR="009876FE" w:rsidRDefault="006E5617" w:rsidP="00817DF2">
      <w:r w:rsidRPr="006E5617">
        <w:rPr>
          <w:noProof/>
        </w:rPr>
        <w:drawing>
          <wp:inline distT="0" distB="0" distL="0" distR="0" wp14:anchorId="0D684D84" wp14:editId="64AD947F">
            <wp:extent cx="5547600" cy="2840400"/>
            <wp:effectExtent l="0" t="0" r="0" b="0"/>
            <wp:docPr id="1564677111" name="Picture 1" descr="Table 10. Overview of treatment emergent adverse events, studies ARGX-113-1704 and ARGX-113-1705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77111" name="Picture 1" descr="Table 10. Overview of treatment emergent adverse events, studies ARGX-113-1704 and ARGX-113-1705 (safety analysis set)"/>
                    <pic:cNvPicPr/>
                  </pic:nvPicPr>
                  <pic:blipFill>
                    <a:blip r:embed="rId36"/>
                    <a:stretch>
                      <a:fillRect/>
                    </a:stretch>
                  </pic:blipFill>
                  <pic:spPr>
                    <a:xfrm>
                      <a:off x="0" y="0"/>
                      <a:ext cx="5547600" cy="2840400"/>
                    </a:xfrm>
                    <a:prstGeom prst="rect">
                      <a:avLst/>
                    </a:prstGeom>
                  </pic:spPr>
                </pic:pic>
              </a:graphicData>
            </a:graphic>
          </wp:inline>
        </w:drawing>
      </w:r>
      <w:r w:rsidR="00CA3337" w:rsidRPr="00CA3337">
        <w:rPr>
          <w:noProof/>
        </w:rPr>
        <w:drawing>
          <wp:inline distT="0" distB="0" distL="0" distR="0" wp14:anchorId="2C35A1DA" wp14:editId="5344B81D">
            <wp:extent cx="5367131" cy="1188411"/>
            <wp:effectExtent l="0" t="0" r="5080" b="0"/>
            <wp:docPr id="72862762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27629" name="Picture 1" descr="A close-up of a document&#10;&#10;AI-generated content may be incorrect."/>
                    <pic:cNvPicPr/>
                  </pic:nvPicPr>
                  <pic:blipFill>
                    <a:blip r:embed="rId37"/>
                    <a:stretch>
                      <a:fillRect/>
                    </a:stretch>
                  </pic:blipFill>
                  <pic:spPr>
                    <a:xfrm>
                      <a:off x="0" y="0"/>
                      <a:ext cx="5377164" cy="1190633"/>
                    </a:xfrm>
                    <a:prstGeom prst="rect">
                      <a:avLst/>
                    </a:prstGeom>
                  </pic:spPr>
                </pic:pic>
              </a:graphicData>
            </a:graphic>
          </wp:inline>
        </w:drawing>
      </w:r>
    </w:p>
    <w:p w14:paraId="569EA7A0" w14:textId="77777777" w:rsidR="009876FE" w:rsidRPr="00CA3337" w:rsidRDefault="009876FE" w:rsidP="00CA3337">
      <w:pPr>
        <w:pStyle w:val="BodyText"/>
        <w:spacing w:after="120" w:line="259" w:lineRule="auto"/>
        <w:ind w:left="0" w:right="382"/>
        <w:rPr>
          <w:rFonts w:ascii="Cambria" w:eastAsiaTheme="minorHAnsi" w:hAnsi="Cambria" w:cstheme="minorBidi"/>
          <w:szCs w:val="20"/>
          <w:lang w:val="en-AU"/>
        </w:rPr>
      </w:pPr>
      <w:r w:rsidRPr="00CA3337">
        <w:rPr>
          <w:rFonts w:ascii="Cambria" w:eastAsiaTheme="minorHAnsi" w:hAnsi="Cambria" w:cstheme="minorBidi"/>
          <w:szCs w:val="20"/>
          <w:lang w:val="en-AU"/>
        </w:rPr>
        <w:t>In PB2 the most common TEAEs during all cycles cumulatively by system organ class (SOC) and preferred term (PT) were: infections and infestations, with 179 events observed in 90 (55.6%) patients, with most common PTs nasopharyngitis (24 patients, 14.8%), urinary tract infection (16 patients, 9.9%) and upper respiratory tract infection (12 patients, 7.4%), nervous system disorders, with 198 events observed in 72 (44.4%) patients, with most common PT headache (56 patients, 34.6%), and gastrointestinal disorders, with 88 events observed in 46 (28.4%) patients, with most common PTs diarrhoea (18 patients, 11.1%) and nausea (14 patients, 8.6%).</w:t>
      </w:r>
    </w:p>
    <w:p w14:paraId="1F918077" w14:textId="55F1BAD2" w:rsidR="009876FE" w:rsidRPr="00CA3337" w:rsidRDefault="009876FE" w:rsidP="00CA3337">
      <w:pPr>
        <w:pStyle w:val="BodyText"/>
        <w:spacing w:after="120" w:line="259" w:lineRule="auto"/>
        <w:ind w:left="0" w:right="382"/>
        <w:rPr>
          <w:rFonts w:ascii="Cambria" w:eastAsiaTheme="minorHAnsi" w:hAnsi="Cambria" w:cstheme="minorBidi"/>
          <w:szCs w:val="20"/>
          <w:lang w:val="en-AU"/>
        </w:rPr>
      </w:pPr>
      <w:r w:rsidRPr="00CA3337">
        <w:rPr>
          <w:rFonts w:ascii="Cambria" w:eastAsiaTheme="minorHAnsi" w:hAnsi="Cambria" w:cstheme="minorBidi"/>
          <w:szCs w:val="20"/>
          <w:lang w:val="en-AU"/>
        </w:rPr>
        <w:t>In study ARGX-113-1704, TEAEs that led to treatment discontinuation occurred in 3 (3.6%) patients in each treatment group. In study ARGX-113-1705, TEAEs that led to discontinuation of efgartigimod treatment occurred in 8 (5.8%) patients in the total efgartigimod group. The TEAEs that led to discontinuation of efgartigimod reported in more than 1 patient in either cohort were myasthenia gravis and COVID-19 pneumonia. The following PTs reported in 6 patients were serious: spinal compression fracture, MG, lung neoplasm malignant, COVID-19 pneumonia, adenocarcinoma of colon, and acute myocardial infarction.</w:t>
      </w:r>
    </w:p>
    <w:p w14:paraId="2BFA18D1" w14:textId="77777777" w:rsidR="009876FE" w:rsidRPr="00CA3337" w:rsidRDefault="009876FE" w:rsidP="00CA3337">
      <w:pPr>
        <w:pStyle w:val="BodyText"/>
        <w:spacing w:after="120" w:line="259" w:lineRule="auto"/>
        <w:ind w:left="0" w:right="382"/>
        <w:rPr>
          <w:rFonts w:ascii="Cambria" w:eastAsiaTheme="minorHAnsi" w:hAnsi="Cambria" w:cstheme="minorBidi"/>
          <w:szCs w:val="20"/>
          <w:lang w:val="en-AU"/>
        </w:rPr>
      </w:pPr>
      <w:r w:rsidRPr="00CA3337">
        <w:rPr>
          <w:rFonts w:ascii="Cambria" w:eastAsiaTheme="minorHAnsi" w:hAnsi="Cambria" w:cstheme="minorBidi"/>
          <w:szCs w:val="20"/>
          <w:lang w:val="en-AU"/>
        </w:rPr>
        <w:t>In study ARGX-113-1704, TEAEs of Common Terminology Criteria for Adverse Events (CTCAE) severity grade ≥ 3 occurred in 9 (10.7%) patients in the efgartigimod group and 8 (9.6%) patients in the placebo group. The only TEAE of CTCAE severity grade ≥ 3 that was reported in more than 1 patient in either group was MG, reported in 1 (1.2%) patient in the efgartigimod group, and 2 (2.4%) patients in the placebo group.</w:t>
      </w:r>
    </w:p>
    <w:p w14:paraId="77232ABA" w14:textId="0139E70A" w:rsidR="009876FE" w:rsidRPr="00CA3337" w:rsidRDefault="009876FE" w:rsidP="00CA3337">
      <w:pPr>
        <w:pStyle w:val="BodyText"/>
        <w:spacing w:after="120" w:line="259" w:lineRule="auto"/>
        <w:ind w:left="0" w:right="382"/>
        <w:rPr>
          <w:rFonts w:ascii="Cambria" w:eastAsiaTheme="minorHAnsi" w:hAnsi="Cambria" w:cstheme="minorBidi"/>
          <w:szCs w:val="20"/>
          <w:lang w:val="en-AU"/>
        </w:rPr>
      </w:pPr>
      <w:r w:rsidRPr="00CA3337">
        <w:rPr>
          <w:rFonts w:ascii="Cambria" w:eastAsiaTheme="minorHAnsi" w:hAnsi="Cambria" w:cstheme="minorBidi"/>
          <w:szCs w:val="20"/>
          <w:lang w:val="en-AU"/>
        </w:rPr>
        <w:t xml:space="preserve">In study ARGX-113-1705, TEAEs of severity grade ≥ 3 occurred in 26 (18.7%) patients in the total efgartigimod group, with a slightly higher rate in the efgartigimod-efgartigimod group. Events reported in ≥ 2 patients in either cohort were COVID- 19 pneumonia (2 [2.7%] </w:t>
      </w:r>
      <w:r w:rsidRPr="00CA3337">
        <w:rPr>
          <w:rFonts w:ascii="Cambria" w:eastAsiaTheme="minorHAnsi" w:hAnsi="Cambria" w:cstheme="minorBidi"/>
          <w:szCs w:val="20"/>
          <w:lang w:val="en-AU"/>
        </w:rPr>
        <w:lastRenderedPageBreak/>
        <w:t>patients</w:t>
      </w:r>
      <w:r w:rsidR="004F060E">
        <w:rPr>
          <w:rFonts w:ascii="Cambria" w:eastAsiaTheme="minorHAnsi" w:hAnsi="Cambria" w:cstheme="minorBidi"/>
          <w:szCs w:val="20"/>
          <w:lang w:val="en-AU"/>
        </w:rPr>
        <w:t xml:space="preserve"> </w:t>
      </w:r>
      <w:r w:rsidRPr="00CA3337">
        <w:rPr>
          <w:rFonts w:ascii="Cambria" w:eastAsiaTheme="minorHAnsi" w:hAnsi="Cambria" w:cstheme="minorBidi"/>
          <w:szCs w:val="20"/>
          <w:lang w:val="en-AU"/>
        </w:rPr>
        <w:t>in the efgartigimod-efgartigimod cohort), headache (1 [1.4%] patient in the efgartigimod-efgartigimod cohort and 2 [3.0%] patients in the placebo-efgartigimod cohort), and MG (2 [2.7%] patients in the efgartigimod-efgartigimod cohort and 1 [1.5%] patient in the placebo-efgartigimod cohort).</w:t>
      </w:r>
    </w:p>
    <w:p w14:paraId="1B2B1DCE" w14:textId="77777777" w:rsidR="009876FE" w:rsidRPr="00CA3337" w:rsidRDefault="009876FE" w:rsidP="00CA3337">
      <w:pPr>
        <w:pStyle w:val="BodyText"/>
        <w:spacing w:after="120" w:line="259" w:lineRule="auto"/>
        <w:ind w:left="0" w:right="382"/>
        <w:rPr>
          <w:rFonts w:ascii="Cambria" w:eastAsiaTheme="minorHAnsi" w:hAnsi="Cambria" w:cstheme="minorBidi"/>
          <w:szCs w:val="20"/>
          <w:lang w:val="en-AU"/>
        </w:rPr>
      </w:pPr>
      <w:r w:rsidRPr="00CA3337">
        <w:rPr>
          <w:rFonts w:ascii="Cambria" w:eastAsiaTheme="minorHAnsi" w:hAnsi="Cambria" w:cstheme="minorBidi"/>
          <w:szCs w:val="20"/>
          <w:lang w:val="en-AU"/>
        </w:rPr>
        <w:t>TEAE data for PB2 by treatment cycle showed that TEAEs observed in the total efgartigimod group generally decreased in subsequent cycles, characterised by ≥1 TEAE observed in 108 patients (n= 162, 66.7%) in cycle 1, compared to 17 patients (n=67, 25.4%) in cycle 7.</w:t>
      </w:r>
    </w:p>
    <w:p w14:paraId="6023219B" w14:textId="0FB6CC99" w:rsidR="009876FE" w:rsidRPr="00841700" w:rsidRDefault="009876FE" w:rsidP="004F060E">
      <w:pPr>
        <w:pStyle w:val="Heading6"/>
        <w:rPr>
          <w:rFonts w:eastAsiaTheme="minorHAnsi"/>
        </w:rPr>
      </w:pPr>
      <w:r w:rsidRPr="00841700">
        <w:rPr>
          <w:rFonts w:eastAsiaTheme="minorHAnsi"/>
        </w:rPr>
        <w:t xml:space="preserve">Serious </w:t>
      </w:r>
      <w:r w:rsidR="00817DF2" w:rsidRPr="00841700">
        <w:rPr>
          <w:rFonts w:eastAsiaTheme="minorHAnsi"/>
        </w:rPr>
        <w:t>adverse events</w:t>
      </w:r>
    </w:p>
    <w:p w14:paraId="3ECD12DF" w14:textId="77777777" w:rsidR="009876FE" w:rsidRPr="00841700" w:rsidRDefault="009876FE" w:rsidP="00841700">
      <w:pPr>
        <w:pStyle w:val="BodyText"/>
        <w:spacing w:after="120" w:line="259" w:lineRule="auto"/>
        <w:ind w:left="0" w:right="382"/>
        <w:rPr>
          <w:rFonts w:ascii="Cambria" w:eastAsiaTheme="minorHAnsi" w:hAnsi="Cambria" w:cstheme="minorBidi"/>
          <w:szCs w:val="20"/>
          <w:lang w:val="en-AU"/>
        </w:rPr>
      </w:pPr>
      <w:r w:rsidRPr="00841700">
        <w:rPr>
          <w:rFonts w:ascii="Cambria" w:eastAsiaTheme="minorHAnsi" w:hAnsi="Cambria" w:cstheme="minorBidi"/>
          <w:szCs w:val="20"/>
          <w:lang w:val="en-AU"/>
        </w:rPr>
        <w:t>The overall number of treatment-emergent serious adverse events (SAEs) observed in PB2 was low. In study ARGX-113-1704 4 (4.8%) patients in the efgartigimod group recorded ≥1 SAE compared to 7 (8.4%) patients in the placebo group, whilst in study ARGX-113-1705 the rate of observed SAEs was higher in the efgartigimod-efgartigimod group (14 patients, 19.2%) compared to the placebo-efgartigimod group (7 patients, 10.6%). Most common SAEs by SOC in the total efgartigimod cohort in PB2 were infections and infestations (6 patients, 3.7%) and nervous system disorders (6 patients, 3.7%), with most common PTs COVID-19 pneumonia and MG respectively. In pooled PB2 analysis 11 neoplasms were recorded in 8 (4.9%) patients, 4 of which had neoplasms arising from squamous cells; all neoplasms were considered not related to study treatment.</w:t>
      </w:r>
    </w:p>
    <w:p w14:paraId="5C59CD80" w14:textId="77777777" w:rsidR="009876FE" w:rsidRPr="00841700" w:rsidRDefault="009876FE" w:rsidP="004F060E">
      <w:pPr>
        <w:pStyle w:val="Heading6"/>
        <w:rPr>
          <w:rFonts w:eastAsiaTheme="minorHAnsi"/>
        </w:rPr>
      </w:pPr>
      <w:r w:rsidRPr="00841700">
        <w:rPr>
          <w:rFonts w:eastAsiaTheme="minorHAnsi"/>
        </w:rPr>
        <w:t>Deaths</w:t>
      </w:r>
    </w:p>
    <w:p w14:paraId="7C2D9531" w14:textId="77777777" w:rsidR="009876FE" w:rsidRPr="00841700" w:rsidRDefault="009876FE" w:rsidP="00841700">
      <w:pPr>
        <w:pStyle w:val="BodyText"/>
        <w:spacing w:after="120" w:line="259" w:lineRule="auto"/>
        <w:ind w:left="0" w:right="382"/>
        <w:rPr>
          <w:rFonts w:ascii="Cambria" w:eastAsiaTheme="minorHAnsi" w:hAnsi="Cambria" w:cstheme="minorBidi"/>
          <w:szCs w:val="20"/>
          <w:lang w:val="en-AU"/>
        </w:rPr>
      </w:pPr>
      <w:r w:rsidRPr="00841700">
        <w:rPr>
          <w:rFonts w:ascii="Cambria" w:eastAsiaTheme="minorHAnsi" w:hAnsi="Cambria" w:cstheme="minorBidi"/>
          <w:szCs w:val="20"/>
          <w:lang w:val="en-AU"/>
        </w:rPr>
        <w:t>5 fatal cases were reported in the efgartigimod cohorts and none in the placebo cohorts, with no deaths considered related to study treatment by investigators. Of these deaths, 2 were associated with the SAE of cardiovascular disease, 1 related to lung cancer, 1 due to myasthenic crisis, and 1 due to infections (COVID-19, pneumonia, UTI, septic shock). Case narratives confirmed relevant risk factors related to the deaths from cardiovascular disease and lung cancer.</w:t>
      </w:r>
    </w:p>
    <w:p w14:paraId="4985AC7F" w14:textId="77777777" w:rsidR="00C91D4B" w:rsidRDefault="009876FE" w:rsidP="00841700">
      <w:pPr>
        <w:pStyle w:val="BodyText"/>
        <w:spacing w:after="120" w:line="259" w:lineRule="auto"/>
        <w:ind w:left="0" w:right="382"/>
        <w:rPr>
          <w:rFonts w:ascii="Cambria" w:eastAsiaTheme="minorHAnsi" w:hAnsi="Cambria" w:cstheme="minorBidi"/>
          <w:szCs w:val="20"/>
          <w:lang w:val="en-AU"/>
        </w:rPr>
      </w:pPr>
      <w:proofErr w:type="gramStart"/>
      <w:r w:rsidRPr="00841700">
        <w:rPr>
          <w:rFonts w:ascii="Cambria" w:eastAsiaTheme="minorHAnsi" w:hAnsi="Cambria" w:cstheme="minorBidi"/>
          <w:szCs w:val="20"/>
          <w:lang w:val="en-AU"/>
        </w:rPr>
        <w:t>With regard to</w:t>
      </w:r>
      <w:proofErr w:type="gramEnd"/>
      <w:r w:rsidRPr="00841700">
        <w:rPr>
          <w:rFonts w:ascii="Cambria" w:eastAsiaTheme="minorHAnsi" w:hAnsi="Cambria" w:cstheme="minorBidi"/>
          <w:szCs w:val="20"/>
          <w:lang w:val="en-AU"/>
        </w:rPr>
        <w:t xml:space="preserve"> the deaths from infection, the sponsor provided justification to the EMA, including analysis evaluating incidence of infectious events relative to nadir IgG levels in PB2, showing no clear correlation between IgG levels and infections categorised as serious. This was supplemented by published literature supporting no association between transient IgG reduction and incidence of infection. </w:t>
      </w:r>
    </w:p>
    <w:p w14:paraId="7BC17601" w14:textId="6C1A56ED" w:rsidR="009876FE" w:rsidRPr="00841700" w:rsidRDefault="009876FE" w:rsidP="00841700">
      <w:pPr>
        <w:pStyle w:val="BodyText"/>
        <w:spacing w:after="120" w:line="259" w:lineRule="auto"/>
        <w:ind w:left="0" w:right="382"/>
        <w:rPr>
          <w:rFonts w:ascii="Cambria" w:eastAsiaTheme="minorHAnsi" w:hAnsi="Cambria" w:cstheme="minorBidi"/>
          <w:szCs w:val="20"/>
          <w:lang w:val="en-AU"/>
        </w:rPr>
      </w:pPr>
      <w:r w:rsidRPr="00841700">
        <w:rPr>
          <w:rFonts w:ascii="Cambria" w:eastAsiaTheme="minorHAnsi" w:hAnsi="Cambria" w:cstheme="minorBidi"/>
          <w:szCs w:val="20"/>
          <w:lang w:val="en-AU"/>
        </w:rPr>
        <w:t>The EMA assessment accepted this justification. The TGA evaluator concluded that, given the mechanism of action of efgartigimod, a possible association with the infections leading to death could not be excluded.</w:t>
      </w:r>
    </w:p>
    <w:p w14:paraId="47D8F248" w14:textId="77777777" w:rsidR="009876FE" w:rsidRPr="00841700" w:rsidRDefault="009876FE" w:rsidP="004F060E">
      <w:pPr>
        <w:pStyle w:val="Heading6"/>
        <w:rPr>
          <w:rFonts w:eastAsiaTheme="minorHAnsi"/>
        </w:rPr>
      </w:pPr>
      <w:r w:rsidRPr="00841700">
        <w:rPr>
          <w:rFonts w:eastAsiaTheme="minorHAnsi"/>
        </w:rPr>
        <w:t>Adverse events of special interest</w:t>
      </w:r>
    </w:p>
    <w:p w14:paraId="68D39FFA" w14:textId="77777777" w:rsidR="009876FE" w:rsidRPr="00841700" w:rsidRDefault="009876FE" w:rsidP="00841700">
      <w:pPr>
        <w:pStyle w:val="BodyText"/>
        <w:spacing w:after="120" w:line="259" w:lineRule="auto"/>
        <w:ind w:left="0" w:right="382"/>
        <w:rPr>
          <w:rFonts w:ascii="Cambria" w:eastAsiaTheme="minorHAnsi" w:hAnsi="Cambria" w:cstheme="minorBidi"/>
          <w:szCs w:val="20"/>
          <w:lang w:val="en-AU"/>
        </w:rPr>
      </w:pPr>
      <w:r w:rsidRPr="00841700">
        <w:rPr>
          <w:rFonts w:ascii="Cambria" w:eastAsiaTheme="minorHAnsi" w:hAnsi="Cambria" w:cstheme="minorBidi"/>
          <w:szCs w:val="20"/>
          <w:lang w:val="en-AU"/>
        </w:rPr>
        <w:t xml:space="preserve">The SOC infections and infestations is defined as AESI for efgartigimod; in the pivotal study ARGX-113-1704, 46.4% of patients in the efgartigimod and 37.3% of patients in the placebo group reported TEAEs in this SOC, with the most frequently observed in both groups nasopharyngitis, upper respiratory tract infection, urinary tract infection, and bronchitis. </w:t>
      </w:r>
      <w:proofErr w:type="gramStart"/>
      <w:r w:rsidRPr="00841700">
        <w:rPr>
          <w:rFonts w:ascii="Cambria" w:eastAsiaTheme="minorHAnsi" w:hAnsi="Cambria" w:cstheme="minorBidi"/>
          <w:szCs w:val="20"/>
          <w:lang w:val="en-AU"/>
        </w:rPr>
        <w:t>With the exception of</w:t>
      </w:r>
      <w:proofErr w:type="gramEnd"/>
      <w:r w:rsidRPr="00841700">
        <w:rPr>
          <w:rFonts w:ascii="Cambria" w:eastAsiaTheme="minorHAnsi" w:hAnsi="Cambria" w:cstheme="minorBidi"/>
          <w:szCs w:val="20"/>
          <w:lang w:val="en-AU"/>
        </w:rPr>
        <w:t xml:space="preserve"> nasopharyngitis, </w:t>
      </w:r>
      <w:proofErr w:type="gramStart"/>
      <w:r w:rsidRPr="00841700">
        <w:rPr>
          <w:rFonts w:ascii="Cambria" w:eastAsiaTheme="minorHAnsi" w:hAnsi="Cambria" w:cstheme="minorBidi"/>
          <w:szCs w:val="20"/>
          <w:lang w:val="en-AU"/>
        </w:rPr>
        <w:t>all of</w:t>
      </w:r>
      <w:proofErr w:type="gramEnd"/>
      <w:r w:rsidRPr="00841700">
        <w:rPr>
          <w:rFonts w:ascii="Cambria" w:eastAsiaTheme="minorHAnsi" w:hAnsi="Cambria" w:cstheme="minorBidi"/>
          <w:szCs w:val="20"/>
          <w:lang w:val="en-AU"/>
        </w:rPr>
        <w:t xml:space="preserve"> these events were recorded more frequently in the efgartigimod group. All AESIs in SOC infections and infestations reported in the total efgartigimod group in PB2 during all treatment cycles cumulatively were of severity Grades 1 or 2, except for 12 events in 8 patients Grade ≥3. Herpes viral infections, candidiasis and vulvovaginal mycotic infection were only reported in efgartigimod-treated subjects during clinical development; for the 12 patients who had a herpes or candidiasis-relevant infection, 11 were receiving concomitant immunosuppressives.</w:t>
      </w:r>
    </w:p>
    <w:p w14:paraId="3EC6C89B" w14:textId="77777777" w:rsidR="00817DF2" w:rsidRDefault="00817DF2" w:rsidP="00841700">
      <w:pPr>
        <w:pStyle w:val="BodyText"/>
        <w:spacing w:after="120" w:line="259" w:lineRule="auto"/>
        <w:ind w:left="0" w:right="382"/>
        <w:rPr>
          <w:rFonts w:ascii="Cambria" w:eastAsiaTheme="minorHAnsi" w:hAnsi="Cambria" w:cstheme="minorBidi"/>
          <w:szCs w:val="20"/>
          <w:lang w:val="en-AU"/>
        </w:rPr>
      </w:pPr>
    </w:p>
    <w:p w14:paraId="19AD2246" w14:textId="72D3B4AA" w:rsidR="009876FE" w:rsidRPr="00841700" w:rsidRDefault="009876FE" w:rsidP="00841700">
      <w:pPr>
        <w:pStyle w:val="BodyText"/>
        <w:spacing w:after="120" w:line="259" w:lineRule="auto"/>
        <w:ind w:left="0" w:right="382"/>
        <w:rPr>
          <w:rFonts w:ascii="Cambria" w:eastAsiaTheme="minorHAnsi" w:hAnsi="Cambria" w:cstheme="minorBidi"/>
          <w:szCs w:val="20"/>
          <w:lang w:val="en-AU"/>
        </w:rPr>
      </w:pPr>
      <w:r w:rsidRPr="00841700">
        <w:rPr>
          <w:rFonts w:ascii="Cambria" w:eastAsiaTheme="minorHAnsi" w:hAnsi="Cambria" w:cstheme="minorBidi"/>
          <w:szCs w:val="20"/>
          <w:lang w:val="en-AU"/>
        </w:rPr>
        <w:lastRenderedPageBreak/>
        <w:t xml:space="preserve">The EMA assessment noted analysis of AESIs relative to nadir IgG levels, showing number of AESIs slightly higher in groups of nadir IgG categories below the median compared to above the median. The assessment concluded that the small increase in number of infections in the lowest 2 IgG nadir quartiles is consistent with the pharmacological action of efgartigimod. An analysis of infections by concomitant treatment for </w:t>
      </w:r>
      <w:proofErr w:type="spellStart"/>
      <w:r w:rsidRPr="00841700">
        <w:rPr>
          <w:rFonts w:ascii="Cambria" w:eastAsiaTheme="minorHAnsi" w:hAnsi="Cambria" w:cstheme="minorBidi"/>
          <w:szCs w:val="20"/>
          <w:lang w:val="en-AU"/>
        </w:rPr>
        <w:t>gMG</w:t>
      </w:r>
      <w:proofErr w:type="spellEnd"/>
      <w:r w:rsidRPr="00841700">
        <w:rPr>
          <w:rFonts w:ascii="Cambria" w:eastAsiaTheme="minorHAnsi" w:hAnsi="Cambria" w:cstheme="minorBidi"/>
          <w:szCs w:val="20"/>
          <w:lang w:val="en-AU"/>
        </w:rPr>
        <w:t xml:space="preserve"> showed that use of concomitant immunosuppressant treatment did not appear to affect risk of infection.</w:t>
      </w:r>
    </w:p>
    <w:p w14:paraId="3DF66A3F" w14:textId="77777777" w:rsidR="009876FE" w:rsidRPr="00841700" w:rsidRDefault="009876FE" w:rsidP="00E35D01">
      <w:pPr>
        <w:pStyle w:val="Heading6"/>
        <w:rPr>
          <w:rFonts w:eastAsiaTheme="minorHAnsi"/>
        </w:rPr>
      </w:pPr>
      <w:r w:rsidRPr="00841700">
        <w:rPr>
          <w:rFonts w:eastAsiaTheme="minorHAnsi"/>
        </w:rPr>
        <w:t>Laboratory findings</w:t>
      </w:r>
    </w:p>
    <w:p w14:paraId="67AE679F" w14:textId="0D2423FC" w:rsidR="009876FE" w:rsidRPr="00841700" w:rsidRDefault="009876FE" w:rsidP="00841700">
      <w:pPr>
        <w:pStyle w:val="BodyText"/>
        <w:spacing w:after="120" w:line="259" w:lineRule="auto"/>
        <w:ind w:left="0" w:right="382"/>
        <w:rPr>
          <w:rFonts w:ascii="Cambria" w:eastAsiaTheme="minorHAnsi" w:hAnsi="Cambria" w:cstheme="minorBidi"/>
          <w:szCs w:val="20"/>
          <w:lang w:val="en-AU"/>
        </w:rPr>
      </w:pPr>
      <w:r w:rsidRPr="00841700">
        <w:rPr>
          <w:rFonts w:ascii="Cambria" w:eastAsiaTheme="minorHAnsi" w:hAnsi="Cambria" w:cstheme="minorBidi"/>
          <w:szCs w:val="20"/>
          <w:lang w:val="en-AU"/>
        </w:rPr>
        <w:t>In study ARGX-113-1704, lymphocyte count decreased was the most frequently reported grade</w:t>
      </w:r>
      <w:r w:rsidR="00F927C1">
        <w:rPr>
          <w:rFonts w:ascii="Cambria" w:eastAsiaTheme="minorHAnsi" w:hAnsi="Cambria" w:cstheme="minorBidi"/>
          <w:szCs w:val="20"/>
          <w:lang w:val="en-AU"/>
        </w:rPr>
        <w:t xml:space="preserve"> </w:t>
      </w:r>
      <w:r w:rsidRPr="00841700">
        <w:rPr>
          <w:rFonts w:ascii="Cambria" w:eastAsiaTheme="minorHAnsi" w:hAnsi="Cambria" w:cstheme="minorBidi"/>
          <w:szCs w:val="20"/>
          <w:lang w:val="en-AU"/>
        </w:rPr>
        <w:t>≥ 3 abnormality, occurring in 8 (9.5%) patients in the efgartigimod group and 8 (9.6%) patients in the placebo group. In study ARGX-113-1705, there were no clinically meaningful mean changes from baseline in the clinical chemistry or haematology parameters or any noteworthy differences in mean changes between the cohorts of patients who received efgartigimod or placebo in the previous study.</w:t>
      </w:r>
    </w:p>
    <w:p w14:paraId="28CA3B38" w14:textId="77777777" w:rsidR="009876FE" w:rsidRPr="00841700" w:rsidRDefault="009876FE" w:rsidP="00841700">
      <w:pPr>
        <w:pStyle w:val="BodyText"/>
        <w:spacing w:after="120" w:line="259" w:lineRule="auto"/>
        <w:ind w:left="0" w:right="382"/>
        <w:rPr>
          <w:rFonts w:ascii="Cambria" w:eastAsiaTheme="minorHAnsi" w:hAnsi="Cambria" w:cstheme="minorBidi"/>
          <w:szCs w:val="20"/>
          <w:lang w:val="en-AU"/>
        </w:rPr>
      </w:pPr>
      <w:proofErr w:type="gramStart"/>
      <w:r w:rsidRPr="00841700">
        <w:rPr>
          <w:rFonts w:ascii="Cambria" w:eastAsiaTheme="minorHAnsi" w:hAnsi="Cambria" w:cstheme="minorBidi"/>
          <w:szCs w:val="20"/>
          <w:lang w:val="en-AU"/>
        </w:rPr>
        <w:t>The majority of</w:t>
      </w:r>
      <w:proofErr w:type="gramEnd"/>
      <w:r w:rsidRPr="00841700">
        <w:rPr>
          <w:rFonts w:ascii="Cambria" w:eastAsiaTheme="minorHAnsi" w:hAnsi="Cambria" w:cstheme="minorBidi"/>
          <w:szCs w:val="20"/>
          <w:lang w:val="en-AU"/>
        </w:rPr>
        <w:t xml:space="preserve"> clinical chemistry and haematology abnormalities at any time post-baseline in PB2 (over </w:t>
      </w:r>
      <w:proofErr w:type="gramStart"/>
      <w:r w:rsidRPr="00841700">
        <w:rPr>
          <w:rFonts w:ascii="Cambria" w:eastAsiaTheme="minorHAnsi" w:hAnsi="Cambria" w:cstheme="minorBidi"/>
          <w:szCs w:val="20"/>
          <w:lang w:val="en-AU"/>
        </w:rPr>
        <w:t>all of</w:t>
      </w:r>
      <w:proofErr w:type="gramEnd"/>
      <w:r w:rsidRPr="00841700">
        <w:rPr>
          <w:rFonts w:ascii="Cambria" w:eastAsiaTheme="minorHAnsi" w:hAnsi="Cambria" w:cstheme="minorBidi"/>
          <w:szCs w:val="20"/>
          <w:lang w:val="en-AU"/>
        </w:rPr>
        <w:t xml:space="preserve"> the cycles of treatment) were of severity CTCAE grade ≤ 2 with similar numbers of patients reporting laboratory abnormalities in the cohorts of patients who received efgartigimod or placebo in the previous study. The most frequently reported grade ≥ 3 abnormalities were lymphocyte count decreased (13 [9.4%]) followed by hypertriglyceridemia (4 [3.0%]), and high cholesterol (2 [1.5%]).</w:t>
      </w:r>
    </w:p>
    <w:p w14:paraId="714EA1DE" w14:textId="77777777" w:rsidR="009876FE" w:rsidRPr="00841700" w:rsidRDefault="009876FE" w:rsidP="002403CB">
      <w:pPr>
        <w:pStyle w:val="Heading6"/>
        <w:rPr>
          <w:rFonts w:eastAsiaTheme="minorHAnsi"/>
        </w:rPr>
      </w:pPr>
      <w:r w:rsidRPr="00841700">
        <w:rPr>
          <w:rFonts w:eastAsiaTheme="minorHAnsi"/>
        </w:rPr>
        <w:t>Vital Signs</w:t>
      </w:r>
    </w:p>
    <w:p w14:paraId="70A4A946" w14:textId="77777777" w:rsidR="009876FE" w:rsidRPr="00841700" w:rsidRDefault="009876FE" w:rsidP="00841700">
      <w:pPr>
        <w:pStyle w:val="BodyText"/>
        <w:spacing w:after="120" w:line="259" w:lineRule="auto"/>
        <w:ind w:left="0" w:right="382"/>
        <w:rPr>
          <w:rFonts w:ascii="Cambria" w:eastAsiaTheme="minorHAnsi" w:hAnsi="Cambria" w:cstheme="minorBidi"/>
          <w:szCs w:val="20"/>
          <w:lang w:val="en-AU"/>
        </w:rPr>
      </w:pPr>
      <w:r w:rsidRPr="00841700">
        <w:rPr>
          <w:rFonts w:ascii="Cambria" w:eastAsiaTheme="minorHAnsi" w:hAnsi="Cambria" w:cstheme="minorBidi"/>
          <w:szCs w:val="20"/>
          <w:lang w:val="en-AU"/>
        </w:rPr>
        <w:t xml:space="preserve">Across PB2 there were no notable changes from baseline in vital sign parameters, neither by cycle </w:t>
      </w:r>
      <w:proofErr w:type="gramStart"/>
      <w:r w:rsidRPr="00841700">
        <w:rPr>
          <w:rFonts w:ascii="Cambria" w:eastAsiaTheme="minorHAnsi" w:hAnsi="Cambria" w:cstheme="minorBidi"/>
          <w:szCs w:val="20"/>
          <w:lang w:val="en-AU"/>
        </w:rPr>
        <w:t>or</w:t>
      </w:r>
      <w:proofErr w:type="gramEnd"/>
      <w:r w:rsidRPr="00841700">
        <w:rPr>
          <w:rFonts w:ascii="Cambria" w:eastAsiaTheme="minorHAnsi" w:hAnsi="Cambria" w:cstheme="minorBidi"/>
          <w:szCs w:val="20"/>
          <w:lang w:val="en-AU"/>
        </w:rPr>
        <w:t xml:space="preserve"> over time.</w:t>
      </w:r>
    </w:p>
    <w:p w14:paraId="77FEC45C" w14:textId="77777777" w:rsidR="009876FE" w:rsidRPr="00841700" w:rsidRDefault="009876FE" w:rsidP="002403CB">
      <w:pPr>
        <w:pStyle w:val="Heading6"/>
        <w:rPr>
          <w:rFonts w:eastAsiaTheme="minorHAnsi"/>
        </w:rPr>
      </w:pPr>
      <w:bookmarkStart w:id="80" w:name="Electrocardiogram"/>
      <w:bookmarkEnd w:id="80"/>
      <w:r w:rsidRPr="00841700">
        <w:rPr>
          <w:rFonts w:eastAsiaTheme="minorHAnsi"/>
        </w:rPr>
        <w:t>Electrocardiogram</w:t>
      </w:r>
    </w:p>
    <w:p w14:paraId="03BFE6DA" w14:textId="77777777" w:rsidR="009876FE" w:rsidRPr="00841700" w:rsidRDefault="009876FE" w:rsidP="00841700">
      <w:pPr>
        <w:pStyle w:val="BodyText"/>
        <w:spacing w:after="120" w:line="259" w:lineRule="auto"/>
        <w:ind w:left="0" w:right="382"/>
        <w:rPr>
          <w:rFonts w:ascii="Cambria" w:eastAsiaTheme="minorHAnsi" w:hAnsi="Cambria" w:cstheme="minorBidi"/>
          <w:szCs w:val="20"/>
          <w:lang w:val="en-AU"/>
        </w:rPr>
      </w:pPr>
      <w:r w:rsidRPr="00841700">
        <w:rPr>
          <w:rFonts w:ascii="Cambria" w:eastAsiaTheme="minorHAnsi" w:hAnsi="Cambria" w:cstheme="minorBidi"/>
          <w:szCs w:val="20"/>
          <w:lang w:val="en-AU"/>
        </w:rPr>
        <w:t xml:space="preserve">A post-infusion </w:t>
      </w:r>
      <w:proofErr w:type="spellStart"/>
      <w:r w:rsidRPr="00841700">
        <w:rPr>
          <w:rFonts w:ascii="Cambria" w:eastAsiaTheme="minorHAnsi" w:hAnsi="Cambria" w:cstheme="minorBidi"/>
          <w:szCs w:val="20"/>
          <w:lang w:val="en-AU"/>
        </w:rPr>
        <w:t>QTcF</w:t>
      </w:r>
      <w:proofErr w:type="spellEnd"/>
      <w:r w:rsidRPr="00841700">
        <w:rPr>
          <w:rFonts w:ascii="Cambria" w:eastAsiaTheme="minorHAnsi" w:hAnsi="Cambria" w:cstheme="minorBidi"/>
          <w:szCs w:val="20"/>
          <w:lang w:val="en-AU"/>
        </w:rPr>
        <w:t xml:space="preserve"> interval measurement between &gt;480 to ≤ 500ms was reported in 3 (1.9%) patients in the PB2 and none in the placebo cohorts. Two (1.2%) had a </w:t>
      </w:r>
      <w:proofErr w:type="spellStart"/>
      <w:r w:rsidRPr="00841700">
        <w:rPr>
          <w:rFonts w:ascii="Cambria" w:eastAsiaTheme="minorHAnsi" w:hAnsi="Cambria" w:cstheme="minorBidi"/>
          <w:szCs w:val="20"/>
          <w:lang w:val="en-AU"/>
        </w:rPr>
        <w:t>QTcF</w:t>
      </w:r>
      <w:proofErr w:type="spellEnd"/>
      <w:r w:rsidRPr="00841700">
        <w:rPr>
          <w:rFonts w:ascii="Cambria" w:eastAsiaTheme="minorHAnsi" w:hAnsi="Cambria" w:cstheme="minorBidi"/>
          <w:szCs w:val="20"/>
          <w:lang w:val="en-AU"/>
        </w:rPr>
        <w:t xml:space="preserve"> interval increase from baseline of &gt;60ms in PB2 and 1 (1.2%) in the placebo cohort in study ARGX-113-1704.</w:t>
      </w:r>
    </w:p>
    <w:p w14:paraId="7407DC2F" w14:textId="0C927C0C" w:rsidR="009876FE" w:rsidRPr="00841700" w:rsidRDefault="009876FE" w:rsidP="002403CB">
      <w:pPr>
        <w:pStyle w:val="Heading6"/>
        <w:rPr>
          <w:rFonts w:eastAsiaTheme="minorHAnsi"/>
        </w:rPr>
      </w:pPr>
      <w:r w:rsidRPr="00841700">
        <w:rPr>
          <w:rFonts w:eastAsiaTheme="minorHAnsi"/>
        </w:rPr>
        <w:t>Safety in special populations</w:t>
      </w:r>
    </w:p>
    <w:p w14:paraId="6C96F09B" w14:textId="77777777" w:rsidR="009876FE" w:rsidRPr="00841700" w:rsidRDefault="009876FE" w:rsidP="00841700">
      <w:pPr>
        <w:pStyle w:val="BodyText"/>
        <w:spacing w:after="120" w:line="259" w:lineRule="auto"/>
        <w:ind w:left="0" w:right="382"/>
        <w:rPr>
          <w:rFonts w:ascii="Cambria" w:eastAsiaTheme="minorHAnsi" w:hAnsi="Cambria" w:cstheme="minorBidi"/>
          <w:szCs w:val="20"/>
          <w:lang w:val="en-AU"/>
        </w:rPr>
      </w:pPr>
      <w:r w:rsidRPr="00841700">
        <w:rPr>
          <w:rFonts w:ascii="Cambria" w:eastAsiaTheme="minorHAnsi" w:hAnsi="Cambria" w:cstheme="minorBidi"/>
          <w:szCs w:val="20"/>
          <w:lang w:val="en-AU"/>
        </w:rPr>
        <w:t>There were no identifiable differences in tolerability between patients &lt;65 years and ≥65 years in PB2, including within the SOB infections and infestations. There were 3 deaths in the ≥</w:t>
      </w:r>
      <w:proofErr w:type="gramStart"/>
      <w:r w:rsidRPr="00841700">
        <w:rPr>
          <w:rFonts w:ascii="Cambria" w:eastAsiaTheme="minorHAnsi" w:hAnsi="Cambria" w:cstheme="minorBidi"/>
          <w:szCs w:val="20"/>
          <w:lang w:val="en-AU"/>
        </w:rPr>
        <w:t>65 year</w:t>
      </w:r>
      <w:proofErr w:type="gramEnd"/>
      <w:r w:rsidRPr="00841700">
        <w:rPr>
          <w:rFonts w:ascii="Cambria" w:eastAsiaTheme="minorHAnsi" w:hAnsi="Cambria" w:cstheme="minorBidi"/>
          <w:szCs w:val="20"/>
          <w:lang w:val="en-AU"/>
        </w:rPr>
        <w:t xml:space="preserve"> group, with none attributed to study treatment.</w:t>
      </w:r>
    </w:p>
    <w:p w14:paraId="75995C1F" w14:textId="77777777" w:rsidR="009876FE" w:rsidRPr="00841700" w:rsidRDefault="009876FE" w:rsidP="00841700">
      <w:pPr>
        <w:pStyle w:val="BodyText"/>
        <w:spacing w:after="120" w:line="259" w:lineRule="auto"/>
        <w:ind w:left="0" w:right="382"/>
        <w:rPr>
          <w:rFonts w:ascii="Cambria" w:eastAsiaTheme="minorHAnsi" w:hAnsi="Cambria" w:cstheme="minorBidi"/>
          <w:szCs w:val="20"/>
          <w:lang w:val="en-AU"/>
        </w:rPr>
      </w:pPr>
      <w:r w:rsidRPr="00841700">
        <w:rPr>
          <w:rFonts w:ascii="Cambria" w:eastAsiaTheme="minorHAnsi" w:hAnsi="Cambria" w:cstheme="minorBidi"/>
          <w:szCs w:val="20"/>
          <w:lang w:val="en-AU"/>
        </w:rPr>
        <w:t>Analysis of PB2 showed headache reported at higher frequency in females compared to males. There were no clinically meaningful differences by race or body weight.</w:t>
      </w:r>
    </w:p>
    <w:p w14:paraId="17700E2C" w14:textId="77777777" w:rsidR="009876FE" w:rsidRPr="00841700" w:rsidRDefault="009876FE" w:rsidP="002403CB">
      <w:pPr>
        <w:pStyle w:val="Heading6"/>
        <w:rPr>
          <w:rFonts w:eastAsiaTheme="minorHAnsi"/>
        </w:rPr>
      </w:pPr>
      <w:bookmarkStart w:id="81" w:name="Immunogenicity,_IV_formulation"/>
      <w:bookmarkEnd w:id="81"/>
      <w:r w:rsidRPr="00841700">
        <w:rPr>
          <w:rFonts w:eastAsiaTheme="minorHAnsi"/>
        </w:rPr>
        <w:t>Immunogenicity, IV formulation</w:t>
      </w:r>
    </w:p>
    <w:p w14:paraId="40DC59AB" w14:textId="77777777" w:rsidR="009876FE" w:rsidRPr="00841700" w:rsidRDefault="009876FE" w:rsidP="00841700">
      <w:pPr>
        <w:pStyle w:val="BodyText"/>
        <w:spacing w:after="120" w:line="259" w:lineRule="auto"/>
        <w:ind w:left="0" w:right="382"/>
        <w:rPr>
          <w:rFonts w:ascii="Cambria" w:eastAsiaTheme="minorHAnsi" w:hAnsi="Cambria" w:cstheme="minorBidi"/>
          <w:szCs w:val="20"/>
          <w:lang w:val="en-AU"/>
        </w:rPr>
      </w:pPr>
      <w:r w:rsidRPr="00841700">
        <w:rPr>
          <w:rFonts w:ascii="Cambria" w:eastAsiaTheme="minorHAnsi" w:hAnsi="Cambria" w:cstheme="minorBidi"/>
          <w:szCs w:val="20"/>
          <w:lang w:val="en-AU"/>
        </w:rPr>
        <w:t xml:space="preserve">In PB2, samples positive for anti-drug antibody (ADA) at baseline were reported in 32 out of 161 (19.9%) patients with </w:t>
      </w:r>
      <w:proofErr w:type="spellStart"/>
      <w:r w:rsidRPr="00841700">
        <w:rPr>
          <w:rFonts w:ascii="Cambria" w:eastAsiaTheme="minorHAnsi" w:hAnsi="Cambria" w:cstheme="minorBidi"/>
          <w:szCs w:val="20"/>
          <w:lang w:val="en-AU"/>
        </w:rPr>
        <w:t>gMG</w:t>
      </w:r>
      <w:proofErr w:type="spellEnd"/>
      <w:r w:rsidRPr="00841700">
        <w:rPr>
          <w:rFonts w:ascii="Cambria" w:eastAsiaTheme="minorHAnsi" w:hAnsi="Cambria" w:cstheme="minorBidi"/>
          <w:szCs w:val="20"/>
          <w:lang w:val="en-AU"/>
        </w:rPr>
        <w:t>. In the total efgartigimod group, 130 out of 162 patients (80.7%) were classified as ADA negative, of which 30 of 162 (18.6%) had treatment-unaffected ADA. Thirty-one out of 162 (19.3%) patients were classified as ADA positive, of which 29 out of 162 (18.0%) patients had a treatment-induced ADA response and 2 out of 162 (1.2%) patients had a treatment-boosted ADA response. The ADA incidence in the total efgartigimod population was 19.3% and the ADA prevalence was 37.9%.</w:t>
      </w:r>
    </w:p>
    <w:p w14:paraId="6068CAFD" w14:textId="3CA1E591" w:rsidR="0000601A" w:rsidRDefault="009876FE" w:rsidP="00841700">
      <w:pPr>
        <w:pStyle w:val="BodyText"/>
        <w:spacing w:after="120" w:line="259" w:lineRule="auto"/>
        <w:ind w:left="0" w:right="382"/>
        <w:rPr>
          <w:rFonts w:ascii="Cambria" w:eastAsiaTheme="minorHAnsi" w:hAnsi="Cambria" w:cstheme="minorBidi"/>
          <w:szCs w:val="20"/>
          <w:lang w:val="en-AU"/>
        </w:rPr>
      </w:pPr>
      <w:r w:rsidRPr="00841700">
        <w:rPr>
          <w:rFonts w:ascii="Cambria" w:eastAsiaTheme="minorHAnsi" w:hAnsi="Cambria" w:cstheme="minorBidi"/>
          <w:szCs w:val="20"/>
          <w:lang w:val="en-AU"/>
        </w:rPr>
        <w:t>Most patients (142 out of 150; 95.3%) were neutralising antibody (</w:t>
      </w:r>
      <w:proofErr w:type="spellStart"/>
      <w:r w:rsidRPr="00841700">
        <w:rPr>
          <w:rFonts w:ascii="Cambria" w:eastAsiaTheme="minorHAnsi" w:hAnsi="Cambria" w:cstheme="minorBidi"/>
          <w:szCs w:val="20"/>
          <w:lang w:val="en-AU"/>
        </w:rPr>
        <w:t>NAb</w:t>
      </w:r>
      <w:proofErr w:type="spellEnd"/>
      <w:r w:rsidRPr="00841700">
        <w:rPr>
          <w:rFonts w:ascii="Cambria" w:eastAsiaTheme="minorHAnsi" w:hAnsi="Cambria" w:cstheme="minorBidi"/>
          <w:szCs w:val="20"/>
          <w:lang w:val="en-AU"/>
        </w:rPr>
        <w:t>) negative, of which 140 (140/150; 94.0%) were classified as “</w:t>
      </w:r>
      <w:proofErr w:type="spellStart"/>
      <w:r w:rsidRPr="00841700">
        <w:rPr>
          <w:rFonts w:ascii="Cambria" w:eastAsiaTheme="minorHAnsi" w:hAnsi="Cambria" w:cstheme="minorBidi"/>
          <w:szCs w:val="20"/>
          <w:lang w:val="en-AU"/>
        </w:rPr>
        <w:t>NAb</w:t>
      </w:r>
      <w:proofErr w:type="spellEnd"/>
      <w:r w:rsidRPr="00841700">
        <w:rPr>
          <w:rFonts w:ascii="Cambria" w:eastAsiaTheme="minorHAnsi" w:hAnsi="Cambria" w:cstheme="minorBidi"/>
          <w:szCs w:val="20"/>
          <w:lang w:val="en-AU"/>
        </w:rPr>
        <w:t xml:space="preserve"> baseline negative – post-baseline negative” </w:t>
      </w:r>
      <w:r w:rsidRPr="00841700">
        <w:rPr>
          <w:rFonts w:ascii="Cambria" w:eastAsiaTheme="minorHAnsi" w:hAnsi="Cambria" w:cstheme="minorBidi"/>
          <w:szCs w:val="20"/>
          <w:lang w:val="en-AU"/>
        </w:rPr>
        <w:lastRenderedPageBreak/>
        <w:t>and 2 (2/150; 1.3%) were classified as “</w:t>
      </w:r>
      <w:proofErr w:type="spellStart"/>
      <w:r w:rsidRPr="00841700">
        <w:rPr>
          <w:rFonts w:ascii="Cambria" w:eastAsiaTheme="minorHAnsi" w:hAnsi="Cambria" w:cstheme="minorBidi"/>
          <w:szCs w:val="20"/>
          <w:lang w:val="en-AU"/>
        </w:rPr>
        <w:t>NAb</w:t>
      </w:r>
      <w:proofErr w:type="spellEnd"/>
      <w:r w:rsidRPr="00841700">
        <w:rPr>
          <w:rFonts w:ascii="Cambria" w:eastAsiaTheme="minorHAnsi" w:hAnsi="Cambria" w:cstheme="minorBidi"/>
          <w:szCs w:val="20"/>
          <w:lang w:val="en-AU"/>
        </w:rPr>
        <w:t xml:space="preserve"> baseline positive – post-baseline negative”. There were 7 (7/150; 4.7%) patients who were Nab positive and classified as “</w:t>
      </w:r>
      <w:proofErr w:type="spellStart"/>
      <w:r w:rsidRPr="00841700">
        <w:rPr>
          <w:rFonts w:ascii="Cambria" w:eastAsiaTheme="minorHAnsi" w:hAnsi="Cambria" w:cstheme="minorBidi"/>
          <w:szCs w:val="20"/>
          <w:lang w:val="en-AU"/>
        </w:rPr>
        <w:t>NAb</w:t>
      </w:r>
      <w:proofErr w:type="spellEnd"/>
      <w:r w:rsidRPr="00841700">
        <w:rPr>
          <w:rFonts w:ascii="Cambria" w:eastAsiaTheme="minorHAnsi" w:hAnsi="Cambria" w:cstheme="minorBidi"/>
          <w:szCs w:val="20"/>
          <w:lang w:val="en-AU"/>
        </w:rPr>
        <w:t xml:space="preserve"> baseline negative – post-baseline positive”. No patients were </w:t>
      </w:r>
      <w:proofErr w:type="spellStart"/>
      <w:r w:rsidRPr="00841700">
        <w:rPr>
          <w:rFonts w:ascii="Cambria" w:eastAsiaTheme="minorHAnsi" w:hAnsi="Cambria" w:cstheme="minorBidi"/>
          <w:szCs w:val="20"/>
          <w:lang w:val="en-AU"/>
        </w:rPr>
        <w:t>NAb</w:t>
      </w:r>
      <w:proofErr w:type="spellEnd"/>
      <w:r w:rsidRPr="00841700">
        <w:rPr>
          <w:rFonts w:ascii="Cambria" w:eastAsiaTheme="minorHAnsi" w:hAnsi="Cambria" w:cstheme="minorBidi"/>
          <w:szCs w:val="20"/>
          <w:lang w:val="en-AU"/>
        </w:rPr>
        <w:t xml:space="preserve"> positive at both baseline and post-baseline sampling timepoints. The </w:t>
      </w:r>
      <w:proofErr w:type="spellStart"/>
      <w:r w:rsidRPr="00841700">
        <w:rPr>
          <w:rFonts w:ascii="Cambria" w:eastAsiaTheme="minorHAnsi" w:hAnsi="Cambria" w:cstheme="minorBidi"/>
          <w:szCs w:val="20"/>
          <w:lang w:val="en-AU"/>
        </w:rPr>
        <w:t>NAb</w:t>
      </w:r>
      <w:proofErr w:type="spellEnd"/>
      <w:r w:rsidRPr="00841700">
        <w:rPr>
          <w:rFonts w:ascii="Cambria" w:eastAsiaTheme="minorHAnsi" w:hAnsi="Cambria" w:cstheme="minorBidi"/>
          <w:szCs w:val="20"/>
          <w:lang w:val="en-AU"/>
        </w:rPr>
        <w:t xml:space="preserve"> incidence was 4.7% in the total efgartigimod treatment group and the </w:t>
      </w:r>
      <w:proofErr w:type="spellStart"/>
      <w:r w:rsidRPr="00841700">
        <w:rPr>
          <w:rFonts w:ascii="Cambria" w:eastAsiaTheme="minorHAnsi" w:hAnsi="Cambria" w:cstheme="minorBidi"/>
          <w:szCs w:val="20"/>
          <w:lang w:val="en-AU"/>
        </w:rPr>
        <w:t>NAb</w:t>
      </w:r>
      <w:proofErr w:type="spellEnd"/>
      <w:r w:rsidRPr="00841700">
        <w:rPr>
          <w:rFonts w:ascii="Cambria" w:eastAsiaTheme="minorHAnsi" w:hAnsi="Cambria" w:cstheme="minorBidi"/>
          <w:szCs w:val="20"/>
          <w:lang w:val="en-AU"/>
        </w:rPr>
        <w:t xml:space="preserve"> prevalence was 6.0%. In the integrated analysis including all efgartigimod studies in </w:t>
      </w:r>
      <w:proofErr w:type="spellStart"/>
      <w:r w:rsidRPr="00841700">
        <w:rPr>
          <w:rFonts w:ascii="Cambria" w:eastAsiaTheme="minorHAnsi" w:hAnsi="Cambria" w:cstheme="minorBidi"/>
          <w:szCs w:val="20"/>
          <w:lang w:val="en-AU"/>
        </w:rPr>
        <w:t>gMG</w:t>
      </w:r>
      <w:proofErr w:type="spellEnd"/>
      <w:r w:rsidRPr="00841700">
        <w:rPr>
          <w:rFonts w:ascii="Cambria" w:eastAsiaTheme="minorHAnsi" w:hAnsi="Cambria" w:cstheme="minorBidi"/>
          <w:szCs w:val="20"/>
          <w:lang w:val="en-AU"/>
        </w:rPr>
        <w:t xml:space="preserve">, there was no apparent impact of baseline ADA, treatment-induced ADA, or </w:t>
      </w:r>
      <w:proofErr w:type="spellStart"/>
      <w:r w:rsidRPr="00841700">
        <w:rPr>
          <w:rFonts w:ascii="Cambria" w:eastAsiaTheme="minorHAnsi" w:hAnsi="Cambria" w:cstheme="minorBidi"/>
          <w:szCs w:val="20"/>
          <w:lang w:val="en-AU"/>
        </w:rPr>
        <w:t>NAb</w:t>
      </w:r>
      <w:proofErr w:type="spellEnd"/>
      <w:r w:rsidRPr="00841700">
        <w:rPr>
          <w:rFonts w:ascii="Cambria" w:eastAsiaTheme="minorHAnsi" w:hAnsi="Cambria" w:cstheme="minorBidi"/>
          <w:szCs w:val="20"/>
          <w:lang w:val="en-AU"/>
        </w:rPr>
        <w:t xml:space="preserve"> on the safety profile of efgartigimod.</w:t>
      </w:r>
    </w:p>
    <w:p w14:paraId="2F402BE5" w14:textId="77777777" w:rsidR="009876FE" w:rsidRPr="00841700" w:rsidRDefault="009876FE" w:rsidP="00F66779">
      <w:pPr>
        <w:pStyle w:val="Heading5"/>
        <w:rPr>
          <w:rFonts w:eastAsiaTheme="minorHAnsi"/>
        </w:rPr>
      </w:pPr>
      <w:r w:rsidRPr="00841700">
        <w:rPr>
          <w:rFonts w:eastAsiaTheme="minorHAnsi"/>
        </w:rPr>
        <w:t>Evaluator conclusions on safety for the IV formulation</w:t>
      </w:r>
    </w:p>
    <w:p w14:paraId="0B9DA8FB" w14:textId="3F931852" w:rsidR="009876FE" w:rsidRPr="0000601A" w:rsidRDefault="009876FE" w:rsidP="00110D4E">
      <w:pPr>
        <w:pStyle w:val="BodyText"/>
        <w:spacing w:after="120" w:line="259" w:lineRule="auto"/>
        <w:ind w:left="0" w:right="382"/>
        <w:rPr>
          <w:rFonts w:ascii="Cambria" w:eastAsiaTheme="minorHAnsi" w:hAnsi="Cambria" w:cstheme="minorBidi"/>
          <w:szCs w:val="20"/>
          <w:lang w:val="en-AU"/>
        </w:rPr>
      </w:pPr>
      <w:r w:rsidRPr="00841700">
        <w:rPr>
          <w:rFonts w:ascii="Cambria" w:eastAsiaTheme="minorHAnsi" w:hAnsi="Cambria" w:cstheme="minorBidi"/>
          <w:szCs w:val="20"/>
          <w:lang w:val="en-AU"/>
        </w:rPr>
        <w:t>The EMA assessment noted patient exposure during clinical development, 143 patients treated with efgartigimod for at least 6 months, 118 patients for at least 12 months, but only 33 patients treated for 18 months and 1 patient for 2 years; this safety database was considered small, particularly considering MG as a chronic condition, with rare events not expected to be captured. Long-term safety data beyond 2 years was extremely limited and was to be addressed</w:t>
      </w:r>
      <w:r w:rsidR="00110D4E">
        <w:rPr>
          <w:rFonts w:ascii="Cambria" w:eastAsiaTheme="minorHAnsi" w:hAnsi="Cambria" w:cstheme="minorBidi"/>
          <w:szCs w:val="20"/>
          <w:lang w:val="en-AU"/>
        </w:rPr>
        <w:t xml:space="preserve"> </w:t>
      </w:r>
      <w:r w:rsidRPr="0000601A">
        <w:rPr>
          <w:rFonts w:ascii="Cambria" w:eastAsiaTheme="minorHAnsi" w:hAnsi="Cambria" w:cstheme="minorBidi"/>
          <w:szCs w:val="20"/>
          <w:lang w:val="en-AU"/>
        </w:rPr>
        <w:t xml:space="preserve">through post-authorisation safety studies. The assessment concluded that, overall, available safety data show that efgartigimod was generally well tolerated, however, </w:t>
      </w:r>
      <w:proofErr w:type="gramStart"/>
      <w:r w:rsidRPr="0000601A">
        <w:rPr>
          <w:rFonts w:ascii="Cambria" w:eastAsiaTheme="minorHAnsi" w:hAnsi="Cambria" w:cstheme="minorBidi"/>
          <w:szCs w:val="20"/>
          <w:lang w:val="en-AU"/>
        </w:rPr>
        <w:t>is considered to be</w:t>
      </w:r>
      <w:proofErr w:type="gramEnd"/>
      <w:r w:rsidRPr="0000601A">
        <w:rPr>
          <w:rFonts w:ascii="Cambria" w:eastAsiaTheme="minorHAnsi" w:hAnsi="Cambria" w:cstheme="minorBidi"/>
          <w:szCs w:val="20"/>
          <w:lang w:val="en-AU"/>
        </w:rPr>
        <w:t xml:space="preserve"> associated with a higher risk of infections.</w:t>
      </w:r>
    </w:p>
    <w:p w14:paraId="3A685CB5" w14:textId="77777777" w:rsidR="009876FE" w:rsidRPr="00110D4E" w:rsidRDefault="009876FE" w:rsidP="00D73F1F">
      <w:pPr>
        <w:pStyle w:val="Heading6"/>
        <w:rPr>
          <w:rFonts w:eastAsiaTheme="minorHAnsi"/>
        </w:rPr>
      </w:pPr>
      <w:bookmarkStart w:id="82" w:name="Post-marketing_experience"/>
      <w:bookmarkEnd w:id="82"/>
      <w:r w:rsidRPr="00110D4E">
        <w:rPr>
          <w:rFonts w:eastAsiaTheme="minorHAnsi"/>
        </w:rPr>
        <w:t>Post-marketing experience</w:t>
      </w:r>
    </w:p>
    <w:p w14:paraId="50B95615" w14:textId="77777777" w:rsidR="009876FE" w:rsidRPr="00110D4E" w:rsidRDefault="009876FE" w:rsidP="00917D62">
      <w:pPr>
        <w:pStyle w:val="BodyText"/>
        <w:spacing w:after="120" w:line="259" w:lineRule="auto"/>
        <w:ind w:left="0" w:right="382"/>
        <w:rPr>
          <w:rFonts w:ascii="Cambria" w:eastAsiaTheme="minorHAnsi" w:hAnsi="Cambria" w:cstheme="minorBidi"/>
          <w:szCs w:val="20"/>
          <w:lang w:val="en-AU"/>
        </w:rPr>
      </w:pPr>
      <w:r w:rsidRPr="00110D4E">
        <w:rPr>
          <w:rFonts w:ascii="Cambria" w:eastAsiaTheme="minorHAnsi" w:hAnsi="Cambria" w:cstheme="minorBidi"/>
          <w:szCs w:val="20"/>
          <w:lang w:val="en-AU"/>
        </w:rPr>
        <w:t>Whilst the IV formulation had not been marketed anywhere at the time of EMA assessment, the EMA assessment report for the SC formulation (submitted as a line extension to the previously approved IV formulation in the EU) contained post-marketing safety information for the IV formulation.</w:t>
      </w:r>
    </w:p>
    <w:p w14:paraId="712844A9" w14:textId="77777777" w:rsidR="009876FE" w:rsidRPr="00110D4E" w:rsidRDefault="009876FE" w:rsidP="00917D62">
      <w:pPr>
        <w:pStyle w:val="BodyText"/>
        <w:spacing w:after="120" w:line="259" w:lineRule="auto"/>
        <w:ind w:left="0" w:right="382"/>
        <w:rPr>
          <w:rFonts w:ascii="Cambria" w:eastAsiaTheme="minorHAnsi" w:hAnsi="Cambria" w:cstheme="minorBidi"/>
          <w:szCs w:val="20"/>
          <w:lang w:val="en-AU"/>
        </w:rPr>
      </w:pPr>
      <w:r w:rsidRPr="00110D4E">
        <w:rPr>
          <w:rFonts w:ascii="Cambria" w:eastAsiaTheme="minorHAnsi" w:hAnsi="Cambria" w:cstheme="minorBidi"/>
          <w:szCs w:val="20"/>
          <w:lang w:val="en-AU"/>
        </w:rPr>
        <w:t xml:space="preserve">As of 31 March 2022, approximately 273 patients with </w:t>
      </w:r>
      <w:proofErr w:type="spellStart"/>
      <w:r w:rsidRPr="00110D4E">
        <w:rPr>
          <w:rFonts w:ascii="Cambria" w:eastAsiaTheme="minorHAnsi" w:hAnsi="Cambria" w:cstheme="minorBidi"/>
          <w:szCs w:val="20"/>
          <w:lang w:val="en-AU"/>
        </w:rPr>
        <w:t>gMG</w:t>
      </w:r>
      <w:proofErr w:type="spellEnd"/>
      <w:r w:rsidRPr="00110D4E">
        <w:rPr>
          <w:rFonts w:ascii="Cambria" w:eastAsiaTheme="minorHAnsi" w:hAnsi="Cambria" w:cstheme="minorBidi"/>
          <w:szCs w:val="20"/>
          <w:lang w:val="en-AU"/>
        </w:rPr>
        <w:t xml:space="preserve"> had been treated with efgartigimod in the US. 187 events had been reported, of which 16 (8.6%) were considered serious.</w:t>
      </w:r>
    </w:p>
    <w:p w14:paraId="30DEE9DA" w14:textId="77777777" w:rsidR="009876FE" w:rsidRPr="00110D4E" w:rsidRDefault="009876FE" w:rsidP="00917D62">
      <w:pPr>
        <w:pStyle w:val="BodyText"/>
        <w:spacing w:after="120" w:line="259" w:lineRule="auto"/>
        <w:ind w:left="0" w:right="382"/>
        <w:rPr>
          <w:rFonts w:ascii="Cambria" w:eastAsiaTheme="minorHAnsi" w:hAnsi="Cambria" w:cstheme="minorBidi"/>
          <w:szCs w:val="20"/>
          <w:lang w:val="en-AU"/>
        </w:rPr>
      </w:pPr>
      <w:r w:rsidRPr="00110D4E">
        <w:rPr>
          <w:rFonts w:ascii="Cambria" w:eastAsiaTheme="minorHAnsi" w:hAnsi="Cambria" w:cstheme="minorBidi"/>
          <w:szCs w:val="20"/>
          <w:lang w:val="en-AU"/>
        </w:rPr>
        <w:t>Commonly reported adverse events (≥3% by event count) included fatigue (7%), dyspnoea (4.8%), headache (3.2%), and diplopia (3.2%). There were 3 fatal cases reported, mean age 73.3, with only limited information available, insufficient to draw meaningful clinical conclusions.</w:t>
      </w:r>
    </w:p>
    <w:p w14:paraId="72BE1DBE" w14:textId="77777777" w:rsidR="009876FE" w:rsidRPr="00CD7EA1" w:rsidRDefault="009876FE" w:rsidP="007042D6">
      <w:pPr>
        <w:pStyle w:val="Heading5"/>
      </w:pPr>
      <w:bookmarkStart w:id="83" w:name="Safety_for_the_SC_formulation"/>
      <w:bookmarkEnd w:id="83"/>
      <w:r w:rsidRPr="00CD7EA1">
        <w:t>Safety for the SC formulation</w:t>
      </w:r>
    </w:p>
    <w:p w14:paraId="3E244C0C" w14:textId="62504BC7" w:rsidR="00490E82" w:rsidRDefault="009876FE" w:rsidP="00D73F1F">
      <w:pPr>
        <w:pStyle w:val="BodyText"/>
        <w:spacing w:after="120" w:line="259" w:lineRule="auto"/>
        <w:ind w:left="0" w:right="382"/>
      </w:pPr>
      <w:r w:rsidRPr="002C6525">
        <w:rPr>
          <w:rFonts w:ascii="Cambria" w:eastAsiaTheme="minorHAnsi" w:hAnsi="Cambria" w:cstheme="minorBidi"/>
          <w:szCs w:val="20"/>
          <w:lang w:val="en-AU"/>
        </w:rPr>
        <w:t xml:space="preserve">Studies ARGX-113-2001 and -2002, as well as the SC pooling block (SC PB), were the main source of safety data for the SC formulation, whilst safety data for the IV formulation (the IV pooling block) was used to identify any clinically meaningful difference in the safety profile between the two formulations. The SC PB comprises data from all participants with </w:t>
      </w:r>
      <w:proofErr w:type="spellStart"/>
      <w:r w:rsidRPr="002C6525">
        <w:rPr>
          <w:rFonts w:ascii="Cambria" w:eastAsiaTheme="minorHAnsi" w:hAnsi="Cambria" w:cstheme="minorBidi"/>
          <w:szCs w:val="20"/>
          <w:lang w:val="en-AU"/>
        </w:rPr>
        <w:t>gMG</w:t>
      </w:r>
      <w:proofErr w:type="spellEnd"/>
      <w:r w:rsidRPr="002C6525">
        <w:rPr>
          <w:rFonts w:ascii="Cambria" w:eastAsiaTheme="minorHAnsi" w:hAnsi="Cambria" w:cstheme="minorBidi"/>
          <w:szCs w:val="20"/>
          <w:lang w:val="en-AU"/>
        </w:rPr>
        <w:t xml:space="preserve"> treated with efgartigimod co-</w:t>
      </w:r>
      <w:proofErr w:type="spellStart"/>
      <w:r w:rsidRPr="002C6525">
        <w:rPr>
          <w:rFonts w:ascii="Cambria" w:eastAsiaTheme="minorHAnsi" w:hAnsi="Cambria" w:cstheme="minorBidi"/>
          <w:szCs w:val="20"/>
          <w:lang w:val="en-AU"/>
        </w:rPr>
        <w:t>forumlated</w:t>
      </w:r>
      <w:proofErr w:type="spellEnd"/>
      <w:r w:rsidRPr="002C6525">
        <w:rPr>
          <w:rFonts w:ascii="Cambria" w:eastAsiaTheme="minorHAnsi" w:hAnsi="Cambria" w:cstheme="minorBidi"/>
          <w:szCs w:val="20"/>
          <w:lang w:val="en-AU"/>
        </w:rPr>
        <w:t xml:space="preserve"> with rHuPH20 for SC administration in studies ARGX-113-2001 and -2002.</w:t>
      </w:r>
    </w:p>
    <w:p w14:paraId="36C75D06" w14:textId="3F8A77D7" w:rsidR="009876FE" w:rsidRPr="002C6525" w:rsidRDefault="009876FE" w:rsidP="002C6525">
      <w:pPr>
        <w:pStyle w:val="BodyText"/>
        <w:spacing w:after="120" w:line="259" w:lineRule="auto"/>
        <w:ind w:left="0" w:right="382"/>
        <w:rPr>
          <w:rFonts w:ascii="Cambria" w:eastAsiaTheme="minorHAnsi" w:hAnsi="Cambria" w:cstheme="minorBidi"/>
          <w:szCs w:val="20"/>
          <w:lang w:val="en-AU"/>
        </w:rPr>
      </w:pPr>
      <w:r w:rsidRPr="002C6525">
        <w:rPr>
          <w:rFonts w:ascii="Cambria" w:eastAsiaTheme="minorHAnsi" w:hAnsi="Cambria" w:cstheme="minorBidi"/>
          <w:szCs w:val="20"/>
          <w:lang w:val="en-AU"/>
        </w:rPr>
        <w:t>In study ARGX-113-2001 55 patients were randomised to efgartigimod SC formulation arm, with 49 receiving all 4 doses, and 56 randomised to the efgartigimod IV formulation arm, with 55 receiving all 4 doses. A total of 178 participants had rolled over to study ARGX-113-2002 from preceding studies (ARGX-113-2001 and -1705), and of these, 164 had received SC formulation efgartigimod in the study.</w:t>
      </w:r>
    </w:p>
    <w:p w14:paraId="19487445" w14:textId="77777777" w:rsidR="009876FE" w:rsidRPr="002C6525" w:rsidRDefault="009876FE" w:rsidP="002C6525">
      <w:pPr>
        <w:pStyle w:val="BodyText"/>
        <w:spacing w:after="120" w:line="259" w:lineRule="auto"/>
        <w:ind w:left="0" w:right="382"/>
        <w:rPr>
          <w:rFonts w:ascii="Cambria" w:eastAsiaTheme="minorHAnsi" w:hAnsi="Cambria" w:cstheme="minorBidi"/>
          <w:szCs w:val="20"/>
          <w:lang w:val="en-AU"/>
        </w:rPr>
      </w:pPr>
      <w:r w:rsidRPr="002C6525">
        <w:rPr>
          <w:rFonts w:ascii="Cambria" w:eastAsiaTheme="minorHAnsi" w:hAnsi="Cambria" w:cstheme="minorBidi"/>
          <w:szCs w:val="20"/>
          <w:lang w:val="en-AU"/>
        </w:rPr>
        <w:t xml:space="preserve">Overall, in study ARGX-113-2001, there were more reported AEs (67.3% vs. 50.9%), SAEs (14.5% vs. 7.3%), Grade 3 or higher AEs (16.4% vs. 7.3%), treatment related AEs (43.6% vs. 21.8%) and procedure related AEs (25.5% vs. 3.6%) in the efgartigimod SC formulation group compared to efgartigimod IV formulation group. The higher incidence of AEs, treatment- and procedure-related AEs in the SC formulation arm is primarily due to </w:t>
      </w:r>
      <w:r w:rsidRPr="002C6525">
        <w:rPr>
          <w:rFonts w:ascii="Cambria" w:eastAsiaTheme="minorHAnsi" w:hAnsi="Cambria" w:cstheme="minorBidi"/>
          <w:szCs w:val="20"/>
          <w:lang w:val="en-AU"/>
        </w:rPr>
        <w:lastRenderedPageBreak/>
        <w:t>injection site reactions (38.2% vs. 1.8%). AESIs were well balanced between the arms, 18.2% vs. 16.4%.</w:t>
      </w:r>
    </w:p>
    <w:p w14:paraId="0BA13151" w14:textId="6E67360B" w:rsidR="007042D6" w:rsidRDefault="009876FE" w:rsidP="002C6525">
      <w:pPr>
        <w:pStyle w:val="BodyText"/>
        <w:spacing w:after="120" w:line="259" w:lineRule="auto"/>
        <w:ind w:left="0" w:right="382"/>
        <w:rPr>
          <w:rFonts w:ascii="Cambria" w:eastAsiaTheme="minorHAnsi" w:hAnsi="Cambria" w:cstheme="minorBidi"/>
          <w:szCs w:val="20"/>
          <w:lang w:val="en-AU"/>
        </w:rPr>
      </w:pPr>
      <w:r w:rsidRPr="002C6525">
        <w:rPr>
          <w:rFonts w:ascii="Cambria" w:eastAsiaTheme="minorHAnsi" w:hAnsi="Cambria" w:cstheme="minorBidi"/>
          <w:szCs w:val="20"/>
          <w:lang w:val="en-AU"/>
        </w:rPr>
        <w:t>Common TEAEs in studies ARGX-113-2001 and -2002 are presented in Table 1</w:t>
      </w:r>
      <w:r w:rsidR="000A449C">
        <w:rPr>
          <w:rFonts w:ascii="Cambria" w:eastAsiaTheme="minorHAnsi" w:hAnsi="Cambria" w:cstheme="minorBidi"/>
          <w:szCs w:val="20"/>
          <w:lang w:val="en-AU"/>
        </w:rPr>
        <w:t>1</w:t>
      </w:r>
      <w:r w:rsidRPr="002C6525">
        <w:rPr>
          <w:rFonts w:ascii="Cambria" w:eastAsiaTheme="minorHAnsi" w:hAnsi="Cambria" w:cstheme="minorBidi"/>
          <w:szCs w:val="20"/>
          <w:lang w:val="en-AU"/>
        </w:rPr>
        <w:t xml:space="preserve"> according to treatment group, showing injection site rash, headache, injection site erythema and myasthenia gravis the most common in ARGX-113-2001, with a similar profile in the long-term extension study.</w:t>
      </w:r>
    </w:p>
    <w:p w14:paraId="57A104F7" w14:textId="49E9B41F" w:rsidR="009876FE" w:rsidRDefault="009876FE" w:rsidP="00415705">
      <w:pPr>
        <w:pStyle w:val="TableTitle"/>
      </w:pPr>
      <w:r>
        <w:t>Table</w:t>
      </w:r>
      <w:r>
        <w:rPr>
          <w:spacing w:val="-4"/>
        </w:rPr>
        <w:t xml:space="preserve"> </w:t>
      </w:r>
      <w:r>
        <w:t>1</w:t>
      </w:r>
      <w:r w:rsidR="000A449C">
        <w:t>1</w:t>
      </w:r>
      <w:r>
        <w:t>.</w:t>
      </w:r>
      <w:r>
        <w:rPr>
          <w:spacing w:val="-5"/>
        </w:rPr>
        <w:t xml:space="preserve"> </w:t>
      </w:r>
      <w:r>
        <w:t>Study</w:t>
      </w:r>
      <w:r>
        <w:rPr>
          <w:spacing w:val="-4"/>
        </w:rPr>
        <w:t xml:space="preserve"> </w:t>
      </w:r>
      <w:r>
        <w:t>ARGX-113-2001</w:t>
      </w:r>
      <w:r>
        <w:rPr>
          <w:spacing w:val="-3"/>
        </w:rPr>
        <w:t xml:space="preserve"> </w:t>
      </w:r>
      <w:r>
        <w:t>and</w:t>
      </w:r>
      <w:r>
        <w:rPr>
          <w:spacing w:val="-4"/>
        </w:rPr>
        <w:t xml:space="preserve"> </w:t>
      </w:r>
      <w:r>
        <w:t>ARGX-113-2002</w:t>
      </w:r>
      <w:r>
        <w:rPr>
          <w:spacing w:val="-3"/>
        </w:rPr>
        <w:t xml:space="preserve"> </w:t>
      </w:r>
      <w:r>
        <w:t>common</w:t>
      </w:r>
      <w:r>
        <w:rPr>
          <w:spacing w:val="-3"/>
        </w:rPr>
        <w:t xml:space="preserve"> </w:t>
      </w:r>
      <w:r>
        <w:t>(≥5%</w:t>
      </w:r>
      <w:r>
        <w:rPr>
          <w:spacing w:val="-3"/>
        </w:rPr>
        <w:t xml:space="preserve"> </w:t>
      </w:r>
      <w:r>
        <w:t>of</w:t>
      </w:r>
      <w:r>
        <w:rPr>
          <w:spacing w:val="-6"/>
        </w:rPr>
        <w:t xml:space="preserve"> </w:t>
      </w:r>
      <w:r>
        <w:t>participants)</w:t>
      </w:r>
      <w:r>
        <w:rPr>
          <w:spacing w:val="-3"/>
        </w:rPr>
        <w:t xml:space="preserve"> </w:t>
      </w:r>
      <w:r>
        <w:t>AEs, by SOC and PT (Safety analysis set)</w:t>
      </w:r>
    </w:p>
    <w:p w14:paraId="0CC45BD6" w14:textId="17D14B8D" w:rsidR="009876FE" w:rsidRDefault="009876FE" w:rsidP="00817DF2">
      <w:pPr>
        <w:rPr>
          <w:sz w:val="16"/>
        </w:rPr>
      </w:pPr>
      <w:r>
        <w:rPr>
          <w:noProof/>
        </w:rPr>
        <w:drawing>
          <wp:anchor distT="0" distB="0" distL="0" distR="0" simplePos="0" relativeHeight="251659264" behindDoc="1" locked="0" layoutInCell="1" allowOverlap="1" wp14:anchorId="3AE9B861" wp14:editId="481CBA57">
            <wp:simplePos x="0" y="0"/>
            <wp:positionH relativeFrom="page">
              <wp:posOffset>948399</wp:posOffset>
            </wp:positionH>
            <wp:positionV relativeFrom="paragraph">
              <wp:posOffset>86993</wp:posOffset>
            </wp:positionV>
            <wp:extent cx="5665400" cy="3555873"/>
            <wp:effectExtent l="0" t="0" r="0" b="0"/>
            <wp:wrapTopAndBottom/>
            <wp:docPr id="25" name="Image 25" descr="Table 11. Study ARGX-113-2001 and ARGX-113-2002 common (≥5% of participants) AEs, by SOC and PT (Safety analysis s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Table 11. Study ARGX-113-2001 and ARGX-113-2002 common (≥5% of participants) AEs, by SOC and PT (Safety analysis set)"/>
                    <pic:cNvPicPr/>
                  </pic:nvPicPr>
                  <pic:blipFill>
                    <a:blip r:embed="rId38" cstate="print"/>
                    <a:stretch>
                      <a:fillRect/>
                    </a:stretch>
                  </pic:blipFill>
                  <pic:spPr>
                    <a:xfrm>
                      <a:off x="0" y="0"/>
                      <a:ext cx="5665400" cy="3555873"/>
                    </a:xfrm>
                    <a:prstGeom prst="rect">
                      <a:avLst/>
                    </a:prstGeom>
                  </pic:spPr>
                </pic:pic>
              </a:graphicData>
            </a:graphic>
          </wp:anchor>
        </w:drawing>
      </w:r>
      <w:r>
        <w:rPr>
          <w:sz w:val="16"/>
        </w:rPr>
        <w:t>AE=adverse event; m=number of events; CSR=clinical study report; EFG=efgartigimod; efgartigimod PH20 SC=efgartigimod for SC</w:t>
      </w:r>
      <w:r>
        <w:rPr>
          <w:spacing w:val="40"/>
          <w:sz w:val="16"/>
        </w:rPr>
        <w:t xml:space="preserve"> </w:t>
      </w:r>
      <w:r>
        <w:rPr>
          <w:sz w:val="16"/>
        </w:rPr>
        <w:t>administration</w:t>
      </w:r>
      <w:r>
        <w:rPr>
          <w:spacing w:val="-2"/>
          <w:sz w:val="16"/>
        </w:rPr>
        <w:t xml:space="preserve"> </w:t>
      </w:r>
      <w:proofErr w:type="spellStart"/>
      <w:r>
        <w:rPr>
          <w:sz w:val="16"/>
        </w:rPr>
        <w:t>coformulated</w:t>
      </w:r>
      <w:proofErr w:type="spellEnd"/>
      <w:r>
        <w:rPr>
          <w:spacing w:val="-2"/>
          <w:sz w:val="16"/>
        </w:rPr>
        <w:t xml:space="preserve"> </w:t>
      </w:r>
      <w:r>
        <w:rPr>
          <w:sz w:val="16"/>
        </w:rPr>
        <w:t>with</w:t>
      </w:r>
      <w:r>
        <w:rPr>
          <w:spacing w:val="-1"/>
          <w:sz w:val="16"/>
        </w:rPr>
        <w:t xml:space="preserve"> </w:t>
      </w:r>
      <w:r>
        <w:rPr>
          <w:sz w:val="16"/>
        </w:rPr>
        <w:t>rHuPH20; IV=intravenous(</w:t>
      </w:r>
      <w:proofErr w:type="spellStart"/>
      <w:r>
        <w:rPr>
          <w:sz w:val="16"/>
        </w:rPr>
        <w:t>ly</w:t>
      </w:r>
      <w:proofErr w:type="spellEnd"/>
      <w:r>
        <w:rPr>
          <w:sz w:val="16"/>
        </w:rPr>
        <w:t>); MedDRA=Medical Dictionary for Regulatory</w:t>
      </w:r>
      <w:r>
        <w:rPr>
          <w:spacing w:val="-1"/>
          <w:sz w:val="16"/>
        </w:rPr>
        <w:t xml:space="preserve"> </w:t>
      </w:r>
      <w:r>
        <w:rPr>
          <w:sz w:val="16"/>
        </w:rPr>
        <w:t>Activities; N=number</w:t>
      </w:r>
      <w:r>
        <w:rPr>
          <w:spacing w:val="40"/>
          <w:sz w:val="16"/>
        </w:rPr>
        <w:t xml:space="preserve"> </w:t>
      </w:r>
      <w:r>
        <w:rPr>
          <w:sz w:val="16"/>
        </w:rPr>
        <w:t>of participants in the analysis set per treatment; n=number of participants for whom the observation was reported</w:t>
      </w:r>
      <w:r w:rsidRPr="00EF4E1A">
        <w:rPr>
          <w:sz w:val="16"/>
        </w:rPr>
        <w:t>; PT=Preferred</w:t>
      </w:r>
      <w:r w:rsidRPr="00EF4E1A">
        <w:rPr>
          <w:spacing w:val="40"/>
          <w:sz w:val="16"/>
        </w:rPr>
        <w:t xml:space="preserve"> </w:t>
      </w:r>
      <w:r w:rsidRPr="00EF4E1A">
        <w:rPr>
          <w:sz w:val="16"/>
        </w:rPr>
        <w:t>Term; rHuPH20=recombinant human hyaluronidase PH20; SC=subcutaneous(</w:t>
      </w:r>
      <w:proofErr w:type="spellStart"/>
      <w:r w:rsidRPr="00EF4E1A">
        <w:rPr>
          <w:sz w:val="16"/>
        </w:rPr>
        <w:t>ly</w:t>
      </w:r>
      <w:proofErr w:type="spellEnd"/>
      <w:r w:rsidRPr="00EF4E1A">
        <w:rPr>
          <w:sz w:val="16"/>
        </w:rPr>
        <w:t>); SOC=System Organ Class Notes: Adverse events</w:t>
      </w:r>
      <w:r w:rsidRPr="00EF4E1A">
        <w:rPr>
          <w:spacing w:val="40"/>
          <w:sz w:val="16"/>
        </w:rPr>
        <w:t xml:space="preserve"> </w:t>
      </w:r>
      <w:r w:rsidRPr="00EF4E1A">
        <w:rPr>
          <w:sz w:val="16"/>
        </w:rPr>
        <w:t>were coded by SOC and PT using MedDRA version 24.1 (Sep 2021). The SC 2001 group refers to participants who received</w:t>
      </w:r>
      <w:r w:rsidRPr="00EF4E1A">
        <w:rPr>
          <w:spacing w:val="40"/>
          <w:sz w:val="16"/>
        </w:rPr>
        <w:t xml:space="preserve"> </w:t>
      </w:r>
      <w:r w:rsidRPr="00EF4E1A">
        <w:rPr>
          <w:sz w:val="16"/>
        </w:rPr>
        <w:t>efgartigimod</w:t>
      </w:r>
      <w:r w:rsidRPr="00EF4E1A">
        <w:rPr>
          <w:spacing w:val="-2"/>
          <w:sz w:val="16"/>
        </w:rPr>
        <w:t xml:space="preserve"> </w:t>
      </w:r>
      <w:r w:rsidRPr="00EF4E1A">
        <w:rPr>
          <w:sz w:val="16"/>
        </w:rPr>
        <w:t>PH20</w:t>
      </w:r>
      <w:r w:rsidRPr="00EF4E1A">
        <w:rPr>
          <w:spacing w:val="-2"/>
          <w:sz w:val="16"/>
        </w:rPr>
        <w:t xml:space="preserve"> </w:t>
      </w:r>
      <w:r w:rsidRPr="00EF4E1A">
        <w:rPr>
          <w:sz w:val="16"/>
        </w:rPr>
        <w:t>in</w:t>
      </w:r>
      <w:r w:rsidRPr="00EF4E1A">
        <w:rPr>
          <w:spacing w:val="-4"/>
          <w:sz w:val="16"/>
        </w:rPr>
        <w:t xml:space="preserve"> </w:t>
      </w:r>
      <w:r w:rsidRPr="00EF4E1A">
        <w:rPr>
          <w:sz w:val="16"/>
        </w:rPr>
        <w:t>antecedent</w:t>
      </w:r>
      <w:r w:rsidRPr="00EF4E1A">
        <w:rPr>
          <w:spacing w:val="-1"/>
          <w:sz w:val="16"/>
        </w:rPr>
        <w:t xml:space="preserve"> </w:t>
      </w:r>
      <w:r w:rsidRPr="00EF4E1A">
        <w:rPr>
          <w:sz w:val="16"/>
        </w:rPr>
        <w:t>study</w:t>
      </w:r>
      <w:r w:rsidRPr="00EF4E1A">
        <w:rPr>
          <w:spacing w:val="-1"/>
          <w:sz w:val="16"/>
        </w:rPr>
        <w:t xml:space="preserve"> </w:t>
      </w:r>
      <w:r w:rsidRPr="00EF4E1A">
        <w:rPr>
          <w:sz w:val="16"/>
        </w:rPr>
        <w:t>ARGX-113-2001</w:t>
      </w:r>
      <w:r w:rsidRPr="00EF4E1A">
        <w:rPr>
          <w:spacing w:val="-3"/>
          <w:sz w:val="16"/>
        </w:rPr>
        <w:t xml:space="preserve"> </w:t>
      </w:r>
      <w:r w:rsidRPr="00EF4E1A">
        <w:rPr>
          <w:sz w:val="16"/>
        </w:rPr>
        <w:t>and</w:t>
      </w:r>
      <w:r w:rsidRPr="00EF4E1A">
        <w:rPr>
          <w:spacing w:val="-4"/>
          <w:sz w:val="16"/>
        </w:rPr>
        <w:t xml:space="preserve"> </w:t>
      </w:r>
      <w:r w:rsidRPr="00EF4E1A">
        <w:rPr>
          <w:sz w:val="16"/>
        </w:rPr>
        <w:t>efgartigimod</w:t>
      </w:r>
      <w:r w:rsidRPr="00EF4E1A">
        <w:rPr>
          <w:spacing w:val="-2"/>
          <w:sz w:val="16"/>
        </w:rPr>
        <w:t xml:space="preserve"> </w:t>
      </w:r>
      <w:r w:rsidRPr="00EF4E1A">
        <w:rPr>
          <w:sz w:val="16"/>
        </w:rPr>
        <w:t>PH20</w:t>
      </w:r>
      <w:r w:rsidRPr="00EF4E1A">
        <w:rPr>
          <w:spacing w:val="-3"/>
          <w:sz w:val="16"/>
        </w:rPr>
        <w:t xml:space="preserve"> </w:t>
      </w:r>
      <w:r w:rsidRPr="00EF4E1A">
        <w:rPr>
          <w:sz w:val="16"/>
        </w:rPr>
        <w:t>SC</w:t>
      </w:r>
      <w:r w:rsidRPr="00EF4E1A">
        <w:rPr>
          <w:spacing w:val="-3"/>
          <w:sz w:val="16"/>
        </w:rPr>
        <w:t xml:space="preserve"> </w:t>
      </w:r>
      <w:r w:rsidRPr="00EF4E1A">
        <w:rPr>
          <w:sz w:val="16"/>
        </w:rPr>
        <w:t>in</w:t>
      </w:r>
      <w:r w:rsidRPr="00EF4E1A">
        <w:rPr>
          <w:spacing w:val="-4"/>
          <w:sz w:val="16"/>
        </w:rPr>
        <w:t xml:space="preserve"> </w:t>
      </w:r>
      <w:r w:rsidRPr="00EF4E1A">
        <w:rPr>
          <w:sz w:val="16"/>
        </w:rPr>
        <w:t>extension</w:t>
      </w:r>
      <w:r w:rsidRPr="00EF4E1A">
        <w:rPr>
          <w:spacing w:val="-3"/>
          <w:sz w:val="16"/>
        </w:rPr>
        <w:t xml:space="preserve"> </w:t>
      </w:r>
      <w:r w:rsidRPr="00EF4E1A">
        <w:rPr>
          <w:sz w:val="16"/>
        </w:rPr>
        <w:t>study</w:t>
      </w:r>
      <w:r w:rsidRPr="00EF4E1A">
        <w:rPr>
          <w:spacing w:val="-3"/>
          <w:sz w:val="16"/>
        </w:rPr>
        <w:t xml:space="preserve"> </w:t>
      </w:r>
      <w:r w:rsidRPr="00EF4E1A">
        <w:rPr>
          <w:sz w:val="16"/>
        </w:rPr>
        <w:t>ARGX-113-2002.</w:t>
      </w:r>
      <w:r w:rsidRPr="00EF4E1A">
        <w:rPr>
          <w:spacing w:val="-1"/>
          <w:sz w:val="16"/>
        </w:rPr>
        <w:t xml:space="preserve"> </w:t>
      </w:r>
      <w:r w:rsidRPr="00EF4E1A">
        <w:rPr>
          <w:sz w:val="16"/>
        </w:rPr>
        <w:t>The</w:t>
      </w:r>
      <w:r w:rsidRPr="00EF4E1A">
        <w:rPr>
          <w:spacing w:val="-3"/>
          <w:sz w:val="16"/>
        </w:rPr>
        <w:t xml:space="preserve"> </w:t>
      </w:r>
      <w:r w:rsidRPr="00EF4E1A">
        <w:rPr>
          <w:sz w:val="16"/>
        </w:rPr>
        <w:t>IV</w:t>
      </w:r>
      <w:r w:rsidRPr="00EF4E1A">
        <w:rPr>
          <w:spacing w:val="-3"/>
          <w:sz w:val="16"/>
        </w:rPr>
        <w:t xml:space="preserve"> </w:t>
      </w:r>
      <w:r w:rsidRPr="00EF4E1A">
        <w:rPr>
          <w:sz w:val="16"/>
        </w:rPr>
        <w:t>2001</w:t>
      </w:r>
      <w:r w:rsidRPr="00EF4E1A">
        <w:rPr>
          <w:spacing w:val="40"/>
          <w:sz w:val="16"/>
        </w:rPr>
        <w:t xml:space="preserve"> </w:t>
      </w:r>
      <w:r w:rsidRPr="00EF4E1A">
        <w:rPr>
          <w:sz w:val="16"/>
        </w:rPr>
        <w:t>group refers to participants who received efgartigimod IV in antecedent study ARGX-113-2001 and efgartigimod PH20 SC in</w:t>
      </w:r>
      <w:r w:rsidRPr="00EF4E1A">
        <w:rPr>
          <w:spacing w:val="40"/>
          <w:sz w:val="16"/>
        </w:rPr>
        <w:t xml:space="preserve"> </w:t>
      </w:r>
      <w:r w:rsidRPr="00EF4E1A">
        <w:rPr>
          <w:sz w:val="16"/>
        </w:rPr>
        <w:t>extension</w:t>
      </w:r>
      <w:r w:rsidRPr="00EF4E1A">
        <w:rPr>
          <w:spacing w:val="-3"/>
          <w:sz w:val="16"/>
        </w:rPr>
        <w:t xml:space="preserve"> </w:t>
      </w:r>
      <w:r w:rsidRPr="00EF4E1A">
        <w:rPr>
          <w:sz w:val="16"/>
        </w:rPr>
        <w:t>study</w:t>
      </w:r>
      <w:r w:rsidRPr="00EF4E1A">
        <w:rPr>
          <w:spacing w:val="-2"/>
          <w:sz w:val="16"/>
        </w:rPr>
        <w:t xml:space="preserve"> </w:t>
      </w:r>
      <w:r w:rsidRPr="00EF4E1A">
        <w:rPr>
          <w:sz w:val="16"/>
        </w:rPr>
        <w:t>ARGX-113-2002.</w:t>
      </w:r>
      <w:r w:rsidRPr="00EF4E1A">
        <w:rPr>
          <w:spacing w:val="-2"/>
          <w:sz w:val="16"/>
        </w:rPr>
        <w:t xml:space="preserve"> </w:t>
      </w:r>
      <w:r w:rsidRPr="00EF4E1A">
        <w:rPr>
          <w:sz w:val="16"/>
        </w:rPr>
        <w:t>The IV</w:t>
      </w:r>
      <w:r w:rsidRPr="00EF4E1A">
        <w:rPr>
          <w:spacing w:val="-3"/>
          <w:sz w:val="16"/>
        </w:rPr>
        <w:t xml:space="preserve"> </w:t>
      </w:r>
      <w:r w:rsidRPr="00EF4E1A">
        <w:rPr>
          <w:sz w:val="16"/>
        </w:rPr>
        <w:t>1705 group</w:t>
      </w:r>
      <w:r w:rsidRPr="00EF4E1A">
        <w:rPr>
          <w:spacing w:val="-3"/>
          <w:sz w:val="16"/>
        </w:rPr>
        <w:t xml:space="preserve"> </w:t>
      </w:r>
      <w:r w:rsidRPr="00EF4E1A">
        <w:rPr>
          <w:sz w:val="16"/>
        </w:rPr>
        <w:t>refers to participants who</w:t>
      </w:r>
      <w:r w:rsidRPr="00EF4E1A">
        <w:rPr>
          <w:spacing w:val="-1"/>
          <w:sz w:val="16"/>
        </w:rPr>
        <w:t xml:space="preserve"> </w:t>
      </w:r>
      <w:r w:rsidRPr="00EF4E1A">
        <w:rPr>
          <w:sz w:val="16"/>
        </w:rPr>
        <w:t>received</w:t>
      </w:r>
      <w:r w:rsidRPr="00EF4E1A">
        <w:rPr>
          <w:spacing w:val="-3"/>
          <w:sz w:val="16"/>
        </w:rPr>
        <w:t xml:space="preserve"> </w:t>
      </w:r>
      <w:r w:rsidRPr="00EF4E1A">
        <w:rPr>
          <w:sz w:val="16"/>
        </w:rPr>
        <w:t>efgartigimod</w:t>
      </w:r>
      <w:r w:rsidRPr="00EF4E1A">
        <w:rPr>
          <w:spacing w:val="-3"/>
          <w:sz w:val="16"/>
        </w:rPr>
        <w:t xml:space="preserve"> </w:t>
      </w:r>
      <w:r w:rsidRPr="00EF4E1A">
        <w:rPr>
          <w:sz w:val="16"/>
        </w:rPr>
        <w:t>IV</w:t>
      </w:r>
      <w:r w:rsidRPr="00EF4E1A">
        <w:rPr>
          <w:spacing w:val="-1"/>
          <w:sz w:val="16"/>
        </w:rPr>
        <w:t xml:space="preserve"> </w:t>
      </w:r>
      <w:r w:rsidRPr="00EF4E1A">
        <w:rPr>
          <w:sz w:val="16"/>
        </w:rPr>
        <w:t>in</w:t>
      </w:r>
      <w:r w:rsidRPr="00EF4E1A">
        <w:rPr>
          <w:spacing w:val="-3"/>
          <w:sz w:val="16"/>
        </w:rPr>
        <w:t xml:space="preserve"> </w:t>
      </w:r>
      <w:r w:rsidRPr="00EF4E1A">
        <w:rPr>
          <w:sz w:val="16"/>
        </w:rPr>
        <w:t>antecedent</w:t>
      </w:r>
      <w:r w:rsidRPr="00EF4E1A">
        <w:rPr>
          <w:spacing w:val="-1"/>
          <w:sz w:val="16"/>
        </w:rPr>
        <w:t xml:space="preserve"> </w:t>
      </w:r>
      <w:r w:rsidRPr="00EF4E1A">
        <w:rPr>
          <w:sz w:val="16"/>
        </w:rPr>
        <w:t>study</w:t>
      </w:r>
      <w:r w:rsidRPr="00EF4E1A">
        <w:rPr>
          <w:spacing w:val="-2"/>
          <w:sz w:val="16"/>
        </w:rPr>
        <w:t xml:space="preserve"> </w:t>
      </w:r>
      <w:r w:rsidRPr="00EF4E1A">
        <w:rPr>
          <w:sz w:val="16"/>
        </w:rPr>
        <w:t>ARGX-113-1705 and efgartigimod PH20 SC in extension study ARGX-113-2002. The total group refers to all participants who received</w:t>
      </w:r>
      <w:r w:rsidRPr="00EF4E1A">
        <w:rPr>
          <w:spacing w:val="40"/>
          <w:sz w:val="16"/>
        </w:rPr>
        <w:t xml:space="preserve"> </w:t>
      </w:r>
      <w:r w:rsidRPr="00EF4E1A">
        <w:rPr>
          <w:sz w:val="16"/>
        </w:rPr>
        <w:t>efgartigimod PH20 SC in extension study ARGX-113-2002.</w:t>
      </w:r>
    </w:p>
    <w:p w14:paraId="6403CB3A" w14:textId="64612E9E" w:rsidR="009876FE" w:rsidRPr="00414AB0" w:rsidRDefault="009876FE" w:rsidP="00414AB0">
      <w:pPr>
        <w:pStyle w:val="BodyText"/>
        <w:spacing w:after="120" w:line="259" w:lineRule="auto"/>
        <w:ind w:left="0" w:right="382"/>
        <w:rPr>
          <w:rFonts w:ascii="Cambria" w:eastAsiaTheme="minorHAnsi" w:hAnsi="Cambria" w:cstheme="minorBidi"/>
          <w:szCs w:val="20"/>
          <w:lang w:val="en-AU"/>
        </w:rPr>
      </w:pPr>
      <w:r w:rsidRPr="00414AB0">
        <w:rPr>
          <w:rFonts w:ascii="Cambria" w:eastAsiaTheme="minorHAnsi" w:hAnsi="Cambria" w:cstheme="minorBidi"/>
          <w:szCs w:val="20"/>
          <w:lang w:val="en-AU"/>
        </w:rPr>
        <w:t>Table 1</w:t>
      </w:r>
      <w:r w:rsidR="00EF4E1A">
        <w:rPr>
          <w:rFonts w:ascii="Cambria" w:eastAsiaTheme="minorHAnsi" w:hAnsi="Cambria" w:cstheme="minorBidi"/>
          <w:szCs w:val="20"/>
          <w:lang w:val="en-AU"/>
        </w:rPr>
        <w:t>2</w:t>
      </w:r>
      <w:r w:rsidRPr="00414AB0">
        <w:rPr>
          <w:rFonts w:ascii="Cambria" w:eastAsiaTheme="minorHAnsi" w:hAnsi="Cambria" w:cstheme="minorBidi"/>
          <w:szCs w:val="20"/>
          <w:lang w:val="en-AU"/>
        </w:rPr>
        <w:t xml:space="preserve"> presents common AEs through the first 4 cycles, presented by cycle, in the SC PB, with injection site erythema, headache, COVID-19 and injection site </w:t>
      </w:r>
      <w:r w:rsidR="00F344C0">
        <w:rPr>
          <w:rFonts w:ascii="Cambria" w:eastAsiaTheme="minorHAnsi" w:hAnsi="Cambria" w:cstheme="minorBidi"/>
          <w:szCs w:val="20"/>
          <w:lang w:val="en-AU"/>
        </w:rPr>
        <w:t xml:space="preserve">pruritic, </w:t>
      </w:r>
      <w:r w:rsidRPr="00414AB0">
        <w:rPr>
          <w:rFonts w:ascii="Cambria" w:eastAsiaTheme="minorHAnsi" w:hAnsi="Cambria" w:cstheme="minorBidi"/>
          <w:szCs w:val="20"/>
          <w:lang w:val="en-AU"/>
        </w:rPr>
        <w:t xml:space="preserve">the </w:t>
      </w:r>
      <w:proofErr w:type="gramStart"/>
      <w:r w:rsidRPr="00414AB0">
        <w:rPr>
          <w:rFonts w:ascii="Cambria" w:eastAsiaTheme="minorHAnsi" w:hAnsi="Cambria" w:cstheme="minorBidi"/>
          <w:szCs w:val="20"/>
          <w:lang w:val="en-AU"/>
        </w:rPr>
        <w:t>most commonly observed</w:t>
      </w:r>
      <w:proofErr w:type="gramEnd"/>
      <w:r w:rsidRPr="00414AB0">
        <w:rPr>
          <w:rFonts w:ascii="Cambria" w:eastAsiaTheme="minorHAnsi" w:hAnsi="Cambria" w:cstheme="minorBidi"/>
          <w:szCs w:val="20"/>
          <w:lang w:val="en-AU"/>
        </w:rPr>
        <w:t>.</w:t>
      </w:r>
    </w:p>
    <w:p w14:paraId="6D49E1F6" w14:textId="2B4DBB4A" w:rsidR="009876FE" w:rsidRDefault="00817DF2" w:rsidP="00BE7637">
      <w:pPr>
        <w:pStyle w:val="TableTitle"/>
        <w:spacing w:before="0" w:after="0" w:line="240" w:lineRule="auto"/>
      </w:pPr>
      <w:r>
        <w:rPr>
          <w:noProof/>
        </w:rPr>
        <w:lastRenderedPageBreak/>
        <w:drawing>
          <wp:anchor distT="0" distB="0" distL="0" distR="0" simplePos="0" relativeHeight="251663360" behindDoc="1" locked="0" layoutInCell="1" allowOverlap="1" wp14:anchorId="24241DB4" wp14:editId="6016C4D2">
            <wp:simplePos x="0" y="0"/>
            <wp:positionH relativeFrom="margin">
              <wp:align>center</wp:align>
            </wp:positionH>
            <wp:positionV relativeFrom="paragraph">
              <wp:posOffset>4043791</wp:posOffset>
            </wp:positionV>
            <wp:extent cx="5672525" cy="2628042"/>
            <wp:effectExtent l="0" t="0" r="4445" b="1270"/>
            <wp:wrapTopAndBottom/>
            <wp:docPr id="27" name="Image 27" descr="A table with numbers and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table with numbers and letters&#10;&#10;AI-generated content may be incorrect."/>
                    <pic:cNvPicPr/>
                  </pic:nvPicPr>
                  <pic:blipFill>
                    <a:blip r:embed="rId39" cstate="print"/>
                    <a:stretch>
                      <a:fillRect/>
                    </a:stretch>
                  </pic:blipFill>
                  <pic:spPr>
                    <a:xfrm>
                      <a:off x="0" y="0"/>
                      <a:ext cx="5672525" cy="2628042"/>
                    </a:xfrm>
                    <a:prstGeom prst="rect">
                      <a:avLst/>
                    </a:prstGeom>
                  </pic:spPr>
                </pic:pic>
              </a:graphicData>
            </a:graphic>
          </wp:anchor>
        </w:drawing>
      </w:r>
      <w:r w:rsidR="009876FE" w:rsidRPr="00EF4E1A">
        <w:t>Table</w:t>
      </w:r>
      <w:r w:rsidR="009876FE" w:rsidRPr="00EF4E1A">
        <w:rPr>
          <w:spacing w:val="-6"/>
        </w:rPr>
        <w:t xml:space="preserve"> </w:t>
      </w:r>
      <w:r w:rsidR="009876FE" w:rsidRPr="00EF4E1A">
        <w:t>1</w:t>
      </w:r>
      <w:r w:rsidR="00EF4E1A" w:rsidRPr="00EF4E1A">
        <w:t>2</w:t>
      </w:r>
      <w:r w:rsidR="009876FE" w:rsidRPr="00EF4E1A">
        <w:t>.</w:t>
      </w:r>
      <w:r w:rsidR="009876FE" w:rsidRPr="00EF4E1A">
        <w:rPr>
          <w:spacing w:val="-4"/>
        </w:rPr>
        <w:t xml:space="preserve"> </w:t>
      </w:r>
      <w:r w:rsidR="009876FE" w:rsidRPr="00EF4E1A">
        <w:t>AEs</w:t>
      </w:r>
      <w:r w:rsidR="009876FE" w:rsidRPr="00EF4E1A">
        <w:rPr>
          <w:spacing w:val="-4"/>
        </w:rPr>
        <w:t xml:space="preserve"> </w:t>
      </w:r>
      <w:r w:rsidR="009876FE" w:rsidRPr="00EF4E1A">
        <w:t>occurring</w:t>
      </w:r>
      <w:r w:rsidR="009876FE" w:rsidRPr="00EF4E1A">
        <w:rPr>
          <w:spacing w:val="-5"/>
        </w:rPr>
        <w:t xml:space="preserve"> </w:t>
      </w:r>
      <w:r w:rsidR="009876FE" w:rsidRPr="00EF4E1A">
        <w:t>in</w:t>
      </w:r>
      <w:r w:rsidR="009876FE" w:rsidRPr="00EF4E1A">
        <w:rPr>
          <w:spacing w:val="-3"/>
        </w:rPr>
        <w:t xml:space="preserve"> </w:t>
      </w:r>
      <w:r w:rsidR="009876FE" w:rsidRPr="00EF4E1A">
        <w:t>≥2%</w:t>
      </w:r>
      <w:r w:rsidR="009876FE" w:rsidRPr="00EF4E1A">
        <w:rPr>
          <w:spacing w:val="-2"/>
        </w:rPr>
        <w:t xml:space="preserve"> </w:t>
      </w:r>
      <w:r w:rsidR="009876FE" w:rsidRPr="00EF4E1A">
        <w:t>of</w:t>
      </w:r>
      <w:r w:rsidR="009876FE" w:rsidRPr="00EF4E1A">
        <w:rPr>
          <w:spacing w:val="-4"/>
        </w:rPr>
        <w:t xml:space="preserve"> </w:t>
      </w:r>
      <w:r w:rsidR="009876FE" w:rsidRPr="00EF4E1A">
        <w:t>participants</w:t>
      </w:r>
      <w:r w:rsidR="009876FE" w:rsidRPr="00EF4E1A">
        <w:rPr>
          <w:spacing w:val="-3"/>
        </w:rPr>
        <w:t xml:space="preserve"> </w:t>
      </w:r>
      <w:r w:rsidR="009876FE" w:rsidRPr="00EF4E1A">
        <w:t>during</w:t>
      </w:r>
      <w:r w:rsidR="009876FE" w:rsidRPr="00EF4E1A">
        <w:rPr>
          <w:spacing w:val="-4"/>
        </w:rPr>
        <w:t xml:space="preserve"> </w:t>
      </w:r>
      <w:r w:rsidR="009876FE" w:rsidRPr="00EF4E1A">
        <w:t>any</w:t>
      </w:r>
      <w:r w:rsidR="009876FE" w:rsidRPr="00EF4E1A">
        <w:rPr>
          <w:spacing w:val="-3"/>
        </w:rPr>
        <w:t xml:space="preserve"> </w:t>
      </w:r>
      <w:r w:rsidR="009876FE" w:rsidRPr="00EF4E1A">
        <w:t>cycle</w:t>
      </w:r>
      <w:r w:rsidR="009876FE" w:rsidRPr="00EF4E1A">
        <w:rPr>
          <w:spacing w:val="-6"/>
        </w:rPr>
        <w:t xml:space="preserve"> </w:t>
      </w:r>
      <w:r w:rsidR="009876FE" w:rsidRPr="00EF4E1A">
        <w:t>through</w:t>
      </w:r>
      <w:r w:rsidR="009876FE" w:rsidRPr="00EF4E1A">
        <w:rPr>
          <w:spacing w:val="-5"/>
        </w:rPr>
        <w:t xml:space="preserve"> </w:t>
      </w:r>
      <w:r w:rsidR="009876FE" w:rsidRPr="00EF4E1A">
        <w:t>cycle</w:t>
      </w:r>
      <w:r w:rsidR="009876FE" w:rsidRPr="00EF4E1A">
        <w:rPr>
          <w:spacing w:val="-4"/>
        </w:rPr>
        <w:t xml:space="preserve"> </w:t>
      </w:r>
      <w:r w:rsidR="009876FE" w:rsidRPr="00EF4E1A">
        <w:t>4,</w:t>
      </w:r>
      <w:r w:rsidR="009876FE" w:rsidRPr="00EF4E1A">
        <w:rPr>
          <w:spacing w:val="-4"/>
        </w:rPr>
        <w:t xml:space="preserve"> </w:t>
      </w:r>
      <w:r w:rsidR="009876FE" w:rsidRPr="00EF4E1A">
        <w:t>by</w:t>
      </w:r>
      <w:r w:rsidR="009876FE" w:rsidRPr="00EF4E1A">
        <w:rPr>
          <w:spacing w:val="-3"/>
        </w:rPr>
        <w:t xml:space="preserve"> </w:t>
      </w:r>
      <w:r w:rsidR="009876FE" w:rsidRPr="00EF4E1A">
        <w:rPr>
          <w:spacing w:val="-2"/>
        </w:rPr>
        <w:t>cycle,</w:t>
      </w:r>
      <w:r w:rsidR="00F16C8F" w:rsidRPr="00EF4E1A">
        <w:t xml:space="preserve"> SOC,</w:t>
      </w:r>
      <w:r w:rsidR="00F16C8F" w:rsidRPr="00EF4E1A">
        <w:rPr>
          <w:spacing w:val="-5"/>
        </w:rPr>
        <w:t xml:space="preserve"> </w:t>
      </w:r>
      <w:r w:rsidR="00F16C8F" w:rsidRPr="00EF4E1A">
        <w:t>PT,</w:t>
      </w:r>
      <w:r w:rsidR="00F16C8F" w:rsidRPr="00EF4E1A">
        <w:rPr>
          <w:spacing w:val="-4"/>
        </w:rPr>
        <w:t xml:space="preserve"> </w:t>
      </w:r>
      <w:r w:rsidR="00F16C8F" w:rsidRPr="00EF4E1A">
        <w:t>in</w:t>
      </w:r>
      <w:r w:rsidR="00F16C8F" w:rsidRPr="00EF4E1A">
        <w:rPr>
          <w:spacing w:val="-3"/>
        </w:rPr>
        <w:t xml:space="preserve"> </w:t>
      </w:r>
      <w:r w:rsidR="00F16C8F" w:rsidRPr="00EF4E1A">
        <w:t>the</w:t>
      </w:r>
      <w:r w:rsidR="00F16C8F" w:rsidRPr="00EF4E1A">
        <w:rPr>
          <w:spacing w:val="-3"/>
        </w:rPr>
        <w:t xml:space="preserve"> </w:t>
      </w:r>
      <w:r w:rsidR="00F16C8F" w:rsidRPr="00EF4E1A">
        <w:t>SC</w:t>
      </w:r>
      <w:r w:rsidR="00F16C8F" w:rsidRPr="00EF4E1A">
        <w:rPr>
          <w:spacing w:val="-2"/>
        </w:rPr>
        <w:t xml:space="preserve"> </w:t>
      </w:r>
      <w:r w:rsidR="00F16C8F" w:rsidRPr="00EF4E1A">
        <w:t>pooling</w:t>
      </w:r>
      <w:r w:rsidR="00F16C8F" w:rsidRPr="00EF4E1A">
        <w:rPr>
          <w:spacing w:val="-4"/>
        </w:rPr>
        <w:t xml:space="preserve"> </w:t>
      </w:r>
      <w:r w:rsidR="00F16C8F" w:rsidRPr="00EF4E1A">
        <w:t>block</w:t>
      </w:r>
      <w:r w:rsidR="00F16C8F" w:rsidRPr="00EF4E1A">
        <w:rPr>
          <w:spacing w:val="-4"/>
        </w:rPr>
        <w:t xml:space="preserve"> </w:t>
      </w:r>
      <w:r w:rsidR="00F16C8F" w:rsidRPr="00EF4E1A">
        <w:t>(Safety</w:t>
      </w:r>
      <w:r w:rsidR="00F16C8F" w:rsidRPr="00EF4E1A">
        <w:rPr>
          <w:spacing w:val="-3"/>
        </w:rPr>
        <w:t xml:space="preserve"> </w:t>
      </w:r>
      <w:r w:rsidR="00F16C8F" w:rsidRPr="00EF4E1A">
        <w:t>analysis</w:t>
      </w:r>
      <w:r w:rsidR="00F16C8F" w:rsidRPr="00EF4E1A">
        <w:rPr>
          <w:spacing w:val="-6"/>
        </w:rPr>
        <w:t xml:space="preserve"> </w:t>
      </w:r>
      <w:r w:rsidR="00F16C8F" w:rsidRPr="00EF4E1A">
        <w:rPr>
          <w:spacing w:val="-2"/>
        </w:rPr>
        <w:t>set)</w:t>
      </w:r>
    </w:p>
    <w:p w14:paraId="1259E258" w14:textId="28D5C0AF" w:rsidR="009876FE" w:rsidRDefault="009876FE" w:rsidP="00817DF2">
      <w:pPr>
        <w:rPr>
          <w:sz w:val="16"/>
        </w:rPr>
      </w:pPr>
      <w:r>
        <w:rPr>
          <w:noProof/>
        </w:rPr>
        <w:drawing>
          <wp:anchor distT="0" distB="0" distL="0" distR="0" simplePos="0" relativeHeight="251661312" behindDoc="1" locked="0" layoutInCell="1" allowOverlap="1" wp14:anchorId="19E06D85" wp14:editId="6E572B0B">
            <wp:simplePos x="0" y="0"/>
            <wp:positionH relativeFrom="page">
              <wp:posOffset>929021</wp:posOffset>
            </wp:positionH>
            <wp:positionV relativeFrom="paragraph">
              <wp:posOffset>105249</wp:posOffset>
            </wp:positionV>
            <wp:extent cx="5670571" cy="3628739"/>
            <wp:effectExtent l="0" t="0" r="0" b="0"/>
            <wp:wrapTopAndBottom/>
            <wp:docPr id="26" name="Image 26" descr="Table 12. AEs occurring in ≥2% of participants during any cycle through cycle 4, by cycle, SOC, PT, in the SC pooling block (Safety analysis s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Table 12. AEs occurring in ≥2% of participants during any cycle through cycle 4, by cycle, SOC, PT, in the SC pooling block (Safety analysis set)"/>
                    <pic:cNvPicPr/>
                  </pic:nvPicPr>
                  <pic:blipFill>
                    <a:blip r:embed="rId40" cstate="print"/>
                    <a:stretch>
                      <a:fillRect/>
                    </a:stretch>
                  </pic:blipFill>
                  <pic:spPr>
                    <a:xfrm>
                      <a:off x="0" y="0"/>
                      <a:ext cx="5670571" cy="3628739"/>
                    </a:xfrm>
                    <a:prstGeom prst="rect">
                      <a:avLst/>
                    </a:prstGeom>
                  </pic:spPr>
                </pic:pic>
              </a:graphicData>
            </a:graphic>
          </wp:anchor>
        </w:drawing>
      </w:r>
      <w:r>
        <w:rPr>
          <w:sz w:val="16"/>
        </w:rPr>
        <w:t>AE=adverse event; m=number of events; MedDRA=Medical Dictionary for Regulatory Activities; N=number of participants in the</w:t>
      </w:r>
      <w:r>
        <w:rPr>
          <w:spacing w:val="40"/>
          <w:sz w:val="16"/>
        </w:rPr>
        <w:t xml:space="preserve"> </w:t>
      </w:r>
      <w:r>
        <w:rPr>
          <w:sz w:val="16"/>
        </w:rPr>
        <w:t>analysis</w:t>
      </w:r>
      <w:r>
        <w:rPr>
          <w:spacing w:val="-4"/>
          <w:sz w:val="16"/>
        </w:rPr>
        <w:t xml:space="preserve"> </w:t>
      </w:r>
      <w:r>
        <w:rPr>
          <w:sz w:val="16"/>
        </w:rPr>
        <w:t>set</w:t>
      </w:r>
      <w:r>
        <w:rPr>
          <w:spacing w:val="-1"/>
          <w:sz w:val="16"/>
        </w:rPr>
        <w:t xml:space="preserve"> </w:t>
      </w:r>
      <w:r>
        <w:rPr>
          <w:sz w:val="16"/>
        </w:rPr>
        <w:t>per</w:t>
      </w:r>
      <w:r>
        <w:rPr>
          <w:spacing w:val="-3"/>
          <w:sz w:val="16"/>
        </w:rPr>
        <w:t xml:space="preserve"> </w:t>
      </w:r>
      <w:r>
        <w:rPr>
          <w:sz w:val="16"/>
        </w:rPr>
        <w:t>cycle;</w:t>
      </w:r>
      <w:r>
        <w:rPr>
          <w:spacing w:val="-1"/>
          <w:sz w:val="16"/>
        </w:rPr>
        <w:t xml:space="preserve"> </w:t>
      </w:r>
      <w:r>
        <w:rPr>
          <w:sz w:val="16"/>
        </w:rPr>
        <w:t>n=number</w:t>
      </w:r>
      <w:r>
        <w:rPr>
          <w:spacing w:val="-3"/>
          <w:sz w:val="16"/>
        </w:rPr>
        <w:t xml:space="preserve"> </w:t>
      </w:r>
      <w:r>
        <w:rPr>
          <w:sz w:val="16"/>
        </w:rPr>
        <w:t>of</w:t>
      </w:r>
      <w:r>
        <w:rPr>
          <w:spacing w:val="-5"/>
          <w:sz w:val="16"/>
        </w:rPr>
        <w:t xml:space="preserve"> </w:t>
      </w:r>
      <w:r>
        <w:rPr>
          <w:sz w:val="16"/>
        </w:rPr>
        <w:t>participants</w:t>
      </w:r>
      <w:r>
        <w:rPr>
          <w:spacing w:val="-1"/>
          <w:sz w:val="16"/>
        </w:rPr>
        <w:t xml:space="preserve"> </w:t>
      </w:r>
      <w:r>
        <w:rPr>
          <w:sz w:val="16"/>
        </w:rPr>
        <w:t>for</w:t>
      </w:r>
      <w:r>
        <w:rPr>
          <w:spacing w:val="-3"/>
          <w:sz w:val="16"/>
        </w:rPr>
        <w:t xml:space="preserve"> </w:t>
      </w:r>
      <w:r>
        <w:rPr>
          <w:sz w:val="16"/>
        </w:rPr>
        <w:t>whom</w:t>
      </w:r>
      <w:r>
        <w:rPr>
          <w:spacing w:val="-4"/>
          <w:sz w:val="16"/>
        </w:rPr>
        <w:t xml:space="preserve"> </w:t>
      </w:r>
      <w:r>
        <w:rPr>
          <w:sz w:val="16"/>
        </w:rPr>
        <w:t>the</w:t>
      </w:r>
      <w:r>
        <w:rPr>
          <w:spacing w:val="-3"/>
          <w:sz w:val="16"/>
        </w:rPr>
        <w:t xml:space="preserve"> </w:t>
      </w:r>
      <w:r>
        <w:rPr>
          <w:sz w:val="16"/>
        </w:rPr>
        <w:t>observation</w:t>
      </w:r>
      <w:r>
        <w:rPr>
          <w:spacing w:val="-5"/>
          <w:sz w:val="16"/>
        </w:rPr>
        <w:t xml:space="preserve"> </w:t>
      </w:r>
      <w:r>
        <w:rPr>
          <w:sz w:val="16"/>
        </w:rPr>
        <w:t>was</w:t>
      </w:r>
      <w:r>
        <w:rPr>
          <w:spacing w:val="-4"/>
          <w:sz w:val="16"/>
        </w:rPr>
        <w:t xml:space="preserve"> </w:t>
      </w:r>
      <w:r>
        <w:rPr>
          <w:sz w:val="16"/>
        </w:rPr>
        <w:t>reported;</w:t>
      </w:r>
      <w:r>
        <w:rPr>
          <w:spacing w:val="-1"/>
          <w:sz w:val="16"/>
        </w:rPr>
        <w:t xml:space="preserve"> </w:t>
      </w:r>
      <w:r>
        <w:rPr>
          <w:sz w:val="16"/>
        </w:rPr>
        <w:t>PT=Preferred</w:t>
      </w:r>
      <w:r>
        <w:rPr>
          <w:spacing w:val="-2"/>
          <w:sz w:val="16"/>
        </w:rPr>
        <w:t xml:space="preserve"> </w:t>
      </w:r>
      <w:r>
        <w:rPr>
          <w:sz w:val="16"/>
        </w:rPr>
        <w:t>Term;</w:t>
      </w:r>
      <w:r>
        <w:rPr>
          <w:spacing w:val="-1"/>
          <w:sz w:val="16"/>
        </w:rPr>
        <w:t xml:space="preserve"> </w:t>
      </w:r>
      <w:r>
        <w:rPr>
          <w:sz w:val="16"/>
        </w:rPr>
        <w:t>SC=subcutaneous(</w:t>
      </w:r>
      <w:proofErr w:type="spellStart"/>
      <w:r>
        <w:rPr>
          <w:sz w:val="16"/>
        </w:rPr>
        <w:t>ly</w:t>
      </w:r>
      <w:proofErr w:type="spellEnd"/>
      <w:r>
        <w:rPr>
          <w:sz w:val="16"/>
        </w:rPr>
        <w:t>);</w:t>
      </w:r>
      <w:r>
        <w:rPr>
          <w:spacing w:val="40"/>
          <w:sz w:val="16"/>
        </w:rPr>
        <w:t xml:space="preserve"> </w:t>
      </w:r>
      <w:r>
        <w:rPr>
          <w:sz w:val="16"/>
        </w:rPr>
        <w:t>SOC=System Organ Class Note: AEs were coded using MedDRA version 24.1 (Sep 2021).</w:t>
      </w:r>
    </w:p>
    <w:p w14:paraId="1D4D0E75" w14:textId="6563E188" w:rsidR="009876FE" w:rsidRPr="0042072A" w:rsidRDefault="009876FE" w:rsidP="00CD7EA1">
      <w:pPr>
        <w:pStyle w:val="Heading5"/>
        <w:rPr>
          <w:rFonts w:eastAsiaTheme="minorHAnsi"/>
        </w:rPr>
      </w:pPr>
      <w:bookmarkStart w:id="84" w:name="Deaths"/>
      <w:bookmarkEnd w:id="84"/>
      <w:r w:rsidRPr="0042072A">
        <w:rPr>
          <w:rFonts w:eastAsiaTheme="minorHAnsi"/>
        </w:rPr>
        <w:t>Deaths</w:t>
      </w:r>
    </w:p>
    <w:p w14:paraId="303052BB" w14:textId="02CF95FA" w:rsidR="009876FE" w:rsidRPr="0042072A" w:rsidRDefault="009876FE" w:rsidP="0042072A">
      <w:pPr>
        <w:pStyle w:val="BodyText"/>
        <w:spacing w:after="120" w:line="259" w:lineRule="auto"/>
        <w:ind w:left="0" w:right="382"/>
        <w:rPr>
          <w:rFonts w:ascii="Cambria" w:eastAsiaTheme="minorHAnsi" w:hAnsi="Cambria" w:cstheme="minorBidi"/>
          <w:szCs w:val="20"/>
          <w:lang w:val="en-AU"/>
        </w:rPr>
      </w:pPr>
      <w:r w:rsidRPr="0042072A">
        <w:rPr>
          <w:rFonts w:ascii="Cambria" w:eastAsiaTheme="minorHAnsi" w:hAnsi="Cambria" w:cstheme="minorBidi"/>
          <w:szCs w:val="20"/>
          <w:lang w:val="en-AU"/>
        </w:rPr>
        <w:t xml:space="preserve">Two fatal cases were reported in patients with </w:t>
      </w:r>
      <w:proofErr w:type="spellStart"/>
      <w:r w:rsidRPr="0042072A">
        <w:rPr>
          <w:rFonts w:ascii="Cambria" w:eastAsiaTheme="minorHAnsi" w:hAnsi="Cambria" w:cstheme="minorBidi"/>
          <w:szCs w:val="20"/>
          <w:lang w:val="en-AU"/>
        </w:rPr>
        <w:t>gMG</w:t>
      </w:r>
      <w:proofErr w:type="spellEnd"/>
      <w:r w:rsidRPr="0042072A">
        <w:rPr>
          <w:rFonts w:ascii="Cambria" w:eastAsiaTheme="minorHAnsi" w:hAnsi="Cambria" w:cstheme="minorBidi"/>
          <w:szCs w:val="20"/>
          <w:lang w:val="en-AU"/>
        </w:rPr>
        <w:t xml:space="preserve"> who received efgartigimod in the SC formulation, in addition to the 5 deaths recorded during clinical development of the IV formulation. One patient had a history of renal cancer and died from the SAE of renal cancer metastatic, and an </w:t>
      </w:r>
      <w:r w:rsidR="008076FC">
        <w:rPr>
          <w:rFonts w:ascii="Cambria" w:eastAsiaTheme="minorHAnsi" w:hAnsi="Cambria" w:cstheme="minorBidi"/>
          <w:szCs w:val="20"/>
          <w:lang w:val="en-AU"/>
        </w:rPr>
        <w:t>[</w:t>
      </w:r>
      <w:r w:rsidR="00B27F2A">
        <w:rPr>
          <w:rFonts w:ascii="Cambria" w:eastAsiaTheme="minorHAnsi" w:hAnsi="Cambria" w:cstheme="minorBidi"/>
          <w:szCs w:val="20"/>
          <w:lang w:val="en-AU"/>
        </w:rPr>
        <w:t>19-</w:t>
      </w:r>
      <w:r w:rsidR="008076FC">
        <w:rPr>
          <w:rFonts w:ascii="Cambria" w:eastAsiaTheme="minorHAnsi" w:hAnsi="Cambria" w:cstheme="minorBidi"/>
          <w:szCs w:val="20"/>
          <w:lang w:val="en-AU"/>
        </w:rPr>
        <w:t>84]</w:t>
      </w:r>
      <w:r w:rsidRPr="0042072A">
        <w:rPr>
          <w:rFonts w:ascii="Cambria" w:eastAsiaTheme="minorHAnsi" w:hAnsi="Cambria" w:cstheme="minorBidi"/>
          <w:szCs w:val="20"/>
          <w:lang w:val="en-AU"/>
        </w:rPr>
        <w:t>-year-old female died of COVID-19 and respiratory failure. Neither event was considered related to study treatment by the investigator.</w:t>
      </w:r>
    </w:p>
    <w:p w14:paraId="38505CDB" w14:textId="0E3E4B62" w:rsidR="009876FE" w:rsidRPr="0042072A" w:rsidRDefault="009876FE" w:rsidP="00CD7EA1">
      <w:pPr>
        <w:pStyle w:val="Heading5"/>
        <w:rPr>
          <w:rFonts w:eastAsiaTheme="minorHAnsi"/>
        </w:rPr>
      </w:pPr>
      <w:bookmarkStart w:id="85" w:name="Serious_adverse_events"/>
      <w:bookmarkEnd w:id="85"/>
      <w:r w:rsidRPr="0042072A">
        <w:rPr>
          <w:rFonts w:eastAsiaTheme="minorHAnsi"/>
        </w:rPr>
        <w:t>Serious adverse events</w:t>
      </w:r>
    </w:p>
    <w:p w14:paraId="7E070F87" w14:textId="77777777" w:rsidR="009876FE" w:rsidRPr="0042072A" w:rsidRDefault="009876FE" w:rsidP="0042072A">
      <w:pPr>
        <w:pStyle w:val="BodyText"/>
        <w:spacing w:after="120" w:line="259" w:lineRule="auto"/>
        <w:ind w:left="0" w:right="382"/>
        <w:rPr>
          <w:rFonts w:ascii="Cambria" w:eastAsiaTheme="minorHAnsi" w:hAnsi="Cambria" w:cstheme="minorBidi"/>
          <w:szCs w:val="20"/>
          <w:lang w:val="en-AU"/>
        </w:rPr>
      </w:pPr>
      <w:r w:rsidRPr="0042072A">
        <w:rPr>
          <w:rFonts w:ascii="Cambria" w:eastAsiaTheme="minorHAnsi" w:hAnsi="Cambria" w:cstheme="minorBidi"/>
          <w:szCs w:val="20"/>
          <w:lang w:val="en-AU"/>
        </w:rPr>
        <w:t xml:space="preserve">In ARGX-113-2001, a total of 8 (14.5%) participants had SAEs in the efgartigimod SC arm </w:t>
      </w:r>
      <w:r w:rsidRPr="0042072A">
        <w:rPr>
          <w:rFonts w:ascii="Cambria" w:eastAsiaTheme="minorHAnsi" w:hAnsi="Cambria" w:cstheme="minorBidi"/>
          <w:szCs w:val="20"/>
          <w:lang w:val="en-AU"/>
        </w:rPr>
        <w:lastRenderedPageBreak/>
        <w:t xml:space="preserve">compared with 4 (7.3%) participants in the efgartigimod IV arm. The higher incidence of SAEs in the efgartigimod SC arm was due to AE of MG. Across both arms in ARGX-113-2001, most SAEs occurred in 1 (1.8%) participant each. The </w:t>
      </w:r>
      <w:proofErr w:type="gramStart"/>
      <w:r w:rsidRPr="0042072A">
        <w:rPr>
          <w:rFonts w:ascii="Cambria" w:eastAsiaTheme="minorHAnsi" w:hAnsi="Cambria" w:cstheme="minorBidi"/>
          <w:szCs w:val="20"/>
          <w:lang w:val="en-AU"/>
        </w:rPr>
        <w:t>most commonly reported</w:t>
      </w:r>
      <w:proofErr w:type="gramEnd"/>
      <w:r w:rsidRPr="0042072A">
        <w:rPr>
          <w:rFonts w:ascii="Cambria" w:eastAsiaTheme="minorHAnsi" w:hAnsi="Cambria" w:cstheme="minorBidi"/>
          <w:szCs w:val="20"/>
          <w:lang w:val="en-AU"/>
        </w:rPr>
        <w:t xml:space="preserve"> SAE (≥ 5% of participants) was MG which occurred in 5 (9.1%) participants in the efgartigimod SC arm and in 1 (1.8%) participant in the efgartigimod IV arm. None of the SAEs were considered by the investigator to be related to efgartigimod.</w:t>
      </w:r>
    </w:p>
    <w:p w14:paraId="0D605B40" w14:textId="58F641FE" w:rsidR="009876FE" w:rsidRPr="0042072A" w:rsidRDefault="009876FE" w:rsidP="0042072A">
      <w:pPr>
        <w:pStyle w:val="BodyText"/>
        <w:spacing w:after="120" w:line="259" w:lineRule="auto"/>
        <w:ind w:left="0" w:right="382"/>
        <w:rPr>
          <w:rFonts w:ascii="Cambria" w:eastAsiaTheme="minorHAnsi" w:hAnsi="Cambria" w:cstheme="minorBidi"/>
          <w:szCs w:val="20"/>
          <w:lang w:val="en-AU"/>
        </w:rPr>
      </w:pPr>
      <w:r w:rsidRPr="0042072A">
        <w:rPr>
          <w:rFonts w:ascii="Cambria" w:eastAsiaTheme="minorHAnsi" w:hAnsi="Cambria" w:cstheme="minorBidi"/>
          <w:szCs w:val="20"/>
          <w:lang w:val="en-AU"/>
        </w:rPr>
        <w:t xml:space="preserve">In study ARGX-113-2002, SAEs occurred in 17 (10.4%) participants in the total group. The </w:t>
      </w:r>
      <w:proofErr w:type="gramStart"/>
      <w:r w:rsidRPr="0042072A">
        <w:rPr>
          <w:rFonts w:ascii="Cambria" w:eastAsiaTheme="minorHAnsi" w:hAnsi="Cambria" w:cstheme="minorBidi"/>
          <w:szCs w:val="20"/>
          <w:lang w:val="en-AU"/>
        </w:rPr>
        <w:t>most</w:t>
      </w:r>
      <w:r w:rsidR="00E05C76">
        <w:rPr>
          <w:rFonts w:ascii="Cambria" w:eastAsiaTheme="minorHAnsi" w:hAnsi="Cambria" w:cstheme="minorBidi"/>
          <w:szCs w:val="20"/>
          <w:lang w:val="en-AU"/>
        </w:rPr>
        <w:t xml:space="preserve"> </w:t>
      </w:r>
      <w:r w:rsidRPr="0042072A">
        <w:rPr>
          <w:rFonts w:ascii="Cambria" w:eastAsiaTheme="minorHAnsi" w:hAnsi="Cambria" w:cstheme="minorBidi"/>
          <w:szCs w:val="20"/>
          <w:lang w:val="en-AU"/>
        </w:rPr>
        <w:t>commonly reported</w:t>
      </w:r>
      <w:proofErr w:type="gramEnd"/>
      <w:r w:rsidRPr="0042072A">
        <w:rPr>
          <w:rFonts w:ascii="Cambria" w:eastAsiaTheme="minorHAnsi" w:hAnsi="Cambria" w:cstheme="minorBidi"/>
          <w:szCs w:val="20"/>
          <w:lang w:val="en-AU"/>
        </w:rPr>
        <w:t xml:space="preserve"> SAEs (≥ 2 participants) were MG (6 [3.7%]) participants), COVID-19</w:t>
      </w:r>
      <w:r w:rsidR="00A4719D">
        <w:rPr>
          <w:rFonts w:ascii="Cambria" w:eastAsiaTheme="minorHAnsi" w:hAnsi="Cambria" w:cstheme="minorBidi"/>
          <w:szCs w:val="20"/>
          <w:lang w:val="en-AU"/>
        </w:rPr>
        <w:t xml:space="preserve"> </w:t>
      </w:r>
      <w:r w:rsidRPr="0042072A">
        <w:rPr>
          <w:rFonts w:ascii="Cambria" w:eastAsiaTheme="minorHAnsi" w:hAnsi="Cambria" w:cstheme="minorBidi"/>
          <w:szCs w:val="20"/>
          <w:lang w:val="en-AU"/>
        </w:rPr>
        <w:t>(3</w:t>
      </w:r>
      <w:r w:rsidR="00E05C76">
        <w:rPr>
          <w:rFonts w:ascii="Cambria" w:eastAsiaTheme="minorHAnsi" w:hAnsi="Cambria" w:cstheme="minorBidi"/>
          <w:szCs w:val="20"/>
          <w:lang w:val="en-AU"/>
        </w:rPr>
        <w:t xml:space="preserve"> </w:t>
      </w:r>
      <w:r w:rsidRPr="0042072A">
        <w:rPr>
          <w:rFonts w:ascii="Cambria" w:eastAsiaTheme="minorHAnsi" w:hAnsi="Cambria" w:cstheme="minorBidi"/>
          <w:szCs w:val="20"/>
          <w:lang w:val="en-AU"/>
        </w:rPr>
        <w:t>[1.8%] participants), and Respiratory failure (2 [1.2%] participants). 1 SAE, a grade 3 MG crisis event, was considered related to efgartigimod SC.</w:t>
      </w:r>
    </w:p>
    <w:p w14:paraId="449966FD" w14:textId="77777777" w:rsidR="009876FE" w:rsidRPr="0042072A" w:rsidRDefault="009876FE" w:rsidP="00CD7EA1">
      <w:pPr>
        <w:pStyle w:val="Heading5"/>
        <w:rPr>
          <w:rFonts w:eastAsiaTheme="minorHAnsi"/>
        </w:rPr>
      </w:pPr>
      <w:bookmarkStart w:id="86" w:name="Adverse_events_of_special_interest"/>
      <w:bookmarkEnd w:id="86"/>
      <w:r w:rsidRPr="0042072A">
        <w:rPr>
          <w:rFonts w:eastAsiaTheme="minorHAnsi"/>
        </w:rPr>
        <w:t>Adverse events of special interest</w:t>
      </w:r>
    </w:p>
    <w:p w14:paraId="4C10CF5A" w14:textId="77777777" w:rsidR="009876FE" w:rsidRPr="00013138" w:rsidRDefault="009876FE" w:rsidP="00013138">
      <w:pPr>
        <w:pStyle w:val="BodyText"/>
        <w:spacing w:after="120" w:line="259" w:lineRule="auto"/>
        <w:ind w:left="0" w:right="382"/>
        <w:rPr>
          <w:rFonts w:ascii="Cambria" w:eastAsiaTheme="minorHAnsi" w:hAnsi="Cambria" w:cstheme="minorBidi"/>
          <w:szCs w:val="20"/>
          <w:lang w:val="en-AU"/>
        </w:rPr>
      </w:pPr>
      <w:r w:rsidRPr="00013138">
        <w:rPr>
          <w:rFonts w:ascii="Cambria" w:eastAsiaTheme="minorHAnsi" w:hAnsi="Cambria" w:cstheme="minorBidi"/>
          <w:szCs w:val="20"/>
          <w:lang w:val="en-AU"/>
        </w:rPr>
        <w:t>In terms of infections and infestations, in the total efgartigimod group in the SC PB, AESI occurred in 57 (33.9%) of participants; the most common by PT were COVID-19, nasopharyngitis, and upper respiratory tract infection. 6 events were considered serious, including COVID-19 in 3 (1.8%) participants, and cellulitis, COVID-19 pneumonia, diarrhoea infectious, pneumonia, and rotavirus infection in 1 participant each, none of which were considered related to study treatment by the investigator. There was no clear association between this AESI and cycle number with the SC formulation.</w:t>
      </w:r>
    </w:p>
    <w:p w14:paraId="3BEF8890" w14:textId="77777777" w:rsidR="009876FE" w:rsidRPr="00013138" w:rsidRDefault="009876FE" w:rsidP="00013138">
      <w:pPr>
        <w:pStyle w:val="BodyText"/>
        <w:spacing w:after="120" w:line="259" w:lineRule="auto"/>
        <w:ind w:left="0" w:right="382"/>
        <w:rPr>
          <w:rFonts w:ascii="Cambria" w:eastAsiaTheme="minorHAnsi" w:hAnsi="Cambria" w:cstheme="minorBidi"/>
          <w:szCs w:val="20"/>
          <w:lang w:val="en-AU"/>
        </w:rPr>
      </w:pPr>
      <w:r w:rsidRPr="00013138">
        <w:rPr>
          <w:rFonts w:ascii="Cambria" w:eastAsiaTheme="minorHAnsi" w:hAnsi="Cambria" w:cstheme="minorBidi"/>
          <w:szCs w:val="20"/>
          <w:lang w:val="en-AU"/>
        </w:rPr>
        <w:t>In terms of the AESI injection related reactions, in the SC PB total efgartigimod group, 65 (38.7%) had injection-related reactions, all of which were CTCAE grades 1 or 2. The most commonly occurring (≥5% participants in the total group) injection-related reactions were injection site erythema, injection site pain, injection site rash, and injection site swelling.</w:t>
      </w:r>
    </w:p>
    <w:p w14:paraId="6F56C01F" w14:textId="77777777" w:rsidR="009876FE" w:rsidRPr="00013138" w:rsidRDefault="009876FE" w:rsidP="00013138">
      <w:pPr>
        <w:pStyle w:val="BodyText"/>
        <w:spacing w:after="120" w:line="259" w:lineRule="auto"/>
        <w:ind w:left="0" w:right="382"/>
        <w:rPr>
          <w:rFonts w:ascii="Cambria" w:eastAsiaTheme="minorHAnsi" w:hAnsi="Cambria" w:cstheme="minorBidi"/>
          <w:szCs w:val="20"/>
          <w:lang w:val="en-AU"/>
        </w:rPr>
      </w:pPr>
      <w:r w:rsidRPr="00013138">
        <w:rPr>
          <w:rFonts w:ascii="Cambria" w:eastAsiaTheme="minorHAnsi" w:hAnsi="Cambria" w:cstheme="minorBidi"/>
          <w:szCs w:val="20"/>
          <w:lang w:val="en-AU"/>
        </w:rPr>
        <w:t>In study ARGX-113-2001 there was a higher rate of AE of MG recorded for the SC formulation group compared to IV formulation group; the EMA assessment alternative explanations for some participants in which this AE was recorded, whilst the TGA evaluator noted it to be unlikely that differences in the observed rate of this AE were related to differences between the efgartigimod formulations.</w:t>
      </w:r>
    </w:p>
    <w:p w14:paraId="6E154DDC" w14:textId="77777777" w:rsidR="009876FE" w:rsidRPr="002764C0" w:rsidRDefault="009876FE" w:rsidP="00CD7EA1">
      <w:pPr>
        <w:pStyle w:val="Heading5"/>
        <w:rPr>
          <w:rFonts w:eastAsiaTheme="minorHAnsi"/>
        </w:rPr>
      </w:pPr>
      <w:bookmarkStart w:id="87" w:name="Laboratory_findings"/>
      <w:bookmarkEnd w:id="87"/>
      <w:r w:rsidRPr="002764C0">
        <w:rPr>
          <w:rFonts w:eastAsiaTheme="minorHAnsi"/>
        </w:rPr>
        <w:t>Laboratory findings</w:t>
      </w:r>
    </w:p>
    <w:p w14:paraId="4258E0A4" w14:textId="77777777" w:rsidR="009876FE" w:rsidRPr="00EB6B9F" w:rsidRDefault="009876FE" w:rsidP="00EB6B9F">
      <w:pPr>
        <w:pStyle w:val="BodyText"/>
        <w:spacing w:after="120" w:line="259" w:lineRule="auto"/>
        <w:ind w:left="0" w:right="382"/>
        <w:rPr>
          <w:rFonts w:ascii="Cambria" w:eastAsiaTheme="minorHAnsi" w:hAnsi="Cambria" w:cstheme="minorBidi"/>
          <w:szCs w:val="20"/>
          <w:lang w:val="en-AU"/>
        </w:rPr>
      </w:pPr>
      <w:r w:rsidRPr="00EB6B9F">
        <w:rPr>
          <w:rFonts w:ascii="Cambria" w:eastAsiaTheme="minorHAnsi" w:hAnsi="Cambria" w:cstheme="minorBidi"/>
          <w:szCs w:val="20"/>
          <w:lang w:val="en-AU"/>
        </w:rPr>
        <w:t>In study ARGX-113-2001, 5 (4.5%) participants had grade 3 clinical laboratory abnormalities of lymphocyte count decreased, 3 in the SC formulation arm and 2 in the IV formulation arm; the investigator considered these unrelated to study treatment. In ARGX-113-2002 13 (8.1%) participants had lymphocyte count decreased observed, 1 of which was grade 4.</w:t>
      </w:r>
    </w:p>
    <w:p w14:paraId="66AEC6D2" w14:textId="642954A3" w:rsidR="009876FE" w:rsidRPr="002764C0" w:rsidRDefault="009876FE" w:rsidP="00CD7EA1">
      <w:pPr>
        <w:pStyle w:val="Heading5"/>
        <w:rPr>
          <w:rFonts w:eastAsiaTheme="minorHAnsi"/>
        </w:rPr>
      </w:pPr>
      <w:bookmarkStart w:id="88" w:name="Vital_signs"/>
      <w:bookmarkEnd w:id="88"/>
      <w:r w:rsidRPr="002764C0">
        <w:rPr>
          <w:rFonts w:eastAsiaTheme="minorHAnsi"/>
        </w:rPr>
        <w:t>Vital signs</w:t>
      </w:r>
    </w:p>
    <w:p w14:paraId="5A0E5EEC" w14:textId="77777777" w:rsidR="009876FE" w:rsidRPr="00CD1B2B" w:rsidRDefault="009876FE" w:rsidP="00CD1B2B">
      <w:pPr>
        <w:pStyle w:val="BodyText"/>
        <w:spacing w:after="120" w:line="259" w:lineRule="auto"/>
        <w:ind w:left="0" w:right="382"/>
        <w:rPr>
          <w:rFonts w:ascii="Cambria" w:eastAsiaTheme="minorHAnsi" w:hAnsi="Cambria" w:cstheme="minorBidi"/>
          <w:szCs w:val="20"/>
          <w:lang w:val="en-AU"/>
        </w:rPr>
      </w:pPr>
      <w:r w:rsidRPr="00CD1B2B">
        <w:rPr>
          <w:rFonts w:ascii="Cambria" w:eastAsiaTheme="minorHAnsi" w:hAnsi="Cambria" w:cstheme="minorBidi"/>
          <w:szCs w:val="20"/>
          <w:lang w:val="en-AU"/>
        </w:rPr>
        <w:t xml:space="preserve">There were no notable changes form baseline in vital signs parameters, with data </w:t>
      </w:r>
      <w:proofErr w:type="gramStart"/>
      <w:r w:rsidRPr="00CD1B2B">
        <w:rPr>
          <w:rFonts w:ascii="Cambria" w:eastAsiaTheme="minorHAnsi" w:hAnsi="Cambria" w:cstheme="minorBidi"/>
          <w:szCs w:val="20"/>
          <w:lang w:val="en-AU"/>
        </w:rPr>
        <w:t>similar to</w:t>
      </w:r>
      <w:proofErr w:type="gramEnd"/>
      <w:r w:rsidRPr="00CD1B2B">
        <w:rPr>
          <w:rFonts w:ascii="Cambria" w:eastAsiaTheme="minorHAnsi" w:hAnsi="Cambria" w:cstheme="minorBidi"/>
          <w:szCs w:val="20"/>
          <w:lang w:val="en-AU"/>
        </w:rPr>
        <w:t xml:space="preserve"> that for the IV formulation.</w:t>
      </w:r>
    </w:p>
    <w:p w14:paraId="745C6E81" w14:textId="77777777" w:rsidR="009876FE" w:rsidRPr="002764C0" w:rsidRDefault="009876FE" w:rsidP="00CD7EA1">
      <w:pPr>
        <w:pStyle w:val="Heading5"/>
        <w:rPr>
          <w:rFonts w:eastAsiaTheme="minorHAnsi"/>
        </w:rPr>
      </w:pPr>
      <w:bookmarkStart w:id="89" w:name="Electrocardiogram_findings"/>
      <w:bookmarkEnd w:id="89"/>
      <w:r w:rsidRPr="002764C0">
        <w:rPr>
          <w:rFonts w:eastAsiaTheme="minorHAnsi"/>
        </w:rPr>
        <w:t>Electrocardiogram findings</w:t>
      </w:r>
    </w:p>
    <w:p w14:paraId="6D460794" w14:textId="227C8391" w:rsidR="009876FE" w:rsidRPr="00CD1B2B" w:rsidRDefault="009876FE" w:rsidP="00CD1B2B">
      <w:pPr>
        <w:pStyle w:val="BodyText"/>
        <w:spacing w:after="120" w:line="259" w:lineRule="auto"/>
        <w:ind w:left="0" w:right="382"/>
        <w:rPr>
          <w:rFonts w:ascii="Cambria" w:eastAsiaTheme="minorHAnsi" w:hAnsi="Cambria" w:cstheme="minorBidi"/>
          <w:szCs w:val="20"/>
          <w:lang w:val="en-AU"/>
        </w:rPr>
      </w:pPr>
      <w:r w:rsidRPr="00CD1B2B">
        <w:rPr>
          <w:rFonts w:ascii="Cambria" w:eastAsiaTheme="minorHAnsi" w:hAnsi="Cambria" w:cstheme="minorBidi"/>
          <w:szCs w:val="20"/>
          <w:lang w:val="en-AU"/>
        </w:rPr>
        <w:t xml:space="preserve">No participant in the SC PB had a </w:t>
      </w:r>
      <w:proofErr w:type="spellStart"/>
      <w:r w:rsidRPr="00CD1B2B">
        <w:rPr>
          <w:rFonts w:ascii="Cambria" w:eastAsiaTheme="minorHAnsi" w:hAnsi="Cambria" w:cstheme="minorBidi"/>
          <w:szCs w:val="20"/>
          <w:lang w:val="en-AU"/>
        </w:rPr>
        <w:t>QTcF</w:t>
      </w:r>
      <w:proofErr w:type="spellEnd"/>
      <w:r w:rsidRPr="00CD1B2B">
        <w:rPr>
          <w:rFonts w:ascii="Cambria" w:eastAsiaTheme="minorHAnsi" w:hAnsi="Cambria" w:cstheme="minorBidi"/>
          <w:szCs w:val="20"/>
          <w:lang w:val="en-AU"/>
        </w:rPr>
        <w:t xml:space="preserve"> interval measurement between &gt; 480 to ≤ 500ms, and 1</w:t>
      </w:r>
      <w:r w:rsidR="00CD1B2B">
        <w:rPr>
          <w:rFonts w:ascii="Cambria" w:eastAsiaTheme="minorHAnsi" w:hAnsi="Cambria" w:cstheme="minorBidi"/>
          <w:szCs w:val="20"/>
          <w:lang w:val="en-AU"/>
        </w:rPr>
        <w:t xml:space="preserve"> </w:t>
      </w:r>
      <w:r w:rsidRPr="00CD1B2B">
        <w:rPr>
          <w:rFonts w:ascii="Cambria" w:eastAsiaTheme="minorHAnsi" w:hAnsi="Cambria" w:cstheme="minorBidi"/>
          <w:szCs w:val="20"/>
          <w:lang w:val="en-AU"/>
        </w:rPr>
        <w:t xml:space="preserve">(0.6%) female participant had a </w:t>
      </w:r>
      <w:proofErr w:type="spellStart"/>
      <w:r w:rsidRPr="00CD1B2B">
        <w:rPr>
          <w:rFonts w:ascii="Cambria" w:eastAsiaTheme="minorHAnsi" w:hAnsi="Cambria" w:cstheme="minorBidi"/>
          <w:szCs w:val="20"/>
          <w:lang w:val="en-AU"/>
        </w:rPr>
        <w:t>QTcF</w:t>
      </w:r>
      <w:proofErr w:type="spellEnd"/>
      <w:r w:rsidRPr="00CD1B2B">
        <w:rPr>
          <w:rFonts w:ascii="Cambria" w:eastAsiaTheme="minorHAnsi" w:hAnsi="Cambria" w:cstheme="minorBidi"/>
          <w:szCs w:val="20"/>
          <w:lang w:val="en-AU"/>
        </w:rPr>
        <w:t xml:space="preserve"> increase from baseline &gt; 60ms.</w:t>
      </w:r>
    </w:p>
    <w:p w14:paraId="329DB54C" w14:textId="77777777" w:rsidR="009876FE" w:rsidRPr="002764C0" w:rsidRDefault="009876FE" w:rsidP="00CD7EA1">
      <w:pPr>
        <w:pStyle w:val="Heading5"/>
        <w:rPr>
          <w:rFonts w:eastAsiaTheme="minorHAnsi"/>
        </w:rPr>
      </w:pPr>
      <w:bookmarkStart w:id="90" w:name="Safety_in_special_populations"/>
      <w:bookmarkEnd w:id="90"/>
      <w:r w:rsidRPr="002764C0">
        <w:rPr>
          <w:rFonts w:eastAsiaTheme="minorHAnsi"/>
        </w:rPr>
        <w:t>Safety in special populations</w:t>
      </w:r>
    </w:p>
    <w:p w14:paraId="6740FA40" w14:textId="77777777" w:rsidR="009876FE" w:rsidRPr="00CD1B2B" w:rsidRDefault="009876FE" w:rsidP="00CD1B2B">
      <w:pPr>
        <w:pStyle w:val="BodyText"/>
        <w:spacing w:after="120" w:line="259" w:lineRule="auto"/>
        <w:ind w:left="0" w:right="382"/>
        <w:rPr>
          <w:rFonts w:ascii="Cambria" w:eastAsiaTheme="minorHAnsi" w:hAnsi="Cambria" w:cstheme="minorBidi"/>
          <w:szCs w:val="20"/>
          <w:lang w:val="en-AU"/>
        </w:rPr>
      </w:pPr>
      <w:r w:rsidRPr="00CD1B2B">
        <w:rPr>
          <w:rFonts w:ascii="Cambria" w:eastAsiaTheme="minorHAnsi" w:hAnsi="Cambria" w:cstheme="minorBidi"/>
          <w:szCs w:val="20"/>
          <w:lang w:val="en-AU"/>
        </w:rPr>
        <w:t>There were no clinically meaningful differences identified in terms of age or body weight.</w:t>
      </w:r>
    </w:p>
    <w:p w14:paraId="42CD5AB1" w14:textId="77777777" w:rsidR="009876FE" w:rsidRPr="002764C0" w:rsidRDefault="009876FE" w:rsidP="00CD7EA1">
      <w:pPr>
        <w:pStyle w:val="Heading5"/>
        <w:rPr>
          <w:rFonts w:eastAsiaTheme="minorHAnsi"/>
        </w:rPr>
      </w:pPr>
      <w:bookmarkStart w:id="91" w:name="Immunogenicity_for_the_SC_formulation"/>
      <w:bookmarkEnd w:id="91"/>
      <w:r w:rsidRPr="002764C0">
        <w:rPr>
          <w:rFonts w:eastAsiaTheme="minorHAnsi"/>
        </w:rPr>
        <w:lastRenderedPageBreak/>
        <w:t>Immunogenicity for the SC formulation</w:t>
      </w:r>
    </w:p>
    <w:p w14:paraId="5B1D124A" w14:textId="1C3AEEA3" w:rsidR="009876FE" w:rsidRPr="002764C0" w:rsidRDefault="009876FE" w:rsidP="002764C0">
      <w:pPr>
        <w:pStyle w:val="BodyText"/>
        <w:spacing w:after="120" w:line="259" w:lineRule="auto"/>
        <w:ind w:left="0" w:right="382"/>
        <w:rPr>
          <w:rFonts w:ascii="Cambria" w:eastAsiaTheme="minorHAnsi" w:hAnsi="Cambria" w:cstheme="minorBidi"/>
          <w:szCs w:val="20"/>
          <w:lang w:val="en-AU"/>
        </w:rPr>
      </w:pPr>
      <w:r w:rsidRPr="002764C0">
        <w:rPr>
          <w:rFonts w:ascii="Cambria" w:eastAsiaTheme="minorHAnsi" w:hAnsi="Cambria" w:cstheme="minorBidi"/>
          <w:szCs w:val="20"/>
          <w:lang w:val="en-AU"/>
        </w:rPr>
        <w:t>Table 1</w:t>
      </w:r>
      <w:r w:rsidR="00CD7EA1">
        <w:rPr>
          <w:rFonts w:ascii="Cambria" w:eastAsiaTheme="minorHAnsi" w:hAnsi="Cambria" w:cstheme="minorBidi"/>
          <w:szCs w:val="20"/>
          <w:lang w:val="en-AU"/>
        </w:rPr>
        <w:t>3</w:t>
      </w:r>
      <w:r w:rsidRPr="002764C0">
        <w:rPr>
          <w:rFonts w:ascii="Cambria" w:eastAsiaTheme="minorHAnsi" w:hAnsi="Cambria" w:cstheme="minorBidi"/>
          <w:szCs w:val="20"/>
          <w:lang w:val="en-AU"/>
        </w:rPr>
        <w:t xml:space="preserve"> provides a summary of ADA data from study ARGX-113-2001, showing higher incidence and prevalence of ADAs against efgartigimod in the SC formulation compared to the IV formulation. Overall prevalence and incidence of </w:t>
      </w:r>
      <w:proofErr w:type="spellStart"/>
      <w:r w:rsidRPr="002764C0">
        <w:rPr>
          <w:rFonts w:ascii="Cambria" w:eastAsiaTheme="minorHAnsi" w:hAnsi="Cambria" w:cstheme="minorBidi"/>
          <w:szCs w:val="20"/>
          <w:lang w:val="en-AU"/>
        </w:rPr>
        <w:t>NAbs</w:t>
      </w:r>
      <w:proofErr w:type="spellEnd"/>
      <w:r w:rsidRPr="002764C0">
        <w:rPr>
          <w:rFonts w:ascii="Cambria" w:eastAsiaTheme="minorHAnsi" w:hAnsi="Cambria" w:cstheme="minorBidi"/>
          <w:szCs w:val="20"/>
          <w:lang w:val="en-AU"/>
        </w:rPr>
        <w:t xml:space="preserve"> was low, 3.6% in both groups.</w:t>
      </w:r>
    </w:p>
    <w:p w14:paraId="6F7532EB" w14:textId="54140D1B" w:rsidR="009876FE" w:rsidRDefault="009876FE" w:rsidP="004D3600">
      <w:pPr>
        <w:pStyle w:val="TableTitle"/>
      </w:pPr>
      <w:r>
        <w:t>Table</w:t>
      </w:r>
      <w:r>
        <w:rPr>
          <w:spacing w:val="-4"/>
        </w:rPr>
        <w:t xml:space="preserve"> </w:t>
      </w:r>
      <w:r>
        <w:t>1</w:t>
      </w:r>
      <w:r w:rsidR="00CD7EA1">
        <w:t>3</w:t>
      </w:r>
      <w:r>
        <w:t>.</w:t>
      </w:r>
      <w:r>
        <w:rPr>
          <w:spacing w:val="-4"/>
        </w:rPr>
        <w:t xml:space="preserve"> </w:t>
      </w:r>
      <w:r>
        <w:t>Classification,</w:t>
      </w:r>
      <w:r>
        <w:rPr>
          <w:spacing w:val="-4"/>
        </w:rPr>
        <w:t xml:space="preserve"> </w:t>
      </w:r>
      <w:r>
        <w:t>incidence</w:t>
      </w:r>
      <w:r>
        <w:rPr>
          <w:spacing w:val="-4"/>
        </w:rPr>
        <w:t xml:space="preserve"> </w:t>
      </w:r>
      <w:r>
        <w:t>and</w:t>
      </w:r>
      <w:r>
        <w:rPr>
          <w:spacing w:val="-4"/>
        </w:rPr>
        <w:t xml:space="preserve"> </w:t>
      </w:r>
      <w:r>
        <w:t>prevalence</w:t>
      </w:r>
      <w:r>
        <w:rPr>
          <w:spacing w:val="-4"/>
        </w:rPr>
        <w:t xml:space="preserve"> </w:t>
      </w:r>
      <w:r>
        <w:t>of</w:t>
      </w:r>
      <w:r>
        <w:rPr>
          <w:spacing w:val="-4"/>
        </w:rPr>
        <w:t xml:space="preserve"> </w:t>
      </w:r>
      <w:r>
        <w:t>ADA</w:t>
      </w:r>
      <w:r>
        <w:rPr>
          <w:spacing w:val="-4"/>
        </w:rPr>
        <w:t xml:space="preserve"> </w:t>
      </w:r>
      <w:r>
        <w:t>against</w:t>
      </w:r>
      <w:r>
        <w:rPr>
          <w:spacing w:val="-3"/>
        </w:rPr>
        <w:t xml:space="preserve"> </w:t>
      </w:r>
      <w:r>
        <w:t>efgartigimod,</w:t>
      </w:r>
      <w:r>
        <w:rPr>
          <w:spacing w:val="-4"/>
        </w:rPr>
        <w:t xml:space="preserve"> </w:t>
      </w:r>
      <w:r>
        <w:t>study ARGX-113-2001 in the overall population (Safety analysis set)</w:t>
      </w:r>
    </w:p>
    <w:p w14:paraId="791E48F9" w14:textId="202B1BDD" w:rsidR="009876FE" w:rsidRDefault="009876FE" w:rsidP="00817DF2">
      <w:pPr>
        <w:rPr>
          <w:sz w:val="16"/>
        </w:rPr>
      </w:pPr>
      <w:r>
        <w:rPr>
          <w:noProof/>
        </w:rPr>
        <w:drawing>
          <wp:anchor distT="0" distB="0" distL="0" distR="0" simplePos="0" relativeHeight="251665408" behindDoc="1" locked="0" layoutInCell="1" allowOverlap="1" wp14:anchorId="0A72E559" wp14:editId="443AE2D2">
            <wp:simplePos x="0" y="0"/>
            <wp:positionH relativeFrom="page">
              <wp:posOffset>944886</wp:posOffset>
            </wp:positionH>
            <wp:positionV relativeFrom="paragraph">
              <wp:posOffset>95574</wp:posOffset>
            </wp:positionV>
            <wp:extent cx="5669031" cy="4322064"/>
            <wp:effectExtent l="0" t="0" r="0" b="0"/>
            <wp:wrapTopAndBottom/>
            <wp:docPr id="28" name="Image 28" descr="Table 13. Classification, incidence and prevalence of ADA against efgartigimod, study ARGX-113-2001 in the overall population (Safety analysis s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Table 13. Classification, incidence and prevalence of ADA against efgartigimod, study ARGX-113-2001 in the overall population (Safety analysis set)."/>
                    <pic:cNvPicPr/>
                  </pic:nvPicPr>
                  <pic:blipFill>
                    <a:blip r:embed="rId41" cstate="print"/>
                    <a:stretch>
                      <a:fillRect/>
                    </a:stretch>
                  </pic:blipFill>
                  <pic:spPr>
                    <a:xfrm>
                      <a:off x="0" y="0"/>
                      <a:ext cx="5669031" cy="4322064"/>
                    </a:xfrm>
                    <a:prstGeom prst="rect">
                      <a:avLst/>
                    </a:prstGeom>
                  </pic:spPr>
                </pic:pic>
              </a:graphicData>
            </a:graphic>
          </wp:anchor>
        </w:drawing>
      </w:r>
      <w:r>
        <w:rPr>
          <w:sz w:val="16"/>
        </w:rPr>
        <w:t>ADA =</w:t>
      </w:r>
      <w:r>
        <w:rPr>
          <w:spacing w:val="-3"/>
          <w:sz w:val="16"/>
        </w:rPr>
        <w:t xml:space="preserve"> </w:t>
      </w:r>
      <w:r>
        <w:rPr>
          <w:sz w:val="16"/>
        </w:rPr>
        <w:t>antidrug</w:t>
      </w:r>
      <w:r>
        <w:rPr>
          <w:spacing w:val="-3"/>
          <w:sz w:val="16"/>
        </w:rPr>
        <w:t xml:space="preserve"> </w:t>
      </w:r>
      <w:r>
        <w:rPr>
          <w:sz w:val="16"/>
        </w:rPr>
        <w:t>antibody; n</w:t>
      </w:r>
      <w:r>
        <w:rPr>
          <w:spacing w:val="-2"/>
          <w:sz w:val="16"/>
        </w:rPr>
        <w:t xml:space="preserve"> </w:t>
      </w:r>
      <w:r>
        <w:rPr>
          <w:sz w:val="16"/>
        </w:rPr>
        <w:t>=</w:t>
      </w:r>
      <w:r>
        <w:rPr>
          <w:spacing w:val="-3"/>
          <w:sz w:val="16"/>
        </w:rPr>
        <w:t xml:space="preserve"> </w:t>
      </w:r>
      <w:r>
        <w:rPr>
          <w:sz w:val="16"/>
        </w:rPr>
        <w:t>number</w:t>
      </w:r>
      <w:r>
        <w:rPr>
          <w:spacing w:val="-2"/>
          <w:sz w:val="16"/>
        </w:rPr>
        <w:t xml:space="preserve"> </w:t>
      </w:r>
      <w:r>
        <w:rPr>
          <w:sz w:val="16"/>
        </w:rPr>
        <w:t>of</w:t>
      </w:r>
      <w:r>
        <w:rPr>
          <w:spacing w:val="-1"/>
          <w:sz w:val="16"/>
        </w:rPr>
        <w:t xml:space="preserve"> </w:t>
      </w:r>
      <w:r>
        <w:rPr>
          <w:sz w:val="16"/>
        </w:rPr>
        <w:t>participants for</w:t>
      </w:r>
      <w:r>
        <w:rPr>
          <w:spacing w:val="-2"/>
          <w:sz w:val="16"/>
        </w:rPr>
        <w:t xml:space="preserve"> </w:t>
      </w:r>
      <w:r>
        <w:rPr>
          <w:sz w:val="16"/>
        </w:rPr>
        <w:t>whom</w:t>
      </w:r>
      <w:r>
        <w:rPr>
          <w:spacing w:val="-2"/>
          <w:sz w:val="16"/>
        </w:rPr>
        <w:t xml:space="preserve"> </w:t>
      </w:r>
      <w:r>
        <w:rPr>
          <w:sz w:val="16"/>
        </w:rPr>
        <w:t>the</w:t>
      </w:r>
      <w:r>
        <w:rPr>
          <w:spacing w:val="-2"/>
          <w:sz w:val="16"/>
        </w:rPr>
        <w:t xml:space="preserve"> </w:t>
      </w:r>
      <w:r>
        <w:rPr>
          <w:sz w:val="16"/>
        </w:rPr>
        <w:t>observation</w:t>
      </w:r>
      <w:r>
        <w:rPr>
          <w:spacing w:val="-4"/>
          <w:sz w:val="16"/>
        </w:rPr>
        <w:t xml:space="preserve"> </w:t>
      </w:r>
      <w:r>
        <w:rPr>
          <w:sz w:val="16"/>
        </w:rPr>
        <w:t>was reported.;</w:t>
      </w:r>
      <w:r>
        <w:rPr>
          <w:spacing w:val="-2"/>
          <w:sz w:val="16"/>
        </w:rPr>
        <w:t xml:space="preserve"> </w:t>
      </w:r>
      <w:r>
        <w:rPr>
          <w:sz w:val="16"/>
        </w:rPr>
        <w:t>N</w:t>
      </w:r>
      <w:r>
        <w:rPr>
          <w:spacing w:val="-2"/>
          <w:sz w:val="16"/>
        </w:rPr>
        <w:t xml:space="preserve"> </w:t>
      </w:r>
      <w:r>
        <w:rPr>
          <w:sz w:val="16"/>
        </w:rPr>
        <w:t>=</w:t>
      </w:r>
      <w:r>
        <w:rPr>
          <w:spacing w:val="-1"/>
          <w:sz w:val="16"/>
        </w:rPr>
        <w:t xml:space="preserve"> </w:t>
      </w:r>
      <w:r>
        <w:rPr>
          <w:sz w:val="16"/>
        </w:rPr>
        <w:t>number</w:t>
      </w:r>
      <w:r>
        <w:rPr>
          <w:spacing w:val="-2"/>
          <w:sz w:val="16"/>
        </w:rPr>
        <w:t xml:space="preserve"> </w:t>
      </w:r>
      <w:r>
        <w:rPr>
          <w:sz w:val="16"/>
        </w:rPr>
        <w:t>of</w:t>
      </w:r>
      <w:r>
        <w:rPr>
          <w:spacing w:val="-1"/>
          <w:sz w:val="16"/>
        </w:rPr>
        <w:t xml:space="preserve"> </w:t>
      </w:r>
      <w:r>
        <w:rPr>
          <w:sz w:val="16"/>
        </w:rPr>
        <w:t>participants per</w:t>
      </w:r>
      <w:r>
        <w:rPr>
          <w:spacing w:val="-2"/>
          <w:sz w:val="16"/>
        </w:rPr>
        <w:t xml:space="preserve"> </w:t>
      </w:r>
      <w:r>
        <w:rPr>
          <w:sz w:val="16"/>
        </w:rPr>
        <w:t>arm</w:t>
      </w:r>
      <w:r>
        <w:rPr>
          <w:spacing w:val="40"/>
          <w:sz w:val="16"/>
        </w:rPr>
        <w:t xml:space="preserve"> </w:t>
      </w:r>
      <w:r>
        <w:rPr>
          <w:sz w:val="16"/>
        </w:rPr>
        <w:t>in the analysis set.</w:t>
      </w:r>
    </w:p>
    <w:p w14:paraId="2CED0A60" w14:textId="6B4A5F74" w:rsidR="009876FE" w:rsidRPr="00AC5CC8" w:rsidRDefault="009876FE" w:rsidP="00AC5CC8">
      <w:pPr>
        <w:pStyle w:val="BodyText"/>
        <w:spacing w:after="120" w:line="259" w:lineRule="auto"/>
        <w:ind w:left="0" w:right="382"/>
        <w:rPr>
          <w:rFonts w:ascii="Cambria" w:eastAsiaTheme="minorHAnsi" w:hAnsi="Cambria" w:cstheme="minorBidi"/>
          <w:szCs w:val="20"/>
          <w:lang w:val="en-AU"/>
        </w:rPr>
      </w:pPr>
      <w:r w:rsidRPr="00AC5CC8">
        <w:rPr>
          <w:rFonts w:ascii="Cambria" w:eastAsiaTheme="minorHAnsi" w:hAnsi="Cambria" w:cstheme="minorBidi"/>
          <w:szCs w:val="20"/>
          <w:lang w:val="en-AU"/>
        </w:rPr>
        <w:t xml:space="preserve">In general, in the integrated analysis, the highest ADA incidence was observed in the first treatment cycle. Overall, there was no apparent impact of ADA and </w:t>
      </w:r>
      <w:proofErr w:type="spellStart"/>
      <w:r w:rsidRPr="00AC5CC8">
        <w:rPr>
          <w:rFonts w:ascii="Cambria" w:eastAsiaTheme="minorHAnsi" w:hAnsi="Cambria" w:cstheme="minorBidi"/>
          <w:szCs w:val="20"/>
          <w:lang w:val="en-AU"/>
        </w:rPr>
        <w:t>NAb</w:t>
      </w:r>
      <w:proofErr w:type="spellEnd"/>
      <w:r w:rsidRPr="00AC5CC8">
        <w:rPr>
          <w:rFonts w:ascii="Cambria" w:eastAsiaTheme="minorHAnsi" w:hAnsi="Cambria" w:cstheme="minorBidi"/>
          <w:szCs w:val="20"/>
          <w:lang w:val="en-AU"/>
        </w:rPr>
        <w:t xml:space="preserve"> against efgartigimod on safety observed with either SC or IV formulations.</w:t>
      </w:r>
    </w:p>
    <w:p w14:paraId="5D4A1213" w14:textId="77777777" w:rsidR="00F344C0" w:rsidRDefault="009876FE" w:rsidP="00F344C0">
      <w:pPr>
        <w:pStyle w:val="BodyText"/>
        <w:spacing w:after="120" w:line="259" w:lineRule="auto"/>
        <w:ind w:left="0" w:right="382"/>
        <w:rPr>
          <w:rFonts w:ascii="Cambria" w:eastAsiaTheme="minorHAnsi" w:hAnsi="Cambria" w:cstheme="minorBidi"/>
          <w:szCs w:val="20"/>
          <w:lang w:val="en-AU"/>
        </w:rPr>
      </w:pPr>
      <w:r w:rsidRPr="00AC5CC8">
        <w:rPr>
          <w:rFonts w:ascii="Cambria" w:eastAsiaTheme="minorHAnsi" w:hAnsi="Cambria" w:cstheme="minorBidi"/>
          <w:szCs w:val="20"/>
          <w:lang w:val="en-AU"/>
        </w:rPr>
        <w:t>The incidence of antibodies against rHuPH20 showed a minor increase across the cycles, with incidences of 5.5%, 6.7%, and 12.5% in cycles 1, 2, and 3, respectively; however, the incidence of antibodies against rHuPH20 across all treatment cycles cumulatively remained low (14.5%). There was no observed impact of antibodies to rHuPH20 on the safety of the SC formulation.</w:t>
      </w:r>
      <w:bookmarkStart w:id="92" w:name="Self-administration_of_the_SC_formulatio"/>
      <w:bookmarkEnd w:id="92"/>
    </w:p>
    <w:p w14:paraId="3712D697" w14:textId="67D09A8A" w:rsidR="009876FE" w:rsidRPr="00AC5CC8" w:rsidRDefault="009876FE" w:rsidP="0099360A">
      <w:pPr>
        <w:pStyle w:val="Heading5"/>
        <w:rPr>
          <w:rFonts w:eastAsiaTheme="minorHAnsi"/>
        </w:rPr>
      </w:pPr>
      <w:r w:rsidRPr="00AC5CC8">
        <w:rPr>
          <w:rFonts w:eastAsiaTheme="minorHAnsi"/>
        </w:rPr>
        <w:t>Self-administration of the SC formulation</w:t>
      </w:r>
    </w:p>
    <w:p w14:paraId="68BF3432" w14:textId="77777777" w:rsidR="009876FE" w:rsidRPr="00AC5CC8" w:rsidRDefault="009876FE" w:rsidP="00AC5CC8">
      <w:pPr>
        <w:pStyle w:val="BodyText"/>
        <w:spacing w:after="120" w:line="259" w:lineRule="auto"/>
        <w:ind w:left="0" w:right="382"/>
        <w:rPr>
          <w:rFonts w:ascii="Cambria" w:eastAsiaTheme="minorHAnsi" w:hAnsi="Cambria" w:cstheme="minorBidi"/>
          <w:szCs w:val="20"/>
          <w:lang w:val="en-AU"/>
        </w:rPr>
      </w:pPr>
      <w:r w:rsidRPr="00AC5CC8">
        <w:rPr>
          <w:rFonts w:ascii="Cambria" w:eastAsiaTheme="minorHAnsi" w:hAnsi="Cambria" w:cstheme="minorBidi"/>
          <w:szCs w:val="20"/>
          <w:lang w:val="en-AU"/>
        </w:rPr>
        <w:t>Per the study ARGX-113-2002 protocol efgartigimod may have been administered at home. Of the total number of administrations of efgartigimod in the SC formulation, 42.8% were performed by staff on-site, 30.5% by the participant at home, 24.8% by the participant on-site, 0.8% given by the caregiver at home, and 0.9% given by the caregiver on-site.</w:t>
      </w:r>
    </w:p>
    <w:p w14:paraId="0A425E19" w14:textId="77777777" w:rsidR="009876FE" w:rsidRPr="00AC5CC8" w:rsidRDefault="009876FE" w:rsidP="00AC5CC8">
      <w:pPr>
        <w:pStyle w:val="BodyText"/>
        <w:spacing w:after="120" w:line="259" w:lineRule="auto"/>
        <w:ind w:left="0" w:right="382"/>
        <w:rPr>
          <w:rFonts w:ascii="Cambria" w:eastAsiaTheme="minorHAnsi" w:hAnsi="Cambria" w:cstheme="minorBidi"/>
          <w:szCs w:val="20"/>
          <w:lang w:val="en-AU"/>
        </w:rPr>
      </w:pPr>
      <w:r w:rsidRPr="00AC5CC8">
        <w:rPr>
          <w:rFonts w:ascii="Cambria" w:eastAsiaTheme="minorHAnsi" w:hAnsi="Cambria" w:cstheme="minorBidi"/>
          <w:szCs w:val="20"/>
          <w:lang w:val="en-AU"/>
        </w:rPr>
        <w:t>The TGA evaluator raised concern about the relatively low rate (31.3%) of at-home administration in the extension study, ARGX-113-2002.</w:t>
      </w:r>
    </w:p>
    <w:p w14:paraId="2F20A931" w14:textId="77777777" w:rsidR="009876FE" w:rsidRPr="00DF509C" w:rsidRDefault="009876FE" w:rsidP="0099360A">
      <w:pPr>
        <w:pStyle w:val="Heading5"/>
      </w:pPr>
      <w:bookmarkStart w:id="93" w:name="Evaluator_conclusions_on_safety_for_the_"/>
      <w:bookmarkEnd w:id="93"/>
      <w:r w:rsidRPr="00DF509C">
        <w:lastRenderedPageBreak/>
        <w:t xml:space="preserve">Evaluator </w:t>
      </w:r>
      <w:r w:rsidRPr="007E207E">
        <w:t>conclusions</w:t>
      </w:r>
      <w:r w:rsidRPr="00DF509C">
        <w:t xml:space="preserve"> on safety for the SC formulation</w:t>
      </w:r>
    </w:p>
    <w:p w14:paraId="131AF61B" w14:textId="77777777" w:rsidR="00AC5CC8" w:rsidRDefault="009876FE" w:rsidP="00AC5CC8">
      <w:pPr>
        <w:pStyle w:val="BodyText"/>
        <w:spacing w:after="120" w:line="259" w:lineRule="auto"/>
        <w:ind w:left="0" w:right="382"/>
        <w:rPr>
          <w:rFonts w:ascii="Cambria" w:eastAsiaTheme="minorHAnsi" w:hAnsi="Cambria" w:cstheme="minorBidi"/>
          <w:szCs w:val="20"/>
          <w:lang w:val="en-AU"/>
        </w:rPr>
      </w:pPr>
      <w:r w:rsidRPr="00AC5CC8">
        <w:rPr>
          <w:rFonts w:ascii="Cambria" w:eastAsiaTheme="minorHAnsi" w:hAnsi="Cambria" w:cstheme="minorBidi"/>
          <w:szCs w:val="20"/>
          <w:lang w:val="en-AU"/>
        </w:rPr>
        <w:t>The EMA assessment noted that there are no safety data on the efgartigimod SC formulation for more than 12 months; to support long-term safety the application relies on safety data for the SC formulation, with support from safety data for the IV formulation, which was considered acceptable given the same patient population and active substance.</w:t>
      </w:r>
    </w:p>
    <w:p w14:paraId="070A7B69" w14:textId="7DAEED6E" w:rsidR="009876FE" w:rsidRPr="00AC5CC8" w:rsidRDefault="009876FE" w:rsidP="00AC5CC8">
      <w:pPr>
        <w:pStyle w:val="BodyText"/>
        <w:spacing w:after="120" w:line="259" w:lineRule="auto"/>
        <w:ind w:left="0" w:right="382"/>
        <w:rPr>
          <w:rFonts w:ascii="Cambria" w:eastAsiaTheme="minorHAnsi" w:hAnsi="Cambria" w:cstheme="minorBidi"/>
          <w:szCs w:val="20"/>
          <w:lang w:val="en-AU"/>
        </w:rPr>
      </w:pPr>
      <w:r w:rsidRPr="00AC5CC8">
        <w:rPr>
          <w:rFonts w:ascii="Cambria" w:eastAsiaTheme="minorHAnsi" w:hAnsi="Cambria" w:cstheme="minorBidi"/>
          <w:szCs w:val="20"/>
          <w:lang w:val="en-AU"/>
        </w:rPr>
        <w:t>The EMA assessment concluded that, overall, available safety data from the clinical development program show that efgartigimod was generally well tolerated. More AEs were reported in the SC arm compared to the IV arm in study ARGX-113-2001. Injection site reactions contributed to the higher frequency in the SC arm. Moreover, in study ARGX-113-2001, more patients in the SC arm reported AEs of MG compared to the IV arm. It is plausible, that the higher frequency could be due to the treatment-free follow up period of minimum 7 weeks in the clinical trial and a regular cycling administration likely could lower the frequency. However, other reasons cannot be ruled out. There are no safety-related major objections.</w:t>
      </w:r>
    </w:p>
    <w:p w14:paraId="382D285D" w14:textId="77777777" w:rsidR="009876FE" w:rsidRPr="00AC5CC8" w:rsidRDefault="009876FE" w:rsidP="00AC5CC8">
      <w:pPr>
        <w:pStyle w:val="BodyText"/>
        <w:spacing w:after="120" w:line="259" w:lineRule="auto"/>
        <w:ind w:left="0" w:right="382"/>
        <w:rPr>
          <w:rFonts w:ascii="Cambria" w:eastAsiaTheme="minorHAnsi" w:hAnsi="Cambria" w:cstheme="minorBidi"/>
          <w:szCs w:val="20"/>
          <w:lang w:val="en-AU"/>
        </w:rPr>
      </w:pPr>
      <w:r w:rsidRPr="00AC5CC8">
        <w:rPr>
          <w:rFonts w:ascii="Cambria" w:eastAsiaTheme="minorHAnsi" w:hAnsi="Cambria" w:cstheme="minorBidi"/>
          <w:szCs w:val="20"/>
          <w:lang w:val="en-AU"/>
        </w:rPr>
        <w:t>The TGA evaluator noted that direct safety comparison between the SC formulation and placebo was not made, instead relying on indirect comparison via the IV formulation.</w:t>
      </w:r>
    </w:p>
    <w:p w14:paraId="343FC080" w14:textId="7AF8782A" w:rsidR="009876FE" w:rsidRDefault="009876FE" w:rsidP="009876FE">
      <w:pPr>
        <w:pStyle w:val="Heading3"/>
        <w:spacing w:before="1"/>
      </w:pPr>
      <w:bookmarkStart w:id="94" w:name="Risk_Management_Plan_(RMP)_evaluation"/>
      <w:bookmarkStart w:id="95" w:name="_Toc225173552"/>
      <w:bookmarkEnd w:id="94"/>
      <w:r>
        <w:t>Risk</w:t>
      </w:r>
      <w:r>
        <w:rPr>
          <w:spacing w:val="-10"/>
        </w:rPr>
        <w:t xml:space="preserve"> </w:t>
      </w:r>
      <w:r>
        <w:t>Management</w:t>
      </w:r>
      <w:r>
        <w:rPr>
          <w:spacing w:val="-7"/>
        </w:rPr>
        <w:t xml:space="preserve"> </w:t>
      </w:r>
      <w:r>
        <w:t>Plan</w:t>
      </w:r>
      <w:r>
        <w:rPr>
          <w:spacing w:val="-10"/>
        </w:rPr>
        <w:t xml:space="preserve"> </w:t>
      </w:r>
      <w:r>
        <w:t>(RMP)</w:t>
      </w:r>
      <w:r>
        <w:rPr>
          <w:spacing w:val="-10"/>
        </w:rPr>
        <w:t xml:space="preserve"> </w:t>
      </w:r>
      <w:r>
        <w:rPr>
          <w:spacing w:val="-2"/>
        </w:rPr>
        <w:t>evaluation</w:t>
      </w:r>
      <w:bookmarkEnd w:id="95"/>
    </w:p>
    <w:p w14:paraId="749E0C0A" w14:textId="11E68C9E" w:rsidR="009876FE" w:rsidRPr="00C16BFB" w:rsidRDefault="009876FE" w:rsidP="00011416">
      <w:pPr>
        <w:pStyle w:val="BodyText"/>
        <w:spacing w:after="120" w:line="259" w:lineRule="auto"/>
        <w:ind w:left="0" w:right="380"/>
        <w:rPr>
          <w:rFonts w:ascii="Cambria" w:eastAsiaTheme="minorHAnsi" w:hAnsi="Cambria" w:cstheme="minorBidi"/>
          <w:szCs w:val="20"/>
          <w:lang w:val="en-AU"/>
        </w:rPr>
      </w:pPr>
      <w:r w:rsidRPr="00C16BFB">
        <w:rPr>
          <w:rFonts w:ascii="Cambria" w:eastAsiaTheme="minorHAnsi" w:hAnsi="Cambria" w:cstheme="minorBidi"/>
          <w:szCs w:val="20"/>
          <w:lang w:val="en-AU"/>
        </w:rPr>
        <w:t>Argenx Australia Pty Ltd has submitted EU-RMP version 2.4 (dated 11 March 2024; DLP 2 March 2022) and ASA version 0.1 (dated 28 March 2024) in support of this application. At round 2, the sponsor has submitted ASA version 0.2 (dated 12 September 2024), which is associated with previously submitted EU-RMP version 2</w:t>
      </w:r>
      <w:r w:rsidR="00EB2B3C">
        <w:rPr>
          <w:rFonts w:ascii="Cambria" w:eastAsiaTheme="minorHAnsi" w:hAnsi="Cambria" w:cstheme="minorBidi"/>
          <w:szCs w:val="20"/>
          <w:lang w:val="en-AU"/>
        </w:rPr>
        <w:t>.</w:t>
      </w:r>
      <w:r w:rsidRPr="00C16BFB">
        <w:rPr>
          <w:rFonts w:ascii="Cambria" w:eastAsiaTheme="minorHAnsi" w:hAnsi="Cambria" w:cstheme="minorBidi"/>
          <w:szCs w:val="20"/>
          <w:lang w:val="en-AU"/>
        </w:rPr>
        <w:t>4 (dated 11 March 2024: DLP 2</w:t>
      </w:r>
      <w:r w:rsidR="00790F85">
        <w:rPr>
          <w:rFonts w:ascii="Cambria" w:eastAsiaTheme="minorHAnsi" w:hAnsi="Cambria" w:cstheme="minorBidi"/>
          <w:szCs w:val="20"/>
          <w:lang w:val="en-AU"/>
        </w:rPr>
        <w:t xml:space="preserve"> </w:t>
      </w:r>
      <w:r w:rsidRPr="00C16BFB">
        <w:rPr>
          <w:rFonts w:ascii="Cambria" w:eastAsiaTheme="minorHAnsi" w:hAnsi="Cambria" w:cstheme="minorBidi"/>
          <w:szCs w:val="20"/>
          <w:lang w:val="en-AU"/>
        </w:rPr>
        <w:t>March 2022).</w:t>
      </w:r>
    </w:p>
    <w:p w14:paraId="1588313E" w14:textId="1E2C1100" w:rsidR="0043554C" w:rsidRPr="00B5583C" w:rsidRDefault="009876FE" w:rsidP="00011416">
      <w:pPr>
        <w:pStyle w:val="ListBullet"/>
        <w:spacing w:before="0" w:after="120" w:line="259" w:lineRule="auto"/>
      </w:pPr>
      <w:r w:rsidRPr="00606482">
        <w:rPr>
          <w:rFonts w:eastAsiaTheme="minorHAnsi" w:cstheme="minorBidi"/>
        </w:rPr>
        <w:t>The proposed summary of safety concerns and their associated risk</w:t>
      </w:r>
      <w:r w:rsidRPr="00C16BFB">
        <w:rPr>
          <w:rFonts w:eastAsiaTheme="minorHAnsi" w:cstheme="minorBidi"/>
        </w:rPr>
        <w:t xml:space="preserve"> monitoring and mitigation strategies are summarised </w:t>
      </w:r>
      <w:r w:rsidR="00606482">
        <w:rPr>
          <w:rFonts w:eastAsiaTheme="minorHAnsi" w:cstheme="minorBidi"/>
        </w:rPr>
        <w:t>in Table 14.</w:t>
      </w:r>
      <w:r w:rsidR="0043554C">
        <w:t xml:space="preserve"> </w:t>
      </w:r>
      <w:r w:rsidR="0043554C" w:rsidRPr="00E42010">
        <w:rPr>
          <w:szCs w:val="22"/>
        </w:rPr>
        <w:t xml:space="preserve">The TGA may request an updated RMP at any stage of a product's </w:t>
      </w:r>
      <w:r w:rsidR="00455290" w:rsidRPr="00E42010">
        <w:rPr>
          <w:szCs w:val="22"/>
        </w:rPr>
        <w:t>life cycle</w:t>
      </w:r>
      <w:r w:rsidR="0043554C" w:rsidRPr="00E42010">
        <w:rPr>
          <w:szCs w:val="22"/>
        </w:rPr>
        <w:t xml:space="preserve">, during both the pre-approval and post-approval phases. Further information regarding the TGA’s risk management approach can be found in </w:t>
      </w:r>
      <w:hyperlink r:id="rId42" w:history="1">
        <w:r w:rsidR="0043554C" w:rsidRPr="00E42010">
          <w:rPr>
            <w:rStyle w:val="Hyperlink"/>
            <w:szCs w:val="22"/>
          </w:rPr>
          <w:t>risk management plans for medicines and biologicals</w:t>
        </w:r>
      </w:hyperlink>
      <w:r w:rsidR="0043554C" w:rsidRPr="00E42010">
        <w:rPr>
          <w:szCs w:val="22"/>
        </w:rPr>
        <w:t xml:space="preserve"> and </w:t>
      </w:r>
      <w:hyperlink r:id="rId43" w:history="1">
        <w:r w:rsidR="0043554C" w:rsidRPr="00E42010">
          <w:rPr>
            <w:rStyle w:val="Hyperlink"/>
            <w:szCs w:val="22"/>
          </w:rPr>
          <w:t>the TGA's risk management approach</w:t>
        </w:r>
      </w:hyperlink>
      <w:r w:rsidR="0043554C" w:rsidRPr="00E42010">
        <w:rPr>
          <w:szCs w:val="22"/>
        </w:rPr>
        <w:t xml:space="preserve">. Information on the </w:t>
      </w:r>
      <w:hyperlink r:id="rId44" w:history="1">
        <w:r w:rsidR="0043554C" w:rsidRPr="00E42010">
          <w:rPr>
            <w:rStyle w:val="Hyperlink"/>
            <w:szCs w:val="22"/>
          </w:rPr>
          <w:t>Australia-specific annex</w:t>
        </w:r>
      </w:hyperlink>
      <w:r w:rsidR="0043554C" w:rsidRPr="00E42010">
        <w:rPr>
          <w:szCs w:val="22"/>
        </w:rPr>
        <w:t xml:space="preserve"> (</w:t>
      </w:r>
      <w:hyperlink r:id="rId45" w:history="1">
        <w:r w:rsidR="0043554C" w:rsidRPr="00E42010">
          <w:rPr>
            <w:rStyle w:val="Hyperlink"/>
            <w:szCs w:val="22"/>
          </w:rPr>
          <w:t>ASA</w:t>
        </w:r>
      </w:hyperlink>
      <w:r w:rsidR="0043554C" w:rsidRPr="00E42010">
        <w:rPr>
          <w:szCs w:val="22"/>
        </w:rPr>
        <w:t>) can be found on the TGA website</w:t>
      </w:r>
      <w:r w:rsidR="0013579E">
        <w:rPr>
          <w:szCs w:val="22"/>
        </w:rPr>
        <w:t>.</w:t>
      </w:r>
    </w:p>
    <w:p w14:paraId="743068D7" w14:textId="44EE6C64" w:rsidR="00D77E3E" w:rsidRDefault="00011416" w:rsidP="00817DF2">
      <w:pPr>
        <w:pStyle w:val="TableTitle"/>
      </w:pPr>
      <w:r>
        <w:rPr>
          <w:noProof/>
        </w:rPr>
        <w:drawing>
          <wp:anchor distT="0" distB="0" distL="0" distR="0" simplePos="0" relativeHeight="251667456" behindDoc="1" locked="0" layoutInCell="1" allowOverlap="1" wp14:anchorId="3391451F" wp14:editId="4F220A72">
            <wp:simplePos x="0" y="0"/>
            <wp:positionH relativeFrom="page">
              <wp:posOffset>926465</wp:posOffset>
            </wp:positionH>
            <wp:positionV relativeFrom="paragraph">
              <wp:posOffset>284480</wp:posOffset>
            </wp:positionV>
            <wp:extent cx="5599430" cy="3039745"/>
            <wp:effectExtent l="0" t="0" r="0" b="0"/>
            <wp:wrapTopAndBottom/>
            <wp:docPr id="29" name="Image 29" descr="Table 14: Summary of safety concer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Table 14: Summary of safety concerns."/>
                    <pic:cNvPicPr/>
                  </pic:nvPicPr>
                  <pic:blipFill>
                    <a:blip r:embed="rId46" cstate="print"/>
                    <a:stretch>
                      <a:fillRect/>
                    </a:stretch>
                  </pic:blipFill>
                  <pic:spPr>
                    <a:xfrm>
                      <a:off x="0" y="0"/>
                      <a:ext cx="5599430" cy="3039745"/>
                    </a:xfrm>
                    <a:prstGeom prst="rect">
                      <a:avLst/>
                    </a:prstGeom>
                  </pic:spPr>
                </pic:pic>
              </a:graphicData>
            </a:graphic>
          </wp:anchor>
        </w:drawing>
      </w:r>
      <w:r w:rsidR="00D02909">
        <w:t xml:space="preserve">Table </w:t>
      </w:r>
      <w:r w:rsidR="00606482">
        <w:t>14</w:t>
      </w:r>
      <w:r w:rsidR="00D02909">
        <w:t>: Summary of safety concerns</w:t>
      </w:r>
    </w:p>
    <w:p w14:paraId="467586F4" w14:textId="644624EF" w:rsidR="00790F85" w:rsidRDefault="00790F85" w:rsidP="00D02909">
      <w:pPr>
        <w:pStyle w:val="BodyText"/>
        <w:spacing w:before="8"/>
        <w:rPr>
          <w:rFonts w:ascii="Cambria" w:eastAsiaTheme="minorHAnsi" w:hAnsi="Cambria" w:cstheme="minorBidi"/>
          <w:szCs w:val="20"/>
          <w:lang w:val="en-AU"/>
        </w:rPr>
      </w:pPr>
    </w:p>
    <w:p w14:paraId="6C43B3F1" w14:textId="028B9839" w:rsidR="009876FE" w:rsidRPr="001B6300" w:rsidRDefault="009876FE" w:rsidP="00D62FDF">
      <w:pPr>
        <w:pStyle w:val="BodyText"/>
        <w:spacing w:after="120" w:line="259" w:lineRule="auto"/>
        <w:ind w:left="0" w:right="382"/>
        <w:rPr>
          <w:rFonts w:ascii="Cambria" w:eastAsiaTheme="minorHAnsi" w:hAnsi="Cambria" w:cstheme="minorBidi"/>
          <w:szCs w:val="20"/>
          <w:lang w:val="en-AU"/>
        </w:rPr>
      </w:pPr>
      <w:r w:rsidRPr="00790F85">
        <w:rPr>
          <w:rFonts w:ascii="Cambria" w:eastAsiaTheme="minorHAnsi" w:hAnsi="Cambria" w:cstheme="minorBidi"/>
          <w:szCs w:val="20"/>
          <w:lang w:val="en-AU"/>
        </w:rPr>
        <w:lastRenderedPageBreak/>
        <w:t xml:space="preserve">The safety concerns proposed in the ASA align with those in the approved EU RMP. It is noted that ‘hypersensitivity reactions and infusion-related reactions’ was included as an important potential risk for </w:t>
      </w:r>
      <w:r w:rsidR="000D696B">
        <w:rPr>
          <w:rFonts w:ascii="Cambria" w:eastAsiaTheme="minorHAnsi" w:hAnsi="Cambria" w:cstheme="minorBidi"/>
          <w:szCs w:val="20"/>
          <w:lang w:val="en-AU"/>
        </w:rPr>
        <w:t>Vyvgart</w:t>
      </w:r>
      <w:r w:rsidRPr="00790F85">
        <w:rPr>
          <w:rFonts w:ascii="Cambria" w:eastAsiaTheme="minorHAnsi" w:hAnsi="Cambria" w:cstheme="minorBidi"/>
          <w:szCs w:val="20"/>
          <w:lang w:val="en-AU"/>
        </w:rPr>
        <w:t xml:space="preserve"> in the latest PRAC PSUR assessment report (period covering from 16 December 2022 to 16 June 2023). At round 2, the sponsor provided justification for non-inclusion of this risk into the ASA which was considered acceptable. Further characterisation of this risk via routine pharmacovigilance including reporting in the PSUR is considered sufficient </w:t>
      </w:r>
      <w:proofErr w:type="gramStart"/>
      <w:r w:rsidRPr="00790F85">
        <w:rPr>
          <w:rFonts w:ascii="Cambria" w:eastAsiaTheme="minorHAnsi" w:hAnsi="Cambria" w:cstheme="minorBidi"/>
          <w:szCs w:val="20"/>
          <w:lang w:val="en-AU"/>
        </w:rPr>
        <w:t>at this point in time</w:t>
      </w:r>
      <w:proofErr w:type="gramEnd"/>
      <w:r w:rsidRPr="00790F85">
        <w:rPr>
          <w:rFonts w:ascii="Cambria" w:eastAsiaTheme="minorHAnsi" w:hAnsi="Cambria" w:cstheme="minorBidi"/>
          <w:szCs w:val="20"/>
          <w:lang w:val="en-AU"/>
        </w:rPr>
        <w:t>. Non-clinical comment on the safety</w:t>
      </w:r>
      <w:r w:rsidR="00D62FDF">
        <w:rPr>
          <w:rFonts w:ascii="Cambria" w:eastAsiaTheme="minorHAnsi" w:hAnsi="Cambria" w:cstheme="minorBidi"/>
          <w:szCs w:val="20"/>
          <w:lang w:val="en-AU"/>
        </w:rPr>
        <w:t xml:space="preserve"> s</w:t>
      </w:r>
      <w:r w:rsidRPr="001B6300">
        <w:rPr>
          <w:rFonts w:ascii="Cambria" w:eastAsiaTheme="minorHAnsi" w:hAnsi="Cambria" w:cstheme="minorBidi"/>
          <w:szCs w:val="20"/>
          <w:lang w:val="en-AU"/>
        </w:rPr>
        <w:t>pecifications in the RMP is still pending</w:t>
      </w:r>
      <w:r w:rsidR="00BF3666">
        <w:rPr>
          <w:rFonts w:ascii="Cambria" w:eastAsiaTheme="minorHAnsi" w:hAnsi="Cambria" w:cstheme="minorBidi"/>
          <w:szCs w:val="20"/>
          <w:lang w:val="en-AU"/>
        </w:rPr>
        <w:t xml:space="preserve">. However, </w:t>
      </w:r>
      <w:r w:rsidRPr="001B6300">
        <w:rPr>
          <w:rFonts w:ascii="Cambria" w:eastAsiaTheme="minorHAnsi" w:hAnsi="Cambria" w:cstheme="minorBidi"/>
          <w:szCs w:val="20"/>
          <w:lang w:val="en-AU"/>
        </w:rPr>
        <w:t>from an RMP perspective the summary of safety concerns for V</w:t>
      </w:r>
      <w:r w:rsidR="00511A3F">
        <w:rPr>
          <w:rFonts w:ascii="Cambria" w:eastAsiaTheme="minorHAnsi" w:hAnsi="Cambria" w:cstheme="minorBidi"/>
          <w:szCs w:val="20"/>
          <w:lang w:val="en-AU"/>
        </w:rPr>
        <w:t>yvgart are</w:t>
      </w:r>
      <w:r w:rsidRPr="001B6300">
        <w:rPr>
          <w:rFonts w:ascii="Cambria" w:eastAsiaTheme="minorHAnsi" w:hAnsi="Cambria" w:cstheme="minorBidi"/>
          <w:szCs w:val="20"/>
          <w:lang w:val="en-AU"/>
        </w:rPr>
        <w:t xml:space="preserve"> considered acceptable.</w:t>
      </w:r>
    </w:p>
    <w:p w14:paraId="6ECF0855" w14:textId="48515FB2" w:rsidR="00E42010" w:rsidRDefault="00E42010" w:rsidP="001A13CA">
      <w:pPr>
        <w:pStyle w:val="Heading5"/>
      </w:pPr>
      <w:r>
        <w:t xml:space="preserve">Pharmacovigilance </w:t>
      </w:r>
      <w:r w:rsidR="009971F5">
        <w:t>plan</w:t>
      </w:r>
    </w:p>
    <w:p w14:paraId="7C5B1025" w14:textId="4A8CE78C" w:rsidR="009876FE" w:rsidRDefault="009876FE" w:rsidP="00B5583C">
      <w:pPr>
        <w:pStyle w:val="ListBullet"/>
      </w:pPr>
      <w:r w:rsidRPr="00B5583C">
        <w:t>The sponsor has proposed routine pharmacovigilance for all safety concerns in Australia which includes targeted follow-up questionnaire for important identified risk ‘</w:t>
      </w:r>
      <w:r w:rsidR="00817DF2" w:rsidRPr="00B5583C">
        <w:t>malignancies</w:t>
      </w:r>
      <w:r w:rsidRPr="00B5583C">
        <w:t>. Additional pharmacovigilance activities include study ARGX-113-PASS-2208, ARGX-113-PAC-2206 and a malignancy post-authorisation safety study summary. These studies will not include Australian patients; however, the results will be considered generalisable to the Australian public. The pharmacovigilance plan in the EU RMP align with the pharmacovigilance plan in the ASA and is acceptable from an RMP perspective.</w:t>
      </w:r>
    </w:p>
    <w:p w14:paraId="2217CE00" w14:textId="504E6325" w:rsidR="009971F5" w:rsidRPr="00B5583C" w:rsidRDefault="009971F5" w:rsidP="001A13CA">
      <w:pPr>
        <w:pStyle w:val="Heading5"/>
      </w:pPr>
      <w:r>
        <w:t xml:space="preserve">Risk </w:t>
      </w:r>
      <w:r w:rsidR="00024E84">
        <w:t>minimisation plan</w:t>
      </w:r>
    </w:p>
    <w:p w14:paraId="4C875559" w14:textId="77777777" w:rsidR="009876FE" w:rsidRPr="00B5583C" w:rsidRDefault="009876FE" w:rsidP="00B5583C">
      <w:pPr>
        <w:pStyle w:val="ListBullet"/>
      </w:pPr>
      <w:r w:rsidRPr="00B5583C">
        <w:t>The sponsor has proposed routine risk minimisation only to address all safety concerns except for the important potential risk ‘</w:t>
      </w:r>
      <w:proofErr w:type="gramStart"/>
      <w:r w:rsidRPr="00B5583C">
        <w:t>malignancies’</w:t>
      </w:r>
      <w:proofErr w:type="gramEnd"/>
      <w:r w:rsidRPr="00B5583C">
        <w:t xml:space="preserve"> and missing information ‘long-term safety of efgartigimod treatment’ and ‘use in immunocompromised </w:t>
      </w:r>
      <w:proofErr w:type="gramStart"/>
      <w:r w:rsidRPr="00B5583C">
        <w:t>patients’</w:t>
      </w:r>
      <w:proofErr w:type="gramEnd"/>
      <w:r w:rsidRPr="00B5583C">
        <w:t>. Routine risk minimisation also includes an instruction for use document for the subcutaneous formulation. This aligns with the EU RMP risk minimisation plan for VYVGART and is acceptable from an RMP perspective.</w:t>
      </w:r>
    </w:p>
    <w:p w14:paraId="7EE2258C" w14:textId="77777777" w:rsidR="009876FE" w:rsidRDefault="009876FE" w:rsidP="00B5583C">
      <w:pPr>
        <w:pStyle w:val="ListBullet"/>
      </w:pPr>
      <w:r w:rsidRPr="00B5583C">
        <w:t>There was one outstanding recommendation at Round 2, which did not impede product registration: As per the Risk Management Plans for Medicines and Biologicals guidance, section 5.1 should state which risk communication materials will be included in the pack. The sponsor should state under section 5.1 of a revised ASA that the SC carton pack will contain the product information and instructions for use document. This recommendation can be addressed in the next ASA update.</w:t>
      </w:r>
    </w:p>
    <w:p w14:paraId="565B3BD9" w14:textId="77777777" w:rsidR="009876FE" w:rsidRDefault="009876FE" w:rsidP="0099360A">
      <w:pPr>
        <w:pStyle w:val="Heading5"/>
      </w:pPr>
      <w:bookmarkStart w:id="96" w:name="RMP_evaluator_recommendations_regarding_"/>
      <w:bookmarkStart w:id="97" w:name="Evaluator_recommendations"/>
      <w:bookmarkEnd w:id="96"/>
      <w:bookmarkEnd w:id="97"/>
      <w:r>
        <w:t>Evaluator</w:t>
      </w:r>
      <w:r>
        <w:rPr>
          <w:spacing w:val="-18"/>
        </w:rPr>
        <w:t xml:space="preserve"> </w:t>
      </w:r>
      <w:r>
        <w:t>recommendations</w:t>
      </w:r>
    </w:p>
    <w:p w14:paraId="7BBC2F59" w14:textId="4B37CDCB" w:rsidR="000131C4" w:rsidRPr="000131C4" w:rsidRDefault="00BB74D2" w:rsidP="0099360A">
      <w:pPr>
        <w:pStyle w:val="Heading6"/>
      </w:pPr>
      <w:r>
        <w:t>Intravenous</w:t>
      </w:r>
    </w:p>
    <w:p w14:paraId="0513D65E" w14:textId="5FC7D500" w:rsidR="009876FE" w:rsidRPr="003F4A28" w:rsidRDefault="009876FE" w:rsidP="006033B1">
      <w:pPr>
        <w:pStyle w:val="BodyText"/>
        <w:spacing w:after="120" w:line="259" w:lineRule="auto"/>
        <w:ind w:left="0" w:right="382"/>
        <w:rPr>
          <w:rFonts w:ascii="Cambria" w:eastAsiaTheme="minorHAnsi" w:hAnsi="Cambria" w:cstheme="minorBidi"/>
          <w:szCs w:val="20"/>
          <w:lang w:val="en-AU"/>
        </w:rPr>
      </w:pPr>
      <w:r w:rsidRPr="003F4A28">
        <w:rPr>
          <w:rFonts w:ascii="Cambria" w:eastAsiaTheme="minorHAnsi" w:hAnsi="Cambria" w:cstheme="minorBidi"/>
          <w:szCs w:val="20"/>
          <w:lang w:val="en-AU"/>
        </w:rPr>
        <w:t>The TGA evaluator recommended authorisation of V</w:t>
      </w:r>
      <w:r w:rsidR="003F4A28">
        <w:rPr>
          <w:rFonts w:ascii="Cambria" w:eastAsiaTheme="minorHAnsi" w:hAnsi="Cambria" w:cstheme="minorBidi"/>
          <w:szCs w:val="20"/>
          <w:lang w:val="en-AU"/>
        </w:rPr>
        <w:t>y</w:t>
      </w:r>
      <w:r w:rsidR="00366DB0">
        <w:rPr>
          <w:rFonts w:ascii="Cambria" w:eastAsiaTheme="minorHAnsi" w:hAnsi="Cambria" w:cstheme="minorBidi"/>
          <w:szCs w:val="20"/>
          <w:lang w:val="en-AU"/>
        </w:rPr>
        <w:t>v</w:t>
      </w:r>
      <w:r w:rsidR="003F4A28">
        <w:rPr>
          <w:rFonts w:ascii="Cambria" w:eastAsiaTheme="minorHAnsi" w:hAnsi="Cambria" w:cstheme="minorBidi"/>
          <w:szCs w:val="20"/>
          <w:lang w:val="en-AU"/>
        </w:rPr>
        <w:t>gart</w:t>
      </w:r>
      <w:r w:rsidRPr="003F4A28">
        <w:rPr>
          <w:rFonts w:ascii="Cambria" w:eastAsiaTheme="minorHAnsi" w:hAnsi="Cambria" w:cstheme="minorBidi"/>
          <w:szCs w:val="20"/>
          <w:lang w:val="en-AU"/>
        </w:rPr>
        <w:t xml:space="preserve"> IV formulation, subject to a satisfactory PI.</w:t>
      </w:r>
    </w:p>
    <w:p w14:paraId="1CF43321" w14:textId="2D85FA1D" w:rsidR="00BB74D2" w:rsidRPr="00F92ADA" w:rsidRDefault="00BB74D2" w:rsidP="0099360A">
      <w:pPr>
        <w:pStyle w:val="Heading6"/>
        <w:rPr>
          <w:rFonts w:eastAsiaTheme="minorHAnsi"/>
        </w:rPr>
      </w:pPr>
      <w:r w:rsidRPr="00F92ADA">
        <w:rPr>
          <w:rFonts w:eastAsiaTheme="minorHAnsi"/>
        </w:rPr>
        <w:t>Subcutaneous</w:t>
      </w:r>
    </w:p>
    <w:p w14:paraId="7B96F77A" w14:textId="62E43B99" w:rsidR="009876FE" w:rsidRPr="006033B1" w:rsidRDefault="009876FE" w:rsidP="006033B1">
      <w:pPr>
        <w:pStyle w:val="BodyText"/>
        <w:spacing w:after="120" w:line="259" w:lineRule="auto"/>
        <w:ind w:left="0" w:right="382"/>
        <w:rPr>
          <w:rFonts w:ascii="Cambria" w:eastAsiaTheme="minorHAnsi" w:hAnsi="Cambria" w:cstheme="minorBidi"/>
          <w:szCs w:val="20"/>
          <w:lang w:val="en-AU"/>
        </w:rPr>
      </w:pPr>
      <w:r w:rsidRPr="00F92ADA">
        <w:rPr>
          <w:rFonts w:ascii="Cambria" w:eastAsiaTheme="minorHAnsi" w:hAnsi="Cambria" w:cstheme="minorBidi"/>
          <w:szCs w:val="20"/>
          <w:lang w:val="en-AU"/>
        </w:rPr>
        <w:t>The TGA evaluator concluded that the benefit-risk balance for V</w:t>
      </w:r>
      <w:r w:rsidR="003F4A28" w:rsidRPr="00F92ADA">
        <w:rPr>
          <w:rFonts w:ascii="Cambria" w:eastAsiaTheme="minorHAnsi" w:hAnsi="Cambria" w:cstheme="minorBidi"/>
          <w:szCs w:val="20"/>
          <w:lang w:val="en-AU"/>
        </w:rPr>
        <w:t>yv</w:t>
      </w:r>
      <w:r w:rsidR="00F92ADA" w:rsidRPr="00F92ADA">
        <w:rPr>
          <w:rFonts w:ascii="Cambria" w:eastAsiaTheme="minorHAnsi" w:hAnsi="Cambria" w:cstheme="minorBidi"/>
          <w:szCs w:val="20"/>
          <w:lang w:val="en-AU"/>
        </w:rPr>
        <w:t>gart</w:t>
      </w:r>
      <w:r w:rsidRPr="00F92ADA">
        <w:rPr>
          <w:rFonts w:ascii="Cambria" w:eastAsiaTheme="minorHAnsi" w:hAnsi="Cambria" w:cstheme="minorBidi"/>
          <w:szCs w:val="20"/>
          <w:lang w:val="en-AU"/>
        </w:rPr>
        <w:t xml:space="preserve"> SC formulation was unfavourable, principally because, in the evaluator’s view, study ARGX-113-2001 did not meet</w:t>
      </w:r>
      <w:r w:rsidR="00E05EBA" w:rsidRPr="00F92ADA">
        <w:rPr>
          <w:rFonts w:ascii="Cambria" w:eastAsiaTheme="minorHAnsi" w:hAnsi="Cambria" w:cstheme="minorBidi"/>
          <w:szCs w:val="20"/>
          <w:lang w:val="en-AU"/>
        </w:rPr>
        <w:t xml:space="preserve"> </w:t>
      </w:r>
      <w:r w:rsidRPr="00F92ADA">
        <w:rPr>
          <w:rFonts w:ascii="Cambria" w:eastAsiaTheme="minorHAnsi" w:hAnsi="Cambria" w:cstheme="minorBidi"/>
          <w:szCs w:val="20"/>
          <w:lang w:val="en-AU"/>
        </w:rPr>
        <w:t>the description of one controlled study with statistically compelling and clinically relevant results. The TGA evaluator stated that authorisation could not be recommended as prior approval of the IV formulation could not be assumed.</w:t>
      </w:r>
    </w:p>
    <w:p w14:paraId="74A4F87F" w14:textId="77777777" w:rsidR="00C22214" w:rsidRPr="007C602D" w:rsidRDefault="00C22214" w:rsidP="007C602D">
      <w:pPr>
        <w:pStyle w:val="Heading2"/>
      </w:pPr>
      <w:bookmarkStart w:id="98" w:name="_Toc247691531"/>
      <w:bookmarkStart w:id="99" w:name="_Toc314842515"/>
      <w:bookmarkStart w:id="100" w:name="_Toc103679299"/>
      <w:bookmarkStart w:id="101" w:name="_Toc225173553"/>
      <w:r w:rsidRPr="007C602D">
        <w:lastRenderedPageBreak/>
        <w:t>Risk-benefit analysis</w:t>
      </w:r>
      <w:bookmarkEnd w:id="98"/>
      <w:bookmarkEnd w:id="99"/>
      <w:bookmarkEnd w:id="100"/>
      <w:bookmarkEnd w:id="101"/>
    </w:p>
    <w:p w14:paraId="77DE2655" w14:textId="77777777" w:rsidR="00C22214" w:rsidRDefault="00C22214" w:rsidP="007C602D">
      <w:pPr>
        <w:pStyle w:val="Heading3"/>
      </w:pPr>
      <w:bookmarkStart w:id="102" w:name="_Toc98931932"/>
      <w:bookmarkStart w:id="103" w:name="_Toc225173554"/>
      <w:r>
        <w:t xml:space="preserve">Delegate’s </w:t>
      </w:r>
      <w:r w:rsidRPr="00027095">
        <w:t>considerations</w:t>
      </w:r>
      <w:bookmarkEnd w:id="102"/>
      <w:bookmarkEnd w:id="103"/>
    </w:p>
    <w:p w14:paraId="6D329092" w14:textId="77777777" w:rsidR="00A764B8" w:rsidRDefault="00A764B8" w:rsidP="00D00353">
      <w:pPr>
        <w:pStyle w:val="ListBullet"/>
      </w:pPr>
      <w:r>
        <w:t>This application to register the new biological entity efgartigimod alfa, in 400 mg/20 mL concentrated solution vial (for intravenous infusion) and 1000 mg/5.6 mL solution for injection vial (for subcutaneous injection) formulations, was submitted via the COR-B pathway based on EMA assessment. EU marketing authorisation was granted for the intravenous formulation in August 2022, with subsequent approval of the subcutaneous formulation as an extension to the marketing authorisation</w:t>
      </w:r>
      <w:r w:rsidRPr="00D00353">
        <w:t xml:space="preserve"> </w:t>
      </w:r>
      <w:r>
        <w:t>in</w:t>
      </w:r>
      <w:r w:rsidRPr="00D00353">
        <w:t xml:space="preserve"> </w:t>
      </w:r>
      <w:r>
        <w:t>December</w:t>
      </w:r>
      <w:r w:rsidRPr="00D00353">
        <w:t xml:space="preserve"> </w:t>
      </w:r>
      <w:r>
        <w:t>2023.</w:t>
      </w:r>
      <w:r w:rsidRPr="00D00353">
        <w:t xml:space="preserve"> </w:t>
      </w:r>
      <w:r>
        <w:t>According to</w:t>
      </w:r>
      <w:r w:rsidRPr="00D00353">
        <w:t xml:space="preserve"> </w:t>
      </w:r>
      <w:r>
        <w:t>applicable</w:t>
      </w:r>
      <w:r w:rsidRPr="00D00353">
        <w:t xml:space="preserve"> </w:t>
      </w:r>
      <w:r>
        <w:t>TGA</w:t>
      </w:r>
      <w:r w:rsidRPr="00D00353">
        <w:t xml:space="preserve"> </w:t>
      </w:r>
      <w:r>
        <w:t>criteria</w:t>
      </w:r>
      <w:r w:rsidRPr="00D00353">
        <w:t xml:space="preserve"> </w:t>
      </w:r>
      <w:r>
        <w:t>for</w:t>
      </w:r>
      <w:r w:rsidRPr="00D00353">
        <w:t xml:space="preserve"> </w:t>
      </w:r>
      <w:r>
        <w:t>COR-report based process</w:t>
      </w:r>
      <w:r w:rsidRPr="00D00353">
        <w:t xml:space="preserve">1 </w:t>
      </w:r>
      <w:r>
        <w:t xml:space="preserve">the EMA is an acceptable regulator for the purposes of the COR-B pathway, and all required COR assessment reports have been provided in the current application, for both formulations. Whilst TGA criteria states that COR-based applications should relate to a single medicine and ARTG entry, which would preclude the current application on the basis that the two proposed formulations would result in two ARTG entries, in discussion between the TGA and sponsor </w:t>
      </w:r>
      <w:proofErr w:type="gramStart"/>
      <w:r>
        <w:t>during the course of</w:t>
      </w:r>
      <w:proofErr w:type="gramEnd"/>
      <w:r>
        <w:t xml:space="preserve"> the submission it was agreed that both formulations would be considered.</w:t>
      </w:r>
      <w:r w:rsidRPr="00D00353">
        <w:t xml:space="preserve"> </w:t>
      </w:r>
      <w:r>
        <w:t>It</w:t>
      </w:r>
      <w:r w:rsidRPr="00D00353">
        <w:t xml:space="preserve"> </w:t>
      </w:r>
      <w:r>
        <w:t>should</w:t>
      </w:r>
      <w:r w:rsidRPr="00D00353">
        <w:t xml:space="preserve"> </w:t>
      </w:r>
      <w:r>
        <w:t>be</w:t>
      </w:r>
      <w:r w:rsidRPr="00D00353">
        <w:t xml:space="preserve"> </w:t>
      </w:r>
      <w:r>
        <w:t>noted</w:t>
      </w:r>
      <w:r w:rsidRPr="00D00353">
        <w:t xml:space="preserve"> </w:t>
      </w:r>
      <w:r>
        <w:t>that</w:t>
      </w:r>
      <w:r w:rsidRPr="00D00353">
        <w:t xml:space="preserve"> </w:t>
      </w:r>
      <w:r>
        <w:t>this</w:t>
      </w:r>
      <w:r w:rsidRPr="00D00353">
        <w:t xml:space="preserve"> </w:t>
      </w:r>
      <w:r>
        <w:t>arrangement</w:t>
      </w:r>
      <w:r w:rsidRPr="00D00353">
        <w:t xml:space="preserve"> </w:t>
      </w:r>
      <w:r>
        <w:t>is</w:t>
      </w:r>
      <w:r w:rsidRPr="00D00353">
        <w:t xml:space="preserve"> </w:t>
      </w:r>
      <w:r>
        <w:t>an</w:t>
      </w:r>
      <w:r w:rsidRPr="00D00353">
        <w:t xml:space="preserve"> </w:t>
      </w:r>
      <w:r>
        <w:t>exception</w:t>
      </w:r>
      <w:r w:rsidRPr="00D00353">
        <w:t xml:space="preserve"> </w:t>
      </w:r>
      <w:r>
        <w:t>and</w:t>
      </w:r>
      <w:r w:rsidRPr="00D00353">
        <w:t xml:space="preserve"> </w:t>
      </w:r>
      <w:r>
        <w:t>going</w:t>
      </w:r>
      <w:r w:rsidRPr="00D00353">
        <w:t xml:space="preserve"> </w:t>
      </w:r>
      <w:r>
        <w:t>forward</w:t>
      </w:r>
      <w:r w:rsidRPr="00D00353">
        <w:t xml:space="preserve"> </w:t>
      </w:r>
      <w:r>
        <w:t>a</w:t>
      </w:r>
      <w:r w:rsidRPr="00D00353">
        <w:t xml:space="preserve"> </w:t>
      </w:r>
      <w:r>
        <w:t xml:space="preserve">similar scenario will require separate applications. The Delegate has considered both formulations in this Delegate’s Overview and will </w:t>
      </w:r>
      <w:proofErr w:type="gramStart"/>
      <w:r>
        <w:t>make a decision</w:t>
      </w:r>
      <w:proofErr w:type="gramEnd"/>
      <w:r>
        <w:t xml:space="preserve"> with respect to each formulation.</w:t>
      </w:r>
    </w:p>
    <w:p w14:paraId="47E13151" w14:textId="4D12B096" w:rsidR="00A764B8" w:rsidRDefault="00A764B8" w:rsidP="00D00353">
      <w:pPr>
        <w:pStyle w:val="ListBullet"/>
      </w:pPr>
      <w:r>
        <w:t>MG is heterogeneous in terms of manifestations and course of illness, however, particularly in its</w:t>
      </w:r>
      <w:r w:rsidRPr="00D00353">
        <w:t xml:space="preserve"> </w:t>
      </w:r>
      <w:r>
        <w:t>generalised</w:t>
      </w:r>
      <w:r w:rsidRPr="00D00353">
        <w:t xml:space="preserve"> </w:t>
      </w:r>
      <w:r>
        <w:t>form,</w:t>
      </w:r>
      <w:r w:rsidRPr="00D00353">
        <w:t xml:space="preserve"> </w:t>
      </w:r>
      <w:r>
        <w:t>is</w:t>
      </w:r>
      <w:r w:rsidRPr="00D00353">
        <w:t xml:space="preserve"> </w:t>
      </w:r>
      <w:r>
        <w:t>characterised</w:t>
      </w:r>
      <w:r w:rsidRPr="00D00353">
        <w:t xml:space="preserve"> </w:t>
      </w:r>
      <w:r>
        <w:t>by</w:t>
      </w:r>
      <w:r w:rsidRPr="00D00353">
        <w:t xml:space="preserve"> </w:t>
      </w:r>
      <w:r>
        <w:t>chronicity</w:t>
      </w:r>
      <w:r w:rsidRPr="00D00353">
        <w:t xml:space="preserve"> </w:t>
      </w:r>
      <w:r>
        <w:t>and</w:t>
      </w:r>
      <w:r w:rsidRPr="00D00353">
        <w:t xml:space="preserve"> </w:t>
      </w:r>
      <w:r>
        <w:t>a</w:t>
      </w:r>
      <w:r w:rsidRPr="00D00353">
        <w:t xml:space="preserve"> </w:t>
      </w:r>
      <w:r>
        <w:t>significant</w:t>
      </w:r>
      <w:r w:rsidRPr="00D00353">
        <w:t xml:space="preserve"> </w:t>
      </w:r>
      <w:r>
        <w:t>burden</w:t>
      </w:r>
      <w:r w:rsidRPr="00D00353">
        <w:t xml:space="preserve"> </w:t>
      </w:r>
      <w:r>
        <w:t>of</w:t>
      </w:r>
      <w:r w:rsidRPr="00D00353">
        <w:t xml:space="preserve"> </w:t>
      </w:r>
      <w:r>
        <w:t>both</w:t>
      </w:r>
      <w:r w:rsidRPr="00D00353">
        <w:t xml:space="preserve"> </w:t>
      </w:r>
      <w:r>
        <w:t>disease</w:t>
      </w:r>
      <w:r w:rsidRPr="00D00353">
        <w:t xml:space="preserve"> </w:t>
      </w:r>
      <w:r>
        <w:t>and treatment. Current treatment is not standardised, with some commonly used drugs lacking robust randomised controlled data to support their use and associated with risk of serious adverse events. There remains unmet need for safe and effective treatment options.</w:t>
      </w:r>
    </w:p>
    <w:p w14:paraId="252DC911" w14:textId="77777777" w:rsidR="00A764B8" w:rsidRDefault="00A764B8" w:rsidP="00D00353">
      <w:pPr>
        <w:pStyle w:val="ListBullet"/>
      </w:pPr>
      <w:r>
        <w:t>The current application for efgartigimod in the IV formulation is primarily supported by one pivotal</w:t>
      </w:r>
      <w:r w:rsidRPr="00D00353">
        <w:t xml:space="preserve"> </w:t>
      </w:r>
      <w:r>
        <w:t>Phase</w:t>
      </w:r>
      <w:r w:rsidRPr="00D00353">
        <w:t xml:space="preserve"> </w:t>
      </w:r>
      <w:r>
        <w:t>3,</w:t>
      </w:r>
      <w:r w:rsidRPr="00D00353">
        <w:t xml:space="preserve"> </w:t>
      </w:r>
      <w:r>
        <w:t>double-blind,</w:t>
      </w:r>
      <w:r w:rsidRPr="00D00353">
        <w:t xml:space="preserve"> </w:t>
      </w:r>
      <w:r>
        <w:t>placebo-controlled</w:t>
      </w:r>
      <w:r w:rsidRPr="00D00353">
        <w:t xml:space="preserve"> </w:t>
      </w:r>
      <w:r>
        <w:t>study</w:t>
      </w:r>
      <w:r w:rsidRPr="00D00353">
        <w:t xml:space="preserve"> </w:t>
      </w:r>
      <w:r>
        <w:t>in</w:t>
      </w:r>
      <w:r w:rsidRPr="00D00353">
        <w:t xml:space="preserve"> </w:t>
      </w:r>
      <w:r>
        <w:t>patients</w:t>
      </w:r>
      <w:r w:rsidRPr="00D00353">
        <w:t xml:space="preserve"> </w:t>
      </w:r>
      <w:r>
        <w:t>with</w:t>
      </w:r>
      <w:r w:rsidRPr="00D00353">
        <w:t xml:space="preserve"> </w:t>
      </w:r>
      <w:proofErr w:type="spellStart"/>
      <w:r>
        <w:t>gMG</w:t>
      </w:r>
      <w:proofErr w:type="spellEnd"/>
      <w:r w:rsidRPr="00D00353">
        <w:t xml:space="preserve"> </w:t>
      </w:r>
      <w:r>
        <w:t>(ARGX-113-1704), with supportive data from the ongoing open-label extension study (ARGX-113-1705) and a Phase 2 placebo-controlled study (ARGX-113-1602). Both the EMA and TGA evaluators concluded the benefit-risk profile favourable. The current application for the SC formulation is supported by a Phase 3, open-label study which primarily sought to bridge the IV and SC formulations by demonstrating a similar pharmacodynamic effect (ARGX-113-2001), with supportive data from the long-term extension study (ARGX-113-2002). The EMA assessment found this approach acceptable and concluded a favourable benefit-risk profile, while the TGA evaluator, noting the discrepancy in this COR-B application containing two separate formulations, concluded that approval could not be recommended as prior approval of the IV formulation could not be assumed.</w:t>
      </w:r>
    </w:p>
    <w:p w14:paraId="54943CC7" w14:textId="77777777" w:rsidR="00A764B8" w:rsidRPr="00B17D83" w:rsidRDefault="00A764B8" w:rsidP="007C602D">
      <w:pPr>
        <w:pStyle w:val="Heading4"/>
      </w:pPr>
      <w:bookmarkStart w:id="104" w:name="Proposed_indication"/>
      <w:bookmarkStart w:id="105" w:name="_Toc225173555"/>
      <w:bookmarkEnd w:id="104"/>
      <w:r w:rsidRPr="00B17D83">
        <w:t>Proposed indication</w:t>
      </w:r>
      <w:bookmarkEnd w:id="105"/>
    </w:p>
    <w:p w14:paraId="55EC85D8" w14:textId="1097C2F8" w:rsidR="00A764B8" w:rsidRDefault="00A764B8" w:rsidP="00172767">
      <w:pPr>
        <w:pStyle w:val="ListBullet"/>
      </w:pPr>
      <w:r>
        <w:t xml:space="preserve">The proposed indication specifies use of efgartigimod as an add-on therapy and defines the target patient population in terms of age, clinical form of MG and </w:t>
      </w:r>
      <w:proofErr w:type="spellStart"/>
      <w:r>
        <w:t>AChR</w:t>
      </w:r>
      <w:proofErr w:type="spellEnd"/>
      <w:r>
        <w:t xml:space="preserve">-Ab status; </w:t>
      </w:r>
      <w:r w:rsidRPr="00172767">
        <w:t>‘V</w:t>
      </w:r>
      <w:r w:rsidR="00156516">
        <w:t>yvgart</w:t>
      </w:r>
      <w:r w:rsidRPr="00172767">
        <w:t xml:space="preserve"> is indicated as an add on to standard therapy for the treatment of adult patients with generalized Myasthenia Gravis (</w:t>
      </w:r>
      <w:proofErr w:type="spellStart"/>
      <w:r w:rsidRPr="00172767">
        <w:t>gMG</w:t>
      </w:r>
      <w:proofErr w:type="spellEnd"/>
      <w:r w:rsidRPr="00172767">
        <w:t>) who are anti acetylcholine receptor (</w:t>
      </w:r>
      <w:proofErr w:type="spellStart"/>
      <w:r w:rsidRPr="00172767">
        <w:t>AChR</w:t>
      </w:r>
      <w:proofErr w:type="spellEnd"/>
      <w:r w:rsidRPr="00172767">
        <w:t xml:space="preserve">) antibody positive.’ </w:t>
      </w:r>
      <w:r>
        <w:t>This indication</w:t>
      </w:r>
      <w:r w:rsidRPr="00172767">
        <w:t xml:space="preserve"> </w:t>
      </w:r>
      <w:r>
        <w:t>reflects</w:t>
      </w:r>
      <w:r w:rsidRPr="00172767">
        <w:t xml:space="preserve"> </w:t>
      </w:r>
      <w:r>
        <w:t>data</w:t>
      </w:r>
      <w:r w:rsidRPr="00172767">
        <w:t xml:space="preserve"> </w:t>
      </w:r>
      <w:r>
        <w:t>from</w:t>
      </w:r>
      <w:r w:rsidRPr="00172767">
        <w:t xml:space="preserve"> </w:t>
      </w:r>
      <w:r>
        <w:t>the</w:t>
      </w:r>
      <w:r w:rsidRPr="00172767">
        <w:t xml:space="preserve"> </w:t>
      </w:r>
      <w:r>
        <w:t>pivotal</w:t>
      </w:r>
      <w:r w:rsidRPr="00172767">
        <w:t xml:space="preserve"> </w:t>
      </w:r>
      <w:r>
        <w:t>clinical</w:t>
      </w:r>
      <w:r w:rsidRPr="00172767">
        <w:t xml:space="preserve"> </w:t>
      </w:r>
      <w:r>
        <w:t>studies.</w:t>
      </w:r>
      <w:r w:rsidRPr="00172767">
        <w:t xml:space="preserve"> </w:t>
      </w:r>
      <w:r>
        <w:t>All</w:t>
      </w:r>
      <w:r w:rsidRPr="00172767">
        <w:t xml:space="preserve"> </w:t>
      </w:r>
      <w:r>
        <w:t>studies</w:t>
      </w:r>
      <w:r w:rsidRPr="00172767">
        <w:t xml:space="preserve"> </w:t>
      </w:r>
      <w:r>
        <w:t>providing</w:t>
      </w:r>
      <w:r w:rsidRPr="00172767">
        <w:t xml:space="preserve"> </w:t>
      </w:r>
      <w:r>
        <w:t>evaluable</w:t>
      </w:r>
      <w:r w:rsidRPr="00172767">
        <w:t xml:space="preserve"> </w:t>
      </w:r>
      <w:r>
        <w:t>efficacy data enrolled only adult patients aged ≥18 years, whil</w:t>
      </w:r>
      <w:r w:rsidR="003A2509">
        <w:t>e</w:t>
      </w:r>
      <w:r>
        <w:t xml:space="preserve"> inclusion</w:t>
      </w:r>
      <w:r w:rsidRPr="00172767">
        <w:t xml:space="preserve"> </w:t>
      </w:r>
      <w:r>
        <w:t>criteria in the pivotal studies specified MG with generalised muscle weakness. Concomitant acetylcholinesterase inhibitor, corticosteroid or non-steroidal immunosuppressive drugs were permitted with stable dosing criteria in the pivotal efficacy studies, reflecting standard treatment according to international consensus guidelines for MG, with most randomised patients in both studies ARGX-113-1704 and ARGX-113-2001 on two or three classes of concomitant treatment. There is no evaluable clinical data regarding the use of efgartigimod in MG as a monotherapy, and as such, specification as an add-on therapy is appropriate.</w:t>
      </w:r>
    </w:p>
    <w:p w14:paraId="6DD78A5B" w14:textId="52E6DADD" w:rsidR="00A764B8" w:rsidRDefault="00A764B8" w:rsidP="00172767">
      <w:pPr>
        <w:pStyle w:val="ListBullet"/>
      </w:pPr>
      <w:r>
        <w:lastRenderedPageBreak/>
        <w:t>With</w:t>
      </w:r>
      <w:r w:rsidRPr="00172767">
        <w:t xml:space="preserve"> </w:t>
      </w:r>
      <w:r>
        <w:t>respect</w:t>
      </w:r>
      <w:r w:rsidRPr="00172767">
        <w:t xml:space="preserve"> </w:t>
      </w:r>
      <w:r>
        <w:t>to</w:t>
      </w:r>
      <w:r w:rsidRPr="00172767">
        <w:t xml:space="preserve"> </w:t>
      </w:r>
      <w:proofErr w:type="spellStart"/>
      <w:r>
        <w:t>AChR</w:t>
      </w:r>
      <w:proofErr w:type="spellEnd"/>
      <w:r>
        <w:t>-Ab</w:t>
      </w:r>
      <w:r w:rsidRPr="00172767">
        <w:t xml:space="preserve"> </w:t>
      </w:r>
      <w:r>
        <w:t>status,</w:t>
      </w:r>
      <w:r w:rsidRPr="00172767">
        <w:t xml:space="preserve"> </w:t>
      </w:r>
      <w:r>
        <w:t>the</w:t>
      </w:r>
      <w:r w:rsidRPr="00172767">
        <w:t xml:space="preserve"> </w:t>
      </w:r>
      <w:r>
        <w:t>primary</w:t>
      </w:r>
      <w:r w:rsidRPr="00172767">
        <w:t xml:space="preserve"> </w:t>
      </w:r>
      <w:r>
        <w:t>efficacy</w:t>
      </w:r>
      <w:r w:rsidRPr="00172767">
        <w:t xml:space="preserve"> </w:t>
      </w:r>
      <w:r>
        <w:t>endpoint</w:t>
      </w:r>
      <w:r w:rsidRPr="00172767">
        <w:t xml:space="preserve"> </w:t>
      </w:r>
      <w:r>
        <w:t>in</w:t>
      </w:r>
      <w:r w:rsidRPr="00172767">
        <w:t xml:space="preserve"> </w:t>
      </w:r>
      <w:r>
        <w:t>pivotal</w:t>
      </w:r>
      <w:r w:rsidRPr="00172767">
        <w:t xml:space="preserve"> </w:t>
      </w:r>
      <w:r>
        <w:t>study</w:t>
      </w:r>
      <w:r w:rsidRPr="00172767">
        <w:t xml:space="preserve"> </w:t>
      </w:r>
      <w:r>
        <w:t xml:space="preserve">ARGX-113-1704, and four of five secondary efficacy endpoints, were assessed in the </w:t>
      </w:r>
      <w:proofErr w:type="spellStart"/>
      <w:r>
        <w:t>AChR</w:t>
      </w:r>
      <w:proofErr w:type="spellEnd"/>
      <w:r>
        <w:t xml:space="preserve">-Ab seropositive population only. This study enrolled and randomised 38 (22.8% of the total population) </w:t>
      </w:r>
      <w:proofErr w:type="spellStart"/>
      <w:r>
        <w:t>AChR</w:t>
      </w:r>
      <w:proofErr w:type="spellEnd"/>
      <w:r>
        <w:t>-Ab seronegative patients, with no difference in treatment effect observed between the efgartigimod and placebo groups in the seronegative population in terms of MG-ADL response (68.4% in the efgartigimod group vs. 63.2% in the placebo group), in contrast to results in the seropositive population. In the overall population only 6 (3.6%) of patients were seropositive for anti-</w:t>
      </w:r>
      <w:proofErr w:type="spellStart"/>
      <w:r>
        <w:t>MuSK</w:t>
      </w:r>
      <w:proofErr w:type="spellEnd"/>
      <w:r>
        <w:t xml:space="preserve"> antibodies, precluding any meaningful assessment of efficacy in this population.</w:t>
      </w:r>
    </w:p>
    <w:p w14:paraId="00E3AB91" w14:textId="3C4AB821" w:rsidR="00A764B8" w:rsidRDefault="00A764B8" w:rsidP="00172767">
      <w:pPr>
        <w:pStyle w:val="ListBullet"/>
      </w:pPr>
      <w:r>
        <w:t>Overall,</w:t>
      </w:r>
      <w:r w:rsidRPr="00172767">
        <w:t xml:space="preserve"> </w:t>
      </w:r>
      <w:r>
        <w:t>the</w:t>
      </w:r>
      <w:r w:rsidRPr="00172767">
        <w:t xml:space="preserve"> </w:t>
      </w:r>
      <w:r>
        <w:t>proposed</w:t>
      </w:r>
      <w:r w:rsidRPr="00172767">
        <w:t xml:space="preserve"> </w:t>
      </w:r>
      <w:r>
        <w:t>indication,</w:t>
      </w:r>
      <w:r w:rsidRPr="00172767">
        <w:t xml:space="preserve"> </w:t>
      </w:r>
      <w:r>
        <w:t>including</w:t>
      </w:r>
      <w:r w:rsidRPr="00172767">
        <w:t xml:space="preserve"> </w:t>
      </w:r>
      <w:r>
        <w:t>the</w:t>
      </w:r>
      <w:r w:rsidRPr="00172767">
        <w:t xml:space="preserve"> </w:t>
      </w:r>
      <w:r>
        <w:t>specifications</w:t>
      </w:r>
      <w:r w:rsidRPr="00172767">
        <w:t xml:space="preserve"> </w:t>
      </w:r>
      <w:r w:rsidR="00AC6438">
        <w:t>that</w:t>
      </w:r>
      <w:r w:rsidRPr="00172767">
        <w:t xml:space="preserve"> </w:t>
      </w:r>
      <w:r>
        <w:t>define</w:t>
      </w:r>
      <w:r w:rsidRPr="00172767">
        <w:t xml:space="preserve"> </w:t>
      </w:r>
      <w:r>
        <w:t>a</w:t>
      </w:r>
      <w:r w:rsidRPr="00172767">
        <w:t xml:space="preserve"> </w:t>
      </w:r>
      <w:r>
        <w:t>sub-population</w:t>
      </w:r>
      <w:r w:rsidRPr="00172767">
        <w:t xml:space="preserve"> </w:t>
      </w:r>
      <w:r>
        <w:t xml:space="preserve">of the broader MG patient population, is aligned with submitted clinical data and is considered </w:t>
      </w:r>
      <w:r w:rsidRPr="00172767">
        <w:t>appropriate.</w:t>
      </w:r>
    </w:p>
    <w:p w14:paraId="6CF204FB" w14:textId="4CEDD466" w:rsidR="00A764B8" w:rsidRDefault="00A764B8" w:rsidP="007C602D">
      <w:pPr>
        <w:pStyle w:val="Heading4"/>
      </w:pPr>
      <w:bookmarkStart w:id="106" w:name="Efficacy"/>
      <w:bookmarkStart w:id="107" w:name="_Toc225173556"/>
      <w:bookmarkEnd w:id="106"/>
      <w:r>
        <w:t>Efficacy</w:t>
      </w:r>
      <w:bookmarkEnd w:id="107"/>
    </w:p>
    <w:p w14:paraId="1BB603D4" w14:textId="77777777" w:rsidR="00A764B8" w:rsidRDefault="00A764B8" w:rsidP="00172767">
      <w:pPr>
        <w:pStyle w:val="ListBullet"/>
      </w:pPr>
      <w:r>
        <w:t xml:space="preserve">Efficacy of the IV formulation of efgartigimod in </w:t>
      </w:r>
      <w:proofErr w:type="spellStart"/>
      <w:r>
        <w:t>AChR</w:t>
      </w:r>
      <w:proofErr w:type="spellEnd"/>
      <w:r>
        <w:t xml:space="preserve">-Ab seropositive patients with </w:t>
      </w:r>
      <w:proofErr w:type="spellStart"/>
      <w:r>
        <w:t>gMG</w:t>
      </w:r>
      <w:proofErr w:type="spellEnd"/>
      <w:r>
        <w:t xml:space="preserve"> was established in the pivotal Phase 3, randomised, double-blind, placebo-controlled study ARGX-113-1704. This study was conducted over 26-week duration, and enrolled and randomised 167 adult patients (129 [77.2%] </w:t>
      </w:r>
      <w:proofErr w:type="spellStart"/>
      <w:r>
        <w:t>AChR</w:t>
      </w:r>
      <w:proofErr w:type="spellEnd"/>
      <w:r>
        <w:t>-Ab seropositive) across 56 sites in 15 countries (no Australian</w:t>
      </w:r>
      <w:r w:rsidRPr="00172767">
        <w:t xml:space="preserve"> </w:t>
      </w:r>
      <w:r>
        <w:t>sites);</w:t>
      </w:r>
      <w:r w:rsidRPr="00172767">
        <w:t xml:space="preserve"> </w:t>
      </w:r>
      <w:r>
        <w:t>patients</w:t>
      </w:r>
      <w:r w:rsidRPr="00172767">
        <w:t xml:space="preserve"> </w:t>
      </w:r>
      <w:r>
        <w:t>were</w:t>
      </w:r>
      <w:r w:rsidRPr="00172767">
        <w:t xml:space="preserve"> </w:t>
      </w:r>
      <w:r>
        <w:t>predominantly</w:t>
      </w:r>
      <w:r w:rsidRPr="00172767">
        <w:t xml:space="preserve"> </w:t>
      </w:r>
      <w:r>
        <w:t>female,</w:t>
      </w:r>
      <w:r w:rsidRPr="00172767">
        <w:t xml:space="preserve"> </w:t>
      </w:r>
      <w:r>
        <w:t>white</w:t>
      </w:r>
      <w:r w:rsidRPr="00172767">
        <w:t xml:space="preserve"> </w:t>
      </w:r>
      <w:r>
        <w:t>race,</w:t>
      </w:r>
      <w:r w:rsidRPr="00172767">
        <w:t xml:space="preserve"> </w:t>
      </w:r>
      <w:r>
        <w:t>with</w:t>
      </w:r>
      <w:r w:rsidRPr="00172767">
        <w:t xml:space="preserve"> </w:t>
      </w:r>
      <w:r>
        <w:t>a</w:t>
      </w:r>
      <w:r w:rsidRPr="00172767">
        <w:t xml:space="preserve"> </w:t>
      </w:r>
      <w:r>
        <w:t>mean</w:t>
      </w:r>
      <w:r w:rsidRPr="00172767">
        <w:t xml:space="preserve"> </w:t>
      </w:r>
      <w:r>
        <w:t>age</w:t>
      </w:r>
      <w:r w:rsidRPr="00172767">
        <w:t xml:space="preserve"> </w:t>
      </w:r>
      <w:r>
        <w:t>of</w:t>
      </w:r>
      <w:r w:rsidRPr="00172767">
        <w:t xml:space="preserve"> </w:t>
      </w:r>
      <w:r>
        <w:t>45.9</w:t>
      </w:r>
      <w:r w:rsidRPr="00172767">
        <w:t xml:space="preserve"> </w:t>
      </w:r>
      <w:r>
        <w:t xml:space="preserve">years in the efgartigimod treatment group and 48.2 years in the placebo group. Diagnosis and classification of </w:t>
      </w:r>
      <w:proofErr w:type="spellStart"/>
      <w:r>
        <w:t>gMG</w:t>
      </w:r>
      <w:proofErr w:type="spellEnd"/>
      <w:r>
        <w:t xml:space="preserve"> was undertaken using clinically appropriate methods. The study population is considered</w:t>
      </w:r>
      <w:r w:rsidRPr="00172767">
        <w:t xml:space="preserve"> </w:t>
      </w:r>
      <w:r>
        <w:t>generally reflective</w:t>
      </w:r>
      <w:r w:rsidRPr="00172767">
        <w:t xml:space="preserve"> </w:t>
      </w:r>
      <w:r>
        <w:t>of Australian patients with</w:t>
      </w:r>
      <w:r w:rsidRPr="00172767">
        <w:t xml:space="preserve"> </w:t>
      </w:r>
      <w:proofErr w:type="spellStart"/>
      <w:r>
        <w:t>gMG</w:t>
      </w:r>
      <w:proofErr w:type="spellEnd"/>
      <w:r>
        <w:t>.</w:t>
      </w:r>
      <w:r w:rsidRPr="00172767">
        <w:t xml:space="preserve"> </w:t>
      </w:r>
      <w:r>
        <w:t xml:space="preserve">There were broad study exclusion criteria; notable were exclusions related to infection and malignancy risk factors, any vaccination in the preceding 4 weeks, and patients with a known autoimmune disorder. Given the biological plausibility that efgartigimod may increase risk of infection based on its mechanism of action, the fact that patients with </w:t>
      </w:r>
      <w:proofErr w:type="spellStart"/>
      <w:r>
        <w:t>gMG</w:t>
      </w:r>
      <w:proofErr w:type="spellEnd"/>
      <w:r>
        <w:t xml:space="preserve"> are typically treated with concomitant immunosuppressant drugs and have an increased risk of comorbid autoimmune conditions, </w:t>
      </w:r>
      <w:proofErr w:type="gramStart"/>
      <w:r>
        <w:t>these exclusion</w:t>
      </w:r>
      <w:proofErr w:type="gramEnd"/>
      <w:r>
        <w:t xml:space="preserve"> criteria must be adequately factored into risk mitigation</w:t>
      </w:r>
      <w:r w:rsidRPr="00172767">
        <w:t xml:space="preserve"> </w:t>
      </w:r>
      <w:r>
        <w:t>mechanisms including RMP and the proposed PI. Dose selection for the efgartigimod treatment group, 10</w:t>
      </w:r>
      <w:r w:rsidRPr="00172767">
        <w:t xml:space="preserve"> </w:t>
      </w:r>
      <w:r>
        <w:t>mg/kg as a 1-hour infusion every 7 days for 4 infusions, was based</w:t>
      </w:r>
      <w:r w:rsidRPr="00172767">
        <w:t xml:space="preserve"> </w:t>
      </w:r>
      <w:r>
        <w:t>on Phase 1</w:t>
      </w:r>
      <w:r w:rsidRPr="00172767">
        <w:t xml:space="preserve"> </w:t>
      </w:r>
      <w:r>
        <w:t>clinical data and population PK/PD modelling, was adequately justified, and reflects dosing sought in this application.</w:t>
      </w:r>
    </w:p>
    <w:p w14:paraId="30BD8C32" w14:textId="77777777" w:rsidR="00A764B8" w:rsidRDefault="00A764B8" w:rsidP="00172767">
      <w:pPr>
        <w:pStyle w:val="ListBullet"/>
      </w:pPr>
      <w:r>
        <w:t>The primary efficacy endpoint was the percentage of patients who, after the first treatment cycle, had a reduction of at least 2 points on the MG-ADL total score compared to cycle baseline, for at least 4 consecutive weeks with the first decrease occurring at the latest 1 week after the last</w:t>
      </w:r>
      <w:r w:rsidRPr="00172767">
        <w:t xml:space="preserve"> </w:t>
      </w:r>
      <w:r>
        <w:t>infusion</w:t>
      </w:r>
      <w:r w:rsidRPr="00172767">
        <w:t xml:space="preserve"> </w:t>
      </w:r>
      <w:r>
        <w:t>of</w:t>
      </w:r>
      <w:r w:rsidRPr="00172767">
        <w:t xml:space="preserve"> </w:t>
      </w:r>
      <w:r>
        <w:t>study</w:t>
      </w:r>
      <w:r w:rsidRPr="00172767">
        <w:t xml:space="preserve"> </w:t>
      </w:r>
      <w:r>
        <w:t>treatment,</w:t>
      </w:r>
      <w:r w:rsidRPr="00172767">
        <w:t xml:space="preserve"> </w:t>
      </w:r>
      <w:r>
        <w:t>in</w:t>
      </w:r>
      <w:r w:rsidRPr="00172767">
        <w:t xml:space="preserve"> </w:t>
      </w:r>
      <w:r>
        <w:t>the</w:t>
      </w:r>
      <w:r w:rsidRPr="00172767">
        <w:t xml:space="preserve"> </w:t>
      </w:r>
      <w:proofErr w:type="spellStart"/>
      <w:r>
        <w:t>AChR</w:t>
      </w:r>
      <w:proofErr w:type="spellEnd"/>
      <w:r>
        <w:t>-Ab</w:t>
      </w:r>
      <w:r w:rsidRPr="00172767">
        <w:t xml:space="preserve"> </w:t>
      </w:r>
      <w:r>
        <w:t>seropositive</w:t>
      </w:r>
      <w:r w:rsidRPr="00172767">
        <w:t xml:space="preserve"> </w:t>
      </w:r>
      <w:r>
        <w:t>population</w:t>
      </w:r>
      <w:r w:rsidRPr="00172767">
        <w:t xml:space="preserve"> </w:t>
      </w:r>
      <w:r>
        <w:t>(‘MG-ADL</w:t>
      </w:r>
      <w:r w:rsidRPr="00172767">
        <w:t xml:space="preserve"> </w:t>
      </w:r>
      <w:r>
        <w:t>responders’).</w:t>
      </w:r>
    </w:p>
    <w:p w14:paraId="1E82099E" w14:textId="77777777" w:rsidR="00A764B8" w:rsidRDefault="00A764B8" w:rsidP="00172767">
      <w:pPr>
        <w:pStyle w:val="ListBullet"/>
      </w:pPr>
      <w:r>
        <w:t>The MG-ADL scale is patient-reported and was complemented by a physician-reported scale, QMG, as the first secondary efficacy endpoint, with both scales adequately validated and used previously in clinical studies for MG. The MG-ADL responder endpoint was met in 44 (67.7%) patients in the efgartigimod treatment group compared to 19 (29.7%) in the placebo group. Based on pre-specified analysis, the treatment difference was 38.0%, with an OR of 4.95 (95%</w:t>
      </w:r>
      <w:r w:rsidRPr="00172767">
        <w:t xml:space="preserve"> </w:t>
      </w:r>
      <w:r>
        <w:t>CI</w:t>
      </w:r>
      <w:r w:rsidRPr="00172767">
        <w:t xml:space="preserve"> </w:t>
      </w:r>
      <w:r>
        <w:t>2.21;</w:t>
      </w:r>
      <w:r w:rsidRPr="00172767">
        <w:t xml:space="preserve"> </w:t>
      </w:r>
      <w:r>
        <w:t>11.53),</w:t>
      </w:r>
      <w:r w:rsidRPr="00172767">
        <w:t xml:space="preserve"> </w:t>
      </w:r>
      <w:r>
        <w:t>with</w:t>
      </w:r>
      <w:r w:rsidRPr="00172767">
        <w:t xml:space="preserve"> </w:t>
      </w:r>
      <w:r>
        <w:t>p&lt;0.0001.</w:t>
      </w:r>
      <w:r w:rsidRPr="00172767">
        <w:t xml:space="preserve"> </w:t>
      </w:r>
      <w:r>
        <w:t>The</w:t>
      </w:r>
      <w:r w:rsidRPr="00172767">
        <w:t xml:space="preserve"> </w:t>
      </w:r>
      <w:r>
        <w:t>first</w:t>
      </w:r>
      <w:r w:rsidRPr="00172767">
        <w:t xml:space="preserve"> </w:t>
      </w:r>
      <w:r>
        <w:t>three</w:t>
      </w:r>
      <w:r w:rsidRPr="00172767">
        <w:t xml:space="preserve"> </w:t>
      </w:r>
      <w:r>
        <w:t>secondary</w:t>
      </w:r>
      <w:r w:rsidRPr="00172767">
        <w:t xml:space="preserve"> </w:t>
      </w:r>
      <w:r>
        <w:t>efficacy</w:t>
      </w:r>
      <w:r w:rsidRPr="00172767">
        <w:t xml:space="preserve"> </w:t>
      </w:r>
      <w:r>
        <w:t>endpoints</w:t>
      </w:r>
      <w:r w:rsidRPr="00172767">
        <w:t xml:space="preserve"> </w:t>
      </w:r>
      <w:r>
        <w:t>based</w:t>
      </w:r>
      <w:r w:rsidRPr="00172767">
        <w:t xml:space="preserve"> </w:t>
      </w:r>
      <w:r>
        <w:t>on</w:t>
      </w:r>
      <w:r w:rsidRPr="00172767">
        <w:t xml:space="preserve"> </w:t>
      </w:r>
      <w:r>
        <w:t>QMG</w:t>
      </w:r>
      <w:r w:rsidRPr="00172767">
        <w:t xml:space="preserve"> </w:t>
      </w:r>
      <w:r>
        <w:t xml:space="preserve">score and other MG-ADL analyses were met. As noted above, there was no observed treatment effect difference between efgartigimod and placebo in the </w:t>
      </w:r>
      <w:proofErr w:type="spellStart"/>
      <w:r>
        <w:t>AChR</w:t>
      </w:r>
      <w:proofErr w:type="spellEnd"/>
      <w:r>
        <w:t>-Ab seronegative population, with a high placebo response rate in this population that is not readily explained, including on further analysis undertaken during the EMA assessment.</w:t>
      </w:r>
      <w:r w:rsidRPr="00172767">
        <w:t xml:space="preserve"> </w:t>
      </w:r>
      <w:r>
        <w:t xml:space="preserve">The Delegate agrees with the assessment of both EMA and TGA evaluators that these results are statistically significant and clinically meaningful for the </w:t>
      </w:r>
      <w:proofErr w:type="spellStart"/>
      <w:r>
        <w:t>AChR</w:t>
      </w:r>
      <w:proofErr w:type="spellEnd"/>
      <w:r>
        <w:t>-Ab seropositive population and are sufficient to establish short-term efficacy following the first treatment cycle.</w:t>
      </w:r>
    </w:p>
    <w:p w14:paraId="7E607B30" w14:textId="77777777" w:rsidR="0083579A" w:rsidRDefault="0083579A">
      <w:pPr>
        <w:rPr>
          <w:rFonts w:eastAsia="Cambria" w:cs="Times New Roman"/>
          <w:color w:val="000000" w:themeColor="text1"/>
        </w:rPr>
      </w:pPr>
      <w:r>
        <w:br w:type="page"/>
      </w:r>
    </w:p>
    <w:p w14:paraId="7DB7B036" w14:textId="46928761" w:rsidR="00A764B8" w:rsidRDefault="00A764B8" w:rsidP="00172767">
      <w:pPr>
        <w:pStyle w:val="ListBullet"/>
      </w:pPr>
      <w:r>
        <w:lastRenderedPageBreak/>
        <w:t xml:space="preserve">Establishing longer-term efficacy is important given the chronic and fluctuating disease course typical of </w:t>
      </w:r>
      <w:proofErr w:type="spellStart"/>
      <w:r>
        <w:t>gMG</w:t>
      </w:r>
      <w:proofErr w:type="spellEnd"/>
      <w:r>
        <w:t>. Study ARGX-113-1705, the open-label, long-term extension of study ARGX-113-1704,</w:t>
      </w:r>
      <w:r w:rsidRPr="00172767">
        <w:t xml:space="preserve"> </w:t>
      </w:r>
      <w:r>
        <w:t>provides</w:t>
      </w:r>
      <w:r w:rsidRPr="00172767">
        <w:t xml:space="preserve"> </w:t>
      </w:r>
      <w:r>
        <w:t>evidence</w:t>
      </w:r>
      <w:r w:rsidRPr="00172767">
        <w:t xml:space="preserve"> </w:t>
      </w:r>
      <w:r>
        <w:t>to</w:t>
      </w:r>
      <w:r w:rsidRPr="00172767">
        <w:t xml:space="preserve"> </w:t>
      </w:r>
      <w:r>
        <w:t>support</w:t>
      </w:r>
      <w:r w:rsidRPr="00172767">
        <w:t xml:space="preserve"> </w:t>
      </w:r>
      <w:r>
        <w:t>claims</w:t>
      </w:r>
      <w:r w:rsidRPr="00172767">
        <w:t xml:space="preserve"> </w:t>
      </w:r>
      <w:r>
        <w:t>of</w:t>
      </w:r>
      <w:r w:rsidRPr="00172767">
        <w:t xml:space="preserve"> </w:t>
      </w:r>
      <w:r>
        <w:t>efficacy</w:t>
      </w:r>
      <w:r w:rsidRPr="00172767">
        <w:t xml:space="preserve"> </w:t>
      </w:r>
      <w:r>
        <w:t>through</w:t>
      </w:r>
      <w:r w:rsidRPr="00172767">
        <w:t xml:space="preserve"> </w:t>
      </w:r>
      <w:r>
        <w:t>repeat</w:t>
      </w:r>
      <w:r w:rsidRPr="00172767">
        <w:t xml:space="preserve"> </w:t>
      </w:r>
      <w:r>
        <w:t>treatment</w:t>
      </w:r>
      <w:r w:rsidRPr="00172767">
        <w:t xml:space="preserve"> </w:t>
      </w:r>
      <w:r>
        <w:t>cycles,</w:t>
      </w:r>
      <w:r w:rsidRPr="00172767">
        <w:t xml:space="preserve"> </w:t>
      </w:r>
      <w:r>
        <w:t>albeit</w:t>
      </w:r>
      <w:r w:rsidRPr="00172767">
        <w:t xml:space="preserve"> </w:t>
      </w:r>
      <w:r>
        <w:t>not in a randomised controlled study design. Of the 167 patients enrolled in the antecedent study, 151 had rolled over into ARGX-113-1705, and 139 patients had received at least 1 dose of efgartigimod in the study, with 110 patients ongoing on study treatment at the time of data cut-off. Notably, efficacy endpoints in this study were exploratory, and differed from those used in the antecedent study, comprising change in MG-ADL score and QMG score from cycle baseline.</w:t>
      </w:r>
    </w:p>
    <w:p w14:paraId="0AF00234" w14:textId="3D401FD3" w:rsidR="00A764B8" w:rsidRDefault="00A764B8" w:rsidP="00172767">
      <w:pPr>
        <w:pStyle w:val="ListBullet"/>
      </w:pPr>
      <w:r>
        <w:t>Based on descriptive statistics for the efficacy endpoints, efficacy of efgartigimod appears sustained</w:t>
      </w:r>
      <w:r w:rsidRPr="00172767">
        <w:t xml:space="preserve"> </w:t>
      </w:r>
      <w:r>
        <w:t>up</w:t>
      </w:r>
      <w:r w:rsidRPr="00172767">
        <w:t xml:space="preserve"> </w:t>
      </w:r>
      <w:r>
        <w:t>to</w:t>
      </w:r>
      <w:r w:rsidRPr="00172767">
        <w:t xml:space="preserve"> </w:t>
      </w:r>
      <w:r>
        <w:t>at</w:t>
      </w:r>
      <w:r w:rsidRPr="00172767">
        <w:t xml:space="preserve"> </w:t>
      </w:r>
      <w:r>
        <w:t>least</w:t>
      </w:r>
      <w:r w:rsidRPr="00172767">
        <w:t xml:space="preserve"> </w:t>
      </w:r>
      <w:r>
        <w:t>9</w:t>
      </w:r>
      <w:r w:rsidRPr="00172767">
        <w:t xml:space="preserve"> </w:t>
      </w:r>
      <w:r>
        <w:t>treatment</w:t>
      </w:r>
      <w:r w:rsidRPr="00172767">
        <w:t xml:space="preserve"> </w:t>
      </w:r>
      <w:r>
        <w:t>cycles,</w:t>
      </w:r>
      <w:r w:rsidRPr="00172767">
        <w:t xml:space="preserve"> </w:t>
      </w:r>
      <w:r>
        <w:t>however,</w:t>
      </w:r>
      <w:r w:rsidRPr="00172767">
        <w:t xml:space="preserve"> </w:t>
      </w:r>
      <w:r>
        <w:t>interpretation</w:t>
      </w:r>
      <w:r w:rsidRPr="00172767">
        <w:t xml:space="preserve"> </w:t>
      </w:r>
      <w:r>
        <w:t>of</w:t>
      </w:r>
      <w:r w:rsidRPr="00172767">
        <w:t xml:space="preserve"> </w:t>
      </w:r>
      <w:r>
        <w:t>results</w:t>
      </w:r>
      <w:r w:rsidRPr="00172767">
        <w:t xml:space="preserve"> </w:t>
      </w:r>
      <w:r>
        <w:t>for</w:t>
      </w:r>
      <w:r w:rsidRPr="00172767">
        <w:t xml:space="preserve"> </w:t>
      </w:r>
      <w:r>
        <w:t>later</w:t>
      </w:r>
      <w:r w:rsidRPr="00172767">
        <w:t xml:space="preserve"> </w:t>
      </w:r>
      <w:r>
        <w:t>treatment cycles is difficult given low patient numbers. Notwithstanding concerns relating to open-label study design, choice of efficacy endpoints and low patient numbers completing multiple treatment cycles, when considered alongside results of the antecedent study ARGX-113-1704 and considering the relative rarity of MG conferring difficulty in conducting long-term efficacy studies, ARGX-113-1705 does provide evidence to support the efficacy of efgartigimod across repeated treatment cycles.</w:t>
      </w:r>
    </w:p>
    <w:p w14:paraId="34913EA9" w14:textId="77777777" w:rsidR="00A764B8" w:rsidRDefault="00A764B8" w:rsidP="00172767">
      <w:pPr>
        <w:pStyle w:val="ListBullet"/>
      </w:pPr>
      <w:r>
        <w:t xml:space="preserve">Demonstration of efficacy of efgartigimod in the SC formulation relies in part on the use of primary PD and secondary efficacy endpoints in study ARGX-113-2001 to bridge the IV and SC formulations, as the basis for extrapolation of efficacy data generated during clinical development of the IV formulation. Study ARGX-113-2001 was a Phase 3, open-label, parallel-group, 12-week study comparing the IV and SC formulations, with the primary objective of demonstrating non-inferiority (margin 10%) between the formulations in terms of percent reduction from baseline in total IgG levels at day 29, over a single treatment cycle. Secondary efficacy endpoints were based on MG-ADL and QMG scores. A total of 111 patients were enrolled and randomised, 55 in the SC formulation arm and 56 in the IV formulation arm, with inclusion and exclusion criteria </w:t>
      </w:r>
      <w:proofErr w:type="gramStart"/>
      <w:r>
        <w:t>similar to</w:t>
      </w:r>
      <w:proofErr w:type="gramEnd"/>
      <w:r>
        <w:t xml:space="preserve"> study ARGX-113-1704. Dose selection for the SC formulation</w:t>
      </w:r>
      <w:r w:rsidRPr="00172767">
        <w:t xml:space="preserve"> </w:t>
      </w:r>
      <w:r>
        <w:t>was</w:t>
      </w:r>
      <w:r w:rsidRPr="00172767">
        <w:t xml:space="preserve"> </w:t>
      </w:r>
      <w:r>
        <w:t>based</w:t>
      </w:r>
      <w:r w:rsidRPr="00172767">
        <w:t xml:space="preserve"> </w:t>
      </w:r>
      <w:r>
        <w:t>on</w:t>
      </w:r>
      <w:r w:rsidRPr="00172767">
        <w:t xml:space="preserve"> </w:t>
      </w:r>
      <w:r>
        <w:t>population</w:t>
      </w:r>
      <w:r w:rsidRPr="00172767">
        <w:t xml:space="preserve"> </w:t>
      </w:r>
      <w:r>
        <w:t>PK/PD</w:t>
      </w:r>
      <w:r w:rsidRPr="00172767">
        <w:t xml:space="preserve"> </w:t>
      </w:r>
      <w:r>
        <w:t>modelling,</w:t>
      </w:r>
      <w:r w:rsidRPr="00172767">
        <w:t xml:space="preserve"> </w:t>
      </w:r>
      <w:r>
        <w:t>using</w:t>
      </w:r>
      <w:r w:rsidRPr="00172767">
        <w:t xml:space="preserve"> </w:t>
      </w:r>
      <w:r>
        <w:t>data</w:t>
      </w:r>
      <w:r w:rsidRPr="00172767">
        <w:t xml:space="preserve"> </w:t>
      </w:r>
      <w:r>
        <w:t>from</w:t>
      </w:r>
      <w:r w:rsidRPr="00172767">
        <w:t xml:space="preserve"> </w:t>
      </w:r>
      <w:r>
        <w:t>study</w:t>
      </w:r>
      <w:r w:rsidRPr="00172767">
        <w:t xml:space="preserve"> </w:t>
      </w:r>
      <w:r>
        <w:t>ARGX-113-1901, which investigated the PD effect of 4 different SC doses.</w:t>
      </w:r>
    </w:p>
    <w:p w14:paraId="431DB4F5" w14:textId="77777777" w:rsidR="00A764B8" w:rsidRDefault="00A764B8" w:rsidP="00172767">
      <w:pPr>
        <w:pStyle w:val="ListBullet"/>
      </w:pPr>
      <w:r>
        <w:t xml:space="preserve">On analysis of the primary endpoint, analysed in the </w:t>
      </w:r>
      <w:proofErr w:type="spellStart"/>
      <w:r>
        <w:t>AChR</w:t>
      </w:r>
      <w:proofErr w:type="spellEnd"/>
      <w:r>
        <w:t>-Ab seropositive population, LSM reduction in total IgG at day 29 compared to baseline was -66.9 (95% CI -69.78, -64.02) in the SC</w:t>
      </w:r>
      <w:r w:rsidRPr="00172767">
        <w:t xml:space="preserve"> </w:t>
      </w:r>
      <w:r>
        <w:t>formulation</w:t>
      </w:r>
      <w:r w:rsidRPr="00172767">
        <w:t xml:space="preserve"> </w:t>
      </w:r>
      <w:r>
        <w:t>group</w:t>
      </w:r>
      <w:r w:rsidRPr="00172767">
        <w:t xml:space="preserve"> </w:t>
      </w:r>
      <w:r>
        <w:t>and</w:t>
      </w:r>
      <w:r w:rsidRPr="00172767">
        <w:t xml:space="preserve"> </w:t>
      </w:r>
      <w:r>
        <w:t>-62.4</w:t>
      </w:r>
      <w:r w:rsidRPr="00172767">
        <w:t xml:space="preserve"> </w:t>
      </w:r>
      <w:r>
        <w:t>(95%</w:t>
      </w:r>
      <w:r w:rsidRPr="00172767">
        <w:t xml:space="preserve"> </w:t>
      </w:r>
      <w:r>
        <w:t>CI</w:t>
      </w:r>
      <w:r w:rsidRPr="00172767">
        <w:t xml:space="preserve"> </w:t>
      </w:r>
      <w:r>
        <w:t>-65.22,</w:t>
      </w:r>
      <w:r w:rsidRPr="00172767">
        <w:t xml:space="preserve"> </w:t>
      </w:r>
      <w:r>
        <w:t>-59.59)</w:t>
      </w:r>
      <w:r w:rsidRPr="00172767">
        <w:t xml:space="preserve"> </w:t>
      </w:r>
      <w:r>
        <w:t>in</w:t>
      </w:r>
      <w:r w:rsidRPr="00172767">
        <w:t xml:space="preserve"> </w:t>
      </w:r>
      <w:r>
        <w:t>the</w:t>
      </w:r>
      <w:r w:rsidRPr="00172767">
        <w:t xml:space="preserve"> </w:t>
      </w:r>
      <w:r>
        <w:t>IV</w:t>
      </w:r>
      <w:r w:rsidRPr="00172767">
        <w:t xml:space="preserve"> </w:t>
      </w:r>
      <w:r>
        <w:t>formulation</w:t>
      </w:r>
      <w:r w:rsidRPr="00172767">
        <w:t xml:space="preserve"> </w:t>
      </w:r>
      <w:r>
        <w:t>group,</w:t>
      </w:r>
      <w:r w:rsidRPr="00172767">
        <w:t xml:space="preserve"> </w:t>
      </w:r>
      <w:r>
        <w:t>giving</w:t>
      </w:r>
      <w:r w:rsidRPr="00172767">
        <w:t xml:space="preserve"> </w:t>
      </w:r>
      <w:r>
        <w:t xml:space="preserve">LSM difference of -4.5 (95% CI -8.53, 0.46), meeting pre-specified criteria for non-inferiority (p&lt;0.0001). Non-inferiority criteria were also met in the overall population. </w:t>
      </w:r>
      <w:r w:rsidRPr="00172767">
        <w:t xml:space="preserve">Post-hoc </w:t>
      </w:r>
      <w:r>
        <w:t xml:space="preserve">analysis showed that reduction in </w:t>
      </w:r>
      <w:proofErr w:type="spellStart"/>
      <w:r>
        <w:t>AChR</w:t>
      </w:r>
      <w:proofErr w:type="spellEnd"/>
      <w:r>
        <w:t>-Ab levels followed a similar trajectory to total IgG. Analysis of secondary efficacy endpoints showed similar treatment effect between the IV and SC formulations in terms of</w:t>
      </w:r>
      <w:r w:rsidRPr="00172767">
        <w:t xml:space="preserve"> </w:t>
      </w:r>
      <w:r>
        <w:t>MG-ADL and QMG response, providing supportive evidence</w:t>
      </w:r>
      <w:r w:rsidRPr="00172767">
        <w:t xml:space="preserve"> </w:t>
      </w:r>
      <w:r>
        <w:t>of efficacy for the SC formulation, though noting that statistical analysis had no provision for multiplicity.</w:t>
      </w:r>
    </w:p>
    <w:p w14:paraId="3017D070" w14:textId="67DDF822" w:rsidR="00A764B8" w:rsidRDefault="00A764B8" w:rsidP="00172767">
      <w:pPr>
        <w:pStyle w:val="ListBullet"/>
      </w:pPr>
      <w:r>
        <w:t>A</w:t>
      </w:r>
      <w:r w:rsidRPr="00172767">
        <w:t xml:space="preserve"> </w:t>
      </w:r>
      <w:r>
        <w:t>total of 178 participants</w:t>
      </w:r>
      <w:r w:rsidRPr="00172767">
        <w:t xml:space="preserve"> </w:t>
      </w:r>
      <w:r>
        <w:t>rolled over to the long-term open-label extension</w:t>
      </w:r>
      <w:r w:rsidRPr="00172767">
        <w:t xml:space="preserve"> </w:t>
      </w:r>
      <w:r>
        <w:t>study</w:t>
      </w:r>
      <w:r w:rsidRPr="00172767">
        <w:t xml:space="preserve"> </w:t>
      </w:r>
      <w:r>
        <w:t>for the</w:t>
      </w:r>
      <w:r w:rsidRPr="00172767">
        <w:t xml:space="preserve"> </w:t>
      </w:r>
      <w:r>
        <w:t>SC formulation</w:t>
      </w:r>
      <w:r w:rsidRPr="00172767">
        <w:t xml:space="preserve"> </w:t>
      </w:r>
      <w:r>
        <w:t>from the</w:t>
      </w:r>
      <w:r w:rsidRPr="00172767">
        <w:t xml:space="preserve"> </w:t>
      </w:r>
      <w:r>
        <w:t>antecedent</w:t>
      </w:r>
      <w:r w:rsidRPr="00172767">
        <w:t xml:space="preserve"> </w:t>
      </w:r>
      <w:r>
        <w:t>studies ARGX-113-2001</w:t>
      </w:r>
      <w:r w:rsidRPr="00172767">
        <w:t xml:space="preserve"> </w:t>
      </w:r>
      <w:r>
        <w:t>and</w:t>
      </w:r>
      <w:r w:rsidRPr="00172767">
        <w:t xml:space="preserve"> </w:t>
      </w:r>
      <w:r>
        <w:t>ARGX-113-1705.</w:t>
      </w:r>
      <w:r w:rsidRPr="00172767">
        <w:t xml:space="preserve"> </w:t>
      </w:r>
      <w:r>
        <w:t>Based</w:t>
      </w:r>
      <w:r w:rsidRPr="00172767">
        <w:t xml:space="preserve"> </w:t>
      </w:r>
      <w:r>
        <w:t>on</w:t>
      </w:r>
      <w:r w:rsidRPr="00172767">
        <w:t xml:space="preserve"> </w:t>
      </w:r>
      <w:r>
        <w:t>the efficacy</w:t>
      </w:r>
      <w:r w:rsidRPr="00172767">
        <w:t xml:space="preserve"> </w:t>
      </w:r>
      <w:r>
        <w:t>endpoint</w:t>
      </w:r>
      <w:r w:rsidRPr="00172767">
        <w:t xml:space="preserve"> </w:t>
      </w:r>
      <w:r>
        <w:t>change</w:t>
      </w:r>
      <w:r w:rsidRPr="00172767">
        <w:t xml:space="preserve"> </w:t>
      </w:r>
      <w:r>
        <w:t>in</w:t>
      </w:r>
      <w:r w:rsidRPr="00172767">
        <w:t xml:space="preserve"> </w:t>
      </w:r>
      <w:r>
        <w:t>MG-ADL</w:t>
      </w:r>
      <w:r w:rsidRPr="00172767">
        <w:t xml:space="preserve"> </w:t>
      </w:r>
      <w:r>
        <w:t>score</w:t>
      </w:r>
      <w:r w:rsidRPr="00172767">
        <w:t xml:space="preserve"> </w:t>
      </w:r>
      <w:r>
        <w:t>from</w:t>
      </w:r>
      <w:r w:rsidRPr="00172767">
        <w:t xml:space="preserve"> </w:t>
      </w:r>
      <w:r>
        <w:t>baseline,</w:t>
      </w:r>
      <w:r w:rsidRPr="00172767">
        <w:t xml:space="preserve"> </w:t>
      </w:r>
      <w:r>
        <w:t>interim</w:t>
      </w:r>
      <w:r w:rsidRPr="00172767">
        <w:t xml:space="preserve"> </w:t>
      </w:r>
      <w:r>
        <w:t>results</w:t>
      </w:r>
      <w:r w:rsidRPr="00172767">
        <w:t xml:space="preserve"> </w:t>
      </w:r>
      <w:r>
        <w:t>for</w:t>
      </w:r>
      <w:r w:rsidRPr="00172767">
        <w:t xml:space="preserve"> </w:t>
      </w:r>
      <w:r>
        <w:t>ARGX-113-</w:t>
      </w:r>
      <w:r w:rsidRPr="00172767">
        <w:t>2002</w:t>
      </w:r>
      <w:r w:rsidR="00172767">
        <w:t xml:space="preserve"> </w:t>
      </w:r>
      <w:r>
        <w:t>provide</w:t>
      </w:r>
      <w:r>
        <w:rPr>
          <w:spacing w:val="-5"/>
        </w:rPr>
        <w:t xml:space="preserve"> </w:t>
      </w:r>
      <w:r>
        <w:t>supportive</w:t>
      </w:r>
      <w:r>
        <w:rPr>
          <w:spacing w:val="-3"/>
        </w:rPr>
        <w:t xml:space="preserve"> </w:t>
      </w:r>
      <w:r>
        <w:t>evidence</w:t>
      </w:r>
      <w:r>
        <w:rPr>
          <w:spacing w:val="-3"/>
        </w:rPr>
        <w:t xml:space="preserve"> </w:t>
      </w:r>
      <w:r>
        <w:t>for</w:t>
      </w:r>
      <w:r>
        <w:rPr>
          <w:spacing w:val="-5"/>
        </w:rPr>
        <w:t xml:space="preserve"> </w:t>
      </w:r>
      <w:r>
        <w:t>sustained</w:t>
      </w:r>
      <w:r>
        <w:rPr>
          <w:spacing w:val="-3"/>
        </w:rPr>
        <w:t xml:space="preserve"> </w:t>
      </w:r>
      <w:r>
        <w:t>effect</w:t>
      </w:r>
      <w:r>
        <w:rPr>
          <w:spacing w:val="-3"/>
        </w:rPr>
        <w:t xml:space="preserve"> </w:t>
      </w:r>
      <w:r>
        <w:t>for</w:t>
      </w:r>
      <w:r>
        <w:rPr>
          <w:spacing w:val="-3"/>
        </w:rPr>
        <w:t xml:space="preserve"> </w:t>
      </w:r>
      <w:r>
        <w:t>the</w:t>
      </w:r>
      <w:r>
        <w:rPr>
          <w:spacing w:val="-3"/>
        </w:rPr>
        <w:t xml:space="preserve"> </w:t>
      </w:r>
      <w:r>
        <w:t>SC</w:t>
      </w:r>
      <w:r>
        <w:rPr>
          <w:spacing w:val="-2"/>
        </w:rPr>
        <w:t xml:space="preserve"> </w:t>
      </w:r>
      <w:r>
        <w:t>formulation</w:t>
      </w:r>
      <w:r>
        <w:rPr>
          <w:spacing w:val="-4"/>
        </w:rPr>
        <w:t xml:space="preserve"> </w:t>
      </w:r>
      <w:r>
        <w:t>through</w:t>
      </w:r>
      <w:r>
        <w:rPr>
          <w:spacing w:val="-5"/>
        </w:rPr>
        <w:t xml:space="preserve"> </w:t>
      </w:r>
      <w:r>
        <w:t>4</w:t>
      </w:r>
      <w:r>
        <w:rPr>
          <w:spacing w:val="-3"/>
        </w:rPr>
        <w:t xml:space="preserve"> </w:t>
      </w:r>
      <w:r>
        <w:t xml:space="preserve">treatment </w:t>
      </w:r>
      <w:r>
        <w:rPr>
          <w:spacing w:val="-2"/>
        </w:rPr>
        <w:t>cycles.</w:t>
      </w:r>
    </w:p>
    <w:p w14:paraId="6F5E32AE" w14:textId="77777777" w:rsidR="00307BB5" w:rsidRDefault="00A764B8" w:rsidP="00603788">
      <w:pPr>
        <w:pStyle w:val="ListBullet"/>
      </w:pPr>
      <w:r w:rsidRPr="00603788">
        <w:t xml:space="preserve">The Delegate agrees with the TGA evaluator that study ARGX-113-2001, by virtue of its study design, statistical analysis and choice of endpoints, does not meet the threshold for one controlled study with statistically compelling and clinically relevant results as per TGA-adopted guidance for applications with one pivotal study, and as such would be insufficient as a pivotal efficacy study to support registration of a standalone new biological/chemical entity. However, the relevant background is that this study was primarily intended to support an application for line extension for a product already registered by the EMA (efgartigimod in the IV formulation), analogous to a Type F (Major Variation) application to the TGA. </w:t>
      </w:r>
    </w:p>
    <w:p w14:paraId="1CA4202C" w14:textId="29925F49" w:rsidR="00A764B8" w:rsidRDefault="00A764B8" w:rsidP="00603788">
      <w:pPr>
        <w:pStyle w:val="ListBullet"/>
      </w:pPr>
      <w:r w:rsidRPr="00603788">
        <w:lastRenderedPageBreak/>
        <w:t>Pragmatically, the Delegate intends to consider the dossier in totality, and as such, will consider the SC formulation (and its associated pivotal study ARGX-113-2001) in relation to the submitted clinical data for the IV formulation. In this context, the Delegate agrees with the EMA assessment that whil</w:t>
      </w:r>
      <w:r w:rsidR="00D01347">
        <w:t>e</w:t>
      </w:r>
      <w:r w:rsidRPr="00603788">
        <w:t xml:space="preserve"> the primary endpoint in study ARGX-113-2001, reduction in total IgG levels at day 29, is insufficient on its own to establish therapeutic equivalence between the two formulations, when considered alongside the post-hoc analysis showing comparable reductions in </w:t>
      </w:r>
      <w:proofErr w:type="spellStart"/>
      <w:r w:rsidRPr="00603788">
        <w:t>AChR</w:t>
      </w:r>
      <w:proofErr w:type="spellEnd"/>
      <w:r w:rsidRPr="00603788">
        <w:t>-Ab levels, as well as clinical pharmacology and efficacy data for both formulations in the dossier, there is sufficient evidence overall to support therapeutic equivalence. Therefore, in the Delegate’s opinion, efficacy data for the IV formulation can be used to support claims of efficacy for the SC formulation.</w:t>
      </w:r>
    </w:p>
    <w:p w14:paraId="25E9F16D" w14:textId="77777777" w:rsidR="00B17D83" w:rsidRDefault="00A764B8" w:rsidP="00D87A14">
      <w:pPr>
        <w:pStyle w:val="ListBullet"/>
      </w:pPr>
      <w:r>
        <w:t xml:space="preserve">Long-term maintenance of effect remains an uncertainty based on submitted efficacy data, particularly considering the likely need for repeated treatment cycles over the long-term for </w:t>
      </w:r>
      <w:proofErr w:type="spellStart"/>
      <w:r>
        <w:t>gMG</w:t>
      </w:r>
      <w:proofErr w:type="spellEnd"/>
      <w:r>
        <w:t xml:space="preserve"> patients treated with efgartigimod. Efficacy has not been tested beyond 2 cycles in randomised controlled study design, and the total number of patients undergoing multiple treatment cycles across the submitted studies for both formulations is low. However, weighing the</w:t>
      </w:r>
      <w:r w:rsidRPr="00D87A14">
        <w:t xml:space="preserve"> </w:t>
      </w:r>
      <w:r>
        <w:t>rarity</w:t>
      </w:r>
      <w:r w:rsidRPr="00D87A14">
        <w:t xml:space="preserve"> </w:t>
      </w:r>
      <w:r>
        <w:t>of</w:t>
      </w:r>
      <w:r w:rsidRPr="00D87A14">
        <w:t xml:space="preserve"> </w:t>
      </w:r>
      <w:proofErr w:type="spellStart"/>
      <w:r>
        <w:t>gMG</w:t>
      </w:r>
      <w:proofErr w:type="spellEnd"/>
      <w:r>
        <w:t>,</w:t>
      </w:r>
      <w:r w:rsidRPr="00D87A14">
        <w:t xml:space="preserve"> </w:t>
      </w:r>
      <w:r>
        <w:t>the</w:t>
      </w:r>
      <w:r w:rsidRPr="00D87A14">
        <w:t xml:space="preserve"> </w:t>
      </w:r>
      <w:r>
        <w:t>absence</w:t>
      </w:r>
      <w:r w:rsidRPr="00D87A14">
        <w:t xml:space="preserve"> </w:t>
      </w:r>
      <w:r>
        <w:t>of</w:t>
      </w:r>
      <w:r w:rsidRPr="00D87A14">
        <w:t xml:space="preserve"> </w:t>
      </w:r>
      <w:r>
        <w:t>TGA-adopted</w:t>
      </w:r>
      <w:r w:rsidRPr="00D87A14">
        <w:t xml:space="preserve"> </w:t>
      </w:r>
      <w:r>
        <w:t>guidance</w:t>
      </w:r>
      <w:r w:rsidRPr="00D87A14">
        <w:t xml:space="preserve"> </w:t>
      </w:r>
      <w:r>
        <w:t>or</w:t>
      </w:r>
      <w:r w:rsidRPr="00D87A14">
        <w:t xml:space="preserve"> </w:t>
      </w:r>
      <w:r>
        <w:t>guidance</w:t>
      </w:r>
      <w:r w:rsidRPr="00D87A14">
        <w:t xml:space="preserve"> </w:t>
      </w:r>
      <w:r>
        <w:t>published</w:t>
      </w:r>
      <w:r w:rsidRPr="00D87A14">
        <w:t xml:space="preserve"> </w:t>
      </w:r>
      <w:r>
        <w:t>by</w:t>
      </w:r>
      <w:r w:rsidRPr="00D87A14">
        <w:t xml:space="preserve"> </w:t>
      </w:r>
      <w:r>
        <w:t>international regulators regarding therapies for</w:t>
      </w:r>
      <w:r w:rsidRPr="00D87A14">
        <w:t xml:space="preserve"> </w:t>
      </w:r>
      <w:proofErr w:type="spellStart"/>
      <w:r>
        <w:t>gMG</w:t>
      </w:r>
      <w:proofErr w:type="spellEnd"/>
      <w:r>
        <w:t>, and the fact that pivotal</w:t>
      </w:r>
      <w:r w:rsidRPr="00D87A14">
        <w:t xml:space="preserve"> </w:t>
      </w:r>
      <w:r>
        <w:t>study</w:t>
      </w:r>
      <w:r w:rsidRPr="00D87A14">
        <w:t xml:space="preserve"> </w:t>
      </w:r>
      <w:r>
        <w:t>ARGX-113-1704</w:t>
      </w:r>
      <w:r w:rsidRPr="00D87A14">
        <w:t xml:space="preserve"> </w:t>
      </w:r>
      <w:r>
        <w:t xml:space="preserve">is well-conducted, adequately powered, with validated efficacy endpoints, and statistically significant and clinically meaningful results, this is considered acceptable. Further, whilst clinical development did not generate comparative efficacy data between efgartigimod and an active comparator despite the existence of approved therapies for </w:t>
      </w:r>
      <w:proofErr w:type="spellStart"/>
      <w:r>
        <w:t>gMG</w:t>
      </w:r>
      <w:proofErr w:type="spellEnd"/>
      <w:r>
        <w:t>, the use of standard-of-care concomitant therapies throughout clinical studies for most patients at stable doses is considered reasonable to demonstrate treatment effect for efgartigimod.</w:t>
      </w:r>
      <w:r w:rsidRPr="00D87A14">
        <w:t xml:space="preserve"> </w:t>
      </w:r>
    </w:p>
    <w:p w14:paraId="5F72F666" w14:textId="700FB6EF" w:rsidR="00A764B8" w:rsidRPr="00FF435E" w:rsidRDefault="00A764B8" w:rsidP="00D87A14">
      <w:pPr>
        <w:pStyle w:val="ListBullet"/>
      </w:pPr>
      <w:r w:rsidRPr="00FF435E">
        <w:t>Overall, the Delegate is satisfied that efficacy has been adequately demonstrated for efgartigimod in the proposed indication, for both proposed formulations. The proposed dosing regimen for each formulation reflects dosing in the pivotal studies.</w:t>
      </w:r>
    </w:p>
    <w:p w14:paraId="7E17EE8E" w14:textId="77777777" w:rsidR="00A764B8" w:rsidRPr="0009322C" w:rsidRDefault="00A764B8" w:rsidP="007C602D">
      <w:pPr>
        <w:pStyle w:val="Heading4"/>
      </w:pPr>
      <w:bookmarkStart w:id="108" w:name="Safety"/>
      <w:bookmarkStart w:id="109" w:name="_Toc225173557"/>
      <w:bookmarkEnd w:id="108"/>
      <w:r w:rsidRPr="0009322C">
        <w:t>Safety</w:t>
      </w:r>
      <w:bookmarkEnd w:id="109"/>
    </w:p>
    <w:p w14:paraId="7727C281" w14:textId="77777777" w:rsidR="00A764B8" w:rsidRPr="0009322C" w:rsidRDefault="00A764B8" w:rsidP="0014209D">
      <w:pPr>
        <w:pStyle w:val="BodyText"/>
        <w:spacing w:before="121"/>
        <w:ind w:left="0" w:right="322"/>
        <w:rPr>
          <w:rFonts w:ascii="Cambria" w:eastAsia="Cambria" w:hAnsi="Cambria" w:cs="Times New Roman"/>
          <w:color w:val="000000" w:themeColor="text1"/>
          <w:szCs w:val="20"/>
          <w:lang w:val="en-AU"/>
        </w:rPr>
      </w:pPr>
      <w:r w:rsidRPr="0009322C">
        <w:rPr>
          <w:rFonts w:ascii="Cambria" w:eastAsia="Cambria" w:hAnsi="Cambria" w:cs="Times New Roman"/>
          <w:color w:val="000000" w:themeColor="text1"/>
          <w:szCs w:val="20"/>
          <w:lang w:val="en-AU"/>
        </w:rPr>
        <w:t>Overall, evaluable safety data showed efgartigimod to be generally well-tolerated in healthy subjects and the target population, with most observed AEs during clinical development being mild or moderate severity and relatively few SAEs attributed to study treatment. Increased risk of infection is an identified safety concern, which accords with efgartigimod’s mechanism of action, whilst long-term safety remains uncertain and is appropriately addressed in the RMP. In the COR assessment, evaluation of the SC formulation sought identifiable differences in safety profile compared to the IV formulation, with differences mainly attributable to injection related reactions.</w:t>
      </w:r>
    </w:p>
    <w:p w14:paraId="0766FAB5" w14:textId="77777777" w:rsidR="00DA12ED" w:rsidRDefault="00A764B8" w:rsidP="00721B49">
      <w:pPr>
        <w:pStyle w:val="BodyText"/>
        <w:spacing w:before="119"/>
        <w:ind w:left="0" w:right="340"/>
        <w:rPr>
          <w:rFonts w:ascii="Cambria" w:eastAsia="Cambria" w:hAnsi="Cambria" w:cs="Times New Roman"/>
          <w:color w:val="000000" w:themeColor="text1"/>
          <w:szCs w:val="20"/>
          <w:lang w:val="en-AU"/>
        </w:rPr>
      </w:pPr>
      <w:r w:rsidRPr="0009322C">
        <w:rPr>
          <w:rFonts w:ascii="Cambria" w:eastAsia="Cambria" w:hAnsi="Cambria" w:cs="Times New Roman"/>
          <w:color w:val="000000" w:themeColor="text1"/>
          <w:szCs w:val="20"/>
          <w:lang w:val="en-AU"/>
        </w:rPr>
        <w:t>In pooled safety data for the IV formulation 84.0% of all efgartigimod treated patients experienced ≥1 TEAE and 15.4% experienced ≥1 SAE. In pivotal study ARGX-113-1704 the most common TEAEs by PT were headache (28.6% in the efgartigimod group vs. 27.7% in the placebo group), nasopharyngitis (11.9% vs. 18.1%), upper respiratory infection (10.7% vs.</w:t>
      </w:r>
      <w:r w:rsidR="00721B49">
        <w:rPr>
          <w:rFonts w:ascii="Cambria" w:eastAsia="Cambria" w:hAnsi="Cambria" w:cs="Times New Roman"/>
          <w:color w:val="000000" w:themeColor="text1"/>
          <w:szCs w:val="20"/>
          <w:lang w:val="en-AU"/>
        </w:rPr>
        <w:t xml:space="preserve"> </w:t>
      </w:r>
      <w:r w:rsidRPr="0009322C">
        <w:rPr>
          <w:rFonts w:ascii="Cambria" w:eastAsia="Cambria" w:hAnsi="Cambria" w:cs="Times New Roman"/>
          <w:color w:val="000000" w:themeColor="text1"/>
          <w:szCs w:val="20"/>
          <w:lang w:val="en-AU"/>
        </w:rPr>
        <w:t xml:space="preserve">4.8%), urinary tract infection (9.5% vs. 4.8%) and nausea (8.3% vs. 10.8%). </w:t>
      </w:r>
    </w:p>
    <w:p w14:paraId="09D69129" w14:textId="3CF2B23E" w:rsidR="00A764B8" w:rsidRPr="0009322C" w:rsidRDefault="00A764B8" w:rsidP="00721B49">
      <w:pPr>
        <w:pStyle w:val="BodyText"/>
        <w:spacing w:before="119"/>
        <w:ind w:left="0" w:right="340"/>
        <w:rPr>
          <w:rFonts w:ascii="Cambria" w:eastAsia="Cambria" w:hAnsi="Cambria" w:cs="Times New Roman"/>
          <w:color w:val="000000" w:themeColor="text1"/>
          <w:szCs w:val="20"/>
          <w:lang w:val="en-AU"/>
        </w:rPr>
      </w:pPr>
      <w:r w:rsidRPr="0009322C">
        <w:rPr>
          <w:rFonts w:ascii="Cambria" w:eastAsia="Cambria" w:hAnsi="Cambria" w:cs="Times New Roman"/>
          <w:color w:val="000000" w:themeColor="text1"/>
          <w:szCs w:val="20"/>
          <w:lang w:val="en-AU"/>
        </w:rPr>
        <w:t>The most common category of TEAEs overall was SOC ‘infections and infestations’, observed in 39 (46.4%) patients in the efgartigimod group and 31 (37.3%) patients in the placebo group. In pooled data most</w:t>
      </w:r>
      <w:r w:rsidR="00A83801" w:rsidRPr="0009322C">
        <w:rPr>
          <w:rFonts w:ascii="Cambria" w:eastAsia="Cambria" w:hAnsi="Cambria" w:cs="Times New Roman"/>
          <w:color w:val="000000" w:themeColor="text1"/>
          <w:szCs w:val="20"/>
          <w:lang w:val="en-AU"/>
        </w:rPr>
        <w:t xml:space="preserve"> </w:t>
      </w:r>
      <w:r w:rsidRPr="0009322C">
        <w:rPr>
          <w:rFonts w:ascii="Cambria" w:eastAsia="Cambria" w:hAnsi="Cambria" w:cs="Times New Roman"/>
          <w:color w:val="000000" w:themeColor="text1"/>
          <w:szCs w:val="20"/>
          <w:lang w:val="en-AU"/>
        </w:rPr>
        <w:t>infections were mild to moderate, with 12 events in 8 patients classified as grade ≥3 severity. Herpes viral infections, candidiasis and vulvovaginal mycotic infection were only reported in efgartigimod-treated subjects. Across study ARGX-113-1704 and the extension study -1705 there were 8 infections classified as SAEs, 5 of which occurred in the ‘efgartigimod-efgartigimod’ group in study -1705, with PTs COVID-19, COVID-19 pneumonia and dysentery, and 1 of the 5 recorded deaths in pooled data for the IV formulation was due to infections (COVID-19, pneumonia, UTI and septic shock). Whil</w:t>
      </w:r>
      <w:r w:rsidR="00721B49">
        <w:rPr>
          <w:rFonts w:ascii="Cambria" w:eastAsia="Cambria" w:hAnsi="Cambria" w:cs="Times New Roman"/>
          <w:color w:val="000000" w:themeColor="text1"/>
          <w:szCs w:val="20"/>
          <w:lang w:val="en-AU"/>
        </w:rPr>
        <w:t>e</w:t>
      </w:r>
      <w:r w:rsidRPr="0009322C">
        <w:rPr>
          <w:rFonts w:ascii="Cambria" w:eastAsia="Cambria" w:hAnsi="Cambria" w:cs="Times New Roman"/>
          <w:color w:val="000000" w:themeColor="text1"/>
          <w:szCs w:val="20"/>
          <w:lang w:val="en-AU"/>
        </w:rPr>
        <w:t xml:space="preserve"> </w:t>
      </w:r>
      <w:proofErr w:type="gramStart"/>
      <w:r w:rsidRPr="0009322C">
        <w:rPr>
          <w:rFonts w:ascii="Cambria" w:eastAsia="Cambria" w:hAnsi="Cambria" w:cs="Times New Roman"/>
          <w:color w:val="000000" w:themeColor="text1"/>
          <w:szCs w:val="20"/>
          <w:lang w:val="en-AU"/>
        </w:rPr>
        <w:t>the majority of</w:t>
      </w:r>
      <w:proofErr w:type="gramEnd"/>
      <w:r w:rsidRPr="0009322C">
        <w:rPr>
          <w:rFonts w:ascii="Cambria" w:eastAsia="Cambria" w:hAnsi="Cambria" w:cs="Times New Roman"/>
          <w:color w:val="000000" w:themeColor="text1"/>
          <w:szCs w:val="20"/>
          <w:lang w:val="en-AU"/>
        </w:rPr>
        <w:t xml:space="preserve"> infections in pooled safety data were mild to moderate in nature, and the investigator assessed all infections among SAEs and deaths as not related to study treatment, </w:t>
      </w:r>
      <w:r w:rsidRPr="0009322C">
        <w:rPr>
          <w:rFonts w:ascii="Cambria" w:eastAsia="Cambria" w:hAnsi="Cambria" w:cs="Times New Roman"/>
          <w:color w:val="000000" w:themeColor="text1"/>
          <w:szCs w:val="20"/>
          <w:lang w:val="en-AU"/>
        </w:rPr>
        <w:lastRenderedPageBreak/>
        <w:t>it is biologically plausible that efgartigimod may increase risk of infection, which is adequately addressed in the RMP and proposed PI.</w:t>
      </w:r>
    </w:p>
    <w:p w14:paraId="078B7710" w14:textId="77777777" w:rsidR="00A764B8" w:rsidRPr="0009322C" w:rsidRDefault="00A764B8" w:rsidP="0014209D">
      <w:pPr>
        <w:pStyle w:val="BodyText"/>
        <w:spacing w:before="121"/>
        <w:ind w:left="0" w:right="302"/>
        <w:rPr>
          <w:rFonts w:ascii="Cambria" w:eastAsia="Cambria" w:hAnsi="Cambria" w:cs="Times New Roman"/>
          <w:color w:val="000000" w:themeColor="text1"/>
          <w:szCs w:val="20"/>
          <w:lang w:val="en-AU"/>
        </w:rPr>
      </w:pPr>
      <w:r w:rsidRPr="0009322C">
        <w:rPr>
          <w:rFonts w:ascii="Cambria" w:eastAsia="Cambria" w:hAnsi="Cambria" w:cs="Times New Roman"/>
          <w:color w:val="000000" w:themeColor="text1"/>
          <w:szCs w:val="20"/>
          <w:lang w:val="en-AU"/>
        </w:rPr>
        <w:t>In pooled data for the IV formulation there were 5 deaths in the total efgartigimod group, and an additional 2 deaths in patients receiving SC efgartigimod in study ARGX-113-2002, the long-term extension for the SC formulation. Apart from the death caused by infections addressed above, other causes of death included cardiovascular disease, lung cancer, myasthenic crisis, metastatic renal cancer, and COVID-19 with respiratory failure. Case narratives for each event outline alternative risks factors in each case, supporting the investigator’s assessment that none of the events were related to study treatment.</w:t>
      </w:r>
    </w:p>
    <w:p w14:paraId="0C6357E3" w14:textId="77777777" w:rsidR="00A764B8" w:rsidRPr="0009322C" w:rsidRDefault="00A764B8" w:rsidP="0014209D">
      <w:pPr>
        <w:pStyle w:val="BodyText"/>
        <w:spacing w:before="120"/>
        <w:ind w:left="0" w:right="302"/>
        <w:rPr>
          <w:rFonts w:ascii="Cambria" w:eastAsia="Cambria" w:hAnsi="Cambria" w:cs="Times New Roman"/>
          <w:color w:val="000000" w:themeColor="text1"/>
          <w:szCs w:val="20"/>
          <w:lang w:val="en-AU"/>
        </w:rPr>
      </w:pPr>
      <w:r w:rsidRPr="0009322C">
        <w:rPr>
          <w:rFonts w:ascii="Cambria" w:eastAsia="Cambria" w:hAnsi="Cambria" w:cs="Times New Roman"/>
          <w:color w:val="000000" w:themeColor="text1"/>
          <w:szCs w:val="20"/>
          <w:lang w:val="en-AU"/>
        </w:rPr>
        <w:t>For the SC formulation specifically study ARGX-113-2001 provides comparative safety data with the IV formulation, with rates of TEAEs, SAEs and CTCAE Grade 3 or higher AEs reported more frequently for the SC formulation: 67.3% vs. 50.59%, 14.5% vs. 7.3%, and 43.6% vs. 21.8% respectively. These differences were mainly attributable to injection site reactions, observed in 38.2% with the SC formulation compared to 1.8% for the IV formulation. In pooled data for the SC formulation administration site conditions were the most common SOC, with injection site erythema the most common PT overall (26.8%), with other common PTs comparable to the profile observed for the IV formulation, with headache (17.3%), COVID-19 (12.5%), nasopharyngitis (6.5%) and diarrhoea (7.1%) occurring commonly. Reassuringly, whilst observed commonly, all injection-related reactions in study ARGX-113-2001 were localised, and CTCAE Grades 1 or 2, with none classified as serious.</w:t>
      </w:r>
    </w:p>
    <w:p w14:paraId="5A2F6659" w14:textId="77777777" w:rsidR="00A764B8" w:rsidRPr="0009322C" w:rsidRDefault="00A764B8" w:rsidP="0014209D">
      <w:pPr>
        <w:pStyle w:val="BodyText"/>
        <w:spacing w:before="120"/>
        <w:ind w:left="0" w:right="332"/>
        <w:rPr>
          <w:rFonts w:ascii="Cambria" w:eastAsia="Cambria" w:hAnsi="Cambria" w:cs="Times New Roman"/>
          <w:color w:val="000000" w:themeColor="text1"/>
          <w:szCs w:val="20"/>
          <w:lang w:val="en-AU"/>
        </w:rPr>
      </w:pPr>
      <w:r w:rsidRPr="0009322C">
        <w:rPr>
          <w:rFonts w:ascii="Cambria" w:eastAsia="Cambria" w:hAnsi="Cambria" w:cs="Times New Roman"/>
          <w:color w:val="000000" w:themeColor="text1"/>
          <w:szCs w:val="20"/>
          <w:lang w:val="en-AU"/>
        </w:rPr>
        <w:t>There were fewer SAEs recorded in study ARGX-113-2001 compared to the pooled data for the IV formulation, with 8 (14.5%) patients in the SC formulation group and 4 (7.3%) patients in the IV formulation group (compared to 15.4% experiencing ≥1 SAE in pooled IV formulation data), however, the comparison is limited by low numbers overall in study -2001. The most common SAE observed was myasthenia gravis, accounting for 5 events in the SC formulation group and 1 in the IV formulation group. No SAEs were assessed as related to study treatment by the investigators. In pooled data for the SC formulation rate and severity of infection was generally comparable to that seen for the IV formulation, though with a slightly lower overall rate for the SC formulation (33.9%). Most common infections by PT were COVID-19, nasopharyngitis, and upper respiratory tract infection. Most infections were mild to moderate, with infection in 6 (3.6%) participants classified as serious (cellulitis, COVID-19 pneumonia, diarrhoea, pneumonia, rotavirus).</w:t>
      </w:r>
    </w:p>
    <w:p w14:paraId="677637BA" w14:textId="77777777" w:rsidR="00A764B8" w:rsidRDefault="00A764B8" w:rsidP="0014209D">
      <w:pPr>
        <w:pStyle w:val="BodyText"/>
        <w:spacing w:before="120"/>
        <w:ind w:left="0" w:right="339"/>
        <w:rPr>
          <w:rFonts w:ascii="Cambria" w:eastAsia="Cambria" w:hAnsi="Cambria" w:cs="Times New Roman"/>
          <w:color w:val="000000" w:themeColor="text1"/>
          <w:szCs w:val="20"/>
          <w:lang w:val="en-AU"/>
        </w:rPr>
      </w:pPr>
      <w:r w:rsidRPr="0009322C">
        <w:rPr>
          <w:rFonts w:ascii="Cambria" w:eastAsia="Cambria" w:hAnsi="Cambria" w:cs="Times New Roman"/>
          <w:color w:val="000000" w:themeColor="text1"/>
          <w:szCs w:val="20"/>
          <w:lang w:val="en-AU"/>
        </w:rPr>
        <w:t>Considered collectively long-term safety data in the submission is somewhat limited. The COR assessment for the IV formulation included 118 patients treated with efgartigimod for at least 12 months, and 33 patients treated for at least 18 months, whilst for the SC formulation specifically no patients were treated beyond 12 months. The primary associated risk is that rare adverse events may not be captured, which is particularly relevant for a medication that will likely require repeated treatment cycles over the long-term. The relative lack of long-term data may also impede characterisation of identified signals, such as infection. Risk mitigation strategies outlined in the RMP are reasonable and proportionate, and the sponsor will be asked to provide any additional relevant safety data not already submitted.</w:t>
      </w:r>
    </w:p>
    <w:p w14:paraId="6EAFE105" w14:textId="7323A30E" w:rsidR="00A764B8" w:rsidRPr="0009322C" w:rsidRDefault="00A764B8" w:rsidP="004F3C47">
      <w:pPr>
        <w:pStyle w:val="BodyText"/>
        <w:spacing w:before="120"/>
        <w:ind w:left="0" w:right="340"/>
        <w:rPr>
          <w:rFonts w:ascii="Cambria" w:eastAsia="Cambria" w:hAnsi="Cambria" w:cs="Times New Roman"/>
          <w:color w:val="000000" w:themeColor="text1"/>
          <w:szCs w:val="20"/>
          <w:lang w:val="en-AU"/>
        </w:rPr>
      </w:pPr>
      <w:r w:rsidRPr="0009322C">
        <w:rPr>
          <w:rFonts w:ascii="Cambria" w:eastAsia="Cambria" w:hAnsi="Cambria" w:cs="Times New Roman"/>
          <w:color w:val="000000" w:themeColor="text1"/>
          <w:szCs w:val="20"/>
          <w:lang w:val="en-AU"/>
        </w:rPr>
        <w:t>Additional risks and uncertainties identified during COR and TGA evaluation include a lack of data relating to pregnant women, effect on efficacy of vaccines, use of live/attenuated vaccines, concomitant use with monoclonal antibodies, use in moderate to severe renal impairment and use in immunocompromised patients. In safety data for the IV formulation from studies ARGX-113-1704 and -1705 there were 11 events of neoplasms recorded among 8 efgartigimod-treated patients, compared to 1 event in the placebo-treated group. The EMA assessment cited published literature regarding the role of IgG responses in tumour-associated immunity</w:t>
      </w:r>
      <w:hyperlink w:anchor="_bookmark11" w:history="1">
        <w:r w:rsidRPr="0009322C">
          <w:rPr>
            <w:rFonts w:ascii="Cambria" w:eastAsia="Cambria" w:hAnsi="Cambria" w:cs="Times New Roman"/>
            <w:color w:val="000000" w:themeColor="text1"/>
            <w:szCs w:val="20"/>
            <w:lang w:val="en-AU"/>
          </w:rPr>
          <w:t>12</w:t>
        </w:r>
      </w:hyperlink>
      <w:r w:rsidRPr="0009322C">
        <w:rPr>
          <w:rFonts w:ascii="Cambria" w:eastAsia="Cambria" w:hAnsi="Cambria" w:cs="Times New Roman"/>
          <w:color w:val="000000" w:themeColor="text1"/>
          <w:szCs w:val="20"/>
          <w:lang w:val="en-AU"/>
        </w:rPr>
        <w:t xml:space="preserve"> and a suggested role for </w:t>
      </w:r>
      <w:proofErr w:type="spellStart"/>
      <w:r w:rsidRPr="0009322C">
        <w:rPr>
          <w:rFonts w:ascii="Cambria" w:eastAsia="Cambria" w:hAnsi="Cambria" w:cs="Times New Roman"/>
          <w:color w:val="000000" w:themeColor="text1"/>
          <w:szCs w:val="20"/>
          <w:lang w:val="en-AU"/>
        </w:rPr>
        <w:t>FcRn</w:t>
      </w:r>
      <w:proofErr w:type="spellEnd"/>
      <w:r w:rsidRPr="0009322C">
        <w:rPr>
          <w:rFonts w:ascii="Cambria" w:eastAsia="Cambria" w:hAnsi="Cambria" w:cs="Times New Roman"/>
          <w:color w:val="000000" w:themeColor="text1"/>
          <w:szCs w:val="20"/>
          <w:lang w:val="en-AU"/>
        </w:rPr>
        <w:t xml:space="preserve"> in anti-tumour immune surveillance</w:t>
      </w:r>
      <w:hyperlink w:anchor="_bookmark12" w:history="1">
        <w:r w:rsidRPr="0009322C">
          <w:rPr>
            <w:rFonts w:ascii="Cambria" w:eastAsia="Cambria" w:hAnsi="Cambria" w:cs="Times New Roman"/>
            <w:color w:val="000000" w:themeColor="text1"/>
            <w:szCs w:val="20"/>
            <w:lang w:val="en-AU"/>
          </w:rPr>
          <w:t>13</w:t>
        </w:r>
      </w:hyperlink>
      <w:r w:rsidRPr="0009322C">
        <w:rPr>
          <w:rFonts w:ascii="Cambria" w:eastAsia="Cambria" w:hAnsi="Cambria" w:cs="Times New Roman"/>
          <w:color w:val="000000" w:themeColor="text1"/>
          <w:szCs w:val="20"/>
          <w:lang w:val="en-AU"/>
        </w:rPr>
        <w:t xml:space="preserve"> and included malignancies as an Important Potential Risk in the RMP. The Australian RMP is consistent with this.</w:t>
      </w:r>
    </w:p>
    <w:p w14:paraId="3916F296" w14:textId="77777777" w:rsidR="00C22214" w:rsidRPr="00DE2CEF" w:rsidRDefault="00C22214" w:rsidP="00DE2CEF">
      <w:pPr>
        <w:pStyle w:val="Heading4"/>
      </w:pPr>
      <w:bookmarkStart w:id="110" w:name="Proposed_conditions_of_registration"/>
      <w:bookmarkStart w:id="111" w:name="_Toc98931933"/>
      <w:bookmarkStart w:id="112" w:name="_Toc225173558"/>
      <w:bookmarkEnd w:id="110"/>
      <w:r w:rsidRPr="00DE2CEF">
        <w:lastRenderedPageBreak/>
        <w:t>Proposed action</w:t>
      </w:r>
      <w:bookmarkEnd w:id="111"/>
      <w:bookmarkEnd w:id="112"/>
    </w:p>
    <w:p w14:paraId="582D4ED5" w14:textId="77777777" w:rsidR="006F488D" w:rsidRDefault="00744D6A" w:rsidP="008472D2">
      <w:pPr>
        <w:pStyle w:val="BodyText"/>
        <w:spacing w:before="120"/>
        <w:ind w:left="0" w:right="342"/>
        <w:rPr>
          <w:rFonts w:ascii="Cambria" w:eastAsia="Cambria" w:hAnsi="Cambria" w:cs="Times New Roman"/>
          <w:color w:val="000000" w:themeColor="text1"/>
          <w:szCs w:val="20"/>
          <w:lang w:val="en-AU"/>
        </w:rPr>
      </w:pPr>
      <w:r w:rsidRPr="008472D2">
        <w:rPr>
          <w:rFonts w:ascii="Cambria" w:eastAsia="Cambria" w:hAnsi="Cambria" w:cs="Times New Roman"/>
          <w:color w:val="000000" w:themeColor="text1"/>
          <w:szCs w:val="20"/>
          <w:lang w:val="en-AU"/>
        </w:rPr>
        <w:t xml:space="preserve">The submitted data </w:t>
      </w:r>
      <w:r w:rsidR="008472D2" w:rsidRPr="008472D2">
        <w:rPr>
          <w:rFonts w:ascii="Cambria" w:eastAsia="Cambria" w:hAnsi="Cambria" w:cs="Times New Roman"/>
          <w:color w:val="000000" w:themeColor="text1"/>
          <w:szCs w:val="20"/>
          <w:lang w:val="en-AU"/>
        </w:rPr>
        <w:t>supports</w:t>
      </w:r>
      <w:r w:rsidR="006F488D">
        <w:rPr>
          <w:rFonts w:ascii="Cambria" w:eastAsia="Cambria" w:hAnsi="Cambria" w:cs="Times New Roman"/>
          <w:color w:val="000000" w:themeColor="text1"/>
          <w:szCs w:val="20"/>
          <w:lang w:val="en-AU"/>
        </w:rPr>
        <w:t>:</w:t>
      </w:r>
    </w:p>
    <w:p w14:paraId="387DBD5D" w14:textId="401232D9" w:rsidR="00BB754F" w:rsidRDefault="00744D6A" w:rsidP="006F488D">
      <w:pPr>
        <w:pStyle w:val="ListBullet"/>
        <w:numPr>
          <w:ilvl w:val="0"/>
          <w:numId w:val="31"/>
        </w:numPr>
        <w:ind w:left="357" w:hanging="357"/>
      </w:pPr>
      <w:r w:rsidRPr="008472D2">
        <w:t>a favourable benefit-risk profile for V</w:t>
      </w:r>
      <w:r w:rsidR="008472D2">
        <w:t>yvgart</w:t>
      </w:r>
      <w:r w:rsidRPr="008472D2">
        <w:t xml:space="preserve"> (efgartigimod alfa), for use as an add on to standard therapy for the treatment of adult patients with generalized Myasthenia Gravis who are anti acetylcholine receptor antibody positive </w:t>
      </w:r>
    </w:p>
    <w:p w14:paraId="0C4B97EA" w14:textId="7FC76549" w:rsidR="00744D6A" w:rsidRPr="008472D2" w:rsidRDefault="00BB754F" w:rsidP="006F488D">
      <w:pPr>
        <w:pStyle w:val="ListBullet"/>
        <w:numPr>
          <w:ilvl w:val="0"/>
          <w:numId w:val="31"/>
        </w:numPr>
        <w:ind w:left="357" w:hanging="357"/>
      </w:pPr>
      <w:r>
        <w:t>registration of</w:t>
      </w:r>
      <w:r w:rsidR="00744D6A" w:rsidRPr="008472D2">
        <w:t xml:space="preserve"> V</w:t>
      </w:r>
      <w:r w:rsidR="00234FDC">
        <w:t>yvgart</w:t>
      </w:r>
      <w:r w:rsidR="00744D6A" w:rsidRPr="008472D2">
        <w:t xml:space="preserve"> for the proposed indication, in both formulations included in this submission: 400 mg/20 mL concentrated solution for intravenous infusion vial and 1000 mg/5.6 mL solution for injection vial (for subcutaneous injection).</w:t>
      </w:r>
    </w:p>
    <w:p w14:paraId="307F236C" w14:textId="69CED7B8" w:rsidR="00C22214" w:rsidRPr="002E238E" w:rsidRDefault="0046285C" w:rsidP="00C22214">
      <w:pPr>
        <w:pStyle w:val="Heading2"/>
      </w:pPr>
      <w:bookmarkStart w:id="113" w:name="_Toc247691532"/>
      <w:bookmarkStart w:id="114" w:name="_Toc314842516"/>
      <w:bookmarkStart w:id="115" w:name="_Toc103679300"/>
      <w:bookmarkStart w:id="116" w:name="_Toc225173559"/>
      <w:r>
        <w:t>Assessment</w:t>
      </w:r>
      <w:r w:rsidR="00190853">
        <w:t xml:space="preserve"> </w:t>
      </w:r>
      <w:r>
        <w:t>o</w:t>
      </w:r>
      <w:r w:rsidR="00C22214">
        <w:t>utcome</w:t>
      </w:r>
      <w:bookmarkEnd w:id="113"/>
      <w:bookmarkEnd w:id="114"/>
      <w:bookmarkEnd w:id="115"/>
      <w:bookmarkEnd w:id="116"/>
    </w:p>
    <w:p w14:paraId="3DB2CC1B" w14:textId="2A294BA2" w:rsidR="00D256A8" w:rsidRDefault="00C22214" w:rsidP="0006104E">
      <w:r w:rsidRPr="0017005C">
        <w:t xml:space="preserve">Based on a review of quality, safety, and efficacy, the TGA </w:t>
      </w:r>
      <w:r w:rsidR="00B46DFB">
        <w:t>decided to</w:t>
      </w:r>
      <w:r w:rsidRPr="0017005C">
        <w:t xml:space="preserve"> regist</w:t>
      </w:r>
      <w:r w:rsidR="00B46DFB">
        <w:t>er</w:t>
      </w:r>
      <w:r w:rsidR="00471004">
        <w:t>:</w:t>
      </w:r>
      <w:r w:rsidRPr="0017005C">
        <w:t xml:space="preserve"> </w:t>
      </w:r>
    </w:p>
    <w:p w14:paraId="2FC1D49B" w14:textId="3549A723" w:rsidR="00C51611" w:rsidRPr="00C87B89" w:rsidRDefault="00C51611" w:rsidP="00C51611">
      <w:pPr>
        <w:pStyle w:val="ListBullet"/>
        <w:numPr>
          <w:ilvl w:val="0"/>
          <w:numId w:val="31"/>
        </w:numPr>
        <w:ind w:left="357" w:hanging="357"/>
      </w:pPr>
      <w:r w:rsidRPr="00C87B89">
        <w:t>V</w:t>
      </w:r>
      <w:r w:rsidR="005A01AF">
        <w:t>yvgart</w:t>
      </w:r>
      <w:r w:rsidRPr="00C87B89">
        <w:t xml:space="preserve"> efgartigimod alfa 1000 mg/5.6 mL solution for injection vial</w:t>
      </w:r>
      <w:r w:rsidR="005A01AF">
        <w:t xml:space="preserve"> (</w:t>
      </w:r>
      <w:r w:rsidR="005A01AF" w:rsidRPr="00C87B89">
        <w:t>444954</w:t>
      </w:r>
      <w:r w:rsidR="005A01AF">
        <w:t>)</w:t>
      </w:r>
    </w:p>
    <w:p w14:paraId="1802F1F4" w14:textId="2C160D12" w:rsidR="00D256A8" w:rsidRPr="00C87B89" w:rsidRDefault="00C51611" w:rsidP="00D5511F">
      <w:pPr>
        <w:pStyle w:val="ListBullet"/>
        <w:numPr>
          <w:ilvl w:val="0"/>
          <w:numId w:val="31"/>
        </w:numPr>
        <w:ind w:left="357" w:hanging="357"/>
      </w:pPr>
      <w:r w:rsidRPr="00C87B89">
        <w:t>V</w:t>
      </w:r>
      <w:r w:rsidR="005A01AF">
        <w:t>yvgart</w:t>
      </w:r>
      <w:r w:rsidRPr="00C87B89">
        <w:t xml:space="preserve"> efgartigimod alfa 400 mg/20 mL concentrated injection</w:t>
      </w:r>
      <w:r w:rsidR="00DF7809" w:rsidRPr="00C87B89">
        <w:t xml:space="preserve"> </w:t>
      </w:r>
      <w:r w:rsidRPr="00C87B89">
        <w:t>for intravenous infusion vial</w:t>
      </w:r>
      <w:r w:rsidR="005A01AF">
        <w:t xml:space="preserve"> (</w:t>
      </w:r>
      <w:r w:rsidR="005A01AF" w:rsidRPr="00C87B89">
        <w:t>444955</w:t>
      </w:r>
      <w:r w:rsidR="005A01AF">
        <w:t>)</w:t>
      </w:r>
    </w:p>
    <w:p w14:paraId="3F0F2035" w14:textId="6C307DB2" w:rsidR="00DF7809" w:rsidRDefault="00DF7809" w:rsidP="00DF7809">
      <w:pPr>
        <w:autoSpaceDE w:val="0"/>
        <w:autoSpaceDN w:val="0"/>
        <w:adjustRightInd w:val="0"/>
        <w:spacing w:after="0" w:line="240" w:lineRule="auto"/>
        <w:rPr>
          <w:rFonts w:cs="Cambria"/>
          <w:szCs w:val="22"/>
        </w:rPr>
      </w:pPr>
      <w:r w:rsidRPr="00C87B89">
        <w:rPr>
          <w:rFonts w:cs="Cambria"/>
          <w:szCs w:val="22"/>
        </w:rPr>
        <w:t xml:space="preserve">The approved indication </w:t>
      </w:r>
      <w:r w:rsidR="00391820" w:rsidRPr="00C87B89">
        <w:rPr>
          <w:rFonts w:cs="Cambria"/>
          <w:szCs w:val="22"/>
        </w:rPr>
        <w:t>for both f</w:t>
      </w:r>
      <w:r w:rsidR="00EB5963" w:rsidRPr="00C87B89">
        <w:rPr>
          <w:rFonts w:cs="Cambria"/>
          <w:szCs w:val="22"/>
        </w:rPr>
        <w:t xml:space="preserve">ormulations </w:t>
      </w:r>
      <w:r w:rsidRPr="00C87B89">
        <w:rPr>
          <w:rFonts w:cs="Cambria"/>
          <w:szCs w:val="22"/>
        </w:rPr>
        <w:t>is:</w:t>
      </w:r>
    </w:p>
    <w:p w14:paraId="23EEBF2E" w14:textId="6DC5C4A9" w:rsidR="00D256A8" w:rsidRDefault="00DF7809" w:rsidP="00901EC9">
      <w:pPr>
        <w:autoSpaceDE w:val="0"/>
        <w:autoSpaceDN w:val="0"/>
        <w:adjustRightInd w:val="0"/>
        <w:spacing w:after="0" w:line="240" w:lineRule="auto"/>
        <w:ind w:left="360"/>
      </w:pPr>
      <w:r w:rsidRPr="00901EC9">
        <w:rPr>
          <w:rFonts w:ascii="Cambria-Italic" w:hAnsi="Cambria-Italic" w:cs="Cambria-Italic"/>
          <w:i/>
          <w:iCs/>
          <w:szCs w:val="22"/>
        </w:rPr>
        <w:t>Vyvgart is indicated as an add-on to standard therapy for the treatment of adult</w:t>
      </w:r>
      <w:r w:rsidR="00901EC9">
        <w:rPr>
          <w:rFonts w:ascii="Cambria-Italic" w:hAnsi="Cambria-Italic" w:cs="Cambria-Italic"/>
          <w:i/>
          <w:iCs/>
          <w:szCs w:val="22"/>
        </w:rPr>
        <w:t xml:space="preserve"> </w:t>
      </w:r>
      <w:r w:rsidRPr="00901EC9">
        <w:rPr>
          <w:rFonts w:ascii="Cambria-Italic" w:hAnsi="Cambria-Italic" w:cs="Cambria-Italic"/>
          <w:i/>
          <w:iCs/>
          <w:szCs w:val="22"/>
        </w:rPr>
        <w:t>patients with generalised Myasthenia Gravis (</w:t>
      </w:r>
      <w:proofErr w:type="spellStart"/>
      <w:r w:rsidRPr="00901EC9">
        <w:rPr>
          <w:rFonts w:ascii="Cambria-Italic" w:hAnsi="Cambria-Italic" w:cs="Cambria-Italic"/>
          <w:i/>
          <w:iCs/>
          <w:szCs w:val="22"/>
        </w:rPr>
        <w:t>gMG</w:t>
      </w:r>
      <w:proofErr w:type="spellEnd"/>
      <w:r w:rsidRPr="00901EC9">
        <w:rPr>
          <w:rFonts w:ascii="Cambria-Italic" w:hAnsi="Cambria-Italic" w:cs="Cambria-Italic"/>
          <w:i/>
          <w:iCs/>
          <w:szCs w:val="22"/>
        </w:rPr>
        <w:t>) who are anti-acetylcholine receptor</w:t>
      </w:r>
      <w:r w:rsidR="00901EC9">
        <w:rPr>
          <w:rFonts w:ascii="Cambria-Italic" w:hAnsi="Cambria-Italic" w:cs="Cambria-Italic"/>
          <w:i/>
          <w:iCs/>
          <w:szCs w:val="22"/>
        </w:rPr>
        <w:t xml:space="preserve"> </w:t>
      </w:r>
      <w:r w:rsidRPr="00DF7809">
        <w:rPr>
          <w:rFonts w:ascii="Cambria-Italic" w:hAnsi="Cambria-Italic" w:cs="Cambria-Italic"/>
          <w:i/>
          <w:iCs/>
          <w:szCs w:val="22"/>
        </w:rPr>
        <w:t>(</w:t>
      </w:r>
      <w:proofErr w:type="spellStart"/>
      <w:r w:rsidRPr="00DF7809">
        <w:rPr>
          <w:rFonts w:ascii="Cambria-Italic" w:hAnsi="Cambria-Italic" w:cs="Cambria-Italic"/>
          <w:i/>
          <w:iCs/>
          <w:szCs w:val="22"/>
        </w:rPr>
        <w:t>AChR</w:t>
      </w:r>
      <w:proofErr w:type="spellEnd"/>
      <w:r w:rsidRPr="00DF7809">
        <w:rPr>
          <w:rFonts w:ascii="Cambria-Italic" w:hAnsi="Cambria-Italic" w:cs="Cambria-Italic"/>
          <w:i/>
          <w:iCs/>
          <w:szCs w:val="22"/>
        </w:rPr>
        <w:t>) antibody positive.</w:t>
      </w:r>
    </w:p>
    <w:p w14:paraId="0D732DA4" w14:textId="74882685" w:rsidR="00854D98" w:rsidRDefault="00854D98" w:rsidP="00906C74">
      <w:pPr>
        <w:pStyle w:val="Heading2"/>
      </w:pPr>
      <w:bookmarkStart w:id="117" w:name="_Toc225173560"/>
      <w:bookmarkStart w:id="118" w:name="_Toc103679301"/>
      <w:r w:rsidRPr="00D23139">
        <w:t>Specific conditions of registration</w:t>
      </w:r>
      <w:bookmarkEnd w:id="117"/>
      <w:r w:rsidRPr="00D23139">
        <w:t xml:space="preserve"> </w:t>
      </w:r>
      <w:bookmarkEnd w:id="118"/>
    </w:p>
    <w:p w14:paraId="63994917" w14:textId="64DA433A" w:rsidR="007C33A0" w:rsidRPr="00A275F5" w:rsidRDefault="007C33A0" w:rsidP="008B53CF">
      <w:pPr>
        <w:pStyle w:val="ListBullet"/>
        <w:numPr>
          <w:ilvl w:val="0"/>
          <w:numId w:val="31"/>
        </w:numPr>
        <w:ind w:left="357" w:hanging="357"/>
      </w:pPr>
      <w:r w:rsidRPr="00A275F5">
        <w:t>Vyvgart (efgartigimod alfa) is to be included in the Black Triangle Scheme. The PI and</w:t>
      </w:r>
      <w:r w:rsidR="00922838" w:rsidRPr="00A275F5">
        <w:t xml:space="preserve"> </w:t>
      </w:r>
      <w:r w:rsidRPr="00A275F5">
        <w:t>CMI for Vyvgart must include the black triangle symbol and mandatory accompanying</w:t>
      </w:r>
      <w:r w:rsidR="00922838" w:rsidRPr="00A275F5">
        <w:t xml:space="preserve"> </w:t>
      </w:r>
      <w:r w:rsidRPr="00A275F5">
        <w:t>text for five years, which starts from the date of first supply of the product.</w:t>
      </w:r>
    </w:p>
    <w:p w14:paraId="2F88DD9E" w14:textId="508F3385" w:rsidR="007C33A0" w:rsidRPr="007C33A0" w:rsidRDefault="007C33A0" w:rsidP="00F62B2B">
      <w:pPr>
        <w:pStyle w:val="ListBullet"/>
        <w:numPr>
          <w:ilvl w:val="0"/>
          <w:numId w:val="31"/>
        </w:numPr>
        <w:ind w:left="357" w:hanging="357"/>
      </w:pPr>
      <w:r w:rsidRPr="007C33A0">
        <w:t>The efgartigimod alfa EU-Risk Management Plan (RMP) (version 2.4, dated 11 March</w:t>
      </w:r>
      <w:r w:rsidR="006C7F38">
        <w:t xml:space="preserve"> </w:t>
      </w:r>
      <w:r w:rsidRPr="007C33A0">
        <w:t>2024, data lock point 2 March 2022), with Australian Specific Annex (version 0.2, dated</w:t>
      </w:r>
      <w:r w:rsidR="006C7F38">
        <w:t xml:space="preserve"> </w:t>
      </w:r>
      <w:r w:rsidRPr="007C33A0">
        <w:t>12 September 2024), included with submission PM-2024-01111-1-1, and any</w:t>
      </w:r>
      <w:r w:rsidR="006C7F38">
        <w:t xml:space="preserve"> </w:t>
      </w:r>
      <w:r w:rsidRPr="007C33A0">
        <w:t>subsequent revisions, as agreed with the TGA will be implemented in Australia.</w:t>
      </w:r>
    </w:p>
    <w:p w14:paraId="0F25EA69" w14:textId="77777777" w:rsidR="006C7F38" w:rsidRDefault="007C33A0" w:rsidP="007C33A0">
      <w:pPr>
        <w:pStyle w:val="ListBullet"/>
        <w:numPr>
          <w:ilvl w:val="0"/>
          <w:numId w:val="31"/>
        </w:numPr>
        <w:ind w:left="357" w:hanging="357"/>
      </w:pPr>
      <w:r w:rsidRPr="007C33A0">
        <w:t>An obligatory component of risk management plans is routine pharmacovigilance.</w:t>
      </w:r>
      <w:r w:rsidR="006C7F38">
        <w:t xml:space="preserve"> </w:t>
      </w:r>
      <w:r w:rsidRPr="007C33A0">
        <w:t>Routine pharmacovigilance includes the submission of periodic safety update reports</w:t>
      </w:r>
      <w:r w:rsidR="006C7F38">
        <w:t xml:space="preserve"> </w:t>
      </w:r>
      <w:r w:rsidRPr="007C33A0">
        <w:t>(PSURs).</w:t>
      </w:r>
    </w:p>
    <w:p w14:paraId="0BAD4FF1" w14:textId="4565DA8B" w:rsidR="00132A74" w:rsidRDefault="007C33A0" w:rsidP="00E761C8">
      <w:pPr>
        <w:pStyle w:val="ListBullet"/>
        <w:numPr>
          <w:ilvl w:val="0"/>
          <w:numId w:val="33"/>
        </w:numPr>
      </w:pPr>
      <w:r w:rsidRPr="007C33A0">
        <w:t>Reports are to be provided in line with the current published list of EU</w:t>
      </w:r>
      <w:r w:rsidR="006C7F38">
        <w:t xml:space="preserve"> </w:t>
      </w:r>
      <w:r w:rsidRPr="007C33A0">
        <w:t>reference dates and frequency of submission of PSURs until the period covered</w:t>
      </w:r>
      <w:r w:rsidR="006C7F38">
        <w:t xml:space="preserve"> </w:t>
      </w:r>
      <w:r w:rsidRPr="007C33A0">
        <w:t>by such reports is not less than three years from the date of this approval letter.</w:t>
      </w:r>
      <w:r w:rsidR="006B222A">
        <w:t xml:space="preserve"> </w:t>
      </w:r>
      <w:r w:rsidRPr="007C33A0">
        <w:t xml:space="preserve">Each report must be submitted within ninety calendar days of the data </w:t>
      </w:r>
      <w:proofErr w:type="spellStart"/>
      <w:r w:rsidRPr="007C33A0">
        <w:t>lockpoint</w:t>
      </w:r>
      <w:proofErr w:type="spellEnd"/>
      <w:r w:rsidRPr="007C33A0">
        <w:t xml:space="preserve"> for that report.</w:t>
      </w:r>
    </w:p>
    <w:p w14:paraId="5121C7A7" w14:textId="15DC8370" w:rsidR="007C33A0" w:rsidRPr="007C33A0" w:rsidRDefault="007C33A0" w:rsidP="00E761C8">
      <w:pPr>
        <w:pStyle w:val="ListBullet"/>
        <w:numPr>
          <w:ilvl w:val="0"/>
          <w:numId w:val="33"/>
        </w:numPr>
      </w:pPr>
      <w:r w:rsidRPr="007C33A0">
        <w:t>The reports are to at least meet the requirements for PSURs as described in the</w:t>
      </w:r>
      <w:r w:rsidR="00F52854">
        <w:t xml:space="preserve"> </w:t>
      </w:r>
      <w:r w:rsidRPr="007C33A0">
        <w:t>European Medicines Agency’s Guideline on good pharmacovigilance practices</w:t>
      </w:r>
      <w:r w:rsidR="00F52854">
        <w:t xml:space="preserve"> </w:t>
      </w:r>
      <w:r w:rsidRPr="007C33A0">
        <w:t>(GVP) Module VII-periodic safety update report (Rev 1), Part VII.B Structures</w:t>
      </w:r>
      <w:r w:rsidR="00F52854">
        <w:t xml:space="preserve"> </w:t>
      </w:r>
      <w:r w:rsidRPr="007C33A0">
        <w:t>and processes. Note that submission of a PSUR does not constitute an</w:t>
      </w:r>
      <w:r w:rsidR="00F52854">
        <w:t xml:space="preserve"> </w:t>
      </w:r>
      <w:r w:rsidRPr="007C33A0">
        <w:t>application to vary the registration.</w:t>
      </w:r>
    </w:p>
    <w:p w14:paraId="64B6C76A" w14:textId="77777777" w:rsidR="00496991" w:rsidRDefault="007C33A0" w:rsidP="00D00D81">
      <w:pPr>
        <w:pStyle w:val="ListBullet"/>
        <w:numPr>
          <w:ilvl w:val="0"/>
          <w:numId w:val="31"/>
        </w:numPr>
        <w:ind w:left="357" w:hanging="357"/>
      </w:pPr>
      <w:r w:rsidRPr="007C33A0">
        <w:t>Conditions of registration resulting from primary evaluation</w:t>
      </w:r>
      <w:r w:rsidR="00496991">
        <w:t>:</w:t>
      </w:r>
    </w:p>
    <w:p w14:paraId="33B84A38" w14:textId="69FB6747" w:rsidR="00496991" w:rsidRDefault="007C33A0" w:rsidP="00496991">
      <w:pPr>
        <w:pStyle w:val="ListBullet"/>
        <w:numPr>
          <w:ilvl w:val="0"/>
          <w:numId w:val="33"/>
        </w:numPr>
      </w:pPr>
      <w:r w:rsidRPr="007C33A0">
        <w:t>Provision of appropriate GMP clearances for all manufacturing sites.</w:t>
      </w:r>
    </w:p>
    <w:p w14:paraId="6CB610CB" w14:textId="77777777" w:rsidR="00496991" w:rsidRDefault="00496991">
      <w:pPr>
        <w:rPr>
          <w:rFonts w:eastAsia="Cambria" w:cs="Times New Roman"/>
          <w:color w:val="000000" w:themeColor="text1"/>
        </w:rPr>
      </w:pPr>
      <w:r>
        <w:br w:type="page"/>
      </w:r>
    </w:p>
    <w:p w14:paraId="0C09A817" w14:textId="77777777" w:rsidR="00D601CE" w:rsidRDefault="007C33A0" w:rsidP="000502ED">
      <w:pPr>
        <w:pStyle w:val="ListBullet"/>
        <w:numPr>
          <w:ilvl w:val="0"/>
          <w:numId w:val="31"/>
        </w:numPr>
        <w:ind w:left="357" w:hanging="357"/>
      </w:pPr>
      <w:r w:rsidRPr="007C33A0">
        <w:lastRenderedPageBreak/>
        <w:t xml:space="preserve">Laboratory testing </w:t>
      </w:r>
      <w:r w:rsidR="00D601CE">
        <w:t xml:space="preserve">and </w:t>
      </w:r>
      <w:r w:rsidRPr="007C33A0">
        <w:t>compliance with Certified Product Details (CPD)</w:t>
      </w:r>
      <w:r w:rsidR="00D601CE">
        <w:t xml:space="preserve"> </w:t>
      </w:r>
    </w:p>
    <w:p w14:paraId="7FED3918" w14:textId="4AB44EBF" w:rsidR="00D601CE" w:rsidRDefault="007C33A0" w:rsidP="00D601CE">
      <w:pPr>
        <w:pStyle w:val="ListBullet"/>
        <w:numPr>
          <w:ilvl w:val="0"/>
          <w:numId w:val="34"/>
        </w:numPr>
      </w:pPr>
      <w:r w:rsidRPr="007C33A0">
        <w:t>All batches of VYVGART supplied in Australia must comply with the product</w:t>
      </w:r>
      <w:r w:rsidR="00D601CE">
        <w:t xml:space="preserve"> </w:t>
      </w:r>
      <w:r w:rsidRPr="007C33A0">
        <w:t>details and specifications approved during evaluation and detailed in the</w:t>
      </w:r>
      <w:r w:rsidR="00D601CE">
        <w:t xml:space="preserve"> </w:t>
      </w:r>
      <w:r w:rsidRPr="007C33A0">
        <w:t>Certified Product Details (CPD).</w:t>
      </w:r>
      <w:r w:rsidR="00D601CE">
        <w:t xml:space="preserve"> </w:t>
      </w:r>
    </w:p>
    <w:p w14:paraId="60D8BC8C" w14:textId="77777777" w:rsidR="002070F5" w:rsidRDefault="007C33A0" w:rsidP="000B0D31">
      <w:pPr>
        <w:pStyle w:val="ListBullet"/>
        <w:numPr>
          <w:ilvl w:val="0"/>
          <w:numId w:val="34"/>
        </w:numPr>
      </w:pPr>
      <w:r w:rsidRPr="007C33A0">
        <w:t>When requested by the TGA, the Sponsor should be prepared to provide</w:t>
      </w:r>
      <w:r w:rsidR="00403AD0">
        <w:t xml:space="preserve"> </w:t>
      </w:r>
      <w:r w:rsidRPr="007C33A0">
        <w:t>product samples, specified reference materials and documentary evidence to</w:t>
      </w:r>
      <w:r w:rsidR="00403AD0">
        <w:t xml:space="preserve"> </w:t>
      </w:r>
      <w:r w:rsidRPr="007C33A0">
        <w:t xml:space="preserve">enable the TGA to conduct laboratory testing on the Product. </w:t>
      </w:r>
    </w:p>
    <w:p w14:paraId="0F90B123" w14:textId="59C00087" w:rsidR="007C33A0" w:rsidRPr="007C33A0" w:rsidRDefault="00A81BC5" w:rsidP="00747A58">
      <w:pPr>
        <w:pStyle w:val="ListBullet"/>
        <w:numPr>
          <w:ilvl w:val="0"/>
          <w:numId w:val="31"/>
        </w:numPr>
        <w:ind w:left="357" w:hanging="357"/>
      </w:pPr>
      <w:r>
        <w:t>A</w:t>
      </w:r>
      <w:r w:rsidR="007C33A0" w:rsidRPr="007C33A0">
        <w:t xml:space="preserve">n updated </w:t>
      </w:r>
      <w:r w:rsidR="00056C4C">
        <w:t>Certified Product Details (</w:t>
      </w:r>
      <w:r w:rsidR="007C33A0" w:rsidRPr="007C33A0">
        <w:t>CPD</w:t>
      </w:r>
      <w:r w:rsidR="00056C4C">
        <w:t>)</w:t>
      </w:r>
      <w:r w:rsidR="007C33A0" w:rsidRPr="007C33A0">
        <w:t xml:space="preserve"> should be provided when changes to</w:t>
      </w:r>
      <w:r w:rsidR="001F22D2">
        <w:t xml:space="preserve"> </w:t>
      </w:r>
      <w:r w:rsidR="007C33A0" w:rsidRPr="007C33A0">
        <w:t>finished product specifications and test methods are approved in a Category 3</w:t>
      </w:r>
      <w:r w:rsidR="001F22D2">
        <w:t xml:space="preserve"> </w:t>
      </w:r>
      <w:r w:rsidR="007C33A0" w:rsidRPr="007C33A0">
        <w:t>application or notified through a self-assessable change.</w:t>
      </w:r>
    </w:p>
    <w:p w14:paraId="357C6496" w14:textId="7FCCE8C2" w:rsidR="007C33A0" w:rsidRPr="007C33A0" w:rsidRDefault="007C33A0" w:rsidP="00C87AFB">
      <w:pPr>
        <w:pStyle w:val="ListBullet"/>
        <w:numPr>
          <w:ilvl w:val="0"/>
          <w:numId w:val="33"/>
        </w:numPr>
      </w:pPr>
      <w:r w:rsidRPr="007C33A0">
        <w:t>A template for preparation of CPD for biological prescription medicines can be</w:t>
      </w:r>
      <w:r w:rsidR="00F2687E">
        <w:t xml:space="preserve"> </w:t>
      </w:r>
      <w:r w:rsidRPr="007C33A0">
        <w:t>obtained from the TGA website</w:t>
      </w:r>
      <w:r w:rsidR="00F2687E">
        <w:t>:</w:t>
      </w:r>
    </w:p>
    <w:p w14:paraId="22A6DBEE" w14:textId="0E23AB81" w:rsidR="007C33A0" w:rsidRPr="007C33A0" w:rsidRDefault="007C33A0" w:rsidP="00C87AFB">
      <w:pPr>
        <w:ind w:left="357" w:firstLine="360"/>
      </w:pPr>
      <w:r w:rsidRPr="007C33A0">
        <w:t xml:space="preserve">[for the form] </w:t>
      </w:r>
      <w:hyperlink r:id="rId47" w:history="1">
        <w:r w:rsidR="00C57885" w:rsidRPr="007C33A0">
          <w:rPr>
            <w:rStyle w:val="Hyperlink"/>
          </w:rPr>
          <w:t>https://www.tga.gov.au/form/certified-product-details-cpd-</w:t>
        </w:r>
      </w:hyperlink>
      <w:r w:rsidR="00C87AFB">
        <w:tab/>
      </w:r>
      <w:proofErr w:type="spellStart"/>
      <w:r w:rsidRPr="007C33A0">
        <w:t>biologicalprescription</w:t>
      </w:r>
      <w:proofErr w:type="spellEnd"/>
      <w:r w:rsidRPr="007C33A0">
        <w:t>-medicines</w:t>
      </w:r>
    </w:p>
    <w:p w14:paraId="1C02D75D" w14:textId="764FEE35" w:rsidR="00EB5963" w:rsidRPr="00EB5963" w:rsidRDefault="007C33A0" w:rsidP="00C87AFB">
      <w:pPr>
        <w:ind w:firstLine="717"/>
      </w:pPr>
      <w:r w:rsidRPr="007C33A0">
        <w:t>[for the CPD guidance] https://www.tga.gov.au/guidance-7-certified-product-details</w:t>
      </w:r>
    </w:p>
    <w:p w14:paraId="0F9C1952" w14:textId="46BD475E" w:rsidR="00BA657C" w:rsidRPr="00BA657C" w:rsidRDefault="00BA657C" w:rsidP="000A1B9E">
      <w:pPr>
        <w:pStyle w:val="Heading2"/>
      </w:pPr>
      <w:bookmarkStart w:id="119" w:name="_Toc225173561"/>
      <w:bookmarkStart w:id="120" w:name="_Toc196738290"/>
      <w:r w:rsidRPr="00BA657C">
        <w:t>Product Information and Consumer Medicine Information</w:t>
      </w:r>
      <w:bookmarkEnd w:id="119"/>
      <w:r w:rsidRPr="00BA657C">
        <w:t xml:space="preserve"> </w:t>
      </w:r>
      <w:bookmarkEnd w:id="120"/>
    </w:p>
    <w:p w14:paraId="5F276616" w14:textId="6667B73D" w:rsidR="004D0933" w:rsidRPr="004D0933" w:rsidRDefault="004D0933" w:rsidP="004D0933">
      <w:bookmarkStart w:id="121" w:name="_Hlk200021736"/>
      <w:r w:rsidRPr="004D0933">
        <w:t xml:space="preserve">For the most recent Product Information (PI) and Consumer Medicine Information (CMI), please refer to the TGA </w:t>
      </w:r>
      <w:hyperlink r:id="rId48" w:history="1">
        <w:r w:rsidRPr="004D0933">
          <w:rPr>
            <w:rStyle w:val="Hyperlink"/>
          </w:rPr>
          <w:t>PI/CMI search facility.</w:t>
        </w:r>
      </w:hyperlink>
    </w:p>
    <w:bookmarkEnd w:id="121"/>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9"/>
          <w:footerReference w:type="default" r:id="rId5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3344B2"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Pr="00753B34" w:rsidRDefault="00F02AEC">
            <w:pPr>
              <w:pStyle w:val="Address"/>
              <w:jc w:val="center"/>
              <w:rPr>
                <w:rFonts w:cs="Arial"/>
                <w:sz w:val="22"/>
                <w:szCs w:val="22"/>
                <w:lang w:val="fr-FR"/>
              </w:rPr>
            </w:pPr>
            <w:proofErr w:type="gramStart"/>
            <w:r w:rsidRPr="00753B34">
              <w:rPr>
                <w:rFonts w:cs="Arial"/>
                <w:lang w:val="fr-FR"/>
              </w:rPr>
              <w:t>Email:</w:t>
            </w:r>
            <w:proofErr w:type="gramEnd"/>
            <w:r w:rsidRPr="00753B34">
              <w:rPr>
                <w:rFonts w:cs="Arial"/>
                <w:lang w:val="fr-FR"/>
              </w:rPr>
              <w:t xml:space="preserve"> </w:t>
            </w:r>
            <w:hyperlink r:id="rId51" w:history="1">
              <w:r w:rsidRPr="00753B34">
                <w:rPr>
                  <w:rStyle w:val="Hyperlink"/>
                  <w:rFonts w:ascii="Arial" w:hAnsi="Arial" w:cs="Arial"/>
                  <w:lang w:val="fr-FR"/>
                </w:rPr>
                <w:t>info@tga.gov.au</w:t>
              </w:r>
            </w:hyperlink>
            <w:r w:rsidRPr="00753B34">
              <w:rPr>
                <w:rFonts w:cs="Arial"/>
                <w:lang w:val="fr-FR"/>
              </w:rPr>
              <w:t xml:space="preserve">  Phone: 1800 020 </w:t>
            </w:r>
            <w:proofErr w:type="gramStart"/>
            <w:r w:rsidRPr="00753B34">
              <w:rPr>
                <w:rFonts w:cs="Arial"/>
                <w:lang w:val="fr-FR"/>
              </w:rPr>
              <w:t>653  Fax</w:t>
            </w:r>
            <w:proofErr w:type="gramEnd"/>
            <w:r w:rsidRPr="00753B34">
              <w:rPr>
                <w:rFonts w:cs="Arial"/>
                <w:lang w:val="fr-FR"/>
              </w:rPr>
              <w:t>: 02 6203 1605</w:t>
            </w:r>
          </w:p>
          <w:p w14:paraId="36ECE67C" w14:textId="7486B6D2" w:rsidR="003344B2" w:rsidRPr="00753B34" w:rsidRDefault="003344B2">
            <w:pPr>
              <w:pStyle w:val="Address"/>
              <w:jc w:val="center"/>
              <w:rPr>
                <w:rFonts w:cs="Arial"/>
                <w:lang w:val="fr-FR"/>
              </w:rPr>
            </w:pPr>
            <w:hyperlink r:id="rId52" w:history="1">
              <w:r w:rsidRPr="00753B34">
                <w:rPr>
                  <w:rStyle w:val="Hyperlink"/>
                  <w:rFonts w:ascii="Arial" w:hAnsi="Arial" w:cs="Arial"/>
                  <w:lang w:val="fr-FR"/>
                </w:rPr>
                <w:t>https://www.tga.gov.au</w:t>
              </w:r>
            </w:hyperlink>
          </w:p>
          <w:p w14:paraId="4533D80F" w14:textId="45E5BC22" w:rsidR="003344B2" w:rsidRPr="003344B2" w:rsidRDefault="003344B2" w:rsidP="003344B2">
            <w:pPr>
              <w:pStyle w:val="Address"/>
              <w:jc w:val="center"/>
              <w:rPr>
                <w:rStyle w:val="Hyperlink"/>
                <w:lang w:val="fr-FR"/>
              </w:rPr>
            </w:pPr>
          </w:p>
        </w:tc>
      </w:tr>
      <w:tr w:rsidR="00F02AEC" w:rsidRPr="00215D48" w14:paraId="2AD74347" w14:textId="77777777" w:rsidTr="00753B34">
        <w:trPr>
          <w:trHeight w:val="52"/>
          <w:jc w:val="center"/>
        </w:trPr>
        <w:tc>
          <w:tcPr>
            <w:tcW w:w="9145" w:type="dxa"/>
            <w:tcMar>
              <w:top w:w="28" w:type="dxa"/>
            </w:tcMar>
          </w:tcPr>
          <w:p w14:paraId="6EAAD5C1" w14:textId="41CF8553" w:rsidR="00F02AEC" w:rsidRPr="00215D48" w:rsidRDefault="00F02AEC" w:rsidP="007452E8">
            <w:pPr>
              <w:pStyle w:val="Address"/>
              <w:jc w:val="center"/>
            </w:pPr>
          </w:p>
        </w:tc>
      </w:tr>
    </w:tbl>
    <w:p w14:paraId="788B80FD" w14:textId="3CB3D9F2" w:rsidR="007452E8" w:rsidRDefault="007452E8"/>
    <w:sectPr w:rsidR="007452E8" w:rsidSect="007452E8">
      <w:headerReference w:type="first" r:id="rId53"/>
      <w:footerReference w:type="first" r:id="rId5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F65DB" w14:textId="77777777" w:rsidR="001C2012" w:rsidRDefault="001C2012" w:rsidP="00F02AEC">
      <w:pPr>
        <w:spacing w:after="0" w:line="240" w:lineRule="auto"/>
      </w:pPr>
      <w:r>
        <w:separator/>
      </w:r>
    </w:p>
  </w:endnote>
  <w:endnote w:type="continuationSeparator" w:id="0">
    <w:p w14:paraId="7F846FCB" w14:textId="77777777" w:rsidR="001C2012" w:rsidRDefault="001C2012"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2908"/>
    </w:tblGrid>
    <w:tr w:rsidR="007452E8" w:rsidRPr="00257138" w14:paraId="162D69C2" w14:textId="77777777" w:rsidTr="00B92A96">
      <w:trPr>
        <w:trHeight w:val="423"/>
      </w:trPr>
      <w:tc>
        <w:tcPr>
          <w:tcW w:w="5812" w:type="dxa"/>
          <w:tcBorders>
            <w:top w:val="single" w:sz="4" w:space="0" w:color="auto"/>
          </w:tcBorders>
        </w:tcPr>
        <w:p w14:paraId="32E1B782" w14:textId="77777777" w:rsidR="007452E8" w:rsidRDefault="007452E8" w:rsidP="007452E8">
          <w:pPr>
            <w:pStyle w:val="Footer"/>
          </w:pPr>
        </w:p>
        <w:p w14:paraId="1849C07C" w14:textId="4A32E6B1" w:rsidR="007452E8" w:rsidRPr="008C52AF" w:rsidRDefault="00C64234" w:rsidP="007452E8">
          <w:pPr>
            <w:pStyle w:val="Footer"/>
          </w:pPr>
          <w:r w:rsidRPr="008C52AF">
            <w:t xml:space="preserve">AusPAR </w:t>
          </w:r>
          <w:r w:rsidR="004B67F2" w:rsidRPr="008C52AF">
            <w:t>V</w:t>
          </w:r>
          <w:r w:rsidR="007E73A7" w:rsidRPr="008C52AF">
            <w:t xml:space="preserve">yvgart </w:t>
          </w:r>
          <w:r w:rsidRPr="008C52AF">
            <w:rPr>
              <w:spacing w:val="-5"/>
            </w:rPr>
            <w:t>(</w:t>
          </w:r>
          <w:r w:rsidR="004B67F2" w:rsidRPr="008C52AF">
            <w:t>efgartigimod</w:t>
          </w:r>
          <w:r w:rsidR="004B67F2" w:rsidRPr="008C52AF">
            <w:rPr>
              <w:spacing w:val="-7"/>
            </w:rPr>
            <w:t xml:space="preserve"> </w:t>
          </w:r>
          <w:r w:rsidR="004B67F2" w:rsidRPr="008C52AF">
            <w:t>alfa</w:t>
          </w:r>
          <w:r w:rsidRPr="008C52AF">
            <w:t>)</w:t>
          </w:r>
          <w:r w:rsidR="004B67F2" w:rsidRPr="008C52AF">
            <w:rPr>
              <w:spacing w:val="-5"/>
            </w:rPr>
            <w:t xml:space="preserve"> </w:t>
          </w:r>
          <w:r w:rsidR="004B67F2" w:rsidRPr="008C52AF">
            <w:t>Argenx</w:t>
          </w:r>
          <w:r w:rsidR="004B67F2" w:rsidRPr="008C52AF">
            <w:rPr>
              <w:spacing w:val="-7"/>
            </w:rPr>
            <w:t xml:space="preserve"> </w:t>
          </w:r>
          <w:r w:rsidR="004B67F2" w:rsidRPr="008C52AF">
            <w:t>Australia</w:t>
          </w:r>
          <w:r w:rsidR="00B92A96" w:rsidRPr="008C52AF">
            <w:t xml:space="preserve"> </w:t>
          </w:r>
          <w:r w:rsidRPr="008C52AF">
            <w:rPr>
              <w:spacing w:val="-8"/>
            </w:rPr>
            <w:t>P</w:t>
          </w:r>
          <w:r w:rsidR="004B67F2" w:rsidRPr="008C52AF">
            <w:t>M-2024-01111-1-1</w:t>
          </w:r>
        </w:p>
      </w:tc>
      <w:tc>
        <w:tcPr>
          <w:tcW w:w="2908"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B92A96">
      <w:trPr>
        <w:trHeight w:val="263"/>
      </w:trPr>
      <w:tc>
        <w:tcPr>
          <w:tcW w:w="5812" w:type="dxa"/>
        </w:tcPr>
        <w:p w14:paraId="673F06D3" w14:textId="3B0D3660" w:rsidR="007452E8" w:rsidRPr="00257138" w:rsidRDefault="00B92A96" w:rsidP="007452E8">
          <w:pPr>
            <w:pStyle w:val="Footer"/>
          </w:pPr>
          <w:r>
            <w:t xml:space="preserve">DRAFT </w:t>
          </w:r>
          <w:r w:rsidR="007452E8" w:rsidRPr="00257138">
            <w:t xml:space="preserve">V1.0 </w:t>
          </w:r>
          <w:r w:rsidR="00152658" w:rsidRPr="00152658">
            <w:rPr>
              <w:highlight w:val="yellow"/>
            </w:rPr>
            <w:t>Finalised XX/XX/XXXX</w:t>
          </w:r>
        </w:p>
      </w:tc>
      <w:tc>
        <w:tcPr>
          <w:tcW w:w="2908"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34EAC257" w:rsidR="007452E8" w:rsidRPr="00664C75" w:rsidRDefault="007452E8" w:rsidP="007452E8">
          <w:pPr>
            <w:pStyle w:val="Footer"/>
          </w:pPr>
          <w:r w:rsidRPr="00664C75">
            <w:t xml:space="preserve">AusPAR - </w:t>
          </w:r>
          <w:r w:rsidR="00C052AD" w:rsidRPr="00664C75">
            <w:t>VYVGART</w:t>
          </w:r>
          <w:r w:rsidR="00C052AD" w:rsidRPr="00664C75">
            <w:rPr>
              <w:spacing w:val="-5"/>
            </w:rPr>
            <w:t xml:space="preserve"> - </w:t>
          </w:r>
          <w:r w:rsidR="00C052AD" w:rsidRPr="00664C75">
            <w:t>efgartigimod</w:t>
          </w:r>
          <w:r w:rsidR="00C052AD" w:rsidRPr="00664C75">
            <w:rPr>
              <w:spacing w:val="-7"/>
            </w:rPr>
            <w:t xml:space="preserve"> </w:t>
          </w:r>
          <w:r w:rsidR="00C052AD" w:rsidRPr="00664C75">
            <w:t>alfa</w:t>
          </w:r>
          <w:r w:rsidR="00C052AD" w:rsidRPr="00664C75">
            <w:rPr>
              <w:spacing w:val="-5"/>
            </w:rPr>
            <w:t xml:space="preserve"> - </w:t>
          </w:r>
          <w:r w:rsidR="00C052AD" w:rsidRPr="00664C75">
            <w:t>Argenx</w:t>
          </w:r>
          <w:r w:rsidR="00C052AD" w:rsidRPr="00664C75">
            <w:rPr>
              <w:spacing w:val="-7"/>
            </w:rPr>
            <w:t xml:space="preserve"> </w:t>
          </w:r>
          <w:r w:rsidR="00C052AD" w:rsidRPr="00664C75">
            <w:t>Australia</w:t>
          </w:r>
          <w:r w:rsidR="00C052AD" w:rsidRPr="00664C75">
            <w:rPr>
              <w:spacing w:val="-8"/>
            </w:rPr>
            <w:t xml:space="preserve"> </w:t>
          </w:r>
          <w:r w:rsidR="00A311E6" w:rsidRPr="00664C75">
            <w:rPr>
              <w:spacing w:val="-8"/>
            </w:rPr>
            <w:t xml:space="preserve">- </w:t>
          </w:r>
          <w:r w:rsidR="00C052AD" w:rsidRPr="00664C75">
            <w:t>PM-2024-01111-1-1</w:t>
          </w:r>
          <w:r w:rsidR="00C052AD" w:rsidRPr="00664C75">
            <w:br/>
          </w:r>
          <w:r w:rsidR="002F3661" w:rsidRPr="00664C75">
            <w:t xml:space="preserve">Finalised </w:t>
          </w:r>
          <w:r w:rsidR="00664C75" w:rsidRPr="00664C75">
            <w:t>18 March</w:t>
          </w:r>
          <w:r w:rsidR="00664C75">
            <w:t xml:space="preserve">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A7CC2" w14:textId="77777777" w:rsidR="001C2012" w:rsidRDefault="001C2012" w:rsidP="00F02AEC">
      <w:pPr>
        <w:spacing w:after="0" w:line="240" w:lineRule="auto"/>
      </w:pPr>
      <w:r>
        <w:separator/>
      </w:r>
    </w:p>
  </w:footnote>
  <w:footnote w:type="continuationSeparator" w:id="0">
    <w:p w14:paraId="7BB18167" w14:textId="77777777" w:rsidR="001C2012" w:rsidRDefault="001C2012" w:rsidP="00F02AEC">
      <w:pPr>
        <w:spacing w:after="0" w:line="240" w:lineRule="auto"/>
      </w:pPr>
      <w:r>
        <w:continuationSeparator/>
      </w:r>
    </w:p>
  </w:footnote>
  <w:footnote w:id="1">
    <w:p w14:paraId="4803CB67" w14:textId="23606902" w:rsidR="00A94BDD" w:rsidRPr="00A94BDD" w:rsidRDefault="00A94BDD">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in the Australian Register of Therapeutic Goods.</w:t>
      </w:r>
    </w:p>
  </w:footnote>
  <w:footnote w:id="2">
    <w:p w14:paraId="1825250B" w14:textId="3AFEB109" w:rsidR="001C22AF" w:rsidRDefault="001C22AF">
      <w:pPr>
        <w:pStyle w:val="FootnoteText"/>
      </w:pPr>
      <w:r>
        <w:rPr>
          <w:rStyle w:val="FootnoteReference"/>
        </w:rPr>
        <w:footnoteRef/>
      </w:r>
      <w:r>
        <w:t xml:space="preserve"> </w:t>
      </w:r>
      <w:r w:rsidR="003D1AF2" w:rsidRPr="003D1AF2">
        <w:rPr>
          <w:rStyle w:val="FootnoteTextChar"/>
        </w:rPr>
        <w:t>Longo DL. Myasthenia Gravis. NEJM. 2016;375(26):2570-81.</w:t>
      </w:r>
    </w:p>
  </w:footnote>
  <w:footnote w:id="3">
    <w:p w14:paraId="41B339FC" w14:textId="631855CC" w:rsidR="00F63B35" w:rsidRDefault="00F63B35">
      <w:pPr>
        <w:pStyle w:val="FootnoteText"/>
      </w:pPr>
      <w:r>
        <w:rPr>
          <w:rStyle w:val="FootnoteReference"/>
        </w:rPr>
        <w:footnoteRef/>
      </w:r>
      <w:r>
        <w:t xml:space="preserve"> </w:t>
      </w:r>
      <w:r w:rsidR="00CF5745">
        <w:t>Bird SJ, Shefner JM, Goddeau Jr RP. Clinical manifestations of myasthenia gravis. UpToDate. Updated 30 September</w:t>
      </w:r>
      <w:r w:rsidR="00CF5745">
        <w:rPr>
          <w:spacing w:val="40"/>
        </w:rPr>
        <w:t xml:space="preserve"> </w:t>
      </w:r>
      <w:r w:rsidR="00CF5745">
        <w:t xml:space="preserve">2024. Available from: </w:t>
      </w:r>
      <w:hyperlink r:id="rId1">
        <w:r w:rsidR="00CF5745">
          <w:rPr>
            <w:color w:val="0000FF"/>
            <w:u w:val="single" w:color="0000FF"/>
          </w:rPr>
          <w:t>https://www.uptodate.com/contents/clinical-manifestations-of-myasthenia-</w:t>
        </w:r>
      </w:hyperlink>
      <w:hyperlink r:id="rId2">
        <w:r w:rsidR="00CF5745">
          <w:rPr>
            <w:color w:val="0000FF"/>
            <w:spacing w:val="-2"/>
            <w:u w:val="single" w:color="0000FF"/>
          </w:rPr>
          <w:t>gravis?search=myasthenia%20gravis&amp;source=search_result&amp;selectedTitle=3%7E150&amp;usage_type=default&amp;display_</w:t>
        </w:r>
      </w:hyperlink>
      <w:r w:rsidR="00CF5745">
        <w:rPr>
          <w:color w:val="0000FF"/>
          <w:spacing w:val="40"/>
        </w:rPr>
        <w:t xml:space="preserve"> </w:t>
      </w:r>
      <w:hyperlink r:id="rId3">
        <w:r w:rsidR="00CF5745">
          <w:rPr>
            <w:color w:val="0000FF"/>
            <w:spacing w:val="-2"/>
            <w:u w:val="single" w:color="0000FF"/>
          </w:rPr>
          <w:t>rank=3</w:t>
        </w:r>
        <w:r w:rsidR="00CF5745">
          <w:rPr>
            <w:spacing w:val="-2"/>
          </w:rPr>
          <w:t>.</w:t>
        </w:r>
      </w:hyperlink>
    </w:p>
  </w:footnote>
  <w:footnote w:id="4">
    <w:p w14:paraId="63E2750E" w14:textId="4DE5EDB2" w:rsidR="003F2FBC" w:rsidRDefault="003F2FBC">
      <w:pPr>
        <w:pStyle w:val="FootnoteText"/>
      </w:pPr>
      <w:r>
        <w:rPr>
          <w:rStyle w:val="FootnoteReference"/>
        </w:rPr>
        <w:footnoteRef/>
      </w:r>
      <w:r>
        <w:t xml:space="preserve"> </w:t>
      </w:r>
      <w:r w:rsidR="007C5F5E">
        <w:t>Hehir</w:t>
      </w:r>
      <w:r w:rsidR="007C5F5E">
        <w:rPr>
          <w:spacing w:val="-5"/>
        </w:rPr>
        <w:t xml:space="preserve"> </w:t>
      </w:r>
      <w:r w:rsidR="007C5F5E">
        <w:t>MK,</w:t>
      </w:r>
      <w:r w:rsidR="007C5F5E">
        <w:rPr>
          <w:spacing w:val="-3"/>
        </w:rPr>
        <w:t xml:space="preserve"> </w:t>
      </w:r>
      <w:r w:rsidR="007C5F5E">
        <w:t>Silvestri</w:t>
      </w:r>
      <w:r w:rsidR="007C5F5E">
        <w:rPr>
          <w:spacing w:val="-2"/>
        </w:rPr>
        <w:t xml:space="preserve"> </w:t>
      </w:r>
      <w:r w:rsidR="007C5F5E">
        <w:t>NJ.</w:t>
      </w:r>
      <w:r w:rsidR="007C5F5E">
        <w:rPr>
          <w:spacing w:val="-3"/>
        </w:rPr>
        <w:t xml:space="preserve"> </w:t>
      </w:r>
      <w:r w:rsidR="007C5F5E">
        <w:t>Generalized</w:t>
      </w:r>
      <w:r w:rsidR="007C5F5E">
        <w:rPr>
          <w:spacing w:val="-1"/>
        </w:rPr>
        <w:t xml:space="preserve"> </w:t>
      </w:r>
      <w:r w:rsidR="007C5F5E">
        <w:t>Myasthenia</w:t>
      </w:r>
      <w:r w:rsidR="007C5F5E">
        <w:rPr>
          <w:spacing w:val="-1"/>
        </w:rPr>
        <w:t xml:space="preserve"> </w:t>
      </w:r>
      <w:r w:rsidR="007C5F5E">
        <w:t>Gravis</w:t>
      </w:r>
      <w:r w:rsidR="007C5F5E">
        <w:rPr>
          <w:spacing w:val="-3"/>
        </w:rPr>
        <w:t xml:space="preserve"> </w:t>
      </w:r>
      <w:r w:rsidR="007C5F5E">
        <w:t>Classification,</w:t>
      </w:r>
      <w:r w:rsidR="007C5F5E">
        <w:rPr>
          <w:spacing w:val="-3"/>
        </w:rPr>
        <w:t xml:space="preserve"> </w:t>
      </w:r>
      <w:r w:rsidR="007C5F5E">
        <w:t>Clinical</w:t>
      </w:r>
      <w:r w:rsidR="007C5F5E">
        <w:rPr>
          <w:spacing w:val="-3"/>
        </w:rPr>
        <w:t xml:space="preserve"> </w:t>
      </w:r>
      <w:r w:rsidR="007C5F5E">
        <w:t>Presentation,</w:t>
      </w:r>
      <w:r w:rsidR="007C5F5E">
        <w:rPr>
          <w:spacing w:val="-3"/>
        </w:rPr>
        <w:t xml:space="preserve"> </w:t>
      </w:r>
      <w:r w:rsidR="007C5F5E">
        <w:t>Natural</w:t>
      </w:r>
      <w:r w:rsidR="007C5F5E">
        <w:rPr>
          <w:spacing w:val="-3"/>
        </w:rPr>
        <w:t xml:space="preserve"> </w:t>
      </w:r>
      <w:r w:rsidR="007C5F5E">
        <w:t>History,</w:t>
      </w:r>
      <w:r w:rsidR="007C5F5E">
        <w:rPr>
          <w:spacing w:val="-3"/>
        </w:rPr>
        <w:t xml:space="preserve"> </w:t>
      </w:r>
      <w:r w:rsidR="007C5F5E">
        <w:t>and</w:t>
      </w:r>
      <w:r w:rsidR="007C5F5E">
        <w:rPr>
          <w:spacing w:val="40"/>
        </w:rPr>
        <w:t xml:space="preserve"> </w:t>
      </w:r>
      <w:r w:rsidR="007C5F5E">
        <w:t xml:space="preserve">Epidemiology. </w:t>
      </w:r>
      <w:r w:rsidR="007C5F5E">
        <w:rPr>
          <w:i/>
        </w:rPr>
        <w:t xml:space="preserve">Neurol Clin. </w:t>
      </w:r>
      <w:r w:rsidR="007C5F5E">
        <w:t>2018;36:253-260.</w:t>
      </w:r>
    </w:p>
  </w:footnote>
  <w:footnote w:id="5">
    <w:p w14:paraId="17A8372C" w14:textId="242C6A1E" w:rsidR="00346459" w:rsidRDefault="00346459">
      <w:pPr>
        <w:pStyle w:val="FootnoteText"/>
      </w:pPr>
      <w:r>
        <w:rPr>
          <w:rStyle w:val="FootnoteReference"/>
        </w:rPr>
        <w:footnoteRef/>
      </w:r>
      <w:r>
        <w:t xml:space="preserve"> </w:t>
      </w:r>
      <w:r w:rsidR="00346CCC">
        <w:rPr>
          <w:sz w:val="18"/>
        </w:rPr>
        <w:t>Bird</w:t>
      </w:r>
      <w:r w:rsidR="00346CCC">
        <w:rPr>
          <w:spacing w:val="-3"/>
          <w:sz w:val="18"/>
        </w:rPr>
        <w:t xml:space="preserve"> </w:t>
      </w:r>
      <w:r w:rsidR="00346CCC">
        <w:rPr>
          <w:sz w:val="18"/>
        </w:rPr>
        <w:t>SJ,</w:t>
      </w:r>
      <w:r w:rsidR="00346CCC">
        <w:rPr>
          <w:spacing w:val="-2"/>
          <w:sz w:val="18"/>
        </w:rPr>
        <w:t xml:space="preserve"> </w:t>
      </w:r>
      <w:r w:rsidR="00346CCC">
        <w:rPr>
          <w:sz w:val="18"/>
        </w:rPr>
        <w:t>Shefner</w:t>
      </w:r>
      <w:r w:rsidR="00346CCC">
        <w:rPr>
          <w:spacing w:val="-4"/>
          <w:sz w:val="18"/>
        </w:rPr>
        <w:t xml:space="preserve"> </w:t>
      </w:r>
      <w:r w:rsidR="00346CCC">
        <w:rPr>
          <w:sz w:val="18"/>
        </w:rPr>
        <w:t>JM,</w:t>
      </w:r>
      <w:r w:rsidR="00346CCC">
        <w:rPr>
          <w:spacing w:val="-2"/>
          <w:sz w:val="18"/>
        </w:rPr>
        <w:t xml:space="preserve"> </w:t>
      </w:r>
      <w:r w:rsidR="00346CCC">
        <w:rPr>
          <w:sz w:val="18"/>
        </w:rPr>
        <w:t>Goddeau</w:t>
      </w:r>
      <w:r w:rsidR="00346CCC">
        <w:rPr>
          <w:spacing w:val="-2"/>
          <w:sz w:val="18"/>
        </w:rPr>
        <w:t xml:space="preserve"> </w:t>
      </w:r>
      <w:r w:rsidR="00346CCC">
        <w:rPr>
          <w:sz w:val="18"/>
        </w:rPr>
        <w:t>Jr</w:t>
      </w:r>
      <w:r w:rsidR="00346CCC">
        <w:rPr>
          <w:spacing w:val="-4"/>
          <w:sz w:val="18"/>
        </w:rPr>
        <w:t xml:space="preserve"> </w:t>
      </w:r>
      <w:r w:rsidR="00346CCC">
        <w:rPr>
          <w:sz w:val="18"/>
        </w:rPr>
        <w:t>RP.</w:t>
      </w:r>
      <w:r w:rsidR="00346CCC">
        <w:rPr>
          <w:spacing w:val="-2"/>
          <w:sz w:val="18"/>
        </w:rPr>
        <w:t xml:space="preserve"> </w:t>
      </w:r>
      <w:r w:rsidR="00346CCC">
        <w:rPr>
          <w:sz w:val="18"/>
        </w:rPr>
        <w:t>Myasthenic</w:t>
      </w:r>
      <w:r w:rsidR="00346CCC">
        <w:rPr>
          <w:spacing w:val="-1"/>
          <w:sz w:val="18"/>
        </w:rPr>
        <w:t xml:space="preserve"> </w:t>
      </w:r>
      <w:r w:rsidR="00346CCC">
        <w:rPr>
          <w:sz w:val="18"/>
        </w:rPr>
        <w:t>crisis.</w:t>
      </w:r>
      <w:r w:rsidR="00346CCC">
        <w:rPr>
          <w:spacing w:val="-2"/>
          <w:sz w:val="18"/>
        </w:rPr>
        <w:t xml:space="preserve"> </w:t>
      </w:r>
      <w:r w:rsidR="00346CCC">
        <w:rPr>
          <w:sz w:val="18"/>
        </w:rPr>
        <w:t>UpToDate.</w:t>
      </w:r>
      <w:r w:rsidR="00346CCC">
        <w:rPr>
          <w:spacing w:val="-2"/>
          <w:sz w:val="18"/>
        </w:rPr>
        <w:t xml:space="preserve"> </w:t>
      </w:r>
      <w:r w:rsidR="00346CCC">
        <w:rPr>
          <w:sz w:val="18"/>
        </w:rPr>
        <w:t>Updated</w:t>
      </w:r>
      <w:r w:rsidR="00346CCC">
        <w:rPr>
          <w:spacing w:val="-3"/>
          <w:sz w:val="18"/>
        </w:rPr>
        <w:t xml:space="preserve"> </w:t>
      </w:r>
      <w:r w:rsidR="00346CCC">
        <w:rPr>
          <w:sz w:val="18"/>
        </w:rPr>
        <w:t>16 June</w:t>
      </w:r>
      <w:r w:rsidR="00346CCC">
        <w:rPr>
          <w:spacing w:val="-3"/>
          <w:sz w:val="18"/>
        </w:rPr>
        <w:t xml:space="preserve"> </w:t>
      </w:r>
      <w:r w:rsidR="00346CCC">
        <w:rPr>
          <w:sz w:val="18"/>
        </w:rPr>
        <w:t>2023.</w:t>
      </w:r>
      <w:r w:rsidR="00346CCC">
        <w:rPr>
          <w:spacing w:val="-2"/>
          <w:sz w:val="18"/>
        </w:rPr>
        <w:t xml:space="preserve"> </w:t>
      </w:r>
      <w:r w:rsidR="00346CCC">
        <w:rPr>
          <w:sz w:val="18"/>
        </w:rPr>
        <w:t>Available from:</w:t>
      </w:r>
      <w:r w:rsidR="00346CCC">
        <w:rPr>
          <w:spacing w:val="40"/>
          <w:sz w:val="18"/>
        </w:rPr>
        <w:t xml:space="preserve"> </w:t>
      </w:r>
      <w:hyperlink r:id="rId4">
        <w:r w:rsidR="00346CCC">
          <w:rPr>
            <w:color w:val="0000FF"/>
            <w:spacing w:val="-2"/>
            <w:sz w:val="18"/>
            <w:u w:val="single" w:color="0000FF"/>
          </w:rPr>
          <w:t>https://www.uptodate.com/contents/myasthenic-</w:t>
        </w:r>
      </w:hyperlink>
      <w:hyperlink r:id="rId5">
        <w:r w:rsidR="00346CCC">
          <w:rPr>
            <w:color w:val="0000FF"/>
            <w:spacing w:val="-2"/>
            <w:sz w:val="18"/>
            <w:u w:val="single" w:color="0000FF"/>
          </w:rPr>
          <w:t>crisis?search=myasthenia%20gravis&amp;topicRef=5170&amp;source=see_link</w:t>
        </w:r>
        <w:r w:rsidR="00346CCC">
          <w:rPr>
            <w:spacing w:val="-2"/>
            <w:sz w:val="18"/>
          </w:rPr>
          <w:t>.</w:t>
        </w:r>
      </w:hyperlink>
    </w:p>
  </w:footnote>
  <w:footnote w:id="6">
    <w:p w14:paraId="47B38BD0" w14:textId="29370615" w:rsidR="009F04F4" w:rsidRDefault="009F04F4">
      <w:pPr>
        <w:pStyle w:val="FootnoteText"/>
      </w:pPr>
      <w:r>
        <w:rPr>
          <w:rStyle w:val="FootnoteReference"/>
        </w:rPr>
        <w:footnoteRef/>
      </w:r>
      <w:r>
        <w:t xml:space="preserve"> </w:t>
      </w:r>
      <w:r w:rsidR="00F026C8">
        <w:rPr>
          <w:sz w:val="18"/>
        </w:rPr>
        <w:t>Bird</w:t>
      </w:r>
      <w:r w:rsidR="00F026C8">
        <w:rPr>
          <w:spacing w:val="-3"/>
          <w:sz w:val="18"/>
        </w:rPr>
        <w:t xml:space="preserve"> </w:t>
      </w:r>
      <w:r w:rsidR="00F026C8">
        <w:rPr>
          <w:sz w:val="18"/>
        </w:rPr>
        <w:t>SJ,</w:t>
      </w:r>
      <w:r w:rsidR="00F026C8">
        <w:rPr>
          <w:spacing w:val="-2"/>
          <w:sz w:val="18"/>
        </w:rPr>
        <w:t xml:space="preserve"> </w:t>
      </w:r>
      <w:r w:rsidR="00F026C8">
        <w:rPr>
          <w:sz w:val="18"/>
        </w:rPr>
        <w:t>Shefner</w:t>
      </w:r>
      <w:r w:rsidR="00F026C8">
        <w:rPr>
          <w:spacing w:val="-3"/>
          <w:sz w:val="18"/>
        </w:rPr>
        <w:t xml:space="preserve"> </w:t>
      </w:r>
      <w:r w:rsidR="00F026C8">
        <w:rPr>
          <w:sz w:val="18"/>
        </w:rPr>
        <w:t>JM,</w:t>
      </w:r>
      <w:r w:rsidR="00F026C8">
        <w:rPr>
          <w:spacing w:val="-2"/>
          <w:sz w:val="18"/>
        </w:rPr>
        <w:t xml:space="preserve"> </w:t>
      </w:r>
      <w:r w:rsidR="00F026C8">
        <w:rPr>
          <w:sz w:val="18"/>
        </w:rPr>
        <w:t>Goddeau</w:t>
      </w:r>
      <w:r w:rsidR="00F026C8">
        <w:rPr>
          <w:spacing w:val="-2"/>
          <w:sz w:val="18"/>
        </w:rPr>
        <w:t xml:space="preserve"> </w:t>
      </w:r>
      <w:r w:rsidR="00F026C8">
        <w:rPr>
          <w:sz w:val="18"/>
        </w:rPr>
        <w:t>Jr</w:t>
      </w:r>
      <w:r w:rsidR="00F026C8">
        <w:rPr>
          <w:spacing w:val="-3"/>
          <w:sz w:val="18"/>
        </w:rPr>
        <w:t xml:space="preserve"> </w:t>
      </w:r>
      <w:r w:rsidR="00F026C8">
        <w:rPr>
          <w:sz w:val="18"/>
        </w:rPr>
        <w:t>RP.</w:t>
      </w:r>
      <w:r w:rsidR="00F026C8">
        <w:rPr>
          <w:spacing w:val="-2"/>
          <w:sz w:val="18"/>
        </w:rPr>
        <w:t xml:space="preserve"> </w:t>
      </w:r>
      <w:r w:rsidR="00F026C8">
        <w:rPr>
          <w:sz w:val="18"/>
        </w:rPr>
        <w:t>Pathogenesis</w:t>
      </w:r>
      <w:r w:rsidR="00F026C8">
        <w:rPr>
          <w:spacing w:val="-2"/>
          <w:sz w:val="18"/>
        </w:rPr>
        <w:t xml:space="preserve"> </w:t>
      </w:r>
      <w:r w:rsidR="00F026C8">
        <w:rPr>
          <w:sz w:val="18"/>
        </w:rPr>
        <w:t>of</w:t>
      </w:r>
      <w:r w:rsidR="00F026C8">
        <w:rPr>
          <w:spacing w:val="-1"/>
          <w:sz w:val="18"/>
        </w:rPr>
        <w:t xml:space="preserve"> </w:t>
      </w:r>
      <w:r w:rsidR="00F026C8">
        <w:rPr>
          <w:sz w:val="18"/>
        </w:rPr>
        <w:t>myasthenia</w:t>
      </w:r>
      <w:r w:rsidR="00F026C8">
        <w:rPr>
          <w:spacing w:val="-3"/>
          <w:sz w:val="18"/>
        </w:rPr>
        <w:t xml:space="preserve"> </w:t>
      </w:r>
      <w:r w:rsidR="00F026C8">
        <w:rPr>
          <w:sz w:val="18"/>
        </w:rPr>
        <w:t>gravis.</w:t>
      </w:r>
      <w:r w:rsidR="00F026C8">
        <w:rPr>
          <w:spacing w:val="-2"/>
          <w:sz w:val="18"/>
        </w:rPr>
        <w:t xml:space="preserve"> </w:t>
      </w:r>
      <w:r w:rsidR="00F026C8">
        <w:rPr>
          <w:sz w:val="18"/>
        </w:rPr>
        <w:t>UpToDate.</w:t>
      </w:r>
      <w:r w:rsidR="00F026C8">
        <w:rPr>
          <w:spacing w:val="-4"/>
          <w:sz w:val="18"/>
        </w:rPr>
        <w:t xml:space="preserve"> </w:t>
      </w:r>
      <w:r w:rsidR="00F026C8">
        <w:rPr>
          <w:sz w:val="18"/>
        </w:rPr>
        <w:t>Updated</w:t>
      </w:r>
      <w:r w:rsidR="00F026C8">
        <w:rPr>
          <w:spacing w:val="-3"/>
          <w:sz w:val="18"/>
        </w:rPr>
        <w:t xml:space="preserve"> </w:t>
      </w:r>
      <w:r w:rsidR="00F026C8">
        <w:rPr>
          <w:sz w:val="18"/>
        </w:rPr>
        <w:t>6</w:t>
      </w:r>
      <w:r w:rsidR="00F026C8">
        <w:rPr>
          <w:spacing w:val="-3"/>
          <w:sz w:val="18"/>
        </w:rPr>
        <w:t xml:space="preserve"> </w:t>
      </w:r>
      <w:r w:rsidR="00F026C8">
        <w:rPr>
          <w:sz w:val="18"/>
        </w:rPr>
        <w:t>June</w:t>
      </w:r>
      <w:r w:rsidR="00F026C8">
        <w:rPr>
          <w:spacing w:val="-3"/>
          <w:sz w:val="18"/>
        </w:rPr>
        <w:t xml:space="preserve"> </w:t>
      </w:r>
      <w:r w:rsidR="00F026C8">
        <w:rPr>
          <w:sz w:val="18"/>
        </w:rPr>
        <w:t>2024.</w:t>
      </w:r>
      <w:r w:rsidR="00F026C8">
        <w:rPr>
          <w:spacing w:val="-2"/>
          <w:sz w:val="18"/>
        </w:rPr>
        <w:t xml:space="preserve"> </w:t>
      </w:r>
      <w:r w:rsidR="00F026C8">
        <w:rPr>
          <w:sz w:val="18"/>
        </w:rPr>
        <w:t>Available</w:t>
      </w:r>
      <w:r w:rsidR="00F026C8">
        <w:rPr>
          <w:spacing w:val="40"/>
          <w:sz w:val="18"/>
        </w:rPr>
        <w:t xml:space="preserve"> </w:t>
      </w:r>
      <w:r w:rsidR="00F026C8">
        <w:rPr>
          <w:sz w:val="18"/>
        </w:rPr>
        <w:t xml:space="preserve">from: </w:t>
      </w:r>
      <w:hyperlink r:id="rId6">
        <w:r w:rsidR="00F026C8">
          <w:rPr>
            <w:color w:val="0000FF"/>
            <w:sz w:val="18"/>
            <w:u w:val="single" w:color="0000FF"/>
          </w:rPr>
          <w:t>https://www.uptodate.com/contents/pathogenesis-of-myasthenia-</w:t>
        </w:r>
      </w:hyperlink>
      <w:hyperlink r:id="rId7">
        <w:r w:rsidR="00F026C8">
          <w:rPr>
            <w:color w:val="0000FF"/>
            <w:spacing w:val="-2"/>
            <w:sz w:val="18"/>
            <w:u w:val="single" w:color="0000FF"/>
          </w:rPr>
          <w:t>gravis?search=myasthenia%20gravis&amp;topicRef=5125&amp;source=see_link</w:t>
        </w:r>
        <w:r w:rsidR="00F026C8">
          <w:rPr>
            <w:spacing w:val="-2"/>
            <w:sz w:val="18"/>
          </w:rPr>
          <w:t>.</w:t>
        </w:r>
      </w:hyperlink>
    </w:p>
  </w:footnote>
  <w:footnote w:id="7">
    <w:p w14:paraId="793F41BE" w14:textId="7E2D1AA9" w:rsidR="00C74E19" w:rsidRDefault="00C74E19">
      <w:pPr>
        <w:pStyle w:val="FootnoteText"/>
      </w:pPr>
      <w:r>
        <w:rPr>
          <w:rStyle w:val="FootnoteReference"/>
        </w:rPr>
        <w:footnoteRef/>
      </w:r>
      <w:r>
        <w:t xml:space="preserve"> </w:t>
      </w:r>
      <w:r w:rsidR="002438D0">
        <w:rPr>
          <w:sz w:val="18"/>
        </w:rPr>
        <w:t>Bird</w:t>
      </w:r>
      <w:r w:rsidR="002438D0">
        <w:rPr>
          <w:spacing w:val="-3"/>
          <w:sz w:val="18"/>
        </w:rPr>
        <w:t xml:space="preserve"> </w:t>
      </w:r>
      <w:r w:rsidR="002438D0">
        <w:rPr>
          <w:sz w:val="18"/>
        </w:rPr>
        <w:t>SJ,</w:t>
      </w:r>
      <w:r w:rsidR="002438D0">
        <w:rPr>
          <w:spacing w:val="-2"/>
          <w:sz w:val="18"/>
        </w:rPr>
        <w:t xml:space="preserve"> </w:t>
      </w:r>
      <w:r w:rsidR="002438D0">
        <w:rPr>
          <w:sz w:val="18"/>
        </w:rPr>
        <w:t>Shefner</w:t>
      </w:r>
      <w:r w:rsidR="002438D0">
        <w:rPr>
          <w:spacing w:val="-3"/>
          <w:sz w:val="18"/>
        </w:rPr>
        <w:t xml:space="preserve"> </w:t>
      </w:r>
      <w:r w:rsidR="002438D0">
        <w:rPr>
          <w:sz w:val="18"/>
        </w:rPr>
        <w:t>JM,</w:t>
      </w:r>
      <w:r w:rsidR="002438D0">
        <w:rPr>
          <w:spacing w:val="-2"/>
          <w:sz w:val="18"/>
        </w:rPr>
        <w:t xml:space="preserve"> </w:t>
      </w:r>
      <w:r w:rsidR="002438D0">
        <w:rPr>
          <w:sz w:val="18"/>
        </w:rPr>
        <w:t>Goddeau</w:t>
      </w:r>
      <w:r w:rsidR="002438D0">
        <w:rPr>
          <w:spacing w:val="-2"/>
          <w:sz w:val="18"/>
        </w:rPr>
        <w:t xml:space="preserve"> </w:t>
      </w:r>
      <w:r w:rsidR="002438D0">
        <w:rPr>
          <w:sz w:val="18"/>
        </w:rPr>
        <w:t>Jr</w:t>
      </w:r>
      <w:r w:rsidR="002438D0">
        <w:rPr>
          <w:spacing w:val="-3"/>
          <w:sz w:val="18"/>
        </w:rPr>
        <w:t xml:space="preserve"> </w:t>
      </w:r>
      <w:r w:rsidR="002438D0">
        <w:rPr>
          <w:sz w:val="18"/>
        </w:rPr>
        <w:t>RP.</w:t>
      </w:r>
      <w:r w:rsidR="002438D0">
        <w:rPr>
          <w:spacing w:val="-2"/>
          <w:sz w:val="18"/>
        </w:rPr>
        <w:t xml:space="preserve"> </w:t>
      </w:r>
      <w:r w:rsidR="002438D0">
        <w:rPr>
          <w:sz w:val="18"/>
        </w:rPr>
        <w:t>Pathogenesis</w:t>
      </w:r>
      <w:r w:rsidR="002438D0">
        <w:rPr>
          <w:spacing w:val="-2"/>
          <w:sz w:val="18"/>
        </w:rPr>
        <w:t xml:space="preserve"> </w:t>
      </w:r>
      <w:r w:rsidR="002438D0">
        <w:rPr>
          <w:sz w:val="18"/>
        </w:rPr>
        <w:t>of</w:t>
      </w:r>
      <w:r w:rsidR="002438D0">
        <w:rPr>
          <w:spacing w:val="-1"/>
          <w:sz w:val="18"/>
        </w:rPr>
        <w:t xml:space="preserve"> </w:t>
      </w:r>
      <w:r w:rsidR="002438D0">
        <w:rPr>
          <w:sz w:val="18"/>
        </w:rPr>
        <w:t>myasthenia</w:t>
      </w:r>
      <w:r w:rsidR="002438D0">
        <w:rPr>
          <w:spacing w:val="-3"/>
          <w:sz w:val="18"/>
        </w:rPr>
        <w:t xml:space="preserve"> </w:t>
      </w:r>
      <w:r w:rsidR="002438D0">
        <w:rPr>
          <w:sz w:val="18"/>
        </w:rPr>
        <w:t>gravis.</w:t>
      </w:r>
      <w:r w:rsidR="002438D0">
        <w:rPr>
          <w:spacing w:val="-2"/>
          <w:sz w:val="18"/>
        </w:rPr>
        <w:t xml:space="preserve"> </w:t>
      </w:r>
      <w:r w:rsidR="002438D0">
        <w:rPr>
          <w:sz w:val="18"/>
        </w:rPr>
        <w:t>UpToDate.</w:t>
      </w:r>
      <w:r w:rsidR="002438D0">
        <w:rPr>
          <w:spacing w:val="-4"/>
          <w:sz w:val="18"/>
        </w:rPr>
        <w:t xml:space="preserve"> </w:t>
      </w:r>
      <w:r w:rsidR="002438D0">
        <w:rPr>
          <w:sz w:val="18"/>
        </w:rPr>
        <w:t>Updated</w:t>
      </w:r>
      <w:r w:rsidR="002438D0">
        <w:rPr>
          <w:spacing w:val="-3"/>
          <w:sz w:val="18"/>
        </w:rPr>
        <w:t xml:space="preserve"> </w:t>
      </w:r>
      <w:r w:rsidR="002438D0">
        <w:rPr>
          <w:sz w:val="18"/>
        </w:rPr>
        <w:t>6</w:t>
      </w:r>
      <w:r w:rsidR="002438D0">
        <w:rPr>
          <w:spacing w:val="-3"/>
          <w:sz w:val="18"/>
        </w:rPr>
        <w:t xml:space="preserve"> </w:t>
      </w:r>
      <w:r w:rsidR="002438D0">
        <w:rPr>
          <w:sz w:val="18"/>
        </w:rPr>
        <w:t>June</w:t>
      </w:r>
      <w:r w:rsidR="002438D0">
        <w:rPr>
          <w:spacing w:val="-3"/>
          <w:sz w:val="18"/>
        </w:rPr>
        <w:t xml:space="preserve"> </w:t>
      </w:r>
      <w:r w:rsidR="002438D0">
        <w:rPr>
          <w:sz w:val="18"/>
        </w:rPr>
        <w:t>2024.</w:t>
      </w:r>
      <w:r w:rsidR="002438D0">
        <w:rPr>
          <w:spacing w:val="-2"/>
          <w:sz w:val="18"/>
        </w:rPr>
        <w:t xml:space="preserve"> </w:t>
      </w:r>
      <w:r w:rsidR="002438D0">
        <w:rPr>
          <w:sz w:val="18"/>
        </w:rPr>
        <w:t>Available</w:t>
      </w:r>
      <w:r w:rsidR="002438D0">
        <w:rPr>
          <w:spacing w:val="40"/>
          <w:sz w:val="18"/>
        </w:rPr>
        <w:t xml:space="preserve"> </w:t>
      </w:r>
      <w:r w:rsidR="002438D0">
        <w:rPr>
          <w:sz w:val="18"/>
        </w:rPr>
        <w:t xml:space="preserve">from: </w:t>
      </w:r>
      <w:hyperlink r:id="rId8">
        <w:r w:rsidR="002438D0">
          <w:rPr>
            <w:color w:val="0000FF"/>
            <w:sz w:val="18"/>
            <w:u w:val="single" w:color="0000FF"/>
          </w:rPr>
          <w:t>https://www.uptodate.com/contents/pathogenesis-of-myasthenia-</w:t>
        </w:r>
      </w:hyperlink>
    </w:p>
  </w:footnote>
  <w:footnote w:id="8">
    <w:p w14:paraId="6E156E86" w14:textId="77777777" w:rsidR="00526ABA" w:rsidRDefault="003747F1" w:rsidP="00526ABA">
      <w:pPr>
        <w:pStyle w:val="FootnoteText"/>
      </w:pPr>
      <w:r>
        <w:rPr>
          <w:rStyle w:val="FootnoteReference"/>
        </w:rPr>
        <w:footnoteRef/>
      </w:r>
      <w:r>
        <w:t xml:space="preserve"> </w:t>
      </w:r>
      <w:r w:rsidR="00526ABA">
        <w:t>Bird SJ, Shefner JM, Goddeau Jr RP. Overview of the treatment of myasthenia gravis. UpToDate. Updated 6</w:t>
      </w:r>
      <w:r w:rsidR="00526ABA">
        <w:rPr>
          <w:spacing w:val="40"/>
        </w:rPr>
        <w:t xml:space="preserve"> </w:t>
      </w:r>
      <w:r w:rsidR="00526ABA">
        <w:t>September</w:t>
      </w:r>
      <w:r w:rsidR="00526ABA">
        <w:rPr>
          <w:spacing w:val="-8"/>
        </w:rPr>
        <w:t xml:space="preserve"> </w:t>
      </w:r>
      <w:r w:rsidR="00526ABA">
        <w:t>2024.</w:t>
      </w:r>
      <w:r w:rsidR="00526ABA">
        <w:rPr>
          <w:spacing w:val="-9"/>
        </w:rPr>
        <w:t xml:space="preserve"> </w:t>
      </w:r>
      <w:r w:rsidR="00526ABA">
        <w:t>Available</w:t>
      </w:r>
      <w:r w:rsidR="00526ABA">
        <w:rPr>
          <w:spacing w:val="-10"/>
        </w:rPr>
        <w:t xml:space="preserve"> </w:t>
      </w:r>
      <w:r w:rsidR="00526ABA">
        <w:t>from:</w:t>
      </w:r>
      <w:r w:rsidR="00526ABA">
        <w:rPr>
          <w:spacing w:val="-8"/>
        </w:rPr>
        <w:t xml:space="preserve"> </w:t>
      </w:r>
      <w:hyperlink r:id="rId9">
        <w:r w:rsidR="00526ABA">
          <w:rPr>
            <w:color w:val="0000FF"/>
            <w:u w:val="single" w:color="0000FF"/>
          </w:rPr>
          <w:t>https://www.uptodate.com/contents/overview-of-the-treatment-of-myasthenia-</w:t>
        </w:r>
      </w:hyperlink>
      <w:hyperlink r:id="rId10">
        <w:r w:rsidR="00526ABA">
          <w:rPr>
            <w:color w:val="0000FF"/>
            <w:spacing w:val="-2"/>
            <w:u w:val="single" w:color="0000FF"/>
          </w:rPr>
          <w:t>gravis?search=myasthenia%20gravis&amp;topicRef=5153&amp;source=see_link</w:t>
        </w:r>
        <w:r w:rsidR="00526ABA">
          <w:rPr>
            <w:spacing w:val="-2"/>
          </w:rPr>
          <w:t>.</w:t>
        </w:r>
      </w:hyperlink>
    </w:p>
    <w:p w14:paraId="2389F1F5" w14:textId="473E03B0" w:rsidR="003747F1" w:rsidRDefault="003747F1">
      <w:pPr>
        <w:pStyle w:val="FootnoteText"/>
      </w:pPr>
    </w:p>
  </w:footnote>
  <w:footnote w:id="9">
    <w:p w14:paraId="4AAA2D8A" w14:textId="77777777" w:rsidR="00866CC0" w:rsidRDefault="00391D12" w:rsidP="00866CC0">
      <w:pPr>
        <w:spacing w:after="0"/>
        <w:rPr>
          <w:sz w:val="18"/>
        </w:rPr>
      </w:pPr>
      <w:r w:rsidRPr="00BA12C8">
        <w:rPr>
          <w:rStyle w:val="FootnoteReference"/>
          <w:lang w:val="de-DE"/>
        </w:rPr>
        <w:t>9</w:t>
      </w:r>
      <w:r w:rsidRPr="00BA12C8">
        <w:rPr>
          <w:lang w:val="de-DE"/>
        </w:rPr>
        <w:t xml:space="preserve"> </w:t>
      </w:r>
      <w:r w:rsidR="00866CC0" w:rsidRPr="00BA12C8">
        <w:rPr>
          <w:sz w:val="18"/>
          <w:lang w:val="de-DE"/>
        </w:rPr>
        <w:t>Sanders</w:t>
      </w:r>
      <w:r w:rsidR="00866CC0" w:rsidRPr="00BA12C8">
        <w:rPr>
          <w:spacing w:val="-2"/>
          <w:sz w:val="18"/>
          <w:lang w:val="de-DE"/>
        </w:rPr>
        <w:t xml:space="preserve"> </w:t>
      </w:r>
      <w:r w:rsidR="00866CC0" w:rsidRPr="00BA12C8">
        <w:rPr>
          <w:sz w:val="18"/>
          <w:lang w:val="de-DE"/>
        </w:rPr>
        <w:t>DB,</w:t>
      </w:r>
      <w:r w:rsidR="00866CC0" w:rsidRPr="00BA12C8">
        <w:rPr>
          <w:spacing w:val="-1"/>
          <w:sz w:val="18"/>
          <w:lang w:val="de-DE"/>
        </w:rPr>
        <w:t xml:space="preserve"> </w:t>
      </w:r>
      <w:r w:rsidR="00866CC0" w:rsidRPr="00BA12C8">
        <w:rPr>
          <w:sz w:val="18"/>
          <w:lang w:val="de-DE"/>
        </w:rPr>
        <w:t>Wolfe</w:t>
      </w:r>
      <w:r w:rsidR="00866CC0" w:rsidRPr="00BA12C8">
        <w:rPr>
          <w:spacing w:val="-3"/>
          <w:sz w:val="18"/>
          <w:lang w:val="de-DE"/>
        </w:rPr>
        <w:t xml:space="preserve"> </w:t>
      </w:r>
      <w:r w:rsidR="00866CC0" w:rsidRPr="00BA12C8">
        <w:rPr>
          <w:sz w:val="18"/>
          <w:lang w:val="de-DE"/>
        </w:rPr>
        <w:t>GI,</w:t>
      </w:r>
      <w:r w:rsidR="00866CC0" w:rsidRPr="00BA12C8">
        <w:rPr>
          <w:spacing w:val="-2"/>
          <w:sz w:val="18"/>
          <w:lang w:val="de-DE"/>
        </w:rPr>
        <w:t xml:space="preserve"> </w:t>
      </w:r>
      <w:r w:rsidR="00866CC0" w:rsidRPr="00BA12C8">
        <w:rPr>
          <w:sz w:val="18"/>
          <w:lang w:val="de-DE"/>
        </w:rPr>
        <w:t>Benatar</w:t>
      </w:r>
      <w:r w:rsidR="00866CC0" w:rsidRPr="00BA12C8">
        <w:rPr>
          <w:spacing w:val="-5"/>
          <w:sz w:val="18"/>
          <w:lang w:val="de-DE"/>
        </w:rPr>
        <w:t xml:space="preserve"> </w:t>
      </w:r>
      <w:r w:rsidR="00866CC0" w:rsidRPr="00BA12C8">
        <w:rPr>
          <w:sz w:val="18"/>
          <w:lang w:val="de-DE"/>
        </w:rPr>
        <w:t>M</w:t>
      </w:r>
      <w:r w:rsidR="00866CC0" w:rsidRPr="00BA12C8">
        <w:rPr>
          <w:spacing w:val="-2"/>
          <w:sz w:val="18"/>
          <w:lang w:val="de-DE"/>
        </w:rPr>
        <w:t xml:space="preserve"> </w:t>
      </w:r>
      <w:r w:rsidR="00866CC0" w:rsidRPr="00BA12C8">
        <w:rPr>
          <w:sz w:val="18"/>
          <w:lang w:val="de-DE"/>
        </w:rPr>
        <w:t>et</w:t>
      </w:r>
      <w:r w:rsidR="00866CC0" w:rsidRPr="00BA12C8">
        <w:rPr>
          <w:spacing w:val="-1"/>
          <w:sz w:val="18"/>
          <w:lang w:val="de-DE"/>
        </w:rPr>
        <w:t xml:space="preserve"> </w:t>
      </w:r>
      <w:r w:rsidR="00866CC0" w:rsidRPr="00BA12C8">
        <w:rPr>
          <w:sz w:val="18"/>
          <w:lang w:val="de-DE"/>
        </w:rPr>
        <w:t>al.</w:t>
      </w:r>
      <w:r w:rsidR="00866CC0" w:rsidRPr="00BA12C8">
        <w:rPr>
          <w:spacing w:val="-2"/>
          <w:sz w:val="18"/>
          <w:lang w:val="de-DE"/>
        </w:rPr>
        <w:t xml:space="preserve"> </w:t>
      </w:r>
      <w:r w:rsidR="00866CC0">
        <w:rPr>
          <w:sz w:val="18"/>
        </w:rPr>
        <w:t>International</w:t>
      </w:r>
      <w:r w:rsidR="00866CC0">
        <w:rPr>
          <w:spacing w:val="-2"/>
          <w:sz w:val="18"/>
        </w:rPr>
        <w:t xml:space="preserve"> </w:t>
      </w:r>
      <w:r w:rsidR="00866CC0">
        <w:rPr>
          <w:sz w:val="18"/>
        </w:rPr>
        <w:t>consensus</w:t>
      </w:r>
      <w:r w:rsidR="00866CC0">
        <w:rPr>
          <w:spacing w:val="-3"/>
          <w:sz w:val="18"/>
        </w:rPr>
        <w:t xml:space="preserve"> </w:t>
      </w:r>
      <w:r w:rsidR="00866CC0">
        <w:rPr>
          <w:sz w:val="18"/>
        </w:rPr>
        <w:t>guidance</w:t>
      </w:r>
      <w:r w:rsidR="00866CC0">
        <w:rPr>
          <w:spacing w:val="-3"/>
          <w:sz w:val="18"/>
        </w:rPr>
        <w:t xml:space="preserve"> </w:t>
      </w:r>
      <w:r w:rsidR="00866CC0">
        <w:rPr>
          <w:sz w:val="18"/>
        </w:rPr>
        <w:t>for</w:t>
      </w:r>
      <w:r w:rsidR="00866CC0">
        <w:rPr>
          <w:spacing w:val="-4"/>
          <w:sz w:val="18"/>
        </w:rPr>
        <w:t xml:space="preserve"> </w:t>
      </w:r>
      <w:r w:rsidR="00866CC0">
        <w:rPr>
          <w:sz w:val="18"/>
        </w:rPr>
        <w:t>management</w:t>
      </w:r>
      <w:r w:rsidR="00866CC0">
        <w:rPr>
          <w:spacing w:val="-1"/>
          <w:sz w:val="18"/>
        </w:rPr>
        <w:t xml:space="preserve"> </w:t>
      </w:r>
      <w:r w:rsidR="00866CC0">
        <w:rPr>
          <w:sz w:val="18"/>
        </w:rPr>
        <w:t>of</w:t>
      </w:r>
      <w:r w:rsidR="00866CC0">
        <w:rPr>
          <w:spacing w:val="-3"/>
          <w:sz w:val="18"/>
        </w:rPr>
        <w:t xml:space="preserve"> </w:t>
      </w:r>
      <w:r w:rsidR="00866CC0">
        <w:rPr>
          <w:sz w:val="18"/>
        </w:rPr>
        <w:t>myasthenia</w:t>
      </w:r>
      <w:r w:rsidR="00866CC0">
        <w:rPr>
          <w:spacing w:val="1"/>
          <w:sz w:val="18"/>
        </w:rPr>
        <w:t xml:space="preserve"> </w:t>
      </w:r>
      <w:r w:rsidR="00866CC0">
        <w:rPr>
          <w:spacing w:val="-2"/>
          <w:sz w:val="18"/>
        </w:rPr>
        <w:t>gravis.</w:t>
      </w:r>
    </w:p>
    <w:p w14:paraId="310DB350" w14:textId="7E794A48" w:rsidR="00391D12" w:rsidRDefault="00866CC0" w:rsidP="00866CC0">
      <w:pPr>
        <w:spacing w:after="0"/>
      </w:pPr>
      <w:r>
        <w:rPr>
          <w:i/>
          <w:spacing w:val="-2"/>
          <w:sz w:val="18"/>
        </w:rPr>
        <w:t>Neurology.</w:t>
      </w:r>
      <w:r>
        <w:rPr>
          <w:i/>
          <w:spacing w:val="31"/>
          <w:sz w:val="18"/>
        </w:rPr>
        <w:t xml:space="preserve"> </w:t>
      </w:r>
      <w:r>
        <w:rPr>
          <w:spacing w:val="-2"/>
          <w:sz w:val="18"/>
        </w:rPr>
        <w:t>2016;</w:t>
      </w:r>
      <w:r w:rsidR="00950124">
        <w:rPr>
          <w:spacing w:val="-2"/>
          <w:sz w:val="18"/>
        </w:rPr>
        <w:t xml:space="preserve"> </w:t>
      </w:r>
      <w:r>
        <w:rPr>
          <w:spacing w:val="-2"/>
          <w:sz w:val="18"/>
        </w:rPr>
        <w:t>87:</w:t>
      </w:r>
      <w:r w:rsidR="00950124">
        <w:rPr>
          <w:spacing w:val="-2"/>
          <w:sz w:val="18"/>
        </w:rPr>
        <w:t xml:space="preserve"> </w:t>
      </w:r>
      <w:r>
        <w:rPr>
          <w:spacing w:val="-2"/>
          <w:sz w:val="18"/>
        </w:rPr>
        <w:t>419-</w:t>
      </w:r>
      <w:r>
        <w:rPr>
          <w:spacing w:val="-4"/>
          <w:sz w:val="18"/>
        </w:rPr>
        <w:t>425.</w:t>
      </w:r>
    </w:p>
  </w:footnote>
  <w:footnote w:id="10">
    <w:p w14:paraId="7F723432" w14:textId="07C66C20" w:rsidR="00866CC0" w:rsidRDefault="00E44A21" w:rsidP="00866CC0">
      <w:pPr>
        <w:spacing w:after="0"/>
        <w:ind w:right="323"/>
        <w:rPr>
          <w:sz w:val="18"/>
        </w:rPr>
      </w:pPr>
      <w:r>
        <w:rPr>
          <w:rStyle w:val="FootnoteReference"/>
        </w:rPr>
        <w:t>10</w:t>
      </w:r>
      <w:r>
        <w:t xml:space="preserve"> </w:t>
      </w:r>
      <w:r w:rsidR="00866CC0">
        <w:rPr>
          <w:sz w:val="18"/>
        </w:rPr>
        <w:t>Narayanaswami</w:t>
      </w:r>
      <w:r w:rsidR="00866CC0">
        <w:rPr>
          <w:spacing w:val="-3"/>
          <w:sz w:val="18"/>
        </w:rPr>
        <w:t xml:space="preserve"> </w:t>
      </w:r>
      <w:r w:rsidR="00866CC0">
        <w:rPr>
          <w:sz w:val="18"/>
        </w:rPr>
        <w:t>P,</w:t>
      </w:r>
      <w:r w:rsidR="00866CC0">
        <w:rPr>
          <w:spacing w:val="-2"/>
          <w:sz w:val="18"/>
        </w:rPr>
        <w:t xml:space="preserve"> </w:t>
      </w:r>
      <w:r w:rsidR="00866CC0">
        <w:rPr>
          <w:sz w:val="18"/>
        </w:rPr>
        <w:t>Sanders</w:t>
      </w:r>
      <w:r w:rsidR="00866CC0">
        <w:rPr>
          <w:spacing w:val="-4"/>
          <w:sz w:val="18"/>
        </w:rPr>
        <w:t xml:space="preserve"> </w:t>
      </w:r>
      <w:r w:rsidR="00866CC0">
        <w:rPr>
          <w:sz w:val="18"/>
        </w:rPr>
        <w:t>DB,</w:t>
      </w:r>
      <w:r w:rsidR="00866CC0">
        <w:rPr>
          <w:spacing w:val="-5"/>
          <w:sz w:val="18"/>
        </w:rPr>
        <w:t xml:space="preserve"> </w:t>
      </w:r>
      <w:r w:rsidR="00866CC0">
        <w:rPr>
          <w:sz w:val="18"/>
        </w:rPr>
        <w:t>Wolfe</w:t>
      </w:r>
      <w:r w:rsidR="00866CC0">
        <w:rPr>
          <w:spacing w:val="-3"/>
          <w:sz w:val="18"/>
        </w:rPr>
        <w:t xml:space="preserve"> </w:t>
      </w:r>
      <w:r w:rsidR="00866CC0">
        <w:rPr>
          <w:sz w:val="18"/>
        </w:rPr>
        <w:t>G</w:t>
      </w:r>
      <w:r w:rsidR="00866CC0">
        <w:rPr>
          <w:spacing w:val="-1"/>
          <w:sz w:val="18"/>
        </w:rPr>
        <w:t xml:space="preserve"> </w:t>
      </w:r>
      <w:r w:rsidR="00866CC0">
        <w:rPr>
          <w:sz w:val="18"/>
        </w:rPr>
        <w:t>et</w:t>
      </w:r>
      <w:r w:rsidR="00866CC0">
        <w:rPr>
          <w:spacing w:val="-5"/>
          <w:sz w:val="18"/>
        </w:rPr>
        <w:t xml:space="preserve"> </w:t>
      </w:r>
      <w:r w:rsidR="00866CC0">
        <w:rPr>
          <w:sz w:val="18"/>
        </w:rPr>
        <w:t>al.</w:t>
      </w:r>
      <w:r w:rsidR="00866CC0">
        <w:rPr>
          <w:spacing w:val="-2"/>
          <w:sz w:val="18"/>
        </w:rPr>
        <w:t xml:space="preserve"> </w:t>
      </w:r>
      <w:r w:rsidR="00866CC0">
        <w:rPr>
          <w:sz w:val="18"/>
        </w:rPr>
        <w:t>International</w:t>
      </w:r>
      <w:r w:rsidR="00866CC0">
        <w:rPr>
          <w:spacing w:val="-2"/>
          <w:sz w:val="18"/>
        </w:rPr>
        <w:t xml:space="preserve"> </w:t>
      </w:r>
      <w:r w:rsidR="00866CC0">
        <w:rPr>
          <w:sz w:val="18"/>
        </w:rPr>
        <w:t>Consensus</w:t>
      </w:r>
      <w:r w:rsidR="00866CC0">
        <w:rPr>
          <w:spacing w:val="-2"/>
          <w:sz w:val="18"/>
        </w:rPr>
        <w:t xml:space="preserve"> </w:t>
      </w:r>
      <w:r w:rsidR="00866CC0">
        <w:rPr>
          <w:sz w:val="18"/>
        </w:rPr>
        <w:t>Guidance</w:t>
      </w:r>
      <w:r w:rsidR="00866CC0">
        <w:rPr>
          <w:spacing w:val="-3"/>
          <w:sz w:val="18"/>
        </w:rPr>
        <w:t xml:space="preserve"> </w:t>
      </w:r>
      <w:r w:rsidR="00866CC0">
        <w:rPr>
          <w:sz w:val="18"/>
        </w:rPr>
        <w:t>for</w:t>
      </w:r>
      <w:r w:rsidR="00866CC0">
        <w:rPr>
          <w:spacing w:val="-4"/>
          <w:sz w:val="18"/>
        </w:rPr>
        <w:t xml:space="preserve"> </w:t>
      </w:r>
      <w:r w:rsidR="00866CC0">
        <w:rPr>
          <w:sz w:val="18"/>
        </w:rPr>
        <w:t>Management</w:t>
      </w:r>
      <w:r w:rsidR="00866CC0">
        <w:rPr>
          <w:spacing w:val="-2"/>
          <w:sz w:val="18"/>
        </w:rPr>
        <w:t xml:space="preserve"> </w:t>
      </w:r>
      <w:r w:rsidR="00866CC0">
        <w:rPr>
          <w:sz w:val="18"/>
        </w:rPr>
        <w:t>of</w:t>
      </w:r>
      <w:r w:rsidR="00866CC0">
        <w:rPr>
          <w:spacing w:val="-1"/>
          <w:sz w:val="18"/>
        </w:rPr>
        <w:t xml:space="preserve"> </w:t>
      </w:r>
      <w:r w:rsidR="00866CC0">
        <w:rPr>
          <w:sz w:val="18"/>
        </w:rPr>
        <w:t>Myasthenia</w:t>
      </w:r>
      <w:r w:rsidR="00866CC0">
        <w:rPr>
          <w:spacing w:val="40"/>
          <w:sz w:val="18"/>
        </w:rPr>
        <w:t xml:space="preserve"> </w:t>
      </w:r>
      <w:r w:rsidR="00866CC0">
        <w:rPr>
          <w:sz w:val="18"/>
        </w:rPr>
        <w:t xml:space="preserve">Gravis 2020 Update. </w:t>
      </w:r>
      <w:r w:rsidR="00866CC0">
        <w:rPr>
          <w:i/>
          <w:sz w:val="18"/>
        </w:rPr>
        <w:t xml:space="preserve">Neurology. </w:t>
      </w:r>
      <w:r w:rsidR="00866CC0">
        <w:rPr>
          <w:sz w:val="18"/>
        </w:rPr>
        <w:t>2021;</w:t>
      </w:r>
      <w:r w:rsidR="00950124">
        <w:rPr>
          <w:sz w:val="18"/>
        </w:rPr>
        <w:t xml:space="preserve"> </w:t>
      </w:r>
      <w:r w:rsidR="00866CC0">
        <w:rPr>
          <w:sz w:val="18"/>
        </w:rPr>
        <w:t>96:</w:t>
      </w:r>
      <w:r w:rsidR="00950124">
        <w:rPr>
          <w:sz w:val="18"/>
        </w:rPr>
        <w:t xml:space="preserve"> </w:t>
      </w:r>
      <w:r w:rsidR="00866CC0">
        <w:rPr>
          <w:sz w:val="18"/>
        </w:rPr>
        <w:t>114-122.</w:t>
      </w:r>
    </w:p>
    <w:p w14:paraId="0F816D41" w14:textId="5B49582D" w:rsidR="00E44A21" w:rsidRDefault="00E44A2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C744A8"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25.05pt" o:bullet="t">
        <v:imagedata r:id="rId1" o:title="image4"/>
      </v:shape>
    </w:pict>
  </w:numPicBullet>
  <w:abstractNum w:abstractNumId="0" w15:restartNumberingAfterBreak="0">
    <w:nsid w:val="0589025D"/>
    <w:multiLevelType w:val="hybridMultilevel"/>
    <w:tmpl w:val="D4EE3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9769CA"/>
    <w:multiLevelType w:val="hybridMultilevel"/>
    <w:tmpl w:val="61F0B83A"/>
    <w:lvl w:ilvl="0" w:tplc="F9FE08E2">
      <w:numFmt w:val="bullet"/>
      <w:lvlText w:val="&amp;"/>
      <w:lvlPicBulletId w:val="0"/>
      <w:lvlJc w:val="left"/>
      <w:pPr>
        <w:ind w:left="592" w:hanging="421"/>
      </w:pPr>
      <w:rPr>
        <w:rFonts w:ascii="Times New Roman" w:eastAsia="Times New Roman" w:hAnsi="Times New Roman" w:cs="Times New Roman" w:hint="default"/>
        <w:b w:val="0"/>
        <w:bCs w:val="0"/>
        <w:i w:val="0"/>
        <w:iCs w:val="0"/>
        <w:w w:val="100"/>
        <w:position w:val="0"/>
        <w:sz w:val="20"/>
        <w:szCs w:val="20"/>
        <w:lang w:val="en-US" w:eastAsia="en-US" w:bidi="ar-SA"/>
      </w:rPr>
    </w:lvl>
    <w:lvl w:ilvl="1" w:tplc="33DCEF70">
      <w:start w:val="1"/>
      <w:numFmt w:val="lowerRoman"/>
      <w:lvlText w:val="%2."/>
      <w:lvlJc w:val="left"/>
      <w:pPr>
        <w:ind w:left="522" w:hanging="204"/>
      </w:pPr>
      <w:rPr>
        <w:rFonts w:ascii="Cambria" w:eastAsia="Cambria" w:hAnsi="Cambria" w:cs="Cambria" w:hint="default"/>
        <w:b w:val="0"/>
        <w:bCs w:val="0"/>
        <w:i w:val="0"/>
        <w:iCs w:val="0"/>
        <w:spacing w:val="0"/>
        <w:w w:val="100"/>
        <w:sz w:val="22"/>
        <w:szCs w:val="22"/>
        <w:lang w:val="en-US" w:eastAsia="en-US" w:bidi="ar-SA"/>
      </w:rPr>
    </w:lvl>
    <w:lvl w:ilvl="2" w:tplc="5C7EEB7C">
      <w:numFmt w:val="bullet"/>
      <w:lvlText w:val="•"/>
      <w:lvlJc w:val="left"/>
      <w:pPr>
        <w:ind w:left="1588" w:hanging="204"/>
      </w:pPr>
      <w:rPr>
        <w:rFonts w:hint="default"/>
        <w:lang w:val="en-US" w:eastAsia="en-US" w:bidi="ar-SA"/>
      </w:rPr>
    </w:lvl>
    <w:lvl w:ilvl="3" w:tplc="8716E32E">
      <w:numFmt w:val="bullet"/>
      <w:lvlText w:val="•"/>
      <w:lvlJc w:val="left"/>
      <w:pPr>
        <w:ind w:left="2577" w:hanging="204"/>
      </w:pPr>
      <w:rPr>
        <w:rFonts w:hint="default"/>
        <w:lang w:val="en-US" w:eastAsia="en-US" w:bidi="ar-SA"/>
      </w:rPr>
    </w:lvl>
    <w:lvl w:ilvl="4" w:tplc="0D666570">
      <w:numFmt w:val="bullet"/>
      <w:lvlText w:val="•"/>
      <w:lvlJc w:val="left"/>
      <w:pPr>
        <w:ind w:left="3566" w:hanging="204"/>
      </w:pPr>
      <w:rPr>
        <w:rFonts w:hint="default"/>
        <w:lang w:val="en-US" w:eastAsia="en-US" w:bidi="ar-SA"/>
      </w:rPr>
    </w:lvl>
    <w:lvl w:ilvl="5" w:tplc="0BD67A7E">
      <w:numFmt w:val="bullet"/>
      <w:lvlText w:val="•"/>
      <w:lvlJc w:val="left"/>
      <w:pPr>
        <w:ind w:left="4554" w:hanging="204"/>
      </w:pPr>
      <w:rPr>
        <w:rFonts w:hint="default"/>
        <w:lang w:val="en-US" w:eastAsia="en-US" w:bidi="ar-SA"/>
      </w:rPr>
    </w:lvl>
    <w:lvl w:ilvl="6" w:tplc="D534CCE2">
      <w:numFmt w:val="bullet"/>
      <w:lvlText w:val="•"/>
      <w:lvlJc w:val="left"/>
      <w:pPr>
        <w:ind w:left="5543" w:hanging="204"/>
      </w:pPr>
      <w:rPr>
        <w:rFonts w:hint="default"/>
        <w:lang w:val="en-US" w:eastAsia="en-US" w:bidi="ar-SA"/>
      </w:rPr>
    </w:lvl>
    <w:lvl w:ilvl="7" w:tplc="72267CFA">
      <w:numFmt w:val="bullet"/>
      <w:lvlText w:val="•"/>
      <w:lvlJc w:val="left"/>
      <w:pPr>
        <w:ind w:left="6532" w:hanging="204"/>
      </w:pPr>
      <w:rPr>
        <w:rFonts w:hint="default"/>
        <w:lang w:val="en-US" w:eastAsia="en-US" w:bidi="ar-SA"/>
      </w:rPr>
    </w:lvl>
    <w:lvl w:ilvl="8" w:tplc="EA3469F2">
      <w:numFmt w:val="bullet"/>
      <w:lvlText w:val="•"/>
      <w:lvlJc w:val="left"/>
      <w:pPr>
        <w:ind w:left="7520" w:hanging="204"/>
      </w:pPr>
      <w:rPr>
        <w:rFonts w:hint="default"/>
        <w:lang w:val="en-US" w:eastAsia="en-US" w:bidi="ar-SA"/>
      </w:rPr>
    </w:lvl>
  </w:abstractNum>
  <w:abstractNum w:abstractNumId="2" w15:restartNumberingAfterBreak="0">
    <w:nsid w:val="0C4727CB"/>
    <w:multiLevelType w:val="hybridMultilevel"/>
    <w:tmpl w:val="7CBA6E3A"/>
    <w:lvl w:ilvl="0" w:tplc="329C1062">
      <w:numFmt w:val="bullet"/>
      <w:lvlText w:val=""/>
      <w:lvlJc w:val="left"/>
      <w:pPr>
        <w:ind w:left="884" w:hanging="361"/>
      </w:pPr>
      <w:rPr>
        <w:rFonts w:ascii="Symbol" w:eastAsia="Symbol" w:hAnsi="Symbol" w:cs="Symbol" w:hint="default"/>
        <w:b w:val="0"/>
        <w:bCs w:val="0"/>
        <w:i w:val="0"/>
        <w:iCs w:val="0"/>
        <w:spacing w:val="0"/>
        <w:w w:val="100"/>
        <w:sz w:val="22"/>
        <w:szCs w:val="22"/>
        <w:lang w:val="en-US" w:eastAsia="en-US" w:bidi="ar-SA"/>
      </w:rPr>
    </w:lvl>
    <w:lvl w:ilvl="1" w:tplc="F5EC004E">
      <w:numFmt w:val="bullet"/>
      <w:lvlText w:val="•"/>
      <w:lvlJc w:val="left"/>
      <w:pPr>
        <w:ind w:left="1741" w:hanging="361"/>
      </w:pPr>
      <w:rPr>
        <w:rFonts w:hint="default"/>
        <w:lang w:val="en-US" w:eastAsia="en-US" w:bidi="ar-SA"/>
      </w:rPr>
    </w:lvl>
    <w:lvl w:ilvl="2" w:tplc="21088304">
      <w:numFmt w:val="bullet"/>
      <w:lvlText w:val="•"/>
      <w:lvlJc w:val="left"/>
      <w:pPr>
        <w:ind w:left="2603" w:hanging="361"/>
      </w:pPr>
      <w:rPr>
        <w:rFonts w:hint="default"/>
        <w:lang w:val="en-US" w:eastAsia="en-US" w:bidi="ar-SA"/>
      </w:rPr>
    </w:lvl>
    <w:lvl w:ilvl="3" w:tplc="B2EA3A6A">
      <w:numFmt w:val="bullet"/>
      <w:lvlText w:val="•"/>
      <w:lvlJc w:val="left"/>
      <w:pPr>
        <w:ind w:left="3465" w:hanging="361"/>
      </w:pPr>
      <w:rPr>
        <w:rFonts w:hint="default"/>
        <w:lang w:val="en-US" w:eastAsia="en-US" w:bidi="ar-SA"/>
      </w:rPr>
    </w:lvl>
    <w:lvl w:ilvl="4" w:tplc="804A13AA">
      <w:numFmt w:val="bullet"/>
      <w:lvlText w:val="•"/>
      <w:lvlJc w:val="left"/>
      <w:pPr>
        <w:ind w:left="4327" w:hanging="361"/>
      </w:pPr>
      <w:rPr>
        <w:rFonts w:hint="default"/>
        <w:lang w:val="en-US" w:eastAsia="en-US" w:bidi="ar-SA"/>
      </w:rPr>
    </w:lvl>
    <w:lvl w:ilvl="5" w:tplc="DC74CE78">
      <w:numFmt w:val="bullet"/>
      <w:lvlText w:val="•"/>
      <w:lvlJc w:val="left"/>
      <w:pPr>
        <w:ind w:left="5189" w:hanging="361"/>
      </w:pPr>
      <w:rPr>
        <w:rFonts w:hint="default"/>
        <w:lang w:val="en-US" w:eastAsia="en-US" w:bidi="ar-SA"/>
      </w:rPr>
    </w:lvl>
    <w:lvl w:ilvl="6" w:tplc="733A0F0A">
      <w:numFmt w:val="bullet"/>
      <w:lvlText w:val="•"/>
      <w:lvlJc w:val="left"/>
      <w:pPr>
        <w:ind w:left="6051" w:hanging="361"/>
      </w:pPr>
      <w:rPr>
        <w:rFonts w:hint="default"/>
        <w:lang w:val="en-US" w:eastAsia="en-US" w:bidi="ar-SA"/>
      </w:rPr>
    </w:lvl>
    <w:lvl w:ilvl="7" w:tplc="2F32FEFE">
      <w:numFmt w:val="bullet"/>
      <w:lvlText w:val="•"/>
      <w:lvlJc w:val="left"/>
      <w:pPr>
        <w:ind w:left="6912" w:hanging="361"/>
      </w:pPr>
      <w:rPr>
        <w:rFonts w:hint="default"/>
        <w:lang w:val="en-US" w:eastAsia="en-US" w:bidi="ar-SA"/>
      </w:rPr>
    </w:lvl>
    <w:lvl w:ilvl="8" w:tplc="22D221A0">
      <w:numFmt w:val="bullet"/>
      <w:lvlText w:val="•"/>
      <w:lvlJc w:val="left"/>
      <w:pPr>
        <w:ind w:left="7774" w:hanging="361"/>
      </w:pPr>
      <w:rPr>
        <w:rFonts w:hint="default"/>
        <w:lang w:val="en-US" w:eastAsia="en-US" w:bidi="ar-SA"/>
      </w:rPr>
    </w:lvl>
  </w:abstractNum>
  <w:abstractNum w:abstractNumId="3"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4C6332E"/>
    <w:multiLevelType w:val="hybridMultilevel"/>
    <w:tmpl w:val="5678A98A"/>
    <w:lvl w:ilvl="0" w:tplc="AE5EC108">
      <w:start w:val="1"/>
      <w:numFmt w:val="lowerRoman"/>
      <w:lvlText w:val="%1."/>
      <w:lvlJc w:val="left"/>
      <w:pPr>
        <w:ind w:left="522" w:hanging="204"/>
      </w:pPr>
      <w:rPr>
        <w:rFonts w:ascii="Cambria" w:eastAsia="Cambria" w:hAnsi="Cambria" w:cs="Cambria" w:hint="default"/>
        <w:b w:val="0"/>
        <w:bCs w:val="0"/>
        <w:i w:val="0"/>
        <w:iCs w:val="0"/>
        <w:spacing w:val="0"/>
        <w:w w:val="100"/>
        <w:sz w:val="22"/>
        <w:szCs w:val="22"/>
        <w:lang w:val="en-US" w:eastAsia="en-US" w:bidi="ar-SA"/>
      </w:rPr>
    </w:lvl>
    <w:lvl w:ilvl="1" w:tplc="FE26928A">
      <w:numFmt w:val="bullet"/>
      <w:lvlText w:val="•"/>
      <w:lvlJc w:val="left"/>
      <w:pPr>
        <w:ind w:left="1417" w:hanging="204"/>
      </w:pPr>
      <w:rPr>
        <w:rFonts w:hint="default"/>
        <w:lang w:val="en-US" w:eastAsia="en-US" w:bidi="ar-SA"/>
      </w:rPr>
    </w:lvl>
    <w:lvl w:ilvl="2" w:tplc="44025496">
      <w:numFmt w:val="bullet"/>
      <w:lvlText w:val="•"/>
      <w:lvlJc w:val="left"/>
      <w:pPr>
        <w:ind w:left="2315" w:hanging="204"/>
      </w:pPr>
      <w:rPr>
        <w:rFonts w:hint="default"/>
        <w:lang w:val="en-US" w:eastAsia="en-US" w:bidi="ar-SA"/>
      </w:rPr>
    </w:lvl>
    <w:lvl w:ilvl="3" w:tplc="809A13D6">
      <w:numFmt w:val="bullet"/>
      <w:lvlText w:val="•"/>
      <w:lvlJc w:val="left"/>
      <w:pPr>
        <w:ind w:left="3213" w:hanging="204"/>
      </w:pPr>
      <w:rPr>
        <w:rFonts w:hint="default"/>
        <w:lang w:val="en-US" w:eastAsia="en-US" w:bidi="ar-SA"/>
      </w:rPr>
    </w:lvl>
    <w:lvl w:ilvl="4" w:tplc="419AFD4C">
      <w:numFmt w:val="bullet"/>
      <w:lvlText w:val="•"/>
      <w:lvlJc w:val="left"/>
      <w:pPr>
        <w:ind w:left="4111" w:hanging="204"/>
      </w:pPr>
      <w:rPr>
        <w:rFonts w:hint="default"/>
        <w:lang w:val="en-US" w:eastAsia="en-US" w:bidi="ar-SA"/>
      </w:rPr>
    </w:lvl>
    <w:lvl w:ilvl="5" w:tplc="E2686854">
      <w:numFmt w:val="bullet"/>
      <w:lvlText w:val="•"/>
      <w:lvlJc w:val="left"/>
      <w:pPr>
        <w:ind w:left="5009" w:hanging="204"/>
      </w:pPr>
      <w:rPr>
        <w:rFonts w:hint="default"/>
        <w:lang w:val="en-US" w:eastAsia="en-US" w:bidi="ar-SA"/>
      </w:rPr>
    </w:lvl>
    <w:lvl w:ilvl="6" w:tplc="DE6A3264">
      <w:numFmt w:val="bullet"/>
      <w:lvlText w:val="•"/>
      <w:lvlJc w:val="left"/>
      <w:pPr>
        <w:ind w:left="5907" w:hanging="204"/>
      </w:pPr>
      <w:rPr>
        <w:rFonts w:hint="default"/>
        <w:lang w:val="en-US" w:eastAsia="en-US" w:bidi="ar-SA"/>
      </w:rPr>
    </w:lvl>
    <w:lvl w:ilvl="7" w:tplc="701C4218">
      <w:numFmt w:val="bullet"/>
      <w:lvlText w:val="•"/>
      <w:lvlJc w:val="left"/>
      <w:pPr>
        <w:ind w:left="6804" w:hanging="204"/>
      </w:pPr>
      <w:rPr>
        <w:rFonts w:hint="default"/>
        <w:lang w:val="en-US" w:eastAsia="en-US" w:bidi="ar-SA"/>
      </w:rPr>
    </w:lvl>
    <w:lvl w:ilvl="8" w:tplc="E6B8E1F8">
      <w:numFmt w:val="bullet"/>
      <w:lvlText w:val="•"/>
      <w:lvlJc w:val="left"/>
      <w:pPr>
        <w:ind w:left="7702" w:hanging="204"/>
      </w:pPr>
      <w:rPr>
        <w:rFonts w:hint="default"/>
        <w:lang w:val="en-US" w:eastAsia="en-US" w:bidi="ar-SA"/>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520883D8"/>
    <w:styleLink w:val="ListBullets"/>
    <w:lvl w:ilvl="0">
      <w:start w:val="4"/>
      <w:numFmt w:val="bullet"/>
      <w:lvlText w:val="•"/>
      <w:lvlJc w:val="left"/>
      <w:pPr>
        <w:ind w:left="360" w:hanging="360"/>
      </w:pPr>
      <w:rPr>
        <w:rFonts w:ascii="Cambria" w:eastAsia="Cambria" w:hAnsi="Cambria"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9" w15:restartNumberingAfterBreak="0">
    <w:nsid w:val="1C483A3D"/>
    <w:multiLevelType w:val="hybridMultilevel"/>
    <w:tmpl w:val="FAE82D9E"/>
    <w:lvl w:ilvl="0" w:tplc="83A82262">
      <w:numFmt w:val="bullet"/>
      <w:lvlText w:val="•"/>
      <w:lvlJc w:val="left"/>
      <w:pPr>
        <w:ind w:left="884" w:hanging="361"/>
      </w:pPr>
      <w:rPr>
        <w:rFonts w:ascii="Cambria" w:eastAsia="Cambria" w:hAnsi="Cambria" w:cs="Cambria" w:hint="default"/>
        <w:b w:val="0"/>
        <w:bCs w:val="0"/>
        <w:i w:val="0"/>
        <w:iCs w:val="0"/>
        <w:spacing w:val="0"/>
        <w:w w:val="100"/>
        <w:sz w:val="22"/>
        <w:szCs w:val="22"/>
        <w:lang w:val="en-US" w:eastAsia="en-US" w:bidi="ar-SA"/>
      </w:rPr>
    </w:lvl>
    <w:lvl w:ilvl="1" w:tplc="937A20E8">
      <w:numFmt w:val="bullet"/>
      <w:lvlText w:val="•"/>
      <w:lvlJc w:val="left"/>
      <w:pPr>
        <w:ind w:left="1741" w:hanging="361"/>
      </w:pPr>
      <w:rPr>
        <w:rFonts w:hint="default"/>
        <w:lang w:val="en-US" w:eastAsia="en-US" w:bidi="ar-SA"/>
      </w:rPr>
    </w:lvl>
    <w:lvl w:ilvl="2" w:tplc="E17CF450">
      <w:numFmt w:val="bullet"/>
      <w:lvlText w:val="•"/>
      <w:lvlJc w:val="left"/>
      <w:pPr>
        <w:ind w:left="2603" w:hanging="361"/>
      </w:pPr>
      <w:rPr>
        <w:rFonts w:hint="default"/>
        <w:lang w:val="en-US" w:eastAsia="en-US" w:bidi="ar-SA"/>
      </w:rPr>
    </w:lvl>
    <w:lvl w:ilvl="3" w:tplc="2F183690">
      <w:numFmt w:val="bullet"/>
      <w:lvlText w:val="•"/>
      <w:lvlJc w:val="left"/>
      <w:pPr>
        <w:ind w:left="3465" w:hanging="361"/>
      </w:pPr>
      <w:rPr>
        <w:rFonts w:hint="default"/>
        <w:lang w:val="en-US" w:eastAsia="en-US" w:bidi="ar-SA"/>
      </w:rPr>
    </w:lvl>
    <w:lvl w:ilvl="4" w:tplc="98B4C01E">
      <w:numFmt w:val="bullet"/>
      <w:lvlText w:val="•"/>
      <w:lvlJc w:val="left"/>
      <w:pPr>
        <w:ind w:left="4327" w:hanging="361"/>
      </w:pPr>
      <w:rPr>
        <w:rFonts w:hint="default"/>
        <w:lang w:val="en-US" w:eastAsia="en-US" w:bidi="ar-SA"/>
      </w:rPr>
    </w:lvl>
    <w:lvl w:ilvl="5" w:tplc="DDDE4ED4">
      <w:numFmt w:val="bullet"/>
      <w:lvlText w:val="•"/>
      <w:lvlJc w:val="left"/>
      <w:pPr>
        <w:ind w:left="5189" w:hanging="361"/>
      </w:pPr>
      <w:rPr>
        <w:rFonts w:hint="default"/>
        <w:lang w:val="en-US" w:eastAsia="en-US" w:bidi="ar-SA"/>
      </w:rPr>
    </w:lvl>
    <w:lvl w:ilvl="6" w:tplc="69FA15D6">
      <w:numFmt w:val="bullet"/>
      <w:lvlText w:val="•"/>
      <w:lvlJc w:val="left"/>
      <w:pPr>
        <w:ind w:left="6051" w:hanging="361"/>
      </w:pPr>
      <w:rPr>
        <w:rFonts w:hint="default"/>
        <w:lang w:val="en-US" w:eastAsia="en-US" w:bidi="ar-SA"/>
      </w:rPr>
    </w:lvl>
    <w:lvl w:ilvl="7" w:tplc="0CBE4C90">
      <w:numFmt w:val="bullet"/>
      <w:lvlText w:val="•"/>
      <w:lvlJc w:val="left"/>
      <w:pPr>
        <w:ind w:left="6912" w:hanging="361"/>
      </w:pPr>
      <w:rPr>
        <w:rFonts w:hint="default"/>
        <w:lang w:val="en-US" w:eastAsia="en-US" w:bidi="ar-SA"/>
      </w:rPr>
    </w:lvl>
    <w:lvl w:ilvl="8" w:tplc="88580A82">
      <w:numFmt w:val="bullet"/>
      <w:lvlText w:val="•"/>
      <w:lvlJc w:val="left"/>
      <w:pPr>
        <w:ind w:left="7774" w:hanging="361"/>
      </w:pPr>
      <w:rPr>
        <w:rFonts w:hint="default"/>
        <w:lang w:val="en-US" w:eastAsia="en-US" w:bidi="ar-SA"/>
      </w:rPr>
    </w:lvl>
  </w:abstractNum>
  <w:abstractNum w:abstractNumId="10" w15:restartNumberingAfterBreak="0">
    <w:nsid w:val="1DD10FF2"/>
    <w:multiLevelType w:val="hybridMultilevel"/>
    <w:tmpl w:val="EFE23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27CB56BA"/>
    <w:multiLevelType w:val="multilevel"/>
    <w:tmpl w:val="DF78C094"/>
    <w:lvl w:ilvl="0">
      <w:start w:val="5"/>
      <w:numFmt w:val="decimal"/>
      <w:lvlText w:val="%1"/>
      <w:lvlJc w:val="left"/>
      <w:pPr>
        <w:ind w:left="381" w:hanging="217"/>
      </w:pPr>
      <w:rPr>
        <w:rFonts w:ascii="Arial" w:eastAsia="Arial" w:hAnsi="Arial" w:cs="Arial" w:hint="default"/>
        <w:b/>
        <w:bCs/>
        <w:i w:val="0"/>
        <w:iCs w:val="0"/>
        <w:spacing w:val="0"/>
        <w:w w:val="99"/>
        <w:sz w:val="26"/>
        <w:szCs w:val="26"/>
        <w:lang w:val="en-US" w:eastAsia="en-US" w:bidi="ar-SA"/>
      </w:rPr>
    </w:lvl>
    <w:lvl w:ilvl="1">
      <w:start w:val="1"/>
      <w:numFmt w:val="decimal"/>
      <w:lvlText w:val="%1.%2"/>
      <w:lvlJc w:val="left"/>
      <w:pPr>
        <w:ind w:left="525" w:hanging="361"/>
      </w:pPr>
      <w:rPr>
        <w:rFonts w:ascii="Cambria" w:eastAsia="Cambria" w:hAnsi="Cambria" w:cs="Cambria" w:hint="default"/>
        <w:b/>
        <w:bCs/>
        <w:i w:val="0"/>
        <w:iCs w:val="0"/>
        <w:spacing w:val="-1"/>
        <w:w w:val="100"/>
        <w:sz w:val="22"/>
        <w:szCs w:val="22"/>
        <w:lang w:val="en-US" w:eastAsia="en-US" w:bidi="ar-SA"/>
      </w:rPr>
    </w:lvl>
    <w:lvl w:ilvl="2">
      <w:numFmt w:val="bullet"/>
      <w:lvlText w:val="•"/>
      <w:lvlJc w:val="left"/>
      <w:pPr>
        <w:ind w:left="1517" w:hanging="361"/>
      </w:pPr>
      <w:rPr>
        <w:rFonts w:hint="default"/>
        <w:lang w:val="en-US" w:eastAsia="en-US" w:bidi="ar-SA"/>
      </w:rPr>
    </w:lvl>
    <w:lvl w:ilvl="3">
      <w:numFmt w:val="bullet"/>
      <w:lvlText w:val="•"/>
      <w:lvlJc w:val="left"/>
      <w:pPr>
        <w:ind w:left="2515" w:hanging="361"/>
      </w:pPr>
      <w:rPr>
        <w:rFonts w:hint="default"/>
        <w:lang w:val="en-US" w:eastAsia="en-US" w:bidi="ar-SA"/>
      </w:rPr>
    </w:lvl>
    <w:lvl w:ilvl="4">
      <w:numFmt w:val="bullet"/>
      <w:lvlText w:val="•"/>
      <w:lvlJc w:val="left"/>
      <w:pPr>
        <w:ind w:left="3512" w:hanging="361"/>
      </w:pPr>
      <w:rPr>
        <w:rFonts w:hint="default"/>
        <w:lang w:val="en-US" w:eastAsia="en-US" w:bidi="ar-SA"/>
      </w:rPr>
    </w:lvl>
    <w:lvl w:ilvl="5">
      <w:numFmt w:val="bullet"/>
      <w:lvlText w:val="•"/>
      <w:lvlJc w:val="left"/>
      <w:pPr>
        <w:ind w:left="4510" w:hanging="361"/>
      </w:pPr>
      <w:rPr>
        <w:rFonts w:hint="default"/>
        <w:lang w:val="en-US" w:eastAsia="en-US" w:bidi="ar-SA"/>
      </w:rPr>
    </w:lvl>
    <w:lvl w:ilvl="6">
      <w:numFmt w:val="bullet"/>
      <w:lvlText w:val="•"/>
      <w:lvlJc w:val="left"/>
      <w:pPr>
        <w:ind w:left="5508" w:hanging="361"/>
      </w:pPr>
      <w:rPr>
        <w:rFonts w:hint="default"/>
        <w:lang w:val="en-US" w:eastAsia="en-US" w:bidi="ar-SA"/>
      </w:rPr>
    </w:lvl>
    <w:lvl w:ilvl="7">
      <w:numFmt w:val="bullet"/>
      <w:lvlText w:val="•"/>
      <w:lvlJc w:val="left"/>
      <w:pPr>
        <w:ind w:left="6505" w:hanging="361"/>
      </w:pPr>
      <w:rPr>
        <w:rFonts w:hint="default"/>
        <w:lang w:val="en-US" w:eastAsia="en-US" w:bidi="ar-SA"/>
      </w:rPr>
    </w:lvl>
    <w:lvl w:ilvl="8">
      <w:numFmt w:val="bullet"/>
      <w:lvlText w:val="•"/>
      <w:lvlJc w:val="left"/>
      <w:pPr>
        <w:ind w:left="7503" w:hanging="361"/>
      </w:pPr>
      <w:rPr>
        <w:rFonts w:hint="default"/>
        <w:lang w:val="en-US" w:eastAsia="en-US" w:bidi="ar-SA"/>
      </w:rPr>
    </w:lvl>
  </w:abstractNum>
  <w:abstractNum w:abstractNumId="13" w15:restartNumberingAfterBreak="0">
    <w:nsid w:val="2ECC7EB4"/>
    <w:multiLevelType w:val="hybridMultilevel"/>
    <w:tmpl w:val="0CC42B92"/>
    <w:lvl w:ilvl="0" w:tplc="673CE68C">
      <w:start w:val="12"/>
      <w:numFmt w:val="bullet"/>
      <w:lvlText w:val="-"/>
      <w:lvlJc w:val="left"/>
      <w:pPr>
        <w:ind w:left="717" w:hanging="360"/>
      </w:pPr>
      <w:rPr>
        <w:rFonts w:ascii="Cambria" w:eastAsia="Cambria" w:hAnsi="Cambria" w:cs="Times New Roman"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4" w15:restartNumberingAfterBreak="0">
    <w:nsid w:val="34A96CCE"/>
    <w:multiLevelType w:val="hybridMultilevel"/>
    <w:tmpl w:val="CAF25542"/>
    <w:lvl w:ilvl="0" w:tplc="4C747274">
      <w:numFmt w:val="bullet"/>
      <w:lvlText w:val=""/>
      <w:lvlJc w:val="left"/>
      <w:pPr>
        <w:ind w:left="885" w:hanging="361"/>
      </w:pPr>
      <w:rPr>
        <w:rFonts w:ascii="Symbol" w:eastAsia="Symbol" w:hAnsi="Symbol" w:cs="Symbol" w:hint="default"/>
        <w:b w:val="0"/>
        <w:bCs w:val="0"/>
        <w:i w:val="0"/>
        <w:iCs w:val="0"/>
        <w:spacing w:val="0"/>
        <w:w w:val="100"/>
        <w:sz w:val="22"/>
        <w:szCs w:val="22"/>
        <w:lang w:val="en-US" w:eastAsia="en-US" w:bidi="ar-SA"/>
      </w:rPr>
    </w:lvl>
    <w:lvl w:ilvl="1" w:tplc="31E4760E">
      <w:numFmt w:val="bullet"/>
      <w:lvlText w:val="•"/>
      <w:lvlJc w:val="left"/>
      <w:pPr>
        <w:ind w:left="1741" w:hanging="361"/>
      </w:pPr>
      <w:rPr>
        <w:rFonts w:hint="default"/>
        <w:lang w:val="en-US" w:eastAsia="en-US" w:bidi="ar-SA"/>
      </w:rPr>
    </w:lvl>
    <w:lvl w:ilvl="2" w:tplc="8E9A4272">
      <w:numFmt w:val="bullet"/>
      <w:lvlText w:val="•"/>
      <w:lvlJc w:val="left"/>
      <w:pPr>
        <w:ind w:left="2603" w:hanging="361"/>
      </w:pPr>
      <w:rPr>
        <w:rFonts w:hint="default"/>
        <w:lang w:val="en-US" w:eastAsia="en-US" w:bidi="ar-SA"/>
      </w:rPr>
    </w:lvl>
    <w:lvl w:ilvl="3" w:tplc="85DA9288">
      <w:numFmt w:val="bullet"/>
      <w:lvlText w:val="•"/>
      <w:lvlJc w:val="left"/>
      <w:pPr>
        <w:ind w:left="3465" w:hanging="361"/>
      </w:pPr>
      <w:rPr>
        <w:rFonts w:hint="default"/>
        <w:lang w:val="en-US" w:eastAsia="en-US" w:bidi="ar-SA"/>
      </w:rPr>
    </w:lvl>
    <w:lvl w:ilvl="4" w:tplc="14B27082">
      <w:numFmt w:val="bullet"/>
      <w:lvlText w:val="•"/>
      <w:lvlJc w:val="left"/>
      <w:pPr>
        <w:ind w:left="4327" w:hanging="361"/>
      </w:pPr>
      <w:rPr>
        <w:rFonts w:hint="default"/>
        <w:lang w:val="en-US" w:eastAsia="en-US" w:bidi="ar-SA"/>
      </w:rPr>
    </w:lvl>
    <w:lvl w:ilvl="5" w:tplc="C186C9E6">
      <w:numFmt w:val="bullet"/>
      <w:lvlText w:val="•"/>
      <w:lvlJc w:val="left"/>
      <w:pPr>
        <w:ind w:left="5189" w:hanging="361"/>
      </w:pPr>
      <w:rPr>
        <w:rFonts w:hint="default"/>
        <w:lang w:val="en-US" w:eastAsia="en-US" w:bidi="ar-SA"/>
      </w:rPr>
    </w:lvl>
    <w:lvl w:ilvl="6" w:tplc="1A3E2CBC">
      <w:numFmt w:val="bullet"/>
      <w:lvlText w:val="•"/>
      <w:lvlJc w:val="left"/>
      <w:pPr>
        <w:ind w:left="6051" w:hanging="361"/>
      </w:pPr>
      <w:rPr>
        <w:rFonts w:hint="default"/>
        <w:lang w:val="en-US" w:eastAsia="en-US" w:bidi="ar-SA"/>
      </w:rPr>
    </w:lvl>
    <w:lvl w:ilvl="7" w:tplc="6E682594">
      <w:numFmt w:val="bullet"/>
      <w:lvlText w:val="•"/>
      <w:lvlJc w:val="left"/>
      <w:pPr>
        <w:ind w:left="6912" w:hanging="361"/>
      </w:pPr>
      <w:rPr>
        <w:rFonts w:hint="default"/>
        <w:lang w:val="en-US" w:eastAsia="en-US" w:bidi="ar-SA"/>
      </w:rPr>
    </w:lvl>
    <w:lvl w:ilvl="8" w:tplc="F5E856EE">
      <w:numFmt w:val="bullet"/>
      <w:lvlText w:val="•"/>
      <w:lvlJc w:val="left"/>
      <w:pPr>
        <w:ind w:left="7774" w:hanging="361"/>
      </w:pPr>
      <w:rPr>
        <w:rFonts w:hint="default"/>
        <w:lang w:val="en-US" w:eastAsia="en-US" w:bidi="ar-SA"/>
      </w:rPr>
    </w:lvl>
  </w:abstractNum>
  <w:abstractNum w:abstractNumId="15" w15:restartNumberingAfterBreak="0">
    <w:nsid w:val="3A674BFE"/>
    <w:multiLevelType w:val="hybridMultilevel"/>
    <w:tmpl w:val="0770BA98"/>
    <w:lvl w:ilvl="0" w:tplc="07B652EC">
      <w:numFmt w:val="bullet"/>
      <w:lvlText w:val=""/>
      <w:lvlJc w:val="left"/>
      <w:pPr>
        <w:ind w:left="885" w:hanging="409"/>
      </w:pPr>
      <w:rPr>
        <w:rFonts w:ascii="Symbol" w:eastAsia="Symbol" w:hAnsi="Symbol" w:cs="Symbol" w:hint="default"/>
        <w:b w:val="0"/>
        <w:bCs w:val="0"/>
        <w:i w:val="0"/>
        <w:iCs w:val="0"/>
        <w:spacing w:val="0"/>
        <w:w w:val="100"/>
        <w:sz w:val="22"/>
        <w:szCs w:val="22"/>
        <w:lang w:val="en-US" w:eastAsia="en-US" w:bidi="ar-SA"/>
      </w:rPr>
    </w:lvl>
    <w:lvl w:ilvl="1" w:tplc="9CE47A3A">
      <w:numFmt w:val="bullet"/>
      <w:lvlText w:val="•"/>
      <w:lvlJc w:val="left"/>
      <w:pPr>
        <w:ind w:left="1741" w:hanging="409"/>
      </w:pPr>
      <w:rPr>
        <w:rFonts w:hint="default"/>
        <w:lang w:val="en-US" w:eastAsia="en-US" w:bidi="ar-SA"/>
      </w:rPr>
    </w:lvl>
    <w:lvl w:ilvl="2" w:tplc="7DE677E0">
      <w:numFmt w:val="bullet"/>
      <w:lvlText w:val="•"/>
      <w:lvlJc w:val="left"/>
      <w:pPr>
        <w:ind w:left="2603" w:hanging="409"/>
      </w:pPr>
      <w:rPr>
        <w:rFonts w:hint="default"/>
        <w:lang w:val="en-US" w:eastAsia="en-US" w:bidi="ar-SA"/>
      </w:rPr>
    </w:lvl>
    <w:lvl w:ilvl="3" w:tplc="434E6350">
      <w:numFmt w:val="bullet"/>
      <w:lvlText w:val="•"/>
      <w:lvlJc w:val="left"/>
      <w:pPr>
        <w:ind w:left="3465" w:hanging="409"/>
      </w:pPr>
      <w:rPr>
        <w:rFonts w:hint="default"/>
        <w:lang w:val="en-US" w:eastAsia="en-US" w:bidi="ar-SA"/>
      </w:rPr>
    </w:lvl>
    <w:lvl w:ilvl="4" w:tplc="865876F2">
      <w:numFmt w:val="bullet"/>
      <w:lvlText w:val="•"/>
      <w:lvlJc w:val="left"/>
      <w:pPr>
        <w:ind w:left="4327" w:hanging="409"/>
      </w:pPr>
      <w:rPr>
        <w:rFonts w:hint="default"/>
        <w:lang w:val="en-US" w:eastAsia="en-US" w:bidi="ar-SA"/>
      </w:rPr>
    </w:lvl>
    <w:lvl w:ilvl="5" w:tplc="9ABEF0E8">
      <w:numFmt w:val="bullet"/>
      <w:lvlText w:val="•"/>
      <w:lvlJc w:val="left"/>
      <w:pPr>
        <w:ind w:left="5189" w:hanging="409"/>
      </w:pPr>
      <w:rPr>
        <w:rFonts w:hint="default"/>
        <w:lang w:val="en-US" w:eastAsia="en-US" w:bidi="ar-SA"/>
      </w:rPr>
    </w:lvl>
    <w:lvl w:ilvl="6" w:tplc="91562AAA">
      <w:numFmt w:val="bullet"/>
      <w:lvlText w:val="•"/>
      <w:lvlJc w:val="left"/>
      <w:pPr>
        <w:ind w:left="6051" w:hanging="409"/>
      </w:pPr>
      <w:rPr>
        <w:rFonts w:hint="default"/>
        <w:lang w:val="en-US" w:eastAsia="en-US" w:bidi="ar-SA"/>
      </w:rPr>
    </w:lvl>
    <w:lvl w:ilvl="7" w:tplc="007260E8">
      <w:numFmt w:val="bullet"/>
      <w:lvlText w:val="•"/>
      <w:lvlJc w:val="left"/>
      <w:pPr>
        <w:ind w:left="6912" w:hanging="409"/>
      </w:pPr>
      <w:rPr>
        <w:rFonts w:hint="default"/>
        <w:lang w:val="en-US" w:eastAsia="en-US" w:bidi="ar-SA"/>
      </w:rPr>
    </w:lvl>
    <w:lvl w:ilvl="8" w:tplc="198C791C">
      <w:numFmt w:val="bullet"/>
      <w:lvlText w:val="•"/>
      <w:lvlJc w:val="left"/>
      <w:pPr>
        <w:ind w:left="7774" w:hanging="409"/>
      </w:pPr>
      <w:rPr>
        <w:rFonts w:hint="default"/>
        <w:lang w:val="en-US" w:eastAsia="en-US" w:bidi="ar-SA"/>
      </w:rPr>
    </w:lvl>
  </w:abstractNum>
  <w:abstractNum w:abstractNumId="16" w15:restartNumberingAfterBreak="0">
    <w:nsid w:val="3C47337D"/>
    <w:multiLevelType w:val="hybridMultilevel"/>
    <w:tmpl w:val="BEF65592"/>
    <w:lvl w:ilvl="0" w:tplc="F296119A">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8" w15:restartNumberingAfterBreak="0">
    <w:nsid w:val="4AFC7831"/>
    <w:multiLevelType w:val="hybridMultilevel"/>
    <w:tmpl w:val="89ECA62A"/>
    <w:lvl w:ilvl="0" w:tplc="3FEA8492">
      <w:numFmt w:val="bullet"/>
      <w:lvlText w:val=""/>
      <w:lvlJc w:val="left"/>
      <w:pPr>
        <w:ind w:left="885" w:hanging="361"/>
      </w:pPr>
      <w:rPr>
        <w:rFonts w:ascii="Symbol" w:eastAsia="Symbol" w:hAnsi="Symbol" w:cs="Symbol" w:hint="default"/>
        <w:b w:val="0"/>
        <w:bCs w:val="0"/>
        <w:i w:val="0"/>
        <w:iCs w:val="0"/>
        <w:spacing w:val="0"/>
        <w:w w:val="100"/>
        <w:sz w:val="22"/>
        <w:szCs w:val="22"/>
        <w:lang w:val="en-US" w:eastAsia="en-US" w:bidi="ar-SA"/>
      </w:rPr>
    </w:lvl>
    <w:lvl w:ilvl="1" w:tplc="479EE464">
      <w:numFmt w:val="bullet"/>
      <w:lvlText w:val="•"/>
      <w:lvlJc w:val="left"/>
      <w:pPr>
        <w:ind w:left="1741" w:hanging="361"/>
      </w:pPr>
      <w:rPr>
        <w:rFonts w:hint="default"/>
        <w:lang w:val="en-US" w:eastAsia="en-US" w:bidi="ar-SA"/>
      </w:rPr>
    </w:lvl>
    <w:lvl w:ilvl="2" w:tplc="94062DE8">
      <w:numFmt w:val="bullet"/>
      <w:lvlText w:val="•"/>
      <w:lvlJc w:val="left"/>
      <w:pPr>
        <w:ind w:left="2603" w:hanging="361"/>
      </w:pPr>
      <w:rPr>
        <w:rFonts w:hint="default"/>
        <w:lang w:val="en-US" w:eastAsia="en-US" w:bidi="ar-SA"/>
      </w:rPr>
    </w:lvl>
    <w:lvl w:ilvl="3" w:tplc="A42A798E">
      <w:numFmt w:val="bullet"/>
      <w:lvlText w:val="•"/>
      <w:lvlJc w:val="left"/>
      <w:pPr>
        <w:ind w:left="3465" w:hanging="361"/>
      </w:pPr>
      <w:rPr>
        <w:rFonts w:hint="default"/>
        <w:lang w:val="en-US" w:eastAsia="en-US" w:bidi="ar-SA"/>
      </w:rPr>
    </w:lvl>
    <w:lvl w:ilvl="4" w:tplc="CE262A7E">
      <w:numFmt w:val="bullet"/>
      <w:lvlText w:val="•"/>
      <w:lvlJc w:val="left"/>
      <w:pPr>
        <w:ind w:left="4327" w:hanging="361"/>
      </w:pPr>
      <w:rPr>
        <w:rFonts w:hint="default"/>
        <w:lang w:val="en-US" w:eastAsia="en-US" w:bidi="ar-SA"/>
      </w:rPr>
    </w:lvl>
    <w:lvl w:ilvl="5" w:tplc="72441A16">
      <w:numFmt w:val="bullet"/>
      <w:lvlText w:val="•"/>
      <w:lvlJc w:val="left"/>
      <w:pPr>
        <w:ind w:left="5189" w:hanging="361"/>
      </w:pPr>
      <w:rPr>
        <w:rFonts w:hint="default"/>
        <w:lang w:val="en-US" w:eastAsia="en-US" w:bidi="ar-SA"/>
      </w:rPr>
    </w:lvl>
    <w:lvl w:ilvl="6" w:tplc="1CE62EB8">
      <w:numFmt w:val="bullet"/>
      <w:lvlText w:val="•"/>
      <w:lvlJc w:val="left"/>
      <w:pPr>
        <w:ind w:left="6051" w:hanging="361"/>
      </w:pPr>
      <w:rPr>
        <w:rFonts w:hint="default"/>
        <w:lang w:val="en-US" w:eastAsia="en-US" w:bidi="ar-SA"/>
      </w:rPr>
    </w:lvl>
    <w:lvl w:ilvl="7" w:tplc="B4B4CE4A">
      <w:numFmt w:val="bullet"/>
      <w:lvlText w:val="•"/>
      <w:lvlJc w:val="left"/>
      <w:pPr>
        <w:ind w:left="6912" w:hanging="361"/>
      </w:pPr>
      <w:rPr>
        <w:rFonts w:hint="default"/>
        <w:lang w:val="en-US" w:eastAsia="en-US" w:bidi="ar-SA"/>
      </w:rPr>
    </w:lvl>
    <w:lvl w:ilvl="8" w:tplc="89E235D2">
      <w:numFmt w:val="bullet"/>
      <w:lvlText w:val="•"/>
      <w:lvlJc w:val="left"/>
      <w:pPr>
        <w:ind w:left="7774" w:hanging="361"/>
      </w:pPr>
      <w:rPr>
        <w:rFonts w:hint="default"/>
        <w:lang w:val="en-US" w:eastAsia="en-US" w:bidi="ar-SA"/>
      </w:rPr>
    </w:lvl>
  </w:abstractNum>
  <w:abstractNum w:abstractNumId="19" w15:restartNumberingAfterBreak="0">
    <w:nsid w:val="4E9D2D6F"/>
    <w:multiLevelType w:val="hybridMultilevel"/>
    <w:tmpl w:val="742C3BF8"/>
    <w:lvl w:ilvl="0" w:tplc="145C8BF4">
      <w:numFmt w:val="bullet"/>
      <w:lvlText w:val=""/>
      <w:lvlJc w:val="left"/>
      <w:pPr>
        <w:ind w:left="525" w:hanging="361"/>
      </w:pPr>
      <w:rPr>
        <w:rFonts w:ascii="Symbol" w:eastAsia="Symbol" w:hAnsi="Symbol" w:cs="Symbol" w:hint="default"/>
        <w:b w:val="0"/>
        <w:bCs w:val="0"/>
        <w:i w:val="0"/>
        <w:iCs w:val="0"/>
        <w:spacing w:val="0"/>
        <w:w w:val="100"/>
        <w:sz w:val="22"/>
        <w:szCs w:val="22"/>
        <w:lang w:val="en-US" w:eastAsia="en-US" w:bidi="ar-SA"/>
      </w:rPr>
    </w:lvl>
    <w:lvl w:ilvl="1" w:tplc="B89271B8">
      <w:numFmt w:val="bullet"/>
      <w:lvlText w:val=""/>
      <w:lvlJc w:val="left"/>
      <w:pPr>
        <w:ind w:left="885" w:hanging="361"/>
      </w:pPr>
      <w:rPr>
        <w:rFonts w:ascii="Symbol" w:eastAsia="Symbol" w:hAnsi="Symbol" w:cs="Symbol" w:hint="default"/>
        <w:b w:val="0"/>
        <w:bCs w:val="0"/>
        <w:i w:val="0"/>
        <w:iCs w:val="0"/>
        <w:spacing w:val="0"/>
        <w:w w:val="100"/>
        <w:sz w:val="22"/>
        <w:szCs w:val="22"/>
        <w:lang w:val="en-US" w:eastAsia="en-US" w:bidi="ar-SA"/>
      </w:rPr>
    </w:lvl>
    <w:lvl w:ilvl="2" w:tplc="FC028940">
      <w:numFmt w:val="bullet"/>
      <w:lvlText w:val="•"/>
      <w:lvlJc w:val="left"/>
      <w:pPr>
        <w:ind w:left="1837" w:hanging="361"/>
      </w:pPr>
      <w:rPr>
        <w:rFonts w:hint="default"/>
        <w:lang w:val="en-US" w:eastAsia="en-US" w:bidi="ar-SA"/>
      </w:rPr>
    </w:lvl>
    <w:lvl w:ilvl="3" w:tplc="E3A4A55E">
      <w:numFmt w:val="bullet"/>
      <w:lvlText w:val="•"/>
      <w:lvlJc w:val="left"/>
      <w:pPr>
        <w:ind w:left="2795" w:hanging="361"/>
      </w:pPr>
      <w:rPr>
        <w:rFonts w:hint="default"/>
        <w:lang w:val="en-US" w:eastAsia="en-US" w:bidi="ar-SA"/>
      </w:rPr>
    </w:lvl>
    <w:lvl w:ilvl="4" w:tplc="A614E374">
      <w:numFmt w:val="bullet"/>
      <w:lvlText w:val="•"/>
      <w:lvlJc w:val="left"/>
      <w:pPr>
        <w:ind w:left="3752" w:hanging="361"/>
      </w:pPr>
      <w:rPr>
        <w:rFonts w:hint="default"/>
        <w:lang w:val="en-US" w:eastAsia="en-US" w:bidi="ar-SA"/>
      </w:rPr>
    </w:lvl>
    <w:lvl w:ilvl="5" w:tplc="85DA8318">
      <w:numFmt w:val="bullet"/>
      <w:lvlText w:val="•"/>
      <w:lvlJc w:val="left"/>
      <w:pPr>
        <w:ind w:left="4710" w:hanging="361"/>
      </w:pPr>
      <w:rPr>
        <w:rFonts w:hint="default"/>
        <w:lang w:val="en-US" w:eastAsia="en-US" w:bidi="ar-SA"/>
      </w:rPr>
    </w:lvl>
    <w:lvl w:ilvl="6" w:tplc="B15A6CBE">
      <w:numFmt w:val="bullet"/>
      <w:lvlText w:val="•"/>
      <w:lvlJc w:val="left"/>
      <w:pPr>
        <w:ind w:left="5668" w:hanging="361"/>
      </w:pPr>
      <w:rPr>
        <w:rFonts w:hint="default"/>
        <w:lang w:val="en-US" w:eastAsia="en-US" w:bidi="ar-SA"/>
      </w:rPr>
    </w:lvl>
    <w:lvl w:ilvl="7" w:tplc="1A408FC0">
      <w:numFmt w:val="bullet"/>
      <w:lvlText w:val="•"/>
      <w:lvlJc w:val="left"/>
      <w:pPr>
        <w:ind w:left="6625" w:hanging="361"/>
      </w:pPr>
      <w:rPr>
        <w:rFonts w:hint="default"/>
        <w:lang w:val="en-US" w:eastAsia="en-US" w:bidi="ar-SA"/>
      </w:rPr>
    </w:lvl>
    <w:lvl w:ilvl="8" w:tplc="26829D7A">
      <w:numFmt w:val="bullet"/>
      <w:lvlText w:val="•"/>
      <w:lvlJc w:val="left"/>
      <w:pPr>
        <w:ind w:left="7583" w:hanging="361"/>
      </w:pPr>
      <w:rPr>
        <w:rFonts w:hint="default"/>
        <w:lang w:val="en-US" w:eastAsia="en-US" w:bidi="ar-SA"/>
      </w:rPr>
    </w:lvl>
  </w:abstractNum>
  <w:abstractNum w:abstractNumId="2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1"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C31014"/>
    <w:multiLevelType w:val="hybridMultilevel"/>
    <w:tmpl w:val="F732D8D8"/>
    <w:lvl w:ilvl="0" w:tplc="5DDACB96">
      <w:start w:val="1"/>
      <w:numFmt w:val="decimal"/>
      <w:lvlText w:val="%1."/>
      <w:lvlJc w:val="left"/>
      <w:pPr>
        <w:ind w:left="885" w:hanging="361"/>
      </w:pPr>
      <w:rPr>
        <w:rFonts w:ascii="Cambria" w:eastAsia="Cambria" w:hAnsi="Cambria" w:cs="Cambria" w:hint="default"/>
        <w:b w:val="0"/>
        <w:bCs w:val="0"/>
        <w:i w:val="0"/>
        <w:iCs w:val="0"/>
        <w:spacing w:val="0"/>
        <w:w w:val="100"/>
        <w:sz w:val="22"/>
        <w:szCs w:val="22"/>
        <w:lang w:val="en-US" w:eastAsia="en-US" w:bidi="ar-SA"/>
      </w:rPr>
    </w:lvl>
    <w:lvl w:ilvl="1" w:tplc="B17C84A8">
      <w:numFmt w:val="bullet"/>
      <w:lvlText w:val="•"/>
      <w:lvlJc w:val="left"/>
      <w:pPr>
        <w:ind w:left="1741" w:hanging="361"/>
      </w:pPr>
      <w:rPr>
        <w:rFonts w:hint="default"/>
        <w:lang w:val="en-US" w:eastAsia="en-US" w:bidi="ar-SA"/>
      </w:rPr>
    </w:lvl>
    <w:lvl w:ilvl="2" w:tplc="CA62A18E">
      <w:numFmt w:val="bullet"/>
      <w:lvlText w:val="•"/>
      <w:lvlJc w:val="left"/>
      <w:pPr>
        <w:ind w:left="2603" w:hanging="361"/>
      </w:pPr>
      <w:rPr>
        <w:rFonts w:hint="default"/>
        <w:lang w:val="en-US" w:eastAsia="en-US" w:bidi="ar-SA"/>
      </w:rPr>
    </w:lvl>
    <w:lvl w:ilvl="3" w:tplc="3AA41560">
      <w:numFmt w:val="bullet"/>
      <w:lvlText w:val="•"/>
      <w:lvlJc w:val="left"/>
      <w:pPr>
        <w:ind w:left="3465" w:hanging="361"/>
      </w:pPr>
      <w:rPr>
        <w:rFonts w:hint="default"/>
        <w:lang w:val="en-US" w:eastAsia="en-US" w:bidi="ar-SA"/>
      </w:rPr>
    </w:lvl>
    <w:lvl w:ilvl="4" w:tplc="48BA7B78">
      <w:numFmt w:val="bullet"/>
      <w:lvlText w:val="•"/>
      <w:lvlJc w:val="left"/>
      <w:pPr>
        <w:ind w:left="4327" w:hanging="361"/>
      </w:pPr>
      <w:rPr>
        <w:rFonts w:hint="default"/>
        <w:lang w:val="en-US" w:eastAsia="en-US" w:bidi="ar-SA"/>
      </w:rPr>
    </w:lvl>
    <w:lvl w:ilvl="5" w:tplc="3A5662D6">
      <w:numFmt w:val="bullet"/>
      <w:lvlText w:val="•"/>
      <w:lvlJc w:val="left"/>
      <w:pPr>
        <w:ind w:left="5189" w:hanging="361"/>
      </w:pPr>
      <w:rPr>
        <w:rFonts w:hint="default"/>
        <w:lang w:val="en-US" w:eastAsia="en-US" w:bidi="ar-SA"/>
      </w:rPr>
    </w:lvl>
    <w:lvl w:ilvl="6" w:tplc="153018E4">
      <w:numFmt w:val="bullet"/>
      <w:lvlText w:val="•"/>
      <w:lvlJc w:val="left"/>
      <w:pPr>
        <w:ind w:left="6051" w:hanging="361"/>
      </w:pPr>
      <w:rPr>
        <w:rFonts w:hint="default"/>
        <w:lang w:val="en-US" w:eastAsia="en-US" w:bidi="ar-SA"/>
      </w:rPr>
    </w:lvl>
    <w:lvl w:ilvl="7" w:tplc="22CEC5D0">
      <w:numFmt w:val="bullet"/>
      <w:lvlText w:val="•"/>
      <w:lvlJc w:val="left"/>
      <w:pPr>
        <w:ind w:left="6912" w:hanging="361"/>
      </w:pPr>
      <w:rPr>
        <w:rFonts w:hint="default"/>
        <w:lang w:val="en-US" w:eastAsia="en-US" w:bidi="ar-SA"/>
      </w:rPr>
    </w:lvl>
    <w:lvl w:ilvl="8" w:tplc="35D23EBA">
      <w:numFmt w:val="bullet"/>
      <w:lvlText w:val="•"/>
      <w:lvlJc w:val="left"/>
      <w:pPr>
        <w:ind w:left="7774" w:hanging="361"/>
      </w:pPr>
      <w:rPr>
        <w:rFonts w:hint="default"/>
        <w:lang w:val="en-US" w:eastAsia="en-US" w:bidi="ar-SA"/>
      </w:rPr>
    </w:lvl>
  </w:abstractNum>
  <w:abstractNum w:abstractNumId="24"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5" w15:restartNumberingAfterBreak="0">
    <w:nsid w:val="5A774AF3"/>
    <w:multiLevelType w:val="hybridMultilevel"/>
    <w:tmpl w:val="29B4391E"/>
    <w:lvl w:ilvl="0" w:tplc="B0265040">
      <w:start w:val="1"/>
      <w:numFmt w:val="decimal"/>
      <w:lvlText w:val="%1."/>
      <w:lvlJc w:val="left"/>
      <w:pPr>
        <w:ind w:left="885" w:hanging="361"/>
      </w:pPr>
      <w:rPr>
        <w:rFonts w:ascii="Cambria" w:eastAsia="Cambria" w:hAnsi="Cambria" w:cs="Cambria" w:hint="default"/>
        <w:b w:val="0"/>
        <w:bCs w:val="0"/>
        <w:i w:val="0"/>
        <w:iCs w:val="0"/>
        <w:spacing w:val="0"/>
        <w:w w:val="100"/>
        <w:sz w:val="22"/>
        <w:szCs w:val="22"/>
        <w:lang w:val="en-US" w:eastAsia="en-US" w:bidi="ar-SA"/>
      </w:rPr>
    </w:lvl>
    <w:lvl w:ilvl="1" w:tplc="1C2897B8">
      <w:numFmt w:val="bullet"/>
      <w:lvlText w:val=""/>
      <w:lvlJc w:val="left"/>
      <w:pPr>
        <w:ind w:left="2325" w:hanging="361"/>
      </w:pPr>
      <w:rPr>
        <w:rFonts w:ascii="Wingdings" w:eastAsia="Wingdings" w:hAnsi="Wingdings" w:cs="Wingdings" w:hint="default"/>
        <w:b w:val="0"/>
        <w:bCs w:val="0"/>
        <w:i w:val="0"/>
        <w:iCs w:val="0"/>
        <w:spacing w:val="0"/>
        <w:w w:val="100"/>
        <w:sz w:val="22"/>
        <w:szCs w:val="22"/>
        <w:lang w:val="en-US" w:eastAsia="en-US" w:bidi="ar-SA"/>
      </w:rPr>
    </w:lvl>
    <w:lvl w:ilvl="2" w:tplc="14E4D15A">
      <w:numFmt w:val="bullet"/>
      <w:lvlText w:val="•"/>
      <w:lvlJc w:val="left"/>
      <w:pPr>
        <w:ind w:left="3117" w:hanging="361"/>
      </w:pPr>
      <w:rPr>
        <w:rFonts w:hint="default"/>
        <w:lang w:val="en-US" w:eastAsia="en-US" w:bidi="ar-SA"/>
      </w:rPr>
    </w:lvl>
    <w:lvl w:ilvl="3" w:tplc="EE5E1590">
      <w:numFmt w:val="bullet"/>
      <w:lvlText w:val="•"/>
      <w:lvlJc w:val="left"/>
      <w:pPr>
        <w:ind w:left="3915" w:hanging="361"/>
      </w:pPr>
      <w:rPr>
        <w:rFonts w:hint="default"/>
        <w:lang w:val="en-US" w:eastAsia="en-US" w:bidi="ar-SA"/>
      </w:rPr>
    </w:lvl>
    <w:lvl w:ilvl="4" w:tplc="80CC9DFA">
      <w:numFmt w:val="bullet"/>
      <w:lvlText w:val="•"/>
      <w:lvlJc w:val="left"/>
      <w:pPr>
        <w:ind w:left="4712" w:hanging="361"/>
      </w:pPr>
      <w:rPr>
        <w:rFonts w:hint="default"/>
        <w:lang w:val="en-US" w:eastAsia="en-US" w:bidi="ar-SA"/>
      </w:rPr>
    </w:lvl>
    <w:lvl w:ilvl="5" w:tplc="0CF0C6F2">
      <w:numFmt w:val="bullet"/>
      <w:lvlText w:val="•"/>
      <w:lvlJc w:val="left"/>
      <w:pPr>
        <w:ind w:left="5510" w:hanging="361"/>
      </w:pPr>
      <w:rPr>
        <w:rFonts w:hint="default"/>
        <w:lang w:val="en-US" w:eastAsia="en-US" w:bidi="ar-SA"/>
      </w:rPr>
    </w:lvl>
    <w:lvl w:ilvl="6" w:tplc="CECE6740">
      <w:numFmt w:val="bullet"/>
      <w:lvlText w:val="•"/>
      <w:lvlJc w:val="left"/>
      <w:pPr>
        <w:ind w:left="6308" w:hanging="361"/>
      </w:pPr>
      <w:rPr>
        <w:rFonts w:hint="default"/>
        <w:lang w:val="en-US" w:eastAsia="en-US" w:bidi="ar-SA"/>
      </w:rPr>
    </w:lvl>
    <w:lvl w:ilvl="7" w:tplc="7D161D46">
      <w:numFmt w:val="bullet"/>
      <w:lvlText w:val="•"/>
      <w:lvlJc w:val="left"/>
      <w:pPr>
        <w:ind w:left="7105" w:hanging="361"/>
      </w:pPr>
      <w:rPr>
        <w:rFonts w:hint="default"/>
        <w:lang w:val="en-US" w:eastAsia="en-US" w:bidi="ar-SA"/>
      </w:rPr>
    </w:lvl>
    <w:lvl w:ilvl="8" w:tplc="83A85F64">
      <w:numFmt w:val="bullet"/>
      <w:lvlText w:val="•"/>
      <w:lvlJc w:val="left"/>
      <w:pPr>
        <w:ind w:left="7903" w:hanging="361"/>
      </w:pPr>
      <w:rPr>
        <w:rFonts w:hint="default"/>
        <w:lang w:val="en-US" w:eastAsia="en-US" w:bidi="ar-SA"/>
      </w:rPr>
    </w:lvl>
  </w:abstractNum>
  <w:abstractNum w:abstractNumId="26" w15:restartNumberingAfterBreak="0">
    <w:nsid w:val="63BD22C0"/>
    <w:multiLevelType w:val="hybridMultilevel"/>
    <w:tmpl w:val="A7CE1DFA"/>
    <w:lvl w:ilvl="0" w:tplc="792879C6">
      <w:start w:val="1"/>
      <w:numFmt w:val="decimal"/>
      <w:lvlText w:val="%1."/>
      <w:lvlJc w:val="left"/>
      <w:pPr>
        <w:ind w:left="886" w:hanging="360"/>
      </w:pPr>
      <w:rPr>
        <w:rFonts w:ascii="Cambria" w:eastAsia="Cambria" w:hAnsi="Cambria" w:cs="Cambria" w:hint="default"/>
        <w:b/>
        <w:bCs/>
        <w:i w:val="0"/>
        <w:iCs w:val="0"/>
        <w:spacing w:val="0"/>
        <w:w w:val="100"/>
        <w:sz w:val="22"/>
        <w:szCs w:val="22"/>
        <w:lang w:val="en-US" w:eastAsia="en-US" w:bidi="ar-SA"/>
      </w:rPr>
    </w:lvl>
    <w:lvl w:ilvl="1" w:tplc="386856B2">
      <w:numFmt w:val="bullet"/>
      <w:lvlText w:val=""/>
      <w:lvlJc w:val="left"/>
      <w:pPr>
        <w:ind w:left="886" w:hanging="361"/>
      </w:pPr>
      <w:rPr>
        <w:rFonts w:ascii="Symbol" w:eastAsia="Symbol" w:hAnsi="Symbol" w:cs="Symbol" w:hint="default"/>
        <w:b w:val="0"/>
        <w:bCs w:val="0"/>
        <w:i w:val="0"/>
        <w:iCs w:val="0"/>
        <w:spacing w:val="0"/>
        <w:w w:val="100"/>
        <w:sz w:val="22"/>
        <w:szCs w:val="22"/>
        <w:lang w:val="en-US" w:eastAsia="en-US" w:bidi="ar-SA"/>
      </w:rPr>
    </w:lvl>
    <w:lvl w:ilvl="2" w:tplc="5D4EDF90">
      <w:numFmt w:val="bullet"/>
      <w:lvlText w:val="•"/>
      <w:lvlJc w:val="left"/>
      <w:pPr>
        <w:ind w:left="2603" w:hanging="361"/>
      </w:pPr>
      <w:rPr>
        <w:rFonts w:hint="default"/>
        <w:lang w:val="en-US" w:eastAsia="en-US" w:bidi="ar-SA"/>
      </w:rPr>
    </w:lvl>
    <w:lvl w:ilvl="3" w:tplc="4D5640AE">
      <w:numFmt w:val="bullet"/>
      <w:lvlText w:val="•"/>
      <w:lvlJc w:val="left"/>
      <w:pPr>
        <w:ind w:left="3465" w:hanging="361"/>
      </w:pPr>
      <w:rPr>
        <w:rFonts w:hint="default"/>
        <w:lang w:val="en-US" w:eastAsia="en-US" w:bidi="ar-SA"/>
      </w:rPr>
    </w:lvl>
    <w:lvl w:ilvl="4" w:tplc="C2C0BE26">
      <w:numFmt w:val="bullet"/>
      <w:lvlText w:val="•"/>
      <w:lvlJc w:val="left"/>
      <w:pPr>
        <w:ind w:left="4327" w:hanging="361"/>
      </w:pPr>
      <w:rPr>
        <w:rFonts w:hint="default"/>
        <w:lang w:val="en-US" w:eastAsia="en-US" w:bidi="ar-SA"/>
      </w:rPr>
    </w:lvl>
    <w:lvl w:ilvl="5" w:tplc="682E1C78">
      <w:numFmt w:val="bullet"/>
      <w:lvlText w:val="•"/>
      <w:lvlJc w:val="left"/>
      <w:pPr>
        <w:ind w:left="5189" w:hanging="361"/>
      </w:pPr>
      <w:rPr>
        <w:rFonts w:hint="default"/>
        <w:lang w:val="en-US" w:eastAsia="en-US" w:bidi="ar-SA"/>
      </w:rPr>
    </w:lvl>
    <w:lvl w:ilvl="6" w:tplc="8EA6DF82">
      <w:numFmt w:val="bullet"/>
      <w:lvlText w:val="•"/>
      <w:lvlJc w:val="left"/>
      <w:pPr>
        <w:ind w:left="6051" w:hanging="361"/>
      </w:pPr>
      <w:rPr>
        <w:rFonts w:hint="default"/>
        <w:lang w:val="en-US" w:eastAsia="en-US" w:bidi="ar-SA"/>
      </w:rPr>
    </w:lvl>
    <w:lvl w:ilvl="7" w:tplc="012A2354">
      <w:numFmt w:val="bullet"/>
      <w:lvlText w:val="•"/>
      <w:lvlJc w:val="left"/>
      <w:pPr>
        <w:ind w:left="6912" w:hanging="361"/>
      </w:pPr>
      <w:rPr>
        <w:rFonts w:hint="default"/>
        <w:lang w:val="en-US" w:eastAsia="en-US" w:bidi="ar-SA"/>
      </w:rPr>
    </w:lvl>
    <w:lvl w:ilvl="8" w:tplc="988260B6">
      <w:numFmt w:val="bullet"/>
      <w:lvlText w:val="•"/>
      <w:lvlJc w:val="left"/>
      <w:pPr>
        <w:ind w:left="7774" w:hanging="361"/>
      </w:pPr>
      <w:rPr>
        <w:rFonts w:hint="default"/>
        <w:lang w:val="en-US" w:eastAsia="en-US" w:bidi="ar-SA"/>
      </w:rPr>
    </w:lvl>
  </w:abstractNum>
  <w:abstractNum w:abstractNumId="27" w15:restartNumberingAfterBreak="0">
    <w:nsid w:val="66906377"/>
    <w:multiLevelType w:val="hybridMultilevel"/>
    <w:tmpl w:val="53D0CC52"/>
    <w:lvl w:ilvl="0" w:tplc="FCE807B8">
      <w:numFmt w:val="bullet"/>
      <w:lvlText w:val=""/>
      <w:lvlJc w:val="left"/>
      <w:pPr>
        <w:ind w:left="827" w:hanging="361"/>
      </w:pPr>
      <w:rPr>
        <w:rFonts w:ascii="Symbol" w:eastAsia="Symbol" w:hAnsi="Symbol" w:cs="Symbol" w:hint="default"/>
        <w:b w:val="0"/>
        <w:bCs w:val="0"/>
        <w:i w:val="0"/>
        <w:iCs w:val="0"/>
        <w:spacing w:val="0"/>
        <w:w w:val="100"/>
        <w:sz w:val="21"/>
        <w:szCs w:val="21"/>
        <w:lang w:val="en-US" w:eastAsia="en-US" w:bidi="ar-SA"/>
      </w:rPr>
    </w:lvl>
    <w:lvl w:ilvl="1" w:tplc="90D02604">
      <w:numFmt w:val="bullet"/>
      <w:lvlText w:val="•"/>
      <w:lvlJc w:val="left"/>
      <w:pPr>
        <w:ind w:left="1286" w:hanging="361"/>
      </w:pPr>
      <w:rPr>
        <w:rFonts w:hint="default"/>
        <w:lang w:val="en-US" w:eastAsia="en-US" w:bidi="ar-SA"/>
      </w:rPr>
    </w:lvl>
    <w:lvl w:ilvl="2" w:tplc="D84EDE64">
      <w:numFmt w:val="bullet"/>
      <w:lvlText w:val="•"/>
      <w:lvlJc w:val="left"/>
      <w:pPr>
        <w:ind w:left="1752" w:hanging="361"/>
      </w:pPr>
      <w:rPr>
        <w:rFonts w:hint="default"/>
        <w:lang w:val="en-US" w:eastAsia="en-US" w:bidi="ar-SA"/>
      </w:rPr>
    </w:lvl>
    <w:lvl w:ilvl="3" w:tplc="251E6BEA">
      <w:numFmt w:val="bullet"/>
      <w:lvlText w:val="•"/>
      <w:lvlJc w:val="left"/>
      <w:pPr>
        <w:ind w:left="2218" w:hanging="361"/>
      </w:pPr>
      <w:rPr>
        <w:rFonts w:hint="default"/>
        <w:lang w:val="en-US" w:eastAsia="en-US" w:bidi="ar-SA"/>
      </w:rPr>
    </w:lvl>
    <w:lvl w:ilvl="4" w:tplc="7FE4B6A4">
      <w:numFmt w:val="bullet"/>
      <w:lvlText w:val="•"/>
      <w:lvlJc w:val="left"/>
      <w:pPr>
        <w:ind w:left="2684" w:hanging="361"/>
      </w:pPr>
      <w:rPr>
        <w:rFonts w:hint="default"/>
        <w:lang w:val="en-US" w:eastAsia="en-US" w:bidi="ar-SA"/>
      </w:rPr>
    </w:lvl>
    <w:lvl w:ilvl="5" w:tplc="313E6286">
      <w:numFmt w:val="bullet"/>
      <w:lvlText w:val="•"/>
      <w:lvlJc w:val="left"/>
      <w:pPr>
        <w:ind w:left="3150" w:hanging="361"/>
      </w:pPr>
      <w:rPr>
        <w:rFonts w:hint="default"/>
        <w:lang w:val="en-US" w:eastAsia="en-US" w:bidi="ar-SA"/>
      </w:rPr>
    </w:lvl>
    <w:lvl w:ilvl="6" w:tplc="0EA8835C">
      <w:numFmt w:val="bullet"/>
      <w:lvlText w:val="•"/>
      <w:lvlJc w:val="left"/>
      <w:pPr>
        <w:ind w:left="3616" w:hanging="361"/>
      </w:pPr>
      <w:rPr>
        <w:rFonts w:hint="default"/>
        <w:lang w:val="en-US" w:eastAsia="en-US" w:bidi="ar-SA"/>
      </w:rPr>
    </w:lvl>
    <w:lvl w:ilvl="7" w:tplc="F07EBBCA">
      <w:numFmt w:val="bullet"/>
      <w:lvlText w:val="•"/>
      <w:lvlJc w:val="left"/>
      <w:pPr>
        <w:ind w:left="4082" w:hanging="361"/>
      </w:pPr>
      <w:rPr>
        <w:rFonts w:hint="default"/>
        <w:lang w:val="en-US" w:eastAsia="en-US" w:bidi="ar-SA"/>
      </w:rPr>
    </w:lvl>
    <w:lvl w:ilvl="8" w:tplc="CF9A02FC">
      <w:numFmt w:val="bullet"/>
      <w:lvlText w:val="•"/>
      <w:lvlJc w:val="left"/>
      <w:pPr>
        <w:ind w:left="4548" w:hanging="361"/>
      </w:pPr>
      <w:rPr>
        <w:rFonts w:hint="default"/>
        <w:lang w:val="en-US" w:eastAsia="en-US" w:bidi="ar-SA"/>
      </w:rPr>
    </w:lvl>
  </w:abstractNum>
  <w:abstractNum w:abstractNumId="28" w15:restartNumberingAfterBreak="0">
    <w:nsid w:val="6B224326"/>
    <w:multiLevelType w:val="hybridMultilevel"/>
    <w:tmpl w:val="920EB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236208"/>
    <w:multiLevelType w:val="multilevel"/>
    <w:tmpl w:val="12884408"/>
    <w:lvl w:ilvl="0">
      <w:start w:val="4"/>
      <w:numFmt w:val="decimal"/>
      <w:lvlText w:val="%1"/>
      <w:lvlJc w:val="left"/>
      <w:pPr>
        <w:ind w:left="381" w:hanging="217"/>
      </w:pPr>
      <w:rPr>
        <w:rFonts w:ascii="Arial" w:eastAsia="Arial" w:hAnsi="Arial" w:cs="Arial" w:hint="default"/>
        <w:b/>
        <w:bCs/>
        <w:i w:val="0"/>
        <w:iCs w:val="0"/>
        <w:spacing w:val="0"/>
        <w:w w:val="99"/>
        <w:sz w:val="26"/>
        <w:szCs w:val="26"/>
        <w:lang w:val="en-US" w:eastAsia="en-US" w:bidi="ar-SA"/>
      </w:rPr>
    </w:lvl>
    <w:lvl w:ilvl="1">
      <w:start w:val="1"/>
      <w:numFmt w:val="decimal"/>
      <w:lvlText w:val="%1.%2"/>
      <w:lvlJc w:val="left"/>
      <w:pPr>
        <w:ind w:left="524" w:hanging="360"/>
      </w:pPr>
      <w:rPr>
        <w:rFonts w:ascii="Cambria" w:eastAsia="Cambria" w:hAnsi="Cambria" w:cs="Cambria" w:hint="default"/>
        <w:b/>
        <w:bCs/>
        <w:i w:val="0"/>
        <w:iCs w:val="0"/>
        <w:spacing w:val="-1"/>
        <w:w w:val="100"/>
        <w:sz w:val="22"/>
        <w:szCs w:val="22"/>
        <w:lang w:val="en-US" w:eastAsia="en-US" w:bidi="ar-SA"/>
      </w:rPr>
    </w:lvl>
    <w:lvl w:ilvl="2">
      <w:numFmt w:val="bullet"/>
      <w:lvlText w:val="•"/>
      <w:lvlJc w:val="left"/>
      <w:pPr>
        <w:ind w:left="1517" w:hanging="360"/>
      </w:pPr>
      <w:rPr>
        <w:rFonts w:hint="default"/>
        <w:lang w:val="en-US" w:eastAsia="en-US" w:bidi="ar-SA"/>
      </w:rPr>
    </w:lvl>
    <w:lvl w:ilvl="3">
      <w:numFmt w:val="bullet"/>
      <w:lvlText w:val="•"/>
      <w:lvlJc w:val="left"/>
      <w:pPr>
        <w:ind w:left="2515" w:hanging="360"/>
      </w:pPr>
      <w:rPr>
        <w:rFonts w:hint="default"/>
        <w:lang w:val="en-US" w:eastAsia="en-US" w:bidi="ar-SA"/>
      </w:rPr>
    </w:lvl>
    <w:lvl w:ilvl="4">
      <w:numFmt w:val="bullet"/>
      <w:lvlText w:val="•"/>
      <w:lvlJc w:val="left"/>
      <w:pPr>
        <w:ind w:left="3512" w:hanging="360"/>
      </w:pPr>
      <w:rPr>
        <w:rFonts w:hint="default"/>
        <w:lang w:val="en-US" w:eastAsia="en-US" w:bidi="ar-SA"/>
      </w:rPr>
    </w:lvl>
    <w:lvl w:ilvl="5">
      <w:numFmt w:val="bullet"/>
      <w:lvlText w:val="•"/>
      <w:lvlJc w:val="left"/>
      <w:pPr>
        <w:ind w:left="4510" w:hanging="360"/>
      </w:pPr>
      <w:rPr>
        <w:rFonts w:hint="default"/>
        <w:lang w:val="en-US" w:eastAsia="en-US" w:bidi="ar-SA"/>
      </w:rPr>
    </w:lvl>
    <w:lvl w:ilvl="6">
      <w:numFmt w:val="bullet"/>
      <w:lvlText w:val="•"/>
      <w:lvlJc w:val="left"/>
      <w:pPr>
        <w:ind w:left="5508" w:hanging="360"/>
      </w:pPr>
      <w:rPr>
        <w:rFonts w:hint="default"/>
        <w:lang w:val="en-US" w:eastAsia="en-US" w:bidi="ar-SA"/>
      </w:rPr>
    </w:lvl>
    <w:lvl w:ilvl="7">
      <w:numFmt w:val="bullet"/>
      <w:lvlText w:val="•"/>
      <w:lvlJc w:val="left"/>
      <w:pPr>
        <w:ind w:left="6505" w:hanging="360"/>
      </w:pPr>
      <w:rPr>
        <w:rFonts w:hint="default"/>
        <w:lang w:val="en-US" w:eastAsia="en-US" w:bidi="ar-SA"/>
      </w:rPr>
    </w:lvl>
    <w:lvl w:ilvl="8">
      <w:numFmt w:val="bullet"/>
      <w:lvlText w:val="•"/>
      <w:lvlJc w:val="left"/>
      <w:pPr>
        <w:ind w:left="7503" w:hanging="360"/>
      </w:pPr>
      <w:rPr>
        <w:rFonts w:hint="default"/>
        <w:lang w:val="en-US" w:eastAsia="en-US" w:bidi="ar-SA"/>
      </w:rPr>
    </w:lvl>
  </w:abstractNum>
  <w:abstractNum w:abstractNumId="30"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1" w15:restartNumberingAfterBreak="0">
    <w:nsid w:val="7D7261E7"/>
    <w:multiLevelType w:val="hybridMultilevel"/>
    <w:tmpl w:val="56D240E6"/>
    <w:lvl w:ilvl="0" w:tplc="1D36EFC6">
      <w:numFmt w:val="bullet"/>
      <w:lvlText w:val=""/>
      <w:lvlJc w:val="left"/>
      <w:pPr>
        <w:ind w:left="884" w:hanging="361"/>
      </w:pPr>
      <w:rPr>
        <w:rFonts w:ascii="Symbol" w:eastAsia="Symbol" w:hAnsi="Symbol" w:cs="Symbol" w:hint="default"/>
        <w:b w:val="0"/>
        <w:bCs w:val="0"/>
        <w:i w:val="0"/>
        <w:iCs w:val="0"/>
        <w:spacing w:val="0"/>
        <w:w w:val="100"/>
        <w:sz w:val="22"/>
        <w:szCs w:val="22"/>
        <w:lang w:val="en-US" w:eastAsia="en-US" w:bidi="ar-SA"/>
      </w:rPr>
    </w:lvl>
    <w:lvl w:ilvl="1" w:tplc="47FE4462">
      <w:numFmt w:val="bullet"/>
      <w:lvlText w:val="•"/>
      <w:lvlJc w:val="left"/>
      <w:pPr>
        <w:ind w:left="1741" w:hanging="361"/>
      </w:pPr>
      <w:rPr>
        <w:rFonts w:hint="default"/>
        <w:lang w:val="en-US" w:eastAsia="en-US" w:bidi="ar-SA"/>
      </w:rPr>
    </w:lvl>
    <w:lvl w:ilvl="2" w:tplc="C16CCAE6">
      <w:numFmt w:val="bullet"/>
      <w:lvlText w:val="•"/>
      <w:lvlJc w:val="left"/>
      <w:pPr>
        <w:ind w:left="2603" w:hanging="361"/>
      </w:pPr>
      <w:rPr>
        <w:rFonts w:hint="default"/>
        <w:lang w:val="en-US" w:eastAsia="en-US" w:bidi="ar-SA"/>
      </w:rPr>
    </w:lvl>
    <w:lvl w:ilvl="3" w:tplc="5456EBD8">
      <w:numFmt w:val="bullet"/>
      <w:lvlText w:val="•"/>
      <w:lvlJc w:val="left"/>
      <w:pPr>
        <w:ind w:left="3465" w:hanging="361"/>
      </w:pPr>
      <w:rPr>
        <w:rFonts w:hint="default"/>
        <w:lang w:val="en-US" w:eastAsia="en-US" w:bidi="ar-SA"/>
      </w:rPr>
    </w:lvl>
    <w:lvl w:ilvl="4" w:tplc="533EC70C">
      <w:numFmt w:val="bullet"/>
      <w:lvlText w:val="•"/>
      <w:lvlJc w:val="left"/>
      <w:pPr>
        <w:ind w:left="4327" w:hanging="361"/>
      </w:pPr>
      <w:rPr>
        <w:rFonts w:hint="default"/>
        <w:lang w:val="en-US" w:eastAsia="en-US" w:bidi="ar-SA"/>
      </w:rPr>
    </w:lvl>
    <w:lvl w:ilvl="5" w:tplc="D31EB472">
      <w:numFmt w:val="bullet"/>
      <w:lvlText w:val="•"/>
      <w:lvlJc w:val="left"/>
      <w:pPr>
        <w:ind w:left="5189" w:hanging="361"/>
      </w:pPr>
      <w:rPr>
        <w:rFonts w:hint="default"/>
        <w:lang w:val="en-US" w:eastAsia="en-US" w:bidi="ar-SA"/>
      </w:rPr>
    </w:lvl>
    <w:lvl w:ilvl="6" w:tplc="1C7ACA8A">
      <w:numFmt w:val="bullet"/>
      <w:lvlText w:val="•"/>
      <w:lvlJc w:val="left"/>
      <w:pPr>
        <w:ind w:left="6051" w:hanging="361"/>
      </w:pPr>
      <w:rPr>
        <w:rFonts w:hint="default"/>
        <w:lang w:val="en-US" w:eastAsia="en-US" w:bidi="ar-SA"/>
      </w:rPr>
    </w:lvl>
    <w:lvl w:ilvl="7" w:tplc="AAA02EA8">
      <w:numFmt w:val="bullet"/>
      <w:lvlText w:val="•"/>
      <w:lvlJc w:val="left"/>
      <w:pPr>
        <w:ind w:left="6912" w:hanging="361"/>
      </w:pPr>
      <w:rPr>
        <w:rFonts w:hint="default"/>
        <w:lang w:val="en-US" w:eastAsia="en-US" w:bidi="ar-SA"/>
      </w:rPr>
    </w:lvl>
    <w:lvl w:ilvl="8" w:tplc="5976A0EA">
      <w:numFmt w:val="bullet"/>
      <w:lvlText w:val="•"/>
      <w:lvlJc w:val="left"/>
      <w:pPr>
        <w:ind w:left="7774" w:hanging="361"/>
      </w:pPr>
      <w:rPr>
        <w:rFonts w:hint="default"/>
        <w:lang w:val="en-US" w:eastAsia="en-US" w:bidi="ar-SA"/>
      </w:rPr>
    </w:lvl>
  </w:abstractNum>
  <w:num w:numId="1" w16cid:durableId="1032997172">
    <w:abstractNumId w:val="7"/>
  </w:num>
  <w:num w:numId="2" w16cid:durableId="1856573705">
    <w:abstractNumId w:val="3"/>
  </w:num>
  <w:num w:numId="3" w16cid:durableId="357703499">
    <w:abstractNumId w:val="6"/>
  </w:num>
  <w:num w:numId="4" w16cid:durableId="1869176708">
    <w:abstractNumId w:val="22"/>
  </w:num>
  <w:num w:numId="5" w16cid:durableId="1652950129">
    <w:abstractNumId w:val="11"/>
  </w:num>
  <w:num w:numId="6" w16cid:durableId="1053193207">
    <w:abstractNumId w:val="20"/>
  </w:num>
  <w:num w:numId="7" w16cid:durableId="2011359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1"/>
  </w:num>
  <w:num w:numId="9" w16cid:durableId="173421270">
    <w:abstractNumId w:val="4"/>
  </w:num>
  <w:num w:numId="10" w16cid:durableId="2108043357">
    <w:abstractNumId w:val="8"/>
  </w:num>
  <w:num w:numId="11" w16cid:durableId="1725904230">
    <w:abstractNumId w:val="17"/>
  </w:num>
  <w:num w:numId="12" w16cid:durableId="141579354">
    <w:abstractNumId w:val="24"/>
  </w:num>
  <w:num w:numId="13" w16cid:durableId="283735081">
    <w:abstractNumId w:val="30"/>
  </w:num>
  <w:num w:numId="14" w16cid:durableId="1716545241">
    <w:abstractNumId w:val="31"/>
  </w:num>
  <w:num w:numId="15" w16cid:durableId="804589599">
    <w:abstractNumId w:val="5"/>
  </w:num>
  <w:num w:numId="16" w16cid:durableId="1100416042">
    <w:abstractNumId w:val="12"/>
  </w:num>
  <w:num w:numId="17" w16cid:durableId="309870924">
    <w:abstractNumId w:val="29"/>
  </w:num>
  <w:num w:numId="18" w16cid:durableId="64492243">
    <w:abstractNumId w:val="15"/>
  </w:num>
  <w:num w:numId="19" w16cid:durableId="405885545">
    <w:abstractNumId w:val="1"/>
  </w:num>
  <w:num w:numId="20" w16cid:durableId="1204443438">
    <w:abstractNumId w:val="19"/>
  </w:num>
  <w:num w:numId="21" w16cid:durableId="1684430108">
    <w:abstractNumId w:val="9"/>
  </w:num>
  <w:num w:numId="22" w16cid:durableId="1972788777">
    <w:abstractNumId w:val="14"/>
  </w:num>
  <w:num w:numId="23" w16cid:durableId="822086813">
    <w:abstractNumId w:val="18"/>
  </w:num>
  <w:num w:numId="24" w16cid:durableId="1846362845">
    <w:abstractNumId w:val="26"/>
  </w:num>
  <w:num w:numId="25" w16cid:durableId="1595437233">
    <w:abstractNumId w:val="25"/>
  </w:num>
  <w:num w:numId="26" w16cid:durableId="917134991">
    <w:abstractNumId w:val="2"/>
  </w:num>
  <w:num w:numId="27" w16cid:durableId="119423618">
    <w:abstractNumId w:val="23"/>
  </w:num>
  <w:num w:numId="28" w16cid:durableId="386881395">
    <w:abstractNumId w:val="27"/>
  </w:num>
  <w:num w:numId="29" w16cid:durableId="2005159090">
    <w:abstractNumId w:val="10"/>
  </w:num>
  <w:num w:numId="30" w16cid:durableId="532184094">
    <w:abstractNumId w:val="7"/>
  </w:num>
  <w:num w:numId="31" w16cid:durableId="1205949651">
    <w:abstractNumId w:val="28"/>
  </w:num>
  <w:num w:numId="32" w16cid:durableId="833033066">
    <w:abstractNumId w:val="0"/>
  </w:num>
  <w:num w:numId="33" w16cid:durableId="1458797046">
    <w:abstractNumId w:val="13"/>
  </w:num>
  <w:num w:numId="34" w16cid:durableId="8208510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16D3"/>
    <w:rsid w:val="0000174B"/>
    <w:rsid w:val="000033EF"/>
    <w:rsid w:val="00004431"/>
    <w:rsid w:val="00005062"/>
    <w:rsid w:val="00005DFC"/>
    <w:rsid w:val="0000601A"/>
    <w:rsid w:val="0000621B"/>
    <w:rsid w:val="00007871"/>
    <w:rsid w:val="0001064C"/>
    <w:rsid w:val="00011416"/>
    <w:rsid w:val="00012CF6"/>
    <w:rsid w:val="00013138"/>
    <w:rsid w:val="000131C4"/>
    <w:rsid w:val="000132E4"/>
    <w:rsid w:val="0001384A"/>
    <w:rsid w:val="00020674"/>
    <w:rsid w:val="00021C13"/>
    <w:rsid w:val="00024E84"/>
    <w:rsid w:val="00027095"/>
    <w:rsid w:val="00032A0F"/>
    <w:rsid w:val="00033080"/>
    <w:rsid w:val="0003518B"/>
    <w:rsid w:val="00040D8D"/>
    <w:rsid w:val="00046423"/>
    <w:rsid w:val="00046B7B"/>
    <w:rsid w:val="000477F5"/>
    <w:rsid w:val="00050095"/>
    <w:rsid w:val="0005067C"/>
    <w:rsid w:val="00050925"/>
    <w:rsid w:val="00051C4A"/>
    <w:rsid w:val="000539EB"/>
    <w:rsid w:val="00056BD9"/>
    <w:rsid w:val="00056C4C"/>
    <w:rsid w:val="00056CAA"/>
    <w:rsid w:val="00057B2C"/>
    <w:rsid w:val="00057DBD"/>
    <w:rsid w:val="00060D6B"/>
    <w:rsid w:val="0006104E"/>
    <w:rsid w:val="00061162"/>
    <w:rsid w:val="000636DF"/>
    <w:rsid w:val="000640BD"/>
    <w:rsid w:val="00065839"/>
    <w:rsid w:val="00065FDF"/>
    <w:rsid w:val="0006693A"/>
    <w:rsid w:val="0006695D"/>
    <w:rsid w:val="000670D0"/>
    <w:rsid w:val="00067783"/>
    <w:rsid w:val="00070DD9"/>
    <w:rsid w:val="000744FE"/>
    <w:rsid w:val="0007634E"/>
    <w:rsid w:val="00077844"/>
    <w:rsid w:val="000815B9"/>
    <w:rsid w:val="00082596"/>
    <w:rsid w:val="0008318A"/>
    <w:rsid w:val="00083763"/>
    <w:rsid w:val="00083CDC"/>
    <w:rsid w:val="00090510"/>
    <w:rsid w:val="000917AE"/>
    <w:rsid w:val="00092B03"/>
    <w:rsid w:val="0009322C"/>
    <w:rsid w:val="00094B81"/>
    <w:rsid w:val="0009541B"/>
    <w:rsid w:val="00095C6A"/>
    <w:rsid w:val="000964DF"/>
    <w:rsid w:val="000975AA"/>
    <w:rsid w:val="000A0F02"/>
    <w:rsid w:val="000A1B9E"/>
    <w:rsid w:val="000A449C"/>
    <w:rsid w:val="000A51F9"/>
    <w:rsid w:val="000A6621"/>
    <w:rsid w:val="000B6B15"/>
    <w:rsid w:val="000B7AC3"/>
    <w:rsid w:val="000C0469"/>
    <w:rsid w:val="000C1426"/>
    <w:rsid w:val="000C1EC1"/>
    <w:rsid w:val="000C25A7"/>
    <w:rsid w:val="000C532C"/>
    <w:rsid w:val="000C540D"/>
    <w:rsid w:val="000C7406"/>
    <w:rsid w:val="000C7890"/>
    <w:rsid w:val="000D191E"/>
    <w:rsid w:val="000D2AA0"/>
    <w:rsid w:val="000D696B"/>
    <w:rsid w:val="000D78EC"/>
    <w:rsid w:val="000D7934"/>
    <w:rsid w:val="000E079D"/>
    <w:rsid w:val="000E2434"/>
    <w:rsid w:val="000E2597"/>
    <w:rsid w:val="000E504E"/>
    <w:rsid w:val="000E589A"/>
    <w:rsid w:val="000E6746"/>
    <w:rsid w:val="000F3762"/>
    <w:rsid w:val="000F596E"/>
    <w:rsid w:val="000F7B51"/>
    <w:rsid w:val="0010039F"/>
    <w:rsid w:val="0010130B"/>
    <w:rsid w:val="00101BEE"/>
    <w:rsid w:val="00101CE6"/>
    <w:rsid w:val="00101FB1"/>
    <w:rsid w:val="00102678"/>
    <w:rsid w:val="001035F4"/>
    <w:rsid w:val="0010509D"/>
    <w:rsid w:val="0010558A"/>
    <w:rsid w:val="00105E8E"/>
    <w:rsid w:val="00105F05"/>
    <w:rsid w:val="0010732A"/>
    <w:rsid w:val="001101FF"/>
    <w:rsid w:val="0011075E"/>
    <w:rsid w:val="00110D4E"/>
    <w:rsid w:val="00111989"/>
    <w:rsid w:val="00112058"/>
    <w:rsid w:val="00112CE1"/>
    <w:rsid w:val="001135F3"/>
    <w:rsid w:val="00113F9F"/>
    <w:rsid w:val="00114025"/>
    <w:rsid w:val="001142C5"/>
    <w:rsid w:val="001148F1"/>
    <w:rsid w:val="0012266D"/>
    <w:rsid w:val="00122879"/>
    <w:rsid w:val="00123F5E"/>
    <w:rsid w:val="001243FA"/>
    <w:rsid w:val="0012473C"/>
    <w:rsid w:val="00127A74"/>
    <w:rsid w:val="00130FFD"/>
    <w:rsid w:val="0013132F"/>
    <w:rsid w:val="00131B1B"/>
    <w:rsid w:val="00132A74"/>
    <w:rsid w:val="0013306D"/>
    <w:rsid w:val="0013528C"/>
    <w:rsid w:val="0013579E"/>
    <w:rsid w:val="001373BE"/>
    <w:rsid w:val="00137784"/>
    <w:rsid w:val="001410B4"/>
    <w:rsid w:val="0014209D"/>
    <w:rsid w:val="001442A2"/>
    <w:rsid w:val="00145C9C"/>
    <w:rsid w:val="001468CA"/>
    <w:rsid w:val="00147222"/>
    <w:rsid w:val="001477CD"/>
    <w:rsid w:val="001500A8"/>
    <w:rsid w:val="0015104F"/>
    <w:rsid w:val="00152658"/>
    <w:rsid w:val="00152D45"/>
    <w:rsid w:val="00153344"/>
    <w:rsid w:val="00155345"/>
    <w:rsid w:val="00155D85"/>
    <w:rsid w:val="00156516"/>
    <w:rsid w:val="001566B5"/>
    <w:rsid w:val="00156943"/>
    <w:rsid w:val="0016048B"/>
    <w:rsid w:val="001630F2"/>
    <w:rsid w:val="0016555E"/>
    <w:rsid w:val="00165D01"/>
    <w:rsid w:val="00165D28"/>
    <w:rsid w:val="0017005C"/>
    <w:rsid w:val="001708F4"/>
    <w:rsid w:val="00170EDB"/>
    <w:rsid w:val="00172767"/>
    <w:rsid w:val="0017367E"/>
    <w:rsid w:val="001753E5"/>
    <w:rsid w:val="00175CD8"/>
    <w:rsid w:val="00177969"/>
    <w:rsid w:val="00177DBC"/>
    <w:rsid w:val="001821D1"/>
    <w:rsid w:val="00182BD8"/>
    <w:rsid w:val="00184C26"/>
    <w:rsid w:val="001905C1"/>
    <w:rsid w:val="00190853"/>
    <w:rsid w:val="00190A31"/>
    <w:rsid w:val="00191FA2"/>
    <w:rsid w:val="001920C2"/>
    <w:rsid w:val="0019321A"/>
    <w:rsid w:val="001A13CA"/>
    <w:rsid w:val="001A1E69"/>
    <w:rsid w:val="001A2204"/>
    <w:rsid w:val="001A5250"/>
    <w:rsid w:val="001A76F9"/>
    <w:rsid w:val="001B06FF"/>
    <w:rsid w:val="001B1703"/>
    <w:rsid w:val="001B1FA4"/>
    <w:rsid w:val="001B4043"/>
    <w:rsid w:val="001B6300"/>
    <w:rsid w:val="001C1C2E"/>
    <w:rsid w:val="001C2012"/>
    <w:rsid w:val="001C22AF"/>
    <w:rsid w:val="001C31A1"/>
    <w:rsid w:val="001C3FA2"/>
    <w:rsid w:val="001C4250"/>
    <w:rsid w:val="001C5EE2"/>
    <w:rsid w:val="001D0077"/>
    <w:rsid w:val="001D1DB2"/>
    <w:rsid w:val="001D1F7C"/>
    <w:rsid w:val="001D28D6"/>
    <w:rsid w:val="001D75D2"/>
    <w:rsid w:val="001E2602"/>
    <w:rsid w:val="001E2BA3"/>
    <w:rsid w:val="001E407B"/>
    <w:rsid w:val="001E7FC6"/>
    <w:rsid w:val="001F14AD"/>
    <w:rsid w:val="001F22D2"/>
    <w:rsid w:val="001F2502"/>
    <w:rsid w:val="001F5CA3"/>
    <w:rsid w:val="001F70A5"/>
    <w:rsid w:val="001F790F"/>
    <w:rsid w:val="001F7C7B"/>
    <w:rsid w:val="00201C5A"/>
    <w:rsid w:val="0020235D"/>
    <w:rsid w:val="0020369B"/>
    <w:rsid w:val="00204125"/>
    <w:rsid w:val="002070F5"/>
    <w:rsid w:val="00207A13"/>
    <w:rsid w:val="00207A29"/>
    <w:rsid w:val="00207B4D"/>
    <w:rsid w:val="00210F9B"/>
    <w:rsid w:val="002117B1"/>
    <w:rsid w:val="00213756"/>
    <w:rsid w:val="00217CCE"/>
    <w:rsid w:val="002203B1"/>
    <w:rsid w:val="0022086D"/>
    <w:rsid w:val="002211FA"/>
    <w:rsid w:val="0022387B"/>
    <w:rsid w:val="00225BE1"/>
    <w:rsid w:val="00226F39"/>
    <w:rsid w:val="00231C2D"/>
    <w:rsid w:val="002334AD"/>
    <w:rsid w:val="00234FDC"/>
    <w:rsid w:val="0023771C"/>
    <w:rsid w:val="002403CB"/>
    <w:rsid w:val="00241B60"/>
    <w:rsid w:val="00242A43"/>
    <w:rsid w:val="002438D0"/>
    <w:rsid w:val="00245C46"/>
    <w:rsid w:val="00245D53"/>
    <w:rsid w:val="00255C78"/>
    <w:rsid w:val="00256562"/>
    <w:rsid w:val="0025785B"/>
    <w:rsid w:val="00257969"/>
    <w:rsid w:val="00261DC9"/>
    <w:rsid w:val="00261FBC"/>
    <w:rsid w:val="00265CD1"/>
    <w:rsid w:val="002674A8"/>
    <w:rsid w:val="00272151"/>
    <w:rsid w:val="0027253F"/>
    <w:rsid w:val="0027615D"/>
    <w:rsid w:val="002764C0"/>
    <w:rsid w:val="002765F7"/>
    <w:rsid w:val="00276C47"/>
    <w:rsid w:val="00280048"/>
    <w:rsid w:val="00280398"/>
    <w:rsid w:val="00280658"/>
    <w:rsid w:val="0028155D"/>
    <w:rsid w:val="0028489E"/>
    <w:rsid w:val="002848DE"/>
    <w:rsid w:val="0028756F"/>
    <w:rsid w:val="00287608"/>
    <w:rsid w:val="002876F7"/>
    <w:rsid w:val="0028794E"/>
    <w:rsid w:val="0029130A"/>
    <w:rsid w:val="00292AD7"/>
    <w:rsid w:val="0029733B"/>
    <w:rsid w:val="002A082D"/>
    <w:rsid w:val="002A0E4D"/>
    <w:rsid w:val="002A508F"/>
    <w:rsid w:val="002A5841"/>
    <w:rsid w:val="002A7429"/>
    <w:rsid w:val="002B1EDF"/>
    <w:rsid w:val="002B2061"/>
    <w:rsid w:val="002B303D"/>
    <w:rsid w:val="002B33C3"/>
    <w:rsid w:val="002B37AB"/>
    <w:rsid w:val="002C0A7A"/>
    <w:rsid w:val="002C1232"/>
    <w:rsid w:val="002C1E44"/>
    <w:rsid w:val="002C2B0E"/>
    <w:rsid w:val="002C45E3"/>
    <w:rsid w:val="002C48D9"/>
    <w:rsid w:val="002C59F3"/>
    <w:rsid w:val="002C5C92"/>
    <w:rsid w:val="002C5E29"/>
    <w:rsid w:val="002C6525"/>
    <w:rsid w:val="002D0478"/>
    <w:rsid w:val="002D384B"/>
    <w:rsid w:val="002D3A07"/>
    <w:rsid w:val="002D58BC"/>
    <w:rsid w:val="002D7127"/>
    <w:rsid w:val="002D7B4B"/>
    <w:rsid w:val="002E0643"/>
    <w:rsid w:val="002E170E"/>
    <w:rsid w:val="002E1A4F"/>
    <w:rsid w:val="002E3073"/>
    <w:rsid w:val="002E4390"/>
    <w:rsid w:val="002E4B44"/>
    <w:rsid w:val="002F3661"/>
    <w:rsid w:val="002F599E"/>
    <w:rsid w:val="002F5DED"/>
    <w:rsid w:val="002F5EBA"/>
    <w:rsid w:val="002F63D2"/>
    <w:rsid w:val="003008D8"/>
    <w:rsid w:val="00301D9A"/>
    <w:rsid w:val="00303959"/>
    <w:rsid w:val="003043AE"/>
    <w:rsid w:val="00306E72"/>
    <w:rsid w:val="00307BB5"/>
    <w:rsid w:val="003114F3"/>
    <w:rsid w:val="00312AC3"/>
    <w:rsid w:val="00314430"/>
    <w:rsid w:val="003163BC"/>
    <w:rsid w:val="0031691B"/>
    <w:rsid w:val="00320091"/>
    <w:rsid w:val="003212D9"/>
    <w:rsid w:val="0032351A"/>
    <w:rsid w:val="00324B33"/>
    <w:rsid w:val="00326908"/>
    <w:rsid w:val="00327488"/>
    <w:rsid w:val="00330464"/>
    <w:rsid w:val="003344B2"/>
    <w:rsid w:val="00334CC9"/>
    <w:rsid w:val="00336FE1"/>
    <w:rsid w:val="003373AD"/>
    <w:rsid w:val="00337BD8"/>
    <w:rsid w:val="00337DD5"/>
    <w:rsid w:val="00342B96"/>
    <w:rsid w:val="00342D56"/>
    <w:rsid w:val="00344371"/>
    <w:rsid w:val="00344C49"/>
    <w:rsid w:val="003456E7"/>
    <w:rsid w:val="00346459"/>
    <w:rsid w:val="00346CCC"/>
    <w:rsid w:val="00346EC2"/>
    <w:rsid w:val="003475BB"/>
    <w:rsid w:val="003477F9"/>
    <w:rsid w:val="00351CCC"/>
    <w:rsid w:val="0035418D"/>
    <w:rsid w:val="0035444D"/>
    <w:rsid w:val="00354A2F"/>
    <w:rsid w:val="00355768"/>
    <w:rsid w:val="00356D62"/>
    <w:rsid w:val="00357400"/>
    <w:rsid w:val="003575BC"/>
    <w:rsid w:val="00363EE3"/>
    <w:rsid w:val="00366DB0"/>
    <w:rsid w:val="003706A1"/>
    <w:rsid w:val="003718D9"/>
    <w:rsid w:val="003735F3"/>
    <w:rsid w:val="0037425F"/>
    <w:rsid w:val="00374729"/>
    <w:rsid w:val="003747F1"/>
    <w:rsid w:val="003753BF"/>
    <w:rsid w:val="00375A93"/>
    <w:rsid w:val="00383EEE"/>
    <w:rsid w:val="00387298"/>
    <w:rsid w:val="00387984"/>
    <w:rsid w:val="00387E8D"/>
    <w:rsid w:val="0039092B"/>
    <w:rsid w:val="00391820"/>
    <w:rsid w:val="00391D12"/>
    <w:rsid w:val="00394830"/>
    <w:rsid w:val="00395140"/>
    <w:rsid w:val="003A08B4"/>
    <w:rsid w:val="003A2422"/>
    <w:rsid w:val="003A2509"/>
    <w:rsid w:val="003A3435"/>
    <w:rsid w:val="003A4DB5"/>
    <w:rsid w:val="003A5162"/>
    <w:rsid w:val="003A5BE5"/>
    <w:rsid w:val="003A69A8"/>
    <w:rsid w:val="003B0B8B"/>
    <w:rsid w:val="003B149C"/>
    <w:rsid w:val="003B2409"/>
    <w:rsid w:val="003B576C"/>
    <w:rsid w:val="003C0FDB"/>
    <w:rsid w:val="003C1192"/>
    <w:rsid w:val="003C55E2"/>
    <w:rsid w:val="003C5A25"/>
    <w:rsid w:val="003C63D5"/>
    <w:rsid w:val="003C6DB2"/>
    <w:rsid w:val="003C7AA8"/>
    <w:rsid w:val="003D065F"/>
    <w:rsid w:val="003D0FB7"/>
    <w:rsid w:val="003D1AF2"/>
    <w:rsid w:val="003D2D5A"/>
    <w:rsid w:val="003D3BDC"/>
    <w:rsid w:val="003D71A1"/>
    <w:rsid w:val="003E44A6"/>
    <w:rsid w:val="003E4735"/>
    <w:rsid w:val="003E5EAA"/>
    <w:rsid w:val="003F2FBC"/>
    <w:rsid w:val="003F4A28"/>
    <w:rsid w:val="003F5564"/>
    <w:rsid w:val="003F7CDB"/>
    <w:rsid w:val="00400E46"/>
    <w:rsid w:val="0040198C"/>
    <w:rsid w:val="00403AD0"/>
    <w:rsid w:val="004049E0"/>
    <w:rsid w:val="00406D45"/>
    <w:rsid w:val="00406F8E"/>
    <w:rsid w:val="00410929"/>
    <w:rsid w:val="00414AB0"/>
    <w:rsid w:val="00415705"/>
    <w:rsid w:val="0041688F"/>
    <w:rsid w:val="0042072A"/>
    <w:rsid w:val="00420F7D"/>
    <w:rsid w:val="00422C4C"/>
    <w:rsid w:val="0042376F"/>
    <w:rsid w:val="004246B8"/>
    <w:rsid w:val="004248F1"/>
    <w:rsid w:val="00425232"/>
    <w:rsid w:val="004269E2"/>
    <w:rsid w:val="004305DC"/>
    <w:rsid w:val="00431625"/>
    <w:rsid w:val="004318D2"/>
    <w:rsid w:val="00431C35"/>
    <w:rsid w:val="00433318"/>
    <w:rsid w:val="004338D5"/>
    <w:rsid w:val="00434719"/>
    <w:rsid w:val="0043554C"/>
    <w:rsid w:val="00440881"/>
    <w:rsid w:val="004411D9"/>
    <w:rsid w:val="004414E3"/>
    <w:rsid w:val="00442A56"/>
    <w:rsid w:val="004444B0"/>
    <w:rsid w:val="004453FA"/>
    <w:rsid w:val="00445FAD"/>
    <w:rsid w:val="0045060B"/>
    <w:rsid w:val="00455290"/>
    <w:rsid w:val="00456221"/>
    <w:rsid w:val="0045721F"/>
    <w:rsid w:val="004626FF"/>
    <w:rsid w:val="0046285C"/>
    <w:rsid w:val="00463F5C"/>
    <w:rsid w:val="0046425E"/>
    <w:rsid w:val="004642E4"/>
    <w:rsid w:val="00470293"/>
    <w:rsid w:val="00470A52"/>
    <w:rsid w:val="00471004"/>
    <w:rsid w:val="00471BD5"/>
    <w:rsid w:val="0047642F"/>
    <w:rsid w:val="004764A4"/>
    <w:rsid w:val="00477C4E"/>
    <w:rsid w:val="00477F07"/>
    <w:rsid w:val="00481503"/>
    <w:rsid w:val="00481D12"/>
    <w:rsid w:val="00482759"/>
    <w:rsid w:val="004854A6"/>
    <w:rsid w:val="00490E82"/>
    <w:rsid w:val="00491A55"/>
    <w:rsid w:val="00492C3D"/>
    <w:rsid w:val="00494C3E"/>
    <w:rsid w:val="004961E6"/>
    <w:rsid w:val="00496991"/>
    <w:rsid w:val="00497DF1"/>
    <w:rsid w:val="004A153C"/>
    <w:rsid w:val="004A1E2D"/>
    <w:rsid w:val="004A318E"/>
    <w:rsid w:val="004A45B9"/>
    <w:rsid w:val="004A45D4"/>
    <w:rsid w:val="004A57E8"/>
    <w:rsid w:val="004A7CC4"/>
    <w:rsid w:val="004B3081"/>
    <w:rsid w:val="004B4A09"/>
    <w:rsid w:val="004B5F42"/>
    <w:rsid w:val="004B67F2"/>
    <w:rsid w:val="004B6B8D"/>
    <w:rsid w:val="004C2111"/>
    <w:rsid w:val="004C41CE"/>
    <w:rsid w:val="004C5B0D"/>
    <w:rsid w:val="004C631B"/>
    <w:rsid w:val="004D0933"/>
    <w:rsid w:val="004D1F29"/>
    <w:rsid w:val="004D2F00"/>
    <w:rsid w:val="004D31D8"/>
    <w:rsid w:val="004D35D1"/>
    <w:rsid w:val="004D3600"/>
    <w:rsid w:val="004D36E9"/>
    <w:rsid w:val="004D3D31"/>
    <w:rsid w:val="004D4AD5"/>
    <w:rsid w:val="004D5388"/>
    <w:rsid w:val="004E19F4"/>
    <w:rsid w:val="004E6AAB"/>
    <w:rsid w:val="004E7F16"/>
    <w:rsid w:val="004F060E"/>
    <w:rsid w:val="004F0C2E"/>
    <w:rsid w:val="004F18EC"/>
    <w:rsid w:val="004F3C47"/>
    <w:rsid w:val="00500D68"/>
    <w:rsid w:val="00501264"/>
    <w:rsid w:val="00501CF8"/>
    <w:rsid w:val="00504200"/>
    <w:rsid w:val="0050744C"/>
    <w:rsid w:val="00510089"/>
    <w:rsid w:val="005106CA"/>
    <w:rsid w:val="00511A3F"/>
    <w:rsid w:val="00515FF7"/>
    <w:rsid w:val="00516AD8"/>
    <w:rsid w:val="005178BA"/>
    <w:rsid w:val="00520140"/>
    <w:rsid w:val="0052547B"/>
    <w:rsid w:val="00526ABA"/>
    <w:rsid w:val="00530039"/>
    <w:rsid w:val="005300D9"/>
    <w:rsid w:val="0053377D"/>
    <w:rsid w:val="00533BF2"/>
    <w:rsid w:val="00535DFE"/>
    <w:rsid w:val="005373B5"/>
    <w:rsid w:val="005378D6"/>
    <w:rsid w:val="00537AB7"/>
    <w:rsid w:val="00542C06"/>
    <w:rsid w:val="00544DF4"/>
    <w:rsid w:val="0054669B"/>
    <w:rsid w:val="005536E6"/>
    <w:rsid w:val="00554532"/>
    <w:rsid w:val="00557684"/>
    <w:rsid w:val="00557F6A"/>
    <w:rsid w:val="00560EC1"/>
    <w:rsid w:val="005610D1"/>
    <w:rsid w:val="00562F42"/>
    <w:rsid w:val="00563380"/>
    <w:rsid w:val="00564448"/>
    <w:rsid w:val="00565739"/>
    <w:rsid w:val="00565EEB"/>
    <w:rsid w:val="0056766D"/>
    <w:rsid w:val="00567CFC"/>
    <w:rsid w:val="0057023E"/>
    <w:rsid w:val="00571350"/>
    <w:rsid w:val="00575215"/>
    <w:rsid w:val="005775D0"/>
    <w:rsid w:val="005810E4"/>
    <w:rsid w:val="00581138"/>
    <w:rsid w:val="0058575E"/>
    <w:rsid w:val="00585E5F"/>
    <w:rsid w:val="00585F0D"/>
    <w:rsid w:val="0058783C"/>
    <w:rsid w:val="005911AE"/>
    <w:rsid w:val="005926E2"/>
    <w:rsid w:val="0059313A"/>
    <w:rsid w:val="005A01AF"/>
    <w:rsid w:val="005A3461"/>
    <w:rsid w:val="005A54EA"/>
    <w:rsid w:val="005A6946"/>
    <w:rsid w:val="005B023F"/>
    <w:rsid w:val="005B02A2"/>
    <w:rsid w:val="005B05F6"/>
    <w:rsid w:val="005B1417"/>
    <w:rsid w:val="005B18F1"/>
    <w:rsid w:val="005B2594"/>
    <w:rsid w:val="005B48C1"/>
    <w:rsid w:val="005B4DF0"/>
    <w:rsid w:val="005B5A70"/>
    <w:rsid w:val="005B69CF"/>
    <w:rsid w:val="005B7502"/>
    <w:rsid w:val="005C1671"/>
    <w:rsid w:val="005C2468"/>
    <w:rsid w:val="005C3F07"/>
    <w:rsid w:val="005C4B46"/>
    <w:rsid w:val="005C5AB7"/>
    <w:rsid w:val="005C5DC5"/>
    <w:rsid w:val="005D0E1E"/>
    <w:rsid w:val="005D1212"/>
    <w:rsid w:val="005D16D5"/>
    <w:rsid w:val="005D2089"/>
    <w:rsid w:val="005D2D36"/>
    <w:rsid w:val="005D2D4B"/>
    <w:rsid w:val="005D7514"/>
    <w:rsid w:val="005E0FC6"/>
    <w:rsid w:val="005E1A7B"/>
    <w:rsid w:val="005E231F"/>
    <w:rsid w:val="005E2EB9"/>
    <w:rsid w:val="005E32FE"/>
    <w:rsid w:val="005E4929"/>
    <w:rsid w:val="005E784E"/>
    <w:rsid w:val="005F22A6"/>
    <w:rsid w:val="00600A62"/>
    <w:rsid w:val="00602D6E"/>
    <w:rsid w:val="006033B1"/>
    <w:rsid w:val="00603788"/>
    <w:rsid w:val="00603A18"/>
    <w:rsid w:val="00605551"/>
    <w:rsid w:val="00605C05"/>
    <w:rsid w:val="00606482"/>
    <w:rsid w:val="00610145"/>
    <w:rsid w:val="00611351"/>
    <w:rsid w:val="0061217D"/>
    <w:rsid w:val="00612259"/>
    <w:rsid w:val="00612948"/>
    <w:rsid w:val="006129AE"/>
    <w:rsid w:val="00615853"/>
    <w:rsid w:val="00617A29"/>
    <w:rsid w:val="00621DF0"/>
    <w:rsid w:val="006264D1"/>
    <w:rsid w:val="00626736"/>
    <w:rsid w:val="006277A1"/>
    <w:rsid w:val="00632BE4"/>
    <w:rsid w:val="0063374F"/>
    <w:rsid w:val="00633BD7"/>
    <w:rsid w:val="00634580"/>
    <w:rsid w:val="00634884"/>
    <w:rsid w:val="006351D9"/>
    <w:rsid w:val="006353CD"/>
    <w:rsid w:val="00636D0A"/>
    <w:rsid w:val="00637130"/>
    <w:rsid w:val="00637453"/>
    <w:rsid w:val="00637D3B"/>
    <w:rsid w:val="00637F0E"/>
    <w:rsid w:val="006407A2"/>
    <w:rsid w:val="00641A1F"/>
    <w:rsid w:val="006423F2"/>
    <w:rsid w:val="006428C5"/>
    <w:rsid w:val="0064327E"/>
    <w:rsid w:val="00643A3C"/>
    <w:rsid w:val="00646BDB"/>
    <w:rsid w:val="006471ED"/>
    <w:rsid w:val="00650234"/>
    <w:rsid w:val="006547BB"/>
    <w:rsid w:val="0066044B"/>
    <w:rsid w:val="006614D0"/>
    <w:rsid w:val="00661500"/>
    <w:rsid w:val="006630AA"/>
    <w:rsid w:val="00663544"/>
    <w:rsid w:val="00664C75"/>
    <w:rsid w:val="00666539"/>
    <w:rsid w:val="00666911"/>
    <w:rsid w:val="00670B53"/>
    <w:rsid w:val="00670FB2"/>
    <w:rsid w:val="00671675"/>
    <w:rsid w:val="0067268B"/>
    <w:rsid w:val="00675F81"/>
    <w:rsid w:val="00677787"/>
    <w:rsid w:val="00677BEE"/>
    <w:rsid w:val="0068004A"/>
    <w:rsid w:val="0068143E"/>
    <w:rsid w:val="00682688"/>
    <w:rsid w:val="0068507D"/>
    <w:rsid w:val="00686C59"/>
    <w:rsid w:val="00690D84"/>
    <w:rsid w:val="00691AF2"/>
    <w:rsid w:val="00692B80"/>
    <w:rsid w:val="00692CCD"/>
    <w:rsid w:val="00692D51"/>
    <w:rsid w:val="00694DD7"/>
    <w:rsid w:val="0069636B"/>
    <w:rsid w:val="00696D02"/>
    <w:rsid w:val="00697BF8"/>
    <w:rsid w:val="006A1762"/>
    <w:rsid w:val="006A19CE"/>
    <w:rsid w:val="006A1F0B"/>
    <w:rsid w:val="006A277A"/>
    <w:rsid w:val="006A4F94"/>
    <w:rsid w:val="006A5973"/>
    <w:rsid w:val="006A5D0C"/>
    <w:rsid w:val="006A674A"/>
    <w:rsid w:val="006B04F3"/>
    <w:rsid w:val="006B1AF5"/>
    <w:rsid w:val="006B222A"/>
    <w:rsid w:val="006B2DB2"/>
    <w:rsid w:val="006B5E64"/>
    <w:rsid w:val="006B6CE0"/>
    <w:rsid w:val="006B6D16"/>
    <w:rsid w:val="006B7126"/>
    <w:rsid w:val="006C1F86"/>
    <w:rsid w:val="006C6A7D"/>
    <w:rsid w:val="006C6B86"/>
    <w:rsid w:val="006C7F38"/>
    <w:rsid w:val="006D0206"/>
    <w:rsid w:val="006D0489"/>
    <w:rsid w:val="006D069D"/>
    <w:rsid w:val="006D1106"/>
    <w:rsid w:val="006D4553"/>
    <w:rsid w:val="006D4A35"/>
    <w:rsid w:val="006D69AB"/>
    <w:rsid w:val="006D6B44"/>
    <w:rsid w:val="006E0F71"/>
    <w:rsid w:val="006E1FC7"/>
    <w:rsid w:val="006E27FE"/>
    <w:rsid w:val="006E2B5F"/>
    <w:rsid w:val="006E3EB0"/>
    <w:rsid w:val="006E5617"/>
    <w:rsid w:val="006E5B2D"/>
    <w:rsid w:val="006E6CE1"/>
    <w:rsid w:val="006F2DBE"/>
    <w:rsid w:val="006F36DC"/>
    <w:rsid w:val="006F488D"/>
    <w:rsid w:val="006F5D4B"/>
    <w:rsid w:val="006F66E0"/>
    <w:rsid w:val="006F672E"/>
    <w:rsid w:val="006F7E3B"/>
    <w:rsid w:val="00701110"/>
    <w:rsid w:val="0070245D"/>
    <w:rsid w:val="00702E91"/>
    <w:rsid w:val="0070330F"/>
    <w:rsid w:val="00703624"/>
    <w:rsid w:val="007042D6"/>
    <w:rsid w:val="007046ED"/>
    <w:rsid w:val="0070541F"/>
    <w:rsid w:val="00705C80"/>
    <w:rsid w:val="007071D4"/>
    <w:rsid w:val="007072A1"/>
    <w:rsid w:val="0071060C"/>
    <w:rsid w:val="00710BC5"/>
    <w:rsid w:val="007121CA"/>
    <w:rsid w:val="00717E65"/>
    <w:rsid w:val="0072003B"/>
    <w:rsid w:val="00721059"/>
    <w:rsid w:val="007211E6"/>
    <w:rsid w:val="00721B49"/>
    <w:rsid w:val="007220C4"/>
    <w:rsid w:val="007256DB"/>
    <w:rsid w:val="007261D5"/>
    <w:rsid w:val="007305ED"/>
    <w:rsid w:val="00730CCE"/>
    <w:rsid w:val="007311B9"/>
    <w:rsid w:val="00732361"/>
    <w:rsid w:val="00734A3F"/>
    <w:rsid w:val="0073543B"/>
    <w:rsid w:val="007357B9"/>
    <w:rsid w:val="00741AB9"/>
    <w:rsid w:val="00742D03"/>
    <w:rsid w:val="00744216"/>
    <w:rsid w:val="00744D6A"/>
    <w:rsid w:val="007452E8"/>
    <w:rsid w:val="00746750"/>
    <w:rsid w:val="00746990"/>
    <w:rsid w:val="00747093"/>
    <w:rsid w:val="00750D70"/>
    <w:rsid w:val="00751078"/>
    <w:rsid w:val="00753AE5"/>
    <w:rsid w:val="00753B34"/>
    <w:rsid w:val="007575D0"/>
    <w:rsid w:val="00761A86"/>
    <w:rsid w:val="00765250"/>
    <w:rsid w:val="007658ED"/>
    <w:rsid w:val="007662E0"/>
    <w:rsid w:val="00775341"/>
    <w:rsid w:val="00776E9C"/>
    <w:rsid w:val="007816D8"/>
    <w:rsid w:val="007822EB"/>
    <w:rsid w:val="00784150"/>
    <w:rsid w:val="00790F85"/>
    <w:rsid w:val="00793272"/>
    <w:rsid w:val="0079499A"/>
    <w:rsid w:val="00794B64"/>
    <w:rsid w:val="007967C3"/>
    <w:rsid w:val="00796B77"/>
    <w:rsid w:val="0079766C"/>
    <w:rsid w:val="00797E2B"/>
    <w:rsid w:val="007A0A33"/>
    <w:rsid w:val="007A2B8F"/>
    <w:rsid w:val="007A4676"/>
    <w:rsid w:val="007B04DE"/>
    <w:rsid w:val="007B0AE6"/>
    <w:rsid w:val="007B1FDA"/>
    <w:rsid w:val="007B212D"/>
    <w:rsid w:val="007B4DE4"/>
    <w:rsid w:val="007C0F0B"/>
    <w:rsid w:val="007C33A0"/>
    <w:rsid w:val="007C57BC"/>
    <w:rsid w:val="007C5F5E"/>
    <w:rsid w:val="007C602D"/>
    <w:rsid w:val="007D04CA"/>
    <w:rsid w:val="007D0A2B"/>
    <w:rsid w:val="007D12A1"/>
    <w:rsid w:val="007D23CF"/>
    <w:rsid w:val="007D2A78"/>
    <w:rsid w:val="007D3F12"/>
    <w:rsid w:val="007D40E5"/>
    <w:rsid w:val="007D4138"/>
    <w:rsid w:val="007D597E"/>
    <w:rsid w:val="007D72DD"/>
    <w:rsid w:val="007D79EA"/>
    <w:rsid w:val="007E207E"/>
    <w:rsid w:val="007E26F5"/>
    <w:rsid w:val="007E4178"/>
    <w:rsid w:val="007E4DB8"/>
    <w:rsid w:val="007E5C31"/>
    <w:rsid w:val="007E6443"/>
    <w:rsid w:val="007E73A7"/>
    <w:rsid w:val="007F0A77"/>
    <w:rsid w:val="007F10C4"/>
    <w:rsid w:val="007F1E37"/>
    <w:rsid w:val="007F50D3"/>
    <w:rsid w:val="007F6B1F"/>
    <w:rsid w:val="008013F0"/>
    <w:rsid w:val="008019D4"/>
    <w:rsid w:val="00803926"/>
    <w:rsid w:val="00804897"/>
    <w:rsid w:val="00804B1C"/>
    <w:rsid w:val="008076FC"/>
    <w:rsid w:val="00810918"/>
    <w:rsid w:val="008112D8"/>
    <w:rsid w:val="008154EF"/>
    <w:rsid w:val="00817DF2"/>
    <w:rsid w:val="00821FE0"/>
    <w:rsid w:val="008235FC"/>
    <w:rsid w:val="00824569"/>
    <w:rsid w:val="00826D7B"/>
    <w:rsid w:val="008326D3"/>
    <w:rsid w:val="008329DB"/>
    <w:rsid w:val="0083579A"/>
    <w:rsid w:val="008361C5"/>
    <w:rsid w:val="0083628F"/>
    <w:rsid w:val="00837AB9"/>
    <w:rsid w:val="0084148F"/>
    <w:rsid w:val="00841700"/>
    <w:rsid w:val="00841BD3"/>
    <w:rsid w:val="00843754"/>
    <w:rsid w:val="00844B30"/>
    <w:rsid w:val="00846348"/>
    <w:rsid w:val="008467F2"/>
    <w:rsid w:val="008472D2"/>
    <w:rsid w:val="00850637"/>
    <w:rsid w:val="00850857"/>
    <w:rsid w:val="00854D98"/>
    <w:rsid w:val="00855883"/>
    <w:rsid w:val="008563BE"/>
    <w:rsid w:val="00857184"/>
    <w:rsid w:val="0085751E"/>
    <w:rsid w:val="00860B29"/>
    <w:rsid w:val="008622E8"/>
    <w:rsid w:val="008645EE"/>
    <w:rsid w:val="00864886"/>
    <w:rsid w:val="008657F0"/>
    <w:rsid w:val="00865E24"/>
    <w:rsid w:val="00866CC0"/>
    <w:rsid w:val="0086772C"/>
    <w:rsid w:val="00870144"/>
    <w:rsid w:val="0087072C"/>
    <w:rsid w:val="00871312"/>
    <w:rsid w:val="00871641"/>
    <w:rsid w:val="008720CA"/>
    <w:rsid w:val="00873887"/>
    <w:rsid w:val="00873D7A"/>
    <w:rsid w:val="00875934"/>
    <w:rsid w:val="00875A5D"/>
    <w:rsid w:val="00877CB3"/>
    <w:rsid w:val="008804CF"/>
    <w:rsid w:val="00882851"/>
    <w:rsid w:val="00882D58"/>
    <w:rsid w:val="00882F19"/>
    <w:rsid w:val="00883D35"/>
    <w:rsid w:val="00884569"/>
    <w:rsid w:val="00885D7B"/>
    <w:rsid w:val="00887A51"/>
    <w:rsid w:val="0089038A"/>
    <w:rsid w:val="00890D9B"/>
    <w:rsid w:val="00891C6C"/>
    <w:rsid w:val="0089252D"/>
    <w:rsid w:val="008932D1"/>
    <w:rsid w:val="00893CCD"/>
    <w:rsid w:val="00894D94"/>
    <w:rsid w:val="008964B3"/>
    <w:rsid w:val="00896823"/>
    <w:rsid w:val="008A07BE"/>
    <w:rsid w:val="008A3994"/>
    <w:rsid w:val="008A4454"/>
    <w:rsid w:val="008A60B4"/>
    <w:rsid w:val="008B1CB5"/>
    <w:rsid w:val="008B4570"/>
    <w:rsid w:val="008C06BE"/>
    <w:rsid w:val="008C29B1"/>
    <w:rsid w:val="008C2D69"/>
    <w:rsid w:val="008C4269"/>
    <w:rsid w:val="008C4579"/>
    <w:rsid w:val="008C49C6"/>
    <w:rsid w:val="008C52AF"/>
    <w:rsid w:val="008C754C"/>
    <w:rsid w:val="008C7B99"/>
    <w:rsid w:val="008D28E7"/>
    <w:rsid w:val="008D56C9"/>
    <w:rsid w:val="008D56CA"/>
    <w:rsid w:val="008D6A54"/>
    <w:rsid w:val="008D75D6"/>
    <w:rsid w:val="008D7C25"/>
    <w:rsid w:val="008E07C2"/>
    <w:rsid w:val="008E2585"/>
    <w:rsid w:val="008E2D7A"/>
    <w:rsid w:val="008E4C0A"/>
    <w:rsid w:val="008E64C4"/>
    <w:rsid w:val="008F3215"/>
    <w:rsid w:val="008F4A62"/>
    <w:rsid w:val="008F4DF7"/>
    <w:rsid w:val="008F50F3"/>
    <w:rsid w:val="008F7256"/>
    <w:rsid w:val="008F75C3"/>
    <w:rsid w:val="00900556"/>
    <w:rsid w:val="00901EC9"/>
    <w:rsid w:val="0090424C"/>
    <w:rsid w:val="0090605E"/>
    <w:rsid w:val="00906C74"/>
    <w:rsid w:val="00906DC0"/>
    <w:rsid w:val="0091064F"/>
    <w:rsid w:val="009108CE"/>
    <w:rsid w:val="0091093E"/>
    <w:rsid w:val="00911BFD"/>
    <w:rsid w:val="009158D1"/>
    <w:rsid w:val="00915A9F"/>
    <w:rsid w:val="00916147"/>
    <w:rsid w:val="00917746"/>
    <w:rsid w:val="00917D62"/>
    <w:rsid w:val="00922838"/>
    <w:rsid w:val="00922FCB"/>
    <w:rsid w:val="009236AB"/>
    <w:rsid w:val="00930D58"/>
    <w:rsid w:val="0093328C"/>
    <w:rsid w:val="00934C0F"/>
    <w:rsid w:val="00935AAA"/>
    <w:rsid w:val="00940B8A"/>
    <w:rsid w:val="00942813"/>
    <w:rsid w:val="009428C6"/>
    <w:rsid w:val="009434EC"/>
    <w:rsid w:val="009450EB"/>
    <w:rsid w:val="00950124"/>
    <w:rsid w:val="0095031E"/>
    <w:rsid w:val="00950665"/>
    <w:rsid w:val="009515D1"/>
    <w:rsid w:val="009532A6"/>
    <w:rsid w:val="00954297"/>
    <w:rsid w:val="009578A0"/>
    <w:rsid w:val="00957A68"/>
    <w:rsid w:val="00960A56"/>
    <w:rsid w:val="00966EF1"/>
    <w:rsid w:val="0096704D"/>
    <w:rsid w:val="00967223"/>
    <w:rsid w:val="009750CF"/>
    <w:rsid w:val="009751F7"/>
    <w:rsid w:val="009758E2"/>
    <w:rsid w:val="00976819"/>
    <w:rsid w:val="009771B4"/>
    <w:rsid w:val="009771D0"/>
    <w:rsid w:val="00977D11"/>
    <w:rsid w:val="009808B8"/>
    <w:rsid w:val="00981388"/>
    <w:rsid w:val="0098168B"/>
    <w:rsid w:val="00981CC6"/>
    <w:rsid w:val="00983088"/>
    <w:rsid w:val="0098350E"/>
    <w:rsid w:val="009876FE"/>
    <w:rsid w:val="00987E5A"/>
    <w:rsid w:val="00990BC7"/>
    <w:rsid w:val="00990C12"/>
    <w:rsid w:val="0099360A"/>
    <w:rsid w:val="0099404F"/>
    <w:rsid w:val="00996878"/>
    <w:rsid w:val="00996FA5"/>
    <w:rsid w:val="009971F5"/>
    <w:rsid w:val="009A3560"/>
    <w:rsid w:val="009A6026"/>
    <w:rsid w:val="009B31C5"/>
    <w:rsid w:val="009B3C08"/>
    <w:rsid w:val="009B5662"/>
    <w:rsid w:val="009C0C21"/>
    <w:rsid w:val="009C13B4"/>
    <w:rsid w:val="009C1590"/>
    <w:rsid w:val="009C2211"/>
    <w:rsid w:val="009C2B77"/>
    <w:rsid w:val="009C40E8"/>
    <w:rsid w:val="009C45C5"/>
    <w:rsid w:val="009C5282"/>
    <w:rsid w:val="009C64E9"/>
    <w:rsid w:val="009D2694"/>
    <w:rsid w:val="009E00BA"/>
    <w:rsid w:val="009E3C59"/>
    <w:rsid w:val="009E3D18"/>
    <w:rsid w:val="009E3FFC"/>
    <w:rsid w:val="009E609C"/>
    <w:rsid w:val="009E6858"/>
    <w:rsid w:val="009E6F8C"/>
    <w:rsid w:val="009F04F4"/>
    <w:rsid w:val="009F1375"/>
    <w:rsid w:val="009F2A51"/>
    <w:rsid w:val="009F2FE9"/>
    <w:rsid w:val="009F3C90"/>
    <w:rsid w:val="009F405F"/>
    <w:rsid w:val="009F6CEE"/>
    <w:rsid w:val="00A01C56"/>
    <w:rsid w:val="00A027A0"/>
    <w:rsid w:val="00A07C1B"/>
    <w:rsid w:val="00A122FF"/>
    <w:rsid w:val="00A171C2"/>
    <w:rsid w:val="00A22DE5"/>
    <w:rsid w:val="00A23233"/>
    <w:rsid w:val="00A23F51"/>
    <w:rsid w:val="00A275F5"/>
    <w:rsid w:val="00A27E23"/>
    <w:rsid w:val="00A30141"/>
    <w:rsid w:val="00A311E6"/>
    <w:rsid w:val="00A32133"/>
    <w:rsid w:val="00A32C50"/>
    <w:rsid w:val="00A358E7"/>
    <w:rsid w:val="00A3651C"/>
    <w:rsid w:val="00A376A1"/>
    <w:rsid w:val="00A4105D"/>
    <w:rsid w:val="00A41639"/>
    <w:rsid w:val="00A4380B"/>
    <w:rsid w:val="00A45589"/>
    <w:rsid w:val="00A45D3C"/>
    <w:rsid w:val="00A464EA"/>
    <w:rsid w:val="00A4719D"/>
    <w:rsid w:val="00A47F3E"/>
    <w:rsid w:val="00A51A2D"/>
    <w:rsid w:val="00A5596B"/>
    <w:rsid w:val="00A55EBB"/>
    <w:rsid w:val="00A57BAC"/>
    <w:rsid w:val="00A62386"/>
    <w:rsid w:val="00A62D79"/>
    <w:rsid w:val="00A63C07"/>
    <w:rsid w:val="00A63D9B"/>
    <w:rsid w:val="00A65801"/>
    <w:rsid w:val="00A704DC"/>
    <w:rsid w:val="00A76471"/>
    <w:rsid w:val="00A764B8"/>
    <w:rsid w:val="00A81BC5"/>
    <w:rsid w:val="00A82CF9"/>
    <w:rsid w:val="00A83801"/>
    <w:rsid w:val="00A91BB0"/>
    <w:rsid w:val="00A93DC6"/>
    <w:rsid w:val="00A9411A"/>
    <w:rsid w:val="00A94BDD"/>
    <w:rsid w:val="00A95C55"/>
    <w:rsid w:val="00A96034"/>
    <w:rsid w:val="00A97409"/>
    <w:rsid w:val="00A97605"/>
    <w:rsid w:val="00A979D2"/>
    <w:rsid w:val="00AA0935"/>
    <w:rsid w:val="00AA24BE"/>
    <w:rsid w:val="00AA4A4B"/>
    <w:rsid w:val="00AA6682"/>
    <w:rsid w:val="00AA7466"/>
    <w:rsid w:val="00AB0613"/>
    <w:rsid w:val="00AB49E7"/>
    <w:rsid w:val="00AB5661"/>
    <w:rsid w:val="00AB7C5C"/>
    <w:rsid w:val="00AB7CBF"/>
    <w:rsid w:val="00AC27F3"/>
    <w:rsid w:val="00AC4AF6"/>
    <w:rsid w:val="00AC5273"/>
    <w:rsid w:val="00AC5A31"/>
    <w:rsid w:val="00AC5CC8"/>
    <w:rsid w:val="00AC6438"/>
    <w:rsid w:val="00AC7754"/>
    <w:rsid w:val="00AD0111"/>
    <w:rsid w:val="00AD0B68"/>
    <w:rsid w:val="00AD18ED"/>
    <w:rsid w:val="00AD22A3"/>
    <w:rsid w:val="00AD301E"/>
    <w:rsid w:val="00AD40C3"/>
    <w:rsid w:val="00AD4512"/>
    <w:rsid w:val="00AD4C72"/>
    <w:rsid w:val="00AD5451"/>
    <w:rsid w:val="00AD73CC"/>
    <w:rsid w:val="00AD7957"/>
    <w:rsid w:val="00AE1947"/>
    <w:rsid w:val="00AE1E20"/>
    <w:rsid w:val="00AE68F6"/>
    <w:rsid w:val="00AE70AB"/>
    <w:rsid w:val="00AE7551"/>
    <w:rsid w:val="00AF1C8B"/>
    <w:rsid w:val="00AF299B"/>
    <w:rsid w:val="00AF412B"/>
    <w:rsid w:val="00AF552B"/>
    <w:rsid w:val="00AF5DB4"/>
    <w:rsid w:val="00AF7E43"/>
    <w:rsid w:val="00B00BA9"/>
    <w:rsid w:val="00B02AE0"/>
    <w:rsid w:val="00B0350F"/>
    <w:rsid w:val="00B03F25"/>
    <w:rsid w:val="00B04E08"/>
    <w:rsid w:val="00B05326"/>
    <w:rsid w:val="00B11942"/>
    <w:rsid w:val="00B14545"/>
    <w:rsid w:val="00B14E60"/>
    <w:rsid w:val="00B154B3"/>
    <w:rsid w:val="00B17BA2"/>
    <w:rsid w:val="00B17D4C"/>
    <w:rsid w:val="00B17D83"/>
    <w:rsid w:val="00B22488"/>
    <w:rsid w:val="00B26DC3"/>
    <w:rsid w:val="00B27F2A"/>
    <w:rsid w:val="00B30B9D"/>
    <w:rsid w:val="00B31297"/>
    <w:rsid w:val="00B44835"/>
    <w:rsid w:val="00B4574D"/>
    <w:rsid w:val="00B45770"/>
    <w:rsid w:val="00B468E1"/>
    <w:rsid w:val="00B46BAA"/>
    <w:rsid w:val="00B46BC0"/>
    <w:rsid w:val="00B46DFB"/>
    <w:rsid w:val="00B5141B"/>
    <w:rsid w:val="00B51608"/>
    <w:rsid w:val="00B525CB"/>
    <w:rsid w:val="00B54389"/>
    <w:rsid w:val="00B54BA4"/>
    <w:rsid w:val="00B55681"/>
    <w:rsid w:val="00B5583C"/>
    <w:rsid w:val="00B57247"/>
    <w:rsid w:val="00B57AAD"/>
    <w:rsid w:val="00B629B1"/>
    <w:rsid w:val="00B6374E"/>
    <w:rsid w:val="00B660D9"/>
    <w:rsid w:val="00B72B16"/>
    <w:rsid w:val="00B7707C"/>
    <w:rsid w:val="00B80408"/>
    <w:rsid w:val="00B81397"/>
    <w:rsid w:val="00B81E8C"/>
    <w:rsid w:val="00B82D8F"/>
    <w:rsid w:val="00B84D61"/>
    <w:rsid w:val="00B86655"/>
    <w:rsid w:val="00B925DB"/>
    <w:rsid w:val="00B92A96"/>
    <w:rsid w:val="00B94CF8"/>
    <w:rsid w:val="00B95EE9"/>
    <w:rsid w:val="00B96149"/>
    <w:rsid w:val="00B9643A"/>
    <w:rsid w:val="00B967FF"/>
    <w:rsid w:val="00B974B9"/>
    <w:rsid w:val="00BA12C8"/>
    <w:rsid w:val="00BA3F6D"/>
    <w:rsid w:val="00BA4BE6"/>
    <w:rsid w:val="00BA4FC0"/>
    <w:rsid w:val="00BA61E0"/>
    <w:rsid w:val="00BA654B"/>
    <w:rsid w:val="00BA657C"/>
    <w:rsid w:val="00BA7F7D"/>
    <w:rsid w:val="00BB0036"/>
    <w:rsid w:val="00BB1C14"/>
    <w:rsid w:val="00BB6847"/>
    <w:rsid w:val="00BB71FE"/>
    <w:rsid w:val="00BB74D2"/>
    <w:rsid w:val="00BB754F"/>
    <w:rsid w:val="00BB7F8F"/>
    <w:rsid w:val="00BC27D9"/>
    <w:rsid w:val="00BC2F22"/>
    <w:rsid w:val="00BC3377"/>
    <w:rsid w:val="00BC349B"/>
    <w:rsid w:val="00BC41BC"/>
    <w:rsid w:val="00BC4960"/>
    <w:rsid w:val="00BC6B06"/>
    <w:rsid w:val="00BC6D9A"/>
    <w:rsid w:val="00BC716A"/>
    <w:rsid w:val="00BD07DF"/>
    <w:rsid w:val="00BD26F4"/>
    <w:rsid w:val="00BD4F2C"/>
    <w:rsid w:val="00BD5847"/>
    <w:rsid w:val="00BD5DBD"/>
    <w:rsid w:val="00BD5DF6"/>
    <w:rsid w:val="00BE0041"/>
    <w:rsid w:val="00BE16CA"/>
    <w:rsid w:val="00BE179A"/>
    <w:rsid w:val="00BE28D7"/>
    <w:rsid w:val="00BE2AD7"/>
    <w:rsid w:val="00BE616E"/>
    <w:rsid w:val="00BE640F"/>
    <w:rsid w:val="00BE6D2A"/>
    <w:rsid w:val="00BE7637"/>
    <w:rsid w:val="00BF0B1B"/>
    <w:rsid w:val="00BF3666"/>
    <w:rsid w:val="00BF4638"/>
    <w:rsid w:val="00BF5130"/>
    <w:rsid w:val="00BF6E88"/>
    <w:rsid w:val="00BF758F"/>
    <w:rsid w:val="00C0077C"/>
    <w:rsid w:val="00C00844"/>
    <w:rsid w:val="00C0298D"/>
    <w:rsid w:val="00C03666"/>
    <w:rsid w:val="00C052AD"/>
    <w:rsid w:val="00C0560D"/>
    <w:rsid w:val="00C059D0"/>
    <w:rsid w:val="00C07551"/>
    <w:rsid w:val="00C1109F"/>
    <w:rsid w:val="00C12D65"/>
    <w:rsid w:val="00C133AB"/>
    <w:rsid w:val="00C14EA6"/>
    <w:rsid w:val="00C16BFB"/>
    <w:rsid w:val="00C16D1E"/>
    <w:rsid w:val="00C20B56"/>
    <w:rsid w:val="00C22214"/>
    <w:rsid w:val="00C24256"/>
    <w:rsid w:val="00C25229"/>
    <w:rsid w:val="00C26F72"/>
    <w:rsid w:val="00C309A7"/>
    <w:rsid w:val="00C32B20"/>
    <w:rsid w:val="00C332B7"/>
    <w:rsid w:val="00C335AB"/>
    <w:rsid w:val="00C36438"/>
    <w:rsid w:val="00C407AB"/>
    <w:rsid w:val="00C41A20"/>
    <w:rsid w:val="00C50D83"/>
    <w:rsid w:val="00C51611"/>
    <w:rsid w:val="00C52B7B"/>
    <w:rsid w:val="00C547CD"/>
    <w:rsid w:val="00C56AA0"/>
    <w:rsid w:val="00C570FF"/>
    <w:rsid w:val="00C57885"/>
    <w:rsid w:val="00C57CEA"/>
    <w:rsid w:val="00C60FEC"/>
    <w:rsid w:val="00C61629"/>
    <w:rsid w:val="00C6263E"/>
    <w:rsid w:val="00C62B1C"/>
    <w:rsid w:val="00C64234"/>
    <w:rsid w:val="00C6574E"/>
    <w:rsid w:val="00C65B66"/>
    <w:rsid w:val="00C663D1"/>
    <w:rsid w:val="00C707FD"/>
    <w:rsid w:val="00C744A8"/>
    <w:rsid w:val="00C74C72"/>
    <w:rsid w:val="00C74E19"/>
    <w:rsid w:val="00C76DEB"/>
    <w:rsid w:val="00C811D8"/>
    <w:rsid w:val="00C816C6"/>
    <w:rsid w:val="00C83198"/>
    <w:rsid w:val="00C8580E"/>
    <w:rsid w:val="00C863A7"/>
    <w:rsid w:val="00C87AFB"/>
    <w:rsid w:val="00C87B89"/>
    <w:rsid w:val="00C912F4"/>
    <w:rsid w:val="00C9156F"/>
    <w:rsid w:val="00C91D4B"/>
    <w:rsid w:val="00C92EAE"/>
    <w:rsid w:val="00C94F0C"/>
    <w:rsid w:val="00C9581A"/>
    <w:rsid w:val="00C97D29"/>
    <w:rsid w:val="00CA0642"/>
    <w:rsid w:val="00CA3337"/>
    <w:rsid w:val="00CA511F"/>
    <w:rsid w:val="00CA779B"/>
    <w:rsid w:val="00CA78D5"/>
    <w:rsid w:val="00CB0550"/>
    <w:rsid w:val="00CB0CDA"/>
    <w:rsid w:val="00CB1137"/>
    <w:rsid w:val="00CB6813"/>
    <w:rsid w:val="00CB752D"/>
    <w:rsid w:val="00CC13FE"/>
    <w:rsid w:val="00CC703D"/>
    <w:rsid w:val="00CC7284"/>
    <w:rsid w:val="00CD1B2B"/>
    <w:rsid w:val="00CD30D5"/>
    <w:rsid w:val="00CD6B7B"/>
    <w:rsid w:val="00CD7EA1"/>
    <w:rsid w:val="00CE1ACD"/>
    <w:rsid w:val="00CE3328"/>
    <w:rsid w:val="00CE3771"/>
    <w:rsid w:val="00CE6A81"/>
    <w:rsid w:val="00CE7706"/>
    <w:rsid w:val="00CF25C5"/>
    <w:rsid w:val="00CF2E5F"/>
    <w:rsid w:val="00CF5745"/>
    <w:rsid w:val="00CF5D5E"/>
    <w:rsid w:val="00CF6A55"/>
    <w:rsid w:val="00CF6DC6"/>
    <w:rsid w:val="00CF6DCF"/>
    <w:rsid w:val="00D00353"/>
    <w:rsid w:val="00D01347"/>
    <w:rsid w:val="00D01C6F"/>
    <w:rsid w:val="00D01DDB"/>
    <w:rsid w:val="00D025DF"/>
    <w:rsid w:val="00D02909"/>
    <w:rsid w:val="00D078BE"/>
    <w:rsid w:val="00D13F8A"/>
    <w:rsid w:val="00D1410D"/>
    <w:rsid w:val="00D148E5"/>
    <w:rsid w:val="00D16F60"/>
    <w:rsid w:val="00D22981"/>
    <w:rsid w:val="00D23058"/>
    <w:rsid w:val="00D23D1D"/>
    <w:rsid w:val="00D256A8"/>
    <w:rsid w:val="00D271ED"/>
    <w:rsid w:val="00D27815"/>
    <w:rsid w:val="00D3349B"/>
    <w:rsid w:val="00D353E4"/>
    <w:rsid w:val="00D423AB"/>
    <w:rsid w:val="00D424A8"/>
    <w:rsid w:val="00D43439"/>
    <w:rsid w:val="00D440CF"/>
    <w:rsid w:val="00D440FC"/>
    <w:rsid w:val="00D45CB2"/>
    <w:rsid w:val="00D5089E"/>
    <w:rsid w:val="00D601CE"/>
    <w:rsid w:val="00D6036F"/>
    <w:rsid w:val="00D608FD"/>
    <w:rsid w:val="00D62877"/>
    <w:rsid w:val="00D62FDF"/>
    <w:rsid w:val="00D63760"/>
    <w:rsid w:val="00D63A79"/>
    <w:rsid w:val="00D645DE"/>
    <w:rsid w:val="00D6703F"/>
    <w:rsid w:val="00D67D97"/>
    <w:rsid w:val="00D7062A"/>
    <w:rsid w:val="00D7111A"/>
    <w:rsid w:val="00D7332E"/>
    <w:rsid w:val="00D734EB"/>
    <w:rsid w:val="00D73F1F"/>
    <w:rsid w:val="00D7462C"/>
    <w:rsid w:val="00D76762"/>
    <w:rsid w:val="00D77E3E"/>
    <w:rsid w:val="00D805B2"/>
    <w:rsid w:val="00D815F3"/>
    <w:rsid w:val="00D81D6D"/>
    <w:rsid w:val="00D82713"/>
    <w:rsid w:val="00D86F00"/>
    <w:rsid w:val="00D87A14"/>
    <w:rsid w:val="00D918D5"/>
    <w:rsid w:val="00D93453"/>
    <w:rsid w:val="00D946C6"/>
    <w:rsid w:val="00D94C8E"/>
    <w:rsid w:val="00D97192"/>
    <w:rsid w:val="00DA12ED"/>
    <w:rsid w:val="00DA4C37"/>
    <w:rsid w:val="00DB12E2"/>
    <w:rsid w:val="00DB12F0"/>
    <w:rsid w:val="00DB1372"/>
    <w:rsid w:val="00DB192C"/>
    <w:rsid w:val="00DB1CF3"/>
    <w:rsid w:val="00DB45A8"/>
    <w:rsid w:val="00DB5425"/>
    <w:rsid w:val="00DB69DC"/>
    <w:rsid w:val="00DB72A6"/>
    <w:rsid w:val="00DB7901"/>
    <w:rsid w:val="00DC17A7"/>
    <w:rsid w:val="00DC2180"/>
    <w:rsid w:val="00DC33AF"/>
    <w:rsid w:val="00DC613C"/>
    <w:rsid w:val="00DC6611"/>
    <w:rsid w:val="00DC6AB3"/>
    <w:rsid w:val="00DD328D"/>
    <w:rsid w:val="00DD5AFB"/>
    <w:rsid w:val="00DD719E"/>
    <w:rsid w:val="00DE1344"/>
    <w:rsid w:val="00DE2CEF"/>
    <w:rsid w:val="00DF0AAF"/>
    <w:rsid w:val="00DF1CFD"/>
    <w:rsid w:val="00DF283D"/>
    <w:rsid w:val="00DF2E1C"/>
    <w:rsid w:val="00DF343A"/>
    <w:rsid w:val="00DF509C"/>
    <w:rsid w:val="00DF5BFE"/>
    <w:rsid w:val="00DF7809"/>
    <w:rsid w:val="00E01CC3"/>
    <w:rsid w:val="00E0523F"/>
    <w:rsid w:val="00E05C76"/>
    <w:rsid w:val="00E05EBA"/>
    <w:rsid w:val="00E0705C"/>
    <w:rsid w:val="00E11CD1"/>
    <w:rsid w:val="00E17C87"/>
    <w:rsid w:val="00E23E50"/>
    <w:rsid w:val="00E25C2A"/>
    <w:rsid w:val="00E26213"/>
    <w:rsid w:val="00E274DF"/>
    <w:rsid w:val="00E34D66"/>
    <w:rsid w:val="00E35D01"/>
    <w:rsid w:val="00E362C4"/>
    <w:rsid w:val="00E4027C"/>
    <w:rsid w:val="00E42010"/>
    <w:rsid w:val="00E44A21"/>
    <w:rsid w:val="00E46B20"/>
    <w:rsid w:val="00E46CC2"/>
    <w:rsid w:val="00E47E0C"/>
    <w:rsid w:val="00E51813"/>
    <w:rsid w:val="00E51825"/>
    <w:rsid w:val="00E52C0B"/>
    <w:rsid w:val="00E53D3F"/>
    <w:rsid w:val="00E5579B"/>
    <w:rsid w:val="00E565F4"/>
    <w:rsid w:val="00E57FF4"/>
    <w:rsid w:val="00E6192C"/>
    <w:rsid w:val="00E679D1"/>
    <w:rsid w:val="00E67C1C"/>
    <w:rsid w:val="00E7027A"/>
    <w:rsid w:val="00E71076"/>
    <w:rsid w:val="00E71F8E"/>
    <w:rsid w:val="00E73DE0"/>
    <w:rsid w:val="00E7445D"/>
    <w:rsid w:val="00E74F4A"/>
    <w:rsid w:val="00E761C8"/>
    <w:rsid w:val="00E806E2"/>
    <w:rsid w:val="00E83417"/>
    <w:rsid w:val="00E844A1"/>
    <w:rsid w:val="00E91F11"/>
    <w:rsid w:val="00E93416"/>
    <w:rsid w:val="00E9706D"/>
    <w:rsid w:val="00E97D2B"/>
    <w:rsid w:val="00EA2BC2"/>
    <w:rsid w:val="00EA3AF4"/>
    <w:rsid w:val="00EA620F"/>
    <w:rsid w:val="00EA6E9A"/>
    <w:rsid w:val="00EB0483"/>
    <w:rsid w:val="00EB2B3C"/>
    <w:rsid w:val="00EB3AEC"/>
    <w:rsid w:val="00EB5963"/>
    <w:rsid w:val="00EB61E8"/>
    <w:rsid w:val="00EB6B9F"/>
    <w:rsid w:val="00EB79A1"/>
    <w:rsid w:val="00EC237B"/>
    <w:rsid w:val="00EC49AF"/>
    <w:rsid w:val="00EC542A"/>
    <w:rsid w:val="00EC56A1"/>
    <w:rsid w:val="00ED5885"/>
    <w:rsid w:val="00ED7C09"/>
    <w:rsid w:val="00EE124C"/>
    <w:rsid w:val="00EE1531"/>
    <w:rsid w:val="00EE27E1"/>
    <w:rsid w:val="00EE4B01"/>
    <w:rsid w:val="00EE55DC"/>
    <w:rsid w:val="00EF0443"/>
    <w:rsid w:val="00EF1309"/>
    <w:rsid w:val="00EF3F0B"/>
    <w:rsid w:val="00EF4E1A"/>
    <w:rsid w:val="00EF5583"/>
    <w:rsid w:val="00EF6D50"/>
    <w:rsid w:val="00EF7C61"/>
    <w:rsid w:val="00F026C8"/>
    <w:rsid w:val="00F0289D"/>
    <w:rsid w:val="00F02AEC"/>
    <w:rsid w:val="00F04DC2"/>
    <w:rsid w:val="00F05DC2"/>
    <w:rsid w:val="00F07572"/>
    <w:rsid w:val="00F157FC"/>
    <w:rsid w:val="00F15E91"/>
    <w:rsid w:val="00F16C8F"/>
    <w:rsid w:val="00F24CC8"/>
    <w:rsid w:val="00F2687E"/>
    <w:rsid w:val="00F30AF3"/>
    <w:rsid w:val="00F31374"/>
    <w:rsid w:val="00F3278D"/>
    <w:rsid w:val="00F344C0"/>
    <w:rsid w:val="00F35762"/>
    <w:rsid w:val="00F368E3"/>
    <w:rsid w:val="00F43715"/>
    <w:rsid w:val="00F43CD1"/>
    <w:rsid w:val="00F4442B"/>
    <w:rsid w:val="00F44BE1"/>
    <w:rsid w:val="00F45AE0"/>
    <w:rsid w:val="00F46DF8"/>
    <w:rsid w:val="00F52854"/>
    <w:rsid w:val="00F53E47"/>
    <w:rsid w:val="00F552CA"/>
    <w:rsid w:val="00F57F3D"/>
    <w:rsid w:val="00F60CF2"/>
    <w:rsid w:val="00F6288E"/>
    <w:rsid w:val="00F63B35"/>
    <w:rsid w:val="00F657B4"/>
    <w:rsid w:val="00F65F90"/>
    <w:rsid w:val="00F66779"/>
    <w:rsid w:val="00F678C9"/>
    <w:rsid w:val="00F702B9"/>
    <w:rsid w:val="00F72725"/>
    <w:rsid w:val="00F72C19"/>
    <w:rsid w:val="00F73F8A"/>
    <w:rsid w:val="00F7649F"/>
    <w:rsid w:val="00F803CB"/>
    <w:rsid w:val="00F8083B"/>
    <w:rsid w:val="00F822D6"/>
    <w:rsid w:val="00F82D1B"/>
    <w:rsid w:val="00F850D4"/>
    <w:rsid w:val="00F8568E"/>
    <w:rsid w:val="00F865A7"/>
    <w:rsid w:val="00F927C1"/>
    <w:rsid w:val="00F92ADA"/>
    <w:rsid w:val="00F92D76"/>
    <w:rsid w:val="00F92EC0"/>
    <w:rsid w:val="00F93E3D"/>
    <w:rsid w:val="00F94E6C"/>
    <w:rsid w:val="00FA0754"/>
    <w:rsid w:val="00FA0BF3"/>
    <w:rsid w:val="00FA1BC9"/>
    <w:rsid w:val="00FA49C3"/>
    <w:rsid w:val="00FB1E53"/>
    <w:rsid w:val="00FB236E"/>
    <w:rsid w:val="00FB3F7B"/>
    <w:rsid w:val="00FB4C2A"/>
    <w:rsid w:val="00FB7CFB"/>
    <w:rsid w:val="00FC2107"/>
    <w:rsid w:val="00FC4357"/>
    <w:rsid w:val="00FC48E0"/>
    <w:rsid w:val="00FC48FE"/>
    <w:rsid w:val="00FC4990"/>
    <w:rsid w:val="00FC5595"/>
    <w:rsid w:val="00FC6C5C"/>
    <w:rsid w:val="00FC6D5F"/>
    <w:rsid w:val="00FC6F0B"/>
    <w:rsid w:val="00FC6F56"/>
    <w:rsid w:val="00FD37EC"/>
    <w:rsid w:val="00FD39EC"/>
    <w:rsid w:val="00FD4114"/>
    <w:rsid w:val="00FD75F9"/>
    <w:rsid w:val="00FE087C"/>
    <w:rsid w:val="00FE5787"/>
    <w:rsid w:val="00FE6EF3"/>
    <w:rsid w:val="00FE79A0"/>
    <w:rsid w:val="00FE7F9C"/>
    <w:rsid w:val="00FF0939"/>
    <w:rsid w:val="00FF43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link w:val="Heading1Char"/>
    <w:uiPriority w:val="9"/>
    <w:qFormat/>
    <w:rsid w:val="00FC6C5C"/>
    <w:pPr>
      <w:widowControl w:val="0"/>
      <w:autoSpaceDE w:val="0"/>
      <w:autoSpaceDN w:val="0"/>
      <w:spacing w:after="0" w:line="240" w:lineRule="auto"/>
      <w:ind w:left="165"/>
      <w:outlineLvl w:val="0"/>
    </w:pPr>
    <w:rPr>
      <w:rFonts w:ascii="Arial" w:eastAsia="Arial" w:hAnsi="Arial" w:cs="Arial"/>
      <w:b/>
      <w:bCs/>
      <w:sz w:val="32"/>
      <w:szCs w:val="32"/>
      <w:lang w:val="en-US"/>
    </w:rPr>
  </w:style>
  <w:style w:type="paragraph" w:styleId="Heading2">
    <w:name w:val="heading 2"/>
    <w:basedOn w:val="Normal"/>
    <w:next w:val="Normal"/>
    <w:link w:val="Heading2Char"/>
    <w:uiPriority w:val="9"/>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uiPriority w:val="9"/>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uiPriority w:val="9"/>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E0705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C4AF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spacing w:before="120" w:after="180" w:line="240" w:lineRule="atLeast"/>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qFormat/>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1"/>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6B2DB2"/>
    <w:pPr>
      <w:autoSpaceDE w:val="0"/>
      <w:autoSpaceDN w:val="0"/>
      <w:adjustRightInd w:val="0"/>
      <w:spacing w:before="120" w:after="0" w:line="240" w:lineRule="auto"/>
    </w:pPr>
    <w:rPr>
      <w:rFonts w:ascii="Calibri" w:hAnsi="Calibri" w:cs="Calibri"/>
      <w:color w:val="000000"/>
      <w:sz w:val="24"/>
      <w:szCs w:val="24"/>
    </w:rPr>
  </w:style>
  <w:style w:type="table" w:customStyle="1" w:styleId="TableTGAblue1">
    <w:name w:val="Table TGA blue1"/>
    <w:basedOn w:val="TableNormal"/>
    <w:uiPriority w:val="99"/>
    <w:qFormat/>
    <w:rsid w:val="006B2DB2"/>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styleId="BodyText">
    <w:name w:val="Body Text"/>
    <w:basedOn w:val="Normal"/>
    <w:link w:val="BodyTextChar"/>
    <w:uiPriority w:val="1"/>
    <w:qFormat/>
    <w:rsid w:val="00FC48E0"/>
    <w:pPr>
      <w:widowControl w:val="0"/>
      <w:autoSpaceDE w:val="0"/>
      <w:autoSpaceDN w:val="0"/>
      <w:spacing w:after="0" w:line="240" w:lineRule="auto"/>
      <w:ind w:left="590"/>
    </w:pPr>
    <w:rPr>
      <w:rFonts w:ascii="Calibri" w:eastAsia="Calibri" w:hAnsi="Calibri" w:cs="Calibri"/>
      <w:szCs w:val="22"/>
      <w:lang w:val="en-US"/>
    </w:rPr>
  </w:style>
  <w:style w:type="character" w:customStyle="1" w:styleId="BodyTextChar">
    <w:name w:val="Body Text Char"/>
    <w:basedOn w:val="DefaultParagraphFont"/>
    <w:link w:val="BodyText"/>
    <w:uiPriority w:val="1"/>
    <w:rsid w:val="00FC48E0"/>
    <w:rPr>
      <w:rFonts w:ascii="Calibri" w:eastAsia="Calibri" w:hAnsi="Calibri" w:cs="Calibri"/>
      <w:sz w:val="22"/>
      <w:szCs w:val="22"/>
      <w:lang w:val="en-US"/>
    </w:rPr>
  </w:style>
  <w:style w:type="paragraph" w:customStyle="1" w:styleId="TableParagraph">
    <w:name w:val="Table Paragraph"/>
    <w:basedOn w:val="Normal"/>
    <w:uiPriority w:val="1"/>
    <w:qFormat/>
    <w:rsid w:val="0028756F"/>
    <w:pPr>
      <w:widowControl w:val="0"/>
      <w:autoSpaceDE w:val="0"/>
      <w:autoSpaceDN w:val="0"/>
      <w:spacing w:after="0" w:line="240" w:lineRule="auto"/>
      <w:ind w:left="107"/>
    </w:pPr>
    <w:rPr>
      <w:rFonts w:ascii="Calibri" w:eastAsia="Calibri" w:hAnsi="Calibri" w:cs="Calibri"/>
      <w:szCs w:val="22"/>
      <w:lang w:val="en-US"/>
    </w:rPr>
  </w:style>
  <w:style w:type="paragraph" w:styleId="EndnoteText">
    <w:name w:val="endnote text"/>
    <w:basedOn w:val="Normal"/>
    <w:link w:val="EndnoteTextChar"/>
    <w:uiPriority w:val="99"/>
    <w:semiHidden/>
    <w:unhideWhenUsed/>
    <w:rsid w:val="00D7462C"/>
    <w:pPr>
      <w:spacing w:after="0" w:line="240" w:lineRule="auto"/>
    </w:pPr>
    <w:rPr>
      <w:sz w:val="20"/>
    </w:rPr>
  </w:style>
  <w:style w:type="character" w:customStyle="1" w:styleId="EndnoteTextChar">
    <w:name w:val="Endnote Text Char"/>
    <w:basedOn w:val="DefaultParagraphFont"/>
    <w:link w:val="EndnoteText"/>
    <w:uiPriority w:val="99"/>
    <w:semiHidden/>
    <w:rsid w:val="00D7462C"/>
    <w:rPr>
      <w:rFonts w:ascii="Cambria" w:hAnsi="Cambria"/>
    </w:rPr>
  </w:style>
  <w:style w:type="character" w:styleId="EndnoteReference">
    <w:name w:val="endnote reference"/>
    <w:basedOn w:val="DefaultParagraphFont"/>
    <w:uiPriority w:val="99"/>
    <w:semiHidden/>
    <w:unhideWhenUsed/>
    <w:rsid w:val="00D7462C"/>
    <w:rPr>
      <w:vertAlign w:val="superscript"/>
    </w:rPr>
  </w:style>
  <w:style w:type="character" w:customStyle="1" w:styleId="Heading1Char">
    <w:name w:val="Heading 1 Char"/>
    <w:basedOn w:val="DefaultParagraphFont"/>
    <w:link w:val="Heading1"/>
    <w:uiPriority w:val="9"/>
    <w:rsid w:val="00FC6C5C"/>
    <w:rPr>
      <w:rFonts w:ascii="Arial" w:eastAsia="Arial" w:hAnsi="Arial" w:cs="Arial"/>
      <w:b/>
      <w:bCs/>
      <w:sz w:val="32"/>
      <w:szCs w:val="32"/>
      <w:lang w:val="en-US"/>
    </w:rPr>
  </w:style>
  <w:style w:type="character" w:customStyle="1" w:styleId="Heading7Char">
    <w:name w:val="Heading 7 Char"/>
    <w:basedOn w:val="DefaultParagraphFont"/>
    <w:link w:val="Heading7"/>
    <w:uiPriority w:val="9"/>
    <w:rsid w:val="00E0705C"/>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AC4AF6"/>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resources/sponsor/argenx-australia-pty-ltd"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www.tga.gov.au/comparable-overseas-regulators-cors-timeframes-and-milestones" TargetMode="External"/><Relationship Id="rId34" Type="http://schemas.openxmlformats.org/officeDocument/2006/relationships/image" Target="media/image17.jpeg"/><Relationship Id="rId42" Type="http://schemas.openxmlformats.org/officeDocument/2006/relationships/hyperlink" Target="https://www.tga.gov.au/publication/risk-management-plans-medicines-and-biologicals" TargetMode="External"/><Relationship Id="rId47" Type="http://schemas.openxmlformats.org/officeDocument/2006/relationships/hyperlink" Target="https://www.tga.gov.au/form/certified-product-details-cpd-" TargetMode="Externa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ga.gov.au/resources/artg/444955" TargetMode="Externa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tga.gov.au/resources/resource/guidance/risk-management-plans-medicines-and-biologicals/australia-specific-annex-eu-rmp" TargetMode="External"/><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4.jpeg"/><Relationship Id="rId44" Type="http://schemas.openxmlformats.org/officeDocument/2006/relationships/hyperlink" Target="https://www.tga.gov.au/resources/resource/guidance/risk-management-plans-medicines-and-biologicals/australia-specific-annex-eu-rmp" TargetMode="External"/><Relationship Id="rId52"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tga.gov.au/tgas-risk-management-approach" TargetMode="External"/><Relationship Id="rId48" Type="http://schemas.openxmlformats.org/officeDocument/2006/relationships/hyperlink" Target="https://www.ebs.tga.gov.au/"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mailto:info@tga.gov.au" TargetMode="Externa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black-triangle-scheme"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5.png"/><Relationship Id="rId20" Type="http://schemas.openxmlformats.org/officeDocument/2006/relationships/hyperlink" Target="https://www.tga.gov.au/obstetric-drug-information-services" TargetMode="External"/><Relationship Id="rId41" Type="http://schemas.openxmlformats.org/officeDocument/2006/relationships/image" Target="media/image24.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resources/artg/444954"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uptodate.com/contents/pathogenesis-of-myasthenia-gravis?search=myasthenia%20gravis&amp;topicRef=5125&amp;source=see_link" TargetMode="External"/><Relationship Id="rId3" Type="http://schemas.openxmlformats.org/officeDocument/2006/relationships/hyperlink" Target="https://www.uptodate.com/contents/clinical-manifestations-of-myasthenia-gravis?search=myasthenia%20gravis&amp;source=search_result&amp;selectedTitle=3%7E150&amp;usage_type=default&amp;display_rank=3" TargetMode="External"/><Relationship Id="rId7" Type="http://schemas.openxmlformats.org/officeDocument/2006/relationships/hyperlink" Target="https://www.uptodate.com/contents/pathogenesis-of-myasthenia-gravis?search=myasthenia%20gravis&amp;topicRef=5125&amp;source=see_link" TargetMode="External"/><Relationship Id="rId2" Type="http://schemas.openxmlformats.org/officeDocument/2006/relationships/hyperlink" Target="https://www.uptodate.com/contents/clinical-manifestations-of-myasthenia-gravis?search=myasthenia%20gravis&amp;source=search_result&amp;selectedTitle=3%7E150&amp;usage_type=default&amp;display_rank=3" TargetMode="External"/><Relationship Id="rId1" Type="http://schemas.openxmlformats.org/officeDocument/2006/relationships/hyperlink" Target="https://www.uptodate.com/contents/clinical-manifestations-of-myasthenia-gravis?search=myasthenia%20gravis&amp;source=search_result&amp;selectedTitle=3%7E150&amp;usage_type=default&amp;display_rank=3" TargetMode="External"/><Relationship Id="rId6" Type="http://schemas.openxmlformats.org/officeDocument/2006/relationships/hyperlink" Target="https://www.uptodate.com/contents/pathogenesis-of-myasthenia-gravis?search=myasthenia%20gravis&amp;topicRef=5125&amp;source=see_link" TargetMode="External"/><Relationship Id="rId5" Type="http://schemas.openxmlformats.org/officeDocument/2006/relationships/hyperlink" Target="https://www.uptodate.com/contents/myasthenic-crisis?search=myasthenia%20gravis&amp;topicRef=5170&amp;source=see_link" TargetMode="External"/><Relationship Id="rId10" Type="http://schemas.openxmlformats.org/officeDocument/2006/relationships/hyperlink" Target="https://www.uptodate.com/contents/overview-of-the-treatment-of-myasthenia-gravis?search=myasthenia%20gravis&amp;topicRef=5153&amp;source=see_link" TargetMode="External"/><Relationship Id="rId4" Type="http://schemas.openxmlformats.org/officeDocument/2006/relationships/hyperlink" Target="https://www.uptodate.com/contents/myasthenic-crisis?search=myasthenia%20gravis&amp;topicRef=5170&amp;source=see_link" TargetMode="External"/><Relationship Id="rId9" Type="http://schemas.openxmlformats.org/officeDocument/2006/relationships/hyperlink" Target="https://www.uptodate.com/contents/overview-of-the-treatment-of-myasthenia-gravis?search=myasthenia%20gravis&amp;topicRef=5153&amp;source=see_lin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49</Pages>
  <Words>18514</Words>
  <Characters>106589</Characters>
  <Application>Microsoft Office Word</Application>
  <DocSecurity>0</DocSecurity>
  <Lines>1984</Lines>
  <Paragraphs>659</Paragraphs>
  <ScaleCrop>false</ScaleCrop>
  <HeadingPairs>
    <vt:vector size="2" baseType="variant">
      <vt:variant>
        <vt:lpstr>Title</vt:lpstr>
      </vt:variant>
      <vt:variant>
        <vt:i4>1</vt:i4>
      </vt:variant>
    </vt:vector>
  </HeadingPairs>
  <TitlesOfParts>
    <vt:vector size="1" baseType="lpstr">
      <vt:lpstr>Australian public assessment report for Vyvgart</vt:lpstr>
    </vt:vector>
  </TitlesOfParts>
  <Company>Department of Health and Aged Care</Company>
  <LinksUpToDate>false</LinksUpToDate>
  <CharactersWithSpaces>124556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Vyvgart</dc:title>
  <dc:subject>Prescription medicines</dc:subject>
  <dc:creator>Therapeutic Goods Administration</dc:creator>
  <cp:keywords/>
  <dc:description/>
  <cp:lastModifiedBy>LACK, Janet</cp:lastModifiedBy>
  <cp:revision>5</cp:revision>
  <dcterms:created xsi:type="dcterms:W3CDTF">2026-03-23T04:06:00Z</dcterms:created>
  <dcterms:modified xsi:type="dcterms:W3CDTF">2026-03-23T04:54:00Z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2026-02-04T01:36:41Z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dd3ac492-c1ab-4ef3-bf0b-587622334f55</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ies>
</file>