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3864B" w14:textId="77777777" w:rsidR="00574FBB" w:rsidRDefault="00574FBB" w:rsidP="00BE17AB">
      <w:pPr>
        <w:rPr>
          <w:rFonts w:cstheme="minorHAnsi"/>
        </w:rPr>
      </w:pPr>
      <w:r w:rsidRPr="00A23CD3">
        <w:rPr>
          <w:rFonts w:cstheme="minorHAnsi"/>
          <w:noProof/>
          <w:lang w:val="fr-FR" w:eastAsia="fr-FR"/>
        </w:rPr>
        <w:drawing>
          <wp:inline distT="0" distB="0" distL="0" distR="0" wp14:anchorId="5E9C38B4" wp14:editId="2A382CF4">
            <wp:extent cx="292100" cy="292100"/>
            <wp:effectExtent l="0" t="0" r="0" b="0"/>
            <wp:docPr id="1" name="Picture 1" descr="black triang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lack triangle icon"/>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A23CD3">
        <w:rPr>
          <w:rFonts w:cstheme="minorHAnsi"/>
        </w:rPr>
        <w:t>This medicinal product is subject to additional monitoring in Australia. This will allow quick identification of new safety information. Healthcare professionals are asked to report any suspected adverse events at </w:t>
      </w:r>
      <w:hyperlink r:id="rId12" w:history="1">
        <w:r w:rsidRPr="00A23CD3">
          <w:rPr>
            <w:rStyle w:val="Hyperlink"/>
            <w:rFonts w:cstheme="minorHAnsi"/>
          </w:rPr>
          <w:t>www.tga.gov.au/reporting-problems</w:t>
        </w:r>
      </w:hyperlink>
      <w:r w:rsidRPr="00A23CD3">
        <w:rPr>
          <w:rFonts w:cstheme="minorHAnsi"/>
        </w:rPr>
        <w:t>.</w:t>
      </w:r>
    </w:p>
    <w:p w14:paraId="68995E9B" w14:textId="77777777" w:rsidR="00BE17AB" w:rsidRPr="00A23CD3" w:rsidRDefault="00BE17AB" w:rsidP="00BE17AB">
      <w:pPr>
        <w:rPr>
          <w:rFonts w:cstheme="minorHAnsi"/>
        </w:rPr>
      </w:pPr>
    </w:p>
    <w:p w14:paraId="0513B1FB" w14:textId="77777777" w:rsidR="00574FBB" w:rsidRDefault="00574FBB" w:rsidP="00BE17AB">
      <w:pPr>
        <w:pStyle w:val="Heading1"/>
        <w:keepNext w:val="0"/>
        <w:keepLines w:val="0"/>
        <w:numPr>
          <w:ilvl w:val="0"/>
          <w:numId w:val="0"/>
        </w:numPr>
        <w:spacing w:before="120"/>
        <w:jc w:val="center"/>
        <w:rPr>
          <w:rFonts w:asciiTheme="minorHAnsi" w:eastAsia="SimSun" w:hAnsiTheme="minorHAnsi" w:cstheme="minorHAnsi"/>
          <w:sz w:val="32"/>
          <w:szCs w:val="32"/>
        </w:rPr>
      </w:pPr>
      <w:r w:rsidRPr="00BE17AB">
        <w:rPr>
          <w:rFonts w:asciiTheme="minorHAnsi" w:eastAsia="SimSun" w:hAnsiTheme="minorHAnsi" w:cstheme="minorHAnsi"/>
          <w:sz w:val="32"/>
          <w:szCs w:val="32"/>
        </w:rPr>
        <w:t>Australian Product Information – VYVGART (efgartigimod alfa) Concentrated Injection for Intravenous infusion</w:t>
      </w:r>
    </w:p>
    <w:p w14:paraId="3FA3CC2B" w14:textId="77777777" w:rsidR="00BE17AB" w:rsidRPr="00BE17AB" w:rsidRDefault="00BE17AB" w:rsidP="00BE17AB"/>
    <w:p w14:paraId="5F9FAFA4" w14:textId="77777777" w:rsidR="00574FBB" w:rsidRPr="00B074CF" w:rsidRDefault="00574FBB" w:rsidP="00BE17AB">
      <w:pPr>
        <w:pStyle w:val="Heading1"/>
        <w:keepNext w:val="0"/>
        <w:keepLines w:val="0"/>
        <w:spacing w:before="0" w:after="120"/>
        <w:ind w:left="431" w:hanging="431"/>
        <w:rPr>
          <w:rFonts w:asciiTheme="minorHAnsi" w:hAnsiTheme="minorHAnsi" w:cstheme="minorHAnsi"/>
          <w:sz w:val="22"/>
          <w:szCs w:val="22"/>
        </w:rPr>
      </w:pPr>
      <w:r w:rsidRPr="00B074CF">
        <w:rPr>
          <w:rFonts w:asciiTheme="minorHAnsi" w:hAnsiTheme="minorHAnsi" w:cstheme="minorHAnsi"/>
          <w:sz w:val="22"/>
          <w:szCs w:val="22"/>
        </w:rPr>
        <w:t>Name of the medicine</w:t>
      </w:r>
    </w:p>
    <w:p w14:paraId="11A76154" w14:textId="1A9C3F87" w:rsidR="00574FBB" w:rsidRPr="00B074CF" w:rsidRDefault="00382EB0" w:rsidP="00BE17AB">
      <w:pPr>
        <w:rPr>
          <w:rFonts w:cstheme="minorHAnsi"/>
        </w:rPr>
      </w:pPr>
      <w:r>
        <w:rPr>
          <w:rFonts w:cstheme="minorHAnsi"/>
        </w:rPr>
        <w:t xml:space="preserve">Efgartigimod alfa </w:t>
      </w:r>
      <w:r w:rsidR="00574FBB" w:rsidRPr="00B074CF">
        <w:rPr>
          <w:rFonts w:cstheme="minorHAnsi"/>
        </w:rPr>
        <w:t xml:space="preserve">20 mg/mL Concentrated Injection for Intravenous </w:t>
      </w:r>
      <w:r w:rsidR="00574FBB" w:rsidRPr="006075A9">
        <w:rPr>
          <w:rFonts w:cstheme="minorHAnsi"/>
        </w:rPr>
        <w:t>Infusion</w:t>
      </w:r>
      <w:r w:rsidR="00DC7C5B" w:rsidRPr="006075A9">
        <w:rPr>
          <w:rFonts w:cstheme="minorHAnsi"/>
        </w:rPr>
        <w:t>.</w:t>
      </w:r>
    </w:p>
    <w:p w14:paraId="5D4D8890" w14:textId="77777777" w:rsidR="00574FBB" w:rsidRPr="00B074CF" w:rsidRDefault="00574FBB" w:rsidP="00BE17AB">
      <w:pPr>
        <w:pStyle w:val="Heading1"/>
        <w:keepNext w:val="0"/>
        <w:keepLines w:val="0"/>
        <w:spacing w:before="0" w:after="120"/>
        <w:rPr>
          <w:rFonts w:asciiTheme="minorHAnsi" w:hAnsiTheme="minorHAnsi" w:cstheme="minorHAnsi"/>
          <w:sz w:val="22"/>
          <w:szCs w:val="22"/>
        </w:rPr>
      </w:pPr>
      <w:r w:rsidRPr="00B074CF">
        <w:rPr>
          <w:rFonts w:asciiTheme="minorHAnsi" w:hAnsiTheme="minorHAnsi" w:cstheme="minorHAnsi"/>
          <w:sz w:val="22"/>
          <w:szCs w:val="22"/>
        </w:rPr>
        <w:t>Qualitative and quantitative composition</w:t>
      </w:r>
    </w:p>
    <w:p w14:paraId="027CED3C" w14:textId="77777777" w:rsidR="00574FBB" w:rsidRPr="00B074CF" w:rsidRDefault="00574FBB" w:rsidP="00BE17AB">
      <w:pPr>
        <w:pStyle w:val="EMEAEnBodyText"/>
        <w:autoSpaceDE w:val="0"/>
        <w:autoSpaceDN w:val="0"/>
        <w:adjustRightInd w:val="0"/>
        <w:spacing w:before="0" w:after="0"/>
        <w:jc w:val="left"/>
        <w:rPr>
          <w:rFonts w:asciiTheme="minorHAnsi" w:hAnsiTheme="minorHAnsi" w:cstheme="minorHAnsi"/>
          <w:szCs w:val="22"/>
          <w:lang w:val="en-GB"/>
        </w:rPr>
      </w:pPr>
      <w:r w:rsidRPr="00B074CF">
        <w:rPr>
          <w:rFonts w:asciiTheme="minorHAnsi" w:hAnsiTheme="minorHAnsi" w:cstheme="minorHAnsi"/>
          <w:szCs w:val="22"/>
          <w:lang w:val="en-GB"/>
        </w:rPr>
        <w:t>Each vial of 20 mL contains 400 mg of efgartigimod alfa (20 mg/mL).</w:t>
      </w:r>
    </w:p>
    <w:p w14:paraId="0DA5C003" w14:textId="77777777" w:rsidR="00574FBB" w:rsidRPr="00B074CF" w:rsidRDefault="00574FBB" w:rsidP="00BE17AB">
      <w:pPr>
        <w:pStyle w:val="EMEAEnBodyText"/>
        <w:autoSpaceDE w:val="0"/>
        <w:autoSpaceDN w:val="0"/>
        <w:adjustRightInd w:val="0"/>
        <w:spacing w:before="0" w:after="0"/>
        <w:jc w:val="left"/>
        <w:rPr>
          <w:rFonts w:asciiTheme="minorHAnsi" w:hAnsiTheme="minorHAnsi" w:cstheme="minorHAnsi"/>
          <w:szCs w:val="22"/>
          <w:lang w:val="en-GB"/>
        </w:rPr>
      </w:pPr>
    </w:p>
    <w:p w14:paraId="2AC3E2D3" w14:textId="77777777" w:rsidR="00574FBB" w:rsidRPr="00B074CF" w:rsidRDefault="00574FBB" w:rsidP="00BE17AB">
      <w:pPr>
        <w:pStyle w:val="EMEAEnBodyText"/>
        <w:autoSpaceDE w:val="0"/>
        <w:autoSpaceDN w:val="0"/>
        <w:adjustRightInd w:val="0"/>
        <w:spacing w:before="0" w:after="0"/>
        <w:jc w:val="left"/>
        <w:rPr>
          <w:rFonts w:asciiTheme="minorHAnsi" w:hAnsiTheme="minorHAnsi" w:cstheme="minorHAnsi"/>
          <w:szCs w:val="22"/>
          <w:lang w:val="en-GB"/>
        </w:rPr>
      </w:pPr>
      <w:r w:rsidRPr="00B074CF">
        <w:rPr>
          <w:rFonts w:asciiTheme="minorHAnsi" w:hAnsiTheme="minorHAnsi" w:cstheme="minorHAnsi"/>
          <w:szCs w:val="22"/>
          <w:lang w:val="en-GB"/>
        </w:rPr>
        <w:t>Efgartigimod alfa is a human recombinant immunoglobulin G1 (IgG1) derived Fc fragment produced in Chinese hamster ovary (CHO) cells by recombinant DNA technology.</w:t>
      </w:r>
    </w:p>
    <w:p w14:paraId="37E177D1" w14:textId="77777777" w:rsidR="00574FBB" w:rsidRPr="00B074CF" w:rsidRDefault="00574FBB" w:rsidP="00BE17AB">
      <w:pPr>
        <w:rPr>
          <w:rFonts w:cstheme="minorHAnsi"/>
        </w:rPr>
      </w:pPr>
    </w:p>
    <w:p w14:paraId="5FBE6B7C" w14:textId="77777777" w:rsidR="00574FBB" w:rsidRDefault="00574FBB" w:rsidP="00BE17AB">
      <w:pPr>
        <w:pStyle w:val="EMEAEnBodyText"/>
        <w:autoSpaceDE w:val="0"/>
        <w:autoSpaceDN w:val="0"/>
        <w:adjustRightInd w:val="0"/>
        <w:spacing w:before="0" w:after="0"/>
        <w:jc w:val="left"/>
        <w:rPr>
          <w:rFonts w:asciiTheme="minorHAnsi" w:hAnsiTheme="minorHAnsi" w:cstheme="minorHAnsi"/>
          <w:szCs w:val="22"/>
        </w:rPr>
      </w:pPr>
      <w:r w:rsidRPr="00B074CF">
        <w:rPr>
          <w:rFonts w:asciiTheme="minorHAnsi" w:hAnsiTheme="minorHAnsi" w:cstheme="minorHAnsi"/>
          <w:szCs w:val="22"/>
          <w:u w:val="single"/>
          <w:lang w:val="en-GB"/>
        </w:rPr>
        <w:t>Excipient(s) with known effect</w:t>
      </w:r>
      <w:r w:rsidRPr="00B074CF">
        <w:rPr>
          <w:rFonts w:asciiTheme="minorHAnsi" w:hAnsiTheme="minorHAnsi" w:cstheme="minorHAnsi"/>
          <w:szCs w:val="22"/>
          <w:lang w:val="en-GB"/>
        </w:rPr>
        <w:t xml:space="preserve">:  </w:t>
      </w:r>
      <w:r w:rsidRPr="00B074CF">
        <w:rPr>
          <w:rFonts w:asciiTheme="minorHAnsi" w:hAnsiTheme="minorHAnsi" w:cstheme="minorHAnsi"/>
          <w:szCs w:val="22"/>
        </w:rPr>
        <w:t>Each vial contains 67.2 mg sodium.</w:t>
      </w:r>
    </w:p>
    <w:p w14:paraId="69E840E2" w14:textId="77777777" w:rsidR="005014E0" w:rsidRPr="00B074CF" w:rsidRDefault="005014E0" w:rsidP="00BE17AB">
      <w:pPr>
        <w:pStyle w:val="EMEAEnBodyText"/>
        <w:autoSpaceDE w:val="0"/>
        <w:autoSpaceDN w:val="0"/>
        <w:adjustRightInd w:val="0"/>
        <w:spacing w:before="0" w:after="0"/>
        <w:jc w:val="left"/>
        <w:rPr>
          <w:rFonts w:asciiTheme="minorHAnsi" w:hAnsiTheme="minorHAnsi" w:cstheme="minorHAnsi"/>
          <w:szCs w:val="22"/>
          <w:lang w:val="en-GB"/>
        </w:rPr>
      </w:pPr>
    </w:p>
    <w:p w14:paraId="223410F6" w14:textId="77777777" w:rsidR="00574FBB" w:rsidRPr="00B074CF" w:rsidRDefault="00574FBB" w:rsidP="00BE17AB">
      <w:pPr>
        <w:pStyle w:val="Heading1"/>
        <w:keepNext w:val="0"/>
        <w:keepLines w:val="0"/>
        <w:spacing w:before="0" w:after="120"/>
        <w:rPr>
          <w:rFonts w:asciiTheme="minorHAnsi" w:hAnsiTheme="minorHAnsi" w:cstheme="minorHAnsi"/>
          <w:sz w:val="22"/>
          <w:szCs w:val="22"/>
        </w:rPr>
      </w:pPr>
      <w:r w:rsidRPr="00B074CF">
        <w:rPr>
          <w:rFonts w:asciiTheme="minorHAnsi" w:hAnsiTheme="minorHAnsi" w:cstheme="minorHAnsi"/>
          <w:sz w:val="22"/>
          <w:szCs w:val="22"/>
        </w:rPr>
        <w:t>Pharmaceutical form</w:t>
      </w:r>
    </w:p>
    <w:p w14:paraId="427B7F90" w14:textId="77777777" w:rsidR="00574FBB" w:rsidRPr="00B074CF" w:rsidRDefault="00574FBB" w:rsidP="00BE17AB">
      <w:pPr>
        <w:rPr>
          <w:rFonts w:cstheme="minorHAnsi"/>
        </w:rPr>
      </w:pPr>
      <w:r w:rsidRPr="00B074CF">
        <w:rPr>
          <w:rFonts w:cstheme="minorHAnsi"/>
        </w:rPr>
        <w:t>Concentrated Injection for Intravenous Infusion.</w:t>
      </w:r>
    </w:p>
    <w:p w14:paraId="3520A5A4" w14:textId="77777777" w:rsidR="00574FBB" w:rsidRPr="00B074CF" w:rsidRDefault="00574FBB" w:rsidP="00BE17AB">
      <w:pPr>
        <w:rPr>
          <w:rFonts w:cstheme="minorHAnsi"/>
        </w:rPr>
      </w:pPr>
      <w:r w:rsidRPr="00B074CF">
        <w:rPr>
          <w:rFonts w:cstheme="minorHAnsi"/>
        </w:rPr>
        <w:t>Colourless to slightly yellow, clear to slightly opalescent, pH 6.7.</w:t>
      </w:r>
    </w:p>
    <w:p w14:paraId="6F9E3454" w14:textId="77777777" w:rsidR="00574FBB" w:rsidRPr="00B074CF" w:rsidRDefault="00574FBB" w:rsidP="00BE17AB">
      <w:pPr>
        <w:pStyle w:val="Heading1"/>
        <w:keepNext w:val="0"/>
        <w:keepLines w:val="0"/>
        <w:spacing w:before="0" w:after="120"/>
        <w:rPr>
          <w:rFonts w:asciiTheme="minorHAnsi" w:hAnsiTheme="minorHAnsi" w:cstheme="minorHAnsi"/>
          <w:sz w:val="22"/>
          <w:szCs w:val="22"/>
        </w:rPr>
      </w:pPr>
      <w:r w:rsidRPr="00B074CF">
        <w:rPr>
          <w:rFonts w:asciiTheme="minorHAnsi" w:hAnsiTheme="minorHAnsi" w:cstheme="minorHAnsi"/>
          <w:sz w:val="22"/>
          <w:szCs w:val="22"/>
        </w:rPr>
        <w:t>Clinical particulars</w:t>
      </w:r>
    </w:p>
    <w:p w14:paraId="234A649E" w14:textId="77777777" w:rsidR="00574FBB" w:rsidRPr="00B074CF" w:rsidRDefault="00574FBB" w:rsidP="00BE17AB">
      <w:pPr>
        <w:pStyle w:val="Heading2"/>
        <w:spacing w:before="0" w:after="120"/>
        <w:rPr>
          <w:rFonts w:asciiTheme="minorHAnsi" w:hAnsiTheme="minorHAnsi" w:cstheme="minorHAnsi"/>
          <w:sz w:val="22"/>
        </w:rPr>
      </w:pPr>
      <w:r w:rsidRPr="00B074CF">
        <w:rPr>
          <w:rFonts w:asciiTheme="minorHAnsi" w:hAnsiTheme="minorHAnsi" w:cstheme="minorHAnsi"/>
          <w:sz w:val="22"/>
        </w:rPr>
        <w:t xml:space="preserve">Therapeutic indications </w:t>
      </w:r>
    </w:p>
    <w:p w14:paraId="7802BCAA" w14:textId="77777777" w:rsidR="00574FBB" w:rsidRPr="00B074CF" w:rsidRDefault="00574FBB" w:rsidP="00BE17AB">
      <w:pPr>
        <w:rPr>
          <w:rFonts w:cstheme="minorHAnsi"/>
        </w:rPr>
      </w:pPr>
      <w:r w:rsidRPr="00B074CF">
        <w:rPr>
          <w:rFonts w:cstheme="minorHAnsi"/>
        </w:rPr>
        <w:t>Vyvgart is indicated as an add</w:t>
      </w:r>
      <w:r w:rsidRPr="00B074CF">
        <w:rPr>
          <w:rFonts w:cstheme="minorHAnsi"/>
        </w:rPr>
        <w:noBreakHyphen/>
        <w:t>on to standard therapy for the treatment of adult patients with generalised Myasthenia Gravis (</w:t>
      </w:r>
      <w:proofErr w:type="spellStart"/>
      <w:r w:rsidRPr="00B074CF">
        <w:rPr>
          <w:rFonts w:cstheme="minorHAnsi"/>
        </w:rPr>
        <w:t>gMG</w:t>
      </w:r>
      <w:proofErr w:type="spellEnd"/>
      <w:r w:rsidRPr="00B074CF">
        <w:rPr>
          <w:rFonts w:cstheme="minorHAnsi"/>
        </w:rPr>
        <w:t>) who are anti</w:t>
      </w:r>
      <w:r w:rsidRPr="00B074CF">
        <w:rPr>
          <w:rFonts w:cstheme="minorHAnsi"/>
        </w:rPr>
        <w:noBreakHyphen/>
        <w:t>acetylcholine receptor (</w:t>
      </w:r>
      <w:proofErr w:type="spellStart"/>
      <w:r w:rsidRPr="00B074CF">
        <w:rPr>
          <w:rFonts w:cstheme="minorHAnsi"/>
        </w:rPr>
        <w:t>AChR</w:t>
      </w:r>
      <w:proofErr w:type="spellEnd"/>
      <w:r w:rsidRPr="00B074CF">
        <w:rPr>
          <w:rFonts w:cstheme="minorHAnsi"/>
        </w:rPr>
        <w:t>) antibody positive.</w:t>
      </w:r>
    </w:p>
    <w:p w14:paraId="2F38F587" w14:textId="77777777" w:rsidR="00574FBB" w:rsidRPr="00B074CF" w:rsidRDefault="00574FBB" w:rsidP="00BE17AB">
      <w:pPr>
        <w:pStyle w:val="Heading2"/>
        <w:spacing w:before="0" w:after="120"/>
        <w:rPr>
          <w:rFonts w:asciiTheme="minorHAnsi" w:hAnsiTheme="minorHAnsi" w:cstheme="minorHAnsi"/>
          <w:sz w:val="22"/>
        </w:rPr>
      </w:pPr>
      <w:r w:rsidRPr="00B074CF">
        <w:rPr>
          <w:rFonts w:asciiTheme="minorHAnsi" w:hAnsiTheme="minorHAnsi" w:cstheme="minorHAnsi"/>
          <w:sz w:val="22"/>
        </w:rPr>
        <w:t xml:space="preserve">Dose and method of administration </w:t>
      </w:r>
    </w:p>
    <w:p w14:paraId="373018CE" w14:textId="77777777" w:rsidR="00574FBB" w:rsidRPr="00B074CF" w:rsidRDefault="00574FBB" w:rsidP="00BE17AB">
      <w:pPr>
        <w:rPr>
          <w:rFonts w:cstheme="minorHAnsi"/>
        </w:rPr>
      </w:pPr>
      <w:r w:rsidRPr="00B074CF">
        <w:rPr>
          <w:rFonts w:cstheme="minorHAnsi"/>
        </w:rPr>
        <w:t>Efgartigimod alfa must be administered by a healthcare professional and under the supervision of a physician experienced in the management of patients with neuromuscular disorders.</w:t>
      </w:r>
    </w:p>
    <w:p w14:paraId="3515B70E" w14:textId="77777777" w:rsidR="00574FBB" w:rsidRPr="00B074CF" w:rsidRDefault="00574FBB" w:rsidP="00BE17AB">
      <w:pPr>
        <w:rPr>
          <w:rFonts w:cstheme="minorHAnsi"/>
          <w:u w:val="single"/>
        </w:rPr>
      </w:pPr>
      <w:r w:rsidRPr="00B074CF">
        <w:rPr>
          <w:rFonts w:cstheme="minorHAnsi"/>
          <w:u w:val="single"/>
        </w:rPr>
        <w:t>Dosage</w:t>
      </w:r>
    </w:p>
    <w:p w14:paraId="6724E998" w14:textId="77777777" w:rsidR="00574FBB" w:rsidRPr="00B074CF" w:rsidRDefault="00574FBB" w:rsidP="00BE17AB">
      <w:pPr>
        <w:rPr>
          <w:rFonts w:cstheme="minorHAnsi"/>
        </w:rPr>
      </w:pPr>
      <w:r w:rsidRPr="00B074CF">
        <w:rPr>
          <w:rFonts w:cstheme="minorHAnsi"/>
        </w:rPr>
        <w:t>The recommended dose is 10 mg/kg as a 1</w:t>
      </w:r>
      <w:r w:rsidRPr="00B074CF">
        <w:rPr>
          <w:rFonts w:cstheme="minorHAnsi"/>
        </w:rPr>
        <w:noBreakHyphen/>
        <w:t xml:space="preserve">hour intravenous infusion to be administered in cycles of once weekly infusions for 4 weeks. Subsequent treatment cycles should be administered according to clinical evaluation. The frequency of treatment cycles may vary by patient (see </w:t>
      </w:r>
      <w:r w:rsidRPr="00B074CF">
        <w:rPr>
          <w:rFonts w:cstheme="minorHAnsi"/>
          <w:i/>
          <w:iCs/>
        </w:rPr>
        <w:t>section 5.1 Pharmacodynamic Properties</w:t>
      </w:r>
      <w:r w:rsidRPr="00B074CF">
        <w:rPr>
          <w:rFonts w:cstheme="minorHAnsi"/>
        </w:rPr>
        <w:t>).</w:t>
      </w:r>
    </w:p>
    <w:p w14:paraId="57E01157" w14:textId="77777777" w:rsidR="00574FBB" w:rsidRPr="00B074CF" w:rsidRDefault="00574FBB" w:rsidP="00BE17AB">
      <w:pPr>
        <w:rPr>
          <w:rFonts w:eastAsia="MS Mincho" w:cstheme="minorHAnsi"/>
          <w:lang w:eastAsia="ja-JP"/>
        </w:rPr>
      </w:pPr>
      <w:r w:rsidRPr="00B074CF">
        <w:rPr>
          <w:rFonts w:cstheme="minorHAnsi"/>
        </w:rPr>
        <w:lastRenderedPageBreak/>
        <w:t>In the clinical development program, the earliest time to initiate a subsequent treatment cycle was 7 weeks from the initial infusion of the previous cycle. The safety of initiating subsequent cycles sooner than 7 weeks from the start of the previous treatment cycle has not been established.</w:t>
      </w:r>
    </w:p>
    <w:p w14:paraId="657839AC" w14:textId="77777777" w:rsidR="00574FBB" w:rsidRPr="00B074CF" w:rsidRDefault="00574FBB" w:rsidP="00BE17AB">
      <w:pPr>
        <w:rPr>
          <w:rFonts w:cstheme="minorHAnsi"/>
        </w:rPr>
      </w:pPr>
      <w:r w:rsidRPr="00B074CF">
        <w:rPr>
          <w:rFonts w:cstheme="minorHAnsi"/>
        </w:rPr>
        <w:t xml:space="preserve">In patients weighing 120 kg or more, the recommended dose is </w:t>
      </w:r>
      <w:r>
        <w:rPr>
          <w:rFonts w:cstheme="minorHAnsi"/>
        </w:rPr>
        <w:t>1,200</w:t>
      </w:r>
      <w:r w:rsidRPr="00B074CF">
        <w:rPr>
          <w:rFonts w:cstheme="minorHAnsi"/>
        </w:rPr>
        <w:t> mg (3 vials) per infusion (see</w:t>
      </w:r>
      <w:r w:rsidRPr="00B074CF">
        <w:rPr>
          <w:rFonts w:cstheme="minorHAnsi"/>
          <w:i/>
          <w:iCs/>
        </w:rPr>
        <w:t xml:space="preserve"> Instructions for Dilution below</w:t>
      </w:r>
      <w:r w:rsidRPr="00B074CF">
        <w:rPr>
          <w:rFonts w:cstheme="minorHAnsi"/>
        </w:rPr>
        <w:t>).</w:t>
      </w:r>
    </w:p>
    <w:p w14:paraId="292459C6" w14:textId="77777777" w:rsidR="00574FBB" w:rsidRPr="00B074CF" w:rsidRDefault="00574FBB" w:rsidP="00BE17AB">
      <w:pPr>
        <w:rPr>
          <w:rFonts w:cstheme="minorHAnsi"/>
          <w:i/>
        </w:rPr>
      </w:pPr>
      <w:r w:rsidRPr="00B074CF">
        <w:rPr>
          <w:rFonts w:cstheme="minorHAnsi"/>
          <w:i/>
          <w:iCs/>
        </w:rPr>
        <w:t>Missed dose</w:t>
      </w:r>
    </w:p>
    <w:p w14:paraId="7294C663" w14:textId="77777777" w:rsidR="00574FBB" w:rsidRPr="00B074CF" w:rsidRDefault="00574FBB" w:rsidP="00BE17AB">
      <w:pPr>
        <w:rPr>
          <w:rFonts w:cstheme="minorHAnsi"/>
        </w:rPr>
      </w:pPr>
      <w:r w:rsidRPr="00B074CF">
        <w:rPr>
          <w:rFonts w:cstheme="minorHAnsi"/>
        </w:rPr>
        <w:t>If a scheduled infusion is not possible, treatment may be administered up to 3 days before or after the scheduled time point. Thereafter, the original dosing schedule should be resumed until the treatment cycle is completed. If a dose needs to be delayed for more than 3 days, the dose should not be administered to ensure two consecutive doses are given with an interval of at least 3 days.</w:t>
      </w:r>
    </w:p>
    <w:p w14:paraId="19624071" w14:textId="77777777" w:rsidR="00574FBB" w:rsidRPr="00B074CF" w:rsidRDefault="00574FBB" w:rsidP="00BE17AB">
      <w:pPr>
        <w:rPr>
          <w:rFonts w:cstheme="minorHAnsi"/>
          <w:u w:val="single"/>
        </w:rPr>
      </w:pPr>
      <w:r w:rsidRPr="00B074CF">
        <w:rPr>
          <w:rFonts w:cstheme="minorHAnsi"/>
          <w:u w:val="single"/>
        </w:rPr>
        <w:t>Instructions for dilution</w:t>
      </w:r>
    </w:p>
    <w:p w14:paraId="14A82BF3" w14:textId="77777777" w:rsidR="00574FBB" w:rsidRPr="00B074CF" w:rsidRDefault="00574FBB" w:rsidP="00BE17AB">
      <w:pPr>
        <w:rPr>
          <w:rFonts w:cstheme="minorHAnsi"/>
        </w:rPr>
      </w:pPr>
      <w:r w:rsidRPr="00B074CF">
        <w:rPr>
          <w:rFonts w:cstheme="minorHAnsi"/>
        </w:rPr>
        <w:t xml:space="preserve">The efgartigimod alfa solution diluted in sodium chloride 9 mg/mL (0.9%) solution for injection can be administered using polyethylene (PE), polyvinyl chloride (PVC), ethylene vinyl acetate (EVA) and ethylene/polypropylene copolymer bags (polyolefins bags), as well as with PE, PVC and polyurethane/polypropylene infusion lines, together with polyurethane (PUR) or PVC filters with </w:t>
      </w:r>
      <w:proofErr w:type="spellStart"/>
      <w:r w:rsidRPr="00B074CF">
        <w:rPr>
          <w:rFonts w:cstheme="minorHAnsi"/>
        </w:rPr>
        <w:t>polyethersulfone</w:t>
      </w:r>
      <w:proofErr w:type="spellEnd"/>
      <w:r w:rsidRPr="00B074CF">
        <w:rPr>
          <w:rFonts w:cstheme="minorHAnsi"/>
        </w:rPr>
        <w:t xml:space="preserve"> (PES) or polyvinylidene fluoride (PVDF) filter membrane.</w:t>
      </w:r>
    </w:p>
    <w:p w14:paraId="39AAFA36" w14:textId="77777777" w:rsidR="00574FBB" w:rsidRPr="00B074CF" w:rsidRDefault="00574FBB" w:rsidP="00BE17AB">
      <w:pPr>
        <w:rPr>
          <w:rFonts w:cstheme="minorHAnsi"/>
        </w:rPr>
      </w:pPr>
      <w:r w:rsidRPr="00B074CF">
        <w:rPr>
          <w:rFonts w:cstheme="minorHAnsi"/>
        </w:rPr>
        <w:t>Using the formula in the table below, calculate the following:</w:t>
      </w:r>
    </w:p>
    <w:p w14:paraId="6F4DB54B" w14:textId="77777777" w:rsidR="00574FBB" w:rsidRPr="00B074CF" w:rsidRDefault="00574FBB" w:rsidP="00BE17AB">
      <w:pPr>
        <w:pStyle w:val="ListParagraph"/>
        <w:numPr>
          <w:ilvl w:val="0"/>
          <w:numId w:val="13"/>
        </w:numPr>
        <w:tabs>
          <w:tab w:val="left" w:pos="567"/>
        </w:tabs>
        <w:ind w:left="567" w:hanging="567"/>
        <w:rPr>
          <w:rFonts w:asciiTheme="minorHAnsi" w:hAnsiTheme="minorHAnsi" w:cstheme="minorHAnsi"/>
        </w:rPr>
      </w:pPr>
      <w:r w:rsidRPr="00B074CF">
        <w:rPr>
          <w:rFonts w:asciiTheme="minorHAnsi" w:hAnsiTheme="minorHAnsi" w:cstheme="minorHAnsi"/>
        </w:rPr>
        <w:t xml:space="preserve">The dose of Vyvgart required based on the patient’s bodyweight at the recommended dose of 10 mg/kg. For patients weighing over 120 kg use a bodyweight of 120 kg to calculate the dose. The maximum total dose per infusion is </w:t>
      </w:r>
      <w:r>
        <w:rPr>
          <w:rFonts w:asciiTheme="minorHAnsi" w:hAnsiTheme="minorHAnsi" w:cstheme="minorHAnsi"/>
        </w:rPr>
        <w:t>1,200</w:t>
      </w:r>
      <w:r w:rsidRPr="00B074CF">
        <w:rPr>
          <w:rFonts w:asciiTheme="minorHAnsi" w:hAnsiTheme="minorHAnsi" w:cstheme="minorHAnsi"/>
        </w:rPr>
        <w:t> mg. Each vial contains 400 mg of efgartigimod alfa at a concentration of 20 mg/</w:t>
      </w:r>
      <w:proofErr w:type="spellStart"/>
      <w:r w:rsidRPr="00B074CF">
        <w:rPr>
          <w:rFonts w:asciiTheme="minorHAnsi" w:hAnsiTheme="minorHAnsi" w:cstheme="minorHAnsi"/>
        </w:rPr>
        <w:t>mL.</w:t>
      </w:r>
      <w:proofErr w:type="spellEnd"/>
    </w:p>
    <w:p w14:paraId="1330E99F" w14:textId="77777777" w:rsidR="00574FBB" w:rsidRPr="00B074CF" w:rsidRDefault="00574FBB" w:rsidP="00BE17AB">
      <w:pPr>
        <w:pStyle w:val="ListParagraph"/>
        <w:numPr>
          <w:ilvl w:val="0"/>
          <w:numId w:val="13"/>
        </w:numPr>
        <w:tabs>
          <w:tab w:val="left" w:pos="567"/>
        </w:tabs>
        <w:ind w:left="567" w:hanging="567"/>
        <w:rPr>
          <w:rFonts w:asciiTheme="minorHAnsi" w:hAnsiTheme="minorHAnsi" w:cstheme="minorHAnsi"/>
        </w:rPr>
      </w:pPr>
      <w:r w:rsidRPr="00B074CF">
        <w:rPr>
          <w:rFonts w:asciiTheme="minorHAnsi" w:hAnsiTheme="minorHAnsi" w:cstheme="minorHAnsi"/>
        </w:rPr>
        <w:t>The number of vials needed.</w:t>
      </w:r>
    </w:p>
    <w:p w14:paraId="567F377A" w14:textId="77777777" w:rsidR="00574FBB" w:rsidRPr="00B074CF" w:rsidRDefault="00574FBB" w:rsidP="00BE17AB">
      <w:pPr>
        <w:pStyle w:val="ListParagraph"/>
        <w:numPr>
          <w:ilvl w:val="0"/>
          <w:numId w:val="13"/>
        </w:numPr>
        <w:tabs>
          <w:tab w:val="left" w:pos="567"/>
        </w:tabs>
        <w:ind w:left="567" w:hanging="567"/>
        <w:rPr>
          <w:rFonts w:asciiTheme="minorHAnsi" w:hAnsiTheme="minorHAnsi" w:cstheme="minorHAnsi"/>
        </w:rPr>
      </w:pPr>
      <w:r w:rsidRPr="00B074CF">
        <w:rPr>
          <w:rFonts w:asciiTheme="minorHAnsi" w:hAnsiTheme="minorHAnsi" w:cstheme="minorHAnsi"/>
        </w:rPr>
        <w:t>The volume of sodium chloride 9 mg/mL (0.9%) solution for injection. The total volume of diluted medicinal product is 125 </w:t>
      </w:r>
      <w:proofErr w:type="spellStart"/>
      <w:r w:rsidRPr="00B074CF">
        <w:rPr>
          <w:rFonts w:asciiTheme="minorHAnsi" w:hAnsiTheme="minorHAnsi" w:cstheme="minorHAnsi"/>
        </w:rPr>
        <w:t>mL.</w:t>
      </w:r>
      <w:proofErr w:type="spellEnd"/>
    </w:p>
    <w:p w14:paraId="731C5D5D" w14:textId="77777777" w:rsidR="00574FBB" w:rsidRPr="00B074CF" w:rsidRDefault="00574FBB" w:rsidP="00BE17AB">
      <w:pPr>
        <w:ind w:left="851" w:hanging="851"/>
        <w:contextualSpacing/>
        <w:rPr>
          <w:rFonts w:cstheme="minorHAnsi"/>
          <w:b/>
        </w:rPr>
      </w:pPr>
      <w:r w:rsidRPr="00B074CF">
        <w:rPr>
          <w:rFonts w:cstheme="minorHAnsi"/>
          <w:b/>
        </w:rPr>
        <w:t>Table 1.</w:t>
      </w:r>
      <w:r w:rsidRPr="00B074CF">
        <w:rPr>
          <w:rFonts w:cstheme="minorHAnsi"/>
          <w:b/>
        </w:rPr>
        <w:tab/>
        <w:t>Formula</w:t>
      </w:r>
    </w:p>
    <w:tbl>
      <w:tblPr>
        <w:tblStyle w:val="TableGrid1"/>
        <w:tblW w:w="0" w:type="auto"/>
        <w:jc w:val="center"/>
        <w:tblLook w:val="04A0" w:firstRow="1" w:lastRow="0" w:firstColumn="1" w:lastColumn="0" w:noHBand="0" w:noVBand="1"/>
      </w:tblPr>
      <w:tblGrid>
        <w:gridCol w:w="5632"/>
        <w:gridCol w:w="3384"/>
      </w:tblGrid>
      <w:tr w:rsidR="00574FBB" w:rsidRPr="00B074CF" w14:paraId="4FFBA92F" w14:textId="77777777" w:rsidTr="00BC4F1B">
        <w:trPr>
          <w:jc w:val="center"/>
        </w:trPr>
        <w:tc>
          <w:tcPr>
            <w:tcW w:w="5665" w:type="dxa"/>
          </w:tcPr>
          <w:p w14:paraId="2236BF35" w14:textId="77777777" w:rsidR="00574FBB" w:rsidRPr="00B074CF" w:rsidRDefault="00574FBB" w:rsidP="00BE17AB">
            <w:pPr>
              <w:contextualSpacing/>
              <w:rPr>
                <w:rFonts w:asciiTheme="minorHAnsi" w:hAnsiTheme="minorHAnsi" w:cstheme="minorHAnsi"/>
                <w:sz w:val="22"/>
                <w:szCs w:val="22"/>
                <w:lang w:val="en-GB"/>
              </w:rPr>
            </w:pPr>
            <w:r w:rsidRPr="00B074CF">
              <w:rPr>
                <w:rFonts w:asciiTheme="minorHAnsi" w:hAnsiTheme="minorHAnsi" w:cstheme="minorHAnsi"/>
                <w:sz w:val="22"/>
                <w:szCs w:val="22"/>
                <w:lang w:val="en-GB"/>
              </w:rPr>
              <w:t>Step 1 – Calculate the dose (mg)</w:t>
            </w:r>
          </w:p>
        </w:tc>
        <w:tc>
          <w:tcPr>
            <w:tcW w:w="3396" w:type="dxa"/>
          </w:tcPr>
          <w:p w14:paraId="29522900" w14:textId="77777777" w:rsidR="00574FBB" w:rsidRPr="00B074CF" w:rsidRDefault="00574FBB" w:rsidP="00BE17AB">
            <w:pPr>
              <w:contextualSpacing/>
              <w:rPr>
                <w:rFonts w:asciiTheme="minorHAnsi" w:hAnsiTheme="minorHAnsi" w:cstheme="minorHAnsi"/>
                <w:sz w:val="22"/>
                <w:szCs w:val="22"/>
                <w:lang w:val="de-DE"/>
              </w:rPr>
            </w:pPr>
            <w:r w:rsidRPr="00B074CF">
              <w:rPr>
                <w:rFonts w:asciiTheme="minorHAnsi" w:hAnsiTheme="minorHAnsi" w:cstheme="minorHAnsi"/>
                <w:sz w:val="22"/>
                <w:szCs w:val="22"/>
                <w:lang w:val="de-DE"/>
              </w:rPr>
              <w:t>10 mg/kg x weight (kg)</w:t>
            </w:r>
          </w:p>
        </w:tc>
      </w:tr>
      <w:tr w:rsidR="00574FBB" w:rsidRPr="00B074CF" w14:paraId="393E6333" w14:textId="77777777" w:rsidTr="00BC4F1B">
        <w:trPr>
          <w:jc w:val="center"/>
        </w:trPr>
        <w:tc>
          <w:tcPr>
            <w:tcW w:w="5665" w:type="dxa"/>
          </w:tcPr>
          <w:p w14:paraId="04965528" w14:textId="77777777" w:rsidR="00574FBB" w:rsidRPr="00B074CF" w:rsidRDefault="00574FBB" w:rsidP="00BE17AB">
            <w:pPr>
              <w:contextualSpacing/>
              <w:rPr>
                <w:rFonts w:asciiTheme="minorHAnsi" w:hAnsiTheme="minorHAnsi" w:cstheme="minorHAnsi"/>
                <w:sz w:val="22"/>
                <w:szCs w:val="22"/>
                <w:lang w:val="en-GB"/>
              </w:rPr>
            </w:pPr>
            <w:r w:rsidRPr="00B074CF">
              <w:rPr>
                <w:rFonts w:asciiTheme="minorHAnsi" w:hAnsiTheme="minorHAnsi" w:cstheme="minorHAnsi"/>
                <w:sz w:val="22"/>
                <w:szCs w:val="22"/>
                <w:lang w:val="en-GB"/>
              </w:rPr>
              <w:t>Step 2 – Calculate the volume of concentrate (mL)</w:t>
            </w:r>
          </w:p>
        </w:tc>
        <w:tc>
          <w:tcPr>
            <w:tcW w:w="3396" w:type="dxa"/>
          </w:tcPr>
          <w:p w14:paraId="164D9449" w14:textId="77777777" w:rsidR="00574FBB" w:rsidRPr="00B074CF" w:rsidRDefault="00574FBB" w:rsidP="00BE17AB">
            <w:pPr>
              <w:contextualSpacing/>
              <w:rPr>
                <w:rFonts w:asciiTheme="minorHAnsi" w:hAnsiTheme="minorHAnsi" w:cstheme="minorHAnsi"/>
                <w:sz w:val="22"/>
                <w:szCs w:val="22"/>
                <w:lang w:val="en-GB"/>
              </w:rPr>
            </w:pPr>
            <w:r w:rsidRPr="00B074CF">
              <w:rPr>
                <w:rFonts w:asciiTheme="minorHAnsi" w:hAnsiTheme="minorHAnsi" w:cstheme="minorHAnsi"/>
                <w:sz w:val="22"/>
                <w:szCs w:val="22"/>
                <w:lang w:val="en-GB"/>
              </w:rPr>
              <w:t>dose (mg) ÷ 20 mg/mL</w:t>
            </w:r>
          </w:p>
        </w:tc>
      </w:tr>
      <w:tr w:rsidR="00574FBB" w:rsidRPr="00B074CF" w14:paraId="0DBD6E9B" w14:textId="77777777" w:rsidTr="00BC4F1B">
        <w:trPr>
          <w:jc w:val="center"/>
        </w:trPr>
        <w:tc>
          <w:tcPr>
            <w:tcW w:w="5665" w:type="dxa"/>
            <w:tcBorders>
              <w:bottom w:val="single" w:sz="4" w:space="0" w:color="auto"/>
            </w:tcBorders>
          </w:tcPr>
          <w:p w14:paraId="29707B96" w14:textId="77777777" w:rsidR="00574FBB" w:rsidRPr="00B074CF" w:rsidRDefault="00574FBB" w:rsidP="00BE17AB">
            <w:pPr>
              <w:contextualSpacing/>
              <w:rPr>
                <w:rFonts w:asciiTheme="minorHAnsi" w:hAnsiTheme="minorHAnsi" w:cstheme="minorHAnsi"/>
                <w:sz w:val="22"/>
                <w:szCs w:val="22"/>
                <w:lang w:val="en-GB"/>
              </w:rPr>
            </w:pPr>
            <w:r w:rsidRPr="00B074CF">
              <w:rPr>
                <w:rFonts w:asciiTheme="minorHAnsi" w:hAnsiTheme="minorHAnsi" w:cstheme="minorHAnsi"/>
                <w:sz w:val="22"/>
                <w:szCs w:val="22"/>
                <w:lang w:val="en-GB"/>
              </w:rPr>
              <w:t xml:space="preserve">Step 3 – Calculate the number vials </w:t>
            </w:r>
          </w:p>
        </w:tc>
        <w:tc>
          <w:tcPr>
            <w:tcW w:w="3396" w:type="dxa"/>
            <w:tcBorders>
              <w:bottom w:val="single" w:sz="4" w:space="0" w:color="auto"/>
            </w:tcBorders>
          </w:tcPr>
          <w:p w14:paraId="5B41FE16" w14:textId="77777777" w:rsidR="00574FBB" w:rsidRPr="00B074CF" w:rsidRDefault="00574FBB" w:rsidP="00BE17AB">
            <w:pPr>
              <w:contextualSpacing/>
              <w:rPr>
                <w:rFonts w:asciiTheme="minorHAnsi" w:hAnsiTheme="minorHAnsi" w:cstheme="minorHAnsi"/>
                <w:sz w:val="22"/>
                <w:szCs w:val="22"/>
                <w:lang w:val="en-GB"/>
              </w:rPr>
            </w:pPr>
            <w:r w:rsidRPr="00B074CF">
              <w:rPr>
                <w:rFonts w:asciiTheme="minorHAnsi" w:hAnsiTheme="minorHAnsi" w:cstheme="minorHAnsi"/>
                <w:sz w:val="22"/>
                <w:szCs w:val="22"/>
                <w:lang w:val="en-GB"/>
              </w:rPr>
              <w:t>volume of concentrate (mL) ÷ 20 mL</w:t>
            </w:r>
          </w:p>
        </w:tc>
      </w:tr>
      <w:tr w:rsidR="00574FBB" w:rsidRPr="00B074CF" w14:paraId="6DB55643" w14:textId="77777777" w:rsidTr="00BC4F1B">
        <w:trPr>
          <w:jc w:val="center"/>
        </w:trPr>
        <w:tc>
          <w:tcPr>
            <w:tcW w:w="5665" w:type="dxa"/>
            <w:tcBorders>
              <w:bottom w:val="single" w:sz="4" w:space="0" w:color="auto"/>
            </w:tcBorders>
          </w:tcPr>
          <w:p w14:paraId="3748F744" w14:textId="77777777" w:rsidR="00574FBB" w:rsidRPr="00B074CF" w:rsidRDefault="00574FBB" w:rsidP="00BE17AB">
            <w:pPr>
              <w:contextualSpacing/>
              <w:rPr>
                <w:rFonts w:asciiTheme="minorHAnsi" w:hAnsiTheme="minorHAnsi" w:cstheme="minorHAnsi"/>
                <w:sz w:val="22"/>
                <w:szCs w:val="22"/>
                <w:lang w:val="en-GB"/>
              </w:rPr>
            </w:pPr>
            <w:r w:rsidRPr="00B074CF">
              <w:rPr>
                <w:rFonts w:asciiTheme="minorHAnsi" w:hAnsiTheme="minorHAnsi" w:cstheme="minorHAnsi"/>
                <w:sz w:val="22"/>
                <w:szCs w:val="22"/>
                <w:lang w:val="en-GB"/>
              </w:rPr>
              <w:t>Step 4 – Calculate the volume of sodium chloride 9 mg/mL (0.9%) solution for injection (mL)</w:t>
            </w:r>
          </w:p>
        </w:tc>
        <w:tc>
          <w:tcPr>
            <w:tcW w:w="3396" w:type="dxa"/>
            <w:tcBorders>
              <w:bottom w:val="single" w:sz="4" w:space="0" w:color="auto"/>
            </w:tcBorders>
          </w:tcPr>
          <w:p w14:paraId="0542C612" w14:textId="77777777" w:rsidR="00574FBB" w:rsidRPr="00B074CF" w:rsidRDefault="00574FBB" w:rsidP="00BE17AB">
            <w:pPr>
              <w:contextualSpacing/>
              <w:rPr>
                <w:rFonts w:asciiTheme="minorHAnsi" w:hAnsiTheme="minorHAnsi" w:cstheme="minorHAnsi"/>
                <w:sz w:val="22"/>
                <w:szCs w:val="22"/>
                <w:lang w:val="en-GB"/>
              </w:rPr>
            </w:pPr>
            <w:r w:rsidRPr="00B074CF">
              <w:rPr>
                <w:rFonts w:asciiTheme="minorHAnsi" w:hAnsiTheme="minorHAnsi" w:cstheme="minorHAnsi"/>
                <w:sz w:val="22"/>
                <w:szCs w:val="22"/>
                <w:lang w:val="en-GB"/>
              </w:rPr>
              <w:t>125 mL – concentrate volume (mL)</w:t>
            </w:r>
          </w:p>
        </w:tc>
      </w:tr>
    </w:tbl>
    <w:p w14:paraId="60BB2B3E" w14:textId="77777777" w:rsidR="00574FBB" w:rsidRPr="00B074CF" w:rsidRDefault="00574FBB" w:rsidP="00BE17AB">
      <w:pPr>
        <w:rPr>
          <w:rFonts w:cstheme="minorHAnsi"/>
        </w:rPr>
      </w:pPr>
    </w:p>
    <w:p w14:paraId="0776E0BD" w14:textId="77777777" w:rsidR="00574FBB" w:rsidRPr="00B074CF" w:rsidRDefault="00574FBB" w:rsidP="00BE17AB">
      <w:pPr>
        <w:ind w:left="284" w:hanging="284"/>
        <w:rPr>
          <w:rFonts w:cstheme="minorHAnsi"/>
          <w:i/>
        </w:rPr>
      </w:pPr>
      <w:r w:rsidRPr="00B074CF">
        <w:rPr>
          <w:rFonts w:cstheme="minorHAnsi"/>
          <w:i/>
        </w:rPr>
        <w:t>Dilution</w:t>
      </w:r>
    </w:p>
    <w:p w14:paraId="769865C2" w14:textId="77777777" w:rsidR="00574FBB" w:rsidRPr="00B074CF" w:rsidRDefault="00574FBB" w:rsidP="00BE17AB">
      <w:pPr>
        <w:pStyle w:val="ListParagraph"/>
        <w:numPr>
          <w:ilvl w:val="0"/>
          <w:numId w:val="14"/>
        </w:numPr>
        <w:tabs>
          <w:tab w:val="left" w:pos="567"/>
        </w:tabs>
        <w:ind w:left="567" w:hanging="567"/>
        <w:rPr>
          <w:rFonts w:asciiTheme="minorHAnsi" w:hAnsiTheme="minorHAnsi" w:cstheme="minorHAnsi"/>
        </w:rPr>
      </w:pPr>
      <w:r w:rsidRPr="00B074CF">
        <w:rPr>
          <w:rFonts w:asciiTheme="minorHAnsi" w:hAnsiTheme="minorHAnsi" w:cstheme="minorHAnsi"/>
        </w:rPr>
        <w:t>Visually inspect that the vial content is clear to slightly opalescent, colourless to slightly yellow, and devoid of particulate matter. If visible particles are observed and/or the liquid in the vial is discoloured, the vial must not be used. Do not shake the vials.</w:t>
      </w:r>
    </w:p>
    <w:p w14:paraId="4F84BF08" w14:textId="77777777" w:rsidR="00574FBB" w:rsidRPr="00B074CF" w:rsidRDefault="00574FBB" w:rsidP="00BE17AB">
      <w:pPr>
        <w:pStyle w:val="ListParagraph"/>
        <w:numPr>
          <w:ilvl w:val="0"/>
          <w:numId w:val="14"/>
        </w:numPr>
        <w:tabs>
          <w:tab w:val="left" w:pos="567"/>
        </w:tabs>
        <w:ind w:left="567" w:hanging="567"/>
        <w:rPr>
          <w:rFonts w:asciiTheme="minorHAnsi" w:hAnsiTheme="minorHAnsi" w:cstheme="minorHAnsi"/>
        </w:rPr>
      </w:pPr>
      <w:r w:rsidRPr="00B074CF">
        <w:rPr>
          <w:rFonts w:asciiTheme="minorHAnsi" w:hAnsiTheme="minorHAnsi" w:cstheme="minorHAnsi"/>
        </w:rPr>
        <w:t>Using aseptic technique throughout the preparation of the diluted solution:</w:t>
      </w:r>
    </w:p>
    <w:p w14:paraId="32A183FA" w14:textId="77777777" w:rsidR="00574FBB" w:rsidRPr="00B074CF" w:rsidRDefault="00574FBB" w:rsidP="00BE17AB">
      <w:pPr>
        <w:pStyle w:val="ListParagraph"/>
        <w:numPr>
          <w:ilvl w:val="0"/>
          <w:numId w:val="15"/>
        </w:numPr>
        <w:ind w:left="1134" w:hanging="567"/>
        <w:rPr>
          <w:rFonts w:asciiTheme="minorHAnsi" w:hAnsiTheme="minorHAnsi" w:cstheme="minorHAnsi"/>
        </w:rPr>
      </w:pPr>
      <w:r w:rsidRPr="00B074CF">
        <w:rPr>
          <w:rFonts w:asciiTheme="minorHAnsi" w:hAnsiTheme="minorHAnsi" w:cstheme="minorHAnsi"/>
        </w:rPr>
        <w:lastRenderedPageBreak/>
        <w:t>Gently withdraw the required amount of Vyvgart from the appropriate number of vials with a sterile syringe and needle (see Table 1). Discard any unused portion of the vials.</w:t>
      </w:r>
    </w:p>
    <w:p w14:paraId="7950E123" w14:textId="77777777" w:rsidR="00574FBB" w:rsidRPr="00B074CF" w:rsidRDefault="00574FBB" w:rsidP="00BE17AB">
      <w:pPr>
        <w:pStyle w:val="ListParagraph"/>
        <w:numPr>
          <w:ilvl w:val="0"/>
          <w:numId w:val="15"/>
        </w:numPr>
        <w:ind w:left="1134" w:hanging="567"/>
        <w:rPr>
          <w:rFonts w:asciiTheme="minorHAnsi" w:hAnsiTheme="minorHAnsi" w:cstheme="minorHAnsi"/>
        </w:rPr>
      </w:pPr>
      <w:r w:rsidRPr="00B074CF">
        <w:rPr>
          <w:rFonts w:asciiTheme="minorHAnsi" w:hAnsiTheme="minorHAnsi" w:cstheme="minorHAnsi"/>
        </w:rPr>
        <w:t>Transfer the calculated dose of the product into an infusion bag.</w:t>
      </w:r>
    </w:p>
    <w:p w14:paraId="2ED9FB52" w14:textId="6ABCA5F0" w:rsidR="00574FBB" w:rsidRPr="00B074CF" w:rsidRDefault="00574FBB" w:rsidP="00BE17AB">
      <w:pPr>
        <w:pStyle w:val="ListParagraph"/>
        <w:numPr>
          <w:ilvl w:val="0"/>
          <w:numId w:val="15"/>
        </w:numPr>
        <w:ind w:left="1134" w:hanging="567"/>
        <w:rPr>
          <w:rFonts w:asciiTheme="minorHAnsi" w:hAnsiTheme="minorHAnsi" w:cstheme="minorHAnsi"/>
        </w:rPr>
      </w:pPr>
      <w:r w:rsidRPr="00B074CF">
        <w:rPr>
          <w:rFonts w:asciiTheme="minorHAnsi" w:hAnsiTheme="minorHAnsi" w:cstheme="minorHAnsi"/>
        </w:rPr>
        <w:t>Dilute the withdrawn product by adding the calculated amount of sodium chloride 9 mg/mL (0.9%) solution for injection to make a total volume of 125 </w:t>
      </w:r>
      <w:proofErr w:type="spellStart"/>
      <w:r w:rsidRPr="00B074CF">
        <w:rPr>
          <w:rFonts w:asciiTheme="minorHAnsi" w:hAnsiTheme="minorHAnsi" w:cstheme="minorHAnsi"/>
        </w:rPr>
        <w:t>mL</w:t>
      </w:r>
      <w:r w:rsidR="00DC7C5B">
        <w:rPr>
          <w:rFonts w:asciiTheme="minorHAnsi" w:hAnsiTheme="minorHAnsi" w:cstheme="minorHAnsi"/>
        </w:rPr>
        <w:t>.</w:t>
      </w:r>
      <w:proofErr w:type="spellEnd"/>
    </w:p>
    <w:p w14:paraId="7B8B3926" w14:textId="77777777" w:rsidR="00574FBB" w:rsidRPr="00B074CF" w:rsidRDefault="00574FBB" w:rsidP="00BE17AB">
      <w:pPr>
        <w:pStyle w:val="ListParagraph"/>
        <w:numPr>
          <w:ilvl w:val="0"/>
          <w:numId w:val="15"/>
        </w:numPr>
        <w:ind w:left="1134" w:hanging="567"/>
        <w:rPr>
          <w:rFonts w:asciiTheme="minorHAnsi" w:hAnsiTheme="minorHAnsi" w:cstheme="minorHAnsi"/>
        </w:rPr>
      </w:pPr>
      <w:r w:rsidRPr="00B074CF">
        <w:rPr>
          <w:rFonts w:asciiTheme="minorHAnsi" w:hAnsiTheme="minorHAnsi" w:cstheme="minorHAnsi"/>
        </w:rPr>
        <w:t xml:space="preserve">Gently invert the infusion bag containing the diluted product </w:t>
      </w:r>
      <w:r w:rsidRPr="00B074CF">
        <w:rPr>
          <w:rFonts w:asciiTheme="minorHAnsi" w:hAnsiTheme="minorHAnsi" w:cstheme="minorHAnsi"/>
          <w:b/>
          <w:bCs/>
        </w:rPr>
        <w:t>without shaking</w:t>
      </w:r>
      <w:r w:rsidRPr="00B074CF">
        <w:rPr>
          <w:rFonts w:asciiTheme="minorHAnsi" w:hAnsiTheme="minorHAnsi" w:cstheme="minorHAnsi"/>
        </w:rPr>
        <w:t xml:space="preserve"> to ensure thorough mixing of the product and the diluent.</w:t>
      </w:r>
    </w:p>
    <w:p w14:paraId="07D3A79D" w14:textId="77777777" w:rsidR="00574FBB" w:rsidRPr="00B074CF" w:rsidRDefault="00574FBB" w:rsidP="00BE17AB">
      <w:pPr>
        <w:rPr>
          <w:rFonts w:cstheme="minorHAnsi"/>
          <w:u w:val="single"/>
        </w:rPr>
      </w:pPr>
      <w:r w:rsidRPr="00B074CF">
        <w:rPr>
          <w:rFonts w:cstheme="minorHAnsi"/>
          <w:u w:val="single"/>
        </w:rPr>
        <w:t>Method of administration</w:t>
      </w:r>
    </w:p>
    <w:p w14:paraId="56E05576" w14:textId="77777777" w:rsidR="00574FBB" w:rsidRPr="00B074CF" w:rsidRDefault="00574FBB" w:rsidP="00BE17AB">
      <w:pPr>
        <w:rPr>
          <w:rFonts w:cstheme="minorHAnsi"/>
        </w:rPr>
      </w:pPr>
      <w:r w:rsidRPr="00B074CF">
        <w:rPr>
          <w:rFonts w:eastAsia="SimSun" w:cstheme="minorHAnsi"/>
        </w:rPr>
        <w:t xml:space="preserve">This medicinal product </w:t>
      </w:r>
      <w:r w:rsidRPr="00B074CF">
        <w:rPr>
          <w:rFonts w:cstheme="minorHAnsi"/>
        </w:rPr>
        <w:t>should only be administered via intravenous infusion</w:t>
      </w:r>
      <w:r w:rsidRPr="00B074CF">
        <w:rPr>
          <w:rFonts w:eastAsia="SimSun" w:cstheme="minorHAnsi"/>
        </w:rPr>
        <w:t xml:space="preserve">. </w:t>
      </w:r>
      <w:r w:rsidRPr="00B074CF">
        <w:rPr>
          <w:rFonts w:cstheme="minorHAnsi"/>
        </w:rPr>
        <w:t>Do not administer as an intravenous push or bolus injection. It should be diluted with sodium chloride 9 mg/mL (0.9%) solution for injection prior to administration as described above.</w:t>
      </w:r>
    </w:p>
    <w:p w14:paraId="3EE86431" w14:textId="77777777" w:rsidR="00574FBB" w:rsidRPr="00B074CF" w:rsidRDefault="00574FBB" w:rsidP="00BE17AB">
      <w:pPr>
        <w:rPr>
          <w:rFonts w:cstheme="minorHAnsi"/>
        </w:rPr>
      </w:pPr>
      <w:r w:rsidRPr="00B074CF">
        <w:rPr>
          <w:rFonts w:cstheme="minorHAnsi"/>
        </w:rPr>
        <w:t>This medicinal product should be administered over 1 hour. Appropriate treatment for infusion and hypersensitivity related reactions should be readily available before administration of efgartigimod alfa. In case of infusion reactions, the infusion should be administered at a slower rate, interrupted or can be discontinued (</w:t>
      </w:r>
      <w:r w:rsidRPr="00B074CF">
        <w:rPr>
          <w:rFonts w:eastAsia="SimSun" w:cstheme="minorHAnsi"/>
          <w:lang w:eastAsia="en-GB"/>
        </w:rPr>
        <w:t xml:space="preserve">see </w:t>
      </w:r>
      <w:r w:rsidRPr="00B074CF">
        <w:rPr>
          <w:rFonts w:eastAsia="SimSun" w:cstheme="minorHAnsi"/>
          <w:i/>
          <w:iCs/>
          <w:lang w:eastAsia="en-GB"/>
        </w:rPr>
        <w:t>section 4.4 Special Warnings and Precautions for Use</w:t>
      </w:r>
      <w:r w:rsidRPr="00B074CF">
        <w:rPr>
          <w:rFonts w:cstheme="minorHAnsi"/>
        </w:rPr>
        <w:t>).</w:t>
      </w:r>
    </w:p>
    <w:p w14:paraId="0225C09A" w14:textId="77777777" w:rsidR="00574FBB" w:rsidRPr="00B074CF" w:rsidRDefault="00574FBB" w:rsidP="00BE17AB">
      <w:pPr>
        <w:ind w:left="284" w:hanging="284"/>
        <w:rPr>
          <w:rFonts w:cstheme="minorHAnsi"/>
          <w:i/>
        </w:rPr>
      </w:pPr>
      <w:r w:rsidRPr="00B074CF">
        <w:rPr>
          <w:rFonts w:cstheme="minorHAnsi"/>
          <w:i/>
        </w:rPr>
        <w:t>Administration</w:t>
      </w:r>
    </w:p>
    <w:p w14:paraId="7D5A7788" w14:textId="77777777" w:rsidR="00574FBB" w:rsidRPr="00B074CF" w:rsidRDefault="00574FBB" w:rsidP="00BE17AB">
      <w:pPr>
        <w:pStyle w:val="ListParagraph"/>
        <w:numPr>
          <w:ilvl w:val="0"/>
          <w:numId w:val="16"/>
        </w:numPr>
        <w:ind w:left="567" w:hanging="567"/>
        <w:rPr>
          <w:rFonts w:asciiTheme="minorHAnsi" w:hAnsiTheme="minorHAnsi" w:cstheme="minorHAnsi"/>
        </w:rPr>
      </w:pPr>
      <w:r w:rsidRPr="00B074CF">
        <w:rPr>
          <w:rFonts w:asciiTheme="minorHAnsi" w:hAnsiTheme="minorHAnsi" w:cstheme="minorHAnsi"/>
        </w:rPr>
        <w:t>Inspect the solution visually for particulate matter prior to administration.</w:t>
      </w:r>
    </w:p>
    <w:p w14:paraId="12A8A754" w14:textId="77777777" w:rsidR="00574FBB" w:rsidRPr="00B074CF" w:rsidRDefault="00574FBB" w:rsidP="00BE17AB">
      <w:pPr>
        <w:pStyle w:val="ListParagraph"/>
        <w:numPr>
          <w:ilvl w:val="0"/>
          <w:numId w:val="16"/>
        </w:numPr>
        <w:autoSpaceDE w:val="0"/>
        <w:autoSpaceDN w:val="0"/>
        <w:adjustRightInd w:val="0"/>
        <w:ind w:left="567" w:hanging="567"/>
        <w:rPr>
          <w:rFonts w:asciiTheme="minorHAnsi" w:hAnsiTheme="minorHAnsi" w:cstheme="minorHAnsi"/>
        </w:rPr>
      </w:pPr>
      <w:r w:rsidRPr="00B074CF">
        <w:rPr>
          <w:rFonts w:asciiTheme="minorHAnsi" w:hAnsiTheme="minorHAnsi" w:cstheme="minorHAnsi"/>
        </w:rPr>
        <w:t>Infuse the total 125 mL of diluted medicinal product over 1 hour using a 0.2 µm</w:t>
      </w:r>
      <w:r>
        <w:rPr>
          <w:rFonts w:asciiTheme="minorHAnsi" w:hAnsiTheme="minorHAnsi" w:cstheme="minorHAnsi"/>
        </w:rPr>
        <w:t xml:space="preserve"> </w:t>
      </w:r>
      <w:proofErr w:type="gramStart"/>
      <w:r>
        <w:rPr>
          <w:rFonts w:asciiTheme="minorHAnsi" w:hAnsiTheme="minorHAnsi" w:cstheme="minorHAnsi"/>
        </w:rPr>
        <w:t xml:space="preserve">sterilising </w:t>
      </w:r>
      <w:r w:rsidRPr="00B074CF">
        <w:rPr>
          <w:rFonts w:asciiTheme="minorHAnsi" w:hAnsiTheme="minorHAnsi" w:cstheme="minorHAnsi"/>
        </w:rPr>
        <w:t xml:space="preserve"> filter</w:t>
      </w:r>
      <w:proofErr w:type="gramEnd"/>
      <w:r w:rsidRPr="00B074CF">
        <w:rPr>
          <w:rFonts w:asciiTheme="minorHAnsi" w:hAnsiTheme="minorHAnsi" w:cstheme="minorHAnsi"/>
        </w:rPr>
        <w:t>. Administer the full amount of solution, flushing the entire line with sodium chloride 9 mg/mL (0.9%) solution for injection at the end.</w:t>
      </w:r>
    </w:p>
    <w:p w14:paraId="6B2802ED" w14:textId="77777777" w:rsidR="00574FBB" w:rsidRPr="00B074CF" w:rsidRDefault="00574FBB" w:rsidP="00BE17AB">
      <w:pPr>
        <w:pStyle w:val="ListParagraph"/>
        <w:numPr>
          <w:ilvl w:val="0"/>
          <w:numId w:val="16"/>
        </w:numPr>
        <w:ind w:left="567" w:hanging="567"/>
        <w:rPr>
          <w:rFonts w:asciiTheme="minorHAnsi" w:hAnsiTheme="minorHAnsi" w:cstheme="minorHAnsi"/>
        </w:rPr>
      </w:pPr>
      <w:r w:rsidRPr="00B074CF">
        <w:rPr>
          <w:rFonts w:asciiTheme="minorHAnsi" w:hAnsiTheme="minorHAnsi" w:cstheme="minorHAnsi"/>
        </w:rPr>
        <w:t xml:space="preserve">Vyvgart should be administered immediately after </w:t>
      </w:r>
      <w:proofErr w:type="gramStart"/>
      <w:r w:rsidRPr="00B074CF">
        <w:rPr>
          <w:rFonts w:asciiTheme="minorHAnsi" w:hAnsiTheme="minorHAnsi" w:cstheme="minorHAnsi"/>
        </w:rPr>
        <w:t>dilution</w:t>
      </w:r>
      <w:proofErr w:type="gramEnd"/>
      <w:r w:rsidRPr="00B074CF">
        <w:rPr>
          <w:rFonts w:asciiTheme="minorHAnsi" w:hAnsiTheme="minorHAnsi" w:cstheme="minorHAnsi"/>
        </w:rPr>
        <w:t xml:space="preserve"> and the infusion of diluted solution should be completed within 4 hours of dilution.</w:t>
      </w:r>
    </w:p>
    <w:p w14:paraId="79052DE3" w14:textId="77777777" w:rsidR="00574FBB" w:rsidRPr="00B074CF" w:rsidRDefault="00574FBB" w:rsidP="00BE17AB">
      <w:pPr>
        <w:pStyle w:val="ListParagraph"/>
        <w:numPr>
          <w:ilvl w:val="0"/>
          <w:numId w:val="16"/>
        </w:numPr>
        <w:ind w:left="567" w:hanging="567"/>
        <w:rPr>
          <w:rFonts w:asciiTheme="minorHAnsi" w:hAnsiTheme="minorHAnsi" w:cstheme="minorHAnsi"/>
        </w:rPr>
      </w:pPr>
      <w:r w:rsidRPr="00B074CF">
        <w:rPr>
          <w:rFonts w:asciiTheme="minorHAnsi" w:hAnsiTheme="minorHAnsi" w:cstheme="minorHAnsi"/>
        </w:rPr>
        <w:t>Chemical and physical in-use stability has been demonstrated for 24 hours at 2 °C to 8 °C. From a microbiological point of view, the product should be used immediately. Do not freeze. Allow the diluted medicinal product to reach room temperature before administration. Complete the infusion within 4 hours of removal from the refrigerator. The diluted medicinal product should not be heated in any other manner than via ambient air.</w:t>
      </w:r>
    </w:p>
    <w:p w14:paraId="56BE5DF7" w14:textId="77777777" w:rsidR="00574FBB" w:rsidRPr="00B074CF" w:rsidRDefault="00574FBB" w:rsidP="00BE17AB">
      <w:pPr>
        <w:pStyle w:val="ListParagraph"/>
        <w:numPr>
          <w:ilvl w:val="0"/>
          <w:numId w:val="16"/>
        </w:numPr>
        <w:ind w:left="567" w:hanging="567"/>
        <w:rPr>
          <w:rFonts w:asciiTheme="minorHAnsi" w:hAnsiTheme="minorHAnsi" w:cstheme="minorHAnsi"/>
        </w:rPr>
      </w:pPr>
      <w:r>
        <w:rPr>
          <w:rFonts w:asciiTheme="minorHAnsi" w:hAnsiTheme="minorHAnsi" w:cstheme="minorHAnsi"/>
        </w:rPr>
        <w:t>Appropriate treatment for infusion and hypersensitivity-related reactions should be readily available before administration of efgartigimod alfa. In case of</w:t>
      </w:r>
      <w:r w:rsidRPr="00B074CF">
        <w:rPr>
          <w:rFonts w:asciiTheme="minorHAnsi" w:hAnsiTheme="minorHAnsi" w:cstheme="minorHAnsi"/>
        </w:rPr>
        <w:t xml:space="preserve"> infusion reactions, the infusion should be administered at a slower rate, interrupted or discontinued (</w:t>
      </w:r>
      <w:r w:rsidRPr="00B074CF">
        <w:rPr>
          <w:rFonts w:asciiTheme="minorHAnsi" w:eastAsia="SimSun" w:hAnsiTheme="minorHAnsi" w:cstheme="minorHAnsi"/>
          <w:lang w:eastAsia="en-GB"/>
        </w:rPr>
        <w:t xml:space="preserve">see </w:t>
      </w:r>
      <w:r w:rsidRPr="00B074CF">
        <w:rPr>
          <w:rFonts w:asciiTheme="minorHAnsi" w:eastAsia="SimSun" w:hAnsiTheme="minorHAnsi" w:cstheme="minorHAnsi"/>
          <w:i/>
          <w:iCs/>
          <w:lang w:eastAsia="en-GB"/>
        </w:rPr>
        <w:t>section 4.4 Special Warnings and Precautions for Use</w:t>
      </w:r>
      <w:r w:rsidRPr="00B074CF">
        <w:rPr>
          <w:rFonts w:asciiTheme="minorHAnsi" w:hAnsiTheme="minorHAnsi" w:cstheme="minorHAnsi"/>
        </w:rPr>
        <w:t>).</w:t>
      </w:r>
    </w:p>
    <w:p w14:paraId="6027BA59" w14:textId="6236E95D" w:rsidR="00574FBB" w:rsidRPr="00B074CF" w:rsidRDefault="00574FBB" w:rsidP="00BE17AB">
      <w:pPr>
        <w:pStyle w:val="ListParagraph"/>
        <w:numPr>
          <w:ilvl w:val="0"/>
          <w:numId w:val="16"/>
        </w:numPr>
        <w:ind w:left="567" w:hanging="567"/>
        <w:rPr>
          <w:rFonts w:asciiTheme="minorHAnsi" w:hAnsiTheme="minorHAnsi" w:cstheme="minorHAnsi"/>
        </w:rPr>
      </w:pPr>
      <w:r w:rsidRPr="00B074CF">
        <w:rPr>
          <w:rFonts w:asciiTheme="minorHAnsi" w:hAnsiTheme="minorHAnsi" w:cstheme="minorHAnsi"/>
        </w:rPr>
        <w:t xml:space="preserve">Other medicinal products should not be injected into infusion side ports or mixed with </w:t>
      </w:r>
      <w:r w:rsidRPr="006075A9">
        <w:rPr>
          <w:rFonts w:asciiTheme="minorHAnsi" w:hAnsiTheme="minorHAnsi" w:cstheme="minorHAnsi"/>
        </w:rPr>
        <w:t>Vyvgart</w:t>
      </w:r>
      <w:r w:rsidR="00DC7C5B" w:rsidRPr="006075A9">
        <w:rPr>
          <w:rFonts w:asciiTheme="minorHAnsi" w:hAnsiTheme="minorHAnsi" w:cstheme="minorHAnsi"/>
        </w:rPr>
        <w:t>.</w:t>
      </w:r>
    </w:p>
    <w:p w14:paraId="6F24DE91" w14:textId="77777777" w:rsidR="00574FBB" w:rsidRPr="00B074CF" w:rsidRDefault="00574FBB" w:rsidP="00BE17AB">
      <w:pPr>
        <w:pStyle w:val="ListParagraph"/>
        <w:ind w:left="567"/>
        <w:rPr>
          <w:rFonts w:asciiTheme="minorHAnsi" w:hAnsiTheme="minorHAnsi" w:cstheme="minorHAnsi"/>
        </w:rPr>
      </w:pPr>
    </w:p>
    <w:p w14:paraId="747B52A4" w14:textId="77777777" w:rsidR="00574FBB" w:rsidRPr="00B074CF" w:rsidRDefault="00574FBB" w:rsidP="00BE17AB">
      <w:pPr>
        <w:pStyle w:val="Heading2"/>
        <w:spacing w:before="0" w:after="120"/>
        <w:rPr>
          <w:rFonts w:asciiTheme="minorHAnsi" w:hAnsiTheme="minorHAnsi" w:cstheme="minorHAnsi"/>
          <w:sz w:val="22"/>
        </w:rPr>
      </w:pPr>
      <w:r w:rsidRPr="00B074CF">
        <w:rPr>
          <w:rFonts w:asciiTheme="minorHAnsi" w:hAnsiTheme="minorHAnsi" w:cstheme="minorHAnsi"/>
          <w:sz w:val="22"/>
        </w:rPr>
        <w:t>Contraindications</w:t>
      </w:r>
    </w:p>
    <w:p w14:paraId="3A1E420F" w14:textId="6FA37451" w:rsidR="00574FBB" w:rsidRPr="00B074CF" w:rsidRDefault="00574FBB" w:rsidP="00BE17AB">
      <w:pPr>
        <w:rPr>
          <w:rFonts w:cstheme="minorHAnsi"/>
          <w:i/>
          <w:iCs/>
        </w:rPr>
      </w:pPr>
      <w:r w:rsidRPr="00B074CF">
        <w:rPr>
          <w:rFonts w:cstheme="minorHAnsi"/>
        </w:rPr>
        <w:t xml:space="preserve">Hypersensitivity to the active substance or to any of the excipients listed in </w:t>
      </w:r>
      <w:r w:rsidRPr="00B074CF">
        <w:rPr>
          <w:rFonts w:cstheme="minorHAnsi"/>
          <w:i/>
          <w:iCs/>
        </w:rPr>
        <w:t xml:space="preserve">section 6.1 List of </w:t>
      </w:r>
      <w:r w:rsidRPr="006075A9">
        <w:rPr>
          <w:rFonts w:cstheme="minorHAnsi"/>
          <w:i/>
          <w:iCs/>
        </w:rPr>
        <w:t>Excipients</w:t>
      </w:r>
      <w:r w:rsidR="00DC7C5B" w:rsidRPr="006075A9">
        <w:rPr>
          <w:rFonts w:cstheme="minorHAnsi"/>
          <w:i/>
          <w:iCs/>
        </w:rPr>
        <w:t>.</w:t>
      </w:r>
    </w:p>
    <w:p w14:paraId="615EAB3B" w14:textId="77777777" w:rsidR="00574FBB" w:rsidRPr="00B074CF" w:rsidRDefault="00574FBB" w:rsidP="00BE17AB">
      <w:pPr>
        <w:pStyle w:val="Heading2"/>
        <w:spacing w:before="0" w:after="120"/>
        <w:rPr>
          <w:rFonts w:asciiTheme="minorHAnsi" w:hAnsiTheme="minorHAnsi" w:cstheme="minorHAnsi"/>
          <w:sz w:val="22"/>
        </w:rPr>
      </w:pPr>
      <w:r w:rsidRPr="00B074CF">
        <w:rPr>
          <w:rFonts w:asciiTheme="minorHAnsi" w:hAnsiTheme="minorHAnsi" w:cstheme="minorHAnsi"/>
          <w:sz w:val="22"/>
        </w:rPr>
        <w:t>Special warnings and precautions for use</w:t>
      </w:r>
    </w:p>
    <w:p w14:paraId="07DBCF61" w14:textId="77777777" w:rsidR="00574FBB" w:rsidRPr="00B074CF" w:rsidRDefault="00574FBB" w:rsidP="00BE17AB">
      <w:pPr>
        <w:rPr>
          <w:rFonts w:cstheme="minorHAnsi"/>
          <w:u w:val="single"/>
        </w:rPr>
      </w:pPr>
      <w:r w:rsidRPr="00B074CF">
        <w:rPr>
          <w:rFonts w:cstheme="minorHAnsi"/>
          <w:u w:val="single"/>
        </w:rPr>
        <w:lastRenderedPageBreak/>
        <w:t>Traceability</w:t>
      </w:r>
    </w:p>
    <w:p w14:paraId="611BCB25" w14:textId="77777777" w:rsidR="00574FBB" w:rsidRPr="00B074CF" w:rsidRDefault="00574FBB" w:rsidP="00BE17AB">
      <w:pPr>
        <w:rPr>
          <w:rFonts w:cstheme="minorHAnsi"/>
        </w:rPr>
      </w:pPr>
      <w:proofErr w:type="gramStart"/>
      <w:r w:rsidRPr="00B074CF">
        <w:rPr>
          <w:rFonts w:cstheme="minorHAnsi"/>
        </w:rPr>
        <w:t>In order to</w:t>
      </w:r>
      <w:proofErr w:type="gramEnd"/>
      <w:r w:rsidRPr="00B074CF">
        <w:rPr>
          <w:rFonts w:cstheme="minorHAnsi"/>
        </w:rPr>
        <w:t xml:space="preserve"> improve the traceability of biological medicinal products, the name and the batch number of the administered product should be clearly recorded.</w:t>
      </w:r>
    </w:p>
    <w:p w14:paraId="67CB696B" w14:textId="77777777" w:rsidR="00574FBB" w:rsidRPr="00B074CF" w:rsidRDefault="00574FBB" w:rsidP="00BE17AB">
      <w:pPr>
        <w:rPr>
          <w:rFonts w:cstheme="minorHAnsi"/>
          <w:u w:val="single"/>
        </w:rPr>
      </w:pPr>
      <w:r w:rsidRPr="00B074CF">
        <w:rPr>
          <w:rFonts w:cstheme="minorHAnsi"/>
          <w:u w:val="single"/>
        </w:rPr>
        <w:t>Myasthenia Gravis Foundation of America (MGFA) Class V patients</w:t>
      </w:r>
    </w:p>
    <w:p w14:paraId="40E8543B" w14:textId="77777777" w:rsidR="00574FBB" w:rsidRPr="00B074CF" w:rsidRDefault="00574FBB" w:rsidP="00BE17AB">
      <w:pPr>
        <w:rPr>
          <w:rFonts w:cstheme="minorHAnsi"/>
          <w:bCs/>
        </w:rPr>
      </w:pPr>
      <w:r w:rsidRPr="00B074CF">
        <w:rPr>
          <w:rFonts w:cstheme="minorHAnsi"/>
        </w:rPr>
        <w:t xml:space="preserve">Treatment with efgartigimod alfa in patients with MGFA Class V (i.e. myasthenic crisis), defined as intubation with or without mechanical ventilation except in the setting of routine postoperative care, has not been studied. The sequence of therapy initiation between established therapies for MG crisis and efgartigimod alfa, and their potential interactions, should be considered (see </w:t>
      </w:r>
      <w:r w:rsidRPr="00B074CF">
        <w:rPr>
          <w:rFonts w:cstheme="minorHAnsi"/>
          <w:i/>
          <w:iCs/>
        </w:rPr>
        <w:t>section</w:t>
      </w:r>
      <w:r w:rsidRPr="00B074CF">
        <w:rPr>
          <w:rFonts w:cstheme="minorHAnsi"/>
          <w:i/>
          <w:iCs/>
          <w:lang w:val="en-US"/>
        </w:rPr>
        <w:t> </w:t>
      </w:r>
      <w:r w:rsidRPr="00B074CF">
        <w:rPr>
          <w:rFonts w:cstheme="minorHAnsi"/>
          <w:i/>
          <w:iCs/>
        </w:rPr>
        <w:t xml:space="preserve">4.5 </w:t>
      </w:r>
      <w:r w:rsidRPr="00B074CF">
        <w:rPr>
          <w:rFonts w:cstheme="minorHAnsi"/>
          <w:bCs/>
          <w:i/>
          <w:iCs/>
        </w:rPr>
        <w:t>Interaction with other medicinal products and other forms of interaction</w:t>
      </w:r>
      <w:r w:rsidRPr="00B074CF">
        <w:rPr>
          <w:rFonts w:cstheme="minorHAnsi"/>
          <w:bCs/>
        </w:rPr>
        <w:t>).</w:t>
      </w:r>
    </w:p>
    <w:p w14:paraId="537012C5" w14:textId="77777777" w:rsidR="00574FBB" w:rsidRPr="00B074CF" w:rsidRDefault="00574FBB" w:rsidP="00BE17AB">
      <w:pPr>
        <w:rPr>
          <w:rFonts w:cstheme="minorHAnsi"/>
          <w:u w:val="single"/>
        </w:rPr>
      </w:pPr>
      <w:r w:rsidRPr="00B074CF">
        <w:rPr>
          <w:rFonts w:cstheme="minorHAnsi"/>
          <w:u w:val="single"/>
        </w:rPr>
        <w:t>Infections</w:t>
      </w:r>
    </w:p>
    <w:p w14:paraId="749D8D06" w14:textId="77777777" w:rsidR="00574FBB" w:rsidRPr="00B074CF" w:rsidRDefault="00574FBB" w:rsidP="00BE17AB">
      <w:pPr>
        <w:rPr>
          <w:rFonts w:cstheme="minorHAnsi"/>
        </w:rPr>
      </w:pPr>
      <w:r w:rsidRPr="00B074CF">
        <w:rPr>
          <w:rFonts w:cstheme="minorHAnsi"/>
        </w:rPr>
        <w:t>As efgartigimod alfa causes transient reduction in IgG levels the risk of infections may increase (see </w:t>
      </w:r>
      <w:r w:rsidRPr="00B074CF">
        <w:rPr>
          <w:rFonts w:cstheme="minorHAnsi"/>
          <w:i/>
          <w:iCs/>
        </w:rPr>
        <w:t>sections 4.8</w:t>
      </w:r>
      <w:r w:rsidRPr="00B074CF">
        <w:rPr>
          <w:rFonts w:cstheme="minorHAnsi"/>
        </w:rPr>
        <w:t xml:space="preserve"> </w:t>
      </w:r>
      <w:r w:rsidRPr="00B074CF">
        <w:rPr>
          <w:rFonts w:cstheme="minorHAnsi"/>
          <w:bCs/>
          <w:i/>
          <w:iCs/>
        </w:rPr>
        <w:t>Adverse effects (Undesirable effects</w:t>
      </w:r>
      <w:r w:rsidRPr="001A3DD7">
        <w:rPr>
          <w:rFonts w:cstheme="minorHAnsi"/>
          <w:bCs/>
          <w:i/>
          <w:iCs/>
        </w:rPr>
        <w:t>)</w:t>
      </w:r>
      <w:r w:rsidRPr="00B074CF">
        <w:rPr>
          <w:rFonts w:cstheme="minorHAnsi"/>
        </w:rPr>
        <w:t xml:space="preserve"> and </w:t>
      </w:r>
      <w:r w:rsidRPr="00B074CF">
        <w:rPr>
          <w:rFonts w:cstheme="minorHAnsi"/>
          <w:i/>
          <w:iCs/>
        </w:rPr>
        <w:t>5.1 Pharmacodynamic properties, Clinical Efficacy and Safety</w:t>
      </w:r>
      <w:r w:rsidRPr="00B074CF">
        <w:rPr>
          <w:rFonts w:cstheme="minorHAnsi"/>
        </w:rPr>
        <w:t xml:space="preserve">). The most common infections observed in clinical trials were upper respiratory tract infections and urinary tract infections (see </w:t>
      </w:r>
      <w:r w:rsidRPr="00B074CF">
        <w:rPr>
          <w:rFonts w:cstheme="minorHAnsi"/>
          <w:i/>
          <w:iCs/>
        </w:rPr>
        <w:t>section 4.8</w:t>
      </w:r>
      <w:r w:rsidRPr="00B074CF">
        <w:rPr>
          <w:rFonts w:cstheme="minorHAnsi"/>
        </w:rPr>
        <w:t xml:space="preserve"> </w:t>
      </w:r>
      <w:r w:rsidRPr="00B074CF">
        <w:rPr>
          <w:rFonts w:cstheme="minorHAnsi"/>
          <w:bCs/>
          <w:i/>
          <w:iCs/>
        </w:rPr>
        <w:t>Adverse effects (Undesirable effects</w:t>
      </w:r>
      <w:r w:rsidRPr="00D97809">
        <w:rPr>
          <w:rFonts w:cstheme="minorHAnsi"/>
          <w:bCs/>
          <w:i/>
          <w:iCs/>
        </w:rPr>
        <w:t>)</w:t>
      </w:r>
      <w:r w:rsidRPr="001A3DD7">
        <w:rPr>
          <w:rFonts w:cstheme="minorHAnsi"/>
          <w:bCs/>
        </w:rPr>
        <w:t>)</w:t>
      </w:r>
      <w:r w:rsidRPr="00B074CF">
        <w:rPr>
          <w:rFonts w:cstheme="minorHAnsi"/>
        </w:rPr>
        <w:t>. Patients should be monitored for clinical signs and symptoms of infections during treatment with Vyvgart. In patients with an active infection, the benefit</w:t>
      </w:r>
      <w:r w:rsidRPr="00B074CF">
        <w:rPr>
          <w:rFonts w:cstheme="minorHAnsi"/>
        </w:rPr>
        <w:noBreakHyphen/>
        <w:t>risk of maintaining or withholding treatment with efgartigimod alfa should be considered until the infection has resolved. If serious infections occur, delaying treatment with efgartigimod alfa should be considered until the infection has resolved.</w:t>
      </w:r>
    </w:p>
    <w:p w14:paraId="126F2BE8" w14:textId="77777777" w:rsidR="00574FBB" w:rsidRPr="00B074CF" w:rsidRDefault="00574FBB" w:rsidP="00BE17AB">
      <w:pPr>
        <w:rPr>
          <w:rFonts w:cstheme="minorHAnsi"/>
          <w:u w:val="single"/>
        </w:rPr>
      </w:pPr>
      <w:r w:rsidRPr="00B074CF">
        <w:rPr>
          <w:rFonts w:cstheme="minorHAnsi"/>
          <w:u w:val="single"/>
        </w:rPr>
        <w:t>Infusion reactions and hypersensitivity reactions</w:t>
      </w:r>
    </w:p>
    <w:p w14:paraId="29F9EC8D" w14:textId="77777777" w:rsidR="00574FBB" w:rsidRPr="00B074CF" w:rsidRDefault="00574FBB" w:rsidP="00BE17AB">
      <w:pPr>
        <w:rPr>
          <w:rFonts w:cstheme="minorHAnsi"/>
        </w:rPr>
      </w:pPr>
      <w:r w:rsidRPr="00B074CF">
        <w:rPr>
          <w:rFonts w:cstheme="minorHAnsi"/>
        </w:rPr>
        <w:t>Infusion reactions such as rash or pruritus may occur. In the clinical trial, infusion reactions were mild to moderate and did not lead to treatment discontinuation. Patients should be monitored during administration and for 1 hour thereafter for clinical signs and symptoms of infusion reactions. Should a reaction occur and based on the severity of the reaction the infusion should be administered at a slower rate, interrupted or discontinued and appropriate supportive measures should be instituted. Once resolved, administration may be cautiously resumed, based on clinical evaluation.</w:t>
      </w:r>
    </w:p>
    <w:p w14:paraId="0E678F41" w14:textId="77777777" w:rsidR="00574FBB" w:rsidRPr="00B074CF" w:rsidRDefault="00574FBB" w:rsidP="00BE17AB">
      <w:pPr>
        <w:rPr>
          <w:rFonts w:cstheme="minorHAnsi"/>
        </w:rPr>
      </w:pPr>
      <w:r w:rsidRPr="00B074CF">
        <w:rPr>
          <w:rFonts w:cstheme="minorHAnsi"/>
        </w:rPr>
        <w:t>Cases of anaphylactic reaction have been reported in the post</w:t>
      </w:r>
      <w:r w:rsidRPr="00B074CF">
        <w:rPr>
          <w:rFonts w:cstheme="minorHAnsi"/>
        </w:rPr>
        <w:noBreakHyphen/>
        <w:t>marketing setting. If an anaphylactic reaction is suspected, administration of Vyvgart should be immediately discontinued and appropriate medical treatment initiated. Patients should be informed of the signs and symptoms of hypersensitivity and anaphylactic reactions and advised to contact their healthcare provider immediately should they occur.</w:t>
      </w:r>
    </w:p>
    <w:p w14:paraId="3DA003DA" w14:textId="77777777" w:rsidR="00574FBB" w:rsidRPr="00B074CF" w:rsidRDefault="00574FBB" w:rsidP="00BE17AB">
      <w:pPr>
        <w:rPr>
          <w:rFonts w:cstheme="minorHAnsi"/>
          <w:u w:val="single"/>
        </w:rPr>
      </w:pPr>
      <w:r w:rsidRPr="00B074CF">
        <w:rPr>
          <w:rFonts w:cstheme="minorHAnsi"/>
          <w:u w:val="single"/>
        </w:rPr>
        <w:t>Immunisations</w:t>
      </w:r>
    </w:p>
    <w:p w14:paraId="7F8207AD" w14:textId="77777777" w:rsidR="00574FBB" w:rsidRPr="00B074CF" w:rsidRDefault="00574FBB" w:rsidP="00BE17AB">
      <w:pPr>
        <w:rPr>
          <w:rFonts w:cstheme="minorHAnsi"/>
        </w:rPr>
      </w:pPr>
      <w:r w:rsidRPr="00B074CF">
        <w:rPr>
          <w:rFonts w:cstheme="minorHAnsi"/>
        </w:rPr>
        <w:t>All vaccines should be administered according to immunisation guidelines.</w:t>
      </w:r>
    </w:p>
    <w:p w14:paraId="166F47C8" w14:textId="667A3BE8" w:rsidR="00574FBB" w:rsidRPr="00B074CF" w:rsidRDefault="00574FBB" w:rsidP="00BE17AB">
      <w:r>
        <w:t>The safety of immunisation with live or live</w:t>
      </w:r>
      <w:r w:rsidR="006C2FFF">
        <w:t>-</w:t>
      </w:r>
      <w:r>
        <w:t>attenuated vaccines and the response to immunisation with these vaccines during treatment with efgartigimod alfa are unknown. For patients that are being treated with efgartigimod alfa, vaccination with live or live</w:t>
      </w:r>
      <w:r w:rsidR="006C2FFF">
        <w:t>-</w:t>
      </w:r>
      <w:r>
        <w:t xml:space="preserve">attenuated vaccines is generally </w:t>
      </w:r>
      <w:r>
        <w:lastRenderedPageBreak/>
        <w:t>not recommended. If vaccination with live or live</w:t>
      </w:r>
      <w:r w:rsidR="006C2FFF">
        <w:t>-</w:t>
      </w:r>
      <w:r>
        <w:t xml:space="preserve">attenuated vaccines is required, these vaccines should be administered at least 4 weeks before treatment and at least 2 weeks after the last dose of efgartigimod alfa. </w:t>
      </w:r>
    </w:p>
    <w:p w14:paraId="0CCA4631" w14:textId="77777777" w:rsidR="00574FBB" w:rsidRPr="00B074CF" w:rsidRDefault="00574FBB" w:rsidP="00BE17AB">
      <w:pPr>
        <w:rPr>
          <w:rFonts w:cstheme="minorHAnsi"/>
        </w:rPr>
      </w:pPr>
      <w:r w:rsidRPr="00B074CF">
        <w:rPr>
          <w:rFonts w:cstheme="minorHAnsi"/>
        </w:rPr>
        <w:t xml:space="preserve">Other vaccines may be administered as needed at any time during treatment with efgartigimod alfa. </w:t>
      </w:r>
    </w:p>
    <w:p w14:paraId="053E4D71" w14:textId="77777777" w:rsidR="00574FBB" w:rsidRPr="00B074CF" w:rsidRDefault="00574FBB" w:rsidP="00BE17AB">
      <w:pPr>
        <w:rPr>
          <w:rFonts w:cstheme="minorHAnsi"/>
          <w:u w:val="single"/>
        </w:rPr>
      </w:pPr>
      <w:r w:rsidRPr="00B074CF">
        <w:rPr>
          <w:rFonts w:cstheme="minorHAnsi"/>
          <w:u w:val="single"/>
        </w:rPr>
        <w:t>Immunogenicity</w:t>
      </w:r>
    </w:p>
    <w:p w14:paraId="6D57DD52" w14:textId="61FB5B8D" w:rsidR="00574FBB" w:rsidRPr="00B074CF" w:rsidRDefault="00574FBB" w:rsidP="00BE17AB">
      <w:pPr>
        <w:rPr>
          <w:rFonts w:cstheme="minorHAnsi"/>
        </w:rPr>
      </w:pPr>
      <w:r w:rsidRPr="00B074CF">
        <w:rPr>
          <w:rFonts w:cstheme="minorHAnsi"/>
        </w:rPr>
        <w:t xml:space="preserve">In the double-blind </w:t>
      </w:r>
      <w:r w:rsidRPr="006075A9">
        <w:rPr>
          <w:rFonts w:cstheme="minorHAnsi"/>
        </w:rPr>
        <w:t>placebo</w:t>
      </w:r>
      <w:r w:rsidR="003A5B1A" w:rsidRPr="006075A9">
        <w:rPr>
          <w:rFonts w:cstheme="minorHAnsi"/>
        </w:rPr>
        <w:t>-</w:t>
      </w:r>
      <w:r w:rsidRPr="006075A9">
        <w:rPr>
          <w:rFonts w:cstheme="minorHAnsi"/>
        </w:rPr>
        <w:t>controlled</w:t>
      </w:r>
      <w:r w:rsidRPr="00B074CF">
        <w:rPr>
          <w:rFonts w:cstheme="minorHAnsi"/>
        </w:rPr>
        <w:t xml:space="preserve"> study, pre</w:t>
      </w:r>
      <w:r>
        <w:rPr>
          <w:rFonts w:cstheme="minorHAnsi"/>
        </w:rPr>
        <w:t>-</w:t>
      </w:r>
      <w:r w:rsidRPr="00B074CF">
        <w:rPr>
          <w:rFonts w:cstheme="minorHAnsi"/>
        </w:rPr>
        <w:t xml:space="preserve">existing antibodies that bind to efgartigimod alfa were detected in 25/165 (15%) patients with </w:t>
      </w:r>
      <w:proofErr w:type="spellStart"/>
      <w:r w:rsidRPr="00B074CF">
        <w:rPr>
          <w:rFonts w:cstheme="minorHAnsi"/>
        </w:rPr>
        <w:t>gMG</w:t>
      </w:r>
      <w:proofErr w:type="spellEnd"/>
      <w:r w:rsidRPr="00B074CF">
        <w:rPr>
          <w:rFonts w:cstheme="minorHAnsi"/>
        </w:rPr>
        <w:t>. Treatment</w:t>
      </w:r>
      <w:r>
        <w:rPr>
          <w:rFonts w:cstheme="minorHAnsi"/>
        </w:rPr>
        <w:t>-</w:t>
      </w:r>
      <w:r w:rsidRPr="00B074CF">
        <w:rPr>
          <w:rFonts w:cstheme="minorHAnsi"/>
        </w:rPr>
        <w:t>induced antibodies to efgartigimod alfa were detected in 17/83 (21%) patients. In 3 of these 17 patients, treatment</w:t>
      </w:r>
      <w:r>
        <w:rPr>
          <w:rFonts w:cstheme="minorHAnsi"/>
        </w:rPr>
        <w:t>-</w:t>
      </w:r>
      <w:r w:rsidRPr="00B074CF">
        <w:rPr>
          <w:rFonts w:cstheme="minorHAnsi"/>
        </w:rPr>
        <w:t>induced antidrug antibodies (ADAs) persisted until the end of the study. Neutralising antibodies were detected in 6/83 (7%) of patients treated with Vyvgart, including the 3 patients with persisting treatment</w:t>
      </w:r>
      <w:r>
        <w:rPr>
          <w:rFonts w:cstheme="minorHAnsi"/>
        </w:rPr>
        <w:t>-</w:t>
      </w:r>
      <w:r w:rsidRPr="00B074CF">
        <w:rPr>
          <w:rFonts w:cstheme="minorHAnsi"/>
        </w:rPr>
        <w:t>induced ADAs. Retreatment did not cause an increase in incidence or titres of efgartigimod alfa antibodies.</w:t>
      </w:r>
    </w:p>
    <w:p w14:paraId="4DE55CE3" w14:textId="77777777" w:rsidR="00574FBB" w:rsidRPr="00B074CF" w:rsidRDefault="00574FBB" w:rsidP="00BE17AB">
      <w:pPr>
        <w:rPr>
          <w:rFonts w:cstheme="minorHAnsi"/>
        </w:rPr>
      </w:pPr>
      <w:r w:rsidRPr="00B074CF">
        <w:rPr>
          <w:rFonts w:cstheme="minorHAnsi"/>
        </w:rPr>
        <w:t>There was no apparent impact of antibodies to efgartigimod alfa on clinical efficacy or safety, nor on pharmacokinetics and pharmacodynamic parameters.</w:t>
      </w:r>
    </w:p>
    <w:p w14:paraId="126D8000" w14:textId="77777777" w:rsidR="00574FBB" w:rsidRPr="00B074CF" w:rsidRDefault="00574FBB" w:rsidP="00BE17AB">
      <w:pPr>
        <w:rPr>
          <w:rFonts w:cstheme="minorHAnsi"/>
        </w:rPr>
      </w:pPr>
      <w:r w:rsidRPr="00B074CF">
        <w:rPr>
          <w:rFonts w:cstheme="minorHAnsi"/>
          <w:u w:val="single"/>
        </w:rPr>
        <w:t>Immunosuppressant and anticholinesterase therapies</w:t>
      </w:r>
    </w:p>
    <w:p w14:paraId="24933548" w14:textId="77777777" w:rsidR="00574FBB" w:rsidRPr="00B074CF" w:rsidRDefault="00574FBB" w:rsidP="00BE17AB">
      <w:pPr>
        <w:rPr>
          <w:rFonts w:cstheme="minorHAnsi"/>
        </w:rPr>
      </w:pPr>
      <w:r w:rsidRPr="00B074CF">
        <w:rPr>
          <w:rFonts w:cstheme="minorHAnsi"/>
        </w:rPr>
        <w:t>When non-steroidal immunosuppressants, corticosteroids and anticholinesterase therapies are decreased or discontinued, patients should be monitored closely for signs of disease exacerbation.</w:t>
      </w:r>
    </w:p>
    <w:p w14:paraId="63D97184" w14:textId="77777777" w:rsidR="00574FBB" w:rsidRPr="00B074CF" w:rsidRDefault="00574FBB" w:rsidP="00BE17AB">
      <w:pPr>
        <w:rPr>
          <w:rFonts w:cstheme="minorHAnsi"/>
          <w:u w:val="single"/>
        </w:rPr>
      </w:pPr>
      <w:r w:rsidRPr="00B074CF">
        <w:rPr>
          <w:rFonts w:cstheme="minorHAnsi"/>
          <w:u w:val="single"/>
        </w:rPr>
        <w:t>Sodium content</w:t>
      </w:r>
    </w:p>
    <w:p w14:paraId="0E8D8B55" w14:textId="77777777" w:rsidR="00574FBB" w:rsidRPr="00B074CF" w:rsidRDefault="00574FBB" w:rsidP="00BE17AB">
      <w:pPr>
        <w:rPr>
          <w:rFonts w:cstheme="minorHAnsi"/>
        </w:rPr>
      </w:pPr>
      <w:r w:rsidRPr="00B074CF">
        <w:rPr>
          <w:rFonts w:cstheme="minorHAnsi"/>
        </w:rPr>
        <w:t>This medicinal product contains 67.2 mg sodium per vial, equivalent to 3.4% of the WHO recommended maximum daily intake of 2 g sodium for an adult. This medicinal product will be further prepared for administration with sodium</w:t>
      </w:r>
      <w:r w:rsidRPr="00B074CF">
        <w:rPr>
          <w:rFonts w:cstheme="minorHAnsi"/>
        </w:rPr>
        <w:noBreakHyphen/>
        <w:t>containing solution (see section 4.2</w:t>
      </w:r>
      <w:proofErr w:type="gramStart"/>
      <w:r w:rsidRPr="00B074CF">
        <w:rPr>
          <w:rFonts w:cstheme="minorHAnsi"/>
        </w:rPr>
        <w:t>)</w:t>
      </w:r>
      <w:proofErr w:type="gramEnd"/>
      <w:r w:rsidRPr="00B074CF">
        <w:rPr>
          <w:rFonts w:cstheme="minorHAnsi"/>
        </w:rPr>
        <w:t xml:space="preserve"> and this should be considered in relation to the total sodium intake to the patient from all sources per day.</w:t>
      </w:r>
    </w:p>
    <w:p w14:paraId="6726E35D" w14:textId="77777777" w:rsidR="00574FBB" w:rsidRPr="00B074CF" w:rsidRDefault="00574FBB" w:rsidP="00BE17AB">
      <w:pPr>
        <w:pStyle w:val="Heading3"/>
        <w:keepNext w:val="0"/>
        <w:keepLines w:val="0"/>
        <w:spacing w:before="0" w:after="120"/>
        <w:ind w:left="0"/>
        <w:rPr>
          <w:rFonts w:asciiTheme="minorHAnsi" w:hAnsiTheme="minorHAnsi" w:cstheme="minorHAnsi"/>
        </w:rPr>
      </w:pPr>
      <w:r>
        <w:rPr>
          <w:rFonts w:asciiTheme="minorHAnsi" w:hAnsiTheme="minorHAnsi" w:cstheme="minorHAnsi"/>
        </w:rPr>
        <w:t>Special populations</w:t>
      </w:r>
    </w:p>
    <w:p w14:paraId="59ED5C6C" w14:textId="77777777" w:rsidR="00574FBB" w:rsidRPr="00B074CF" w:rsidRDefault="00574FBB" w:rsidP="00BE17AB">
      <w:pPr>
        <w:pStyle w:val="Heading3"/>
        <w:keepNext w:val="0"/>
        <w:keepLines w:val="0"/>
        <w:spacing w:before="0" w:after="120"/>
        <w:ind w:left="0"/>
        <w:rPr>
          <w:rFonts w:asciiTheme="minorHAnsi" w:hAnsiTheme="minorHAnsi" w:cstheme="minorHAnsi"/>
          <w:b w:val="0"/>
        </w:rPr>
      </w:pPr>
      <w:r w:rsidRPr="00B074CF">
        <w:rPr>
          <w:rFonts w:asciiTheme="minorHAnsi" w:hAnsiTheme="minorHAnsi" w:cstheme="minorHAnsi"/>
        </w:rPr>
        <w:t xml:space="preserve">Use in hepatic impairment </w:t>
      </w:r>
    </w:p>
    <w:p w14:paraId="01FF7BD2" w14:textId="77777777" w:rsidR="00574FBB" w:rsidRPr="00B074CF" w:rsidRDefault="00574FBB" w:rsidP="00BE17AB">
      <w:pPr>
        <w:rPr>
          <w:rFonts w:cstheme="minorHAnsi"/>
        </w:rPr>
      </w:pPr>
      <w:r w:rsidRPr="00B074CF">
        <w:rPr>
          <w:rFonts w:cstheme="minorHAnsi"/>
        </w:rPr>
        <w:t xml:space="preserve">No data in patients with hepatic impairment are available. No dose adjustment is required in patients with hepatic impairment (see </w:t>
      </w:r>
      <w:r w:rsidRPr="00B074CF">
        <w:rPr>
          <w:rFonts w:cstheme="minorHAnsi"/>
          <w:i/>
          <w:iCs/>
        </w:rPr>
        <w:t>section 5.2</w:t>
      </w:r>
      <w:r w:rsidRPr="00B074CF">
        <w:rPr>
          <w:rFonts w:cstheme="minorHAnsi"/>
        </w:rPr>
        <w:t xml:space="preserve"> </w:t>
      </w:r>
      <w:r w:rsidRPr="00B074CF">
        <w:rPr>
          <w:rFonts w:eastAsia="SimSun" w:cstheme="minorHAnsi"/>
          <w:i/>
          <w:iCs/>
          <w:lang w:eastAsia="en-GB"/>
        </w:rPr>
        <w:t>Pharmacokinetic Properties</w:t>
      </w:r>
      <w:r w:rsidRPr="00B074CF">
        <w:rPr>
          <w:rFonts w:cstheme="minorHAnsi"/>
        </w:rPr>
        <w:t>).</w:t>
      </w:r>
    </w:p>
    <w:p w14:paraId="7DC4B9F3" w14:textId="77777777" w:rsidR="00574FBB" w:rsidRPr="00B074CF" w:rsidRDefault="00574FBB" w:rsidP="00BE17AB">
      <w:pPr>
        <w:pStyle w:val="Heading3"/>
        <w:keepNext w:val="0"/>
        <w:keepLines w:val="0"/>
        <w:spacing w:before="0" w:after="120"/>
        <w:ind w:left="0"/>
        <w:rPr>
          <w:rFonts w:asciiTheme="minorHAnsi" w:hAnsiTheme="minorHAnsi" w:cstheme="minorHAnsi"/>
          <w:b w:val="0"/>
        </w:rPr>
      </w:pPr>
      <w:r w:rsidRPr="00B074CF">
        <w:rPr>
          <w:rFonts w:asciiTheme="minorHAnsi" w:hAnsiTheme="minorHAnsi" w:cstheme="minorHAnsi"/>
        </w:rPr>
        <w:t xml:space="preserve">Use in renal impairment </w:t>
      </w:r>
    </w:p>
    <w:p w14:paraId="7F1EA638" w14:textId="77777777" w:rsidR="00574FBB" w:rsidRPr="00B074CF" w:rsidRDefault="00574FBB" w:rsidP="00BE17AB">
      <w:pPr>
        <w:rPr>
          <w:rFonts w:cstheme="minorHAnsi"/>
        </w:rPr>
      </w:pPr>
      <w:r w:rsidRPr="00B074CF">
        <w:rPr>
          <w:rFonts w:cstheme="minorHAnsi"/>
        </w:rPr>
        <w:t xml:space="preserve">Limited safety and efficacy data in patients with mild renal impairment is available, no dose adjustment is required for patients with mild renal impairment. There is very limited safety and efficacy data in patients with moderate or severe renal impairment (see </w:t>
      </w:r>
      <w:r w:rsidRPr="00B074CF">
        <w:rPr>
          <w:rFonts w:cstheme="minorHAnsi"/>
          <w:i/>
          <w:iCs/>
        </w:rPr>
        <w:t>section 5.2</w:t>
      </w:r>
      <w:r w:rsidRPr="00B074CF">
        <w:rPr>
          <w:rFonts w:cstheme="minorHAnsi"/>
        </w:rPr>
        <w:t xml:space="preserve"> </w:t>
      </w:r>
      <w:r w:rsidRPr="00B074CF">
        <w:rPr>
          <w:rFonts w:eastAsia="SimSun" w:cstheme="minorHAnsi"/>
          <w:i/>
          <w:iCs/>
          <w:lang w:eastAsia="en-GB"/>
        </w:rPr>
        <w:t>Pharmacokinetic Properties</w:t>
      </w:r>
      <w:r w:rsidRPr="00B074CF">
        <w:rPr>
          <w:rFonts w:cstheme="minorHAnsi"/>
        </w:rPr>
        <w:t>).</w:t>
      </w:r>
    </w:p>
    <w:p w14:paraId="6926AD8D" w14:textId="77777777" w:rsidR="00574FBB" w:rsidRPr="00B074CF" w:rsidRDefault="00574FBB" w:rsidP="00BE17AB">
      <w:pPr>
        <w:pStyle w:val="Heading3"/>
        <w:keepNext w:val="0"/>
        <w:keepLines w:val="0"/>
        <w:spacing w:before="0" w:after="120"/>
        <w:ind w:left="0"/>
        <w:rPr>
          <w:rFonts w:asciiTheme="minorHAnsi" w:hAnsiTheme="minorHAnsi" w:cstheme="minorHAnsi"/>
        </w:rPr>
      </w:pPr>
      <w:r w:rsidRPr="00B074CF">
        <w:rPr>
          <w:rFonts w:asciiTheme="minorHAnsi" w:hAnsiTheme="minorHAnsi" w:cstheme="minorHAnsi"/>
        </w:rPr>
        <w:t>Use in the elderly</w:t>
      </w:r>
    </w:p>
    <w:p w14:paraId="0BDCED04" w14:textId="77777777" w:rsidR="00574FBB" w:rsidRPr="00B074CF" w:rsidRDefault="00574FBB" w:rsidP="00BE17AB">
      <w:pPr>
        <w:rPr>
          <w:rFonts w:cstheme="minorHAnsi"/>
        </w:rPr>
      </w:pPr>
      <w:r w:rsidRPr="00B074CF">
        <w:rPr>
          <w:rFonts w:cstheme="minorHAnsi"/>
        </w:rPr>
        <w:t xml:space="preserve">No dose adjustment is required in patients aged 65 years and older (see </w:t>
      </w:r>
      <w:r w:rsidRPr="00B074CF">
        <w:rPr>
          <w:rFonts w:cstheme="minorHAnsi"/>
          <w:i/>
          <w:iCs/>
        </w:rPr>
        <w:t>section 5.2</w:t>
      </w:r>
      <w:r w:rsidRPr="00B074CF">
        <w:rPr>
          <w:rFonts w:cstheme="minorHAnsi"/>
        </w:rPr>
        <w:t xml:space="preserve"> </w:t>
      </w:r>
      <w:r w:rsidRPr="00B074CF">
        <w:rPr>
          <w:rFonts w:eastAsia="SimSun" w:cstheme="minorHAnsi"/>
          <w:i/>
          <w:iCs/>
          <w:lang w:eastAsia="en-GB"/>
        </w:rPr>
        <w:t>Pharmacokinetic Properties</w:t>
      </w:r>
      <w:r w:rsidRPr="00B074CF">
        <w:rPr>
          <w:rFonts w:cstheme="minorHAnsi"/>
        </w:rPr>
        <w:t>).</w:t>
      </w:r>
    </w:p>
    <w:p w14:paraId="284E9B07" w14:textId="77777777" w:rsidR="00574FBB" w:rsidRPr="00B074CF" w:rsidRDefault="00574FBB" w:rsidP="00BE17AB">
      <w:pPr>
        <w:pStyle w:val="Heading3"/>
        <w:keepNext w:val="0"/>
        <w:keepLines w:val="0"/>
        <w:spacing w:before="0" w:after="120"/>
        <w:ind w:left="0"/>
        <w:rPr>
          <w:rFonts w:asciiTheme="minorHAnsi" w:hAnsiTheme="minorHAnsi" w:cstheme="minorHAnsi"/>
        </w:rPr>
      </w:pPr>
      <w:r w:rsidRPr="00B074CF">
        <w:rPr>
          <w:rFonts w:asciiTheme="minorHAnsi" w:hAnsiTheme="minorHAnsi" w:cstheme="minorHAnsi"/>
        </w:rPr>
        <w:lastRenderedPageBreak/>
        <w:t>Paediatric use</w:t>
      </w:r>
    </w:p>
    <w:p w14:paraId="6A9E336E" w14:textId="77777777" w:rsidR="00574FBB" w:rsidRPr="00B074CF" w:rsidRDefault="00574FBB" w:rsidP="00BE17AB">
      <w:pPr>
        <w:rPr>
          <w:rFonts w:cstheme="minorHAnsi"/>
        </w:rPr>
      </w:pPr>
      <w:r w:rsidRPr="00B074CF">
        <w:rPr>
          <w:rFonts w:cstheme="minorHAnsi"/>
        </w:rPr>
        <w:t>The safety and efficacy of efgartigimod alfa in paediatric population have not yet been established. No data are available.</w:t>
      </w:r>
    </w:p>
    <w:p w14:paraId="646D0FA9" w14:textId="77777777" w:rsidR="00574FBB" w:rsidRPr="00B074CF" w:rsidRDefault="00574FBB" w:rsidP="00BE17AB">
      <w:pPr>
        <w:pStyle w:val="Heading2"/>
        <w:spacing w:before="0" w:after="120"/>
        <w:rPr>
          <w:rFonts w:asciiTheme="minorHAnsi" w:hAnsiTheme="minorHAnsi" w:cstheme="minorHAnsi"/>
          <w:sz w:val="22"/>
        </w:rPr>
      </w:pPr>
      <w:r w:rsidRPr="00B074CF">
        <w:rPr>
          <w:rFonts w:asciiTheme="minorHAnsi" w:hAnsiTheme="minorHAnsi" w:cstheme="minorHAnsi"/>
          <w:sz w:val="22"/>
        </w:rPr>
        <w:t>Interactions with other medicines and other forms of interactions</w:t>
      </w:r>
    </w:p>
    <w:p w14:paraId="46FEB13E" w14:textId="77777777" w:rsidR="00574FBB" w:rsidRPr="00B074CF" w:rsidRDefault="00574FBB" w:rsidP="00BE17AB">
      <w:pPr>
        <w:rPr>
          <w:rFonts w:cstheme="minorHAnsi"/>
        </w:rPr>
      </w:pPr>
      <w:r w:rsidRPr="00B074CF">
        <w:rPr>
          <w:rFonts w:cstheme="minorHAnsi"/>
        </w:rPr>
        <w:t>No interaction studies have been performed.</w:t>
      </w:r>
    </w:p>
    <w:p w14:paraId="11408D2B" w14:textId="77777777" w:rsidR="00574FBB" w:rsidRPr="00B074CF" w:rsidRDefault="00574FBB" w:rsidP="00BE17AB">
      <w:pPr>
        <w:rPr>
          <w:rFonts w:cstheme="minorHAnsi"/>
        </w:rPr>
      </w:pPr>
      <w:r w:rsidRPr="00B074CF">
        <w:rPr>
          <w:rFonts w:cstheme="minorHAnsi"/>
        </w:rPr>
        <w:t>Efgartigimod alfa may decrease concentrations of compounds that bind to the human neonatal Fc Receptor (</w:t>
      </w:r>
      <w:proofErr w:type="spellStart"/>
      <w:r w:rsidRPr="00B074CF">
        <w:rPr>
          <w:rFonts w:cstheme="minorHAnsi"/>
        </w:rPr>
        <w:t>FcRn</w:t>
      </w:r>
      <w:proofErr w:type="spellEnd"/>
      <w:r w:rsidRPr="00B074CF">
        <w:rPr>
          <w:rFonts w:cstheme="minorHAnsi"/>
        </w:rPr>
        <w:t>), i.e., immunoglobulin products, monoclonal antibodies, or antibody derivatives containing the human Fc domain of the IgG subclass. If possible, it is recommended to postpone initiation of treatment with these products to 2 weeks after the last dose of any given treatment cycle of Vyvgart. As a precaution, patients receiving Vyvgart while on treatment with these products should be closely monitored for the intended efficacy response of those products.</w:t>
      </w:r>
    </w:p>
    <w:p w14:paraId="2ECC3C72" w14:textId="77777777" w:rsidR="00574FBB" w:rsidRPr="00B074CF" w:rsidRDefault="00574FBB" w:rsidP="00BE17AB">
      <w:pPr>
        <w:rPr>
          <w:rFonts w:cstheme="minorHAnsi"/>
        </w:rPr>
      </w:pPr>
      <w:r w:rsidRPr="00B074CF">
        <w:rPr>
          <w:rFonts w:cstheme="minorHAnsi"/>
        </w:rPr>
        <w:t>Plasma exchange, immunoadsorption, and plasmapheresis may reduce circulating levels of efgartigimod alfa.</w:t>
      </w:r>
    </w:p>
    <w:p w14:paraId="2F7990E9" w14:textId="77777777" w:rsidR="00574FBB" w:rsidRPr="00B074CF" w:rsidRDefault="00574FBB" w:rsidP="00BE17AB">
      <w:pPr>
        <w:rPr>
          <w:rFonts w:cstheme="minorHAnsi"/>
        </w:rPr>
      </w:pPr>
      <w:r w:rsidRPr="00B074CF">
        <w:rPr>
          <w:rFonts w:cstheme="minorHAnsi"/>
        </w:rPr>
        <w:t>All vaccines should be administered according to immunisation guidelines.</w:t>
      </w:r>
    </w:p>
    <w:p w14:paraId="053A4E6B" w14:textId="77777777" w:rsidR="00574FBB" w:rsidRPr="00B074CF" w:rsidRDefault="00574FBB" w:rsidP="00BE17AB">
      <w:pPr>
        <w:rPr>
          <w:rFonts w:cstheme="minorHAnsi"/>
        </w:rPr>
      </w:pPr>
      <w:r w:rsidRPr="00B074CF">
        <w:rPr>
          <w:rFonts w:cstheme="minorHAnsi"/>
        </w:rPr>
        <w:t xml:space="preserve">The potential interaction with vaccines was studied in a nonclinical model using Keyhole limpet hemocyanin (KLH) as the antigen. The weekly administration of 100 mg/kg to monkeys did not impact the immune response to KLH immunisation. </w:t>
      </w:r>
    </w:p>
    <w:p w14:paraId="0EB90A10" w14:textId="77777777" w:rsidR="00574FBB" w:rsidRPr="00B074CF" w:rsidRDefault="00574FBB" w:rsidP="00BE17AB">
      <w:pPr>
        <w:rPr>
          <w:rFonts w:cstheme="minorHAnsi"/>
        </w:rPr>
      </w:pPr>
      <w:r w:rsidRPr="00B074CF">
        <w:rPr>
          <w:rFonts w:cstheme="minorHAnsi"/>
        </w:rPr>
        <w:t>For patients that are being treated with efgartigimod alfa, vaccination with live or live</w:t>
      </w:r>
      <w:r w:rsidRPr="00B074CF">
        <w:rPr>
          <w:rFonts w:cstheme="minorHAnsi"/>
        </w:rPr>
        <w:noBreakHyphen/>
        <w:t>attenuated vaccines is generally not recommended. If vaccination with live or live</w:t>
      </w:r>
      <w:r w:rsidRPr="00B074CF">
        <w:rPr>
          <w:rFonts w:cstheme="minorHAnsi"/>
        </w:rPr>
        <w:noBreakHyphen/>
        <w:t>attenuated vaccines is required, these vaccines should be administered at least 4 weeks before treatment and at least 2 weeks after the last dose of a treatment cycle efgartigimod alfa (</w:t>
      </w:r>
      <w:r w:rsidRPr="00B074CF">
        <w:rPr>
          <w:rFonts w:eastAsia="SimSun" w:cstheme="minorHAnsi"/>
          <w:lang w:eastAsia="en-GB"/>
        </w:rPr>
        <w:t xml:space="preserve">see </w:t>
      </w:r>
      <w:r w:rsidRPr="00B074CF">
        <w:rPr>
          <w:rFonts w:eastAsia="SimSun" w:cstheme="minorHAnsi"/>
          <w:i/>
          <w:iCs/>
          <w:lang w:eastAsia="en-GB"/>
        </w:rPr>
        <w:t>section 4.4 Special Warnings and Precautions for Use</w:t>
      </w:r>
      <w:r w:rsidRPr="00B074CF">
        <w:rPr>
          <w:rFonts w:cstheme="minorHAnsi"/>
        </w:rPr>
        <w:t>).</w:t>
      </w:r>
    </w:p>
    <w:p w14:paraId="4EC6D9A0" w14:textId="77777777" w:rsidR="00574FBB" w:rsidRPr="00B074CF" w:rsidRDefault="00574FBB" w:rsidP="00BE17AB">
      <w:pPr>
        <w:pStyle w:val="Heading2"/>
        <w:spacing w:before="0" w:after="120"/>
        <w:rPr>
          <w:rFonts w:asciiTheme="minorHAnsi" w:hAnsiTheme="minorHAnsi" w:cstheme="minorHAnsi"/>
          <w:sz w:val="22"/>
        </w:rPr>
      </w:pPr>
      <w:r w:rsidRPr="00B074CF">
        <w:rPr>
          <w:rFonts w:asciiTheme="minorHAnsi" w:hAnsiTheme="minorHAnsi" w:cstheme="minorHAnsi"/>
          <w:sz w:val="22"/>
        </w:rPr>
        <w:t xml:space="preserve">Fertility, pregnancy and lactation </w:t>
      </w:r>
    </w:p>
    <w:p w14:paraId="3D979DE0" w14:textId="77777777" w:rsidR="00574FBB" w:rsidRPr="00B074CF" w:rsidRDefault="00574FBB" w:rsidP="00BE17AB">
      <w:pPr>
        <w:pStyle w:val="Heading3"/>
        <w:keepNext w:val="0"/>
        <w:keepLines w:val="0"/>
        <w:spacing w:before="0" w:after="120"/>
        <w:ind w:left="0"/>
        <w:rPr>
          <w:rFonts w:asciiTheme="minorHAnsi" w:hAnsiTheme="minorHAnsi" w:cstheme="minorHAnsi"/>
        </w:rPr>
      </w:pPr>
      <w:r w:rsidRPr="00B074CF">
        <w:rPr>
          <w:rFonts w:asciiTheme="minorHAnsi" w:hAnsiTheme="minorHAnsi" w:cstheme="minorHAnsi"/>
        </w:rPr>
        <w:t>Effects on fertility</w:t>
      </w:r>
    </w:p>
    <w:p w14:paraId="19271656" w14:textId="5E876B08" w:rsidR="00A7657B" w:rsidRPr="00205FD7" w:rsidRDefault="00A7657B" w:rsidP="00BE17AB">
      <w:r w:rsidRPr="00B074CF">
        <w:rPr>
          <w:rFonts w:cstheme="minorHAnsi"/>
          <w:iCs/>
        </w:rPr>
        <w:t xml:space="preserve">There </w:t>
      </w:r>
      <w:r>
        <w:rPr>
          <w:rFonts w:cstheme="minorHAnsi"/>
        </w:rPr>
        <w:t>are</w:t>
      </w:r>
      <w:r w:rsidRPr="00B074CF">
        <w:rPr>
          <w:rFonts w:cstheme="minorHAnsi"/>
          <w:iCs/>
        </w:rPr>
        <w:t xml:space="preserve"> no available data on the effect of </w:t>
      </w:r>
      <w:r w:rsidRPr="00B074CF">
        <w:rPr>
          <w:rFonts w:cstheme="minorHAnsi"/>
        </w:rPr>
        <w:t>efgartigimod alfa</w:t>
      </w:r>
      <w:r w:rsidRPr="00B074CF">
        <w:rPr>
          <w:rFonts w:cstheme="minorHAnsi"/>
          <w:iCs/>
        </w:rPr>
        <w:t xml:space="preserve"> on fertility in humans. </w:t>
      </w:r>
      <w:r>
        <w:rPr>
          <w:rFonts w:cstheme="minorHAnsi"/>
          <w:iCs/>
        </w:rPr>
        <w:t xml:space="preserve">In reproduction studies in rats, intravenous administration of efgartigimod alfa did not adversely affect male and female fertility or pregnancy at dose levels corresponding to </w:t>
      </w:r>
      <w:r w:rsidR="00382EB0">
        <w:rPr>
          <w:rFonts w:cstheme="minorHAnsi"/>
          <w:iCs/>
        </w:rPr>
        <w:t>9</w:t>
      </w:r>
      <w:r>
        <w:rPr>
          <w:rFonts w:cstheme="minorHAnsi"/>
          <w:iCs/>
        </w:rPr>
        <w:t>-fold to the exposure (AUC) at the maximum recommended therapeutic dose.</w:t>
      </w:r>
    </w:p>
    <w:p w14:paraId="759B227D" w14:textId="10C77D3D" w:rsidR="00574FBB" w:rsidRPr="00B074CF" w:rsidRDefault="00574FBB" w:rsidP="00BE17AB">
      <w:pPr>
        <w:pStyle w:val="Heading3"/>
        <w:keepNext w:val="0"/>
        <w:keepLines w:val="0"/>
        <w:spacing w:before="0" w:after="120"/>
        <w:ind w:left="0"/>
        <w:rPr>
          <w:rFonts w:asciiTheme="minorHAnsi" w:hAnsiTheme="minorHAnsi" w:cstheme="minorHAnsi"/>
        </w:rPr>
      </w:pPr>
      <w:r w:rsidRPr="00B074CF">
        <w:rPr>
          <w:rFonts w:asciiTheme="minorHAnsi" w:hAnsiTheme="minorHAnsi" w:cstheme="minorHAnsi"/>
        </w:rPr>
        <w:t xml:space="preserve">Use in pregnancy – Pregnancy Category </w:t>
      </w:r>
      <w:r w:rsidR="00382EB0">
        <w:rPr>
          <w:rFonts w:asciiTheme="minorHAnsi" w:hAnsiTheme="minorHAnsi" w:cstheme="minorHAnsi"/>
        </w:rPr>
        <w:t>C</w:t>
      </w:r>
    </w:p>
    <w:p w14:paraId="5B86FE9C" w14:textId="501C37DE" w:rsidR="00574FBB" w:rsidRPr="00B074CF" w:rsidRDefault="00574FBB" w:rsidP="00BE17AB">
      <w:pPr>
        <w:rPr>
          <w:rFonts w:cstheme="minorHAnsi"/>
        </w:rPr>
      </w:pPr>
      <w:r w:rsidRPr="00B074CF">
        <w:rPr>
          <w:rFonts w:cstheme="minorHAnsi"/>
        </w:rPr>
        <w:t xml:space="preserve">There </w:t>
      </w:r>
      <w:r w:rsidR="00382EB0">
        <w:rPr>
          <w:rFonts w:cstheme="minorHAnsi"/>
        </w:rPr>
        <w:t>are</w:t>
      </w:r>
      <w:r w:rsidR="00382EB0" w:rsidRPr="00B074CF">
        <w:rPr>
          <w:rFonts w:cstheme="minorHAnsi"/>
        </w:rPr>
        <w:t xml:space="preserve"> </w:t>
      </w:r>
      <w:r w:rsidRPr="00B074CF">
        <w:rPr>
          <w:rFonts w:cstheme="minorHAnsi"/>
        </w:rPr>
        <w:t xml:space="preserve">no available data on the use of efgartigimod alfa during pregnancy. Antibodies including therapeutic monoclonal antibodies are known to be actively transported across the placenta (after 30 weeks of gestation) by binding to the </w:t>
      </w:r>
      <w:proofErr w:type="spellStart"/>
      <w:r w:rsidRPr="00B074CF">
        <w:rPr>
          <w:rFonts w:cstheme="minorHAnsi"/>
        </w:rPr>
        <w:t>FcRn</w:t>
      </w:r>
      <w:proofErr w:type="spellEnd"/>
      <w:r w:rsidRPr="00B074CF">
        <w:rPr>
          <w:rFonts w:cstheme="minorHAnsi"/>
        </w:rPr>
        <w:t>.</w:t>
      </w:r>
    </w:p>
    <w:p w14:paraId="2AB700C8" w14:textId="77777777" w:rsidR="00BE17AB" w:rsidRDefault="00574FBB" w:rsidP="00BE17AB">
      <w:pPr>
        <w:rPr>
          <w:rFonts w:cstheme="minorHAnsi"/>
        </w:rPr>
      </w:pPr>
      <w:r w:rsidRPr="00B074CF">
        <w:rPr>
          <w:rFonts w:cstheme="minorHAnsi"/>
        </w:rPr>
        <w:t xml:space="preserve">Efgartigimod alfa may be transmitted from the mother to the developing foetus. As efgartigimod alfa is expected to reduce maternal antibody levels and is also expected to inhibit the transfer of maternal antibodies to the foetus, reduction in passive protection to the newborn is anticipated. </w:t>
      </w:r>
    </w:p>
    <w:p w14:paraId="608B71B5" w14:textId="5BECE917" w:rsidR="00574FBB" w:rsidRDefault="00574FBB" w:rsidP="00BE17AB">
      <w:pPr>
        <w:rPr>
          <w:rFonts w:cstheme="minorHAnsi"/>
        </w:rPr>
      </w:pPr>
      <w:r w:rsidRPr="00B074CF">
        <w:rPr>
          <w:rFonts w:cstheme="minorHAnsi"/>
        </w:rPr>
        <w:lastRenderedPageBreak/>
        <w:t>Therefore, risks and benefits of administering live/live</w:t>
      </w:r>
      <w:r w:rsidR="00FF4D01">
        <w:rPr>
          <w:rFonts w:cstheme="minorHAnsi"/>
        </w:rPr>
        <w:t>-</w:t>
      </w:r>
      <w:r w:rsidRPr="00B074CF">
        <w:rPr>
          <w:rFonts w:cstheme="minorHAnsi"/>
        </w:rPr>
        <w:t xml:space="preserve">attenuated vaccines to infants exposed to efgartigimod alfa </w:t>
      </w:r>
      <w:r w:rsidRPr="00B074CF">
        <w:rPr>
          <w:rFonts w:cstheme="minorHAnsi"/>
          <w:i/>
          <w:iCs/>
        </w:rPr>
        <w:t>in utero</w:t>
      </w:r>
      <w:r w:rsidRPr="00B074CF">
        <w:rPr>
          <w:rFonts w:cstheme="minorHAnsi"/>
        </w:rPr>
        <w:t xml:space="preserve"> should be considered (</w:t>
      </w:r>
      <w:r w:rsidRPr="00B074CF">
        <w:rPr>
          <w:rFonts w:eastAsia="SimSun" w:cstheme="minorHAnsi"/>
          <w:lang w:eastAsia="en-GB"/>
        </w:rPr>
        <w:t xml:space="preserve">see </w:t>
      </w:r>
      <w:r w:rsidRPr="00B074CF">
        <w:rPr>
          <w:rFonts w:eastAsia="SimSun" w:cstheme="minorHAnsi"/>
          <w:i/>
          <w:iCs/>
          <w:lang w:eastAsia="en-GB"/>
        </w:rPr>
        <w:t>section 4.4 Special Warnings and Precautions for Use</w:t>
      </w:r>
      <w:r w:rsidRPr="00B074CF">
        <w:rPr>
          <w:rFonts w:cstheme="minorHAnsi"/>
        </w:rPr>
        <w:t xml:space="preserve">). </w:t>
      </w:r>
    </w:p>
    <w:p w14:paraId="52E4D9F5" w14:textId="1A2A3EA6" w:rsidR="00A7657B" w:rsidRPr="00A7657B" w:rsidRDefault="00A7657B" w:rsidP="00BE17AB">
      <w:pPr>
        <w:ind w:right="340"/>
      </w:pPr>
      <w:r w:rsidRPr="0087721A">
        <w:rPr>
          <w:lang w:val="en-GB"/>
        </w:rPr>
        <w:t xml:space="preserve">In animal studies, intravenous administration of efgartigimod alfa did not adversely affect </w:t>
      </w:r>
      <w:proofErr w:type="spellStart"/>
      <w:r w:rsidRPr="0087721A">
        <w:rPr>
          <w:lang w:val="en-GB"/>
        </w:rPr>
        <w:t>embryofetal</w:t>
      </w:r>
      <w:proofErr w:type="spellEnd"/>
      <w:r w:rsidRPr="0087721A">
        <w:rPr>
          <w:lang w:val="en-GB"/>
        </w:rPr>
        <w:t xml:space="preserve"> development nor was it embryotoxic or teratogenic at dose levels corresponding to </w:t>
      </w:r>
      <w:r w:rsidR="00382EB0">
        <w:rPr>
          <w:lang w:val="en-GB"/>
        </w:rPr>
        <w:t>9</w:t>
      </w:r>
      <w:r w:rsidRPr="0087721A">
        <w:rPr>
          <w:lang w:val="en-GB"/>
        </w:rPr>
        <w:t xml:space="preserve">-fold (rats) and </w:t>
      </w:r>
      <w:r w:rsidR="00382EB0">
        <w:rPr>
          <w:lang w:val="en-GB"/>
        </w:rPr>
        <w:t>42</w:t>
      </w:r>
      <w:r w:rsidRPr="0087721A">
        <w:rPr>
          <w:lang w:val="en-GB"/>
        </w:rPr>
        <w:t>-fold (rabbits) to the exposure (AUC) at the maximum recommended therapeutic dose.</w:t>
      </w:r>
    </w:p>
    <w:p w14:paraId="7A8CD897" w14:textId="77777777" w:rsidR="00574FBB" w:rsidRPr="00B074CF" w:rsidRDefault="00574FBB" w:rsidP="00BE17AB">
      <w:pPr>
        <w:rPr>
          <w:rFonts w:cstheme="minorHAnsi"/>
        </w:rPr>
      </w:pPr>
      <w:r w:rsidRPr="00B074CF">
        <w:rPr>
          <w:rFonts w:cstheme="minorHAnsi"/>
        </w:rPr>
        <w:t>Treatment of pregnant women with Vyvgart should only be considered if the clinical benefit outweighs the risks.</w:t>
      </w:r>
    </w:p>
    <w:p w14:paraId="1A42453D" w14:textId="76E6A200" w:rsidR="00574FBB" w:rsidRPr="00B074CF" w:rsidRDefault="00574FBB" w:rsidP="00BE17AB">
      <w:pPr>
        <w:pStyle w:val="Heading3"/>
        <w:keepNext w:val="0"/>
        <w:keepLines w:val="0"/>
        <w:spacing w:before="0" w:after="120"/>
        <w:ind w:left="0"/>
        <w:rPr>
          <w:rFonts w:asciiTheme="minorHAnsi" w:hAnsiTheme="minorHAnsi" w:cstheme="minorHAnsi"/>
        </w:rPr>
      </w:pPr>
      <w:r w:rsidRPr="00B074CF">
        <w:rPr>
          <w:rFonts w:asciiTheme="minorHAnsi" w:hAnsiTheme="minorHAnsi" w:cstheme="minorHAnsi"/>
        </w:rPr>
        <w:t xml:space="preserve">Use in lactation </w:t>
      </w:r>
    </w:p>
    <w:p w14:paraId="7B66E6C2" w14:textId="77777777" w:rsidR="00574FBB" w:rsidRPr="00B074CF" w:rsidRDefault="00574FBB" w:rsidP="00BE17AB">
      <w:pPr>
        <w:rPr>
          <w:rFonts w:cstheme="minorHAnsi"/>
        </w:rPr>
      </w:pPr>
      <w:r w:rsidRPr="00B074CF">
        <w:rPr>
          <w:rFonts w:cstheme="minorHAnsi"/>
        </w:rPr>
        <w:t>There is no information regarding the presence of efgartigimod alfa in human milk, the effects on the breastfed child or the effects on milk production. Animal studies on the transfer of efgartigimod alfa into milk have not been conducted, and therefore, excretion into maternal milk cannot be excluded. Maternal IgG is known to be present in human milk. Treatment of lactating women with efgartigimod alfa should only be considered if the clinical benefit outweighs the risks.</w:t>
      </w:r>
    </w:p>
    <w:p w14:paraId="2F1E34AA" w14:textId="77777777" w:rsidR="00574FBB" w:rsidRPr="00B074CF" w:rsidRDefault="00574FBB" w:rsidP="00BE17AB">
      <w:pPr>
        <w:pStyle w:val="Heading2"/>
        <w:spacing w:before="0" w:after="120"/>
        <w:rPr>
          <w:rFonts w:asciiTheme="minorHAnsi" w:hAnsiTheme="minorHAnsi" w:cstheme="minorHAnsi"/>
          <w:sz w:val="22"/>
        </w:rPr>
      </w:pPr>
      <w:r w:rsidRPr="00B074CF">
        <w:rPr>
          <w:rFonts w:asciiTheme="minorHAnsi" w:hAnsiTheme="minorHAnsi" w:cstheme="minorHAnsi"/>
          <w:sz w:val="22"/>
        </w:rPr>
        <w:t xml:space="preserve">Effects on ability to drive and use machines </w:t>
      </w:r>
    </w:p>
    <w:p w14:paraId="34D72996" w14:textId="30C3CE0F" w:rsidR="00574FBB" w:rsidRPr="00B074CF" w:rsidRDefault="00574FBB" w:rsidP="00BE17AB">
      <w:pPr>
        <w:rPr>
          <w:rFonts w:cstheme="minorHAnsi"/>
        </w:rPr>
      </w:pPr>
      <w:r>
        <w:rPr>
          <w:rFonts w:cstheme="minorHAnsi"/>
        </w:rPr>
        <w:t xml:space="preserve">The effects </w:t>
      </w:r>
      <w:r w:rsidRPr="006075A9">
        <w:rPr>
          <w:rFonts w:cstheme="minorHAnsi"/>
        </w:rPr>
        <w:t>of V</w:t>
      </w:r>
      <w:r w:rsidR="00DC7C5B" w:rsidRPr="006075A9">
        <w:rPr>
          <w:rFonts w:cstheme="minorHAnsi"/>
        </w:rPr>
        <w:t>yvgart</w:t>
      </w:r>
      <w:r w:rsidRPr="006075A9">
        <w:rPr>
          <w:rFonts w:cstheme="minorHAnsi"/>
        </w:rPr>
        <w:t xml:space="preserve"> on</w:t>
      </w:r>
      <w:r>
        <w:rPr>
          <w:rFonts w:cstheme="minorHAnsi"/>
        </w:rPr>
        <w:t xml:space="preserve"> a person’s</w:t>
      </w:r>
      <w:r w:rsidRPr="00B074CF">
        <w:rPr>
          <w:rFonts w:cstheme="minorHAnsi"/>
        </w:rPr>
        <w:t xml:space="preserve"> ability to drive and use machines</w:t>
      </w:r>
      <w:r>
        <w:rPr>
          <w:rFonts w:cstheme="minorHAnsi"/>
        </w:rPr>
        <w:t xml:space="preserve"> have not been assessed</w:t>
      </w:r>
      <w:r w:rsidRPr="00B074CF">
        <w:rPr>
          <w:rFonts w:cstheme="minorHAnsi"/>
        </w:rPr>
        <w:t>.</w:t>
      </w:r>
    </w:p>
    <w:p w14:paraId="3D633270" w14:textId="77777777" w:rsidR="00574FBB" w:rsidRPr="00B074CF" w:rsidRDefault="00574FBB" w:rsidP="00BE17AB">
      <w:pPr>
        <w:pStyle w:val="Heading2"/>
        <w:spacing w:before="0" w:after="120"/>
        <w:rPr>
          <w:rFonts w:asciiTheme="minorHAnsi" w:hAnsiTheme="minorHAnsi" w:cstheme="minorHAnsi"/>
          <w:sz w:val="22"/>
        </w:rPr>
      </w:pPr>
      <w:r w:rsidRPr="00B074CF">
        <w:rPr>
          <w:rFonts w:asciiTheme="minorHAnsi" w:hAnsiTheme="minorHAnsi" w:cstheme="minorHAnsi"/>
          <w:sz w:val="22"/>
        </w:rPr>
        <w:t>Adverse effects (Undesirable effects)</w:t>
      </w:r>
    </w:p>
    <w:p w14:paraId="2192CF73" w14:textId="77777777" w:rsidR="00574FBB" w:rsidRPr="00B074CF" w:rsidRDefault="00574FBB" w:rsidP="00BE17AB">
      <w:pPr>
        <w:rPr>
          <w:rFonts w:cstheme="minorHAnsi"/>
          <w:u w:val="single"/>
        </w:rPr>
      </w:pPr>
      <w:r w:rsidRPr="00B074CF">
        <w:rPr>
          <w:rFonts w:cstheme="minorHAnsi"/>
          <w:u w:val="single"/>
        </w:rPr>
        <w:t>Summary of the safety profile</w:t>
      </w:r>
    </w:p>
    <w:p w14:paraId="1B89EF9C" w14:textId="00EE6A17" w:rsidR="00574FBB" w:rsidRPr="00B074CF" w:rsidRDefault="008B12EF" w:rsidP="00BE17AB">
      <w:pPr>
        <w:autoSpaceDE w:val="0"/>
        <w:autoSpaceDN w:val="0"/>
        <w:adjustRightInd w:val="0"/>
        <w:rPr>
          <w:rFonts w:cstheme="minorHAnsi"/>
        </w:rPr>
      </w:pPr>
      <w:r>
        <w:rPr>
          <w:rFonts w:cstheme="minorHAnsi"/>
        </w:rPr>
        <w:t>In the</w:t>
      </w:r>
      <w:r w:rsidR="00AC7B20">
        <w:rPr>
          <w:rFonts w:cstheme="minorHAnsi"/>
        </w:rPr>
        <w:t xml:space="preserve"> </w:t>
      </w:r>
      <w:r>
        <w:rPr>
          <w:rFonts w:cstheme="minorHAnsi"/>
        </w:rPr>
        <w:t>clinical study A</w:t>
      </w:r>
      <w:r w:rsidR="00AC7B20">
        <w:rPr>
          <w:rFonts w:cstheme="minorHAnsi"/>
        </w:rPr>
        <w:t>R</w:t>
      </w:r>
      <w:r>
        <w:rPr>
          <w:rFonts w:cstheme="minorHAnsi"/>
        </w:rPr>
        <w:t>GX-113-1704, t</w:t>
      </w:r>
      <w:r w:rsidR="00382EB0" w:rsidRPr="00382EB0">
        <w:rPr>
          <w:rFonts w:cstheme="minorHAnsi"/>
        </w:rPr>
        <w:t xml:space="preserve">he </w:t>
      </w:r>
      <w:r w:rsidR="00574FBB" w:rsidRPr="00382EB0">
        <w:rPr>
          <w:rFonts w:cstheme="minorHAnsi"/>
        </w:rPr>
        <w:t xml:space="preserve">most frequently observed adverse </w:t>
      </w:r>
      <w:r w:rsidR="00933982">
        <w:rPr>
          <w:rFonts w:cstheme="minorHAnsi"/>
        </w:rPr>
        <w:t>reactions</w:t>
      </w:r>
      <w:r w:rsidR="00574FBB" w:rsidRPr="00382EB0">
        <w:rPr>
          <w:rFonts w:cstheme="minorHAnsi"/>
        </w:rPr>
        <w:t xml:space="preserve"> were upper respiratory tract infections and urinary tract infections (10.7% and 9.5%, respectively).</w:t>
      </w:r>
    </w:p>
    <w:p w14:paraId="1858694E" w14:textId="77777777" w:rsidR="00574FBB" w:rsidRPr="00FF4D01" w:rsidRDefault="00574FBB" w:rsidP="00BE17AB">
      <w:pPr>
        <w:rPr>
          <w:rFonts w:cstheme="minorHAnsi"/>
          <w:u w:val="single"/>
        </w:rPr>
      </w:pPr>
      <w:r w:rsidRPr="00FF4D01">
        <w:rPr>
          <w:rFonts w:cstheme="minorHAnsi"/>
          <w:u w:val="single"/>
        </w:rPr>
        <w:t>Tabulated list of adverse events</w:t>
      </w:r>
    </w:p>
    <w:p w14:paraId="4FA2F774" w14:textId="5C29630A" w:rsidR="00574FBB" w:rsidRPr="00B074CF" w:rsidRDefault="00574FBB" w:rsidP="00BE17AB">
      <w:pPr>
        <w:rPr>
          <w:rFonts w:cstheme="minorHAnsi"/>
        </w:rPr>
      </w:pPr>
      <w:r w:rsidRPr="00FF4D01">
        <w:rPr>
          <w:rFonts w:cstheme="minorHAnsi"/>
        </w:rPr>
        <w:t xml:space="preserve">The safety of Vyvgart was evaluated in 167 patients with </w:t>
      </w:r>
      <w:proofErr w:type="spellStart"/>
      <w:r w:rsidRPr="00FF4D01">
        <w:rPr>
          <w:rFonts w:cstheme="minorHAnsi"/>
        </w:rPr>
        <w:t>gMG</w:t>
      </w:r>
      <w:proofErr w:type="spellEnd"/>
      <w:r w:rsidRPr="00FF4D01">
        <w:rPr>
          <w:rFonts w:cstheme="minorHAnsi"/>
        </w:rPr>
        <w:t xml:space="preserve"> treated with efgartigimod alfa (n=84) or placebo (n=83) </w:t>
      </w:r>
      <w:r w:rsidRPr="00FF4D01" w:rsidDel="00697C3D">
        <w:rPr>
          <w:rFonts w:cstheme="minorHAnsi"/>
        </w:rPr>
        <w:t xml:space="preserve">in </w:t>
      </w:r>
      <w:r w:rsidRPr="00FF4D01">
        <w:rPr>
          <w:rFonts w:cstheme="minorHAnsi"/>
        </w:rPr>
        <w:t>the Phase 3 double</w:t>
      </w:r>
      <w:r w:rsidRPr="00FF4D01">
        <w:rPr>
          <w:rFonts w:cstheme="minorHAnsi"/>
        </w:rPr>
        <w:noBreakHyphen/>
        <w:t>blind placebo</w:t>
      </w:r>
      <w:r w:rsidRPr="00FF4D01">
        <w:rPr>
          <w:rFonts w:cstheme="minorHAnsi"/>
        </w:rPr>
        <w:noBreakHyphen/>
        <w:t>controlled clinical study A</w:t>
      </w:r>
      <w:r w:rsidR="00EA47D3">
        <w:rPr>
          <w:rFonts w:cstheme="minorHAnsi"/>
        </w:rPr>
        <w:t>RG</w:t>
      </w:r>
      <w:r w:rsidRPr="00FF4D01">
        <w:rPr>
          <w:rFonts w:cstheme="minorHAnsi"/>
        </w:rPr>
        <w:t xml:space="preserve">X-113-1704. Adverse events occurring with a frequency of ≥ 5% (where the frequency of AEs reported with efgartigimod alfa was greater than reported in the placebo group) are listed in Table 2 by system organ class (SOC) and preferred term (PT). </w:t>
      </w:r>
    </w:p>
    <w:p w14:paraId="70C58122" w14:textId="058E5D5B" w:rsidR="00574FBB" w:rsidRPr="00574FBB" w:rsidRDefault="00574FBB" w:rsidP="00BE17AB">
      <w:pPr>
        <w:pageBreakBefore/>
        <w:ind w:right="301"/>
        <w:rPr>
          <w:rFonts w:ascii="Calibri" w:hAnsi="Calibri" w:cs="Calibri"/>
          <w:b/>
          <w:color w:val="000000" w:themeColor="text1"/>
        </w:rPr>
      </w:pPr>
      <w:r w:rsidRPr="003A31DB">
        <w:rPr>
          <w:rFonts w:ascii="Calibri" w:hAnsi="Calibri" w:cs="Calibri"/>
          <w:b/>
        </w:rPr>
        <w:lastRenderedPageBreak/>
        <w:t>Table</w:t>
      </w:r>
      <w:r w:rsidRPr="003A31DB">
        <w:rPr>
          <w:rFonts w:ascii="Calibri" w:hAnsi="Calibri" w:cs="Calibri"/>
          <w:b/>
          <w:spacing w:val="-2"/>
        </w:rPr>
        <w:t xml:space="preserve"> </w:t>
      </w:r>
      <w:r w:rsidRPr="003A31DB">
        <w:rPr>
          <w:rFonts w:ascii="Calibri" w:hAnsi="Calibri" w:cs="Calibri"/>
          <w:b/>
        </w:rPr>
        <w:t>2</w:t>
      </w:r>
      <w:r w:rsidR="00EA47D3">
        <w:rPr>
          <w:rFonts w:ascii="Calibri" w:hAnsi="Calibri" w:cs="Calibri"/>
          <w:b/>
        </w:rPr>
        <w:t>.</w:t>
      </w:r>
      <w:r w:rsidRPr="003A31DB">
        <w:rPr>
          <w:rFonts w:ascii="Calibri" w:hAnsi="Calibri" w:cs="Calibri"/>
          <w:b/>
          <w:spacing w:val="-3"/>
        </w:rPr>
        <w:t xml:space="preserve"> </w:t>
      </w:r>
      <w:r>
        <w:rPr>
          <w:rFonts w:ascii="Calibri" w:hAnsi="Calibri" w:cs="Calibri"/>
          <w:b/>
        </w:rPr>
        <w:t xml:space="preserve">Adverse events </w:t>
      </w:r>
      <w:r w:rsidRPr="003A31DB">
        <w:rPr>
          <w:rFonts w:ascii="Calibri" w:hAnsi="Calibri" w:cs="Calibri"/>
          <w:b/>
        </w:rPr>
        <w:t>(≥</w:t>
      </w:r>
      <w:r w:rsidRPr="003A31DB">
        <w:rPr>
          <w:rFonts w:ascii="Calibri" w:hAnsi="Calibri" w:cs="Calibri"/>
          <w:b/>
          <w:spacing w:val="-1"/>
        </w:rPr>
        <w:t xml:space="preserve"> </w:t>
      </w:r>
      <w:r>
        <w:rPr>
          <w:rFonts w:ascii="Calibri" w:hAnsi="Calibri" w:cs="Calibri"/>
          <w:b/>
        </w:rPr>
        <w:t>5</w:t>
      </w:r>
      <w:r w:rsidRPr="003A31DB">
        <w:rPr>
          <w:rFonts w:ascii="Calibri" w:hAnsi="Calibri" w:cs="Calibri"/>
          <w:b/>
        </w:rPr>
        <w:t>%</w:t>
      </w:r>
      <w:r>
        <w:rPr>
          <w:rFonts w:ascii="Calibri" w:hAnsi="Calibri" w:cs="Calibri"/>
          <w:b/>
        </w:rPr>
        <w:t xml:space="preserve"> and at greater frequency than placebo</w:t>
      </w:r>
      <w:r w:rsidRPr="003A31DB">
        <w:rPr>
          <w:rFonts w:ascii="Calibri" w:hAnsi="Calibri" w:cs="Calibri"/>
          <w:b/>
        </w:rPr>
        <w:t>)</w:t>
      </w:r>
      <w:r w:rsidRPr="003A31DB">
        <w:rPr>
          <w:rFonts w:ascii="Calibri" w:hAnsi="Calibri" w:cs="Calibri"/>
          <w:b/>
          <w:spacing w:val="-1"/>
        </w:rPr>
        <w:t xml:space="preserve"> </w:t>
      </w:r>
      <w:r w:rsidRPr="003A31DB">
        <w:rPr>
          <w:rFonts w:ascii="Calibri" w:hAnsi="Calibri" w:cs="Calibri"/>
          <w:b/>
        </w:rPr>
        <w:t>by</w:t>
      </w:r>
      <w:r w:rsidRPr="003A31DB">
        <w:rPr>
          <w:rFonts w:ascii="Calibri" w:hAnsi="Calibri" w:cs="Calibri"/>
          <w:b/>
          <w:spacing w:val="-4"/>
        </w:rPr>
        <w:t xml:space="preserve"> </w:t>
      </w:r>
      <w:r w:rsidRPr="003A31DB">
        <w:rPr>
          <w:rFonts w:ascii="Calibri" w:hAnsi="Calibri" w:cs="Calibri"/>
          <w:b/>
        </w:rPr>
        <w:t>SOC</w:t>
      </w:r>
      <w:r w:rsidRPr="003A31DB">
        <w:rPr>
          <w:rFonts w:ascii="Calibri" w:hAnsi="Calibri" w:cs="Calibri"/>
          <w:b/>
          <w:spacing w:val="-1"/>
        </w:rPr>
        <w:t xml:space="preserve"> </w:t>
      </w:r>
      <w:r w:rsidRPr="003A31DB">
        <w:rPr>
          <w:rFonts w:ascii="Calibri" w:hAnsi="Calibri" w:cs="Calibri"/>
          <w:b/>
        </w:rPr>
        <w:t>and</w:t>
      </w:r>
      <w:r w:rsidRPr="003A31DB">
        <w:rPr>
          <w:rFonts w:ascii="Calibri" w:hAnsi="Calibri" w:cs="Calibri"/>
          <w:b/>
          <w:spacing w:val="-4"/>
        </w:rPr>
        <w:t xml:space="preserve"> </w:t>
      </w:r>
      <w:r w:rsidRPr="003A31DB">
        <w:rPr>
          <w:rFonts w:ascii="Calibri" w:hAnsi="Calibri" w:cs="Calibri"/>
          <w:b/>
        </w:rPr>
        <w:t>PT</w:t>
      </w:r>
      <w:r w:rsidRPr="003A31DB">
        <w:rPr>
          <w:rFonts w:ascii="Calibri" w:hAnsi="Calibri" w:cs="Calibri"/>
          <w:b/>
          <w:spacing w:val="-2"/>
        </w:rPr>
        <w:t xml:space="preserve"> </w:t>
      </w:r>
      <w:r w:rsidRPr="003A31DB">
        <w:rPr>
          <w:rFonts w:ascii="Calibri" w:hAnsi="Calibri" w:cs="Calibri"/>
          <w:b/>
        </w:rPr>
        <w:t>for</w:t>
      </w:r>
      <w:r w:rsidRPr="003A31DB">
        <w:rPr>
          <w:rFonts w:ascii="Calibri" w:hAnsi="Calibri" w:cs="Calibri"/>
          <w:b/>
          <w:spacing w:val="-3"/>
        </w:rPr>
        <w:t xml:space="preserve"> </w:t>
      </w:r>
      <w:r w:rsidRPr="003A31DB">
        <w:rPr>
          <w:rFonts w:ascii="Calibri" w:hAnsi="Calibri" w:cs="Calibri"/>
          <w:b/>
        </w:rPr>
        <w:t>the</w:t>
      </w:r>
      <w:r w:rsidRPr="003A31DB">
        <w:rPr>
          <w:rFonts w:ascii="Calibri" w:hAnsi="Calibri" w:cs="Calibri"/>
          <w:b/>
          <w:spacing w:val="-2"/>
        </w:rPr>
        <w:t xml:space="preserve"> </w:t>
      </w:r>
      <w:r w:rsidR="00EA47D3">
        <w:rPr>
          <w:rFonts w:ascii="Calibri" w:hAnsi="Calibri" w:cs="Calibri"/>
          <w:b/>
          <w:spacing w:val="-2"/>
        </w:rPr>
        <w:t xml:space="preserve"> </w:t>
      </w:r>
      <w:r w:rsidR="00EA47D3">
        <w:rPr>
          <w:rFonts w:ascii="Calibri" w:hAnsi="Calibri" w:cs="Calibri"/>
          <w:b/>
          <w:spacing w:val="-2"/>
        </w:rPr>
        <w:br/>
        <w:t xml:space="preserve"> </w:t>
      </w:r>
      <w:r w:rsidR="00EA47D3">
        <w:rPr>
          <w:rFonts w:ascii="Calibri" w:hAnsi="Calibri" w:cs="Calibri"/>
          <w:b/>
          <w:spacing w:val="-2"/>
        </w:rPr>
        <w:tab/>
      </w:r>
      <w:r w:rsidRPr="003A31DB">
        <w:rPr>
          <w:rFonts w:ascii="Calibri" w:hAnsi="Calibri" w:cs="Calibri"/>
          <w:b/>
        </w:rPr>
        <w:t>Overall</w:t>
      </w:r>
      <w:r w:rsidRPr="003A31DB">
        <w:rPr>
          <w:rFonts w:ascii="Calibri" w:hAnsi="Calibri" w:cs="Calibri"/>
          <w:b/>
          <w:spacing w:val="-3"/>
        </w:rPr>
        <w:t xml:space="preserve"> </w:t>
      </w:r>
      <w:r w:rsidRPr="003A31DB">
        <w:rPr>
          <w:rFonts w:ascii="Calibri" w:hAnsi="Calibri" w:cs="Calibri"/>
          <w:b/>
        </w:rPr>
        <w:t>Population treated with efgartigimod</w:t>
      </w:r>
      <w:r>
        <w:rPr>
          <w:rFonts w:ascii="Calibri" w:hAnsi="Calibri" w:cs="Calibri"/>
          <w:b/>
        </w:rPr>
        <w:t xml:space="preserve"> alfa</w:t>
      </w:r>
      <w:r w:rsidRPr="003A31DB">
        <w:rPr>
          <w:rFonts w:ascii="Calibri" w:hAnsi="Calibri" w:cs="Calibri"/>
          <w:b/>
        </w:rPr>
        <w:t xml:space="preserve"> </w:t>
      </w:r>
      <w:r>
        <w:rPr>
          <w:rFonts w:ascii="Calibri" w:hAnsi="Calibri" w:cs="Calibri"/>
          <w:b/>
        </w:rPr>
        <w:t xml:space="preserve">or placebo </w:t>
      </w:r>
      <w:r w:rsidRPr="003A31DB">
        <w:rPr>
          <w:rFonts w:ascii="Calibri" w:hAnsi="Calibri" w:cs="Calibri"/>
          <w:b/>
        </w:rPr>
        <w:t xml:space="preserve">(Safety Analysis Set) Study </w:t>
      </w:r>
      <w:r w:rsidR="00EA47D3">
        <w:rPr>
          <w:rFonts w:ascii="Calibri" w:hAnsi="Calibri" w:cs="Calibri"/>
          <w:b/>
        </w:rPr>
        <w:br/>
        <w:t xml:space="preserve"> </w:t>
      </w:r>
      <w:r w:rsidR="00EA47D3">
        <w:rPr>
          <w:rFonts w:ascii="Calibri" w:hAnsi="Calibri" w:cs="Calibri"/>
          <w:b/>
        </w:rPr>
        <w:tab/>
      </w:r>
      <w:r>
        <w:rPr>
          <w:rFonts w:ascii="Calibri" w:hAnsi="Calibri" w:cs="Calibri"/>
          <w:b/>
        </w:rPr>
        <w:t>A</w:t>
      </w:r>
      <w:r w:rsidR="00EA47D3">
        <w:rPr>
          <w:rFonts w:ascii="Calibri" w:hAnsi="Calibri" w:cs="Calibri"/>
          <w:b/>
        </w:rPr>
        <w:t>RG</w:t>
      </w:r>
      <w:r>
        <w:rPr>
          <w:rFonts w:ascii="Calibri" w:hAnsi="Calibri" w:cs="Calibri"/>
          <w:b/>
        </w:rPr>
        <w:t>X-113-</w:t>
      </w:r>
      <w:r w:rsidRPr="003A31DB">
        <w:rPr>
          <w:rFonts w:ascii="Calibri" w:hAnsi="Calibri" w:cs="Calibri"/>
          <w:b/>
        </w:rPr>
        <w:t>1704</w:t>
      </w:r>
      <w:r>
        <w:rPr>
          <w:rFonts w:ascii="Calibri" w:hAnsi="Calibri" w:cs="Calibri"/>
          <w:b/>
        </w:rPr>
        <w:t xml:space="preserve"> </w:t>
      </w:r>
    </w:p>
    <w:tbl>
      <w:tblPr>
        <w:tblStyle w:val="TableGrid"/>
        <w:tblW w:w="0" w:type="auto"/>
        <w:tblInd w:w="399" w:type="dxa"/>
        <w:tblLook w:val="04A0" w:firstRow="1" w:lastRow="0" w:firstColumn="1" w:lastColumn="0" w:noHBand="0" w:noVBand="1"/>
      </w:tblPr>
      <w:tblGrid>
        <w:gridCol w:w="4102"/>
        <w:gridCol w:w="1306"/>
        <w:gridCol w:w="1276"/>
      </w:tblGrid>
      <w:tr w:rsidR="00574FBB" w:rsidRPr="003A31DB" w14:paraId="58E5EC52" w14:textId="77777777" w:rsidTr="0005025F">
        <w:tc>
          <w:tcPr>
            <w:tcW w:w="4102" w:type="dxa"/>
          </w:tcPr>
          <w:p w14:paraId="37B71B3D" w14:textId="77777777" w:rsidR="00574FBB" w:rsidRPr="0086672B" w:rsidRDefault="00574FBB" w:rsidP="00BE17AB">
            <w:pPr>
              <w:ind w:right="298"/>
              <w:rPr>
                <w:rFonts w:ascii="Calibri" w:hAnsi="Calibri" w:cs="Calibri"/>
                <w:b/>
                <w:sz w:val="18"/>
                <w:szCs w:val="18"/>
              </w:rPr>
            </w:pPr>
            <w:r w:rsidRPr="0086672B">
              <w:rPr>
                <w:rFonts w:ascii="Calibri" w:hAnsi="Calibri" w:cs="Calibri"/>
                <w:b/>
                <w:sz w:val="18"/>
                <w:szCs w:val="18"/>
              </w:rPr>
              <w:t>Adverse Events by System Organ Class (SOC)</w:t>
            </w:r>
          </w:p>
        </w:tc>
        <w:tc>
          <w:tcPr>
            <w:tcW w:w="1306" w:type="dxa"/>
          </w:tcPr>
          <w:p w14:paraId="069CB540" w14:textId="77777777" w:rsidR="00574FBB" w:rsidRPr="0086672B" w:rsidRDefault="00574FBB" w:rsidP="00BE17AB">
            <w:pPr>
              <w:ind w:right="34"/>
              <w:rPr>
                <w:rFonts w:ascii="Calibri" w:hAnsi="Calibri" w:cs="Calibri"/>
                <w:b/>
                <w:sz w:val="18"/>
                <w:szCs w:val="18"/>
              </w:rPr>
            </w:pPr>
            <w:r w:rsidRPr="0086672B">
              <w:rPr>
                <w:rFonts w:ascii="Calibri" w:hAnsi="Calibri" w:cs="Calibri"/>
                <w:b/>
                <w:sz w:val="18"/>
                <w:szCs w:val="18"/>
              </w:rPr>
              <w:t>Efgartigim</w:t>
            </w:r>
            <w:r>
              <w:rPr>
                <w:rFonts w:ascii="Calibri" w:hAnsi="Calibri" w:cs="Calibri"/>
                <w:b/>
                <w:sz w:val="18"/>
                <w:szCs w:val="18"/>
              </w:rPr>
              <w:t>o</w:t>
            </w:r>
            <w:r w:rsidRPr="0086672B">
              <w:rPr>
                <w:rFonts w:ascii="Calibri" w:hAnsi="Calibri" w:cs="Calibri"/>
                <w:b/>
                <w:sz w:val="18"/>
                <w:szCs w:val="18"/>
              </w:rPr>
              <w:t>d (n=84)</w:t>
            </w:r>
          </w:p>
        </w:tc>
        <w:tc>
          <w:tcPr>
            <w:tcW w:w="1276" w:type="dxa"/>
          </w:tcPr>
          <w:p w14:paraId="44E213AB" w14:textId="77777777" w:rsidR="00574FBB" w:rsidRPr="0086672B" w:rsidRDefault="00574FBB" w:rsidP="00BE17AB">
            <w:pPr>
              <w:ind w:right="298"/>
              <w:rPr>
                <w:rFonts w:ascii="Calibri" w:hAnsi="Calibri" w:cs="Calibri"/>
                <w:b/>
                <w:sz w:val="18"/>
                <w:szCs w:val="18"/>
              </w:rPr>
            </w:pPr>
            <w:r w:rsidRPr="0086672B">
              <w:rPr>
                <w:rFonts w:ascii="Calibri" w:hAnsi="Calibri" w:cs="Calibri"/>
                <w:b/>
                <w:sz w:val="18"/>
                <w:szCs w:val="18"/>
              </w:rPr>
              <w:t>Placebo</w:t>
            </w:r>
          </w:p>
          <w:p w14:paraId="30196289" w14:textId="77777777" w:rsidR="00574FBB" w:rsidRPr="0086672B" w:rsidRDefault="00574FBB" w:rsidP="00BE17AB">
            <w:pPr>
              <w:ind w:right="298"/>
              <w:rPr>
                <w:rFonts w:ascii="Calibri" w:hAnsi="Calibri" w:cs="Calibri"/>
                <w:b/>
                <w:sz w:val="18"/>
                <w:szCs w:val="18"/>
              </w:rPr>
            </w:pPr>
            <w:r w:rsidRPr="0086672B">
              <w:rPr>
                <w:rFonts w:ascii="Calibri" w:hAnsi="Calibri" w:cs="Calibri"/>
                <w:b/>
                <w:sz w:val="18"/>
                <w:szCs w:val="18"/>
              </w:rPr>
              <w:t>(n=83)</w:t>
            </w:r>
          </w:p>
        </w:tc>
      </w:tr>
      <w:tr w:rsidR="00574FBB" w:rsidRPr="003A31DB" w14:paraId="55A6DDC8" w14:textId="77777777" w:rsidTr="0005025F">
        <w:tc>
          <w:tcPr>
            <w:tcW w:w="4102" w:type="dxa"/>
          </w:tcPr>
          <w:p w14:paraId="07A7FBBB" w14:textId="77777777" w:rsidR="00574FBB" w:rsidRPr="0086672B" w:rsidRDefault="00574FBB" w:rsidP="00BE17AB">
            <w:pPr>
              <w:ind w:right="298"/>
              <w:rPr>
                <w:rFonts w:ascii="Calibri" w:hAnsi="Calibri" w:cs="Calibri"/>
                <w:b/>
                <w:sz w:val="18"/>
                <w:szCs w:val="18"/>
              </w:rPr>
            </w:pPr>
          </w:p>
        </w:tc>
        <w:tc>
          <w:tcPr>
            <w:tcW w:w="1306" w:type="dxa"/>
          </w:tcPr>
          <w:p w14:paraId="5270E4AA" w14:textId="77777777" w:rsidR="00574FBB" w:rsidRPr="0086672B" w:rsidRDefault="00574FBB" w:rsidP="00BE17AB">
            <w:pPr>
              <w:ind w:right="298"/>
              <w:rPr>
                <w:rFonts w:ascii="Calibri" w:hAnsi="Calibri" w:cs="Calibri"/>
                <w:b/>
                <w:sz w:val="18"/>
                <w:szCs w:val="18"/>
              </w:rPr>
            </w:pPr>
            <w:r w:rsidRPr="0086672B">
              <w:rPr>
                <w:rFonts w:ascii="Calibri" w:hAnsi="Calibri" w:cs="Calibri"/>
                <w:b/>
                <w:sz w:val="18"/>
                <w:szCs w:val="18"/>
              </w:rPr>
              <w:t>n (%)</w:t>
            </w:r>
          </w:p>
        </w:tc>
        <w:tc>
          <w:tcPr>
            <w:tcW w:w="1276" w:type="dxa"/>
          </w:tcPr>
          <w:p w14:paraId="50011C48" w14:textId="77777777" w:rsidR="00574FBB" w:rsidRPr="0086672B" w:rsidRDefault="00574FBB" w:rsidP="00BE17AB">
            <w:pPr>
              <w:ind w:right="298"/>
              <w:rPr>
                <w:rFonts w:ascii="Calibri" w:hAnsi="Calibri" w:cs="Calibri"/>
                <w:b/>
                <w:sz w:val="18"/>
                <w:szCs w:val="18"/>
              </w:rPr>
            </w:pPr>
            <w:r w:rsidRPr="0086672B">
              <w:rPr>
                <w:rFonts w:ascii="Calibri" w:hAnsi="Calibri" w:cs="Calibri"/>
                <w:b/>
                <w:sz w:val="18"/>
                <w:szCs w:val="18"/>
              </w:rPr>
              <w:t>n (%)</w:t>
            </w:r>
          </w:p>
        </w:tc>
      </w:tr>
      <w:tr w:rsidR="00574FBB" w:rsidRPr="00363EEE" w14:paraId="563162A5" w14:textId="77777777" w:rsidTr="0005025F">
        <w:tc>
          <w:tcPr>
            <w:tcW w:w="4102" w:type="dxa"/>
          </w:tcPr>
          <w:p w14:paraId="7D972382" w14:textId="77777777" w:rsidR="00574FBB" w:rsidRPr="0086672B" w:rsidRDefault="00574FBB" w:rsidP="00BE17AB">
            <w:pPr>
              <w:ind w:right="298"/>
              <w:rPr>
                <w:rFonts w:ascii="Calibri" w:hAnsi="Calibri" w:cs="Calibri"/>
                <w:b/>
                <w:sz w:val="18"/>
                <w:szCs w:val="18"/>
              </w:rPr>
            </w:pPr>
            <w:r w:rsidRPr="0086672B">
              <w:rPr>
                <w:rFonts w:ascii="Calibri" w:hAnsi="Calibri" w:cs="Calibri"/>
                <w:b/>
                <w:sz w:val="18"/>
                <w:szCs w:val="18"/>
              </w:rPr>
              <w:t>Infections and Infestations</w:t>
            </w:r>
          </w:p>
        </w:tc>
        <w:tc>
          <w:tcPr>
            <w:tcW w:w="1306" w:type="dxa"/>
          </w:tcPr>
          <w:p w14:paraId="2A3A3AF9" w14:textId="77777777" w:rsidR="00574FBB" w:rsidRPr="0086672B" w:rsidRDefault="00574FBB" w:rsidP="00BE17AB">
            <w:pPr>
              <w:ind w:right="298"/>
              <w:rPr>
                <w:rFonts w:ascii="Calibri" w:hAnsi="Calibri" w:cs="Calibri"/>
                <w:b/>
                <w:sz w:val="18"/>
                <w:szCs w:val="18"/>
              </w:rPr>
            </w:pPr>
          </w:p>
        </w:tc>
        <w:tc>
          <w:tcPr>
            <w:tcW w:w="1276" w:type="dxa"/>
          </w:tcPr>
          <w:p w14:paraId="16F528F8" w14:textId="77777777" w:rsidR="00574FBB" w:rsidRPr="0086672B" w:rsidRDefault="00574FBB" w:rsidP="00BE17AB">
            <w:pPr>
              <w:ind w:right="298"/>
              <w:rPr>
                <w:rFonts w:ascii="Calibri" w:hAnsi="Calibri" w:cs="Calibri"/>
                <w:b/>
                <w:sz w:val="18"/>
                <w:szCs w:val="18"/>
              </w:rPr>
            </w:pPr>
          </w:p>
        </w:tc>
      </w:tr>
      <w:tr w:rsidR="00574FBB" w:rsidRPr="00363EEE" w14:paraId="07452982" w14:textId="77777777" w:rsidTr="0005025F">
        <w:tc>
          <w:tcPr>
            <w:tcW w:w="4102" w:type="dxa"/>
          </w:tcPr>
          <w:p w14:paraId="3FA248C1" w14:textId="77777777" w:rsidR="00574FBB" w:rsidRPr="0086672B" w:rsidRDefault="00574FBB" w:rsidP="00BE17AB">
            <w:pPr>
              <w:ind w:right="298" w:firstLine="331"/>
              <w:rPr>
                <w:rFonts w:ascii="Calibri" w:hAnsi="Calibri" w:cs="Calibri"/>
                <w:bCs/>
                <w:sz w:val="18"/>
                <w:szCs w:val="18"/>
              </w:rPr>
            </w:pPr>
            <w:r w:rsidRPr="0086672B">
              <w:rPr>
                <w:rFonts w:ascii="Calibri" w:hAnsi="Calibri" w:cs="Calibri"/>
                <w:bCs/>
                <w:sz w:val="18"/>
                <w:szCs w:val="18"/>
              </w:rPr>
              <w:t>Bronchitis</w:t>
            </w:r>
          </w:p>
        </w:tc>
        <w:tc>
          <w:tcPr>
            <w:tcW w:w="1306" w:type="dxa"/>
          </w:tcPr>
          <w:p w14:paraId="4FCDF4C5" w14:textId="77777777" w:rsidR="00574FBB" w:rsidRPr="0086672B" w:rsidRDefault="00574FBB" w:rsidP="00BE17AB">
            <w:pPr>
              <w:ind w:right="298"/>
              <w:rPr>
                <w:rFonts w:ascii="Calibri" w:hAnsi="Calibri" w:cs="Calibri"/>
                <w:bCs/>
                <w:sz w:val="18"/>
                <w:szCs w:val="18"/>
              </w:rPr>
            </w:pPr>
            <w:r w:rsidRPr="0086672B">
              <w:rPr>
                <w:rFonts w:ascii="Calibri" w:hAnsi="Calibri" w:cs="Calibri"/>
                <w:bCs/>
                <w:sz w:val="18"/>
                <w:szCs w:val="18"/>
              </w:rPr>
              <w:t>5 (6.0)</w:t>
            </w:r>
          </w:p>
        </w:tc>
        <w:tc>
          <w:tcPr>
            <w:tcW w:w="1276" w:type="dxa"/>
          </w:tcPr>
          <w:p w14:paraId="2B340F8C" w14:textId="77777777" w:rsidR="00574FBB" w:rsidRPr="0086672B" w:rsidRDefault="00574FBB" w:rsidP="00BE17AB">
            <w:pPr>
              <w:ind w:right="298"/>
              <w:rPr>
                <w:rFonts w:ascii="Calibri" w:hAnsi="Calibri" w:cs="Calibri"/>
                <w:bCs/>
                <w:sz w:val="18"/>
                <w:szCs w:val="18"/>
              </w:rPr>
            </w:pPr>
            <w:r w:rsidRPr="0086672B">
              <w:rPr>
                <w:rFonts w:ascii="Calibri" w:hAnsi="Calibri" w:cs="Calibri"/>
                <w:bCs/>
                <w:sz w:val="18"/>
                <w:szCs w:val="18"/>
              </w:rPr>
              <w:t>2 (2.4)</w:t>
            </w:r>
          </w:p>
        </w:tc>
      </w:tr>
      <w:tr w:rsidR="00574FBB" w:rsidRPr="00363EEE" w14:paraId="1869D322" w14:textId="77777777" w:rsidTr="0005025F">
        <w:tc>
          <w:tcPr>
            <w:tcW w:w="4102" w:type="dxa"/>
          </w:tcPr>
          <w:p w14:paraId="035603D2" w14:textId="77777777" w:rsidR="00574FBB" w:rsidRPr="0086672B" w:rsidRDefault="00574FBB" w:rsidP="00BE17AB">
            <w:pPr>
              <w:ind w:right="298" w:firstLine="331"/>
              <w:rPr>
                <w:rFonts w:ascii="Calibri" w:hAnsi="Calibri" w:cs="Calibri"/>
                <w:bCs/>
                <w:sz w:val="18"/>
                <w:szCs w:val="18"/>
              </w:rPr>
            </w:pPr>
            <w:r w:rsidRPr="0086672B">
              <w:rPr>
                <w:rFonts w:ascii="Calibri" w:hAnsi="Calibri" w:cs="Calibri"/>
                <w:bCs/>
                <w:sz w:val="18"/>
                <w:szCs w:val="18"/>
              </w:rPr>
              <w:t>Upper Respiratory Tract Infection</w:t>
            </w:r>
          </w:p>
        </w:tc>
        <w:tc>
          <w:tcPr>
            <w:tcW w:w="1306" w:type="dxa"/>
          </w:tcPr>
          <w:p w14:paraId="15DD4D7C" w14:textId="77777777" w:rsidR="00574FBB" w:rsidRPr="0086672B" w:rsidRDefault="00574FBB" w:rsidP="00BE17AB">
            <w:pPr>
              <w:ind w:right="298"/>
              <w:rPr>
                <w:rFonts w:ascii="Calibri" w:hAnsi="Calibri" w:cs="Calibri"/>
                <w:bCs/>
                <w:sz w:val="18"/>
                <w:szCs w:val="18"/>
              </w:rPr>
            </w:pPr>
            <w:r w:rsidRPr="0086672B">
              <w:rPr>
                <w:rFonts w:ascii="Calibri" w:hAnsi="Calibri" w:cs="Calibri"/>
                <w:bCs/>
                <w:sz w:val="18"/>
                <w:szCs w:val="18"/>
              </w:rPr>
              <w:t>9 (10.7)</w:t>
            </w:r>
          </w:p>
        </w:tc>
        <w:tc>
          <w:tcPr>
            <w:tcW w:w="1276" w:type="dxa"/>
          </w:tcPr>
          <w:p w14:paraId="65F23861" w14:textId="77777777" w:rsidR="00574FBB" w:rsidRPr="0086672B" w:rsidRDefault="00574FBB" w:rsidP="00BE17AB">
            <w:pPr>
              <w:ind w:right="298"/>
              <w:rPr>
                <w:rFonts w:ascii="Calibri" w:hAnsi="Calibri" w:cs="Calibri"/>
                <w:bCs/>
                <w:sz w:val="18"/>
                <w:szCs w:val="18"/>
              </w:rPr>
            </w:pPr>
            <w:r w:rsidRPr="0086672B">
              <w:rPr>
                <w:rFonts w:ascii="Calibri" w:hAnsi="Calibri" w:cs="Calibri"/>
                <w:bCs/>
                <w:sz w:val="18"/>
                <w:szCs w:val="18"/>
              </w:rPr>
              <w:t>4 (4.8)</w:t>
            </w:r>
          </w:p>
        </w:tc>
      </w:tr>
      <w:tr w:rsidR="00574FBB" w:rsidRPr="00363EEE" w14:paraId="35192379" w14:textId="77777777" w:rsidTr="0005025F">
        <w:tc>
          <w:tcPr>
            <w:tcW w:w="4102" w:type="dxa"/>
          </w:tcPr>
          <w:p w14:paraId="2ED5766D" w14:textId="77777777" w:rsidR="00574FBB" w:rsidRPr="0086672B" w:rsidRDefault="00574FBB" w:rsidP="00BE17AB">
            <w:pPr>
              <w:ind w:right="298" w:firstLine="331"/>
              <w:rPr>
                <w:rFonts w:ascii="Calibri" w:hAnsi="Calibri" w:cs="Calibri"/>
                <w:bCs/>
                <w:sz w:val="18"/>
                <w:szCs w:val="18"/>
              </w:rPr>
            </w:pPr>
            <w:r w:rsidRPr="0086672B">
              <w:rPr>
                <w:rFonts w:ascii="Calibri" w:hAnsi="Calibri" w:cs="Calibri"/>
                <w:bCs/>
                <w:sz w:val="18"/>
                <w:szCs w:val="18"/>
              </w:rPr>
              <w:t>Urinary Tract Infection</w:t>
            </w:r>
          </w:p>
        </w:tc>
        <w:tc>
          <w:tcPr>
            <w:tcW w:w="1306" w:type="dxa"/>
          </w:tcPr>
          <w:p w14:paraId="4E2CFA7B" w14:textId="77777777" w:rsidR="00574FBB" w:rsidRPr="0086672B" w:rsidRDefault="00574FBB" w:rsidP="00BE17AB">
            <w:pPr>
              <w:ind w:right="298"/>
              <w:rPr>
                <w:rFonts w:ascii="Calibri" w:hAnsi="Calibri" w:cs="Calibri"/>
                <w:bCs/>
                <w:sz w:val="18"/>
                <w:szCs w:val="18"/>
              </w:rPr>
            </w:pPr>
            <w:r w:rsidRPr="0086672B">
              <w:rPr>
                <w:rFonts w:ascii="Calibri" w:hAnsi="Calibri" w:cs="Calibri"/>
                <w:bCs/>
                <w:sz w:val="18"/>
                <w:szCs w:val="18"/>
              </w:rPr>
              <w:t>8 (9.5)</w:t>
            </w:r>
          </w:p>
        </w:tc>
        <w:tc>
          <w:tcPr>
            <w:tcW w:w="1276" w:type="dxa"/>
          </w:tcPr>
          <w:p w14:paraId="2E921415" w14:textId="77777777" w:rsidR="00574FBB" w:rsidRPr="0086672B" w:rsidRDefault="00574FBB" w:rsidP="00BE17AB">
            <w:pPr>
              <w:ind w:right="298"/>
              <w:rPr>
                <w:rFonts w:ascii="Calibri" w:hAnsi="Calibri" w:cs="Calibri"/>
                <w:bCs/>
                <w:sz w:val="18"/>
                <w:szCs w:val="18"/>
              </w:rPr>
            </w:pPr>
            <w:r w:rsidRPr="0086672B">
              <w:rPr>
                <w:rFonts w:ascii="Calibri" w:hAnsi="Calibri" w:cs="Calibri"/>
                <w:bCs/>
                <w:sz w:val="18"/>
                <w:szCs w:val="18"/>
              </w:rPr>
              <w:t>4 (4.8)</w:t>
            </w:r>
          </w:p>
        </w:tc>
      </w:tr>
      <w:tr w:rsidR="00574FBB" w:rsidRPr="003A31DB" w14:paraId="00D2712F" w14:textId="77777777" w:rsidTr="0005025F">
        <w:tc>
          <w:tcPr>
            <w:tcW w:w="4102" w:type="dxa"/>
          </w:tcPr>
          <w:p w14:paraId="2072BB7D" w14:textId="77777777" w:rsidR="00574FBB" w:rsidRPr="0086672B" w:rsidRDefault="00574FBB" w:rsidP="00BE17AB">
            <w:pPr>
              <w:ind w:right="298"/>
              <w:rPr>
                <w:rFonts w:ascii="Calibri" w:hAnsi="Calibri" w:cs="Calibri"/>
                <w:b/>
                <w:sz w:val="18"/>
                <w:szCs w:val="18"/>
              </w:rPr>
            </w:pPr>
            <w:r w:rsidRPr="0086672B">
              <w:rPr>
                <w:rFonts w:ascii="Calibri" w:hAnsi="Calibri" w:cs="Calibri"/>
                <w:b/>
                <w:sz w:val="18"/>
                <w:szCs w:val="18"/>
              </w:rPr>
              <w:t>Injury, poisoning and procedural complications</w:t>
            </w:r>
          </w:p>
        </w:tc>
        <w:tc>
          <w:tcPr>
            <w:tcW w:w="1306" w:type="dxa"/>
          </w:tcPr>
          <w:p w14:paraId="6C8F7EC7" w14:textId="77777777" w:rsidR="00574FBB" w:rsidRPr="0086672B" w:rsidRDefault="00574FBB" w:rsidP="00BE17AB">
            <w:pPr>
              <w:ind w:right="298"/>
              <w:rPr>
                <w:rFonts w:ascii="Calibri" w:hAnsi="Calibri" w:cs="Calibri"/>
                <w:b/>
                <w:sz w:val="18"/>
                <w:szCs w:val="18"/>
              </w:rPr>
            </w:pPr>
          </w:p>
        </w:tc>
        <w:tc>
          <w:tcPr>
            <w:tcW w:w="1276" w:type="dxa"/>
          </w:tcPr>
          <w:p w14:paraId="57FF865D" w14:textId="77777777" w:rsidR="00574FBB" w:rsidRPr="0086672B" w:rsidRDefault="00574FBB" w:rsidP="00BE17AB">
            <w:pPr>
              <w:ind w:right="298"/>
              <w:rPr>
                <w:rFonts w:ascii="Calibri" w:hAnsi="Calibri" w:cs="Calibri"/>
                <w:b/>
                <w:sz w:val="18"/>
                <w:szCs w:val="18"/>
              </w:rPr>
            </w:pPr>
          </w:p>
        </w:tc>
      </w:tr>
      <w:tr w:rsidR="00574FBB" w:rsidRPr="003A31DB" w14:paraId="05FA3ABE" w14:textId="77777777" w:rsidTr="0005025F">
        <w:tc>
          <w:tcPr>
            <w:tcW w:w="4102" w:type="dxa"/>
          </w:tcPr>
          <w:p w14:paraId="244CD1EC" w14:textId="77777777" w:rsidR="00574FBB" w:rsidRPr="0086672B" w:rsidRDefault="00574FBB" w:rsidP="00BE17AB">
            <w:pPr>
              <w:ind w:right="298" w:firstLine="331"/>
              <w:rPr>
                <w:rFonts w:ascii="Calibri" w:hAnsi="Calibri" w:cs="Calibri"/>
                <w:bCs/>
                <w:sz w:val="18"/>
                <w:szCs w:val="18"/>
              </w:rPr>
            </w:pPr>
            <w:r w:rsidRPr="0086672B">
              <w:rPr>
                <w:rFonts w:ascii="Calibri" w:hAnsi="Calibri" w:cs="Calibri"/>
                <w:bCs/>
                <w:sz w:val="18"/>
                <w:szCs w:val="18"/>
              </w:rPr>
              <w:t>Procedural headache</w:t>
            </w:r>
          </w:p>
        </w:tc>
        <w:tc>
          <w:tcPr>
            <w:tcW w:w="1306" w:type="dxa"/>
          </w:tcPr>
          <w:p w14:paraId="321E06E7" w14:textId="77777777" w:rsidR="00574FBB" w:rsidRPr="0086672B" w:rsidRDefault="00574FBB" w:rsidP="00BE17AB">
            <w:pPr>
              <w:ind w:right="298"/>
              <w:rPr>
                <w:rFonts w:ascii="Calibri" w:hAnsi="Calibri" w:cs="Calibri"/>
                <w:bCs/>
                <w:sz w:val="18"/>
                <w:szCs w:val="18"/>
              </w:rPr>
            </w:pPr>
            <w:r w:rsidRPr="0086672B">
              <w:rPr>
                <w:rFonts w:ascii="Calibri" w:hAnsi="Calibri" w:cs="Calibri"/>
                <w:bCs/>
                <w:sz w:val="18"/>
                <w:szCs w:val="18"/>
              </w:rPr>
              <w:t>4 (4.8)</w:t>
            </w:r>
          </w:p>
        </w:tc>
        <w:tc>
          <w:tcPr>
            <w:tcW w:w="1276" w:type="dxa"/>
          </w:tcPr>
          <w:p w14:paraId="44FBABCA" w14:textId="77777777" w:rsidR="00574FBB" w:rsidRPr="0086672B" w:rsidRDefault="00574FBB" w:rsidP="00BE17AB">
            <w:pPr>
              <w:ind w:right="298"/>
              <w:rPr>
                <w:rFonts w:ascii="Calibri" w:hAnsi="Calibri" w:cs="Calibri"/>
                <w:bCs/>
                <w:sz w:val="18"/>
                <w:szCs w:val="18"/>
              </w:rPr>
            </w:pPr>
            <w:r w:rsidRPr="0086672B">
              <w:rPr>
                <w:rFonts w:ascii="Calibri" w:hAnsi="Calibri" w:cs="Calibri"/>
                <w:bCs/>
                <w:sz w:val="18"/>
                <w:szCs w:val="18"/>
              </w:rPr>
              <w:t>1 (1.2)</w:t>
            </w:r>
          </w:p>
        </w:tc>
      </w:tr>
      <w:tr w:rsidR="00574FBB" w:rsidRPr="003A31DB" w14:paraId="79BBF38B" w14:textId="77777777" w:rsidTr="0005025F">
        <w:tc>
          <w:tcPr>
            <w:tcW w:w="4102" w:type="dxa"/>
          </w:tcPr>
          <w:p w14:paraId="6BAC386D" w14:textId="77777777" w:rsidR="00574FBB" w:rsidRPr="0086672B" w:rsidRDefault="00574FBB" w:rsidP="00BE17AB">
            <w:pPr>
              <w:ind w:right="298"/>
              <w:rPr>
                <w:rFonts w:ascii="Calibri" w:hAnsi="Calibri" w:cs="Calibri"/>
                <w:b/>
                <w:sz w:val="18"/>
                <w:szCs w:val="18"/>
              </w:rPr>
            </w:pPr>
            <w:r w:rsidRPr="0086672B">
              <w:rPr>
                <w:rFonts w:ascii="Calibri" w:hAnsi="Calibri" w:cs="Calibri"/>
                <w:b/>
                <w:sz w:val="18"/>
                <w:szCs w:val="18"/>
              </w:rPr>
              <w:t>Musculoskeletal and connective tissue disorders</w:t>
            </w:r>
          </w:p>
        </w:tc>
        <w:tc>
          <w:tcPr>
            <w:tcW w:w="1306" w:type="dxa"/>
          </w:tcPr>
          <w:p w14:paraId="48FDB0A6" w14:textId="77777777" w:rsidR="00574FBB" w:rsidRPr="0086672B" w:rsidRDefault="00574FBB" w:rsidP="00BE17AB">
            <w:pPr>
              <w:ind w:right="298"/>
              <w:rPr>
                <w:rFonts w:ascii="Calibri" w:hAnsi="Calibri" w:cs="Calibri"/>
                <w:b/>
                <w:sz w:val="18"/>
                <w:szCs w:val="18"/>
              </w:rPr>
            </w:pPr>
          </w:p>
        </w:tc>
        <w:tc>
          <w:tcPr>
            <w:tcW w:w="1276" w:type="dxa"/>
          </w:tcPr>
          <w:p w14:paraId="476E9E4E" w14:textId="77777777" w:rsidR="00574FBB" w:rsidRPr="0086672B" w:rsidRDefault="00574FBB" w:rsidP="00BE17AB">
            <w:pPr>
              <w:ind w:right="298"/>
              <w:rPr>
                <w:rFonts w:ascii="Calibri" w:hAnsi="Calibri" w:cs="Calibri"/>
                <w:b/>
                <w:sz w:val="18"/>
                <w:szCs w:val="18"/>
              </w:rPr>
            </w:pPr>
          </w:p>
        </w:tc>
      </w:tr>
      <w:tr w:rsidR="00574FBB" w:rsidRPr="003A31DB" w14:paraId="0D11C3EF" w14:textId="77777777" w:rsidTr="0005025F">
        <w:tc>
          <w:tcPr>
            <w:tcW w:w="4102" w:type="dxa"/>
          </w:tcPr>
          <w:p w14:paraId="3A7B1A33" w14:textId="77777777" w:rsidR="00574FBB" w:rsidRPr="0086672B" w:rsidRDefault="00574FBB" w:rsidP="00BE17AB">
            <w:pPr>
              <w:ind w:right="298" w:firstLine="331"/>
              <w:rPr>
                <w:rFonts w:ascii="Calibri" w:hAnsi="Calibri" w:cs="Calibri"/>
                <w:bCs/>
                <w:sz w:val="18"/>
                <w:szCs w:val="18"/>
              </w:rPr>
            </w:pPr>
            <w:r w:rsidRPr="0086672B">
              <w:rPr>
                <w:rFonts w:ascii="Calibri" w:hAnsi="Calibri" w:cs="Calibri"/>
                <w:bCs/>
                <w:sz w:val="18"/>
                <w:szCs w:val="18"/>
              </w:rPr>
              <w:t>Myalgia</w:t>
            </w:r>
          </w:p>
        </w:tc>
        <w:tc>
          <w:tcPr>
            <w:tcW w:w="1306" w:type="dxa"/>
          </w:tcPr>
          <w:p w14:paraId="1FA8F65D" w14:textId="77777777" w:rsidR="00574FBB" w:rsidRPr="0086672B" w:rsidRDefault="00574FBB" w:rsidP="00BE17AB">
            <w:pPr>
              <w:ind w:right="298"/>
              <w:rPr>
                <w:rFonts w:ascii="Calibri" w:hAnsi="Calibri" w:cs="Calibri"/>
                <w:bCs/>
                <w:sz w:val="18"/>
                <w:szCs w:val="18"/>
              </w:rPr>
            </w:pPr>
            <w:r w:rsidRPr="0086672B">
              <w:rPr>
                <w:rFonts w:ascii="Calibri" w:hAnsi="Calibri" w:cs="Calibri"/>
                <w:bCs/>
                <w:sz w:val="18"/>
                <w:szCs w:val="18"/>
              </w:rPr>
              <w:t>5 (6.0)</w:t>
            </w:r>
          </w:p>
        </w:tc>
        <w:tc>
          <w:tcPr>
            <w:tcW w:w="1276" w:type="dxa"/>
          </w:tcPr>
          <w:p w14:paraId="30000D7A" w14:textId="77777777" w:rsidR="00574FBB" w:rsidRPr="0086672B" w:rsidRDefault="00574FBB" w:rsidP="00BE17AB">
            <w:pPr>
              <w:ind w:right="298"/>
              <w:rPr>
                <w:rFonts w:ascii="Calibri" w:hAnsi="Calibri" w:cs="Calibri"/>
                <w:bCs/>
                <w:sz w:val="18"/>
                <w:szCs w:val="18"/>
              </w:rPr>
            </w:pPr>
            <w:r w:rsidRPr="0086672B">
              <w:rPr>
                <w:rFonts w:ascii="Calibri" w:hAnsi="Calibri" w:cs="Calibri"/>
                <w:bCs/>
                <w:sz w:val="18"/>
                <w:szCs w:val="18"/>
              </w:rPr>
              <w:t>1 (1.2)</w:t>
            </w:r>
          </w:p>
        </w:tc>
      </w:tr>
    </w:tbl>
    <w:p w14:paraId="1555B7F9" w14:textId="4BFEF4E3" w:rsidR="00F04696" w:rsidRPr="006075A9" w:rsidRDefault="00EA47D3" w:rsidP="00BE17AB">
      <w:pPr>
        <w:contextualSpacing/>
        <w:rPr>
          <w:rFonts w:eastAsia="MS Mincho" w:cstheme="minorHAnsi"/>
          <w:iCs/>
        </w:rPr>
      </w:pPr>
      <w:r>
        <w:rPr>
          <w:rFonts w:cstheme="minorHAnsi"/>
        </w:rPr>
        <w:br/>
      </w:r>
      <w:r w:rsidR="00F04696" w:rsidRPr="00B074CF">
        <w:rPr>
          <w:rFonts w:cstheme="minorHAnsi"/>
        </w:rPr>
        <w:t xml:space="preserve">All other adverse </w:t>
      </w:r>
      <w:r w:rsidR="00F04696">
        <w:rPr>
          <w:rFonts w:cstheme="minorHAnsi"/>
        </w:rPr>
        <w:t>event</w:t>
      </w:r>
      <w:r w:rsidR="00AF50E8">
        <w:rPr>
          <w:rFonts w:cstheme="minorHAnsi"/>
        </w:rPr>
        <w:t>s</w:t>
      </w:r>
      <w:r w:rsidR="00F04696" w:rsidRPr="006075A9">
        <w:rPr>
          <w:rFonts w:cstheme="minorHAnsi"/>
        </w:rPr>
        <w:t xml:space="preserve"> were mild or moderate </w:t>
      </w:r>
      <w:proofErr w:type="gramStart"/>
      <w:r w:rsidR="00F04696" w:rsidRPr="006075A9">
        <w:rPr>
          <w:rFonts w:cstheme="minorHAnsi"/>
        </w:rPr>
        <w:t>with the exception of</w:t>
      </w:r>
      <w:proofErr w:type="gramEnd"/>
      <w:r w:rsidR="00F04696" w:rsidRPr="006075A9">
        <w:rPr>
          <w:rFonts w:cstheme="minorHAnsi"/>
        </w:rPr>
        <w:t xml:space="preserve"> one case of myalgia (Grade 3).</w:t>
      </w:r>
    </w:p>
    <w:p w14:paraId="75179126" w14:textId="77777777" w:rsidR="008B12EF" w:rsidRPr="006075A9" w:rsidRDefault="008B12EF" w:rsidP="00BE17AB">
      <w:pPr>
        <w:rPr>
          <w:rFonts w:eastAsia="MS Mincho" w:cstheme="minorHAnsi"/>
          <w:u w:val="single"/>
        </w:rPr>
      </w:pPr>
    </w:p>
    <w:p w14:paraId="35255ADB" w14:textId="11CA4544" w:rsidR="00574FBB" w:rsidRPr="006075A9" w:rsidRDefault="00574FBB" w:rsidP="00BE17AB">
      <w:pPr>
        <w:rPr>
          <w:rFonts w:eastAsia="MS Mincho" w:cstheme="minorHAnsi"/>
        </w:rPr>
      </w:pPr>
      <w:r w:rsidRPr="006075A9">
        <w:rPr>
          <w:rFonts w:eastAsia="MS Mincho" w:cstheme="minorHAnsi"/>
          <w:u w:val="single"/>
        </w:rPr>
        <w:t xml:space="preserve">Description of selected adverse </w:t>
      </w:r>
      <w:r w:rsidR="00E1279B">
        <w:rPr>
          <w:rFonts w:eastAsia="MS Mincho" w:cstheme="minorHAnsi"/>
          <w:u w:val="single"/>
        </w:rPr>
        <w:t>reaction</w:t>
      </w:r>
      <w:r w:rsidRPr="006075A9">
        <w:rPr>
          <w:rFonts w:eastAsia="MS Mincho" w:cstheme="minorHAnsi"/>
          <w:u w:val="single"/>
        </w:rPr>
        <w:t>s</w:t>
      </w:r>
    </w:p>
    <w:p w14:paraId="362E3FFA" w14:textId="77777777" w:rsidR="00574FBB" w:rsidRPr="006075A9" w:rsidRDefault="00574FBB" w:rsidP="00BE17AB">
      <w:pPr>
        <w:rPr>
          <w:rFonts w:eastAsia="MS Mincho" w:cstheme="minorHAnsi"/>
          <w:i/>
          <w:iCs/>
          <w:u w:val="single"/>
        </w:rPr>
      </w:pPr>
      <w:r w:rsidRPr="006075A9">
        <w:rPr>
          <w:rFonts w:eastAsia="MS Mincho" w:cstheme="minorHAnsi"/>
          <w:i/>
          <w:iCs/>
          <w:u w:val="single"/>
        </w:rPr>
        <w:t>Infections</w:t>
      </w:r>
    </w:p>
    <w:p w14:paraId="27592EDE" w14:textId="178EE791" w:rsidR="00574FBB" w:rsidRPr="00B074CF" w:rsidRDefault="00574FBB" w:rsidP="00BE17AB">
      <w:pPr>
        <w:contextualSpacing/>
        <w:rPr>
          <w:rFonts w:eastAsia="MS Mincho" w:cstheme="minorHAnsi"/>
        </w:rPr>
      </w:pPr>
      <w:r w:rsidRPr="006075A9">
        <w:rPr>
          <w:rFonts w:eastAsia="MS Mincho" w:cstheme="minorHAnsi"/>
        </w:rPr>
        <w:t xml:space="preserve">The most frequently reported adverse </w:t>
      </w:r>
      <w:r w:rsidR="00E1279B">
        <w:rPr>
          <w:rFonts w:eastAsia="MS Mincho" w:cstheme="minorHAnsi"/>
        </w:rPr>
        <w:t>reactions</w:t>
      </w:r>
      <w:r w:rsidRPr="006075A9">
        <w:rPr>
          <w:rFonts w:eastAsia="MS Mincho" w:cstheme="minorHAnsi"/>
        </w:rPr>
        <w:t xml:space="preserve"> were infections, and the most reported infections were upper respiratory tract infections (10.7% [n = 9] of patients treated with efgartigimod alfa and 4.8% [n = 4] of patients treated with placebo</w:t>
      </w:r>
      <w:r w:rsidRPr="00B074CF">
        <w:rPr>
          <w:rFonts w:eastAsia="MS Mincho" w:cstheme="minorHAnsi"/>
        </w:rPr>
        <w:t xml:space="preserve">) and urinary tract infections (9.5% [n = 8] of patients treated with efgartigimod alfa and 4.8% [n = 4] of patients treated with placebo). These infections were mild to moderate in severity in patients who received efgartigimod alfa (≤ Grade 2 according to the Common Terminology Criteria for Adverse Events). Overall, </w:t>
      </w:r>
      <w:r w:rsidRPr="00B074CF">
        <w:rPr>
          <w:rFonts w:eastAsia="MS Mincho" w:cstheme="minorHAnsi"/>
          <w:lang w:val="en-US"/>
        </w:rPr>
        <w:t>treatment emergent</w:t>
      </w:r>
      <w:r w:rsidRPr="00B074CF">
        <w:rPr>
          <w:rFonts w:eastAsia="MS Mincho" w:cstheme="minorHAnsi"/>
        </w:rPr>
        <w:t xml:space="preserve"> infections were reported in 46.4% (n = 39) of patients treated with efgartigimod alfa and 37.3% (n = 31) of patients treated with placebo. The median time from treatment initiation to emergence of infections was 6 weeks. Incidence of infections did not increase with subsequent treatment cycles. Treatment discontinuation or temporary interruption of treatment due to an infection occurred in less than 2% of patients.</w:t>
      </w:r>
    </w:p>
    <w:p w14:paraId="5C7E6890" w14:textId="77777777" w:rsidR="00574FBB" w:rsidRPr="00B074CF" w:rsidRDefault="00574FBB" w:rsidP="00BE17AB">
      <w:pPr>
        <w:pStyle w:val="BodytextAgency"/>
        <w:spacing w:after="0" w:line="240" w:lineRule="auto"/>
        <w:contextualSpacing/>
        <w:rPr>
          <w:rFonts w:asciiTheme="minorHAnsi" w:hAnsiTheme="minorHAnsi" w:cstheme="minorHAnsi"/>
          <w:i/>
          <w:sz w:val="22"/>
          <w:szCs w:val="22"/>
          <w:lang w:val="en-US"/>
        </w:rPr>
      </w:pPr>
      <w:r w:rsidRPr="00B074CF">
        <w:rPr>
          <w:rFonts w:asciiTheme="minorHAnsi" w:hAnsiTheme="minorHAnsi" w:cstheme="minorHAnsi"/>
          <w:i/>
          <w:sz w:val="22"/>
          <w:szCs w:val="22"/>
          <w:u w:val="single"/>
          <w:lang w:val="en-US"/>
        </w:rPr>
        <w:t>Procedural headache</w:t>
      </w:r>
    </w:p>
    <w:p w14:paraId="56E7B05A" w14:textId="77777777" w:rsidR="00574FBB" w:rsidRDefault="00574FBB" w:rsidP="00BE17AB">
      <w:pPr>
        <w:contextualSpacing/>
        <w:rPr>
          <w:rFonts w:cstheme="minorHAnsi"/>
          <w:iCs/>
          <w:lang w:val="en-US"/>
        </w:rPr>
      </w:pPr>
      <w:r w:rsidRPr="00B074CF">
        <w:rPr>
          <w:rFonts w:cstheme="minorHAnsi"/>
          <w:iCs/>
          <w:lang w:val="en-US"/>
        </w:rPr>
        <w:t>Procedural headache was reported in 4.8% of the patients treated with efgartigimod alfa</w:t>
      </w:r>
      <w:r w:rsidRPr="00B074CF">
        <w:rPr>
          <w:rFonts w:cstheme="minorHAnsi"/>
        </w:rPr>
        <w:t xml:space="preserve"> and 1.2% of patients treated with placebo</w:t>
      </w:r>
      <w:r w:rsidRPr="00B074CF">
        <w:rPr>
          <w:rFonts w:cstheme="minorHAnsi"/>
          <w:iCs/>
          <w:lang w:val="en-US"/>
        </w:rPr>
        <w:t xml:space="preserve">. Procedural headache was reported when a headache was judged to be temporally related to the intravenous infusion of efgartigimod alfa. </w:t>
      </w:r>
      <w:r w:rsidRPr="00B074CF">
        <w:rPr>
          <w:rFonts w:cstheme="minorHAnsi"/>
        </w:rPr>
        <w:t>All were mild or moderate except o</w:t>
      </w:r>
      <w:r w:rsidRPr="00B074CF">
        <w:rPr>
          <w:rFonts w:cstheme="minorHAnsi"/>
          <w:iCs/>
          <w:lang w:val="en-US"/>
        </w:rPr>
        <w:t xml:space="preserve">ne event </w:t>
      </w:r>
      <w:r w:rsidRPr="00B074CF">
        <w:rPr>
          <w:rFonts w:cstheme="minorHAnsi"/>
        </w:rPr>
        <w:t xml:space="preserve">which </w:t>
      </w:r>
      <w:r w:rsidRPr="00B074CF">
        <w:rPr>
          <w:rFonts w:cstheme="minorHAnsi"/>
          <w:iCs/>
          <w:lang w:val="en-US"/>
        </w:rPr>
        <w:t>was reported as severe (Grade 3).</w:t>
      </w:r>
    </w:p>
    <w:p w14:paraId="438C966E" w14:textId="77777777" w:rsidR="00E1279B" w:rsidRDefault="00E1279B" w:rsidP="00BE17AB">
      <w:pPr>
        <w:contextualSpacing/>
        <w:rPr>
          <w:rFonts w:eastAsia="MS Mincho" w:cstheme="minorHAnsi"/>
          <w:iCs/>
        </w:rPr>
      </w:pPr>
    </w:p>
    <w:p w14:paraId="250DB4F5" w14:textId="77777777" w:rsidR="00FF4D01" w:rsidRDefault="00574FBB" w:rsidP="00BE17AB">
      <w:pPr>
        <w:autoSpaceDE w:val="0"/>
        <w:autoSpaceDN w:val="0"/>
        <w:adjustRightInd w:val="0"/>
        <w:rPr>
          <w:rFonts w:cstheme="minorHAnsi"/>
          <w:u w:val="single"/>
        </w:rPr>
      </w:pPr>
      <w:r w:rsidRPr="00FF4D01">
        <w:rPr>
          <w:rFonts w:cstheme="minorHAnsi"/>
          <w:u w:val="single"/>
        </w:rPr>
        <w:t>Post-marketing reports</w:t>
      </w:r>
    </w:p>
    <w:p w14:paraId="03099F24" w14:textId="3074DD0A" w:rsidR="00574FBB" w:rsidRPr="00FF4D01" w:rsidRDefault="00574FBB" w:rsidP="00BE17AB">
      <w:pPr>
        <w:autoSpaceDE w:val="0"/>
        <w:autoSpaceDN w:val="0"/>
        <w:adjustRightInd w:val="0"/>
        <w:rPr>
          <w:rFonts w:cstheme="minorHAnsi"/>
          <w:u w:val="single"/>
        </w:rPr>
      </w:pPr>
      <w:r>
        <w:rPr>
          <w:rFonts w:cstheme="minorHAnsi"/>
        </w:rPr>
        <w:t xml:space="preserve">Cases of anaphylactic reactions have been reported in the post-marketing setting. For further information, refer to </w:t>
      </w:r>
      <w:r w:rsidRPr="003355C3">
        <w:rPr>
          <w:rFonts w:cstheme="minorHAnsi"/>
          <w:i/>
          <w:iCs/>
        </w:rPr>
        <w:t>Section</w:t>
      </w:r>
      <w:r>
        <w:rPr>
          <w:rFonts w:cstheme="minorHAnsi"/>
        </w:rPr>
        <w:t xml:space="preserve"> </w:t>
      </w:r>
      <w:r w:rsidRPr="00FF4D01">
        <w:rPr>
          <w:rFonts w:cstheme="minorHAnsi"/>
          <w:i/>
          <w:iCs/>
        </w:rPr>
        <w:t xml:space="preserve">4.4: Special Warnings and </w:t>
      </w:r>
      <w:r w:rsidRPr="006075A9">
        <w:rPr>
          <w:rFonts w:cstheme="minorHAnsi"/>
          <w:i/>
          <w:iCs/>
        </w:rPr>
        <w:t>Precaution for Use</w:t>
      </w:r>
      <w:r w:rsidR="00DC7C5B" w:rsidRPr="006075A9">
        <w:rPr>
          <w:rFonts w:cstheme="minorHAnsi"/>
          <w:i/>
          <w:iCs/>
        </w:rPr>
        <w:t>.</w:t>
      </w:r>
    </w:p>
    <w:p w14:paraId="7809CC9D" w14:textId="77777777" w:rsidR="00BE17AB" w:rsidRDefault="00BE17AB" w:rsidP="00BE17AB">
      <w:pPr>
        <w:pStyle w:val="Heading3"/>
        <w:keepNext w:val="0"/>
        <w:keepLines w:val="0"/>
        <w:ind w:left="0"/>
        <w:rPr>
          <w:rFonts w:asciiTheme="minorHAnsi" w:hAnsiTheme="minorHAnsi" w:cstheme="minorHAnsi"/>
        </w:rPr>
      </w:pPr>
    </w:p>
    <w:p w14:paraId="10A144B5" w14:textId="77777777" w:rsidR="00BE17AB" w:rsidRDefault="00BE17AB" w:rsidP="00BE17AB">
      <w:pPr>
        <w:pStyle w:val="Heading3"/>
        <w:keepNext w:val="0"/>
        <w:keepLines w:val="0"/>
        <w:ind w:left="0"/>
        <w:rPr>
          <w:rFonts w:asciiTheme="minorHAnsi" w:hAnsiTheme="minorHAnsi" w:cstheme="minorHAnsi"/>
        </w:rPr>
      </w:pPr>
    </w:p>
    <w:p w14:paraId="402CB1A1" w14:textId="2AFB9574" w:rsidR="00574FBB" w:rsidRPr="00B074CF" w:rsidRDefault="00574FBB" w:rsidP="00BE17AB">
      <w:pPr>
        <w:pStyle w:val="Heading3"/>
        <w:keepNext w:val="0"/>
        <w:keepLines w:val="0"/>
        <w:ind w:left="0"/>
        <w:rPr>
          <w:rFonts w:asciiTheme="minorHAnsi" w:hAnsiTheme="minorHAnsi" w:cstheme="minorHAnsi"/>
        </w:rPr>
      </w:pPr>
      <w:r w:rsidRPr="00B074CF">
        <w:rPr>
          <w:rFonts w:asciiTheme="minorHAnsi" w:hAnsiTheme="minorHAnsi" w:cstheme="minorHAnsi"/>
        </w:rPr>
        <w:lastRenderedPageBreak/>
        <w:t>Reporting suspected adverse effects</w:t>
      </w:r>
    </w:p>
    <w:p w14:paraId="0DA73F3D" w14:textId="77777777" w:rsidR="00574FBB" w:rsidRPr="00B074CF" w:rsidRDefault="00574FBB" w:rsidP="00BE17AB">
      <w:pPr>
        <w:rPr>
          <w:rFonts w:cstheme="minorHAnsi"/>
          <w:lang w:val="en"/>
        </w:rPr>
      </w:pPr>
      <w:r w:rsidRPr="00B074CF">
        <w:rPr>
          <w:rFonts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B074CF">
          <w:rPr>
            <w:rStyle w:val="Hyperlink"/>
            <w:rFonts w:cstheme="minorHAnsi"/>
            <w:lang w:val="en"/>
          </w:rPr>
          <w:t>www.tga.gov.au/reporting-problems</w:t>
        </w:r>
      </w:hyperlink>
      <w:r w:rsidRPr="00B074CF">
        <w:rPr>
          <w:rFonts w:cstheme="minorHAnsi"/>
          <w:lang w:val="en"/>
        </w:rPr>
        <w:t>.</w:t>
      </w:r>
    </w:p>
    <w:p w14:paraId="63CBE5A2" w14:textId="77777777" w:rsidR="00574FBB" w:rsidRPr="00B074CF" w:rsidRDefault="00574FBB" w:rsidP="00BE17AB">
      <w:pPr>
        <w:pStyle w:val="Heading2"/>
        <w:spacing w:before="0" w:after="120"/>
        <w:rPr>
          <w:rFonts w:asciiTheme="minorHAnsi" w:hAnsiTheme="minorHAnsi" w:cstheme="minorHAnsi"/>
          <w:sz w:val="22"/>
        </w:rPr>
      </w:pPr>
      <w:r w:rsidRPr="00B074CF">
        <w:rPr>
          <w:rFonts w:asciiTheme="minorHAnsi" w:hAnsiTheme="minorHAnsi" w:cstheme="minorHAnsi"/>
          <w:sz w:val="22"/>
        </w:rPr>
        <w:t>Overdose</w:t>
      </w:r>
    </w:p>
    <w:p w14:paraId="20356A58" w14:textId="77777777" w:rsidR="00574FBB" w:rsidRDefault="00574FBB" w:rsidP="00BE17AB">
      <w:pPr>
        <w:rPr>
          <w:rFonts w:cstheme="minorHAnsi"/>
        </w:rPr>
      </w:pPr>
      <w:r w:rsidRPr="00B074CF">
        <w:rPr>
          <w:rFonts w:cstheme="minorHAnsi"/>
        </w:rPr>
        <w:t>There are no known specific signs and symptoms of overdose with efgartigimod alfa. In the event of an overdose the adverse events that may occur are not expected to be different from those that may be observed at the recommended dose. Patients should be monitored for adverse reactions, and appropriate symptomatic and supportive treatment initiated. There is no specific antidote for overdose with efgartigimod alfa.</w:t>
      </w:r>
      <w:r>
        <w:rPr>
          <w:rFonts w:cstheme="minorHAnsi"/>
        </w:rPr>
        <w:t xml:space="preserve"> For information on the management of overdose, contact the Poisons Information Centre on 13 11 26 (Australia).</w:t>
      </w:r>
    </w:p>
    <w:p w14:paraId="1D8E73E1" w14:textId="77777777" w:rsidR="00574FBB" w:rsidRPr="00B074CF" w:rsidRDefault="00574FBB" w:rsidP="00BE17AB">
      <w:pPr>
        <w:pStyle w:val="Heading1"/>
        <w:keepNext w:val="0"/>
        <w:keepLines w:val="0"/>
        <w:spacing w:before="0" w:after="120"/>
        <w:rPr>
          <w:rFonts w:asciiTheme="minorHAnsi" w:hAnsiTheme="minorHAnsi" w:cstheme="minorHAnsi"/>
          <w:sz w:val="22"/>
          <w:szCs w:val="22"/>
          <w:lang w:val="en-US"/>
        </w:rPr>
      </w:pPr>
      <w:r w:rsidRPr="00B074CF">
        <w:rPr>
          <w:rFonts w:asciiTheme="minorHAnsi" w:hAnsiTheme="minorHAnsi" w:cstheme="minorHAnsi"/>
          <w:sz w:val="22"/>
          <w:szCs w:val="22"/>
          <w:lang w:val="en-US"/>
        </w:rPr>
        <w:t>Pharmacological properties</w:t>
      </w:r>
    </w:p>
    <w:p w14:paraId="7D002EC4" w14:textId="77777777" w:rsidR="00574FBB" w:rsidRPr="00B074CF" w:rsidRDefault="00574FBB" w:rsidP="00BE17AB">
      <w:pPr>
        <w:pStyle w:val="Heading2"/>
        <w:spacing w:before="0" w:after="120"/>
        <w:rPr>
          <w:rFonts w:asciiTheme="minorHAnsi" w:hAnsiTheme="minorHAnsi" w:cstheme="minorHAnsi"/>
          <w:sz w:val="22"/>
          <w:lang w:val="en-US"/>
        </w:rPr>
      </w:pPr>
      <w:r w:rsidRPr="00B074CF">
        <w:rPr>
          <w:rFonts w:asciiTheme="minorHAnsi" w:hAnsiTheme="minorHAnsi" w:cstheme="minorHAnsi"/>
          <w:sz w:val="22"/>
          <w:lang w:val="en-US"/>
        </w:rPr>
        <w:t xml:space="preserve">Pharmacodynamic properties </w:t>
      </w:r>
    </w:p>
    <w:p w14:paraId="0B0EFF9B" w14:textId="0E508F85" w:rsidR="00574FBB" w:rsidRDefault="00574FBB" w:rsidP="00BE17AB">
      <w:pPr>
        <w:outlineLvl w:val="0"/>
        <w:rPr>
          <w:rFonts w:cstheme="minorHAnsi"/>
        </w:rPr>
      </w:pPr>
      <w:r w:rsidRPr="00B074CF">
        <w:rPr>
          <w:rFonts w:cstheme="minorHAnsi"/>
        </w:rPr>
        <w:t xml:space="preserve">Pharmacotherapeutic group: Immunosuppressants, selective immunosuppressants, ATC code: </w:t>
      </w:r>
      <w:r w:rsidRPr="006075A9">
        <w:rPr>
          <w:rFonts w:cstheme="minorHAnsi"/>
        </w:rPr>
        <w:t>L04AA58</w:t>
      </w:r>
      <w:r w:rsidR="00DC7C5B" w:rsidRPr="006075A9">
        <w:rPr>
          <w:rFonts w:cstheme="minorHAnsi"/>
        </w:rPr>
        <w:t>.</w:t>
      </w:r>
    </w:p>
    <w:p w14:paraId="4E07C559" w14:textId="77777777" w:rsidR="00574FBB" w:rsidRPr="00B074CF" w:rsidRDefault="00574FBB" w:rsidP="00BE17AB">
      <w:pPr>
        <w:pStyle w:val="Heading3"/>
        <w:keepNext w:val="0"/>
        <w:keepLines w:val="0"/>
        <w:spacing w:before="0" w:after="120"/>
        <w:ind w:left="0"/>
        <w:rPr>
          <w:rFonts w:asciiTheme="minorHAnsi" w:hAnsiTheme="minorHAnsi" w:cstheme="minorHAnsi"/>
        </w:rPr>
      </w:pPr>
      <w:r w:rsidRPr="00B074CF">
        <w:rPr>
          <w:rFonts w:asciiTheme="minorHAnsi" w:hAnsiTheme="minorHAnsi" w:cstheme="minorHAnsi"/>
        </w:rPr>
        <w:t>Mechanism of action</w:t>
      </w:r>
    </w:p>
    <w:p w14:paraId="1B2ABBA1" w14:textId="77777777" w:rsidR="00574FBB" w:rsidRPr="00B074CF" w:rsidRDefault="00574FBB" w:rsidP="00BE17AB">
      <w:pPr>
        <w:autoSpaceDE w:val="0"/>
        <w:autoSpaceDN w:val="0"/>
        <w:adjustRightInd w:val="0"/>
        <w:rPr>
          <w:rFonts w:cstheme="minorHAnsi"/>
        </w:rPr>
      </w:pPr>
      <w:r w:rsidRPr="00B074CF">
        <w:rPr>
          <w:rFonts w:cstheme="minorHAnsi"/>
        </w:rPr>
        <w:t>Efgartigimod alfa is a human IgG1 antibody fragment engineered for increased affinity to the neonatal Fc Receptor (</w:t>
      </w:r>
      <w:proofErr w:type="spellStart"/>
      <w:r w:rsidRPr="00B074CF">
        <w:rPr>
          <w:rFonts w:cstheme="minorHAnsi"/>
        </w:rPr>
        <w:t>FcRn</w:t>
      </w:r>
      <w:proofErr w:type="spellEnd"/>
      <w:r w:rsidRPr="00B074CF">
        <w:rPr>
          <w:rFonts w:cstheme="minorHAnsi"/>
        </w:rPr>
        <w:t xml:space="preserve">). Efgartigimod alfa binds to </w:t>
      </w:r>
      <w:proofErr w:type="spellStart"/>
      <w:r w:rsidRPr="00B074CF">
        <w:rPr>
          <w:rFonts w:cstheme="minorHAnsi"/>
        </w:rPr>
        <w:t>FcRn</w:t>
      </w:r>
      <w:proofErr w:type="spellEnd"/>
      <w:r w:rsidRPr="00B074CF">
        <w:rPr>
          <w:rFonts w:cstheme="minorHAnsi"/>
        </w:rPr>
        <w:t>, resulting in a</w:t>
      </w:r>
      <w:r w:rsidRPr="00B074CF" w:rsidDel="00CB3A25">
        <w:rPr>
          <w:rFonts w:cstheme="minorHAnsi"/>
        </w:rPr>
        <w:t xml:space="preserve"> </w:t>
      </w:r>
      <w:r w:rsidRPr="00B074CF">
        <w:rPr>
          <w:rFonts w:cstheme="minorHAnsi"/>
        </w:rPr>
        <w:t xml:space="preserve">reduction in the levels of circulating IgG including pathogenic IgG autoantibodies. Efgartigimod alfa does not </w:t>
      </w:r>
      <w:r w:rsidRPr="00B074CF" w:rsidDel="00481806">
        <w:rPr>
          <w:rFonts w:cstheme="minorHAnsi"/>
        </w:rPr>
        <w:t xml:space="preserve">affect </w:t>
      </w:r>
      <w:r w:rsidRPr="00B074CF">
        <w:rPr>
          <w:rFonts w:cstheme="minorHAnsi"/>
        </w:rPr>
        <w:t xml:space="preserve">the levels of other immunoglobulins (IgA, </w:t>
      </w:r>
      <w:proofErr w:type="spellStart"/>
      <w:r w:rsidRPr="00B074CF">
        <w:rPr>
          <w:rFonts w:cstheme="minorHAnsi"/>
        </w:rPr>
        <w:t>IgD</w:t>
      </w:r>
      <w:proofErr w:type="spellEnd"/>
      <w:r w:rsidRPr="00B074CF">
        <w:rPr>
          <w:rFonts w:cstheme="minorHAnsi"/>
        </w:rPr>
        <w:t>, IgE or IgM</w:t>
      </w:r>
      <w:proofErr w:type="gramStart"/>
      <w:r w:rsidRPr="00B074CF">
        <w:rPr>
          <w:rFonts w:cstheme="minorHAnsi"/>
        </w:rPr>
        <w:t>), and</w:t>
      </w:r>
      <w:proofErr w:type="gramEnd"/>
      <w:r w:rsidRPr="00B074CF">
        <w:rPr>
          <w:rFonts w:cstheme="minorHAnsi"/>
        </w:rPr>
        <w:t xml:space="preserve"> does not reduce those of albumin.</w:t>
      </w:r>
    </w:p>
    <w:p w14:paraId="567D1883" w14:textId="77777777" w:rsidR="00574FBB" w:rsidRPr="00B074CF" w:rsidDel="000946B4" w:rsidRDefault="00574FBB" w:rsidP="00BE17AB">
      <w:pPr>
        <w:autoSpaceDE w:val="0"/>
        <w:autoSpaceDN w:val="0"/>
        <w:adjustRightInd w:val="0"/>
        <w:rPr>
          <w:rFonts w:cstheme="minorHAnsi"/>
        </w:rPr>
      </w:pPr>
      <w:r w:rsidRPr="00B074CF">
        <w:rPr>
          <w:rFonts w:cstheme="minorHAnsi"/>
        </w:rPr>
        <w:t>IgG autoantibodies are the underlying cause of the pathogenesis of MG. They impair neuromuscular transmission by binding to acetylcholine receptors (</w:t>
      </w:r>
      <w:proofErr w:type="spellStart"/>
      <w:r w:rsidRPr="00B074CF">
        <w:rPr>
          <w:rFonts w:cstheme="minorHAnsi"/>
        </w:rPr>
        <w:t>AChR</w:t>
      </w:r>
      <w:proofErr w:type="spellEnd"/>
      <w:r w:rsidRPr="00B074CF">
        <w:rPr>
          <w:rFonts w:cstheme="minorHAnsi"/>
        </w:rPr>
        <w:t>), muscle</w:t>
      </w:r>
      <w:r w:rsidRPr="00B074CF">
        <w:rPr>
          <w:rFonts w:cstheme="minorHAnsi"/>
        </w:rPr>
        <w:noBreakHyphen/>
        <w:t>specific tyrosine kinase (</w:t>
      </w:r>
      <w:proofErr w:type="spellStart"/>
      <w:r w:rsidRPr="00B074CF">
        <w:rPr>
          <w:rFonts w:cstheme="minorHAnsi"/>
        </w:rPr>
        <w:t>MuSK</w:t>
      </w:r>
      <w:proofErr w:type="spellEnd"/>
      <w:r w:rsidRPr="00B074CF">
        <w:rPr>
          <w:rFonts w:cstheme="minorHAnsi"/>
        </w:rPr>
        <w:t>) or low</w:t>
      </w:r>
      <w:r w:rsidRPr="00B074CF">
        <w:rPr>
          <w:rFonts w:cstheme="minorHAnsi"/>
        </w:rPr>
        <w:noBreakHyphen/>
        <w:t>density lipoprotein receptor-related protein 4 (LRP4).</w:t>
      </w:r>
    </w:p>
    <w:p w14:paraId="72F67650" w14:textId="77777777" w:rsidR="00574FBB" w:rsidRPr="00B074CF" w:rsidRDefault="00574FBB" w:rsidP="00BE17AB">
      <w:pPr>
        <w:autoSpaceDE w:val="0"/>
        <w:autoSpaceDN w:val="0"/>
        <w:adjustRightInd w:val="0"/>
        <w:rPr>
          <w:rFonts w:cstheme="minorHAnsi"/>
          <w:u w:val="single"/>
        </w:rPr>
      </w:pPr>
      <w:r w:rsidRPr="00B074CF">
        <w:rPr>
          <w:rFonts w:cstheme="minorHAnsi"/>
          <w:u w:val="single"/>
        </w:rPr>
        <w:t>Pharmacodynamic effects</w:t>
      </w:r>
    </w:p>
    <w:p w14:paraId="7425C3A9" w14:textId="77777777" w:rsidR="00574FBB" w:rsidRDefault="00574FBB" w:rsidP="00BE17AB">
      <w:pPr>
        <w:autoSpaceDE w:val="0"/>
        <w:autoSpaceDN w:val="0"/>
        <w:adjustRightInd w:val="0"/>
        <w:rPr>
          <w:rFonts w:eastAsia="MS Mincho" w:cstheme="minorHAnsi"/>
          <w:lang w:eastAsia="ja-JP"/>
        </w:rPr>
      </w:pPr>
      <w:r w:rsidRPr="00B074CF">
        <w:rPr>
          <w:rFonts w:eastAsia="MS Mincho" w:cstheme="minorHAnsi"/>
          <w:lang w:eastAsia="ja-JP"/>
        </w:rPr>
        <w:t>In a double</w:t>
      </w:r>
      <w:r w:rsidRPr="00B074CF">
        <w:rPr>
          <w:rFonts w:eastAsia="MS Mincho" w:cstheme="minorHAnsi"/>
          <w:lang w:eastAsia="ja-JP"/>
        </w:rPr>
        <w:noBreakHyphen/>
        <w:t>blind placebo</w:t>
      </w:r>
      <w:r w:rsidRPr="00B074CF">
        <w:rPr>
          <w:rFonts w:eastAsia="MS Mincho" w:cstheme="minorHAnsi"/>
          <w:lang w:eastAsia="ja-JP"/>
        </w:rPr>
        <w:noBreakHyphen/>
        <w:t xml:space="preserve">controlled study in </w:t>
      </w:r>
      <w:proofErr w:type="spellStart"/>
      <w:r w:rsidRPr="00B074CF">
        <w:rPr>
          <w:rFonts w:eastAsia="MS Mincho" w:cstheme="minorHAnsi"/>
          <w:lang w:eastAsia="ja-JP"/>
        </w:rPr>
        <w:t>gMG</w:t>
      </w:r>
      <w:proofErr w:type="spellEnd"/>
      <w:r w:rsidRPr="00B074CF">
        <w:rPr>
          <w:rFonts w:eastAsia="MS Mincho" w:cstheme="minorHAnsi"/>
          <w:lang w:eastAsia="ja-JP"/>
        </w:rPr>
        <w:t xml:space="preserve"> patients, efgartigimod alfa decreased serum IgG levels and </w:t>
      </w:r>
      <w:proofErr w:type="spellStart"/>
      <w:r w:rsidRPr="00B074CF">
        <w:rPr>
          <w:rFonts w:eastAsia="MS Mincho" w:cstheme="minorHAnsi"/>
        </w:rPr>
        <w:t>AChR</w:t>
      </w:r>
      <w:proofErr w:type="spellEnd"/>
      <w:r w:rsidRPr="00B074CF">
        <w:rPr>
          <w:rFonts w:eastAsia="MS Mincho" w:cstheme="minorHAnsi"/>
        </w:rPr>
        <w:t xml:space="preserve"> </w:t>
      </w:r>
      <w:r w:rsidRPr="00B074CF">
        <w:rPr>
          <w:rFonts w:eastAsia="MS Mincho" w:cstheme="minorHAnsi"/>
          <w:lang w:eastAsia="ja-JP"/>
        </w:rPr>
        <w:t>autoantibody levels</w:t>
      </w:r>
      <w:r w:rsidRPr="00B074CF">
        <w:rPr>
          <w:rFonts w:eastAsia="MS Mincho" w:cstheme="minorHAnsi"/>
        </w:rPr>
        <w:t xml:space="preserve"> </w:t>
      </w:r>
      <w:r w:rsidRPr="00B074CF">
        <w:rPr>
          <w:rFonts w:eastAsia="MS Mincho" w:cstheme="minorHAnsi"/>
          <w:lang w:eastAsia="ja-JP"/>
        </w:rPr>
        <w:t xml:space="preserve">at the recommended dose and schedule (see </w:t>
      </w:r>
      <w:r w:rsidRPr="00B074CF">
        <w:rPr>
          <w:rFonts w:eastAsia="MS Mincho" w:cstheme="minorHAnsi"/>
          <w:i/>
          <w:iCs/>
          <w:lang w:eastAsia="ja-JP"/>
        </w:rPr>
        <w:t xml:space="preserve">section 4.2 </w:t>
      </w:r>
      <w:r w:rsidRPr="00B074CF">
        <w:rPr>
          <w:rFonts w:cstheme="minorHAnsi"/>
          <w:i/>
          <w:iCs/>
        </w:rPr>
        <w:t>Dose and Method of administration</w:t>
      </w:r>
      <w:r w:rsidRPr="00B074CF">
        <w:rPr>
          <w:rFonts w:eastAsia="MS Mincho" w:cstheme="minorHAnsi"/>
          <w:lang w:eastAsia="ja-JP"/>
        </w:rPr>
        <w:t>). Maximum mean percentage decrease in total IgG levels compared to baseline reached 61% one week after the last infusion of the initial treatment cycle and returned to baseline levels 9 weeks after the last infusion. Similar effects were also observed for all subtypes of IgG.</w:t>
      </w:r>
      <w:r w:rsidRPr="00B074CF" w:rsidDel="00EA6F95">
        <w:rPr>
          <w:rFonts w:eastAsia="MS Mincho" w:cstheme="minorHAnsi"/>
          <w:lang w:eastAsia="ja-JP"/>
        </w:rPr>
        <w:t xml:space="preserve"> Decrease in </w:t>
      </w:r>
      <w:proofErr w:type="spellStart"/>
      <w:r w:rsidRPr="00B074CF" w:rsidDel="00EA6F95">
        <w:rPr>
          <w:rFonts w:eastAsia="MS Mincho" w:cstheme="minorHAnsi"/>
          <w:lang w:eastAsia="ja-JP"/>
        </w:rPr>
        <w:t>AChR</w:t>
      </w:r>
      <w:proofErr w:type="spellEnd"/>
      <w:r w:rsidRPr="00B074CF" w:rsidDel="00EA6F95">
        <w:rPr>
          <w:rFonts w:eastAsia="MS Mincho" w:cstheme="minorHAnsi"/>
          <w:lang w:eastAsia="ja-JP"/>
        </w:rPr>
        <w:t xml:space="preserve"> autoantibody levels followed a similar time course with maximum mean percentage decrease of 58% one week after the last infusion and return to baseline levels 7 weeks after the last infusion</w:t>
      </w:r>
      <w:r w:rsidRPr="00B074CF">
        <w:rPr>
          <w:rFonts w:eastAsia="MS Mincho" w:cstheme="minorHAnsi"/>
          <w:lang w:eastAsia="ja-JP"/>
        </w:rPr>
        <w:t>. Similar changes were observed during the second cycle of the study.</w:t>
      </w:r>
    </w:p>
    <w:p w14:paraId="67D01A1C" w14:textId="67FBBD2C" w:rsidR="00574FBB" w:rsidRPr="00B074CF" w:rsidRDefault="00574FBB" w:rsidP="00BE17AB">
      <w:pPr>
        <w:pStyle w:val="Heading3"/>
        <w:keepNext w:val="0"/>
        <w:keepLines w:val="0"/>
        <w:pageBreakBefore/>
        <w:spacing w:before="0" w:after="120"/>
        <w:ind w:left="0"/>
        <w:rPr>
          <w:rFonts w:asciiTheme="minorHAnsi" w:hAnsiTheme="minorHAnsi" w:cstheme="minorHAnsi"/>
          <w:lang w:val="en-US"/>
        </w:rPr>
      </w:pPr>
      <w:r w:rsidRPr="00B074CF">
        <w:rPr>
          <w:rFonts w:asciiTheme="minorHAnsi" w:hAnsiTheme="minorHAnsi" w:cstheme="minorHAnsi"/>
        </w:rPr>
        <w:lastRenderedPageBreak/>
        <w:t>Clinical</w:t>
      </w:r>
      <w:r w:rsidRPr="00B074CF">
        <w:rPr>
          <w:rFonts w:asciiTheme="minorHAnsi" w:hAnsiTheme="minorHAnsi" w:cstheme="minorHAnsi"/>
          <w:lang w:val="en-US"/>
        </w:rPr>
        <w:t xml:space="preserve"> trials</w:t>
      </w:r>
    </w:p>
    <w:p w14:paraId="35869DC8" w14:textId="77777777" w:rsidR="00574FBB" w:rsidRPr="00B074CF" w:rsidRDefault="00574FBB" w:rsidP="00BE17AB">
      <w:pPr>
        <w:autoSpaceDE w:val="0"/>
        <w:autoSpaceDN w:val="0"/>
        <w:adjustRightInd w:val="0"/>
        <w:rPr>
          <w:rFonts w:cstheme="minorHAnsi"/>
        </w:rPr>
      </w:pPr>
      <w:r w:rsidRPr="00B074CF">
        <w:rPr>
          <w:rFonts w:cstheme="minorHAnsi"/>
          <w:u w:val="single"/>
        </w:rPr>
        <w:t>Clinical efficacy and safety</w:t>
      </w:r>
    </w:p>
    <w:p w14:paraId="5F5215DE" w14:textId="77777777" w:rsidR="00574FBB" w:rsidRPr="00B074CF" w:rsidRDefault="00574FBB" w:rsidP="00BE17AB">
      <w:pPr>
        <w:rPr>
          <w:rFonts w:eastAsia="MS Mincho" w:cstheme="minorHAnsi"/>
        </w:rPr>
      </w:pPr>
      <w:r w:rsidRPr="00B074CF">
        <w:rPr>
          <w:rFonts w:eastAsia="MS Mincho" w:cstheme="minorHAnsi"/>
          <w:lang w:eastAsia="ja-JP"/>
        </w:rPr>
        <w:t xml:space="preserve">Efficacy of </w:t>
      </w:r>
      <w:r w:rsidRPr="00B074CF">
        <w:rPr>
          <w:rFonts w:cstheme="minorHAnsi"/>
        </w:rPr>
        <w:t>efgartigimod alfa</w:t>
      </w:r>
      <w:r w:rsidRPr="00B074CF">
        <w:rPr>
          <w:rFonts w:eastAsia="MS Mincho" w:cstheme="minorHAnsi"/>
          <w:lang w:eastAsia="ja-JP"/>
        </w:rPr>
        <w:t xml:space="preserve"> for the treatment of adults with generalised Myasthenia Gravis (</w:t>
      </w:r>
      <w:proofErr w:type="spellStart"/>
      <w:r w:rsidRPr="00B074CF">
        <w:rPr>
          <w:rFonts w:eastAsia="MS Mincho" w:cstheme="minorHAnsi"/>
          <w:lang w:eastAsia="ja-JP"/>
        </w:rPr>
        <w:t>gMG</w:t>
      </w:r>
      <w:proofErr w:type="spellEnd"/>
      <w:r w:rsidRPr="00B074CF">
        <w:rPr>
          <w:rFonts w:eastAsia="MS Mincho" w:cstheme="minorHAnsi"/>
          <w:lang w:eastAsia="ja-JP"/>
        </w:rPr>
        <w:t>) was studied in a 26</w:t>
      </w:r>
      <w:r w:rsidRPr="00B074CF">
        <w:rPr>
          <w:rFonts w:eastAsia="MS Mincho" w:cstheme="minorHAnsi"/>
          <w:lang w:eastAsia="ja-JP"/>
        </w:rPr>
        <w:noBreakHyphen/>
        <w:t xml:space="preserve">week, multicentre </w:t>
      </w:r>
      <w:r w:rsidRPr="00B074CF">
        <w:rPr>
          <w:rFonts w:eastAsia="MS Mincho" w:cstheme="minorHAnsi"/>
        </w:rPr>
        <w:t>randomised</w:t>
      </w:r>
      <w:r w:rsidRPr="00B074CF">
        <w:rPr>
          <w:rFonts w:eastAsia="MS Mincho" w:cstheme="minorHAnsi"/>
          <w:lang w:eastAsia="ja-JP"/>
        </w:rPr>
        <w:t xml:space="preserve"> </w:t>
      </w:r>
      <w:r w:rsidRPr="00B074CF">
        <w:rPr>
          <w:rFonts w:eastAsia="MS Mincho" w:cstheme="minorHAnsi"/>
        </w:rPr>
        <w:t>double</w:t>
      </w:r>
      <w:r w:rsidRPr="00B074CF">
        <w:rPr>
          <w:rFonts w:eastAsia="MS Mincho" w:cstheme="minorHAnsi"/>
        </w:rPr>
        <w:noBreakHyphen/>
        <w:t xml:space="preserve">blind </w:t>
      </w:r>
      <w:r w:rsidRPr="00B074CF">
        <w:rPr>
          <w:rFonts w:eastAsia="MS Mincho" w:cstheme="minorHAnsi"/>
          <w:lang w:eastAsia="ja-JP"/>
        </w:rPr>
        <w:t>placebo</w:t>
      </w:r>
      <w:r w:rsidRPr="00B074CF">
        <w:rPr>
          <w:rFonts w:eastAsia="MS Mincho" w:cstheme="minorHAnsi"/>
          <w:lang w:eastAsia="ja-JP"/>
        </w:rPr>
        <w:noBreakHyphen/>
        <w:t>controlled trial (ARGX</w:t>
      </w:r>
      <w:r w:rsidRPr="00B074CF">
        <w:rPr>
          <w:rFonts w:eastAsia="MS Mincho" w:cstheme="minorHAnsi"/>
          <w:lang w:eastAsia="ja-JP"/>
        </w:rPr>
        <w:noBreakHyphen/>
        <w:t>113</w:t>
      </w:r>
      <w:r w:rsidRPr="00B074CF">
        <w:rPr>
          <w:rFonts w:eastAsia="MS Mincho" w:cstheme="minorHAnsi"/>
          <w:lang w:eastAsia="ja-JP"/>
        </w:rPr>
        <w:noBreakHyphen/>
        <w:t>1704).</w:t>
      </w:r>
    </w:p>
    <w:p w14:paraId="74191899" w14:textId="77777777" w:rsidR="00574FBB" w:rsidRPr="00B074CF" w:rsidRDefault="00574FBB" w:rsidP="00BE17AB">
      <w:pPr>
        <w:rPr>
          <w:rFonts w:eastAsia="MS Mincho" w:cstheme="minorHAnsi"/>
          <w:lang w:eastAsia="ja-JP"/>
        </w:rPr>
      </w:pPr>
      <w:r w:rsidRPr="00B074CF">
        <w:rPr>
          <w:rFonts w:eastAsia="MS Mincho" w:cstheme="minorHAnsi"/>
          <w:lang w:eastAsia="ja-JP"/>
        </w:rPr>
        <w:t xml:space="preserve">In </w:t>
      </w:r>
      <w:r w:rsidRPr="00B074CF">
        <w:rPr>
          <w:rFonts w:eastAsia="MS Mincho" w:cstheme="minorHAnsi"/>
        </w:rPr>
        <w:t>this</w:t>
      </w:r>
      <w:r w:rsidRPr="00B074CF">
        <w:rPr>
          <w:rFonts w:eastAsia="MS Mincho" w:cstheme="minorHAnsi"/>
          <w:lang w:eastAsia="ja-JP"/>
        </w:rPr>
        <w:t xml:space="preserve"> study, patients had to meet the following main criteria at screening: </w:t>
      </w:r>
    </w:p>
    <w:p w14:paraId="01D1A231" w14:textId="77777777" w:rsidR="00574FBB" w:rsidRPr="00B074CF" w:rsidRDefault="00574FBB" w:rsidP="00BE17AB">
      <w:pPr>
        <w:numPr>
          <w:ilvl w:val="0"/>
          <w:numId w:val="17"/>
        </w:numPr>
        <w:ind w:left="567" w:hanging="567"/>
        <w:contextualSpacing/>
        <w:rPr>
          <w:rFonts w:eastAsia="Calibri" w:cstheme="minorHAnsi"/>
        </w:rPr>
      </w:pPr>
      <w:r w:rsidRPr="00B074CF">
        <w:rPr>
          <w:rFonts w:cstheme="minorHAnsi"/>
        </w:rPr>
        <w:t xml:space="preserve">Myasthenia Gravis Foundation of America (MGFA) clinical classification class II, III or </w:t>
      </w:r>
      <w:proofErr w:type="gramStart"/>
      <w:r w:rsidRPr="00B074CF">
        <w:rPr>
          <w:rFonts w:cstheme="minorHAnsi"/>
        </w:rPr>
        <w:t>IV;</w:t>
      </w:r>
      <w:proofErr w:type="gramEnd"/>
    </w:p>
    <w:p w14:paraId="6247E7F9" w14:textId="77777777" w:rsidR="00574FBB" w:rsidRPr="00B074CF" w:rsidRDefault="00574FBB" w:rsidP="00BE17AB">
      <w:pPr>
        <w:numPr>
          <w:ilvl w:val="0"/>
          <w:numId w:val="17"/>
        </w:numPr>
        <w:autoSpaceDE w:val="0"/>
        <w:autoSpaceDN w:val="0"/>
        <w:adjustRightInd w:val="0"/>
        <w:ind w:left="567" w:hanging="567"/>
        <w:contextualSpacing/>
        <w:rPr>
          <w:rFonts w:cstheme="minorHAnsi"/>
        </w:rPr>
      </w:pPr>
      <w:r w:rsidRPr="00B074CF">
        <w:rPr>
          <w:rFonts w:cstheme="minorHAnsi"/>
        </w:rPr>
        <w:t xml:space="preserve">Patients with either positive or negative serologic tests for antibodies to </w:t>
      </w:r>
      <w:proofErr w:type="spellStart"/>
      <w:proofErr w:type="gramStart"/>
      <w:r w:rsidRPr="00B074CF">
        <w:rPr>
          <w:rFonts w:cstheme="minorHAnsi"/>
        </w:rPr>
        <w:t>AChR</w:t>
      </w:r>
      <w:proofErr w:type="spellEnd"/>
      <w:r w:rsidRPr="00B074CF">
        <w:rPr>
          <w:rFonts w:cstheme="minorHAnsi"/>
        </w:rPr>
        <w:t>;</w:t>
      </w:r>
      <w:proofErr w:type="gramEnd"/>
    </w:p>
    <w:p w14:paraId="7B9B21CF" w14:textId="77777777" w:rsidR="00574FBB" w:rsidRPr="00B074CF" w:rsidRDefault="00574FBB" w:rsidP="00BE17AB">
      <w:pPr>
        <w:numPr>
          <w:ilvl w:val="0"/>
          <w:numId w:val="17"/>
        </w:numPr>
        <w:ind w:left="567" w:hanging="567"/>
        <w:contextualSpacing/>
        <w:rPr>
          <w:rFonts w:cstheme="minorHAnsi"/>
        </w:rPr>
      </w:pPr>
      <w:r w:rsidRPr="00B074CF">
        <w:rPr>
          <w:rFonts w:cstheme="minorHAnsi"/>
        </w:rPr>
        <w:t>MG</w:t>
      </w:r>
      <w:r w:rsidRPr="00B074CF">
        <w:rPr>
          <w:rFonts w:cstheme="minorHAnsi"/>
        </w:rPr>
        <w:noBreakHyphen/>
        <w:t>Activities of Daily Living (MG</w:t>
      </w:r>
      <w:r w:rsidRPr="00B074CF">
        <w:rPr>
          <w:rFonts w:cstheme="minorHAnsi"/>
        </w:rPr>
        <w:noBreakHyphen/>
        <w:t>ADL) total score of ≥ </w:t>
      </w:r>
      <w:proofErr w:type="gramStart"/>
      <w:r w:rsidRPr="00B074CF">
        <w:rPr>
          <w:rFonts w:cstheme="minorHAnsi"/>
        </w:rPr>
        <w:t>5;</w:t>
      </w:r>
      <w:proofErr w:type="gramEnd"/>
    </w:p>
    <w:p w14:paraId="096CF7B1" w14:textId="77777777" w:rsidR="00574FBB" w:rsidRPr="00B074CF" w:rsidRDefault="00574FBB" w:rsidP="00BE17AB">
      <w:pPr>
        <w:numPr>
          <w:ilvl w:val="0"/>
          <w:numId w:val="17"/>
        </w:numPr>
        <w:ind w:left="567" w:hanging="567"/>
        <w:contextualSpacing/>
        <w:rPr>
          <w:rFonts w:cstheme="minorHAnsi"/>
        </w:rPr>
      </w:pPr>
      <w:r w:rsidRPr="00B074CF">
        <w:rPr>
          <w:rFonts w:cstheme="minorHAnsi"/>
        </w:rPr>
        <w:t>On stable doses of MG therapy prior to screening, that included acetylcholinesterase (</w:t>
      </w:r>
      <w:proofErr w:type="spellStart"/>
      <w:r w:rsidRPr="00B074CF">
        <w:rPr>
          <w:rFonts w:cstheme="minorHAnsi"/>
        </w:rPr>
        <w:t>AChE</w:t>
      </w:r>
      <w:proofErr w:type="spellEnd"/>
      <w:r w:rsidRPr="00B074CF">
        <w:rPr>
          <w:rFonts w:cstheme="minorHAnsi"/>
        </w:rPr>
        <w:t>) inhibitors, steroids or non</w:t>
      </w:r>
      <w:r w:rsidRPr="00B074CF">
        <w:rPr>
          <w:rFonts w:cstheme="minorHAnsi"/>
        </w:rPr>
        <w:noBreakHyphen/>
        <w:t>steroidal immunosuppressive therapy (NSIST), either in combination or alone [NSISTs included but were not limited to azathioprine, methotrexate, cyclosporine, tacrolimus, mycophenolate mofetil, and cyclophosphamide</w:t>
      </w:r>
      <w:proofErr w:type="gramStart"/>
      <w:r w:rsidRPr="00B074CF">
        <w:rPr>
          <w:rFonts w:cstheme="minorHAnsi"/>
        </w:rPr>
        <w:t>];</w:t>
      </w:r>
      <w:proofErr w:type="gramEnd"/>
    </w:p>
    <w:p w14:paraId="3466ED96" w14:textId="77777777" w:rsidR="00574FBB" w:rsidRPr="00B074CF" w:rsidRDefault="00574FBB" w:rsidP="00BE17AB">
      <w:pPr>
        <w:numPr>
          <w:ilvl w:val="0"/>
          <w:numId w:val="17"/>
        </w:numPr>
        <w:ind w:left="567" w:hanging="567"/>
        <w:contextualSpacing/>
        <w:rPr>
          <w:rFonts w:cstheme="minorHAnsi"/>
        </w:rPr>
      </w:pPr>
      <w:r w:rsidRPr="00B074CF">
        <w:rPr>
          <w:rFonts w:cstheme="minorHAnsi"/>
        </w:rPr>
        <w:t>IgG levels of at least 6 g/L.</w:t>
      </w:r>
    </w:p>
    <w:p w14:paraId="6BB55461" w14:textId="77777777" w:rsidR="00574FBB" w:rsidRPr="00B074CF" w:rsidRDefault="00574FBB" w:rsidP="00BE17AB">
      <w:pPr>
        <w:contextualSpacing/>
        <w:rPr>
          <w:rFonts w:cstheme="minorHAnsi"/>
        </w:rPr>
      </w:pPr>
    </w:p>
    <w:p w14:paraId="4AA44FF0" w14:textId="439E8E59" w:rsidR="00574FBB" w:rsidRDefault="00574FBB" w:rsidP="00BE17AB">
      <w:pPr>
        <w:contextualSpacing/>
        <w:rPr>
          <w:rFonts w:cstheme="minorHAnsi"/>
        </w:rPr>
      </w:pPr>
      <w:r w:rsidRPr="00B074CF">
        <w:rPr>
          <w:rFonts w:cstheme="minorHAnsi"/>
        </w:rPr>
        <w:t xml:space="preserve">Patients with MGFA Class V </w:t>
      </w:r>
      <w:proofErr w:type="spellStart"/>
      <w:r w:rsidRPr="00B074CF">
        <w:rPr>
          <w:rFonts w:cstheme="minorHAnsi"/>
        </w:rPr>
        <w:t>gMG</w:t>
      </w:r>
      <w:proofErr w:type="spellEnd"/>
      <w:r w:rsidRPr="00B074CF">
        <w:rPr>
          <w:rFonts w:cstheme="minorHAnsi"/>
        </w:rPr>
        <w:t>; patients with documented lack of clinical response to PLEX; patients treated with PLEX, IVIg one month and monoclonal antibodies six months prior to starting treatment; and patients with active (acute or chronic) hepatitis B infection, hepatitis C seropositivity, and diagnosis of AIDS, were excluded from the trials.</w:t>
      </w:r>
    </w:p>
    <w:p w14:paraId="6FFEACA9" w14:textId="77777777" w:rsidR="00DC7C5B" w:rsidRPr="00DC7C5B" w:rsidRDefault="00DC7C5B" w:rsidP="00BE17AB">
      <w:pPr>
        <w:contextualSpacing/>
        <w:rPr>
          <w:rFonts w:cstheme="minorHAnsi"/>
        </w:rPr>
      </w:pPr>
    </w:p>
    <w:p w14:paraId="7CF0529B" w14:textId="48C1B75D" w:rsidR="00574FBB" w:rsidRPr="00B074CF" w:rsidRDefault="00574FBB" w:rsidP="00BE17AB">
      <w:pPr>
        <w:rPr>
          <w:rFonts w:eastAsia="MS Mincho" w:cstheme="minorHAnsi"/>
        </w:rPr>
      </w:pPr>
      <w:r w:rsidRPr="00B074CF">
        <w:rPr>
          <w:rFonts w:eastAsia="MS Mincho" w:cstheme="minorHAnsi"/>
        </w:rPr>
        <w:t xml:space="preserve">A total of 167 patients were enrolled in the study and were randomised to either </w:t>
      </w:r>
      <w:r w:rsidRPr="00B074CF">
        <w:rPr>
          <w:rFonts w:cstheme="minorHAnsi"/>
        </w:rPr>
        <w:t>efgartigimod alfa</w:t>
      </w:r>
      <w:r w:rsidRPr="00B074CF">
        <w:rPr>
          <w:rFonts w:eastAsia="MS Mincho" w:cstheme="minorHAnsi"/>
        </w:rPr>
        <w:t xml:space="preserve"> intravenous (n = 84) or</w:t>
      </w:r>
      <w:r w:rsidRPr="00B074CF">
        <w:rPr>
          <w:rFonts w:eastAsia="MS Mincho" w:cstheme="minorHAnsi"/>
          <w:lang w:eastAsia="ja-JP"/>
        </w:rPr>
        <w:t xml:space="preserve"> </w:t>
      </w:r>
      <w:r w:rsidRPr="00B074CF">
        <w:rPr>
          <w:rFonts w:eastAsia="MS Mincho" w:cstheme="minorHAnsi"/>
        </w:rPr>
        <w:t>placebo (n = 83). Baseline characteristics were similar between treatment groups, including median age at diagnosis [45 (19</w:t>
      </w:r>
      <w:r w:rsidRPr="00B074CF">
        <w:rPr>
          <w:rFonts w:eastAsia="MS Mincho" w:cstheme="minorHAnsi"/>
        </w:rPr>
        <w:noBreakHyphen/>
        <w:t>81) years], gender [most were female; 75% (</w:t>
      </w:r>
      <w:r w:rsidRPr="00B074CF">
        <w:rPr>
          <w:rFonts w:cstheme="minorHAnsi"/>
        </w:rPr>
        <w:t>efgartigimod alfa</w:t>
      </w:r>
      <w:r w:rsidRPr="00B074CF">
        <w:rPr>
          <w:rFonts w:eastAsia="MS Mincho" w:cstheme="minorHAnsi"/>
        </w:rPr>
        <w:t>) versus 66% (placebo)], race [most patients were white; 84.4%] and median time since diagnosis [8.2 years (</w:t>
      </w:r>
      <w:r w:rsidRPr="00B074CF">
        <w:rPr>
          <w:rFonts w:cstheme="minorHAnsi"/>
        </w:rPr>
        <w:t>efgartigimod alfa</w:t>
      </w:r>
      <w:r w:rsidRPr="00B074CF">
        <w:rPr>
          <w:rFonts w:eastAsia="MS Mincho" w:cstheme="minorHAnsi"/>
        </w:rPr>
        <w:t>) and 6.9 years (placebo)].</w:t>
      </w:r>
    </w:p>
    <w:p w14:paraId="0BA9E122" w14:textId="77777777" w:rsidR="00574FBB" w:rsidRPr="00B074CF" w:rsidRDefault="00574FBB" w:rsidP="00BE17AB">
      <w:pPr>
        <w:rPr>
          <w:rFonts w:eastAsia="MS Mincho" w:cstheme="minorHAnsi"/>
        </w:rPr>
      </w:pPr>
      <w:proofErr w:type="gramStart"/>
      <w:r w:rsidRPr="00B074CF">
        <w:rPr>
          <w:rFonts w:eastAsia="MS Mincho" w:cstheme="minorHAnsi"/>
          <w:lang w:eastAsia="ja-JP"/>
        </w:rPr>
        <w:t>The majority of</w:t>
      </w:r>
      <w:proofErr w:type="gramEnd"/>
      <w:r w:rsidRPr="00B074CF">
        <w:rPr>
          <w:rFonts w:eastAsia="MS Mincho" w:cstheme="minorHAnsi"/>
          <w:lang w:eastAsia="ja-JP"/>
        </w:rPr>
        <w:t xml:space="preserve"> patients (77% in each group) tested positive for antibodies to </w:t>
      </w:r>
      <w:proofErr w:type="spellStart"/>
      <w:r w:rsidRPr="00B074CF">
        <w:rPr>
          <w:rFonts w:eastAsia="MS Mincho" w:cstheme="minorHAnsi"/>
          <w:lang w:eastAsia="ja-JP"/>
        </w:rPr>
        <w:t>AChR</w:t>
      </w:r>
      <w:proofErr w:type="spellEnd"/>
      <w:r w:rsidRPr="00B074CF">
        <w:rPr>
          <w:rFonts w:eastAsia="MS Mincho" w:cstheme="minorHAnsi"/>
          <w:lang w:eastAsia="ja-JP"/>
        </w:rPr>
        <w:t xml:space="preserve"> (</w:t>
      </w:r>
      <w:proofErr w:type="spellStart"/>
      <w:r w:rsidRPr="00B074CF">
        <w:rPr>
          <w:rFonts w:eastAsia="MS Mincho" w:cstheme="minorHAnsi"/>
          <w:lang w:eastAsia="ja-JP"/>
        </w:rPr>
        <w:t>AChR</w:t>
      </w:r>
      <w:proofErr w:type="spellEnd"/>
      <w:r w:rsidRPr="00B074CF">
        <w:rPr>
          <w:rFonts w:eastAsia="MS Mincho" w:cstheme="minorHAnsi"/>
          <w:lang w:eastAsia="ja-JP"/>
        </w:rPr>
        <w:noBreakHyphen/>
        <w:t xml:space="preserve">Ab) and 23% of patients tested negative for </w:t>
      </w:r>
      <w:proofErr w:type="spellStart"/>
      <w:r w:rsidRPr="00B074CF">
        <w:rPr>
          <w:rFonts w:eastAsia="MS Mincho" w:cstheme="minorHAnsi"/>
          <w:lang w:eastAsia="ja-JP"/>
        </w:rPr>
        <w:t>AChR</w:t>
      </w:r>
      <w:proofErr w:type="spellEnd"/>
      <w:r w:rsidRPr="00B074CF">
        <w:rPr>
          <w:rFonts w:eastAsia="MS Mincho" w:cstheme="minorHAnsi"/>
          <w:lang w:eastAsia="ja-JP"/>
        </w:rPr>
        <w:noBreakHyphen/>
        <w:t>Ab.</w:t>
      </w:r>
    </w:p>
    <w:p w14:paraId="07581DC9" w14:textId="77777777" w:rsidR="00574FBB" w:rsidRPr="00B074CF" w:rsidRDefault="00574FBB" w:rsidP="00BE17AB">
      <w:pPr>
        <w:rPr>
          <w:rFonts w:eastAsia="MS Mincho" w:cstheme="minorHAnsi"/>
        </w:rPr>
      </w:pPr>
      <w:r w:rsidRPr="00B074CF">
        <w:rPr>
          <w:rFonts w:eastAsia="MS Mincho" w:cstheme="minorHAnsi"/>
        </w:rPr>
        <w:t xml:space="preserve">During the study, over 80% of patients in each group received </w:t>
      </w:r>
      <w:proofErr w:type="spellStart"/>
      <w:r w:rsidRPr="00B074CF">
        <w:rPr>
          <w:rFonts w:eastAsia="MS Mincho" w:cstheme="minorHAnsi"/>
        </w:rPr>
        <w:t>AChE</w:t>
      </w:r>
      <w:proofErr w:type="spellEnd"/>
      <w:r w:rsidRPr="00B074CF">
        <w:rPr>
          <w:rFonts w:eastAsia="MS Mincho" w:cstheme="minorHAnsi"/>
        </w:rPr>
        <w:t xml:space="preserve"> inhibitors, over 70% in each treatment group received steroids, and approximately 60% in each treatment group received NSISTs, at stable doses. At study entry, approximately 30% of patients in each treatment group had no previous exposure to NSISTs.</w:t>
      </w:r>
    </w:p>
    <w:p w14:paraId="4ACDB929" w14:textId="77777777" w:rsidR="00574FBB" w:rsidRPr="00B074CF" w:rsidRDefault="00574FBB" w:rsidP="00BE17AB">
      <w:pPr>
        <w:rPr>
          <w:rFonts w:eastAsia="MS Mincho" w:cstheme="minorHAnsi"/>
        </w:rPr>
      </w:pPr>
      <w:r w:rsidRPr="00B074CF">
        <w:rPr>
          <w:rFonts w:eastAsia="MS Mincho" w:cstheme="minorHAnsi"/>
        </w:rPr>
        <w:t>Median MG</w:t>
      </w:r>
      <w:r w:rsidRPr="00B074CF">
        <w:rPr>
          <w:rFonts w:eastAsia="MS Mincho" w:cstheme="minorHAnsi"/>
          <w:lang w:eastAsia="ja-JP"/>
        </w:rPr>
        <w:noBreakHyphen/>
        <w:t>ADL</w:t>
      </w:r>
      <w:r w:rsidRPr="00B074CF">
        <w:rPr>
          <w:rFonts w:eastAsia="MS Mincho" w:cstheme="minorHAnsi"/>
        </w:rPr>
        <w:t xml:space="preserve"> total score was 9.0 in both treatment groups, and median </w:t>
      </w:r>
      <w:r w:rsidRPr="00B074CF">
        <w:rPr>
          <w:rFonts w:eastAsia="MS Mincho" w:cstheme="minorHAnsi"/>
          <w:lang w:eastAsia="ja-JP"/>
        </w:rPr>
        <w:t>Quantitative Myasthenia Gravis</w:t>
      </w:r>
      <w:r w:rsidRPr="00B074CF">
        <w:rPr>
          <w:rFonts w:eastAsia="MS Mincho" w:cstheme="minorHAnsi"/>
        </w:rPr>
        <w:t xml:space="preserve"> (QMG) total score was 17 and 16 in the </w:t>
      </w:r>
      <w:r w:rsidRPr="00B074CF">
        <w:rPr>
          <w:rFonts w:cstheme="minorHAnsi"/>
        </w:rPr>
        <w:t>efgartigimod alfa</w:t>
      </w:r>
      <w:r w:rsidRPr="00B074CF">
        <w:rPr>
          <w:rFonts w:eastAsia="MS Mincho" w:cstheme="minorHAnsi"/>
        </w:rPr>
        <w:t xml:space="preserve"> and placebo groups, respectively.</w:t>
      </w:r>
    </w:p>
    <w:p w14:paraId="66D0259D" w14:textId="77777777" w:rsidR="00574FBB" w:rsidRPr="00B074CF" w:rsidRDefault="00574FBB" w:rsidP="00BE17AB">
      <w:pPr>
        <w:rPr>
          <w:rFonts w:eastAsia="MS Mincho" w:cstheme="minorHAnsi"/>
        </w:rPr>
      </w:pPr>
      <w:r w:rsidRPr="00B074CF">
        <w:rPr>
          <w:rFonts w:eastAsia="MS Mincho" w:cstheme="minorHAnsi"/>
        </w:rPr>
        <w:t xml:space="preserve">Patients were treated with </w:t>
      </w:r>
      <w:r w:rsidRPr="00B074CF">
        <w:rPr>
          <w:rFonts w:cstheme="minorHAnsi"/>
        </w:rPr>
        <w:t>efgartigimod alfa</w:t>
      </w:r>
      <w:r w:rsidRPr="00B074CF">
        <w:rPr>
          <w:rFonts w:eastAsia="MS Mincho" w:cstheme="minorHAnsi"/>
        </w:rPr>
        <w:t xml:space="preserve"> intravenous 10 mg/kg administered once weekly for 4 weeks and received a maximum of 3 treatment cycles </w:t>
      </w:r>
      <w:r w:rsidRPr="00B074CF">
        <w:rPr>
          <w:rFonts w:eastAsia="MS Mincho" w:cstheme="minorHAnsi"/>
          <w:lang w:eastAsia="ja-JP"/>
        </w:rPr>
        <w:t xml:space="preserve">(see </w:t>
      </w:r>
      <w:r w:rsidRPr="00B074CF">
        <w:rPr>
          <w:rFonts w:eastAsia="MS Mincho" w:cstheme="minorHAnsi"/>
          <w:i/>
          <w:iCs/>
          <w:lang w:eastAsia="ja-JP"/>
        </w:rPr>
        <w:t xml:space="preserve">section 4.2 </w:t>
      </w:r>
      <w:r w:rsidRPr="00B074CF">
        <w:rPr>
          <w:rFonts w:cstheme="minorHAnsi"/>
          <w:i/>
          <w:iCs/>
        </w:rPr>
        <w:t>Dose and method of administration</w:t>
      </w:r>
      <w:r w:rsidRPr="00B074CF">
        <w:rPr>
          <w:rFonts w:eastAsia="MS Mincho" w:cstheme="minorHAnsi"/>
          <w:lang w:eastAsia="ja-JP"/>
        </w:rPr>
        <w:t>)</w:t>
      </w:r>
      <w:r w:rsidRPr="00B074CF">
        <w:rPr>
          <w:rFonts w:eastAsia="MS Mincho" w:cstheme="minorHAnsi"/>
        </w:rPr>
        <w:t>.</w:t>
      </w:r>
    </w:p>
    <w:p w14:paraId="4DFCA9EC" w14:textId="77777777" w:rsidR="00BE17AB" w:rsidRDefault="00574FBB" w:rsidP="00BE17AB">
      <w:pPr>
        <w:rPr>
          <w:rFonts w:eastAsia="MS Mincho" w:cstheme="minorHAnsi"/>
        </w:rPr>
      </w:pPr>
      <w:r w:rsidRPr="00B074CF">
        <w:rPr>
          <w:rFonts w:eastAsia="MS Mincho" w:cstheme="minorHAnsi"/>
          <w:lang w:eastAsia="ja-JP"/>
        </w:rPr>
        <w:t xml:space="preserve">The efficacy of </w:t>
      </w:r>
      <w:r w:rsidRPr="00B074CF">
        <w:rPr>
          <w:rFonts w:cstheme="minorHAnsi"/>
        </w:rPr>
        <w:t>efgartigimod alfa</w:t>
      </w:r>
      <w:r w:rsidRPr="00B074CF">
        <w:rPr>
          <w:rFonts w:eastAsia="MS Mincho" w:cstheme="minorHAnsi"/>
          <w:lang w:eastAsia="ja-JP"/>
        </w:rPr>
        <w:t xml:space="preserve"> was measured using the Myasthenia Gravis-Specific Activities of Daily Living scale (MG</w:t>
      </w:r>
      <w:r w:rsidRPr="00B074CF">
        <w:rPr>
          <w:rFonts w:eastAsia="MS Mincho" w:cstheme="minorHAnsi"/>
          <w:lang w:eastAsia="ja-JP"/>
        </w:rPr>
        <w:noBreakHyphen/>
        <w:t xml:space="preserve">ADL) which assesses the impact of </w:t>
      </w:r>
      <w:proofErr w:type="spellStart"/>
      <w:r w:rsidRPr="00B074CF">
        <w:rPr>
          <w:rFonts w:eastAsia="MS Mincho" w:cstheme="minorHAnsi"/>
          <w:lang w:eastAsia="ja-JP"/>
        </w:rPr>
        <w:t>gMG</w:t>
      </w:r>
      <w:proofErr w:type="spellEnd"/>
      <w:r w:rsidRPr="00B074CF">
        <w:rPr>
          <w:rFonts w:eastAsia="MS Mincho" w:cstheme="minorHAnsi"/>
          <w:lang w:eastAsia="ja-JP"/>
        </w:rPr>
        <w:t xml:space="preserve"> on daily functions</w:t>
      </w:r>
      <w:r w:rsidRPr="00B074CF">
        <w:rPr>
          <w:rFonts w:eastAsia="MS Mincho" w:cstheme="minorHAnsi"/>
        </w:rPr>
        <w:t xml:space="preserve">. </w:t>
      </w:r>
    </w:p>
    <w:p w14:paraId="60688D42" w14:textId="6BEF14C5" w:rsidR="00574FBB" w:rsidRPr="00B074CF" w:rsidRDefault="00574FBB" w:rsidP="00BE17AB">
      <w:pPr>
        <w:rPr>
          <w:rFonts w:eastAsia="MS Mincho" w:cstheme="minorHAnsi"/>
        </w:rPr>
      </w:pPr>
      <w:r w:rsidRPr="00B074CF">
        <w:rPr>
          <w:rFonts w:eastAsia="MS Mincho" w:cstheme="minorHAnsi"/>
        </w:rPr>
        <w:lastRenderedPageBreak/>
        <w:t>A</w:t>
      </w:r>
      <w:r w:rsidRPr="00B074CF">
        <w:rPr>
          <w:rFonts w:eastAsia="MS Mincho" w:cstheme="minorHAnsi"/>
          <w:lang w:eastAsia="ja-JP"/>
        </w:rPr>
        <w:t xml:space="preserve"> total score range</w:t>
      </w:r>
      <w:r w:rsidRPr="00B074CF">
        <w:rPr>
          <w:rFonts w:eastAsia="MS Mincho" w:cstheme="minorHAnsi"/>
        </w:rPr>
        <w:t>s</w:t>
      </w:r>
      <w:r w:rsidRPr="00B074CF">
        <w:rPr>
          <w:rFonts w:eastAsia="MS Mincho" w:cstheme="minorHAnsi"/>
          <w:lang w:eastAsia="ja-JP"/>
        </w:rPr>
        <w:t xml:space="preserve"> from 0 to 24 with the higher scores indicating more impairment. In this study, an MG</w:t>
      </w:r>
      <w:r w:rsidRPr="00B074CF">
        <w:rPr>
          <w:rFonts w:eastAsia="MS Mincho" w:cstheme="minorHAnsi"/>
          <w:lang w:eastAsia="ja-JP"/>
        </w:rPr>
        <w:noBreakHyphen/>
        <w:t>ADL responder was a patient with ≥ 2</w:t>
      </w:r>
      <w:r w:rsidRPr="00B074CF">
        <w:rPr>
          <w:rFonts w:eastAsia="MS Mincho" w:cstheme="minorHAnsi"/>
          <w:lang w:eastAsia="ja-JP"/>
        </w:rPr>
        <w:noBreakHyphen/>
        <w:t>point reduction in the total MG</w:t>
      </w:r>
      <w:r w:rsidRPr="00B074CF">
        <w:rPr>
          <w:rFonts w:eastAsia="MS Mincho" w:cstheme="minorHAnsi"/>
        </w:rPr>
        <w:noBreakHyphen/>
      </w:r>
      <w:r w:rsidRPr="00B074CF">
        <w:rPr>
          <w:rFonts w:eastAsia="MS Mincho" w:cstheme="minorHAnsi"/>
          <w:lang w:eastAsia="ja-JP"/>
        </w:rPr>
        <w:t>ADL score</w:t>
      </w:r>
      <w:r w:rsidRPr="00B074CF">
        <w:rPr>
          <w:rFonts w:eastAsia="MS Mincho" w:cstheme="minorHAnsi"/>
          <w:vertAlign w:val="superscript"/>
        </w:rPr>
        <w:t xml:space="preserve"> </w:t>
      </w:r>
      <w:r w:rsidRPr="00B074CF">
        <w:rPr>
          <w:rFonts w:eastAsia="MS Mincho" w:cstheme="minorHAnsi"/>
          <w:lang w:eastAsia="ja-JP"/>
        </w:rPr>
        <w:t xml:space="preserve">compared to the </w:t>
      </w:r>
      <w:r w:rsidRPr="00B074CF">
        <w:rPr>
          <w:rFonts w:eastAsia="MS Mincho" w:cstheme="minorHAnsi"/>
        </w:rPr>
        <w:t xml:space="preserve">treatment </w:t>
      </w:r>
      <w:r w:rsidRPr="00B074CF">
        <w:rPr>
          <w:rFonts w:eastAsia="MS Mincho" w:cstheme="minorHAnsi"/>
          <w:lang w:eastAsia="ja-JP"/>
        </w:rPr>
        <w:t>cycle baseline, for at least 4 consecutive weeks with the first reduction occurring no later than 1 week after the last infusion of the cycle.</w:t>
      </w:r>
    </w:p>
    <w:p w14:paraId="68339B84" w14:textId="77777777" w:rsidR="00574FBB" w:rsidRPr="00B074CF" w:rsidRDefault="00574FBB" w:rsidP="00BE17AB">
      <w:pPr>
        <w:rPr>
          <w:rFonts w:eastAsia="MS Mincho" w:cstheme="minorHAnsi"/>
        </w:rPr>
      </w:pPr>
      <w:r w:rsidRPr="00B074CF">
        <w:rPr>
          <w:rFonts w:eastAsia="MS Mincho" w:cstheme="minorHAnsi"/>
          <w:lang w:eastAsia="ja-JP"/>
        </w:rPr>
        <w:t xml:space="preserve">The efficacy of </w:t>
      </w:r>
      <w:r w:rsidRPr="00B074CF">
        <w:rPr>
          <w:rFonts w:cstheme="minorHAnsi"/>
        </w:rPr>
        <w:t>efgartigimod alfa</w:t>
      </w:r>
      <w:r w:rsidRPr="00B074CF">
        <w:rPr>
          <w:rFonts w:eastAsia="MS Mincho" w:cstheme="minorHAnsi"/>
        </w:rPr>
        <w:t xml:space="preserve"> </w:t>
      </w:r>
      <w:r w:rsidRPr="00B074CF">
        <w:rPr>
          <w:rFonts w:eastAsia="MS Mincho" w:cstheme="minorHAnsi"/>
          <w:lang w:eastAsia="ja-JP"/>
        </w:rPr>
        <w:t>was also measured using the QMG total score which is a grading system that assesses muscle weakness with a total possible score of 0 to 39 where higher scores indicate more severe impairment. In this study, a QMG responder was a patient who had a ≥ 3</w:t>
      </w:r>
      <w:r w:rsidRPr="00B074CF">
        <w:rPr>
          <w:rFonts w:eastAsia="MS Mincho" w:cstheme="minorHAnsi"/>
          <w:lang w:eastAsia="ja-JP"/>
        </w:rPr>
        <w:noBreakHyphen/>
        <w:t xml:space="preserve">point reduction in the total QMG score compared to the </w:t>
      </w:r>
      <w:r w:rsidRPr="00B074CF">
        <w:rPr>
          <w:rFonts w:eastAsia="MS Mincho" w:cstheme="minorHAnsi"/>
        </w:rPr>
        <w:t xml:space="preserve">treatment </w:t>
      </w:r>
      <w:r w:rsidRPr="00B074CF">
        <w:rPr>
          <w:rFonts w:eastAsia="MS Mincho" w:cstheme="minorHAnsi"/>
          <w:lang w:eastAsia="ja-JP"/>
        </w:rPr>
        <w:t xml:space="preserve">cycle baseline, for </w:t>
      </w:r>
      <w:r w:rsidRPr="00B074CF">
        <w:rPr>
          <w:rFonts w:eastAsia="MS Mincho" w:cstheme="minorHAnsi"/>
        </w:rPr>
        <w:t xml:space="preserve">at least </w:t>
      </w:r>
      <w:r w:rsidRPr="00B074CF">
        <w:rPr>
          <w:rFonts w:eastAsia="MS Mincho" w:cstheme="minorHAnsi"/>
          <w:lang w:eastAsia="ja-JP"/>
        </w:rPr>
        <w:t>4 consecutive weeks with the first reduction occurring no later than 1 week after last infusion of the cycle.</w:t>
      </w:r>
    </w:p>
    <w:p w14:paraId="62460F36" w14:textId="77777777" w:rsidR="00574FBB" w:rsidRPr="00B074CF" w:rsidRDefault="00574FBB" w:rsidP="00BE17AB">
      <w:pPr>
        <w:rPr>
          <w:rFonts w:eastAsia="MS Mincho" w:cstheme="minorHAnsi"/>
        </w:rPr>
      </w:pPr>
      <w:r w:rsidRPr="00B074CF">
        <w:rPr>
          <w:rFonts w:eastAsia="MS Mincho" w:cstheme="minorHAnsi"/>
          <w:lang w:eastAsia="ja-JP"/>
        </w:rPr>
        <w:t>The primary efficacy endpoint was the comparison of the percentage of MG</w:t>
      </w:r>
      <w:r w:rsidRPr="00B074CF">
        <w:rPr>
          <w:rFonts w:eastAsia="MS Mincho" w:cstheme="minorHAnsi"/>
          <w:lang w:eastAsia="ja-JP"/>
        </w:rPr>
        <w:noBreakHyphen/>
        <w:t xml:space="preserve">ADL responders during the first treatment cycle </w:t>
      </w:r>
      <w:r w:rsidRPr="00B074CF">
        <w:rPr>
          <w:rFonts w:eastAsia="MS Mincho" w:cstheme="minorHAnsi"/>
        </w:rPr>
        <w:t xml:space="preserve">(C1) </w:t>
      </w:r>
      <w:r w:rsidRPr="00B074CF">
        <w:rPr>
          <w:rFonts w:eastAsia="MS Mincho" w:cstheme="minorHAnsi"/>
          <w:lang w:eastAsia="ja-JP"/>
        </w:rPr>
        <w:t xml:space="preserve">between treatment groups in the </w:t>
      </w:r>
      <w:proofErr w:type="spellStart"/>
      <w:r w:rsidRPr="00B074CF">
        <w:rPr>
          <w:rFonts w:eastAsia="MS Mincho" w:cstheme="minorHAnsi"/>
          <w:lang w:eastAsia="ja-JP"/>
        </w:rPr>
        <w:t>AChR</w:t>
      </w:r>
      <w:proofErr w:type="spellEnd"/>
      <w:r w:rsidRPr="00B074CF">
        <w:rPr>
          <w:rFonts w:eastAsia="MS Mincho" w:cstheme="minorHAnsi"/>
          <w:lang w:eastAsia="ja-JP"/>
        </w:rPr>
        <w:noBreakHyphen/>
        <w:t>Ab seropositive population.</w:t>
      </w:r>
    </w:p>
    <w:p w14:paraId="22693919" w14:textId="1D703B3C" w:rsidR="00574FBB" w:rsidRPr="00B074CF" w:rsidRDefault="00574FBB" w:rsidP="00BE17AB">
      <w:pPr>
        <w:rPr>
          <w:rFonts w:eastAsia="MS Mincho" w:cstheme="minorHAnsi"/>
          <w:lang w:eastAsia="ja-JP"/>
        </w:rPr>
      </w:pPr>
      <w:r w:rsidRPr="00B074CF">
        <w:rPr>
          <w:rFonts w:eastAsia="MS Mincho" w:cstheme="minorHAnsi"/>
          <w:lang w:eastAsia="ja-JP"/>
        </w:rPr>
        <w:t xml:space="preserve">A key secondary endpoint was the comparison of the percentage of QMG responders during </w:t>
      </w:r>
      <w:r w:rsidRPr="00B074CF">
        <w:rPr>
          <w:rFonts w:eastAsia="MS Mincho" w:cstheme="minorHAnsi"/>
        </w:rPr>
        <w:t>C1</w:t>
      </w:r>
      <w:r w:rsidRPr="00B074CF">
        <w:rPr>
          <w:rFonts w:eastAsia="MS Mincho" w:cstheme="minorHAnsi"/>
          <w:lang w:eastAsia="ja-JP"/>
        </w:rPr>
        <w:t xml:space="preserve"> between both treatment groups in the </w:t>
      </w:r>
      <w:proofErr w:type="spellStart"/>
      <w:r w:rsidRPr="00B074CF">
        <w:rPr>
          <w:rFonts w:eastAsia="MS Mincho" w:cstheme="minorHAnsi"/>
          <w:lang w:eastAsia="ja-JP"/>
        </w:rPr>
        <w:t>AChR</w:t>
      </w:r>
      <w:proofErr w:type="spellEnd"/>
      <w:r w:rsidRPr="00B074CF">
        <w:rPr>
          <w:rFonts w:eastAsia="MS Mincho" w:cstheme="minorHAnsi"/>
          <w:lang w:eastAsia="ja-JP"/>
        </w:rPr>
        <w:noBreakHyphen/>
        <w:t xml:space="preserve">Ab seropositive </w:t>
      </w:r>
      <w:r w:rsidRPr="006075A9">
        <w:rPr>
          <w:rFonts w:eastAsia="MS Mincho" w:cstheme="minorHAnsi"/>
          <w:lang w:eastAsia="ja-JP"/>
        </w:rPr>
        <w:t>patients</w:t>
      </w:r>
      <w:r w:rsidR="006964B4" w:rsidRPr="006075A9">
        <w:rPr>
          <w:rFonts w:eastAsia="MS Mincho" w:cstheme="minorHAnsi"/>
          <w:lang w:eastAsia="ja-JP"/>
        </w:rPr>
        <w:t xml:space="preserve"> (see Table 3)</w:t>
      </w:r>
      <w:r w:rsidRPr="006075A9">
        <w:rPr>
          <w:rFonts w:eastAsia="MS Mincho" w:cstheme="minorHAnsi"/>
          <w:lang w:eastAsia="ja-JP"/>
        </w:rPr>
        <w:t>.</w:t>
      </w:r>
    </w:p>
    <w:p w14:paraId="1E7AAAF0" w14:textId="77777777" w:rsidR="00574FBB" w:rsidRPr="00B074CF" w:rsidRDefault="00574FBB" w:rsidP="00BE17AB">
      <w:pPr>
        <w:ind w:left="851" w:hanging="851"/>
        <w:rPr>
          <w:rFonts w:eastAsia="MS Mincho" w:cstheme="minorHAnsi"/>
          <w:lang w:eastAsia="ja-JP"/>
        </w:rPr>
      </w:pPr>
      <w:r w:rsidRPr="00B074CF">
        <w:rPr>
          <w:rFonts w:cstheme="minorHAnsi"/>
          <w:b/>
          <w:bCs/>
        </w:rPr>
        <w:t>Table 3.</w:t>
      </w:r>
      <w:r w:rsidRPr="00B074CF">
        <w:rPr>
          <w:rFonts w:cstheme="minorHAnsi"/>
          <w:b/>
          <w:bCs/>
        </w:rPr>
        <w:tab/>
        <w:t>MG</w:t>
      </w:r>
      <w:r w:rsidRPr="00B074CF">
        <w:rPr>
          <w:rFonts w:cstheme="minorHAnsi"/>
          <w:b/>
          <w:bCs/>
        </w:rPr>
        <w:noBreakHyphen/>
        <w:t xml:space="preserve">ADL and QMG responders during cycle 1 in </w:t>
      </w:r>
      <w:proofErr w:type="spellStart"/>
      <w:r w:rsidRPr="00B074CF">
        <w:rPr>
          <w:rFonts w:cstheme="minorHAnsi"/>
          <w:b/>
          <w:bCs/>
        </w:rPr>
        <w:t>AChR</w:t>
      </w:r>
      <w:proofErr w:type="spellEnd"/>
      <w:r w:rsidRPr="00B074CF">
        <w:rPr>
          <w:rFonts w:cstheme="minorHAnsi"/>
          <w:b/>
          <w:bCs/>
        </w:rPr>
        <w:t>-Ab seropositive population (</w:t>
      </w:r>
      <w:proofErr w:type="spellStart"/>
      <w:r w:rsidRPr="00B074CF">
        <w:rPr>
          <w:rFonts w:cstheme="minorHAnsi"/>
          <w:b/>
          <w:bCs/>
        </w:rPr>
        <w:t>mITT</w:t>
      </w:r>
      <w:proofErr w:type="spellEnd"/>
      <w:r w:rsidRPr="00B074CF">
        <w:rPr>
          <w:rFonts w:cstheme="minorHAnsi"/>
          <w:b/>
          <w:bCs/>
        </w:rPr>
        <w:t xml:space="preserve"> analysis set)</w:t>
      </w:r>
    </w:p>
    <w:tbl>
      <w:tblPr>
        <w:tblW w:w="9185" w:type="dxa"/>
        <w:jc w:val="center"/>
        <w:tblCellMar>
          <w:left w:w="0" w:type="dxa"/>
          <w:right w:w="0" w:type="dxa"/>
        </w:tblCellMar>
        <w:tblLook w:val="0000" w:firstRow="0" w:lastRow="0" w:firstColumn="0" w:lastColumn="0" w:noHBand="0" w:noVBand="0"/>
      </w:tblPr>
      <w:tblGrid>
        <w:gridCol w:w="1129"/>
        <w:gridCol w:w="1418"/>
        <w:gridCol w:w="1843"/>
        <w:gridCol w:w="1417"/>
        <w:gridCol w:w="1418"/>
        <w:gridCol w:w="1960"/>
      </w:tblGrid>
      <w:tr w:rsidR="00574FBB" w:rsidRPr="002C1EB6" w14:paraId="43E8F991" w14:textId="77777777" w:rsidTr="00BC4F1B">
        <w:trPr>
          <w:cantSplit/>
          <w:jc w:val="center"/>
        </w:trPr>
        <w:tc>
          <w:tcPr>
            <w:tcW w:w="1129" w:type="dxa"/>
            <w:tcBorders>
              <w:top w:val="single" w:sz="4" w:space="0" w:color="auto"/>
              <w:left w:val="single" w:sz="4" w:space="0" w:color="000000"/>
              <w:bottom w:val="single" w:sz="4" w:space="0" w:color="auto"/>
              <w:right w:val="nil"/>
            </w:tcBorders>
            <w:shd w:val="clear" w:color="auto" w:fill="FFFFFF"/>
            <w:tcMar>
              <w:left w:w="67" w:type="dxa"/>
              <w:right w:w="67" w:type="dxa"/>
            </w:tcMar>
          </w:tcPr>
          <w:p w14:paraId="62FC865D" w14:textId="77777777" w:rsidR="00574FBB" w:rsidRPr="00B074CF" w:rsidRDefault="00574FBB" w:rsidP="00BE17AB">
            <w:pPr>
              <w:adjustRightInd w:val="0"/>
              <w:spacing w:line="240" w:lineRule="auto"/>
              <w:rPr>
                <w:rFonts w:eastAsia="MS Mincho" w:cstheme="minorHAnsi"/>
                <w:lang w:eastAsia="ja-JP"/>
              </w:rPr>
            </w:pPr>
          </w:p>
        </w:tc>
        <w:tc>
          <w:tcPr>
            <w:tcW w:w="1418" w:type="dxa"/>
            <w:tcBorders>
              <w:top w:val="single" w:sz="4" w:space="0" w:color="auto"/>
              <w:left w:val="single" w:sz="4" w:space="0" w:color="000000"/>
              <w:bottom w:val="single" w:sz="4" w:space="0" w:color="000000"/>
              <w:right w:val="nil"/>
            </w:tcBorders>
            <w:shd w:val="clear" w:color="auto" w:fill="FFFFFF"/>
            <w:tcMar>
              <w:left w:w="67" w:type="dxa"/>
              <w:right w:w="67" w:type="dxa"/>
            </w:tcMar>
          </w:tcPr>
          <w:p w14:paraId="0CBB7B13" w14:textId="77777777" w:rsidR="00574FBB" w:rsidRPr="00B074CF" w:rsidRDefault="00574FBB" w:rsidP="00BE17AB">
            <w:pPr>
              <w:adjustRightInd w:val="0"/>
              <w:spacing w:line="240" w:lineRule="auto"/>
              <w:rPr>
                <w:rFonts w:eastAsia="MS Mincho" w:cstheme="minorHAnsi"/>
                <w:b/>
              </w:rPr>
            </w:pPr>
            <w:r w:rsidRPr="00B074CF">
              <w:rPr>
                <w:rFonts w:eastAsia="MS Mincho" w:cstheme="minorHAnsi"/>
                <w:b/>
              </w:rPr>
              <w:t>Population</w:t>
            </w:r>
          </w:p>
        </w:tc>
        <w:tc>
          <w:tcPr>
            <w:tcW w:w="1843" w:type="dxa"/>
            <w:tcBorders>
              <w:top w:val="single" w:sz="4" w:space="0" w:color="auto"/>
              <w:left w:val="single" w:sz="4" w:space="0" w:color="000000"/>
              <w:bottom w:val="single" w:sz="4" w:space="0" w:color="000000"/>
              <w:right w:val="nil"/>
            </w:tcBorders>
            <w:shd w:val="clear" w:color="auto" w:fill="FFFFFF"/>
            <w:tcMar>
              <w:left w:w="67" w:type="dxa"/>
              <w:right w:w="67" w:type="dxa"/>
            </w:tcMar>
          </w:tcPr>
          <w:p w14:paraId="0F6D40DA" w14:textId="77777777" w:rsidR="00574FBB" w:rsidRPr="00B074CF" w:rsidRDefault="00574FBB" w:rsidP="00BE17AB">
            <w:pPr>
              <w:adjustRightInd w:val="0"/>
              <w:spacing w:line="240" w:lineRule="auto"/>
              <w:rPr>
                <w:rFonts w:eastAsia="MS Mincho" w:cstheme="minorHAnsi"/>
                <w:b/>
                <w:bCs/>
                <w:lang w:eastAsia="ja-JP"/>
              </w:rPr>
            </w:pPr>
            <w:r w:rsidRPr="00B074CF">
              <w:rPr>
                <w:rFonts w:eastAsia="MS Mincho" w:cstheme="minorHAnsi"/>
                <w:b/>
                <w:bCs/>
                <w:lang w:eastAsia="ja-JP"/>
              </w:rPr>
              <w:t>Efgartigimod alfa</w:t>
            </w:r>
            <w:r w:rsidRPr="00B074CF">
              <w:rPr>
                <w:rFonts w:eastAsia="MS Mincho" w:cstheme="minorHAnsi"/>
                <w:b/>
                <w:bCs/>
                <w:lang w:eastAsia="ja-JP"/>
              </w:rPr>
              <w:br/>
            </w:r>
            <w:r w:rsidRPr="00B074CF">
              <w:rPr>
                <w:rFonts w:eastAsia="MS Mincho" w:cstheme="minorHAnsi"/>
                <w:b/>
              </w:rPr>
              <w:t>n/N (%)</w:t>
            </w:r>
          </w:p>
        </w:tc>
        <w:tc>
          <w:tcPr>
            <w:tcW w:w="1417" w:type="dxa"/>
            <w:tcBorders>
              <w:top w:val="single" w:sz="4" w:space="0" w:color="auto"/>
              <w:left w:val="single" w:sz="4" w:space="0" w:color="000000"/>
              <w:bottom w:val="single" w:sz="4" w:space="0" w:color="000000"/>
              <w:right w:val="nil"/>
            </w:tcBorders>
            <w:shd w:val="clear" w:color="auto" w:fill="FFFFFF"/>
            <w:tcMar>
              <w:left w:w="67" w:type="dxa"/>
              <w:right w:w="67" w:type="dxa"/>
            </w:tcMar>
          </w:tcPr>
          <w:p w14:paraId="6D5DA078" w14:textId="77777777" w:rsidR="00574FBB" w:rsidRPr="00B074CF" w:rsidRDefault="00574FBB" w:rsidP="00BE17AB">
            <w:pPr>
              <w:adjustRightInd w:val="0"/>
              <w:spacing w:line="240" w:lineRule="auto"/>
              <w:rPr>
                <w:rFonts w:eastAsia="MS Mincho" w:cstheme="minorHAnsi"/>
                <w:b/>
                <w:bCs/>
                <w:lang w:eastAsia="ja-JP"/>
              </w:rPr>
            </w:pPr>
            <w:r w:rsidRPr="00B074CF">
              <w:rPr>
                <w:rFonts w:eastAsia="MS Mincho" w:cstheme="minorHAnsi"/>
                <w:b/>
                <w:bCs/>
                <w:lang w:eastAsia="ja-JP"/>
              </w:rPr>
              <w:t>Placebo</w:t>
            </w:r>
            <w:r w:rsidRPr="00B074CF">
              <w:rPr>
                <w:rFonts w:eastAsia="MS Mincho" w:cstheme="minorHAnsi"/>
                <w:b/>
                <w:bCs/>
                <w:lang w:eastAsia="ja-JP"/>
              </w:rPr>
              <w:br/>
            </w:r>
            <w:r w:rsidRPr="00B074CF">
              <w:rPr>
                <w:rFonts w:eastAsia="MS Mincho" w:cstheme="minorHAnsi"/>
                <w:b/>
              </w:rPr>
              <w:t>n/N (%)</w:t>
            </w:r>
          </w:p>
        </w:tc>
        <w:tc>
          <w:tcPr>
            <w:tcW w:w="1418" w:type="dxa"/>
            <w:tcBorders>
              <w:top w:val="single" w:sz="4" w:space="0" w:color="auto"/>
              <w:left w:val="single" w:sz="4" w:space="0" w:color="000000"/>
              <w:bottom w:val="single" w:sz="4" w:space="0" w:color="000000"/>
              <w:right w:val="single" w:sz="4" w:space="0" w:color="000000"/>
            </w:tcBorders>
            <w:shd w:val="clear" w:color="auto" w:fill="FFFFFF"/>
            <w:tcMar>
              <w:left w:w="67" w:type="dxa"/>
              <w:right w:w="67" w:type="dxa"/>
            </w:tcMar>
          </w:tcPr>
          <w:p w14:paraId="3BE1FB0E" w14:textId="5987B387" w:rsidR="00574FBB" w:rsidRPr="00B074CF" w:rsidRDefault="00574FBB" w:rsidP="00BE17AB">
            <w:pPr>
              <w:adjustRightInd w:val="0"/>
              <w:spacing w:line="240" w:lineRule="auto"/>
              <w:rPr>
                <w:rFonts w:eastAsia="MS Mincho" w:cstheme="minorHAnsi"/>
                <w:b/>
                <w:bCs/>
                <w:lang w:eastAsia="ja-JP"/>
              </w:rPr>
            </w:pPr>
            <w:r w:rsidRPr="00B074CF">
              <w:rPr>
                <w:rFonts w:eastAsia="MS Mincho" w:cstheme="minorHAnsi"/>
                <w:b/>
                <w:bCs/>
                <w:lang w:eastAsia="ja-JP"/>
              </w:rPr>
              <w:t>P</w:t>
            </w:r>
            <w:r w:rsidRPr="00B074CF">
              <w:rPr>
                <w:rFonts w:eastAsia="MS Mincho" w:cstheme="minorHAnsi"/>
                <w:b/>
                <w:bCs/>
                <w:lang w:eastAsia="ja-JP"/>
              </w:rPr>
              <w:noBreakHyphen/>
              <w:t>value</w:t>
            </w:r>
            <w:r w:rsidR="00F2100E">
              <w:rPr>
                <w:rFonts w:eastAsia="MS Mincho" w:cstheme="minorHAnsi"/>
                <w:b/>
                <w:bCs/>
                <w:lang w:eastAsia="ja-JP"/>
              </w:rPr>
              <w:t>*</w:t>
            </w:r>
          </w:p>
        </w:tc>
        <w:tc>
          <w:tcPr>
            <w:tcW w:w="1960" w:type="dxa"/>
            <w:tcBorders>
              <w:top w:val="single" w:sz="4" w:space="0" w:color="auto"/>
              <w:left w:val="single" w:sz="4" w:space="0" w:color="000000"/>
              <w:bottom w:val="single" w:sz="4" w:space="0" w:color="000000"/>
              <w:right w:val="single" w:sz="4" w:space="0" w:color="000000"/>
            </w:tcBorders>
            <w:shd w:val="clear" w:color="auto" w:fill="FFFFFF"/>
          </w:tcPr>
          <w:p w14:paraId="67690B72" w14:textId="77777777" w:rsidR="00574FBB" w:rsidRPr="00B074CF" w:rsidRDefault="00574FBB" w:rsidP="00BE17AB">
            <w:pPr>
              <w:adjustRightInd w:val="0"/>
              <w:spacing w:line="240" w:lineRule="auto"/>
              <w:rPr>
                <w:rFonts w:eastAsia="MS Mincho" w:cstheme="minorHAnsi"/>
                <w:b/>
                <w:lang w:val="it-IT"/>
              </w:rPr>
            </w:pPr>
            <w:r w:rsidRPr="00B074CF">
              <w:rPr>
                <w:rFonts w:eastAsia="MS Mincho" w:cstheme="minorHAnsi"/>
                <w:b/>
                <w:lang w:val="it-IT" w:eastAsia="en-GB"/>
              </w:rPr>
              <w:t>Difference Efgartigimod alfa-Placebo (</w:t>
            </w:r>
            <w:r w:rsidRPr="00B074CF">
              <w:rPr>
                <w:rFonts w:eastAsia="MS Mincho" w:cstheme="minorHAnsi"/>
                <w:b/>
                <w:lang w:val="it-IT"/>
              </w:rPr>
              <w:t xml:space="preserve">95% CI) </w:t>
            </w:r>
          </w:p>
        </w:tc>
      </w:tr>
      <w:tr w:rsidR="00574FBB" w:rsidRPr="00B074CF" w14:paraId="1F0A0351" w14:textId="77777777" w:rsidTr="00BC4F1B">
        <w:trPr>
          <w:cantSplit/>
          <w:jc w:val="center"/>
        </w:trPr>
        <w:tc>
          <w:tcPr>
            <w:tcW w:w="1129" w:type="dxa"/>
            <w:tcBorders>
              <w:top w:val="single" w:sz="4" w:space="0" w:color="auto"/>
              <w:left w:val="single" w:sz="4" w:space="0" w:color="000000"/>
              <w:right w:val="nil"/>
            </w:tcBorders>
            <w:shd w:val="clear" w:color="auto" w:fill="FFFFFF"/>
            <w:tcMar>
              <w:left w:w="67" w:type="dxa"/>
              <w:right w:w="67" w:type="dxa"/>
            </w:tcMar>
            <w:vAlign w:val="center"/>
          </w:tcPr>
          <w:p w14:paraId="5BBB11C1" w14:textId="77777777" w:rsidR="00574FBB" w:rsidRPr="00B074CF" w:rsidRDefault="00574FBB" w:rsidP="00BE17AB">
            <w:pPr>
              <w:adjustRightInd w:val="0"/>
              <w:spacing w:line="240" w:lineRule="auto"/>
              <w:rPr>
                <w:rFonts w:eastAsia="MS Mincho" w:cstheme="minorHAnsi"/>
              </w:rPr>
            </w:pPr>
            <w:r w:rsidRPr="00B074CF">
              <w:rPr>
                <w:rFonts w:eastAsia="MS Mincho" w:cstheme="minorHAnsi"/>
              </w:rPr>
              <w:t>MG-ADL</w:t>
            </w:r>
          </w:p>
        </w:tc>
        <w:tc>
          <w:tcPr>
            <w:tcW w:w="1418" w:type="dxa"/>
            <w:tcBorders>
              <w:top w:val="nil"/>
              <w:left w:val="single" w:sz="4" w:space="0" w:color="000000"/>
              <w:bottom w:val="single" w:sz="4" w:space="0" w:color="000000"/>
              <w:right w:val="nil"/>
            </w:tcBorders>
            <w:shd w:val="clear" w:color="auto" w:fill="FFFFFF"/>
            <w:tcMar>
              <w:left w:w="67" w:type="dxa"/>
              <w:right w:w="67" w:type="dxa"/>
            </w:tcMar>
          </w:tcPr>
          <w:p w14:paraId="32A51066" w14:textId="77777777" w:rsidR="00574FBB" w:rsidRPr="00B074CF" w:rsidRDefault="00574FBB" w:rsidP="00BE17AB">
            <w:pPr>
              <w:adjustRightInd w:val="0"/>
              <w:spacing w:line="240" w:lineRule="auto"/>
              <w:rPr>
                <w:rFonts w:eastAsia="MS Mincho" w:cstheme="minorHAnsi"/>
              </w:rPr>
            </w:pPr>
            <w:proofErr w:type="spellStart"/>
            <w:r w:rsidRPr="00B074CF">
              <w:rPr>
                <w:rFonts w:eastAsia="MS Mincho" w:cstheme="minorHAnsi"/>
              </w:rPr>
              <w:t>AChR</w:t>
            </w:r>
            <w:proofErr w:type="spellEnd"/>
            <w:r w:rsidRPr="00B074CF">
              <w:rPr>
                <w:rFonts w:eastAsia="MS Mincho" w:cstheme="minorHAnsi"/>
              </w:rPr>
              <w:noBreakHyphen/>
              <w:t>Ab seropositive</w:t>
            </w:r>
          </w:p>
        </w:tc>
        <w:tc>
          <w:tcPr>
            <w:tcW w:w="1843" w:type="dxa"/>
            <w:tcBorders>
              <w:top w:val="nil"/>
              <w:left w:val="single" w:sz="4" w:space="0" w:color="000000"/>
              <w:bottom w:val="single" w:sz="4" w:space="0" w:color="000000"/>
              <w:right w:val="nil"/>
            </w:tcBorders>
            <w:shd w:val="clear" w:color="auto" w:fill="FFFFFF"/>
            <w:tcMar>
              <w:left w:w="67" w:type="dxa"/>
              <w:right w:w="67" w:type="dxa"/>
            </w:tcMar>
          </w:tcPr>
          <w:p w14:paraId="0172F97E" w14:textId="77777777" w:rsidR="00574FBB" w:rsidRPr="00B074CF" w:rsidRDefault="00574FBB" w:rsidP="00BE17AB">
            <w:pPr>
              <w:adjustRightInd w:val="0"/>
              <w:spacing w:line="240" w:lineRule="auto"/>
              <w:rPr>
                <w:rFonts w:eastAsia="MS Mincho" w:cstheme="minorHAnsi"/>
                <w:lang w:eastAsia="ja-JP"/>
              </w:rPr>
            </w:pPr>
            <w:r w:rsidRPr="00B074CF">
              <w:rPr>
                <w:rFonts w:eastAsia="MS Mincho" w:cstheme="minorHAnsi"/>
              </w:rPr>
              <w:t xml:space="preserve">44/65 </w:t>
            </w:r>
            <w:r w:rsidRPr="00B074CF">
              <w:rPr>
                <w:rFonts w:eastAsia="MS Mincho" w:cstheme="minorHAnsi"/>
                <w:lang w:eastAsia="ja-JP"/>
              </w:rPr>
              <w:t>(</w:t>
            </w:r>
            <w:r w:rsidRPr="00B074CF">
              <w:rPr>
                <w:rFonts w:eastAsia="MS Mincho" w:cstheme="minorHAnsi"/>
              </w:rPr>
              <w:t>67.7</w:t>
            </w:r>
            <w:r w:rsidRPr="00B074CF">
              <w:rPr>
                <w:rFonts w:eastAsia="MS Mincho" w:cstheme="minorHAnsi"/>
                <w:lang w:eastAsia="ja-JP"/>
              </w:rPr>
              <w:t>)</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32DA017C" w14:textId="77777777" w:rsidR="00574FBB" w:rsidRPr="00B074CF" w:rsidRDefault="00574FBB" w:rsidP="00BE17AB">
            <w:pPr>
              <w:adjustRightInd w:val="0"/>
              <w:spacing w:line="240" w:lineRule="auto"/>
              <w:rPr>
                <w:rFonts w:eastAsia="MS Mincho" w:cstheme="minorHAnsi"/>
              </w:rPr>
            </w:pPr>
            <w:r w:rsidRPr="00B074CF">
              <w:rPr>
                <w:rFonts w:eastAsia="MS Mincho" w:cstheme="minorHAnsi"/>
              </w:rPr>
              <w:t xml:space="preserve">19/64 </w:t>
            </w:r>
            <w:r w:rsidRPr="00B074CF">
              <w:rPr>
                <w:rFonts w:eastAsia="MS Mincho" w:cstheme="minorHAnsi"/>
                <w:lang w:eastAsia="ja-JP"/>
              </w:rPr>
              <w:t>(</w:t>
            </w:r>
            <w:r w:rsidRPr="00B074CF">
              <w:rPr>
                <w:rFonts w:eastAsia="MS Mincho" w:cstheme="minorHAnsi"/>
              </w:rPr>
              <w:t>29.7</w:t>
            </w:r>
            <w:r w:rsidRPr="00B074CF">
              <w:rPr>
                <w:rFonts w:eastAsia="MS Mincho" w:cstheme="minorHAnsi"/>
                <w:lang w:eastAsia="ja-JP"/>
              </w:rPr>
              <w:t>)</w:t>
            </w:r>
          </w:p>
        </w:tc>
        <w:tc>
          <w:tcPr>
            <w:tcW w:w="1418"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7077BA0D" w14:textId="77777777" w:rsidR="00574FBB" w:rsidRPr="00B074CF" w:rsidRDefault="00574FBB" w:rsidP="00BE17AB">
            <w:pPr>
              <w:adjustRightInd w:val="0"/>
              <w:spacing w:line="240" w:lineRule="auto"/>
              <w:rPr>
                <w:rFonts w:eastAsia="MS Mincho" w:cstheme="minorHAnsi"/>
              </w:rPr>
            </w:pPr>
            <w:r w:rsidRPr="00B074CF">
              <w:rPr>
                <w:rFonts w:eastAsia="MS Mincho" w:cstheme="minorHAnsi"/>
              </w:rPr>
              <w:t>&lt; </w:t>
            </w:r>
            <w:r w:rsidRPr="00B074CF">
              <w:rPr>
                <w:rFonts w:eastAsia="MS Mincho" w:cstheme="minorHAnsi"/>
                <w:lang w:eastAsia="ja-JP"/>
              </w:rPr>
              <w:t>0.</w:t>
            </w:r>
            <w:r w:rsidRPr="00B074CF">
              <w:rPr>
                <w:rFonts w:eastAsia="MS Mincho" w:cstheme="minorHAnsi"/>
              </w:rPr>
              <w:t>0001</w:t>
            </w:r>
          </w:p>
        </w:tc>
        <w:tc>
          <w:tcPr>
            <w:tcW w:w="1960" w:type="dxa"/>
            <w:tcBorders>
              <w:top w:val="nil"/>
              <w:left w:val="single" w:sz="4" w:space="0" w:color="000000"/>
              <w:bottom w:val="single" w:sz="4" w:space="0" w:color="000000"/>
              <w:right w:val="single" w:sz="4" w:space="0" w:color="000000"/>
            </w:tcBorders>
            <w:shd w:val="clear" w:color="auto" w:fill="FFFFFF"/>
          </w:tcPr>
          <w:p w14:paraId="3C297F6B" w14:textId="77777777" w:rsidR="00574FBB" w:rsidRPr="00B074CF" w:rsidRDefault="00574FBB" w:rsidP="00BE17AB">
            <w:pPr>
              <w:adjustRightInd w:val="0"/>
              <w:spacing w:line="240" w:lineRule="auto"/>
              <w:rPr>
                <w:rFonts w:eastAsia="MS Mincho" w:cstheme="minorHAnsi"/>
              </w:rPr>
            </w:pPr>
            <w:r w:rsidRPr="00B074CF">
              <w:rPr>
                <w:rFonts w:eastAsia="MS Mincho" w:cstheme="minorHAnsi"/>
                <w:lang w:eastAsia="en-GB"/>
              </w:rPr>
              <w:t>38.0 (22.1; 54.0)</w:t>
            </w:r>
          </w:p>
        </w:tc>
      </w:tr>
      <w:tr w:rsidR="00574FBB" w:rsidRPr="00B074CF" w14:paraId="1C9031CD" w14:textId="77777777" w:rsidTr="00BC4F1B">
        <w:trPr>
          <w:cantSplit/>
          <w:jc w:val="center"/>
        </w:trPr>
        <w:tc>
          <w:tcPr>
            <w:tcW w:w="1129" w:type="dxa"/>
            <w:tcBorders>
              <w:top w:val="single" w:sz="4" w:space="0" w:color="000000"/>
              <w:left w:val="single" w:sz="4" w:space="0" w:color="000000"/>
              <w:bottom w:val="single" w:sz="4" w:space="0" w:color="auto"/>
              <w:right w:val="nil"/>
            </w:tcBorders>
            <w:shd w:val="clear" w:color="auto" w:fill="FFFFFF"/>
            <w:tcMar>
              <w:left w:w="67" w:type="dxa"/>
              <w:right w:w="67" w:type="dxa"/>
            </w:tcMar>
            <w:vAlign w:val="center"/>
          </w:tcPr>
          <w:p w14:paraId="5E2DECED" w14:textId="77777777" w:rsidR="00574FBB" w:rsidRPr="00B074CF" w:rsidRDefault="00574FBB" w:rsidP="00BE17AB">
            <w:pPr>
              <w:adjustRightInd w:val="0"/>
              <w:spacing w:line="240" w:lineRule="auto"/>
              <w:rPr>
                <w:rFonts w:eastAsia="MS Mincho" w:cstheme="minorHAnsi"/>
              </w:rPr>
            </w:pPr>
            <w:r w:rsidRPr="00B074CF">
              <w:rPr>
                <w:rFonts w:eastAsia="MS Mincho" w:cstheme="minorHAnsi"/>
              </w:rPr>
              <w:t>QMG</w:t>
            </w:r>
          </w:p>
        </w:tc>
        <w:tc>
          <w:tcPr>
            <w:tcW w:w="1418" w:type="dxa"/>
            <w:tcBorders>
              <w:top w:val="nil"/>
              <w:left w:val="single" w:sz="4" w:space="0" w:color="000000"/>
              <w:bottom w:val="single" w:sz="4" w:space="0" w:color="000000"/>
              <w:right w:val="nil"/>
            </w:tcBorders>
            <w:shd w:val="clear" w:color="auto" w:fill="FFFFFF"/>
            <w:tcMar>
              <w:left w:w="67" w:type="dxa"/>
              <w:right w:w="67" w:type="dxa"/>
            </w:tcMar>
          </w:tcPr>
          <w:p w14:paraId="22E72A46" w14:textId="77777777" w:rsidR="00574FBB" w:rsidRPr="00B074CF" w:rsidRDefault="00574FBB" w:rsidP="00BE17AB">
            <w:pPr>
              <w:adjustRightInd w:val="0"/>
              <w:spacing w:line="240" w:lineRule="auto"/>
              <w:rPr>
                <w:rFonts w:eastAsia="MS Mincho" w:cstheme="minorHAnsi"/>
                <w:lang w:eastAsia="ja-JP"/>
              </w:rPr>
            </w:pPr>
            <w:proofErr w:type="spellStart"/>
            <w:r w:rsidRPr="00B074CF">
              <w:rPr>
                <w:rFonts w:eastAsia="MS Mincho" w:cstheme="minorHAnsi"/>
              </w:rPr>
              <w:t>AChR</w:t>
            </w:r>
            <w:proofErr w:type="spellEnd"/>
            <w:r w:rsidRPr="00B074CF">
              <w:rPr>
                <w:rFonts w:eastAsia="MS Mincho" w:cstheme="minorHAnsi"/>
              </w:rPr>
              <w:noBreakHyphen/>
              <w:t>Ab seropositive</w:t>
            </w:r>
          </w:p>
        </w:tc>
        <w:tc>
          <w:tcPr>
            <w:tcW w:w="1843" w:type="dxa"/>
            <w:tcBorders>
              <w:top w:val="nil"/>
              <w:left w:val="single" w:sz="4" w:space="0" w:color="000000"/>
              <w:bottom w:val="single" w:sz="4" w:space="0" w:color="000000"/>
              <w:right w:val="nil"/>
            </w:tcBorders>
            <w:shd w:val="clear" w:color="auto" w:fill="FFFFFF"/>
            <w:tcMar>
              <w:left w:w="67" w:type="dxa"/>
              <w:right w:w="67" w:type="dxa"/>
            </w:tcMar>
          </w:tcPr>
          <w:p w14:paraId="194D81AB" w14:textId="77777777" w:rsidR="00574FBB" w:rsidRPr="00B074CF" w:rsidRDefault="00574FBB" w:rsidP="00BE17AB">
            <w:pPr>
              <w:adjustRightInd w:val="0"/>
              <w:spacing w:line="240" w:lineRule="auto"/>
              <w:rPr>
                <w:rFonts w:eastAsia="MS Mincho" w:cstheme="minorHAnsi"/>
                <w:lang w:eastAsia="ja-JP"/>
              </w:rPr>
            </w:pPr>
            <w:r w:rsidRPr="00B074CF">
              <w:rPr>
                <w:rFonts w:eastAsia="MS Mincho" w:cstheme="minorHAnsi"/>
              </w:rPr>
              <w:t xml:space="preserve">41/65 </w:t>
            </w:r>
            <w:r w:rsidRPr="00B074CF">
              <w:rPr>
                <w:rFonts w:eastAsia="MS Mincho" w:cstheme="minorHAnsi"/>
                <w:lang w:eastAsia="ja-JP"/>
              </w:rPr>
              <w:t>(</w:t>
            </w:r>
            <w:r w:rsidRPr="00B074CF">
              <w:rPr>
                <w:rFonts w:eastAsia="MS Mincho" w:cstheme="minorHAnsi"/>
              </w:rPr>
              <w:t>63.1</w:t>
            </w:r>
            <w:r w:rsidRPr="00B074CF">
              <w:rPr>
                <w:rFonts w:eastAsia="MS Mincho" w:cstheme="minorHAnsi"/>
                <w:lang w:eastAsia="ja-JP"/>
              </w:rPr>
              <w:t>)</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4D74467A" w14:textId="77777777" w:rsidR="00574FBB" w:rsidRPr="00B074CF" w:rsidRDefault="00574FBB" w:rsidP="00BE17AB">
            <w:pPr>
              <w:adjustRightInd w:val="0"/>
              <w:spacing w:line="240" w:lineRule="auto"/>
              <w:rPr>
                <w:rFonts w:eastAsia="MS Mincho" w:cstheme="minorHAnsi"/>
              </w:rPr>
            </w:pPr>
            <w:r w:rsidRPr="00B074CF">
              <w:rPr>
                <w:rFonts w:eastAsia="MS Mincho" w:cstheme="minorHAnsi"/>
              </w:rPr>
              <w:t>9/64</w:t>
            </w:r>
            <w:r w:rsidRPr="00B074CF">
              <w:rPr>
                <w:rFonts w:eastAsia="MS Mincho" w:cstheme="minorHAnsi"/>
                <w:lang w:eastAsia="ja-JP"/>
              </w:rPr>
              <w:t xml:space="preserve"> (</w:t>
            </w:r>
            <w:r w:rsidRPr="00B074CF">
              <w:rPr>
                <w:rFonts w:eastAsia="MS Mincho" w:cstheme="minorHAnsi"/>
              </w:rPr>
              <w:t>14.1</w:t>
            </w:r>
            <w:r w:rsidRPr="00B074CF">
              <w:rPr>
                <w:rFonts w:eastAsia="MS Mincho" w:cstheme="minorHAnsi"/>
                <w:lang w:eastAsia="ja-JP"/>
              </w:rPr>
              <w:t>)</w:t>
            </w:r>
          </w:p>
        </w:tc>
        <w:tc>
          <w:tcPr>
            <w:tcW w:w="1418"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00C0897F" w14:textId="77777777" w:rsidR="00574FBB" w:rsidRPr="00B074CF" w:rsidRDefault="00574FBB" w:rsidP="00BE17AB">
            <w:pPr>
              <w:adjustRightInd w:val="0"/>
              <w:spacing w:line="240" w:lineRule="auto"/>
              <w:rPr>
                <w:rFonts w:eastAsia="MS Mincho" w:cstheme="minorHAnsi"/>
              </w:rPr>
            </w:pPr>
            <w:r w:rsidRPr="00B074CF">
              <w:rPr>
                <w:rFonts w:eastAsia="MS Mincho" w:cstheme="minorHAnsi"/>
              </w:rPr>
              <w:t>&lt; 0.0001</w:t>
            </w:r>
          </w:p>
        </w:tc>
        <w:tc>
          <w:tcPr>
            <w:tcW w:w="1960" w:type="dxa"/>
            <w:tcBorders>
              <w:top w:val="nil"/>
              <w:left w:val="single" w:sz="4" w:space="0" w:color="000000"/>
              <w:bottom w:val="single" w:sz="4" w:space="0" w:color="000000"/>
              <w:right w:val="single" w:sz="4" w:space="0" w:color="000000"/>
            </w:tcBorders>
            <w:shd w:val="clear" w:color="auto" w:fill="FFFFFF"/>
          </w:tcPr>
          <w:p w14:paraId="75677213" w14:textId="77777777" w:rsidR="00574FBB" w:rsidRPr="00B074CF" w:rsidRDefault="00574FBB" w:rsidP="00BE17AB">
            <w:pPr>
              <w:adjustRightInd w:val="0"/>
              <w:spacing w:line="240" w:lineRule="auto"/>
              <w:rPr>
                <w:rFonts w:eastAsia="MS Mincho" w:cstheme="minorHAnsi"/>
              </w:rPr>
            </w:pPr>
            <w:r w:rsidRPr="00B074CF">
              <w:rPr>
                <w:rFonts w:eastAsia="MS Mincho" w:cstheme="minorHAnsi"/>
                <w:lang w:eastAsia="en-GB"/>
              </w:rPr>
              <w:t>49.0 (34.5; 63.5)</w:t>
            </w:r>
          </w:p>
        </w:tc>
      </w:tr>
    </w:tbl>
    <w:p w14:paraId="62D33DE4" w14:textId="47104EFC" w:rsidR="00574FBB" w:rsidRPr="006075A9" w:rsidRDefault="00574FBB" w:rsidP="00BE17AB">
      <w:pPr>
        <w:adjustRightInd w:val="0"/>
        <w:spacing w:after="0"/>
        <w:rPr>
          <w:rFonts w:eastAsia="MS Mincho" w:cstheme="minorHAnsi"/>
          <w:i/>
          <w:iCs/>
          <w:sz w:val="20"/>
          <w:szCs w:val="20"/>
        </w:rPr>
      </w:pPr>
      <w:proofErr w:type="spellStart"/>
      <w:r w:rsidRPr="00564C80">
        <w:rPr>
          <w:rFonts w:eastAsia="MS Mincho" w:cstheme="minorHAnsi"/>
          <w:i/>
          <w:iCs/>
          <w:sz w:val="20"/>
          <w:szCs w:val="20"/>
        </w:rPr>
        <w:t>AChR</w:t>
      </w:r>
      <w:proofErr w:type="spellEnd"/>
      <w:r w:rsidRPr="00564C80">
        <w:rPr>
          <w:rFonts w:eastAsia="MS Mincho" w:cstheme="minorHAnsi"/>
          <w:i/>
          <w:iCs/>
          <w:sz w:val="20"/>
          <w:szCs w:val="20"/>
        </w:rPr>
        <w:noBreakHyphen/>
        <w:t>Ab = acetylcholine receptor</w:t>
      </w:r>
      <w:r w:rsidRPr="00564C80">
        <w:rPr>
          <w:rFonts w:eastAsia="MS Mincho" w:cstheme="minorHAnsi"/>
          <w:i/>
          <w:iCs/>
          <w:sz w:val="20"/>
          <w:szCs w:val="20"/>
        </w:rPr>
        <w:noBreakHyphen/>
        <w:t>antibody; MG</w:t>
      </w:r>
      <w:r w:rsidRPr="00564C80">
        <w:rPr>
          <w:rFonts w:eastAsia="MS Mincho" w:cstheme="minorHAnsi"/>
          <w:i/>
          <w:iCs/>
          <w:sz w:val="20"/>
          <w:szCs w:val="20"/>
        </w:rPr>
        <w:noBreakHyphen/>
        <w:t xml:space="preserve">ADL = Myasthenia Gravis Activities of Daily Living; QMG = Quantitative Myasthenia Gravis; </w:t>
      </w:r>
      <w:proofErr w:type="spellStart"/>
      <w:r w:rsidRPr="00564C80">
        <w:rPr>
          <w:rFonts w:eastAsia="MS Mincho" w:cstheme="minorHAnsi"/>
          <w:i/>
          <w:iCs/>
          <w:sz w:val="20"/>
          <w:szCs w:val="20"/>
        </w:rPr>
        <w:t>mITT</w:t>
      </w:r>
      <w:proofErr w:type="spellEnd"/>
      <w:r w:rsidRPr="00564C80">
        <w:rPr>
          <w:rFonts w:eastAsia="MS Mincho" w:cstheme="minorHAnsi"/>
          <w:i/>
          <w:iCs/>
          <w:sz w:val="20"/>
          <w:szCs w:val="20"/>
        </w:rPr>
        <w:t> = modified intent</w:t>
      </w:r>
      <w:r w:rsidRPr="00564C80">
        <w:rPr>
          <w:rFonts w:eastAsia="MS Mincho" w:cstheme="minorHAnsi"/>
          <w:i/>
          <w:iCs/>
          <w:sz w:val="20"/>
          <w:szCs w:val="20"/>
        </w:rPr>
        <w:noBreakHyphen/>
        <w:t>to</w:t>
      </w:r>
      <w:r w:rsidRPr="00564C80">
        <w:rPr>
          <w:rFonts w:eastAsia="MS Mincho" w:cstheme="minorHAnsi"/>
          <w:i/>
          <w:iCs/>
          <w:sz w:val="20"/>
          <w:szCs w:val="20"/>
        </w:rPr>
        <w:noBreakHyphen/>
        <w:t>treat; n = </w:t>
      </w:r>
      <w:r w:rsidRPr="006075A9">
        <w:rPr>
          <w:rFonts w:eastAsia="MS Mincho" w:cstheme="minorHAnsi"/>
          <w:i/>
          <w:iCs/>
          <w:sz w:val="20"/>
          <w:szCs w:val="20"/>
        </w:rPr>
        <w:t>number of patients for whom the observation was reported; N = number of patients in the analysis set; CI = confidence interval</w:t>
      </w:r>
      <w:r w:rsidR="00DC7C5B" w:rsidRPr="006075A9">
        <w:rPr>
          <w:rFonts w:eastAsia="MS Mincho" w:cstheme="minorHAnsi"/>
          <w:i/>
          <w:iCs/>
          <w:sz w:val="20"/>
          <w:szCs w:val="20"/>
        </w:rPr>
        <w:t>.</w:t>
      </w:r>
    </w:p>
    <w:p w14:paraId="092BF774" w14:textId="1832CA21" w:rsidR="00574FBB" w:rsidRPr="00564C80" w:rsidDel="00A74F88" w:rsidRDefault="00F2100E" w:rsidP="00BE17AB">
      <w:pPr>
        <w:adjustRightInd w:val="0"/>
        <w:spacing w:after="0"/>
        <w:rPr>
          <w:rFonts w:eastAsia="MS Mincho" w:cstheme="minorHAnsi"/>
          <w:i/>
          <w:iCs/>
          <w:sz w:val="20"/>
          <w:szCs w:val="20"/>
        </w:rPr>
      </w:pPr>
      <w:r w:rsidRPr="006075A9">
        <w:rPr>
          <w:rFonts w:eastAsia="MS Mincho" w:cstheme="minorHAnsi"/>
          <w:i/>
          <w:iCs/>
          <w:sz w:val="20"/>
          <w:szCs w:val="20"/>
        </w:rPr>
        <w:t xml:space="preserve">* </w:t>
      </w:r>
      <w:r w:rsidR="002436D0" w:rsidRPr="006075A9" w:rsidDel="00A74F88">
        <w:rPr>
          <w:rFonts w:eastAsia="MS Mincho" w:cstheme="minorHAnsi"/>
          <w:i/>
          <w:iCs/>
          <w:sz w:val="20"/>
          <w:szCs w:val="20"/>
        </w:rPr>
        <w:t>Two</w:t>
      </w:r>
      <w:r w:rsidR="002436D0" w:rsidRPr="006075A9" w:rsidDel="00A74F88">
        <w:rPr>
          <w:rFonts w:eastAsia="MS Mincho" w:cstheme="minorHAnsi"/>
          <w:i/>
          <w:iCs/>
          <w:sz w:val="20"/>
          <w:szCs w:val="20"/>
        </w:rPr>
        <w:noBreakHyphen/>
        <w:t>sided exact p</w:t>
      </w:r>
      <w:r w:rsidR="002436D0" w:rsidRPr="006075A9" w:rsidDel="00A74F88">
        <w:rPr>
          <w:rFonts w:eastAsia="MS Mincho" w:cstheme="minorHAnsi"/>
          <w:i/>
          <w:iCs/>
          <w:sz w:val="20"/>
          <w:szCs w:val="20"/>
        </w:rPr>
        <w:noBreakHyphen/>
        <w:t>value</w:t>
      </w:r>
      <w:r w:rsidR="002436D0" w:rsidRPr="006075A9">
        <w:rPr>
          <w:rFonts w:eastAsia="MS Mincho" w:cstheme="minorHAnsi"/>
          <w:i/>
          <w:iCs/>
          <w:sz w:val="20"/>
          <w:szCs w:val="20"/>
        </w:rPr>
        <w:t xml:space="preserve"> of the l</w:t>
      </w:r>
      <w:r w:rsidR="00574FBB" w:rsidRPr="006075A9">
        <w:rPr>
          <w:rFonts w:eastAsia="MS Mincho" w:cstheme="minorHAnsi"/>
          <w:i/>
          <w:iCs/>
          <w:sz w:val="20"/>
          <w:szCs w:val="20"/>
        </w:rPr>
        <w:t xml:space="preserve">ogistic regression stratified for </w:t>
      </w:r>
      <w:proofErr w:type="spellStart"/>
      <w:r w:rsidR="00574FBB" w:rsidRPr="006075A9">
        <w:rPr>
          <w:rFonts w:eastAsia="MS Mincho" w:cstheme="minorHAnsi"/>
          <w:i/>
          <w:iCs/>
          <w:sz w:val="20"/>
          <w:szCs w:val="20"/>
        </w:rPr>
        <w:t>AChR</w:t>
      </w:r>
      <w:proofErr w:type="spellEnd"/>
      <w:r w:rsidR="00574FBB" w:rsidRPr="006075A9">
        <w:rPr>
          <w:rFonts w:eastAsia="MS Mincho" w:cstheme="minorHAnsi"/>
          <w:i/>
          <w:iCs/>
          <w:sz w:val="20"/>
          <w:szCs w:val="20"/>
        </w:rPr>
        <w:noBreakHyphen/>
        <w:t>Ab status (if applicable), Japanese/Non-Japanese and standard of care, with baseline MG</w:t>
      </w:r>
      <w:r w:rsidR="00574FBB" w:rsidRPr="006075A9">
        <w:rPr>
          <w:rFonts w:eastAsia="MS Mincho" w:cstheme="minorHAnsi"/>
          <w:i/>
          <w:iCs/>
          <w:sz w:val="20"/>
          <w:szCs w:val="20"/>
        </w:rPr>
        <w:noBreakHyphen/>
        <w:t>ADL as covariate/QMG as covariates</w:t>
      </w:r>
      <w:r w:rsidR="00DC7C5B" w:rsidRPr="006075A9">
        <w:rPr>
          <w:rFonts w:eastAsia="MS Mincho" w:cstheme="minorHAnsi"/>
          <w:i/>
          <w:iCs/>
          <w:sz w:val="20"/>
          <w:szCs w:val="20"/>
        </w:rPr>
        <w:t>.</w:t>
      </w:r>
    </w:p>
    <w:p w14:paraId="79562930" w14:textId="77777777" w:rsidR="00F2100E" w:rsidRDefault="00F2100E" w:rsidP="00BE17AB">
      <w:pPr>
        <w:numPr>
          <w:ilvl w:val="12"/>
          <w:numId w:val="0"/>
        </w:numPr>
        <w:ind w:right="-2"/>
        <w:rPr>
          <w:rFonts w:cstheme="minorHAnsi"/>
        </w:rPr>
      </w:pPr>
    </w:p>
    <w:p w14:paraId="60071870" w14:textId="2A4377C2" w:rsidR="00574FBB" w:rsidRPr="00B074CF" w:rsidRDefault="00574FBB" w:rsidP="00BE17AB">
      <w:pPr>
        <w:numPr>
          <w:ilvl w:val="12"/>
          <w:numId w:val="0"/>
        </w:numPr>
        <w:ind w:right="-2"/>
        <w:rPr>
          <w:rFonts w:cstheme="minorHAnsi"/>
        </w:rPr>
      </w:pPr>
      <w:r w:rsidRPr="00B074CF">
        <w:rPr>
          <w:rFonts w:cstheme="minorHAnsi"/>
        </w:rPr>
        <w:t xml:space="preserve">Analyses show that during the second treatment cycle MG-ADL responder rates were </w:t>
      </w:r>
      <w:proofErr w:type="gramStart"/>
      <w:r w:rsidRPr="00B074CF">
        <w:rPr>
          <w:rFonts w:cstheme="minorHAnsi"/>
        </w:rPr>
        <w:t>similar to</w:t>
      </w:r>
      <w:proofErr w:type="gramEnd"/>
      <w:r w:rsidRPr="00B074CF">
        <w:rPr>
          <w:rFonts w:cstheme="minorHAnsi"/>
        </w:rPr>
        <w:t xml:space="preserve"> those during the first treatment cycle (see Table 4).</w:t>
      </w:r>
    </w:p>
    <w:p w14:paraId="6654720A" w14:textId="77777777" w:rsidR="00574FBB" w:rsidRPr="00B074CF" w:rsidRDefault="00574FBB" w:rsidP="00BE17AB">
      <w:pPr>
        <w:pageBreakBefore/>
        <w:ind w:left="851" w:hanging="851"/>
        <w:rPr>
          <w:rFonts w:cstheme="minorHAnsi"/>
          <w:b/>
          <w:bCs/>
        </w:rPr>
      </w:pPr>
      <w:r w:rsidRPr="00B074CF">
        <w:rPr>
          <w:rFonts w:cstheme="minorHAnsi"/>
          <w:b/>
          <w:bCs/>
        </w:rPr>
        <w:lastRenderedPageBreak/>
        <w:t>Table </w:t>
      </w:r>
      <w:r w:rsidRPr="00B074CF">
        <w:rPr>
          <w:rFonts w:cstheme="minorHAnsi"/>
          <w:b/>
        </w:rPr>
        <w:t>4</w:t>
      </w:r>
      <w:r w:rsidRPr="00B074CF">
        <w:rPr>
          <w:rFonts w:cstheme="minorHAnsi"/>
          <w:b/>
          <w:bCs/>
        </w:rPr>
        <w:t>.</w:t>
      </w:r>
      <w:r w:rsidRPr="00B074CF">
        <w:rPr>
          <w:rFonts w:cstheme="minorHAnsi"/>
          <w:b/>
          <w:bCs/>
        </w:rPr>
        <w:tab/>
        <w:t>MG</w:t>
      </w:r>
      <w:r w:rsidRPr="00B074CF">
        <w:rPr>
          <w:rFonts w:cstheme="minorHAnsi"/>
          <w:b/>
          <w:bCs/>
        </w:rPr>
        <w:noBreakHyphen/>
        <w:t>ADL and QMG responders during cycle </w:t>
      </w:r>
      <w:r w:rsidRPr="00B074CF">
        <w:rPr>
          <w:rFonts w:cstheme="minorHAnsi"/>
          <w:b/>
        </w:rPr>
        <w:t>2</w:t>
      </w:r>
      <w:r w:rsidRPr="00B074CF">
        <w:rPr>
          <w:rFonts w:cstheme="minorHAnsi"/>
          <w:b/>
          <w:bCs/>
        </w:rPr>
        <w:t xml:space="preserve"> in </w:t>
      </w:r>
      <w:proofErr w:type="spellStart"/>
      <w:r w:rsidRPr="00B074CF">
        <w:rPr>
          <w:rFonts w:cstheme="minorHAnsi"/>
          <w:b/>
          <w:bCs/>
        </w:rPr>
        <w:t>AChR</w:t>
      </w:r>
      <w:proofErr w:type="spellEnd"/>
      <w:r w:rsidRPr="00B074CF">
        <w:rPr>
          <w:rFonts w:cstheme="minorHAnsi"/>
          <w:b/>
          <w:bCs/>
        </w:rPr>
        <w:t>-Ab seropositive population (</w:t>
      </w:r>
      <w:proofErr w:type="spellStart"/>
      <w:r w:rsidRPr="00B074CF">
        <w:rPr>
          <w:rFonts w:cstheme="minorHAnsi"/>
          <w:b/>
          <w:bCs/>
        </w:rPr>
        <w:t>mITT</w:t>
      </w:r>
      <w:proofErr w:type="spellEnd"/>
      <w:r w:rsidRPr="00B074CF">
        <w:rPr>
          <w:rFonts w:cstheme="minorHAnsi"/>
          <w:b/>
          <w:bCs/>
        </w:rPr>
        <w:t xml:space="preserve"> analysis set)</w:t>
      </w:r>
    </w:p>
    <w:tbl>
      <w:tblPr>
        <w:tblW w:w="9185" w:type="dxa"/>
        <w:jc w:val="center"/>
        <w:tblCellMar>
          <w:left w:w="0" w:type="dxa"/>
          <w:right w:w="0" w:type="dxa"/>
        </w:tblCellMar>
        <w:tblLook w:val="0000" w:firstRow="0" w:lastRow="0" w:firstColumn="0" w:lastColumn="0" w:noHBand="0" w:noVBand="0"/>
      </w:tblPr>
      <w:tblGrid>
        <w:gridCol w:w="9185"/>
      </w:tblGrid>
      <w:tr w:rsidR="00574FBB" w:rsidRPr="00B074CF" w14:paraId="22247414" w14:textId="77777777" w:rsidTr="00BC4F1B">
        <w:trPr>
          <w:cantSplit/>
          <w:jc w:val="center"/>
        </w:trPr>
        <w:tc>
          <w:tcPr>
            <w:tcW w:w="9185" w:type="dxa"/>
            <w:tcBorders>
              <w:top w:val="nil"/>
              <w:left w:val="nil"/>
              <w:bottom w:val="nil"/>
              <w:right w:val="nil"/>
            </w:tcBorders>
            <w:shd w:val="clear" w:color="auto" w:fill="FFFFFF"/>
            <w:tcMar>
              <w:left w:w="68" w:type="dxa"/>
              <w:right w:w="68" w:type="dxa"/>
            </w:tcMar>
          </w:tcPr>
          <w:tbl>
            <w:tblPr>
              <w:tblW w:w="8589" w:type="dxa"/>
              <w:tblCellMar>
                <w:left w:w="0" w:type="dxa"/>
                <w:right w:w="0" w:type="dxa"/>
              </w:tblCellMar>
              <w:tblLook w:val="0000" w:firstRow="0" w:lastRow="0" w:firstColumn="0" w:lastColumn="0" w:noHBand="0" w:noVBand="0"/>
            </w:tblPr>
            <w:tblGrid>
              <w:gridCol w:w="1271"/>
              <w:gridCol w:w="2105"/>
              <w:gridCol w:w="2802"/>
              <w:gridCol w:w="2411"/>
            </w:tblGrid>
            <w:tr w:rsidR="00574FBB" w:rsidRPr="00B074CF" w14:paraId="18D71E92" w14:textId="77777777" w:rsidTr="00BC4F1B">
              <w:trPr>
                <w:cantSplit/>
                <w:trHeight w:val="603"/>
              </w:trPr>
              <w:tc>
                <w:tcPr>
                  <w:tcW w:w="1271" w:type="dxa"/>
                  <w:tcBorders>
                    <w:top w:val="single" w:sz="4" w:space="0" w:color="auto"/>
                    <w:left w:val="single" w:sz="4" w:space="0" w:color="000000"/>
                    <w:bottom w:val="single" w:sz="4" w:space="0" w:color="auto"/>
                    <w:right w:val="nil"/>
                  </w:tcBorders>
                  <w:shd w:val="clear" w:color="auto" w:fill="FFFFFF"/>
                  <w:tcMar>
                    <w:left w:w="67" w:type="dxa"/>
                    <w:right w:w="67" w:type="dxa"/>
                  </w:tcMar>
                </w:tcPr>
                <w:p w14:paraId="50A7D527" w14:textId="77777777" w:rsidR="00574FBB" w:rsidRPr="00B074CF" w:rsidRDefault="00574FBB" w:rsidP="00BE17AB">
                  <w:pPr>
                    <w:adjustRightInd w:val="0"/>
                    <w:spacing w:line="240" w:lineRule="auto"/>
                    <w:rPr>
                      <w:rFonts w:eastAsia="MS Mincho" w:cstheme="minorHAnsi"/>
                      <w:lang w:eastAsia="ja-JP"/>
                    </w:rPr>
                  </w:pPr>
                </w:p>
              </w:tc>
              <w:tc>
                <w:tcPr>
                  <w:tcW w:w="2105" w:type="dxa"/>
                  <w:tcBorders>
                    <w:top w:val="single" w:sz="4" w:space="0" w:color="auto"/>
                    <w:left w:val="single" w:sz="4" w:space="0" w:color="000000"/>
                    <w:bottom w:val="single" w:sz="4" w:space="0" w:color="000000"/>
                    <w:right w:val="nil"/>
                  </w:tcBorders>
                  <w:shd w:val="clear" w:color="auto" w:fill="FFFFFF"/>
                  <w:tcMar>
                    <w:left w:w="67" w:type="dxa"/>
                    <w:right w:w="67" w:type="dxa"/>
                  </w:tcMar>
                </w:tcPr>
                <w:p w14:paraId="51A92C1B" w14:textId="77777777" w:rsidR="00574FBB" w:rsidRPr="00B074CF" w:rsidRDefault="00574FBB" w:rsidP="00BE17AB">
                  <w:pPr>
                    <w:adjustRightInd w:val="0"/>
                    <w:spacing w:line="240" w:lineRule="auto"/>
                    <w:rPr>
                      <w:rFonts w:eastAsia="MS Mincho" w:cstheme="minorHAnsi"/>
                      <w:b/>
                    </w:rPr>
                  </w:pPr>
                  <w:r w:rsidRPr="00B074CF">
                    <w:rPr>
                      <w:rFonts w:eastAsia="MS Mincho" w:cstheme="minorHAnsi"/>
                      <w:b/>
                    </w:rPr>
                    <w:t>Population</w:t>
                  </w:r>
                </w:p>
              </w:tc>
              <w:tc>
                <w:tcPr>
                  <w:tcW w:w="2802" w:type="dxa"/>
                  <w:tcBorders>
                    <w:top w:val="single" w:sz="4" w:space="0" w:color="auto"/>
                    <w:left w:val="single" w:sz="4" w:space="0" w:color="000000"/>
                    <w:bottom w:val="single" w:sz="4" w:space="0" w:color="000000"/>
                    <w:right w:val="nil"/>
                  </w:tcBorders>
                  <w:shd w:val="clear" w:color="auto" w:fill="FFFFFF"/>
                  <w:tcMar>
                    <w:left w:w="67" w:type="dxa"/>
                    <w:right w:w="67" w:type="dxa"/>
                  </w:tcMar>
                </w:tcPr>
                <w:p w14:paraId="620DFA13" w14:textId="77777777" w:rsidR="00574FBB" w:rsidRPr="00B074CF" w:rsidRDefault="00574FBB" w:rsidP="00BE17AB">
                  <w:pPr>
                    <w:adjustRightInd w:val="0"/>
                    <w:spacing w:line="240" w:lineRule="auto"/>
                    <w:rPr>
                      <w:rFonts w:eastAsia="MS Mincho" w:cstheme="minorHAnsi"/>
                      <w:b/>
                      <w:bCs/>
                      <w:lang w:eastAsia="ja-JP"/>
                    </w:rPr>
                  </w:pPr>
                  <w:r w:rsidRPr="00B074CF">
                    <w:rPr>
                      <w:rFonts w:eastAsia="MS Mincho" w:cstheme="minorHAnsi"/>
                      <w:b/>
                      <w:bCs/>
                      <w:lang w:eastAsia="ja-JP"/>
                    </w:rPr>
                    <w:t>Efgartigimod alfa</w:t>
                  </w:r>
                  <w:r w:rsidRPr="00B074CF">
                    <w:rPr>
                      <w:rFonts w:eastAsia="MS Mincho" w:cstheme="minorHAnsi"/>
                      <w:b/>
                      <w:bCs/>
                      <w:lang w:eastAsia="ja-JP"/>
                    </w:rPr>
                    <w:br/>
                  </w:r>
                  <w:r w:rsidRPr="00B074CF">
                    <w:rPr>
                      <w:rFonts w:eastAsia="MS Mincho" w:cstheme="minorHAnsi"/>
                      <w:b/>
                    </w:rPr>
                    <w:t>n/N (%)</w:t>
                  </w:r>
                </w:p>
              </w:tc>
              <w:tc>
                <w:tcPr>
                  <w:tcW w:w="2411" w:type="dxa"/>
                  <w:tcBorders>
                    <w:top w:val="single" w:sz="4" w:space="0" w:color="auto"/>
                    <w:left w:val="single" w:sz="4" w:space="0" w:color="000000"/>
                    <w:bottom w:val="single" w:sz="4" w:space="0" w:color="000000"/>
                    <w:right w:val="single" w:sz="4" w:space="0" w:color="auto"/>
                  </w:tcBorders>
                  <w:shd w:val="clear" w:color="auto" w:fill="FFFFFF"/>
                  <w:tcMar>
                    <w:left w:w="67" w:type="dxa"/>
                    <w:right w:w="67" w:type="dxa"/>
                  </w:tcMar>
                </w:tcPr>
                <w:p w14:paraId="4D3F84D1" w14:textId="77777777" w:rsidR="00574FBB" w:rsidRPr="00B074CF" w:rsidRDefault="00574FBB" w:rsidP="00BE17AB">
                  <w:pPr>
                    <w:adjustRightInd w:val="0"/>
                    <w:spacing w:line="240" w:lineRule="auto"/>
                    <w:rPr>
                      <w:rFonts w:eastAsia="MS Mincho" w:cstheme="minorHAnsi"/>
                      <w:b/>
                      <w:bCs/>
                      <w:lang w:eastAsia="ja-JP"/>
                    </w:rPr>
                  </w:pPr>
                  <w:r w:rsidRPr="00B074CF">
                    <w:rPr>
                      <w:rFonts w:eastAsia="MS Mincho" w:cstheme="minorHAnsi"/>
                      <w:b/>
                      <w:bCs/>
                      <w:lang w:eastAsia="ja-JP"/>
                    </w:rPr>
                    <w:t>Placebo</w:t>
                  </w:r>
                  <w:r w:rsidRPr="00B074CF">
                    <w:rPr>
                      <w:rFonts w:eastAsia="MS Mincho" w:cstheme="minorHAnsi"/>
                      <w:b/>
                      <w:bCs/>
                      <w:lang w:eastAsia="ja-JP"/>
                    </w:rPr>
                    <w:br/>
                  </w:r>
                  <w:r w:rsidRPr="00B074CF">
                    <w:rPr>
                      <w:rFonts w:eastAsia="MS Mincho" w:cstheme="minorHAnsi"/>
                      <w:b/>
                    </w:rPr>
                    <w:t>n/N (%)</w:t>
                  </w:r>
                </w:p>
              </w:tc>
            </w:tr>
            <w:tr w:rsidR="00574FBB" w:rsidRPr="00B074CF" w14:paraId="2CAC1EF5" w14:textId="77777777" w:rsidTr="00BC4F1B">
              <w:trPr>
                <w:cantSplit/>
                <w:trHeight w:val="597"/>
              </w:trPr>
              <w:tc>
                <w:tcPr>
                  <w:tcW w:w="1271" w:type="dxa"/>
                  <w:tcBorders>
                    <w:top w:val="single" w:sz="4" w:space="0" w:color="auto"/>
                    <w:left w:val="single" w:sz="4" w:space="0" w:color="000000"/>
                    <w:right w:val="nil"/>
                  </w:tcBorders>
                  <w:shd w:val="clear" w:color="auto" w:fill="FFFFFF"/>
                  <w:tcMar>
                    <w:left w:w="67" w:type="dxa"/>
                    <w:right w:w="67" w:type="dxa"/>
                  </w:tcMar>
                  <w:vAlign w:val="center"/>
                </w:tcPr>
                <w:p w14:paraId="0FBC75F3" w14:textId="77777777" w:rsidR="00574FBB" w:rsidRPr="00B074CF" w:rsidRDefault="00574FBB" w:rsidP="00BE17AB">
                  <w:pPr>
                    <w:adjustRightInd w:val="0"/>
                    <w:spacing w:line="240" w:lineRule="auto"/>
                    <w:rPr>
                      <w:rFonts w:eastAsia="MS Mincho" w:cstheme="minorHAnsi"/>
                    </w:rPr>
                  </w:pPr>
                  <w:r w:rsidRPr="00B074CF">
                    <w:rPr>
                      <w:rFonts w:eastAsia="MS Mincho" w:cstheme="minorHAnsi"/>
                    </w:rPr>
                    <w:t>MG</w:t>
                  </w:r>
                  <w:r w:rsidRPr="00B074CF">
                    <w:rPr>
                      <w:rFonts w:eastAsia="MS Mincho" w:cstheme="minorHAnsi"/>
                    </w:rPr>
                    <w:noBreakHyphen/>
                    <w:t>ADL</w:t>
                  </w:r>
                </w:p>
              </w:tc>
              <w:tc>
                <w:tcPr>
                  <w:tcW w:w="2105" w:type="dxa"/>
                  <w:tcBorders>
                    <w:top w:val="nil"/>
                    <w:left w:val="single" w:sz="4" w:space="0" w:color="000000"/>
                    <w:bottom w:val="single" w:sz="4" w:space="0" w:color="000000"/>
                    <w:right w:val="nil"/>
                  </w:tcBorders>
                  <w:shd w:val="clear" w:color="auto" w:fill="FFFFFF"/>
                  <w:tcMar>
                    <w:left w:w="67" w:type="dxa"/>
                    <w:right w:w="67" w:type="dxa"/>
                  </w:tcMar>
                </w:tcPr>
                <w:p w14:paraId="4C059383" w14:textId="77777777" w:rsidR="00574FBB" w:rsidRPr="00B074CF" w:rsidRDefault="00574FBB" w:rsidP="00BE17AB">
                  <w:pPr>
                    <w:adjustRightInd w:val="0"/>
                    <w:spacing w:line="240" w:lineRule="auto"/>
                    <w:rPr>
                      <w:rFonts w:eastAsia="MS Mincho" w:cstheme="minorHAnsi"/>
                    </w:rPr>
                  </w:pPr>
                  <w:proofErr w:type="spellStart"/>
                  <w:r w:rsidRPr="00B074CF">
                    <w:rPr>
                      <w:rFonts w:eastAsia="MS Mincho" w:cstheme="minorHAnsi"/>
                    </w:rPr>
                    <w:t>AChR</w:t>
                  </w:r>
                  <w:proofErr w:type="spellEnd"/>
                  <w:r w:rsidRPr="00B074CF">
                    <w:rPr>
                      <w:rFonts w:eastAsia="MS Mincho" w:cstheme="minorHAnsi"/>
                    </w:rPr>
                    <w:noBreakHyphen/>
                    <w:t>Ab seropositive</w:t>
                  </w:r>
                </w:p>
              </w:tc>
              <w:tc>
                <w:tcPr>
                  <w:tcW w:w="2802" w:type="dxa"/>
                  <w:tcBorders>
                    <w:top w:val="nil"/>
                    <w:left w:val="single" w:sz="4" w:space="0" w:color="000000"/>
                    <w:bottom w:val="single" w:sz="4" w:space="0" w:color="000000"/>
                    <w:right w:val="nil"/>
                  </w:tcBorders>
                  <w:shd w:val="clear" w:color="auto" w:fill="FFFFFF"/>
                  <w:tcMar>
                    <w:left w:w="67" w:type="dxa"/>
                    <w:right w:w="67" w:type="dxa"/>
                  </w:tcMar>
                  <w:vAlign w:val="center"/>
                </w:tcPr>
                <w:p w14:paraId="0CF8F730" w14:textId="77777777" w:rsidR="00574FBB" w:rsidRPr="00B074CF" w:rsidRDefault="00574FBB" w:rsidP="00BE17AB">
                  <w:pPr>
                    <w:adjustRightInd w:val="0"/>
                    <w:spacing w:line="240" w:lineRule="auto"/>
                    <w:rPr>
                      <w:rFonts w:eastAsia="MS Mincho" w:cstheme="minorHAnsi"/>
                      <w:lang w:eastAsia="ja-JP"/>
                    </w:rPr>
                  </w:pPr>
                  <w:r w:rsidRPr="00B074CF">
                    <w:rPr>
                      <w:rFonts w:eastAsia="MS Mincho" w:cstheme="minorHAnsi"/>
                    </w:rPr>
                    <w:t xml:space="preserve">36/51 </w:t>
                  </w:r>
                  <w:r w:rsidRPr="00B074CF">
                    <w:rPr>
                      <w:rFonts w:eastAsia="MS Mincho" w:cstheme="minorHAnsi"/>
                      <w:lang w:eastAsia="ja-JP"/>
                    </w:rPr>
                    <w:t>(</w:t>
                  </w:r>
                  <w:r w:rsidRPr="00B074CF">
                    <w:rPr>
                      <w:rFonts w:eastAsia="MS Mincho" w:cstheme="minorHAnsi"/>
                    </w:rPr>
                    <w:t>70.6</w:t>
                  </w:r>
                  <w:r w:rsidRPr="00B074CF">
                    <w:rPr>
                      <w:rFonts w:eastAsia="MS Mincho" w:cstheme="minorHAnsi"/>
                      <w:lang w:eastAsia="ja-JP"/>
                    </w:rPr>
                    <w:t>)</w:t>
                  </w:r>
                </w:p>
              </w:tc>
              <w:tc>
                <w:tcPr>
                  <w:tcW w:w="2411" w:type="dxa"/>
                  <w:tcBorders>
                    <w:top w:val="single" w:sz="4" w:space="0" w:color="000000"/>
                    <w:left w:val="single" w:sz="4" w:space="0" w:color="000000"/>
                    <w:bottom w:val="single" w:sz="4" w:space="0" w:color="000000"/>
                    <w:right w:val="single" w:sz="4" w:space="0" w:color="auto"/>
                  </w:tcBorders>
                  <w:shd w:val="clear" w:color="auto" w:fill="FFFFFF"/>
                  <w:tcMar>
                    <w:left w:w="67" w:type="dxa"/>
                    <w:right w:w="67" w:type="dxa"/>
                  </w:tcMar>
                  <w:vAlign w:val="center"/>
                </w:tcPr>
                <w:p w14:paraId="462FA3CF" w14:textId="77777777" w:rsidR="00574FBB" w:rsidRPr="00B074CF" w:rsidRDefault="00574FBB" w:rsidP="00BE17AB">
                  <w:pPr>
                    <w:adjustRightInd w:val="0"/>
                    <w:spacing w:line="240" w:lineRule="auto"/>
                    <w:rPr>
                      <w:rFonts w:eastAsia="MS Mincho" w:cstheme="minorHAnsi"/>
                    </w:rPr>
                  </w:pPr>
                  <w:r w:rsidRPr="00B074CF">
                    <w:rPr>
                      <w:rFonts w:eastAsia="MS Mincho" w:cstheme="minorHAnsi"/>
                    </w:rPr>
                    <w:t xml:space="preserve">11/43 </w:t>
                  </w:r>
                  <w:r w:rsidRPr="00B074CF">
                    <w:rPr>
                      <w:rFonts w:eastAsia="MS Mincho" w:cstheme="minorHAnsi"/>
                      <w:lang w:eastAsia="ja-JP"/>
                    </w:rPr>
                    <w:t>(</w:t>
                  </w:r>
                  <w:r w:rsidRPr="00B074CF">
                    <w:rPr>
                      <w:rFonts w:eastAsia="MS Mincho" w:cstheme="minorHAnsi"/>
                    </w:rPr>
                    <w:t>25.6</w:t>
                  </w:r>
                  <w:r w:rsidRPr="00B074CF">
                    <w:rPr>
                      <w:rFonts w:eastAsia="MS Mincho" w:cstheme="minorHAnsi"/>
                      <w:lang w:eastAsia="ja-JP"/>
                    </w:rPr>
                    <w:t>)</w:t>
                  </w:r>
                </w:p>
              </w:tc>
            </w:tr>
            <w:tr w:rsidR="00574FBB" w:rsidRPr="00B074CF" w14:paraId="4530CE21" w14:textId="77777777" w:rsidTr="00BC4F1B">
              <w:trPr>
                <w:cantSplit/>
                <w:trHeight w:val="597"/>
              </w:trPr>
              <w:tc>
                <w:tcPr>
                  <w:tcW w:w="1271" w:type="dxa"/>
                  <w:tcBorders>
                    <w:top w:val="single" w:sz="4" w:space="0" w:color="000000"/>
                    <w:left w:val="single" w:sz="4" w:space="0" w:color="000000"/>
                    <w:bottom w:val="single" w:sz="4" w:space="0" w:color="auto"/>
                    <w:right w:val="nil"/>
                  </w:tcBorders>
                  <w:shd w:val="clear" w:color="auto" w:fill="FFFFFF"/>
                  <w:tcMar>
                    <w:left w:w="67" w:type="dxa"/>
                    <w:right w:w="67" w:type="dxa"/>
                  </w:tcMar>
                  <w:vAlign w:val="center"/>
                </w:tcPr>
                <w:p w14:paraId="622C5FEA" w14:textId="77777777" w:rsidR="00574FBB" w:rsidRPr="00B074CF" w:rsidRDefault="00574FBB" w:rsidP="00BE17AB">
                  <w:pPr>
                    <w:adjustRightInd w:val="0"/>
                    <w:spacing w:line="240" w:lineRule="auto"/>
                    <w:rPr>
                      <w:rFonts w:eastAsia="MS Mincho" w:cstheme="minorHAnsi"/>
                    </w:rPr>
                  </w:pPr>
                  <w:r w:rsidRPr="00B074CF">
                    <w:rPr>
                      <w:rFonts w:eastAsia="MS Mincho" w:cstheme="minorHAnsi"/>
                    </w:rPr>
                    <w:t>QMG</w:t>
                  </w:r>
                </w:p>
              </w:tc>
              <w:tc>
                <w:tcPr>
                  <w:tcW w:w="2105" w:type="dxa"/>
                  <w:tcBorders>
                    <w:top w:val="single" w:sz="4" w:space="0" w:color="auto"/>
                    <w:left w:val="single" w:sz="4" w:space="0" w:color="000000"/>
                    <w:bottom w:val="single" w:sz="4" w:space="0" w:color="auto"/>
                    <w:right w:val="nil"/>
                  </w:tcBorders>
                  <w:shd w:val="clear" w:color="auto" w:fill="FFFFFF"/>
                  <w:tcMar>
                    <w:left w:w="67" w:type="dxa"/>
                    <w:right w:w="67" w:type="dxa"/>
                  </w:tcMar>
                </w:tcPr>
                <w:p w14:paraId="5B6875B7" w14:textId="77777777" w:rsidR="00574FBB" w:rsidRPr="00B074CF" w:rsidRDefault="00574FBB" w:rsidP="00BE17AB">
                  <w:pPr>
                    <w:adjustRightInd w:val="0"/>
                    <w:spacing w:line="240" w:lineRule="auto"/>
                    <w:rPr>
                      <w:rFonts w:eastAsia="MS Mincho" w:cstheme="minorHAnsi"/>
                    </w:rPr>
                  </w:pPr>
                  <w:proofErr w:type="spellStart"/>
                  <w:r w:rsidRPr="00B074CF">
                    <w:rPr>
                      <w:rFonts w:cstheme="minorHAnsi"/>
                    </w:rPr>
                    <w:t>AChR</w:t>
                  </w:r>
                  <w:proofErr w:type="spellEnd"/>
                  <w:r w:rsidRPr="00B074CF">
                    <w:rPr>
                      <w:rFonts w:cstheme="minorHAnsi"/>
                    </w:rPr>
                    <w:t>-Ab seropositive</w:t>
                  </w:r>
                </w:p>
              </w:tc>
              <w:tc>
                <w:tcPr>
                  <w:tcW w:w="2802" w:type="dxa"/>
                  <w:tcBorders>
                    <w:top w:val="single" w:sz="4" w:space="0" w:color="auto"/>
                    <w:left w:val="single" w:sz="4" w:space="0" w:color="000000"/>
                    <w:bottom w:val="single" w:sz="4" w:space="0" w:color="auto"/>
                    <w:right w:val="nil"/>
                  </w:tcBorders>
                  <w:shd w:val="clear" w:color="auto" w:fill="FFFFFF"/>
                  <w:tcMar>
                    <w:left w:w="67" w:type="dxa"/>
                    <w:right w:w="67" w:type="dxa"/>
                  </w:tcMar>
                  <w:vAlign w:val="center"/>
                </w:tcPr>
                <w:p w14:paraId="5178C1ED" w14:textId="77777777" w:rsidR="00574FBB" w:rsidRPr="00B074CF" w:rsidRDefault="00574FBB" w:rsidP="00BE17AB">
                  <w:pPr>
                    <w:adjustRightInd w:val="0"/>
                    <w:spacing w:line="240" w:lineRule="auto"/>
                    <w:rPr>
                      <w:rFonts w:eastAsia="MS Mincho" w:cstheme="minorHAnsi"/>
                    </w:rPr>
                  </w:pPr>
                  <w:r w:rsidRPr="00B074CF">
                    <w:rPr>
                      <w:rFonts w:eastAsia="MS Mincho" w:cstheme="minorHAnsi"/>
                    </w:rPr>
                    <w:t>24/51 (47.1)</w:t>
                  </w:r>
                </w:p>
              </w:tc>
              <w:tc>
                <w:tcPr>
                  <w:tcW w:w="2411" w:type="dxa"/>
                  <w:tcBorders>
                    <w:top w:val="single" w:sz="4" w:space="0" w:color="000000"/>
                    <w:left w:val="single" w:sz="4" w:space="0" w:color="000000"/>
                    <w:bottom w:val="single" w:sz="4" w:space="0" w:color="000000"/>
                    <w:right w:val="single" w:sz="4" w:space="0" w:color="auto"/>
                  </w:tcBorders>
                  <w:shd w:val="clear" w:color="auto" w:fill="FFFFFF"/>
                  <w:tcMar>
                    <w:left w:w="67" w:type="dxa"/>
                    <w:right w:w="67" w:type="dxa"/>
                  </w:tcMar>
                  <w:vAlign w:val="center"/>
                </w:tcPr>
                <w:p w14:paraId="20B46FC6" w14:textId="77777777" w:rsidR="00574FBB" w:rsidRPr="00B074CF" w:rsidRDefault="00574FBB" w:rsidP="00BE17AB">
                  <w:pPr>
                    <w:adjustRightInd w:val="0"/>
                    <w:spacing w:line="240" w:lineRule="auto"/>
                    <w:rPr>
                      <w:rFonts w:eastAsia="MS Mincho" w:cstheme="minorHAnsi"/>
                    </w:rPr>
                  </w:pPr>
                  <w:r w:rsidRPr="00B074CF">
                    <w:rPr>
                      <w:rFonts w:eastAsia="MS Mincho" w:cstheme="minorHAnsi"/>
                    </w:rPr>
                    <w:t>5/43 (11.6)</w:t>
                  </w:r>
                </w:p>
              </w:tc>
            </w:tr>
          </w:tbl>
          <w:p w14:paraId="7C60A199" w14:textId="77777777" w:rsidR="00574FBB" w:rsidRPr="00B074CF" w:rsidRDefault="00574FBB" w:rsidP="00BE17AB">
            <w:pPr>
              <w:adjustRightInd w:val="0"/>
              <w:spacing w:line="240" w:lineRule="auto"/>
              <w:rPr>
                <w:rFonts w:eastAsia="MS Mincho" w:cstheme="minorHAnsi"/>
              </w:rPr>
            </w:pPr>
          </w:p>
        </w:tc>
      </w:tr>
    </w:tbl>
    <w:p w14:paraId="6B85E2BA" w14:textId="54CCA807" w:rsidR="00574FBB" w:rsidRDefault="00574FBB" w:rsidP="00BE17AB">
      <w:pPr>
        <w:rPr>
          <w:rFonts w:eastAsia="MS Mincho" w:cstheme="minorHAnsi"/>
        </w:rPr>
      </w:pPr>
      <w:proofErr w:type="spellStart"/>
      <w:r w:rsidRPr="00564C80">
        <w:rPr>
          <w:rFonts w:eastAsia="MS Mincho" w:cstheme="minorHAnsi"/>
          <w:i/>
          <w:iCs/>
          <w:sz w:val="20"/>
          <w:szCs w:val="20"/>
        </w:rPr>
        <w:t>AChRAb</w:t>
      </w:r>
      <w:proofErr w:type="spellEnd"/>
      <w:r w:rsidRPr="00564C80">
        <w:rPr>
          <w:rFonts w:eastAsia="MS Mincho" w:cstheme="minorHAnsi"/>
          <w:i/>
          <w:iCs/>
          <w:sz w:val="20"/>
          <w:szCs w:val="20"/>
        </w:rPr>
        <w:t xml:space="preserve"> = acetylcholine receptor antibody; MGADL = Myasthenia Gravis Activities of Daily Living; QMG = Quantitative Myasthenia Gravis; </w:t>
      </w:r>
      <w:proofErr w:type="spellStart"/>
      <w:r w:rsidRPr="00564C80">
        <w:rPr>
          <w:rFonts w:eastAsia="MS Mincho" w:cstheme="minorHAnsi"/>
          <w:i/>
          <w:iCs/>
          <w:sz w:val="20"/>
          <w:szCs w:val="20"/>
        </w:rPr>
        <w:t>mITT</w:t>
      </w:r>
      <w:proofErr w:type="spellEnd"/>
      <w:r w:rsidRPr="00564C80">
        <w:rPr>
          <w:rFonts w:eastAsia="MS Mincho" w:cstheme="minorHAnsi"/>
          <w:i/>
          <w:iCs/>
          <w:sz w:val="20"/>
          <w:szCs w:val="20"/>
        </w:rPr>
        <w:t> = modified intent to treat; n = number of patients for whom the observation was reported; N = number of patients in the analysis set</w:t>
      </w:r>
      <w:r w:rsidRPr="00B074CF">
        <w:rPr>
          <w:rFonts w:eastAsia="MS Mincho" w:cstheme="minorHAnsi"/>
        </w:rPr>
        <w:t>.</w:t>
      </w:r>
    </w:p>
    <w:p w14:paraId="4A5705D6" w14:textId="39B7A6CE" w:rsidR="00FF4D01" w:rsidRPr="00B074CF" w:rsidRDefault="00FE5E72" w:rsidP="00BE17AB">
      <w:pPr>
        <w:rPr>
          <w:rFonts w:eastAsia="MS Mincho" w:cstheme="minorHAnsi"/>
        </w:rPr>
      </w:pPr>
      <w:r>
        <w:rPr>
          <w:rFonts w:eastAsia="MS Mincho" w:cstheme="minorHAnsi"/>
        </w:rPr>
        <w:t>O</w:t>
      </w:r>
      <w:r w:rsidR="00FF4D01" w:rsidRPr="00B074CF">
        <w:rPr>
          <w:rFonts w:eastAsia="MS Mincho" w:cstheme="minorHAnsi"/>
        </w:rPr>
        <w:t>n</w:t>
      </w:r>
      <w:r w:rsidR="00FF4D01" w:rsidRPr="00B074CF">
        <w:rPr>
          <w:rFonts w:eastAsia="MS Mincho" w:cstheme="minorHAnsi"/>
          <w:lang w:eastAsia="ja-JP"/>
        </w:rPr>
        <w:t xml:space="preserve">set of response was observed within 2 weeks of initial infusion in 37/44 (84%) patients treated with </w:t>
      </w:r>
      <w:r w:rsidR="00FF4D01" w:rsidRPr="00B074CF">
        <w:rPr>
          <w:rFonts w:cstheme="minorHAnsi"/>
        </w:rPr>
        <w:t>efgartigimod alfa</w:t>
      </w:r>
      <w:r w:rsidR="00FF4D01" w:rsidRPr="00B074CF">
        <w:rPr>
          <w:rFonts w:eastAsia="MS Mincho" w:cstheme="minorHAnsi"/>
        </w:rPr>
        <w:t xml:space="preserve"> intravenous in the </w:t>
      </w:r>
      <w:proofErr w:type="spellStart"/>
      <w:r w:rsidR="00FF4D01" w:rsidRPr="00B074CF">
        <w:rPr>
          <w:rFonts w:eastAsia="MS Mincho" w:cstheme="minorHAnsi"/>
        </w:rPr>
        <w:t>AChR</w:t>
      </w:r>
      <w:proofErr w:type="spellEnd"/>
      <w:r w:rsidR="00FF4D01" w:rsidRPr="00B074CF">
        <w:rPr>
          <w:rFonts w:eastAsia="MS Mincho" w:cstheme="minorHAnsi"/>
        </w:rPr>
        <w:noBreakHyphen/>
        <w:t>Ab seropositive MG</w:t>
      </w:r>
      <w:r w:rsidR="00FF4D01" w:rsidRPr="00B074CF">
        <w:rPr>
          <w:rFonts w:eastAsia="MS Mincho" w:cstheme="minorHAnsi"/>
        </w:rPr>
        <w:noBreakHyphen/>
        <w:t>ADL responders</w:t>
      </w:r>
      <w:r w:rsidR="00FF4D01">
        <w:rPr>
          <w:rFonts w:eastAsia="MS Mincho" w:cstheme="minorHAnsi"/>
        </w:rPr>
        <w:t>.</w:t>
      </w:r>
    </w:p>
    <w:p w14:paraId="49D280C9" w14:textId="77777777" w:rsidR="00574FBB" w:rsidRPr="00B074CF" w:rsidRDefault="00574FBB" w:rsidP="00BE17AB">
      <w:pPr>
        <w:numPr>
          <w:ilvl w:val="12"/>
          <w:numId w:val="0"/>
        </w:numPr>
        <w:ind w:right="-2"/>
        <w:rPr>
          <w:rFonts w:cstheme="minorHAnsi"/>
        </w:rPr>
      </w:pPr>
      <w:r w:rsidRPr="00B074CF">
        <w:rPr>
          <w:rFonts w:cstheme="minorHAnsi"/>
        </w:rPr>
        <w:t>In the double</w:t>
      </w:r>
      <w:r w:rsidRPr="00B074CF">
        <w:rPr>
          <w:rFonts w:cstheme="minorHAnsi"/>
        </w:rPr>
        <w:noBreakHyphen/>
        <w:t>blind placebo</w:t>
      </w:r>
      <w:r w:rsidRPr="00B074CF">
        <w:rPr>
          <w:rFonts w:cstheme="minorHAnsi"/>
        </w:rPr>
        <w:noBreakHyphen/>
        <w:t>controlled study, the earliest possible time to initiating the subsequent treatment cycle was 8 weeks after the initial infusion of the first treatment cycle. In the overall population the mean time to the second treatment cycle in the efgartigimod alfa intravenous group was 13 weeks (SD 5.5 weeks) and the median time was 10 weeks (8</w:t>
      </w:r>
      <w:r w:rsidRPr="00B074CF">
        <w:rPr>
          <w:rFonts w:eastAsia="MS Mincho" w:cstheme="minorHAnsi"/>
        </w:rPr>
        <w:noBreakHyphen/>
      </w:r>
      <w:r w:rsidRPr="00B074CF">
        <w:rPr>
          <w:rFonts w:cstheme="minorHAnsi"/>
        </w:rPr>
        <w:t>26 weeks) from the initial infusion of the first treatment cycle. In the open</w:t>
      </w:r>
      <w:r w:rsidRPr="00B074CF">
        <w:rPr>
          <w:rFonts w:cstheme="minorHAnsi"/>
        </w:rPr>
        <w:noBreakHyphen/>
        <w:t>label extension study the earliest possible time of initiation of the subsequent treatment cycles was 7 weeks.</w:t>
      </w:r>
    </w:p>
    <w:p w14:paraId="39DEDBE7" w14:textId="77777777" w:rsidR="00574FBB" w:rsidRDefault="00574FBB" w:rsidP="00BE17AB">
      <w:pPr>
        <w:numPr>
          <w:ilvl w:val="12"/>
          <w:numId w:val="0"/>
        </w:numPr>
        <w:ind w:right="-2"/>
        <w:rPr>
          <w:rFonts w:eastAsia="MS Mincho" w:cstheme="minorHAnsi"/>
          <w:lang w:eastAsia="ja-JP"/>
        </w:rPr>
      </w:pPr>
      <w:r w:rsidRPr="00B074CF">
        <w:rPr>
          <w:rFonts w:cstheme="minorHAnsi"/>
        </w:rPr>
        <w:t>In patients that responded to treatment, t</w:t>
      </w:r>
      <w:r w:rsidRPr="00B074CF">
        <w:rPr>
          <w:rFonts w:eastAsia="MS Mincho" w:cstheme="minorHAnsi"/>
          <w:lang w:eastAsia="ja-JP"/>
        </w:rPr>
        <w:t>he duration of clinical improvement was 5 weeks in 5/44 (11%) patients, 6</w:t>
      </w:r>
      <w:r w:rsidRPr="00B074CF">
        <w:rPr>
          <w:rFonts w:eastAsia="MS Mincho" w:cstheme="minorHAnsi"/>
        </w:rPr>
        <w:noBreakHyphen/>
      </w:r>
      <w:r w:rsidRPr="00B074CF">
        <w:rPr>
          <w:rFonts w:eastAsia="MS Mincho" w:cstheme="minorHAnsi"/>
          <w:lang w:eastAsia="ja-JP"/>
        </w:rPr>
        <w:t>7 weeks in 14/44 (32%) of patients, 8</w:t>
      </w:r>
      <w:r w:rsidRPr="00B074CF">
        <w:rPr>
          <w:rFonts w:eastAsia="MS Mincho" w:cstheme="minorHAnsi"/>
        </w:rPr>
        <w:noBreakHyphen/>
      </w:r>
      <w:r w:rsidRPr="00B074CF">
        <w:rPr>
          <w:rFonts w:eastAsia="MS Mincho" w:cstheme="minorHAnsi"/>
          <w:lang w:eastAsia="ja-JP"/>
        </w:rPr>
        <w:t>11 weeks in 10/44 (23%) patients and 12 weeks or more in 15/44 (34%) patients.</w:t>
      </w:r>
    </w:p>
    <w:p w14:paraId="653C40D1" w14:textId="77777777" w:rsidR="00574FBB" w:rsidRPr="00B074CF" w:rsidRDefault="00574FBB" w:rsidP="00BE17AB">
      <w:pPr>
        <w:pStyle w:val="Heading2"/>
        <w:spacing w:before="0" w:after="120"/>
        <w:rPr>
          <w:rFonts w:asciiTheme="minorHAnsi" w:hAnsiTheme="minorHAnsi" w:cstheme="minorHAnsi"/>
          <w:sz w:val="22"/>
          <w:lang w:val="en-US"/>
        </w:rPr>
      </w:pPr>
      <w:r w:rsidRPr="00B074CF">
        <w:rPr>
          <w:rFonts w:asciiTheme="minorHAnsi" w:hAnsiTheme="minorHAnsi" w:cstheme="minorHAnsi"/>
          <w:sz w:val="22"/>
          <w:lang w:val="en-US"/>
        </w:rPr>
        <w:t xml:space="preserve">Pharmacokinetic properties </w:t>
      </w:r>
    </w:p>
    <w:p w14:paraId="538F828B" w14:textId="77777777" w:rsidR="00574FBB" w:rsidRDefault="00574FBB" w:rsidP="00BE17AB">
      <w:pPr>
        <w:pStyle w:val="Heading3"/>
        <w:keepNext w:val="0"/>
        <w:keepLines w:val="0"/>
        <w:spacing w:before="0" w:after="120"/>
        <w:ind w:left="0"/>
        <w:rPr>
          <w:rFonts w:asciiTheme="minorHAnsi" w:hAnsiTheme="minorHAnsi" w:cstheme="minorHAnsi"/>
        </w:rPr>
      </w:pPr>
      <w:r w:rsidRPr="00B074CF">
        <w:rPr>
          <w:rFonts w:asciiTheme="minorHAnsi" w:hAnsiTheme="minorHAnsi" w:cstheme="minorHAnsi"/>
        </w:rPr>
        <w:t xml:space="preserve">Absorption </w:t>
      </w:r>
    </w:p>
    <w:p w14:paraId="438FE88F" w14:textId="77777777" w:rsidR="00574FBB" w:rsidRDefault="00574FBB" w:rsidP="00BE17AB">
      <w:r w:rsidRPr="001C0DDD">
        <w:t>The pharmacokinetics profile of efgartigimod alfa is linear, independent of dose or time, with negligible accumulation. The geometric mean accumulation ratio based on observed peak concentrations was 1.12.</w:t>
      </w:r>
    </w:p>
    <w:p w14:paraId="7156B411" w14:textId="77777777" w:rsidR="00574FBB" w:rsidRPr="00B074CF" w:rsidRDefault="00574FBB" w:rsidP="00BE17AB">
      <w:pPr>
        <w:pStyle w:val="Heading3"/>
        <w:keepNext w:val="0"/>
        <w:keepLines w:val="0"/>
        <w:spacing w:before="0" w:after="120"/>
        <w:ind w:left="0"/>
        <w:rPr>
          <w:rFonts w:asciiTheme="minorHAnsi" w:hAnsiTheme="minorHAnsi" w:cstheme="minorHAnsi"/>
          <w:b w:val="0"/>
        </w:rPr>
      </w:pPr>
      <w:r w:rsidRPr="00B074CF">
        <w:rPr>
          <w:rFonts w:asciiTheme="minorHAnsi" w:hAnsiTheme="minorHAnsi" w:cstheme="minorHAnsi"/>
        </w:rPr>
        <w:t xml:space="preserve">Distribution </w:t>
      </w:r>
    </w:p>
    <w:p w14:paraId="2646E5E4" w14:textId="77777777" w:rsidR="00574FBB" w:rsidRPr="00B074CF" w:rsidRDefault="00574FBB" w:rsidP="00BE17AB">
      <w:pPr>
        <w:numPr>
          <w:ilvl w:val="12"/>
          <w:numId w:val="0"/>
        </w:numPr>
        <w:ind w:right="-2"/>
        <w:rPr>
          <w:rFonts w:cstheme="minorHAnsi"/>
        </w:rPr>
      </w:pPr>
      <w:r w:rsidRPr="00B074CF">
        <w:rPr>
          <w:rFonts w:cstheme="minorHAnsi"/>
        </w:rPr>
        <w:t>Based upon population PK data analysis in healthy subjects and patients the volume of distribution is 18 L.</w:t>
      </w:r>
    </w:p>
    <w:p w14:paraId="354E75A4" w14:textId="77777777" w:rsidR="00574FBB" w:rsidRPr="00B074CF" w:rsidRDefault="00574FBB" w:rsidP="00BE17AB">
      <w:pPr>
        <w:pStyle w:val="Heading3"/>
        <w:keepNext w:val="0"/>
        <w:keepLines w:val="0"/>
        <w:spacing w:before="0" w:after="120"/>
        <w:ind w:left="0"/>
        <w:rPr>
          <w:rFonts w:asciiTheme="minorHAnsi" w:hAnsiTheme="minorHAnsi" w:cstheme="minorHAnsi"/>
          <w:b w:val="0"/>
        </w:rPr>
      </w:pPr>
      <w:r w:rsidRPr="00B074CF">
        <w:rPr>
          <w:rFonts w:asciiTheme="minorHAnsi" w:hAnsiTheme="minorHAnsi" w:cstheme="minorHAnsi"/>
        </w:rPr>
        <w:t xml:space="preserve">Metabolism </w:t>
      </w:r>
    </w:p>
    <w:p w14:paraId="1E03D58B" w14:textId="77777777" w:rsidR="00574FBB" w:rsidRPr="00B074CF" w:rsidRDefault="00574FBB" w:rsidP="00BE17AB">
      <w:pPr>
        <w:numPr>
          <w:ilvl w:val="12"/>
          <w:numId w:val="0"/>
        </w:numPr>
        <w:ind w:right="-2"/>
        <w:rPr>
          <w:rFonts w:cstheme="minorHAnsi"/>
        </w:rPr>
      </w:pPr>
      <w:r w:rsidRPr="00B074CF">
        <w:rPr>
          <w:rFonts w:cstheme="minorHAnsi"/>
        </w:rPr>
        <w:t>Efgartigimod alfa is expected to be degraded by proteolytic enzymes into small peptides and amino acids.</w:t>
      </w:r>
    </w:p>
    <w:p w14:paraId="3B83F712" w14:textId="77777777" w:rsidR="00BE17AB" w:rsidRDefault="00BE17AB" w:rsidP="00BE17AB">
      <w:pPr>
        <w:pStyle w:val="Heading3"/>
        <w:keepNext w:val="0"/>
        <w:keepLines w:val="0"/>
        <w:spacing w:before="0" w:after="120"/>
        <w:ind w:left="0"/>
        <w:rPr>
          <w:rFonts w:asciiTheme="minorHAnsi" w:hAnsiTheme="minorHAnsi" w:cstheme="minorHAnsi"/>
        </w:rPr>
      </w:pPr>
    </w:p>
    <w:p w14:paraId="2EE5ECE5" w14:textId="77777777" w:rsidR="00BE17AB" w:rsidRDefault="00BE17AB" w:rsidP="00BE17AB">
      <w:pPr>
        <w:pStyle w:val="Heading3"/>
        <w:keepNext w:val="0"/>
        <w:keepLines w:val="0"/>
        <w:spacing w:before="0" w:after="120"/>
        <w:ind w:left="0"/>
        <w:rPr>
          <w:rFonts w:asciiTheme="minorHAnsi" w:hAnsiTheme="minorHAnsi" w:cstheme="minorHAnsi"/>
        </w:rPr>
      </w:pPr>
    </w:p>
    <w:p w14:paraId="201E7D8C" w14:textId="77777777" w:rsidR="00BE17AB" w:rsidRDefault="00BE17AB" w:rsidP="00BE17AB">
      <w:pPr>
        <w:pStyle w:val="Heading3"/>
        <w:keepNext w:val="0"/>
        <w:keepLines w:val="0"/>
        <w:spacing w:before="0" w:after="120"/>
        <w:ind w:left="0"/>
        <w:rPr>
          <w:rFonts w:asciiTheme="minorHAnsi" w:hAnsiTheme="minorHAnsi" w:cstheme="minorHAnsi"/>
        </w:rPr>
      </w:pPr>
    </w:p>
    <w:p w14:paraId="43736A2F" w14:textId="45BDDEF0" w:rsidR="00574FBB" w:rsidRPr="00B074CF" w:rsidRDefault="00574FBB" w:rsidP="00BE17AB">
      <w:pPr>
        <w:pStyle w:val="Heading3"/>
        <w:keepNext w:val="0"/>
        <w:keepLines w:val="0"/>
        <w:spacing w:before="0" w:after="120"/>
        <w:ind w:left="0"/>
        <w:rPr>
          <w:rFonts w:asciiTheme="minorHAnsi" w:hAnsiTheme="minorHAnsi" w:cstheme="minorHAnsi"/>
          <w:b w:val="0"/>
        </w:rPr>
      </w:pPr>
      <w:r w:rsidRPr="00B074CF">
        <w:rPr>
          <w:rFonts w:asciiTheme="minorHAnsi" w:hAnsiTheme="minorHAnsi" w:cstheme="minorHAnsi"/>
        </w:rPr>
        <w:lastRenderedPageBreak/>
        <w:t xml:space="preserve">Excretion </w:t>
      </w:r>
    </w:p>
    <w:p w14:paraId="3DBD785F" w14:textId="77777777" w:rsidR="00574FBB" w:rsidRPr="00B074CF" w:rsidRDefault="00574FBB" w:rsidP="00BE17AB">
      <w:pPr>
        <w:ind w:right="-2"/>
        <w:rPr>
          <w:rFonts w:cstheme="minorHAnsi"/>
        </w:rPr>
      </w:pPr>
      <w:r w:rsidRPr="00B074CF">
        <w:rPr>
          <w:rFonts w:cstheme="minorHAnsi"/>
        </w:rPr>
        <w:t>The terminal half</w:t>
      </w:r>
      <w:r w:rsidRPr="00B074CF">
        <w:rPr>
          <w:rFonts w:cstheme="minorHAnsi"/>
        </w:rPr>
        <w:noBreakHyphen/>
        <w:t>life is 80 to 120 hours (3 to 5 days). Based upon population PK data analysis, the clearance is 0.128 L/h. The molecular weight of efgartigimod alfa is approximately 54 </w:t>
      </w:r>
      <w:proofErr w:type="spellStart"/>
      <w:r w:rsidRPr="00B074CF">
        <w:rPr>
          <w:rFonts w:cstheme="minorHAnsi"/>
        </w:rPr>
        <w:t>kDa</w:t>
      </w:r>
      <w:proofErr w:type="spellEnd"/>
      <w:r w:rsidRPr="00B074CF">
        <w:rPr>
          <w:rFonts w:cstheme="minorHAnsi"/>
        </w:rPr>
        <w:t>, which is at the boundary of molecules that are renally filtered.</w:t>
      </w:r>
    </w:p>
    <w:p w14:paraId="4E9A0D6A" w14:textId="77777777" w:rsidR="00574FBB" w:rsidRPr="00B074CF" w:rsidRDefault="00574FBB" w:rsidP="00BE17AB">
      <w:pPr>
        <w:rPr>
          <w:rFonts w:eastAsia="MS Mincho" w:cstheme="minorHAnsi"/>
          <w:u w:val="single"/>
        </w:rPr>
      </w:pPr>
      <w:r w:rsidRPr="00B074CF">
        <w:rPr>
          <w:rFonts w:eastAsia="MS Mincho" w:cstheme="minorHAnsi"/>
          <w:u w:val="single"/>
        </w:rPr>
        <w:t>Special populations</w:t>
      </w:r>
    </w:p>
    <w:p w14:paraId="5F66F8D6" w14:textId="77777777" w:rsidR="00574FBB" w:rsidRPr="00B074CF" w:rsidRDefault="00574FBB" w:rsidP="00BE17AB">
      <w:pPr>
        <w:rPr>
          <w:rFonts w:eastAsia="MS Mincho" w:cstheme="minorHAnsi"/>
          <w:i/>
        </w:rPr>
      </w:pPr>
      <w:r w:rsidRPr="00B074CF">
        <w:rPr>
          <w:rFonts w:eastAsia="MS Mincho" w:cstheme="minorHAnsi"/>
          <w:i/>
          <w:iCs/>
          <w:lang w:eastAsia="ja-JP"/>
        </w:rPr>
        <w:t>Age, gender, race and bodyweight</w:t>
      </w:r>
    </w:p>
    <w:p w14:paraId="0C651917" w14:textId="77777777" w:rsidR="00574FBB" w:rsidRPr="00B074CF" w:rsidRDefault="00574FBB" w:rsidP="00BE17AB">
      <w:pPr>
        <w:rPr>
          <w:rFonts w:eastAsia="MS Mincho" w:cstheme="minorHAnsi"/>
          <w:lang w:eastAsia="ja-JP"/>
        </w:rPr>
      </w:pPr>
      <w:r w:rsidRPr="00B074CF">
        <w:rPr>
          <w:rFonts w:eastAsia="MS Mincho" w:cstheme="minorHAnsi"/>
          <w:lang w:eastAsia="ja-JP"/>
        </w:rPr>
        <w:t>The pharmacokinetics of efgartigimod alfa were not affected by age (1</w:t>
      </w:r>
      <w:r w:rsidRPr="00B074CF">
        <w:rPr>
          <w:rFonts w:eastAsia="MS Mincho" w:cstheme="minorHAnsi"/>
        </w:rPr>
        <w:t>9</w:t>
      </w:r>
      <w:r w:rsidRPr="00B074CF">
        <w:rPr>
          <w:rFonts w:eastAsia="MS Mincho" w:cstheme="minorHAnsi"/>
        </w:rPr>
        <w:noBreakHyphen/>
        <w:t>78 years</w:t>
      </w:r>
      <w:r w:rsidRPr="00B074CF">
        <w:rPr>
          <w:rFonts w:eastAsia="MS Mincho" w:cstheme="minorHAnsi"/>
          <w:lang w:eastAsia="ja-JP"/>
        </w:rPr>
        <w:t>), gender and race.</w:t>
      </w:r>
    </w:p>
    <w:p w14:paraId="5AE5147B" w14:textId="77777777" w:rsidR="00574FBB" w:rsidRPr="00B074CF" w:rsidRDefault="00574FBB" w:rsidP="00BE17AB">
      <w:pPr>
        <w:rPr>
          <w:rFonts w:eastAsia="MS Mincho" w:cstheme="minorHAnsi"/>
        </w:rPr>
      </w:pPr>
      <w:r w:rsidRPr="00B074CF">
        <w:rPr>
          <w:rFonts w:eastAsia="MS Mincho" w:cstheme="minorHAnsi"/>
        </w:rPr>
        <w:t xml:space="preserve">A population pharmacokinetic analysis showed that the effect of bodyweight on efgartigimod alfa exposure was limited at a dose of 10 mg/kg in patients up to 120 kg as well as in patients of 120 kg and above who received a capped dose of </w:t>
      </w:r>
      <w:r>
        <w:rPr>
          <w:rFonts w:eastAsia="MS Mincho" w:cstheme="minorHAnsi"/>
        </w:rPr>
        <w:t>1,200</w:t>
      </w:r>
      <w:r w:rsidRPr="00B074CF">
        <w:rPr>
          <w:rFonts w:eastAsia="MS Mincho" w:cstheme="minorHAnsi"/>
        </w:rPr>
        <w:t> mg/infusion. There was no effect of bodyweight on the extent of IgG reduction. In the double-blind placebo-controlled study, 5 (3%) patients were over 120 kg. The median bodyweight of patients on efgartigimod alfa in the study was 76.5 kg (min 49; max 229).</w:t>
      </w:r>
    </w:p>
    <w:p w14:paraId="06AEA13F" w14:textId="2600B125" w:rsidR="00574FBB" w:rsidRPr="00B074CF" w:rsidRDefault="00574FBB" w:rsidP="00BE17AB">
      <w:pPr>
        <w:textAlignment w:val="baseline"/>
        <w:rPr>
          <w:rFonts w:cstheme="minorHAnsi"/>
          <w:i/>
        </w:rPr>
      </w:pPr>
      <w:r w:rsidRPr="00B074CF">
        <w:rPr>
          <w:rFonts w:cstheme="minorHAnsi"/>
          <w:i/>
        </w:rPr>
        <w:t>Renal impairment</w:t>
      </w:r>
    </w:p>
    <w:p w14:paraId="746CB417" w14:textId="77777777" w:rsidR="00574FBB" w:rsidRPr="00B074CF" w:rsidRDefault="00574FBB" w:rsidP="00BE17AB">
      <w:pPr>
        <w:textAlignment w:val="baseline"/>
        <w:rPr>
          <w:rFonts w:cstheme="minorHAnsi"/>
        </w:rPr>
      </w:pPr>
      <w:r w:rsidRPr="00B074CF">
        <w:rPr>
          <w:rFonts w:cstheme="minorHAnsi"/>
        </w:rPr>
        <w:t>No dedicated pharmacokinetic studies have been performed in patients with renal impairment.</w:t>
      </w:r>
    </w:p>
    <w:p w14:paraId="5867508F" w14:textId="77777777" w:rsidR="00574FBB" w:rsidRPr="00B074CF" w:rsidRDefault="00574FBB" w:rsidP="00BE17AB">
      <w:pPr>
        <w:textAlignment w:val="baseline"/>
        <w:rPr>
          <w:rFonts w:cstheme="minorHAnsi"/>
        </w:rPr>
      </w:pPr>
      <w:r w:rsidRPr="00B074CF">
        <w:rPr>
          <w:rFonts w:cstheme="minorHAnsi"/>
        </w:rPr>
        <w:t>The effect of renal function marker estimated glomerular filtration rate [eGFR] as a covariate in a population pharmacokinetic analysis showed a reduced clearance resulting in a limited increase in exposure in patients with mild renal impairment (eGFR 60</w:t>
      </w:r>
      <w:r w:rsidRPr="00B074CF">
        <w:rPr>
          <w:rFonts w:cstheme="minorHAnsi"/>
        </w:rPr>
        <w:noBreakHyphen/>
        <w:t>89 mL/min/1.73 m</w:t>
      </w:r>
      <w:r w:rsidRPr="00B074CF">
        <w:rPr>
          <w:rFonts w:cstheme="minorHAnsi"/>
          <w:vertAlign w:val="superscript"/>
        </w:rPr>
        <w:t>2</w:t>
      </w:r>
      <w:r w:rsidRPr="00B074CF">
        <w:rPr>
          <w:rFonts w:cstheme="minorHAnsi"/>
        </w:rPr>
        <w:t>). No specific dose adjustment is recommended in patients with mild renal impairment.</w:t>
      </w:r>
    </w:p>
    <w:p w14:paraId="12E67401" w14:textId="067D2DBA" w:rsidR="00574FBB" w:rsidRPr="00B074CF" w:rsidRDefault="00574FBB" w:rsidP="00BE17AB">
      <w:pPr>
        <w:textAlignment w:val="baseline"/>
        <w:rPr>
          <w:rFonts w:cstheme="minorHAnsi"/>
        </w:rPr>
      </w:pPr>
      <w:r w:rsidRPr="00B074CF">
        <w:rPr>
          <w:rFonts w:cstheme="minorHAnsi"/>
        </w:rPr>
        <w:t>There is insufficient data on the impact of moderate renal impairment (eGFR 30</w:t>
      </w:r>
      <w:r w:rsidRPr="00B074CF">
        <w:rPr>
          <w:rFonts w:cstheme="minorHAnsi"/>
        </w:rPr>
        <w:noBreakHyphen/>
        <w:t>59 mL/min/1.73 m</w:t>
      </w:r>
      <w:r w:rsidRPr="00B074CF">
        <w:rPr>
          <w:rFonts w:cstheme="minorHAnsi"/>
          <w:vertAlign w:val="superscript"/>
        </w:rPr>
        <w:t>2</w:t>
      </w:r>
      <w:r w:rsidRPr="00B074CF">
        <w:rPr>
          <w:rFonts w:cstheme="minorHAnsi"/>
        </w:rPr>
        <w:t>) and severe renal impairment (eGFR &lt; 30 mL/min/1.73 m</w:t>
      </w:r>
      <w:r w:rsidRPr="00B074CF">
        <w:rPr>
          <w:rFonts w:cstheme="minorHAnsi"/>
          <w:vertAlign w:val="superscript"/>
        </w:rPr>
        <w:t>2</w:t>
      </w:r>
      <w:r w:rsidRPr="00B074CF">
        <w:rPr>
          <w:rFonts w:cstheme="minorHAnsi"/>
        </w:rPr>
        <w:t xml:space="preserve">) on efgartigimod alfa pharmacokinetic parameters. </w:t>
      </w:r>
    </w:p>
    <w:p w14:paraId="4D73FBCF" w14:textId="77777777" w:rsidR="00574FBB" w:rsidRPr="00B074CF" w:rsidRDefault="00574FBB" w:rsidP="00BE17AB">
      <w:pPr>
        <w:textAlignment w:val="baseline"/>
        <w:rPr>
          <w:rFonts w:cstheme="minorHAnsi"/>
          <w:i/>
        </w:rPr>
      </w:pPr>
      <w:r w:rsidRPr="00B074CF">
        <w:rPr>
          <w:rFonts w:cstheme="minorHAnsi"/>
          <w:i/>
        </w:rPr>
        <w:t>Hepatic impairment</w:t>
      </w:r>
    </w:p>
    <w:p w14:paraId="75902184" w14:textId="77777777" w:rsidR="00574FBB" w:rsidRPr="00B074CF" w:rsidRDefault="00574FBB" w:rsidP="00BE17AB">
      <w:pPr>
        <w:textAlignment w:val="baseline"/>
        <w:rPr>
          <w:rFonts w:cstheme="minorHAnsi"/>
        </w:rPr>
      </w:pPr>
      <w:r w:rsidRPr="00B074CF">
        <w:rPr>
          <w:rFonts w:cstheme="minorHAnsi"/>
        </w:rPr>
        <w:t>No dedicated pharmacokinetic study has been performed in patients with hepatic impairment.</w:t>
      </w:r>
    </w:p>
    <w:p w14:paraId="3562C5AE" w14:textId="77777777" w:rsidR="00574FBB" w:rsidRPr="00B074CF" w:rsidRDefault="00574FBB" w:rsidP="00BE17AB">
      <w:pPr>
        <w:textAlignment w:val="baseline"/>
        <w:rPr>
          <w:rFonts w:cstheme="minorHAnsi"/>
        </w:rPr>
      </w:pPr>
      <w:r w:rsidRPr="00B074CF">
        <w:rPr>
          <w:rFonts w:cstheme="minorHAnsi"/>
        </w:rPr>
        <w:t>The effect of hepatic function markers as covariates in a population pharmacokinetic analysis did not show any impact on the pharmacokinetics of efgartigimod alfa.</w:t>
      </w:r>
    </w:p>
    <w:p w14:paraId="29468073" w14:textId="77777777" w:rsidR="00574FBB" w:rsidRPr="00B074CF" w:rsidRDefault="00574FBB" w:rsidP="00BE17AB">
      <w:pPr>
        <w:pStyle w:val="Heading2"/>
        <w:spacing w:before="0" w:after="120"/>
        <w:rPr>
          <w:rFonts w:asciiTheme="minorHAnsi" w:hAnsiTheme="minorHAnsi" w:cstheme="minorHAnsi"/>
          <w:sz w:val="22"/>
          <w:lang w:val="en-US"/>
        </w:rPr>
      </w:pPr>
      <w:r w:rsidRPr="00B074CF">
        <w:rPr>
          <w:rFonts w:asciiTheme="minorHAnsi" w:hAnsiTheme="minorHAnsi" w:cstheme="minorHAnsi"/>
          <w:sz w:val="22"/>
          <w:lang w:val="en-US"/>
        </w:rPr>
        <w:t>Preclinical safety data</w:t>
      </w:r>
    </w:p>
    <w:p w14:paraId="5EBD5A95" w14:textId="77777777" w:rsidR="00574FBB" w:rsidRPr="00B074CF" w:rsidRDefault="00574FBB" w:rsidP="00BE17AB">
      <w:pPr>
        <w:pStyle w:val="Heading3"/>
        <w:keepNext w:val="0"/>
        <w:keepLines w:val="0"/>
        <w:spacing w:before="0" w:after="120"/>
        <w:ind w:left="0"/>
        <w:rPr>
          <w:rFonts w:asciiTheme="minorHAnsi" w:hAnsiTheme="minorHAnsi" w:cstheme="minorHAnsi"/>
        </w:rPr>
      </w:pPr>
      <w:r w:rsidRPr="00B074CF">
        <w:rPr>
          <w:rFonts w:asciiTheme="minorHAnsi" w:hAnsiTheme="minorHAnsi" w:cstheme="minorHAnsi"/>
        </w:rPr>
        <w:t xml:space="preserve">Genotoxicity </w:t>
      </w:r>
    </w:p>
    <w:p w14:paraId="2148E058" w14:textId="77777777" w:rsidR="00574FBB" w:rsidRPr="00B074CF" w:rsidRDefault="00574FBB" w:rsidP="00BE17AB">
      <w:pPr>
        <w:rPr>
          <w:rFonts w:cstheme="minorHAnsi"/>
        </w:rPr>
      </w:pPr>
      <w:r w:rsidRPr="00B074CF">
        <w:rPr>
          <w:rFonts w:cstheme="minorHAnsi"/>
        </w:rPr>
        <w:t>No studies have been conducted to assess the genotoxic potential of efgartigimod alfa.</w:t>
      </w:r>
    </w:p>
    <w:p w14:paraId="5ECE900B" w14:textId="77777777" w:rsidR="00574FBB" w:rsidRDefault="00574FBB" w:rsidP="00BE17AB">
      <w:pPr>
        <w:pStyle w:val="Heading3"/>
        <w:keepNext w:val="0"/>
        <w:keepLines w:val="0"/>
        <w:spacing w:before="0" w:after="120"/>
        <w:ind w:left="0"/>
        <w:rPr>
          <w:rFonts w:asciiTheme="minorHAnsi" w:hAnsiTheme="minorHAnsi" w:cstheme="minorHAnsi"/>
        </w:rPr>
      </w:pPr>
      <w:r w:rsidRPr="001C0DDD">
        <w:rPr>
          <w:rFonts w:asciiTheme="minorHAnsi" w:hAnsiTheme="minorHAnsi" w:cstheme="minorHAnsi"/>
        </w:rPr>
        <w:t>Carcinogenicity</w:t>
      </w:r>
    </w:p>
    <w:p w14:paraId="3578EC75" w14:textId="77777777" w:rsidR="00574FBB" w:rsidRDefault="00574FBB" w:rsidP="00BE17AB">
      <w:r w:rsidRPr="001C0DDD">
        <w:t>No studies have been conducted to assess the carcinogenic potential of efgartigimod alfa.</w:t>
      </w:r>
    </w:p>
    <w:p w14:paraId="4EDCBC21" w14:textId="77777777" w:rsidR="00574FBB" w:rsidRPr="00B074CF" w:rsidRDefault="00574FBB" w:rsidP="00BE17AB">
      <w:pPr>
        <w:pStyle w:val="Heading1"/>
        <w:keepNext w:val="0"/>
        <w:keepLines w:val="0"/>
        <w:spacing w:before="0" w:after="120"/>
        <w:rPr>
          <w:rFonts w:asciiTheme="minorHAnsi" w:hAnsiTheme="minorHAnsi" w:cstheme="minorHAnsi"/>
          <w:sz w:val="22"/>
          <w:szCs w:val="22"/>
          <w:lang w:val="en-US"/>
        </w:rPr>
      </w:pPr>
      <w:r w:rsidRPr="00B074CF">
        <w:rPr>
          <w:rFonts w:asciiTheme="minorHAnsi" w:hAnsiTheme="minorHAnsi" w:cstheme="minorHAnsi"/>
          <w:sz w:val="22"/>
          <w:szCs w:val="22"/>
          <w:lang w:val="en-US"/>
        </w:rPr>
        <w:t>Pharmaceutical particulars</w:t>
      </w:r>
    </w:p>
    <w:p w14:paraId="052A2851" w14:textId="77777777" w:rsidR="00574FBB" w:rsidRPr="00B074CF" w:rsidRDefault="00574FBB" w:rsidP="00BE17AB">
      <w:pPr>
        <w:pStyle w:val="Heading2"/>
        <w:spacing w:before="0" w:after="120"/>
        <w:rPr>
          <w:rFonts w:asciiTheme="minorHAnsi" w:hAnsiTheme="minorHAnsi" w:cstheme="minorHAnsi"/>
          <w:sz w:val="22"/>
          <w:lang w:val="en-US"/>
        </w:rPr>
      </w:pPr>
      <w:r w:rsidRPr="00B074CF">
        <w:rPr>
          <w:rFonts w:asciiTheme="minorHAnsi" w:hAnsiTheme="minorHAnsi" w:cstheme="minorHAnsi"/>
          <w:sz w:val="22"/>
          <w:lang w:val="en-US"/>
        </w:rPr>
        <w:t xml:space="preserve">List of excipients </w:t>
      </w:r>
    </w:p>
    <w:p w14:paraId="3D59553C" w14:textId="77777777" w:rsidR="00574FBB" w:rsidRPr="00B074CF" w:rsidRDefault="00574FBB" w:rsidP="00BE17AB">
      <w:pPr>
        <w:spacing w:after="0"/>
        <w:rPr>
          <w:rFonts w:cstheme="minorHAnsi"/>
        </w:rPr>
      </w:pPr>
      <w:r w:rsidRPr="00B074CF">
        <w:rPr>
          <w:rFonts w:cstheme="minorHAnsi"/>
        </w:rPr>
        <w:lastRenderedPageBreak/>
        <w:t>Monobasic sodium phosphate monohydrate</w:t>
      </w:r>
    </w:p>
    <w:p w14:paraId="2727C646" w14:textId="77777777" w:rsidR="00574FBB" w:rsidRPr="00B074CF" w:rsidRDefault="00574FBB" w:rsidP="00BE17AB">
      <w:pPr>
        <w:spacing w:after="0"/>
        <w:rPr>
          <w:rFonts w:cstheme="minorHAnsi"/>
        </w:rPr>
      </w:pPr>
      <w:r w:rsidRPr="00B074CF">
        <w:rPr>
          <w:rFonts w:cstheme="minorHAnsi"/>
        </w:rPr>
        <w:t>Dibasic sodium phosphate</w:t>
      </w:r>
    </w:p>
    <w:p w14:paraId="3BEE3F5A" w14:textId="77777777" w:rsidR="00574FBB" w:rsidRPr="00B074CF" w:rsidRDefault="00574FBB" w:rsidP="00BE17AB">
      <w:pPr>
        <w:spacing w:after="0"/>
        <w:rPr>
          <w:rFonts w:cstheme="minorHAnsi"/>
          <w:lang w:val="en-US"/>
        </w:rPr>
      </w:pPr>
      <w:r w:rsidRPr="00B074CF">
        <w:rPr>
          <w:rFonts w:cstheme="minorHAnsi"/>
          <w:lang w:val="en-US"/>
        </w:rPr>
        <w:t>Sodium chloride</w:t>
      </w:r>
    </w:p>
    <w:p w14:paraId="3E0123F5" w14:textId="77777777" w:rsidR="00574FBB" w:rsidRPr="00B074CF" w:rsidRDefault="00574FBB" w:rsidP="00BE17AB">
      <w:pPr>
        <w:spacing w:after="0"/>
        <w:rPr>
          <w:rFonts w:cstheme="minorHAnsi"/>
        </w:rPr>
      </w:pPr>
      <w:r w:rsidRPr="00B074CF">
        <w:rPr>
          <w:rFonts w:cstheme="minorHAnsi"/>
        </w:rPr>
        <w:t>Arginine hydrochloride</w:t>
      </w:r>
    </w:p>
    <w:p w14:paraId="4CCD33B0" w14:textId="77777777" w:rsidR="00574FBB" w:rsidRPr="00B074CF" w:rsidRDefault="00574FBB" w:rsidP="00BE17AB">
      <w:pPr>
        <w:spacing w:after="0"/>
        <w:rPr>
          <w:rFonts w:cstheme="minorHAnsi"/>
        </w:rPr>
      </w:pPr>
      <w:r w:rsidRPr="00B074CF">
        <w:rPr>
          <w:rFonts w:cstheme="minorHAnsi"/>
        </w:rPr>
        <w:t>Polysorbate 80</w:t>
      </w:r>
    </w:p>
    <w:p w14:paraId="7744BDED" w14:textId="77777777" w:rsidR="00574FBB" w:rsidRDefault="00574FBB" w:rsidP="00BE17AB">
      <w:pPr>
        <w:spacing w:after="0"/>
        <w:rPr>
          <w:rFonts w:cstheme="minorHAnsi"/>
        </w:rPr>
      </w:pPr>
      <w:r w:rsidRPr="00B074CF">
        <w:rPr>
          <w:rFonts w:cstheme="minorHAnsi"/>
        </w:rPr>
        <w:t>Water for injections</w:t>
      </w:r>
    </w:p>
    <w:p w14:paraId="25AE3ED8" w14:textId="77777777" w:rsidR="0002398D" w:rsidRPr="00B074CF" w:rsidRDefault="0002398D" w:rsidP="00BE17AB">
      <w:pPr>
        <w:spacing w:after="0"/>
        <w:rPr>
          <w:rFonts w:cstheme="minorHAnsi"/>
        </w:rPr>
      </w:pPr>
    </w:p>
    <w:p w14:paraId="16281C47" w14:textId="77777777" w:rsidR="00574FBB" w:rsidRPr="00B074CF" w:rsidRDefault="00574FBB" w:rsidP="00BE17AB">
      <w:pPr>
        <w:pStyle w:val="Heading2"/>
        <w:spacing w:before="0" w:after="120"/>
        <w:rPr>
          <w:rFonts w:asciiTheme="minorHAnsi" w:hAnsiTheme="minorHAnsi" w:cstheme="minorHAnsi"/>
          <w:sz w:val="22"/>
          <w:lang w:val="en-US"/>
        </w:rPr>
      </w:pPr>
      <w:r w:rsidRPr="00B074CF">
        <w:rPr>
          <w:rFonts w:asciiTheme="minorHAnsi" w:hAnsiTheme="minorHAnsi" w:cstheme="minorHAnsi"/>
          <w:sz w:val="22"/>
          <w:lang w:val="en-US"/>
        </w:rPr>
        <w:t xml:space="preserve">Incompatibilities </w:t>
      </w:r>
    </w:p>
    <w:p w14:paraId="1BD18FC9" w14:textId="77777777" w:rsidR="00574FBB" w:rsidRPr="00B074CF" w:rsidRDefault="00574FBB" w:rsidP="00BE17AB">
      <w:pPr>
        <w:rPr>
          <w:rFonts w:cstheme="minorHAnsi"/>
          <w:i/>
          <w:iCs/>
        </w:rPr>
      </w:pPr>
      <w:r w:rsidRPr="00B074CF">
        <w:rPr>
          <w:rFonts w:cstheme="minorHAnsi"/>
        </w:rPr>
        <w:t xml:space="preserve">This medicinal product must not be mixed with other medicinal products except those mentioned in </w:t>
      </w:r>
      <w:r w:rsidRPr="00B074CF">
        <w:rPr>
          <w:rFonts w:cstheme="minorHAnsi"/>
          <w:i/>
          <w:iCs/>
        </w:rPr>
        <w:t>section 4.2 Dose and method of Administration</w:t>
      </w:r>
      <w:r w:rsidRPr="00B074CF">
        <w:rPr>
          <w:rFonts w:cstheme="minorHAnsi"/>
        </w:rPr>
        <w:t>.</w:t>
      </w:r>
    </w:p>
    <w:p w14:paraId="14A8A2CB" w14:textId="77777777" w:rsidR="00574FBB" w:rsidRPr="00B074CF" w:rsidRDefault="00574FBB" w:rsidP="00BE17AB">
      <w:pPr>
        <w:pStyle w:val="Heading2"/>
        <w:spacing w:before="0" w:after="120"/>
        <w:rPr>
          <w:rFonts w:asciiTheme="minorHAnsi" w:hAnsiTheme="minorHAnsi" w:cstheme="minorHAnsi"/>
          <w:sz w:val="22"/>
          <w:lang w:val="en-US"/>
        </w:rPr>
      </w:pPr>
      <w:r w:rsidRPr="00B074CF">
        <w:rPr>
          <w:rFonts w:asciiTheme="minorHAnsi" w:hAnsiTheme="minorHAnsi" w:cstheme="minorHAnsi"/>
          <w:sz w:val="22"/>
          <w:lang w:val="en-US"/>
        </w:rPr>
        <w:t xml:space="preserve">Shelf life </w:t>
      </w:r>
    </w:p>
    <w:p w14:paraId="247A05D0" w14:textId="77777777" w:rsidR="00574FBB" w:rsidRPr="00B074CF" w:rsidRDefault="00574FBB" w:rsidP="00BE17AB">
      <w:pPr>
        <w:rPr>
          <w:rFonts w:cstheme="minorHAnsi"/>
          <w:lang w:val="en-US"/>
        </w:rPr>
      </w:pPr>
      <w:r w:rsidRPr="00B074CF">
        <w:rPr>
          <w:rFonts w:cstheme="minorHAnsi"/>
          <w:lang w:val="en"/>
        </w:rPr>
        <w:t>In Australia, information on the shelf life can be found on the public summary of the Australian Register of Therapeutic Goods (ARTG). The expiry date can be found on the packaging.</w:t>
      </w:r>
    </w:p>
    <w:p w14:paraId="7354CD42" w14:textId="77777777" w:rsidR="00574FBB" w:rsidRPr="00B074CF" w:rsidRDefault="00574FBB" w:rsidP="00BE17AB">
      <w:pPr>
        <w:rPr>
          <w:rFonts w:cstheme="minorHAnsi"/>
        </w:rPr>
      </w:pPr>
      <w:r w:rsidRPr="00B074CF">
        <w:rPr>
          <w:rFonts w:cstheme="minorHAnsi"/>
        </w:rPr>
        <w:t xml:space="preserve">Chemical and physical in-use stability has been demonstrated for 24 hours </w:t>
      </w:r>
      <w:r w:rsidRPr="00FC5384">
        <w:t>at 2°C to 8°C.</w:t>
      </w:r>
    </w:p>
    <w:p w14:paraId="705EEB2B" w14:textId="77777777" w:rsidR="00574FBB" w:rsidRPr="00B074CF" w:rsidRDefault="00574FBB" w:rsidP="00BE17AB">
      <w:pPr>
        <w:rPr>
          <w:rFonts w:cstheme="minorHAnsi"/>
        </w:rPr>
      </w:pPr>
      <w:r w:rsidRPr="00B074CF">
        <w:rPr>
          <w:rFonts w:cstheme="minorHAnsi"/>
        </w:rPr>
        <w:t xml:space="preserve">From a microbiological point of view, the product should be used immediately. </w:t>
      </w:r>
    </w:p>
    <w:p w14:paraId="740882DA" w14:textId="77777777" w:rsidR="00574FBB" w:rsidRPr="00B074CF" w:rsidRDefault="00574FBB" w:rsidP="00BE17AB">
      <w:pPr>
        <w:pStyle w:val="Heading2"/>
        <w:spacing w:before="0" w:after="120"/>
        <w:rPr>
          <w:rFonts w:asciiTheme="minorHAnsi" w:hAnsiTheme="minorHAnsi" w:cstheme="minorHAnsi"/>
          <w:sz w:val="22"/>
          <w:lang w:val="en-US"/>
        </w:rPr>
      </w:pPr>
      <w:r w:rsidRPr="00B074CF">
        <w:rPr>
          <w:rFonts w:asciiTheme="minorHAnsi" w:hAnsiTheme="minorHAnsi" w:cstheme="minorHAnsi"/>
          <w:sz w:val="22"/>
          <w:lang w:val="en-US"/>
        </w:rPr>
        <w:t xml:space="preserve">Special precautions for storage </w:t>
      </w:r>
    </w:p>
    <w:p w14:paraId="0590D8BD" w14:textId="77777777" w:rsidR="00574FBB" w:rsidRPr="00B074CF" w:rsidRDefault="00574FBB" w:rsidP="00BE17AB">
      <w:pPr>
        <w:rPr>
          <w:rFonts w:cstheme="minorHAnsi"/>
        </w:rPr>
      </w:pPr>
      <w:r w:rsidRPr="00B074CF">
        <w:rPr>
          <w:rFonts w:cstheme="minorHAnsi"/>
        </w:rPr>
        <w:t>Store in a refrigerator (2°C </w:t>
      </w:r>
      <w:r w:rsidRPr="00B074CF">
        <w:rPr>
          <w:rFonts w:cstheme="minorHAnsi"/>
        </w:rPr>
        <w:noBreakHyphen/>
        <w:t> 8°C).</w:t>
      </w:r>
    </w:p>
    <w:p w14:paraId="20D781BC" w14:textId="77777777" w:rsidR="00574FBB" w:rsidRPr="00B074CF" w:rsidRDefault="00574FBB" w:rsidP="00BE17AB">
      <w:pPr>
        <w:rPr>
          <w:rFonts w:cstheme="minorHAnsi"/>
        </w:rPr>
      </w:pPr>
      <w:r w:rsidRPr="00B074CF">
        <w:rPr>
          <w:rFonts w:cstheme="minorHAnsi"/>
        </w:rPr>
        <w:t>Do not freeze.</w:t>
      </w:r>
    </w:p>
    <w:p w14:paraId="0698D02F" w14:textId="77777777" w:rsidR="00574FBB" w:rsidRPr="00B074CF" w:rsidRDefault="00574FBB" w:rsidP="00BE17AB">
      <w:pPr>
        <w:rPr>
          <w:rFonts w:cstheme="minorHAnsi"/>
        </w:rPr>
      </w:pPr>
      <w:r w:rsidRPr="00B074CF">
        <w:rPr>
          <w:rFonts w:cstheme="minorHAnsi"/>
        </w:rPr>
        <w:t xml:space="preserve">Store in the original package </w:t>
      </w:r>
      <w:proofErr w:type="gramStart"/>
      <w:r w:rsidRPr="00B074CF">
        <w:rPr>
          <w:rFonts w:cstheme="minorHAnsi"/>
        </w:rPr>
        <w:t>in order to</w:t>
      </w:r>
      <w:proofErr w:type="gramEnd"/>
      <w:r w:rsidRPr="00B074CF">
        <w:rPr>
          <w:rFonts w:cstheme="minorHAnsi"/>
        </w:rPr>
        <w:t xml:space="preserve"> protect from light.</w:t>
      </w:r>
    </w:p>
    <w:p w14:paraId="0E161405" w14:textId="77777777" w:rsidR="00574FBB" w:rsidRPr="00B074CF" w:rsidRDefault="00574FBB" w:rsidP="00BE17AB">
      <w:pPr>
        <w:rPr>
          <w:rFonts w:cstheme="minorHAnsi"/>
          <w:i/>
        </w:rPr>
      </w:pPr>
      <w:r w:rsidRPr="00B074CF">
        <w:rPr>
          <w:rFonts w:cstheme="minorHAnsi"/>
        </w:rPr>
        <w:t xml:space="preserve">For storage conditions after dilution of the medicinal product, see </w:t>
      </w:r>
      <w:r w:rsidRPr="00B074CF">
        <w:rPr>
          <w:rFonts w:cstheme="minorHAnsi"/>
          <w:i/>
          <w:iCs/>
        </w:rPr>
        <w:t>section 6.3 Shelf Life</w:t>
      </w:r>
      <w:r w:rsidRPr="00B074CF">
        <w:rPr>
          <w:rFonts w:cstheme="minorHAnsi"/>
        </w:rPr>
        <w:t>.</w:t>
      </w:r>
    </w:p>
    <w:p w14:paraId="3773FAEB" w14:textId="77777777" w:rsidR="00574FBB" w:rsidRPr="00B074CF" w:rsidRDefault="00574FBB" w:rsidP="00BE17AB">
      <w:pPr>
        <w:pStyle w:val="Heading2"/>
        <w:spacing w:before="0" w:after="120"/>
        <w:rPr>
          <w:rFonts w:asciiTheme="minorHAnsi" w:hAnsiTheme="minorHAnsi" w:cstheme="minorHAnsi"/>
          <w:sz w:val="22"/>
          <w:lang w:val="en-US"/>
        </w:rPr>
      </w:pPr>
      <w:r w:rsidRPr="00B074CF">
        <w:rPr>
          <w:rFonts w:asciiTheme="minorHAnsi" w:hAnsiTheme="minorHAnsi" w:cstheme="minorHAnsi"/>
          <w:sz w:val="22"/>
          <w:lang w:val="en-US"/>
        </w:rPr>
        <w:t xml:space="preserve">Nature and contents of container </w:t>
      </w:r>
    </w:p>
    <w:p w14:paraId="776DD113" w14:textId="77777777" w:rsidR="00574FBB" w:rsidRPr="00B074CF" w:rsidRDefault="00574FBB" w:rsidP="00BE17AB">
      <w:pPr>
        <w:rPr>
          <w:rFonts w:cstheme="minorHAnsi"/>
        </w:rPr>
      </w:pPr>
      <w:r w:rsidRPr="00B074CF">
        <w:rPr>
          <w:rFonts w:cstheme="minorHAnsi"/>
        </w:rPr>
        <w:t>Vyvgart Concentrated Injection for Intravenous Infusion in single</w:t>
      </w:r>
      <w:r w:rsidRPr="00B074CF">
        <w:rPr>
          <w:rFonts w:cstheme="minorHAnsi"/>
        </w:rPr>
        <w:noBreakHyphen/>
        <w:t xml:space="preserve">dose 20 mL glass vials (Type I) with rubber stopper (butyl, </w:t>
      </w:r>
      <w:proofErr w:type="spellStart"/>
      <w:r w:rsidRPr="00B074CF">
        <w:rPr>
          <w:rFonts w:cstheme="minorHAnsi"/>
        </w:rPr>
        <w:t>siliconised</w:t>
      </w:r>
      <w:proofErr w:type="spellEnd"/>
      <w:r w:rsidRPr="00B074CF">
        <w:rPr>
          <w:rFonts w:cstheme="minorHAnsi"/>
        </w:rPr>
        <w:t>), aluminium seal and polypropylene flip-off cap.</w:t>
      </w:r>
    </w:p>
    <w:p w14:paraId="129FDF59" w14:textId="77777777" w:rsidR="00574FBB" w:rsidRPr="00B074CF" w:rsidRDefault="00574FBB" w:rsidP="00BE17AB">
      <w:pPr>
        <w:rPr>
          <w:rFonts w:cstheme="minorHAnsi"/>
        </w:rPr>
      </w:pPr>
      <w:r w:rsidRPr="00B074CF">
        <w:rPr>
          <w:rFonts w:cstheme="minorHAnsi"/>
        </w:rPr>
        <w:t>Pack size of 1 vial.</w:t>
      </w:r>
    </w:p>
    <w:p w14:paraId="59F7C92C" w14:textId="77777777" w:rsidR="00574FBB" w:rsidRPr="00B074CF" w:rsidRDefault="00574FBB" w:rsidP="00BE17AB">
      <w:pPr>
        <w:pStyle w:val="Heading2"/>
        <w:spacing w:before="0" w:after="120"/>
        <w:rPr>
          <w:rFonts w:asciiTheme="minorHAnsi" w:hAnsiTheme="minorHAnsi" w:cstheme="minorHAnsi"/>
          <w:sz w:val="22"/>
          <w:lang w:val="en-US"/>
        </w:rPr>
      </w:pPr>
      <w:r w:rsidRPr="00B074CF">
        <w:rPr>
          <w:rFonts w:asciiTheme="minorHAnsi" w:hAnsiTheme="minorHAnsi" w:cstheme="minorHAnsi"/>
          <w:sz w:val="22"/>
          <w:lang w:val="en-US"/>
        </w:rPr>
        <w:t xml:space="preserve">Special precautions for disposal </w:t>
      </w:r>
    </w:p>
    <w:p w14:paraId="11ED7434" w14:textId="77777777" w:rsidR="00574FBB" w:rsidRPr="00B074CF" w:rsidRDefault="00574FBB" w:rsidP="00BE17AB">
      <w:pPr>
        <w:rPr>
          <w:rFonts w:eastAsia="SimSun" w:cstheme="minorHAnsi"/>
          <w:lang w:eastAsia="en-GB"/>
        </w:rPr>
      </w:pPr>
      <w:r w:rsidRPr="00B074CF">
        <w:rPr>
          <w:rFonts w:eastAsia="SimSun" w:cstheme="minorHAnsi"/>
          <w:lang w:eastAsia="en-GB"/>
        </w:rPr>
        <w:t>For use in one patient on one occasion only. Contains no antimicrobial preservative. Discard any residue.</w:t>
      </w:r>
    </w:p>
    <w:p w14:paraId="6CCD255E" w14:textId="77777777" w:rsidR="00574FBB" w:rsidRPr="00B074CF" w:rsidRDefault="00574FBB" w:rsidP="00BE17AB">
      <w:pPr>
        <w:rPr>
          <w:rFonts w:cstheme="minorHAnsi"/>
        </w:rPr>
      </w:pPr>
      <w:r w:rsidRPr="00B074CF">
        <w:rPr>
          <w:rFonts w:cstheme="minorHAnsi"/>
        </w:rPr>
        <w:t>In Australia, any unused medicine or waste material should be disposed of in accordance with local requirements.</w:t>
      </w:r>
    </w:p>
    <w:p w14:paraId="71E3C41E" w14:textId="77777777" w:rsidR="00574FBB" w:rsidRPr="00B074CF" w:rsidRDefault="00574FBB" w:rsidP="00BE17AB">
      <w:pPr>
        <w:pStyle w:val="Heading2"/>
        <w:spacing w:before="0" w:after="120"/>
        <w:rPr>
          <w:rFonts w:asciiTheme="minorHAnsi" w:hAnsiTheme="minorHAnsi" w:cstheme="minorHAnsi"/>
          <w:sz w:val="22"/>
          <w:lang w:val="en-US"/>
        </w:rPr>
      </w:pPr>
      <w:r w:rsidRPr="00B074CF">
        <w:rPr>
          <w:rFonts w:asciiTheme="minorHAnsi" w:hAnsiTheme="minorHAnsi" w:cstheme="minorHAnsi"/>
          <w:sz w:val="22"/>
          <w:lang w:val="en-US"/>
        </w:rPr>
        <w:t>Physicochemical properties</w:t>
      </w:r>
    </w:p>
    <w:p w14:paraId="49E7A47D" w14:textId="77777777" w:rsidR="00574FBB" w:rsidRDefault="00574FBB" w:rsidP="00BE17AB">
      <w:pPr>
        <w:pStyle w:val="Heading3"/>
        <w:keepNext w:val="0"/>
        <w:keepLines w:val="0"/>
        <w:spacing w:before="0" w:after="120"/>
        <w:ind w:left="0"/>
        <w:rPr>
          <w:rFonts w:asciiTheme="minorHAnsi" w:hAnsiTheme="minorHAnsi" w:cstheme="minorHAnsi"/>
          <w:lang w:val="en-US"/>
        </w:rPr>
      </w:pPr>
      <w:r w:rsidRPr="00B074CF">
        <w:rPr>
          <w:rFonts w:asciiTheme="minorHAnsi" w:hAnsiTheme="minorHAnsi" w:cstheme="minorHAnsi"/>
          <w:lang w:val="en-US"/>
        </w:rPr>
        <w:t>CAS number</w:t>
      </w:r>
    </w:p>
    <w:p w14:paraId="569E3756" w14:textId="77777777" w:rsidR="00574FBB" w:rsidRPr="00180900" w:rsidRDefault="00574FBB" w:rsidP="00BE17AB">
      <w:pPr>
        <w:rPr>
          <w:lang w:val="en-US"/>
        </w:rPr>
      </w:pPr>
      <w:r w:rsidRPr="00180900">
        <w:rPr>
          <w:lang w:val="en-US"/>
        </w:rPr>
        <w:t>1821402-21-4</w:t>
      </w:r>
    </w:p>
    <w:p w14:paraId="0EBDB59D" w14:textId="77777777" w:rsidR="00574FBB" w:rsidRPr="00B074CF" w:rsidRDefault="00574FBB" w:rsidP="00BE17AB">
      <w:pPr>
        <w:pStyle w:val="Heading1"/>
        <w:keepNext w:val="0"/>
        <w:keepLines w:val="0"/>
        <w:spacing w:before="0" w:after="120"/>
        <w:rPr>
          <w:rFonts w:asciiTheme="minorHAnsi" w:hAnsiTheme="minorHAnsi" w:cstheme="minorHAnsi"/>
          <w:sz w:val="22"/>
          <w:szCs w:val="22"/>
          <w:lang w:val="en-US"/>
        </w:rPr>
      </w:pPr>
      <w:r w:rsidRPr="00B074CF">
        <w:rPr>
          <w:rFonts w:asciiTheme="minorHAnsi" w:hAnsiTheme="minorHAnsi" w:cstheme="minorHAnsi"/>
          <w:sz w:val="22"/>
          <w:szCs w:val="22"/>
          <w:lang w:val="en-US"/>
        </w:rPr>
        <w:t>Medicine schedule (Poisons Standard)</w:t>
      </w:r>
    </w:p>
    <w:p w14:paraId="1EECF392" w14:textId="77777777" w:rsidR="00574FBB" w:rsidRPr="00B074CF" w:rsidRDefault="00574FBB" w:rsidP="00BE17AB">
      <w:pPr>
        <w:rPr>
          <w:rFonts w:cstheme="minorHAnsi"/>
          <w:lang w:val="en-US"/>
        </w:rPr>
      </w:pPr>
      <w:r w:rsidRPr="00B074CF">
        <w:rPr>
          <w:rFonts w:cstheme="minorHAnsi"/>
          <w:lang w:val="en-US"/>
        </w:rPr>
        <w:lastRenderedPageBreak/>
        <w:t>Schedule 4 – Prescription Only Medicine</w:t>
      </w:r>
    </w:p>
    <w:p w14:paraId="202AE552" w14:textId="77777777" w:rsidR="00574FBB" w:rsidRPr="00B074CF" w:rsidRDefault="00574FBB" w:rsidP="00BE17AB">
      <w:pPr>
        <w:pStyle w:val="Heading1"/>
        <w:keepNext w:val="0"/>
        <w:keepLines w:val="0"/>
        <w:spacing w:before="0" w:after="120"/>
        <w:rPr>
          <w:rFonts w:asciiTheme="minorHAnsi" w:hAnsiTheme="minorHAnsi" w:cstheme="minorHAnsi"/>
          <w:sz w:val="22"/>
          <w:szCs w:val="22"/>
          <w:lang w:val="en-US"/>
        </w:rPr>
      </w:pPr>
      <w:r w:rsidRPr="00B074CF">
        <w:rPr>
          <w:rFonts w:asciiTheme="minorHAnsi" w:hAnsiTheme="minorHAnsi" w:cstheme="minorHAnsi"/>
          <w:sz w:val="22"/>
          <w:szCs w:val="22"/>
          <w:lang w:val="en-US"/>
        </w:rPr>
        <w:t>Sponsor</w:t>
      </w:r>
    </w:p>
    <w:p w14:paraId="28AC47AB" w14:textId="77777777" w:rsidR="00574FBB" w:rsidRPr="00B074CF" w:rsidRDefault="00574FBB" w:rsidP="00BE17AB">
      <w:pPr>
        <w:spacing w:after="0"/>
        <w:rPr>
          <w:rFonts w:cstheme="minorHAnsi"/>
        </w:rPr>
      </w:pPr>
      <w:proofErr w:type="spellStart"/>
      <w:r w:rsidRPr="00B074CF">
        <w:rPr>
          <w:rFonts w:cstheme="minorHAnsi"/>
        </w:rPr>
        <w:t>argenx</w:t>
      </w:r>
      <w:proofErr w:type="spellEnd"/>
      <w:r w:rsidRPr="00B074CF">
        <w:rPr>
          <w:rFonts w:cstheme="minorHAnsi"/>
        </w:rPr>
        <w:t xml:space="preserve"> Australia Pty Ltd</w:t>
      </w:r>
    </w:p>
    <w:p w14:paraId="74464389" w14:textId="77777777" w:rsidR="00574FBB" w:rsidRPr="00B074CF" w:rsidRDefault="00574FBB" w:rsidP="00BE17AB">
      <w:pPr>
        <w:spacing w:after="0"/>
        <w:rPr>
          <w:rFonts w:cstheme="minorHAnsi"/>
        </w:rPr>
      </w:pPr>
      <w:r w:rsidRPr="00B074CF">
        <w:rPr>
          <w:rFonts w:cstheme="minorHAnsi"/>
        </w:rPr>
        <w:t>Level 14, 2 Riverside Quay</w:t>
      </w:r>
    </w:p>
    <w:p w14:paraId="4699C57F" w14:textId="77777777" w:rsidR="00574FBB" w:rsidRPr="00B074CF" w:rsidRDefault="00574FBB" w:rsidP="00BE17AB">
      <w:pPr>
        <w:rPr>
          <w:rFonts w:cstheme="minorHAnsi"/>
        </w:rPr>
      </w:pPr>
      <w:r w:rsidRPr="00B074CF">
        <w:rPr>
          <w:rFonts w:cstheme="minorHAnsi"/>
        </w:rPr>
        <w:t>Southbank VIC 3006</w:t>
      </w:r>
    </w:p>
    <w:p w14:paraId="2187B06D" w14:textId="77777777" w:rsidR="00574FBB" w:rsidRDefault="00574FBB" w:rsidP="00BE17AB">
      <w:pPr>
        <w:pStyle w:val="Heading1"/>
        <w:keepNext w:val="0"/>
        <w:keepLines w:val="0"/>
        <w:spacing w:before="0" w:after="120"/>
        <w:rPr>
          <w:rFonts w:asciiTheme="minorHAnsi" w:hAnsiTheme="minorHAnsi" w:cstheme="minorHAnsi"/>
          <w:sz w:val="22"/>
          <w:szCs w:val="22"/>
          <w:lang w:val="en-US"/>
        </w:rPr>
      </w:pPr>
      <w:r w:rsidRPr="00B074CF">
        <w:rPr>
          <w:rFonts w:asciiTheme="minorHAnsi" w:hAnsiTheme="minorHAnsi" w:cstheme="minorHAnsi"/>
          <w:sz w:val="22"/>
          <w:szCs w:val="22"/>
          <w:lang w:val="en-US"/>
        </w:rPr>
        <w:t xml:space="preserve">Date of first approval  </w:t>
      </w:r>
    </w:p>
    <w:p w14:paraId="60D90DCA" w14:textId="253683B8" w:rsidR="00574FBB" w:rsidRPr="00574FBB" w:rsidRDefault="003909AC" w:rsidP="00BE17AB">
      <w:pPr>
        <w:rPr>
          <w:lang w:val="en-US"/>
        </w:rPr>
      </w:pPr>
      <w:r>
        <w:rPr>
          <w:lang w:val="en-US"/>
        </w:rPr>
        <w:t>24</w:t>
      </w:r>
      <w:r w:rsidR="00574FBB">
        <w:rPr>
          <w:lang w:val="en-US"/>
        </w:rPr>
        <w:t>/</w:t>
      </w:r>
      <w:r>
        <w:rPr>
          <w:lang w:val="en-US"/>
        </w:rPr>
        <w:t>02</w:t>
      </w:r>
      <w:r w:rsidR="00574FBB">
        <w:rPr>
          <w:lang w:val="en-US"/>
        </w:rPr>
        <w:t>/</w:t>
      </w:r>
      <w:r>
        <w:rPr>
          <w:lang w:val="en-US"/>
        </w:rPr>
        <w:t>2025</w:t>
      </w:r>
    </w:p>
    <w:p w14:paraId="6D880369" w14:textId="77777777" w:rsidR="00574FBB" w:rsidRDefault="00574FBB" w:rsidP="00BE17AB">
      <w:pPr>
        <w:pStyle w:val="Heading1"/>
        <w:keepNext w:val="0"/>
        <w:keepLines w:val="0"/>
        <w:spacing w:before="0" w:after="120"/>
        <w:rPr>
          <w:rFonts w:asciiTheme="minorHAnsi" w:hAnsiTheme="minorHAnsi" w:cstheme="minorHAnsi"/>
          <w:sz w:val="22"/>
          <w:szCs w:val="22"/>
          <w:lang w:val="en-US"/>
        </w:rPr>
      </w:pPr>
      <w:r w:rsidRPr="00B074CF">
        <w:rPr>
          <w:rFonts w:asciiTheme="minorHAnsi" w:hAnsiTheme="minorHAnsi" w:cstheme="minorHAnsi"/>
          <w:sz w:val="22"/>
          <w:szCs w:val="22"/>
          <w:lang w:val="en-US"/>
        </w:rPr>
        <w:t xml:space="preserve">Date of revision </w:t>
      </w:r>
    </w:p>
    <w:p w14:paraId="57A142BC" w14:textId="77777777" w:rsidR="00CC4F42" w:rsidRDefault="00CC4F42" w:rsidP="00BE17AB">
      <w:pPr>
        <w:pStyle w:val="p1"/>
        <w:rPr>
          <w:rFonts w:ascii="Aptos" w:hAnsi="Aptos"/>
          <w:sz w:val="22"/>
          <w:szCs w:val="22"/>
          <w:lang w:val="en-AU"/>
        </w:rPr>
      </w:pPr>
      <w:r>
        <w:rPr>
          <w:rFonts w:ascii="Aptos" w:hAnsi="Aptos"/>
          <w:sz w:val="22"/>
          <w:szCs w:val="22"/>
          <w:lang w:val="en-AU"/>
        </w:rPr>
        <w:t>DD/MM/YYYY</w:t>
      </w:r>
    </w:p>
    <w:p w14:paraId="4FFD8DFE" w14:textId="77777777" w:rsidR="00CC4F42" w:rsidRDefault="00CC4F42" w:rsidP="00BE17AB">
      <w:pPr>
        <w:pStyle w:val="p1"/>
        <w:rPr>
          <w:rFonts w:ascii="Aptos" w:hAnsi="Aptos"/>
          <w:sz w:val="22"/>
          <w:szCs w:val="22"/>
          <w:lang w:val="en-AU"/>
        </w:rPr>
      </w:pPr>
    </w:p>
    <w:p w14:paraId="15F7CDBB" w14:textId="77777777" w:rsidR="00574FBB" w:rsidRDefault="00574FBB" w:rsidP="00BE17AB">
      <w:pPr>
        <w:pStyle w:val="Heading2"/>
        <w:numPr>
          <w:ilvl w:val="0"/>
          <w:numId w:val="0"/>
        </w:numPr>
        <w:spacing w:before="0" w:after="120"/>
        <w:rPr>
          <w:rFonts w:asciiTheme="minorHAnsi" w:hAnsiTheme="minorHAnsi" w:cstheme="minorHAnsi"/>
          <w:sz w:val="22"/>
          <w:lang w:val="en-US"/>
        </w:rPr>
      </w:pPr>
      <w:r w:rsidRPr="00B074CF">
        <w:rPr>
          <w:rFonts w:asciiTheme="minorHAnsi" w:hAnsiTheme="minorHAnsi" w:cstheme="minorHAnsi"/>
          <w:sz w:val="22"/>
          <w:lang w:val="en-US"/>
        </w:rPr>
        <w:t>Summary table of changes</w:t>
      </w:r>
    </w:p>
    <w:tbl>
      <w:tblPr>
        <w:tblStyle w:val="TableGrid"/>
        <w:tblW w:w="0" w:type="auto"/>
        <w:tblLook w:val="04A0" w:firstRow="1" w:lastRow="0" w:firstColumn="1" w:lastColumn="0" w:noHBand="0" w:noVBand="1"/>
      </w:tblPr>
      <w:tblGrid>
        <w:gridCol w:w="1838"/>
        <w:gridCol w:w="7178"/>
      </w:tblGrid>
      <w:tr w:rsidR="00574FBB" w14:paraId="50A9C395" w14:textId="77777777" w:rsidTr="00574FBB">
        <w:tc>
          <w:tcPr>
            <w:tcW w:w="1838" w:type="dxa"/>
          </w:tcPr>
          <w:p w14:paraId="43A49E14" w14:textId="34A49361" w:rsidR="00574FBB" w:rsidRDefault="00574FBB" w:rsidP="00BE17AB">
            <w:pPr>
              <w:rPr>
                <w:lang w:val="en-US"/>
              </w:rPr>
            </w:pPr>
            <w:r>
              <w:rPr>
                <w:lang w:val="en-US"/>
              </w:rPr>
              <w:t>Section</w:t>
            </w:r>
          </w:p>
        </w:tc>
        <w:tc>
          <w:tcPr>
            <w:tcW w:w="7178" w:type="dxa"/>
          </w:tcPr>
          <w:p w14:paraId="1D513D4F" w14:textId="705969C5" w:rsidR="00574FBB" w:rsidRDefault="00574FBB" w:rsidP="00BE17AB">
            <w:pPr>
              <w:rPr>
                <w:lang w:val="en-US"/>
              </w:rPr>
            </w:pPr>
            <w:r>
              <w:rPr>
                <w:lang w:val="en-US"/>
              </w:rPr>
              <w:t>Summary of changes</w:t>
            </w:r>
          </w:p>
        </w:tc>
      </w:tr>
      <w:tr w:rsidR="00574FBB" w14:paraId="19D87FE3" w14:textId="77777777" w:rsidTr="00574FBB">
        <w:tc>
          <w:tcPr>
            <w:tcW w:w="1838" w:type="dxa"/>
          </w:tcPr>
          <w:p w14:paraId="1BC11AB3" w14:textId="77777777" w:rsidR="00574FBB" w:rsidRDefault="00574FBB" w:rsidP="00BE17AB">
            <w:pPr>
              <w:rPr>
                <w:lang w:val="en-US"/>
              </w:rPr>
            </w:pPr>
          </w:p>
        </w:tc>
        <w:tc>
          <w:tcPr>
            <w:tcW w:w="7178" w:type="dxa"/>
          </w:tcPr>
          <w:p w14:paraId="5A2A0A43" w14:textId="77777777" w:rsidR="00574FBB" w:rsidRDefault="00574FBB" w:rsidP="00BE17AB">
            <w:pPr>
              <w:rPr>
                <w:lang w:val="en-US"/>
              </w:rPr>
            </w:pPr>
          </w:p>
        </w:tc>
      </w:tr>
    </w:tbl>
    <w:p w14:paraId="77F17A50" w14:textId="136D220D" w:rsidR="00574FBB" w:rsidRPr="00574FBB" w:rsidRDefault="00574FBB" w:rsidP="00BE17AB">
      <w:pPr>
        <w:rPr>
          <w:lang w:val="en-US"/>
        </w:rPr>
      </w:pPr>
    </w:p>
    <w:sectPr w:rsidR="00574FBB" w:rsidRPr="00574FBB" w:rsidSect="00574FB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DC2E6" w14:textId="77777777" w:rsidR="003C4FCA" w:rsidRDefault="003C4FCA" w:rsidP="001A3992">
      <w:pPr>
        <w:spacing w:after="0" w:line="240" w:lineRule="auto"/>
      </w:pPr>
      <w:r>
        <w:separator/>
      </w:r>
    </w:p>
  </w:endnote>
  <w:endnote w:type="continuationSeparator" w:id="0">
    <w:p w14:paraId="56883839" w14:textId="77777777" w:rsidR="003C4FCA" w:rsidRDefault="003C4FCA"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0145" w14:textId="724C0E28" w:rsidR="00625B8C" w:rsidRDefault="00902DBD">
    <w:pPr>
      <w:pStyle w:val="Footer"/>
    </w:pPr>
    <w:r>
      <w:rPr>
        <w:noProof/>
      </w:rPr>
      <mc:AlternateContent>
        <mc:Choice Requires="wps">
          <w:drawing>
            <wp:anchor distT="0" distB="0" distL="0" distR="0" simplePos="0" relativeHeight="251662336" behindDoc="0" locked="0" layoutInCell="1" allowOverlap="1" wp14:anchorId="6AC81A20" wp14:editId="53123D91">
              <wp:simplePos x="635" y="635"/>
              <wp:positionH relativeFrom="page">
                <wp:align>center</wp:align>
              </wp:positionH>
              <wp:positionV relativeFrom="page">
                <wp:align>bottom</wp:align>
              </wp:positionV>
              <wp:extent cx="622300" cy="404495"/>
              <wp:effectExtent l="0" t="0" r="6350" b="0"/>
              <wp:wrapNone/>
              <wp:docPr id="19113984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EFC5BA1" w14:textId="32542CD8" w:rsidR="00902DBD" w:rsidRPr="00902DBD" w:rsidRDefault="00902DBD" w:rsidP="00902DBD">
                          <w:pPr>
                            <w:spacing w:after="0"/>
                            <w:rPr>
                              <w:rFonts w:ascii="Aptos" w:eastAsia="Aptos" w:hAnsi="Aptos" w:cs="Aptos"/>
                              <w:noProof/>
                              <w:color w:val="FF0000"/>
                              <w:sz w:val="24"/>
                              <w:szCs w:val="24"/>
                            </w:rPr>
                          </w:pPr>
                          <w:r w:rsidRPr="00902DB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C81A20" id="_x0000_t202" coordsize="21600,21600" o:spt="202" path="m,l,21600r21600,l21600,xe">
              <v:stroke joinstyle="miter"/>
              <v:path gradientshapeok="t" o:connecttype="rect"/>
            </v:shapetype>
            <v:shape id="Text Box 5" o:spid="_x0000_s1027"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7EFC5BA1" w14:textId="32542CD8" w:rsidR="00902DBD" w:rsidRPr="00902DBD" w:rsidRDefault="00902DBD" w:rsidP="00902DBD">
                    <w:pPr>
                      <w:spacing w:after="0"/>
                      <w:rPr>
                        <w:rFonts w:ascii="Aptos" w:eastAsia="Aptos" w:hAnsi="Aptos" w:cs="Aptos"/>
                        <w:noProof/>
                        <w:color w:val="FF0000"/>
                        <w:sz w:val="24"/>
                        <w:szCs w:val="24"/>
                      </w:rPr>
                    </w:pPr>
                    <w:r w:rsidRPr="00902DB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1623"/>
      <w:gridCol w:w="3007"/>
    </w:tblGrid>
    <w:tr w:rsidR="00A772E9" w14:paraId="048EE6B6" w14:textId="77777777" w:rsidTr="006A4C10">
      <w:tc>
        <w:tcPr>
          <w:tcW w:w="2435" w:type="pct"/>
        </w:tcPr>
        <w:p w14:paraId="69FBDEEF" w14:textId="0690BDC2" w:rsidR="00A772E9" w:rsidRPr="002D6E87" w:rsidRDefault="00A23CD3" w:rsidP="006A4C10">
          <w:pPr>
            <w:rPr>
              <w:lang w:val="de-DE"/>
            </w:rPr>
          </w:pPr>
          <w:r w:rsidRPr="002D6E87">
            <w:rPr>
              <w:lang w:val="de-DE"/>
            </w:rPr>
            <w:t xml:space="preserve">VYVGART </w:t>
          </w:r>
          <w:r w:rsidR="00FC5384" w:rsidRPr="002D6E87">
            <w:rPr>
              <w:lang w:val="de-DE"/>
            </w:rPr>
            <w:t>IV</w:t>
          </w:r>
          <w:r w:rsidRPr="002D6E87">
            <w:rPr>
              <w:lang w:val="de-DE"/>
            </w:rPr>
            <w:t xml:space="preserve"> PI V1</w:t>
          </w:r>
          <w:r w:rsidR="00FC5384" w:rsidRPr="002D6E87">
            <w:rPr>
              <w:lang w:val="de-DE"/>
            </w:rPr>
            <w:t>_</w:t>
          </w:r>
          <w:r w:rsidR="00625B8C">
            <w:rPr>
              <w:lang w:val="de-DE"/>
            </w:rPr>
            <w:t>24 February</w:t>
          </w:r>
          <w:r w:rsidR="002D6E87">
            <w:rPr>
              <w:lang w:val="de-DE"/>
            </w:rPr>
            <w:t xml:space="preserve"> 2025</w:t>
          </w:r>
        </w:p>
      </w:tc>
      <w:tc>
        <w:tcPr>
          <w:tcW w:w="899" w:type="pct"/>
        </w:tcPr>
        <w:p w14:paraId="7EA47586" w14:textId="77777777" w:rsidR="00A772E9" w:rsidRPr="002D6E87" w:rsidRDefault="00A772E9" w:rsidP="00FC5384">
          <w:pPr>
            <w:rPr>
              <w:lang w:val="de-DE"/>
            </w:rPr>
          </w:pPr>
        </w:p>
      </w:tc>
      <w:tc>
        <w:tcPr>
          <w:tcW w:w="1667" w:type="pct"/>
        </w:tcPr>
        <w:p w14:paraId="063D9BCE" w14:textId="77777777" w:rsidR="00A772E9" w:rsidRDefault="00A772E9" w:rsidP="00FC5384">
          <w:pPr>
            <w:jc w:val="right"/>
          </w:pPr>
          <w:r>
            <w:t xml:space="preserve">Page </w:t>
          </w:r>
          <w:r>
            <w:rPr>
              <w:b/>
              <w:bCs/>
            </w:rPr>
            <w:fldChar w:fldCharType="begin"/>
          </w:r>
          <w:r>
            <w:rPr>
              <w:b/>
              <w:bCs/>
            </w:rPr>
            <w:instrText xml:space="preserve"> PAGE  \* Arabic  \* MERGEFORMAT </w:instrText>
          </w:r>
          <w:r>
            <w:rPr>
              <w:b/>
              <w:bCs/>
            </w:rPr>
            <w:fldChar w:fldCharType="separate"/>
          </w:r>
          <w:r w:rsidR="006A4C10">
            <w:rPr>
              <w:b/>
              <w:bCs/>
              <w:noProof/>
            </w:rPr>
            <w:t>14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A4C10">
            <w:rPr>
              <w:b/>
              <w:bCs/>
              <w:noProof/>
            </w:rPr>
            <w:t>14</w:t>
          </w:r>
          <w:r>
            <w:rPr>
              <w:b/>
              <w:bCs/>
            </w:rPr>
            <w:fldChar w:fldCharType="end"/>
          </w:r>
        </w:p>
      </w:tc>
    </w:tr>
  </w:tbl>
  <w:p w14:paraId="7935826B" w14:textId="77777777" w:rsidR="00A772E9" w:rsidRPr="00675A74" w:rsidRDefault="00A772E9" w:rsidP="00675A7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28B1" w14:textId="1A32F079" w:rsidR="00625B8C" w:rsidRDefault="00902DBD">
    <w:pPr>
      <w:pStyle w:val="Footer"/>
    </w:pPr>
    <w:r>
      <w:rPr>
        <w:noProof/>
      </w:rPr>
      <mc:AlternateContent>
        <mc:Choice Requires="wps">
          <w:drawing>
            <wp:anchor distT="0" distB="0" distL="0" distR="0" simplePos="0" relativeHeight="251661312" behindDoc="0" locked="0" layoutInCell="1" allowOverlap="1" wp14:anchorId="2F400536" wp14:editId="205BD759">
              <wp:simplePos x="635" y="635"/>
              <wp:positionH relativeFrom="page">
                <wp:align>center</wp:align>
              </wp:positionH>
              <wp:positionV relativeFrom="page">
                <wp:align>bottom</wp:align>
              </wp:positionV>
              <wp:extent cx="622300" cy="404495"/>
              <wp:effectExtent l="0" t="0" r="6350" b="0"/>
              <wp:wrapNone/>
              <wp:docPr id="181750330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B441E28" w14:textId="2F45E137" w:rsidR="00902DBD" w:rsidRPr="00902DBD" w:rsidRDefault="00902DBD" w:rsidP="00902DBD">
                          <w:pPr>
                            <w:spacing w:after="0"/>
                            <w:rPr>
                              <w:rFonts w:ascii="Aptos" w:eastAsia="Aptos" w:hAnsi="Aptos" w:cs="Aptos"/>
                              <w:noProof/>
                              <w:color w:val="FF0000"/>
                              <w:sz w:val="24"/>
                              <w:szCs w:val="24"/>
                            </w:rPr>
                          </w:pPr>
                          <w:r w:rsidRPr="00902DB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400536" id="_x0000_t202" coordsize="21600,21600" o:spt="202" path="m,l,21600r21600,l21600,xe">
              <v:stroke joinstyle="miter"/>
              <v:path gradientshapeok="t" o:connecttype="rect"/>
            </v:shapetype>
            <v:shape id="Text Box 4" o:spid="_x0000_s1029"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6B441E28" w14:textId="2F45E137" w:rsidR="00902DBD" w:rsidRPr="00902DBD" w:rsidRDefault="00902DBD" w:rsidP="00902DBD">
                    <w:pPr>
                      <w:spacing w:after="0"/>
                      <w:rPr>
                        <w:rFonts w:ascii="Aptos" w:eastAsia="Aptos" w:hAnsi="Aptos" w:cs="Aptos"/>
                        <w:noProof/>
                        <w:color w:val="FF0000"/>
                        <w:sz w:val="24"/>
                        <w:szCs w:val="24"/>
                      </w:rPr>
                    </w:pPr>
                    <w:r w:rsidRPr="00902DB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4F18F" w14:textId="77777777" w:rsidR="003C4FCA" w:rsidRDefault="003C4FCA" w:rsidP="001A3992">
      <w:pPr>
        <w:spacing w:after="0" w:line="240" w:lineRule="auto"/>
      </w:pPr>
      <w:r>
        <w:separator/>
      </w:r>
    </w:p>
  </w:footnote>
  <w:footnote w:type="continuationSeparator" w:id="0">
    <w:p w14:paraId="40984FE0" w14:textId="77777777" w:rsidR="003C4FCA" w:rsidRDefault="003C4FCA"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3996" w14:textId="771C7376" w:rsidR="00625B8C" w:rsidRDefault="00902DBD">
    <w:pPr>
      <w:pStyle w:val="Header"/>
    </w:pPr>
    <w:r>
      <w:rPr>
        <w:noProof/>
      </w:rPr>
      <mc:AlternateContent>
        <mc:Choice Requires="wps">
          <w:drawing>
            <wp:anchor distT="0" distB="0" distL="0" distR="0" simplePos="0" relativeHeight="251659264" behindDoc="0" locked="0" layoutInCell="1" allowOverlap="1" wp14:anchorId="19866C55" wp14:editId="2B5567E6">
              <wp:simplePos x="635" y="635"/>
              <wp:positionH relativeFrom="page">
                <wp:align>center</wp:align>
              </wp:positionH>
              <wp:positionV relativeFrom="page">
                <wp:align>top</wp:align>
              </wp:positionV>
              <wp:extent cx="622300" cy="404495"/>
              <wp:effectExtent l="0" t="0" r="6350" b="14605"/>
              <wp:wrapNone/>
              <wp:docPr id="1915893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C67497B" w14:textId="317AE3A1" w:rsidR="00902DBD" w:rsidRPr="00902DBD" w:rsidRDefault="00902DBD" w:rsidP="00902DBD">
                          <w:pPr>
                            <w:spacing w:after="0"/>
                            <w:rPr>
                              <w:rFonts w:ascii="Aptos" w:eastAsia="Aptos" w:hAnsi="Aptos" w:cs="Aptos"/>
                              <w:noProof/>
                              <w:color w:val="FF0000"/>
                              <w:sz w:val="24"/>
                              <w:szCs w:val="24"/>
                            </w:rPr>
                          </w:pPr>
                          <w:r w:rsidRPr="00902DB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866C55"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4C67497B" w14:textId="317AE3A1" w:rsidR="00902DBD" w:rsidRPr="00902DBD" w:rsidRDefault="00902DBD" w:rsidP="00902DBD">
                    <w:pPr>
                      <w:spacing w:after="0"/>
                      <w:rPr>
                        <w:rFonts w:ascii="Aptos" w:eastAsia="Aptos" w:hAnsi="Aptos" w:cs="Aptos"/>
                        <w:noProof/>
                        <w:color w:val="FF0000"/>
                        <w:sz w:val="24"/>
                        <w:szCs w:val="24"/>
                      </w:rPr>
                    </w:pPr>
                    <w:r w:rsidRPr="00902DB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shd w:val="clear" w:color="auto" w:fill="E4F2E0"/>
      <w:tblLook w:val="04A0" w:firstRow="1" w:lastRow="0" w:firstColumn="1" w:lastColumn="0" w:noHBand="0" w:noVBand="1"/>
    </w:tblPr>
    <w:tblGrid>
      <w:gridCol w:w="9016"/>
    </w:tblGrid>
    <w:tr w:rsidR="00BE17AB" w:rsidRPr="000B2145" w14:paraId="04D17432" w14:textId="77777777" w:rsidTr="00BE17AB">
      <w:trPr>
        <w:trHeight w:val="841"/>
      </w:trPr>
      <w:tc>
        <w:tcPr>
          <w:tcW w:w="9180" w:type="dxa"/>
          <w:shd w:val="clear" w:color="auto" w:fill="E4F2E0"/>
        </w:tcPr>
        <w:p w14:paraId="54E5894F" w14:textId="77777777" w:rsidR="00BE17AB" w:rsidRPr="00BE17AB" w:rsidRDefault="00BE17AB" w:rsidP="00BE17AB">
          <w:pPr>
            <w:pStyle w:val="Footer"/>
            <w:rPr>
              <w:b/>
              <w:sz w:val="16"/>
              <w:szCs w:val="16"/>
            </w:rPr>
          </w:pPr>
          <w:bookmarkStart w:id="0" w:name="_Hlk109054010"/>
          <w:r w:rsidRPr="00BE17AB">
            <w:rPr>
              <w:b/>
              <w:bCs/>
              <w:sz w:val="16"/>
              <w:szCs w:val="16"/>
            </w:rPr>
            <w:t>AusPAR Vyvgart (efgartigimod alfa) Argenx Australia PM-2024-01111-1-1 Finalised 18 March 2026</w:t>
          </w:r>
          <w:r w:rsidRPr="00BE17AB">
            <w:rPr>
              <w:sz w:val="16"/>
              <w:szCs w:val="16"/>
            </w:rPr>
            <w:t>.</w:t>
          </w:r>
          <w:r w:rsidRPr="00BE17AB">
            <w:rPr>
              <w:b/>
              <w:bCs/>
              <w:sz w:val="16"/>
              <w:szCs w:val="16"/>
            </w:rPr>
            <w:t xml:space="preserve"> </w:t>
          </w:r>
          <w:r w:rsidRPr="00BE17AB">
            <w:rPr>
              <w:b/>
              <w:sz w:val="16"/>
              <w:szCs w:val="16"/>
            </w:rPr>
            <w:t>This is the Product Information that was approved with the submission described in this AusPAR. It may have been superseded. For the most recent PI, please refer to the TGA website at &lt;</w:t>
          </w:r>
          <w:r w:rsidRPr="00BE17AB">
            <w:rPr>
              <w:sz w:val="16"/>
              <w:szCs w:val="16"/>
            </w:rPr>
            <w:t xml:space="preserve"> </w:t>
          </w:r>
          <w:hyperlink r:id="rId1" w:history="1">
            <w:r w:rsidRPr="00BE17AB">
              <w:rPr>
                <w:rStyle w:val="Hyperlink"/>
                <w:sz w:val="16"/>
                <w:szCs w:val="16"/>
              </w:rPr>
              <w:t>https://www.tga.gov.au/products/australian-register-therapeutic-goods-artg/product-information-pi</w:t>
            </w:r>
          </w:hyperlink>
          <w:r w:rsidRPr="00BE17AB">
            <w:rPr>
              <w:b/>
              <w:sz w:val="16"/>
              <w:szCs w:val="16"/>
              <w:u w:val="single"/>
            </w:rPr>
            <w:t>&gt;</w:t>
          </w:r>
        </w:p>
      </w:tc>
    </w:tr>
    <w:bookmarkEnd w:id="0"/>
  </w:tbl>
  <w:p w14:paraId="69E089FA" w14:textId="1150B1E5" w:rsidR="00625B8C" w:rsidRPr="00BE17AB" w:rsidRDefault="00625B8C">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5BC6" w14:textId="24CC4A65" w:rsidR="00625B8C" w:rsidRDefault="00902DBD">
    <w:pPr>
      <w:pStyle w:val="Header"/>
    </w:pPr>
    <w:r>
      <w:rPr>
        <w:noProof/>
      </w:rPr>
      <mc:AlternateContent>
        <mc:Choice Requires="wps">
          <w:drawing>
            <wp:anchor distT="0" distB="0" distL="0" distR="0" simplePos="0" relativeHeight="251658240" behindDoc="0" locked="0" layoutInCell="1" allowOverlap="1" wp14:anchorId="4C4ED11E" wp14:editId="76108385">
              <wp:simplePos x="635" y="635"/>
              <wp:positionH relativeFrom="page">
                <wp:align>center</wp:align>
              </wp:positionH>
              <wp:positionV relativeFrom="page">
                <wp:align>top</wp:align>
              </wp:positionV>
              <wp:extent cx="622300" cy="404495"/>
              <wp:effectExtent l="0" t="0" r="6350" b="14605"/>
              <wp:wrapNone/>
              <wp:docPr id="8717731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D4DBFF5" w14:textId="5ACA1CAD" w:rsidR="00902DBD" w:rsidRPr="00902DBD" w:rsidRDefault="00902DBD" w:rsidP="00902DBD">
                          <w:pPr>
                            <w:spacing w:after="0"/>
                            <w:rPr>
                              <w:rFonts w:ascii="Aptos" w:eastAsia="Aptos" w:hAnsi="Aptos" w:cs="Aptos"/>
                              <w:noProof/>
                              <w:color w:val="FF0000"/>
                              <w:sz w:val="24"/>
                              <w:szCs w:val="24"/>
                            </w:rPr>
                          </w:pPr>
                          <w:r w:rsidRPr="00902DB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4ED11E" id="_x0000_t202" coordsize="21600,21600" o:spt="202" path="m,l,21600r21600,l21600,xe">
              <v:stroke joinstyle="miter"/>
              <v:path gradientshapeok="t" o:connecttype="rect"/>
            </v:shapetype>
            <v:shape id="Text Box 1" o:spid="_x0000_s1028"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6D4DBFF5" w14:textId="5ACA1CAD" w:rsidR="00902DBD" w:rsidRPr="00902DBD" w:rsidRDefault="00902DBD" w:rsidP="00902DBD">
                    <w:pPr>
                      <w:spacing w:after="0"/>
                      <w:rPr>
                        <w:rFonts w:ascii="Aptos" w:eastAsia="Aptos" w:hAnsi="Aptos" w:cs="Aptos"/>
                        <w:noProof/>
                        <w:color w:val="FF0000"/>
                        <w:sz w:val="24"/>
                        <w:szCs w:val="24"/>
                      </w:rPr>
                    </w:pPr>
                    <w:r w:rsidRPr="00902DB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91374"/>
    <w:multiLevelType w:val="hybridMultilevel"/>
    <w:tmpl w:val="90FA2C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D736A6"/>
    <w:multiLevelType w:val="hybridMultilevel"/>
    <w:tmpl w:val="9592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A41ED"/>
    <w:multiLevelType w:val="hybridMultilevel"/>
    <w:tmpl w:val="E250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662A2B"/>
    <w:multiLevelType w:val="hybridMultilevel"/>
    <w:tmpl w:val="E43EDA70"/>
    <w:lvl w:ilvl="0" w:tplc="FC90E694">
      <w:start w:val="1"/>
      <w:numFmt w:val="bullet"/>
      <w:lvlText w:val="-"/>
      <w:lvlJc w:val="left"/>
      <w:pPr>
        <w:ind w:left="1287" w:hanging="360"/>
      </w:pPr>
      <w:rPr>
        <w:rFonts w:ascii="Arial" w:hAnsi="Arial" w:hint="default"/>
      </w:rPr>
    </w:lvl>
    <w:lvl w:ilvl="1" w:tplc="A3F0BE6C">
      <w:numFmt w:val="bullet"/>
      <w:lvlText w:val="•"/>
      <w:lvlJc w:val="left"/>
      <w:pPr>
        <w:ind w:left="2007" w:hanging="360"/>
      </w:pPr>
      <w:rPr>
        <w:rFonts w:ascii="Times New Roman" w:eastAsia="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573130BA"/>
    <w:multiLevelType w:val="hybridMultilevel"/>
    <w:tmpl w:val="3B52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325D73"/>
    <w:multiLevelType w:val="hybridMultilevel"/>
    <w:tmpl w:val="AA760FC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8A653C"/>
    <w:multiLevelType w:val="hybridMultilevel"/>
    <w:tmpl w:val="CF1AA9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6000001">
    <w:abstractNumId w:val="13"/>
  </w:num>
  <w:num w:numId="2" w16cid:durableId="781653471">
    <w:abstractNumId w:val="2"/>
  </w:num>
  <w:num w:numId="3" w16cid:durableId="1993560757">
    <w:abstractNumId w:val="0"/>
  </w:num>
  <w:num w:numId="4" w16cid:durableId="118842950">
    <w:abstractNumId w:val="8"/>
  </w:num>
  <w:num w:numId="5" w16cid:durableId="250894874">
    <w:abstractNumId w:val="16"/>
  </w:num>
  <w:num w:numId="6" w16cid:durableId="1161048367">
    <w:abstractNumId w:val="14"/>
  </w:num>
  <w:num w:numId="7" w16cid:durableId="1177498623">
    <w:abstractNumId w:val="11"/>
  </w:num>
  <w:num w:numId="8" w16cid:durableId="356547066">
    <w:abstractNumId w:val="15"/>
  </w:num>
  <w:num w:numId="9" w16cid:durableId="1772505643">
    <w:abstractNumId w:val="5"/>
  </w:num>
  <w:num w:numId="10" w16cid:durableId="1162434310">
    <w:abstractNumId w:val="10"/>
  </w:num>
  <w:num w:numId="11" w16cid:durableId="1323049033">
    <w:abstractNumId w:val="12"/>
  </w:num>
  <w:num w:numId="12" w16cid:durableId="1064916549">
    <w:abstractNumId w:val="1"/>
  </w:num>
  <w:num w:numId="13" w16cid:durableId="1473255727">
    <w:abstractNumId w:val="4"/>
  </w:num>
  <w:num w:numId="14" w16cid:durableId="1947931554">
    <w:abstractNumId w:val="7"/>
  </w:num>
  <w:num w:numId="15" w16cid:durableId="2017002673">
    <w:abstractNumId w:val="6"/>
  </w:num>
  <w:num w:numId="16" w16cid:durableId="1020665105">
    <w:abstractNumId w:val="3"/>
  </w:num>
  <w:num w:numId="17" w16cid:durableId="454982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F91"/>
    <w:rsid w:val="00006E66"/>
    <w:rsid w:val="0002398D"/>
    <w:rsid w:val="00040177"/>
    <w:rsid w:val="0004381B"/>
    <w:rsid w:val="00060E84"/>
    <w:rsid w:val="00065AEB"/>
    <w:rsid w:val="00066383"/>
    <w:rsid w:val="000A0A07"/>
    <w:rsid w:val="000A5481"/>
    <w:rsid w:val="000C50C1"/>
    <w:rsid w:val="000F46B5"/>
    <w:rsid w:val="000F6F34"/>
    <w:rsid w:val="00115F01"/>
    <w:rsid w:val="00152A33"/>
    <w:rsid w:val="00153945"/>
    <w:rsid w:val="00162763"/>
    <w:rsid w:val="00180900"/>
    <w:rsid w:val="001A08DD"/>
    <w:rsid w:val="001A3992"/>
    <w:rsid w:val="001A3DD7"/>
    <w:rsid w:val="001C0DDD"/>
    <w:rsid w:val="001C4793"/>
    <w:rsid w:val="00216750"/>
    <w:rsid w:val="002436D0"/>
    <w:rsid w:val="00273650"/>
    <w:rsid w:val="00283142"/>
    <w:rsid w:val="00285227"/>
    <w:rsid w:val="002A1536"/>
    <w:rsid w:val="002A6432"/>
    <w:rsid w:val="002A7827"/>
    <w:rsid w:val="002B424E"/>
    <w:rsid w:val="002B4C10"/>
    <w:rsid w:val="002C0869"/>
    <w:rsid w:val="002C1EB6"/>
    <w:rsid w:val="002C6B5A"/>
    <w:rsid w:val="002D6E87"/>
    <w:rsid w:val="002E277D"/>
    <w:rsid w:val="002E5A48"/>
    <w:rsid w:val="00305AF8"/>
    <w:rsid w:val="003210E5"/>
    <w:rsid w:val="003229E1"/>
    <w:rsid w:val="00326C0A"/>
    <w:rsid w:val="003355C3"/>
    <w:rsid w:val="00381A01"/>
    <w:rsid w:val="00382EB0"/>
    <w:rsid w:val="003909AC"/>
    <w:rsid w:val="003A5B1A"/>
    <w:rsid w:val="003C144F"/>
    <w:rsid w:val="003C4FCA"/>
    <w:rsid w:val="003D76C6"/>
    <w:rsid w:val="003E6B7F"/>
    <w:rsid w:val="003E6D8D"/>
    <w:rsid w:val="003E7527"/>
    <w:rsid w:val="003E7E3E"/>
    <w:rsid w:val="003F63FB"/>
    <w:rsid w:val="004032BD"/>
    <w:rsid w:val="0041716A"/>
    <w:rsid w:val="0042495B"/>
    <w:rsid w:val="00431ACD"/>
    <w:rsid w:val="004365C3"/>
    <w:rsid w:val="0045284C"/>
    <w:rsid w:val="00491F6B"/>
    <w:rsid w:val="00497C85"/>
    <w:rsid w:val="00497CCD"/>
    <w:rsid w:val="00497DEE"/>
    <w:rsid w:val="004A2671"/>
    <w:rsid w:val="004C6C0B"/>
    <w:rsid w:val="004E532F"/>
    <w:rsid w:val="005014E0"/>
    <w:rsid w:val="00512BA0"/>
    <w:rsid w:val="00535571"/>
    <w:rsid w:val="005622CF"/>
    <w:rsid w:val="00564C80"/>
    <w:rsid w:val="00565104"/>
    <w:rsid w:val="00566C3D"/>
    <w:rsid w:val="00574FBB"/>
    <w:rsid w:val="005918BD"/>
    <w:rsid w:val="0059599A"/>
    <w:rsid w:val="005B14FC"/>
    <w:rsid w:val="005D6A31"/>
    <w:rsid w:val="005E73BA"/>
    <w:rsid w:val="005E7E9F"/>
    <w:rsid w:val="006071F0"/>
    <w:rsid w:val="006075A9"/>
    <w:rsid w:val="00625B8C"/>
    <w:rsid w:val="00630CD9"/>
    <w:rsid w:val="006745F1"/>
    <w:rsid w:val="00675A74"/>
    <w:rsid w:val="00677840"/>
    <w:rsid w:val="00680760"/>
    <w:rsid w:val="00690424"/>
    <w:rsid w:val="006964B4"/>
    <w:rsid w:val="006A4C10"/>
    <w:rsid w:val="006B7732"/>
    <w:rsid w:val="006C2FFF"/>
    <w:rsid w:val="006D0109"/>
    <w:rsid w:val="006F3B92"/>
    <w:rsid w:val="006F628A"/>
    <w:rsid w:val="00713F91"/>
    <w:rsid w:val="007344A7"/>
    <w:rsid w:val="00744803"/>
    <w:rsid w:val="007568D7"/>
    <w:rsid w:val="00757614"/>
    <w:rsid w:val="00794FA4"/>
    <w:rsid w:val="007B0D95"/>
    <w:rsid w:val="007E693C"/>
    <w:rsid w:val="007F1F4A"/>
    <w:rsid w:val="008073E9"/>
    <w:rsid w:val="00807C52"/>
    <w:rsid w:val="00883ACD"/>
    <w:rsid w:val="008A2D55"/>
    <w:rsid w:val="008B12EF"/>
    <w:rsid w:val="008B239A"/>
    <w:rsid w:val="008B6145"/>
    <w:rsid w:val="008F687A"/>
    <w:rsid w:val="008F74CB"/>
    <w:rsid w:val="00901AA4"/>
    <w:rsid w:val="00902DBD"/>
    <w:rsid w:val="009218AC"/>
    <w:rsid w:val="00933982"/>
    <w:rsid w:val="0093601A"/>
    <w:rsid w:val="00950E3F"/>
    <w:rsid w:val="00957D0A"/>
    <w:rsid w:val="00960CD5"/>
    <w:rsid w:val="0097279E"/>
    <w:rsid w:val="009C2D44"/>
    <w:rsid w:val="009D1F8D"/>
    <w:rsid w:val="00A23CD3"/>
    <w:rsid w:val="00A240A3"/>
    <w:rsid w:val="00A30D5B"/>
    <w:rsid w:val="00A74F88"/>
    <w:rsid w:val="00A7657B"/>
    <w:rsid w:val="00A772E9"/>
    <w:rsid w:val="00A925FD"/>
    <w:rsid w:val="00AA4599"/>
    <w:rsid w:val="00AC4183"/>
    <w:rsid w:val="00AC7B20"/>
    <w:rsid w:val="00AD1092"/>
    <w:rsid w:val="00AF50E8"/>
    <w:rsid w:val="00B074CF"/>
    <w:rsid w:val="00B110DD"/>
    <w:rsid w:val="00B37099"/>
    <w:rsid w:val="00B518C4"/>
    <w:rsid w:val="00B5483E"/>
    <w:rsid w:val="00BB65E2"/>
    <w:rsid w:val="00BD5847"/>
    <w:rsid w:val="00BE17AB"/>
    <w:rsid w:val="00BF2345"/>
    <w:rsid w:val="00BF3C58"/>
    <w:rsid w:val="00BF5A9C"/>
    <w:rsid w:val="00C060A6"/>
    <w:rsid w:val="00C117FE"/>
    <w:rsid w:val="00C1253C"/>
    <w:rsid w:val="00C25095"/>
    <w:rsid w:val="00C33A6E"/>
    <w:rsid w:val="00C341C4"/>
    <w:rsid w:val="00C379C8"/>
    <w:rsid w:val="00C70B36"/>
    <w:rsid w:val="00C7103E"/>
    <w:rsid w:val="00C81880"/>
    <w:rsid w:val="00C84150"/>
    <w:rsid w:val="00CA6CCF"/>
    <w:rsid w:val="00CA79EC"/>
    <w:rsid w:val="00CC4F42"/>
    <w:rsid w:val="00CE37EA"/>
    <w:rsid w:val="00CE7722"/>
    <w:rsid w:val="00CF2CD9"/>
    <w:rsid w:val="00CF54DB"/>
    <w:rsid w:val="00CF792F"/>
    <w:rsid w:val="00D025CA"/>
    <w:rsid w:val="00D26A15"/>
    <w:rsid w:val="00D2738E"/>
    <w:rsid w:val="00D33425"/>
    <w:rsid w:val="00D44BA0"/>
    <w:rsid w:val="00D55396"/>
    <w:rsid w:val="00D631C8"/>
    <w:rsid w:val="00D6382F"/>
    <w:rsid w:val="00D80A72"/>
    <w:rsid w:val="00D8577E"/>
    <w:rsid w:val="00D97809"/>
    <w:rsid w:val="00DA071D"/>
    <w:rsid w:val="00DA3E29"/>
    <w:rsid w:val="00DA5EDA"/>
    <w:rsid w:val="00DC7C5B"/>
    <w:rsid w:val="00DD0E93"/>
    <w:rsid w:val="00DF1FD7"/>
    <w:rsid w:val="00DF5E99"/>
    <w:rsid w:val="00E107E7"/>
    <w:rsid w:val="00E107FE"/>
    <w:rsid w:val="00E1279B"/>
    <w:rsid w:val="00E135D7"/>
    <w:rsid w:val="00E23FB7"/>
    <w:rsid w:val="00E25635"/>
    <w:rsid w:val="00E2796A"/>
    <w:rsid w:val="00E362C5"/>
    <w:rsid w:val="00E51978"/>
    <w:rsid w:val="00E52D9A"/>
    <w:rsid w:val="00E54CC3"/>
    <w:rsid w:val="00E74A56"/>
    <w:rsid w:val="00E84CA6"/>
    <w:rsid w:val="00EA47D3"/>
    <w:rsid w:val="00EB7DEE"/>
    <w:rsid w:val="00ED0937"/>
    <w:rsid w:val="00F04696"/>
    <w:rsid w:val="00F143A0"/>
    <w:rsid w:val="00F149CA"/>
    <w:rsid w:val="00F2100E"/>
    <w:rsid w:val="00F5680C"/>
    <w:rsid w:val="00F66875"/>
    <w:rsid w:val="00F7185C"/>
    <w:rsid w:val="00F741B9"/>
    <w:rsid w:val="00F8460C"/>
    <w:rsid w:val="00FA3D4F"/>
    <w:rsid w:val="00FB663F"/>
    <w:rsid w:val="00FC5384"/>
    <w:rsid w:val="00FD11BA"/>
    <w:rsid w:val="00FD2936"/>
    <w:rsid w:val="00FD370C"/>
    <w:rsid w:val="00FE1D18"/>
    <w:rsid w:val="00FE5E72"/>
    <w:rsid w:val="00FF4A26"/>
    <w:rsid w:val="00FF4D01"/>
    <w:rsid w:val="1B79F44A"/>
    <w:rsid w:val="25FF7C52"/>
    <w:rsid w:val="3982E998"/>
    <w:rsid w:val="3AA0A760"/>
    <w:rsid w:val="6BC70719"/>
    <w:rsid w:val="777C09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28739"/>
  <w15:docId w15:val="{B4033189-9BD9-4B9C-A3D1-E82DB4F7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9C8"/>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table" w:styleId="TableGrid">
    <w:name w:val="Table Grid"/>
    <w:basedOn w:val="TableNormal"/>
    <w:uiPriority w:val="59"/>
    <w:unhideWhenUsed/>
    <w:rsid w:val="00675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C6B5A"/>
    <w:rPr>
      <w:b/>
      <w:bCs/>
    </w:rPr>
  </w:style>
  <w:style w:type="paragraph" w:customStyle="1" w:styleId="EMEAEnBodyText">
    <w:name w:val="EMEA En Body Text"/>
    <w:basedOn w:val="Normal"/>
    <w:rsid w:val="00E107E7"/>
    <w:pPr>
      <w:spacing w:before="120" w:after="120" w:line="240" w:lineRule="auto"/>
      <w:jc w:val="both"/>
    </w:pPr>
    <w:rPr>
      <w:rFonts w:ascii="Times New Roman" w:eastAsia="Times New Roman" w:hAnsi="Times New Roman" w:cs="Times New Roman"/>
      <w:szCs w:val="20"/>
      <w:lang w:val="en-US"/>
    </w:rPr>
  </w:style>
  <w:style w:type="paragraph" w:customStyle="1" w:styleId="BodytextAgency">
    <w:name w:val="Body text (Agency)"/>
    <w:basedOn w:val="Normal"/>
    <w:link w:val="BodytextAgencyChar"/>
    <w:qFormat/>
    <w:rsid w:val="00FF4A26"/>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sid w:val="00FF4A26"/>
    <w:rPr>
      <w:rFonts w:ascii="Verdana" w:eastAsia="Verdana" w:hAnsi="Verdana" w:cs="Verdana"/>
      <w:sz w:val="18"/>
      <w:szCs w:val="18"/>
      <w:lang w:val="en-GB" w:eastAsia="en-GB"/>
    </w:rPr>
  </w:style>
  <w:style w:type="table" w:customStyle="1" w:styleId="TableGrid1">
    <w:name w:val="Table Grid1"/>
    <w:basedOn w:val="TableNormal"/>
    <w:next w:val="TableGrid"/>
    <w:rsid w:val="009C2D44"/>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65104"/>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A23CD3"/>
    <w:rPr>
      <w:color w:val="605E5C"/>
      <w:shd w:val="clear" w:color="auto" w:fill="E1DFDD"/>
    </w:rPr>
  </w:style>
  <w:style w:type="paragraph" w:styleId="Revision">
    <w:name w:val="Revision"/>
    <w:hidden/>
    <w:uiPriority w:val="99"/>
    <w:semiHidden/>
    <w:rsid w:val="00A23CD3"/>
    <w:pPr>
      <w:spacing w:after="0" w:line="240" w:lineRule="auto"/>
    </w:pPr>
  </w:style>
  <w:style w:type="paragraph" w:styleId="CommentSubject">
    <w:name w:val="annotation subject"/>
    <w:basedOn w:val="CommentText"/>
    <w:next w:val="CommentText"/>
    <w:link w:val="CommentSubjectChar"/>
    <w:uiPriority w:val="99"/>
    <w:semiHidden/>
    <w:unhideWhenUsed/>
    <w:rsid w:val="002E5A48"/>
    <w:rPr>
      <w:rFonts w:asciiTheme="minorHAnsi" w:hAnsiTheme="minorHAnsi"/>
      <w:b/>
      <w:bCs/>
    </w:rPr>
  </w:style>
  <w:style w:type="character" w:customStyle="1" w:styleId="CommentSubjectChar">
    <w:name w:val="Comment Subject Char"/>
    <w:basedOn w:val="CommentTextChar"/>
    <w:link w:val="CommentSubject"/>
    <w:uiPriority w:val="99"/>
    <w:semiHidden/>
    <w:rsid w:val="002E5A48"/>
    <w:rPr>
      <w:rFonts w:ascii="Cambria" w:hAnsi="Cambria"/>
      <w:b/>
      <w:bCs/>
      <w:sz w:val="20"/>
      <w:szCs w:val="20"/>
    </w:rPr>
  </w:style>
  <w:style w:type="paragraph" w:customStyle="1" w:styleId="p1">
    <w:name w:val="p1"/>
    <w:basedOn w:val="Normal"/>
    <w:rsid w:val="00CC4F42"/>
    <w:pPr>
      <w:spacing w:after="0" w:line="240" w:lineRule="auto"/>
    </w:pPr>
    <w:rPr>
      <w:rFonts w:ascii="Calibri" w:hAnsi="Calibri" w:cs="Calibri"/>
      <w:color w:val="000000"/>
      <w:sz w:val="17"/>
      <w:szCs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94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ga.gov.au/reporting-problem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k.dugdale\AppData\Local\LORENZ%20Life%20Sciences\docuBridge\~dbNativeTemp\TEMP-WP-1033%20Annotated%20P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b9ce19c0-e773-49fe-81db-b8fc1ed47e93" xsi:nil="true"/>
    <Duedate xmlns="b9ce19c0-e773-49fe-81db-b8fc1ed47e93" xsi:nil="true"/>
    <Notificationform xmlns="b9ce19c0-e773-49fe-81db-b8fc1ed47e93" xsi:nil="true"/>
    <Notificationdate xmlns="b9ce19c0-e773-49fe-81db-b8fc1ed47e93" xsi:nil="true"/>
    <Topicdetails xmlns="b9ce19c0-e773-49fe-81db-b8fc1ed47e93" xsi:nil="true"/>
    <Indication xmlns="b9ce19c0-e773-49fe-81db-b8fc1ed47e93" xsi:nil="true"/>
    <multi_x002d_meetingfolder xmlns="b9ce19c0-e773-49fe-81db-b8fc1ed47e93" xsi:nil="true"/>
    <CCDSimpact_x003f_ xmlns="b9ce19c0-e773-49fe-81db-b8fc1ed47e93">true</CCDSimpact_x003f_>
    <DateMeeting xmlns="b9ce19c0-e773-49fe-81db-b8fc1ed47e93" xsi:nil="true"/>
    <Changecontrol xmlns="b9ce19c0-e773-49fe-81db-b8fc1ed47e93" xsi:nil="true"/>
    <Admin_x002e_route xmlns="b9ce19c0-e773-49fe-81db-b8fc1ed47e93" xsi:nil="true"/>
    <Targetedmeetingdate xmlns="b9ce19c0-e773-49fe-81db-b8fc1ed47e93" xsi:nil="true"/>
    <INN xmlns="b9ce19c0-e773-49fe-81db-b8fc1ed47e93" xsi:nil="true"/>
    <lcf76f155ced4ddcb4097134ff3c332f xmlns="b9ce19c0-e773-49fe-81db-b8fc1ed47e93">
      <Terms xmlns="http://schemas.microsoft.com/office/infopath/2007/PartnerControls"/>
    </lcf76f155ced4ddcb4097134ff3c332f>
    <Scope xmlns="b9ce19c0-e773-49fe-81db-b8fc1ed47e93" xsi:nil="true"/>
    <Topic xmlns="b9ce19c0-e773-49fe-81db-b8fc1ed47e93" xsi:nil="true"/>
    <GLCready_x003f_ xmlns="b9ce19c0-e773-49fe-81db-b8fc1ed47e93">true</GLCready_x003f_>
    <Duedate0 xmlns="b9ce19c0-e773-49fe-81db-b8fc1ed47e93" xsi:nil="true"/>
    <Materialtypetomeeting xmlns="b9ce19c0-e773-49fe-81db-b8fc1ed47e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698A70012CFD54B836176FA2CEBDB6D" ma:contentTypeVersion="32" ma:contentTypeDescription="Create a new document." ma:contentTypeScope="" ma:versionID="a6402c471d73b5366f6ad957e27d36ed">
  <xsd:schema xmlns:xsd="http://www.w3.org/2001/XMLSchema" xmlns:xs="http://www.w3.org/2001/XMLSchema" xmlns:p="http://schemas.microsoft.com/office/2006/metadata/properties" xmlns:ns2="b9ce19c0-e773-49fe-81db-b8fc1ed47e93" xmlns:ns3="f1d0a033-2144-4baa-adf6-c01999825909" targetNamespace="http://schemas.microsoft.com/office/2006/metadata/properties" ma:root="true" ma:fieldsID="69dff2fe20096f75ce451a32558ae565" ns2:_="" ns3:_="">
    <xsd:import namespace="b9ce19c0-e773-49fe-81db-b8fc1ed47e93"/>
    <xsd:import namespace="f1d0a033-2144-4baa-adf6-c019998259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opic" minOccurs="0"/>
                <xsd:element ref="ns2:INN" minOccurs="0"/>
                <xsd:element ref="ns2:Admin_x002e_route" minOccurs="0"/>
                <xsd:element ref="ns2:Indication" minOccurs="0"/>
                <xsd:element ref="ns2:Country" minOccurs="0"/>
                <xsd:element ref="ns2:Materialtypetomeeting" minOccurs="0"/>
                <xsd:element ref="ns2:Duedate" minOccurs="0"/>
                <xsd:element ref="ns2:GLCready_x003f_" minOccurs="0"/>
                <xsd:element ref="ns2:Scope" minOccurs="0"/>
                <xsd:element ref="ns2:Duedate0" minOccurs="0"/>
                <xsd:element ref="ns2:CCDSimpact_x003f_" minOccurs="0"/>
                <xsd:element ref="ns2:Targetedmeetingdate" minOccurs="0"/>
                <xsd:element ref="ns2:DateMeeting" minOccurs="0"/>
                <xsd:element ref="ns2:Topicdetails" minOccurs="0"/>
                <xsd:element ref="ns3:SharedWithUsers" minOccurs="0"/>
                <xsd:element ref="ns3:SharedWithDetails" minOccurs="0"/>
                <xsd:element ref="ns2:Notificationform" minOccurs="0"/>
                <xsd:element ref="ns2:Notificationdate" minOccurs="0"/>
                <xsd:element ref="ns2:Changecontrol" minOccurs="0"/>
                <xsd:element ref="ns2:multi_x002d_meetingfolder"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e19c0-e773-49fe-81db-b8fc1ed47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opic" ma:index="12" nillable="true" ma:displayName="Topic" ma:format="Dropdown" ma:internalName="Topic">
      <xsd:simpleType>
        <xsd:restriction base="dms:Text">
          <xsd:maxLength value="255"/>
        </xsd:restriction>
      </xsd:simpleType>
    </xsd:element>
    <xsd:element name="INN" ma:index="13" nillable="true" ma:displayName="INN" ma:format="Dropdown" ma:internalName="INN">
      <xsd:simpleType>
        <xsd:restriction base="dms:Text">
          <xsd:maxLength value="255"/>
        </xsd:restriction>
      </xsd:simpleType>
    </xsd:element>
    <xsd:element name="Admin_x002e_route" ma:index="14" nillable="true" ma:displayName="Admin. route" ma:format="Dropdown" ma:internalName="Admin_x002e_route">
      <xsd:simpleType>
        <xsd:restriction base="dms:Text">
          <xsd:maxLength value="255"/>
        </xsd:restriction>
      </xsd:simpleType>
    </xsd:element>
    <xsd:element name="Indication" ma:index="15" nillable="true" ma:displayName="Indication" ma:format="Dropdown" ma:internalName="Indication">
      <xsd:simpleType>
        <xsd:restriction base="dms:Text">
          <xsd:maxLength value="255"/>
        </xsd:restriction>
      </xsd:simpleType>
    </xsd:element>
    <xsd:element name="Country" ma:index="16" nillable="true" ma:displayName="Country" ma:format="Dropdown" ma:internalName="Country">
      <xsd:simpleType>
        <xsd:restriction base="dms:Text">
          <xsd:maxLength value="255"/>
        </xsd:restriction>
      </xsd:simpleType>
    </xsd:element>
    <xsd:element name="Materialtypetomeeting" ma:index="17" nillable="true" ma:displayName="Label type to meeting" ma:format="Dropdown" ma:internalName="Materialtypetomeeting">
      <xsd:simpleType>
        <xsd:restriction base="dms:Text">
          <xsd:maxLength value="255"/>
        </xsd:restriction>
      </xsd:simpleType>
    </xsd:element>
    <xsd:element name="Duedate" ma:index="18" nillable="true" ma:displayName="test" ma:format="Dropdown" ma:internalName="Duedate">
      <xsd:simpleType>
        <xsd:restriction base="dms:Text">
          <xsd:maxLength value="255"/>
        </xsd:restriction>
      </xsd:simpleType>
    </xsd:element>
    <xsd:element name="GLCready_x003f_" ma:index="19" nillable="true" ma:displayName="GLC ready?" ma:default="1" ma:format="Dropdown" ma:internalName="GLCready_x003f_">
      <xsd:simpleType>
        <xsd:restriction base="dms:Boolean"/>
      </xsd:simpleType>
    </xsd:element>
    <xsd:element name="Scope" ma:index="20" nillable="true" ma:displayName="Scope" ma:format="Dropdown" ma:internalName="Scope">
      <xsd:simpleType>
        <xsd:restriction base="dms:Text">
          <xsd:maxLength value="255"/>
        </xsd:restriction>
      </xsd:simpleType>
    </xsd:element>
    <xsd:element name="Duedate0" ma:index="21" nillable="true" ma:displayName="Due date" ma:format="DateOnly" ma:internalName="Duedate0">
      <xsd:simpleType>
        <xsd:restriction base="dms:DateTime"/>
      </xsd:simpleType>
    </xsd:element>
    <xsd:element name="CCDSimpact_x003f_" ma:index="22" nillable="true" ma:displayName="CCDS impact?" ma:default="1" ma:format="Dropdown" ma:internalName="CCDSimpact_x003f_">
      <xsd:simpleType>
        <xsd:restriction base="dms:Boolean"/>
      </xsd:simpleType>
    </xsd:element>
    <xsd:element name="Targetedmeetingdate" ma:index="23" nillable="true" ma:displayName="Date meeting" ma:format="DateOnly" ma:internalName="Targetedmeetingdate">
      <xsd:simpleType>
        <xsd:restriction base="dms:DateTime"/>
      </xsd:simpleType>
    </xsd:element>
    <xsd:element name="DateMeeting" ma:index="24" nillable="true" ma:displayName="Review Date" ma:format="DateOnly" ma:internalName="DateMeeting">
      <xsd:simpleType>
        <xsd:restriction base="dms:DateTime"/>
      </xsd:simpleType>
    </xsd:element>
    <xsd:element name="Topicdetails" ma:index="25" nillable="true" ma:displayName="Topic details" ma:format="Dropdown" ma:internalName="Topicdetails">
      <xsd:simpleType>
        <xsd:restriction base="dms:Note">
          <xsd:maxLength value="255"/>
        </xsd:restriction>
      </xsd:simpleType>
    </xsd:element>
    <xsd:element name="Notificationform" ma:index="28" nillable="true" ma:displayName="Notification form" ma:format="Dropdown" ma:internalName="Notificationform">
      <xsd:simpleType>
        <xsd:restriction base="dms:Text">
          <xsd:maxLength value="255"/>
        </xsd:restriction>
      </xsd:simpleType>
    </xsd:element>
    <xsd:element name="Notificationdate" ma:index="29" nillable="true" ma:displayName="Notification date" ma:format="DateOnly" ma:internalName="Notificationdate">
      <xsd:simpleType>
        <xsd:restriction base="dms:DateTime"/>
      </xsd:simpleType>
    </xsd:element>
    <xsd:element name="Changecontrol" ma:index="30" nillable="true" ma:displayName="Change control" ma:format="Dropdown" ma:internalName="Changecontrol">
      <xsd:simpleType>
        <xsd:restriction base="dms:Text">
          <xsd:maxLength value="255"/>
        </xsd:restriction>
      </xsd:simpleType>
    </xsd:element>
    <xsd:element name="multi_x002d_meetingfolder" ma:index="31" nillable="true" ma:displayName="multi-meeting folder" ma:format="Dropdown" ma:internalName="multi_x002d_meetingfolder">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ae2c3530-65fe-46ac-83e0-4e2df2000226"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0a033-2144-4baa-adf6-c01999825909"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29D60-E4CD-4E25-BAC7-2D33F887B34E}">
  <ds:schemaRefs>
    <ds:schemaRef ds:uri="http://schemas.microsoft.com/office/2006/metadata/properties"/>
    <ds:schemaRef ds:uri="http://schemas.microsoft.com/office/infopath/2007/PartnerControls"/>
    <ds:schemaRef ds:uri="b9ce19c0-e773-49fe-81db-b8fc1ed47e93"/>
  </ds:schemaRefs>
</ds:datastoreItem>
</file>

<file path=customXml/itemProps2.xml><?xml version="1.0" encoding="utf-8"?>
<ds:datastoreItem xmlns:ds="http://schemas.openxmlformats.org/officeDocument/2006/customXml" ds:itemID="{205AFB77-8E9F-4A3D-8998-3E21F928618A}">
  <ds:schemaRefs>
    <ds:schemaRef ds:uri="http://schemas.microsoft.com/sharepoint/v3/contenttype/forms"/>
  </ds:schemaRefs>
</ds:datastoreItem>
</file>

<file path=customXml/itemProps3.xml><?xml version="1.0" encoding="utf-8"?>
<ds:datastoreItem xmlns:ds="http://schemas.openxmlformats.org/officeDocument/2006/customXml" ds:itemID="{BE1C9E1E-0AF8-41D8-A7CE-93FB11E77CEF}">
  <ds:schemaRefs>
    <ds:schemaRef ds:uri="http://schemas.openxmlformats.org/officeDocument/2006/bibliography"/>
  </ds:schemaRefs>
</ds:datastoreItem>
</file>

<file path=customXml/itemProps4.xml><?xml version="1.0" encoding="utf-8"?>
<ds:datastoreItem xmlns:ds="http://schemas.openxmlformats.org/officeDocument/2006/customXml" ds:itemID="{B667E1D7-26B7-4B94-8027-C403EA2AA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e19c0-e773-49fe-81db-b8fc1ed47e93"/>
    <ds:schemaRef ds:uri="f1d0a033-2144-4baa-adf6-c01999825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TEMP-WP-1033 Annotated PI Template.dotx</Template>
  <TotalTime>16</TotalTime>
  <Pages>15</Pages>
  <Words>4857</Words>
  <Characters>27717</Characters>
  <Application>Microsoft Office Word</Application>
  <DocSecurity>0</DocSecurity>
  <Lines>552</Lines>
  <Paragraphs>279</Paragraphs>
  <ScaleCrop>false</ScaleCrop>
  <HeadingPairs>
    <vt:vector size="2" baseType="variant">
      <vt:variant>
        <vt:lpstr>Title</vt:lpstr>
      </vt:variant>
      <vt:variant>
        <vt:i4>1</vt:i4>
      </vt:variant>
    </vt:vector>
  </HeadingPairs>
  <TitlesOfParts>
    <vt:vector size="1" baseType="lpstr">
      <vt:lpstr>Attachment Product information for Vyvgart</vt:lpstr>
    </vt:vector>
  </TitlesOfParts>
  <Manager/>
  <Company>Pharma To Market Pty Ltd</Company>
  <LinksUpToDate>false</LinksUpToDate>
  <CharactersWithSpaces>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Vyvgart</dc:title>
  <dc:subject>prescription medicines</dc:subject>
  <dc:creator/>
  <cp:lastModifiedBy>LACK, Janet</cp:lastModifiedBy>
  <cp:revision>4</cp:revision>
  <cp:lastPrinted>2017-09-05T05:25:00Z</cp:lastPrinted>
  <dcterms:created xsi:type="dcterms:W3CDTF">2026-03-23T21:52:00Z</dcterms:created>
  <dcterms:modified xsi:type="dcterms:W3CDTF">2026-03-23T22:09:00Z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0x010100E698A70012CFD54B836176FA2CEBDB6D</vt:lpwstr>
  </property>
  <property fmtid="{D5CDD505-2E9C-101B-9397-08002B2CF9AE}" pid="3" name="MediaServiceImageTags">
    <vt:lpwstr/>
  </property>
  <property fmtid="{D5CDD505-2E9C-101B-9397-08002B2CF9AE}" pid="4" name="ClassificationContentMarkingHeaderShapeIds">
    <vt:lpwstr>33f6340d,b6b6bb6,610539a1</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6c54e647,71eda00b,291ea7cc</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2026-03-18T04:35:55Z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5132f1a3-7603-4698-8444-0b68bbd5fe6d</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