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036158B3" w:rsidR="00F02AEC" w:rsidRPr="00215D48" w:rsidRDefault="00346EC2" w:rsidP="007452E8">
            <w:pPr>
              <w:pStyle w:val="Title"/>
            </w:pPr>
            <w:bookmarkStart w:id="0" w:name="_Hlk220420204"/>
            <w:bookmarkEnd w:id="0"/>
            <w:r w:rsidRPr="00346EC2">
              <w:t xml:space="preserve">Australian Public Assessment Report for </w:t>
            </w:r>
            <w:r w:rsidR="004201B8">
              <w:t>Lynkuet</w:t>
            </w:r>
          </w:p>
        </w:tc>
      </w:tr>
      <w:tr w:rsidR="00F02AEC" w:rsidRPr="00215D48" w14:paraId="318A40A3" w14:textId="77777777" w:rsidTr="00346EC2">
        <w:trPr>
          <w:trHeight w:val="995"/>
        </w:trPr>
        <w:tc>
          <w:tcPr>
            <w:tcW w:w="8720" w:type="dxa"/>
          </w:tcPr>
          <w:p w14:paraId="1AA7C701" w14:textId="1172033E" w:rsidR="00F02AEC" w:rsidRPr="00215D48" w:rsidRDefault="00346EC2" w:rsidP="007452E8">
            <w:pPr>
              <w:pStyle w:val="Subtitle"/>
              <w:ind w:left="0"/>
            </w:pPr>
            <w:r w:rsidRPr="00346EC2">
              <w:t>Active ingredient:</w:t>
            </w:r>
            <w:r w:rsidR="004201B8">
              <w:t xml:space="preserve"> Elinzanetant</w:t>
            </w:r>
          </w:p>
        </w:tc>
      </w:tr>
      <w:tr w:rsidR="00346EC2" w:rsidRPr="00215D48" w14:paraId="362CCAE4" w14:textId="77777777" w:rsidTr="007452E8">
        <w:trPr>
          <w:trHeight w:val="1916"/>
        </w:trPr>
        <w:tc>
          <w:tcPr>
            <w:tcW w:w="8720" w:type="dxa"/>
          </w:tcPr>
          <w:p w14:paraId="709C45C0" w14:textId="5E72E52A" w:rsidR="00346EC2" w:rsidRPr="00215D48" w:rsidRDefault="00346EC2" w:rsidP="007452E8">
            <w:pPr>
              <w:pStyle w:val="Subtitle"/>
              <w:ind w:left="0"/>
            </w:pPr>
            <w:r w:rsidRPr="00346EC2">
              <w:t>Sponsor:</w:t>
            </w:r>
            <w:r w:rsidR="004201B8">
              <w:t xml:space="preserve"> Bayer</w:t>
            </w:r>
            <w:r w:rsidR="00C20927">
              <w:t xml:space="preserve"> Australia</w:t>
            </w:r>
            <w:r w:rsidR="00FD43AC">
              <w:t xml:space="preserve"> Ltd</w:t>
            </w:r>
          </w:p>
        </w:tc>
      </w:tr>
      <w:tr w:rsidR="00F02AEC" w:rsidRPr="00215D48" w14:paraId="37F2AA1F" w14:textId="77777777" w:rsidTr="007452E8">
        <w:tc>
          <w:tcPr>
            <w:tcW w:w="8720" w:type="dxa"/>
          </w:tcPr>
          <w:p w14:paraId="1FDE8DCD" w14:textId="08E539C3" w:rsidR="00F02AEC" w:rsidRPr="00215D48" w:rsidRDefault="00293652" w:rsidP="007452E8">
            <w:pPr>
              <w:pStyle w:val="Date"/>
            </w:pPr>
            <w:r>
              <w:t>March</w:t>
            </w:r>
            <w:r w:rsidR="004201B8">
              <w:t xml:space="preserve"> 2026</w:t>
            </w:r>
          </w:p>
        </w:tc>
      </w:tr>
    </w:tbl>
    <w:p w14:paraId="73752706" w14:textId="77777777" w:rsidR="00F02AEC" w:rsidRPr="00215D48" w:rsidRDefault="00F02AEC" w:rsidP="007452E8">
      <w:pPr>
        <w:pStyle w:val="ListBullet"/>
        <w:numPr>
          <w:ilvl w:val="0"/>
          <w:numId w:val="0"/>
        </w:numPr>
        <w:sectPr w:rsidR="00F02AEC" w:rsidRPr="00215D48"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2" w:history="1">
        <w:r w:rsidRPr="00A63C07">
          <w:rPr>
            <w:rStyle w:val="Hyperlink"/>
          </w:rPr>
          <w:t>TGA website</w:t>
        </w:r>
      </w:hyperlink>
      <w:r w:rsidRPr="003C6D1F">
        <w:t>.</w:t>
      </w:r>
    </w:p>
    <w:p w14:paraId="737B7A99" w14:textId="77777777" w:rsidR="00346EC2" w:rsidRDefault="00346EC2" w:rsidP="00346EC2">
      <w:pPr>
        <w:pStyle w:val="NonTOCHeading20"/>
      </w:pPr>
      <w:r>
        <w:t>About AusPARs</w:t>
      </w:r>
    </w:p>
    <w:p w14:paraId="631B2209" w14:textId="010FE2EE" w:rsidR="00346EC2" w:rsidRPr="003C6D1F" w:rsidRDefault="00346EC2" w:rsidP="00346EC2">
      <w:pPr>
        <w:pStyle w:val="ListBullet"/>
      </w:pPr>
      <w:r>
        <w:t>The</w:t>
      </w:r>
      <w:r w:rsidRPr="003C6D1F">
        <w:t xml:space="preserve"> Australian Public Assessment Report (AusPAR) provides information about the evaluation of a prescription medicine and the considerations that led the TGA to approve or not approve a prescription medicine submission.</w:t>
      </w:r>
      <w:r>
        <w:t xml:space="preserve"> Further information can be found in </w:t>
      </w:r>
      <w:hyperlink r:id="rId13" w:history="1">
        <w:r w:rsidRPr="005A2EB8">
          <w:rPr>
            <w:rStyle w:val="Hyperlink"/>
          </w:rPr>
          <w:t>Australian Public Assessment Report (AusPAR) guidance</w:t>
        </w:r>
      </w:hyperlink>
      <w:r>
        <w:t>.</w:t>
      </w:r>
    </w:p>
    <w:p w14:paraId="22F5A730" w14:textId="77777777" w:rsidR="00346EC2" w:rsidRPr="003C6D1F" w:rsidRDefault="00346EC2" w:rsidP="00346EC2">
      <w:pPr>
        <w:pStyle w:val="ListBullet"/>
      </w:pPr>
      <w:r w:rsidRPr="003C6D1F">
        <w:t>AusPARs are prepared and published by the TGA.</w:t>
      </w:r>
    </w:p>
    <w:p w14:paraId="451B8FD7" w14:textId="77777777" w:rsidR="00346EC2" w:rsidRPr="003C6D1F" w:rsidRDefault="00346EC2" w:rsidP="00346EC2">
      <w:pPr>
        <w:pStyle w:val="ListBullet"/>
      </w:pPr>
      <w:r w:rsidRPr="003C6D1F">
        <w:t>AusPAR</w:t>
      </w:r>
      <w:r>
        <w:t xml:space="preserve">s are </w:t>
      </w:r>
      <w:r w:rsidRPr="003C6D1F">
        <w:t>static document</w:t>
      </w:r>
      <w:r>
        <w:t xml:space="preserve">s that </w:t>
      </w:r>
      <w:r w:rsidRPr="003C6D1F">
        <w:t>provide information that relates to a submission at a particular point in time.</w:t>
      </w:r>
      <w:r>
        <w:t xml:space="preserve"> The publication of an AusPAR is an important part of the transparency of the TGA’s decision-making process.</w:t>
      </w:r>
    </w:p>
    <w:p w14:paraId="4D69F5CF" w14:textId="77777777" w:rsidR="00346EC2" w:rsidRPr="003C6D1F" w:rsidRDefault="00346EC2" w:rsidP="00346EC2">
      <w:pPr>
        <w:pStyle w:val="ListBullet"/>
      </w:pPr>
      <w:r w:rsidRPr="003C6D1F">
        <w:t xml:space="preserve">A new AusPAR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5C08D0DD" w:rsidR="00175CD8" w:rsidRPr="00346EC2" w:rsidRDefault="00F02AEC" w:rsidP="00346EC2">
      <w:pPr>
        <w:pStyle w:val="LegalCopy"/>
        <w:rPr>
          <w:rFonts w:cs="Arial"/>
        </w:rPr>
      </w:pPr>
      <w:r w:rsidRPr="00215D48">
        <w:rPr>
          <w:rFonts w:cs="Arial"/>
        </w:rPr>
        <w:t>© Commonwealth of Australia 20</w:t>
      </w:r>
      <w:r>
        <w:rPr>
          <w:rFonts w:cs="Arial"/>
        </w:rPr>
        <w:t>2</w:t>
      </w:r>
      <w:r w:rsidR="008F5992">
        <w:rPr>
          <w:rFonts w:cs="Arial"/>
        </w:rPr>
        <w:t>6</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r w:rsidR="000C5432" w:rsidRPr="00215D48">
        <w:rPr>
          <w:rFonts w:cs="Arial"/>
        </w:rPr>
        <w:t>reserved,</w:t>
      </w:r>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215D48">
          <w:rPr>
            <w:rStyle w:val="Hyperlink"/>
            <w:rFonts w:cs="Arial"/>
          </w:rPr>
          <w:t>tga.copyright@tga.gov.au</w:t>
        </w:r>
      </w:hyperlink>
      <w:r w:rsidRPr="00215D48">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215D48" w:rsidRDefault="00F02AEC" w:rsidP="007452E8">
          <w:pPr>
            <w:pStyle w:val="NonTOCheading2"/>
          </w:pPr>
          <w:r w:rsidRPr="00215D48">
            <w:t>Contents</w:t>
          </w:r>
        </w:p>
        <w:p w14:paraId="560B681C" w14:textId="7E1D022E" w:rsidR="00786B60"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23341677" w:history="1">
            <w:r w:rsidR="00786B60" w:rsidRPr="005C55F1">
              <w:rPr>
                <w:rStyle w:val="Hyperlink"/>
                <w:noProof/>
              </w:rPr>
              <w:t>List of abbreviations</w:t>
            </w:r>
            <w:r w:rsidR="00786B60">
              <w:rPr>
                <w:noProof/>
                <w:webHidden/>
              </w:rPr>
              <w:tab/>
            </w:r>
            <w:r w:rsidR="00786B60">
              <w:rPr>
                <w:noProof/>
                <w:webHidden/>
              </w:rPr>
              <w:fldChar w:fldCharType="begin"/>
            </w:r>
            <w:r w:rsidR="00786B60">
              <w:rPr>
                <w:noProof/>
                <w:webHidden/>
              </w:rPr>
              <w:instrText xml:space="preserve"> PAGEREF _Toc223341677 \h </w:instrText>
            </w:r>
            <w:r w:rsidR="00786B60">
              <w:rPr>
                <w:noProof/>
                <w:webHidden/>
              </w:rPr>
            </w:r>
            <w:r w:rsidR="00786B60">
              <w:rPr>
                <w:noProof/>
                <w:webHidden/>
              </w:rPr>
              <w:fldChar w:fldCharType="separate"/>
            </w:r>
            <w:r w:rsidR="00786B60">
              <w:rPr>
                <w:noProof/>
                <w:webHidden/>
              </w:rPr>
              <w:t>4</w:t>
            </w:r>
            <w:r w:rsidR="00786B60">
              <w:rPr>
                <w:noProof/>
                <w:webHidden/>
              </w:rPr>
              <w:fldChar w:fldCharType="end"/>
            </w:r>
          </w:hyperlink>
        </w:p>
        <w:p w14:paraId="0EA5EAA4" w14:textId="5106D9D3" w:rsidR="00786B60" w:rsidRDefault="00786B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3341678" w:history="1">
            <w:r w:rsidRPr="005C55F1">
              <w:rPr>
                <w:rStyle w:val="Hyperlink"/>
                <w:noProof/>
              </w:rPr>
              <w:t>Product submission</w:t>
            </w:r>
            <w:r>
              <w:rPr>
                <w:noProof/>
                <w:webHidden/>
              </w:rPr>
              <w:tab/>
            </w:r>
            <w:r>
              <w:rPr>
                <w:noProof/>
                <w:webHidden/>
              </w:rPr>
              <w:fldChar w:fldCharType="begin"/>
            </w:r>
            <w:r>
              <w:rPr>
                <w:noProof/>
                <w:webHidden/>
              </w:rPr>
              <w:instrText xml:space="preserve"> PAGEREF _Toc223341678 \h </w:instrText>
            </w:r>
            <w:r>
              <w:rPr>
                <w:noProof/>
                <w:webHidden/>
              </w:rPr>
            </w:r>
            <w:r>
              <w:rPr>
                <w:noProof/>
                <w:webHidden/>
              </w:rPr>
              <w:fldChar w:fldCharType="separate"/>
            </w:r>
            <w:r>
              <w:rPr>
                <w:noProof/>
                <w:webHidden/>
              </w:rPr>
              <w:t>7</w:t>
            </w:r>
            <w:r>
              <w:rPr>
                <w:noProof/>
                <w:webHidden/>
              </w:rPr>
              <w:fldChar w:fldCharType="end"/>
            </w:r>
          </w:hyperlink>
        </w:p>
        <w:p w14:paraId="0E2761B5" w14:textId="29AF354C" w:rsidR="00786B60" w:rsidRDefault="00786B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41679" w:history="1">
            <w:r w:rsidRPr="005C55F1">
              <w:rPr>
                <w:rStyle w:val="Hyperlink"/>
                <w:noProof/>
                <w:lang w:eastAsia="en-AU"/>
              </w:rPr>
              <w:t>Submission details</w:t>
            </w:r>
            <w:r>
              <w:rPr>
                <w:noProof/>
                <w:webHidden/>
              </w:rPr>
              <w:tab/>
            </w:r>
            <w:r>
              <w:rPr>
                <w:noProof/>
                <w:webHidden/>
              </w:rPr>
              <w:fldChar w:fldCharType="begin"/>
            </w:r>
            <w:r>
              <w:rPr>
                <w:noProof/>
                <w:webHidden/>
              </w:rPr>
              <w:instrText xml:space="preserve"> PAGEREF _Toc223341679 \h </w:instrText>
            </w:r>
            <w:r>
              <w:rPr>
                <w:noProof/>
                <w:webHidden/>
              </w:rPr>
            </w:r>
            <w:r>
              <w:rPr>
                <w:noProof/>
                <w:webHidden/>
              </w:rPr>
              <w:fldChar w:fldCharType="separate"/>
            </w:r>
            <w:r>
              <w:rPr>
                <w:noProof/>
                <w:webHidden/>
              </w:rPr>
              <w:t>7</w:t>
            </w:r>
            <w:r>
              <w:rPr>
                <w:noProof/>
                <w:webHidden/>
              </w:rPr>
              <w:fldChar w:fldCharType="end"/>
            </w:r>
          </w:hyperlink>
        </w:p>
        <w:p w14:paraId="17DC2536" w14:textId="2A4A435C" w:rsidR="00786B60" w:rsidRDefault="00786B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41680" w:history="1">
            <w:r w:rsidRPr="005C55F1">
              <w:rPr>
                <w:rStyle w:val="Hyperlink"/>
                <w:noProof/>
              </w:rPr>
              <w:t>Product background</w:t>
            </w:r>
            <w:r>
              <w:rPr>
                <w:noProof/>
                <w:webHidden/>
              </w:rPr>
              <w:tab/>
            </w:r>
            <w:r>
              <w:rPr>
                <w:noProof/>
                <w:webHidden/>
              </w:rPr>
              <w:fldChar w:fldCharType="begin"/>
            </w:r>
            <w:r>
              <w:rPr>
                <w:noProof/>
                <w:webHidden/>
              </w:rPr>
              <w:instrText xml:space="preserve"> PAGEREF _Toc223341680 \h </w:instrText>
            </w:r>
            <w:r>
              <w:rPr>
                <w:noProof/>
                <w:webHidden/>
              </w:rPr>
            </w:r>
            <w:r>
              <w:rPr>
                <w:noProof/>
                <w:webHidden/>
              </w:rPr>
              <w:fldChar w:fldCharType="separate"/>
            </w:r>
            <w:r>
              <w:rPr>
                <w:noProof/>
                <w:webHidden/>
              </w:rPr>
              <w:t>8</w:t>
            </w:r>
            <w:r>
              <w:rPr>
                <w:noProof/>
                <w:webHidden/>
              </w:rPr>
              <w:fldChar w:fldCharType="end"/>
            </w:r>
          </w:hyperlink>
        </w:p>
        <w:p w14:paraId="738C54E4" w14:textId="682402E7" w:rsidR="00786B60" w:rsidRDefault="00786B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41681" w:history="1">
            <w:r w:rsidRPr="005C55F1">
              <w:rPr>
                <w:rStyle w:val="Hyperlink"/>
                <w:noProof/>
              </w:rPr>
              <w:t>Disease or condition</w:t>
            </w:r>
            <w:r>
              <w:rPr>
                <w:noProof/>
                <w:webHidden/>
              </w:rPr>
              <w:tab/>
            </w:r>
            <w:r>
              <w:rPr>
                <w:noProof/>
                <w:webHidden/>
              </w:rPr>
              <w:fldChar w:fldCharType="begin"/>
            </w:r>
            <w:r>
              <w:rPr>
                <w:noProof/>
                <w:webHidden/>
              </w:rPr>
              <w:instrText xml:space="preserve"> PAGEREF _Toc223341681 \h </w:instrText>
            </w:r>
            <w:r>
              <w:rPr>
                <w:noProof/>
                <w:webHidden/>
              </w:rPr>
            </w:r>
            <w:r>
              <w:rPr>
                <w:noProof/>
                <w:webHidden/>
              </w:rPr>
              <w:fldChar w:fldCharType="separate"/>
            </w:r>
            <w:r>
              <w:rPr>
                <w:noProof/>
                <w:webHidden/>
              </w:rPr>
              <w:t>8</w:t>
            </w:r>
            <w:r>
              <w:rPr>
                <w:noProof/>
                <w:webHidden/>
              </w:rPr>
              <w:fldChar w:fldCharType="end"/>
            </w:r>
          </w:hyperlink>
        </w:p>
        <w:p w14:paraId="69A1AB95" w14:textId="642433D9" w:rsidR="00786B60" w:rsidRDefault="00786B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41682" w:history="1">
            <w:r w:rsidRPr="005C55F1">
              <w:rPr>
                <w:rStyle w:val="Hyperlink"/>
                <w:noProof/>
              </w:rPr>
              <w:t>Current treatment options</w:t>
            </w:r>
            <w:r>
              <w:rPr>
                <w:noProof/>
                <w:webHidden/>
              </w:rPr>
              <w:tab/>
            </w:r>
            <w:r>
              <w:rPr>
                <w:noProof/>
                <w:webHidden/>
              </w:rPr>
              <w:fldChar w:fldCharType="begin"/>
            </w:r>
            <w:r>
              <w:rPr>
                <w:noProof/>
                <w:webHidden/>
              </w:rPr>
              <w:instrText xml:space="preserve"> PAGEREF _Toc223341682 \h </w:instrText>
            </w:r>
            <w:r>
              <w:rPr>
                <w:noProof/>
                <w:webHidden/>
              </w:rPr>
            </w:r>
            <w:r>
              <w:rPr>
                <w:noProof/>
                <w:webHidden/>
              </w:rPr>
              <w:fldChar w:fldCharType="separate"/>
            </w:r>
            <w:r>
              <w:rPr>
                <w:noProof/>
                <w:webHidden/>
              </w:rPr>
              <w:t>8</w:t>
            </w:r>
            <w:r>
              <w:rPr>
                <w:noProof/>
                <w:webHidden/>
              </w:rPr>
              <w:fldChar w:fldCharType="end"/>
            </w:r>
          </w:hyperlink>
        </w:p>
        <w:p w14:paraId="7A405D99" w14:textId="1E104481" w:rsidR="00786B60" w:rsidRDefault="00786B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41683" w:history="1">
            <w:r w:rsidRPr="005C55F1">
              <w:rPr>
                <w:rStyle w:val="Hyperlink"/>
                <w:noProof/>
              </w:rPr>
              <w:t>Clinical rationale</w:t>
            </w:r>
            <w:r>
              <w:rPr>
                <w:noProof/>
                <w:webHidden/>
              </w:rPr>
              <w:tab/>
            </w:r>
            <w:r>
              <w:rPr>
                <w:noProof/>
                <w:webHidden/>
              </w:rPr>
              <w:fldChar w:fldCharType="begin"/>
            </w:r>
            <w:r>
              <w:rPr>
                <w:noProof/>
                <w:webHidden/>
              </w:rPr>
              <w:instrText xml:space="preserve"> PAGEREF _Toc223341683 \h </w:instrText>
            </w:r>
            <w:r>
              <w:rPr>
                <w:noProof/>
                <w:webHidden/>
              </w:rPr>
            </w:r>
            <w:r>
              <w:rPr>
                <w:noProof/>
                <w:webHidden/>
              </w:rPr>
              <w:fldChar w:fldCharType="separate"/>
            </w:r>
            <w:r>
              <w:rPr>
                <w:noProof/>
                <w:webHidden/>
              </w:rPr>
              <w:t>9</w:t>
            </w:r>
            <w:r>
              <w:rPr>
                <w:noProof/>
                <w:webHidden/>
              </w:rPr>
              <w:fldChar w:fldCharType="end"/>
            </w:r>
          </w:hyperlink>
        </w:p>
        <w:p w14:paraId="1253BB0F" w14:textId="10985F43" w:rsidR="00786B60" w:rsidRDefault="00786B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41684" w:history="1">
            <w:r w:rsidRPr="005C55F1">
              <w:rPr>
                <w:rStyle w:val="Hyperlink"/>
                <w:noProof/>
              </w:rPr>
              <w:t>Regulatory status</w:t>
            </w:r>
            <w:r>
              <w:rPr>
                <w:noProof/>
                <w:webHidden/>
              </w:rPr>
              <w:tab/>
            </w:r>
            <w:r>
              <w:rPr>
                <w:noProof/>
                <w:webHidden/>
              </w:rPr>
              <w:fldChar w:fldCharType="begin"/>
            </w:r>
            <w:r>
              <w:rPr>
                <w:noProof/>
                <w:webHidden/>
              </w:rPr>
              <w:instrText xml:space="preserve"> PAGEREF _Toc223341684 \h </w:instrText>
            </w:r>
            <w:r>
              <w:rPr>
                <w:noProof/>
                <w:webHidden/>
              </w:rPr>
            </w:r>
            <w:r>
              <w:rPr>
                <w:noProof/>
                <w:webHidden/>
              </w:rPr>
              <w:fldChar w:fldCharType="separate"/>
            </w:r>
            <w:r>
              <w:rPr>
                <w:noProof/>
                <w:webHidden/>
              </w:rPr>
              <w:t>9</w:t>
            </w:r>
            <w:r>
              <w:rPr>
                <w:noProof/>
                <w:webHidden/>
              </w:rPr>
              <w:fldChar w:fldCharType="end"/>
            </w:r>
          </w:hyperlink>
        </w:p>
        <w:p w14:paraId="313BE752" w14:textId="3B254DDF" w:rsidR="00786B60" w:rsidRDefault="00786B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41685" w:history="1">
            <w:r w:rsidRPr="005C55F1">
              <w:rPr>
                <w:rStyle w:val="Hyperlink"/>
                <w:noProof/>
              </w:rPr>
              <w:t>Australian regulatory status</w:t>
            </w:r>
            <w:r>
              <w:rPr>
                <w:noProof/>
                <w:webHidden/>
              </w:rPr>
              <w:tab/>
            </w:r>
            <w:r>
              <w:rPr>
                <w:noProof/>
                <w:webHidden/>
              </w:rPr>
              <w:fldChar w:fldCharType="begin"/>
            </w:r>
            <w:r>
              <w:rPr>
                <w:noProof/>
                <w:webHidden/>
              </w:rPr>
              <w:instrText xml:space="preserve"> PAGEREF _Toc223341685 \h </w:instrText>
            </w:r>
            <w:r>
              <w:rPr>
                <w:noProof/>
                <w:webHidden/>
              </w:rPr>
            </w:r>
            <w:r>
              <w:rPr>
                <w:noProof/>
                <w:webHidden/>
              </w:rPr>
              <w:fldChar w:fldCharType="separate"/>
            </w:r>
            <w:r>
              <w:rPr>
                <w:noProof/>
                <w:webHidden/>
              </w:rPr>
              <w:t>9</w:t>
            </w:r>
            <w:r>
              <w:rPr>
                <w:noProof/>
                <w:webHidden/>
              </w:rPr>
              <w:fldChar w:fldCharType="end"/>
            </w:r>
          </w:hyperlink>
        </w:p>
        <w:p w14:paraId="62260975" w14:textId="45E069BF" w:rsidR="00786B60" w:rsidRDefault="00786B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41686" w:history="1">
            <w:r w:rsidRPr="005C55F1">
              <w:rPr>
                <w:rStyle w:val="Hyperlink"/>
                <w:noProof/>
              </w:rPr>
              <w:t>International regulatory status</w:t>
            </w:r>
            <w:r>
              <w:rPr>
                <w:noProof/>
                <w:webHidden/>
              </w:rPr>
              <w:tab/>
            </w:r>
            <w:r>
              <w:rPr>
                <w:noProof/>
                <w:webHidden/>
              </w:rPr>
              <w:fldChar w:fldCharType="begin"/>
            </w:r>
            <w:r>
              <w:rPr>
                <w:noProof/>
                <w:webHidden/>
              </w:rPr>
              <w:instrText xml:space="preserve"> PAGEREF _Toc223341686 \h </w:instrText>
            </w:r>
            <w:r>
              <w:rPr>
                <w:noProof/>
                <w:webHidden/>
              </w:rPr>
            </w:r>
            <w:r>
              <w:rPr>
                <w:noProof/>
                <w:webHidden/>
              </w:rPr>
              <w:fldChar w:fldCharType="separate"/>
            </w:r>
            <w:r>
              <w:rPr>
                <w:noProof/>
                <w:webHidden/>
              </w:rPr>
              <w:t>9</w:t>
            </w:r>
            <w:r>
              <w:rPr>
                <w:noProof/>
                <w:webHidden/>
              </w:rPr>
              <w:fldChar w:fldCharType="end"/>
            </w:r>
          </w:hyperlink>
        </w:p>
        <w:p w14:paraId="6845B115" w14:textId="040A5AC7" w:rsidR="00786B60" w:rsidRDefault="00786B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3341687" w:history="1">
            <w:r w:rsidRPr="005C55F1">
              <w:rPr>
                <w:rStyle w:val="Hyperlink"/>
                <w:noProof/>
              </w:rPr>
              <w:t>Registration timeline</w:t>
            </w:r>
            <w:r>
              <w:rPr>
                <w:noProof/>
                <w:webHidden/>
              </w:rPr>
              <w:tab/>
            </w:r>
            <w:r>
              <w:rPr>
                <w:noProof/>
                <w:webHidden/>
              </w:rPr>
              <w:fldChar w:fldCharType="begin"/>
            </w:r>
            <w:r>
              <w:rPr>
                <w:noProof/>
                <w:webHidden/>
              </w:rPr>
              <w:instrText xml:space="preserve"> PAGEREF _Toc223341687 \h </w:instrText>
            </w:r>
            <w:r>
              <w:rPr>
                <w:noProof/>
                <w:webHidden/>
              </w:rPr>
            </w:r>
            <w:r>
              <w:rPr>
                <w:noProof/>
                <w:webHidden/>
              </w:rPr>
              <w:fldChar w:fldCharType="separate"/>
            </w:r>
            <w:r>
              <w:rPr>
                <w:noProof/>
                <w:webHidden/>
              </w:rPr>
              <w:t>10</w:t>
            </w:r>
            <w:r>
              <w:rPr>
                <w:noProof/>
                <w:webHidden/>
              </w:rPr>
              <w:fldChar w:fldCharType="end"/>
            </w:r>
          </w:hyperlink>
        </w:p>
        <w:p w14:paraId="54A75BD4" w14:textId="422678A2" w:rsidR="00786B60" w:rsidRDefault="00786B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3341688" w:history="1">
            <w:r w:rsidRPr="005C55F1">
              <w:rPr>
                <w:rStyle w:val="Hyperlink"/>
                <w:noProof/>
              </w:rPr>
              <w:t>Assessment overview</w:t>
            </w:r>
            <w:r>
              <w:rPr>
                <w:noProof/>
                <w:webHidden/>
              </w:rPr>
              <w:tab/>
            </w:r>
            <w:r>
              <w:rPr>
                <w:noProof/>
                <w:webHidden/>
              </w:rPr>
              <w:fldChar w:fldCharType="begin"/>
            </w:r>
            <w:r>
              <w:rPr>
                <w:noProof/>
                <w:webHidden/>
              </w:rPr>
              <w:instrText xml:space="preserve"> PAGEREF _Toc223341688 \h </w:instrText>
            </w:r>
            <w:r>
              <w:rPr>
                <w:noProof/>
                <w:webHidden/>
              </w:rPr>
            </w:r>
            <w:r>
              <w:rPr>
                <w:noProof/>
                <w:webHidden/>
              </w:rPr>
              <w:fldChar w:fldCharType="separate"/>
            </w:r>
            <w:r>
              <w:rPr>
                <w:noProof/>
                <w:webHidden/>
              </w:rPr>
              <w:t>10</w:t>
            </w:r>
            <w:r>
              <w:rPr>
                <w:noProof/>
                <w:webHidden/>
              </w:rPr>
              <w:fldChar w:fldCharType="end"/>
            </w:r>
          </w:hyperlink>
        </w:p>
        <w:p w14:paraId="337AAEC1" w14:textId="57924298" w:rsidR="00786B60" w:rsidRDefault="00786B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41689" w:history="1">
            <w:r w:rsidRPr="005C55F1">
              <w:rPr>
                <w:rStyle w:val="Hyperlink"/>
                <w:noProof/>
              </w:rPr>
              <w:t>Quality evaluation summary</w:t>
            </w:r>
            <w:r>
              <w:rPr>
                <w:noProof/>
                <w:webHidden/>
              </w:rPr>
              <w:tab/>
            </w:r>
            <w:r>
              <w:rPr>
                <w:noProof/>
                <w:webHidden/>
              </w:rPr>
              <w:fldChar w:fldCharType="begin"/>
            </w:r>
            <w:r>
              <w:rPr>
                <w:noProof/>
                <w:webHidden/>
              </w:rPr>
              <w:instrText xml:space="preserve"> PAGEREF _Toc223341689 \h </w:instrText>
            </w:r>
            <w:r>
              <w:rPr>
                <w:noProof/>
                <w:webHidden/>
              </w:rPr>
            </w:r>
            <w:r>
              <w:rPr>
                <w:noProof/>
                <w:webHidden/>
              </w:rPr>
              <w:fldChar w:fldCharType="separate"/>
            </w:r>
            <w:r>
              <w:rPr>
                <w:noProof/>
                <w:webHidden/>
              </w:rPr>
              <w:t>11</w:t>
            </w:r>
            <w:r>
              <w:rPr>
                <w:noProof/>
                <w:webHidden/>
              </w:rPr>
              <w:fldChar w:fldCharType="end"/>
            </w:r>
          </w:hyperlink>
        </w:p>
        <w:p w14:paraId="048EFAAF" w14:textId="3E1701DC" w:rsidR="00786B60" w:rsidRDefault="00786B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41690" w:history="1">
            <w:r w:rsidRPr="005C55F1">
              <w:rPr>
                <w:rStyle w:val="Hyperlink"/>
                <w:noProof/>
              </w:rPr>
              <w:t>Nonclinical evaluation summary</w:t>
            </w:r>
            <w:r>
              <w:rPr>
                <w:noProof/>
                <w:webHidden/>
              </w:rPr>
              <w:tab/>
            </w:r>
            <w:r>
              <w:rPr>
                <w:noProof/>
                <w:webHidden/>
              </w:rPr>
              <w:fldChar w:fldCharType="begin"/>
            </w:r>
            <w:r>
              <w:rPr>
                <w:noProof/>
                <w:webHidden/>
              </w:rPr>
              <w:instrText xml:space="preserve"> PAGEREF _Toc223341690 \h </w:instrText>
            </w:r>
            <w:r>
              <w:rPr>
                <w:noProof/>
                <w:webHidden/>
              </w:rPr>
            </w:r>
            <w:r>
              <w:rPr>
                <w:noProof/>
                <w:webHidden/>
              </w:rPr>
              <w:fldChar w:fldCharType="separate"/>
            </w:r>
            <w:r>
              <w:rPr>
                <w:noProof/>
                <w:webHidden/>
              </w:rPr>
              <w:t>11</w:t>
            </w:r>
            <w:r>
              <w:rPr>
                <w:noProof/>
                <w:webHidden/>
              </w:rPr>
              <w:fldChar w:fldCharType="end"/>
            </w:r>
          </w:hyperlink>
        </w:p>
        <w:p w14:paraId="7C33B382" w14:textId="41C74A57" w:rsidR="00786B60" w:rsidRDefault="00786B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41691" w:history="1">
            <w:r w:rsidRPr="005C55F1">
              <w:rPr>
                <w:rStyle w:val="Hyperlink"/>
                <w:noProof/>
              </w:rPr>
              <w:t>Clinical evaluation summary</w:t>
            </w:r>
            <w:r>
              <w:rPr>
                <w:noProof/>
                <w:webHidden/>
              </w:rPr>
              <w:tab/>
            </w:r>
            <w:r>
              <w:rPr>
                <w:noProof/>
                <w:webHidden/>
              </w:rPr>
              <w:fldChar w:fldCharType="begin"/>
            </w:r>
            <w:r>
              <w:rPr>
                <w:noProof/>
                <w:webHidden/>
              </w:rPr>
              <w:instrText xml:space="preserve"> PAGEREF _Toc223341691 \h </w:instrText>
            </w:r>
            <w:r>
              <w:rPr>
                <w:noProof/>
                <w:webHidden/>
              </w:rPr>
            </w:r>
            <w:r>
              <w:rPr>
                <w:noProof/>
                <w:webHidden/>
              </w:rPr>
              <w:fldChar w:fldCharType="separate"/>
            </w:r>
            <w:r>
              <w:rPr>
                <w:noProof/>
                <w:webHidden/>
              </w:rPr>
              <w:t>12</w:t>
            </w:r>
            <w:r>
              <w:rPr>
                <w:noProof/>
                <w:webHidden/>
              </w:rPr>
              <w:fldChar w:fldCharType="end"/>
            </w:r>
          </w:hyperlink>
        </w:p>
        <w:p w14:paraId="667A7B4F" w14:textId="4932AE00" w:rsidR="00786B60" w:rsidRDefault="00786B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41692" w:history="1">
            <w:r w:rsidRPr="005C55F1">
              <w:rPr>
                <w:rStyle w:val="Hyperlink"/>
                <w:noProof/>
              </w:rPr>
              <w:t>Summary of clinical studies</w:t>
            </w:r>
            <w:r>
              <w:rPr>
                <w:noProof/>
                <w:webHidden/>
              </w:rPr>
              <w:tab/>
            </w:r>
            <w:r>
              <w:rPr>
                <w:noProof/>
                <w:webHidden/>
              </w:rPr>
              <w:fldChar w:fldCharType="begin"/>
            </w:r>
            <w:r>
              <w:rPr>
                <w:noProof/>
                <w:webHidden/>
              </w:rPr>
              <w:instrText xml:space="preserve"> PAGEREF _Toc223341692 \h </w:instrText>
            </w:r>
            <w:r>
              <w:rPr>
                <w:noProof/>
                <w:webHidden/>
              </w:rPr>
            </w:r>
            <w:r>
              <w:rPr>
                <w:noProof/>
                <w:webHidden/>
              </w:rPr>
              <w:fldChar w:fldCharType="separate"/>
            </w:r>
            <w:r>
              <w:rPr>
                <w:noProof/>
                <w:webHidden/>
              </w:rPr>
              <w:t>12</w:t>
            </w:r>
            <w:r>
              <w:rPr>
                <w:noProof/>
                <w:webHidden/>
              </w:rPr>
              <w:fldChar w:fldCharType="end"/>
            </w:r>
          </w:hyperlink>
        </w:p>
        <w:p w14:paraId="03D973EC" w14:textId="0A0F96A5" w:rsidR="00786B60" w:rsidRDefault="00786B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41693" w:history="1">
            <w:r w:rsidRPr="005C55F1">
              <w:rPr>
                <w:rStyle w:val="Hyperlink"/>
                <w:noProof/>
              </w:rPr>
              <w:t>Pharmacology</w:t>
            </w:r>
            <w:r>
              <w:rPr>
                <w:noProof/>
                <w:webHidden/>
              </w:rPr>
              <w:tab/>
            </w:r>
            <w:r>
              <w:rPr>
                <w:noProof/>
                <w:webHidden/>
              </w:rPr>
              <w:fldChar w:fldCharType="begin"/>
            </w:r>
            <w:r>
              <w:rPr>
                <w:noProof/>
                <w:webHidden/>
              </w:rPr>
              <w:instrText xml:space="preserve"> PAGEREF _Toc223341693 \h </w:instrText>
            </w:r>
            <w:r>
              <w:rPr>
                <w:noProof/>
                <w:webHidden/>
              </w:rPr>
            </w:r>
            <w:r>
              <w:rPr>
                <w:noProof/>
                <w:webHidden/>
              </w:rPr>
              <w:fldChar w:fldCharType="separate"/>
            </w:r>
            <w:r>
              <w:rPr>
                <w:noProof/>
                <w:webHidden/>
              </w:rPr>
              <w:t>14</w:t>
            </w:r>
            <w:r>
              <w:rPr>
                <w:noProof/>
                <w:webHidden/>
              </w:rPr>
              <w:fldChar w:fldCharType="end"/>
            </w:r>
          </w:hyperlink>
        </w:p>
        <w:p w14:paraId="4840DFA1" w14:textId="5A95DA3F" w:rsidR="00786B60" w:rsidRDefault="00786B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41694" w:history="1">
            <w:r w:rsidRPr="005C55F1">
              <w:rPr>
                <w:rStyle w:val="Hyperlink"/>
                <w:noProof/>
              </w:rPr>
              <w:t>Efficacy</w:t>
            </w:r>
            <w:r>
              <w:rPr>
                <w:noProof/>
                <w:webHidden/>
              </w:rPr>
              <w:tab/>
            </w:r>
            <w:r>
              <w:rPr>
                <w:noProof/>
                <w:webHidden/>
              </w:rPr>
              <w:fldChar w:fldCharType="begin"/>
            </w:r>
            <w:r>
              <w:rPr>
                <w:noProof/>
                <w:webHidden/>
              </w:rPr>
              <w:instrText xml:space="preserve"> PAGEREF _Toc223341694 \h </w:instrText>
            </w:r>
            <w:r>
              <w:rPr>
                <w:noProof/>
                <w:webHidden/>
              </w:rPr>
            </w:r>
            <w:r>
              <w:rPr>
                <w:noProof/>
                <w:webHidden/>
              </w:rPr>
              <w:fldChar w:fldCharType="separate"/>
            </w:r>
            <w:r>
              <w:rPr>
                <w:noProof/>
                <w:webHidden/>
              </w:rPr>
              <w:t>20</w:t>
            </w:r>
            <w:r>
              <w:rPr>
                <w:noProof/>
                <w:webHidden/>
              </w:rPr>
              <w:fldChar w:fldCharType="end"/>
            </w:r>
          </w:hyperlink>
        </w:p>
        <w:p w14:paraId="7BCFF47C" w14:textId="28CC3DC3" w:rsidR="00786B60" w:rsidRDefault="00786B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41695" w:history="1">
            <w:r w:rsidRPr="005C55F1">
              <w:rPr>
                <w:rStyle w:val="Hyperlink"/>
                <w:noProof/>
              </w:rPr>
              <w:t>Safety</w:t>
            </w:r>
            <w:r>
              <w:rPr>
                <w:noProof/>
                <w:webHidden/>
              </w:rPr>
              <w:tab/>
            </w:r>
            <w:r>
              <w:rPr>
                <w:noProof/>
                <w:webHidden/>
              </w:rPr>
              <w:fldChar w:fldCharType="begin"/>
            </w:r>
            <w:r>
              <w:rPr>
                <w:noProof/>
                <w:webHidden/>
              </w:rPr>
              <w:instrText xml:space="preserve"> PAGEREF _Toc223341695 \h </w:instrText>
            </w:r>
            <w:r>
              <w:rPr>
                <w:noProof/>
                <w:webHidden/>
              </w:rPr>
            </w:r>
            <w:r>
              <w:rPr>
                <w:noProof/>
                <w:webHidden/>
              </w:rPr>
              <w:fldChar w:fldCharType="separate"/>
            </w:r>
            <w:r>
              <w:rPr>
                <w:noProof/>
                <w:webHidden/>
              </w:rPr>
              <w:t>27</w:t>
            </w:r>
            <w:r>
              <w:rPr>
                <w:noProof/>
                <w:webHidden/>
              </w:rPr>
              <w:fldChar w:fldCharType="end"/>
            </w:r>
          </w:hyperlink>
        </w:p>
        <w:p w14:paraId="73E32072" w14:textId="0927BA6D" w:rsidR="00786B60" w:rsidRDefault="00786B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41696" w:history="1">
            <w:r w:rsidRPr="005C55F1">
              <w:rPr>
                <w:rStyle w:val="Hyperlink"/>
                <w:noProof/>
                <w:lang w:eastAsia="en-AU"/>
              </w:rPr>
              <w:t>Risk management plan</w:t>
            </w:r>
            <w:r>
              <w:rPr>
                <w:noProof/>
                <w:webHidden/>
              </w:rPr>
              <w:tab/>
            </w:r>
            <w:r>
              <w:rPr>
                <w:noProof/>
                <w:webHidden/>
              </w:rPr>
              <w:fldChar w:fldCharType="begin"/>
            </w:r>
            <w:r>
              <w:rPr>
                <w:noProof/>
                <w:webHidden/>
              </w:rPr>
              <w:instrText xml:space="preserve"> PAGEREF _Toc223341696 \h </w:instrText>
            </w:r>
            <w:r>
              <w:rPr>
                <w:noProof/>
                <w:webHidden/>
              </w:rPr>
            </w:r>
            <w:r>
              <w:rPr>
                <w:noProof/>
                <w:webHidden/>
              </w:rPr>
              <w:fldChar w:fldCharType="separate"/>
            </w:r>
            <w:r>
              <w:rPr>
                <w:noProof/>
                <w:webHidden/>
              </w:rPr>
              <w:t>31</w:t>
            </w:r>
            <w:r>
              <w:rPr>
                <w:noProof/>
                <w:webHidden/>
              </w:rPr>
              <w:fldChar w:fldCharType="end"/>
            </w:r>
          </w:hyperlink>
        </w:p>
        <w:p w14:paraId="6B60A8BA" w14:textId="0E74F994" w:rsidR="00786B60" w:rsidRDefault="00786B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41697" w:history="1">
            <w:r w:rsidRPr="005C55F1">
              <w:rPr>
                <w:rStyle w:val="Hyperlink"/>
                <w:noProof/>
              </w:rPr>
              <w:t>Risk-benefit analysis</w:t>
            </w:r>
            <w:r>
              <w:rPr>
                <w:noProof/>
                <w:webHidden/>
              </w:rPr>
              <w:tab/>
            </w:r>
            <w:r>
              <w:rPr>
                <w:noProof/>
                <w:webHidden/>
              </w:rPr>
              <w:fldChar w:fldCharType="begin"/>
            </w:r>
            <w:r>
              <w:rPr>
                <w:noProof/>
                <w:webHidden/>
              </w:rPr>
              <w:instrText xml:space="preserve"> PAGEREF _Toc223341697 \h </w:instrText>
            </w:r>
            <w:r>
              <w:rPr>
                <w:noProof/>
                <w:webHidden/>
              </w:rPr>
            </w:r>
            <w:r>
              <w:rPr>
                <w:noProof/>
                <w:webHidden/>
              </w:rPr>
              <w:fldChar w:fldCharType="separate"/>
            </w:r>
            <w:r>
              <w:rPr>
                <w:noProof/>
                <w:webHidden/>
              </w:rPr>
              <w:t>32</w:t>
            </w:r>
            <w:r>
              <w:rPr>
                <w:noProof/>
                <w:webHidden/>
              </w:rPr>
              <w:fldChar w:fldCharType="end"/>
            </w:r>
          </w:hyperlink>
        </w:p>
        <w:p w14:paraId="7635D663" w14:textId="20C31AF9" w:rsidR="00786B60" w:rsidRDefault="00786B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41698" w:history="1">
            <w:r w:rsidRPr="005C55F1">
              <w:rPr>
                <w:rStyle w:val="Hyperlink"/>
                <w:noProof/>
              </w:rPr>
              <w:t>Delegate’s considerations</w:t>
            </w:r>
            <w:r>
              <w:rPr>
                <w:noProof/>
                <w:webHidden/>
              </w:rPr>
              <w:tab/>
            </w:r>
            <w:r>
              <w:rPr>
                <w:noProof/>
                <w:webHidden/>
              </w:rPr>
              <w:fldChar w:fldCharType="begin"/>
            </w:r>
            <w:r>
              <w:rPr>
                <w:noProof/>
                <w:webHidden/>
              </w:rPr>
              <w:instrText xml:space="preserve"> PAGEREF _Toc223341698 \h </w:instrText>
            </w:r>
            <w:r>
              <w:rPr>
                <w:noProof/>
                <w:webHidden/>
              </w:rPr>
            </w:r>
            <w:r>
              <w:rPr>
                <w:noProof/>
                <w:webHidden/>
              </w:rPr>
              <w:fldChar w:fldCharType="separate"/>
            </w:r>
            <w:r>
              <w:rPr>
                <w:noProof/>
                <w:webHidden/>
              </w:rPr>
              <w:t>32</w:t>
            </w:r>
            <w:r>
              <w:rPr>
                <w:noProof/>
                <w:webHidden/>
              </w:rPr>
              <w:fldChar w:fldCharType="end"/>
            </w:r>
          </w:hyperlink>
        </w:p>
        <w:p w14:paraId="0A6E86AF" w14:textId="15D27999" w:rsidR="00786B60" w:rsidRDefault="00786B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23341699" w:history="1">
            <w:r w:rsidRPr="005C55F1">
              <w:rPr>
                <w:rStyle w:val="Hyperlink"/>
                <w:noProof/>
              </w:rPr>
              <w:t>Proposed action</w:t>
            </w:r>
            <w:r>
              <w:rPr>
                <w:noProof/>
                <w:webHidden/>
              </w:rPr>
              <w:tab/>
            </w:r>
            <w:r>
              <w:rPr>
                <w:noProof/>
                <w:webHidden/>
              </w:rPr>
              <w:fldChar w:fldCharType="begin"/>
            </w:r>
            <w:r>
              <w:rPr>
                <w:noProof/>
                <w:webHidden/>
              </w:rPr>
              <w:instrText xml:space="preserve"> PAGEREF _Toc223341699 \h </w:instrText>
            </w:r>
            <w:r>
              <w:rPr>
                <w:noProof/>
                <w:webHidden/>
              </w:rPr>
            </w:r>
            <w:r>
              <w:rPr>
                <w:noProof/>
                <w:webHidden/>
              </w:rPr>
              <w:fldChar w:fldCharType="separate"/>
            </w:r>
            <w:r>
              <w:rPr>
                <w:noProof/>
                <w:webHidden/>
              </w:rPr>
              <w:t>38</w:t>
            </w:r>
            <w:r>
              <w:rPr>
                <w:noProof/>
                <w:webHidden/>
              </w:rPr>
              <w:fldChar w:fldCharType="end"/>
            </w:r>
          </w:hyperlink>
        </w:p>
        <w:p w14:paraId="4D319EA5" w14:textId="0E9082B6" w:rsidR="00786B60" w:rsidRDefault="00786B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23341700" w:history="1">
            <w:r w:rsidRPr="005C55F1">
              <w:rPr>
                <w:rStyle w:val="Hyperlink"/>
                <w:noProof/>
              </w:rPr>
              <w:t>Assessment outcome</w:t>
            </w:r>
            <w:r>
              <w:rPr>
                <w:noProof/>
                <w:webHidden/>
              </w:rPr>
              <w:tab/>
            </w:r>
            <w:r>
              <w:rPr>
                <w:noProof/>
                <w:webHidden/>
              </w:rPr>
              <w:fldChar w:fldCharType="begin"/>
            </w:r>
            <w:r>
              <w:rPr>
                <w:noProof/>
                <w:webHidden/>
              </w:rPr>
              <w:instrText xml:space="preserve"> PAGEREF _Toc223341700 \h </w:instrText>
            </w:r>
            <w:r>
              <w:rPr>
                <w:noProof/>
                <w:webHidden/>
              </w:rPr>
            </w:r>
            <w:r>
              <w:rPr>
                <w:noProof/>
                <w:webHidden/>
              </w:rPr>
              <w:fldChar w:fldCharType="separate"/>
            </w:r>
            <w:r>
              <w:rPr>
                <w:noProof/>
                <w:webHidden/>
              </w:rPr>
              <w:t>38</w:t>
            </w:r>
            <w:r>
              <w:rPr>
                <w:noProof/>
                <w:webHidden/>
              </w:rPr>
              <w:fldChar w:fldCharType="end"/>
            </w:r>
          </w:hyperlink>
        </w:p>
        <w:p w14:paraId="03A00D31" w14:textId="0331F55D" w:rsidR="00786B60" w:rsidRDefault="00786B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41701" w:history="1">
            <w:r w:rsidRPr="005C55F1">
              <w:rPr>
                <w:rStyle w:val="Hyperlink"/>
                <w:noProof/>
              </w:rPr>
              <w:t>Specific conditions of registration</w:t>
            </w:r>
            <w:r>
              <w:rPr>
                <w:noProof/>
                <w:webHidden/>
              </w:rPr>
              <w:tab/>
            </w:r>
            <w:r>
              <w:rPr>
                <w:noProof/>
                <w:webHidden/>
              </w:rPr>
              <w:fldChar w:fldCharType="begin"/>
            </w:r>
            <w:r>
              <w:rPr>
                <w:noProof/>
                <w:webHidden/>
              </w:rPr>
              <w:instrText xml:space="preserve"> PAGEREF _Toc223341701 \h </w:instrText>
            </w:r>
            <w:r>
              <w:rPr>
                <w:noProof/>
                <w:webHidden/>
              </w:rPr>
            </w:r>
            <w:r>
              <w:rPr>
                <w:noProof/>
                <w:webHidden/>
              </w:rPr>
              <w:fldChar w:fldCharType="separate"/>
            </w:r>
            <w:r>
              <w:rPr>
                <w:noProof/>
                <w:webHidden/>
              </w:rPr>
              <w:t>38</w:t>
            </w:r>
            <w:r>
              <w:rPr>
                <w:noProof/>
                <w:webHidden/>
              </w:rPr>
              <w:fldChar w:fldCharType="end"/>
            </w:r>
          </w:hyperlink>
        </w:p>
        <w:p w14:paraId="2E26BDD6" w14:textId="1607FBEA" w:rsidR="00786B60" w:rsidRDefault="00786B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23341702" w:history="1">
            <w:r w:rsidRPr="005C55F1">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_Toc223341702 \h </w:instrText>
            </w:r>
            <w:r>
              <w:rPr>
                <w:noProof/>
                <w:webHidden/>
              </w:rPr>
            </w:r>
            <w:r>
              <w:rPr>
                <w:noProof/>
                <w:webHidden/>
              </w:rPr>
              <w:fldChar w:fldCharType="separate"/>
            </w:r>
            <w:r>
              <w:rPr>
                <w:noProof/>
                <w:webHidden/>
              </w:rPr>
              <w:t>39</w:t>
            </w:r>
            <w:r>
              <w:rPr>
                <w:noProof/>
                <w:webHidden/>
              </w:rPr>
              <w:fldChar w:fldCharType="end"/>
            </w:r>
          </w:hyperlink>
        </w:p>
        <w:p w14:paraId="77659F2D" w14:textId="1F4D7497"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1" w:name="_Toc98931917"/>
      <w:bookmarkStart w:id="2" w:name="_Toc103679287"/>
      <w:bookmarkStart w:id="3" w:name="_Toc223341677"/>
      <w:bookmarkStart w:id="4" w:name="_Toc323739589"/>
      <w:bookmarkStart w:id="5" w:name="_Toc356305216"/>
      <w:r>
        <w:lastRenderedPageBreak/>
        <w:t>List of abbreviations</w:t>
      </w:r>
      <w:bookmarkEnd w:id="1"/>
      <w:bookmarkEnd w:id="2"/>
      <w:bookmarkEnd w:id="3"/>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287DC0CA" w:rsidR="00324B33" w:rsidRPr="00D01DDB" w:rsidRDefault="00324B33" w:rsidP="00324B33">
            <w:pPr>
              <w:rPr>
                <w:szCs w:val="22"/>
              </w:rPr>
            </w:pPr>
            <w:r w:rsidRPr="00D01DDB">
              <w:rPr>
                <w:szCs w:val="22"/>
              </w:rPr>
              <w:t>ACV</w:t>
            </w:r>
          </w:p>
        </w:tc>
        <w:tc>
          <w:tcPr>
            <w:tcW w:w="3800" w:type="pct"/>
          </w:tcPr>
          <w:p w14:paraId="5072E244" w14:textId="7B59D1A8"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Vaccines</w:t>
            </w:r>
          </w:p>
        </w:tc>
      </w:tr>
      <w:tr w:rsidR="00E5359D" w:rsidRPr="00D01DDB" w14:paraId="180E246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799A04" w14:textId="3A099953" w:rsidR="00E5359D" w:rsidRPr="00D01DDB" w:rsidRDefault="00E5359D" w:rsidP="00324B33">
            <w:pPr>
              <w:rPr>
                <w:szCs w:val="22"/>
              </w:rPr>
            </w:pPr>
            <w:r>
              <w:rPr>
                <w:szCs w:val="22"/>
              </w:rPr>
              <w:t>AE</w:t>
            </w:r>
            <w:r w:rsidR="00FB1EB5">
              <w:rPr>
                <w:szCs w:val="22"/>
              </w:rPr>
              <w:t>(s)</w:t>
            </w:r>
          </w:p>
        </w:tc>
        <w:tc>
          <w:tcPr>
            <w:tcW w:w="3800" w:type="pct"/>
          </w:tcPr>
          <w:p w14:paraId="69165029" w14:textId="72E0F2D3" w:rsidR="00E5359D" w:rsidRPr="00D01DDB" w:rsidRDefault="00E5359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Adverse event</w:t>
            </w:r>
            <w:r w:rsidR="00FB1EB5">
              <w:rPr>
                <w:szCs w:val="22"/>
              </w:rPr>
              <w:t>(s)</w:t>
            </w:r>
          </w:p>
        </w:tc>
      </w:tr>
      <w:tr w:rsidR="006669FE" w:rsidRPr="00D01DDB" w14:paraId="1BA9FBD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CCD2AF" w14:textId="6EAAD325" w:rsidR="006669FE" w:rsidRDefault="006669FE" w:rsidP="00324B33">
            <w:pPr>
              <w:rPr>
                <w:szCs w:val="22"/>
              </w:rPr>
            </w:pPr>
            <w:r>
              <w:rPr>
                <w:szCs w:val="22"/>
              </w:rPr>
              <w:t>AESIs</w:t>
            </w:r>
          </w:p>
        </w:tc>
        <w:tc>
          <w:tcPr>
            <w:tcW w:w="3800" w:type="pct"/>
          </w:tcPr>
          <w:p w14:paraId="13BB8354" w14:textId="64816FA9" w:rsidR="006669FE" w:rsidRDefault="006669FE" w:rsidP="00324B33">
            <w:pPr>
              <w:cnfStyle w:val="000000000000" w:firstRow="0" w:lastRow="0" w:firstColumn="0" w:lastColumn="0" w:oddVBand="0" w:evenVBand="0" w:oddHBand="0" w:evenHBand="0" w:firstRowFirstColumn="0" w:firstRowLastColumn="0" w:lastRowFirstColumn="0" w:lastRowLastColumn="0"/>
              <w:rPr>
                <w:szCs w:val="22"/>
              </w:rPr>
            </w:pPr>
            <w:r w:rsidRPr="006669FE">
              <w:rPr>
                <w:iCs/>
                <w:szCs w:val="22"/>
              </w:rPr>
              <w:t>Adverse events of special interest</w:t>
            </w:r>
          </w:p>
        </w:tc>
      </w:tr>
      <w:tr w:rsidR="001136E5" w:rsidRPr="00D01DDB" w14:paraId="21324F9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D400A65" w14:textId="6B64BBCE" w:rsidR="001136E5" w:rsidRDefault="001136E5" w:rsidP="00324B33">
            <w:pPr>
              <w:rPr>
                <w:szCs w:val="22"/>
              </w:rPr>
            </w:pPr>
            <w:r>
              <w:rPr>
                <w:szCs w:val="22"/>
              </w:rPr>
              <w:t>AET</w:t>
            </w:r>
          </w:p>
        </w:tc>
        <w:tc>
          <w:tcPr>
            <w:tcW w:w="3800" w:type="pct"/>
          </w:tcPr>
          <w:p w14:paraId="4CDBA413" w14:textId="09B9C75C" w:rsidR="001136E5" w:rsidRPr="006669FE" w:rsidRDefault="001136E5" w:rsidP="00324B33">
            <w:pPr>
              <w:cnfStyle w:val="000000000000" w:firstRow="0" w:lastRow="0" w:firstColumn="0" w:lastColumn="0" w:oddVBand="0" w:evenVBand="0" w:oddHBand="0" w:evenHBand="0" w:firstRowFirstColumn="0" w:firstRowLastColumn="0" w:lastRowFirstColumn="0" w:lastRowLastColumn="0"/>
              <w:rPr>
                <w:iCs/>
                <w:szCs w:val="22"/>
              </w:rPr>
            </w:pPr>
            <w:r>
              <w:rPr>
                <w:iCs/>
                <w:szCs w:val="22"/>
              </w:rPr>
              <w:t>A</w:t>
            </w:r>
            <w:r w:rsidRPr="001136E5">
              <w:rPr>
                <w:iCs/>
                <w:szCs w:val="22"/>
              </w:rPr>
              <w:t>djuvant endocrine therapy</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9B1ED6" w:rsidRPr="00D01DDB" w14:paraId="7663AD1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44C43BE" w14:textId="17DF76BB" w:rsidR="009B1ED6" w:rsidRPr="00D01DDB" w:rsidRDefault="009B1ED6" w:rsidP="00324B33">
            <w:pPr>
              <w:rPr>
                <w:szCs w:val="22"/>
              </w:rPr>
            </w:pPr>
            <w:r>
              <w:rPr>
                <w:szCs w:val="22"/>
              </w:rPr>
              <w:t>AUC</w:t>
            </w:r>
          </w:p>
        </w:tc>
        <w:tc>
          <w:tcPr>
            <w:tcW w:w="3800" w:type="pct"/>
          </w:tcPr>
          <w:p w14:paraId="6CCFAE6E" w14:textId="49B42091" w:rsidR="009B1ED6" w:rsidRPr="00D01DDB" w:rsidRDefault="009B1ED6" w:rsidP="00324B33">
            <w:pPr>
              <w:cnfStyle w:val="000000000000" w:firstRow="0" w:lastRow="0" w:firstColumn="0" w:lastColumn="0" w:oddVBand="0" w:evenVBand="0" w:oddHBand="0" w:evenHBand="0" w:firstRowFirstColumn="0" w:firstRowLastColumn="0" w:lastRowFirstColumn="0" w:lastRowLastColumn="0"/>
              <w:rPr>
                <w:szCs w:val="22"/>
              </w:rPr>
            </w:pPr>
            <w:r w:rsidRPr="009B1ED6">
              <w:rPr>
                <w:szCs w:val="22"/>
              </w:rPr>
              <w:t>Area under the concentration-time curve</w:t>
            </w:r>
          </w:p>
        </w:tc>
      </w:tr>
      <w:tr w:rsidR="004B3FEC" w:rsidRPr="00D01DDB" w14:paraId="2815FEA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64C797" w14:textId="6ED7CBA5" w:rsidR="004B3FEC" w:rsidRDefault="004B3FEC" w:rsidP="00324B33">
            <w:pPr>
              <w:rPr>
                <w:szCs w:val="22"/>
              </w:rPr>
            </w:pPr>
            <w:r w:rsidRPr="004B3FEC">
              <w:rPr>
                <w:bCs/>
                <w:szCs w:val="22"/>
              </w:rPr>
              <w:t>AUC</w:t>
            </w:r>
            <w:r w:rsidRPr="004B3FEC">
              <w:rPr>
                <w:bCs/>
                <w:szCs w:val="22"/>
                <w:vertAlign w:val="subscript"/>
              </w:rPr>
              <w:t>0-24h</w:t>
            </w:r>
          </w:p>
        </w:tc>
        <w:tc>
          <w:tcPr>
            <w:tcW w:w="3800" w:type="pct"/>
          </w:tcPr>
          <w:p w14:paraId="5F49AA45" w14:textId="34273ABA" w:rsidR="004B3FEC" w:rsidRPr="009B1ED6" w:rsidRDefault="00D11865" w:rsidP="00324B33">
            <w:pPr>
              <w:cnfStyle w:val="000000000000" w:firstRow="0" w:lastRow="0" w:firstColumn="0" w:lastColumn="0" w:oddVBand="0" w:evenVBand="0" w:oddHBand="0" w:evenHBand="0" w:firstRowFirstColumn="0" w:firstRowLastColumn="0" w:lastRowFirstColumn="0" w:lastRowLastColumn="0"/>
              <w:rPr>
                <w:szCs w:val="22"/>
              </w:rPr>
            </w:pPr>
            <w:r w:rsidRPr="00D11865">
              <w:rPr>
                <w:szCs w:val="22"/>
              </w:rPr>
              <w:t>Area under the concentration time curve from time zero to 24 hours</w:t>
            </w:r>
          </w:p>
        </w:tc>
      </w:tr>
      <w:tr w:rsidR="00184DC5" w:rsidRPr="00D01DDB" w14:paraId="2839F36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479BCE1" w14:textId="523A7687" w:rsidR="00184DC5" w:rsidRPr="004B3FEC" w:rsidRDefault="00184DC5" w:rsidP="00324B33">
            <w:pPr>
              <w:rPr>
                <w:bCs/>
                <w:szCs w:val="22"/>
              </w:rPr>
            </w:pPr>
            <w:r w:rsidRPr="00184DC5">
              <w:rPr>
                <w:bCs/>
                <w:szCs w:val="22"/>
              </w:rPr>
              <w:t>AUC</w:t>
            </w:r>
            <w:r w:rsidRPr="00184DC5">
              <w:rPr>
                <w:bCs/>
                <w:szCs w:val="22"/>
                <w:vertAlign w:val="subscript"/>
              </w:rPr>
              <w:t>inf</w:t>
            </w:r>
          </w:p>
        </w:tc>
        <w:tc>
          <w:tcPr>
            <w:tcW w:w="3800" w:type="pct"/>
          </w:tcPr>
          <w:p w14:paraId="6D4FC4B3" w14:textId="7F8203B5" w:rsidR="00184DC5" w:rsidRPr="00D11865" w:rsidRDefault="004E617C" w:rsidP="00324B33">
            <w:pPr>
              <w:cnfStyle w:val="000000000000" w:firstRow="0" w:lastRow="0" w:firstColumn="0" w:lastColumn="0" w:oddVBand="0" w:evenVBand="0" w:oddHBand="0" w:evenHBand="0" w:firstRowFirstColumn="0" w:firstRowLastColumn="0" w:lastRowFirstColumn="0" w:lastRowLastColumn="0"/>
              <w:rPr>
                <w:szCs w:val="22"/>
              </w:rPr>
            </w:pPr>
            <w:r w:rsidRPr="004E617C">
              <w:rPr>
                <w:szCs w:val="22"/>
              </w:rPr>
              <w:t>Area under the concentration time curve</w:t>
            </w:r>
            <w:r w:rsidR="00907A46">
              <w:rPr>
                <w:szCs w:val="22"/>
              </w:rPr>
              <w:t xml:space="preserve"> to infinity</w:t>
            </w:r>
          </w:p>
        </w:tc>
      </w:tr>
      <w:tr w:rsidR="00B54A80" w:rsidRPr="00D01DDB" w14:paraId="7C4094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4A3FBD2" w14:textId="548BED06" w:rsidR="00B54A80" w:rsidRPr="00D01DDB" w:rsidRDefault="00B54A80" w:rsidP="00324B33">
            <w:pPr>
              <w:rPr>
                <w:szCs w:val="22"/>
              </w:rPr>
            </w:pPr>
            <w:proofErr w:type="spellStart"/>
            <w:r w:rsidRPr="00DB128D">
              <w:rPr>
                <w:szCs w:val="22"/>
              </w:rPr>
              <w:t>AUC</w:t>
            </w:r>
            <w:r w:rsidRPr="00DB128D">
              <w:rPr>
                <w:szCs w:val="22"/>
                <w:vertAlign w:val="subscript"/>
              </w:rPr>
              <w:t>ss</w:t>
            </w:r>
            <w:proofErr w:type="spellEnd"/>
          </w:p>
        </w:tc>
        <w:tc>
          <w:tcPr>
            <w:tcW w:w="3800" w:type="pct"/>
          </w:tcPr>
          <w:p w14:paraId="52009AD4" w14:textId="40B4D170" w:rsidR="00B54A80" w:rsidRPr="00D01DDB" w:rsidRDefault="009B1ED6" w:rsidP="00324B33">
            <w:pPr>
              <w:cnfStyle w:val="000000000000" w:firstRow="0" w:lastRow="0" w:firstColumn="0" w:lastColumn="0" w:oddVBand="0" w:evenVBand="0" w:oddHBand="0" w:evenHBand="0" w:firstRowFirstColumn="0" w:firstRowLastColumn="0" w:lastRowFirstColumn="0" w:lastRowLastColumn="0"/>
              <w:rPr>
                <w:szCs w:val="22"/>
              </w:rPr>
            </w:pPr>
            <w:r w:rsidRPr="009B1ED6">
              <w:rPr>
                <w:szCs w:val="22"/>
              </w:rPr>
              <w:t>Area under the concentration time curve at steady state</w:t>
            </w:r>
          </w:p>
        </w:tc>
      </w:tr>
      <w:tr w:rsidR="00B42779" w:rsidRPr="00D01DDB" w14:paraId="4546877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62D294" w14:textId="3DC7BAD2" w:rsidR="00B42779" w:rsidRPr="00DB128D" w:rsidRDefault="00B42779" w:rsidP="00324B33">
            <w:pPr>
              <w:rPr>
                <w:szCs w:val="22"/>
              </w:rPr>
            </w:pPr>
            <w:proofErr w:type="spellStart"/>
            <w:r w:rsidRPr="00B42779">
              <w:rPr>
                <w:szCs w:val="22"/>
              </w:rPr>
              <w:t>AUC</w:t>
            </w:r>
            <w:r w:rsidRPr="00B42779">
              <w:rPr>
                <w:szCs w:val="22"/>
                <w:vertAlign w:val="subscript"/>
              </w:rPr>
              <w:t>u</w:t>
            </w:r>
            <w:proofErr w:type="spellEnd"/>
          </w:p>
        </w:tc>
        <w:tc>
          <w:tcPr>
            <w:tcW w:w="3800" w:type="pct"/>
          </w:tcPr>
          <w:p w14:paraId="06354937" w14:textId="056735C2" w:rsidR="00B42779" w:rsidRPr="009B1ED6" w:rsidRDefault="00B42779" w:rsidP="00324B33">
            <w:pPr>
              <w:cnfStyle w:val="000000000000" w:firstRow="0" w:lastRow="0" w:firstColumn="0" w:lastColumn="0" w:oddVBand="0" w:evenVBand="0" w:oddHBand="0" w:evenHBand="0" w:firstRowFirstColumn="0" w:firstRowLastColumn="0" w:lastRowFirstColumn="0" w:lastRowLastColumn="0"/>
              <w:rPr>
                <w:szCs w:val="22"/>
              </w:rPr>
            </w:pPr>
            <w:r w:rsidRPr="00B42779">
              <w:rPr>
                <w:szCs w:val="22"/>
              </w:rPr>
              <w:t xml:space="preserve">Area under the concentration </w:t>
            </w:r>
            <w:r>
              <w:rPr>
                <w:szCs w:val="22"/>
              </w:rPr>
              <w:t>unbound</w:t>
            </w:r>
          </w:p>
        </w:tc>
      </w:tr>
      <w:tr w:rsidR="006F77C8" w:rsidRPr="00D01DDB" w14:paraId="5E90E79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486541" w14:textId="7811C706" w:rsidR="006F77C8" w:rsidRPr="00DB128D" w:rsidRDefault="006F77C8" w:rsidP="00324B33">
            <w:pPr>
              <w:rPr>
                <w:szCs w:val="22"/>
              </w:rPr>
            </w:pPr>
            <w:r w:rsidRPr="006F77C8">
              <w:rPr>
                <w:szCs w:val="22"/>
              </w:rPr>
              <w:t>BMI</w:t>
            </w:r>
          </w:p>
        </w:tc>
        <w:tc>
          <w:tcPr>
            <w:tcW w:w="3800" w:type="pct"/>
          </w:tcPr>
          <w:p w14:paraId="2E611C8C" w14:textId="090F0DDC" w:rsidR="006F77C8" w:rsidRPr="009B1ED6" w:rsidRDefault="00B361F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Body mass index</w:t>
            </w:r>
          </w:p>
        </w:tc>
      </w:tr>
      <w:tr w:rsidR="004B3FEC" w:rsidRPr="00D01DDB" w14:paraId="58070F6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EB4ED04" w14:textId="54BBAA62" w:rsidR="004B3FEC" w:rsidRPr="00DB128D" w:rsidRDefault="004B3FEC" w:rsidP="00324B33">
            <w:pPr>
              <w:rPr>
                <w:szCs w:val="22"/>
              </w:rPr>
            </w:pPr>
            <w:r>
              <w:rPr>
                <w:szCs w:val="22"/>
              </w:rPr>
              <w:t>CI</w:t>
            </w:r>
          </w:p>
        </w:tc>
        <w:tc>
          <w:tcPr>
            <w:tcW w:w="3800" w:type="pct"/>
          </w:tcPr>
          <w:p w14:paraId="7DF5C157" w14:textId="43379B70" w:rsidR="004B3FEC" w:rsidRPr="009B1ED6" w:rsidRDefault="004B3FE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Confidence interval</w:t>
            </w:r>
          </w:p>
        </w:tc>
      </w:tr>
      <w:tr w:rsidR="00C73997" w:rsidRPr="00D01DDB" w14:paraId="561963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F7A0DC" w14:textId="27139F41" w:rsidR="00C73997" w:rsidRPr="00D01DDB" w:rsidRDefault="00C73997" w:rsidP="00324B33">
            <w:pPr>
              <w:rPr>
                <w:szCs w:val="22"/>
              </w:rPr>
            </w:pPr>
            <w:proofErr w:type="spellStart"/>
            <w:r w:rsidRPr="00DB128D">
              <w:rPr>
                <w:szCs w:val="22"/>
              </w:rPr>
              <w:t>C</w:t>
            </w:r>
            <w:r w:rsidRPr="00DB128D">
              <w:rPr>
                <w:szCs w:val="22"/>
                <w:vertAlign w:val="subscript"/>
              </w:rPr>
              <w:t>max</w:t>
            </w:r>
            <w:proofErr w:type="spellEnd"/>
          </w:p>
        </w:tc>
        <w:tc>
          <w:tcPr>
            <w:tcW w:w="3800" w:type="pct"/>
          </w:tcPr>
          <w:p w14:paraId="23E2FD3A" w14:textId="5727E7A3" w:rsidR="00C73997" w:rsidRPr="00D01DDB" w:rsidRDefault="004F735F" w:rsidP="00324B33">
            <w:pPr>
              <w:cnfStyle w:val="000000000000" w:firstRow="0" w:lastRow="0" w:firstColumn="0" w:lastColumn="0" w:oddVBand="0" w:evenVBand="0" w:oddHBand="0" w:evenHBand="0" w:firstRowFirstColumn="0" w:firstRowLastColumn="0" w:lastRowFirstColumn="0" w:lastRowLastColumn="0"/>
              <w:rPr>
                <w:szCs w:val="22"/>
              </w:rPr>
            </w:pPr>
            <w:r w:rsidRPr="004F735F">
              <w:rPr>
                <w:szCs w:val="22"/>
              </w:rPr>
              <w:t>Maximum concentration</w:t>
            </w:r>
          </w:p>
        </w:tc>
      </w:tr>
      <w:tr w:rsidR="00B42779" w:rsidRPr="00D01DDB" w14:paraId="4FD6FFC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2CAE92" w14:textId="41DEBDE4" w:rsidR="00B42779" w:rsidRPr="00DB128D" w:rsidRDefault="00B42779" w:rsidP="00324B33">
            <w:pPr>
              <w:rPr>
                <w:szCs w:val="22"/>
              </w:rPr>
            </w:pPr>
            <w:proofErr w:type="spellStart"/>
            <w:proofErr w:type="gramStart"/>
            <w:r w:rsidRPr="00B42779">
              <w:rPr>
                <w:szCs w:val="22"/>
              </w:rPr>
              <w:t>C</w:t>
            </w:r>
            <w:r w:rsidRPr="00B42779">
              <w:rPr>
                <w:szCs w:val="22"/>
                <w:vertAlign w:val="subscript"/>
              </w:rPr>
              <w:t>max,u</w:t>
            </w:r>
            <w:proofErr w:type="spellEnd"/>
            <w:proofErr w:type="gramEnd"/>
          </w:p>
        </w:tc>
        <w:tc>
          <w:tcPr>
            <w:tcW w:w="3800" w:type="pct"/>
          </w:tcPr>
          <w:p w14:paraId="4B31C81E" w14:textId="7958D38D" w:rsidR="00B42779" w:rsidRPr="004F735F" w:rsidRDefault="00B4277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Max concentration unbound</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2E4ABB" w:rsidRPr="00D01DDB" w14:paraId="4C44D99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341E7B" w14:textId="6216825B" w:rsidR="002E4ABB" w:rsidRPr="00D01DDB" w:rsidRDefault="002E4ABB" w:rsidP="00324B33">
            <w:pPr>
              <w:rPr>
                <w:szCs w:val="22"/>
              </w:rPr>
            </w:pPr>
            <w:r>
              <w:rPr>
                <w:szCs w:val="22"/>
              </w:rPr>
              <w:t>CNS</w:t>
            </w:r>
          </w:p>
        </w:tc>
        <w:tc>
          <w:tcPr>
            <w:tcW w:w="3800" w:type="pct"/>
          </w:tcPr>
          <w:p w14:paraId="1C8242AE" w14:textId="335E8E51" w:rsidR="002E4ABB" w:rsidRPr="00D01DDB" w:rsidRDefault="002E4AB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2E4ABB">
              <w:rPr>
                <w:szCs w:val="22"/>
              </w:rPr>
              <w:t>entral nervous system</w:t>
            </w:r>
          </w:p>
        </w:tc>
      </w:tr>
      <w:tr w:rsidR="00D30D29" w:rsidRPr="00D01DDB" w14:paraId="01FE9C6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B99ADA2" w14:textId="1228DC79" w:rsidR="00D30D29" w:rsidRDefault="00D30D29" w:rsidP="00324B33">
            <w:pPr>
              <w:rPr>
                <w:szCs w:val="22"/>
              </w:rPr>
            </w:pPr>
            <w:r>
              <w:rPr>
                <w:szCs w:val="22"/>
              </w:rPr>
              <w:t>CV</w:t>
            </w:r>
          </w:p>
        </w:tc>
        <w:tc>
          <w:tcPr>
            <w:tcW w:w="3800" w:type="pct"/>
          </w:tcPr>
          <w:p w14:paraId="01A715DE" w14:textId="519AEB9A" w:rsidR="00D30D29" w:rsidRDefault="00D30D29" w:rsidP="00324B33">
            <w:pPr>
              <w:cnfStyle w:val="000000000000" w:firstRow="0" w:lastRow="0" w:firstColumn="0" w:lastColumn="0" w:oddVBand="0" w:evenVBand="0" w:oddHBand="0" w:evenHBand="0" w:firstRowFirstColumn="0" w:firstRowLastColumn="0" w:lastRowFirstColumn="0" w:lastRowLastColumn="0"/>
              <w:rPr>
                <w:szCs w:val="22"/>
              </w:rPr>
            </w:pPr>
            <w:r w:rsidRPr="00D30D29">
              <w:rPr>
                <w:szCs w:val="22"/>
              </w:rPr>
              <w:t>Coefficient of variation</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9B6334" w:rsidRPr="00D01DDB" w14:paraId="4DFFCD8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824B8D1" w14:textId="43A8B809" w:rsidR="009B6334" w:rsidRPr="00D01DDB" w:rsidRDefault="009B6334" w:rsidP="00324B33">
            <w:pPr>
              <w:rPr>
                <w:szCs w:val="22"/>
              </w:rPr>
            </w:pPr>
            <w:r>
              <w:rPr>
                <w:szCs w:val="22"/>
              </w:rPr>
              <w:t>EC</w:t>
            </w:r>
            <w:r w:rsidRPr="009B6334">
              <w:rPr>
                <w:szCs w:val="22"/>
                <w:vertAlign w:val="subscript"/>
              </w:rPr>
              <w:t>50</w:t>
            </w:r>
          </w:p>
        </w:tc>
        <w:tc>
          <w:tcPr>
            <w:tcW w:w="3800" w:type="pct"/>
          </w:tcPr>
          <w:p w14:paraId="03D2EDF7" w14:textId="201D6841" w:rsidR="009B6334" w:rsidRPr="00D01DDB" w:rsidRDefault="009B6334" w:rsidP="00324B33">
            <w:pPr>
              <w:cnfStyle w:val="000000000000" w:firstRow="0" w:lastRow="0" w:firstColumn="0" w:lastColumn="0" w:oddVBand="0" w:evenVBand="0" w:oddHBand="0" w:evenHBand="0" w:firstRowFirstColumn="0" w:firstRowLastColumn="0" w:lastRowFirstColumn="0" w:lastRowLastColumn="0"/>
              <w:rPr>
                <w:szCs w:val="22"/>
              </w:rPr>
            </w:pPr>
            <w:r w:rsidRPr="009B6334">
              <w:rPr>
                <w:szCs w:val="22"/>
              </w:rPr>
              <w:t>Half (50%) maximal effective concentration</w:t>
            </w:r>
          </w:p>
        </w:tc>
      </w:tr>
      <w:tr w:rsidR="004C3443" w:rsidRPr="00D01DDB" w14:paraId="3F26576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333F3AC" w14:textId="1FCC6111" w:rsidR="004C3443" w:rsidRDefault="004C3443" w:rsidP="00324B33">
            <w:pPr>
              <w:rPr>
                <w:szCs w:val="22"/>
              </w:rPr>
            </w:pPr>
            <w:r>
              <w:rPr>
                <w:szCs w:val="22"/>
              </w:rPr>
              <w:t>EOT</w:t>
            </w:r>
          </w:p>
        </w:tc>
        <w:tc>
          <w:tcPr>
            <w:tcW w:w="3800" w:type="pct"/>
          </w:tcPr>
          <w:p w14:paraId="5B17E7D9" w14:textId="46474CAF" w:rsidR="004C3443" w:rsidRPr="009B6334" w:rsidRDefault="004C344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End-of-treatment</w:t>
            </w:r>
          </w:p>
        </w:tc>
      </w:tr>
      <w:tr w:rsidR="00BC127D" w:rsidRPr="00D01DDB" w14:paraId="15C49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E71406" w14:textId="21AB221F" w:rsidR="00BC127D" w:rsidRPr="00D01DDB" w:rsidRDefault="00BC127D" w:rsidP="00324B33">
            <w:pPr>
              <w:rPr>
                <w:szCs w:val="22"/>
              </w:rPr>
            </w:pPr>
            <w:r>
              <w:rPr>
                <w:szCs w:val="22"/>
              </w:rPr>
              <w:t>EU</w:t>
            </w:r>
          </w:p>
        </w:tc>
        <w:tc>
          <w:tcPr>
            <w:tcW w:w="3800" w:type="pct"/>
          </w:tcPr>
          <w:p w14:paraId="1BF80AD7" w14:textId="324A09DA" w:rsidR="00BC127D" w:rsidRPr="00D01DDB" w:rsidRDefault="00BC127D" w:rsidP="00324B33">
            <w:pPr>
              <w:cnfStyle w:val="000000000000" w:firstRow="0" w:lastRow="0" w:firstColumn="0" w:lastColumn="0" w:oddVBand="0" w:evenVBand="0" w:oddHBand="0" w:evenHBand="0" w:firstRowFirstColumn="0" w:firstRowLastColumn="0" w:lastRowFirstColumn="0" w:lastRowLastColumn="0"/>
              <w:rPr>
                <w:szCs w:val="22"/>
              </w:rPr>
            </w:pPr>
            <w:r w:rsidRPr="00BC127D">
              <w:rPr>
                <w:szCs w:val="22"/>
              </w:rPr>
              <w:t>European Union</w:t>
            </w:r>
          </w:p>
        </w:tc>
      </w:tr>
      <w:tr w:rsidR="00C811FE" w:rsidRPr="00D01DDB" w14:paraId="762CD36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788FFC" w14:textId="2F96A6FD" w:rsidR="00C811FE" w:rsidRDefault="00C811FE" w:rsidP="00324B33">
            <w:pPr>
              <w:rPr>
                <w:szCs w:val="22"/>
              </w:rPr>
            </w:pPr>
            <w:r w:rsidRPr="00C811FE">
              <w:rPr>
                <w:szCs w:val="22"/>
              </w:rPr>
              <w:t>FAS</w:t>
            </w:r>
          </w:p>
        </w:tc>
        <w:tc>
          <w:tcPr>
            <w:tcW w:w="3800" w:type="pct"/>
          </w:tcPr>
          <w:p w14:paraId="7638A55D" w14:textId="7D0F17BC" w:rsidR="00C811FE" w:rsidRPr="00BC127D" w:rsidRDefault="002C2AB9" w:rsidP="00324B33">
            <w:pPr>
              <w:cnfStyle w:val="000000000000" w:firstRow="0" w:lastRow="0" w:firstColumn="0" w:lastColumn="0" w:oddVBand="0" w:evenVBand="0" w:oddHBand="0" w:evenHBand="0" w:firstRowFirstColumn="0" w:firstRowLastColumn="0" w:lastRowFirstColumn="0" w:lastRowLastColumn="0"/>
              <w:rPr>
                <w:szCs w:val="22"/>
              </w:rPr>
            </w:pPr>
            <w:r w:rsidRPr="002C2AB9">
              <w:rPr>
                <w:szCs w:val="22"/>
              </w:rPr>
              <w:t>Full analysis set</w:t>
            </w:r>
          </w:p>
        </w:tc>
      </w:tr>
      <w:tr w:rsidR="009A4FA0" w:rsidRPr="00D01DDB" w14:paraId="4402E2F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7ECCDC0" w14:textId="40EC223C" w:rsidR="009A4FA0" w:rsidRPr="00D01DDB" w:rsidRDefault="009A4FA0" w:rsidP="00324B33">
            <w:pPr>
              <w:rPr>
                <w:szCs w:val="22"/>
              </w:rPr>
            </w:pPr>
            <w:r>
              <w:rPr>
                <w:szCs w:val="22"/>
              </w:rPr>
              <w:t>FDA</w:t>
            </w:r>
          </w:p>
        </w:tc>
        <w:tc>
          <w:tcPr>
            <w:tcW w:w="3800" w:type="pct"/>
          </w:tcPr>
          <w:p w14:paraId="429E0A6E" w14:textId="267729E5" w:rsidR="009A4FA0" w:rsidRPr="00D01DDB" w:rsidRDefault="009A4FA0"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Food and Drug Administration</w:t>
            </w:r>
          </w:p>
        </w:tc>
      </w:tr>
      <w:tr w:rsidR="00E34D14" w:rsidRPr="00D01DDB" w14:paraId="025055A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3E586E" w14:textId="636C86F3" w:rsidR="00E34D14" w:rsidRDefault="00E34D14" w:rsidP="00324B33">
            <w:pPr>
              <w:rPr>
                <w:szCs w:val="22"/>
              </w:rPr>
            </w:pPr>
            <w:r>
              <w:rPr>
                <w:szCs w:val="22"/>
              </w:rPr>
              <w:t>FSH</w:t>
            </w:r>
          </w:p>
        </w:tc>
        <w:tc>
          <w:tcPr>
            <w:tcW w:w="3800" w:type="pct"/>
          </w:tcPr>
          <w:p w14:paraId="0DD3682E" w14:textId="097A5AD7" w:rsidR="00E34D14" w:rsidRDefault="00143D1F" w:rsidP="00324B33">
            <w:pPr>
              <w:cnfStyle w:val="000000000000" w:firstRow="0" w:lastRow="0" w:firstColumn="0" w:lastColumn="0" w:oddVBand="0" w:evenVBand="0" w:oddHBand="0" w:evenHBand="0" w:firstRowFirstColumn="0" w:firstRowLastColumn="0" w:lastRowFirstColumn="0" w:lastRowLastColumn="0"/>
              <w:rPr>
                <w:szCs w:val="22"/>
              </w:rPr>
            </w:pPr>
            <w:r w:rsidRPr="00143D1F">
              <w:rPr>
                <w:szCs w:val="22"/>
              </w:rPr>
              <w:t>Follicle stimulating hormone</w:t>
            </w:r>
          </w:p>
        </w:tc>
      </w:tr>
      <w:tr w:rsidR="00EC0516" w:rsidRPr="00D01DDB" w14:paraId="1D9B290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D41802" w14:textId="3589C078" w:rsidR="00EC0516" w:rsidRDefault="00EC0516" w:rsidP="00324B33">
            <w:pPr>
              <w:rPr>
                <w:szCs w:val="22"/>
              </w:rPr>
            </w:pPr>
            <w:r w:rsidRPr="00DB128D">
              <w:rPr>
                <w:szCs w:val="22"/>
              </w:rPr>
              <w:t>f</w:t>
            </w:r>
            <w:r w:rsidRPr="00DB128D">
              <w:rPr>
                <w:szCs w:val="22"/>
                <w:vertAlign w:val="subscript"/>
              </w:rPr>
              <w:t>u</w:t>
            </w:r>
          </w:p>
        </w:tc>
        <w:tc>
          <w:tcPr>
            <w:tcW w:w="3800" w:type="pct"/>
          </w:tcPr>
          <w:p w14:paraId="71A9E3F5" w14:textId="5BE8AC2F" w:rsidR="00EC0516" w:rsidRPr="00143D1F" w:rsidRDefault="00510E9B" w:rsidP="00324B33">
            <w:pPr>
              <w:cnfStyle w:val="000000000000" w:firstRow="0" w:lastRow="0" w:firstColumn="0" w:lastColumn="0" w:oddVBand="0" w:evenVBand="0" w:oddHBand="0" w:evenHBand="0" w:firstRowFirstColumn="0" w:firstRowLastColumn="0" w:lastRowFirstColumn="0" w:lastRowLastColumn="0"/>
              <w:rPr>
                <w:szCs w:val="22"/>
              </w:rPr>
            </w:pPr>
            <w:r w:rsidRPr="00510E9B">
              <w:rPr>
                <w:szCs w:val="22"/>
              </w:rPr>
              <w:t>Fraction of total drug that is unbound in plasma</w:t>
            </w:r>
          </w:p>
        </w:tc>
      </w:tr>
      <w:tr w:rsidR="005925DB" w:rsidRPr="00D01DDB" w14:paraId="6E76A38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9D9B59" w14:textId="50C51C9D" w:rsidR="005925DB" w:rsidRPr="00D01DDB" w:rsidRDefault="002A5B6E" w:rsidP="00324B33">
            <w:pPr>
              <w:rPr>
                <w:szCs w:val="22"/>
              </w:rPr>
            </w:pPr>
            <w:r>
              <w:rPr>
                <w:szCs w:val="22"/>
              </w:rPr>
              <w:t>GLP</w:t>
            </w:r>
          </w:p>
        </w:tc>
        <w:tc>
          <w:tcPr>
            <w:tcW w:w="3800" w:type="pct"/>
          </w:tcPr>
          <w:p w14:paraId="315D9700" w14:textId="76623C86" w:rsidR="005925DB" w:rsidRPr="00D01DDB" w:rsidRDefault="002A5B6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Good laboratory practice</w:t>
            </w:r>
          </w:p>
        </w:tc>
      </w:tr>
      <w:tr w:rsidR="00262AC7" w:rsidRPr="00D01DDB" w14:paraId="41F32D4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695832" w14:textId="291CFA26" w:rsidR="00262AC7" w:rsidRDefault="00262AC7" w:rsidP="00324B33">
            <w:pPr>
              <w:rPr>
                <w:szCs w:val="22"/>
              </w:rPr>
            </w:pPr>
            <w:r w:rsidRPr="00262AC7">
              <w:rPr>
                <w:szCs w:val="22"/>
              </w:rPr>
              <w:t>GnRH</w:t>
            </w:r>
          </w:p>
        </w:tc>
        <w:tc>
          <w:tcPr>
            <w:tcW w:w="3800" w:type="pct"/>
          </w:tcPr>
          <w:p w14:paraId="4A693A6C" w14:textId="15CD24C0" w:rsidR="00262AC7" w:rsidRPr="006534FC" w:rsidRDefault="006534FC" w:rsidP="00324B33">
            <w:pPr>
              <w:cnfStyle w:val="000000000000" w:firstRow="0" w:lastRow="0" w:firstColumn="0" w:lastColumn="0" w:oddVBand="0" w:evenVBand="0" w:oddHBand="0" w:evenHBand="0" w:firstRowFirstColumn="0" w:firstRowLastColumn="0" w:lastRowFirstColumn="0" w:lastRowLastColumn="0"/>
              <w:rPr>
                <w:szCs w:val="22"/>
              </w:rPr>
            </w:pPr>
            <w:r w:rsidRPr="006534FC">
              <w:rPr>
                <w:szCs w:val="22"/>
              </w:rPr>
              <w:t>Gonadotropin-releasing hormone</w:t>
            </w:r>
          </w:p>
        </w:tc>
      </w:tr>
      <w:tr w:rsidR="00C65493" w:rsidRPr="00D01DDB" w14:paraId="48B0944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25B8FC" w14:textId="7A747B30" w:rsidR="00C65493" w:rsidRPr="00262AC7" w:rsidRDefault="00C65493" w:rsidP="00324B33">
            <w:pPr>
              <w:rPr>
                <w:szCs w:val="22"/>
              </w:rPr>
            </w:pPr>
            <w:r>
              <w:rPr>
                <w:szCs w:val="22"/>
              </w:rPr>
              <w:t>HF</w:t>
            </w:r>
            <w:r w:rsidR="00FD66C1">
              <w:rPr>
                <w:szCs w:val="22"/>
              </w:rPr>
              <w:t>(s)</w:t>
            </w:r>
          </w:p>
        </w:tc>
        <w:tc>
          <w:tcPr>
            <w:tcW w:w="3800" w:type="pct"/>
          </w:tcPr>
          <w:p w14:paraId="0736498F" w14:textId="0C8CCC46" w:rsidR="00C65493" w:rsidRPr="006534FC" w:rsidRDefault="00C6549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Hot fl</w:t>
            </w:r>
            <w:r w:rsidR="0019102D">
              <w:rPr>
                <w:szCs w:val="22"/>
              </w:rPr>
              <w:t>ash</w:t>
            </w:r>
            <w:r w:rsidR="00FD66C1">
              <w:rPr>
                <w:szCs w:val="22"/>
              </w:rPr>
              <w:t>(es)</w:t>
            </w:r>
          </w:p>
        </w:tc>
      </w:tr>
      <w:tr w:rsidR="00505E8C" w:rsidRPr="00D01DDB" w14:paraId="0FB8F2C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896941" w14:textId="698021B5" w:rsidR="00505E8C" w:rsidRDefault="00505E8C" w:rsidP="00324B33">
            <w:pPr>
              <w:rPr>
                <w:szCs w:val="22"/>
              </w:rPr>
            </w:pPr>
            <w:r>
              <w:rPr>
                <w:szCs w:val="22"/>
              </w:rPr>
              <w:t>HFDD</w:t>
            </w:r>
          </w:p>
        </w:tc>
        <w:tc>
          <w:tcPr>
            <w:tcW w:w="3800" w:type="pct"/>
          </w:tcPr>
          <w:p w14:paraId="6C979EEE" w14:textId="08545235" w:rsidR="00505E8C" w:rsidRDefault="00505E8C"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Hot Flash Daily Diary </w:t>
            </w:r>
          </w:p>
        </w:tc>
      </w:tr>
      <w:tr w:rsidR="00247DC3" w:rsidRPr="00D01DDB" w14:paraId="3EE3EFA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DA3D1D" w14:textId="0C8AFF90" w:rsidR="00247DC3" w:rsidRDefault="00CA0FA1" w:rsidP="00324B33">
            <w:pPr>
              <w:rPr>
                <w:szCs w:val="22"/>
              </w:rPr>
            </w:pPr>
            <w:r>
              <w:rPr>
                <w:szCs w:val="22"/>
              </w:rPr>
              <w:t>HRT</w:t>
            </w:r>
          </w:p>
        </w:tc>
        <w:tc>
          <w:tcPr>
            <w:tcW w:w="3800" w:type="pct"/>
          </w:tcPr>
          <w:p w14:paraId="696766E9" w14:textId="5132048F" w:rsidR="00247DC3" w:rsidRDefault="00CA0FA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H</w:t>
            </w:r>
            <w:r w:rsidRPr="00CA0FA1">
              <w:rPr>
                <w:szCs w:val="22"/>
              </w:rPr>
              <w:t>ormone replacement therapy</w:t>
            </w:r>
          </w:p>
        </w:tc>
      </w:tr>
      <w:tr w:rsidR="00354744" w:rsidRPr="00D01DDB" w14:paraId="3334842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F28731" w14:textId="7339F8B7" w:rsidR="00354744" w:rsidRDefault="00354744" w:rsidP="00324B33">
            <w:pPr>
              <w:rPr>
                <w:szCs w:val="22"/>
              </w:rPr>
            </w:pPr>
            <w:r>
              <w:rPr>
                <w:szCs w:val="22"/>
              </w:rPr>
              <w:lastRenderedPageBreak/>
              <w:t>ICH</w:t>
            </w:r>
          </w:p>
        </w:tc>
        <w:tc>
          <w:tcPr>
            <w:tcW w:w="3800" w:type="pct"/>
          </w:tcPr>
          <w:p w14:paraId="3E3931B3" w14:textId="07AC3A01" w:rsidR="00354744" w:rsidRDefault="00B553E0" w:rsidP="00324B33">
            <w:pPr>
              <w:cnfStyle w:val="000000000000" w:firstRow="0" w:lastRow="0" w:firstColumn="0" w:lastColumn="0" w:oddVBand="0" w:evenVBand="0" w:oddHBand="0" w:evenHBand="0" w:firstRowFirstColumn="0" w:firstRowLastColumn="0" w:lastRowFirstColumn="0" w:lastRowLastColumn="0"/>
              <w:rPr>
                <w:szCs w:val="22"/>
              </w:rPr>
            </w:pPr>
            <w:r w:rsidRPr="00B553E0">
              <w:rPr>
                <w:szCs w:val="22"/>
              </w:rPr>
              <w:t>International Council for Harmonisation (European Medicine Agency, European Union)</w:t>
            </w:r>
          </w:p>
        </w:tc>
      </w:tr>
      <w:tr w:rsidR="008A5FD0" w:rsidRPr="00D01DDB" w14:paraId="0DD6277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4ED48F" w14:textId="6BB3EE1E" w:rsidR="008A5FD0" w:rsidRDefault="008A5FD0" w:rsidP="00324B33">
            <w:pPr>
              <w:rPr>
                <w:szCs w:val="22"/>
              </w:rPr>
            </w:pPr>
            <w:proofErr w:type="spellStart"/>
            <w:r w:rsidRPr="008A5FD0">
              <w:rPr>
                <w:szCs w:val="22"/>
              </w:rPr>
              <w:t>IxRS</w:t>
            </w:r>
            <w:proofErr w:type="spellEnd"/>
            <w:r w:rsidRPr="008A5FD0">
              <w:rPr>
                <w:szCs w:val="22"/>
              </w:rPr>
              <w:t>.</w:t>
            </w:r>
          </w:p>
        </w:tc>
        <w:tc>
          <w:tcPr>
            <w:tcW w:w="3800" w:type="pct"/>
          </w:tcPr>
          <w:p w14:paraId="2A3D5442" w14:textId="60724839" w:rsidR="008A5FD0" w:rsidRPr="00B553E0" w:rsidRDefault="00205A2F" w:rsidP="00324B33">
            <w:pPr>
              <w:cnfStyle w:val="000000000000" w:firstRow="0" w:lastRow="0" w:firstColumn="0" w:lastColumn="0" w:oddVBand="0" w:evenVBand="0" w:oddHBand="0" w:evenHBand="0" w:firstRowFirstColumn="0" w:firstRowLastColumn="0" w:lastRowFirstColumn="0" w:lastRowLastColumn="0"/>
              <w:rPr>
                <w:szCs w:val="22"/>
              </w:rPr>
            </w:pPr>
            <w:r w:rsidRPr="00205A2F">
              <w:rPr>
                <w:szCs w:val="22"/>
              </w:rPr>
              <w:t>Interactive web/voice response system</w:t>
            </w:r>
          </w:p>
        </w:tc>
      </w:tr>
      <w:tr w:rsidR="00BD5BC5" w:rsidRPr="00D01DDB" w14:paraId="728C0BF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80FA26" w14:textId="09DE5270" w:rsidR="00BD5BC5" w:rsidRDefault="00BD5BC5" w:rsidP="00324B33">
            <w:pPr>
              <w:rPr>
                <w:szCs w:val="22"/>
              </w:rPr>
            </w:pPr>
            <w:proofErr w:type="spellStart"/>
            <w:r w:rsidRPr="00BD5BC5">
              <w:rPr>
                <w:szCs w:val="22"/>
              </w:rPr>
              <w:t>KNDy</w:t>
            </w:r>
            <w:proofErr w:type="spellEnd"/>
          </w:p>
        </w:tc>
        <w:tc>
          <w:tcPr>
            <w:tcW w:w="3800" w:type="pct"/>
          </w:tcPr>
          <w:p w14:paraId="79093D92" w14:textId="45F8C1F6" w:rsidR="00BD5BC5" w:rsidRPr="00B553E0" w:rsidRDefault="00BD5BC5"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K</w:t>
            </w:r>
            <w:r w:rsidRPr="00BD5BC5">
              <w:rPr>
                <w:szCs w:val="22"/>
              </w:rPr>
              <w:t>isspeptin/neurokinin B/dynorphin</w:t>
            </w:r>
          </w:p>
        </w:tc>
      </w:tr>
      <w:tr w:rsidR="00E34D14" w:rsidRPr="00D01DDB" w14:paraId="4C04A51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D64A7F" w14:textId="75BDD264" w:rsidR="00E34D14" w:rsidRDefault="00E34D14" w:rsidP="00324B33">
            <w:pPr>
              <w:rPr>
                <w:szCs w:val="22"/>
              </w:rPr>
            </w:pPr>
            <w:r>
              <w:rPr>
                <w:szCs w:val="22"/>
              </w:rPr>
              <w:t>LH</w:t>
            </w:r>
          </w:p>
        </w:tc>
        <w:tc>
          <w:tcPr>
            <w:tcW w:w="3800" w:type="pct"/>
          </w:tcPr>
          <w:p w14:paraId="1DF49BAB" w14:textId="2D1A09F7" w:rsidR="00E34D14" w:rsidRPr="00B553E0" w:rsidRDefault="00BB3879" w:rsidP="00324B33">
            <w:pPr>
              <w:cnfStyle w:val="000000000000" w:firstRow="0" w:lastRow="0" w:firstColumn="0" w:lastColumn="0" w:oddVBand="0" w:evenVBand="0" w:oddHBand="0" w:evenHBand="0" w:firstRowFirstColumn="0" w:firstRowLastColumn="0" w:lastRowFirstColumn="0" w:lastRowLastColumn="0"/>
              <w:rPr>
                <w:szCs w:val="22"/>
              </w:rPr>
            </w:pPr>
            <w:r w:rsidRPr="00BB3879">
              <w:rPr>
                <w:szCs w:val="22"/>
              </w:rPr>
              <w:t>Luteinising hormone</w:t>
            </w:r>
          </w:p>
        </w:tc>
      </w:tr>
      <w:tr w:rsidR="00C02C84" w:rsidRPr="00D01DDB" w14:paraId="693B93D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A6C356" w14:textId="63B25542" w:rsidR="00C02C84" w:rsidRDefault="00C02C84" w:rsidP="00324B33">
            <w:pPr>
              <w:rPr>
                <w:szCs w:val="22"/>
              </w:rPr>
            </w:pPr>
            <w:r>
              <w:rPr>
                <w:szCs w:val="22"/>
              </w:rPr>
              <w:t>LLOQ</w:t>
            </w:r>
          </w:p>
        </w:tc>
        <w:tc>
          <w:tcPr>
            <w:tcW w:w="3800" w:type="pct"/>
          </w:tcPr>
          <w:p w14:paraId="40A085D8" w14:textId="510BC065" w:rsidR="00C02C84" w:rsidRPr="00BB3879" w:rsidRDefault="00C02C84" w:rsidP="00324B33">
            <w:pPr>
              <w:cnfStyle w:val="000000000000" w:firstRow="0" w:lastRow="0" w:firstColumn="0" w:lastColumn="0" w:oddVBand="0" w:evenVBand="0" w:oddHBand="0" w:evenHBand="0" w:firstRowFirstColumn="0" w:firstRowLastColumn="0" w:lastRowFirstColumn="0" w:lastRowLastColumn="0"/>
              <w:rPr>
                <w:szCs w:val="22"/>
              </w:rPr>
            </w:pPr>
            <w:r w:rsidRPr="00C02C84">
              <w:rPr>
                <w:szCs w:val="22"/>
              </w:rPr>
              <w:t>Lower limit of quantification</w:t>
            </w:r>
          </w:p>
        </w:tc>
      </w:tr>
      <w:tr w:rsidR="00DE7B10" w:rsidRPr="00D01DDB" w14:paraId="41C5C55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830DA1" w14:textId="323B7F08" w:rsidR="00DE7B10" w:rsidRDefault="00DE7B10" w:rsidP="00324B33">
            <w:pPr>
              <w:rPr>
                <w:szCs w:val="22"/>
              </w:rPr>
            </w:pPr>
            <w:r>
              <w:rPr>
                <w:szCs w:val="22"/>
              </w:rPr>
              <w:t xml:space="preserve">LSM </w:t>
            </w:r>
          </w:p>
        </w:tc>
        <w:tc>
          <w:tcPr>
            <w:tcW w:w="3800" w:type="pct"/>
          </w:tcPr>
          <w:p w14:paraId="79AECB9A" w14:textId="59418640" w:rsidR="00DE7B10" w:rsidRPr="003D02F3" w:rsidRDefault="00DE7B10" w:rsidP="00324B33">
            <w:pPr>
              <w:cnfStyle w:val="000000000000" w:firstRow="0" w:lastRow="0" w:firstColumn="0" w:lastColumn="0" w:oddVBand="0" w:evenVBand="0" w:oddHBand="0" w:evenHBand="0" w:firstRowFirstColumn="0" w:firstRowLastColumn="0" w:lastRowFirstColumn="0" w:lastRowLastColumn="0"/>
              <w:rPr>
                <w:szCs w:val="22"/>
              </w:rPr>
            </w:pPr>
            <w:r w:rsidRPr="00DE7B10">
              <w:rPr>
                <w:szCs w:val="22"/>
              </w:rPr>
              <w:t>Least square</w:t>
            </w:r>
            <w:r w:rsidR="00D5191E">
              <w:rPr>
                <w:szCs w:val="22"/>
              </w:rPr>
              <w:t>s</w:t>
            </w:r>
            <w:r w:rsidRPr="00DE7B10">
              <w:rPr>
                <w:szCs w:val="22"/>
              </w:rPr>
              <w:t xml:space="preserve"> mean</w:t>
            </w:r>
          </w:p>
        </w:tc>
      </w:tr>
      <w:tr w:rsidR="00EB103C" w:rsidRPr="00D01DDB" w14:paraId="097B4A5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99F28B" w14:textId="37B1A452" w:rsidR="00EB103C" w:rsidRDefault="00EB103C" w:rsidP="00324B33">
            <w:pPr>
              <w:rPr>
                <w:szCs w:val="22"/>
              </w:rPr>
            </w:pPr>
            <w:r>
              <w:rPr>
                <w:szCs w:val="22"/>
              </w:rPr>
              <w:t>MEN</w:t>
            </w:r>
            <w:r w:rsidR="005311B4">
              <w:rPr>
                <w:szCs w:val="22"/>
              </w:rPr>
              <w:t>QOL</w:t>
            </w:r>
          </w:p>
        </w:tc>
        <w:tc>
          <w:tcPr>
            <w:tcW w:w="3800" w:type="pct"/>
          </w:tcPr>
          <w:p w14:paraId="17FABEED" w14:textId="18936060" w:rsidR="00EB103C" w:rsidRPr="00DE7B10" w:rsidRDefault="005311B4"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Menopause-specific quality of life scale</w:t>
            </w:r>
          </w:p>
        </w:tc>
      </w:tr>
      <w:tr w:rsidR="00247DC3" w:rsidRPr="00D01DDB" w14:paraId="50274F7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78CCE40" w14:textId="107B092A" w:rsidR="00247DC3" w:rsidRDefault="003D02F3" w:rsidP="00324B33">
            <w:pPr>
              <w:rPr>
                <w:szCs w:val="22"/>
              </w:rPr>
            </w:pPr>
            <w:r>
              <w:rPr>
                <w:szCs w:val="22"/>
              </w:rPr>
              <w:t>MHRA</w:t>
            </w:r>
          </w:p>
        </w:tc>
        <w:tc>
          <w:tcPr>
            <w:tcW w:w="3800" w:type="pct"/>
          </w:tcPr>
          <w:p w14:paraId="6FD16BF3" w14:textId="31B18711" w:rsidR="00247DC3" w:rsidRPr="003D02F3" w:rsidRDefault="003D02F3" w:rsidP="00324B33">
            <w:pPr>
              <w:cnfStyle w:val="000000000000" w:firstRow="0" w:lastRow="0" w:firstColumn="0" w:lastColumn="0" w:oddVBand="0" w:evenVBand="0" w:oddHBand="0" w:evenHBand="0" w:firstRowFirstColumn="0" w:firstRowLastColumn="0" w:lastRowFirstColumn="0" w:lastRowLastColumn="0"/>
              <w:rPr>
                <w:szCs w:val="22"/>
              </w:rPr>
            </w:pPr>
            <w:r w:rsidRPr="003D02F3">
              <w:rPr>
                <w:szCs w:val="22"/>
              </w:rPr>
              <w:t>Medicines and Healthcare products Regulatory Agency (UK)</w:t>
            </w:r>
          </w:p>
        </w:tc>
      </w:tr>
      <w:tr w:rsidR="00247DC3" w:rsidRPr="00D01DDB" w14:paraId="4A7CE04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26B690D" w14:textId="7CB2C8F0" w:rsidR="00247DC3" w:rsidRDefault="00247DC3" w:rsidP="00324B33">
            <w:pPr>
              <w:rPr>
                <w:szCs w:val="22"/>
              </w:rPr>
            </w:pPr>
            <w:r>
              <w:rPr>
                <w:szCs w:val="22"/>
              </w:rPr>
              <w:t>MHT</w:t>
            </w:r>
          </w:p>
        </w:tc>
        <w:tc>
          <w:tcPr>
            <w:tcW w:w="3800" w:type="pct"/>
          </w:tcPr>
          <w:p w14:paraId="0DA9E9D9" w14:textId="61EA4C8B" w:rsidR="00247DC3" w:rsidRDefault="00247DC3"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M</w:t>
            </w:r>
            <w:r w:rsidRPr="00247DC3">
              <w:rPr>
                <w:szCs w:val="22"/>
              </w:rPr>
              <w:t>enopausal hormone therapy</w:t>
            </w:r>
          </w:p>
        </w:tc>
      </w:tr>
      <w:tr w:rsidR="0088623F" w:rsidRPr="00D01DDB" w14:paraId="5560E98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B088DF5" w14:textId="01EAB9A2" w:rsidR="0088623F" w:rsidRDefault="0088623F" w:rsidP="00324B33">
            <w:pPr>
              <w:rPr>
                <w:szCs w:val="22"/>
              </w:rPr>
            </w:pPr>
            <w:r w:rsidRPr="0088623F">
              <w:rPr>
                <w:szCs w:val="22"/>
              </w:rPr>
              <w:t>MMRM</w:t>
            </w:r>
          </w:p>
        </w:tc>
        <w:tc>
          <w:tcPr>
            <w:tcW w:w="3800" w:type="pct"/>
          </w:tcPr>
          <w:p w14:paraId="723AD095" w14:textId="4BC61DE4" w:rsidR="0088623F" w:rsidRDefault="0088623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Mixed model repeated measures. </w:t>
            </w:r>
          </w:p>
        </w:tc>
      </w:tr>
      <w:tr w:rsidR="006534FC" w:rsidRPr="00D01DDB" w14:paraId="61DA778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ADBE86" w14:textId="15289070" w:rsidR="006534FC" w:rsidRDefault="006534FC" w:rsidP="00324B33">
            <w:pPr>
              <w:rPr>
                <w:szCs w:val="22"/>
              </w:rPr>
            </w:pPr>
            <w:r>
              <w:rPr>
                <w:szCs w:val="22"/>
              </w:rPr>
              <w:t>n</w:t>
            </w:r>
          </w:p>
        </w:tc>
        <w:tc>
          <w:tcPr>
            <w:tcW w:w="3800" w:type="pct"/>
          </w:tcPr>
          <w:p w14:paraId="2472C41E" w14:textId="3BD3239A" w:rsidR="006534FC" w:rsidRDefault="00DB43A7"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Sample size</w:t>
            </w:r>
          </w:p>
        </w:tc>
      </w:tr>
      <w:tr w:rsidR="00ED3D38" w:rsidRPr="00D01DDB" w14:paraId="3290A5E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D39990" w14:textId="03BB8B75" w:rsidR="00ED3D38" w:rsidRDefault="00ED3D38" w:rsidP="00324B33">
            <w:pPr>
              <w:rPr>
                <w:szCs w:val="22"/>
              </w:rPr>
            </w:pPr>
            <w:r>
              <w:rPr>
                <w:szCs w:val="22"/>
              </w:rPr>
              <w:t>OD</w:t>
            </w:r>
          </w:p>
        </w:tc>
        <w:tc>
          <w:tcPr>
            <w:tcW w:w="3800" w:type="pct"/>
          </w:tcPr>
          <w:p w14:paraId="27B7003B" w14:textId="59C3AD1A" w:rsidR="00ED3D38" w:rsidRDefault="00ED3D3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Once daily</w:t>
            </w:r>
          </w:p>
        </w:tc>
      </w:tr>
      <w:tr w:rsidR="005925DB" w:rsidRPr="00D01DDB" w14:paraId="54E577F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C2779C" w14:textId="46170EE2" w:rsidR="005925DB" w:rsidRPr="00D01DDB" w:rsidRDefault="005642C2" w:rsidP="00324B33">
            <w:pPr>
              <w:rPr>
                <w:szCs w:val="22"/>
              </w:rPr>
            </w:pPr>
            <w:r w:rsidRPr="00DB128D">
              <w:rPr>
                <w:szCs w:val="22"/>
              </w:rPr>
              <w:t>PBPK</w:t>
            </w:r>
          </w:p>
        </w:tc>
        <w:tc>
          <w:tcPr>
            <w:tcW w:w="3800" w:type="pct"/>
          </w:tcPr>
          <w:p w14:paraId="727385EB" w14:textId="10669CDF" w:rsidR="005925DB" w:rsidRPr="00D01DDB" w:rsidRDefault="002A3B9A" w:rsidP="00324B33">
            <w:pPr>
              <w:cnfStyle w:val="000000000000" w:firstRow="0" w:lastRow="0" w:firstColumn="0" w:lastColumn="0" w:oddVBand="0" w:evenVBand="0" w:oddHBand="0" w:evenHBand="0" w:firstRowFirstColumn="0" w:firstRowLastColumn="0" w:lastRowFirstColumn="0" w:lastRowLastColumn="0"/>
              <w:rPr>
                <w:szCs w:val="22"/>
              </w:rPr>
            </w:pPr>
            <w:r w:rsidRPr="002A3B9A">
              <w:rPr>
                <w:szCs w:val="22"/>
              </w:rPr>
              <w:t>Physiologically based pharmacokinetic(s)</w:t>
            </w:r>
          </w:p>
        </w:tc>
      </w:tr>
      <w:tr w:rsidR="002A3B9A" w:rsidRPr="00D01DDB" w14:paraId="461CC0D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067EC6" w14:textId="1E01E210" w:rsidR="002A3B9A" w:rsidRPr="00DB128D" w:rsidRDefault="002A3B9A" w:rsidP="00324B33">
            <w:pPr>
              <w:rPr>
                <w:szCs w:val="22"/>
              </w:rPr>
            </w:pPr>
            <w:r>
              <w:rPr>
                <w:szCs w:val="22"/>
              </w:rPr>
              <w:t>PD</w:t>
            </w:r>
          </w:p>
        </w:tc>
        <w:tc>
          <w:tcPr>
            <w:tcW w:w="3800" w:type="pct"/>
          </w:tcPr>
          <w:p w14:paraId="723A6AB6" w14:textId="64F5EA77" w:rsidR="002A3B9A" w:rsidRPr="002A3B9A" w:rsidRDefault="004E7C7C" w:rsidP="00324B33">
            <w:pPr>
              <w:cnfStyle w:val="000000000000" w:firstRow="0" w:lastRow="0" w:firstColumn="0" w:lastColumn="0" w:oddVBand="0" w:evenVBand="0" w:oddHBand="0" w:evenHBand="0" w:firstRowFirstColumn="0" w:firstRowLastColumn="0" w:lastRowFirstColumn="0" w:lastRowLastColumn="0"/>
              <w:rPr>
                <w:szCs w:val="22"/>
              </w:rPr>
            </w:pPr>
            <w:r w:rsidRPr="004E7C7C">
              <w:rPr>
                <w:szCs w:val="22"/>
              </w:rPr>
              <w:t>Pharmacodynamic</w:t>
            </w:r>
            <w:r>
              <w:rPr>
                <w:szCs w:val="22"/>
              </w:rPr>
              <w:t>s</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2A3B9A" w:rsidRPr="00D01DDB" w14:paraId="4721334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EBC532" w14:textId="5A9FADBE" w:rsidR="002A3B9A" w:rsidRPr="00D01DDB" w:rsidRDefault="002A3B9A" w:rsidP="00324B33">
            <w:pPr>
              <w:rPr>
                <w:szCs w:val="22"/>
              </w:rPr>
            </w:pPr>
            <w:r>
              <w:rPr>
                <w:szCs w:val="22"/>
              </w:rPr>
              <w:t>PK</w:t>
            </w:r>
          </w:p>
        </w:tc>
        <w:tc>
          <w:tcPr>
            <w:tcW w:w="3800" w:type="pct"/>
          </w:tcPr>
          <w:p w14:paraId="55F8DC1D" w14:textId="32A3DAF9" w:rsidR="002A3B9A" w:rsidRPr="00D01DDB" w:rsidRDefault="002A3B9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2A3B9A">
              <w:rPr>
                <w:szCs w:val="22"/>
              </w:rPr>
              <w:t>harmacokinetics</w:t>
            </w:r>
          </w:p>
        </w:tc>
      </w:tr>
      <w:tr w:rsidR="00C76134" w:rsidRPr="00D01DDB" w14:paraId="7F766A8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8C6063" w14:textId="7CE26083" w:rsidR="00C76134" w:rsidRDefault="00C76134" w:rsidP="00324B33">
            <w:pPr>
              <w:rPr>
                <w:szCs w:val="22"/>
              </w:rPr>
            </w:pPr>
            <w:proofErr w:type="spellStart"/>
            <w:r w:rsidRPr="00DB128D">
              <w:rPr>
                <w:szCs w:val="22"/>
              </w:rPr>
              <w:t>PopPK</w:t>
            </w:r>
            <w:proofErr w:type="spellEnd"/>
          </w:p>
        </w:tc>
        <w:tc>
          <w:tcPr>
            <w:tcW w:w="3800" w:type="pct"/>
          </w:tcPr>
          <w:p w14:paraId="105A9E45" w14:textId="43380A3A" w:rsidR="00C76134" w:rsidRDefault="00FE0569" w:rsidP="00324B33">
            <w:pPr>
              <w:cnfStyle w:val="000000000000" w:firstRow="0" w:lastRow="0" w:firstColumn="0" w:lastColumn="0" w:oddVBand="0" w:evenVBand="0" w:oddHBand="0" w:evenHBand="0" w:firstRowFirstColumn="0" w:firstRowLastColumn="0" w:lastRowFirstColumn="0" w:lastRowLastColumn="0"/>
              <w:rPr>
                <w:szCs w:val="22"/>
              </w:rPr>
            </w:pPr>
            <w:r w:rsidRPr="00FE0569">
              <w:rPr>
                <w:szCs w:val="22"/>
              </w:rPr>
              <w:t>Population pharmacokinetic(s)</w:t>
            </w:r>
          </w:p>
        </w:tc>
      </w:tr>
      <w:tr w:rsidR="00167D81" w:rsidRPr="00D01DDB" w14:paraId="5F7C50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5C4FD7" w14:textId="30925FC0" w:rsidR="00167D81" w:rsidRPr="00DB128D" w:rsidRDefault="00C3529D" w:rsidP="00324B33">
            <w:pPr>
              <w:rPr>
                <w:szCs w:val="22"/>
              </w:rPr>
            </w:pPr>
            <w:r>
              <w:rPr>
                <w:szCs w:val="22"/>
              </w:rPr>
              <w:t>PROMIS SD 8B</w:t>
            </w:r>
          </w:p>
        </w:tc>
        <w:tc>
          <w:tcPr>
            <w:tcW w:w="3800" w:type="pct"/>
          </w:tcPr>
          <w:p w14:paraId="286FAE3E" w14:textId="58C54DDD" w:rsidR="00167D81" w:rsidRPr="00FE0569" w:rsidRDefault="00C3529D"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Patient reported outcomes measurement</w:t>
            </w:r>
            <w:r w:rsidR="00EA2145">
              <w:rPr>
                <w:szCs w:val="22"/>
              </w:rPr>
              <w:t xml:space="preserve"> information system sleep disturbance </w:t>
            </w:r>
            <w:r w:rsidR="00F170EC">
              <w:rPr>
                <w:szCs w:val="22"/>
              </w:rPr>
              <w:t>short form</w:t>
            </w:r>
            <w:r w:rsidR="00EA2145">
              <w:rPr>
                <w:szCs w:val="22"/>
              </w:rPr>
              <w:t xml:space="preserve"> </w:t>
            </w:r>
            <w:r w:rsidR="004E617C">
              <w:rPr>
                <w:szCs w:val="22"/>
              </w:rPr>
              <w:t>8</w:t>
            </w:r>
            <w:r w:rsidR="00EA2145">
              <w:rPr>
                <w:szCs w:val="22"/>
              </w:rPr>
              <w:t>b.</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1706B0" w:rsidRPr="00D01DDB" w14:paraId="40C6156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16C4AE" w14:textId="309AF63B" w:rsidR="001706B0" w:rsidRPr="00D01DDB" w:rsidRDefault="001706B0" w:rsidP="00A704DC">
            <w:pPr>
              <w:rPr>
                <w:szCs w:val="22"/>
              </w:rPr>
            </w:pPr>
            <w:r>
              <w:rPr>
                <w:szCs w:val="22"/>
              </w:rPr>
              <w:t>RI</w:t>
            </w:r>
          </w:p>
        </w:tc>
        <w:tc>
          <w:tcPr>
            <w:tcW w:w="3800" w:type="pct"/>
          </w:tcPr>
          <w:p w14:paraId="59843A86" w14:textId="0A30BBE9" w:rsidR="001706B0" w:rsidRPr="001706B0" w:rsidRDefault="001706B0" w:rsidP="00A704DC">
            <w:pPr>
              <w:cnfStyle w:val="000000000000" w:firstRow="0" w:lastRow="0" w:firstColumn="0" w:lastColumn="0" w:oddVBand="0" w:evenVBand="0" w:oddHBand="0" w:evenHBand="0" w:firstRowFirstColumn="0" w:firstRowLastColumn="0" w:lastRowFirstColumn="0" w:lastRowLastColumn="0"/>
              <w:rPr>
                <w:szCs w:val="22"/>
              </w:rPr>
            </w:pPr>
            <w:r w:rsidRPr="001706B0">
              <w:rPr>
                <w:szCs w:val="22"/>
              </w:rPr>
              <w:t>Renal impairment</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515C33" w:rsidRPr="00D01DDB" w14:paraId="1349FB8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451045" w14:textId="540F0769" w:rsidR="00515C33" w:rsidRPr="00D01DDB" w:rsidRDefault="00515C33" w:rsidP="00A704DC">
            <w:pPr>
              <w:rPr>
                <w:szCs w:val="22"/>
              </w:rPr>
            </w:pPr>
            <w:r>
              <w:rPr>
                <w:szCs w:val="22"/>
              </w:rPr>
              <w:t>RR</w:t>
            </w:r>
          </w:p>
        </w:tc>
        <w:tc>
          <w:tcPr>
            <w:tcW w:w="3800" w:type="pct"/>
          </w:tcPr>
          <w:p w14:paraId="658DFDAE" w14:textId="5C3F423D" w:rsidR="00515C33" w:rsidRPr="00D01DDB" w:rsidRDefault="00515C33"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Risk Ratio</w:t>
            </w:r>
          </w:p>
        </w:tc>
      </w:tr>
      <w:tr w:rsidR="00E71549" w:rsidRPr="00D01DDB" w14:paraId="0B1591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4C80930" w14:textId="47DEB502" w:rsidR="00E71549" w:rsidRPr="00D01DDB" w:rsidRDefault="00D24624" w:rsidP="00A704DC">
            <w:pPr>
              <w:rPr>
                <w:szCs w:val="22"/>
              </w:rPr>
            </w:pPr>
            <w:r>
              <w:rPr>
                <w:szCs w:val="22"/>
              </w:rPr>
              <w:t>SAF</w:t>
            </w:r>
          </w:p>
        </w:tc>
        <w:tc>
          <w:tcPr>
            <w:tcW w:w="3800" w:type="pct"/>
          </w:tcPr>
          <w:p w14:paraId="09152413" w14:textId="03A3A438" w:rsidR="00E71549" w:rsidRPr="00D01DDB" w:rsidRDefault="00D24624"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Safety analysis set</w:t>
            </w:r>
          </w:p>
        </w:tc>
      </w:tr>
      <w:tr w:rsidR="0008636E" w:rsidRPr="00D01DDB" w14:paraId="7C4D1AA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8E8FBC" w14:textId="024B5210" w:rsidR="0008636E" w:rsidRPr="00D01DDB" w:rsidRDefault="0008636E" w:rsidP="00A704DC">
            <w:pPr>
              <w:rPr>
                <w:szCs w:val="22"/>
              </w:rPr>
            </w:pPr>
            <w:r>
              <w:rPr>
                <w:szCs w:val="22"/>
              </w:rPr>
              <w:t>SD</w:t>
            </w:r>
          </w:p>
        </w:tc>
        <w:tc>
          <w:tcPr>
            <w:tcW w:w="3800" w:type="pct"/>
          </w:tcPr>
          <w:p w14:paraId="7F2CFF5A" w14:textId="17C48542" w:rsidR="0008636E" w:rsidRPr="00D01DDB" w:rsidRDefault="0008636E"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Standard deviation </w:t>
            </w:r>
          </w:p>
        </w:tc>
      </w:tr>
      <w:tr w:rsidR="0008636E" w:rsidRPr="00D01DDB" w14:paraId="2A7FC76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890ACC9" w14:textId="0A84F1FB" w:rsidR="0008636E" w:rsidRPr="00D01DDB" w:rsidRDefault="0008636E" w:rsidP="00A704DC">
            <w:pPr>
              <w:rPr>
                <w:szCs w:val="22"/>
              </w:rPr>
            </w:pPr>
            <w:r>
              <w:rPr>
                <w:szCs w:val="22"/>
              </w:rPr>
              <w:t xml:space="preserve">SE </w:t>
            </w:r>
          </w:p>
        </w:tc>
        <w:tc>
          <w:tcPr>
            <w:tcW w:w="3800" w:type="pct"/>
          </w:tcPr>
          <w:p w14:paraId="61418B09" w14:textId="2943D1F9" w:rsidR="0008636E" w:rsidRPr="00D01DDB" w:rsidRDefault="0008636E" w:rsidP="00A704DC">
            <w:pPr>
              <w:cnfStyle w:val="000000000000" w:firstRow="0" w:lastRow="0" w:firstColumn="0" w:lastColumn="0" w:oddVBand="0" w:evenVBand="0" w:oddHBand="0" w:evenHBand="0" w:firstRowFirstColumn="0" w:firstRowLastColumn="0" w:lastRowFirstColumn="0" w:lastRowLastColumn="0"/>
              <w:rPr>
                <w:szCs w:val="22"/>
              </w:rPr>
            </w:pPr>
            <w:r w:rsidRPr="0008636E">
              <w:rPr>
                <w:szCs w:val="22"/>
              </w:rPr>
              <w:t>Standard Error</w:t>
            </w:r>
          </w:p>
        </w:tc>
      </w:tr>
      <w:tr w:rsidR="00111E1B" w:rsidRPr="00D01DDB" w14:paraId="6985B4F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D1A468F" w14:textId="46B83136" w:rsidR="00111E1B" w:rsidRPr="00D01DDB" w:rsidRDefault="00111E1B" w:rsidP="00A704DC">
            <w:pPr>
              <w:rPr>
                <w:szCs w:val="22"/>
              </w:rPr>
            </w:pPr>
            <w:r w:rsidRPr="00111E1B">
              <w:rPr>
                <w:szCs w:val="22"/>
              </w:rPr>
              <w:t xml:space="preserve">SNRIs </w:t>
            </w:r>
          </w:p>
        </w:tc>
        <w:tc>
          <w:tcPr>
            <w:tcW w:w="3800" w:type="pct"/>
          </w:tcPr>
          <w:p w14:paraId="7411CA2A" w14:textId="3AB064FE" w:rsidR="00111E1B" w:rsidRPr="00D01DDB" w:rsidRDefault="007E20CB" w:rsidP="007E20CB">
            <w:pPr>
              <w:cnfStyle w:val="000000000000" w:firstRow="0" w:lastRow="0" w:firstColumn="0" w:lastColumn="0" w:oddVBand="0" w:evenVBand="0" w:oddHBand="0" w:evenHBand="0" w:firstRowFirstColumn="0" w:firstRowLastColumn="0" w:lastRowFirstColumn="0" w:lastRowLastColumn="0"/>
              <w:rPr>
                <w:szCs w:val="22"/>
              </w:rPr>
            </w:pPr>
            <w:r w:rsidRPr="007E20CB">
              <w:rPr>
                <w:szCs w:val="22"/>
              </w:rPr>
              <w:t>Serotonin and norepinephrine reuptake inhibitors </w:t>
            </w:r>
          </w:p>
        </w:tc>
      </w:tr>
      <w:tr w:rsidR="00111E1B" w:rsidRPr="00D01DDB" w14:paraId="444D710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768156" w14:textId="3EC4988A" w:rsidR="00111E1B" w:rsidRPr="00D01DDB" w:rsidRDefault="00111E1B" w:rsidP="00A704DC">
            <w:pPr>
              <w:rPr>
                <w:szCs w:val="22"/>
              </w:rPr>
            </w:pPr>
            <w:r w:rsidRPr="00111E1B">
              <w:rPr>
                <w:szCs w:val="22"/>
              </w:rPr>
              <w:t>SSRIs</w:t>
            </w:r>
          </w:p>
        </w:tc>
        <w:tc>
          <w:tcPr>
            <w:tcW w:w="3800" w:type="pct"/>
          </w:tcPr>
          <w:p w14:paraId="5A4C8314" w14:textId="6141E700" w:rsidR="00111E1B" w:rsidRPr="004571AC" w:rsidRDefault="004571AC" w:rsidP="00A704DC">
            <w:pPr>
              <w:cnfStyle w:val="000000000000" w:firstRow="0" w:lastRow="0" w:firstColumn="0" w:lastColumn="0" w:oddVBand="0" w:evenVBand="0" w:oddHBand="0" w:evenHBand="0" w:firstRowFirstColumn="0" w:firstRowLastColumn="0" w:lastRowFirstColumn="0" w:lastRowLastColumn="0"/>
              <w:rPr>
                <w:szCs w:val="22"/>
              </w:rPr>
            </w:pPr>
            <w:r w:rsidRPr="004571AC">
              <w:rPr>
                <w:szCs w:val="22"/>
              </w:rPr>
              <w:t>Selective Serotonin Reuptake Inhibitors</w:t>
            </w:r>
          </w:p>
        </w:tc>
      </w:tr>
      <w:tr w:rsidR="00FB1EB5" w:rsidRPr="00D01DDB" w14:paraId="6A98DB0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2DDFE9A" w14:textId="05259019" w:rsidR="00FB1EB5" w:rsidRPr="00111E1B" w:rsidRDefault="00FB1EB5" w:rsidP="00A704DC">
            <w:pPr>
              <w:rPr>
                <w:szCs w:val="22"/>
              </w:rPr>
            </w:pPr>
            <w:r>
              <w:rPr>
                <w:szCs w:val="22"/>
              </w:rPr>
              <w:t>TEAE(s)</w:t>
            </w:r>
          </w:p>
        </w:tc>
        <w:tc>
          <w:tcPr>
            <w:tcW w:w="3800" w:type="pct"/>
          </w:tcPr>
          <w:p w14:paraId="197CFA3E" w14:textId="27D507E2" w:rsidR="00FB1EB5" w:rsidRPr="004571AC" w:rsidRDefault="00FB1EB5"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Treatment-emergent adverse event(s)</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E37195" w:rsidRPr="00D01DDB" w14:paraId="7DC7A49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3B0C44" w14:textId="6F0226E5" w:rsidR="00E37195" w:rsidRPr="00D01DDB" w:rsidRDefault="00E37195" w:rsidP="00A704DC">
            <w:pPr>
              <w:rPr>
                <w:szCs w:val="22"/>
              </w:rPr>
            </w:pPr>
            <w:proofErr w:type="spellStart"/>
            <w:r w:rsidRPr="00E37195">
              <w:rPr>
                <w:bCs/>
                <w:szCs w:val="22"/>
              </w:rPr>
              <w:t>T</w:t>
            </w:r>
            <w:r w:rsidRPr="00E37195">
              <w:rPr>
                <w:bCs/>
                <w:szCs w:val="22"/>
                <w:vertAlign w:val="subscript"/>
              </w:rPr>
              <w:t>max</w:t>
            </w:r>
            <w:proofErr w:type="spellEnd"/>
          </w:p>
        </w:tc>
        <w:tc>
          <w:tcPr>
            <w:tcW w:w="3800" w:type="pct"/>
          </w:tcPr>
          <w:p w14:paraId="07525D08" w14:textId="2E2EAEF6" w:rsidR="00E37195" w:rsidRPr="00D01DDB" w:rsidRDefault="00CB1A1C" w:rsidP="00A704DC">
            <w:pPr>
              <w:cnfStyle w:val="000000000000" w:firstRow="0" w:lastRow="0" w:firstColumn="0" w:lastColumn="0" w:oddVBand="0" w:evenVBand="0" w:oddHBand="0" w:evenHBand="0" w:firstRowFirstColumn="0" w:firstRowLastColumn="0" w:lastRowFirstColumn="0" w:lastRowLastColumn="0"/>
              <w:rPr>
                <w:szCs w:val="22"/>
              </w:rPr>
            </w:pPr>
            <w:r w:rsidRPr="00CB1A1C">
              <w:rPr>
                <w:szCs w:val="22"/>
              </w:rPr>
              <w:t>Time after administration of a drug when the maximum plasma concentration is reached</w:t>
            </w:r>
          </w:p>
        </w:tc>
      </w:tr>
      <w:tr w:rsidR="000E3763" w:rsidRPr="00D01DDB" w14:paraId="106C490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CE99C0" w14:textId="054F3504" w:rsidR="000E3763" w:rsidRPr="00E37195" w:rsidRDefault="000E3763" w:rsidP="00A704DC">
            <w:pPr>
              <w:rPr>
                <w:bCs/>
                <w:szCs w:val="22"/>
              </w:rPr>
            </w:pPr>
            <w:r>
              <w:rPr>
                <w:bCs/>
                <w:szCs w:val="22"/>
              </w:rPr>
              <w:t>TQT studies</w:t>
            </w:r>
          </w:p>
        </w:tc>
        <w:tc>
          <w:tcPr>
            <w:tcW w:w="3800" w:type="pct"/>
          </w:tcPr>
          <w:p w14:paraId="67ED29DF" w14:textId="63D151D1" w:rsidR="000E3763" w:rsidRPr="00CB1A1C" w:rsidRDefault="000E3763"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Thorough QT studies</w:t>
            </w:r>
          </w:p>
        </w:tc>
      </w:tr>
      <w:tr w:rsidR="002B7776" w:rsidRPr="00D01DDB" w14:paraId="07DB251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09A470" w14:textId="150F8569" w:rsidR="002B7776" w:rsidRPr="00D01DDB" w:rsidRDefault="00641A3E" w:rsidP="00A704DC">
            <w:pPr>
              <w:rPr>
                <w:szCs w:val="22"/>
              </w:rPr>
            </w:pPr>
            <w:r w:rsidRPr="00DB128D">
              <w:rPr>
                <w:szCs w:val="22"/>
              </w:rPr>
              <w:lastRenderedPageBreak/>
              <w:t>UGT</w:t>
            </w:r>
            <w:r>
              <w:rPr>
                <w:szCs w:val="22"/>
              </w:rPr>
              <w:t>(</w:t>
            </w:r>
            <w:r w:rsidRPr="00DB128D">
              <w:rPr>
                <w:szCs w:val="22"/>
              </w:rPr>
              <w:t>s</w:t>
            </w:r>
            <w:r>
              <w:rPr>
                <w:szCs w:val="22"/>
              </w:rPr>
              <w:t>)</w:t>
            </w:r>
          </w:p>
        </w:tc>
        <w:tc>
          <w:tcPr>
            <w:tcW w:w="3800" w:type="pct"/>
          </w:tcPr>
          <w:p w14:paraId="54F64C54" w14:textId="2E0A10C8" w:rsidR="002B7776" w:rsidRPr="00D01DDB" w:rsidRDefault="002E2ACD" w:rsidP="00A704DC">
            <w:pPr>
              <w:cnfStyle w:val="000000000000" w:firstRow="0" w:lastRow="0" w:firstColumn="0" w:lastColumn="0" w:oddVBand="0" w:evenVBand="0" w:oddHBand="0" w:evenHBand="0" w:firstRowFirstColumn="0" w:firstRowLastColumn="0" w:lastRowFirstColumn="0" w:lastRowLastColumn="0"/>
              <w:rPr>
                <w:szCs w:val="22"/>
              </w:rPr>
            </w:pPr>
            <w:r w:rsidRPr="002E2ACD">
              <w:rPr>
                <w:szCs w:val="22"/>
              </w:rPr>
              <w:t>Uridine 5'-diphospho-glucuronosyltransferase</w:t>
            </w:r>
          </w:p>
        </w:tc>
      </w:tr>
      <w:tr w:rsidR="002B7776" w:rsidRPr="00D01DDB" w14:paraId="3EDA18D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EFD19F" w14:textId="1B9D879D" w:rsidR="002B7776" w:rsidRPr="00D01DDB" w:rsidRDefault="002B7776" w:rsidP="00A704DC">
            <w:pPr>
              <w:rPr>
                <w:szCs w:val="22"/>
              </w:rPr>
            </w:pPr>
            <w:r>
              <w:rPr>
                <w:szCs w:val="22"/>
              </w:rPr>
              <w:t>UK</w:t>
            </w:r>
          </w:p>
        </w:tc>
        <w:tc>
          <w:tcPr>
            <w:tcW w:w="3800" w:type="pct"/>
          </w:tcPr>
          <w:p w14:paraId="2B498759" w14:textId="34A952FC" w:rsidR="002B7776" w:rsidRPr="00D01DDB" w:rsidRDefault="002B7776"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United Kingdom</w:t>
            </w:r>
          </w:p>
        </w:tc>
      </w:tr>
      <w:tr w:rsidR="002B7776" w:rsidRPr="00D01DDB" w14:paraId="4AC418F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4A1338" w14:textId="02BBD9B5" w:rsidR="002B7776" w:rsidRPr="00D01DDB" w:rsidRDefault="002B7776" w:rsidP="00A704DC">
            <w:pPr>
              <w:rPr>
                <w:szCs w:val="22"/>
              </w:rPr>
            </w:pPr>
            <w:r>
              <w:rPr>
                <w:szCs w:val="22"/>
              </w:rPr>
              <w:t>USA</w:t>
            </w:r>
          </w:p>
        </w:tc>
        <w:tc>
          <w:tcPr>
            <w:tcW w:w="3800" w:type="pct"/>
          </w:tcPr>
          <w:p w14:paraId="42D043C1" w14:textId="1059DBC3" w:rsidR="002B7776" w:rsidRPr="00D01DDB" w:rsidRDefault="002B7776" w:rsidP="00A704DC">
            <w:pPr>
              <w:cnfStyle w:val="000000000000" w:firstRow="0" w:lastRow="0" w:firstColumn="0" w:lastColumn="0" w:oddVBand="0" w:evenVBand="0" w:oddHBand="0" w:evenHBand="0" w:firstRowFirstColumn="0" w:firstRowLastColumn="0" w:lastRowFirstColumn="0" w:lastRowLastColumn="0"/>
              <w:rPr>
                <w:szCs w:val="22"/>
              </w:rPr>
            </w:pPr>
            <w:r w:rsidRPr="002B7776">
              <w:rPr>
                <w:szCs w:val="22"/>
              </w:rPr>
              <w:t>United States of America</w:t>
            </w:r>
          </w:p>
        </w:tc>
      </w:tr>
      <w:tr w:rsidR="00E03E2F" w:rsidRPr="00D01DDB" w14:paraId="6D5D7A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07766BC" w14:textId="58D29B31" w:rsidR="00E03E2F" w:rsidRPr="00D01DDB" w:rsidRDefault="00E03E2F" w:rsidP="00A704DC">
            <w:pPr>
              <w:rPr>
                <w:szCs w:val="22"/>
              </w:rPr>
            </w:pPr>
            <w:r>
              <w:rPr>
                <w:szCs w:val="22"/>
              </w:rPr>
              <w:t>VMS</w:t>
            </w:r>
          </w:p>
        </w:tc>
        <w:tc>
          <w:tcPr>
            <w:tcW w:w="3800" w:type="pct"/>
          </w:tcPr>
          <w:p w14:paraId="3FAD1077" w14:textId="6F44CE78" w:rsidR="00E03E2F" w:rsidRPr="00E03E2F" w:rsidRDefault="00E03E2F"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V</w:t>
            </w:r>
            <w:r w:rsidRPr="00E03E2F">
              <w:rPr>
                <w:szCs w:val="22"/>
              </w:rPr>
              <w:t xml:space="preserve">asomotor symptoms </w:t>
            </w:r>
          </w:p>
        </w:tc>
      </w:tr>
      <w:tr w:rsidR="00E03E2F" w:rsidRPr="00D01DDB" w14:paraId="4191523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7ADE049" w14:textId="4E748B38" w:rsidR="00E03E2F" w:rsidRPr="00D01DDB" w:rsidRDefault="00F06F40" w:rsidP="00A704DC">
            <w:pPr>
              <w:rPr>
                <w:szCs w:val="22"/>
              </w:rPr>
            </w:pPr>
            <w:proofErr w:type="spellStart"/>
            <w:r w:rsidRPr="00DB128D">
              <w:rPr>
                <w:szCs w:val="22"/>
              </w:rPr>
              <w:t>V</w:t>
            </w:r>
            <w:r w:rsidRPr="00DB128D">
              <w:rPr>
                <w:szCs w:val="22"/>
                <w:vertAlign w:val="subscript"/>
              </w:rPr>
              <w:t>ss</w:t>
            </w:r>
            <w:proofErr w:type="spellEnd"/>
          </w:p>
        </w:tc>
        <w:tc>
          <w:tcPr>
            <w:tcW w:w="3800" w:type="pct"/>
          </w:tcPr>
          <w:p w14:paraId="748230A6" w14:textId="07646B5E" w:rsidR="00E03E2F" w:rsidRPr="00D01DDB" w:rsidRDefault="00FC7CE5" w:rsidP="00A704DC">
            <w:pPr>
              <w:cnfStyle w:val="000000000000" w:firstRow="0" w:lastRow="0" w:firstColumn="0" w:lastColumn="0" w:oddVBand="0" w:evenVBand="0" w:oddHBand="0" w:evenHBand="0" w:firstRowFirstColumn="0" w:firstRowLastColumn="0" w:lastRowFirstColumn="0" w:lastRowLastColumn="0"/>
              <w:rPr>
                <w:szCs w:val="22"/>
              </w:rPr>
            </w:pPr>
            <w:r w:rsidRPr="00FC7CE5">
              <w:rPr>
                <w:szCs w:val="22"/>
              </w:rPr>
              <w:t>Volume of distribution at steady state</w:t>
            </w:r>
          </w:p>
        </w:tc>
      </w:tr>
      <w:tr w:rsidR="00E03E2F" w:rsidRPr="00D01DDB" w14:paraId="270D114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69CC9A0" w14:textId="5357DDBA" w:rsidR="00E03E2F" w:rsidRPr="00D01DDB" w:rsidRDefault="0085322E" w:rsidP="00A704DC">
            <w:pPr>
              <w:rPr>
                <w:szCs w:val="22"/>
              </w:rPr>
            </w:pPr>
            <w:proofErr w:type="spellStart"/>
            <w:r w:rsidRPr="00DB128D">
              <w:rPr>
                <w:szCs w:val="22"/>
              </w:rPr>
              <w:t>V</w:t>
            </w:r>
            <w:r w:rsidRPr="00DB128D">
              <w:rPr>
                <w:szCs w:val="22"/>
                <w:vertAlign w:val="subscript"/>
              </w:rPr>
              <w:t>z</w:t>
            </w:r>
            <w:proofErr w:type="spellEnd"/>
          </w:p>
        </w:tc>
        <w:tc>
          <w:tcPr>
            <w:tcW w:w="3800" w:type="pct"/>
          </w:tcPr>
          <w:p w14:paraId="57EFD6B7" w14:textId="4F3171F0" w:rsidR="00E03E2F" w:rsidRPr="00D01DDB" w:rsidRDefault="0085322E"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Volume of distribution </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6" w:name="_Toc103679288"/>
      <w:bookmarkStart w:id="7" w:name="_Toc223341678"/>
      <w:r>
        <w:lastRenderedPageBreak/>
        <w:t>Product submission</w:t>
      </w:r>
      <w:bookmarkEnd w:id="6"/>
      <w:bookmarkEnd w:id="7"/>
    </w:p>
    <w:p w14:paraId="21D559DF" w14:textId="77777777" w:rsidR="00324B33" w:rsidRDefault="00324B33" w:rsidP="00324B33">
      <w:pPr>
        <w:pStyle w:val="Heading3"/>
        <w:rPr>
          <w:lang w:eastAsia="en-AU"/>
        </w:rPr>
      </w:pPr>
      <w:bookmarkStart w:id="8" w:name="_Toc247691502"/>
      <w:bookmarkStart w:id="9" w:name="_Toc314842483"/>
      <w:bookmarkStart w:id="10" w:name="_Toc103679289"/>
      <w:bookmarkStart w:id="11" w:name="_Toc223341679"/>
      <w:r>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3686"/>
        <w:gridCol w:w="5384"/>
      </w:tblGrid>
      <w:tr w:rsidR="00324B33" w:rsidRPr="00BD5DBD" w14:paraId="77D11C95" w14:textId="77777777" w:rsidTr="00155257">
        <w:tc>
          <w:tcPr>
            <w:tcW w:w="2032" w:type="pct"/>
          </w:tcPr>
          <w:p w14:paraId="10E57D62" w14:textId="640A548A" w:rsidR="00324B33" w:rsidRPr="00BD5DBD" w:rsidRDefault="00324B33" w:rsidP="007452E8">
            <w:pPr>
              <w:rPr>
                <w:i/>
                <w:szCs w:val="22"/>
              </w:rPr>
            </w:pPr>
            <w:r w:rsidRPr="00BD5DBD">
              <w:rPr>
                <w:i/>
                <w:szCs w:val="22"/>
              </w:rPr>
              <w:t>Type of submission:</w:t>
            </w:r>
          </w:p>
        </w:tc>
        <w:tc>
          <w:tcPr>
            <w:tcW w:w="2968" w:type="pct"/>
          </w:tcPr>
          <w:p w14:paraId="4F07C303" w14:textId="08FF9713" w:rsidR="00324B33" w:rsidRPr="00BD5DBD" w:rsidRDefault="00324B33" w:rsidP="007452E8">
            <w:pPr>
              <w:rPr>
                <w:szCs w:val="22"/>
              </w:rPr>
            </w:pPr>
            <w:r w:rsidRPr="00BD5DBD">
              <w:rPr>
                <w:szCs w:val="22"/>
              </w:rPr>
              <w:t>New chemical entity</w:t>
            </w:r>
            <w:r w:rsidR="00FD43AC">
              <w:rPr>
                <w:szCs w:val="22"/>
              </w:rPr>
              <w:t xml:space="preserve"> </w:t>
            </w:r>
          </w:p>
        </w:tc>
      </w:tr>
      <w:tr w:rsidR="00324B33" w:rsidRPr="00BD5DBD" w14:paraId="13482B61" w14:textId="77777777" w:rsidTr="00155257">
        <w:tc>
          <w:tcPr>
            <w:tcW w:w="2032" w:type="pct"/>
          </w:tcPr>
          <w:p w14:paraId="2C427FCF" w14:textId="615CF0F1" w:rsidR="00324B33" w:rsidRPr="00BD5DBD" w:rsidRDefault="00324B33" w:rsidP="007452E8">
            <w:pPr>
              <w:rPr>
                <w:i/>
                <w:szCs w:val="22"/>
              </w:rPr>
            </w:pPr>
            <w:r w:rsidRPr="00BD5DBD">
              <w:rPr>
                <w:i/>
                <w:szCs w:val="22"/>
              </w:rPr>
              <w:t>Product name:</w:t>
            </w:r>
          </w:p>
        </w:tc>
        <w:tc>
          <w:tcPr>
            <w:tcW w:w="2968" w:type="pct"/>
          </w:tcPr>
          <w:p w14:paraId="0E2DEF76" w14:textId="135984A0" w:rsidR="00324B33" w:rsidRPr="00BD5DBD" w:rsidRDefault="008A5F0E" w:rsidP="007452E8">
            <w:pPr>
              <w:rPr>
                <w:szCs w:val="22"/>
              </w:rPr>
            </w:pPr>
            <w:r>
              <w:rPr>
                <w:szCs w:val="22"/>
              </w:rPr>
              <w:t>Lynkuet</w:t>
            </w:r>
          </w:p>
        </w:tc>
      </w:tr>
      <w:tr w:rsidR="00324B33" w:rsidRPr="00BD5DBD" w14:paraId="01255B5B" w14:textId="77777777" w:rsidTr="00155257">
        <w:tc>
          <w:tcPr>
            <w:tcW w:w="2032" w:type="pct"/>
          </w:tcPr>
          <w:p w14:paraId="52B4F3D7" w14:textId="360B38D1" w:rsidR="00324B33" w:rsidRPr="00BD5DBD" w:rsidRDefault="00324B33" w:rsidP="007452E8">
            <w:pPr>
              <w:rPr>
                <w:i/>
                <w:szCs w:val="22"/>
              </w:rPr>
            </w:pPr>
            <w:r w:rsidRPr="00BD5DBD">
              <w:rPr>
                <w:i/>
                <w:szCs w:val="22"/>
              </w:rPr>
              <w:t>Active ingredient:</w:t>
            </w:r>
          </w:p>
        </w:tc>
        <w:tc>
          <w:tcPr>
            <w:tcW w:w="2968" w:type="pct"/>
          </w:tcPr>
          <w:p w14:paraId="02FB6383" w14:textId="730A0F6A" w:rsidR="00324B33" w:rsidRPr="00BD5DBD" w:rsidRDefault="008A5F0E" w:rsidP="007452E8">
            <w:pPr>
              <w:rPr>
                <w:szCs w:val="22"/>
              </w:rPr>
            </w:pPr>
            <w:r>
              <w:rPr>
                <w:szCs w:val="22"/>
              </w:rPr>
              <w:t>Elinzanetant</w:t>
            </w:r>
          </w:p>
        </w:tc>
      </w:tr>
      <w:tr w:rsidR="00324B33" w:rsidRPr="00BD5DBD" w14:paraId="219A281B" w14:textId="77777777" w:rsidTr="00155257">
        <w:tc>
          <w:tcPr>
            <w:tcW w:w="2032" w:type="pct"/>
          </w:tcPr>
          <w:p w14:paraId="112E5F78" w14:textId="77777777" w:rsidR="00324B33" w:rsidRPr="00BD5DBD" w:rsidRDefault="00324B33" w:rsidP="007452E8">
            <w:pPr>
              <w:rPr>
                <w:i/>
                <w:szCs w:val="22"/>
              </w:rPr>
            </w:pPr>
            <w:r w:rsidRPr="00BD5DBD">
              <w:rPr>
                <w:i/>
                <w:szCs w:val="22"/>
              </w:rPr>
              <w:t>Decision:</w:t>
            </w:r>
          </w:p>
        </w:tc>
        <w:tc>
          <w:tcPr>
            <w:tcW w:w="2968" w:type="pct"/>
          </w:tcPr>
          <w:p w14:paraId="3B114BEA" w14:textId="678F71A1" w:rsidR="00324B33" w:rsidRPr="00BD5DBD" w:rsidRDefault="00324B33" w:rsidP="007452E8">
            <w:pPr>
              <w:rPr>
                <w:szCs w:val="22"/>
              </w:rPr>
            </w:pPr>
            <w:r w:rsidRPr="00BD5DBD">
              <w:rPr>
                <w:szCs w:val="22"/>
              </w:rPr>
              <w:t xml:space="preserve">Approved </w:t>
            </w:r>
          </w:p>
        </w:tc>
      </w:tr>
      <w:tr w:rsidR="00AE1947" w:rsidRPr="00BD5DBD" w14:paraId="32B72632" w14:textId="77777777" w:rsidTr="00155257">
        <w:tc>
          <w:tcPr>
            <w:tcW w:w="2032" w:type="pct"/>
          </w:tcPr>
          <w:p w14:paraId="332A5CD5" w14:textId="65682B5F" w:rsidR="00AE1947" w:rsidRPr="00BD5DBD" w:rsidRDefault="00AE1947" w:rsidP="007F1E37">
            <w:r w:rsidRPr="00BD5DBD">
              <w:rPr>
                <w:i/>
                <w:szCs w:val="22"/>
              </w:rPr>
              <w:t>Date of decision:</w:t>
            </w:r>
          </w:p>
        </w:tc>
        <w:tc>
          <w:tcPr>
            <w:tcW w:w="2968" w:type="pct"/>
          </w:tcPr>
          <w:p w14:paraId="7B381CD6" w14:textId="475495C6" w:rsidR="00AE1947" w:rsidRPr="00BD5DBD" w:rsidRDefault="00380C11" w:rsidP="00602658">
            <w:pPr>
              <w:rPr>
                <w:szCs w:val="22"/>
              </w:rPr>
            </w:pPr>
            <w:r>
              <w:rPr>
                <w:szCs w:val="22"/>
              </w:rPr>
              <w:t>5 September 2025</w:t>
            </w:r>
          </w:p>
        </w:tc>
      </w:tr>
      <w:tr w:rsidR="00324B33" w:rsidRPr="00BD5DBD" w14:paraId="60A25F5A" w14:textId="77777777" w:rsidTr="00155257">
        <w:tc>
          <w:tcPr>
            <w:tcW w:w="2032" w:type="pct"/>
          </w:tcPr>
          <w:p w14:paraId="5C5E4CBA" w14:textId="77777777" w:rsidR="00324B33" w:rsidRPr="00BD5DBD" w:rsidRDefault="00324B33" w:rsidP="007452E8">
            <w:pPr>
              <w:rPr>
                <w:i/>
                <w:szCs w:val="22"/>
              </w:rPr>
            </w:pPr>
            <w:r w:rsidRPr="00BD5DBD">
              <w:rPr>
                <w:i/>
                <w:szCs w:val="22"/>
              </w:rPr>
              <w:t>Date of entry onto ARTG:</w:t>
            </w:r>
          </w:p>
        </w:tc>
        <w:tc>
          <w:tcPr>
            <w:tcW w:w="2968" w:type="pct"/>
          </w:tcPr>
          <w:p w14:paraId="28B270E9" w14:textId="352E91E1" w:rsidR="00324B33" w:rsidRPr="00BD5DBD" w:rsidRDefault="00380C11" w:rsidP="007452E8">
            <w:pPr>
              <w:rPr>
                <w:szCs w:val="22"/>
              </w:rPr>
            </w:pPr>
            <w:r>
              <w:rPr>
                <w:szCs w:val="22"/>
              </w:rPr>
              <w:t>11 September 2025</w:t>
            </w:r>
          </w:p>
        </w:tc>
      </w:tr>
      <w:tr w:rsidR="00324B33" w:rsidRPr="00BD5DBD" w14:paraId="547E08D7" w14:textId="77777777" w:rsidTr="00155257">
        <w:tc>
          <w:tcPr>
            <w:tcW w:w="2032" w:type="pct"/>
          </w:tcPr>
          <w:p w14:paraId="5030EF30" w14:textId="61D6C262" w:rsidR="00324B33" w:rsidRPr="00BD5DBD" w:rsidRDefault="00324B33" w:rsidP="007452E8">
            <w:pPr>
              <w:rPr>
                <w:i/>
                <w:szCs w:val="22"/>
              </w:rPr>
            </w:pPr>
            <w:r w:rsidRPr="00BD5DBD">
              <w:rPr>
                <w:i/>
                <w:szCs w:val="22"/>
              </w:rPr>
              <w:t>ARTG numbe</w:t>
            </w:r>
            <w:r w:rsidR="007E6E78">
              <w:rPr>
                <w:i/>
                <w:szCs w:val="22"/>
              </w:rPr>
              <w:t>r</w:t>
            </w:r>
            <w:r w:rsidRPr="00BD5DBD">
              <w:rPr>
                <w:i/>
                <w:szCs w:val="22"/>
              </w:rPr>
              <w:t>:</w:t>
            </w:r>
          </w:p>
        </w:tc>
        <w:tc>
          <w:tcPr>
            <w:tcW w:w="2968" w:type="pct"/>
          </w:tcPr>
          <w:p w14:paraId="0054E912" w14:textId="03CEC811" w:rsidR="00324B33" w:rsidRPr="00BD5DBD" w:rsidRDefault="007E6E78" w:rsidP="007452E8">
            <w:pPr>
              <w:rPr>
                <w:szCs w:val="22"/>
              </w:rPr>
            </w:pPr>
            <w:r>
              <w:rPr>
                <w:szCs w:val="22"/>
              </w:rPr>
              <w:t>459925</w:t>
            </w:r>
          </w:p>
        </w:tc>
      </w:tr>
      <w:tr w:rsidR="00324B33" w:rsidRPr="00BD5DBD" w14:paraId="7618393F" w14:textId="77777777" w:rsidTr="00155257">
        <w:tc>
          <w:tcPr>
            <w:tcW w:w="2032"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15"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2968" w:type="pct"/>
          </w:tcPr>
          <w:p w14:paraId="6FF3C6A2" w14:textId="755A3EDC" w:rsidR="00324B33" w:rsidRPr="00BD5DBD" w:rsidRDefault="00324B33" w:rsidP="007452E8">
            <w:pPr>
              <w:rPr>
                <w:szCs w:val="22"/>
              </w:rPr>
            </w:pPr>
            <w:r w:rsidRPr="003C4558">
              <w:rPr>
                <w:szCs w:val="22"/>
              </w:rPr>
              <w:t>Yes</w:t>
            </w:r>
          </w:p>
        </w:tc>
      </w:tr>
      <w:tr w:rsidR="00324B33" w:rsidRPr="00BD5DBD" w14:paraId="179E09FE" w14:textId="77777777" w:rsidTr="00155257">
        <w:tc>
          <w:tcPr>
            <w:tcW w:w="2032" w:type="pct"/>
          </w:tcPr>
          <w:p w14:paraId="1A592498" w14:textId="77777777" w:rsidR="00324B33" w:rsidRPr="00BD5DBD" w:rsidRDefault="00324B33" w:rsidP="007452E8">
            <w:pPr>
              <w:rPr>
                <w:i/>
                <w:szCs w:val="22"/>
              </w:rPr>
            </w:pPr>
            <w:r w:rsidRPr="00BD5DBD">
              <w:rPr>
                <w:i/>
                <w:szCs w:val="22"/>
              </w:rPr>
              <w:t>Sponsor’s name and address:</w:t>
            </w:r>
          </w:p>
        </w:tc>
        <w:tc>
          <w:tcPr>
            <w:tcW w:w="2968" w:type="pct"/>
          </w:tcPr>
          <w:p w14:paraId="3E258210" w14:textId="77777777" w:rsidR="00324B33" w:rsidRDefault="007E6E78" w:rsidP="007452E8">
            <w:pPr>
              <w:rPr>
                <w:szCs w:val="22"/>
              </w:rPr>
            </w:pPr>
            <w:r>
              <w:rPr>
                <w:szCs w:val="22"/>
              </w:rPr>
              <w:t>Bayer Australia Ltd</w:t>
            </w:r>
          </w:p>
          <w:p w14:paraId="709D80D3" w14:textId="77777777" w:rsidR="00904F31" w:rsidRPr="00904F31" w:rsidRDefault="00904F31" w:rsidP="00904F31">
            <w:pPr>
              <w:rPr>
                <w:szCs w:val="22"/>
              </w:rPr>
            </w:pPr>
            <w:r w:rsidRPr="00904F31">
              <w:rPr>
                <w:szCs w:val="22"/>
              </w:rPr>
              <w:t xml:space="preserve">875 Pacific Highway </w:t>
            </w:r>
          </w:p>
          <w:p w14:paraId="017E2B70" w14:textId="77777777" w:rsidR="007E6E78" w:rsidRDefault="00904F31" w:rsidP="00904F31">
            <w:pPr>
              <w:rPr>
                <w:szCs w:val="22"/>
              </w:rPr>
            </w:pPr>
            <w:r w:rsidRPr="00904F31">
              <w:rPr>
                <w:szCs w:val="22"/>
              </w:rPr>
              <w:t>Pymble NSW 2073</w:t>
            </w:r>
          </w:p>
          <w:p w14:paraId="68DD94B0" w14:textId="07576C0E" w:rsidR="00904F31" w:rsidRPr="00BD5DBD" w:rsidRDefault="00904F31" w:rsidP="00904F31">
            <w:pPr>
              <w:rPr>
                <w:szCs w:val="22"/>
              </w:rPr>
            </w:pPr>
            <w:r>
              <w:rPr>
                <w:szCs w:val="22"/>
              </w:rPr>
              <w:t>Australia</w:t>
            </w:r>
          </w:p>
        </w:tc>
      </w:tr>
      <w:tr w:rsidR="00324B33" w:rsidRPr="00BD5DBD" w14:paraId="5322B989" w14:textId="77777777" w:rsidTr="00155257">
        <w:tc>
          <w:tcPr>
            <w:tcW w:w="2032" w:type="pct"/>
          </w:tcPr>
          <w:p w14:paraId="24F217E3" w14:textId="0CE4BC41" w:rsidR="00324B33" w:rsidRPr="00BD5DBD" w:rsidRDefault="00324B33" w:rsidP="007452E8">
            <w:pPr>
              <w:rPr>
                <w:i/>
                <w:szCs w:val="22"/>
              </w:rPr>
            </w:pPr>
            <w:r w:rsidRPr="00BD5DBD">
              <w:rPr>
                <w:i/>
                <w:szCs w:val="22"/>
              </w:rPr>
              <w:t>Dose form:</w:t>
            </w:r>
          </w:p>
        </w:tc>
        <w:tc>
          <w:tcPr>
            <w:tcW w:w="2968" w:type="pct"/>
          </w:tcPr>
          <w:p w14:paraId="768B254C" w14:textId="7FADD435" w:rsidR="00324B33" w:rsidRPr="00BD5DBD" w:rsidRDefault="007A0A66" w:rsidP="007452E8">
            <w:pPr>
              <w:rPr>
                <w:szCs w:val="22"/>
              </w:rPr>
            </w:pPr>
            <w:r w:rsidRPr="007A0A66">
              <w:rPr>
                <w:szCs w:val="22"/>
              </w:rPr>
              <w:t>60 mg soft capsule blister pack</w:t>
            </w:r>
          </w:p>
        </w:tc>
      </w:tr>
      <w:tr w:rsidR="00324B33" w:rsidRPr="00BD5DBD" w14:paraId="34B07BA6" w14:textId="77777777" w:rsidTr="00155257">
        <w:tc>
          <w:tcPr>
            <w:tcW w:w="2032" w:type="pct"/>
          </w:tcPr>
          <w:p w14:paraId="1C039224" w14:textId="67A76318" w:rsidR="00324B33" w:rsidRPr="00BD5DBD" w:rsidRDefault="00324B33" w:rsidP="007452E8">
            <w:pPr>
              <w:rPr>
                <w:i/>
                <w:szCs w:val="22"/>
              </w:rPr>
            </w:pPr>
            <w:r w:rsidRPr="00BD5DBD">
              <w:rPr>
                <w:i/>
                <w:szCs w:val="22"/>
              </w:rPr>
              <w:t>Containers:</w:t>
            </w:r>
          </w:p>
        </w:tc>
        <w:tc>
          <w:tcPr>
            <w:tcW w:w="2968" w:type="pct"/>
          </w:tcPr>
          <w:p w14:paraId="500A42C6" w14:textId="2FCB83FD" w:rsidR="00324B33" w:rsidRPr="00BD5DBD" w:rsidRDefault="00AD784D" w:rsidP="00986A08">
            <w:pPr>
              <w:rPr>
                <w:szCs w:val="22"/>
              </w:rPr>
            </w:pPr>
            <w:r w:rsidRPr="00AD784D">
              <w:rPr>
                <w:szCs w:val="22"/>
              </w:rPr>
              <w:t xml:space="preserve">Alu/ </w:t>
            </w:r>
            <w:proofErr w:type="spellStart"/>
            <w:r w:rsidRPr="00AD784D">
              <w:rPr>
                <w:szCs w:val="22"/>
              </w:rPr>
              <w:t>Aclar</w:t>
            </w:r>
            <w:proofErr w:type="spellEnd"/>
            <w:r w:rsidRPr="00AD784D">
              <w:rPr>
                <w:szCs w:val="22"/>
              </w:rPr>
              <w:t xml:space="preserve"> blister</w:t>
            </w:r>
            <w:r>
              <w:rPr>
                <w:szCs w:val="22"/>
              </w:rPr>
              <w:t xml:space="preserve"> packs</w:t>
            </w:r>
            <w:r w:rsidRPr="00AD784D">
              <w:rPr>
                <w:szCs w:val="22"/>
              </w:rPr>
              <w:t xml:space="preserve">. </w:t>
            </w:r>
          </w:p>
        </w:tc>
      </w:tr>
      <w:tr w:rsidR="00324B33" w:rsidRPr="00BD5DBD" w14:paraId="176B6773" w14:textId="77777777" w:rsidTr="00155257">
        <w:tc>
          <w:tcPr>
            <w:tcW w:w="2032" w:type="pct"/>
          </w:tcPr>
          <w:p w14:paraId="71846159" w14:textId="477DFD88" w:rsidR="00324B33" w:rsidRPr="00BD5DBD" w:rsidRDefault="00324B33" w:rsidP="007452E8">
            <w:pPr>
              <w:rPr>
                <w:i/>
                <w:szCs w:val="22"/>
              </w:rPr>
            </w:pPr>
            <w:r w:rsidRPr="00BD5DBD">
              <w:rPr>
                <w:i/>
                <w:szCs w:val="22"/>
              </w:rPr>
              <w:t>Pack sizes</w:t>
            </w:r>
            <w:r w:rsidR="00AD784D">
              <w:rPr>
                <w:i/>
                <w:szCs w:val="22"/>
              </w:rPr>
              <w:t>:</w:t>
            </w:r>
          </w:p>
        </w:tc>
        <w:tc>
          <w:tcPr>
            <w:tcW w:w="2968" w:type="pct"/>
          </w:tcPr>
          <w:p w14:paraId="7E978F8F" w14:textId="30B1AF9B" w:rsidR="00324B33" w:rsidRPr="00BD5DBD" w:rsidRDefault="00AD784D" w:rsidP="007452E8">
            <w:pPr>
              <w:rPr>
                <w:szCs w:val="22"/>
              </w:rPr>
            </w:pPr>
            <w:r w:rsidRPr="00AD784D">
              <w:rPr>
                <w:szCs w:val="22"/>
              </w:rPr>
              <w:t>Blisters p</w:t>
            </w:r>
            <w:r w:rsidRPr="00986A08">
              <w:rPr>
                <w:szCs w:val="22"/>
              </w:rPr>
              <w:t>ack sizes: 24 (sample), 60, 180</w:t>
            </w:r>
            <w:r w:rsidRPr="00AD784D">
              <w:rPr>
                <w:szCs w:val="22"/>
              </w:rPr>
              <w:t xml:space="preserve"> capsules.</w:t>
            </w:r>
          </w:p>
        </w:tc>
      </w:tr>
      <w:tr w:rsidR="00324B33" w:rsidRPr="00BD5DBD" w14:paraId="19A2544A" w14:textId="77777777" w:rsidTr="00155257">
        <w:tc>
          <w:tcPr>
            <w:tcW w:w="2032"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2968" w:type="pct"/>
          </w:tcPr>
          <w:p w14:paraId="6E143E2E" w14:textId="002B3257" w:rsidR="00324B33" w:rsidRPr="000006E3" w:rsidRDefault="007B5E27" w:rsidP="00A62E54">
            <w:pPr>
              <w:rPr>
                <w:i/>
                <w:iCs/>
                <w:szCs w:val="22"/>
              </w:rPr>
            </w:pPr>
            <w:r w:rsidRPr="000006E3">
              <w:rPr>
                <w:i/>
                <w:iCs/>
                <w:szCs w:val="22"/>
              </w:rPr>
              <w:t xml:space="preserve">Lynkuet is indicated for the treatment of moderate to severe vasomotor symptoms </w:t>
            </w:r>
            <w:r w:rsidRPr="007B5E27">
              <w:rPr>
                <w:i/>
                <w:iCs/>
                <w:szCs w:val="22"/>
              </w:rPr>
              <w:t>(VMS) associated with menopause (see Section 5.1 Pharmacodynamic properties –</w:t>
            </w:r>
            <w:r w:rsidR="00A62E54" w:rsidRPr="000006E3">
              <w:rPr>
                <w:i/>
                <w:iCs/>
                <w:szCs w:val="22"/>
              </w:rPr>
              <w:t xml:space="preserve"> </w:t>
            </w:r>
            <w:r w:rsidRPr="000006E3">
              <w:rPr>
                <w:i/>
                <w:iCs/>
                <w:szCs w:val="22"/>
              </w:rPr>
              <w:t>Clinical Trials).</w:t>
            </w:r>
          </w:p>
        </w:tc>
      </w:tr>
      <w:tr w:rsidR="00324B33" w:rsidRPr="00BD5DBD" w14:paraId="5AFDEED3" w14:textId="77777777" w:rsidTr="00155257">
        <w:tc>
          <w:tcPr>
            <w:tcW w:w="2032" w:type="pct"/>
          </w:tcPr>
          <w:p w14:paraId="03884BD1" w14:textId="7763C5D1" w:rsidR="00324B33" w:rsidRPr="00BD5DBD" w:rsidRDefault="00324B33" w:rsidP="007452E8">
            <w:pPr>
              <w:rPr>
                <w:i/>
                <w:szCs w:val="22"/>
              </w:rPr>
            </w:pPr>
            <w:r w:rsidRPr="00BD5DBD">
              <w:rPr>
                <w:i/>
                <w:szCs w:val="22"/>
              </w:rPr>
              <w:t>Route of administration:</w:t>
            </w:r>
          </w:p>
        </w:tc>
        <w:tc>
          <w:tcPr>
            <w:tcW w:w="2968" w:type="pct"/>
          </w:tcPr>
          <w:p w14:paraId="1ED1357E" w14:textId="490D49F8" w:rsidR="00324B33" w:rsidRPr="00BD5DBD" w:rsidRDefault="00DD7060" w:rsidP="007452E8">
            <w:pPr>
              <w:rPr>
                <w:szCs w:val="22"/>
              </w:rPr>
            </w:pPr>
            <w:r>
              <w:rPr>
                <w:szCs w:val="22"/>
              </w:rPr>
              <w:t>For oral use</w:t>
            </w:r>
          </w:p>
        </w:tc>
      </w:tr>
      <w:tr w:rsidR="00324B33" w:rsidRPr="00BD5DBD" w14:paraId="70D7E9FA" w14:textId="77777777" w:rsidTr="00155257">
        <w:tc>
          <w:tcPr>
            <w:tcW w:w="2032" w:type="pct"/>
          </w:tcPr>
          <w:p w14:paraId="5ABFFC80" w14:textId="77777777" w:rsidR="00324B33" w:rsidRPr="00BD5DBD" w:rsidRDefault="00324B33" w:rsidP="007452E8">
            <w:pPr>
              <w:rPr>
                <w:i/>
                <w:szCs w:val="22"/>
              </w:rPr>
            </w:pPr>
            <w:r w:rsidRPr="00BD5DBD">
              <w:rPr>
                <w:i/>
                <w:szCs w:val="22"/>
              </w:rPr>
              <w:t>Dosage:</w:t>
            </w:r>
          </w:p>
        </w:tc>
        <w:tc>
          <w:tcPr>
            <w:tcW w:w="2968" w:type="pct"/>
          </w:tcPr>
          <w:p w14:paraId="5BED2EB0" w14:textId="5F12917E" w:rsidR="00AA017E" w:rsidRPr="00AA017E" w:rsidRDefault="00AA017E" w:rsidP="00AA017E">
            <w:pPr>
              <w:rPr>
                <w:szCs w:val="22"/>
              </w:rPr>
            </w:pPr>
            <w:r w:rsidRPr="00AA017E">
              <w:rPr>
                <w:szCs w:val="22"/>
              </w:rPr>
              <w:t xml:space="preserve">The recommended daily dose is 120 mg </w:t>
            </w:r>
            <w:proofErr w:type="spellStart"/>
            <w:r w:rsidRPr="00AA017E">
              <w:rPr>
                <w:szCs w:val="22"/>
              </w:rPr>
              <w:t>elinzanetant</w:t>
            </w:r>
            <w:proofErr w:type="spellEnd"/>
            <w:r w:rsidRPr="00AA017E">
              <w:rPr>
                <w:szCs w:val="22"/>
              </w:rPr>
              <w:t xml:space="preserve"> (two 60 mg capsules) taken orally once daily at bedtime. </w:t>
            </w:r>
          </w:p>
          <w:p w14:paraId="3D0B2D5C" w14:textId="6E29920D"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dosage modifications to manage adverse reactions, </w:t>
            </w:r>
            <w:r w:rsidRPr="00BD5DBD">
              <w:rPr>
                <w:szCs w:val="22"/>
              </w:rPr>
              <w:t>refer to the Product Information.</w:t>
            </w:r>
          </w:p>
        </w:tc>
      </w:tr>
      <w:tr w:rsidR="0017005C" w:rsidRPr="00BD5DBD" w14:paraId="7B7BB6AE" w14:textId="77777777" w:rsidTr="00155257">
        <w:tc>
          <w:tcPr>
            <w:tcW w:w="2032" w:type="pct"/>
          </w:tcPr>
          <w:p w14:paraId="3A76AFF7" w14:textId="7C436DD9" w:rsidR="0017005C" w:rsidRPr="00F8083B" w:rsidRDefault="0070330F" w:rsidP="0017005C">
            <w:r w:rsidRPr="00BD5DBD">
              <w:rPr>
                <w:i/>
                <w:szCs w:val="22"/>
              </w:rPr>
              <w:t>Pregnancy category:</w:t>
            </w:r>
          </w:p>
        </w:tc>
        <w:tc>
          <w:tcPr>
            <w:tcW w:w="2968" w:type="pct"/>
          </w:tcPr>
          <w:p w14:paraId="05C8AB52" w14:textId="77777777" w:rsidR="00592090" w:rsidRPr="00592090" w:rsidRDefault="00592090" w:rsidP="00592090">
            <w:r w:rsidRPr="00592090">
              <w:t xml:space="preserve">Pregnancy Category B3 </w:t>
            </w:r>
          </w:p>
          <w:p w14:paraId="747D3384" w14:textId="37995524" w:rsidR="00B70288" w:rsidRPr="00B70288" w:rsidRDefault="00B70288" w:rsidP="00B70288">
            <w:r w:rsidRPr="00B70288">
              <w:t xml:space="preserve">The use of </w:t>
            </w:r>
            <w:r>
              <w:t>Lynkuet</w:t>
            </w:r>
            <w:r w:rsidRPr="00B70288">
              <w:t xml:space="preserve"> in pregnant women is not indicated. </w:t>
            </w:r>
          </w:p>
          <w:p w14:paraId="022E47F7" w14:textId="6DC7396B" w:rsidR="00B70288" w:rsidRPr="00B70288" w:rsidRDefault="00B70288" w:rsidP="00B70288">
            <w:r w:rsidRPr="00B70288">
              <w:t xml:space="preserve">There are no data on the use of </w:t>
            </w:r>
            <w:r>
              <w:t>Lynkuet</w:t>
            </w:r>
            <w:r w:rsidRPr="00B70288">
              <w:t xml:space="preserve"> in pregnant women. Studies in animals indicate the potential for reproductive and developmental toxicity in pregnant patients. </w:t>
            </w:r>
          </w:p>
          <w:p w14:paraId="6D60FB90" w14:textId="160421FC" w:rsidR="00592090" w:rsidRPr="00B70288" w:rsidRDefault="00B70288" w:rsidP="00B70288">
            <w:r w:rsidRPr="00B70288">
              <w:t xml:space="preserve">Pregnancy should be prevented in women of child-bearing potential by using effective contraception </w:t>
            </w:r>
            <w:r w:rsidRPr="00B70288">
              <w:lastRenderedPageBreak/>
              <w:t xml:space="preserve">during treatment with </w:t>
            </w:r>
            <w:r>
              <w:t>Lynkuet</w:t>
            </w:r>
            <w:r w:rsidRPr="00B70288">
              <w:t xml:space="preserve">. If pregnancy occurs during use of </w:t>
            </w:r>
            <w:r>
              <w:t>Lynkuet</w:t>
            </w:r>
            <w:r w:rsidRPr="00B70288">
              <w:t xml:space="preserve"> treatment should be withdrawn.</w:t>
            </w:r>
          </w:p>
          <w:p w14:paraId="76497789" w14:textId="3C9FC16B" w:rsidR="0017005C" w:rsidRPr="00BD5DBD" w:rsidRDefault="0070330F" w:rsidP="00592090">
            <w:pPr>
              <w:rPr>
                <w:szCs w:val="22"/>
              </w:rPr>
            </w:pPr>
            <w:r w:rsidRPr="00BD5DBD">
              <w:rPr>
                <w:szCs w:val="22"/>
              </w:rPr>
              <w:t xml:space="preserve">The use of any medicine during pregnancy requires careful consideration of both risks and benefits by the treating health professional. </w:t>
            </w:r>
            <w:r w:rsidR="00721059">
              <w:rPr>
                <w:szCs w:val="22"/>
              </w:rPr>
              <w:t xml:space="preserve">The </w:t>
            </w:r>
            <w:hyperlink r:id="rId16"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17"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2" w:name="_Toc247691503"/>
      <w:bookmarkStart w:id="13" w:name="_Toc314842484"/>
      <w:bookmarkStart w:id="14" w:name="_Toc103679290"/>
      <w:bookmarkStart w:id="15" w:name="_Toc223341680"/>
      <w:r>
        <w:lastRenderedPageBreak/>
        <w:t>Product background</w:t>
      </w:r>
      <w:bookmarkEnd w:id="12"/>
      <w:bookmarkEnd w:id="13"/>
      <w:bookmarkEnd w:id="14"/>
      <w:bookmarkEnd w:id="15"/>
    </w:p>
    <w:p w14:paraId="59BF31D1" w14:textId="4D3A1977" w:rsidR="001500A8" w:rsidRDefault="00324B33" w:rsidP="00065839">
      <w:r w:rsidRPr="00065839">
        <w:t xml:space="preserve">This AusPAR describes the submission by </w:t>
      </w:r>
      <w:r w:rsidR="00C23D2D">
        <w:t>Bayer Australia Ltd</w:t>
      </w:r>
      <w:r w:rsidRPr="00065839">
        <w:t xml:space="preserve"> to register</w:t>
      </w:r>
      <w:r w:rsidR="00C23D2D">
        <w:t xml:space="preserve"> </w:t>
      </w:r>
      <w:r w:rsidR="003E1D61" w:rsidRPr="003E1D61">
        <w:t>L</w:t>
      </w:r>
      <w:r w:rsidR="003E1D61">
        <w:t>ynkuet (</w:t>
      </w:r>
      <w:proofErr w:type="spellStart"/>
      <w:r w:rsidR="003E1D61" w:rsidRPr="003E1D61">
        <w:t>elinzanetant</w:t>
      </w:r>
      <w:proofErr w:type="spellEnd"/>
      <w:r w:rsidR="003E1D61">
        <w:t>)</w:t>
      </w:r>
      <w:r w:rsidR="003E1D61" w:rsidRPr="003E1D61">
        <w:t xml:space="preserve"> 60 mg soft capsule blister pack</w:t>
      </w:r>
      <w:r w:rsidRPr="00065839">
        <w:t xml:space="preserve"> for the following proposed indication</w:t>
      </w:r>
      <w:r w:rsidR="005A4C59">
        <w:t>:</w:t>
      </w:r>
      <w:r w:rsidR="00D63760" w:rsidRPr="00065839">
        <w:rPr>
          <w:vertAlign w:val="superscript"/>
        </w:rPr>
        <w:footnoteReference w:id="1"/>
      </w:r>
    </w:p>
    <w:p w14:paraId="6B58C0A2" w14:textId="4A44D0E1" w:rsidR="007B73F4" w:rsidRPr="007B73F4" w:rsidRDefault="007B73F4" w:rsidP="007B73F4">
      <w:pPr>
        <w:ind w:left="720"/>
        <w:rPr>
          <w:i/>
          <w:iCs/>
        </w:rPr>
      </w:pPr>
      <w:r w:rsidRPr="007B73F4">
        <w:rPr>
          <w:i/>
          <w:iCs/>
        </w:rPr>
        <w:t>Lynkuet</w:t>
      </w:r>
      <w:r w:rsidR="002958D1">
        <w:rPr>
          <w:i/>
          <w:iCs/>
        </w:rPr>
        <w:t xml:space="preserve"> is</w:t>
      </w:r>
      <w:r w:rsidRPr="007B73F4">
        <w:rPr>
          <w:i/>
          <w:iCs/>
        </w:rPr>
        <w:t xml:space="preserve"> indicated for the treatment of moderate to severe vasomotor symptoms (VMS) associated with menopause.</w:t>
      </w:r>
    </w:p>
    <w:p w14:paraId="1E63A2AE" w14:textId="5FCD6C6F" w:rsidR="00CB6813" w:rsidRDefault="00005DFC" w:rsidP="00CB6813">
      <w:pPr>
        <w:pStyle w:val="Heading4"/>
      </w:pPr>
      <w:bookmarkStart w:id="16" w:name="_Toc223341681"/>
      <w:bookmarkStart w:id="17" w:name="_Toc314842485"/>
      <w:bookmarkStart w:id="18" w:name="_Toc247691504"/>
      <w:r>
        <w:t>D</w:t>
      </w:r>
      <w:r w:rsidR="00CB6813" w:rsidRPr="00C12D65">
        <w:t>isease</w:t>
      </w:r>
      <w:r w:rsidR="006428C5">
        <w:t xml:space="preserve"> or condition</w:t>
      </w:r>
      <w:bookmarkEnd w:id="16"/>
    </w:p>
    <w:p w14:paraId="2F82C4BB" w14:textId="6B33BF87" w:rsidR="00771601" w:rsidRDefault="00771601" w:rsidP="00771601">
      <w:r w:rsidRPr="00771601">
        <w:t xml:space="preserve">Vasomotor symptoms (VMS) are common in women during and in the first years after menopause. The hot flashes </w:t>
      </w:r>
      <w:r w:rsidR="00D53259">
        <w:t xml:space="preserve">(or hot flushes) </w:t>
      </w:r>
      <w:r w:rsidRPr="00771601">
        <w:t>mainly occur at the head, neck, chest and upper back and may be associated with other symptoms, such as palpitations. VMS may be associated with sleep disturbances and may have an impact on quality of life.</w:t>
      </w:r>
    </w:p>
    <w:p w14:paraId="3247E0DF" w14:textId="77777777" w:rsidR="00687490" w:rsidRPr="00687490" w:rsidRDefault="00687490" w:rsidP="00687490">
      <w:pPr>
        <w:rPr>
          <w:lang w:val="en-GB"/>
        </w:rPr>
      </w:pPr>
      <w:r w:rsidRPr="00687490">
        <w:rPr>
          <w:lang w:val="en-GB"/>
        </w:rPr>
        <w:t>Depending on the source, between 60% and 85% of women experience VMS during menopause. Prevalence of VMS is highest during the first two years after menopause. However, in the meantime, it is known that VMS may last for up to a decade (or even more), with a median duration of 7.4 years mentioned in literature. The degree to which a woman experiences VMS may depend on factors like genetic background and psychological factors as well as on other health conditions or treatment.</w:t>
      </w:r>
    </w:p>
    <w:p w14:paraId="6718914C" w14:textId="75C88B65" w:rsidR="00687490" w:rsidRDefault="003339D6" w:rsidP="00771601">
      <w:pPr>
        <w:rPr>
          <w:lang w:val="en-GB"/>
        </w:rPr>
      </w:pPr>
      <w:r w:rsidRPr="003339D6">
        <w:rPr>
          <w:lang w:val="en-GB"/>
        </w:rPr>
        <w:t xml:space="preserve">VMS during menopause </w:t>
      </w:r>
      <w:proofErr w:type="gramStart"/>
      <w:r w:rsidRPr="003339D6">
        <w:rPr>
          <w:lang w:val="en-GB"/>
        </w:rPr>
        <w:t>are</w:t>
      </w:r>
      <w:proofErr w:type="gramEnd"/>
      <w:r w:rsidRPr="003339D6">
        <w:rPr>
          <w:lang w:val="en-GB"/>
        </w:rPr>
        <w:t xml:space="preserve"> caused by decreasing </w:t>
      </w:r>
      <w:r w:rsidR="00E93EDA" w:rsidRPr="003339D6">
        <w:rPr>
          <w:lang w:val="en-GB"/>
        </w:rPr>
        <w:t>oestrogen</w:t>
      </w:r>
      <w:r w:rsidRPr="003339D6">
        <w:rPr>
          <w:lang w:val="en-GB"/>
        </w:rPr>
        <w:t xml:space="preserve"> levels as ovarian function declines. The decrease in </w:t>
      </w:r>
      <w:r w:rsidR="00E93EDA" w:rsidRPr="003339D6">
        <w:rPr>
          <w:lang w:val="en-GB"/>
        </w:rPr>
        <w:t>oestrogen</w:t>
      </w:r>
      <w:r w:rsidRPr="003339D6">
        <w:rPr>
          <w:lang w:val="en-GB"/>
        </w:rPr>
        <w:t xml:space="preserve"> levels is (by a negative feedback mechanism) accompanied by an increase in gonadotropin levels, </w:t>
      </w:r>
      <w:proofErr w:type="gramStart"/>
      <w:r w:rsidRPr="003339D6">
        <w:rPr>
          <w:lang w:val="en-GB"/>
        </w:rPr>
        <w:t>in particular</w:t>
      </w:r>
      <w:proofErr w:type="gramEnd"/>
      <w:r w:rsidRPr="003339D6">
        <w:rPr>
          <w:lang w:val="en-GB"/>
        </w:rPr>
        <w:t xml:space="preserve"> FSH (but also LH) levels. Even if VMS are very common (and the most bothersome) symptom, the decrease in </w:t>
      </w:r>
      <w:r w:rsidR="00E93EDA" w:rsidRPr="003339D6">
        <w:rPr>
          <w:lang w:val="en-GB"/>
        </w:rPr>
        <w:t>oestrogen</w:t>
      </w:r>
      <w:r w:rsidRPr="003339D6">
        <w:rPr>
          <w:lang w:val="en-GB"/>
        </w:rPr>
        <w:t xml:space="preserve"> levels results in a variety of physiologic changes and several clinical symptoms. Symptoms associated with menopause are sleep disorders, psychological symptoms (e.g. mood disturbances, anxiety, depression, irritability, emotional symptoms, difficulties in concentration, etc.), and </w:t>
      </w:r>
      <w:proofErr w:type="gramStart"/>
      <w:r w:rsidRPr="003339D6">
        <w:rPr>
          <w:lang w:val="en-GB"/>
        </w:rPr>
        <w:t>later on</w:t>
      </w:r>
      <w:proofErr w:type="gramEnd"/>
      <w:r w:rsidRPr="003339D6">
        <w:rPr>
          <w:lang w:val="en-GB"/>
        </w:rPr>
        <w:t xml:space="preserve"> vaginal atrophy and </w:t>
      </w:r>
      <w:proofErr w:type="spellStart"/>
      <w:r w:rsidRPr="003339D6">
        <w:rPr>
          <w:lang w:val="en-GB"/>
        </w:rPr>
        <w:t>urogenitary</w:t>
      </w:r>
      <w:proofErr w:type="spellEnd"/>
      <w:r w:rsidRPr="003339D6">
        <w:rPr>
          <w:lang w:val="en-GB"/>
        </w:rPr>
        <w:t xml:space="preserve"> symptoms including incontinence and an increased incidence of urinary infections.</w:t>
      </w:r>
    </w:p>
    <w:p w14:paraId="091ADFA5" w14:textId="77777777" w:rsidR="003F6FBB" w:rsidRPr="003F6FBB" w:rsidRDefault="003F6FBB" w:rsidP="003F6FBB">
      <w:pPr>
        <w:rPr>
          <w:lang w:val="en-GB"/>
        </w:rPr>
      </w:pPr>
      <w:r w:rsidRPr="003F6FBB">
        <w:rPr>
          <w:lang w:val="en-GB"/>
        </w:rPr>
        <w:t>Overall, VMS can have a significant impact on the health-related quality of life, including impact on sleep and emotional well-being. For this reason, they are also associated with a relevant economic and societal burden.</w:t>
      </w:r>
    </w:p>
    <w:p w14:paraId="255E083A" w14:textId="77777777" w:rsidR="00CB6813" w:rsidRDefault="00CB6813" w:rsidP="00CB6813">
      <w:pPr>
        <w:pStyle w:val="Heading4"/>
      </w:pPr>
      <w:bookmarkStart w:id="19" w:name="_Toc223341682"/>
      <w:r>
        <w:lastRenderedPageBreak/>
        <w:t>Current treatment options</w:t>
      </w:r>
      <w:bookmarkEnd w:id="19"/>
    </w:p>
    <w:p w14:paraId="0BD33499" w14:textId="0AE49CB4" w:rsidR="00985D51" w:rsidRPr="00985D51" w:rsidRDefault="00985D51" w:rsidP="00985D51">
      <w:r w:rsidRPr="00985D51">
        <w:t>Management options for VMS include:</w:t>
      </w:r>
    </w:p>
    <w:p w14:paraId="40958D73" w14:textId="77777777" w:rsidR="00985D51" w:rsidRPr="00ED3D38" w:rsidRDefault="00985D51" w:rsidP="00ED3D38">
      <w:pPr>
        <w:pStyle w:val="ListBullet"/>
      </w:pPr>
      <w:r w:rsidRPr="00ED3D38">
        <w:t>Systemic menopausal hormone therapy (MHT) (hormone replacement therapy (HRT)) including oestrogen-only MHT, combined MHT (oestrogen + progestogen), or other hormone products or combinations (e.g. tibolone).</w:t>
      </w:r>
    </w:p>
    <w:p w14:paraId="446053A3" w14:textId="77777777" w:rsidR="00985D51" w:rsidRPr="00ED3D38" w:rsidRDefault="00985D51" w:rsidP="00ED3D38">
      <w:pPr>
        <w:pStyle w:val="ListBullet"/>
      </w:pPr>
      <w:r w:rsidRPr="00ED3D38">
        <w:t>Intravaginal oestrogen therapy (mainly for vulvovaginal atrophy).</w:t>
      </w:r>
    </w:p>
    <w:p w14:paraId="3E756C68" w14:textId="77777777" w:rsidR="00985D51" w:rsidRPr="00ED3D38" w:rsidRDefault="00985D51" w:rsidP="00ED3D38">
      <w:pPr>
        <w:pStyle w:val="ListBullet"/>
      </w:pPr>
      <w:r w:rsidRPr="00ED3D38">
        <w:t xml:space="preserve">Non-hormonal therapies (including non-pharmacological options): Symptomatic therapy for vasomotor symptoms (e.g. SNRIs, SSRIs, or </w:t>
      </w:r>
      <w:proofErr w:type="spellStart"/>
      <w:r w:rsidRPr="00ED3D38">
        <w:t>gabapentinoids</w:t>
      </w:r>
      <w:proofErr w:type="spellEnd"/>
      <w:r w:rsidRPr="00ED3D38">
        <w:t>) or for other symptoms.</w:t>
      </w:r>
    </w:p>
    <w:p w14:paraId="39CCA39B" w14:textId="77777777" w:rsidR="00985D51" w:rsidRPr="00ED3D38" w:rsidRDefault="00985D51" w:rsidP="00ED3D38">
      <w:pPr>
        <w:pStyle w:val="ListBullet"/>
      </w:pPr>
      <w:r w:rsidRPr="00ED3D38">
        <w:t xml:space="preserve">NK3 receptor antagonists (e.g. </w:t>
      </w:r>
      <w:proofErr w:type="spellStart"/>
      <w:r w:rsidRPr="00ED3D38">
        <w:t>fezolinetant</w:t>
      </w:r>
      <w:proofErr w:type="spellEnd"/>
      <w:r w:rsidRPr="00ED3D38">
        <w:t>).</w:t>
      </w:r>
    </w:p>
    <w:p w14:paraId="37C47E09" w14:textId="14D3762D" w:rsidR="00CB6813" w:rsidRDefault="00CB6813" w:rsidP="00CB6813">
      <w:pPr>
        <w:pStyle w:val="Heading4"/>
      </w:pPr>
      <w:bookmarkStart w:id="20" w:name="_Toc223341683"/>
      <w:r>
        <w:t>C</w:t>
      </w:r>
      <w:r w:rsidRPr="00DE1344">
        <w:t>linical rational</w:t>
      </w:r>
      <w:r w:rsidR="0025785B">
        <w:t>e</w:t>
      </w:r>
      <w:bookmarkEnd w:id="20"/>
    </w:p>
    <w:p w14:paraId="518AF50D" w14:textId="77777777" w:rsidR="00F51759" w:rsidRPr="00F51759" w:rsidRDefault="00F51759" w:rsidP="00F51759">
      <w:r w:rsidRPr="00F51759">
        <w:t>Elinzanetant is a non-hormonal, selective neurokinin 1 (NK1) and 3 (NK3) receptors antagonist that blocks NK1 and NK3 receptor signalling on kisspeptin/neurokinin B/dynorphin (</w:t>
      </w:r>
      <w:proofErr w:type="spellStart"/>
      <w:r w:rsidRPr="00F51759">
        <w:t>KNDy</w:t>
      </w:r>
      <w:proofErr w:type="spellEnd"/>
      <w:r w:rsidRPr="00F51759">
        <w:t xml:space="preserve">) neurons to modulate neuronal activity involved in thermo- and sleep regulation. </w:t>
      </w:r>
      <w:proofErr w:type="spellStart"/>
      <w:r w:rsidRPr="00F51759">
        <w:t>KNDy</w:t>
      </w:r>
      <w:proofErr w:type="spellEnd"/>
      <w:r w:rsidRPr="00F51759">
        <w:t xml:space="preserve"> neurons in the hypothalamus are hyperactivated due to estrogen decline in menopause. </w:t>
      </w:r>
    </w:p>
    <w:p w14:paraId="1515E6F5" w14:textId="5AE7E6D0" w:rsidR="00F51759" w:rsidRDefault="00F51759" w:rsidP="00F51759">
      <w:r w:rsidRPr="00F51759">
        <w:t>Elinzanetant has high affinity for human NK1 receptors (</w:t>
      </w:r>
      <w:proofErr w:type="spellStart"/>
      <w:r w:rsidRPr="00F51759">
        <w:t>pKi</w:t>
      </w:r>
      <w:proofErr w:type="spellEnd"/>
      <w:r w:rsidRPr="00F51759">
        <w:t xml:space="preserve"> values of 8.7 to 10.2) and NK3 receptors (</w:t>
      </w:r>
      <w:proofErr w:type="spellStart"/>
      <w:r w:rsidRPr="00F51759">
        <w:t>pKi</w:t>
      </w:r>
      <w:proofErr w:type="spellEnd"/>
      <w:r w:rsidRPr="00F51759">
        <w:t xml:space="preserve"> values 8.0 to 8.8), and not for human NK2 receptors (as shown by a low </w:t>
      </w:r>
      <w:proofErr w:type="spellStart"/>
      <w:r w:rsidRPr="00F51759">
        <w:t>pKi</w:t>
      </w:r>
      <w:proofErr w:type="spellEnd"/>
      <w:r w:rsidRPr="00F51759">
        <w:t xml:space="preserve"> of 6.0). Elinzanetant is more than 100-fold selective for the human NK3 receptor and more than 300-fold for the human NK1 receptor versus multiple other non-NK receptors and off-targets.</w:t>
      </w:r>
    </w:p>
    <w:p w14:paraId="0D615854" w14:textId="77777777" w:rsidR="00324B33" w:rsidRPr="003F31A2" w:rsidRDefault="00324B33" w:rsidP="00324B33">
      <w:pPr>
        <w:pStyle w:val="Heading3"/>
      </w:pPr>
      <w:bookmarkStart w:id="21" w:name="_Toc103679291"/>
      <w:bookmarkStart w:id="22" w:name="_Toc223341684"/>
      <w:r>
        <w:t>Regulatory status</w:t>
      </w:r>
      <w:bookmarkEnd w:id="17"/>
      <w:bookmarkEnd w:id="18"/>
      <w:bookmarkEnd w:id="21"/>
      <w:bookmarkEnd w:id="22"/>
    </w:p>
    <w:p w14:paraId="72C889D6" w14:textId="7E200950" w:rsidR="0017005C" w:rsidRPr="00BD5DBD" w:rsidRDefault="0017005C" w:rsidP="00741AB9">
      <w:pPr>
        <w:pStyle w:val="Heading4"/>
      </w:pPr>
      <w:bookmarkStart w:id="23" w:name="_Toc223341685"/>
      <w:r w:rsidRPr="00BD5DBD">
        <w:t>Australian regulatory</w:t>
      </w:r>
      <w:r>
        <w:t xml:space="preserve"> sta</w:t>
      </w:r>
      <w:r w:rsidR="0025785B">
        <w:t>t</w:t>
      </w:r>
      <w:r>
        <w:t>us</w:t>
      </w:r>
      <w:bookmarkEnd w:id="23"/>
    </w:p>
    <w:p w14:paraId="63E81C74" w14:textId="75AD42DE" w:rsidR="007870A0" w:rsidRPr="007870A0" w:rsidRDefault="00324B33" w:rsidP="007870A0">
      <w:pPr>
        <w:rPr>
          <w:szCs w:val="22"/>
        </w:rPr>
      </w:pPr>
      <w:r w:rsidRPr="00BD5DBD">
        <w:rPr>
          <w:szCs w:val="22"/>
        </w:rPr>
        <w:t>This product is considered a new chemical</w:t>
      </w:r>
      <w:r w:rsidR="008C754C" w:rsidRPr="00BD5DBD">
        <w:rPr>
          <w:szCs w:val="22"/>
        </w:rPr>
        <w:t xml:space="preserve"> entity</w:t>
      </w:r>
      <w:r w:rsidRPr="00BD5DBD">
        <w:rPr>
          <w:szCs w:val="22"/>
        </w:rPr>
        <w:t xml:space="preserve"> for Australian regulatory purposes.</w:t>
      </w:r>
      <w:r w:rsidR="007870A0" w:rsidRPr="007870A0">
        <w:rPr>
          <w:rFonts w:eastAsia="Cambria" w:cs="Times New Roman"/>
          <w:szCs w:val="22"/>
        </w:rPr>
        <w:t xml:space="preserve"> </w:t>
      </w:r>
      <w:r w:rsidR="007870A0" w:rsidRPr="007870A0">
        <w:rPr>
          <w:szCs w:val="22"/>
        </w:rPr>
        <w:t>L</w:t>
      </w:r>
      <w:r w:rsidR="007870A0">
        <w:rPr>
          <w:szCs w:val="22"/>
        </w:rPr>
        <w:t>ynkuet</w:t>
      </w:r>
      <w:r w:rsidR="007870A0" w:rsidRPr="007870A0">
        <w:rPr>
          <w:szCs w:val="22"/>
        </w:rPr>
        <w:t xml:space="preserve"> has not been registered on the ARTG previously. </w:t>
      </w:r>
    </w:p>
    <w:p w14:paraId="546C1031" w14:textId="4EF98FA1" w:rsidR="0017005C" w:rsidRDefault="00131B1B" w:rsidP="0017005C">
      <w:pPr>
        <w:pStyle w:val="Heading4"/>
      </w:pPr>
      <w:bookmarkStart w:id="24" w:name="_Toc223341686"/>
      <w:r>
        <w:t xml:space="preserve">International </w:t>
      </w:r>
      <w:r w:rsidR="0017005C" w:rsidRPr="00BD5DBD">
        <w:t>regulatory</w:t>
      </w:r>
      <w:r w:rsidR="0017005C">
        <w:t xml:space="preserve"> status</w:t>
      </w:r>
      <w:bookmarkEnd w:id="24"/>
    </w:p>
    <w:p w14:paraId="3C09389F" w14:textId="6B4B40CA" w:rsidR="00C133AB" w:rsidRDefault="00C133AB" w:rsidP="00C133AB">
      <w:pPr>
        <w:rPr>
          <w:i/>
          <w:color w:val="007099"/>
        </w:rPr>
      </w:pPr>
      <w:r w:rsidRPr="00BD5DBD">
        <w:rPr>
          <w:szCs w:val="22"/>
        </w:rPr>
        <w:t xml:space="preserve">This submission was evaluated as part of the </w:t>
      </w:r>
      <w:hyperlink r:id="rId18" w:history="1">
        <w:r w:rsidRPr="00BD5DBD">
          <w:rPr>
            <w:rStyle w:val="Hyperlink"/>
            <w:szCs w:val="22"/>
          </w:rPr>
          <w:t>Australia-Canada-Singapore-Switzerland-United Kingdom (ACCESS) Consortium</w:t>
        </w:r>
      </w:hyperlink>
      <w:r w:rsidRPr="00BD5DBD">
        <w:rPr>
          <w:szCs w:val="22"/>
        </w:rPr>
        <w:t xml:space="preserve"> with work-sharing between the TGA, </w:t>
      </w:r>
      <w:r w:rsidRPr="00774789">
        <w:t xml:space="preserve">Health Canada, </w:t>
      </w:r>
      <w:proofErr w:type="spellStart"/>
      <w:r w:rsidRPr="00774789">
        <w:t>Swissmedic</w:t>
      </w:r>
      <w:proofErr w:type="spellEnd"/>
      <w:r w:rsidRPr="00774789">
        <w:t xml:space="preserve"> </w:t>
      </w:r>
      <w:r w:rsidR="00E120A4">
        <w:t xml:space="preserve">(Switzerland) </w:t>
      </w:r>
      <w:r w:rsidRPr="00774789">
        <w:t>and the Medicines and Healthcare Products Regulatory Agency</w:t>
      </w:r>
      <w:r w:rsidR="00E120A4">
        <w:t xml:space="preserve"> (UK)</w:t>
      </w:r>
      <w:r w:rsidR="009C0D69">
        <w:t>.</w:t>
      </w:r>
      <w:r w:rsidRPr="00BD5DBD">
        <w:rPr>
          <w:szCs w:val="22"/>
        </w:rPr>
        <w:t xml:space="preserve"> Each regulator made independent decisions regarding </w:t>
      </w:r>
      <w:r w:rsidRPr="0017005C">
        <w:t xml:space="preserve">approval </w:t>
      </w:r>
      <w:r w:rsidRPr="00774789">
        <w:t xml:space="preserve">(market authorisation) of the new medicine </w:t>
      </w:r>
    </w:p>
    <w:p w14:paraId="72A372BE" w14:textId="1D96D35E" w:rsidR="00AA13E9" w:rsidRDefault="009F0ECD" w:rsidP="00AA13E9">
      <w:pPr>
        <w:rPr>
          <w:szCs w:val="22"/>
        </w:rPr>
      </w:pPr>
      <w:r w:rsidRPr="009F0ECD">
        <w:rPr>
          <w:szCs w:val="22"/>
        </w:rPr>
        <w:t xml:space="preserve">At the time of submission, a similar application had also been made in the </w:t>
      </w:r>
      <w:r w:rsidR="00BA0732" w:rsidRPr="00BA0732">
        <w:rPr>
          <w:szCs w:val="22"/>
        </w:rPr>
        <w:t xml:space="preserve">United States </w:t>
      </w:r>
      <w:r w:rsidR="00BA0732">
        <w:rPr>
          <w:szCs w:val="22"/>
        </w:rPr>
        <w:t>(</w:t>
      </w:r>
      <w:r w:rsidRPr="009F0ECD">
        <w:rPr>
          <w:szCs w:val="22"/>
        </w:rPr>
        <w:t>USA</w:t>
      </w:r>
      <w:r w:rsidR="00BA0732">
        <w:rPr>
          <w:szCs w:val="22"/>
        </w:rPr>
        <w:t xml:space="preserve">- </w:t>
      </w:r>
      <w:r w:rsidRPr="009F0ECD">
        <w:rPr>
          <w:szCs w:val="22"/>
        </w:rPr>
        <w:t xml:space="preserve">July 2024) and was pending in the </w:t>
      </w:r>
      <w:r w:rsidR="00BA0732">
        <w:rPr>
          <w:szCs w:val="22"/>
        </w:rPr>
        <w:t>European Union (EU)</w:t>
      </w:r>
      <w:r w:rsidR="008C3309">
        <w:rPr>
          <w:szCs w:val="22"/>
        </w:rPr>
        <w:t xml:space="preserve">. </w:t>
      </w:r>
      <w:r w:rsidR="008F4A62" w:rsidRPr="00BD5DBD">
        <w:rPr>
          <w:szCs w:val="22"/>
        </w:rPr>
        <w:t>The following table summarises these submissions and provides the indications where approved.</w:t>
      </w:r>
      <w:r w:rsidR="008F4A62">
        <w:rPr>
          <w:szCs w:val="22"/>
        </w:rPr>
        <w:t xml:space="preserve"> </w:t>
      </w:r>
      <w:bookmarkStart w:id="25" w:name="_Ref99705479"/>
    </w:p>
    <w:p w14:paraId="19B9E0AC" w14:textId="658C3D72" w:rsidR="00324B33" w:rsidRDefault="00324B33" w:rsidP="00AA13E9">
      <w:pPr>
        <w:pStyle w:val="TableTitle"/>
      </w:pPr>
      <w:r>
        <w:lastRenderedPageBreak/>
        <w:t xml:space="preserve">Table </w:t>
      </w:r>
      <w:r w:rsidR="007F1E37">
        <w:fldChar w:fldCharType="begin"/>
      </w:r>
      <w:r w:rsidR="007F1E37">
        <w:instrText xml:space="preserve"> SEQ Table \* ARABIC </w:instrText>
      </w:r>
      <w:r w:rsidR="007F1E37">
        <w:fldChar w:fldCharType="separate"/>
      </w:r>
      <w:r w:rsidR="008B1CB5">
        <w:rPr>
          <w:noProof/>
        </w:rPr>
        <w:t>1</w:t>
      </w:r>
      <w:r w:rsidR="007F1E37">
        <w:rPr>
          <w:noProof/>
        </w:rPr>
        <w:fldChar w:fldCharType="end"/>
      </w:r>
      <w:bookmarkEnd w:id="25"/>
      <w:r>
        <w:t>: International regulatory status</w:t>
      </w:r>
      <w:r w:rsidR="00023E25">
        <w:t>.</w:t>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AD7639">
            <w:r w:rsidRPr="00D01DDB">
              <w:t>Region</w:t>
            </w:r>
          </w:p>
        </w:tc>
        <w:tc>
          <w:tcPr>
            <w:tcW w:w="1018" w:type="pct"/>
          </w:tcPr>
          <w:p w14:paraId="778C35C7" w14:textId="52D23C85" w:rsidR="00324B33" w:rsidRPr="00D01DDB" w:rsidRDefault="00324B33" w:rsidP="00AD7639">
            <w:pPr>
              <w:cnfStyle w:val="100000000000" w:firstRow="1" w:lastRow="0" w:firstColumn="0" w:lastColumn="0" w:oddVBand="0" w:evenVBand="0" w:oddHBand="0" w:evenHBand="0" w:firstRowFirstColumn="0" w:firstRowLastColumn="0" w:lastRowFirstColumn="0" w:lastRowLastColumn="0"/>
            </w:pPr>
            <w:r w:rsidRPr="00D01DDB">
              <w:t>Submission date</w:t>
            </w:r>
          </w:p>
        </w:tc>
        <w:tc>
          <w:tcPr>
            <w:tcW w:w="1173" w:type="pct"/>
          </w:tcPr>
          <w:p w14:paraId="58F81584" w14:textId="66689ABF" w:rsidR="00324B33" w:rsidRPr="00D01DDB" w:rsidRDefault="00324B33" w:rsidP="00AD7639">
            <w:pPr>
              <w:cnfStyle w:val="100000000000" w:firstRow="1" w:lastRow="0" w:firstColumn="0" w:lastColumn="0" w:oddVBand="0" w:evenVBand="0" w:oddHBand="0" w:evenHBand="0" w:firstRowFirstColumn="0" w:firstRowLastColumn="0" w:lastRowFirstColumn="0" w:lastRowLastColumn="0"/>
            </w:pPr>
            <w:r w:rsidRPr="00D01DDB">
              <w:t>Status</w:t>
            </w:r>
          </w:p>
        </w:tc>
        <w:tc>
          <w:tcPr>
            <w:tcW w:w="1795" w:type="pct"/>
          </w:tcPr>
          <w:p w14:paraId="50B2D435" w14:textId="560588D2" w:rsidR="00324B33" w:rsidRPr="00D01DDB" w:rsidRDefault="00324B33" w:rsidP="00AD7639">
            <w:pPr>
              <w:cnfStyle w:val="100000000000" w:firstRow="1" w:lastRow="0" w:firstColumn="0" w:lastColumn="0" w:oddVBand="0" w:evenVBand="0" w:oddHBand="0" w:evenHBand="0" w:firstRowFirstColumn="0" w:firstRowLastColumn="0" w:lastRowFirstColumn="0" w:lastRowLastColumn="0"/>
            </w:pPr>
            <w:r w:rsidRPr="00D01DDB">
              <w:t>Approved indications</w:t>
            </w:r>
          </w:p>
        </w:tc>
      </w:tr>
      <w:tr w:rsidR="00324B33" w:rsidRPr="00D01DD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5D472D01" w:rsidR="00324B33" w:rsidRPr="00D01DDB" w:rsidRDefault="00A30F42" w:rsidP="00AD7639">
            <w:r>
              <w:t>U</w:t>
            </w:r>
            <w:r w:rsidR="00BA0732">
              <w:t>nited States of America</w:t>
            </w:r>
            <w:r w:rsidR="00017980">
              <w:t xml:space="preserve"> (FDA)</w:t>
            </w:r>
          </w:p>
        </w:tc>
        <w:tc>
          <w:tcPr>
            <w:tcW w:w="1018" w:type="pct"/>
          </w:tcPr>
          <w:p w14:paraId="4FA5DDA9" w14:textId="2D4F69D8" w:rsidR="00324B33" w:rsidRPr="00D01DDB" w:rsidRDefault="0098394D" w:rsidP="00AD7639">
            <w:pPr>
              <w:cnfStyle w:val="000000000000" w:firstRow="0" w:lastRow="0" w:firstColumn="0" w:lastColumn="0" w:oddVBand="0" w:evenVBand="0" w:oddHBand="0" w:evenHBand="0" w:firstRowFirstColumn="0" w:firstRowLastColumn="0" w:lastRowFirstColumn="0" w:lastRowLastColumn="0"/>
            </w:pPr>
            <w:r>
              <w:t>July 2024</w:t>
            </w:r>
          </w:p>
        </w:tc>
        <w:tc>
          <w:tcPr>
            <w:tcW w:w="1173" w:type="pct"/>
          </w:tcPr>
          <w:p w14:paraId="29358393" w14:textId="09F414B6" w:rsidR="00324B33" w:rsidRPr="00D01DDB" w:rsidRDefault="00324B33" w:rsidP="00AD7639">
            <w:pPr>
              <w:cnfStyle w:val="000000000000" w:firstRow="0" w:lastRow="0" w:firstColumn="0" w:lastColumn="0" w:oddVBand="0" w:evenVBand="0" w:oddHBand="0" w:evenHBand="0" w:firstRowFirstColumn="0" w:firstRowLastColumn="0" w:lastRowFirstColumn="0" w:lastRowLastColumn="0"/>
            </w:pPr>
            <w:r w:rsidRPr="00D01DDB">
              <w:t>Approved on</w:t>
            </w:r>
            <w:r w:rsidR="00D03385">
              <w:t xml:space="preserve"> 24 October </w:t>
            </w:r>
            <w:r w:rsidR="00C86A13">
              <w:t>2025</w:t>
            </w:r>
          </w:p>
        </w:tc>
        <w:tc>
          <w:tcPr>
            <w:tcW w:w="1795" w:type="pct"/>
          </w:tcPr>
          <w:p w14:paraId="05055674" w14:textId="11934464" w:rsidR="00324B33" w:rsidRPr="00D01DDB" w:rsidRDefault="00B607CD" w:rsidP="00AD7639">
            <w:pPr>
              <w:cnfStyle w:val="000000000000" w:firstRow="0" w:lastRow="0" w:firstColumn="0" w:lastColumn="0" w:oddVBand="0" w:evenVBand="0" w:oddHBand="0" w:evenHBand="0" w:firstRowFirstColumn="0" w:firstRowLastColumn="0" w:lastRowFirstColumn="0" w:lastRowLastColumn="0"/>
            </w:pPr>
            <w:r w:rsidRPr="003323EA">
              <w:rPr>
                <w:i/>
                <w:iCs/>
                <w:lang w:val="en-GB"/>
              </w:rPr>
              <w:t xml:space="preserve">Lynkuet </w:t>
            </w:r>
            <w:r w:rsidR="00AE5A78" w:rsidRPr="00AE5A78">
              <w:rPr>
                <w:i/>
                <w:iCs/>
                <w:lang w:val="en-GB"/>
              </w:rPr>
              <w:t xml:space="preserve">is a neurokinin 1 (NK1) and neurokinin 3 (NK3) receptor antagonist indicated </w:t>
            </w:r>
            <w:r w:rsidRPr="003323EA">
              <w:rPr>
                <w:i/>
                <w:iCs/>
                <w:lang w:val="en-GB"/>
              </w:rPr>
              <w:t>for the treatment</w:t>
            </w:r>
            <w:r w:rsidRPr="00B607CD">
              <w:rPr>
                <w:i/>
                <w:iCs/>
                <w:lang w:val="en-GB"/>
              </w:rPr>
              <w:t xml:space="preserve"> of moderate to severe VMS due to menopause</w:t>
            </w:r>
          </w:p>
        </w:tc>
      </w:tr>
      <w:tr w:rsidR="00324B33"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5844C089" w:rsidR="00324B33" w:rsidRPr="00D01DDB" w:rsidRDefault="001C756B" w:rsidP="00AD7639">
            <w:r>
              <w:t>Canada (</w:t>
            </w:r>
            <w:r w:rsidR="00004BCA">
              <w:t xml:space="preserve">Health </w:t>
            </w:r>
            <w:r w:rsidR="0005147E">
              <w:t>Canada-</w:t>
            </w:r>
            <w:r w:rsidR="00F74DFC">
              <w:t xml:space="preserve"> </w:t>
            </w:r>
            <w:r>
              <w:t>Access work</w:t>
            </w:r>
            <w:r w:rsidR="003323EA">
              <w:t>-</w:t>
            </w:r>
            <w:r>
              <w:t>sharing)</w:t>
            </w:r>
          </w:p>
        </w:tc>
        <w:tc>
          <w:tcPr>
            <w:tcW w:w="1018" w:type="pct"/>
          </w:tcPr>
          <w:p w14:paraId="1D871E57" w14:textId="44FCB725" w:rsidR="00324B33" w:rsidRPr="00094061" w:rsidRDefault="00094061" w:rsidP="00AD7639">
            <w:pPr>
              <w:cnfStyle w:val="000000000000" w:firstRow="0" w:lastRow="0" w:firstColumn="0" w:lastColumn="0" w:oddVBand="0" w:evenVBand="0" w:oddHBand="0" w:evenHBand="0" w:firstRowFirstColumn="0" w:firstRowLastColumn="0" w:lastRowFirstColumn="0" w:lastRowLastColumn="0"/>
            </w:pPr>
            <w:r w:rsidRPr="00094061">
              <w:t xml:space="preserve">August </w:t>
            </w:r>
            <w:r w:rsidR="003D2398" w:rsidRPr="00094061">
              <w:t>202</w:t>
            </w:r>
            <w:r w:rsidR="0098394D" w:rsidRPr="00094061">
              <w:t>4</w:t>
            </w:r>
          </w:p>
        </w:tc>
        <w:tc>
          <w:tcPr>
            <w:tcW w:w="1173" w:type="pct"/>
          </w:tcPr>
          <w:p w14:paraId="63A3A9D3" w14:textId="2B8D247B" w:rsidR="00324B33" w:rsidRPr="00094061" w:rsidRDefault="00C41B02" w:rsidP="00AD7639">
            <w:pPr>
              <w:cnfStyle w:val="000000000000" w:firstRow="0" w:lastRow="0" w:firstColumn="0" w:lastColumn="0" w:oddVBand="0" w:evenVBand="0" w:oddHBand="0" w:evenHBand="0" w:firstRowFirstColumn="0" w:firstRowLastColumn="0" w:lastRowFirstColumn="0" w:lastRowLastColumn="0"/>
            </w:pPr>
            <w:r>
              <w:t>Approved</w:t>
            </w:r>
            <w:r w:rsidR="00E36577">
              <w:t xml:space="preserve"> on 23 July 2025</w:t>
            </w:r>
          </w:p>
        </w:tc>
        <w:tc>
          <w:tcPr>
            <w:tcW w:w="1795" w:type="pct"/>
          </w:tcPr>
          <w:p w14:paraId="17C650B8" w14:textId="60BD3DBA" w:rsidR="00324B33" w:rsidRPr="00D01DDB" w:rsidRDefault="003323EA" w:rsidP="00AD7639">
            <w:pPr>
              <w:cnfStyle w:val="000000000000" w:firstRow="0" w:lastRow="0" w:firstColumn="0" w:lastColumn="0" w:oddVBand="0" w:evenVBand="0" w:oddHBand="0" w:evenHBand="0" w:firstRowFirstColumn="0" w:firstRowLastColumn="0" w:lastRowFirstColumn="0" w:lastRowLastColumn="0"/>
            </w:pPr>
            <w:r w:rsidRPr="003323EA">
              <w:rPr>
                <w:i/>
                <w:iCs/>
                <w:lang w:val="en-GB"/>
              </w:rPr>
              <w:t xml:space="preserve">Lynkuet </w:t>
            </w:r>
            <w:r w:rsidR="005B5F3C" w:rsidRPr="005B5F3C">
              <w:rPr>
                <w:i/>
                <w:iCs/>
                <w:lang w:val="en-GB"/>
              </w:rPr>
              <w:t xml:space="preserve">is indicated </w:t>
            </w:r>
            <w:r w:rsidRPr="003323EA">
              <w:rPr>
                <w:i/>
                <w:iCs/>
                <w:lang w:val="en-GB"/>
              </w:rPr>
              <w:t xml:space="preserve">for the treatment of moderate to severe VMS </w:t>
            </w:r>
            <w:r w:rsidR="00A25B77">
              <w:rPr>
                <w:i/>
                <w:iCs/>
                <w:lang w:val="en-GB"/>
              </w:rPr>
              <w:t>associated with</w:t>
            </w:r>
            <w:r w:rsidRPr="003323EA">
              <w:rPr>
                <w:i/>
                <w:iCs/>
                <w:lang w:val="en-GB"/>
              </w:rPr>
              <w:t xml:space="preserve"> menopause</w:t>
            </w:r>
          </w:p>
        </w:tc>
      </w:tr>
      <w:tr w:rsidR="00A30F42" w:rsidRPr="00D01DDB" w14:paraId="1B218B94"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7F3634B" w14:textId="46F8F7BC" w:rsidR="00A30F42" w:rsidRPr="00D01DDB" w:rsidRDefault="008D2E03" w:rsidP="00AD7639">
            <w:r>
              <w:t>United Kingdom (</w:t>
            </w:r>
            <w:r w:rsidR="00F74DFC">
              <w:t xml:space="preserve">MHRA- </w:t>
            </w:r>
            <w:r>
              <w:t>Access work</w:t>
            </w:r>
            <w:r w:rsidR="003323EA">
              <w:t>-</w:t>
            </w:r>
            <w:r>
              <w:t>sharing)</w:t>
            </w:r>
          </w:p>
        </w:tc>
        <w:tc>
          <w:tcPr>
            <w:tcW w:w="1018" w:type="pct"/>
          </w:tcPr>
          <w:p w14:paraId="6F34E852" w14:textId="36A16C95" w:rsidR="00A30F42" w:rsidRPr="00167704" w:rsidRDefault="00167704" w:rsidP="00AD7639">
            <w:pPr>
              <w:cnfStyle w:val="000000000000" w:firstRow="0" w:lastRow="0" w:firstColumn="0" w:lastColumn="0" w:oddVBand="0" w:evenVBand="0" w:oddHBand="0" w:evenHBand="0" w:firstRowFirstColumn="0" w:firstRowLastColumn="0" w:lastRowFirstColumn="0" w:lastRowLastColumn="0"/>
            </w:pPr>
            <w:r w:rsidRPr="00167704">
              <w:t xml:space="preserve">August </w:t>
            </w:r>
            <w:r w:rsidR="00AA3EE2" w:rsidRPr="00167704">
              <w:t>202</w:t>
            </w:r>
            <w:r w:rsidR="0098394D" w:rsidRPr="00167704">
              <w:t>4</w:t>
            </w:r>
          </w:p>
        </w:tc>
        <w:tc>
          <w:tcPr>
            <w:tcW w:w="1173" w:type="pct"/>
          </w:tcPr>
          <w:p w14:paraId="5BC174D8" w14:textId="56F5E781" w:rsidR="00A30F42" w:rsidRPr="00167704" w:rsidRDefault="00C41B02" w:rsidP="00AD7639">
            <w:pPr>
              <w:cnfStyle w:val="000000000000" w:firstRow="0" w:lastRow="0" w:firstColumn="0" w:lastColumn="0" w:oddVBand="0" w:evenVBand="0" w:oddHBand="0" w:evenHBand="0" w:firstRowFirstColumn="0" w:firstRowLastColumn="0" w:lastRowFirstColumn="0" w:lastRowLastColumn="0"/>
            </w:pPr>
            <w:r>
              <w:t>Approved</w:t>
            </w:r>
            <w:r w:rsidR="00E36577">
              <w:t xml:space="preserve"> on 8 July 2025</w:t>
            </w:r>
          </w:p>
        </w:tc>
        <w:tc>
          <w:tcPr>
            <w:tcW w:w="1795" w:type="pct"/>
          </w:tcPr>
          <w:p w14:paraId="27AC6168" w14:textId="32BF1F06" w:rsidR="00A30F42" w:rsidRPr="00D01DDB" w:rsidRDefault="003323EA" w:rsidP="00AD7639">
            <w:pPr>
              <w:cnfStyle w:val="000000000000" w:firstRow="0" w:lastRow="0" w:firstColumn="0" w:lastColumn="0" w:oddVBand="0" w:evenVBand="0" w:oddHBand="0" w:evenHBand="0" w:firstRowFirstColumn="0" w:firstRowLastColumn="0" w:lastRowFirstColumn="0" w:lastRowLastColumn="0"/>
            </w:pPr>
            <w:r w:rsidRPr="003323EA">
              <w:rPr>
                <w:i/>
                <w:iCs/>
                <w:lang w:val="en-GB"/>
              </w:rPr>
              <w:t xml:space="preserve">Lynkuet </w:t>
            </w:r>
            <w:r w:rsidR="004D6E77" w:rsidRPr="004D6E77">
              <w:rPr>
                <w:i/>
                <w:iCs/>
                <w:lang w:val="en-GB"/>
              </w:rPr>
              <w:t xml:space="preserve">is indicated </w:t>
            </w:r>
            <w:r w:rsidRPr="003323EA">
              <w:rPr>
                <w:i/>
                <w:iCs/>
                <w:lang w:val="en-GB"/>
              </w:rPr>
              <w:t xml:space="preserve">for the treatment of moderate to severe VMS </w:t>
            </w:r>
            <w:r w:rsidR="00A25B77">
              <w:rPr>
                <w:i/>
                <w:iCs/>
                <w:lang w:val="en-GB"/>
              </w:rPr>
              <w:t>associated with</w:t>
            </w:r>
            <w:r w:rsidRPr="003323EA">
              <w:rPr>
                <w:i/>
                <w:iCs/>
                <w:lang w:val="en-GB"/>
              </w:rPr>
              <w:t xml:space="preserve"> menopause</w:t>
            </w:r>
          </w:p>
        </w:tc>
      </w:tr>
      <w:tr w:rsidR="00CC4F89" w:rsidRPr="00D01DDB" w14:paraId="0966801E"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355D029B" w14:textId="2741DDA2" w:rsidR="00CC4F89" w:rsidRDefault="00BC5FCF" w:rsidP="00AD7639">
            <w:r>
              <w:t>Switzerland (</w:t>
            </w:r>
            <w:proofErr w:type="spellStart"/>
            <w:r w:rsidR="00CC4F89" w:rsidRPr="00CC4F89">
              <w:t>Swissmedic</w:t>
            </w:r>
            <w:proofErr w:type="spellEnd"/>
            <w:r>
              <w:t xml:space="preserve"> -</w:t>
            </w:r>
            <w:r w:rsidR="00CC4F89">
              <w:t xml:space="preserve"> (Access work</w:t>
            </w:r>
            <w:r w:rsidR="003323EA">
              <w:t>-</w:t>
            </w:r>
            <w:r w:rsidR="00CC4F89">
              <w:t>sharing)</w:t>
            </w:r>
          </w:p>
        </w:tc>
        <w:tc>
          <w:tcPr>
            <w:tcW w:w="1018" w:type="pct"/>
          </w:tcPr>
          <w:p w14:paraId="4C39CD53" w14:textId="317BC40A" w:rsidR="00CC4F89" w:rsidRDefault="006B0459" w:rsidP="00AD7639">
            <w:pPr>
              <w:cnfStyle w:val="000000000000" w:firstRow="0" w:lastRow="0" w:firstColumn="0" w:lastColumn="0" w:oddVBand="0" w:evenVBand="0" w:oddHBand="0" w:evenHBand="0" w:firstRowFirstColumn="0" w:firstRowLastColumn="0" w:lastRowFirstColumn="0" w:lastRowLastColumn="0"/>
            </w:pPr>
            <w:r w:rsidRPr="00094061">
              <w:t>August 2024</w:t>
            </w:r>
          </w:p>
        </w:tc>
        <w:tc>
          <w:tcPr>
            <w:tcW w:w="1173" w:type="pct"/>
          </w:tcPr>
          <w:p w14:paraId="6086BAE6" w14:textId="6915F6E1" w:rsidR="00CC4F89" w:rsidRPr="00D01DDB" w:rsidRDefault="00C41B02" w:rsidP="00AD7639">
            <w:pPr>
              <w:cnfStyle w:val="000000000000" w:firstRow="0" w:lastRow="0" w:firstColumn="0" w:lastColumn="0" w:oddVBand="0" w:evenVBand="0" w:oddHBand="0" w:evenHBand="0" w:firstRowFirstColumn="0" w:firstRowLastColumn="0" w:lastRowFirstColumn="0" w:lastRowLastColumn="0"/>
            </w:pPr>
            <w:r>
              <w:t>Approved</w:t>
            </w:r>
            <w:r w:rsidR="00E36577">
              <w:t xml:space="preserve"> on 5 August 2025</w:t>
            </w:r>
          </w:p>
        </w:tc>
        <w:tc>
          <w:tcPr>
            <w:tcW w:w="1795" w:type="pct"/>
          </w:tcPr>
          <w:p w14:paraId="2BBCE9EA" w14:textId="0AACFD71" w:rsidR="00CC4F89" w:rsidRPr="00D01DDB" w:rsidRDefault="003323EA" w:rsidP="00AD7639">
            <w:pPr>
              <w:cnfStyle w:val="000000000000" w:firstRow="0" w:lastRow="0" w:firstColumn="0" w:lastColumn="0" w:oddVBand="0" w:evenVBand="0" w:oddHBand="0" w:evenHBand="0" w:firstRowFirstColumn="0" w:firstRowLastColumn="0" w:lastRowFirstColumn="0" w:lastRowLastColumn="0"/>
            </w:pPr>
            <w:r w:rsidRPr="003323EA">
              <w:rPr>
                <w:i/>
                <w:iCs/>
                <w:lang w:val="en-GB"/>
              </w:rPr>
              <w:t xml:space="preserve">Lynkuet </w:t>
            </w:r>
            <w:r w:rsidR="004D6E77">
              <w:rPr>
                <w:i/>
                <w:iCs/>
                <w:lang w:val="en-GB"/>
              </w:rPr>
              <w:t xml:space="preserve">is indicated </w:t>
            </w:r>
            <w:r w:rsidRPr="003323EA">
              <w:rPr>
                <w:i/>
                <w:iCs/>
                <w:lang w:val="en-GB"/>
              </w:rPr>
              <w:t xml:space="preserve">for the treatment of moderate to severe VMS </w:t>
            </w:r>
            <w:r w:rsidR="00A25B77">
              <w:rPr>
                <w:i/>
                <w:iCs/>
                <w:lang w:val="en-GB"/>
              </w:rPr>
              <w:t>in postmenopausal patients</w:t>
            </w:r>
          </w:p>
        </w:tc>
      </w:tr>
      <w:tr w:rsidR="00A30F42" w:rsidRPr="00D01DDB" w14:paraId="4C340B25"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F6BD0F3" w14:textId="16F07FFB" w:rsidR="00A30F42" w:rsidRPr="00D01DDB" w:rsidRDefault="001F4E88" w:rsidP="00AD7639">
            <w:r>
              <w:t>E</w:t>
            </w:r>
            <w:r w:rsidR="00BA0732">
              <w:t>uropean Union (E</w:t>
            </w:r>
            <w:r>
              <w:t>U</w:t>
            </w:r>
            <w:r w:rsidR="00017980">
              <w:t xml:space="preserve"> -EMA</w:t>
            </w:r>
            <w:r w:rsidR="00BA0732">
              <w:t>)</w:t>
            </w:r>
          </w:p>
        </w:tc>
        <w:tc>
          <w:tcPr>
            <w:tcW w:w="1018" w:type="pct"/>
          </w:tcPr>
          <w:p w14:paraId="163BE640" w14:textId="3E0583D9" w:rsidR="00A30F42" w:rsidRPr="00D01DDB" w:rsidRDefault="00F82474" w:rsidP="00AD7639">
            <w:pPr>
              <w:cnfStyle w:val="000000000000" w:firstRow="0" w:lastRow="0" w:firstColumn="0" w:lastColumn="0" w:oddVBand="0" w:evenVBand="0" w:oddHBand="0" w:evenHBand="0" w:firstRowFirstColumn="0" w:firstRowLastColumn="0" w:lastRowFirstColumn="0" w:lastRowLastColumn="0"/>
            </w:pPr>
            <w:r>
              <w:t>October 2024</w:t>
            </w:r>
          </w:p>
        </w:tc>
        <w:tc>
          <w:tcPr>
            <w:tcW w:w="1173" w:type="pct"/>
          </w:tcPr>
          <w:p w14:paraId="12FCF55A" w14:textId="7A8CC364" w:rsidR="00A30F42" w:rsidRPr="00D01DDB" w:rsidRDefault="00F82474" w:rsidP="00AD7639">
            <w:pPr>
              <w:cnfStyle w:val="000000000000" w:firstRow="0" w:lastRow="0" w:firstColumn="0" w:lastColumn="0" w:oddVBand="0" w:evenVBand="0" w:oddHBand="0" w:evenHBand="0" w:firstRowFirstColumn="0" w:firstRowLastColumn="0" w:lastRowFirstColumn="0" w:lastRowLastColumn="0"/>
            </w:pPr>
            <w:r>
              <w:t>Approved</w:t>
            </w:r>
            <w:r w:rsidR="00E36577">
              <w:t xml:space="preserve"> on 17 November 2025</w:t>
            </w:r>
          </w:p>
        </w:tc>
        <w:tc>
          <w:tcPr>
            <w:tcW w:w="1795" w:type="pct"/>
          </w:tcPr>
          <w:p w14:paraId="1F4BB6FF" w14:textId="77777777" w:rsidR="001F4E88" w:rsidRPr="001F4E88" w:rsidRDefault="001F4E88" w:rsidP="00AD7639">
            <w:pPr>
              <w:cnfStyle w:val="000000000000" w:firstRow="0" w:lastRow="0" w:firstColumn="0" w:lastColumn="0" w:oddVBand="0" w:evenVBand="0" w:oddHBand="0" w:evenHBand="0" w:firstRowFirstColumn="0" w:firstRowLastColumn="0" w:lastRowFirstColumn="0" w:lastRowLastColumn="0"/>
              <w:rPr>
                <w:i/>
                <w:iCs/>
                <w:lang w:val="en-GB"/>
              </w:rPr>
            </w:pPr>
            <w:r w:rsidRPr="001F4E88">
              <w:rPr>
                <w:i/>
                <w:iCs/>
                <w:lang w:val="en-GB"/>
              </w:rPr>
              <w:t>Lynkuet is indicated for the treatment of moderate to severe vasomotor symptoms (VMS):</w:t>
            </w:r>
          </w:p>
          <w:p w14:paraId="36B81946" w14:textId="77777777" w:rsidR="001F4E88" w:rsidRPr="001F4E88" w:rsidRDefault="001F4E88" w:rsidP="00AD7639">
            <w:pPr>
              <w:cnfStyle w:val="000000000000" w:firstRow="0" w:lastRow="0" w:firstColumn="0" w:lastColumn="0" w:oddVBand="0" w:evenVBand="0" w:oddHBand="0" w:evenHBand="0" w:firstRowFirstColumn="0" w:firstRowLastColumn="0" w:lastRowFirstColumn="0" w:lastRowLastColumn="0"/>
              <w:rPr>
                <w:i/>
                <w:iCs/>
                <w:lang w:val="en-GB"/>
              </w:rPr>
            </w:pPr>
            <w:r w:rsidRPr="001F4E88">
              <w:rPr>
                <w:i/>
                <w:iCs/>
                <w:lang w:val="en-GB"/>
              </w:rPr>
              <w:t>- associated with menopause</w:t>
            </w:r>
          </w:p>
          <w:p w14:paraId="0D5D37D8" w14:textId="5B747472" w:rsidR="00A30F42" w:rsidRPr="00D01DDB" w:rsidRDefault="001F4E88" w:rsidP="00AD7639">
            <w:pPr>
              <w:cnfStyle w:val="000000000000" w:firstRow="0" w:lastRow="0" w:firstColumn="0" w:lastColumn="0" w:oddVBand="0" w:evenVBand="0" w:oddHBand="0" w:evenHBand="0" w:firstRowFirstColumn="0" w:firstRowLastColumn="0" w:lastRowFirstColumn="0" w:lastRowLastColumn="0"/>
            </w:pPr>
            <w:r w:rsidRPr="001F4E88">
              <w:rPr>
                <w:i/>
                <w:iCs/>
                <w:lang w:val="en-GB"/>
              </w:rPr>
              <w:t>- caused by adjuvant endocrine therapy (AET)</w:t>
            </w:r>
            <w:r w:rsidR="00A25B77">
              <w:rPr>
                <w:i/>
                <w:iCs/>
                <w:lang w:val="en-GB"/>
              </w:rPr>
              <w:t xml:space="preserve"> related to breast cancer</w:t>
            </w:r>
          </w:p>
        </w:tc>
      </w:tr>
    </w:tbl>
    <w:p w14:paraId="6D92589C" w14:textId="09786CEF" w:rsidR="00324B33" w:rsidRDefault="00324B33" w:rsidP="00324B33">
      <w:pPr>
        <w:pStyle w:val="Heading2"/>
      </w:pPr>
      <w:bookmarkStart w:id="26" w:name="_Toc504480011"/>
      <w:bookmarkStart w:id="27" w:name="_Toc103679293"/>
      <w:bookmarkStart w:id="28" w:name="_Toc223341687"/>
      <w:r>
        <w:t>Registration timeline</w:t>
      </w:r>
      <w:bookmarkEnd w:id="26"/>
      <w:bookmarkEnd w:id="27"/>
      <w:bookmarkEnd w:id="28"/>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6BB76942" w14:textId="49C62989" w:rsidR="00477C4E" w:rsidRPr="00BD5DBD" w:rsidRDefault="00477C4E" w:rsidP="00324B33">
      <w:pPr>
        <w:rPr>
          <w:szCs w:val="22"/>
        </w:rPr>
      </w:pPr>
      <w:r w:rsidRPr="00BD5DBD">
        <w:rPr>
          <w:szCs w:val="22"/>
        </w:rPr>
        <w:t xml:space="preserve">This submission was evaluated under the </w:t>
      </w:r>
      <w:hyperlink r:id="rId19" w:history="1">
        <w:r w:rsidRPr="00BD5DBD">
          <w:rPr>
            <w:rStyle w:val="Hyperlink"/>
            <w:szCs w:val="22"/>
          </w:rPr>
          <w:t>standard prescription medicines registration process</w:t>
        </w:r>
      </w:hyperlink>
      <w:r w:rsidRPr="00BD5DBD">
        <w:rPr>
          <w:szCs w:val="22"/>
        </w:rPr>
        <w:t>.</w:t>
      </w:r>
    </w:p>
    <w:p w14:paraId="44628C5F" w14:textId="217D78B3" w:rsidR="00324B33" w:rsidRDefault="00324B33" w:rsidP="002C1232">
      <w:pPr>
        <w:pStyle w:val="TableTitle"/>
      </w:pPr>
      <w:r w:rsidRPr="002C1232">
        <w:t xml:space="preserve">Table </w:t>
      </w:r>
      <w:r w:rsidR="007F1E37">
        <w:fldChar w:fldCharType="begin"/>
      </w:r>
      <w:r w:rsidR="007F1E37">
        <w:instrText xml:space="preserve"> SEQ Table \* ARABIC </w:instrText>
      </w:r>
      <w:r w:rsidR="007F1E37">
        <w:fldChar w:fldCharType="separate"/>
      </w:r>
      <w:r w:rsidR="008B1CB5" w:rsidRPr="002C1232">
        <w:t>2</w:t>
      </w:r>
      <w:r w:rsidR="007F1E37">
        <w:fldChar w:fldCharType="end"/>
      </w:r>
      <w:r w:rsidRPr="002C1232">
        <w:t>: Timeline for Submission PM-202</w:t>
      </w:r>
      <w:r w:rsidR="006D2073">
        <w:t>4-03648-1-5</w:t>
      </w:r>
      <w:r w:rsidR="00023E25">
        <w:t>.</w:t>
      </w:r>
    </w:p>
    <w:tbl>
      <w:tblPr>
        <w:tblStyle w:val="TableTGAblue2023"/>
        <w:tblW w:w="8642" w:type="dxa"/>
        <w:tblLook w:val="04A0" w:firstRow="1" w:lastRow="0" w:firstColumn="1" w:lastColumn="0" w:noHBand="0" w:noVBand="1"/>
      </w:tblPr>
      <w:tblGrid>
        <w:gridCol w:w="6232"/>
        <w:gridCol w:w="2410"/>
      </w:tblGrid>
      <w:tr w:rsidR="00324B33" w:rsidRPr="00D01DDB" w14:paraId="6C59BE9C" w14:textId="77777777" w:rsidTr="00AD7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16D80E78" w14:textId="3EC0CCAF" w:rsidR="00324B33" w:rsidRPr="00D01DDB" w:rsidRDefault="00324B33" w:rsidP="00AD7639">
            <w:r w:rsidRPr="00D01DDB">
              <w:t>Description</w:t>
            </w:r>
          </w:p>
        </w:tc>
        <w:tc>
          <w:tcPr>
            <w:tcW w:w="2410" w:type="dxa"/>
          </w:tcPr>
          <w:p w14:paraId="79AFDC4B" w14:textId="05792035" w:rsidR="00324B33" w:rsidRPr="00D01DDB" w:rsidRDefault="00324B33" w:rsidP="00AD7639">
            <w:pPr>
              <w:cnfStyle w:val="100000000000" w:firstRow="1" w:lastRow="0" w:firstColumn="0" w:lastColumn="0" w:oddVBand="0" w:evenVBand="0" w:oddHBand="0" w:evenHBand="0" w:firstRowFirstColumn="0" w:firstRowLastColumn="0" w:lastRowFirstColumn="0" w:lastRowLastColumn="0"/>
            </w:pPr>
            <w:r w:rsidRPr="00D01DDB">
              <w:t>Date</w:t>
            </w:r>
          </w:p>
        </w:tc>
      </w:tr>
      <w:tr w:rsidR="00324B33" w:rsidRPr="00D01DDB" w14:paraId="23610C53" w14:textId="77777777" w:rsidTr="00AD7639">
        <w:tc>
          <w:tcPr>
            <w:cnfStyle w:val="001000000000" w:firstRow="0" w:lastRow="0" w:firstColumn="1" w:lastColumn="0" w:oddVBand="0" w:evenVBand="0" w:oddHBand="0" w:evenHBand="0" w:firstRowFirstColumn="0" w:firstRowLastColumn="0" w:lastRowFirstColumn="0" w:lastRowLastColumn="0"/>
            <w:tcW w:w="6232" w:type="dxa"/>
          </w:tcPr>
          <w:p w14:paraId="759D2A12" w14:textId="0D705F83" w:rsidR="00324B33" w:rsidRPr="00E679D1" w:rsidRDefault="00324B33" w:rsidP="00AD7639">
            <w:r w:rsidRPr="00E679D1">
              <w:t>Submission dossier accepted and first round evaluation commenced</w:t>
            </w:r>
          </w:p>
        </w:tc>
        <w:tc>
          <w:tcPr>
            <w:tcW w:w="2410" w:type="dxa"/>
          </w:tcPr>
          <w:p w14:paraId="2963D9D8" w14:textId="1BCE60A7" w:rsidR="00324B33" w:rsidRPr="00D01DDB" w:rsidRDefault="00417078" w:rsidP="00AD7639">
            <w:pPr>
              <w:cnfStyle w:val="000000000000" w:firstRow="0" w:lastRow="0" w:firstColumn="0" w:lastColumn="0" w:oddVBand="0" w:evenVBand="0" w:oddHBand="0" w:evenHBand="0" w:firstRowFirstColumn="0" w:firstRowLastColumn="0" w:lastRowFirstColumn="0" w:lastRowLastColumn="0"/>
            </w:pPr>
            <w:r>
              <w:t>27 September 2024</w:t>
            </w:r>
          </w:p>
        </w:tc>
      </w:tr>
      <w:tr w:rsidR="00803926" w:rsidRPr="00D01DDB" w14:paraId="16D13F79" w14:textId="77777777" w:rsidTr="00AD7639">
        <w:tc>
          <w:tcPr>
            <w:cnfStyle w:val="001000000000" w:firstRow="0" w:lastRow="0" w:firstColumn="1" w:lastColumn="0" w:oddVBand="0" w:evenVBand="0" w:oddHBand="0" w:evenHBand="0" w:firstRowFirstColumn="0" w:firstRowLastColumn="0" w:lastRowFirstColumn="0" w:lastRowLastColumn="0"/>
            <w:tcW w:w="6232" w:type="dxa"/>
          </w:tcPr>
          <w:p w14:paraId="6858B45A" w14:textId="615A218B" w:rsidR="00803926" w:rsidRPr="00E679D1" w:rsidDel="00C62B1C" w:rsidRDefault="00803926" w:rsidP="00AD7639">
            <w:r>
              <w:t>Evaluation completed</w:t>
            </w:r>
            <w:r w:rsidR="005775D0">
              <w:t xml:space="preserve"> (End of round </w:t>
            </w:r>
            <w:r w:rsidR="00C00844">
              <w:t>2)</w:t>
            </w:r>
          </w:p>
        </w:tc>
        <w:tc>
          <w:tcPr>
            <w:tcW w:w="2410" w:type="dxa"/>
          </w:tcPr>
          <w:p w14:paraId="2E0BD403" w14:textId="448AAA1F" w:rsidR="00803926" w:rsidRPr="00D01DDB" w:rsidRDefault="00843B71" w:rsidP="00AD7639">
            <w:pPr>
              <w:cnfStyle w:val="000000000000" w:firstRow="0" w:lastRow="0" w:firstColumn="0" w:lastColumn="0" w:oddVBand="0" w:evenVBand="0" w:oddHBand="0" w:evenHBand="0" w:firstRowFirstColumn="0" w:firstRowLastColumn="0" w:lastRowFirstColumn="0" w:lastRowLastColumn="0"/>
            </w:pPr>
            <w:r>
              <w:t>13 May 2025</w:t>
            </w:r>
          </w:p>
        </w:tc>
      </w:tr>
      <w:tr w:rsidR="00324B33" w:rsidRPr="00D01DDB" w14:paraId="6E5D32FE" w14:textId="77777777" w:rsidTr="00AD7639">
        <w:tc>
          <w:tcPr>
            <w:cnfStyle w:val="001000000000" w:firstRow="0" w:lastRow="0" w:firstColumn="1" w:lastColumn="0" w:oddVBand="0" w:evenVBand="0" w:oddHBand="0" w:evenHBand="0" w:firstRowFirstColumn="0" w:firstRowLastColumn="0" w:lastRowFirstColumn="0" w:lastRowLastColumn="0"/>
            <w:tcW w:w="6232" w:type="dxa"/>
          </w:tcPr>
          <w:p w14:paraId="4E95C44C" w14:textId="7A91C710" w:rsidR="00324B33" w:rsidRPr="00E679D1" w:rsidRDefault="00324B33" w:rsidP="00AD7639">
            <w:r w:rsidRPr="00E679D1">
              <w:t>Registration decision (Outcome)</w:t>
            </w:r>
          </w:p>
        </w:tc>
        <w:tc>
          <w:tcPr>
            <w:tcW w:w="2410" w:type="dxa"/>
          </w:tcPr>
          <w:p w14:paraId="62987ABD" w14:textId="387FC21A" w:rsidR="00324B33" w:rsidRPr="00D01DDB" w:rsidRDefault="00AA13E9" w:rsidP="00AD7639">
            <w:pPr>
              <w:cnfStyle w:val="000000000000" w:firstRow="0" w:lastRow="0" w:firstColumn="0" w:lastColumn="0" w:oddVBand="0" w:evenVBand="0" w:oddHBand="0" w:evenHBand="0" w:firstRowFirstColumn="0" w:firstRowLastColumn="0" w:lastRowFirstColumn="0" w:lastRowLastColumn="0"/>
            </w:pPr>
            <w:r>
              <w:t>5 September 2025</w:t>
            </w:r>
          </w:p>
        </w:tc>
      </w:tr>
      <w:tr w:rsidR="00324B33" w:rsidRPr="00D01DDB" w14:paraId="6DDCDDA4" w14:textId="77777777" w:rsidTr="00AD7639">
        <w:tc>
          <w:tcPr>
            <w:cnfStyle w:val="001000000000" w:firstRow="0" w:lastRow="0" w:firstColumn="1" w:lastColumn="0" w:oddVBand="0" w:evenVBand="0" w:oddHBand="0" w:evenHBand="0" w:firstRowFirstColumn="0" w:firstRowLastColumn="0" w:lastRowFirstColumn="0" w:lastRowLastColumn="0"/>
            <w:tcW w:w="6232" w:type="dxa"/>
          </w:tcPr>
          <w:p w14:paraId="192FD19D" w14:textId="7BF6395A" w:rsidR="00324B33" w:rsidRPr="00E679D1" w:rsidRDefault="00C00844" w:rsidP="00AD7639">
            <w:r>
              <w:t>R</w:t>
            </w:r>
            <w:r w:rsidR="0013132F" w:rsidRPr="00E679D1">
              <w:t xml:space="preserve">egistration </w:t>
            </w:r>
            <w:r w:rsidR="005C4B46" w:rsidRPr="00E679D1">
              <w:t xml:space="preserve">in </w:t>
            </w:r>
            <w:r w:rsidR="0013132F" w:rsidRPr="00E679D1">
              <w:t>the ARTG completed</w:t>
            </w:r>
          </w:p>
        </w:tc>
        <w:tc>
          <w:tcPr>
            <w:tcW w:w="2410" w:type="dxa"/>
          </w:tcPr>
          <w:p w14:paraId="5A8923FD" w14:textId="21F2B2A2" w:rsidR="00324B33" w:rsidRPr="00D01DDB" w:rsidRDefault="00AA13E9" w:rsidP="00AD7639">
            <w:pPr>
              <w:cnfStyle w:val="000000000000" w:firstRow="0" w:lastRow="0" w:firstColumn="0" w:lastColumn="0" w:oddVBand="0" w:evenVBand="0" w:oddHBand="0" w:evenHBand="0" w:firstRowFirstColumn="0" w:firstRowLastColumn="0" w:lastRowFirstColumn="0" w:lastRowLastColumn="0"/>
            </w:pPr>
            <w:r>
              <w:t>11 September 2025</w:t>
            </w:r>
          </w:p>
        </w:tc>
      </w:tr>
      <w:tr w:rsidR="00324B33" w:rsidRPr="00D01DDB" w14:paraId="56D922E2" w14:textId="77777777" w:rsidTr="00AD7639">
        <w:tc>
          <w:tcPr>
            <w:cnfStyle w:val="001000000000" w:firstRow="0" w:lastRow="0" w:firstColumn="1" w:lastColumn="0" w:oddVBand="0" w:evenVBand="0" w:oddHBand="0" w:evenHBand="0" w:firstRowFirstColumn="0" w:firstRowLastColumn="0" w:lastRowFirstColumn="0" w:lastRowLastColumn="0"/>
            <w:tcW w:w="6232" w:type="dxa"/>
          </w:tcPr>
          <w:p w14:paraId="787FD8DD" w14:textId="0E0CF97F" w:rsidR="00324B33" w:rsidRPr="00E679D1" w:rsidRDefault="00324B33" w:rsidP="00AD7639">
            <w:r w:rsidRPr="00E679D1">
              <w:lastRenderedPageBreak/>
              <w:t>Number of working days from submission dossier acceptance to registration decision*</w:t>
            </w:r>
          </w:p>
        </w:tc>
        <w:tc>
          <w:tcPr>
            <w:tcW w:w="2410" w:type="dxa"/>
          </w:tcPr>
          <w:p w14:paraId="5BAF9FA1" w14:textId="1E918485" w:rsidR="00324B33" w:rsidRPr="00D01DDB" w:rsidRDefault="00324164" w:rsidP="00AD7639">
            <w:pPr>
              <w:cnfStyle w:val="000000000000" w:firstRow="0" w:lastRow="0" w:firstColumn="0" w:lastColumn="0" w:oddVBand="0" w:evenVBand="0" w:oddHBand="0" w:evenHBand="0" w:firstRowFirstColumn="0" w:firstRowLastColumn="0" w:lastRowFirstColumn="0" w:lastRowLastColumn="0"/>
            </w:pPr>
            <w:r>
              <w:t>179</w:t>
            </w:r>
          </w:p>
        </w:tc>
      </w:tr>
    </w:tbl>
    <w:p w14:paraId="47E88CFC" w14:textId="3BEADB90" w:rsidR="00433318" w:rsidRDefault="00433318" w:rsidP="00AA13E9">
      <w:pPr>
        <w:pStyle w:val="TableDescription"/>
      </w:pPr>
      <w:r>
        <w:t>*</w:t>
      </w:r>
      <w:r w:rsidRPr="00BF3774">
        <w:t xml:space="preserve">Statutory </w:t>
      </w:r>
      <w:r>
        <w:t>timeframe for standard submissions is 255 working days</w:t>
      </w:r>
    </w:p>
    <w:p w14:paraId="220925F1" w14:textId="75C7430A" w:rsidR="00C22214" w:rsidRPr="00792A32" w:rsidRDefault="00083763" w:rsidP="00C22214">
      <w:pPr>
        <w:pStyle w:val="Heading2"/>
      </w:pPr>
      <w:bookmarkStart w:id="29" w:name="_Toc223341688"/>
      <w:bookmarkStart w:id="30" w:name="_Toc196046504"/>
      <w:bookmarkStart w:id="31" w:name="_Toc247691527"/>
      <w:bookmarkStart w:id="32" w:name="_Toc314842510"/>
      <w:bookmarkStart w:id="33" w:name="_Toc103679294"/>
      <w:r>
        <w:t xml:space="preserve">Assessment </w:t>
      </w:r>
      <w:r w:rsidR="00C22214" w:rsidRPr="00006FAB">
        <w:t>overview</w:t>
      </w:r>
      <w:bookmarkEnd w:id="29"/>
      <w:r w:rsidR="00C22214" w:rsidRPr="00006FAB">
        <w:t xml:space="preserve"> </w:t>
      </w:r>
      <w:bookmarkEnd w:id="30"/>
      <w:bookmarkEnd w:id="31"/>
      <w:bookmarkEnd w:id="32"/>
      <w:bookmarkEnd w:id="33"/>
    </w:p>
    <w:p w14:paraId="540151FC" w14:textId="77777777" w:rsidR="00C22214" w:rsidRPr="00BD5DBD" w:rsidRDefault="00C22214" w:rsidP="00BD5DBD">
      <w:pPr>
        <w:rPr>
          <w:szCs w:val="22"/>
        </w:rPr>
      </w:pPr>
      <w:bookmarkStart w:id="34" w:name="_Toc247691528"/>
      <w:bookmarkStart w:id="35" w:name="_Toc314842511"/>
      <w:r w:rsidRPr="00BD5DBD">
        <w:rPr>
          <w:szCs w:val="22"/>
        </w:rPr>
        <w:t>A summary of the TGA’s assessment for this submission is provided below.</w:t>
      </w:r>
    </w:p>
    <w:p w14:paraId="37F5A1C0" w14:textId="5D3D5FE0" w:rsidR="00C22214" w:rsidRDefault="00095C6A" w:rsidP="00C22214">
      <w:pPr>
        <w:pStyle w:val="Heading3"/>
      </w:pPr>
      <w:bookmarkStart w:id="36" w:name="_Toc103679295"/>
      <w:bookmarkStart w:id="37" w:name="_Toc223341689"/>
      <w:r>
        <w:t>Q</w:t>
      </w:r>
      <w:r w:rsidR="00C22214">
        <w:t>uality</w:t>
      </w:r>
      <w:bookmarkEnd w:id="34"/>
      <w:bookmarkEnd w:id="35"/>
      <w:bookmarkEnd w:id="36"/>
      <w:r w:rsidR="007E6443">
        <w:t xml:space="preserve"> evaluation</w:t>
      </w:r>
      <w:r>
        <w:t xml:space="preserve"> summary</w:t>
      </w:r>
      <w:bookmarkEnd w:id="37"/>
    </w:p>
    <w:p w14:paraId="7B0273CE" w14:textId="77777777" w:rsidR="000A28D3" w:rsidRPr="000A28D3" w:rsidRDefault="000A28D3" w:rsidP="000A28D3">
      <w:r w:rsidRPr="000A28D3">
        <w:t>The proposed specification adequately controls the identity, potency, purity and chemical and physical properties of the drug substance relevant to the dose form. The synthetic impurities are controlled according to ICH.</w:t>
      </w:r>
    </w:p>
    <w:p w14:paraId="2821A631" w14:textId="77777777" w:rsidR="000A28D3" w:rsidRPr="004A5772" w:rsidRDefault="000A28D3" w:rsidP="000A28D3">
      <w:pPr>
        <w:rPr>
          <w:b/>
          <w:iCs/>
        </w:rPr>
      </w:pPr>
      <w:r w:rsidRPr="004A5772">
        <w:rPr>
          <w:b/>
          <w:iCs/>
        </w:rPr>
        <w:t>Drug Product</w:t>
      </w:r>
    </w:p>
    <w:p w14:paraId="1FDB0061" w14:textId="2C4835EF" w:rsidR="000A28D3" w:rsidRPr="000A28D3" w:rsidRDefault="000A28D3" w:rsidP="002A230B">
      <w:r w:rsidRPr="000A28D3">
        <w:t>The proposed product is an opaque red, oblong soft capsules, size 20 with white printing of ‘EZN60’.</w:t>
      </w:r>
      <w:r w:rsidR="00CA63E3">
        <w:t xml:space="preserve"> </w:t>
      </w:r>
      <w:r w:rsidRPr="000A28D3">
        <w:t>The soft capsules were manufactured by dissolving the drug substance in the excipients and filling into capsules.</w:t>
      </w:r>
      <w:r w:rsidR="002A230B" w:rsidRPr="002A230B">
        <w:rPr>
          <w:rFonts w:cs="Cambria"/>
          <w:szCs w:val="22"/>
        </w:rPr>
        <w:t xml:space="preserve"> </w:t>
      </w:r>
      <w:r w:rsidR="002A230B" w:rsidRPr="002A230B">
        <w:t xml:space="preserve">The capsules are packed in Alu/ </w:t>
      </w:r>
      <w:proofErr w:type="spellStart"/>
      <w:r w:rsidR="002A230B" w:rsidRPr="002A230B">
        <w:t>Aclar</w:t>
      </w:r>
      <w:proofErr w:type="spellEnd"/>
      <w:r w:rsidR="002A230B" w:rsidRPr="002A230B">
        <w:t xml:space="preserve"> blisters</w:t>
      </w:r>
      <w:r w:rsidR="003C36AE">
        <w:t xml:space="preserve"> in pack sizes of </w:t>
      </w:r>
      <w:r w:rsidR="002A230B" w:rsidRPr="002A230B">
        <w:t>24 (sample), 60, 180</w:t>
      </w:r>
      <w:r w:rsidR="003C36AE">
        <w:t>.</w:t>
      </w:r>
    </w:p>
    <w:p w14:paraId="3468E1CE" w14:textId="40FE1CB3" w:rsidR="000A28D3" w:rsidRPr="000A28D3" w:rsidRDefault="000A28D3" w:rsidP="000A28D3">
      <w:r w:rsidRPr="000A28D3">
        <w:t>The drug product specifications adequately control the quality of the drug product at release and throughout the shelf-life. Impurities are controlled to either ICH Q3B or where higher were adequately qualified.</w:t>
      </w:r>
      <w:r w:rsidR="008879EB">
        <w:t xml:space="preserve"> </w:t>
      </w:r>
      <w:r w:rsidRPr="000A28D3">
        <w:t xml:space="preserve">A shelf life of 30 months when stored below 25 </w:t>
      </w:r>
      <w:r w:rsidRPr="000A28D3">
        <w:sym w:font="Symbol" w:char="F0B0"/>
      </w:r>
      <w:r w:rsidRPr="000A28D3">
        <w:t>C</w:t>
      </w:r>
      <w:r w:rsidR="001567EA">
        <w:rPr>
          <w:rFonts w:cs="Cambria"/>
          <w:color w:val="000000"/>
          <w:szCs w:val="22"/>
        </w:rPr>
        <w:t xml:space="preserve"> </w:t>
      </w:r>
      <w:r w:rsidR="001567EA" w:rsidRPr="001567EA">
        <w:t xml:space="preserve">in </w:t>
      </w:r>
      <w:r w:rsidR="003C2501">
        <w:t xml:space="preserve">the </w:t>
      </w:r>
      <w:r w:rsidR="001567EA" w:rsidRPr="001567EA">
        <w:t>original</w:t>
      </w:r>
      <w:r w:rsidR="00DB4E7E">
        <w:t xml:space="preserve"> </w:t>
      </w:r>
      <w:r w:rsidR="001567EA" w:rsidRPr="001567EA">
        <w:t>pack</w:t>
      </w:r>
      <w:r w:rsidR="003C2501">
        <w:t>aging</w:t>
      </w:r>
      <w:r w:rsidRPr="000A28D3">
        <w:t>, is supported.</w:t>
      </w:r>
    </w:p>
    <w:p w14:paraId="7A90193B" w14:textId="77777777" w:rsidR="000A28D3" w:rsidRPr="005D5F2F" w:rsidRDefault="000A28D3" w:rsidP="000A28D3">
      <w:pPr>
        <w:rPr>
          <w:b/>
          <w:iCs/>
        </w:rPr>
      </w:pPr>
      <w:bookmarkStart w:id="38" w:name="DESCRIPTION_AND_COMPOSITION_OF_THE_DRUG_"/>
      <w:bookmarkStart w:id="39" w:name="1._DESCRIPTION"/>
      <w:bookmarkStart w:id="40" w:name="2._COMPOSITION"/>
      <w:bookmarkEnd w:id="38"/>
      <w:bookmarkEnd w:id="39"/>
      <w:bookmarkEnd w:id="40"/>
      <w:r w:rsidRPr="005D5F2F">
        <w:rPr>
          <w:b/>
          <w:iCs/>
        </w:rPr>
        <w:t>Recommendation</w:t>
      </w:r>
    </w:p>
    <w:p w14:paraId="0524D650" w14:textId="77777777" w:rsidR="000A28D3" w:rsidRPr="000A28D3" w:rsidRDefault="000A28D3" w:rsidP="000A28D3">
      <w:r w:rsidRPr="000A28D3">
        <w:t>Approval is recommended from a quality and biopharmaceutic perspective.</w:t>
      </w:r>
    </w:p>
    <w:p w14:paraId="713E617F" w14:textId="68E12575" w:rsidR="000A28D3" w:rsidRPr="000A28D3" w:rsidRDefault="000A28D3" w:rsidP="000A28D3">
      <w:r w:rsidRPr="000A28D3">
        <w:t>The Product Information</w:t>
      </w:r>
      <w:r w:rsidR="00211813">
        <w:t xml:space="preserve"> and labelling</w:t>
      </w:r>
      <w:r w:rsidR="007C0EC0">
        <w:t xml:space="preserve"> are</w:t>
      </w:r>
      <w:r w:rsidRPr="000A28D3">
        <w:t xml:space="preserve"> considered acceptable from a pharmaceutical quality perspective.</w:t>
      </w:r>
    </w:p>
    <w:p w14:paraId="2BE90AAE" w14:textId="35796FD3" w:rsidR="00C22214" w:rsidRDefault="00C22214" w:rsidP="00C22214">
      <w:pPr>
        <w:pStyle w:val="Heading3"/>
      </w:pPr>
      <w:bookmarkStart w:id="41" w:name="_Toc314842512"/>
      <w:bookmarkStart w:id="42" w:name="_Toc103679296"/>
      <w:bookmarkStart w:id="43" w:name="_Toc223341690"/>
      <w:r>
        <w:t>Nonclinical</w:t>
      </w:r>
      <w:bookmarkEnd w:id="41"/>
      <w:bookmarkEnd w:id="42"/>
      <w:r w:rsidR="007E6443">
        <w:t xml:space="preserve"> evaluation</w:t>
      </w:r>
      <w:r w:rsidR="00095C6A">
        <w:t xml:space="preserve"> summary</w:t>
      </w:r>
      <w:bookmarkEnd w:id="43"/>
    </w:p>
    <w:p w14:paraId="6765BFE0" w14:textId="0D4DE958" w:rsidR="00185143" w:rsidRPr="00185143" w:rsidRDefault="00185143" w:rsidP="000C55C8">
      <w:bookmarkStart w:id="44" w:name="_Toc247691530"/>
      <w:bookmarkStart w:id="45" w:name="_Toc314842513"/>
      <w:bookmarkStart w:id="46" w:name="_Toc103679297"/>
      <w:r w:rsidRPr="00185143">
        <w:t>The nonclinical dossier was adequate in scope</w:t>
      </w:r>
      <w:r w:rsidR="009A3F4F">
        <w:t xml:space="preserve">, </w:t>
      </w:r>
      <w:r w:rsidRPr="00185143">
        <w:t>consistent with ICH M3 [R2], and all pivotal safety-related studies were GLP-compliant.</w:t>
      </w:r>
    </w:p>
    <w:p w14:paraId="2D803CBB" w14:textId="4AC796CB" w:rsidR="00185143" w:rsidRPr="00185143" w:rsidRDefault="00185143" w:rsidP="000C55C8">
      <w:r w:rsidRPr="00185143">
        <w:t xml:space="preserve">Primary pharmacology studies established that </w:t>
      </w:r>
      <w:proofErr w:type="spellStart"/>
      <w:r w:rsidRPr="00185143">
        <w:t>elinzanetant</w:t>
      </w:r>
      <w:proofErr w:type="spellEnd"/>
      <w:r w:rsidRPr="00185143">
        <w:t xml:space="preserve"> is a potent, </w:t>
      </w:r>
      <w:r w:rsidR="0090240D" w:rsidRPr="00185143">
        <w:t>centrally acting</w:t>
      </w:r>
      <w:r w:rsidRPr="00185143">
        <w:t xml:space="preserve"> NK1 and NK3 receptor antagonist, with a non-competitive mode of action. Elinzanetant has higher affinity for, and longer lasting occupancy of, NK1 receptors over NK3 receptors. Antagonism of NK1 and NK3 receptors by </w:t>
      </w:r>
      <w:proofErr w:type="spellStart"/>
      <w:r w:rsidRPr="00185143">
        <w:t>elinzanetant</w:t>
      </w:r>
      <w:proofErr w:type="spellEnd"/>
      <w:r w:rsidRPr="00185143">
        <w:t xml:space="preserve"> is expected to work synergistically to reduce VMS.</w:t>
      </w:r>
      <w:r w:rsidR="00584A35">
        <w:t xml:space="preserve"> </w:t>
      </w:r>
      <w:r w:rsidRPr="00185143">
        <w:t xml:space="preserve">No clinically relevant secondary pharmacological targets are identified for </w:t>
      </w:r>
      <w:proofErr w:type="spellStart"/>
      <w:r w:rsidRPr="00185143">
        <w:t>elinzanetant</w:t>
      </w:r>
      <w:proofErr w:type="spellEnd"/>
      <w:r w:rsidRPr="00185143">
        <w:t xml:space="preserve"> or its key human metabolites.</w:t>
      </w:r>
    </w:p>
    <w:p w14:paraId="2BA69B84" w14:textId="07D2FE47" w:rsidR="00185143" w:rsidRPr="00185143" w:rsidRDefault="00185143" w:rsidP="000C55C8">
      <w:r w:rsidRPr="00185143">
        <w:t xml:space="preserve">Safety pharmacology studies indicate no likely adverse effects on </w:t>
      </w:r>
      <w:r w:rsidR="002E4ABB">
        <w:t>central nervous system (C</w:t>
      </w:r>
      <w:r w:rsidRPr="00185143">
        <w:t>NS</w:t>
      </w:r>
      <w:r w:rsidR="002E4ABB">
        <w:t>)</w:t>
      </w:r>
      <w:r w:rsidRPr="00185143">
        <w:t>, cardiovascular or respiratory function in patients.</w:t>
      </w:r>
    </w:p>
    <w:p w14:paraId="31A8D8AB" w14:textId="235D1C52" w:rsidR="00185143" w:rsidRPr="00185143" w:rsidRDefault="00185143" w:rsidP="000C55C8">
      <w:r w:rsidRPr="00185143">
        <w:t xml:space="preserve">Rapid absorption of </w:t>
      </w:r>
      <w:proofErr w:type="spellStart"/>
      <w:r w:rsidRPr="00185143">
        <w:t>elinzanetant</w:t>
      </w:r>
      <w:proofErr w:type="spellEnd"/>
      <w:r w:rsidRPr="00185143">
        <w:t xml:space="preserve"> after oral administration was seen in laboratory animal species and humans. Oral bioavailability and plasma half-life showed considerable variability across species. Plasma protein binding was high across laboratory animal species and very high in humans. No </w:t>
      </w:r>
      <w:proofErr w:type="gramStart"/>
      <w:r w:rsidRPr="00185143">
        <w:t>particular distribution</w:t>
      </w:r>
      <w:proofErr w:type="gramEnd"/>
      <w:r w:rsidRPr="00185143">
        <w:t xml:space="preserve"> into blood cells was apparent. Rapid and wide tissue </w:t>
      </w:r>
      <w:r w:rsidRPr="00185143">
        <w:lastRenderedPageBreak/>
        <w:t xml:space="preserve">distribution of 14C-elinzanetant-derived radioactivity was demonstrated in rats. Penetration of the blood-brain barrier in rats and other species was shown and binding to melanin was apparent. CYP3A4 was identified as the main enzyme involved in the metabolism of </w:t>
      </w:r>
      <w:proofErr w:type="spellStart"/>
      <w:r w:rsidRPr="00185143">
        <w:t>elinzanetant</w:t>
      </w:r>
      <w:proofErr w:type="spellEnd"/>
      <w:r w:rsidRPr="00185143">
        <w:t xml:space="preserve">. Excretion of </w:t>
      </w:r>
      <w:proofErr w:type="spellStart"/>
      <w:r w:rsidRPr="00185143">
        <w:t>elinzanetant</w:t>
      </w:r>
      <w:proofErr w:type="spellEnd"/>
      <w:r w:rsidRPr="00185143">
        <w:t xml:space="preserve"> and/or its metabolites was predominantly via the faeces in rats and cynomolgus monkeys, as in humans. </w:t>
      </w:r>
      <w:r w:rsidRPr="00185143">
        <w:rPr>
          <w:i/>
          <w:iCs/>
        </w:rPr>
        <w:t>In vitro</w:t>
      </w:r>
      <w:r w:rsidRPr="00185143">
        <w:t xml:space="preserve"> data indicate the potential for </w:t>
      </w:r>
      <w:proofErr w:type="spellStart"/>
      <w:r w:rsidRPr="00185143">
        <w:t>elinzanetant</w:t>
      </w:r>
      <w:proofErr w:type="spellEnd"/>
      <w:r w:rsidRPr="00185143">
        <w:t xml:space="preserve"> to produce pharmacokinetic interactions through inhibition of CYP3A4, P glycoprotein, BCRP, MATE1, OATP1B1 and OATP1B3.</w:t>
      </w:r>
    </w:p>
    <w:p w14:paraId="77234A77" w14:textId="03434311" w:rsidR="00185143" w:rsidRPr="00185143" w:rsidRDefault="00185143" w:rsidP="00EB6861">
      <w:r w:rsidRPr="00185143">
        <w:t>Elinzanetant showed a moderate order of acute toxicity by the oral route in mice, rats and monkeys.</w:t>
      </w:r>
      <w:r w:rsidR="00BE0C33">
        <w:t xml:space="preserve"> </w:t>
      </w:r>
      <w:r w:rsidRPr="00185143">
        <w:t>Repeat-dose toxicity studies by the oral route were conducted in mice (up to 4 weeks duration), rats (up to 6 months) and cynomolgus monkeys (up to 9 months). The female reproductive system, central nervous system, skeletal muscle, gastrointestinal system and liver were identified as the key targets in these studies. The effects on the female reproductive system are seen to relate to the drug’s primary pharmacology. No or low clinical relevance is seen for findings for the other systems.</w:t>
      </w:r>
    </w:p>
    <w:p w14:paraId="54B3ACC3" w14:textId="5F7853B6" w:rsidR="00185143" w:rsidRPr="00185143" w:rsidRDefault="00185143" w:rsidP="00EB6861">
      <w:pPr>
        <w:rPr>
          <w:szCs w:val="22"/>
        </w:rPr>
      </w:pPr>
      <w:r w:rsidRPr="00185143">
        <w:rPr>
          <w:szCs w:val="22"/>
        </w:rPr>
        <w:t>Elinzanetant was negative in the standard battery of tests for genotoxicity.</w:t>
      </w:r>
      <w:r w:rsidR="005C4317">
        <w:rPr>
          <w:szCs w:val="22"/>
        </w:rPr>
        <w:t xml:space="preserve"> </w:t>
      </w:r>
      <w:r w:rsidRPr="00185143">
        <w:rPr>
          <w:szCs w:val="22"/>
        </w:rPr>
        <w:t xml:space="preserve">Elinzanetant was not carcinogenic in a 6-month study in transgenic mice. An increased incidence of uterine neoplasms (endometrial adenocarcinoma and squamous cell carcinoma) and malignant lymphoma was observed in a 2-year study in female rats. From consideration of the apparent mechanism and/or relative exposure for the tumour findings, </w:t>
      </w:r>
      <w:proofErr w:type="spellStart"/>
      <w:r w:rsidRPr="00185143">
        <w:rPr>
          <w:szCs w:val="22"/>
        </w:rPr>
        <w:t>elinzanetant</w:t>
      </w:r>
      <w:proofErr w:type="spellEnd"/>
      <w:r w:rsidRPr="00185143">
        <w:rPr>
          <w:szCs w:val="22"/>
        </w:rPr>
        <w:t xml:space="preserve"> is not considered to pose a particular carcinogenic risk to patients.</w:t>
      </w:r>
    </w:p>
    <w:p w14:paraId="0BF78CCF" w14:textId="77777777" w:rsidR="00185143" w:rsidRPr="00185143" w:rsidRDefault="00185143" w:rsidP="00EB6861">
      <w:pPr>
        <w:rPr>
          <w:szCs w:val="22"/>
        </w:rPr>
      </w:pPr>
      <w:r w:rsidRPr="00185143">
        <w:rPr>
          <w:szCs w:val="22"/>
        </w:rPr>
        <w:t>Elinzanetant did not impair fertility in female rats, although adverse effects on early embryonic development were seen. Elinzanetant reduced perinatal survival of the offspring of rats at the clinical exposure level; additional adverse reproductive and developmental effects (but not malformations) were observed at higher doses.</w:t>
      </w:r>
    </w:p>
    <w:p w14:paraId="32E19E1E" w14:textId="77777777" w:rsidR="00185143" w:rsidRPr="00185143" w:rsidRDefault="00185143" w:rsidP="00EB6861">
      <w:pPr>
        <w:rPr>
          <w:szCs w:val="22"/>
        </w:rPr>
      </w:pPr>
      <w:r w:rsidRPr="00185143">
        <w:rPr>
          <w:szCs w:val="22"/>
        </w:rPr>
        <w:t xml:space="preserve">Elinzanetant was shown to be phototoxic in an </w:t>
      </w:r>
      <w:r w:rsidRPr="00185143">
        <w:rPr>
          <w:i/>
          <w:iCs/>
          <w:szCs w:val="22"/>
        </w:rPr>
        <w:t>in vitro</w:t>
      </w:r>
      <w:r w:rsidRPr="00185143">
        <w:rPr>
          <w:szCs w:val="22"/>
        </w:rPr>
        <w:t xml:space="preserve"> assay. Studies in monkeys support a lack of abuse potential for </w:t>
      </w:r>
      <w:proofErr w:type="spellStart"/>
      <w:r w:rsidRPr="00185143">
        <w:rPr>
          <w:szCs w:val="22"/>
        </w:rPr>
        <w:t>elinzanetant</w:t>
      </w:r>
      <w:proofErr w:type="spellEnd"/>
      <w:r w:rsidRPr="00185143">
        <w:rPr>
          <w:szCs w:val="22"/>
        </w:rPr>
        <w:t>.</w:t>
      </w:r>
    </w:p>
    <w:p w14:paraId="147BB23A" w14:textId="77777777" w:rsidR="00185143" w:rsidRPr="00185143" w:rsidRDefault="00185143" w:rsidP="00EB6861">
      <w:pPr>
        <w:rPr>
          <w:szCs w:val="22"/>
        </w:rPr>
      </w:pPr>
      <w:r w:rsidRPr="00185143">
        <w:rPr>
          <w:szCs w:val="22"/>
        </w:rPr>
        <w:t>Proposed impurity limits for related substances in the drug substance and drug product are toxicologically acceptable.</w:t>
      </w:r>
    </w:p>
    <w:p w14:paraId="68711FED" w14:textId="77777777" w:rsidR="00185143" w:rsidRPr="0097759F" w:rsidRDefault="00185143" w:rsidP="0097759F">
      <w:pPr>
        <w:rPr>
          <w:b/>
          <w:bCs/>
        </w:rPr>
      </w:pPr>
      <w:bookmarkStart w:id="47" w:name="_Toc294861479"/>
      <w:bookmarkStart w:id="48" w:name="_Toc295290862"/>
      <w:bookmarkStart w:id="49" w:name="_Toc84411251"/>
      <w:r w:rsidRPr="0097759F">
        <w:rPr>
          <w:b/>
          <w:bCs/>
        </w:rPr>
        <w:t>Conclusions and recommendation</w:t>
      </w:r>
      <w:bookmarkEnd w:id="47"/>
      <w:bookmarkEnd w:id="48"/>
      <w:bookmarkEnd w:id="49"/>
      <w:r w:rsidRPr="0097759F">
        <w:rPr>
          <w:b/>
          <w:bCs/>
        </w:rPr>
        <w:t>s</w:t>
      </w:r>
    </w:p>
    <w:p w14:paraId="56E2C487" w14:textId="77777777" w:rsidR="00185143" w:rsidRPr="00185143" w:rsidRDefault="00185143" w:rsidP="00185143">
      <w:pPr>
        <w:rPr>
          <w:szCs w:val="22"/>
        </w:rPr>
      </w:pPr>
      <w:r w:rsidRPr="00185143">
        <w:rPr>
          <w:szCs w:val="22"/>
        </w:rPr>
        <w:t>There are no nonclinical objections to the registration of Lynkuet for the proposed indication.</w:t>
      </w:r>
    </w:p>
    <w:p w14:paraId="3E4C9360" w14:textId="1F33C9FE" w:rsidR="00185143" w:rsidRPr="00185143" w:rsidRDefault="00185143" w:rsidP="00185143">
      <w:pPr>
        <w:rPr>
          <w:szCs w:val="22"/>
        </w:rPr>
      </w:pPr>
      <w:r w:rsidRPr="00185143">
        <w:rPr>
          <w:szCs w:val="22"/>
        </w:rPr>
        <w:t xml:space="preserve">Phototoxicity potential was demonstrated for </w:t>
      </w:r>
      <w:proofErr w:type="spellStart"/>
      <w:r w:rsidRPr="00185143">
        <w:rPr>
          <w:szCs w:val="22"/>
        </w:rPr>
        <w:t>elinzanetant</w:t>
      </w:r>
      <w:proofErr w:type="spellEnd"/>
      <w:r w:rsidRPr="00185143">
        <w:rPr>
          <w:szCs w:val="22"/>
        </w:rPr>
        <w:t xml:space="preserve"> </w:t>
      </w:r>
      <w:r w:rsidRPr="00185143">
        <w:rPr>
          <w:i/>
          <w:iCs/>
          <w:szCs w:val="22"/>
        </w:rPr>
        <w:t>in vitro</w:t>
      </w:r>
      <w:r w:rsidRPr="00185143">
        <w:rPr>
          <w:szCs w:val="22"/>
        </w:rPr>
        <w:t>. Concerns for potential dermal phototoxicity in patients are held based on nonclinical and clinical data</w:t>
      </w:r>
      <w:r w:rsidR="00485FD9">
        <w:rPr>
          <w:szCs w:val="22"/>
        </w:rPr>
        <w:t xml:space="preserve">. </w:t>
      </w:r>
    </w:p>
    <w:p w14:paraId="35B580A5" w14:textId="40B226DC" w:rsidR="00C22214" w:rsidRDefault="00C22214" w:rsidP="008804CF">
      <w:pPr>
        <w:pStyle w:val="Heading3"/>
      </w:pPr>
      <w:bookmarkStart w:id="50" w:name="_Toc223341691"/>
      <w:r>
        <w:t>Clinical</w:t>
      </w:r>
      <w:bookmarkEnd w:id="44"/>
      <w:bookmarkEnd w:id="45"/>
      <w:bookmarkEnd w:id="46"/>
      <w:r w:rsidR="00095C6A">
        <w:t xml:space="preserve"> evaluation summary</w:t>
      </w:r>
      <w:bookmarkEnd w:id="50"/>
    </w:p>
    <w:p w14:paraId="32B0DEDA" w14:textId="77777777" w:rsidR="00C22214" w:rsidRPr="00433318" w:rsidRDefault="00C22214" w:rsidP="00433318">
      <w:pPr>
        <w:pStyle w:val="Heading4"/>
      </w:pPr>
      <w:bookmarkStart w:id="51" w:name="_Toc98931928"/>
      <w:bookmarkStart w:id="52" w:name="_Toc223341692"/>
      <w:r>
        <w:t>Summary of clinical studies</w:t>
      </w:r>
      <w:bookmarkEnd w:id="51"/>
      <w:bookmarkEnd w:id="52"/>
    </w:p>
    <w:p w14:paraId="3979FA47" w14:textId="77777777" w:rsidR="002430C6" w:rsidRPr="002430C6" w:rsidRDefault="002430C6" w:rsidP="002430C6">
      <w:r w:rsidRPr="002430C6">
        <w:t>The clinical development program for the VMS indication consisted of:</w:t>
      </w:r>
    </w:p>
    <w:p w14:paraId="178355A1" w14:textId="77777777" w:rsidR="002430C6" w:rsidRPr="002430C6" w:rsidRDefault="002430C6" w:rsidP="000C55C8">
      <w:pPr>
        <w:pStyle w:val="ListBullet"/>
      </w:pPr>
      <w:r w:rsidRPr="002430C6">
        <w:t>25 clinical pharmacology studies (including RELENT-1 and including 4 biopharmaceutic studies)</w:t>
      </w:r>
    </w:p>
    <w:p w14:paraId="2478C12E" w14:textId="77777777" w:rsidR="002430C6" w:rsidRPr="002430C6" w:rsidRDefault="002430C6" w:rsidP="000C55C8">
      <w:pPr>
        <w:pStyle w:val="ListBullet"/>
      </w:pPr>
      <w:r w:rsidRPr="002430C6">
        <w:t>7 modelling and simulation-based evaluations</w:t>
      </w:r>
    </w:p>
    <w:p w14:paraId="4797C452" w14:textId="77777777" w:rsidR="002430C6" w:rsidRPr="002430C6" w:rsidRDefault="002430C6" w:rsidP="000C55C8">
      <w:pPr>
        <w:pStyle w:val="ListBullet"/>
      </w:pPr>
      <w:r w:rsidRPr="002430C6">
        <w:t>2 Phase 2 studies (RELENT-1 and SWITCH-1)</w:t>
      </w:r>
    </w:p>
    <w:p w14:paraId="245369FD" w14:textId="77777777" w:rsidR="002430C6" w:rsidRPr="002430C6" w:rsidRDefault="002430C6" w:rsidP="000C55C8">
      <w:pPr>
        <w:pStyle w:val="ListBullet"/>
      </w:pPr>
      <w:r w:rsidRPr="002430C6">
        <w:t>3 Phase 3 studies (OASIS 1, 2 and 3)</w:t>
      </w:r>
    </w:p>
    <w:p w14:paraId="2F15CD7A" w14:textId="77777777" w:rsidR="002430C6" w:rsidRPr="002430C6" w:rsidRDefault="002430C6" w:rsidP="00EB6861">
      <w:r w:rsidRPr="002430C6">
        <w:lastRenderedPageBreak/>
        <w:t xml:space="preserve">A list of clinical pharmacology studies and additional modelling and simulation-based evaluations is shown in </w:t>
      </w:r>
      <w:r w:rsidRPr="002430C6">
        <w:fldChar w:fldCharType="begin"/>
      </w:r>
      <w:r w:rsidRPr="002430C6">
        <w:instrText xml:space="preserve"> REF _Ref134170628 \h  \* MERGEFORMAT </w:instrText>
      </w:r>
      <w:r w:rsidRPr="002430C6">
        <w:fldChar w:fldCharType="separate"/>
      </w:r>
      <w:r w:rsidRPr="002430C6">
        <w:t>Table 3</w:t>
      </w:r>
      <w:r w:rsidRPr="002430C6">
        <w:fldChar w:fldCharType="end"/>
      </w:r>
      <w:r w:rsidRPr="002430C6">
        <w:t xml:space="preserve">. A list of clinical Phase 2 and 3 studies is in </w:t>
      </w:r>
      <w:r w:rsidRPr="002430C6">
        <w:fldChar w:fldCharType="begin"/>
      </w:r>
      <w:r w:rsidRPr="002430C6">
        <w:instrText xml:space="preserve"> REF _Ref187241382 \h  \* MERGEFORMAT </w:instrText>
      </w:r>
      <w:r w:rsidRPr="002430C6">
        <w:fldChar w:fldCharType="separate"/>
      </w:r>
      <w:r w:rsidRPr="002430C6">
        <w:t>Table 4</w:t>
      </w:r>
      <w:r w:rsidRPr="002430C6">
        <w:fldChar w:fldCharType="end"/>
      </w:r>
      <w:r w:rsidRPr="002430C6">
        <w:t>.</w:t>
      </w:r>
    </w:p>
    <w:p w14:paraId="48E6A6CC" w14:textId="77777777" w:rsidR="009E53A1" w:rsidRPr="009E53A1" w:rsidRDefault="009E53A1" w:rsidP="005D6AE4">
      <w:pPr>
        <w:pStyle w:val="TableTitle"/>
      </w:pPr>
      <w:bookmarkStart w:id="53" w:name="_Ref134170628"/>
      <w:r w:rsidRPr="009E53A1">
        <w:t xml:space="preserve">Table </w:t>
      </w:r>
      <w:r w:rsidRPr="009E53A1">
        <w:fldChar w:fldCharType="begin"/>
      </w:r>
      <w:r w:rsidRPr="009E53A1">
        <w:instrText xml:space="preserve"> SEQ Table \* ARABIC </w:instrText>
      </w:r>
      <w:r w:rsidRPr="009E53A1">
        <w:fldChar w:fldCharType="separate"/>
      </w:r>
      <w:r w:rsidRPr="009E53A1">
        <w:t>3</w:t>
      </w:r>
      <w:r w:rsidRPr="009E53A1">
        <w:fldChar w:fldCharType="end"/>
      </w:r>
      <w:bookmarkEnd w:id="53"/>
      <w:r w:rsidRPr="009E53A1">
        <w:t>. Overview of clinical pharmacology studies.</w:t>
      </w:r>
    </w:p>
    <w:p w14:paraId="547D1BDD" w14:textId="4B61350C" w:rsidR="002430C6" w:rsidRDefault="00F378DD" w:rsidP="002430C6">
      <w:r>
        <w:rPr>
          <w:noProof/>
        </w:rPr>
        <mc:AlternateContent>
          <mc:Choice Requires="wps">
            <w:drawing>
              <wp:anchor distT="0" distB="0" distL="114300" distR="114300" simplePos="0" relativeHeight="251680768" behindDoc="0" locked="0" layoutInCell="1" allowOverlap="1" wp14:anchorId="6B3CEF37" wp14:editId="6416DA7E">
                <wp:simplePos x="0" y="0"/>
                <wp:positionH relativeFrom="column">
                  <wp:posOffset>2842895</wp:posOffset>
                </wp:positionH>
                <wp:positionV relativeFrom="paragraph">
                  <wp:posOffset>1964054</wp:posOffset>
                </wp:positionV>
                <wp:extent cx="1447800" cy="104775"/>
                <wp:effectExtent l="0" t="0" r="0" b="9525"/>
                <wp:wrapNone/>
                <wp:docPr id="1225421173" name="Rectangle 1"/>
                <wp:cNvGraphicFramePr/>
                <a:graphic xmlns:a="http://schemas.openxmlformats.org/drawingml/2006/main">
                  <a:graphicData uri="http://schemas.microsoft.com/office/word/2010/wordprocessingShape">
                    <wps:wsp>
                      <wps:cNvSpPr/>
                      <wps:spPr>
                        <a:xfrm>
                          <a:off x="0" y="0"/>
                          <a:ext cx="1447800" cy="1047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82F89" id="Rectangle 1" o:spid="_x0000_s1026" style="position:absolute;margin-left:223.85pt;margin-top:154.65pt;width:114pt;height: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" fillcolor="white [3212]" stroked="f" strokeweight="1pt"/>
            </w:pict>
          </mc:Fallback>
        </mc:AlternateContent>
      </w:r>
      <w:r w:rsidR="00344206">
        <w:rPr>
          <w:noProof/>
        </w:rPr>
        <w:drawing>
          <wp:inline distT="0" distB="0" distL="0" distR="0" wp14:anchorId="345FCB90" wp14:editId="537CE11B">
            <wp:extent cx="5730875" cy="6643077"/>
            <wp:effectExtent l="0" t="0" r="3175" b="5715"/>
            <wp:docPr id="1444270985" name="Picture 1" descr="Table 3. Overview of clinical pharmacolog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270985" name="Picture 1" descr="Table 3. Overview of clinical pharmacology studi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852" cy="6644210"/>
                    </a:xfrm>
                    <a:prstGeom prst="rect">
                      <a:avLst/>
                    </a:prstGeom>
                    <a:noFill/>
                  </pic:spPr>
                </pic:pic>
              </a:graphicData>
            </a:graphic>
          </wp:inline>
        </w:drawing>
      </w:r>
    </w:p>
    <w:p w14:paraId="6B769B24" w14:textId="77777777" w:rsidR="006F424A" w:rsidRPr="006F424A" w:rsidRDefault="006F424A" w:rsidP="005D6AE4">
      <w:pPr>
        <w:pStyle w:val="TableTitle"/>
      </w:pPr>
      <w:bookmarkStart w:id="54" w:name="_Ref187241382"/>
      <w:r w:rsidRPr="006F424A">
        <w:lastRenderedPageBreak/>
        <w:t xml:space="preserve">Table </w:t>
      </w:r>
      <w:r w:rsidRPr="006F424A">
        <w:fldChar w:fldCharType="begin"/>
      </w:r>
      <w:r w:rsidRPr="006F424A">
        <w:instrText xml:space="preserve"> SEQ Table \* ARABIC </w:instrText>
      </w:r>
      <w:r w:rsidRPr="006F424A">
        <w:fldChar w:fldCharType="separate"/>
      </w:r>
      <w:r w:rsidRPr="006F424A">
        <w:t>4</w:t>
      </w:r>
      <w:r w:rsidRPr="006F424A">
        <w:fldChar w:fldCharType="end"/>
      </w:r>
      <w:bookmarkEnd w:id="54"/>
      <w:r w:rsidRPr="006F424A">
        <w:t>. Overview of clinical Phase 2 and 3 studies.</w:t>
      </w:r>
    </w:p>
    <w:p w14:paraId="28AF066A" w14:textId="212D7259" w:rsidR="002430C6" w:rsidRDefault="005D6AE4" w:rsidP="002430C6">
      <w:r>
        <w:rPr>
          <w:noProof/>
        </w:rPr>
        <w:drawing>
          <wp:inline distT="0" distB="0" distL="0" distR="0" wp14:anchorId="44A74E48" wp14:editId="044BBDC8">
            <wp:extent cx="5429250" cy="6162575"/>
            <wp:effectExtent l="0" t="0" r="0" b="0"/>
            <wp:docPr id="1458563748" name="Picture 2" descr="Table 4. Overview of clinical Phase 2 and 3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63748" name="Picture 2" descr="Table 4. Overview of clinical Phase 2 and 3 studi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8633" cy="6173225"/>
                    </a:xfrm>
                    <a:prstGeom prst="rect">
                      <a:avLst/>
                    </a:prstGeom>
                    <a:noFill/>
                  </pic:spPr>
                </pic:pic>
              </a:graphicData>
            </a:graphic>
          </wp:inline>
        </w:drawing>
      </w:r>
    </w:p>
    <w:p w14:paraId="7C938C8E" w14:textId="77777777" w:rsidR="00DB128D" w:rsidRPr="00DB128D" w:rsidRDefault="00DB128D" w:rsidP="000D1F32">
      <w:pPr>
        <w:pStyle w:val="Heading4"/>
      </w:pPr>
      <w:bookmarkStart w:id="55" w:name="_Toc223341693"/>
      <w:r w:rsidRPr="00DB128D">
        <w:t>Pharmacology</w:t>
      </w:r>
      <w:bookmarkEnd w:id="55"/>
    </w:p>
    <w:p w14:paraId="43842044" w14:textId="77777777" w:rsidR="00DB128D" w:rsidRPr="00DB128D" w:rsidRDefault="00DB128D" w:rsidP="00DB128D">
      <w:r w:rsidRPr="00DB128D">
        <w:t>Various formulations have been tested (suspension, tablets or hard gel capsules), but due to high PK variability issues with the tablet and hard gel capsule, a soft gel capsule will be the final presentation.</w:t>
      </w:r>
    </w:p>
    <w:p w14:paraId="3ED6B422" w14:textId="77777777" w:rsidR="00DB128D" w:rsidRPr="00DB128D" w:rsidRDefault="00DB128D" w:rsidP="00883BF2">
      <w:pPr>
        <w:pStyle w:val="Heading5"/>
      </w:pPr>
      <w:r w:rsidRPr="00DB128D">
        <w:t>Pharmacokinetics (PK)</w:t>
      </w:r>
    </w:p>
    <w:p w14:paraId="4DC9579D" w14:textId="77777777" w:rsidR="00DB128D" w:rsidRPr="00DB128D" w:rsidRDefault="00DB128D" w:rsidP="00DB128D">
      <w:pPr>
        <w:rPr>
          <w:b/>
          <w:iCs/>
        </w:rPr>
      </w:pPr>
      <w:r w:rsidRPr="00DB128D">
        <w:rPr>
          <w:b/>
          <w:iCs/>
        </w:rPr>
        <w:t>Absorption</w:t>
      </w:r>
    </w:p>
    <w:p w14:paraId="40330504" w14:textId="06E3A757" w:rsidR="00DB128D" w:rsidRPr="00DB128D" w:rsidRDefault="00DB128D" w:rsidP="00DB128D">
      <w:r w:rsidRPr="00DB128D">
        <w:t xml:space="preserve">Elinzanetant is rapidly absorbed with </w:t>
      </w:r>
      <w:proofErr w:type="spellStart"/>
      <w:r w:rsidRPr="00DB128D">
        <w:t>C</w:t>
      </w:r>
      <w:r w:rsidRPr="00DB128D">
        <w:rPr>
          <w:vertAlign w:val="subscript"/>
        </w:rPr>
        <w:t>max</w:t>
      </w:r>
      <w:proofErr w:type="spellEnd"/>
      <w:r w:rsidRPr="00DB128D">
        <w:t xml:space="preserve"> usually achieved at </w:t>
      </w:r>
      <w:r w:rsidR="001356CB">
        <w:t>1</w:t>
      </w:r>
      <w:r w:rsidRPr="00DB128D">
        <w:t xml:space="preserve"> to 4 hours post-dose. The absolute bioavailability was estimated to be 52% under fasted conditions with the soft gel formulation after a single dose of 120 mg (Study 21772) and appears to be driven by the first pass metabolism, as a complete dissolution can be assumed.</w:t>
      </w:r>
    </w:p>
    <w:p w14:paraId="00544246" w14:textId="77777777" w:rsidR="00DB128D" w:rsidRPr="00DB128D" w:rsidRDefault="00DB128D" w:rsidP="00DB128D">
      <w:r w:rsidRPr="00DB128D">
        <w:t>Elinzanetant is practically insoluble in water and slightly soluble under acidic conditions.</w:t>
      </w:r>
    </w:p>
    <w:p w14:paraId="3B7F2669" w14:textId="77777777" w:rsidR="00DB128D" w:rsidRPr="00DB128D" w:rsidRDefault="00DB128D" w:rsidP="00DB128D">
      <w:pPr>
        <w:rPr>
          <w:b/>
          <w:iCs/>
        </w:rPr>
      </w:pPr>
      <w:r w:rsidRPr="00DB128D">
        <w:rPr>
          <w:b/>
          <w:iCs/>
        </w:rPr>
        <w:lastRenderedPageBreak/>
        <w:t>Distribution</w:t>
      </w:r>
    </w:p>
    <w:p w14:paraId="17F15FB8" w14:textId="77777777" w:rsidR="00DB128D" w:rsidRPr="00DB128D" w:rsidRDefault="00DB128D" w:rsidP="00DB128D">
      <w:r w:rsidRPr="00DB128D">
        <w:t>Elinzanetant and its metabolites demonstrate high plasma protein binding (&gt;99.7%). Within the assessment of the absolute bioavailability, the volume of distribution (</w:t>
      </w:r>
      <w:proofErr w:type="spellStart"/>
      <w:r w:rsidRPr="00DB128D">
        <w:t>V</w:t>
      </w:r>
      <w:r w:rsidRPr="00DB128D">
        <w:rPr>
          <w:vertAlign w:val="subscript"/>
        </w:rPr>
        <w:t>ss</w:t>
      </w:r>
      <w:proofErr w:type="spellEnd"/>
      <w:r w:rsidRPr="00DB128D">
        <w:t xml:space="preserve">) of </w:t>
      </w:r>
      <w:proofErr w:type="spellStart"/>
      <w:r w:rsidRPr="00DB128D">
        <w:t>elinzanetant</w:t>
      </w:r>
      <w:proofErr w:type="spellEnd"/>
      <w:r w:rsidRPr="00DB128D">
        <w:t xml:space="preserve"> after IV infusion was 137 L (CV: 29.5%) indicating extensive extravascular distribution. The volume of distribution at the terminal phase </w:t>
      </w:r>
      <w:proofErr w:type="spellStart"/>
      <w:r w:rsidRPr="00DB128D">
        <w:t>V</w:t>
      </w:r>
      <w:r w:rsidRPr="00DB128D">
        <w:rPr>
          <w:vertAlign w:val="subscript"/>
        </w:rPr>
        <w:t>z</w:t>
      </w:r>
      <w:proofErr w:type="spellEnd"/>
      <w:r w:rsidRPr="00DB128D">
        <w:t xml:space="preserve"> was calculated to be 241 L (CV: 30.2%) (Study 21772).</w:t>
      </w:r>
    </w:p>
    <w:p w14:paraId="21F1C1FB" w14:textId="77777777" w:rsidR="00DB128D" w:rsidRPr="00DB128D" w:rsidRDefault="00DB128D" w:rsidP="00DB128D">
      <w:r w:rsidRPr="00DB128D">
        <w:t xml:space="preserve">Brain penetration of </w:t>
      </w:r>
      <w:proofErr w:type="spellStart"/>
      <w:r w:rsidRPr="00DB128D">
        <w:t>elinzanetant</w:t>
      </w:r>
      <w:proofErr w:type="spellEnd"/>
      <w:r w:rsidRPr="00DB128D">
        <w:t xml:space="preserve"> and its metabolites was shown by demonstrating NK-1 receptor target engagement in the prefrontal lobe using positron emission tomography (PET) imaging (Studies 21673 and 21674). A similar EC</w:t>
      </w:r>
      <w:r w:rsidRPr="00DB128D">
        <w:rPr>
          <w:vertAlign w:val="subscript"/>
        </w:rPr>
        <w:t xml:space="preserve">50 </w:t>
      </w:r>
      <w:r w:rsidRPr="00DB128D">
        <w:t>was established after a single dose intake and at steady state, indicating that the distribution equilibrium across the blood-brain barrier is quickly established.</w:t>
      </w:r>
    </w:p>
    <w:p w14:paraId="52AB6D22" w14:textId="77777777" w:rsidR="00DB128D" w:rsidRPr="00DB128D" w:rsidRDefault="00DB128D" w:rsidP="00DB128D">
      <w:pPr>
        <w:rPr>
          <w:b/>
          <w:iCs/>
        </w:rPr>
      </w:pPr>
      <w:r w:rsidRPr="00DB128D">
        <w:rPr>
          <w:b/>
          <w:iCs/>
        </w:rPr>
        <w:t>Metabolism</w:t>
      </w:r>
    </w:p>
    <w:p w14:paraId="15869EF9" w14:textId="77777777" w:rsidR="00DB128D" w:rsidRPr="00DB128D" w:rsidRDefault="00DB128D" w:rsidP="00DB128D">
      <w:bookmarkStart w:id="56" w:name="_Hlk211096094"/>
      <w:r w:rsidRPr="00DB128D">
        <w:t xml:space="preserve">Based on </w:t>
      </w:r>
      <w:r w:rsidRPr="00DB128D">
        <w:rPr>
          <w:i/>
          <w:iCs/>
        </w:rPr>
        <w:t>in vitro</w:t>
      </w:r>
      <w:r w:rsidRPr="00DB128D">
        <w:t xml:space="preserve"> data, </w:t>
      </w:r>
      <w:proofErr w:type="spellStart"/>
      <w:r w:rsidRPr="00DB128D">
        <w:t>elinzanetant</w:t>
      </w:r>
      <w:proofErr w:type="spellEnd"/>
      <w:r w:rsidRPr="00DB128D">
        <w:t xml:space="preserve"> is eliminated primarily by metabolism, with CYP3A being the predominantly responsible enzyme with a minor contribution of UGTs. Three major metabolites M30/34 (stereoisomers), M27 and M18/21 (stereoisomers) were identified and quantified across multiple studies. The metabolites are formed by CYP3A metabolism</w:t>
      </w:r>
      <w:bookmarkEnd w:id="56"/>
      <w:r w:rsidRPr="00DB128D">
        <w:t xml:space="preserve"> and show similar activity to NK1 and NK3 compared to the parent. Their exposure was well described in the target patient population using the final </w:t>
      </w:r>
      <w:proofErr w:type="spellStart"/>
      <w:r w:rsidRPr="00DB128D">
        <w:t>PopPK</w:t>
      </w:r>
      <w:proofErr w:type="spellEnd"/>
      <w:r w:rsidRPr="00DB128D">
        <w:t xml:space="preserve"> model. </w:t>
      </w:r>
      <w:bookmarkStart w:id="57" w:name="_Hlk184642426"/>
      <w:r w:rsidRPr="00DB128D">
        <w:t xml:space="preserve">At steady state, the geometric mean </w:t>
      </w:r>
      <w:proofErr w:type="spellStart"/>
      <w:r w:rsidRPr="00DB128D">
        <w:t>AUC</w:t>
      </w:r>
      <w:r w:rsidRPr="00DB128D">
        <w:rPr>
          <w:vertAlign w:val="subscript"/>
        </w:rPr>
        <w:t>ss</w:t>
      </w:r>
      <w:proofErr w:type="spellEnd"/>
      <w:r w:rsidRPr="00DB128D">
        <w:t xml:space="preserve"> in plasma was corresponding to 53%, 29% and 27% of the </w:t>
      </w:r>
      <w:proofErr w:type="spellStart"/>
      <w:r w:rsidRPr="00DB128D">
        <w:t>AUC</w:t>
      </w:r>
      <w:r w:rsidRPr="00DB128D">
        <w:rPr>
          <w:vertAlign w:val="subscript"/>
        </w:rPr>
        <w:t>ss</w:t>
      </w:r>
      <w:proofErr w:type="spellEnd"/>
      <w:r w:rsidRPr="00DB128D">
        <w:t xml:space="preserve"> of the parent drug in patients of the OASIS 1-3 studies for M30/34, M27 and M18/21, respectively.</w:t>
      </w:r>
      <w:bookmarkEnd w:id="57"/>
    </w:p>
    <w:p w14:paraId="4AA1F116" w14:textId="7628451F" w:rsidR="00DB128D" w:rsidRPr="00DB128D" w:rsidRDefault="00DB128D" w:rsidP="00DB128D">
      <w:r w:rsidRPr="00DB128D">
        <w:t xml:space="preserve">In a human mass-balance study (Study 21664), </w:t>
      </w:r>
      <w:proofErr w:type="spellStart"/>
      <w:r w:rsidRPr="00DB128D">
        <w:t>elinzanetant</w:t>
      </w:r>
      <w:proofErr w:type="spellEnd"/>
      <w:r w:rsidRPr="00DB128D">
        <w:t xml:space="preserve"> covered 39.1% of total radioactivity in human plasma. Metabolites M30/M34, M27 and M18/M21 accounted for 13.7%, 7.6% and 4.9%, respectively. All other identified metabolites covered in sum 14.3% (each less than 3.5%), and approximately 80% of the total plasma radioactivity could be assigned to known structures. The unknown structures are likely attributed to other oxidative metabolites. In earlier clinical studies, M22 was also quantified, although only marginal exposures were found. M22 was no longer quantified after conducting the mass-balance study, where M22 was not identified. Elinzanetant and M30/34 show auto-inhibitive and auto-inductive properties for CYP3A </w:t>
      </w:r>
      <w:r w:rsidRPr="00DB128D">
        <w:rPr>
          <w:i/>
          <w:iCs/>
        </w:rPr>
        <w:t>in-vitro</w:t>
      </w:r>
      <w:r w:rsidRPr="00DB128D">
        <w:t>.</w:t>
      </w:r>
    </w:p>
    <w:p w14:paraId="41AAC21E" w14:textId="3E431E62" w:rsidR="00DB128D" w:rsidRPr="00DB128D" w:rsidRDefault="00DB128D" w:rsidP="00DB128D">
      <w:r w:rsidRPr="00DB128D">
        <w:t xml:space="preserve">The postulated metabolic pathway (based on the PBPK model CPMX50214) is shown in </w:t>
      </w:r>
      <w:r w:rsidR="0014526F">
        <w:t>Figure 1</w:t>
      </w:r>
      <w:r w:rsidRPr="00DB128D">
        <w:t>.</w:t>
      </w:r>
    </w:p>
    <w:p w14:paraId="345C6A13" w14:textId="1270ECDB" w:rsidR="005A1C92" w:rsidRPr="0014526F" w:rsidRDefault="005A1C92" w:rsidP="0014526F">
      <w:pPr>
        <w:pStyle w:val="FigureTitle"/>
      </w:pPr>
      <w:bookmarkStart w:id="58" w:name="_Ref209514680"/>
      <w:r w:rsidRPr="0014526F">
        <w:lastRenderedPageBreak/>
        <w:t>Figure</w:t>
      </w:r>
      <w:bookmarkEnd w:id="58"/>
      <w:r w:rsidR="0014526F" w:rsidRPr="0014526F">
        <w:t xml:space="preserve"> 1</w:t>
      </w:r>
      <w:r w:rsidRPr="0014526F">
        <w:t xml:space="preserve">. Postulated metabolic pathway of </w:t>
      </w:r>
      <w:proofErr w:type="spellStart"/>
      <w:r w:rsidRPr="0014526F">
        <w:t>elinzanetant</w:t>
      </w:r>
      <w:proofErr w:type="spellEnd"/>
      <w:r w:rsidRPr="0014526F">
        <w:t>.</w:t>
      </w:r>
    </w:p>
    <w:p w14:paraId="4327D3DC" w14:textId="6770A577" w:rsidR="002430C6" w:rsidRDefault="004A08EA" w:rsidP="002430C6">
      <w:r>
        <w:rPr>
          <w:noProof/>
        </w:rPr>
        <w:drawing>
          <wp:inline distT="0" distB="0" distL="0" distR="0" wp14:anchorId="401C6FFC" wp14:editId="076BC565">
            <wp:extent cx="3238500" cy="3638011"/>
            <wp:effectExtent l="0" t="0" r="0" b="635"/>
            <wp:docPr id="2090636545" name="Picture 3" descr="Figure 1. Postulated metabolic pathway of elinzane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636545" name="Picture 3" descr="Figure 1. Postulated metabolic pathway of elinzaneta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82707" cy="3687671"/>
                    </a:xfrm>
                    <a:prstGeom prst="rect">
                      <a:avLst/>
                    </a:prstGeom>
                    <a:noFill/>
                  </pic:spPr>
                </pic:pic>
              </a:graphicData>
            </a:graphic>
          </wp:inline>
        </w:drawing>
      </w:r>
    </w:p>
    <w:p w14:paraId="75B84A08" w14:textId="77777777" w:rsidR="00C711C4" w:rsidRPr="00C711C4" w:rsidRDefault="00C711C4" w:rsidP="00C711C4">
      <w:pPr>
        <w:rPr>
          <w:b/>
          <w:iCs/>
        </w:rPr>
      </w:pPr>
      <w:bookmarkStart w:id="59" w:name="_Toc314842514"/>
      <w:r w:rsidRPr="00C711C4">
        <w:rPr>
          <w:b/>
          <w:iCs/>
        </w:rPr>
        <w:t>Excretion and elimination</w:t>
      </w:r>
    </w:p>
    <w:p w14:paraId="39FD170F" w14:textId="77777777" w:rsidR="00C711C4" w:rsidRPr="00C711C4" w:rsidRDefault="00C711C4" w:rsidP="00C711C4">
      <w:r w:rsidRPr="00C711C4">
        <w:t xml:space="preserve">The clearance of </w:t>
      </w:r>
      <w:proofErr w:type="spellStart"/>
      <w:r w:rsidRPr="00C711C4">
        <w:t>elinzanetant</w:t>
      </w:r>
      <w:proofErr w:type="spellEnd"/>
      <w:r w:rsidRPr="00C711C4">
        <w:t xml:space="preserve"> after single intravenous dose is 8.77 L/h. Based on the final </w:t>
      </w:r>
      <w:proofErr w:type="spellStart"/>
      <w:r w:rsidRPr="00C711C4">
        <w:t>PopPK</w:t>
      </w:r>
      <w:proofErr w:type="spellEnd"/>
      <w:r w:rsidRPr="00C711C4">
        <w:t xml:space="preserve"> model following oral administration (multiple dosing of 120 mg), the estimated effective median terminal elimination half-life was approximately 45 hours. The clearance of </w:t>
      </w:r>
      <w:proofErr w:type="spellStart"/>
      <w:r w:rsidRPr="00C711C4">
        <w:t>elinzanetant</w:t>
      </w:r>
      <w:proofErr w:type="spellEnd"/>
      <w:r w:rsidRPr="00C711C4">
        <w:t xml:space="preserve"> from plasma is sensitive to protein binding leading to an increased clearance with higher unbound fraction (f</w:t>
      </w:r>
      <w:r w:rsidRPr="00C711C4">
        <w:rPr>
          <w:vertAlign w:val="subscript"/>
        </w:rPr>
        <w:t>u</w:t>
      </w:r>
      <w:r w:rsidRPr="00C711C4">
        <w:t>) based on a circadian fluctuation of f</w:t>
      </w:r>
      <w:r w:rsidRPr="00C711C4">
        <w:rPr>
          <w:vertAlign w:val="subscript"/>
        </w:rPr>
        <w:t>u</w:t>
      </w:r>
      <w:r w:rsidRPr="00C711C4">
        <w:t xml:space="preserve">. </w:t>
      </w:r>
    </w:p>
    <w:p w14:paraId="3D6A618F" w14:textId="653493AB" w:rsidR="00C711C4" w:rsidRDefault="00C711C4" w:rsidP="00C711C4">
      <w:r w:rsidRPr="00C711C4">
        <w:t>In the pivotal studies, evening dosing was used. Due to the circadian rhythm in clearance, morning dosing appears to lead to higher exposure (</w:t>
      </w:r>
      <w:r w:rsidRPr="00C711C4">
        <w:fldChar w:fldCharType="begin"/>
      </w:r>
      <w:r w:rsidRPr="00C711C4">
        <w:instrText xml:space="preserve"> REF _Ref209519978 \h  \* MERGEFORMAT </w:instrText>
      </w:r>
      <w:r w:rsidRPr="00C711C4">
        <w:fldChar w:fldCharType="separate"/>
      </w:r>
      <w:r w:rsidRPr="00C711C4">
        <w:t xml:space="preserve">Figure </w:t>
      </w:r>
      <w:r w:rsidRPr="00C711C4">
        <w:fldChar w:fldCharType="end"/>
      </w:r>
      <w:r w:rsidRPr="00C711C4">
        <w:t>2). The predicted magnitude of the exposure increase is in the range of 1.2 to 1.5-fold. Based on this, no clinically significant differences are expected based on time of dosing.</w:t>
      </w:r>
    </w:p>
    <w:p w14:paraId="7EDE4B78" w14:textId="77777777" w:rsidR="00524EA6" w:rsidRPr="00524EA6" w:rsidRDefault="00524EA6" w:rsidP="00524EA6">
      <w:pPr>
        <w:pStyle w:val="FigureTitle"/>
      </w:pPr>
      <w:bookmarkStart w:id="60" w:name="_Ref209519978"/>
      <w:r w:rsidRPr="00524EA6">
        <w:t>Figure</w:t>
      </w:r>
      <w:bookmarkEnd w:id="60"/>
      <w:r w:rsidRPr="00524EA6">
        <w:t xml:space="preserve"> 2. </w:t>
      </w:r>
      <w:proofErr w:type="spellStart"/>
      <w:r w:rsidRPr="00524EA6">
        <w:t>PopPK</w:t>
      </w:r>
      <w:proofErr w:type="spellEnd"/>
      <w:r w:rsidRPr="00524EA6">
        <w:t xml:space="preserve"> Study CPMX50130. Graph of simulated apparent clearance vs. clock time for </w:t>
      </w:r>
      <w:proofErr w:type="spellStart"/>
      <w:r w:rsidRPr="00524EA6">
        <w:t>elinzanetant</w:t>
      </w:r>
      <w:proofErr w:type="spellEnd"/>
      <w:r w:rsidRPr="00524EA6">
        <w:t xml:space="preserve"> and M30/34 (RunF005).</w:t>
      </w:r>
    </w:p>
    <w:p w14:paraId="0A10AF30" w14:textId="039C80F2" w:rsidR="00524EA6" w:rsidRPr="00C711C4" w:rsidRDefault="00524EA6" w:rsidP="00C711C4">
      <w:r w:rsidRPr="00B61D8F">
        <w:rPr>
          <w:noProof/>
        </w:rPr>
        <w:drawing>
          <wp:inline distT="0" distB="0" distL="0" distR="0" wp14:anchorId="260B82DB" wp14:editId="79CB1471">
            <wp:extent cx="3790709" cy="2514394"/>
            <wp:effectExtent l="0" t="0" r="635" b="635"/>
            <wp:docPr id="1382" name="Picture 1382" descr="Figure 2. PopPK Study CPMX50130. Graph of simulated apparent clearance vs. clock time for elinzanetant and M30/34 (RunF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Picture 1382" descr="Figure 2. PopPK Study CPMX50130. Graph of simulated apparent clearance vs. clock time for elinzanetant and M30/34 (RunF005)."/>
                    <pic:cNvPicPr/>
                  </pic:nvPicPr>
                  <pic:blipFill rotWithShape="1">
                    <a:blip r:embed="rId23"/>
                    <a:srcRect t="13369"/>
                    <a:stretch>
                      <a:fillRect/>
                    </a:stretch>
                  </pic:blipFill>
                  <pic:spPr bwMode="auto">
                    <a:xfrm>
                      <a:off x="0" y="0"/>
                      <a:ext cx="3797855" cy="2519134"/>
                    </a:xfrm>
                    <a:prstGeom prst="rect">
                      <a:avLst/>
                    </a:prstGeom>
                    <a:ln>
                      <a:noFill/>
                    </a:ln>
                    <a:extLst>
                      <a:ext uri="{53640926-AAD7-44D8-BBD7-CCE9431645EC}">
                        <a14:shadowObscured xmlns:a14="http://schemas.microsoft.com/office/drawing/2010/main"/>
                      </a:ext>
                    </a:extLst>
                  </pic:spPr>
                </pic:pic>
              </a:graphicData>
            </a:graphic>
          </wp:inline>
        </w:drawing>
      </w:r>
    </w:p>
    <w:p w14:paraId="352D6CE3" w14:textId="77777777" w:rsidR="00C711C4" w:rsidRPr="00C711C4" w:rsidRDefault="00C711C4" w:rsidP="00C711C4">
      <w:r w:rsidRPr="00C711C4">
        <w:lastRenderedPageBreak/>
        <w:t xml:space="preserve">In the human mass-balance study, following oral administration of </w:t>
      </w:r>
      <w:proofErr w:type="spellStart"/>
      <w:r w:rsidRPr="00C711C4">
        <w:t>elinzanetant</w:t>
      </w:r>
      <w:proofErr w:type="spellEnd"/>
      <w:r w:rsidRPr="00C711C4">
        <w:t>, 88.0%–91.2% of the dose was excreted with faeces (mainly as metabolites) and less than 1% with urine (Study 21664).</w:t>
      </w:r>
    </w:p>
    <w:p w14:paraId="18B69CFB" w14:textId="77777777" w:rsidR="00063505" w:rsidRPr="00A97A97" w:rsidRDefault="00063505" w:rsidP="00063505">
      <w:pPr>
        <w:rPr>
          <w:b/>
          <w:bCs/>
        </w:rPr>
      </w:pPr>
      <w:r w:rsidRPr="00A97A97">
        <w:rPr>
          <w:b/>
          <w:bCs/>
        </w:rPr>
        <w:t>Dose proportionality</w:t>
      </w:r>
    </w:p>
    <w:p w14:paraId="30B10B6C" w14:textId="5D157D84" w:rsidR="00063505" w:rsidRPr="00063505" w:rsidRDefault="00063505" w:rsidP="00063505">
      <w:r w:rsidRPr="00063505">
        <w:t xml:space="preserve">A greater than dose-proportional increase in exposure was observed in the dose range studied across different studies. Single doses from 40 mg up to 600 mg were tested with the soft gel formulation, and doses up 160 mg were tested at steady state. The greater than dose-proportional increase in exposure was approximately 20 to </w:t>
      </w:r>
      <w:r w:rsidR="005C03DA" w:rsidRPr="00063505">
        <w:t>50% and</w:t>
      </w:r>
      <w:r w:rsidRPr="00063505">
        <w:t xml:space="preserve"> was independent if taken as single dose or at steady state.</w:t>
      </w:r>
    </w:p>
    <w:p w14:paraId="130FF798" w14:textId="77777777" w:rsidR="00063505" w:rsidRPr="00E740F1" w:rsidRDefault="00063505" w:rsidP="00063505">
      <w:pPr>
        <w:rPr>
          <w:b/>
          <w:bCs/>
        </w:rPr>
      </w:pPr>
      <w:r w:rsidRPr="00E740F1">
        <w:rPr>
          <w:b/>
          <w:bCs/>
        </w:rPr>
        <w:t>Accumulation</w:t>
      </w:r>
    </w:p>
    <w:p w14:paraId="669A2F06" w14:textId="3D076911" w:rsidR="00063505" w:rsidRDefault="00063505" w:rsidP="00063505">
      <w:r w:rsidRPr="00063505">
        <w:t xml:space="preserve">At steady state, low accumulation ratios (below 2) for </w:t>
      </w:r>
      <w:proofErr w:type="spellStart"/>
      <w:r w:rsidRPr="00063505">
        <w:t>C</w:t>
      </w:r>
      <w:r w:rsidRPr="00063505">
        <w:rPr>
          <w:vertAlign w:val="subscript"/>
        </w:rPr>
        <w:t>max</w:t>
      </w:r>
      <w:proofErr w:type="spellEnd"/>
      <w:r w:rsidRPr="00063505">
        <w:t xml:space="preserve"> and AUC were observed. This could be explained by the effective half-life ranging between 11-19 hours in contrast to the reported terminal half-life of approx</w:t>
      </w:r>
      <w:r w:rsidR="00E37195">
        <w:t>imately</w:t>
      </w:r>
      <w:r w:rsidRPr="00063505">
        <w:t xml:space="preserve"> 45 hours. </w:t>
      </w:r>
    </w:p>
    <w:p w14:paraId="3CFCF7C4" w14:textId="77777777" w:rsidR="00DF4AB7" w:rsidRPr="00883BF2" w:rsidRDefault="00DF4AB7" w:rsidP="00883BF2">
      <w:pPr>
        <w:rPr>
          <w:b/>
          <w:bCs/>
        </w:rPr>
      </w:pPr>
      <w:r w:rsidRPr="00883BF2">
        <w:rPr>
          <w:b/>
          <w:bCs/>
        </w:rPr>
        <w:t>Food effect</w:t>
      </w:r>
    </w:p>
    <w:p w14:paraId="4FB9F5EA" w14:textId="77777777" w:rsidR="00DF4AB7" w:rsidRDefault="00DF4AB7" w:rsidP="00DF4AB7">
      <w:pPr>
        <w:spacing w:after="60" w:line="240" w:lineRule="auto"/>
        <w:rPr>
          <w:bCs/>
        </w:rPr>
      </w:pPr>
      <w:r>
        <w:rPr>
          <w:bCs/>
        </w:rPr>
        <w:t xml:space="preserve">After a high fat/high calorie breakfast intake, a shift in </w:t>
      </w:r>
      <w:proofErr w:type="spellStart"/>
      <w:r>
        <w:rPr>
          <w:bCs/>
        </w:rPr>
        <w:t>T</w:t>
      </w:r>
      <w:r w:rsidRPr="007A11BF">
        <w:rPr>
          <w:bCs/>
          <w:vertAlign w:val="subscript"/>
        </w:rPr>
        <w:t>max</w:t>
      </w:r>
      <w:proofErr w:type="spellEnd"/>
      <w:r>
        <w:rPr>
          <w:bCs/>
        </w:rPr>
        <w:t xml:space="preserve"> to 3-4 h post dose and a </w:t>
      </w:r>
      <w:proofErr w:type="spellStart"/>
      <w:r>
        <w:rPr>
          <w:bCs/>
        </w:rPr>
        <w:t>C</w:t>
      </w:r>
      <w:r w:rsidRPr="007A11BF">
        <w:rPr>
          <w:bCs/>
          <w:vertAlign w:val="subscript"/>
        </w:rPr>
        <w:t>max</w:t>
      </w:r>
      <w:proofErr w:type="spellEnd"/>
      <w:r>
        <w:rPr>
          <w:bCs/>
        </w:rPr>
        <w:t xml:space="preserve"> ratio to the fasted conditions of 31% (90% CI: 0.27 to 0.35) was observed (</w:t>
      </w:r>
      <w:r>
        <w:t>Study</w:t>
      </w:r>
      <w:r w:rsidRPr="006731BD">
        <w:rPr>
          <w:bCs/>
        </w:rPr>
        <w:t xml:space="preserve"> 2</w:t>
      </w:r>
      <w:r>
        <w:rPr>
          <w:bCs/>
        </w:rPr>
        <w:t xml:space="preserve">1678). The AUC was only observed over a period of 24 hours, with a ratio of 0.61 for the </w:t>
      </w:r>
      <w:r w:rsidRPr="00883A89">
        <w:rPr>
          <w:bCs/>
        </w:rPr>
        <w:t>AUC</w:t>
      </w:r>
      <w:r w:rsidRPr="00883A89">
        <w:rPr>
          <w:bCs/>
          <w:vertAlign w:val="subscript"/>
        </w:rPr>
        <w:t>0-24h</w:t>
      </w:r>
      <w:r w:rsidRPr="00883A89">
        <w:rPr>
          <w:bCs/>
        </w:rPr>
        <w:t>, and with AUC</w:t>
      </w:r>
      <w:r w:rsidRPr="00883A89">
        <w:rPr>
          <w:bCs/>
          <w:vertAlign w:val="subscript"/>
        </w:rPr>
        <w:t>inf</w:t>
      </w:r>
      <w:r>
        <w:rPr>
          <w:bCs/>
        </w:rPr>
        <w:t xml:space="preserve"> unchanged. This is not considered clinically significant.</w:t>
      </w:r>
    </w:p>
    <w:p w14:paraId="369F8B72" w14:textId="77777777" w:rsidR="004160EF" w:rsidRDefault="00DF4AB7" w:rsidP="0004799A">
      <w:pPr>
        <w:spacing w:line="240" w:lineRule="auto"/>
        <w:rPr>
          <w:bCs/>
        </w:rPr>
      </w:pPr>
      <w:r>
        <w:rPr>
          <w:bCs/>
        </w:rPr>
        <w:t xml:space="preserve">In study 22050, </w:t>
      </w:r>
      <w:proofErr w:type="spellStart"/>
      <w:r>
        <w:rPr>
          <w:bCs/>
        </w:rPr>
        <w:t>T</w:t>
      </w:r>
      <w:r w:rsidRPr="005746D0">
        <w:rPr>
          <w:bCs/>
          <w:vertAlign w:val="subscript"/>
        </w:rPr>
        <w:t>max</w:t>
      </w:r>
      <w:proofErr w:type="spellEnd"/>
      <w:r>
        <w:rPr>
          <w:bCs/>
        </w:rPr>
        <w:t xml:space="preserve"> was 1.5 h post dose when taken 3 hours after a standard dinner. In the pivotal studies OASIS 1-3, the drug was administered without restrictions on food, corresponding to the intended posology of </w:t>
      </w:r>
      <w:proofErr w:type="spellStart"/>
      <w:r>
        <w:rPr>
          <w:bCs/>
        </w:rPr>
        <w:t>elinzanetant</w:t>
      </w:r>
      <w:proofErr w:type="spellEnd"/>
      <w:r>
        <w:rPr>
          <w:bCs/>
        </w:rPr>
        <w:t>.</w:t>
      </w:r>
      <w:r w:rsidR="004160EF">
        <w:rPr>
          <w:bCs/>
        </w:rPr>
        <w:t xml:space="preserve"> </w:t>
      </w:r>
    </w:p>
    <w:p w14:paraId="1C59031D" w14:textId="77777777" w:rsidR="00E06D40" w:rsidRDefault="00273E2B" w:rsidP="0004799A">
      <w:pPr>
        <w:spacing w:after="60" w:line="240" w:lineRule="auto"/>
        <w:rPr>
          <w:b/>
          <w:bCs/>
        </w:rPr>
      </w:pPr>
      <w:r>
        <w:rPr>
          <w:b/>
          <w:bCs/>
        </w:rPr>
        <w:t>S</w:t>
      </w:r>
      <w:r w:rsidR="00DF4AB7" w:rsidRPr="00883BF2">
        <w:rPr>
          <w:b/>
          <w:bCs/>
        </w:rPr>
        <w:t>pecial populations</w:t>
      </w:r>
      <w:r w:rsidR="0004799A">
        <w:rPr>
          <w:b/>
          <w:bCs/>
        </w:rPr>
        <w:t xml:space="preserve"> </w:t>
      </w:r>
    </w:p>
    <w:p w14:paraId="26FC6CE3" w14:textId="0709C1B5" w:rsidR="00DF4AB7" w:rsidRDefault="00DF4AB7" w:rsidP="00E06D40">
      <w:pPr>
        <w:spacing w:before="120" w:after="60" w:line="240" w:lineRule="auto"/>
        <w:rPr>
          <w:lang w:val="en-US"/>
        </w:rPr>
      </w:pPr>
      <w:r w:rsidRPr="00AD7639">
        <w:rPr>
          <w:b/>
          <w:bCs/>
        </w:rPr>
        <w:t>Hepatic impairment</w:t>
      </w:r>
      <w:r w:rsidRPr="00845F3B">
        <w:t xml:space="preserve">: Elinzanetant is primarily eliminated through CYP3A mediated metabolism. </w:t>
      </w:r>
      <w:r w:rsidRPr="00845F3B">
        <w:rPr>
          <w:lang w:val="en-US"/>
        </w:rPr>
        <w:t xml:space="preserve">In mild hepatic impairment, the total </w:t>
      </w:r>
      <w:proofErr w:type="spellStart"/>
      <w:r w:rsidRPr="00845F3B">
        <w:rPr>
          <w:lang w:val="en-US"/>
        </w:rPr>
        <w:t>C</w:t>
      </w:r>
      <w:r w:rsidRPr="00845F3B">
        <w:rPr>
          <w:vertAlign w:val="subscript"/>
          <w:lang w:val="en-US"/>
        </w:rPr>
        <w:t>max</w:t>
      </w:r>
      <w:proofErr w:type="spellEnd"/>
      <w:r w:rsidRPr="00845F3B">
        <w:rPr>
          <w:lang w:val="en-US"/>
        </w:rPr>
        <w:t xml:space="preserve"> and AUC were increased by a factor of 1.16 (90% CI: 0.81 to 1.67) and 1.45 (90% CI: 1.04 to 2.04), respectively. No statistically significant effect on clearance was observed in the final </w:t>
      </w:r>
      <w:proofErr w:type="spellStart"/>
      <w:r w:rsidRPr="00845F3B">
        <w:rPr>
          <w:lang w:val="en-US"/>
        </w:rPr>
        <w:t>PopPK</w:t>
      </w:r>
      <w:proofErr w:type="spellEnd"/>
      <w:r w:rsidRPr="00845F3B">
        <w:rPr>
          <w:lang w:val="en-US"/>
        </w:rPr>
        <w:t xml:space="preserve"> model in VMS patients with mild hepatic impairment (n=74).</w:t>
      </w:r>
      <w:r w:rsidRPr="00845F3B">
        <w:t xml:space="preserve"> </w:t>
      </w:r>
      <w:r w:rsidRPr="00845F3B">
        <w:rPr>
          <w:lang w:val="en-US"/>
        </w:rPr>
        <w:t xml:space="preserve">In moderate hepatic impairment (Child-Pugh B), </w:t>
      </w:r>
      <w:proofErr w:type="spellStart"/>
      <w:r w:rsidRPr="00845F3B">
        <w:rPr>
          <w:lang w:val="en-US"/>
        </w:rPr>
        <w:t>C</w:t>
      </w:r>
      <w:r w:rsidRPr="00845F3B">
        <w:rPr>
          <w:vertAlign w:val="subscript"/>
          <w:lang w:val="en-US"/>
        </w:rPr>
        <w:t>max</w:t>
      </w:r>
      <w:proofErr w:type="spellEnd"/>
      <w:r w:rsidRPr="00845F3B">
        <w:rPr>
          <w:lang w:val="en-US"/>
        </w:rPr>
        <w:t xml:space="preserve"> and AUC were increased by a factor of 2.31 (90% CI: 1.61 to 3.33) and 2.34 (90% CI: 1.67 to 3.28)</w:t>
      </w:r>
      <w:r>
        <w:rPr>
          <w:lang w:val="en-US"/>
        </w:rPr>
        <w:t xml:space="preserve"> (</w:t>
      </w:r>
      <w:r>
        <w:rPr>
          <w:color w:val="000000"/>
        </w:rPr>
        <w:t>S</w:t>
      </w:r>
      <w:r w:rsidRPr="00464F70">
        <w:rPr>
          <w:color w:val="000000"/>
        </w:rPr>
        <w:t>tudy</w:t>
      </w:r>
      <w:r>
        <w:rPr>
          <w:color w:val="000000"/>
        </w:rPr>
        <w:t xml:space="preserve"> 21668</w:t>
      </w:r>
      <w:r>
        <w:rPr>
          <w:lang w:val="en-US"/>
        </w:rPr>
        <w:t>)</w:t>
      </w:r>
      <w:r w:rsidRPr="00845F3B">
        <w:rPr>
          <w:lang w:val="en-US"/>
        </w:rPr>
        <w:t>.</w:t>
      </w:r>
    </w:p>
    <w:p w14:paraId="3CEA00E7" w14:textId="77777777" w:rsidR="00DF4AB7" w:rsidRPr="00845F3B" w:rsidRDefault="00DF4AB7" w:rsidP="00DF4AB7">
      <w:pPr>
        <w:spacing w:line="240" w:lineRule="auto"/>
      </w:pPr>
      <w:r w:rsidRPr="00845F3B">
        <w:rPr>
          <w:lang w:val="en-US"/>
        </w:rPr>
        <w:t xml:space="preserve">The relative exposures of the metabolites were unchanged. </w:t>
      </w:r>
      <w:r w:rsidRPr="00845F3B">
        <w:t xml:space="preserve">A contraindication for severe </w:t>
      </w:r>
      <w:r w:rsidRPr="00845F3B">
        <w:rPr>
          <w:lang w:val="en-US"/>
        </w:rPr>
        <w:t xml:space="preserve">hepatic impairment </w:t>
      </w:r>
      <w:r w:rsidRPr="00845F3B">
        <w:t>is necessary.</w:t>
      </w:r>
    </w:p>
    <w:p w14:paraId="78317FD9" w14:textId="5B2DE7F7" w:rsidR="00DF4AB7" w:rsidRPr="00784B84" w:rsidRDefault="00DF4AB7" w:rsidP="00DF4AB7">
      <w:pPr>
        <w:spacing w:after="60" w:line="240" w:lineRule="auto"/>
      </w:pPr>
      <w:r w:rsidRPr="00AD7639">
        <w:rPr>
          <w:b/>
          <w:bCs/>
        </w:rPr>
        <w:t>Renal impairment</w:t>
      </w:r>
      <w:r w:rsidR="001706B0" w:rsidRPr="00AD7639">
        <w:rPr>
          <w:b/>
          <w:bCs/>
        </w:rPr>
        <w:t xml:space="preserve"> (RI)</w:t>
      </w:r>
      <w:r w:rsidRPr="00784B84">
        <w:t xml:space="preserve">: Only a small fraction of unchanged </w:t>
      </w:r>
      <w:proofErr w:type="spellStart"/>
      <w:r w:rsidRPr="00784B84">
        <w:t>elinzanetant</w:t>
      </w:r>
      <w:proofErr w:type="spellEnd"/>
      <w:r w:rsidRPr="00784B84">
        <w:t xml:space="preserve"> is renally excreted (below 1%). In participants with renal impairment an increase in the unbound fraction, alongside with higher variability was observed. In moderate </w:t>
      </w:r>
      <w:r w:rsidRPr="00B42779">
        <w:t xml:space="preserve">renal impairment, </w:t>
      </w:r>
      <w:proofErr w:type="spellStart"/>
      <w:r w:rsidRPr="00B42779">
        <w:t>AUC</w:t>
      </w:r>
      <w:r w:rsidRPr="00B42779">
        <w:rPr>
          <w:vertAlign w:val="subscript"/>
        </w:rPr>
        <w:t>u</w:t>
      </w:r>
      <w:proofErr w:type="spellEnd"/>
      <w:r w:rsidRPr="00B42779">
        <w:t xml:space="preserve"> and </w:t>
      </w:r>
      <w:proofErr w:type="spellStart"/>
      <w:proofErr w:type="gramStart"/>
      <w:r w:rsidRPr="00B42779">
        <w:t>C</w:t>
      </w:r>
      <w:r w:rsidRPr="00B42779">
        <w:rPr>
          <w:vertAlign w:val="subscript"/>
        </w:rPr>
        <w:t>max,u</w:t>
      </w:r>
      <w:proofErr w:type="spellEnd"/>
      <w:proofErr w:type="gramEnd"/>
      <w:r w:rsidRPr="00B42779">
        <w:rPr>
          <w:vertAlign w:val="subscript"/>
        </w:rPr>
        <w:t xml:space="preserve"> </w:t>
      </w:r>
      <w:r w:rsidRPr="00B42779">
        <w:t xml:space="preserve">in plasma were approximately 2.2-fold to 2.3-fold higher (1.6- and 1.8-fold for total plasma PK). In severe renal impairment, </w:t>
      </w:r>
      <w:proofErr w:type="spellStart"/>
      <w:r w:rsidRPr="00B42779">
        <w:t>AUC</w:t>
      </w:r>
      <w:r w:rsidRPr="00B42779">
        <w:rPr>
          <w:vertAlign w:val="subscript"/>
        </w:rPr>
        <w:t>u</w:t>
      </w:r>
      <w:proofErr w:type="spellEnd"/>
      <w:r w:rsidRPr="00B42779">
        <w:t xml:space="preserve"> and </w:t>
      </w:r>
      <w:proofErr w:type="spellStart"/>
      <w:proofErr w:type="gramStart"/>
      <w:r w:rsidRPr="00B42779">
        <w:t>C</w:t>
      </w:r>
      <w:r w:rsidRPr="00B42779">
        <w:rPr>
          <w:vertAlign w:val="subscript"/>
        </w:rPr>
        <w:t>max,u</w:t>
      </w:r>
      <w:proofErr w:type="spellEnd"/>
      <w:proofErr w:type="gramEnd"/>
      <w:r w:rsidRPr="00B42779">
        <w:rPr>
          <w:vertAlign w:val="subscript"/>
        </w:rPr>
        <w:t xml:space="preserve"> </w:t>
      </w:r>
      <w:r w:rsidRPr="00B42779">
        <w:t>in plasma were approximately</w:t>
      </w:r>
      <w:r w:rsidRPr="00784B84">
        <w:t xml:space="preserve"> 1.9-fold higher (approx. 1.0 for total plasma PK) compared to normal renal function (Study 21669).</w:t>
      </w:r>
    </w:p>
    <w:p w14:paraId="1E02912F" w14:textId="6570CF29" w:rsidR="00DF4AB7" w:rsidRDefault="00DF4AB7" w:rsidP="00DF4AB7">
      <w:pPr>
        <w:spacing w:after="60" w:line="240" w:lineRule="auto"/>
      </w:pPr>
      <w:r>
        <w:t xml:space="preserve">In the final </w:t>
      </w:r>
      <w:proofErr w:type="spellStart"/>
      <w:r>
        <w:t>PopPK</w:t>
      </w:r>
      <w:proofErr w:type="spellEnd"/>
      <w:r>
        <w:t xml:space="preserve"> analysis, study 21669 data was excluded and no effect on clearance and secondary PK parameters was observed in patients included in the OASIS 1-3 studies with mild RI (n=526) and moderate RI (n=26).</w:t>
      </w:r>
    </w:p>
    <w:p w14:paraId="63887A89" w14:textId="77777777" w:rsidR="00DF4AB7" w:rsidRPr="00DA1231" w:rsidRDefault="00DF4AB7" w:rsidP="00DF4AB7">
      <w:pPr>
        <w:spacing w:after="60" w:line="240" w:lineRule="auto"/>
      </w:pPr>
      <w:r>
        <w:t xml:space="preserve">No dose adaptations are needed for mild and moderate impairment, and patients with severe RI </w:t>
      </w:r>
      <w:r w:rsidRPr="00DA1231">
        <w:t xml:space="preserve">should not be treated with </w:t>
      </w:r>
      <w:proofErr w:type="spellStart"/>
      <w:r w:rsidRPr="00DA1231">
        <w:t>elinzanetant</w:t>
      </w:r>
      <w:proofErr w:type="spellEnd"/>
      <w:r w:rsidRPr="00DA1231">
        <w:t xml:space="preserve">. </w:t>
      </w:r>
    </w:p>
    <w:p w14:paraId="05D1B808" w14:textId="77777777" w:rsidR="00DF4AB7" w:rsidRPr="00DA1231" w:rsidRDefault="00DF4AB7" w:rsidP="00DF4AB7">
      <w:pPr>
        <w:spacing w:line="240" w:lineRule="auto"/>
      </w:pPr>
      <w:r w:rsidRPr="00AD7639">
        <w:rPr>
          <w:b/>
          <w:bCs/>
        </w:rPr>
        <w:t>Age and body weight</w:t>
      </w:r>
      <w:r w:rsidRPr="00DA1231">
        <w:t xml:space="preserve">: There appear to be no clinically relevant PK effects of age (40 to 65 years), or body weight (based on </w:t>
      </w:r>
      <w:proofErr w:type="spellStart"/>
      <w:r w:rsidRPr="00DA1231">
        <w:t>popPK</w:t>
      </w:r>
      <w:proofErr w:type="spellEnd"/>
      <w:r w:rsidRPr="00DA1231">
        <w:t xml:space="preserve"> data).</w:t>
      </w:r>
    </w:p>
    <w:p w14:paraId="598DD1B6" w14:textId="77777777" w:rsidR="00DF4AB7" w:rsidRPr="00913E58" w:rsidRDefault="00DF4AB7" w:rsidP="00DF4AB7">
      <w:pPr>
        <w:spacing w:line="240" w:lineRule="auto"/>
      </w:pPr>
      <w:r w:rsidRPr="00AD7639">
        <w:rPr>
          <w:b/>
          <w:bCs/>
        </w:rPr>
        <w:t>Pharmacologically induced menopause</w:t>
      </w:r>
      <w:r w:rsidRPr="00913E58">
        <w:t xml:space="preserve">: No data for use of </w:t>
      </w:r>
      <w:proofErr w:type="spellStart"/>
      <w:r w:rsidRPr="00913E58">
        <w:t>elinzanetant</w:t>
      </w:r>
      <w:proofErr w:type="spellEnd"/>
      <w:r w:rsidRPr="00913E58">
        <w:t xml:space="preserve"> in patients with pharmacologically induced menopause (e.g. in those treated with GnRH analogues) are available.</w:t>
      </w:r>
    </w:p>
    <w:p w14:paraId="30B325E9" w14:textId="6B708929" w:rsidR="00DF4AB7" w:rsidRPr="00883BF2" w:rsidRDefault="00DF4AB7" w:rsidP="001512D5">
      <w:pPr>
        <w:pStyle w:val="Heading6"/>
      </w:pPr>
      <w:r w:rsidRPr="00883BF2">
        <w:lastRenderedPageBreak/>
        <w:t xml:space="preserve">Population PK data </w:t>
      </w:r>
    </w:p>
    <w:p w14:paraId="63C2199C" w14:textId="295AE59C" w:rsidR="00DF4AB7" w:rsidRPr="00C004CE" w:rsidRDefault="00DF4AB7" w:rsidP="00DF4AB7">
      <w:pPr>
        <w:spacing w:line="240" w:lineRule="auto"/>
      </w:pPr>
      <w:r w:rsidRPr="00BE6AF5">
        <w:t xml:space="preserve">Two </w:t>
      </w:r>
      <w:r w:rsidR="001512D5" w:rsidRPr="001512D5">
        <w:t xml:space="preserve">Population PK </w:t>
      </w:r>
      <w:r w:rsidR="001512D5">
        <w:t>(</w:t>
      </w:r>
      <w:proofErr w:type="spellStart"/>
      <w:r w:rsidRPr="00BE6AF5">
        <w:t>popPK</w:t>
      </w:r>
      <w:proofErr w:type="spellEnd"/>
      <w:r w:rsidR="001512D5">
        <w:t>)</w:t>
      </w:r>
      <w:r w:rsidRPr="00BE6AF5">
        <w:t xml:space="preserve"> analyses (</w:t>
      </w:r>
      <w:r w:rsidR="001512D5">
        <w:t xml:space="preserve">Exploratory </w:t>
      </w:r>
      <w:r w:rsidRPr="00BE6AF5">
        <w:t>Study CPMX50128 and Study CPMX50130) investigated PK parameters and the impact of additional covariates.</w:t>
      </w:r>
    </w:p>
    <w:p w14:paraId="285D57D4" w14:textId="02AB7262" w:rsidR="00DF4AB7" w:rsidRPr="00883BF2" w:rsidRDefault="002B332C" w:rsidP="00883BF2">
      <w:pPr>
        <w:rPr>
          <w:b/>
          <w:bCs/>
        </w:rPr>
      </w:pPr>
      <w:r w:rsidRPr="001512D5">
        <w:rPr>
          <w:b/>
          <w:bCs/>
        </w:rPr>
        <w:t>P</w:t>
      </w:r>
      <w:r w:rsidR="00DF4AB7" w:rsidRPr="001512D5">
        <w:rPr>
          <w:b/>
          <w:bCs/>
        </w:rPr>
        <w:t>op</w:t>
      </w:r>
      <w:r w:rsidR="001512D5">
        <w:rPr>
          <w:b/>
          <w:bCs/>
        </w:rPr>
        <w:t xml:space="preserve">ulation </w:t>
      </w:r>
      <w:r w:rsidR="00DF4AB7" w:rsidRPr="001512D5">
        <w:rPr>
          <w:b/>
          <w:bCs/>
        </w:rPr>
        <w:t>PK Study CPMX50130</w:t>
      </w:r>
    </w:p>
    <w:p w14:paraId="1FFF37E9" w14:textId="28420D84" w:rsidR="00DF4AB7" w:rsidRDefault="00DF4AB7" w:rsidP="00DF4AB7">
      <w:pPr>
        <w:spacing w:line="240" w:lineRule="auto"/>
      </w:pPr>
      <w:r w:rsidRPr="00AD7639">
        <w:rPr>
          <w:b/>
          <w:bCs/>
        </w:rPr>
        <w:t>Method</w:t>
      </w:r>
      <w:r>
        <w:t xml:space="preserve">: A population pharmacokinetic model (RunF005), based on the existing model, was developed which adequately describes the observed pharmacokinetic data of </w:t>
      </w:r>
      <w:proofErr w:type="spellStart"/>
      <w:r>
        <w:t>elinzanetant</w:t>
      </w:r>
      <w:proofErr w:type="spellEnd"/>
      <w:r>
        <w:t xml:space="preserve"> and M30/34 in the OASIS-1, OASIS-2 and OASIS-3 studies and a further 12 clinical studies (21665, 21677, 21678, 21703, 21772, 21679, 21686, 21668, 21669, 21840, 22004, and 22050) used in model development. A justification for excluding the remaining studies of the program was provided.</w:t>
      </w:r>
    </w:p>
    <w:p w14:paraId="1D109B98" w14:textId="77777777" w:rsidR="00DF4AB7" w:rsidRDefault="00DF4AB7" w:rsidP="00DF4AB7">
      <w:pPr>
        <w:spacing w:line="240" w:lineRule="auto"/>
      </w:pPr>
      <w:r w:rsidRPr="00AD7639">
        <w:rPr>
          <w:b/>
          <w:bCs/>
        </w:rPr>
        <w:t>Model</w:t>
      </w:r>
      <w:r>
        <w:t xml:space="preserve">: </w:t>
      </w:r>
      <w:r w:rsidRPr="00FC5702">
        <w:t xml:space="preserve">The final model (FAS data) included 8703 quantified </w:t>
      </w:r>
      <w:proofErr w:type="spellStart"/>
      <w:r w:rsidRPr="00FC5702">
        <w:t>elinzanetant</w:t>
      </w:r>
      <w:proofErr w:type="spellEnd"/>
      <w:r w:rsidRPr="00FC5702">
        <w:t xml:space="preserve"> observations valid for analysis from 1318 subjects and 5932 M30/34, 5873 M27 and 5800 M18/21 quantified observations valid for analysis from 1079 subjects. Approximately 5% of the observations were below the LLOQ.</w:t>
      </w:r>
    </w:p>
    <w:p w14:paraId="212DE7AB" w14:textId="77777777" w:rsidR="00DF4AB7" w:rsidRDefault="00DF4AB7" w:rsidP="00DF4AB7">
      <w:pPr>
        <w:spacing w:line="240" w:lineRule="auto"/>
      </w:pPr>
      <w:r w:rsidRPr="00AD7639">
        <w:rPr>
          <w:b/>
          <w:bCs/>
        </w:rPr>
        <w:t>Results</w:t>
      </w:r>
      <w:r>
        <w:t>:</w:t>
      </w:r>
    </w:p>
    <w:p w14:paraId="791D4F9A" w14:textId="77777777" w:rsidR="00DF4AB7" w:rsidRPr="008D52CC" w:rsidRDefault="00DF4AB7" w:rsidP="008D52CC">
      <w:pPr>
        <w:pStyle w:val="ListBullet"/>
      </w:pPr>
      <w:r w:rsidRPr="008D52CC">
        <w:t xml:space="preserve">Interindividual variability: Healthy volunteers had a typical increase in clearance of 59.6% </w:t>
      </w:r>
      <w:proofErr w:type="spellStart"/>
      <w:r w:rsidRPr="008D52CC">
        <w:t>a</w:t>
      </w:r>
      <w:proofErr w:type="spellEnd"/>
      <w:r w:rsidRPr="008D52CC">
        <w:t xml:space="preserve"> compared to patients with vasomotor symptoms. Patients in phase III studies had approximately twice the interindividual variability in absorption compared to subjects in phase I studies. Some of this increased variability is likely related to less controlled compliance.</w:t>
      </w:r>
    </w:p>
    <w:p w14:paraId="7483C7E5" w14:textId="77777777" w:rsidR="00DF4AB7" w:rsidRPr="008D52CC" w:rsidRDefault="00DF4AB7" w:rsidP="008D52CC">
      <w:pPr>
        <w:pStyle w:val="ListBullet"/>
      </w:pPr>
      <w:r w:rsidRPr="008D52CC">
        <w:t xml:space="preserve">Covariate/subgroup results: Increasing age was associated with decreasing clearance of M30/34, increasing BMI was associated with decreasing clearance of </w:t>
      </w:r>
      <w:proofErr w:type="spellStart"/>
      <w:r w:rsidRPr="008D52CC">
        <w:t>elinzanetant</w:t>
      </w:r>
      <w:proofErr w:type="spellEnd"/>
      <w:r w:rsidRPr="008D52CC">
        <w:t>, and increasing BMI was associated with decreasing clearance of M30/34.</w:t>
      </w:r>
    </w:p>
    <w:p w14:paraId="7E988D41" w14:textId="77777777" w:rsidR="00DF4AB7" w:rsidRDefault="00DF4AB7" w:rsidP="00DF4AB7">
      <w:pPr>
        <w:spacing w:line="240" w:lineRule="auto"/>
        <w:ind w:left="360"/>
      </w:pPr>
      <w:r>
        <w:t>The identified influences resulted in patients with a BMI of 21.9 kg/m</w:t>
      </w:r>
      <w:r w:rsidRPr="00F56C7B">
        <w:rPr>
          <w:vertAlign w:val="superscript"/>
        </w:rPr>
        <w:t>2</w:t>
      </w:r>
      <w:r>
        <w:t xml:space="preserve"> (10th percentile) having a 9.8% lower, and patients with a BMI of 34.1 kg/m</w:t>
      </w:r>
      <w:r w:rsidRPr="00F56C7B">
        <w:rPr>
          <w:vertAlign w:val="superscript"/>
        </w:rPr>
        <w:t>2</w:t>
      </w:r>
      <w:r>
        <w:t xml:space="preserve"> (90th percentile) having a 14.7% higher steady-state AUC of </w:t>
      </w:r>
      <w:proofErr w:type="spellStart"/>
      <w:r>
        <w:t>elinzanetant</w:t>
      </w:r>
      <w:proofErr w:type="spellEnd"/>
      <w:r>
        <w:t xml:space="preserve"> than patients with a BMI of 27.1 kg/m2 (median). No significant influence of race or measures of hepatic function or renal function was identified. </w:t>
      </w:r>
    </w:p>
    <w:p w14:paraId="3D6FFA90" w14:textId="77777777" w:rsidR="00DF4AB7" w:rsidRDefault="00DF4AB7" w:rsidP="00DF4AB7">
      <w:pPr>
        <w:spacing w:line="240" w:lineRule="auto"/>
        <w:ind w:left="360"/>
      </w:pPr>
      <w:r>
        <w:t xml:space="preserve">Patients on chronic concomitant therapy with weak CYP3A4 inhibitors had higher AUC and </w:t>
      </w:r>
      <w:proofErr w:type="spellStart"/>
      <w:r>
        <w:t>C</w:t>
      </w:r>
      <w:r w:rsidRPr="00F671AD">
        <w:rPr>
          <w:vertAlign w:val="subscript"/>
        </w:rPr>
        <w:t>max</w:t>
      </w:r>
      <w:proofErr w:type="spellEnd"/>
      <w:r>
        <w:t xml:space="preserve"> exposures (geometric mean ratio: 1.125 for </w:t>
      </w:r>
      <w:proofErr w:type="spellStart"/>
      <w:r>
        <w:t>elinzanetant</w:t>
      </w:r>
      <w:proofErr w:type="spellEnd"/>
      <w:r>
        <w:t xml:space="preserve"> AUC, 1.092 for </w:t>
      </w:r>
      <w:proofErr w:type="spellStart"/>
      <w:r>
        <w:t>elinzanetant</w:t>
      </w:r>
      <w:proofErr w:type="spellEnd"/>
      <w:r>
        <w:t xml:space="preserve"> </w:t>
      </w:r>
      <w:proofErr w:type="spellStart"/>
      <w:r>
        <w:t>C</w:t>
      </w:r>
      <w:r w:rsidRPr="00F671AD">
        <w:rPr>
          <w:vertAlign w:val="subscript"/>
        </w:rPr>
        <w:t>max</w:t>
      </w:r>
      <w:proofErr w:type="spellEnd"/>
      <w:r>
        <w:t xml:space="preserve">, 1.130 for M30/34 AUC, 1.064 for M30/34 </w:t>
      </w:r>
      <w:proofErr w:type="spellStart"/>
      <w:r>
        <w:t>C</w:t>
      </w:r>
      <w:r w:rsidRPr="00F671AD">
        <w:rPr>
          <w:vertAlign w:val="subscript"/>
        </w:rPr>
        <w:t>max</w:t>
      </w:r>
      <w:proofErr w:type="spellEnd"/>
      <w:r>
        <w:t>)., but the differences were not clinically significant.</w:t>
      </w:r>
    </w:p>
    <w:p w14:paraId="0BEC3B36" w14:textId="77777777" w:rsidR="00DF4AB7" w:rsidRPr="00DB6E2C" w:rsidRDefault="00DF4AB7" w:rsidP="00DB6E2C">
      <w:pPr>
        <w:pStyle w:val="Heading5"/>
      </w:pPr>
      <w:r w:rsidRPr="00DB6E2C">
        <w:t>Pharmacodynamics (PD)</w:t>
      </w:r>
    </w:p>
    <w:p w14:paraId="00A83261" w14:textId="77777777" w:rsidR="00DF4AB7" w:rsidRPr="00DB6E2C" w:rsidRDefault="00DF4AB7" w:rsidP="00DB6E2C">
      <w:pPr>
        <w:rPr>
          <w:b/>
          <w:bCs/>
        </w:rPr>
      </w:pPr>
      <w:r w:rsidRPr="00DB6E2C">
        <w:rPr>
          <w:b/>
          <w:bCs/>
        </w:rPr>
        <w:t>Mechanism of action</w:t>
      </w:r>
    </w:p>
    <w:p w14:paraId="4FA169B6" w14:textId="77777777" w:rsidR="00DF4AB7" w:rsidRPr="002C34C3" w:rsidRDefault="00DF4AB7" w:rsidP="00DF4AB7">
      <w:pPr>
        <w:spacing w:line="240" w:lineRule="auto"/>
      </w:pPr>
      <w:r w:rsidRPr="002C34C3">
        <w:t>Elinzanetant is a non-hormonal, selective neurokinin 1 (NK1) and 3 (NK3) receptors antagonist that blocks NK1 and NK3 receptor signalling on kisspeptin/neurokinin B/dynorphin (</w:t>
      </w:r>
      <w:proofErr w:type="spellStart"/>
      <w:r w:rsidRPr="002C34C3">
        <w:t>KNDy</w:t>
      </w:r>
      <w:proofErr w:type="spellEnd"/>
      <w:r w:rsidRPr="002C34C3">
        <w:t xml:space="preserve">) neurons to modulate neuronal activity involved in thermo- and sleep regulation. </w:t>
      </w:r>
      <w:proofErr w:type="spellStart"/>
      <w:r w:rsidRPr="002C34C3">
        <w:t>KNDy</w:t>
      </w:r>
      <w:proofErr w:type="spellEnd"/>
      <w:r w:rsidRPr="002C34C3">
        <w:t xml:space="preserve"> neurons in the hypothalamus are hyperactivated due to oestrogen decline in menopause.</w:t>
      </w:r>
    </w:p>
    <w:p w14:paraId="7E6146FA" w14:textId="77777777" w:rsidR="00DF4AB7" w:rsidRPr="002C34C3" w:rsidRDefault="00DF4AB7" w:rsidP="00DF4AB7">
      <w:pPr>
        <w:spacing w:line="240" w:lineRule="auto"/>
      </w:pPr>
      <w:r w:rsidRPr="002C34C3">
        <w:t>Elinzanetant has high affinity for human NK1 receptors (</w:t>
      </w:r>
      <w:proofErr w:type="spellStart"/>
      <w:r w:rsidRPr="002C34C3">
        <w:t>pKi</w:t>
      </w:r>
      <w:proofErr w:type="spellEnd"/>
      <w:r w:rsidRPr="002C34C3">
        <w:t xml:space="preserve"> values of 8.7 to 10.2) and NK3 receptors (</w:t>
      </w:r>
      <w:proofErr w:type="spellStart"/>
      <w:r w:rsidRPr="002C34C3">
        <w:t>pKi</w:t>
      </w:r>
      <w:proofErr w:type="spellEnd"/>
      <w:r w:rsidRPr="002C34C3">
        <w:t xml:space="preserve"> values 8.0 to 8.8), and not for human NK2 receptors (as shown by a low </w:t>
      </w:r>
      <w:proofErr w:type="spellStart"/>
      <w:r w:rsidRPr="002C34C3">
        <w:t>pKi</w:t>
      </w:r>
      <w:proofErr w:type="spellEnd"/>
      <w:r w:rsidRPr="002C34C3">
        <w:t xml:space="preserve"> of 6.0). Elinzanetant is more than 100-fold selective for the human NK3 receptor and more than 300-fold for the human NK1 receptor versus multiple other non-NK receptors and off-targets.</w:t>
      </w:r>
    </w:p>
    <w:p w14:paraId="74ECE4A5" w14:textId="77777777" w:rsidR="00DF4AB7" w:rsidRPr="00DB6E2C" w:rsidRDefault="00DF4AB7" w:rsidP="00DB6E2C">
      <w:pPr>
        <w:rPr>
          <w:b/>
          <w:bCs/>
        </w:rPr>
      </w:pPr>
      <w:r w:rsidRPr="00DB6E2C">
        <w:rPr>
          <w:b/>
          <w:bCs/>
        </w:rPr>
        <w:t>Interactions</w:t>
      </w:r>
    </w:p>
    <w:p w14:paraId="3F0C89A6" w14:textId="77777777" w:rsidR="00DF4AB7" w:rsidRDefault="00DF4AB7" w:rsidP="00DF4AB7">
      <w:pPr>
        <w:spacing w:after="60" w:line="240" w:lineRule="auto"/>
        <w:rPr>
          <w:bCs/>
        </w:rPr>
      </w:pPr>
      <w:r>
        <w:rPr>
          <w:bCs/>
        </w:rPr>
        <w:t xml:space="preserve">Based on </w:t>
      </w:r>
      <w:r w:rsidRPr="00A75461">
        <w:rPr>
          <w:bCs/>
          <w:i/>
          <w:iCs/>
        </w:rPr>
        <w:t>in vitro</w:t>
      </w:r>
      <w:r>
        <w:rPr>
          <w:bCs/>
        </w:rPr>
        <w:t xml:space="preserve"> data, </w:t>
      </w:r>
      <w:proofErr w:type="spellStart"/>
      <w:r>
        <w:rPr>
          <w:bCs/>
        </w:rPr>
        <w:t>e</w:t>
      </w:r>
      <w:r w:rsidRPr="00A75461">
        <w:rPr>
          <w:bCs/>
        </w:rPr>
        <w:t>linzanetant</w:t>
      </w:r>
      <w:proofErr w:type="spellEnd"/>
      <w:r w:rsidRPr="00A75461">
        <w:rPr>
          <w:bCs/>
        </w:rPr>
        <w:t xml:space="preserve"> is predominantly cleared by </w:t>
      </w:r>
      <w:r>
        <w:rPr>
          <w:bCs/>
        </w:rPr>
        <w:t xml:space="preserve">CYP3A mediated </w:t>
      </w:r>
      <w:r w:rsidRPr="00A75461">
        <w:rPr>
          <w:bCs/>
        </w:rPr>
        <w:t>metabolism,</w:t>
      </w:r>
      <w:r>
        <w:rPr>
          <w:bCs/>
        </w:rPr>
        <w:t xml:space="preserve"> (approx. 90%)</w:t>
      </w:r>
      <w:r w:rsidRPr="00A75461">
        <w:rPr>
          <w:bCs/>
        </w:rPr>
        <w:t>.</w:t>
      </w:r>
      <w:r>
        <w:rPr>
          <w:bCs/>
        </w:rPr>
        <w:t xml:space="preserve"> The main results of the clinical interaction studies are in </w:t>
      </w:r>
      <w:r>
        <w:rPr>
          <w:bCs/>
        </w:rPr>
        <w:fldChar w:fldCharType="begin"/>
      </w:r>
      <w:r>
        <w:rPr>
          <w:bCs/>
        </w:rPr>
        <w:instrText xml:space="preserve"> REF _Ref209518767 \h  \* MERGEFORMAT </w:instrText>
      </w:r>
      <w:r>
        <w:rPr>
          <w:bCs/>
        </w:rPr>
      </w:r>
      <w:r>
        <w:rPr>
          <w:bCs/>
        </w:rPr>
        <w:fldChar w:fldCharType="separate"/>
      </w:r>
      <w:r>
        <w:t xml:space="preserve">Table </w:t>
      </w:r>
      <w:r>
        <w:rPr>
          <w:noProof/>
        </w:rPr>
        <w:t>5</w:t>
      </w:r>
      <w:r>
        <w:rPr>
          <w:bCs/>
        </w:rPr>
        <w:fldChar w:fldCharType="end"/>
      </w:r>
      <w:r>
        <w:rPr>
          <w:bCs/>
        </w:rPr>
        <w:t xml:space="preserve"> and </w:t>
      </w:r>
      <w:r>
        <w:rPr>
          <w:bCs/>
        </w:rPr>
        <w:fldChar w:fldCharType="begin"/>
      </w:r>
      <w:r>
        <w:rPr>
          <w:bCs/>
        </w:rPr>
        <w:instrText xml:space="preserve"> REF _Ref209518773 \h  \* MERGEFORMAT </w:instrText>
      </w:r>
      <w:r>
        <w:rPr>
          <w:bCs/>
        </w:rPr>
      </w:r>
      <w:r>
        <w:rPr>
          <w:bCs/>
        </w:rPr>
        <w:fldChar w:fldCharType="separate"/>
      </w:r>
      <w:r w:rsidRPr="00B148D5">
        <w:t xml:space="preserve">Table </w:t>
      </w:r>
      <w:r>
        <w:rPr>
          <w:noProof/>
        </w:rPr>
        <w:t>6</w:t>
      </w:r>
      <w:r>
        <w:rPr>
          <w:bCs/>
        </w:rPr>
        <w:fldChar w:fldCharType="end"/>
      </w:r>
      <w:r>
        <w:rPr>
          <w:bCs/>
        </w:rPr>
        <w:t xml:space="preserve">. </w:t>
      </w:r>
    </w:p>
    <w:p w14:paraId="5F097AF2" w14:textId="77777777" w:rsidR="00DF4AB7" w:rsidRDefault="00DF4AB7" w:rsidP="00DF4AB7">
      <w:pPr>
        <w:spacing w:after="60" w:line="240" w:lineRule="auto"/>
        <w:rPr>
          <w:bCs/>
        </w:rPr>
      </w:pPr>
      <w:r w:rsidRPr="00AD7639">
        <w:rPr>
          <w:b/>
        </w:rPr>
        <w:t>Weak CYP3A inhibitors</w:t>
      </w:r>
      <w:r>
        <w:rPr>
          <w:bCs/>
        </w:rPr>
        <w:t>: t</w:t>
      </w:r>
      <w:r w:rsidRPr="00400910">
        <w:rPr>
          <w:bCs/>
        </w:rPr>
        <w:t xml:space="preserve">he effect of weak CYP3A inhibitors was assessed using the final </w:t>
      </w:r>
      <w:proofErr w:type="spellStart"/>
      <w:r w:rsidRPr="00400910">
        <w:rPr>
          <w:bCs/>
        </w:rPr>
        <w:t>PopPK</w:t>
      </w:r>
      <w:proofErr w:type="spellEnd"/>
      <w:r w:rsidRPr="00400910">
        <w:rPr>
          <w:bCs/>
        </w:rPr>
        <w:t xml:space="preserve"> model using the OASIS 1-3</w:t>
      </w:r>
      <w:r>
        <w:rPr>
          <w:bCs/>
        </w:rPr>
        <w:t xml:space="preserve"> </w:t>
      </w:r>
      <w:r w:rsidRPr="00400910">
        <w:rPr>
          <w:bCs/>
        </w:rPr>
        <w:t>dataset.</w:t>
      </w:r>
      <w:r>
        <w:rPr>
          <w:bCs/>
        </w:rPr>
        <w:t xml:space="preserve"> No clinically significant effect was observed.</w:t>
      </w:r>
    </w:p>
    <w:p w14:paraId="09BE875C" w14:textId="77777777" w:rsidR="00DF4AB7" w:rsidRDefault="00DF4AB7" w:rsidP="00DF4AB7">
      <w:pPr>
        <w:spacing w:after="60" w:line="240" w:lineRule="auto"/>
        <w:rPr>
          <w:bCs/>
        </w:rPr>
      </w:pPr>
      <w:r w:rsidRPr="00AD7639">
        <w:rPr>
          <w:b/>
        </w:rPr>
        <w:lastRenderedPageBreak/>
        <w:t>Moderate CYP3A4 inhibitors</w:t>
      </w:r>
      <w:r>
        <w:rPr>
          <w:bCs/>
        </w:rPr>
        <w:t>:</w:t>
      </w:r>
      <w:r w:rsidRPr="006D42C5">
        <w:rPr>
          <w:bCs/>
        </w:rPr>
        <w:t xml:space="preserve"> Physiologically Based Pharmacokinetic (PBPK) modelling predictions after co-administration</w:t>
      </w:r>
      <w:r>
        <w:rPr>
          <w:bCs/>
        </w:rPr>
        <w:t xml:space="preserve"> </w:t>
      </w:r>
      <w:r w:rsidRPr="006D42C5">
        <w:rPr>
          <w:bCs/>
        </w:rPr>
        <w:t xml:space="preserve">of 120 mg </w:t>
      </w:r>
      <w:proofErr w:type="spellStart"/>
      <w:r w:rsidRPr="006D42C5">
        <w:rPr>
          <w:bCs/>
        </w:rPr>
        <w:t>elinzanetant</w:t>
      </w:r>
      <w:proofErr w:type="spellEnd"/>
      <w:r w:rsidRPr="006D42C5">
        <w:rPr>
          <w:bCs/>
        </w:rPr>
        <w:t xml:space="preserve"> with the erythromycin showed a 3.0-fold</w:t>
      </w:r>
      <w:r>
        <w:rPr>
          <w:bCs/>
        </w:rPr>
        <w:t xml:space="preserve"> </w:t>
      </w:r>
      <w:r w:rsidRPr="006D42C5">
        <w:rPr>
          <w:bCs/>
        </w:rPr>
        <w:t xml:space="preserve">increase of AUC and 2.0-fold increase for </w:t>
      </w:r>
      <w:proofErr w:type="spellStart"/>
      <w:r w:rsidRPr="006D42C5">
        <w:rPr>
          <w:bCs/>
        </w:rPr>
        <w:t>C</w:t>
      </w:r>
      <w:r w:rsidRPr="00E43C85">
        <w:rPr>
          <w:bCs/>
          <w:vertAlign w:val="subscript"/>
        </w:rPr>
        <w:t>max</w:t>
      </w:r>
      <w:proofErr w:type="spellEnd"/>
      <w:r w:rsidRPr="00E43C85">
        <w:rPr>
          <w:bCs/>
          <w:vertAlign w:val="subscript"/>
        </w:rPr>
        <w:t xml:space="preserve"> </w:t>
      </w:r>
      <w:r w:rsidRPr="006D42C5">
        <w:rPr>
          <w:bCs/>
        </w:rPr>
        <w:t xml:space="preserve">of </w:t>
      </w:r>
      <w:proofErr w:type="spellStart"/>
      <w:r w:rsidRPr="006D42C5">
        <w:rPr>
          <w:bCs/>
        </w:rPr>
        <w:t>elinzanetant</w:t>
      </w:r>
      <w:proofErr w:type="spellEnd"/>
      <w:r w:rsidRPr="006D42C5">
        <w:rPr>
          <w:bCs/>
        </w:rPr>
        <w:t>.</w:t>
      </w:r>
      <w:r>
        <w:rPr>
          <w:bCs/>
        </w:rPr>
        <w:t xml:space="preserve"> </w:t>
      </w:r>
      <w:r w:rsidRPr="006D42C5">
        <w:rPr>
          <w:bCs/>
        </w:rPr>
        <w:t xml:space="preserve">PBPK modelling predictions after co-administration of 60 mg </w:t>
      </w:r>
      <w:proofErr w:type="spellStart"/>
      <w:r w:rsidRPr="006D42C5">
        <w:rPr>
          <w:bCs/>
        </w:rPr>
        <w:t>elinzanetant</w:t>
      </w:r>
      <w:proofErr w:type="spellEnd"/>
      <w:r w:rsidRPr="006D42C5">
        <w:rPr>
          <w:bCs/>
        </w:rPr>
        <w:t xml:space="preserve"> with moderate</w:t>
      </w:r>
      <w:r>
        <w:rPr>
          <w:bCs/>
        </w:rPr>
        <w:t xml:space="preserve"> </w:t>
      </w:r>
      <w:r w:rsidRPr="006D42C5">
        <w:rPr>
          <w:bCs/>
        </w:rPr>
        <w:t xml:space="preserve">CYP3A4 inhibitor erythromycin showed a 1.4-fold increase of AUC and no increase for </w:t>
      </w:r>
      <w:proofErr w:type="spellStart"/>
      <w:r w:rsidRPr="006D42C5">
        <w:rPr>
          <w:bCs/>
        </w:rPr>
        <w:t>C</w:t>
      </w:r>
      <w:r w:rsidRPr="00E43C85">
        <w:rPr>
          <w:bCs/>
          <w:vertAlign w:val="subscript"/>
        </w:rPr>
        <w:t>max</w:t>
      </w:r>
      <w:proofErr w:type="spellEnd"/>
      <w:r>
        <w:rPr>
          <w:bCs/>
        </w:rPr>
        <w:t>. Hence, w</w:t>
      </w:r>
      <w:r w:rsidRPr="006D42C5">
        <w:rPr>
          <w:bCs/>
        </w:rPr>
        <w:t>ith co-administration of a moderate CYP3A4 inhibitor (e.g. erythromycin, ciprofloxacin,</w:t>
      </w:r>
      <w:r>
        <w:rPr>
          <w:bCs/>
        </w:rPr>
        <w:t xml:space="preserve"> </w:t>
      </w:r>
      <w:r w:rsidRPr="006D42C5">
        <w:rPr>
          <w:bCs/>
        </w:rPr>
        <w:t>fluconazole and verapamil), the recommended daily dose is 60 mg</w:t>
      </w:r>
      <w:r>
        <w:rPr>
          <w:bCs/>
        </w:rPr>
        <w:t>.</w:t>
      </w:r>
    </w:p>
    <w:p w14:paraId="6D5B880C" w14:textId="77777777" w:rsidR="00DF4AB7" w:rsidRDefault="00DF4AB7" w:rsidP="00DF4AB7">
      <w:pPr>
        <w:spacing w:after="60" w:line="240" w:lineRule="auto"/>
        <w:rPr>
          <w:bCs/>
        </w:rPr>
      </w:pPr>
      <w:r w:rsidRPr="00AD7639">
        <w:rPr>
          <w:b/>
        </w:rPr>
        <w:t>Strong CYP3A4 inhibitors</w:t>
      </w:r>
      <w:r w:rsidRPr="00AD7639">
        <w:rPr>
          <w:bCs/>
        </w:rPr>
        <w:t>:</w:t>
      </w:r>
      <w:r>
        <w:rPr>
          <w:bCs/>
        </w:rPr>
        <w:t xml:space="preserve"> C</w:t>
      </w:r>
      <w:r w:rsidRPr="006D42C5">
        <w:rPr>
          <w:bCs/>
        </w:rPr>
        <w:t>oncomitant use with strong CYP3A4 inhibitors is contraindicated</w:t>
      </w:r>
      <w:r>
        <w:rPr>
          <w:bCs/>
        </w:rPr>
        <w:t>.</w:t>
      </w:r>
    </w:p>
    <w:p w14:paraId="6B7F13F7" w14:textId="77777777" w:rsidR="00DF4AB7" w:rsidRDefault="00DF4AB7" w:rsidP="00DF4AB7">
      <w:pPr>
        <w:spacing w:after="60" w:line="240" w:lineRule="auto"/>
        <w:rPr>
          <w:bCs/>
        </w:rPr>
      </w:pPr>
      <w:r w:rsidRPr="00AD7639">
        <w:rPr>
          <w:b/>
        </w:rPr>
        <w:t>Moderate to strong CYP3A4 inducers</w:t>
      </w:r>
      <w:r>
        <w:rPr>
          <w:bCs/>
        </w:rPr>
        <w:t>:</w:t>
      </w:r>
      <w:r w:rsidRPr="005B1299">
        <w:rPr>
          <w:bCs/>
        </w:rPr>
        <w:t xml:space="preserve"> Co-administration of multiple daily doses of carbamazepine (600 mg), a strong CYP3A4 and P</w:t>
      </w:r>
      <w:r>
        <w:rPr>
          <w:bCs/>
        </w:rPr>
        <w:t>-</w:t>
      </w:r>
      <w:proofErr w:type="spellStart"/>
      <w:r w:rsidRPr="005B1299">
        <w:rPr>
          <w:bCs/>
        </w:rPr>
        <w:t>gp</w:t>
      </w:r>
      <w:proofErr w:type="spellEnd"/>
      <w:r>
        <w:rPr>
          <w:bCs/>
        </w:rPr>
        <w:t xml:space="preserve"> </w:t>
      </w:r>
      <w:r w:rsidRPr="005B1299">
        <w:rPr>
          <w:bCs/>
        </w:rPr>
        <w:t xml:space="preserve">inducer, and </w:t>
      </w:r>
      <w:proofErr w:type="spellStart"/>
      <w:r w:rsidRPr="005B1299">
        <w:rPr>
          <w:bCs/>
        </w:rPr>
        <w:t>elinzanetant</w:t>
      </w:r>
      <w:proofErr w:type="spellEnd"/>
      <w:r w:rsidRPr="005B1299">
        <w:rPr>
          <w:bCs/>
        </w:rPr>
        <w:t xml:space="preserve"> 120 mg resulted in a decrease of </w:t>
      </w:r>
      <w:proofErr w:type="spellStart"/>
      <w:r w:rsidRPr="005B1299">
        <w:rPr>
          <w:bCs/>
        </w:rPr>
        <w:t>C</w:t>
      </w:r>
      <w:r w:rsidRPr="00183273">
        <w:rPr>
          <w:bCs/>
          <w:vertAlign w:val="subscript"/>
        </w:rPr>
        <w:t>max</w:t>
      </w:r>
      <w:proofErr w:type="spellEnd"/>
      <w:r w:rsidRPr="005B1299">
        <w:rPr>
          <w:bCs/>
        </w:rPr>
        <w:t xml:space="preserve"> by 44% and AUC by 64% of</w:t>
      </w:r>
      <w:r>
        <w:rPr>
          <w:bCs/>
        </w:rPr>
        <w:t xml:space="preserve"> </w:t>
      </w:r>
      <w:proofErr w:type="spellStart"/>
      <w:r w:rsidRPr="005B1299">
        <w:rPr>
          <w:bCs/>
        </w:rPr>
        <w:t>elinzanetant</w:t>
      </w:r>
      <w:proofErr w:type="spellEnd"/>
      <w:r w:rsidRPr="005B1299">
        <w:rPr>
          <w:bCs/>
        </w:rPr>
        <w:t>.</w:t>
      </w:r>
      <w:r>
        <w:rPr>
          <w:bCs/>
        </w:rPr>
        <w:t xml:space="preserve"> </w:t>
      </w:r>
      <w:r w:rsidRPr="005B1299">
        <w:rPr>
          <w:bCs/>
        </w:rPr>
        <w:t xml:space="preserve">Due to the reduction in exposure efficacy may be reduced. </w:t>
      </w:r>
      <w:r>
        <w:rPr>
          <w:bCs/>
        </w:rPr>
        <w:t>T</w:t>
      </w:r>
      <w:r w:rsidRPr="005B1299">
        <w:rPr>
          <w:bCs/>
        </w:rPr>
        <w:t xml:space="preserve">he efficacy of </w:t>
      </w:r>
      <w:proofErr w:type="spellStart"/>
      <w:r w:rsidRPr="005B1299">
        <w:rPr>
          <w:bCs/>
        </w:rPr>
        <w:t>elinzanetant</w:t>
      </w:r>
      <w:proofErr w:type="spellEnd"/>
      <w:r w:rsidRPr="005B1299">
        <w:rPr>
          <w:bCs/>
        </w:rPr>
        <w:t xml:space="preserve"> when co-administered with (e.g. rifampicin,</w:t>
      </w:r>
      <w:r>
        <w:rPr>
          <w:bCs/>
        </w:rPr>
        <w:t xml:space="preserve"> </w:t>
      </w:r>
      <w:r w:rsidRPr="005B1299">
        <w:rPr>
          <w:bCs/>
        </w:rPr>
        <w:t>carbamazepine, phenobarbital, St. John’s Wort)</w:t>
      </w:r>
      <w:r>
        <w:rPr>
          <w:bCs/>
        </w:rPr>
        <w:t xml:space="preserve"> should be monitored</w:t>
      </w:r>
      <w:r w:rsidRPr="005B1299">
        <w:rPr>
          <w:bCs/>
        </w:rPr>
        <w:t>.</w:t>
      </w:r>
    </w:p>
    <w:p w14:paraId="06443D25" w14:textId="77777777" w:rsidR="00E52851" w:rsidRPr="00E52851" w:rsidRDefault="00E52851" w:rsidP="00E52851">
      <w:pPr>
        <w:pStyle w:val="TableTitle"/>
      </w:pPr>
      <w:bookmarkStart w:id="61" w:name="_Ref209518767"/>
      <w:r w:rsidRPr="00E52851">
        <w:t xml:space="preserve">Table </w:t>
      </w:r>
      <w:r w:rsidRPr="00E52851">
        <w:fldChar w:fldCharType="begin"/>
      </w:r>
      <w:r w:rsidRPr="00E52851">
        <w:instrText xml:space="preserve"> SEQ Table \* ARABIC </w:instrText>
      </w:r>
      <w:r w:rsidRPr="00E52851">
        <w:fldChar w:fldCharType="separate"/>
      </w:r>
      <w:r w:rsidRPr="00E52851">
        <w:t>5</w:t>
      </w:r>
      <w:r w:rsidRPr="00E52851">
        <w:fldChar w:fldCharType="end"/>
      </w:r>
      <w:bookmarkEnd w:id="61"/>
      <w:r w:rsidRPr="00E52851">
        <w:t xml:space="preserve">. PK interaction studies. Effect of other medicines on </w:t>
      </w:r>
      <w:proofErr w:type="spellStart"/>
      <w:r w:rsidRPr="00E52851">
        <w:t>elinzanetant</w:t>
      </w:r>
      <w:proofErr w:type="spellEnd"/>
      <w:r w:rsidRPr="00E52851">
        <w:t>.</w:t>
      </w:r>
    </w:p>
    <w:tbl>
      <w:tblPr>
        <w:tblStyle w:val="TableTGAblue2023"/>
        <w:tblW w:w="0" w:type="auto"/>
        <w:tblLook w:val="04A0" w:firstRow="1" w:lastRow="0" w:firstColumn="1" w:lastColumn="0" w:noHBand="0" w:noVBand="1"/>
      </w:tblPr>
      <w:tblGrid>
        <w:gridCol w:w="992"/>
        <w:gridCol w:w="2110"/>
        <w:gridCol w:w="2519"/>
        <w:gridCol w:w="3439"/>
      </w:tblGrid>
      <w:tr w:rsidR="003C5D29" w:rsidRPr="00DE5F06" w14:paraId="039AA13E" w14:textId="77777777" w:rsidTr="00AD7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01560422" w14:textId="77777777" w:rsidR="003C5D29" w:rsidRPr="00DE5F06" w:rsidRDefault="003C5D29" w:rsidP="004800A8">
            <w:pPr>
              <w:rPr>
                <w:rFonts w:ascii="Arial Narrow" w:hAnsi="Arial Narrow"/>
                <w:b w:val="0"/>
                <w:szCs w:val="22"/>
              </w:rPr>
            </w:pPr>
            <w:bookmarkStart w:id="62" w:name="_Hlk220419395"/>
            <w:r w:rsidRPr="00DE5F06">
              <w:rPr>
                <w:rFonts w:ascii="Arial Narrow" w:hAnsi="Arial Narrow"/>
                <w:szCs w:val="22"/>
              </w:rPr>
              <w:t>Study number</w:t>
            </w:r>
          </w:p>
        </w:tc>
        <w:tc>
          <w:tcPr>
            <w:tcW w:w="2126" w:type="dxa"/>
          </w:tcPr>
          <w:p w14:paraId="5BE931E4" w14:textId="77777777" w:rsidR="003C5D29" w:rsidRPr="00DE5F06" w:rsidRDefault="003C5D29" w:rsidP="004800A8">
            <w:pPr>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00DE5F06">
              <w:rPr>
                <w:rFonts w:ascii="Arial Narrow" w:hAnsi="Arial Narrow"/>
                <w:szCs w:val="22"/>
              </w:rPr>
              <w:t>Investigated DDI</w:t>
            </w:r>
          </w:p>
        </w:tc>
        <w:tc>
          <w:tcPr>
            <w:tcW w:w="2552" w:type="dxa"/>
          </w:tcPr>
          <w:p w14:paraId="1C2BD1BF" w14:textId="77777777" w:rsidR="003C5D29" w:rsidRPr="00DE5F06" w:rsidRDefault="003C5D29" w:rsidP="004800A8">
            <w:pPr>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00DE5F06">
              <w:rPr>
                <w:rFonts w:ascii="Arial Narrow" w:hAnsi="Arial Narrow"/>
                <w:szCs w:val="22"/>
              </w:rPr>
              <w:t>Observed effect</w:t>
            </w:r>
          </w:p>
        </w:tc>
        <w:tc>
          <w:tcPr>
            <w:tcW w:w="3492" w:type="dxa"/>
          </w:tcPr>
          <w:p w14:paraId="581A4A20" w14:textId="77777777" w:rsidR="003C5D29" w:rsidRPr="00DE5F06" w:rsidRDefault="003C5D29" w:rsidP="004800A8">
            <w:pPr>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00DE5F06">
              <w:rPr>
                <w:rFonts w:ascii="Arial Narrow" w:hAnsi="Arial Narrow"/>
                <w:szCs w:val="22"/>
              </w:rPr>
              <w:t>Conclusions and issues</w:t>
            </w:r>
          </w:p>
        </w:tc>
      </w:tr>
      <w:tr w:rsidR="003C5D29" w:rsidRPr="00DE5F06" w14:paraId="1B7579B4" w14:textId="77777777" w:rsidTr="00AD7639">
        <w:tc>
          <w:tcPr>
            <w:cnfStyle w:val="001000000000" w:firstRow="0" w:lastRow="0" w:firstColumn="1" w:lastColumn="0" w:oddVBand="0" w:evenVBand="0" w:oddHBand="0" w:evenHBand="0" w:firstRowFirstColumn="0" w:firstRowLastColumn="0" w:lastRowFirstColumn="0" w:lastRowLastColumn="0"/>
            <w:tcW w:w="878" w:type="dxa"/>
          </w:tcPr>
          <w:p w14:paraId="5E28856A" w14:textId="77777777" w:rsidR="003C5D29" w:rsidRPr="00DE5F06" w:rsidRDefault="003C5D29" w:rsidP="004800A8">
            <w:pPr>
              <w:rPr>
                <w:rFonts w:ascii="Arial Narrow" w:hAnsi="Arial Narrow"/>
                <w:bCs/>
                <w:szCs w:val="22"/>
              </w:rPr>
            </w:pPr>
            <w:r w:rsidRPr="00DE5F06">
              <w:rPr>
                <w:rFonts w:ascii="Arial Narrow" w:hAnsi="Arial Narrow"/>
                <w:bCs/>
                <w:szCs w:val="22"/>
              </w:rPr>
              <w:t>21667</w:t>
            </w:r>
          </w:p>
        </w:tc>
        <w:tc>
          <w:tcPr>
            <w:tcW w:w="2126" w:type="dxa"/>
          </w:tcPr>
          <w:p w14:paraId="53930EB2" w14:textId="77777777" w:rsidR="003C5D29" w:rsidRPr="00DE5F06"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DE5F06">
              <w:rPr>
                <w:rFonts w:ascii="Arial Narrow" w:hAnsi="Arial Narrow"/>
                <w:bCs/>
                <w:szCs w:val="22"/>
              </w:rPr>
              <w:t>Effect of carbamazepine</w:t>
            </w:r>
          </w:p>
          <w:p w14:paraId="787F2EC8" w14:textId="22606C82" w:rsidR="003C5D29" w:rsidRPr="00DE5F06" w:rsidRDefault="003C5D29" w:rsidP="00AD7639">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DE5F06">
              <w:rPr>
                <w:rFonts w:ascii="Arial Narrow" w:hAnsi="Arial Narrow"/>
                <w:szCs w:val="22"/>
              </w:rPr>
              <w:t>Strong inducer of CYP2D6 and CYP3A</w:t>
            </w:r>
          </w:p>
        </w:tc>
        <w:tc>
          <w:tcPr>
            <w:tcW w:w="2552" w:type="dxa"/>
          </w:tcPr>
          <w:p w14:paraId="4232A9FD" w14:textId="77777777" w:rsidR="003C5D29" w:rsidRPr="00DE5F06"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E5F06">
              <w:rPr>
                <w:rFonts w:ascii="Arial Narrow" w:hAnsi="Arial Narrow"/>
                <w:szCs w:val="22"/>
              </w:rPr>
              <w:t>Elinzanetant</w:t>
            </w:r>
          </w:p>
          <w:p w14:paraId="2CB02827" w14:textId="77777777" w:rsidR="003C5D29" w:rsidRPr="00DE5F06"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E5F06">
              <w:rPr>
                <w:rFonts w:ascii="Arial Narrow" w:hAnsi="Arial Narrow"/>
                <w:szCs w:val="22"/>
              </w:rPr>
              <w:t xml:space="preserve">AUC↓ (64%), </w:t>
            </w:r>
            <w:proofErr w:type="spellStart"/>
            <w:r w:rsidRPr="00DE5F06">
              <w:rPr>
                <w:rFonts w:ascii="Arial Narrow" w:hAnsi="Arial Narrow"/>
                <w:szCs w:val="22"/>
              </w:rPr>
              <w:t>C</w:t>
            </w:r>
            <w:r w:rsidRPr="00DE5F06">
              <w:rPr>
                <w:rFonts w:ascii="Arial Narrow" w:hAnsi="Arial Narrow"/>
                <w:szCs w:val="22"/>
                <w:vertAlign w:val="subscript"/>
              </w:rPr>
              <w:t>max</w:t>
            </w:r>
            <w:proofErr w:type="spellEnd"/>
            <w:proofErr w:type="gramStart"/>
            <w:r w:rsidRPr="00DE5F06">
              <w:rPr>
                <w:rFonts w:ascii="Arial Narrow" w:hAnsi="Arial Narrow"/>
                <w:szCs w:val="22"/>
              </w:rPr>
              <w:t>↓(</w:t>
            </w:r>
            <w:proofErr w:type="gramEnd"/>
            <w:r w:rsidRPr="00DE5F06">
              <w:rPr>
                <w:rFonts w:ascii="Arial Narrow" w:hAnsi="Arial Narrow"/>
                <w:szCs w:val="22"/>
              </w:rPr>
              <w:t>44%)</w:t>
            </w:r>
          </w:p>
          <w:p w14:paraId="7D012074" w14:textId="77777777" w:rsidR="003C5D29" w:rsidRPr="00DE5F06"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sidRPr="00DE5F06">
              <w:rPr>
                <w:rFonts w:ascii="Arial Narrow" w:hAnsi="Arial Narrow"/>
                <w:szCs w:val="22"/>
              </w:rPr>
              <w:t>Similar effects for metabolites</w:t>
            </w:r>
          </w:p>
          <w:p w14:paraId="515185CD" w14:textId="77777777" w:rsidR="003C5D29" w:rsidRPr="00DE5F06"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lang w:val="it-CH"/>
              </w:rPr>
            </w:pPr>
            <w:r w:rsidRPr="00DE5F06">
              <w:rPr>
                <w:rFonts w:ascii="Arial Narrow" w:hAnsi="Arial Narrow"/>
                <w:bCs/>
                <w:szCs w:val="22"/>
                <w:lang w:val="it-CH"/>
              </w:rPr>
              <w:t>Midazolam</w:t>
            </w:r>
          </w:p>
          <w:p w14:paraId="3F86F85E" w14:textId="77777777" w:rsidR="003C5D29" w:rsidRPr="00DE5F06"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lang w:val="it-CH"/>
              </w:rPr>
            </w:pPr>
            <w:r w:rsidRPr="00DE5F06">
              <w:rPr>
                <w:rFonts w:ascii="Arial Narrow" w:hAnsi="Arial Narrow"/>
                <w:bCs/>
                <w:szCs w:val="22"/>
                <w:lang w:val="it-CH"/>
              </w:rPr>
              <w:t>AUC↓ (72%), C</w:t>
            </w:r>
            <w:r w:rsidRPr="00DE5F06">
              <w:rPr>
                <w:rFonts w:ascii="Arial Narrow" w:hAnsi="Arial Narrow"/>
                <w:bCs/>
                <w:szCs w:val="22"/>
                <w:vertAlign w:val="subscript"/>
                <w:lang w:val="it-CH"/>
              </w:rPr>
              <w:t>max</w:t>
            </w:r>
            <w:r w:rsidRPr="00DE5F06">
              <w:rPr>
                <w:rFonts w:ascii="Arial Narrow" w:hAnsi="Arial Narrow"/>
                <w:bCs/>
                <w:szCs w:val="22"/>
                <w:lang w:val="it-CH"/>
              </w:rPr>
              <w:t>↓(56%)</w:t>
            </w:r>
          </w:p>
        </w:tc>
        <w:tc>
          <w:tcPr>
            <w:tcW w:w="3492" w:type="dxa"/>
          </w:tcPr>
          <w:p w14:paraId="37F30165" w14:textId="77777777" w:rsidR="003C5D29"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DE5F06">
              <w:rPr>
                <w:rFonts w:ascii="Arial Narrow" w:hAnsi="Arial Narrow"/>
                <w:bCs/>
                <w:szCs w:val="22"/>
              </w:rPr>
              <w:t>Only a moderate induction observed during study conduct based on midazolam data (&gt;80% on AUC↓ needed for strong effect)</w:t>
            </w:r>
            <w:r>
              <w:rPr>
                <w:rFonts w:ascii="Arial Narrow" w:hAnsi="Arial Narrow"/>
                <w:bCs/>
                <w:szCs w:val="22"/>
              </w:rPr>
              <w:t>.</w:t>
            </w:r>
          </w:p>
          <w:p w14:paraId="008951F8" w14:textId="77777777" w:rsidR="003C5D29"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E7CBA">
              <w:rPr>
                <w:rFonts w:ascii="Arial Narrow" w:hAnsi="Arial Narrow"/>
                <w:bCs/>
                <w:szCs w:val="22"/>
              </w:rPr>
              <w:t>Due to the reduction in exposure efficacy may be reduced.</w:t>
            </w:r>
          </w:p>
          <w:p w14:paraId="2F1A3524" w14:textId="77777777" w:rsidR="003C5D29" w:rsidRPr="00CE7CBA"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r>
              <w:rPr>
                <w:rFonts w:ascii="Arial Narrow" w:hAnsi="Arial Narrow"/>
                <w:bCs/>
                <w:szCs w:val="22"/>
              </w:rPr>
              <w:t>T</w:t>
            </w:r>
            <w:r w:rsidRPr="00CE7CBA">
              <w:rPr>
                <w:rFonts w:ascii="Arial Narrow" w:hAnsi="Arial Narrow"/>
                <w:bCs/>
                <w:szCs w:val="22"/>
              </w:rPr>
              <w:t xml:space="preserve">he efficacy of </w:t>
            </w:r>
            <w:proofErr w:type="spellStart"/>
            <w:r>
              <w:rPr>
                <w:rFonts w:ascii="Arial Narrow" w:hAnsi="Arial Narrow"/>
                <w:bCs/>
                <w:szCs w:val="22"/>
              </w:rPr>
              <w:t>e</w:t>
            </w:r>
            <w:r w:rsidRPr="00DE5F06">
              <w:rPr>
                <w:rFonts w:ascii="Arial Narrow" w:hAnsi="Arial Narrow"/>
                <w:szCs w:val="22"/>
              </w:rPr>
              <w:t>linzanetant</w:t>
            </w:r>
            <w:proofErr w:type="spellEnd"/>
            <w:r>
              <w:rPr>
                <w:rFonts w:ascii="Arial Narrow" w:hAnsi="Arial Narrow"/>
                <w:szCs w:val="22"/>
              </w:rPr>
              <w:t xml:space="preserve"> should be monitored </w:t>
            </w:r>
            <w:r w:rsidRPr="00CE7CBA">
              <w:rPr>
                <w:rFonts w:ascii="Arial Narrow" w:hAnsi="Arial Narrow"/>
                <w:bCs/>
                <w:szCs w:val="22"/>
              </w:rPr>
              <w:t>when co-administered with moderate to strong CYP3A4 inducers</w:t>
            </w:r>
            <w:r>
              <w:rPr>
                <w:rFonts w:ascii="Arial Narrow" w:hAnsi="Arial Narrow"/>
                <w:bCs/>
                <w:szCs w:val="22"/>
              </w:rPr>
              <w:t>.</w:t>
            </w:r>
          </w:p>
        </w:tc>
      </w:tr>
      <w:tr w:rsidR="003C5D29" w:rsidRPr="00DE5F06" w14:paraId="5C0D32EB" w14:textId="77777777" w:rsidTr="00AD7639">
        <w:tc>
          <w:tcPr>
            <w:cnfStyle w:val="001000000000" w:firstRow="0" w:lastRow="0" w:firstColumn="1" w:lastColumn="0" w:oddVBand="0" w:evenVBand="0" w:oddHBand="0" w:evenHBand="0" w:firstRowFirstColumn="0" w:firstRowLastColumn="0" w:lastRowFirstColumn="0" w:lastRowLastColumn="0"/>
            <w:tcW w:w="878" w:type="dxa"/>
          </w:tcPr>
          <w:p w14:paraId="04CAA248" w14:textId="77777777" w:rsidR="003C5D29" w:rsidRPr="00DE5F06" w:rsidRDefault="003C5D29" w:rsidP="004800A8">
            <w:pPr>
              <w:rPr>
                <w:rFonts w:ascii="Arial Narrow" w:hAnsi="Arial Narrow"/>
                <w:bCs/>
                <w:szCs w:val="22"/>
              </w:rPr>
            </w:pPr>
            <w:r w:rsidRPr="00DE5F06">
              <w:rPr>
                <w:rFonts w:ascii="Arial Narrow" w:hAnsi="Arial Narrow"/>
                <w:bCs/>
                <w:szCs w:val="22"/>
              </w:rPr>
              <w:t>21679</w:t>
            </w:r>
          </w:p>
          <w:p w14:paraId="6CC0629B" w14:textId="77777777" w:rsidR="003C5D29" w:rsidRPr="00DE5F06" w:rsidRDefault="003C5D29" w:rsidP="004800A8">
            <w:pPr>
              <w:rPr>
                <w:rFonts w:ascii="Arial Narrow" w:hAnsi="Arial Narrow"/>
                <w:bCs/>
                <w:szCs w:val="22"/>
              </w:rPr>
            </w:pPr>
          </w:p>
        </w:tc>
        <w:tc>
          <w:tcPr>
            <w:tcW w:w="2126" w:type="dxa"/>
          </w:tcPr>
          <w:p w14:paraId="60B58E29" w14:textId="0D1E380A" w:rsidR="003C5D29" w:rsidRPr="00DE5F06" w:rsidRDefault="003C5D29" w:rsidP="00AD7639">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DE5F06">
              <w:rPr>
                <w:rFonts w:ascii="Arial Narrow" w:hAnsi="Arial Narrow"/>
                <w:bCs/>
                <w:szCs w:val="22"/>
              </w:rPr>
              <w:t>Effect of itraconazole</w:t>
            </w:r>
            <w:r w:rsidR="00AD7639">
              <w:rPr>
                <w:rFonts w:ascii="Arial Narrow" w:hAnsi="Arial Narrow"/>
                <w:bCs/>
                <w:szCs w:val="22"/>
              </w:rPr>
              <w:t xml:space="preserve"> </w:t>
            </w:r>
            <w:r w:rsidRPr="00DE5F06">
              <w:rPr>
                <w:rFonts w:ascii="Arial Narrow" w:hAnsi="Arial Narrow"/>
                <w:bCs/>
                <w:szCs w:val="22"/>
              </w:rPr>
              <w:t>Strong CYP3A inhibitor</w:t>
            </w:r>
          </w:p>
        </w:tc>
        <w:tc>
          <w:tcPr>
            <w:tcW w:w="2552" w:type="dxa"/>
          </w:tcPr>
          <w:p w14:paraId="301BB747" w14:textId="77777777" w:rsidR="003C5D29" w:rsidRPr="00DE5F06"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DE5F06">
              <w:rPr>
                <w:rFonts w:ascii="Arial Narrow" w:hAnsi="Arial Narrow"/>
                <w:bCs/>
                <w:szCs w:val="22"/>
              </w:rPr>
              <w:t>Elinzanetant</w:t>
            </w:r>
          </w:p>
          <w:p w14:paraId="315BD015" w14:textId="5B5887A9" w:rsidR="003C5D29" w:rsidRPr="00DE5F06" w:rsidRDefault="003C5D29" w:rsidP="00AD7639">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DE5F06">
              <w:rPr>
                <w:rFonts w:ascii="Arial Narrow" w:hAnsi="Arial Narrow"/>
                <w:bCs/>
                <w:szCs w:val="22"/>
              </w:rPr>
              <w:t xml:space="preserve">AUC↑ (633%), </w:t>
            </w:r>
            <w:proofErr w:type="spellStart"/>
            <w:r w:rsidRPr="00DE5F06">
              <w:rPr>
                <w:rFonts w:ascii="Arial Narrow" w:hAnsi="Arial Narrow"/>
                <w:bCs/>
                <w:szCs w:val="22"/>
              </w:rPr>
              <w:t>C</w:t>
            </w:r>
            <w:r w:rsidRPr="00DE5F06">
              <w:rPr>
                <w:rFonts w:ascii="Arial Narrow" w:hAnsi="Arial Narrow"/>
                <w:bCs/>
                <w:szCs w:val="22"/>
                <w:vertAlign w:val="subscript"/>
              </w:rPr>
              <w:t>max</w:t>
            </w:r>
            <w:proofErr w:type="spellEnd"/>
            <w:proofErr w:type="gramStart"/>
            <w:r w:rsidRPr="00DE5F06">
              <w:rPr>
                <w:rFonts w:ascii="Arial Narrow" w:hAnsi="Arial Narrow"/>
                <w:bCs/>
                <w:szCs w:val="22"/>
              </w:rPr>
              <w:t>↑(</w:t>
            </w:r>
            <w:proofErr w:type="gramEnd"/>
            <w:r w:rsidRPr="00DE5F06">
              <w:rPr>
                <w:rFonts w:ascii="Arial Narrow" w:hAnsi="Arial Narrow"/>
                <w:bCs/>
                <w:szCs w:val="22"/>
              </w:rPr>
              <w:t>331%)</w:t>
            </w:r>
          </w:p>
        </w:tc>
        <w:tc>
          <w:tcPr>
            <w:tcW w:w="3492" w:type="dxa"/>
          </w:tcPr>
          <w:p w14:paraId="2A4A70C0" w14:textId="77777777" w:rsidR="003C5D29" w:rsidRPr="00DE5F06"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DE5F06">
              <w:rPr>
                <w:rFonts w:ascii="Arial Narrow" w:hAnsi="Arial Narrow"/>
                <w:bCs/>
                <w:szCs w:val="22"/>
              </w:rPr>
              <w:t xml:space="preserve">Strong effect on </w:t>
            </w:r>
            <w:proofErr w:type="spellStart"/>
            <w:r w:rsidRPr="00DE5F06">
              <w:rPr>
                <w:rFonts w:ascii="Arial Narrow" w:hAnsi="Arial Narrow"/>
                <w:bCs/>
                <w:szCs w:val="22"/>
              </w:rPr>
              <w:t>elinzanetant</w:t>
            </w:r>
            <w:proofErr w:type="spellEnd"/>
            <w:r w:rsidRPr="00DE5F06">
              <w:rPr>
                <w:rFonts w:ascii="Arial Narrow" w:hAnsi="Arial Narrow"/>
                <w:bCs/>
                <w:szCs w:val="22"/>
              </w:rPr>
              <w:t xml:space="preserve"> exposure observed. </w:t>
            </w:r>
          </w:p>
          <w:p w14:paraId="04D4354B" w14:textId="77777777" w:rsidR="003C5D29" w:rsidRPr="00DE5F06"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DE5F06">
              <w:rPr>
                <w:rFonts w:ascii="Arial Narrow" w:hAnsi="Arial Narrow"/>
                <w:bCs/>
                <w:szCs w:val="22"/>
              </w:rPr>
              <w:t xml:space="preserve">A contraindication is warranted for strong CYP3A inhibitors, since exposures above the highest tested would be reached. </w:t>
            </w:r>
          </w:p>
        </w:tc>
      </w:tr>
      <w:tr w:rsidR="003C5D29" w:rsidRPr="00DE5F06" w14:paraId="60097B34" w14:textId="77777777" w:rsidTr="00AD7639">
        <w:tc>
          <w:tcPr>
            <w:cnfStyle w:val="001000000000" w:firstRow="0" w:lastRow="0" w:firstColumn="1" w:lastColumn="0" w:oddVBand="0" w:evenVBand="0" w:oddHBand="0" w:evenHBand="0" w:firstRowFirstColumn="0" w:firstRowLastColumn="0" w:lastRowFirstColumn="0" w:lastRowLastColumn="0"/>
            <w:tcW w:w="878" w:type="dxa"/>
          </w:tcPr>
          <w:p w14:paraId="016755D0" w14:textId="77777777" w:rsidR="003C5D29" w:rsidRPr="00DE5F06" w:rsidRDefault="003C5D29" w:rsidP="004800A8">
            <w:pPr>
              <w:rPr>
                <w:rFonts w:ascii="Arial Narrow" w:hAnsi="Arial Narrow"/>
                <w:bCs/>
                <w:szCs w:val="22"/>
              </w:rPr>
            </w:pPr>
            <w:r w:rsidRPr="00DE5F06">
              <w:rPr>
                <w:rFonts w:ascii="Arial Narrow" w:hAnsi="Arial Narrow"/>
                <w:bCs/>
                <w:szCs w:val="22"/>
              </w:rPr>
              <w:t>21772</w:t>
            </w:r>
          </w:p>
        </w:tc>
        <w:tc>
          <w:tcPr>
            <w:tcW w:w="2126" w:type="dxa"/>
          </w:tcPr>
          <w:p w14:paraId="7453CA60" w14:textId="77777777" w:rsidR="003C5D29" w:rsidRPr="00DE5F06"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DE5F06">
              <w:rPr>
                <w:rFonts w:ascii="Arial Narrow" w:hAnsi="Arial Narrow"/>
                <w:bCs/>
                <w:szCs w:val="22"/>
              </w:rPr>
              <w:t>Effect of esomeprazole</w:t>
            </w:r>
          </w:p>
          <w:p w14:paraId="4D87BF75" w14:textId="77777777" w:rsidR="003C5D29" w:rsidRPr="00DE5F06"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DE5F06">
              <w:rPr>
                <w:rFonts w:ascii="Arial Narrow" w:hAnsi="Arial Narrow"/>
                <w:bCs/>
                <w:szCs w:val="22"/>
              </w:rPr>
              <w:t>Proton pump inhibitor (PPI)</w:t>
            </w:r>
          </w:p>
        </w:tc>
        <w:tc>
          <w:tcPr>
            <w:tcW w:w="2552" w:type="dxa"/>
          </w:tcPr>
          <w:p w14:paraId="6BC8D72C" w14:textId="77777777" w:rsidR="003C5D29" w:rsidRPr="00DE5F06"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DE5F06">
              <w:rPr>
                <w:rFonts w:ascii="Arial Narrow" w:hAnsi="Arial Narrow"/>
                <w:bCs/>
                <w:szCs w:val="22"/>
              </w:rPr>
              <w:t>Elinzanetant</w:t>
            </w:r>
          </w:p>
          <w:p w14:paraId="2A47E8F2" w14:textId="6E5948CA" w:rsidR="003C5D29" w:rsidRPr="00DE5F06" w:rsidRDefault="003C5D29" w:rsidP="00AD7639">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lang w:val="fr-CH"/>
              </w:rPr>
            </w:pPr>
            <w:r w:rsidRPr="00DE5F06">
              <w:rPr>
                <w:rFonts w:ascii="Arial Narrow" w:hAnsi="Arial Narrow"/>
                <w:bCs/>
                <w:szCs w:val="22"/>
              </w:rPr>
              <w:t xml:space="preserve">AUC↑ (13%), </w:t>
            </w:r>
            <w:proofErr w:type="spellStart"/>
            <w:r w:rsidRPr="00DE5F06">
              <w:rPr>
                <w:rFonts w:ascii="Arial Narrow" w:hAnsi="Arial Narrow"/>
                <w:bCs/>
                <w:szCs w:val="22"/>
              </w:rPr>
              <w:t>C</w:t>
            </w:r>
            <w:r w:rsidRPr="00DE5F06">
              <w:rPr>
                <w:rFonts w:ascii="Arial Narrow" w:hAnsi="Arial Narrow"/>
                <w:bCs/>
                <w:szCs w:val="22"/>
                <w:vertAlign w:val="subscript"/>
              </w:rPr>
              <w:t>max</w:t>
            </w:r>
            <w:proofErr w:type="spellEnd"/>
            <w:proofErr w:type="gramStart"/>
            <w:r w:rsidRPr="00DE5F06">
              <w:rPr>
                <w:rFonts w:ascii="Arial Narrow" w:hAnsi="Arial Narrow"/>
                <w:bCs/>
                <w:szCs w:val="22"/>
              </w:rPr>
              <w:t>↑(</w:t>
            </w:r>
            <w:proofErr w:type="gramEnd"/>
            <w:r w:rsidRPr="00DE5F06">
              <w:rPr>
                <w:rFonts w:ascii="Arial Narrow" w:hAnsi="Arial Narrow"/>
                <w:bCs/>
                <w:szCs w:val="22"/>
              </w:rPr>
              <w:t>1%)</w:t>
            </w:r>
          </w:p>
        </w:tc>
        <w:tc>
          <w:tcPr>
            <w:tcW w:w="3492" w:type="dxa"/>
          </w:tcPr>
          <w:p w14:paraId="23C06694" w14:textId="77777777" w:rsidR="003C5D29" w:rsidRPr="00DE5F06"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DE5F06">
              <w:rPr>
                <w:rFonts w:ascii="Arial Narrow" w:hAnsi="Arial Narrow"/>
                <w:bCs/>
                <w:szCs w:val="22"/>
              </w:rPr>
              <w:t>Multiple gastro-intestinal AEs observed in period 1</w:t>
            </w:r>
            <w:r>
              <w:rPr>
                <w:rFonts w:ascii="Arial Narrow" w:hAnsi="Arial Narrow"/>
                <w:bCs/>
                <w:szCs w:val="22"/>
              </w:rPr>
              <w:t>. A s</w:t>
            </w:r>
            <w:r w:rsidRPr="00DE5F06">
              <w:rPr>
                <w:rFonts w:ascii="Arial Narrow" w:hAnsi="Arial Narrow"/>
                <w:bCs/>
                <w:szCs w:val="22"/>
              </w:rPr>
              <w:t>ensitivity analysis was provided and indicated no influence of the AEs on the derived PK parameters</w:t>
            </w:r>
            <w:r w:rsidRPr="00DE5F06" w:rsidDel="00094E4E">
              <w:rPr>
                <w:rFonts w:ascii="Arial Narrow" w:hAnsi="Arial Narrow"/>
                <w:bCs/>
                <w:szCs w:val="22"/>
              </w:rPr>
              <w:t xml:space="preserve"> </w:t>
            </w:r>
          </w:p>
          <w:p w14:paraId="272C0D5D" w14:textId="77777777" w:rsidR="003C5D29" w:rsidRPr="00DE5F06" w:rsidRDefault="003C5D29"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DE5F06">
              <w:rPr>
                <w:rFonts w:ascii="Arial Narrow" w:hAnsi="Arial Narrow"/>
                <w:bCs/>
                <w:szCs w:val="22"/>
              </w:rPr>
              <w:t xml:space="preserve">DDI not clinically relevant. </w:t>
            </w:r>
          </w:p>
        </w:tc>
      </w:tr>
      <w:bookmarkEnd w:id="62"/>
    </w:tbl>
    <w:p w14:paraId="618166D0" w14:textId="77777777" w:rsidR="00B5606A" w:rsidRDefault="00B5606A" w:rsidP="00B5606A"/>
    <w:p w14:paraId="35071026" w14:textId="1E736B01" w:rsidR="00B5606A" w:rsidRPr="00DB6E2C" w:rsidRDefault="00B5606A" w:rsidP="00DB6E2C">
      <w:pPr>
        <w:rPr>
          <w:b/>
          <w:bCs/>
        </w:rPr>
      </w:pPr>
      <w:r w:rsidRPr="00DB6E2C">
        <w:rPr>
          <w:b/>
          <w:bCs/>
        </w:rPr>
        <w:t>Cardiac safety: QT study</w:t>
      </w:r>
    </w:p>
    <w:p w14:paraId="19B782D7" w14:textId="77777777" w:rsidR="003A7777" w:rsidRPr="00A32E6D" w:rsidRDefault="003A7777" w:rsidP="003A7777">
      <w:pPr>
        <w:spacing w:after="60" w:line="240" w:lineRule="auto"/>
      </w:pPr>
      <w:r>
        <w:t xml:space="preserve">A dedicated TQT study (Study 21670) was conducted. It included a positive control (moxifloxacin) and single doses of 240 mg to 600 mg were investigated. The highest exposures were approx. 6-fold above the expected exposures at the therapeutic dose (Geo mean </w:t>
      </w:r>
      <w:proofErr w:type="spellStart"/>
      <w:r>
        <w:t>C</w:t>
      </w:r>
      <w:r w:rsidRPr="00450A55">
        <w:rPr>
          <w:vertAlign w:val="subscript"/>
        </w:rPr>
        <w:t>max</w:t>
      </w:r>
      <w:proofErr w:type="spellEnd"/>
      <w:r>
        <w:t xml:space="preserve"> = 7390 ng/mL and AUC</w:t>
      </w:r>
      <w:r w:rsidRPr="00450A55">
        <w:rPr>
          <w:vertAlign w:val="subscript"/>
        </w:rPr>
        <w:t xml:space="preserve">inf </w:t>
      </w:r>
      <w:r>
        <w:rPr>
          <w:vertAlign w:val="subscript"/>
        </w:rPr>
        <w:t xml:space="preserve">= </w:t>
      </w:r>
      <w:r>
        <w:t xml:space="preserve">64900 at 600 mg, respectively), and no QT-prolongations were observed. The </w:t>
      </w:r>
      <w:r w:rsidRPr="00450A55">
        <w:t xml:space="preserve">upper 90% CI at the highest </w:t>
      </w:r>
      <w:proofErr w:type="spellStart"/>
      <w:r w:rsidRPr="00450A55">
        <w:t>elinzanetant</w:t>
      </w:r>
      <w:proofErr w:type="spellEnd"/>
      <w:r w:rsidRPr="00450A55">
        <w:t xml:space="preserve"> plasma concentration was 3.0 </w:t>
      </w:r>
      <w:proofErr w:type="spellStart"/>
      <w:r w:rsidRPr="00450A55">
        <w:t>ms</w:t>
      </w:r>
      <w:proofErr w:type="spellEnd"/>
      <w:r>
        <w:t xml:space="preserve"> (Report CPMX50129).</w:t>
      </w:r>
    </w:p>
    <w:p w14:paraId="544E053F" w14:textId="77777777" w:rsidR="00AD7639" w:rsidRDefault="00AD7639" w:rsidP="00DB6E2C">
      <w:pPr>
        <w:rPr>
          <w:b/>
          <w:bCs/>
        </w:rPr>
      </w:pPr>
    </w:p>
    <w:p w14:paraId="46F439F6" w14:textId="77777777" w:rsidR="00AD7639" w:rsidRDefault="00AD7639" w:rsidP="00DB6E2C">
      <w:pPr>
        <w:rPr>
          <w:b/>
          <w:bCs/>
        </w:rPr>
      </w:pPr>
    </w:p>
    <w:p w14:paraId="30232DC0" w14:textId="502C1A27" w:rsidR="003A7777" w:rsidRPr="00DB6E2C" w:rsidRDefault="003A7777" w:rsidP="00DB6E2C">
      <w:pPr>
        <w:rPr>
          <w:b/>
          <w:bCs/>
        </w:rPr>
      </w:pPr>
      <w:r w:rsidRPr="00DB6E2C">
        <w:rPr>
          <w:b/>
          <w:bCs/>
        </w:rPr>
        <w:lastRenderedPageBreak/>
        <w:t>Dose-finding</w:t>
      </w:r>
    </w:p>
    <w:p w14:paraId="509EE8B4" w14:textId="77777777" w:rsidR="003A7777" w:rsidRPr="00A32E6D" w:rsidRDefault="003A7777" w:rsidP="003A7777">
      <w:pPr>
        <w:spacing w:line="240" w:lineRule="auto"/>
        <w:rPr>
          <w:lang w:eastAsia="ja-JP"/>
        </w:rPr>
      </w:pPr>
      <w:r>
        <w:rPr>
          <w:lang w:eastAsia="ja-JP"/>
        </w:rPr>
        <w:t>Results from two Phase 2 studies (RELENT-1 and SWITCH-1), provided evidence for a daily dose of 120 mg used in the Phase 3 program (</w:t>
      </w:r>
      <w:r>
        <w:rPr>
          <w:lang w:eastAsia="ja-JP"/>
        </w:rPr>
        <w:fldChar w:fldCharType="begin"/>
      </w:r>
      <w:r>
        <w:rPr>
          <w:lang w:eastAsia="ja-JP"/>
        </w:rPr>
        <w:instrText xml:space="preserve"> REF _Ref187241382 \h  \* MERGEFORMAT </w:instrText>
      </w:r>
      <w:r>
        <w:rPr>
          <w:lang w:eastAsia="ja-JP"/>
        </w:rPr>
      </w:r>
      <w:r>
        <w:rPr>
          <w:lang w:eastAsia="ja-JP"/>
        </w:rPr>
        <w:fldChar w:fldCharType="separate"/>
      </w:r>
      <w:r>
        <w:t xml:space="preserve">Table </w:t>
      </w:r>
      <w:r>
        <w:rPr>
          <w:noProof/>
        </w:rPr>
        <w:t>4</w:t>
      </w:r>
      <w:r>
        <w:rPr>
          <w:lang w:eastAsia="ja-JP"/>
        </w:rPr>
        <w:fldChar w:fldCharType="end"/>
      </w:r>
      <w:r>
        <w:rPr>
          <w:lang w:eastAsia="ja-JP"/>
        </w:rPr>
        <w:t>).</w:t>
      </w:r>
    </w:p>
    <w:p w14:paraId="2E4C266A" w14:textId="68EC496A" w:rsidR="00D45101" w:rsidRPr="00D45101" w:rsidRDefault="00D45101" w:rsidP="00DB6E2C">
      <w:pPr>
        <w:pStyle w:val="TableTitle"/>
      </w:pPr>
      <w:bookmarkStart w:id="63" w:name="_Ref209518773"/>
      <w:r w:rsidRPr="00D45101">
        <w:t xml:space="preserve">Table </w:t>
      </w:r>
      <w:r w:rsidRPr="00D45101">
        <w:fldChar w:fldCharType="begin"/>
      </w:r>
      <w:r w:rsidRPr="00D45101">
        <w:instrText xml:space="preserve"> SEQ Table \* ARABIC </w:instrText>
      </w:r>
      <w:r w:rsidRPr="00D45101">
        <w:fldChar w:fldCharType="separate"/>
      </w:r>
      <w:r w:rsidRPr="00D45101">
        <w:t>6</w:t>
      </w:r>
      <w:r w:rsidRPr="00D45101">
        <w:fldChar w:fldCharType="end"/>
      </w:r>
      <w:bookmarkEnd w:id="63"/>
      <w:r w:rsidRPr="00D45101">
        <w:t xml:space="preserve">. PK interaction studies. Effect of </w:t>
      </w:r>
      <w:proofErr w:type="spellStart"/>
      <w:r w:rsidRPr="00D45101">
        <w:t>elinzanetant</w:t>
      </w:r>
      <w:proofErr w:type="spellEnd"/>
      <w:r w:rsidRPr="00D45101">
        <w:t xml:space="preserve"> on other medicines.</w:t>
      </w:r>
    </w:p>
    <w:tbl>
      <w:tblPr>
        <w:tblStyle w:val="TableTGAblue2023"/>
        <w:tblW w:w="0" w:type="auto"/>
        <w:tblLook w:val="04A0" w:firstRow="1" w:lastRow="0" w:firstColumn="1" w:lastColumn="0" w:noHBand="0" w:noVBand="1"/>
      </w:tblPr>
      <w:tblGrid>
        <w:gridCol w:w="992"/>
        <w:gridCol w:w="2121"/>
        <w:gridCol w:w="2392"/>
        <w:gridCol w:w="3555"/>
      </w:tblGrid>
      <w:tr w:rsidR="00413214" w:rsidRPr="00C46559" w14:paraId="01EC9503" w14:textId="77777777" w:rsidTr="00AD7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tcPr>
          <w:p w14:paraId="5171491E" w14:textId="77777777" w:rsidR="00413214" w:rsidRPr="00C46559" w:rsidRDefault="00413214" w:rsidP="004800A8">
            <w:pPr>
              <w:rPr>
                <w:rFonts w:ascii="Arial Narrow" w:hAnsi="Arial Narrow"/>
                <w:b w:val="0"/>
                <w:szCs w:val="22"/>
              </w:rPr>
            </w:pPr>
            <w:r w:rsidRPr="00C46559">
              <w:rPr>
                <w:rFonts w:ascii="Arial Narrow" w:hAnsi="Arial Narrow"/>
                <w:szCs w:val="22"/>
              </w:rPr>
              <w:t>Study number</w:t>
            </w:r>
          </w:p>
        </w:tc>
        <w:tc>
          <w:tcPr>
            <w:tcW w:w="2126" w:type="dxa"/>
          </w:tcPr>
          <w:p w14:paraId="020EEBAE" w14:textId="77777777" w:rsidR="00413214" w:rsidRPr="00C46559" w:rsidRDefault="00413214" w:rsidP="004800A8">
            <w:pPr>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00C46559">
              <w:rPr>
                <w:rFonts w:ascii="Arial Narrow" w:hAnsi="Arial Narrow"/>
                <w:szCs w:val="22"/>
              </w:rPr>
              <w:t>Investigated DDI</w:t>
            </w:r>
          </w:p>
        </w:tc>
        <w:tc>
          <w:tcPr>
            <w:tcW w:w="2410" w:type="dxa"/>
          </w:tcPr>
          <w:p w14:paraId="11741548" w14:textId="77777777" w:rsidR="00413214" w:rsidRPr="00C46559" w:rsidRDefault="00413214" w:rsidP="004800A8">
            <w:pPr>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00C46559">
              <w:rPr>
                <w:rFonts w:ascii="Arial Narrow" w:hAnsi="Arial Narrow"/>
                <w:szCs w:val="22"/>
              </w:rPr>
              <w:t>Observed effect</w:t>
            </w:r>
          </w:p>
        </w:tc>
        <w:tc>
          <w:tcPr>
            <w:tcW w:w="3634" w:type="dxa"/>
          </w:tcPr>
          <w:p w14:paraId="2D611EEF" w14:textId="77777777" w:rsidR="00413214" w:rsidRPr="00C46559" w:rsidRDefault="00413214" w:rsidP="004800A8">
            <w:pPr>
              <w:cnfStyle w:val="100000000000" w:firstRow="1" w:lastRow="0" w:firstColumn="0" w:lastColumn="0" w:oddVBand="0" w:evenVBand="0" w:oddHBand="0" w:evenHBand="0" w:firstRowFirstColumn="0" w:firstRowLastColumn="0" w:lastRowFirstColumn="0" w:lastRowLastColumn="0"/>
              <w:rPr>
                <w:rFonts w:ascii="Arial Narrow" w:hAnsi="Arial Narrow"/>
                <w:b w:val="0"/>
                <w:szCs w:val="22"/>
              </w:rPr>
            </w:pPr>
            <w:r w:rsidRPr="00C46559">
              <w:rPr>
                <w:rFonts w:ascii="Arial Narrow" w:hAnsi="Arial Narrow"/>
                <w:szCs w:val="22"/>
              </w:rPr>
              <w:t>Conclusions and comments</w:t>
            </w:r>
          </w:p>
        </w:tc>
      </w:tr>
      <w:tr w:rsidR="00413214" w:rsidRPr="00C46559" w14:paraId="6274C6FD" w14:textId="77777777" w:rsidTr="00AD7639">
        <w:tc>
          <w:tcPr>
            <w:cnfStyle w:val="001000000000" w:firstRow="0" w:lastRow="0" w:firstColumn="1" w:lastColumn="0" w:oddVBand="0" w:evenVBand="0" w:oddHBand="0" w:evenHBand="0" w:firstRowFirstColumn="0" w:firstRowLastColumn="0" w:lastRowFirstColumn="0" w:lastRowLastColumn="0"/>
            <w:tcW w:w="878" w:type="dxa"/>
          </w:tcPr>
          <w:p w14:paraId="6C1D53ED" w14:textId="77777777" w:rsidR="00413214" w:rsidRPr="00C46559" w:rsidRDefault="00413214" w:rsidP="004800A8">
            <w:pPr>
              <w:rPr>
                <w:rFonts w:ascii="Arial Narrow" w:hAnsi="Arial Narrow"/>
                <w:bCs/>
                <w:szCs w:val="22"/>
              </w:rPr>
            </w:pPr>
            <w:r w:rsidRPr="00C46559">
              <w:rPr>
                <w:rFonts w:ascii="Arial Narrow" w:hAnsi="Arial Narrow"/>
                <w:bCs/>
                <w:szCs w:val="22"/>
              </w:rPr>
              <w:t>21666</w:t>
            </w:r>
          </w:p>
        </w:tc>
        <w:tc>
          <w:tcPr>
            <w:tcW w:w="2126" w:type="dxa"/>
          </w:tcPr>
          <w:p w14:paraId="3C29A203"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 xml:space="preserve">Effect on Rosuvastatin </w:t>
            </w:r>
          </w:p>
          <w:p w14:paraId="243921B0"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 xml:space="preserve">BCRP, </w:t>
            </w:r>
            <w:r w:rsidRPr="00C46559">
              <w:rPr>
                <w:rFonts w:ascii="Arial Narrow" w:hAnsi="Arial Narrow"/>
                <w:szCs w:val="22"/>
              </w:rPr>
              <w:t xml:space="preserve">OATP1B1/OATP1B3 and OAT3 </w:t>
            </w:r>
            <w:r w:rsidRPr="00C46559">
              <w:rPr>
                <w:rFonts w:ascii="Arial Narrow" w:hAnsi="Arial Narrow"/>
                <w:bCs/>
                <w:szCs w:val="22"/>
              </w:rPr>
              <w:t>substrate</w:t>
            </w:r>
          </w:p>
        </w:tc>
        <w:tc>
          <w:tcPr>
            <w:tcW w:w="2410" w:type="dxa"/>
          </w:tcPr>
          <w:p w14:paraId="3ECE1330" w14:textId="77777777" w:rsidR="00413214"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Rosuvastatin</w:t>
            </w:r>
          </w:p>
          <w:p w14:paraId="0901000F" w14:textId="2BF369E5" w:rsidR="00413214" w:rsidRPr="00C46559" w:rsidRDefault="00413214" w:rsidP="00AD7639">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 xml:space="preserve">AUC↑ (23%), </w:t>
            </w:r>
            <w:proofErr w:type="spellStart"/>
            <w:r w:rsidRPr="00C46559">
              <w:rPr>
                <w:rFonts w:ascii="Arial Narrow" w:hAnsi="Arial Narrow"/>
                <w:bCs/>
                <w:szCs w:val="22"/>
              </w:rPr>
              <w:t>C</w:t>
            </w:r>
            <w:r w:rsidRPr="00C46559">
              <w:rPr>
                <w:rFonts w:ascii="Arial Narrow" w:hAnsi="Arial Narrow"/>
                <w:bCs/>
                <w:szCs w:val="22"/>
                <w:vertAlign w:val="subscript"/>
              </w:rPr>
              <w:t>max</w:t>
            </w:r>
            <w:proofErr w:type="spellEnd"/>
            <w:proofErr w:type="gramStart"/>
            <w:r w:rsidRPr="00C46559">
              <w:rPr>
                <w:rFonts w:ascii="Arial Narrow" w:hAnsi="Arial Narrow"/>
                <w:bCs/>
                <w:szCs w:val="22"/>
              </w:rPr>
              <w:t>↑(</w:t>
            </w:r>
            <w:proofErr w:type="gramEnd"/>
            <w:r w:rsidRPr="00C46559">
              <w:rPr>
                <w:rFonts w:ascii="Arial Narrow" w:hAnsi="Arial Narrow"/>
                <w:bCs/>
                <w:szCs w:val="22"/>
              </w:rPr>
              <w:t>28%)</w:t>
            </w:r>
            <w:r>
              <w:rPr>
                <w:rFonts w:ascii="Arial Narrow" w:hAnsi="Arial Narrow"/>
                <w:bCs/>
                <w:szCs w:val="22"/>
              </w:rPr>
              <w:t xml:space="preserve"> </w:t>
            </w:r>
            <w:r w:rsidRPr="00C46559">
              <w:rPr>
                <w:rFonts w:ascii="Arial Narrow" w:hAnsi="Arial Narrow"/>
                <w:bCs/>
                <w:szCs w:val="22"/>
              </w:rPr>
              <w:t>with simultaneous dosing</w:t>
            </w:r>
            <w:r w:rsidR="00AD7639">
              <w:rPr>
                <w:rFonts w:ascii="Arial Narrow" w:hAnsi="Arial Narrow"/>
                <w:bCs/>
                <w:szCs w:val="22"/>
              </w:rPr>
              <w:t xml:space="preserve"> </w:t>
            </w:r>
            <w:r w:rsidRPr="00C46559">
              <w:rPr>
                <w:rFonts w:ascii="Arial Narrow" w:hAnsi="Arial Narrow"/>
                <w:bCs/>
                <w:szCs w:val="22"/>
              </w:rPr>
              <w:t xml:space="preserve">AUC↔, </w:t>
            </w:r>
            <w:proofErr w:type="spellStart"/>
            <w:r w:rsidRPr="00C46559">
              <w:rPr>
                <w:rFonts w:ascii="Arial Narrow" w:hAnsi="Arial Narrow"/>
                <w:bCs/>
                <w:szCs w:val="22"/>
              </w:rPr>
              <w:t>C</w:t>
            </w:r>
            <w:r w:rsidRPr="00C46559">
              <w:rPr>
                <w:rFonts w:ascii="Arial Narrow" w:hAnsi="Arial Narrow"/>
                <w:bCs/>
                <w:szCs w:val="22"/>
                <w:vertAlign w:val="subscript"/>
              </w:rPr>
              <w:t>max</w:t>
            </w:r>
            <w:proofErr w:type="spellEnd"/>
            <w:r w:rsidRPr="00C46559">
              <w:rPr>
                <w:rFonts w:ascii="Arial Narrow" w:hAnsi="Arial Narrow"/>
                <w:bCs/>
                <w:szCs w:val="22"/>
              </w:rPr>
              <w:t>↔</w:t>
            </w:r>
            <w:r>
              <w:rPr>
                <w:rFonts w:ascii="Arial Narrow" w:hAnsi="Arial Narrow"/>
                <w:bCs/>
                <w:szCs w:val="22"/>
              </w:rPr>
              <w:t xml:space="preserve"> </w:t>
            </w:r>
            <w:r w:rsidRPr="00C46559">
              <w:rPr>
                <w:rFonts w:ascii="Arial Narrow" w:hAnsi="Arial Narrow"/>
                <w:bCs/>
                <w:szCs w:val="22"/>
              </w:rPr>
              <w:t>with delayed dosing (3h)</w:t>
            </w:r>
          </w:p>
        </w:tc>
        <w:tc>
          <w:tcPr>
            <w:tcW w:w="3634" w:type="dxa"/>
          </w:tcPr>
          <w:p w14:paraId="066BF52E"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Increase likely due to gastro- intestinal inhibitions.</w:t>
            </w:r>
          </w:p>
          <w:p w14:paraId="76A992E1"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 xml:space="preserve">Weak inhibition when simultaneously dosed. </w:t>
            </w:r>
          </w:p>
        </w:tc>
      </w:tr>
      <w:tr w:rsidR="00413214" w:rsidRPr="00C46559" w14:paraId="0610E29D" w14:textId="77777777" w:rsidTr="00AD7639">
        <w:tc>
          <w:tcPr>
            <w:cnfStyle w:val="001000000000" w:firstRow="0" w:lastRow="0" w:firstColumn="1" w:lastColumn="0" w:oddVBand="0" w:evenVBand="0" w:oddHBand="0" w:evenHBand="0" w:firstRowFirstColumn="0" w:firstRowLastColumn="0" w:lastRowFirstColumn="0" w:lastRowLastColumn="0"/>
            <w:tcW w:w="878" w:type="dxa"/>
          </w:tcPr>
          <w:p w14:paraId="3502B798" w14:textId="77777777" w:rsidR="00413214" w:rsidRPr="00C46559" w:rsidRDefault="00413214" w:rsidP="004800A8">
            <w:pPr>
              <w:rPr>
                <w:rFonts w:ascii="Arial Narrow" w:hAnsi="Arial Narrow"/>
                <w:bCs/>
                <w:szCs w:val="22"/>
              </w:rPr>
            </w:pPr>
            <w:r w:rsidRPr="00C46559">
              <w:rPr>
                <w:rFonts w:ascii="Arial Narrow" w:hAnsi="Arial Narrow"/>
                <w:bCs/>
                <w:szCs w:val="22"/>
              </w:rPr>
              <w:t>21840</w:t>
            </w:r>
          </w:p>
        </w:tc>
        <w:tc>
          <w:tcPr>
            <w:tcW w:w="2126" w:type="dxa"/>
          </w:tcPr>
          <w:p w14:paraId="444A1A56"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Effect on Midazolam</w:t>
            </w:r>
          </w:p>
          <w:p w14:paraId="69E12018"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CYP3A substrate</w:t>
            </w:r>
          </w:p>
        </w:tc>
        <w:tc>
          <w:tcPr>
            <w:tcW w:w="2410" w:type="dxa"/>
          </w:tcPr>
          <w:p w14:paraId="7C99242A"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Midazolam</w:t>
            </w:r>
          </w:p>
          <w:p w14:paraId="1A0D4B3B"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 xml:space="preserve">AUC↑ (50%), </w:t>
            </w:r>
            <w:proofErr w:type="spellStart"/>
            <w:r w:rsidRPr="00C46559">
              <w:rPr>
                <w:rFonts w:ascii="Arial Narrow" w:hAnsi="Arial Narrow"/>
                <w:bCs/>
                <w:szCs w:val="22"/>
              </w:rPr>
              <w:t>C</w:t>
            </w:r>
            <w:r w:rsidRPr="00C46559">
              <w:rPr>
                <w:rFonts w:ascii="Arial Narrow" w:hAnsi="Arial Narrow"/>
                <w:bCs/>
                <w:szCs w:val="22"/>
                <w:vertAlign w:val="subscript"/>
              </w:rPr>
              <w:t>max</w:t>
            </w:r>
            <w:proofErr w:type="spellEnd"/>
            <w:proofErr w:type="gramStart"/>
            <w:r w:rsidRPr="00C46559">
              <w:rPr>
                <w:rFonts w:ascii="Arial Narrow" w:hAnsi="Arial Narrow"/>
                <w:bCs/>
                <w:szCs w:val="22"/>
              </w:rPr>
              <w:t>↑(</w:t>
            </w:r>
            <w:proofErr w:type="gramEnd"/>
            <w:r w:rsidRPr="00C46559">
              <w:rPr>
                <w:rFonts w:ascii="Arial Narrow" w:hAnsi="Arial Narrow"/>
                <w:bCs/>
                <w:szCs w:val="22"/>
              </w:rPr>
              <w:t>15%)</w:t>
            </w:r>
            <w:r>
              <w:rPr>
                <w:rFonts w:ascii="Arial Narrow" w:hAnsi="Arial Narrow"/>
                <w:bCs/>
                <w:szCs w:val="22"/>
              </w:rPr>
              <w:t xml:space="preserve"> a</w:t>
            </w:r>
            <w:r w:rsidRPr="00C46559">
              <w:rPr>
                <w:rFonts w:ascii="Arial Narrow" w:hAnsi="Arial Narrow"/>
                <w:bCs/>
                <w:szCs w:val="22"/>
              </w:rPr>
              <w:t xml:space="preserve">fter </w:t>
            </w:r>
            <w:proofErr w:type="spellStart"/>
            <w:r w:rsidRPr="00C46559">
              <w:rPr>
                <w:rFonts w:ascii="Arial Narrow" w:hAnsi="Arial Narrow"/>
                <w:bCs/>
                <w:szCs w:val="22"/>
              </w:rPr>
              <w:t>elinzanetant</w:t>
            </w:r>
            <w:proofErr w:type="spellEnd"/>
            <w:r w:rsidRPr="00C46559">
              <w:rPr>
                <w:rFonts w:ascii="Arial Narrow" w:hAnsi="Arial Narrow"/>
                <w:bCs/>
                <w:szCs w:val="22"/>
              </w:rPr>
              <w:t xml:space="preserve"> single dose</w:t>
            </w:r>
          </w:p>
          <w:p w14:paraId="0B0BE689"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 xml:space="preserve">AUC↑ (80%), </w:t>
            </w:r>
            <w:proofErr w:type="spellStart"/>
            <w:r w:rsidRPr="00C46559">
              <w:rPr>
                <w:rFonts w:ascii="Arial Narrow" w:hAnsi="Arial Narrow"/>
                <w:bCs/>
                <w:szCs w:val="22"/>
              </w:rPr>
              <w:t>C</w:t>
            </w:r>
            <w:r w:rsidRPr="00C46559">
              <w:rPr>
                <w:rFonts w:ascii="Arial Narrow" w:hAnsi="Arial Narrow"/>
                <w:bCs/>
                <w:szCs w:val="22"/>
                <w:vertAlign w:val="subscript"/>
              </w:rPr>
              <w:t>max</w:t>
            </w:r>
            <w:proofErr w:type="spellEnd"/>
            <w:proofErr w:type="gramStart"/>
            <w:r w:rsidRPr="00C46559">
              <w:rPr>
                <w:rFonts w:ascii="Arial Narrow" w:hAnsi="Arial Narrow"/>
                <w:bCs/>
                <w:szCs w:val="22"/>
              </w:rPr>
              <w:t>↑(</w:t>
            </w:r>
            <w:proofErr w:type="gramEnd"/>
            <w:r w:rsidRPr="00C46559">
              <w:rPr>
                <w:rFonts w:ascii="Arial Narrow" w:hAnsi="Arial Narrow"/>
                <w:bCs/>
                <w:szCs w:val="22"/>
              </w:rPr>
              <w:t>49%)</w:t>
            </w:r>
            <w:r>
              <w:rPr>
                <w:rFonts w:ascii="Arial Narrow" w:hAnsi="Arial Narrow"/>
                <w:bCs/>
                <w:szCs w:val="22"/>
              </w:rPr>
              <w:t xml:space="preserve"> a</w:t>
            </w:r>
            <w:r w:rsidRPr="00C46559">
              <w:rPr>
                <w:rFonts w:ascii="Arial Narrow" w:hAnsi="Arial Narrow"/>
                <w:bCs/>
                <w:szCs w:val="22"/>
              </w:rPr>
              <w:t xml:space="preserve">t </w:t>
            </w:r>
            <w:proofErr w:type="spellStart"/>
            <w:r w:rsidRPr="00C46559">
              <w:rPr>
                <w:rFonts w:ascii="Arial Narrow" w:hAnsi="Arial Narrow"/>
                <w:bCs/>
                <w:szCs w:val="22"/>
              </w:rPr>
              <w:t>elinzanetant</w:t>
            </w:r>
            <w:proofErr w:type="spellEnd"/>
            <w:r w:rsidRPr="00C46559">
              <w:rPr>
                <w:rFonts w:ascii="Arial Narrow" w:hAnsi="Arial Narrow"/>
                <w:bCs/>
                <w:szCs w:val="22"/>
              </w:rPr>
              <w:t xml:space="preserve"> steady state</w:t>
            </w:r>
          </w:p>
        </w:tc>
        <w:tc>
          <w:tcPr>
            <w:tcW w:w="3634" w:type="dxa"/>
          </w:tcPr>
          <w:p w14:paraId="6297CFE9"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 xml:space="preserve">Six cases of diarrhoea were reported on Period 1, Day 1. A sensitivity analysis was provided and indicated no influence of the AEs on the derived PK parameters. </w:t>
            </w:r>
          </w:p>
          <w:p w14:paraId="75101C0C"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 xml:space="preserve">Thus, </w:t>
            </w:r>
            <w:proofErr w:type="spellStart"/>
            <w:r w:rsidRPr="00C46559">
              <w:rPr>
                <w:rFonts w:ascii="Arial Narrow" w:hAnsi="Arial Narrow"/>
                <w:bCs/>
                <w:szCs w:val="22"/>
              </w:rPr>
              <w:t>elinzanetant</w:t>
            </w:r>
            <w:proofErr w:type="spellEnd"/>
            <w:r w:rsidRPr="00C46559">
              <w:rPr>
                <w:rFonts w:ascii="Arial Narrow" w:hAnsi="Arial Narrow"/>
                <w:bCs/>
                <w:szCs w:val="22"/>
              </w:rPr>
              <w:t xml:space="preserve"> is a weak CYP3A inhibitor.</w:t>
            </w:r>
          </w:p>
        </w:tc>
      </w:tr>
      <w:tr w:rsidR="00413214" w:rsidRPr="00C46559" w14:paraId="4BC7D037" w14:textId="77777777" w:rsidTr="00AD7639">
        <w:tc>
          <w:tcPr>
            <w:cnfStyle w:val="001000000000" w:firstRow="0" w:lastRow="0" w:firstColumn="1" w:lastColumn="0" w:oddVBand="0" w:evenVBand="0" w:oddHBand="0" w:evenHBand="0" w:firstRowFirstColumn="0" w:firstRowLastColumn="0" w:lastRowFirstColumn="0" w:lastRowLastColumn="0"/>
            <w:tcW w:w="878" w:type="dxa"/>
          </w:tcPr>
          <w:p w14:paraId="50D24407" w14:textId="77777777" w:rsidR="00413214" w:rsidRPr="00C46559" w:rsidRDefault="00413214" w:rsidP="004800A8">
            <w:pPr>
              <w:rPr>
                <w:rFonts w:ascii="Arial Narrow" w:hAnsi="Arial Narrow"/>
                <w:bCs/>
                <w:szCs w:val="22"/>
              </w:rPr>
            </w:pPr>
            <w:r w:rsidRPr="00C46559">
              <w:rPr>
                <w:rFonts w:ascii="Arial Narrow" w:hAnsi="Arial Narrow"/>
                <w:bCs/>
                <w:szCs w:val="22"/>
              </w:rPr>
              <w:t>22004</w:t>
            </w:r>
          </w:p>
        </w:tc>
        <w:tc>
          <w:tcPr>
            <w:tcW w:w="2126" w:type="dxa"/>
          </w:tcPr>
          <w:p w14:paraId="2D8893B7"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Effect on Tamoxifen</w:t>
            </w:r>
          </w:p>
          <w:p w14:paraId="6B979EC8"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CYP3A and CYP2D6 substrate, common adjuvant endocrine therapy</w:t>
            </w:r>
          </w:p>
        </w:tc>
        <w:tc>
          <w:tcPr>
            <w:tcW w:w="2410" w:type="dxa"/>
          </w:tcPr>
          <w:p w14:paraId="71E390F7" w14:textId="77777777" w:rsidR="00AD763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Tamoxifen</w:t>
            </w:r>
            <w:r>
              <w:rPr>
                <w:rFonts w:ascii="Arial Narrow" w:hAnsi="Arial Narrow"/>
                <w:bCs/>
                <w:szCs w:val="22"/>
              </w:rPr>
              <w:t xml:space="preserve">                  </w:t>
            </w:r>
            <w:r w:rsidRPr="00C46559">
              <w:rPr>
                <w:rFonts w:ascii="Arial Narrow" w:hAnsi="Arial Narrow"/>
                <w:bCs/>
                <w:szCs w:val="22"/>
              </w:rPr>
              <w:t xml:space="preserve">AUC↑ (52%), </w:t>
            </w:r>
            <w:proofErr w:type="spellStart"/>
            <w:r w:rsidRPr="00C46559">
              <w:rPr>
                <w:rFonts w:ascii="Arial Narrow" w:hAnsi="Arial Narrow"/>
                <w:bCs/>
                <w:szCs w:val="22"/>
              </w:rPr>
              <w:t>C</w:t>
            </w:r>
            <w:r w:rsidRPr="00C46559">
              <w:rPr>
                <w:rFonts w:ascii="Arial Narrow" w:hAnsi="Arial Narrow"/>
                <w:bCs/>
                <w:szCs w:val="22"/>
                <w:vertAlign w:val="subscript"/>
              </w:rPr>
              <w:t>max</w:t>
            </w:r>
            <w:proofErr w:type="spellEnd"/>
            <w:proofErr w:type="gramStart"/>
            <w:r w:rsidRPr="00C46559">
              <w:rPr>
                <w:rFonts w:ascii="Arial Narrow" w:hAnsi="Arial Narrow"/>
                <w:bCs/>
                <w:szCs w:val="22"/>
              </w:rPr>
              <w:t>↑(</w:t>
            </w:r>
            <w:proofErr w:type="gramEnd"/>
            <w:r w:rsidRPr="00C46559">
              <w:rPr>
                <w:rFonts w:ascii="Arial Narrow" w:hAnsi="Arial Narrow"/>
                <w:bCs/>
                <w:szCs w:val="22"/>
              </w:rPr>
              <w:t>23%)</w:t>
            </w:r>
          </w:p>
          <w:p w14:paraId="23B2ED78" w14:textId="096E91FF"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4-hydroxytamoxifen</w:t>
            </w:r>
            <w:r>
              <w:rPr>
                <w:rFonts w:ascii="Arial Narrow" w:hAnsi="Arial Narrow"/>
                <w:bCs/>
                <w:szCs w:val="22"/>
              </w:rPr>
              <w:t xml:space="preserve">    </w:t>
            </w:r>
            <w:r w:rsidRPr="00C46559">
              <w:rPr>
                <w:rFonts w:ascii="Arial Narrow" w:hAnsi="Arial Narrow"/>
                <w:bCs/>
                <w:szCs w:val="22"/>
              </w:rPr>
              <w:t xml:space="preserve">AUC↑ (45%), </w:t>
            </w:r>
            <w:proofErr w:type="spellStart"/>
            <w:r w:rsidRPr="00C46559">
              <w:rPr>
                <w:rFonts w:ascii="Arial Narrow" w:hAnsi="Arial Narrow"/>
                <w:bCs/>
                <w:szCs w:val="22"/>
              </w:rPr>
              <w:t>C</w:t>
            </w:r>
            <w:r w:rsidRPr="00C46559">
              <w:rPr>
                <w:rFonts w:ascii="Arial Narrow" w:hAnsi="Arial Narrow"/>
                <w:bCs/>
                <w:szCs w:val="22"/>
                <w:vertAlign w:val="subscript"/>
              </w:rPr>
              <w:t>max</w:t>
            </w:r>
            <w:proofErr w:type="spellEnd"/>
            <w:proofErr w:type="gramStart"/>
            <w:r w:rsidRPr="00C46559">
              <w:rPr>
                <w:rFonts w:ascii="Arial Narrow" w:hAnsi="Arial Narrow"/>
                <w:bCs/>
                <w:szCs w:val="22"/>
              </w:rPr>
              <w:t>↑(</w:t>
            </w:r>
            <w:proofErr w:type="gramEnd"/>
            <w:r w:rsidRPr="00C46559">
              <w:rPr>
                <w:rFonts w:ascii="Arial Narrow" w:hAnsi="Arial Narrow"/>
                <w:bCs/>
                <w:szCs w:val="22"/>
              </w:rPr>
              <w:t>8%)</w:t>
            </w:r>
          </w:p>
          <w:p w14:paraId="224CE6DE"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szCs w:val="22"/>
              </w:rPr>
              <w:t>N-</w:t>
            </w:r>
            <w:proofErr w:type="spellStart"/>
            <w:r w:rsidRPr="00C46559">
              <w:rPr>
                <w:rFonts w:ascii="Arial Narrow" w:hAnsi="Arial Narrow"/>
                <w:szCs w:val="22"/>
              </w:rPr>
              <w:t>desmethyltamoxifen</w:t>
            </w:r>
            <w:proofErr w:type="spellEnd"/>
            <w:r>
              <w:rPr>
                <w:rFonts w:ascii="Arial Narrow" w:hAnsi="Arial Narrow"/>
                <w:szCs w:val="22"/>
              </w:rPr>
              <w:t xml:space="preserve"> </w:t>
            </w:r>
            <w:r w:rsidRPr="00C46559">
              <w:rPr>
                <w:rFonts w:ascii="Arial Narrow" w:hAnsi="Arial Narrow"/>
                <w:bCs/>
                <w:szCs w:val="22"/>
              </w:rPr>
              <w:t xml:space="preserve">AUC↓ (13%), </w:t>
            </w:r>
            <w:proofErr w:type="spellStart"/>
            <w:r w:rsidRPr="00C46559">
              <w:rPr>
                <w:rFonts w:ascii="Arial Narrow" w:hAnsi="Arial Narrow"/>
                <w:bCs/>
                <w:szCs w:val="22"/>
              </w:rPr>
              <w:t>C</w:t>
            </w:r>
            <w:r w:rsidRPr="00C46559">
              <w:rPr>
                <w:rFonts w:ascii="Arial Narrow" w:hAnsi="Arial Narrow"/>
                <w:bCs/>
                <w:szCs w:val="22"/>
                <w:vertAlign w:val="subscript"/>
              </w:rPr>
              <w:t>max</w:t>
            </w:r>
            <w:proofErr w:type="spellEnd"/>
            <w:proofErr w:type="gramStart"/>
            <w:r w:rsidRPr="00C46559">
              <w:rPr>
                <w:rFonts w:ascii="Arial Narrow" w:hAnsi="Arial Narrow"/>
                <w:bCs/>
                <w:szCs w:val="22"/>
              </w:rPr>
              <w:t>↓(</w:t>
            </w:r>
            <w:proofErr w:type="gramEnd"/>
            <w:r w:rsidRPr="00C46559">
              <w:rPr>
                <w:rFonts w:ascii="Arial Narrow" w:hAnsi="Arial Narrow"/>
                <w:bCs/>
                <w:szCs w:val="22"/>
              </w:rPr>
              <w:t>51%)</w:t>
            </w:r>
          </w:p>
          <w:p w14:paraId="7B41970E" w14:textId="77777777" w:rsidR="00413214" w:rsidRPr="003733A3"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szCs w:val="22"/>
              </w:rPr>
            </w:pPr>
            <w:proofErr w:type="spellStart"/>
            <w:r w:rsidRPr="00C46559">
              <w:rPr>
                <w:rFonts w:ascii="Arial Narrow" w:hAnsi="Arial Narrow"/>
                <w:szCs w:val="22"/>
              </w:rPr>
              <w:t>Endoxifen</w:t>
            </w:r>
            <w:proofErr w:type="spellEnd"/>
            <w:r w:rsidRPr="00C46559">
              <w:rPr>
                <w:rFonts w:ascii="Arial Narrow" w:hAnsi="Arial Narrow"/>
                <w:szCs w:val="22"/>
              </w:rPr>
              <w:t xml:space="preserve"> (Active </w:t>
            </w:r>
            <w:proofErr w:type="gramStart"/>
            <w:r w:rsidRPr="00C46559">
              <w:rPr>
                <w:rFonts w:ascii="Arial Narrow" w:hAnsi="Arial Narrow"/>
                <w:szCs w:val="22"/>
              </w:rPr>
              <w:t>metabolite)</w:t>
            </w:r>
            <w:r>
              <w:rPr>
                <w:rFonts w:ascii="Arial Narrow" w:hAnsi="Arial Narrow"/>
                <w:szCs w:val="22"/>
              </w:rPr>
              <w:t xml:space="preserve">   </w:t>
            </w:r>
            <w:proofErr w:type="gramEnd"/>
            <w:r>
              <w:rPr>
                <w:rFonts w:ascii="Arial Narrow" w:hAnsi="Arial Narrow"/>
                <w:szCs w:val="22"/>
              </w:rPr>
              <w:t xml:space="preserve">              </w:t>
            </w:r>
            <w:r w:rsidRPr="00C46559">
              <w:rPr>
                <w:rFonts w:ascii="Arial Narrow" w:hAnsi="Arial Narrow"/>
                <w:bCs/>
                <w:szCs w:val="22"/>
                <w:lang w:val="fr-CH"/>
              </w:rPr>
              <w:t>AUC↓ (28%), C</w:t>
            </w:r>
            <w:r w:rsidRPr="00C46559">
              <w:rPr>
                <w:rFonts w:ascii="Arial Narrow" w:hAnsi="Arial Narrow"/>
                <w:bCs/>
                <w:szCs w:val="22"/>
                <w:vertAlign w:val="subscript"/>
                <w:lang w:val="fr-CH"/>
              </w:rPr>
              <w:t>max</w:t>
            </w:r>
            <w:proofErr w:type="gramStart"/>
            <w:r w:rsidRPr="00C46559">
              <w:rPr>
                <w:rFonts w:ascii="Arial Narrow" w:hAnsi="Arial Narrow"/>
                <w:bCs/>
                <w:szCs w:val="22"/>
                <w:lang w:val="fr-CH"/>
              </w:rPr>
              <w:t>↓(</w:t>
            </w:r>
            <w:proofErr w:type="gramEnd"/>
            <w:r w:rsidRPr="00C46559">
              <w:rPr>
                <w:rFonts w:ascii="Arial Narrow" w:hAnsi="Arial Narrow"/>
                <w:bCs/>
                <w:szCs w:val="22"/>
                <w:lang w:val="fr-CH"/>
              </w:rPr>
              <w:t>57%)</w:t>
            </w:r>
          </w:p>
        </w:tc>
        <w:tc>
          <w:tcPr>
            <w:tcW w:w="3634" w:type="dxa"/>
          </w:tcPr>
          <w:p w14:paraId="1E4CEE12"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 xml:space="preserve">Large carry-over observed for the active metabolite </w:t>
            </w:r>
            <w:proofErr w:type="spellStart"/>
            <w:r w:rsidRPr="00C46559">
              <w:rPr>
                <w:rFonts w:ascii="Arial Narrow" w:hAnsi="Arial Narrow"/>
                <w:bCs/>
                <w:szCs w:val="22"/>
              </w:rPr>
              <w:t>endoxifen</w:t>
            </w:r>
            <w:proofErr w:type="spellEnd"/>
            <w:r w:rsidRPr="00C46559">
              <w:rPr>
                <w:rFonts w:ascii="Arial Narrow" w:hAnsi="Arial Narrow"/>
                <w:bCs/>
                <w:szCs w:val="22"/>
              </w:rPr>
              <w:t xml:space="preserve">. </w:t>
            </w:r>
          </w:p>
          <w:p w14:paraId="0855F74B"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 xml:space="preserve">Weak inhibition of the transformation of tamoxifen to its active metabolite </w:t>
            </w:r>
            <w:proofErr w:type="spellStart"/>
            <w:r w:rsidRPr="00C46559">
              <w:rPr>
                <w:rFonts w:ascii="Arial Narrow" w:hAnsi="Arial Narrow"/>
                <w:bCs/>
                <w:szCs w:val="22"/>
              </w:rPr>
              <w:t>endoxifen</w:t>
            </w:r>
            <w:proofErr w:type="spellEnd"/>
            <w:r w:rsidRPr="00C46559">
              <w:rPr>
                <w:rFonts w:ascii="Arial Narrow" w:hAnsi="Arial Narrow"/>
                <w:bCs/>
                <w:szCs w:val="22"/>
              </w:rPr>
              <w:t xml:space="preserve"> observed after a single dose. At steady state, please see below. </w:t>
            </w:r>
          </w:p>
          <w:p w14:paraId="64FCA80C"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No restriction or dose adaptation requested for concomitant use. Supported by OASIS 4 data.</w:t>
            </w:r>
          </w:p>
        </w:tc>
      </w:tr>
      <w:tr w:rsidR="00413214" w:rsidRPr="00C46559" w14:paraId="125FDFAE" w14:textId="77777777" w:rsidTr="00AD7639">
        <w:tc>
          <w:tcPr>
            <w:cnfStyle w:val="001000000000" w:firstRow="0" w:lastRow="0" w:firstColumn="1" w:lastColumn="0" w:oddVBand="0" w:evenVBand="0" w:oddHBand="0" w:evenHBand="0" w:firstRowFirstColumn="0" w:firstRowLastColumn="0" w:lastRowFirstColumn="0" w:lastRowLastColumn="0"/>
            <w:tcW w:w="878" w:type="dxa"/>
          </w:tcPr>
          <w:p w14:paraId="4B8BB17C" w14:textId="77777777" w:rsidR="00413214" w:rsidRPr="00C46559" w:rsidRDefault="00413214" w:rsidP="004800A8">
            <w:pPr>
              <w:rPr>
                <w:rFonts w:ascii="Arial Narrow" w:hAnsi="Arial Narrow"/>
                <w:bCs/>
                <w:szCs w:val="22"/>
              </w:rPr>
            </w:pPr>
            <w:r w:rsidRPr="00C46559">
              <w:rPr>
                <w:rFonts w:ascii="Arial Narrow" w:hAnsi="Arial Narrow"/>
                <w:bCs/>
                <w:szCs w:val="22"/>
              </w:rPr>
              <w:t>22081</w:t>
            </w:r>
          </w:p>
        </w:tc>
        <w:tc>
          <w:tcPr>
            <w:tcW w:w="2126" w:type="dxa"/>
          </w:tcPr>
          <w:p w14:paraId="4924C447"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Effect on Dabigatran</w:t>
            </w:r>
          </w:p>
          <w:p w14:paraId="228AB6A8"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Intestinal P-</w:t>
            </w:r>
            <w:proofErr w:type="spellStart"/>
            <w:r w:rsidRPr="00C46559">
              <w:rPr>
                <w:rFonts w:ascii="Arial Narrow" w:hAnsi="Arial Narrow"/>
                <w:bCs/>
                <w:szCs w:val="22"/>
              </w:rPr>
              <w:t>gp</w:t>
            </w:r>
            <w:proofErr w:type="spellEnd"/>
            <w:r w:rsidRPr="00C46559">
              <w:rPr>
                <w:rFonts w:ascii="Arial Narrow" w:hAnsi="Arial Narrow"/>
                <w:bCs/>
                <w:szCs w:val="22"/>
              </w:rPr>
              <w:t xml:space="preserve"> substrate</w:t>
            </w:r>
          </w:p>
        </w:tc>
        <w:tc>
          <w:tcPr>
            <w:tcW w:w="2410" w:type="dxa"/>
          </w:tcPr>
          <w:p w14:paraId="3E8DFCDC"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 xml:space="preserve">Dabigatran </w:t>
            </w:r>
          </w:p>
          <w:p w14:paraId="682A55BE"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 xml:space="preserve">AUC↑ (20%), </w:t>
            </w:r>
            <w:proofErr w:type="spellStart"/>
            <w:r w:rsidRPr="00C46559">
              <w:rPr>
                <w:rFonts w:ascii="Arial Narrow" w:hAnsi="Arial Narrow"/>
                <w:bCs/>
                <w:szCs w:val="22"/>
              </w:rPr>
              <w:t>C</w:t>
            </w:r>
            <w:r w:rsidRPr="00C46559">
              <w:rPr>
                <w:rFonts w:ascii="Arial Narrow" w:hAnsi="Arial Narrow"/>
                <w:bCs/>
                <w:szCs w:val="22"/>
                <w:vertAlign w:val="subscript"/>
              </w:rPr>
              <w:t>max</w:t>
            </w:r>
            <w:proofErr w:type="spellEnd"/>
            <w:proofErr w:type="gramStart"/>
            <w:r w:rsidRPr="00C46559">
              <w:rPr>
                <w:rFonts w:ascii="Arial Narrow" w:hAnsi="Arial Narrow"/>
                <w:bCs/>
                <w:szCs w:val="22"/>
              </w:rPr>
              <w:t>↑(</w:t>
            </w:r>
            <w:proofErr w:type="gramEnd"/>
            <w:r w:rsidRPr="00C46559">
              <w:rPr>
                <w:rFonts w:ascii="Arial Narrow" w:hAnsi="Arial Narrow"/>
                <w:bCs/>
                <w:szCs w:val="22"/>
              </w:rPr>
              <w:t>15%)</w:t>
            </w:r>
          </w:p>
        </w:tc>
        <w:tc>
          <w:tcPr>
            <w:tcW w:w="3634" w:type="dxa"/>
          </w:tcPr>
          <w:p w14:paraId="3B28415A" w14:textId="77777777" w:rsidR="00413214" w:rsidRPr="00C46559" w:rsidRDefault="00413214" w:rsidP="004800A8">
            <w:pPr>
              <w:cnfStyle w:val="000000000000" w:firstRow="0" w:lastRow="0" w:firstColumn="0" w:lastColumn="0" w:oddVBand="0" w:evenVBand="0" w:oddHBand="0" w:evenHBand="0" w:firstRowFirstColumn="0" w:firstRowLastColumn="0" w:lastRowFirstColumn="0" w:lastRowLastColumn="0"/>
              <w:rPr>
                <w:rFonts w:ascii="Arial Narrow" w:hAnsi="Arial Narrow"/>
                <w:bCs/>
                <w:szCs w:val="22"/>
              </w:rPr>
            </w:pPr>
            <w:r w:rsidRPr="00C46559">
              <w:rPr>
                <w:rFonts w:ascii="Arial Narrow" w:hAnsi="Arial Narrow"/>
                <w:bCs/>
                <w:szCs w:val="22"/>
              </w:rPr>
              <w:t>No clinically relevant inhibition of gastro-intestinal P-</w:t>
            </w:r>
            <w:proofErr w:type="spellStart"/>
            <w:r w:rsidRPr="00C46559">
              <w:rPr>
                <w:rFonts w:ascii="Arial Narrow" w:hAnsi="Arial Narrow"/>
                <w:bCs/>
                <w:szCs w:val="22"/>
              </w:rPr>
              <w:t>gp</w:t>
            </w:r>
            <w:proofErr w:type="spellEnd"/>
            <w:r w:rsidRPr="00C46559">
              <w:rPr>
                <w:rFonts w:ascii="Arial Narrow" w:hAnsi="Arial Narrow"/>
                <w:bCs/>
                <w:szCs w:val="22"/>
              </w:rPr>
              <w:t xml:space="preserve">. </w:t>
            </w:r>
          </w:p>
        </w:tc>
      </w:tr>
    </w:tbl>
    <w:p w14:paraId="300445BC" w14:textId="77777777" w:rsidR="009F2C11" w:rsidRPr="00DB6E2C" w:rsidRDefault="009F2C11" w:rsidP="00DB6E2C">
      <w:pPr>
        <w:pStyle w:val="Heading4"/>
      </w:pPr>
      <w:bookmarkStart w:id="64" w:name="_Toc223341694"/>
      <w:r w:rsidRPr="00DB6E2C">
        <w:t>Efficacy</w:t>
      </w:r>
      <w:bookmarkEnd w:id="64"/>
    </w:p>
    <w:p w14:paraId="2EF409BA" w14:textId="77777777" w:rsidR="009F2C11" w:rsidRDefault="009F2C11" w:rsidP="009F2C11">
      <w:pPr>
        <w:spacing w:line="240" w:lineRule="auto"/>
        <w:rPr>
          <w:lang w:eastAsia="ja-JP"/>
        </w:rPr>
      </w:pPr>
      <w:r>
        <w:rPr>
          <w:lang w:eastAsia="ja-JP"/>
        </w:rPr>
        <w:t>To support the proposed indication, two global, randomised, double-blind, placebo-controlled pivotal Phase 3 studies with a duration of 12 weeks and almost identical design were conducted (OASIS 1 and 2). In OASIS 1, quality of sleep was additionally investigated by actigraphy in a subgroup of patients.</w:t>
      </w:r>
    </w:p>
    <w:p w14:paraId="6325E289" w14:textId="40D8D84C" w:rsidR="009F2C11" w:rsidRPr="00DB6E2C" w:rsidRDefault="009F2C11" w:rsidP="00DB6E2C">
      <w:pPr>
        <w:pStyle w:val="Heading5"/>
      </w:pPr>
      <w:r w:rsidRPr="00DB6E2C">
        <w:t>Pivotal phase 3 studies 21651 (OASIS 1) and 21652 (OASIS 2)</w:t>
      </w:r>
      <w:r w:rsidR="009668C4">
        <w:rPr>
          <w:rStyle w:val="FootnoteReference"/>
        </w:rPr>
        <w:footnoteReference w:id="2"/>
      </w:r>
    </w:p>
    <w:p w14:paraId="3F7083ED" w14:textId="77777777" w:rsidR="009F2C11" w:rsidRPr="00DB6E2C" w:rsidRDefault="009F2C11" w:rsidP="00DB6E2C">
      <w:pPr>
        <w:rPr>
          <w:b/>
          <w:bCs/>
        </w:rPr>
      </w:pPr>
      <w:r w:rsidRPr="00DB6E2C">
        <w:rPr>
          <w:b/>
          <w:bCs/>
        </w:rPr>
        <w:t>Design</w:t>
      </w:r>
    </w:p>
    <w:p w14:paraId="5A81F2FD" w14:textId="70EC907E" w:rsidR="009F2C11" w:rsidRDefault="009F2C11" w:rsidP="009F2C11">
      <w:pPr>
        <w:spacing w:line="240" w:lineRule="auto"/>
        <w:rPr>
          <w:color w:val="FF0000"/>
        </w:rPr>
      </w:pPr>
      <w:r w:rsidRPr="0011245F">
        <w:lastRenderedPageBreak/>
        <w:t>Pivotal, 12-week (with a 14 week extension), phase 3, randomised, double-blind</w:t>
      </w:r>
      <w:r>
        <w:t xml:space="preserve"> (open-label in the extension phase)</w:t>
      </w:r>
      <w:r w:rsidRPr="0011245F">
        <w:t xml:space="preserve">, multi-centre, </w:t>
      </w:r>
      <w:r w:rsidRPr="00632AEB">
        <w:t xml:space="preserve">2-arm parallel-group (1:1), placebo-controlled studies to assess the efficacy and safety of </w:t>
      </w:r>
      <w:proofErr w:type="spellStart"/>
      <w:r w:rsidRPr="00632AEB">
        <w:rPr>
          <w:lang w:eastAsia="ja-JP"/>
        </w:rPr>
        <w:t>elinzanetant</w:t>
      </w:r>
      <w:proofErr w:type="spellEnd"/>
      <w:r w:rsidRPr="00632AEB">
        <w:rPr>
          <w:lang w:eastAsia="ja-JP"/>
        </w:rPr>
        <w:t xml:space="preserve"> </w:t>
      </w:r>
      <w:r w:rsidRPr="00632AEB">
        <w:t xml:space="preserve">in adult women aged 40 years </w:t>
      </w:r>
      <w:r w:rsidR="008B2326">
        <w:t xml:space="preserve">and over, </w:t>
      </w:r>
      <w:r w:rsidRPr="00632AEB">
        <w:t xml:space="preserve">and 65 years </w:t>
      </w:r>
      <w:r w:rsidR="00C365AC">
        <w:t xml:space="preserve"> and older, </w:t>
      </w:r>
      <w:r w:rsidRPr="00632AEB">
        <w:t>with moderate to severe VMS associated with menopause</w:t>
      </w:r>
      <w:r w:rsidR="00B80E29">
        <w:t xml:space="preserve"> (Figure </w:t>
      </w:r>
      <w:r w:rsidR="00053B69">
        <w:t>3</w:t>
      </w:r>
      <w:r w:rsidR="00B80E29">
        <w:t>)</w:t>
      </w:r>
      <w:r w:rsidRPr="00632AEB">
        <w:t>.</w:t>
      </w:r>
    </w:p>
    <w:p w14:paraId="4653B039" w14:textId="77777777" w:rsidR="009F2C11" w:rsidRPr="00B773A2" w:rsidRDefault="009F2C11" w:rsidP="009F2C11">
      <w:pPr>
        <w:spacing w:line="240" w:lineRule="auto"/>
      </w:pPr>
      <w:r w:rsidRPr="00AD7639">
        <w:rPr>
          <w:b/>
          <w:bCs/>
        </w:rPr>
        <w:t>OASIS 1</w:t>
      </w:r>
      <w:r w:rsidRPr="00B773A2">
        <w:t xml:space="preserve"> was conducted from August 2021 to November 2023 at 89 centres in Europe, Israel and the USA. Approx. 60% of patients were recruited in the USA.</w:t>
      </w:r>
      <w:r>
        <w:t xml:space="preserve"> 396 women were randomised 1:1 to receive </w:t>
      </w:r>
      <w:proofErr w:type="spellStart"/>
      <w:r>
        <w:t>elinzanetant</w:t>
      </w:r>
      <w:proofErr w:type="spellEnd"/>
      <w:r>
        <w:t xml:space="preserve"> 120 mg (199) or placebo (197).</w:t>
      </w:r>
    </w:p>
    <w:p w14:paraId="139C4C28" w14:textId="77777777" w:rsidR="009F2C11" w:rsidRPr="00933E81" w:rsidRDefault="009F2C11" w:rsidP="009F2C11">
      <w:pPr>
        <w:spacing w:line="240" w:lineRule="auto"/>
      </w:pPr>
      <w:r w:rsidRPr="00AD7639">
        <w:rPr>
          <w:b/>
          <w:bCs/>
        </w:rPr>
        <w:t>OASIS 2</w:t>
      </w:r>
      <w:r w:rsidRPr="00B773A2">
        <w:t xml:space="preserve"> was conducted from October 2021 to October 2023 at 95 centres in North America and Europe. In this study, approx. half of the patients were recruited in Europe.</w:t>
      </w:r>
      <w:r>
        <w:t xml:space="preserve"> 400 women were randomised 1:1 to receive </w:t>
      </w:r>
      <w:proofErr w:type="spellStart"/>
      <w:r>
        <w:t>elinzanetant</w:t>
      </w:r>
      <w:proofErr w:type="spellEnd"/>
      <w:r>
        <w:t xml:space="preserve"> 120 mg (200) or placebo (200).</w:t>
      </w:r>
    </w:p>
    <w:p w14:paraId="6E225F03" w14:textId="77777777" w:rsidR="009F2C11" w:rsidRPr="00C6764D" w:rsidRDefault="009F2C11" w:rsidP="009F2C11">
      <w:pPr>
        <w:spacing w:line="240" w:lineRule="auto"/>
        <w:rPr>
          <w:lang w:eastAsia="ja-JP"/>
        </w:rPr>
      </w:pPr>
      <w:r w:rsidRPr="00AD7639">
        <w:rPr>
          <w:b/>
          <w:bCs/>
          <w:lang w:eastAsia="ja-JP"/>
        </w:rPr>
        <w:t>Primary efficacy objective</w:t>
      </w:r>
      <w:r w:rsidRPr="00933E81">
        <w:rPr>
          <w:lang w:eastAsia="ja-JP"/>
        </w:rPr>
        <w:t xml:space="preserve">: to assess the efficacy of </w:t>
      </w:r>
      <w:proofErr w:type="spellStart"/>
      <w:r w:rsidRPr="00933E81">
        <w:rPr>
          <w:lang w:eastAsia="ja-JP"/>
        </w:rPr>
        <w:t>elinzanetant</w:t>
      </w:r>
      <w:proofErr w:type="spellEnd"/>
      <w:r w:rsidRPr="00933E81">
        <w:rPr>
          <w:lang w:eastAsia="ja-JP"/>
        </w:rPr>
        <w:t xml:space="preserve"> for the treatment of VMS associated with menopause.</w:t>
      </w:r>
    </w:p>
    <w:p w14:paraId="1DD37F21" w14:textId="7749B9F4" w:rsidR="003331B4" w:rsidRPr="00DB6E2C" w:rsidRDefault="003331B4" w:rsidP="00DB6E2C">
      <w:pPr>
        <w:pStyle w:val="FigureTitle"/>
      </w:pPr>
      <w:bookmarkStart w:id="65" w:name="_Ref134618256"/>
      <w:bookmarkStart w:id="66" w:name="_Ref134618246"/>
      <w:r w:rsidRPr="00DB6E2C">
        <w:t>Figure</w:t>
      </w:r>
      <w:bookmarkEnd w:id="65"/>
      <w:r w:rsidR="00053B69">
        <w:t xml:space="preserve"> 3</w:t>
      </w:r>
      <w:r w:rsidRPr="00DB6E2C">
        <w:t>. OASIS 1 and OASIS 2. Study design schema.</w:t>
      </w:r>
      <w:bookmarkEnd w:id="66"/>
    </w:p>
    <w:p w14:paraId="52BB78C6" w14:textId="7EAA8112" w:rsidR="004A08EA" w:rsidRDefault="009B730B" w:rsidP="00AD7639">
      <w:r>
        <w:rPr>
          <w:noProof/>
        </w:rPr>
        <w:drawing>
          <wp:inline distT="0" distB="0" distL="0" distR="0" wp14:anchorId="74E4C6E1" wp14:editId="5974A2CF">
            <wp:extent cx="4999355" cy="993775"/>
            <wp:effectExtent l="0" t="0" r="0" b="0"/>
            <wp:docPr id="1027790719" name="Picture 4" descr="Figure 3. OASIS 1 and OASIS 2. Study design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90719" name="Picture 4" descr="Figure 3. OASIS 1 and OASIS 2. Study design schem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99355" cy="993775"/>
                    </a:xfrm>
                    <a:prstGeom prst="rect">
                      <a:avLst/>
                    </a:prstGeom>
                    <a:noFill/>
                  </pic:spPr>
                </pic:pic>
              </a:graphicData>
            </a:graphic>
          </wp:inline>
        </w:drawing>
      </w:r>
    </w:p>
    <w:p w14:paraId="422C7DFD" w14:textId="2B433CF3" w:rsidR="00F426B0" w:rsidRPr="005A04C2" w:rsidRDefault="00F426B0" w:rsidP="00F426B0">
      <w:pPr>
        <w:spacing w:line="240" w:lineRule="auto"/>
      </w:pPr>
      <w:r w:rsidRPr="00AD7639">
        <w:rPr>
          <w:b/>
          <w:bCs/>
        </w:rPr>
        <w:t>Inclusion criteria</w:t>
      </w:r>
      <w:r w:rsidR="00A4769E" w:rsidRPr="00AD7639">
        <w:t>:</w:t>
      </w:r>
      <w:r w:rsidR="009668C4" w:rsidRPr="00AD7639">
        <w:rPr>
          <w:vertAlign w:val="superscript"/>
        </w:rPr>
        <w:t>2</w:t>
      </w:r>
      <w:r w:rsidRPr="005A04C2">
        <w:t xml:space="preserve"> Women aged 40 to 65 years with confirmed postmenopausal status and a BMI between 18 and 38</w:t>
      </w:r>
      <w:r>
        <w:t xml:space="preserve"> </w:t>
      </w:r>
      <w:r w:rsidRPr="005A04C2">
        <w:t>kg/m</w:t>
      </w:r>
      <w:r w:rsidRPr="005A04C2">
        <w:rPr>
          <w:vertAlign w:val="superscript"/>
        </w:rPr>
        <w:t>2</w:t>
      </w:r>
      <w:r w:rsidRPr="005A04C2">
        <w:t>, suffering from moderate or severe VMS.</w:t>
      </w:r>
    </w:p>
    <w:p w14:paraId="3FEA1BF7" w14:textId="2AFFC241" w:rsidR="00F426B0" w:rsidRPr="005A04C2" w:rsidRDefault="00F426B0" w:rsidP="00F426B0">
      <w:pPr>
        <w:spacing w:line="240" w:lineRule="auto"/>
        <w:rPr>
          <w:color w:val="FF0000"/>
        </w:rPr>
      </w:pPr>
      <w:r w:rsidRPr="00AD7639">
        <w:rPr>
          <w:b/>
          <w:bCs/>
        </w:rPr>
        <w:t>Exclusion criteria</w:t>
      </w:r>
      <w:r w:rsidR="00A4769E" w:rsidRPr="00AD7639">
        <w:t>:</w:t>
      </w:r>
      <w:r w:rsidR="009668C4" w:rsidRPr="009668C4">
        <w:rPr>
          <w:vertAlign w:val="superscript"/>
        </w:rPr>
        <w:t>2</w:t>
      </w:r>
      <w:r w:rsidRPr="005A04C2">
        <w:t xml:space="preserve"> Current or history (except complete remission for 5 years or more) of any malignancy (except basal and squamous cell skin tumours); adjuvant endocrine therapy; unexplained postmenopausal uterine bleeding; clinically relevant abnormal findings on mammogram; renal impairment greater than moderate; abnormal liver parameters; disordered proliferative endometrium, endometrial hy</w:t>
      </w:r>
      <w:r w:rsidRPr="00A159CA">
        <w:t>perplasia, polyp, or endometrial</w:t>
      </w:r>
      <w:r>
        <w:t xml:space="preserve"> </w:t>
      </w:r>
      <w:r w:rsidRPr="00A159CA">
        <w:t>cancer</w:t>
      </w:r>
      <w:r>
        <w:t>.</w:t>
      </w:r>
    </w:p>
    <w:p w14:paraId="133FB065" w14:textId="77777777" w:rsidR="00F426B0" w:rsidRPr="00124E46" w:rsidRDefault="00F426B0" w:rsidP="00F426B0">
      <w:pPr>
        <w:spacing w:line="240" w:lineRule="auto"/>
      </w:pPr>
      <w:r w:rsidRPr="00AD7639">
        <w:rPr>
          <w:b/>
          <w:bCs/>
        </w:rPr>
        <w:t>Treatments</w:t>
      </w:r>
      <w:r w:rsidRPr="00124E46">
        <w:t>: Eligible participants were randomised into 2 arms:</w:t>
      </w:r>
    </w:p>
    <w:p w14:paraId="0D5EC81E" w14:textId="77777777" w:rsidR="00F426B0" w:rsidRPr="00124E46" w:rsidRDefault="00F426B0" w:rsidP="00AD7639">
      <w:pPr>
        <w:pStyle w:val="ListBullet"/>
      </w:pPr>
      <w:r>
        <w:t>E</w:t>
      </w:r>
      <w:r w:rsidRPr="00124E46">
        <w:t>linzanetant 120 mg daily for 26 weeks</w:t>
      </w:r>
      <w:r>
        <w:t>; or</w:t>
      </w:r>
    </w:p>
    <w:p w14:paraId="082FEDEF" w14:textId="77777777" w:rsidR="00F426B0" w:rsidRPr="00124E46" w:rsidRDefault="00F426B0" w:rsidP="00AD7639">
      <w:pPr>
        <w:pStyle w:val="ListBullet"/>
      </w:pPr>
      <w:r>
        <w:t>P</w:t>
      </w:r>
      <w:r w:rsidRPr="00124E46">
        <w:t xml:space="preserve">lacebo daily for 12 weeks, followed by </w:t>
      </w:r>
      <w:proofErr w:type="spellStart"/>
      <w:r w:rsidRPr="00124E46">
        <w:t>elinzanetant</w:t>
      </w:r>
      <w:proofErr w:type="spellEnd"/>
      <w:r w:rsidRPr="00124E46">
        <w:t xml:space="preserve"> 120 mg daily for 14 weeks</w:t>
      </w:r>
      <w:r>
        <w:t>.</w:t>
      </w:r>
    </w:p>
    <w:p w14:paraId="31C7A4CB" w14:textId="77777777" w:rsidR="00F426B0" w:rsidRPr="00B6729C" w:rsidRDefault="00F426B0" w:rsidP="00F426B0">
      <w:pPr>
        <w:spacing w:line="240" w:lineRule="auto"/>
      </w:pPr>
      <w:r>
        <w:t>Follow-Up: The treatment phase will be followed by a 4-week safety follow-up period.</w:t>
      </w:r>
    </w:p>
    <w:p w14:paraId="3BA54466" w14:textId="77777777" w:rsidR="00F426B0" w:rsidRDefault="00F426B0" w:rsidP="00F426B0">
      <w:pPr>
        <w:spacing w:line="240" w:lineRule="auto"/>
      </w:pPr>
      <w:r w:rsidRPr="00AD7639">
        <w:rPr>
          <w:b/>
          <w:bCs/>
          <w:lang w:eastAsia="ja-JP"/>
        </w:rPr>
        <w:t>Randomisation</w:t>
      </w:r>
      <w:r w:rsidRPr="009653C8">
        <w:rPr>
          <w:lang w:eastAsia="ja-JP"/>
        </w:rPr>
        <w:t xml:space="preserve">: </w:t>
      </w:r>
      <w:r w:rsidRPr="009653C8">
        <w:t xml:space="preserve">Participants who met eligibility criteria were centrally assigned to randomised study intervention using </w:t>
      </w:r>
      <w:proofErr w:type="spellStart"/>
      <w:r w:rsidRPr="009653C8">
        <w:t>IxRS</w:t>
      </w:r>
      <w:proofErr w:type="spellEnd"/>
      <w:r w:rsidRPr="009653C8">
        <w:t>.</w:t>
      </w:r>
    </w:p>
    <w:p w14:paraId="4E3DCA61" w14:textId="75A3BF90" w:rsidR="00F426B0" w:rsidRDefault="00F426B0" w:rsidP="00F426B0">
      <w:pPr>
        <w:spacing w:line="240" w:lineRule="auto"/>
      </w:pPr>
      <w:r w:rsidRPr="00AD7639">
        <w:rPr>
          <w:b/>
          <w:bCs/>
        </w:rPr>
        <w:t>Endpoints</w:t>
      </w:r>
      <w:r>
        <w:t xml:space="preserve">: The endpoints corresponding to the primary and secondary objectives are shown in </w:t>
      </w:r>
      <w:r>
        <w:fldChar w:fldCharType="begin"/>
      </w:r>
      <w:r>
        <w:instrText xml:space="preserve"> REF _Ref209527070 \h  \* MERGEFORMAT </w:instrText>
      </w:r>
      <w:r>
        <w:fldChar w:fldCharType="separate"/>
      </w:r>
      <w:r>
        <w:t xml:space="preserve">Table </w:t>
      </w:r>
      <w:r>
        <w:rPr>
          <w:noProof/>
        </w:rPr>
        <w:t>7</w:t>
      </w:r>
      <w:r>
        <w:fldChar w:fldCharType="end"/>
      </w:r>
      <w:r>
        <w:t xml:space="preserve">. </w:t>
      </w:r>
    </w:p>
    <w:p w14:paraId="7772848D" w14:textId="21B42162" w:rsidR="001C59E1" w:rsidRPr="001C59E1" w:rsidRDefault="001C59E1" w:rsidP="00AD7639">
      <w:pPr>
        <w:pStyle w:val="TableTitle"/>
      </w:pPr>
      <w:bookmarkStart w:id="67" w:name="_Ref209527070"/>
      <w:r w:rsidRPr="001C59E1">
        <w:lastRenderedPageBreak/>
        <w:t xml:space="preserve">Table </w:t>
      </w:r>
      <w:r w:rsidRPr="001C59E1">
        <w:fldChar w:fldCharType="begin"/>
      </w:r>
      <w:r w:rsidRPr="001C59E1">
        <w:instrText xml:space="preserve"> SEQ Table \* ARABIC </w:instrText>
      </w:r>
      <w:r w:rsidRPr="001C59E1">
        <w:fldChar w:fldCharType="separate"/>
      </w:r>
      <w:r w:rsidRPr="001C59E1">
        <w:t>7</w:t>
      </w:r>
      <w:r w:rsidRPr="001C59E1">
        <w:fldChar w:fldCharType="end"/>
      </w:r>
      <w:bookmarkEnd w:id="67"/>
      <w:r w:rsidRPr="001C59E1">
        <w:t>. OASIS 1, OASIS 2, and OASIS 3</w:t>
      </w:r>
      <w:r w:rsidR="00EF0F41">
        <w:t xml:space="preserve">- </w:t>
      </w:r>
      <w:r w:rsidRPr="001C59E1">
        <w:t>Endpoints.</w:t>
      </w:r>
    </w:p>
    <w:p w14:paraId="49272757" w14:textId="3AA1F5EA" w:rsidR="001C59E1" w:rsidRPr="00C8323A" w:rsidRDefault="001C59E1" w:rsidP="00AD7639">
      <w:r>
        <w:rPr>
          <w:noProof/>
        </w:rPr>
        <w:drawing>
          <wp:inline distT="0" distB="0" distL="0" distR="0" wp14:anchorId="30BA50C5" wp14:editId="3FD7C041">
            <wp:extent cx="5354978" cy="476250"/>
            <wp:effectExtent l="0" t="0" r="0" b="0"/>
            <wp:docPr id="16593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6561" cy="476391"/>
                    </a:xfrm>
                    <a:prstGeom prst="rect">
                      <a:avLst/>
                    </a:prstGeom>
                    <a:noFill/>
                  </pic:spPr>
                </pic:pic>
              </a:graphicData>
            </a:graphic>
          </wp:inline>
        </w:drawing>
      </w:r>
      <w:r w:rsidRPr="00ED146C">
        <w:rPr>
          <w:noProof/>
          <w:u w:val="single"/>
        </w:rPr>
        <w:drawing>
          <wp:inline distT="0" distB="0" distL="0" distR="0" wp14:anchorId="60310444" wp14:editId="5182FD75">
            <wp:extent cx="5262394" cy="2209800"/>
            <wp:effectExtent l="0" t="0" r="0" b="0"/>
            <wp:docPr id="1704704977" name="Picture 9" descr="Table 7. OASIS 1, OASIS 2, and OASIS 3-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04977" name="Picture 9" descr="Table 7. OASIS 1, OASIS 2, and OASIS 3- Endpoints."/>
                    <pic:cNvPicPr>
                      <a:picLocks noChangeAspect="1" noChangeArrowheads="1"/>
                    </pic:cNvPicPr>
                  </pic:nvPicPr>
                  <pic:blipFill rotWithShape="1">
                    <a:blip r:embed="rId26">
                      <a:extLst>
                        <a:ext uri="{28A0092B-C50C-407E-A947-70E740481C1C}">
                          <a14:useLocalDpi xmlns:a14="http://schemas.microsoft.com/office/drawing/2010/main" val="0"/>
                        </a:ext>
                      </a:extLst>
                    </a:blip>
                    <a:srcRect t="52735"/>
                    <a:stretch>
                      <a:fillRect/>
                    </a:stretch>
                  </pic:blipFill>
                  <pic:spPr bwMode="auto">
                    <a:xfrm>
                      <a:off x="0" y="0"/>
                      <a:ext cx="5327183" cy="2237006"/>
                    </a:xfrm>
                    <a:prstGeom prst="rect">
                      <a:avLst/>
                    </a:prstGeom>
                    <a:noFill/>
                    <a:ln>
                      <a:noFill/>
                    </a:ln>
                    <a:extLst>
                      <a:ext uri="{53640926-AAD7-44D8-BBD7-CCE9431645EC}">
                        <a14:shadowObscured xmlns:a14="http://schemas.microsoft.com/office/drawing/2010/main"/>
                      </a:ext>
                    </a:extLst>
                  </pic:spPr>
                </pic:pic>
              </a:graphicData>
            </a:graphic>
          </wp:inline>
        </w:drawing>
      </w:r>
    </w:p>
    <w:p w14:paraId="64E6BAD0" w14:textId="7D4F453D" w:rsidR="00F426B0" w:rsidRDefault="00853C60" w:rsidP="00F426B0">
      <w:pPr>
        <w:spacing w:line="240" w:lineRule="auto"/>
        <w:rPr>
          <w:u w:val="single"/>
        </w:rPr>
      </w:pPr>
      <w:r>
        <w:rPr>
          <w:noProof/>
          <w:u w:val="single"/>
        </w:rPr>
        <mc:AlternateContent>
          <mc:Choice Requires="wps">
            <w:drawing>
              <wp:anchor distT="0" distB="0" distL="114300" distR="114300" simplePos="0" relativeHeight="251671552" behindDoc="0" locked="0" layoutInCell="1" allowOverlap="1" wp14:anchorId="0478633A" wp14:editId="5A3C6DFA">
                <wp:simplePos x="0" y="0"/>
                <wp:positionH relativeFrom="column">
                  <wp:posOffset>271145</wp:posOffset>
                </wp:positionH>
                <wp:positionV relativeFrom="paragraph">
                  <wp:posOffset>3413759</wp:posOffset>
                </wp:positionV>
                <wp:extent cx="381000" cy="123825"/>
                <wp:effectExtent l="0" t="0" r="0" b="9525"/>
                <wp:wrapNone/>
                <wp:docPr id="820783057" name="Rectangle 3"/>
                <wp:cNvGraphicFramePr/>
                <a:graphic xmlns:a="http://schemas.openxmlformats.org/drawingml/2006/main">
                  <a:graphicData uri="http://schemas.microsoft.com/office/word/2010/wordprocessingShape">
                    <wps:wsp>
                      <wps:cNvSpPr/>
                      <wps:spPr>
                        <a:xfrm>
                          <a:off x="0" y="0"/>
                          <a:ext cx="381000" cy="123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540EC" id="Rectangle 3" o:spid="_x0000_s1026" style="position:absolute;margin-left:21.35pt;margin-top:268.8pt;width:30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" fillcolor="white [3212]" stroked="f" strokeweight="1pt"/>
            </w:pict>
          </mc:Fallback>
        </mc:AlternateContent>
      </w:r>
      <w:r>
        <w:rPr>
          <w:noProof/>
          <w:u w:val="single"/>
        </w:rPr>
        <mc:AlternateContent>
          <mc:Choice Requires="wps">
            <w:drawing>
              <wp:anchor distT="0" distB="0" distL="114300" distR="114300" simplePos="0" relativeHeight="251670528" behindDoc="0" locked="0" layoutInCell="1" allowOverlap="1" wp14:anchorId="469CE162" wp14:editId="73DBB3E2">
                <wp:simplePos x="0" y="0"/>
                <wp:positionH relativeFrom="column">
                  <wp:posOffset>642620</wp:posOffset>
                </wp:positionH>
                <wp:positionV relativeFrom="paragraph">
                  <wp:posOffset>3280410</wp:posOffset>
                </wp:positionV>
                <wp:extent cx="4562475" cy="247650"/>
                <wp:effectExtent l="0" t="0" r="9525" b="0"/>
                <wp:wrapNone/>
                <wp:docPr id="1849841001" name="Rectangle 2"/>
                <wp:cNvGraphicFramePr/>
                <a:graphic xmlns:a="http://schemas.openxmlformats.org/drawingml/2006/main">
                  <a:graphicData uri="http://schemas.microsoft.com/office/word/2010/wordprocessingShape">
                    <wps:wsp>
                      <wps:cNvSpPr/>
                      <wps:spPr>
                        <a:xfrm>
                          <a:off x="0" y="0"/>
                          <a:ext cx="4562475" cy="2476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D00D8" id="Rectangle 2" o:spid="_x0000_s1026" style="position:absolute;margin-left:50.6pt;margin-top:258.3pt;width:359.2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" fillcolor="white [3212]" stroked="f" strokeweight="1pt"/>
            </w:pict>
          </mc:Fallback>
        </mc:AlternateContent>
      </w:r>
      <w:r w:rsidR="00F130ED">
        <w:rPr>
          <w:noProof/>
          <w:u w:val="single"/>
        </w:rPr>
        <mc:AlternateContent>
          <mc:Choice Requires="wps">
            <w:drawing>
              <wp:anchor distT="0" distB="0" distL="114300" distR="114300" simplePos="0" relativeHeight="251659264" behindDoc="0" locked="0" layoutInCell="1" allowOverlap="1" wp14:anchorId="1A03055B" wp14:editId="26AFB601">
                <wp:simplePos x="0" y="0"/>
                <wp:positionH relativeFrom="column">
                  <wp:posOffset>566420</wp:posOffset>
                </wp:positionH>
                <wp:positionV relativeFrom="paragraph">
                  <wp:posOffset>5497830</wp:posOffset>
                </wp:positionV>
                <wp:extent cx="4164330" cy="235585"/>
                <wp:effectExtent l="0" t="0" r="26670" b="12065"/>
                <wp:wrapNone/>
                <wp:docPr id="1582467811" name="Rectangle 6"/>
                <wp:cNvGraphicFramePr/>
                <a:graphic xmlns:a="http://schemas.openxmlformats.org/drawingml/2006/main">
                  <a:graphicData uri="http://schemas.microsoft.com/office/word/2010/wordprocessingShape">
                    <wps:wsp>
                      <wps:cNvSpPr/>
                      <wps:spPr>
                        <a:xfrm>
                          <a:off x="0" y="0"/>
                          <a:ext cx="4164330" cy="23558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0A01B" id="Rectangle 6" o:spid="_x0000_s1026" style="position:absolute;margin-left:44.6pt;margin-top:432.9pt;width:327.9pt;height:1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" fillcolor="white [3212]" strokecolor="white [3212]" strokeweight="1pt"/>
            </w:pict>
          </mc:Fallback>
        </mc:AlternateContent>
      </w:r>
      <w:r w:rsidR="005B6CB5">
        <w:rPr>
          <w:noProof/>
          <w:u w:val="single"/>
        </w:rPr>
        <mc:AlternateContent>
          <mc:Choice Requires="wps">
            <w:drawing>
              <wp:anchor distT="0" distB="0" distL="114300" distR="114300" simplePos="0" relativeHeight="251661312" behindDoc="0" locked="0" layoutInCell="1" allowOverlap="1" wp14:anchorId="09582679" wp14:editId="082D8128">
                <wp:simplePos x="0" y="0"/>
                <wp:positionH relativeFrom="column">
                  <wp:posOffset>256491</wp:posOffset>
                </wp:positionH>
                <wp:positionV relativeFrom="paragraph">
                  <wp:posOffset>5619848</wp:posOffset>
                </wp:positionV>
                <wp:extent cx="336061" cy="93785"/>
                <wp:effectExtent l="0" t="0" r="6985" b="1905"/>
                <wp:wrapNone/>
                <wp:docPr id="867065951" name="Rectangle 6"/>
                <wp:cNvGraphicFramePr/>
                <a:graphic xmlns:a="http://schemas.openxmlformats.org/drawingml/2006/main">
                  <a:graphicData uri="http://schemas.microsoft.com/office/word/2010/wordprocessingShape">
                    <wps:wsp>
                      <wps:cNvSpPr/>
                      <wps:spPr>
                        <a:xfrm>
                          <a:off x="0" y="0"/>
                          <a:ext cx="336061" cy="93785"/>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85B1C" id="Rectangle 6" o:spid="_x0000_s1026" style="position:absolute;margin-left:20.2pt;margin-top:442.5pt;width:26.45pt;height: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" fillcolor="white [3212]" stroked="f" strokeweight="1pt"/>
            </w:pict>
          </mc:Fallback>
        </mc:AlternateContent>
      </w:r>
      <w:r w:rsidR="00F426B0" w:rsidRPr="00143B48">
        <w:rPr>
          <w:noProof/>
          <w:u w:val="single"/>
        </w:rPr>
        <w:drawing>
          <wp:inline distT="0" distB="0" distL="0" distR="0" wp14:anchorId="57F6BC10" wp14:editId="6FFAD902">
            <wp:extent cx="5372100" cy="3841029"/>
            <wp:effectExtent l="0" t="0" r="0" b="7620"/>
            <wp:docPr id="538163429" name="Picture 10" descr="Table 7. OASIS 1, OASIS 2, and OASIS 3-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163429" name="Picture 10" descr="Table 7. OASIS 1, OASIS 2, and OASIS 3- Endpoint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18858" cy="3874461"/>
                    </a:xfrm>
                    <a:prstGeom prst="rect">
                      <a:avLst/>
                    </a:prstGeom>
                    <a:noFill/>
                    <a:ln>
                      <a:noFill/>
                    </a:ln>
                  </pic:spPr>
                </pic:pic>
              </a:graphicData>
            </a:graphic>
          </wp:inline>
        </w:drawing>
      </w:r>
    </w:p>
    <w:p w14:paraId="0299AB09" w14:textId="15F7E9B6" w:rsidR="00F426B0" w:rsidRPr="00AD7639" w:rsidRDefault="00F426B0" w:rsidP="00F426B0">
      <w:pPr>
        <w:spacing w:line="240" w:lineRule="auto"/>
      </w:pPr>
      <w:r w:rsidRPr="00AD7639">
        <w:rPr>
          <w:b/>
          <w:bCs/>
        </w:rPr>
        <w:t>Baseline characteristics</w:t>
      </w:r>
      <w:r w:rsidR="00A04E0A" w:rsidRPr="00AD7639">
        <w:t>:</w:t>
      </w:r>
    </w:p>
    <w:p w14:paraId="5C433A34" w14:textId="46479309" w:rsidR="00F426B0" w:rsidRPr="00E00F8A" w:rsidRDefault="00F426B0" w:rsidP="00F426B0">
      <w:pPr>
        <w:spacing w:line="240" w:lineRule="auto"/>
      </w:pPr>
      <w:r w:rsidRPr="00E00F8A">
        <w:t>In both studies, demographics and baseline characteristics were reasonably balanced between groups (pooled study data)</w:t>
      </w:r>
      <w:r w:rsidR="00A04E0A">
        <w:t>.</w:t>
      </w:r>
    </w:p>
    <w:p w14:paraId="1A1CD71B" w14:textId="2D85B3CB" w:rsidR="00F426B0" w:rsidRDefault="00F426B0" w:rsidP="00F426B0">
      <w:pPr>
        <w:pStyle w:val="ListParagraph"/>
        <w:numPr>
          <w:ilvl w:val="0"/>
          <w:numId w:val="18"/>
        </w:numPr>
        <w:adjustRightInd w:val="0"/>
        <w:snapToGrid w:val="0"/>
        <w:spacing w:before="180" w:after="180" w:line="240" w:lineRule="auto"/>
      </w:pPr>
      <w:r w:rsidRPr="00AD7639">
        <w:rPr>
          <w:b/>
          <w:bCs/>
        </w:rPr>
        <w:t>Patient demographics</w:t>
      </w:r>
      <w:r>
        <w:t xml:space="preserve"> (</w:t>
      </w:r>
      <w:r w:rsidR="00C4187C">
        <w:t>T</w:t>
      </w:r>
      <w:r w:rsidR="0087563F">
        <w:t xml:space="preserve">able </w:t>
      </w:r>
      <w:r w:rsidR="00C4187C">
        <w:t>8</w:t>
      </w:r>
      <w:r>
        <w:t>)</w:t>
      </w:r>
      <w:r w:rsidRPr="00E00F8A">
        <w:t xml:space="preserve">: The mean age was </w:t>
      </w:r>
      <w:r w:rsidR="00A04E0A">
        <w:t xml:space="preserve">approximately </w:t>
      </w:r>
      <w:r w:rsidRPr="00E00F8A">
        <w:t>54.5 years</w:t>
      </w:r>
      <w:r>
        <w:t xml:space="preserve"> (range: 40 to 65y)</w:t>
      </w:r>
      <w:r w:rsidRPr="00E00F8A">
        <w:t>. 80% of patients were White, and 17% Black. The mean BMI was 27.8kg/m</w:t>
      </w:r>
      <w:r w:rsidRPr="0056043D">
        <w:rPr>
          <w:vertAlign w:val="superscript"/>
        </w:rPr>
        <w:t>2</w:t>
      </w:r>
      <w:r w:rsidRPr="00E00F8A">
        <w:t xml:space="preserve">. </w:t>
      </w:r>
    </w:p>
    <w:p w14:paraId="51183AD8" w14:textId="508EF1DC" w:rsidR="00EA17F0" w:rsidRDefault="00EA17F0" w:rsidP="00EA17F0">
      <w:pPr>
        <w:pStyle w:val="TableTitle"/>
        <w:rPr>
          <w:lang w:eastAsia="ja-JP"/>
        </w:rPr>
      </w:pPr>
      <w:bookmarkStart w:id="68" w:name="_Ref209530139"/>
      <w:r>
        <w:lastRenderedPageBreak/>
        <w:t xml:space="preserve">Table </w:t>
      </w:r>
      <w:bookmarkEnd w:id="68"/>
      <w:r w:rsidR="000E46C5">
        <w:t>8</w:t>
      </w:r>
      <w:r>
        <w:t xml:space="preserve">. </w:t>
      </w:r>
      <w:r>
        <w:rPr>
          <w:lang w:eastAsia="ja-JP"/>
        </w:rPr>
        <w:t>OASIS 1 and 2 (separate and pooled). Patient d</w:t>
      </w:r>
      <w:r w:rsidRPr="009F6C47">
        <w:rPr>
          <w:lang w:eastAsia="ja-JP"/>
        </w:rPr>
        <w:t>emographics (FAS)</w:t>
      </w:r>
      <w:r w:rsidR="002B59EE">
        <w:rPr>
          <w:lang w:eastAsia="ja-JP"/>
        </w:rPr>
        <w:t>.</w:t>
      </w:r>
    </w:p>
    <w:p w14:paraId="613F9FD5" w14:textId="0DD04F53" w:rsidR="008B47E7" w:rsidRPr="00E00F8A" w:rsidRDefault="00F466A9" w:rsidP="008B47E7">
      <w:pPr>
        <w:adjustRightInd w:val="0"/>
        <w:snapToGrid w:val="0"/>
        <w:spacing w:before="180" w:after="180" w:line="240" w:lineRule="auto"/>
      </w:pPr>
      <w:r>
        <w:rPr>
          <w:noProof/>
        </w:rPr>
        <w:drawing>
          <wp:inline distT="0" distB="0" distL="0" distR="0" wp14:anchorId="6459958C" wp14:editId="7C71C11A">
            <wp:extent cx="5495925" cy="4886345"/>
            <wp:effectExtent l="0" t="0" r="0" b="9525"/>
            <wp:docPr id="415530505" name="Picture 1" descr="Table 8. OASIS 1 and 2 (separate and pooled). Patient demographic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530505" name="Picture 1" descr="Table 8. OASIS 1 and 2 (separate and pooled). Patient demographics (FA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6415" cy="4886781"/>
                    </a:xfrm>
                    <a:prstGeom prst="rect">
                      <a:avLst/>
                    </a:prstGeom>
                    <a:noFill/>
                  </pic:spPr>
                </pic:pic>
              </a:graphicData>
            </a:graphic>
          </wp:inline>
        </w:drawing>
      </w:r>
    </w:p>
    <w:p w14:paraId="5F74D4BD" w14:textId="063F53F7" w:rsidR="00F426B0" w:rsidRDefault="00F426B0" w:rsidP="00F426B0">
      <w:pPr>
        <w:pStyle w:val="ListParagraph"/>
        <w:numPr>
          <w:ilvl w:val="0"/>
          <w:numId w:val="18"/>
        </w:numPr>
        <w:adjustRightInd w:val="0"/>
        <w:snapToGrid w:val="0"/>
        <w:spacing w:before="180" w:after="180" w:line="240" w:lineRule="auto"/>
      </w:pPr>
      <w:r w:rsidRPr="00AD7639">
        <w:rPr>
          <w:b/>
          <w:bCs/>
        </w:rPr>
        <w:t>Disease characteristics</w:t>
      </w:r>
      <w:r>
        <w:t xml:space="preserve"> (</w:t>
      </w:r>
      <w:r>
        <w:fldChar w:fldCharType="begin"/>
      </w:r>
      <w:r>
        <w:instrText xml:space="preserve"> REF _Ref210741577 \h  \* MERGEFORMAT </w:instrText>
      </w:r>
      <w:r>
        <w:fldChar w:fldCharType="separate"/>
      </w:r>
      <w:r>
        <w:t xml:space="preserve">Table </w:t>
      </w:r>
      <w:r>
        <w:fldChar w:fldCharType="end"/>
      </w:r>
      <w:r w:rsidR="000E46C5">
        <w:t>9</w:t>
      </w:r>
      <w:r>
        <w:t>)</w:t>
      </w:r>
      <w:r w:rsidRPr="005524D6">
        <w:t xml:space="preserve">: </w:t>
      </w:r>
      <w:r>
        <w:t xml:space="preserve">38.8% of women had undergone a </w:t>
      </w:r>
      <w:r w:rsidRPr="00E00F8A">
        <w:t>hysterectomy</w:t>
      </w:r>
      <w:r>
        <w:t xml:space="preserve"> and 20.6% an oophorectomy. Prior hormone therapy use was reported for 31.4%. </w:t>
      </w:r>
      <w:r w:rsidRPr="00EB1BE9">
        <w:t>The median duration of amenorrhoea differed between studies and treatment arms. In OASIS 1, it was longer than in OASIS 2, and longer at 7 years in the placebo group as compared to the active group (6 years). In OASIS 2, the median duration was 5.6 years in the active group compared to 4.0 years in the placebo group.</w:t>
      </w:r>
    </w:p>
    <w:p w14:paraId="20123DC4" w14:textId="77777777" w:rsidR="00F426B0" w:rsidRDefault="00F426B0" w:rsidP="00F426B0">
      <w:pPr>
        <w:pStyle w:val="ListParagraph"/>
        <w:spacing w:line="240" w:lineRule="auto"/>
        <w:ind w:left="360"/>
      </w:pPr>
      <w:r w:rsidRPr="005524D6">
        <w:t xml:space="preserve">At baseline, participants had a mean number of 14-15 moderate to severe VMS per day with a mean severity score of approx. 2.5 points. </w:t>
      </w:r>
      <w:r>
        <w:t>The b</w:t>
      </w:r>
      <w:r w:rsidRPr="005524D6">
        <w:t xml:space="preserve">aseline frequency was slightly higher in the placebo group than in the active group in both studies (14.3 vs. 13.4 in OASIS 1, 16.2 vs. 14.7 in OASIS 2). In contrast, </w:t>
      </w:r>
      <w:r>
        <w:t xml:space="preserve">the </w:t>
      </w:r>
      <w:r w:rsidRPr="005524D6">
        <w:t>baseline severity was comparable between treatment groups.</w:t>
      </w:r>
    </w:p>
    <w:p w14:paraId="053575DD" w14:textId="77777777" w:rsidR="00A0424A" w:rsidRDefault="00A0424A" w:rsidP="00F426B0">
      <w:pPr>
        <w:pStyle w:val="ListParagraph"/>
        <w:spacing w:line="240" w:lineRule="auto"/>
        <w:ind w:left="360"/>
      </w:pPr>
    </w:p>
    <w:p w14:paraId="1E51D57E" w14:textId="7314D77A" w:rsidR="00A0424A" w:rsidRDefault="00DE3E9F" w:rsidP="00DE3E9F">
      <w:pPr>
        <w:pStyle w:val="TableTitle"/>
      </w:pPr>
      <w:bookmarkStart w:id="69" w:name="_Ref210741577"/>
      <w:r w:rsidRPr="0003097F">
        <w:lastRenderedPageBreak/>
        <w:t>Table</w:t>
      </w:r>
      <w:bookmarkEnd w:id="69"/>
      <w:r w:rsidR="000E46C5" w:rsidRPr="0003097F">
        <w:t xml:space="preserve"> 9</w:t>
      </w:r>
      <w:r w:rsidRPr="0003097F">
        <w:t>. OASIS 1 and 2</w:t>
      </w:r>
      <w:r w:rsidRPr="00DE3E9F">
        <w:t xml:space="preserve"> (separate and pooled). Medical and surgical history by PT (SAF).</w:t>
      </w:r>
    </w:p>
    <w:p w14:paraId="17F960A3" w14:textId="06981338" w:rsidR="00DE3E9F" w:rsidRDefault="000A102D" w:rsidP="00AD7639">
      <w:r w:rsidRPr="000A102D">
        <w:rPr>
          <w:noProof/>
        </w:rPr>
        <w:drawing>
          <wp:inline distT="0" distB="0" distL="0" distR="0" wp14:anchorId="1325FF0C" wp14:editId="243EC317">
            <wp:extent cx="5668166" cy="3448531"/>
            <wp:effectExtent l="0" t="0" r="8890" b="0"/>
            <wp:docPr id="2068006653" name="Picture 1" descr="Table 9. OASIS 1 and 2 (separate and pooled). Medical and surgical history by PT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006653" name="Picture 1" descr="Table 9. OASIS 1 and 2 (separate and pooled). Medical and surgical history by PT (SAF)."/>
                    <pic:cNvPicPr/>
                  </pic:nvPicPr>
                  <pic:blipFill>
                    <a:blip r:embed="rId29"/>
                    <a:stretch>
                      <a:fillRect/>
                    </a:stretch>
                  </pic:blipFill>
                  <pic:spPr>
                    <a:xfrm>
                      <a:off x="0" y="0"/>
                      <a:ext cx="5668166" cy="3448531"/>
                    </a:xfrm>
                    <a:prstGeom prst="rect">
                      <a:avLst/>
                    </a:prstGeom>
                  </pic:spPr>
                </pic:pic>
              </a:graphicData>
            </a:graphic>
          </wp:inline>
        </w:drawing>
      </w:r>
    </w:p>
    <w:p w14:paraId="76D83947" w14:textId="77777777" w:rsidR="00F426B0" w:rsidRPr="00BA12C5" w:rsidRDefault="00F426B0" w:rsidP="00BA12C5">
      <w:pPr>
        <w:rPr>
          <w:b/>
          <w:bCs/>
        </w:rPr>
      </w:pPr>
      <w:r w:rsidRPr="00BA12C5">
        <w:rPr>
          <w:b/>
          <w:bCs/>
        </w:rPr>
        <w:t>Magnitude of the treatment effect and its clinical significance</w:t>
      </w:r>
    </w:p>
    <w:p w14:paraId="601A5805" w14:textId="77777777" w:rsidR="00F426B0" w:rsidRDefault="00F426B0" w:rsidP="00F426B0">
      <w:pPr>
        <w:spacing w:line="240" w:lineRule="auto"/>
      </w:pPr>
      <w:r w:rsidRPr="00AD7639">
        <w:rPr>
          <w:b/>
          <w:bCs/>
        </w:rPr>
        <w:t>Primary and key secondary efficacy endpoints</w:t>
      </w:r>
      <w:r w:rsidRPr="009A09B9">
        <w:t xml:space="preserve">: </w:t>
      </w:r>
    </w:p>
    <w:p w14:paraId="6DAFA223" w14:textId="77777777" w:rsidR="00F426B0" w:rsidRDefault="00F426B0" w:rsidP="00F426B0">
      <w:pPr>
        <w:spacing w:line="240" w:lineRule="auto"/>
      </w:pPr>
      <w:r>
        <w:t>The pooled results (Studies OASIS 1 and 2) were:</w:t>
      </w:r>
    </w:p>
    <w:p w14:paraId="05EC0F41" w14:textId="4A7486E3" w:rsidR="00F426B0" w:rsidRPr="00064571" w:rsidRDefault="00F426B0" w:rsidP="00F426B0">
      <w:pPr>
        <w:pStyle w:val="ListParagraph"/>
        <w:numPr>
          <w:ilvl w:val="0"/>
          <w:numId w:val="17"/>
        </w:numPr>
        <w:adjustRightInd w:val="0"/>
        <w:snapToGrid w:val="0"/>
        <w:spacing w:before="180" w:after="180" w:line="240" w:lineRule="auto"/>
      </w:pPr>
      <w:r>
        <w:t xml:space="preserve">For the mean change in the </w:t>
      </w:r>
      <w:r w:rsidRPr="00AD7639">
        <w:rPr>
          <w:b/>
          <w:bCs/>
        </w:rPr>
        <w:t>frequency</w:t>
      </w:r>
      <w:r w:rsidRPr="00064571">
        <w:t xml:space="preserve"> of moderate to severe HFs (</w:t>
      </w:r>
      <w:r w:rsidRPr="00064571">
        <w:fldChar w:fldCharType="begin"/>
      </w:r>
      <w:r w:rsidRPr="00064571">
        <w:instrText xml:space="preserve"> REF _Ref210737391 \h  \* MERGEFORMAT </w:instrText>
      </w:r>
      <w:r w:rsidRPr="00064571">
        <w:fldChar w:fldCharType="separate"/>
      </w:r>
      <w:r w:rsidRPr="00064571">
        <w:t xml:space="preserve">Table </w:t>
      </w:r>
      <w:r w:rsidRPr="00064571">
        <w:fldChar w:fldCharType="end"/>
      </w:r>
      <w:r w:rsidR="00064571">
        <w:t>10</w:t>
      </w:r>
      <w:r w:rsidRPr="00064571">
        <w:t>):</w:t>
      </w:r>
    </w:p>
    <w:p w14:paraId="4C11F1E0" w14:textId="77777777" w:rsidR="00F426B0" w:rsidRPr="003730EE" w:rsidRDefault="00F426B0" w:rsidP="00F426B0">
      <w:pPr>
        <w:pStyle w:val="ListParagraph"/>
        <w:numPr>
          <w:ilvl w:val="1"/>
          <w:numId w:val="17"/>
        </w:numPr>
        <w:adjustRightInd w:val="0"/>
        <w:snapToGrid w:val="0"/>
        <w:spacing w:before="180" w:after="180" w:line="240" w:lineRule="auto"/>
      </w:pPr>
      <w:r>
        <w:t xml:space="preserve">from </w:t>
      </w:r>
      <w:r w:rsidRPr="00E16E44">
        <w:t xml:space="preserve">baseline to </w:t>
      </w:r>
      <w:r w:rsidRPr="00AD7639">
        <w:rPr>
          <w:b/>
          <w:bCs/>
        </w:rPr>
        <w:t>week 4</w:t>
      </w:r>
      <w:r w:rsidRPr="00E16E44">
        <w:t>, the LSM difference (95%</w:t>
      </w:r>
      <w:r>
        <w:t xml:space="preserve"> CI) was: -3.11 (-4.06, -2.16).</w:t>
      </w:r>
    </w:p>
    <w:p w14:paraId="6779003B" w14:textId="77777777" w:rsidR="00F426B0" w:rsidRPr="003730EE" w:rsidRDefault="00F426B0" w:rsidP="00F426B0">
      <w:pPr>
        <w:pStyle w:val="ListParagraph"/>
        <w:numPr>
          <w:ilvl w:val="1"/>
          <w:numId w:val="17"/>
        </w:numPr>
        <w:adjustRightInd w:val="0"/>
        <w:snapToGrid w:val="0"/>
        <w:spacing w:before="180" w:after="180" w:line="240" w:lineRule="auto"/>
      </w:pPr>
      <w:r>
        <w:t xml:space="preserve">from baseline to </w:t>
      </w:r>
      <w:r w:rsidRPr="00AD7639">
        <w:rPr>
          <w:b/>
          <w:bCs/>
        </w:rPr>
        <w:t>week 12</w:t>
      </w:r>
      <w:r>
        <w:t>, t</w:t>
      </w:r>
      <w:r w:rsidRPr="003730EE">
        <w:t>he LSM difference</w:t>
      </w:r>
      <w:r>
        <w:t xml:space="preserve"> (95% CI) was: -3.19 (-4.26, -2.13).</w:t>
      </w:r>
    </w:p>
    <w:p w14:paraId="280AB9D1" w14:textId="77777777" w:rsidR="00F426B0" w:rsidRDefault="00F426B0" w:rsidP="00F426B0">
      <w:pPr>
        <w:pStyle w:val="ListParagraph"/>
        <w:numPr>
          <w:ilvl w:val="0"/>
          <w:numId w:val="17"/>
        </w:numPr>
        <w:adjustRightInd w:val="0"/>
        <w:snapToGrid w:val="0"/>
        <w:spacing w:before="180" w:after="180" w:line="240" w:lineRule="auto"/>
      </w:pPr>
      <w:r>
        <w:t xml:space="preserve">For the mean change in the </w:t>
      </w:r>
      <w:r w:rsidRPr="00AD7639">
        <w:rPr>
          <w:b/>
          <w:bCs/>
        </w:rPr>
        <w:t>severity</w:t>
      </w:r>
      <w:r>
        <w:t xml:space="preserve"> of moderate to severe HFs (</w:t>
      </w:r>
      <w:r>
        <w:fldChar w:fldCharType="begin"/>
      </w:r>
      <w:r>
        <w:instrText xml:space="preserve"> REF _Ref210737402 \h  \* MERGEFORMAT </w:instrText>
      </w:r>
      <w:r>
        <w:fldChar w:fldCharType="separate"/>
      </w:r>
      <w:r>
        <w:t xml:space="preserve">Table </w:t>
      </w:r>
      <w:r>
        <w:rPr>
          <w:noProof/>
        </w:rPr>
        <w:t>9</w:t>
      </w:r>
      <w:r>
        <w:fldChar w:fldCharType="end"/>
      </w:r>
      <w:r>
        <w:t>):</w:t>
      </w:r>
    </w:p>
    <w:p w14:paraId="3E874D5C" w14:textId="77777777" w:rsidR="00F426B0" w:rsidRPr="003730EE" w:rsidRDefault="00F426B0" w:rsidP="00F426B0">
      <w:pPr>
        <w:pStyle w:val="ListParagraph"/>
        <w:numPr>
          <w:ilvl w:val="1"/>
          <w:numId w:val="17"/>
        </w:numPr>
        <w:adjustRightInd w:val="0"/>
        <w:snapToGrid w:val="0"/>
        <w:spacing w:before="180" w:after="180" w:line="240" w:lineRule="auto"/>
      </w:pPr>
      <w:r>
        <w:t xml:space="preserve">from baseline to </w:t>
      </w:r>
      <w:r w:rsidRPr="00AD7639">
        <w:rPr>
          <w:b/>
          <w:bCs/>
        </w:rPr>
        <w:t>week 4</w:t>
      </w:r>
      <w:r>
        <w:t>, t</w:t>
      </w:r>
      <w:r w:rsidRPr="003730EE">
        <w:t>he LSM difference</w:t>
      </w:r>
      <w:r>
        <w:t xml:space="preserve"> (95% CI) was: -0.27 (-0.36, -0.19).</w:t>
      </w:r>
    </w:p>
    <w:p w14:paraId="67AF925E" w14:textId="77777777" w:rsidR="00F426B0" w:rsidRDefault="00F426B0" w:rsidP="00F426B0">
      <w:pPr>
        <w:pStyle w:val="ListParagraph"/>
        <w:numPr>
          <w:ilvl w:val="1"/>
          <w:numId w:val="17"/>
        </w:numPr>
        <w:adjustRightInd w:val="0"/>
        <w:snapToGrid w:val="0"/>
        <w:spacing w:before="180" w:after="180" w:line="240" w:lineRule="auto"/>
      </w:pPr>
      <w:r>
        <w:t xml:space="preserve">from baseline to </w:t>
      </w:r>
      <w:r w:rsidRPr="00AD7639">
        <w:rPr>
          <w:b/>
          <w:bCs/>
        </w:rPr>
        <w:t>week 12</w:t>
      </w:r>
      <w:r>
        <w:t>, t</w:t>
      </w:r>
      <w:r w:rsidRPr="003730EE">
        <w:t>he LSM difference</w:t>
      </w:r>
      <w:r>
        <w:t xml:space="preserve"> (95% CI) was: -0.34 (-0.45, -0.24).</w:t>
      </w:r>
    </w:p>
    <w:p w14:paraId="558F1915" w14:textId="355C8337" w:rsidR="00F426B0" w:rsidRPr="007D1DD5" w:rsidRDefault="00F426B0" w:rsidP="004632F2">
      <w:pPr>
        <w:rPr>
          <w:bCs/>
        </w:rPr>
      </w:pPr>
      <w:r>
        <w:t>Week 1 results</w:t>
      </w:r>
      <w:r w:rsidRPr="006408A8">
        <w:t xml:space="preserve"> </w:t>
      </w:r>
      <w:r>
        <w:t>(for frequency only as key secondary endpoint) and i</w:t>
      </w:r>
      <w:r w:rsidRPr="006408A8">
        <w:t xml:space="preserve">ndividual results for OASIS 1 and 2 </w:t>
      </w:r>
      <w:r>
        <w:t xml:space="preserve">and </w:t>
      </w:r>
      <w:r w:rsidRPr="006408A8">
        <w:t xml:space="preserve">are also shown in </w:t>
      </w:r>
      <w:r w:rsidRPr="007D1DD5">
        <w:rPr>
          <w:bCs/>
        </w:rPr>
        <w:fldChar w:fldCharType="begin"/>
      </w:r>
      <w:r w:rsidRPr="007D1DD5">
        <w:rPr>
          <w:bCs/>
        </w:rPr>
        <w:instrText xml:space="preserve"> REF _Ref210737391 \h  \* MERGEFORMAT </w:instrText>
      </w:r>
      <w:r w:rsidRPr="007D1DD5">
        <w:rPr>
          <w:bCs/>
        </w:rPr>
      </w:r>
      <w:r w:rsidRPr="007D1DD5">
        <w:rPr>
          <w:bCs/>
        </w:rPr>
        <w:fldChar w:fldCharType="separate"/>
      </w:r>
      <w:r w:rsidRPr="007D1DD5">
        <w:rPr>
          <w:bCs/>
        </w:rPr>
        <w:t>Table</w:t>
      </w:r>
      <w:r w:rsidR="007D1DD5" w:rsidRPr="007D1DD5">
        <w:rPr>
          <w:bCs/>
        </w:rPr>
        <w:t xml:space="preserve"> </w:t>
      </w:r>
      <w:r w:rsidRPr="007D1DD5">
        <w:rPr>
          <w:bCs/>
        </w:rPr>
        <w:fldChar w:fldCharType="end"/>
      </w:r>
      <w:r w:rsidR="007D1DD5" w:rsidRPr="007D1DD5">
        <w:rPr>
          <w:bCs/>
        </w:rPr>
        <w:t xml:space="preserve">10 </w:t>
      </w:r>
      <w:r w:rsidRPr="007D1DD5">
        <w:rPr>
          <w:bCs/>
        </w:rPr>
        <w:t xml:space="preserve">and </w:t>
      </w:r>
      <w:r w:rsidRPr="007D1DD5">
        <w:rPr>
          <w:bCs/>
        </w:rPr>
        <w:fldChar w:fldCharType="begin"/>
      </w:r>
      <w:r w:rsidRPr="007D1DD5">
        <w:rPr>
          <w:bCs/>
        </w:rPr>
        <w:instrText xml:space="preserve"> REF _Ref210737402 \h  \* MERGEFORMAT </w:instrText>
      </w:r>
      <w:r w:rsidRPr="007D1DD5">
        <w:rPr>
          <w:bCs/>
        </w:rPr>
      </w:r>
      <w:r w:rsidRPr="007D1DD5">
        <w:rPr>
          <w:bCs/>
        </w:rPr>
        <w:fldChar w:fldCharType="separate"/>
      </w:r>
      <w:r w:rsidRPr="007D1DD5">
        <w:rPr>
          <w:bCs/>
        </w:rPr>
        <w:t xml:space="preserve">Table </w:t>
      </w:r>
      <w:r w:rsidRPr="007D1DD5">
        <w:rPr>
          <w:bCs/>
        </w:rPr>
        <w:fldChar w:fldCharType="end"/>
      </w:r>
      <w:r w:rsidR="007D1DD5" w:rsidRPr="007D1DD5">
        <w:rPr>
          <w:bCs/>
        </w:rPr>
        <w:t>11</w:t>
      </w:r>
      <w:r w:rsidRPr="007D1DD5">
        <w:rPr>
          <w:bCs/>
        </w:rPr>
        <w:t xml:space="preserve">. </w:t>
      </w:r>
    </w:p>
    <w:p w14:paraId="46496FCF" w14:textId="552DBB6E" w:rsidR="00064571" w:rsidRDefault="00064571">
      <w:pPr>
        <w:rPr>
          <w:rFonts w:eastAsia="Cambria" w:cs="Times New Roman"/>
          <w:b/>
          <w:szCs w:val="22"/>
        </w:rPr>
      </w:pPr>
      <w:bookmarkStart w:id="70" w:name="_Ref210737391"/>
    </w:p>
    <w:p w14:paraId="6DC21AE9" w14:textId="5E177DFE" w:rsidR="00F426B0" w:rsidRPr="00064571" w:rsidRDefault="00F426B0" w:rsidP="00AD7639">
      <w:pPr>
        <w:pStyle w:val="TableTitle"/>
        <w:keepLines/>
      </w:pPr>
      <w:r w:rsidRPr="00064571">
        <w:lastRenderedPageBreak/>
        <w:t xml:space="preserve">Table </w:t>
      </w:r>
      <w:bookmarkEnd w:id="70"/>
      <w:r w:rsidR="00064571" w:rsidRPr="00064571">
        <w:t>10</w:t>
      </w:r>
      <w:r w:rsidRPr="00064571">
        <w:t xml:space="preserve">. OASIS 1 and OASIS 2 (separate and pooled). Primary endpoint results: Change from baseline in mean frequency of moderate to severe HFs at Week 4 and 12 comparing </w:t>
      </w:r>
      <w:proofErr w:type="spellStart"/>
      <w:r w:rsidRPr="00064571">
        <w:t>elinzanetant</w:t>
      </w:r>
      <w:proofErr w:type="spellEnd"/>
      <w:r w:rsidRPr="00064571">
        <w:t xml:space="preserve"> 120 mg vs. placebo (and Week 1 as key secondary endpoint result) (MMRM analysis) (FAS).</w:t>
      </w:r>
    </w:p>
    <w:p w14:paraId="4A8F4625" w14:textId="2D04A223" w:rsidR="00F426B0" w:rsidRDefault="00D538DB" w:rsidP="00F426B0">
      <w:pPr>
        <w:spacing w:line="240" w:lineRule="auto"/>
      </w:pPr>
      <w:r>
        <w:rPr>
          <w:noProof/>
        </w:rPr>
        <mc:AlternateContent>
          <mc:Choice Requires="wps">
            <w:drawing>
              <wp:anchor distT="0" distB="0" distL="114300" distR="114300" simplePos="0" relativeHeight="251662336" behindDoc="0" locked="0" layoutInCell="1" allowOverlap="1" wp14:anchorId="25CCD33C" wp14:editId="36AFD9C6">
                <wp:simplePos x="0" y="0"/>
                <wp:positionH relativeFrom="column">
                  <wp:posOffset>1233171</wp:posOffset>
                </wp:positionH>
                <wp:positionV relativeFrom="paragraph">
                  <wp:posOffset>2158072</wp:posOffset>
                </wp:positionV>
                <wp:extent cx="1031582" cy="132861"/>
                <wp:effectExtent l="0" t="0" r="0" b="635"/>
                <wp:wrapNone/>
                <wp:docPr id="1478375351" name="Rectangle 7"/>
                <wp:cNvGraphicFramePr/>
                <a:graphic xmlns:a="http://schemas.openxmlformats.org/drawingml/2006/main">
                  <a:graphicData uri="http://schemas.microsoft.com/office/word/2010/wordprocessingShape">
                    <wps:wsp>
                      <wps:cNvSpPr/>
                      <wps:spPr>
                        <a:xfrm>
                          <a:off x="0" y="0"/>
                          <a:ext cx="1031582" cy="132861"/>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C7337" id="Rectangle 7" o:spid="_x0000_s1026" style="position:absolute;margin-left:97.1pt;margin-top:169.95pt;width:81.25pt;height:1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" fillcolor="white [3212]" stroked="f" strokeweight="1pt"/>
            </w:pict>
          </mc:Fallback>
        </mc:AlternateContent>
      </w:r>
      <w:r w:rsidR="00F426B0" w:rsidRPr="001F3798">
        <w:rPr>
          <w:noProof/>
        </w:rPr>
        <w:drawing>
          <wp:inline distT="0" distB="0" distL="0" distR="0" wp14:anchorId="2F6184EC" wp14:editId="44AB443C">
            <wp:extent cx="5745106" cy="2592125"/>
            <wp:effectExtent l="0" t="0" r="8255" b="0"/>
            <wp:docPr id="1058432707" name="Picture 5" descr="Table 10. OASIS 1 and OASIS 2 (separate and pooled). Primary endpoint results: Change from baseline in mean frequency of moderate to severe HFs at Week 4 and 12 comparing elinzanetant 120 mg vs. placebo (and Week 1 as key secondary endpoint result) (MMRM analysi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32707" name="Picture 5" descr="Table 10. OASIS 1 and OASIS 2 (separate and pooled). Primary endpoint results: Change from baseline in mean frequency of moderate to severe HFs at Week 4 and 12 comparing elinzanetant 120 mg vs. placebo (and Week 1 as key secondary endpoint result) (MMRM analysis) (FA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5285" cy="2601230"/>
                    </a:xfrm>
                    <a:prstGeom prst="rect">
                      <a:avLst/>
                    </a:prstGeom>
                    <a:noFill/>
                    <a:ln>
                      <a:noFill/>
                    </a:ln>
                  </pic:spPr>
                </pic:pic>
              </a:graphicData>
            </a:graphic>
          </wp:inline>
        </w:drawing>
      </w:r>
    </w:p>
    <w:p w14:paraId="7582C9B0" w14:textId="2044DA5C" w:rsidR="00F426B0" w:rsidRDefault="00F426B0" w:rsidP="00A736A3">
      <w:pPr>
        <w:pStyle w:val="TableTitle"/>
      </w:pPr>
      <w:bookmarkStart w:id="71" w:name="_Ref210737402"/>
      <w:r>
        <w:t>Table</w:t>
      </w:r>
      <w:bookmarkEnd w:id="71"/>
      <w:r w:rsidR="007D1DD5">
        <w:t xml:space="preserve"> 11</w:t>
      </w:r>
      <w:r>
        <w:t xml:space="preserve">. </w:t>
      </w:r>
      <w:r w:rsidRPr="009E2672">
        <w:t xml:space="preserve">OASIS 1 and OASIS 2 (separate and pooled). </w:t>
      </w:r>
      <w:r>
        <w:t>Key secondary</w:t>
      </w:r>
      <w:r w:rsidRPr="009E2672">
        <w:t xml:space="preserve"> endpoint results: Change from baseline in mean </w:t>
      </w:r>
      <w:r>
        <w:t>severity</w:t>
      </w:r>
      <w:r w:rsidRPr="009E2672">
        <w:t xml:space="preserve"> of moderate to severe HFs at Week 4 and 12 comparing </w:t>
      </w:r>
      <w:proofErr w:type="spellStart"/>
      <w:r w:rsidRPr="009E2672">
        <w:t>elinzanetant</w:t>
      </w:r>
      <w:proofErr w:type="spellEnd"/>
      <w:r w:rsidRPr="009E2672">
        <w:t xml:space="preserve"> 120 mg vs. placebo (MMRM analysis) (FAS).</w:t>
      </w:r>
    </w:p>
    <w:p w14:paraId="35805362" w14:textId="77777777" w:rsidR="00F426B0" w:rsidRDefault="00F426B0" w:rsidP="00F426B0">
      <w:pPr>
        <w:spacing w:line="240" w:lineRule="auto"/>
      </w:pPr>
      <w:r w:rsidRPr="005E0F98">
        <w:rPr>
          <w:noProof/>
        </w:rPr>
        <w:drawing>
          <wp:inline distT="0" distB="0" distL="0" distR="0" wp14:anchorId="4D9F8892" wp14:editId="21DBD181">
            <wp:extent cx="5645859" cy="1812897"/>
            <wp:effectExtent l="0" t="0" r="0" b="0"/>
            <wp:docPr id="671481236" name="Picture 4" descr="Table 11. OASIS 1 and OASIS 2 (separate and pooled). Key secondary endpoint results: Change from baseline in mean severity of moderate to severe HFs at Week 4 and 12 comparing elinzanetant 120 mg vs. placebo (MMRM analysi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81236" name="Picture 4" descr="Table 11. OASIS 1 and OASIS 2 (separate and pooled). Key secondary endpoint results: Change from baseline in mean severity of moderate to severe HFs at Week 4 and 12 comparing elinzanetant 120 mg vs. placebo (MMRM analysis) (F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56893" cy="1816440"/>
                    </a:xfrm>
                    <a:prstGeom prst="rect">
                      <a:avLst/>
                    </a:prstGeom>
                    <a:noFill/>
                    <a:ln>
                      <a:noFill/>
                    </a:ln>
                  </pic:spPr>
                </pic:pic>
              </a:graphicData>
            </a:graphic>
          </wp:inline>
        </w:drawing>
      </w:r>
    </w:p>
    <w:p w14:paraId="170BA68E" w14:textId="77777777" w:rsidR="00F426B0" w:rsidRDefault="00F426B0" w:rsidP="00F426B0">
      <w:pPr>
        <w:spacing w:line="240" w:lineRule="auto"/>
      </w:pPr>
      <w:r w:rsidRPr="009D42B0">
        <w:t>Sensitivity analyses using the Per-Protocol population showed similar results.</w:t>
      </w:r>
    </w:p>
    <w:p w14:paraId="350141CB" w14:textId="77777777" w:rsidR="00F426B0" w:rsidRDefault="00F426B0" w:rsidP="00F426B0">
      <w:pPr>
        <w:spacing w:line="240" w:lineRule="auto"/>
      </w:pPr>
      <w:r>
        <w:t>The above results are supported by favourable results of the key secondary endpoints of:</w:t>
      </w:r>
    </w:p>
    <w:p w14:paraId="0C45E908" w14:textId="09CA58A5" w:rsidR="00F426B0" w:rsidRDefault="00F426B0" w:rsidP="00AD7639">
      <w:pPr>
        <w:pStyle w:val="ListBullet"/>
      </w:pPr>
      <w:r>
        <w:t>Mean change in PROMIS SD SF 8b total score from baseline to Week 12 (</w:t>
      </w:r>
      <w:r w:rsidR="00166818">
        <w:t xml:space="preserve">Table </w:t>
      </w:r>
      <w:r w:rsidR="005171A0">
        <w:t>12</w:t>
      </w:r>
      <w:r>
        <w:t>).</w:t>
      </w:r>
    </w:p>
    <w:p w14:paraId="71099B0A" w14:textId="2E76698D" w:rsidR="00F426B0" w:rsidRDefault="00F426B0" w:rsidP="00AD7639">
      <w:pPr>
        <w:pStyle w:val="ListBullet"/>
      </w:pPr>
      <w:r>
        <w:t>Mean change in MENQOL total score from baseline to Week 12 (</w:t>
      </w:r>
      <w:r>
        <w:fldChar w:fldCharType="begin"/>
      </w:r>
      <w:r>
        <w:instrText xml:space="preserve"> REF _Ref210741843 \h  \* MERGEFORMAT </w:instrText>
      </w:r>
      <w:r>
        <w:fldChar w:fldCharType="separate"/>
      </w:r>
      <w:r>
        <w:t>Table</w:t>
      </w:r>
      <w:r w:rsidR="005171A0">
        <w:t xml:space="preserve"> </w:t>
      </w:r>
      <w:r>
        <w:fldChar w:fldCharType="end"/>
      </w:r>
      <w:r w:rsidR="005171A0">
        <w:t>13</w:t>
      </w:r>
      <w:r>
        <w:t>).</w:t>
      </w:r>
    </w:p>
    <w:p w14:paraId="188DC53F" w14:textId="2576C12E" w:rsidR="00F426B0" w:rsidRDefault="00F426B0" w:rsidP="00F55617">
      <w:pPr>
        <w:pStyle w:val="TableTitle"/>
      </w:pPr>
      <w:bookmarkStart w:id="72" w:name="_Ref210741838"/>
      <w:r>
        <w:t xml:space="preserve">Table </w:t>
      </w:r>
      <w:bookmarkEnd w:id="72"/>
      <w:r w:rsidR="005171A0">
        <w:t>12</w:t>
      </w:r>
      <w:r>
        <w:t xml:space="preserve">. </w:t>
      </w:r>
      <w:r w:rsidRPr="00684FE8">
        <w:t xml:space="preserve">OASIS 1 and OASIS 2 (separate and pooled). Key secondary endpoint results: </w:t>
      </w:r>
      <w:r>
        <w:t>PROMIS SD SF 8b total T-score change from baseline to Week 12</w:t>
      </w:r>
      <w:r w:rsidRPr="00684FE8">
        <w:t xml:space="preserve"> (MMRM analysis) (FAS).</w:t>
      </w:r>
    </w:p>
    <w:p w14:paraId="11D4CA0C" w14:textId="7541CAB0" w:rsidR="00F426B0" w:rsidRDefault="00E875D1" w:rsidP="00F426B0">
      <w:pPr>
        <w:spacing w:line="240" w:lineRule="auto"/>
      </w:pPr>
      <w:r>
        <w:rPr>
          <w:noProof/>
        </w:rPr>
        <mc:AlternateContent>
          <mc:Choice Requires="wps">
            <w:drawing>
              <wp:anchor distT="0" distB="0" distL="114300" distR="114300" simplePos="0" relativeHeight="251663360" behindDoc="0" locked="0" layoutInCell="1" allowOverlap="1" wp14:anchorId="7B0AA2EE" wp14:editId="0D614BE6">
                <wp:simplePos x="0" y="0"/>
                <wp:positionH relativeFrom="column">
                  <wp:posOffset>80645</wp:posOffset>
                </wp:positionH>
                <wp:positionV relativeFrom="paragraph">
                  <wp:posOffset>1159511</wp:posOffset>
                </wp:positionV>
                <wp:extent cx="5372100" cy="326390"/>
                <wp:effectExtent l="0" t="0" r="0" b="0"/>
                <wp:wrapNone/>
                <wp:docPr id="928493913" name="Rectangle 8"/>
                <wp:cNvGraphicFramePr/>
                <a:graphic xmlns:a="http://schemas.openxmlformats.org/drawingml/2006/main">
                  <a:graphicData uri="http://schemas.microsoft.com/office/word/2010/wordprocessingShape">
                    <wps:wsp>
                      <wps:cNvSpPr/>
                      <wps:spPr>
                        <a:xfrm>
                          <a:off x="0" y="0"/>
                          <a:ext cx="5372100" cy="32639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DA9CE" id="Rectangle 8" o:spid="_x0000_s1026" style="position:absolute;margin-left:6.35pt;margin-top:91.3pt;width:423pt;height:2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" fillcolor="white [3212]" stroked="f" strokeweight="1pt"/>
            </w:pict>
          </mc:Fallback>
        </mc:AlternateContent>
      </w:r>
      <w:r w:rsidR="00F55617">
        <w:rPr>
          <w:noProof/>
        </w:rPr>
        <mc:AlternateContent>
          <mc:Choice Requires="wps">
            <w:drawing>
              <wp:anchor distT="0" distB="0" distL="114300" distR="114300" simplePos="0" relativeHeight="251665408" behindDoc="0" locked="0" layoutInCell="1" allowOverlap="1" wp14:anchorId="2A349716" wp14:editId="22CCEA61">
                <wp:simplePos x="0" y="0"/>
                <wp:positionH relativeFrom="column">
                  <wp:posOffset>-189231</wp:posOffset>
                </wp:positionH>
                <wp:positionV relativeFrom="paragraph">
                  <wp:posOffset>1229946</wp:posOffset>
                </wp:positionV>
                <wp:extent cx="648677" cy="117231"/>
                <wp:effectExtent l="0" t="0" r="0" b="0"/>
                <wp:wrapNone/>
                <wp:docPr id="157058936" name="Rectangle 8"/>
                <wp:cNvGraphicFramePr/>
                <a:graphic xmlns:a="http://schemas.openxmlformats.org/drawingml/2006/main">
                  <a:graphicData uri="http://schemas.microsoft.com/office/word/2010/wordprocessingShape">
                    <wps:wsp>
                      <wps:cNvSpPr/>
                      <wps:spPr>
                        <a:xfrm>
                          <a:off x="0" y="0"/>
                          <a:ext cx="648677" cy="117231"/>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5035B7" id="Rectangle 8" o:spid="_x0000_s1026" style="position:absolute;margin-left:-14.9pt;margin-top:96.85pt;width:51.1pt;height: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" fillcolor="window" stroked="f" strokeweight="1pt"/>
            </w:pict>
          </mc:Fallback>
        </mc:AlternateContent>
      </w:r>
      <w:r w:rsidR="00F426B0" w:rsidRPr="00712710">
        <w:rPr>
          <w:noProof/>
        </w:rPr>
        <w:drawing>
          <wp:inline distT="0" distB="0" distL="0" distR="0" wp14:anchorId="51A1716F" wp14:editId="7EF3784A">
            <wp:extent cx="5631556" cy="1466850"/>
            <wp:effectExtent l="0" t="0" r="7620" b="0"/>
            <wp:docPr id="836974935" name="Picture 7" descr="Table 12. OASIS 1 and OASIS 2 (separate and pooled). Key secondary endpoint results: PROMIS SD SF 8b total T-score change from baseline to Week 12 (MMRM analysi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74935" name="Picture 7" descr="Table 12. OASIS 1 and OASIS 2 (separate and pooled). Key secondary endpoint results: PROMIS SD SF 8b total T-score change from baseline to Week 12 (MMRM analysis) (FA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51072" cy="1471933"/>
                    </a:xfrm>
                    <a:prstGeom prst="rect">
                      <a:avLst/>
                    </a:prstGeom>
                    <a:noFill/>
                    <a:ln>
                      <a:noFill/>
                    </a:ln>
                  </pic:spPr>
                </pic:pic>
              </a:graphicData>
            </a:graphic>
          </wp:inline>
        </w:drawing>
      </w:r>
    </w:p>
    <w:p w14:paraId="2B57DEC4" w14:textId="17071FD5" w:rsidR="00F426B0" w:rsidRDefault="00F426B0" w:rsidP="00166818">
      <w:pPr>
        <w:pStyle w:val="TableTitle"/>
      </w:pPr>
      <w:bookmarkStart w:id="73" w:name="_Ref210741843"/>
      <w:r>
        <w:lastRenderedPageBreak/>
        <w:t xml:space="preserve">Table </w:t>
      </w:r>
      <w:bookmarkEnd w:id="73"/>
      <w:r w:rsidR="00166818">
        <w:t>13</w:t>
      </w:r>
      <w:r>
        <w:t xml:space="preserve">. </w:t>
      </w:r>
      <w:r w:rsidRPr="00684FE8">
        <w:t xml:space="preserve">OASIS 1 and OASIS 2 (separate and pooled). Key secondary endpoint results: </w:t>
      </w:r>
      <w:r>
        <w:t>Mean change in MENQOL total score from baseline to Week 12</w:t>
      </w:r>
      <w:r w:rsidRPr="00684FE8">
        <w:t xml:space="preserve"> (MMRM analysis) (FAS).</w:t>
      </w:r>
    </w:p>
    <w:p w14:paraId="6509C5B7" w14:textId="77777777" w:rsidR="00F426B0" w:rsidRPr="006C2717" w:rsidRDefault="00F426B0" w:rsidP="00AD7639">
      <w:r w:rsidRPr="00F82B25">
        <w:rPr>
          <w:noProof/>
        </w:rPr>
        <w:drawing>
          <wp:inline distT="0" distB="0" distL="0" distR="0" wp14:anchorId="6CB61E0C" wp14:editId="10BA5187">
            <wp:extent cx="5287010" cy="981603"/>
            <wp:effectExtent l="0" t="0" r="0" b="9525"/>
            <wp:docPr id="535631512" name="Picture 6" descr="Table 13. OASIS 1 and OASIS 2 (separate and pooled). Key secondary endpoint results: Mean change in MENQOL total score from baseline to Week 12 (MMRM analysis)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631512" name="Picture 6" descr="Table 13. OASIS 1 and OASIS 2 (separate and pooled). Key secondary endpoint results: Mean change in MENQOL total score from baseline to Week 12 (MMRM analysis) (FA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6391" cy="987058"/>
                    </a:xfrm>
                    <a:prstGeom prst="rect">
                      <a:avLst/>
                    </a:prstGeom>
                    <a:noFill/>
                    <a:ln>
                      <a:noFill/>
                    </a:ln>
                  </pic:spPr>
                </pic:pic>
              </a:graphicData>
            </a:graphic>
          </wp:inline>
        </w:drawing>
      </w:r>
    </w:p>
    <w:p w14:paraId="42F2E661" w14:textId="77777777" w:rsidR="00F426B0" w:rsidRPr="00BA12C5" w:rsidRDefault="00F426B0" w:rsidP="00BA12C5">
      <w:pPr>
        <w:rPr>
          <w:b/>
          <w:bCs/>
        </w:rPr>
      </w:pPr>
      <w:r w:rsidRPr="00BA12C5">
        <w:rPr>
          <w:b/>
          <w:bCs/>
        </w:rPr>
        <w:t>Subgroup analyses of the primary endpoints</w:t>
      </w:r>
    </w:p>
    <w:p w14:paraId="7B7CFC77" w14:textId="77777777" w:rsidR="00F426B0" w:rsidRDefault="00F426B0" w:rsidP="00F426B0">
      <w:pPr>
        <w:spacing w:line="240" w:lineRule="auto"/>
      </w:pPr>
      <w:r>
        <w:t>Pre-specified s</w:t>
      </w:r>
      <w:r w:rsidRPr="00E046ED">
        <w:t xml:space="preserve">ubgroup analyses were conducted for BMI, race, ethnicity, smoking history and geographic region. </w:t>
      </w:r>
      <w:r w:rsidRPr="00BF3A2B">
        <w:t xml:space="preserve">The results </w:t>
      </w:r>
      <w:r>
        <w:t>of</w:t>
      </w:r>
      <w:r w:rsidRPr="00BF3A2B">
        <w:t xml:space="preserve"> the pre-</w:t>
      </w:r>
      <w:r>
        <w:t>specified</w:t>
      </w:r>
      <w:r w:rsidRPr="00BF3A2B">
        <w:t xml:space="preserve"> sensitivity analyses were consistent with those of the primary analyses</w:t>
      </w:r>
      <w:r>
        <w:t xml:space="preserve"> (including those for the requested </w:t>
      </w:r>
      <w:r w:rsidRPr="00175AD0">
        <w:rPr>
          <w:i/>
          <w:iCs/>
        </w:rPr>
        <w:t xml:space="preserve">post hoc </w:t>
      </w:r>
      <w:r>
        <w:t xml:space="preserve">analyses </w:t>
      </w:r>
      <w:proofErr w:type="gramStart"/>
      <w:r>
        <w:t>with regard to</w:t>
      </w:r>
      <w:proofErr w:type="gramEnd"/>
      <w:r>
        <w:t xml:space="preserve"> age, </w:t>
      </w:r>
      <w:r w:rsidRPr="000A7ECF">
        <w:t>baseline frequency</w:t>
      </w:r>
      <w:r>
        <w:t xml:space="preserve">, and </w:t>
      </w:r>
      <w:r w:rsidRPr="000A7ECF">
        <w:t>baseline severity</w:t>
      </w:r>
      <w:r>
        <w:t xml:space="preserve">). </w:t>
      </w:r>
      <w:r w:rsidRPr="00BF3A2B">
        <w:t xml:space="preserve">Furthermore, the supplementary analyses showed robustness of results from primary analyses </w:t>
      </w:r>
      <w:proofErr w:type="gramStart"/>
      <w:r>
        <w:t>with regard to</w:t>
      </w:r>
      <w:proofErr w:type="gramEnd"/>
      <w:r w:rsidRPr="00BF3A2B">
        <w:t xml:space="preserve"> intercurrent events.</w:t>
      </w:r>
    </w:p>
    <w:p w14:paraId="420CFE9F" w14:textId="77777777" w:rsidR="00174FEF" w:rsidRPr="00F55617" w:rsidRDefault="00174FEF" w:rsidP="00F55617">
      <w:pPr>
        <w:pStyle w:val="Heading5"/>
      </w:pPr>
      <w:r w:rsidRPr="00F55617">
        <w:t>Supportive long-term phase 3 Study OASIS 3</w:t>
      </w:r>
    </w:p>
    <w:p w14:paraId="0790F1BB" w14:textId="77777777" w:rsidR="00174FEF" w:rsidRPr="00F55617" w:rsidRDefault="00174FEF" w:rsidP="00F55617">
      <w:pPr>
        <w:rPr>
          <w:b/>
          <w:bCs/>
        </w:rPr>
      </w:pPr>
      <w:r w:rsidRPr="00F55617">
        <w:rPr>
          <w:b/>
          <w:bCs/>
        </w:rPr>
        <w:t>Design</w:t>
      </w:r>
    </w:p>
    <w:p w14:paraId="5E964FD9" w14:textId="1AB2C092" w:rsidR="00174FEF" w:rsidRDefault="00174FEF" w:rsidP="00174FEF">
      <w:pPr>
        <w:spacing w:line="240" w:lineRule="auto"/>
      </w:pPr>
      <w:r>
        <w:t>Supportive, phase 3, randomised, double-blind, parallel-group (1:1), placebo-controlled, multi-centre 52-week study</w:t>
      </w:r>
      <w:r w:rsidRPr="00EE621D">
        <w:t xml:space="preserve"> </w:t>
      </w:r>
      <w:r>
        <w:t>in 628 postmenopausal women</w:t>
      </w:r>
      <w:r w:rsidR="00FB143F">
        <w:t xml:space="preserve"> (Figure </w:t>
      </w:r>
      <w:r w:rsidR="00EF0F41">
        <w:t>4</w:t>
      </w:r>
      <w:r w:rsidR="00FB143F">
        <w:t>)</w:t>
      </w:r>
      <w:r>
        <w:t>. The</w:t>
      </w:r>
      <w:r w:rsidRPr="00345CB0">
        <w:t xml:space="preserve"> study was conducted at 75 centres in North America and Europe from August 2021 to February 2024</w:t>
      </w:r>
      <w:r>
        <w:t>.</w:t>
      </w:r>
    </w:p>
    <w:p w14:paraId="47822B85" w14:textId="77777777" w:rsidR="00174FEF" w:rsidRDefault="00174FEF" w:rsidP="00174FEF">
      <w:pPr>
        <w:spacing w:line="240" w:lineRule="auto"/>
      </w:pPr>
      <w:r>
        <w:t xml:space="preserve">It had a primary efficacy endpoint of mean change in frequency of moderate to severe HFs from baseline to week 12 and a long-term safety evaluation up to 52 weeks. The study did not contain a HF severity endpoint. The inclusion criteria were </w:t>
      </w:r>
      <w:proofErr w:type="gramStart"/>
      <w:r>
        <w:t>similar to</w:t>
      </w:r>
      <w:proofErr w:type="gramEnd"/>
      <w:r>
        <w:t xml:space="preserve"> the OASIS 1/2 studies, but no minimum disease severity was required.</w:t>
      </w:r>
    </w:p>
    <w:p w14:paraId="7F1648FB" w14:textId="0DDE5688" w:rsidR="00F55617" w:rsidRPr="00F55617" w:rsidRDefault="00F55617" w:rsidP="00F55617">
      <w:pPr>
        <w:pStyle w:val="FigureTitle"/>
      </w:pPr>
      <w:r w:rsidRPr="00F55617">
        <w:t xml:space="preserve">Figure </w:t>
      </w:r>
      <w:r w:rsidR="00EF0F41">
        <w:t>4</w:t>
      </w:r>
      <w:r w:rsidRPr="00F55617">
        <w:t>. OASIS 3</w:t>
      </w:r>
      <w:r w:rsidR="00EF0F41">
        <w:t>-</w:t>
      </w:r>
      <w:r w:rsidRPr="00F55617">
        <w:t xml:space="preserve"> Study design schema.</w:t>
      </w:r>
    </w:p>
    <w:p w14:paraId="67CC7889" w14:textId="77777777" w:rsidR="00174FEF" w:rsidRDefault="00174FEF" w:rsidP="00174FEF">
      <w:pPr>
        <w:spacing w:line="240" w:lineRule="auto"/>
      </w:pPr>
      <w:r w:rsidRPr="00353348">
        <w:rPr>
          <w:noProof/>
        </w:rPr>
        <w:drawing>
          <wp:inline distT="0" distB="0" distL="0" distR="0" wp14:anchorId="192A2B96" wp14:editId="52FF64CB">
            <wp:extent cx="5729837" cy="1190736"/>
            <wp:effectExtent l="0" t="0" r="4445" b="9525"/>
            <wp:docPr id="1182" name="Grafik 1182" descr="Figure 4. OASIS 3- Study design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Grafik 1182" descr="Figure 4. OASIS 3- Study design schema."/>
                    <pic:cNvPicPr/>
                  </pic:nvPicPr>
                  <pic:blipFill rotWithShape="1">
                    <a:blip r:embed="rId34"/>
                    <a:srcRect t="20240"/>
                    <a:stretch>
                      <a:fillRect/>
                    </a:stretch>
                  </pic:blipFill>
                  <pic:spPr bwMode="auto">
                    <a:xfrm>
                      <a:off x="0" y="0"/>
                      <a:ext cx="5731510" cy="1191084"/>
                    </a:xfrm>
                    <a:prstGeom prst="rect">
                      <a:avLst/>
                    </a:prstGeom>
                    <a:ln>
                      <a:noFill/>
                    </a:ln>
                    <a:extLst>
                      <a:ext uri="{53640926-AAD7-44D8-BBD7-CCE9431645EC}">
                        <a14:shadowObscured xmlns:a14="http://schemas.microsoft.com/office/drawing/2010/main"/>
                      </a:ext>
                    </a:extLst>
                  </pic:spPr>
                </pic:pic>
              </a:graphicData>
            </a:graphic>
          </wp:inline>
        </w:drawing>
      </w:r>
    </w:p>
    <w:p w14:paraId="6C2209E9" w14:textId="77777777" w:rsidR="00174FEF" w:rsidRPr="00F20A65" w:rsidRDefault="00174FEF" w:rsidP="00F20A65">
      <w:pPr>
        <w:rPr>
          <w:b/>
          <w:bCs/>
        </w:rPr>
      </w:pPr>
      <w:r w:rsidRPr="00F20A65">
        <w:rPr>
          <w:b/>
          <w:bCs/>
        </w:rPr>
        <w:t>Magnitude of the treatment effect and its clinical significance</w:t>
      </w:r>
    </w:p>
    <w:p w14:paraId="70E32E6C" w14:textId="11F79F40" w:rsidR="00174FEF" w:rsidRDefault="00174FEF" w:rsidP="00174FEF">
      <w:pPr>
        <w:spacing w:line="240" w:lineRule="auto"/>
      </w:pPr>
      <w:r>
        <w:t>For the mean change in the frequency of moderate to severe HFs from baseline to week 12, the LSM difference (95% CI) was: -1.55 (-2.04, -1.05) (</w:t>
      </w:r>
      <w:r>
        <w:fldChar w:fldCharType="begin"/>
      </w:r>
      <w:r>
        <w:instrText xml:space="preserve"> REF _Ref211094092 \h  \* MERGEFORMAT </w:instrText>
      </w:r>
      <w:r>
        <w:fldChar w:fldCharType="separate"/>
      </w:r>
      <w:r>
        <w:t xml:space="preserve">Table </w:t>
      </w:r>
      <w:r>
        <w:fldChar w:fldCharType="end"/>
      </w:r>
      <w:r w:rsidR="00556243">
        <w:t>14</w:t>
      </w:r>
      <w:r>
        <w:t>). Elinzanetant showed a statistically significant outcome on the primary HF frequency endpoint with a stable effect as evaluated up to Week 50 based on descriptive statistics.</w:t>
      </w:r>
    </w:p>
    <w:p w14:paraId="5678CBF6" w14:textId="59FFF685" w:rsidR="00174FEF" w:rsidRDefault="00174FEF" w:rsidP="002D2A38">
      <w:pPr>
        <w:pStyle w:val="TableTitle"/>
      </w:pPr>
      <w:bookmarkStart w:id="74" w:name="_Ref211094092"/>
      <w:r>
        <w:lastRenderedPageBreak/>
        <w:t>Table</w:t>
      </w:r>
      <w:bookmarkEnd w:id="74"/>
      <w:r w:rsidR="00DF64E1">
        <w:t xml:space="preserve"> 14</w:t>
      </w:r>
      <w:r>
        <w:t>. OASIS 3. Primary endpoint: Mean change in frequency of moderate to severe HFs from baseline to Week 12 (FAS).</w:t>
      </w:r>
    </w:p>
    <w:p w14:paraId="73357767" w14:textId="299ACE4B" w:rsidR="00174FEF" w:rsidRDefault="00F20A65" w:rsidP="00174FEF">
      <w:pPr>
        <w:spacing w:line="240" w:lineRule="auto"/>
      </w:pPr>
      <w:r>
        <w:rPr>
          <w:noProof/>
        </w:rPr>
        <mc:AlternateContent>
          <mc:Choice Requires="wps">
            <w:drawing>
              <wp:anchor distT="0" distB="0" distL="114300" distR="114300" simplePos="0" relativeHeight="251666432" behindDoc="0" locked="0" layoutInCell="1" allowOverlap="1" wp14:anchorId="32E8D350" wp14:editId="2C4DF999">
                <wp:simplePos x="0" y="0"/>
                <wp:positionH relativeFrom="column">
                  <wp:posOffset>52070</wp:posOffset>
                </wp:positionH>
                <wp:positionV relativeFrom="paragraph">
                  <wp:posOffset>1971675</wp:posOffset>
                </wp:positionV>
                <wp:extent cx="4191000" cy="228600"/>
                <wp:effectExtent l="0" t="0" r="0" b="0"/>
                <wp:wrapNone/>
                <wp:docPr id="1201128223" name="Rectangle 9"/>
                <wp:cNvGraphicFramePr/>
                <a:graphic xmlns:a="http://schemas.openxmlformats.org/drawingml/2006/main">
                  <a:graphicData uri="http://schemas.microsoft.com/office/word/2010/wordprocessingShape">
                    <wps:wsp>
                      <wps:cNvSpPr/>
                      <wps:spPr>
                        <a:xfrm>
                          <a:off x="0" y="0"/>
                          <a:ext cx="4191000" cy="2286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8E8CF" id="Rectangle 9" o:spid="_x0000_s1026" style="position:absolute;margin-left:4.1pt;margin-top:155.25pt;width:33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" fillcolor="white [3212]" stroked="f" strokeweight="1pt"/>
            </w:pict>
          </mc:Fallback>
        </mc:AlternateContent>
      </w:r>
      <w:r w:rsidR="00174FEF" w:rsidRPr="00184832">
        <w:rPr>
          <w:noProof/>
        </w:rPr>
        <w:drawing>
          <wp:inline distT="0" distB="0" distL="0" distR="0" wp14:anchorId="2C564BAB" wp14:editId="599590F5">
            <wp:extent cx="5351145" cy="2126144"/>
            <wp:effectExtent l="0" t="0" r="1905" b="7620"/>
            <wp:docPr id="872335687" name="Picture 1" descr="Table 14. OASIS 3. Primary endpoint: Mean change in frequency of moderate to severe HFs from baseline to Week 12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35687" name="Picture 1" descr="Table 14. OASIS 3. Primary endpoint: Mean change in frequency of moderate to severe HFs from baseline to Week 12 (FA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59111" cy="2129309"/>
                    </a:xfrm>
                    <a:prstGeom prst="rect">
                      <a:avLst/>
                    </a:prstGeom>
                    <a:noFill/>
                    <a:ln>
                      <a:noFill/>
                    </a:ln>
                  </pic:spPr>
                </pic:pic>
              </a:graphicData>
            </a:graphic>
          </wp:inline>
        </w:drawing>
      </w:r>
    </w:p>
    <w:p w14:paraId="62051BE3" w14:textId="77777777" w:rsidR="00174FEF" w:rsidRPr="00F20A65" w:rsidRDefault="00174FEF" w:rsidP="00F20A65">
      <w:pPr>
        <w:pStyle w:val="Heading4"/>
      </w:pPr>
      <w:bookmarkStart w:id="75" w:name="_Toc223341695"/>
      <w:r w:rsidRPr="00F20A65">
        <w:t>Safety</w:t>
      </w:r>
      <w:bookmarkEnd w:id="75"/>
    </w:p>
    <w:p w14:paraId="790BB59E" w14:textId="77777777" w:rsidR="00174FEF" w:rsidRDefault="00174FEF" w:rsidP="00F20A65">
      <w:pPr>
        <w:pStyle w:val="Heading5"/>
        <w:rPr>
          <w:lang w:eastAsia="ja-JP"/>
        </w:rPr>
      </w:pPr>
      <w:r w:rsidRPr="00462103">
        <w:rPr>
          <w:lang w:eastAsia="ja-JP"/>
        </w:rPr>
        <w:t>Exposure</w:t>
      </w:r>
    </w:p>
    <w:p w14:paraId="51436CA7" w14:textId="6F50367C" w:rsidR="00174FEF" w:rsidRDefault="00174FEF" w:rsidP="00174FEF">
      <w:pPr>
        <w:spacing w:line="240" w:lineRule="auto"/>
        <w:rPr>
          <w:lang w:eastAsia="ja-JP"/>
        </w:rPr>
      </w:pPr>
      <w:r>
        <w:rPr>
          <w:lang w:eastAsia="ja-JP"/>
        </w:rPr>
        <w:t>The main safety database is derived from the p</w:t>
      </w:r>
      <w:r w:rsidRPr="007B4FD9">
        <w:rPr>
          <w:lang w:eastAsia="ja-JP"/>
        </w:rPr>
        <w:t>ooled safety analysis</w:t>
      </w:r>
      <w:r>
        <w:rPr>
          <w:lang w:eastAsia="ja-JP"/>
        </w:rPr>
        <w:t xml:space="preserve"> from the 4 main studies: OASIS 1, 2, and 3, as well as SWITCH-1 (</w:t>
      </w:r>
      <w:r>
        <w:rPr>
          <w:lang w:eastAsia="ja-JP"/>
        </w:rPr>
        <w:fldChar w:fldCharType="begin"/>
      </w:r>
      <w:r>
        <w:rPr>
          <w:lang w:eastAsia="ja-JP"/>
        </w:rPr>
        <w:instrText xml:space="preserve"> REF _Ref210913916 \h  \* MERGEFORMAT </w:instrText>
      </w:r>
      <w:r>
        <w:rPr>
          <w:lang w:eastAsia="ja-JP"/>
        </w:rPr>
      </w:r>
      <w:r>
        <w:rPr>
          <w:lang w:eastAsia="ja-JP"/>
        </w:rPr>
        <w:fldChar w:fldCharType="separate"/>
      </w:r>
      <w:r>
        <w:t xml:space="preserve">Figure </w:t>
      </w:r>
      <w:r>
        <w:rPr>
          <w:lang w:eastAsia="ja-JP"/>
        </w:rPr>
        <w:fldChar w:fldCharType="end"/>
      </w:r>
      <w:r w:rsidR="000C5824">
        <w:rPr>
          <w:lang w:eastAsia="ja-JP"/>
        </w:rPr>
        <w:t>5</w:t>
      </w:r>
      <w:r>
        <w:rPr>
          <w:lang w:eastAsia="ja-JP"/>
        </w:rPr>
        <w:t>).</w:t>
      </w:r>
    </w:p>
    <w:p w14:paraId="22AC1F0F" w14:textId="77777777" w:rsidR="00174FEF" w:rsidRDefault="00174FEF" w:rsidP="00174FEF">
      <w:pPr>
        <w:spacing w:line="240" w:lineRule="auto"/>
        <w:rPr>
          <w:lang w:eastAsia="ja-JP"/>
        </w:rPr>
      </w:pPr>
      <w:r w:rsidRPr="00842036">
        <w:rPr>
          <w:b/>
          <w:bCs/>
          <w:lang w:eastAsia="ja-JP"/>
        </w:rPr>
        <w:t>Pooled safety analysis Weeks 1-12</w:t>
      </w:r>
      <w:r>
        <w:rPr>
          <w:lang w:eastAsia="ja-JP"/>
        </w:rPr>
        <w:t>: The safety analysis set comprises 765 women in the EZN 120 mg (Week 1-12) group and 754 women in the placebo (Week 1-12) group.</w:t>
      </w:r>
    </w:p>
    <w:p w14:paraId="40303480" w14:textId="77777777" w:rsidR="00174FEF" w:rsidRDefault="00174FEF" w:rsidP="00174FEF">
      <w:pPr>
        <w:spacing w:line="240" w:lineRule="auto"/>
        <w:rPr>
          <w:lang w:eastAsia="ja-JP"/>
        </w:rPr>
      </w:pPr>
      <w:r w:rsidRPr="00842036">
        <w:rPr>
          <w:b/>
          <w:bCs/>
          <w:lang w:eastAsia="ja-JP"/>
        </w:rPr>
        <w:t>Pooled safety analysis after Week 12</w:t>
      </w:r>
      <w:r>
        <w:rPr>
          <w:lang w:eastAsia="ja-JP"/>
        </w:rPr>
        <w:t xml:space="preserve">: 348 women in OASIS 1 and 2 switched treatments from placebo to receive </w:t>
      </w:r>
      <w:proofErr w:type="spellStart"/>
      <w:r>
        <w:rPr>
          <w:lang w:eastAsia="ja-JP"/>
        </w:rPr>
        <w:t>elinzanetant</w:t>
      </w:r>
      <w:proofErr w:type="spellEnd"/>
      <w:r>
        <w:rPr>
          <w:lang w:eastAsia="ja-JP"/>
        </w:rPr>
        <w:t xml:space="preserve"> 120 mg. 1113 women from SWITCH-1 and OASIS 1, 2 and 3 studies were exposed to at least one dose of </w:t>
      </w:r>
      <w:proofErr w:type="spellStart"/>
      <w:r>
        <w:rPr>
          <w:lang w:eastAsia="ja-JP"/>
        </w:rPr>
        <w:t>elinzanetant</w:t>
      </w:r>
      <w:proofErr w:type="spellEnd"/>
      <w:r>
        <w:rPr>
          <w:lang w:eastAsia="ja-JP"/>
        </w:rPr>
        <w:t xml:space="preserve"> 120 mg with varying exposure duration:</w:t>
      </w:r>
    </w:p>
    <w:p w14:paraId="145AF93B" w14:textId="77777777" w:rsidR="00174FEF" w:rsidRDefault="00174FEF" w:rsidP="00842036">
      <w:pPr>
        <w:pStyle w:val="ListBullet"/>
      </w:pPr>
      <w:r>
        <w:t xml:space="preserve">966 women were treated with </w:t>
      </w:r>
      <w:proofErr w:type="spellStart"/>
      <w:r>
        <w:t>elinzanetant</w:t>
      </w:r>
      <w:proofErr w:type="spellEnd"/>
      <w:r>
        <w:t xml:space="preserve"> 120 mg for at least 12 weeks</w:t>
      </w:r>
    </w:p>
    <w:p w14:paraId="0118010A" w14:textId="77777777" w:rsidR="00174FEF" w:rsidRDefault="00174FEF" w:rsidP="00842036">
      <w:pPr>
        <w:pStyle w:val="ListBullet"/>
      </w:pPr>
      <w:r>
        <w:t xml:space="preserve">575 women were treated with </w:t>
      </w:r>
      <w:proofErr w:type="spellStart"/>
      <w:r>
        <w:t>elinzanetant</w:t>
      </w:r>
      <w:proofErr w:type="spellEnd"/>
      <w:r>
        <w:t xml:space="preserve"> 120 mg for at least 23 weeks</w:t>
      </w:r>
    </w:p>
    <w:p w14:paraId="10EC7D61" w14:textId="77777777" w:rsidR="00174FEF" w:rsidRDefault="00174FEF" w:rsidP="00842036">
      <w:pPr>
        <w:pStyle w:val="ListBullet"/>
      </w:pPr>
      <w:r>
        <w:t xml:space="preserve">219 women were treated with </w:t>
      </w:r>
      <w:proofErr w:type="spellStart"/>
      <w:r>
        <w:t>elinzanetant</w:t>
      </w:r>
      <w:proofErr w:type="spellEnd"/>
      <w:r>
        <w:t xml:space="preserve"> 120 mg for at least 50 weeks</w:t>
      </w:r>
    </w:p>
    <w:p w14:paraId="51FD9841" w14:textId="0D9CEEF7" w:rsidR="00F20A65" w:rsidRDefault="00F20A65" w:rsidP="00F20A65">
      <w:pPr>
        <w:pStyle w:val="FigureTitle"/>
      </w:pPr>
      <w:bookmarkStart w:id="76" w:name="_Ref210913916"/>
      <w:r>
        <w:t xml:space="preserve">Figure </w:t>
      </w:r>
      <w:bookmarkEnd w:id="76"/>
      <w:r w:rsidR="000C5824">
        <w:t>5</w:t>
      </w:r>
      <w:r>
        <w:t xml:space="preserve">. </w:t>
      </w:r>
      <w:r>
        <w:rPr>
          <w:lang w:eastAsia="ja-JP"/>
        </w:rPr>
        <w:t xml:space="preserve">Summary of </w:t>
      </w:r>
      <w:r w:rsidRPr="003A1435">
        <w:rPr>
          <w:lang w:eastAsia="ja-JP"/>
        </w:rPr>
        <w:t>Study Drug Exposure</w:t>
      </w:r>
      <w:r>
        <w:rPr>
          <w:lang w:eastAsia="ja-JP"/>
        </w:rPr>
        <w:t>.</w:t>
      </w:r>
    </w:p>
    <w:p w14:paraId="5B92B42D" w14:textId="77777777" w:rsidR="00174FEF" w:rsidRDefault="00174FEF" w:rsidP="00174FEF">
      <w:pPr>
        <w:spacing w:line="240" w:lineRule="auto"/>
      </w:pPr>
      <w:r w:rsidRPr="00AD69F4">
        <w:rPr>
          <w:noProof/>
        </w:rPr>
        <w:drawing>
          <wp:inline distT="0" distB="0" distL="0" distR="0" wp14:anchorId="248FE898" wp14:editId="1B685D00">
            <wp:extent cx="4733925" cy="2887003"/>
            <wp:effectExtent l="0" t="0" r="0" b="8890"/>
            <wp:docPr id="2081277585" name="Picture 1" descr="Figure 5. Summary of Study Drug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277585" name="Picture 1" descr="Figure 5. Summary of Study Drug Exposur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620" cy="2904503"/>
                    </a:xfrm>
                    <a:prstGeom prst="rect">
                      <a:avLst/>
                    </a:prstGeom>
                    <a:noFill/>
                    <a:ln>
                      <a:noFill/>
                    </a:ln>
                  </pic:spPr>
                </pic:pic>
              </a:graphicData>
            </a:graphic>
          </wp:inline>
        </w:drawing>
      </w:r>
    </w:p>
    <w:p w14:paraId="5BA8D5A4" w14:textId="77777777" w:rsidR="00174FEF" w:rsidRDefault="00174FEF" w:rsidP="00544BC8">
      <w:pPr>
        <w:pStyle w:val="Heading5"/>
        <w:rPr>
          <w:lang w:eastAsia="ja-JP"/>
        </w:rPr>
      </w:pPr>
      <w:r w:rsidRPr="005D1B00">
        <w:rPr>
          <w:lang w:eastAsia="ja-JP"/>
        </w:rPr>
        <w:lastRenderedPageBreak/>
        <w:t>Adverse event overview</w:t>
      </w:r>
    </w:p>
    <w:p w14:paraId="7718D575" w14:textId="31FC8EDE" w:rsidR="00174FEF" w:rsidRDefault="00174FEF" w:rsidP="00174FEF">
      <w:pPr>
        <w:spacing w:line="240" w:lineRule="auto"/>
        <w:rPr>
          <w:lang w:eastAsia="ja-JP"/>
        </w:rPr>
      </w:pPr>
      <w:r w:rsidRPr="00947DAE">
        <w:rPr>
          <w:lang w:eastAsia="ja-JP"/>
        </w:rPr>
        <w:t xml:space="preserve">During the first 12 weeks of treatment, the overall </w:t>
      </w:r>
      <w:r w:rsidR="00E5359D">
        <w:rPr>
          <w:lang w:eastAsia="ja-JP"/>
        </w:rPr>
        <w:t>adverse event (</w:t>
      </w:r>
      <w:r w:rsidRPr="00947DAE">
        <w:rPr>
          <w:lang w:eastAsia="ja-JP"/>
        </w:rPr>
        <w:t>AE</w:t>
      </w:r>
      <w:r w:rsidR="00E5359D">
        <w:rPr>
          <w:lang w:eastAsia="ja-JP"/>
        </w:rPr>
        <w:t>)</w:t>
      </w:r>
      <w:r>
        <w:rPr>
          <w:lang w:eastAsia="ja-JP"/>
        </w:rPr>
        <w:t xml:space="preserve"> </w:t>
      </w:r>
      <w:r w:rsidRPr="00947DAE">
        <w:rPr>
          <w:lang w:eastAsia="ja-JP"/>
        </w:rPr>
        <w:t xml:space="preserve">incidence was significantly higher in </w:t>
      </w:r>
      <w:r>
        <w:rPr>
          <w:lang w:eastAsia="ja-JP"/>
        </w:rPr>
        <w:t>the</w:t>
      </w:r>
      <w:r w:rsidRPr="00947DAE">
        <w:rPr>
          <w:lang w:eastAsia="ja-JP"/>
        </w:rPr>
        <w:t xml:space="preserve"> </w:t>
      </w:r>
      <w:proofErr w:type="spellStart"/>
      <w:r w:rsidRPr="00947DAE">
        <w:rPr>
          <w:lang w:eastAsia="ja-JP"/>
        </w:rPr>
        <w:t>elinzanetant</w:t>
      </w:r>
      <w:proofErr w:type="spellEnd"/>
      <w:r w:rsidRPr="00947DAE">
        <w:rPr>
          <w:lang w:eastAsia="ja-JP"/>
        </w:rPr>
        <w:t xml:space="preserve"> </w:t>
      </w:r>
      <w:r>
        <w:rPr>
          <w:lang w:eastAsia="ja-JP"/>
        </w:rPr>
        <w:t xml:space="preserve">group </w:t>
      </w:r>
      <w:r w:rsidRPr="00947DAE">
        <w:rPr>
          <w:lang w:eastAsia="ja-JP"/>
        </w:rPr>
        <w:t xml:space="preserve">(50.8% vs. 43.2%; RR1.17 [95%-CI 1.06-1.31]). </w:t>
      </w:r>
    </w:p>
    <w:p w14:paraId="0EC1E464" w14:textId="1C8A13D0" w:rsidR="00174FEF" w:rsidRDefault="00174FEF" w:rsidP="00174FEF">
      <w:pPr>
        <w:spacing w:line="240" w:lineRule="auto"/>
      </w:pPr>
      <w:r w:rsidRPr="00842036">
        <w:rPr>
          <w:b/>
          <w:bCs/>
          <w:lang w:eastAsia="ja-JP"/>
        </w:rPr>
        <w:t>Pooled safety analysis Weeks 1-12</w:t>
      </w:r>
      <w:r>
        <w:rPr>
          <w:lang w:eastAsia="ja-JP"/>
        </w:rPr>
        <w:t>:</w:t>
      </w:r>
      <w:r w:rsidR="006725AB">
        <w:rPr>
          <w:lang w:eastAsia="ja-JP"/>
        </w:rPr>
        <w:t xml:space="preserve"> (</w:t>
      </w:r>
      <w:r>
        <w:rPr>
          <w:lang w:eastAsia="ja-JP"/>
        </w:rPr>
        <w:fldChar w:fldCharType="begin"/>
      </w:r>
      <w:r>
        <w:rPr>
          <w:lang w:eastAsia="ja-JP"/>
        </w:rPr>
        <w:instrText xml:space="preserve"> REF _Ref210916907 \h  \* MERGEFORMAT </w:instrText>
      </w:r>
      <w:r>
        <w:rPr>
          <w:lang w:eastAsia="ja-JP"/>
        </w:rPr>
      </w:r>
      <w:r>
        <w:rPr>
          <w:lang w:eastAsia="ja-JP"/>
        </w:rPr>
        <w:fldChar w:fldCharType="separate"/>
      </w:r>
      <w:r>
        <w:t xml:space="preserve">Table </w:t>
      </w:r>
      <w:r>
        <w:rPr>
          <w:lang w:eastAsia="ja-JP"/>
        </w:rPr>
        <w:fldChar w:fldCharType="end"/>
      </w:r>
      <w:r w:rsidR="004149C1">
        <w:rPr>
          <w:lang w:eastAsia="ja-JP"/>
        </w:rPr>
        <w:t>15</w:t>
      </w:r>
      <w:r w:rsidR="006725AB">
        <w:rPr>
          <w:lang w:eastAsia="ja-JP"/>
        </w:rPr>
        <w:t>)</w:t>
      </w:r>
      <w:r>
        <w:rPr>
          <w:lang w:eastAsia="ja-JP"/>
        </w:rPr>
        <w:t xml:space="preserve"> </w:t>
      </w:r>
      <w:r>
        <w:t xml:space="preserve">The most common AEs reported during the first 12 weeks of treatment for patients receiving </w:t>
      </w:r>
      <w:proofErr w:type="spellStart"/>
      <w:r>
        <w:t>elinzanetant</w:t>
      </w:r>
      <w:proofErr w:type="spellEnd"/>
      <w:r>
        <w:t xml:space="preserve"> were headache (7.5% vs. 4.2%), fatigue (5.4% vs. 1.3%), somnolence (3.4% vs. 0.5%), dizziness (3.0% vs. 1.1%) and arthralgia (3.0% vs. 2.7%). Somnolence and fatigue were primarily documented during the first two weeks of treatment and resolved with continued treatment.</w:t>
      </w:r>
    </w:p>
    <w:p w14:paraId="3F637F9C" w14:textId="63F3BDEA" w:rsidR="00174FEF" w:rsidRDefault="00174FEF" w:rsidP="00174FEF">
      <w:pPr>
        <w:spacing w:line="240" w:lineRule="auto"/>
      </w:pPr>
      <w:r w:rsidRPr="00842036">
        <w:rPr>
          <w:b/>
          <w:bCs/>
          <w:lang w:eastAsia="ja-JP"/>
        </w:rPr>
        <w:t>Pooled safety analysis after Week 12</w:t>
      </w:r>
      <w:r>
        <w:rPr>
          <w:lang w:eastAsia="ja-JP"/>
        </w:rPr>
        <w:t xml:space="preserve">: </w:t>
      </w:r>
      <w:r w:rsidR="006725AB">
        <w:rPr>
          <w:lang w:eastAsia="ja-JP"/>
        </w:rPr>
        <w:t>(</w:t>
      </w:r>
      <w:r>
        <w:rPr>
          <w:lang w:eastAsia="ja-JP"/>
        </w:rPr>
        <w:fldChar w:fldCharType="begin"/>
      </w:r>
      <w:r>
        <w:rPr>
          <w:lang w:eastAsia="ja-JP"/>
        </w:rPr>
        <w:instrText xml:space="preserve"> REF _Ref211010163 \h  \* MERGEFORMAT </w:instrText>
      </w:r>
      <w:r>
        <w:rPr>
          <w:lang w:eastAsia="ja-JP"/>
        </w:rPr>
      </w:r>
      <w:r>
        <w:rPr>
          <w:lang w:eastAsia="ja-JP"/>
        </w:rPr>
        <w:fldChar w:fldCharType="separate"/>
      </w:r>
      <w:r>
        <w:t xml:space="preserve">Table </w:t>
      </w:r>
      <w:r>
        <w:rPr>
          <w:lang w:eastAsia="ja-JP"/>
        </w:rPr>
        <w:fldChar w:fldCharType="end"/>
      </w:r>
      <w:r w:rsidR="000C6CE7">
        <w:rPr>
          <w:lang w:eastAsia="ja-JP"/>
        </w:rPr>
        <w:t>16</w:t>
      </w:r>
      <w:r w:rsidR="006725AB">
        <w:rPr>
          <w:lang w:eastAsia="ja-JP"/>
        </w:rPr>
        <w:t xml:space="preserve">) </w:t>
      </w:r>
      <w:r>
        <w:t>After week 12, the safety profile remained largely unchanged.</w:t>
      </w:r>
    </w:p>
    <w:p w14:paraId="67234EBF" w14:textId="3F433D14" w:rsidR="00174FEF" w:rsidRDefault="00174FEF" w:rsidP="00F20A65">
      <w:pPr>
        <w:pStyle w:val="TableTitle"/>
        <w:rPr>
          <w:lang w:eastAsia="ja-JP"/>
        </w:rPr>
      </w:pPr>
      <w:bookmarkStart w:id="77" w:name="_Ref210916907"/>
      <w:r>
        <w:t xml:space="preserve">Table </w:t>
      </w:r>
      <w:r>
        <w:fldChar w:fldCharType="begin"/>
      </w:r>
      <w:r>
        <w:instrText xml:space="preserve"> SEQ Table \* ARABIC </w:instrText>
      </w:r>
      <w:r>
        <w:fldChar w:fldCharType="separate"/>
      </w:r>
      <w:r>
        <w:rPr>
          <w:noProof/>
        </w:rPr>
        <w:t>1</w:t>
      </w:r>
      <w:r>
        <w:fldChar w:fldCharType="end"/>
      </w:r>
      <w:bookmarkEnd w:id="77"/>
      <w:r w:rsidR="004149C1">
        <w:t>5</w:t>
      </w:r>
      <w:r>
        <w:t xml:space="preserve">. </w:t>
      </w:r>
      <w:r>
        <w:rPr>
          <w:lang w:eastAsia="ja-JP"/>
        </w:rPr>
        <w:t>TEAEs up to Week 12 by PT &gt; 2% in any group (SAF, pooled safety population).</w:t>
      </w:r>
    </w:p>
    <w:p w14:paraId="5090F5BD" w14:textId="174014D7" w:rsidR="00174FEF" w:rsidRDefault="00FB1EB5" w:rsidP="00174FEF">
      <w:pPr>
        <w:spacing w:line="240" w:lineRule="auto"/>
        <w:rPr>
          <w:lang w:eastAsia="ja-JP"/>
        </w:rPr>
      </w:pPr>
      <w:r>
        <w:rPr>
          <w:noProof/>
          <w:lang w:eastAsia="ja-JP"/>
        </w:rPr>
        <mc:AlternateContent>
          <mc:Choice Requires="wps">
            <w:drawing>
              <wp:anchor distT="0" distB="0" distL="114300" distR="114300" simplePos="0" relativeHeight="251672576" behindDoc="0" locked="0" layoutInCell="1" allowOverlap="1" wp14:anchorId="106C301C" wp14:editId="5EF7BA18">
                <wp:simplePos x="0" y="0"/>
                <wp:positionH relativeFrom="column">
                  <wp:posOffset>23495</wp:posOffset>
                </wp:positionH>
                <wp:positionV relativeFrom="paragraph">
                  <wp:posOffset>1568451</wp:posOffset>
                </wp:positionV>
                <wp:extent cx="2819400" cy="114300"/>
                <wp:effectExtent l="0" t="0" r="0" b="0"/>
                <wp:wrapNone/>
                <wp:docPr id="1600568722" name="Rectangle 4"/>
                <wp:cNvGraphicFramePr/>
                <a:graphic xmlns:a="http://schemas.openxmlformats.org/drawingml/2006/main">
                  <a:graphicData uri="http://schemas.microsoft.com/office/word/2010/wordprocessingShape">
                    <wps:wsp>
                      <wps:cNvSpPr/>
                      <wps:spPr>
                        <a:xfrm>
                          <a:off x="0" y="0"/>
                          <a:ext cx="2819400" cy="114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09E3B" id="Rectangle 4" o:spid="_x0000_s1026" style="position:absolute;margin-left:1.85pt;margin-top:123.5pt;width:222pt;height: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" fillcolor="white [3212]" stroked="f" strokeweight="1pt"/>
            </w:pict>
          </mc:Fallback>
        </mc:AlternateContent>
      </w:r>
      <w:r w:rsidR="00F20A65">
        <w:rPr>
          <w:noProof/>
          <w:lang w:eastAsia="ja-JP"/>
        </w:rPr>
        <mc:AlternateContent>
          <mc:Choice Requires="wps">
            <w:drawing>
              <wp:anchor distT="0" distB="0" distL="114300" distR="114300" simplePos="0" relativeHeight="251667456" behindDoc="0" locked="0" layoutInCell="1" allowOverlap="1" wp14:anchorId="0A230D03" wp14:editId="21C1CAC3">
                <wp:simplePos x="0" y="0"/>
                <wp:positionH relativeFrom="margin">
                  <wp:align>left</wp:align>
                </wp:positionH>
                <wp:positionV relativeFrom="paragraph">
                  <wp:posOffset>2062480</wp:posOffset>
                </wp:positionV>
                <wp:extent cx="3063631" cy="133350"/>
                <wp:effectExtent l="0" t="0" r="3810" b="0"/>
                <wp:wrapNone/>
                <wp:docPr id="132037365" name="Rectangle 10"/>
                <wp:cNvGraphicFramePr/>
                <a:graphic xmlns:a="http://schemas.openxmlformats.org/drawingml/2006/main">
                  <a:graphicData uri="http://schemas.microsoft.com/office/word/2010/wordprocessingShape">
                    <wps:wsp>
                      <wps:cNvSpPr/>
                      <wps:spPr>
                        <a:xfrm>
                          <a:off x="0" y="0"/>
                          <a:ext cx="3063631" cy="133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ECBF7" id="Rectangle 10" o:spid="_x0000_s1026" style="position:absolute;margin-left:0;margin-top:162.4pt;width:241.25pt;height:10.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" fillcolor="white [3212]" stroked="f" strokeweight="1pt">
                <w10:wrap anchorx="margin"/>
              </v:rect>
            </w:pict>
          </mc:Fallback>
        </mc:AlternateContent>
      </w:r>
      <w:r w:rsidR="00174FEF" w:rsidRPr="006E268F">
        <w:rPr>
          <w:noProof/>
          <w:lang w:eastAsia="ja-JP"/>
        </w:rPr>
        <w:drawing>
          <wp:inline distT="0" distB="0" distL="0" distR="0" wp14:anchorId="46F5F221" wp14:editId="52DCE2EE">
            <wp:extent cx="5615844" cy="2211754"/>
            <wp:effectExtent l="0" t="0" r="4445" b="0"/>
            <wp:docPr id="1633623109" name="Picture 3" descr="Table 15. TEAEs up to Week 12 by PT &gt; 2% in any group (SAF,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23109" name="Picture 3" descr="Table 15. TEAEs up to Week 12 by PT &gt; 2% in any group (SAF, pooled safety populati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4209" cy="2226864"/>
                    </a:xfrm>
                    <a:prstGeom prst="rect">
                      <a:avLst/>
                    </a:prstGeom>
                    <a:noFill/>
                    <a:ln>
                      <a:noFill/>
                    </a:ln>
                  </pic:spPr>
                </pic:pic>
              </a:graphicData>
            </a:graphic>
          </wp:inline>
        </w:drawing>
      </w:r>
    </w:p>
    <w:p w14:paraId="64303344" w14:textId="41D0B0D7" w:rsidR="00174FEF" w:rsidRPr="00601276" w:rsidRDefault="00174FEF" w:rsidP="00F20A65">
      <w:pPr>
        <w:pStyle w:val="TableTitle"/>
        <w:rPr>
          <w:lang w:eastAsia="ja-JP"/>
        </w:rPr>
      </w:pPr>
      <w:bookmarkStart w:id="78" w:name="_Ref211010163"/>
      <w:r>
        <w:t>Table</w:t>
      </w:r>
      <w:bookmarkEnd w:id="78"/>
      <w:r w:rsidR="000C6CE7">
        <w:t xml:space="preserve"> 16</w:t>
      </w:r>
      <w:r>
        <w:t xml:space="preserve">. </w:t>
      </w:r>
      <w:r w:rsidRPr="00601276">
        <w:rPr>
          <w:lang w:eastAsia="ja-JP"/>
        </w:rPr>
        <w:t>TEAEs up to Weeks 26 and 52 by PT &gt;2% in any group (SAF, pooled safety population)</w:t>
      </w:r>
      <w:r>
        <w:rPr>
          <w:lang w:eastAsia="ja-JP"/>
        </w:rPr>
        <w:t>.</w:t>
      </w:r>
    </w:p>
    <w:p w14:paraId="282BAF37" w14:textId="00FD4FF1" w:rsidR="00174FEF" w:rsidRPr="0039430D" w:rsidRDefault="00B51077" w:rsidP="00174FEF">
      <w:pPr>
        <w:spacing w:line="240" w:lineRule="auto"/>
        <w:rPr>
          <w:u w:val="single"/>
          <w:lang w:eastAsia="ja-JP"/>
        </w:rPr>
      </w:pPr>
      <w:r>
        <w:rPr>
          <w:noProof/>
          <w:lang w:eastAsia="ja-JP"/>
        </w:rPr>
        <mc:AlternateContent>
          <mc:Choice Requires="wps">
            <w:drawing>
              <wp:anchor distT="0" distB="0" distL="114300" distR="114300" simplePos="0" relativeHeight="251674624" behindDoc="0" locked="0" layoutInCell="1" allowOverlap="1" wp14:anchorId="25FF21F4" wp14:editId="4F7AC508">
                <wp:simplePos x="0" y="0"/>
                <wp:positionH relativeFrom="margin">
                  <wp:posOffset>-5080</wp:posOffset>
                </wp:positionH>
                <wp:positionV relativeFrom="paragraph">
                  <wp:posOffset>2333625</wp:posOffset>
                </wp:positionV>
                <wp:extent cx="3324225" cy="114300"/>
                <wp:effectExtent l="0" t="0" r="9525" b="0"/>
                <wp:wrapNone/>
                <wp:docPr id="72317015" name="Rectangle 10"/>
                <wp:cNvGraphicFramePr/>
                <a:graphic xmlns:a="http://schemas.openxmlformats.org/drawingml/2006/main">
                  <a:graphicData uri="http://schemas.microsoft.com/office/word/2010/wordprocessingShape">
                    <wps:wsp>
                      <wps:cNvSpPr/>
                      <wps:spPr>
                        <a:xfrm>
                          <a:off x="0" y="0"/>
                          <a:ext cx="3324225" cy="1143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A0302" id="Rectangle 10" o:spid="_x0000_s1026" style="position:absolute;margin-left:-.4pt;margin-top:183.75pt;width:261.75pt;height: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" fillcolor="window" stroked="f" strokeweight="1pt">
                <w10:wrap anchorx="margin"/>
              </v:rect>
            </w:pict>
          </mc:Fallback>
        </mc:AlternateContent>
      </w:r>
      <w:r w:rsidR="00D017FF">
        <w:rPr>
          <w:noProof/>
          <w:lang w:eastAsia="ja-JP"/>
        </w:rPr>
        <mc:AlternateContent>
          <mc:Choice Requires="wps">
            <w:drawing>
              <wp:anchor distT="0" distB="0" distL="114300" distR="114300" simplePos="0" relativeHeight="251669504" behindDoc="0" locked="0" layoutInCell="1" allowOverlap="1" wp14:anchorId="53C57959" wp14:editId="72945BBB">
                <wp:simplePos x="0" y="0"/>
                <wp:positionH relativeFrom="margin">
                  <wp:align>left</wp:align>
                </wp:positionH>
                <wp:positionV relativeFrom="paragraph">
                  <wp:posOffset>3152140</wp:posOffset>
                </wp:positionV>
                <wp:extent cx="3324225" cy="123825"/>
                <wp:effectExtent l="0" t="0" r="9525" b="9525"/>
                <wp:wrapNone/>
                <wp:docPr id="1527930631" name="Rectangle 10"/>
                <wp:cNvGraphicFramePr/>
                <a:graphic xmlns:a="http://schemas.openxmlformats.org/drawingml/2006/main">
                  <a:graphicData uri="http://schemas.microsoft.com/office/word/2010/wordprocessingShape">
                    <wps:wsp>
                      <wps:cNvSpPr/>
                      <wps:spPr>
                        <a:xfrm>
                          <a:off x="0" y="0"/>
                          <a:ext cx="3324225" cy="12382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E0A69" id="Rectangle 10" o:spid="_x0000_s1026" style="position:absolute;margin-left:0;margin-top:248.2pt;width:261.75pt;height:9.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" fillcolor="window" stroked="f" strokeweight="1pt">
                <w10:wrap anchorx="margin"/>
              </v:rect>
            </w:pict>
          </mc:Fallback>
        </mc:AlternateContent>
      </w:r>
      <w:r w:rsidR="00174FEF" w:rsidRPr="00D26D89">
        <w:rPr>
          <w:noProof/>
          <w:u w:val="single"/>
          <w:lang w:eastAsia="ja-JP"/>
        </w:rPr>
        <w:drawing>
          <wp:inline distT="0" distB="0" distL="0" distR="0" wp14:anchorId="6C9322CF" wp14:editId="0DD0D910">
            <wp:extent cx="5233182" cy="3313004"/>
            <wp:effectExtent l="0" t="0" r="5715" b="1905"/>
            <wp:docPr id="1061973931" name="Picture 1" descr="Table 16. TEAEs up to Weeks 26 and 52 by PT &gt;2% in any group (SAF,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973931" name="Picture 1" descr="Table 16. TEAEs up to Weeks 26 and 52 by PT &gt;2% in any group (SAF, pooled safety populati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45117" cy="3320559"/>
                    </a:xfrm>
                    <a:prstGeom prst="rect">
                      <a:avLst/>
                    </a:prstGeom>
                    <a:noFill/>
                    <a:ln>
                      <a:noFill/>
                    </a:ln>
                  </pic:spPr>
                </pic:pic>
              </a:graphicData>
            </a:graphic>
          </wp:inline>
        </w:drawing>
      </w:r>
    </w:p>
    <w:p w14:paraId="2EED9FF5" w14:textId="58CAD6D4" w:rsidR="00174FEF" w:rsidRDefault="00174FEF" w:rsidP="00544BC8">
      <w:pPr>
        <w:pStyle w:val="Heading5"/>
        <w:rPr>
          <w:lang w:eastAsia="ja-JP"/>
        </w:rPr>
      </w:pPr>
      <w:r w:rsidRPr="00C843A7">
        <w:rPr>
          <w:lang w:eastAsia="ja-JP"/>
        </w:rPr>
        <w:t>Treatment related adverse event (adverse drug reaction) overview</w:t>
      </w:r>
    </w:p>
    <w:p w14:paraId="6D1E3EB6" w14:textId="1CF51397" w:rsidR="00174FEF" w:rsidRDefault="00174FEF" w:rsidP="00174FEF">
      <w:pPr>
        <w:spacing w:line="240" w:lineRule="auto"/>
      </w:pPr>
      <w:r w:rsidRPr="00F8671C">
        <w:rPr>
          <w:lang w:eastAsia="ja-JP"/>
        </w:rPr>
        <w:t>Treatment-related AEs were twice as common with active treatment than with placebo (22.6% vs. 10.7%; RR 2.10 [95%</w:t>
      </w:r>
      <w:r>
        <w:rPr>
          <w:lang w:eastAsia="ja-JP"/>
        </w:rPr>
        <w:t xml:space="preserve"> </w:t>
      </w:r>
      <w:r w:rsidRPr="00F8671C">
        <w:rPr>
          <w:lang w:eastAsia="ja-JP"/>
        </w:rPr>
        <w:t xml:space="preserve">CI 1.65-2.69]). </w:t>
      </w:r>
      <w:r>
        <w:t xml:space="preserve">The most common AEs classified as treatment-related </w:t>
      </w:r>
      <w:r>
        <w:lastRenderedPageBreak/>
        <w:t xml:space="preserve">were fatigue, headache, somnolence, dizziness and nausea. </w:t>
      </w:r>
      <w:proofErr w:type="gramStart"/>
      <w:r>
        <w:t>With the exception of</w:t>
      </w:r>
      <w:proofErr w:type="gramEnd"/>
      <w:r>
        <w:t xml:space="preserve"> nausea, these AEs were more frequent with active treatment than with placebo.</w:t>
      </w:r>
    </w:p>
    <w:p w14:paraId="3C58BB9C" w14:textId="77777777" w:rsidR="00174FEF" w:rsidRDefault="00174FEF" w:rsidP="00544BC8">
      <w:pPr>
        <w:pStyle w:val="Heading5"/>
      </w:pPr>
      <w:r w:rsidRPr="00C843A7">
        <w:t>Deaths</w:t>
      </w:r>
    </w:p>
    <w:p w14:paraId="3322344D" w14:textId="77777777" w:rsidR="00174FEF" w:rsidRDefault="00174FEF" w:rsidP="00174FEF">
      <w:pPr>
        <w:spacing w:line="240" w:lineRule="auto"/>
      </w:pPr>
      <w:r>
        <w:t>No deaths were reported in any of the clinical studies.</w:t>
      </w:r>
    </w:p>
    <w:p w14:paraId="423D45A4" w14:textId="77777777" w:rsidR="00174FEF" w:rsidRDefault="00174FEF" w:rsidP="00544BC8">
      <w:pPr>
        <w:pStyle w:val="Heading5"/>
      </w:pPr>
      <w:r w:rsidRPr="004F4183">
        <w:t>Serious adverse events</w:t>
      </w:r>
    </w:p>
    <w:p w14:paraId="43A56BFC" w14:textId="42B5C13F" w:rsidR="00174FEF" w:rsidRDefault="00174FEF" w:rsidP="00174FEF">
      <w:pPr>
        <w:spacing w:line="240" w:lineRule="auto"/>
      </w:pPr>
      <w:r>
        <w:t xml:space="preserve">31 of 1113 women (2.8%) who received </w:t>
      </w:r>
      <w:proofErr w:type="spellStart"/>
      <w:r>
        <w:t>elinzanetant</w:t>
      </w:r>
      <w:proofErr w:type="spellEnd"/>
      <w:r>
        <w:t xml:space="preserve"> 120 mg had at least one serious TEAE (incidence rate: 5.46 per 100 person-years</w:t>
      </w:r>
      <w:r w:rsidR="00BA0461">
        <w:t xml:space="preserve"> – Table 17</w:t>
      </w:r>
      <w:r>
        <w:t>). One serious TEAE in OASIS 2 (generalised tonic-</w:t>
      </w:r>
      <w:proofErr w:type="spellStart"/>
      <w:r>
        <w:t>clonic</w:t>
      </w:r>
      <w:proofErr w:type="spellEnd"/>
      <w:r>
        <w:t xml:space="preserve"> seizure) was considered related to the study drug by the investigator. In 7 of the 31 women with serious TEAEs, the study drug was discontinued due to the event.</w:t>
      </w:r>
    </w:p>
    <w:p w14:paraId="3C2C805C" w14:textId="7D13A749" w:rsidR="00174FEF" w:rsidRDefault="00174FEF" w:rsidP="00FA7F14">
      <w:pPr>
        <w:pStyle w:val="TableTitle"/>
        <w:rPr>
          <w:lang w:eastAsia="ja-JP"/>
        </w:rPr>
      </w:pPr>
      <w:r>
        <w:t>Table</w:t>
      </w:r>
      <w:r w:rsidR="00D303E4">
        <w:t xml:space="preserve"> </w:t>
      </w:r>
      <w:r w:rsidR="00FA7F14">
        <w:t>17</w:t>
      </w:r>
      <w:r>
        <w:t xml:space="preserve">. </w:t>
      </w:r>
      <w:r>
        <w:rPr>
          <w:lang w:eastAsia="ja-JP"/>
        </w:rPr>
        <w:t>Study drug-related TEAEs up to Week 12 with a relative frequency of &gt; 1 woman in any group (SAF, pooled safety population).</w:t>
      </w:r>
    </w:p>
    <w:p w14:paraId="12450CC9" w14:textId="13BC1124" w:rsidR="00174FEF" w:rsidRDefault="00B5253F" w:rsidP="00174FEF">
      <w:pPr>
        <w:spacing w:line="240" w:lineRule="auto"/>
        <w:rPr>
          <w:lang w:eastAsia="ja-JP"/>
        </w:rPr>
      </w:pPr>
      <w:r>
        <w:rPr>
          <w:noProof/>
          <w:lang w:eastAsia="ja-JP"/>
        </w:rPr>
        <mc:AlternateContent>
          <mc:Choice Requires="wps">
            <w:drawing>
              <wp:anchor distT="0" distB="0" distL="114300" distR="114300" simplePos="0" relativeHeight="251675648" behindDoc="0" locked="0" layoutInCell="1" allowOverlap="1" wp14:anchorId="30EA5FC8" wp14:editId="5C5A6BC6">
                <wp:simplePos x="0" y="0"/>
                <wp:positionH relativeFrom="margin">
                  <wp:align>left</wp:align>
                </wp:positionH>
                <wp:positionV relativeFrom="paragraph">
                  <wp:posOffset>2657475</wp:posOffset>
                </wp:positionV>
                <wp:extent cx="3314700" cy="123825"/>
                <wp:effectExtent l="0" t="0" r="0" b="9525"/>
                <wp:wrapNone/>
                <wp:docPr id="1112512275" name="Rectangle 5"/>
                <wp:cNvGraphicFramePr/>
                <a:graphic xmlns:a="http://schemas.openxmlformats.org/drawingml/2006/main">
                  <a:graphicData uri="http://schemas.microsoft.com/office/word/2010/wordprocessingShape">
                    <wps:wsp>
                      <wps:cNvSpPr/>
                      <wps:spPr>
                        <a:xfrm>
                          <a:off x="0" y="0"/>
                          <a:ext cx="3314700" cy="1238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16F02" id="Rectangle 5" o:spid="_x0000_s1026" style="position:absolute;margin-left:0;margin-top:209.25pt;width:261pt;height:9.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" fillcolor="white [3212]" stroked="f" strokeweight="1pt">
                <w10:wrap anchorx="margin"/>
              </v:rect>
            </w:pict>
          </mc:Fallback>
        </mc:AlternateContent>
      </w:r>
      <w:r w:rsidR="007432F8" w:rsidRPr="007432F8">
        <w:rPr>
          <w:noProof/>
          <w:lang w:eastAsia="ja-JP"/>
        </w:rPr>
        <w:drawing>
          <wp:inline distT="0" distB="0" distL="0" distR="0" wp14:anchorId="71D1DC35" wp14:editId="27904239">
            <wp:extent cx="5248275" cy="2928222"/>
            <wp:effectExtent l="0" t="0" r="0" b="5715"/>
            <wp:docPr id="2141516013" name="Picture 1" descr="Table 17. Study drug-related TEAEs up to Week 12 with a relative frequency of &gt; 1 woman in any group (SAF,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16013" name="Picture 1" descr="Table 17. Study drug-related TEAEs up to Week 12 with a relative frequency of &gt; 1 woman in any group (SAF, pooled safety population)."/>
                    <pic:cNvPicPr/>
                  </pic:nvPicPr>
                  <pic:blipFill>
                    <a:blip r:embed="rId39"/>
                    <a:stretch>
                      <a:fillRect/>
                    </a:stretch>
                  </pic:blipFill>
                  <pic:spPr>
                    <a:xfrm>
                      <a:off x="0" y="0"/>
                      <a:ext cx="5254102" cy="2931473"/>
                    </a:xfrm>
                    <a:prstGeom prst="rect">
                      <a:avLst/>
                    </a:prstGeom>
                  </pic:spPr>
                </pic:pic>
              </a:graphicData>
            </a:graphic>
          </wp:inline>
        </w:drawing>
      </w:r>
    </w:p>
    <w:p w14:paraId="7E0839CE" w14:textId="77777777" w:rsidR="00174FEF" w:rsidRDefault="00174FEF" w:rsidP="00544BC8">
      <w:pPr>
        <w:pStyle w:val="Heading5"/>
      </w:pPr>
      <w:r>
        <w:t>Discontinuations</w:t>
      </w:r>
    </w:p>
    <w:p w14:paraId="1C9E9C48" w14:textId="419BE1B1" w:rsidR="00174FEF" w:rsidRDefault="00174FEF" w:rsidP="00174FEF">
      <w:pPr>
        <w:spacing w:line="240" w:lineRule="auto"/>
      </w:pPr>
      <w:r>
        <w:t xml:space="preserve">TEAEs leading to discontinuation are shown in </w:t>
      </w:r>
      <w:r>
        <w:fldChar w:fldCharType="begin"/>
      </w:r>
      <w:r>
        <w:instrText xml:space="preserve"> REF _Ref211010011 \h  \* MERGEFORMAT </w:instrText>
      </w:r>
      <w:r>
        <w:fldChar w:fldCharType="separate"/>
      </w:r>
      <w:r>
        <w:t xml:space="preserve">Table </w:t>
      </w:r>
      <w:r>
        <w:fldChar w:fldCharType="end"/>
      </w:r>
      <w:r w:rsidR="0070744D">
        <w:t>18</w:t>
      </w:r>
      <w:r>
        <w:t xml:space="preserve"> (up to Week 12) and </w:t>
      </w:r>
      <w:r>
        <w:fldChar w:fldCharType="begin"/>
      </w:r>
      <w:r>
        <w:instrText xml:space="preserve"> REF _Ref211610987 \h </w:instrText>
      </w:r>
      <w:r>
        <w:fldChar w:fldCharType="separate"/>
      </w:r>
      <w:r>
        <w:t>Table</w:t>
      </w:r>
      <w:r w:rsidR="00D02189">
        <w:t xml:space="preserve"> </w:t>
      </w:r>
      <w:r>
        <w:fldChar w:fldCharType="end"/>
      </w:r>
      <w:r w:rsidR="00D02189">
        <w:t>19</w:t>
      </w:r>
      <w:r>
        <w:t xml:space="preserve"> (after Week 12). The study drug was discontinued permanently due to AEs in 7.8% of patients receiving active treatment compared to 3.6% of those being treated with placebo (RR 2.17 [1.40-3.37]) (driven by: fatigue 1.7% vs. 0; headache 1.4% vs. 0.7%). The study drug was interrupted due to AEs in 3.5% vs. 2.5%.</w:t>
      </w:r>
    </w:p>
    <w:p w14:paraId="7B49D018" w14:textId="44CD3C8B" w:rsidR="0070744D" w:rsidRDefault="0070744D" w:rsidP="0070744D">
      <w:pPr>
        <w:pStyle w:val="TableTitle"/>
      </w:pPr>
      <w:bookmarkStart w:id="79" w:name="_Ref211010011"/>
      <w:r w:rsidRPr="0070744D">
        <w:lastRenderedPageBreak/>
        <w:t xml:space="preserve">Table </w:t>
      </w:r>
      <w:bookmarkEnd w:id="79"/>
      <w:r>
        <w:t>18</w:t>
      </w:r>
      <w:r w:rsidRPr="0070744D">
        <w:t>. TEAEs up to Week 12 resulting in discontinuation of the study drug reported in &gt; 2 women in any group (SAF, pooled safety population).</w:t>
      </w:r>
    </w:p>
    <w:p w14:paraId="30337D0A" w14:textId="7D0AEB32" w:rsidR="005631F6" w:rsidRDefault="002022CA" w:rsidP="00174FEF">
      <w:pPr>
        <w:spacing w:line="240" w:lineRule="auto"/>
      </w:pPr>
      <w:r>
        <w:rPr>
          <w:noProof/>
          <w:lang w:eastAsia="ja-JP"/>
        </w:rPr>
        <mc:AlternateContent>
          <mc:Choice Requires="wps">
            <w:drawing>
              <wp:anchor distT="0" distB="0" distL="114300" distR="114300" simplePos="0" relativeHeight="251677696" behindDoc="0" locked="0" layoutInCell="1" allowOverlap="1" wp14:anchorId="7188DA2E" wp14:editId="048EDFC3">
                <wp:simplePos x="0" y="0"/>
                <wp:positionH relativeFrom="margin">
                  <wp:align>left</wp:align>
                </wp:positionH>
                <wp:positionV relativeFrom="paragraph">
                  <wp:posOffset>1786890</wp:posOffset>
                </wp:positionV>
                <wp:extent cx="3314700" cy="114300"/>
                <wp:effectExtent l="0" t="0" r="0" b="0"/>
                <wp:wrapNone/>
                <wp:docPr id="1521430159" name="Rectangle 5"/>
                <wp:cNvGraphicFramePr/>
                <a:graphic xmlns:a="http://schemas.openxmlformats.org/drawingml/2006/main">
                  <a:graphicData uri="http://schemas.microsoft.com/office/word/2010/wordprocessingShape">
                    <wps:wsp>
                      <wps:cNvSpPr/>
                      <wps:spPr>
                        <a:xfrm>
                          <a:off x="0" y="0"/>
                          <a:ext cx="3314700" cy="1143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41C375" id="Rectangle 5" o:spid="_x0000_s1026" style="position:absolute;margin-left:0;margin-top:140.7pt;width:261pt;height:9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" fillcolor="window" stroked="f" strokeweight="1pt">
                <w10:wrap anchorx="margin"/>
              </v:rect>
            </w:pict>
          </mc:Fallback>
        </mc:AlternateContent>
      </w:r>
      <w:r w:rsidR="005631F6">
        <w:rPr>
          <w:noProof/>
        </w:rPr>
        <w:drawing>
          <wp:inline distT="0" distB="0" distL="0" distR="0" wp14:anchorId="0E599C4A" wp14:editId="4A757FBA">
            <wp:extent cx="5677535" cy="2156460"/>
            <wp:effectExtent l="0" t="0" r="0" b="0"/>
            <wp:docPr id="858831240" name="Picture 2" descr="Table 18. TEAEs up to Week 12 resulting in discontinuation of the study drug reported in &gt; 2 women in any group (SAF,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831240" name="Picture 2" descr="Table 18. TEAEs up to Week 12 resulting in discontinuation of the study drug reported in &gt; 2 women in any group (SAF, pooled safety populati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7535" cy="2156460"/>
                    </a:xfrm>
                    <a:prstGeom prst="rect">
                      <a:avLst/>
                    </a:prstGeom>
                    <a:noFill/>
                  </pic:spPr>
                </pic:pic>
              </a:graphicData>
            </a:graphic>
          </wp:inline>
        </w:drawing>
      </w:r>
    </w:p>
    <w:p w14:paraId="2C19A9D5" w14:textId="4ADC35DB" w:rsidR="00B85236" w:rsidRPr="00B85236" w:rsidRDefault="00B85236" w:rsidP="00B85236">
      <w:pPr>
        <w:spacing w:line="240" w:lineRule="auto"/>
        <w:rPr>
          <w:b/>
        </w:rPr>
      </w:pPr>
      <w:bookmarkStart w:id="80" w:name="_Ref211610987"/>
      <w:r w:rsidRPr="00B85236">
        <w:rPr>
          <w:b/>
        </w:rPr>
        <w:t xml:space="preserve">Table </w:t>
      </w:r>
      <w:bookmarkEnd w:id="80"/>
      <w:r w:rsidR="00D02189">
        <w:rPr>
          <w:b/>
        </w:rPr>
        <w:t>19</w:t>
      </w:r>
      <w:r w:rsidRPr="00B85236">
        <w:rPr>
          <w:b/>
        </w:rPr>
        <w:t>. TEAEs up to Weeks 26 and 52 resulting in study drug discontinuation reported in &gt; 2 women in any group (SAF, pooled safety population).</w:t>
      </w:r>
    </w:p>
    <w:p w14:paraId="1230C046" w14:textId="4D2206E5" w:rsidR="00B85236" w:rsidRDefault="00D079F6" w:rsidP="00174FEF">
      <w:pPr>
        <w:spacing w:line="240" w:lineRule="auto"/>
      </w:pPr>
      <w:r>
        <w:rPr>
          <w:noProof/>
          <w:lang w:eastAsia="ja-JP"/>
        </w:rPr>
        <mc:AlternateContent>
          <mc:Choice Requires="wps">
            <w:drawing>
              <wp:anchor distT="0" distB="0" distL="114300" distR="114300" simplePos="0" relativeHeight="251679744" behindDoc="0" locked="0" layoutInCell="1" allowOverlap="1" wp14:anchorId="2D6F4C5E" wp14:editId="23ED7CC1">
                <wp:simplePos x="0" y="0"/>
                <wp:positionH relativeFrom="margin">
                  <wp:posOffset>42545</wp:posOffset>
                </wp:positionH>
                <wp:positionV relativeFrom="paragraph">
                  <wp:posOffset>2185035</wp:posOffset>
                </wp:positionV>
                <wp:extent cx="3314700" cy="114300"/>
                <wp:effectExtent l="0" t="0" r="0" b="0"/>
                <wp:wrapNone/>
                <wp:docPr id="1722356412" name="Rectangle 5"/>
                <wp:cNvGraphicFramePr/>
                <a:graphic xmlns:a="http://schemas.openxmlformats.org/drawingml/2006/main">
                  <a:graphicData uri="http://schemas.microsoft.com/office/word/2010/wordprocessingShape">
                    <wps:wsp>
                      <wps:cNvSpPr/>
                      <wps:spPr>
                        <a:xfrm>
                          <a:off x="0" y="0"/>
                          <a:ext cx="3314700" cy="1143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24F9" id="Rectangle 5" o:spid="_x0000_s1026" style="position:absolute;margin-left:3.35pt;margin-top:172.05pt;width:261pt;height: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" fillcolor="window" stroked="f" strokeweight="1pt">
                <w10:wrap anchorx="margin"/>
              </v:rect>
            </w:pict>
          </mc:Fallback>
        </mc:AlternateContent>
      </w:r>
      <w:r w:rsidR="00D02189" w:rsidRPr="00D02189">
        <w:rPr>
          <w:noProof/>
        </w:rPr>
        <w:drawing>
          <wp:inline distT="0" distB="0" distL="0" distR="0" wp14:anchorId="5BA8098A" wp14:editId="07342C8F">
            <wp:extent cx="5723116" cy="3055885"/>
            <wp:effectExtent l="0" t="0" r="0" b="0"/>
            <wp:docPr id="266656729" name="Picture 1" descr="Table 19. TEAEs up to Weeks 26 and 52 resulting in study drug discontinuation reported in &gt; 2 women in any group (SAF, pooled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56729" name="Picture 1" descr="Table 19. TEAEs up to Weeks 26 and 52 resulting in study drug discontinuation reported in &gt; 2 women in any group (SAF, pooled safety population)."/>
                    <pic:cNvPicPr/>
                  </pic:nvPicPr>
                  <pic:blipFill>
                    <a:blip r:embed="rId41"/>
                    <a:stretch>
                      <a:fillRect/>
                    </a:stretch>
                  </pic:blipFill>
                  <pic:spPr>
                    <a:xfrm>
                      <a:off x="0" y="0"/>
                      <a:ext cx="5723116" cy="3055885"/>
                    </a:xfrm>
                    <a:prstGeom prst="rect">
                      <a:avLst/>
                    </a:prstGeom>
                  </pic:spPr>
                </pic:pic>
              </a:graphicData>
            </a:graphic>
          </wp:inline>
        </w:drawing>
      </w:r>
    </w:p>
    <w:p w14:paraId="0BDE4728" w14:textId="77777777" w:rsidR="00174FEF" w:rsidRDefault="00174FEF" w:rsidP="00544BC8">
      <w:pPr>
        <w:pStyle w:val="Heading5"/>
      </w:pPr>
      <w:r w:rsidRPr="004F4183">
        <w:t>Adverse events of special interest</w:t>
      </w:r>
    </w:p>
    <w:p w14:paraId="695C8A91" w14:textId="51DEDE63" w:rsidR="00174FEF" w:rsidRPr="003118E8" w:rsidRDefault="006669FE" w:rsidP="00174FEF">
      <w:pPr>
        <w:spacing w:after="60" w:line="240" w:lineRule="auto"/>
        <w:rPr>
          <w:lang w:eastAsia="ja-JP"/>
        </w:rPr>
      </w:pPr>
      <w:r w:rsidRPr="006669FE">
        <w:rPr>
          <w:iCs/>
          <w:lang w:eastAsia="ja-JP"/>
        </w:rPr>
        <w:t>Adverse events of special interest</w:t>
      </w:r>
      <w:r>
        <w:rPr>
          <w:iCs/>
          <w:lang w:eastAsia="ja-JP"/>
        </w:rPr>
        <w:t xml:space="preserve"> (</w:t>
      </w:r>
      <w:r w:rsidR="00174FEF">
        <w:rPr>
          <w:lang w:eastAsia="ja-JP"/>
        </w:rPr>
        <w:t>AESIs</w:t>
      </w:r>
      <w:r>
        <w:rPr>
          <w:lang w:eastAsia="ja-JP"/>
        </w:rPr>
        <w:t>)</w:t>
      </w:r>
      <w:r w:rsidR="00174FEF">
        <w:rPr>
          <w:lang w:eastAsia="ja-JP"/>
        </w:rPr>
        <w:t xml:space="preserve"> </w:t>
      </w:r>
      <w:r w:rsidR="00174FEF" w:rsidRPr="00F8671C">
        <w:rPr>
          <w:lang w:eastAsia="ja-JP"/>
        </w:rPr>
        <w:t xml:space="preserve">were more common with </w:t>
      </w:r>
      <w:proofErr w:type="spellStart"/>
      <w:r w:rsidR="00174FEF" w:rsidRPr="00F8671C">
        <w:rPr>
          <w:lang w:eastAsia="ja-JP"/>
        </w:rPr>
        <w:t>elinzanetant</w:t>
      </w:r>
      <w:proofErr w:type="spellEnd"/>
      <w:r w:rsidR="00174FEF" w:rsidRPr="00F8671C">
        <w:rPr>
          <w:lang w:eastAsia="ja-JP"/>
        </w:rPr>
        <w:t xml:space="preserve"> than with placebo (11.0% vs. 4.5%; RR 2.44 [95%-CI 1.66-3.59])</w:t>
      </w:r>
      <w:r w:rsidR="00174FEF">
        <w:rPr>
          <w:lang w:eastAsia="ja-JP"/>
        </w:rPr>
        <w:t xml:space="preserve">, </w:t>
      </w:r>
      <w:r w:rsidR="00174FEF">
        <w:rPr>
          <w:color w:val="000000"/>
        </w:rPr>
        <w:t xml:space="preserve">largely driven by the AESI ‘somnolence or fatigue’ in this </w:t>
      </w:r>
      <w:proofErr w:type="gramStart"/>
      <w:r w:rsidR="00174FEF">
        <w:rPr>
          <w:color w:val="000000"/>
        </w:rPr>
        <w:t>time period</w:t>
      </w:r>
      <w:proofErr w:type="gramEnd"/>
      <w:r w:rsidR="00174FEF">
        <w:rPr>
          <w:color w:val="000000"/>
        </w:rPr>
        <w:t xml:space="preserve">. </w:t>
      </w:r>
    </w:p>
    <w:p w14:paraId="1E3CCFFE" w14:textId="174EBB5D" w:rsidR="00174FEF" w:rsidRDefault="00174FEF" w:rsidP="00174FEF">
      <w:pPr>
        <w:spacing w:after="60" w:line="240" w:lineRule="auto"/>
        <w:rPr>
          <w:color w:val="000000"/>
        </w:rPr>
      </w:pPr>
      <w:r w:rsidRPr="007B36F8">
        <w:rPr>
          <w:color w:val="000000"/>
          <w:u w:val="single"/>
        </w:rPr>
        <w:t xml:space="preserve">Somnolence </w:t>
      </w:r>
      <w:r>
        <w:rPr>
          <w:color w:val="000000"/>
          <w:u w:val="single"/>
        </w:rPr>
        <w:t>or</w:t>
      </w:r>
      <w:r w:rsidRPr="007B36F8">
        <w:rPr>
          <w:color w:val="000000"/>
          <w:u w:val="single"/>
        </w:rPr>
        <w:t xml:space="preserve"> fatigue</w:t>
      </w:r>
      <w:r>
        <w:rPr>
          <w:color w:val="000000"/>
        </w:rPr>
        <w:t xml:space="preserve">: This was more common with active treatment than with placebo in all studies included in the data </w:t>
      </w:r>
      <w:r w:rsidR="00317B4D">
        <w:rPr>
          <w:color w:val="000000"/>
        </w:rPr>
        <w:t>pool and</w:t>
      </w:r>
      <w:r>
        <w:rPr>
          <w:color w:val="000000"/>
        </w:rPr>
        <w:t xml:space="preserve"> primarily reported during the first two weeks of treatment.  No difference in the incidence of accidents or injuries between treatment groups was evident.</w:t>
      </w:r>
    </w:p>
    <w:p w14:paraId="1E040BA8" w14:textId="77777777" w:rsidR="00174FEF" w:rsidRDefault="00174FEF" w:rsidP="00174FEF">
      <w:pPr>
        <w:spacing w:after="60" w:line="240" w:lineRule="auto"/>
        <w:rPr>
          <w:color w:val="000000"/>
        </w:rPr>
      </w:pPr>
      <w:r w:rsidRPr="002E0A39">
        <w:rPr>
          <w:color w:val="000000"/>
          <w:u w:val="single"/>
        </w:rPr>
        <w:t>Liver toxicity</w:t>
      </w:r>
      <w:r>
        <w:rPr>
          <w:color w:val="000000"/>
        </w:rPr>
        <w:t xml:space="preserve">: No </w:t>
      </w:r>
      <w:r w:rsidRPr="00965BC8">
        <w:rPr>
          <w:color w:val="000000"/>
        </w:rPr>
        <w:t>imbalances between treatment groups or relevant changes from baseline in any of the four studies included in the data pool</w:t>
      </w:r>
      <w:r>
        <w:rPr>
          <w:color w:val="000000"/>
        </w:rPr>
        <w:t xml:space="preserve"> were identified</w:t>
      </w:r>
      <w:r w:rsidRPr="00965BC8">
        <w:rPr>
          <w:color w:val="000000"/>
        </w:rPr>
        <w:t>.</w:t>
      </w:r>
      <w:r w:rsidRPr="00E827F2">
        <w:rPr>
          <w:color w:val="000000"/>
        </w:rPr>
        <w:t xml:space="preserve"> </w:t>
      </w:r>
      <w:r w:rsidRPr="00965BC8">
        <w:rPr>
          <w:color w:val="000000"/>
        </w:rPr>
        <w:t xml:space="preserve">None of the cases fulfilled Hy’s Law criteria. </w:t>
      </w:r>
      <w:r>
        <w:rPr>
          <w:color w:val="000000"/>
        </w:rPr>
        <w:t>N</w:t>
      </w:r>
      <w:r w:rsidRPr="00965BC8">
        <w:rPr>
          <w:color w:val="000000"/>
        </w:rPr>
        <w:t>o cases of cholestatic DILI were identified.</w:t>
      </w:r>
      <w:r w:rsidRPr="000A3B1D">
        <w:rPr>
          <w:color w:val="000000"/>
        </w:rPr>
        <w:t xml:space="preserve"> </w:t>
      </w:r>
      <w:r>
        <w:rPr>
          <w:color w:val="000000"/>
        </w:rPr>
        <w:t xml:space="preserve">However, patients with abnormal liver function or a </w:t>
      </w:r>
      <w:r w:rsidRPr="0026427C">
        <w:rPr>
          <w:color w:val="000000"/>
        </w:rPr>
        <w:t>BMI</w:t>
      </w:r>
      <w:r>
        <w:rPr>
          <w:color w:val="000000"/>
        </w:rPr>
        <w:t xml:space="preserve"> &gt; </w:t>
      </w:r>
      <w:r w:rsidRPr="005A04C2">
        <w:t>38</w:t>
      </w:r>
      <w:r>
        <w:t xml:space="preserve"> </w:t>
      </w:r>
      <w:r w:rsidRPr="005A04C2">
        <w:t>kg/m</w:t>
      </w:r>
      <w:r w:rsidRPr="005A04C2">
        <w:rPr>
          <w:vertAlign w:val="superscript"/>
        </w:rPr>
        <w:t>2</w:t>
      </w:r>
      <w:r>
        <w:rPr>
          <w:color w:val="000000"/>
        </w:rPr>
        <w:t xml:space="preserve"> </w:t>
      </w:r>
      <w:r w:rsidRPr="0026427C">
        <w:rPr>
          <w:color w:val="000000"/>
        </w:rPr>
        <w:t>were exclu</w:t>
      </w:r>
      <w:r>
        <w:rPr>
          <w:color w:val="000000"/>
        </w:rPr>
        <w:t>ded from the trials.</w:t>
      </w:r>
    </w:p>
    <w:p w14:paraId="1C3FF158" w14:textId="77777777" w:rsidR="00174FEF" w:rsidRDefault="00174FEF" w:rsidP="00174FEF">
      <w:pPr>
        <w:spacing w:after="60" w:line="240" w:lineRule="auto"/>
        <w:rPr>
          <w:color w:val="000000"/>
        </w:rPr>
      </w:pPr>
      <w:r w:rsidRPr="00965BC8">
        <w:rPr>
          <w:color w:val="000000"/>
        </w:rPr>
        <w:t xml:space="preserve">Up to week 12, no cases were identified that fulfilled the criteria for </w:t>
      </w:r>
      <w:r>
        <w:rPr>
          <w:color w:val="000000"/>
        </w:rPr>
        <w:t>‘</w:t>
      </w:r>
      <w:r w:rsidRPr="00965BC8">
        <w:rPr>
          <w:color w:val="000000"/>
        </w:rPr>
        <w:t>Close Liver Observation</w:t>
      </w:r>
      <w:r>
        <w:rPr>
          <w:color w:val="000000"/>
        </w:rPr>
        <w:t>’</w:t>
      </w:r>
      <w:r w:rsidRPr="00965BC8">
        <w:rPr>
          <w:color w:val="000000"/>
        </w:rPr>
        <w:t xml:space="preserve"> (CLO). By week 52, 12 such cases were identified</w:t>
      </w:r>
      <w:r>
        <w:rPr>
          <w:color w:val="000000"/>
        </w:rPr>
        <w:t xml:space="preserve"> (</w:t>
      </w:r>
      <w:r w:rsidRPr="00965BC8">
        <w:rPr>
          <w:color w:val="000000"/>
        </w:rPr>
        <w:t xml:space="preserve">8 </w:t>
      </w:r>
      <w:r>
        <w:rPr>
          <w:color w:val="000000"/>
        </w:rPr>
        <w:t xml:space="preserve">on </w:t>
      </w:r>
      <w:proofErr w:type="spellStart"/>
      <w:r w:rsidRPr="00965BC8">
        <w:rPr>
          <w:color w:val="000000"/>
        </w:rPr>
        <w:t>elinzanetant</w:t>
      </w:r>
      <w:proofErr w:type="spellEnd"/>
      <w:r>
        <w:rPr>
          <w:color w:val="000000"/>
        </w:rPr>
        <w:t xml:space="preserve"> vs. </w:t>
      </w:r>
      <w:r w:rsidRPr="00965BC8">
        <w:rPr>
          <w:color w:val="000000"/>
        </w:rPr>
        <w:t xml:space="preserve">2 </w:t>
      </w:r>
      <w:r>
        <w:rPr>
          <w:color w:val="000000"/>
        </w:rPr>
        <w:t xml:space="preserve">on </w:t>
      </w:r>
      <w:r w:rsidRPr="00965BC8">
        <w:rPr>
          <w:color w:val="000000"/>
        </w:rPr>
        <w:t>placebo</w:t>
      </w:r>
      <w:r>
        <w:rPr>
          <w:color w:val="000000"/>
        </w:rPr>
        <w:t xml:space="preserve">). </w:t>
      </w:r>
      <w:r w:rsidRPr="00965BC8">
        <w:rPr>
          <w:color w:val="000000"/>
        </w:rPr>
        <w:t>3 of these 12 cases fulfilled the criteria of liver injury</w:t>
      </w:r>
      <w:r>
        <w:rPr>
          <w:color w:val="000000"/>
        </w:rPr>
        <w:t>:</w:t>
      </w:r>
      <w:r w:rsidRPr="00965BC8">
        <w:rPr>
          <w:color w:val="000000"/>
        </w:rPr>
        <w:t xml:space="preserve"> 1 patient in the active group (after week 26) and 2 cases in the placebo group (1 after week 26, one in the time interval between week 12 and week </w:t>
      </w:r>
      <w:r w:rsidRPr="00965BC8">
        <w:rPr>
          <w:color w:val="000000"/>
        </w:rPr>
        <w:lastRenderedPageBreak/>
        <w:t>26).</w:t>
      </w:r>
      <w:r>
        <w:rPr>
          <w:color w:val="000000"/>
        </w:rPr>
        <w:t xml:space="preserve"> </w:t>
      </w:r>
      <w:r w:rsidRPr="00965BC8">
        <w:rPr>
          <w:color w:val="000000"/>
        </w:rPr>
        <w:t>Of the 12 cases</w:t>
      </w:r>
      <w:r>
        <w:rPr>
          <w:color w:val="000000"/>
        </w:rPr>
        <w:t xml:space="preserve">, </w:t>
      </w:r>
      <w:r w:rsidRPr="00965BC8">
        <w:rPr>
          <w:color w:val="000000"/>
        </w:rPr>
        <w:t xml:space="preserve">2 </w:t>
      </w:r>
      <w:r>
        <w:rPr>
          <w:color w:val="000000"/>
        </w:rPr>
        <w:t xml:space="preserve">in OASIS 3 </w:t>
      </w:r>
      <w:r w:rsidRPr="00965BC8">
        <w:rPr>
          <w:color w:val="000000"/>
        </w:rPr>
        <w:t>were considered as treatment related</w:t>
      </w:r>
      <w:r>
        <w:rPr>
          <w:color w:val="000000"/>
        </w:rPr>
        <w:t xml:space="preserve"> (</w:t>
      </w:r>
      <w:r w:rsidRPr="00965BC8">
        <w:rPr>
          <w:color w:val="000000"/>
        </w:rPr>
        <w:t>one patient each with active treatment and with placebo.</w:t>
      </w:r>
    </w:p>
    <w:p w14:paraId="5C1A711E" w14:textId="77777777" w:rsidR="00174FEF" w:rsidRDefault="00174FEF" w:rsidP="00174FEF">
      <w:pPr>
        <w:spacing w:after="60" w:line="240" w:lineRule="auto"/>
        <w:rPr>
          <w:color w:val="000000"/>
        </w:rPr>
      </w:pPr>
      <w:r w:rsidRPr="00842036">
        <w:rPr>
          <w:b/>
          <w:bCs/>
          <w:color w:val="000000"/>
        </w:rPr>
        <w:t>Postmenopausal bleeding</w:t>
      </w:r>
      <w:r>
        <w:rPr>
          <w:color w:val="000000"/>
        </w:rPr>
        <w:t xml:space="preserve">: There were no relevant differences between treatment groups. In none of the cases endometrial hyperplasia or carcinoma were identified. A causal relationship between the observed cases of postmenopausal bleeding and </w:t>
      </w:r>
      <w:proofErr w:type="spellStart"/>
      <w:r>
        <w:rPr>
          <w:color w:val="000000"/>
        </w:rPr>
        <w:t>elinzanetant</w:t>
      </w:r>
      <w:proofErr w:type="spellEnd"/>
      <w:r>
        <w:rPr>
          <w:color w:val="000000"/>
        </w:rPr>
        <w:t xml:space="preserve"> seems rather unlikely.</w:t>
      </w:r>
    </w:p>
    <w:p w14:paraId="7D7275EB" w14:textId="77777777" w:rsidR="00174FEF" w:rsidRDefault="00174FEF" w:rsidP="00174FEF">
      <w:pPr>
        <w:spacing w:after="60" w:line="240" w:lineRule="auto"/>
        <w:rPr>
          <w:color w:val="000000"/>
        </w:rPr>
      </w:pPr>
      <w:r w:rsidRPr="00842036">
        <w:rPr>
          <w:b/>
          <w:bCs/>
          <w:color w:val="000000"/>
        </w:rPr>
        <w:t>Phototoxicity</w:t>
      </w:r>
      <w:r>
        <w:rPr>
          <w:color w:val="000000"/>
        </w:rPr>
        <w:t>: 10 cases were reported with 6 of these in the long-term study OASIS 3. 9 of the 10 events were reported with active treatment. The incidence appeared to increase with longer duration of exposure.</w:t>
      </w:r>
    </w:p>
    <w:p w14:paraId="2B22B966" w14:textId="77777777" w:rsidR="00174FEF" w:rsidRDefault="00174FEF" w:rsidP="00174FEF">
      <w:pPr>
        <w:spacing w:after="60" w:line="240" w:lineRule="auto"/>
      </w:pPr>
      <w:r w:rsidRPr="00842036">
        <w:rPr>
          <w:b/>
          <w:bCs/>
        </w:rPr>
        <w:t>Bone safety</w:t>
      </w:r>
      <w:r>
        <w:t xml:space="preserve"> (</w:t>
      </w:r>
      <w:r w:rsidRPr="00B55D16">
        <w:rPr>
          <w:color w:val="000000"/>
        </w:rPr>
        <w:t>not a designated AESI</w:t>
      </w:r>
      <w:r>
        <w:t>)</w:t>
      </w:r>
      <w:r w:rsidRPr="005E0F7A">
        <w:t xml:space="preserve">: </w:t>
      </w:r>
      <w:r>
        <w:t>BMD was investigated by DEXA scans (baseline and at week 52) as a safety parameter in the long-term study OASIS 3 only. In both treatment groups, there were no meaningful changes, but BMD should be monitored during long-term treatment.</w:t>
      </w:r>
    </w:p>
    <w:p w14:paraId="6E2F4FCD" w14:textId="77777777" w:rsidR="00174FEF" w:rsidRDefault="00174FEF" w:rsidP="00174FEF">
      <w:pPr>
        <w:spacing w:after="60" w:line="240" w:lineRule="auto"/>
      </w:pPr>
      <w:r w:rsidRPr="00842036">
        <w:rPr>
          <w:b/>
          <w:bCs/>
        </w:rPr>
        <w:t>Endometrial safety (not a designated AESI)</w:t>
      </w:r>
      <w:r>
        <w:t>:</w:t>
      </w:r>
      <w:r w:rsidRPr="00826A0C">
        <w:t xml:space="preserve"> </w:t>
      </w:r>
      <w:r w:rsidRPr="00CA7005">
        <w:t xml:space="preserve">No clinically relevant changes </w:t>
      </w:r>
      <w:r>
        <w:t xml:space="preserve">to </w:t>
      </w:r>
      <w:r w:rsidRPr="00CA7005">
        <w:t>endometrial thickness were identified.</w:t>
      </w:r>
      <w:r>
        <w:t xml:space="preserve"> </w:t>
      </w:r>
      <w:r w:rsidRPr="00CA7005">
        <w:t xml:space="preserve">Overall, from all three OASIS </w:t>
      </w:r>
      <w:r w:rsidRPr="0082509C">
        <w:t>studies, EOT biopsies</w:t>
      </w:r>
      <w:r w:rsidRPr="00CA7005">
        <w:t xml:space="preserve"> </w:t>
      </w:r>
      <w:r>
        <w:t xml:space="preserve">from </w:t>
      </w:r>
      <w:r w:rsidRPr="00CA7005">
        <w:t xml:space="preserve">609 </w:t>
      </w:r>
      <w:r>
        <w:t>patients</w:t>
      </w:r>
      <w:r w:rsidRPr="00CA7005">
        <w:t xml:space="preserve"> were available</w:t>
      </w:r>
      <w:r>
        <w:t xml:space="preserve"> (</w:t>
      </w:r>
      <w:r w:rsidRPr="008B490B">
        <w:t xml:space="preserve">302 from patients in the </w:t>
      </w:r>
      <w:proofErr w:type="spellStart"/>
      <w:r w:rsidRPr="008B490B">
        <w:t>elinzanetant</w:t>
      </w:r>
      <w:proofErr w:type="spellEnd"/>
      <w:r w:rsidRPr="008B490B">
        <w:t xml:space="preserve"> groups</w:t>
      </w:r>
      <w:r>
        <w:t>)</w:t>
      </w:r>
      <w:r w:rsidRPr="00CA7005">
        <w:t>. No cases of endometrial hyperplasia or malignant changes were identified.</w:t>
      </w:r>
      <w:r>
        <w:t xml:space="preserve"> However, of the 302 patients, only approximately half had been exposed for 12 months, and even though</w:t>
      </w:r>
      <w:r w:rsidRPr="00CA7005">
        <w:t xml:space="preserve"> rather unlikely,</w:t>
      </w:r>
      <w:r>
        <w:t xml:space="preserve"> an unfavourable effect cannot be </w:t>
      </w:r>
      <w:proofErr w:type="gramStart"/>
      <w:r>
        <w:t>definitely excluded</w:t>
      </w:r>
      <w:proofErr w:type="gramEnd"/>
      <w:r w:rsidRPr="00CA7005">
        <w:t>.</w:t>
      </w:r>
    </w:p>
    <w:p w14:paraId="28154BD5" w14:textId="77777777" w:rsidR="00174FEF" w:rsidRDefault="00174FEF" w:rsidP="00174FEF">
      <w:pPr>
        <w:spacing w:line="240" w:lineRule="auto"/>
      </w:pPr>
      <w:bookmarkStart w:id="81" w:name="_Toc200788465"/>
      <w:r w:rsidRPr="00842036">
        <w:rPr>
          <w:b/>
          <w:bCs/>
        </w:rPr>
        <w:t>CNS effects and suicidality</w:t>
      </w:r>
      <w:bookmarkEnd w:id="81"/>
      <w:r w:rsidRPr="00842036">
        <w:rPr>
          <w:b/>
          <w:bCs/>
        </w:rPr>
        <w:t xml:space="preserve"> (not a designated AESI)</w:t>
      </w:r>
      <w:r>
        <w:t>:</w:t>
      </w:r>
      <w:r w:rsidRPr="00370A62">
        <w:t xml:space="preserve"> </w:t>
      </w:r>
      <w:proofErr w:type="spellStart"/>
      <w:r>
        <w:t>elinzanetant</w:t>
      </w:r>
      <w:proofErr w:type="spellEnd"/>
      <w:r>
        <w:t xml:space="preserve"> crosses the blood brain barrier, but no clinically relevant findings were identified (including withdrawal or rebound effects, or suicidal ideation). One case of seizures (generalised tonic-</w:t>
      </w:r>
      <w:proofErr w:type="spellStart"/>
      <w:r>
        <w:t>clonic</w:t>
      </w:r>
      <w:proofErr w:type="spellEnd"/>
      <w:r>
        <w:t xml:space="preserve"> seizures after switch from placebo to active treatment) was reported in the Phase II/III studies. The patient had a history of such seizures for more than 30 years, and a causal relationship was considered unlikely. The data available do not suggest that may increase the risk of seizures. </w:t>
      </w:r>
    </w:p>
    <w:p w14:paraId="540AF4A2" w14:textId="77777777" w:rsidR="00174FEF" w:rsidRDefault="00174FEF" w:rsidP="00544BC8">
      <w:pPr>
        <w:pStyle w:val="Heading5"/>
      </w:pPr>
      <w:r>
        <w:t>Post-market experience</w:t>
      </w:r>
    </w:p>
    <w:p w14:paraId="4357C4EA" w14:textId="77777777" w:rsidR="00174FEF" w:rsidRPr="00432EAE" w:rsidRDefault="00174FEF" w:rsidP="00174FEF">
      <w:pPr>
        <w:spacing w:after="60" w:line="240" w:lineRule="auto"/>
        <w:rPr>
          <w:color w:val="000000"/>
        </w:rPr>
      </w:pPr>
      <w:r>
        <w:rPr>
          <w:color w:val="000000"/>
        </w:rPr>
        <w:t>No data available.</w:t>
      </w:r>
    </w:p>
    <w:p w14:paraId="2858B006" w14:textId="77777777" w:rsidR="00C22214" w:rsidRDefault="00C22214" w:rsidP="00C22214">
      <w:pPr>
        <w:pStyle w:val="Heading3"/>
        <w:rPr>
          <w:lang w:eastAsia="en-AU"/>
        </w:rPr>
      </w:pPr>
      <w:bookmarkStart w:id="82" w:name="_Toc103679298"/>
      <w:bookmarkStart w:id="83" w:name="_Toc223341696"/>
      <w:r>
        <w:rPr>
          <w:lang w:eastAsia="en-AU"/>
        </w:rPr>
        <w:t>Risk management plan</w:t>
      </w:r>
      <w:bookmarkEnd w:id="59"/>
      <w:bookmarkEnd w:id="82"/>
      <w:bookmarkEnd w:id="83"/>
    </w:p>
    <w:p w14:paraId="6B4DC07B" w14:textId="030A1B83" w:rsidR="00ED67B0" w:rsidRPr="00ED67B0" w:rsidRDefault="00ED67B0" w:rsidP="00ED67B0">
      <w:pPr>
        <w:rPr>
          <w:szCs w:val="22"/>
        </w:rPr>
      </w:pPr>
      <w:bookmarkStart w:id="84" w:name="_Toc247691531"/>
      <w:bookmarkStart w:id="85" w:name="_Toc314842515"/>
      <w:r w:rsidRPr="00ED67B0">
        <w:rPr>
          <w:szCs w:val="22"/>
        </w:rPr>
        <w:t>Bayer Australia Ltd submitted Core-RMP version 1.0 (dated 27 June 2024; DLP 9 April 2024) and ASA version 1.0 (dated 21 August 2024) in support of this application. At round 2 the sponsor submitted EU-RMP version 1.1 (dated 27 September 2024; DLP 18 June 2024) and ASA version 2.0 (dated 25 April 2025). At round 3 the sponsor submitted EU-RMP version 1.2 (date 21 May 2025; DLP 18 June 2024) and ASA version 3.0 (date 10 June 2025).</w:t>
      </w:r>
    </w:p>
    <w:p w14:paraId="39F3CD1D" w14:textId="5ECE4976" w:rsidR="0072003B" w:rsidRDefault="00C22214" w:rsidP="00C22214">
      <w:pPr>
        <w:rPr>
          <w:szCs w:val="22"/>
        </w:rPr>
      </w:pPr>
      <w:r w:rsidRPr="00BD5DBD">
        <w:rPr>
          <w:szCs w:val="22"/>
        </w:rPr>
        <w:t>The summary of safety concerns and their associated risk monitoring and mitigation strategies are summarised in</w:t>
      </w:r>
      <w:r w:rsidR="003B149C">
        <w:rPr>
          <w:szCs w:val="22"/>
        </w:rPr>
        <w:t xml:space="preserve"> </w:t>
      </w:r>
      <w:r w:rsidR="003B149C" w:rsidRPr="003B149C">
        <w:rPr>
          <w:szCs w:val="22"/>
        </w:rPr>
        <w:fldChar w:fldCharType="begin"/>
      </w:r>
      <w:r w:rsidR="003B149C" w:rsidRPr="003B149C">
        <w:rPr>
          <w:szCs w:val="22"/>
        </w:rPr>
        <w:instrText xml:space="preserve"> REF _Ref97629131 \h </w:instrText>
      </w:r>
      <w:r w:rsidR="003B149C">
        <w:rPr>
          <w:szCs w:val="22"/>
        </w:rPr>
        <w:instrText xml:space="preserve"> \* MERGEFORMAT </w:instrText>
      </w:r>
      <w:r w:rsidR="003B149C" w:rsidRPr="003B149C">
        <w:rPr>
          <w:szCs w:val="22"/>
        </w:rPr>
      </w:r>
      <w:r w:rsidR="003B149C" w:rsidRPr="003B149C">
        <w:rPr>
          <w:szCs w:val="22"/>
        </w:rPr>
        <w:fldChar w:fldCharType="separate"/>
      </w:r>
      <w:r w:rsidR="008B1CB5" w:rsidRPr="008B1CB5">
        <w:rPr>
          <w:szCs w:val="22"/>
        </w:rPr>
        <w:t xml:space="preserve">Table </w:t>
      </w:r>
      <w:r w:rsidR="003B149C" w:rsidRPr="003B149C">
        <w:rPr>
          <w:szCs w:val="22"/>
        </w:rPr>
        <w:fldChar w:fldCharType="end"/>
      </w:r>
      <w:r w:rsidR="00B0135A">
        <w:rPr>
          <w:szCs w:val="22"/>
        </w:rPr>
        <w:t>20</w:t>
      </w:r>
      <w:r w:rsidR="008C49C6" w:rsidRPr="003B149C">
        <w:rPr>
          <w:szCs w:val="22"/>
        </w:rPr>
        <w:t>.</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r w:rsidR="001136E5" w:rsidRPr="00BD5DBD">
        <w:rPr>
          <w:szCs w:val="22"/>
        </w:rPr>
        <w:t>life cycle</w:t>
      </w:r>
      <w:r w:rsidR="0072003B" w:rsidRPr="00BD5DBD">
        <w:rPr>
          <w:szCs w:val="22"/>
        </w:rPr>
        <w:t>, during both the pre-approval and post-approval phases.</w:t>
      </w:r>
    </w:p>
    <w:p w14:paraId="56B51A93" w14:textId="302DEDE8" w:rsidR="006A277A" w:rsidRDefault="00C22214" w:rsidP="00C22214">
      <w:pPr>
        <w:pStyle w:val="TableTitle"/>
      </w:pPr>
      <w:bookmarkStart w:id="86" w:name="_Ref97629131"/>
      <w:r>
        <w:t xml:space="preserve">Table </w:t>
      </w:r>
      <w:bookmarkEnd w:id="86"/>
      <w:r w:rsidR="00B0135A">
        <w:t>20</w:t>
      </w:r>
      <w:r w:rsidR="00207A3B">
        <w:t>.</w:t>
      </w:r>
      <w:r>
        <w:t xml:space="preserve"> Summary of safety concerns</w:t>
      </w:r>
      <w:r w:rsidR="00207A3B">
        <w:t>.</w:t>
      </w:r>
    </w:p>
    <w:tbl>
      <w:tblPr>
        <w:tblStyle w:val="TableTGAblue2023"/>
        <w:tblW w:w="9469" w:type="dxa"/>
        <w:tblLayout w:type="fixed"/>
        <w:tblLook w:val="04A0" w:firstRow="1" w:lastRow="0" w:firstColumn="1" w:lastColumn="0" w:noHBand="0" w:noVBand="1"/>
      </w:tblPr>
      <w:tblGrid>
        <w:gridCol w:w="2258"/>
        <w:gridCol w:w="2557"/>
        <w:gridCol w:w="1134"/>
        <w:gridCol w:w="1134"/>
        <w:gridCol w:w="1134"/>
        <w:gridCol w:w="1252"/>
      </w:tblGrid>
      <w:tr w:rsidR="00430292" w:rsidRPr="00842036" w14:paraId="090E65B4" w14:textId="77777777" w:rsidTr="0015766C">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4815" w:type="dxa"/>
            <w:gridSpan w:val="2"/>
            <w:vMerge w:val="restart"/>
          </w:tcPr>
          <w:p w14:paraId="1DA3A085" w14:textId="77777777" w:rsidR="00430292" w:rsidRPr="00842036" w:rsidRDefault="00430292" w:rsidP="00842036">
            <w:pPr>
              <w:rPr>
                <w:sz w:val="20"/>
                <w:szCs w:val="20"/>
              </w:rPr>
            </w:pPr>
            <w:r w:rsidRPr="00842036">
              <w:rPr>
                <w:sz w:val="20"/>
                <w:szCs w:val="20"/>
              </w:rPr>
              <w:t>Summary of safety concerns</w:t>
            </w:r>
          </w:p>
        </w:tc>
        <w:tc>
          <w:tcPr>
            <w:tcW w:w="2268" w:type="dxa"/>
            <w:gridSpan w:val="2"/>
          </w:tcPr>
          <w:p w14:paraId="2951C64A" w14:textId="77777777" w:rsidR="00430292" w:rsidRPr="00842036" w:rsidRDefault="00430292" w:rsidP="00842036">
            <w:pPr>
              <w:cnfStyle w:val="100000000000" w:firstRow="1" w:lastRow="0" w:firstColumn="0" w:lastColumn="0" w:oddVBand="0" w:evenVBand="0" w:oddHBand="0" w:evenHBand="0" w:firstRowFirstColumn="0" w:firstRowLastColumn="0" w:lastRowFirstColumn="0" w:lastRowLastColumn="0"/>
              <w:rPr>
                <w:sz w:val="20"/>
                <w:szCs w:val="20"/>
              </w:rPr>
            </w:pPr>
            <w:r w:rsidRPr="00842036">
              <w:rPr>
                <w:sz w:val="20"/>
                <w:szCs w:val="20"/>
              </w:rPr>
              <w:t>Pharmacovigilance</w:t>
            </w:r>
          </w:p>
        </w:tc>
        <w:tc>
          <w:tcPr>
            <w:tcW w:w="2386" w:type="dxa"/>
            <w:gridSpan w:val="2"/>
          </w:tcPr>
          <w:p w14:paraId="4130D2A9" w14:textId="77777777" w:rsidR="00430292" w:rsidRPr="00842036" w:rsidRDefault="00430292" w:rsidP="00842036">
            <w:pPr>
              <w:cnfStyle w:val="100000000000" w:firstRow="1" w:lastRow="0" w:firstColumn="0" w:lastColumn="0" w:oddVBand="0" w:evenVBand="0" w:oddHBand="0" w:evenHBand="0" w:firstRowFirstColumn="0" w:firstRowLastColumn="0" w:lastRowFirstColumn="0" w:lastRowLastColumn="0"/>
              <w:rPr>
                <w:sz w:val="20"/>
                <w:szCs w:val="20"/>
              </w:rPr>
            </w:pPr>
            <w:r w:rsidRPr="00842036">
              <w:rPr>
                <w:sz w:val="20"/>
                <w:szCs w:val="20"/>
              </w:rPr>
              <w:t>Risk Minimisation</w:t>
            </w:r>
          </w:p>
        </w:tc>
      </w:tr>
      <w:tr w:rsidR="00430292" w:rsidRPr="00842036" w14:paraId="6CDE9CE4" w14:textId="77777777" w:rsidTr="0015766C">
        <w:trPr>
          <w:trHeight w:val="150"/>
        </w:trPr>
        <w:tc>
          <w:tcPr>
            <w:cnfStyle w:val="001000000000" w:firstRow="0" w:lastRow="0" w:firstColumn="1" w:lastColumn="0" w:oddVBand="0" w:evenVBand="0" w:oddHBand="0" w:evenHBand="0" w:firstRowFirstColumn="0" w:firstRowLastColumn="0" w:lastRowFirstColumn="0" w:lastRowLastColumn="0"/>
            <w:tcW w:w="4815" w:type="dxa"/>
            <w:gridSpan w:val="2"/>
            <w:vMerge/>
          </w:tcPr>
          <w:p w14:paraId="086068BC" w14:textId="77777777" w:rsidR="00430292" w:rsidRPr="00842036" w:rsidRDefault="00430292" w:rsidP="00842036">
            <w:pPr>
              <w:rPr>
                <w:sz w:val="20"/>
                <w:szCs w:val="20"/>
              </w:rPr>
            </w:pPr>
          </w:p>
        </w:tc>
        <w:tc>
          <w:tcPr>
            <w:tcW w:w="1134" w:type="dxa"/>
          </w:tcPr>
          <w:p w14:paraId="759EAC91"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Routine</w:t>
            </w:r>
          </w:p>
        </w:tc>
        <w:tc>
          <w:tcPr>
            <w:tcW w:w="1134" w:type="dxa"/>
          </w:tcPr>
          <w:p w14:paraId="634F2053"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Additional</w:t>
            </w:r>
          </w:p>
        </w:tc>
        <w:tc>
          <w:tcPr>
            <w:tcW w:w="1134" w:type="dxa"/>
          </w:tcPr>
          <w:p w14:paraId="6D97EE7C"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Routine</w:t>
            </w:r>
          </w:p>
        </w:tc>
        <w:tc>
          <w:tcPr>
            <w:tcW w:w="1252" w:type="dxa"/>
          </w:tcPr>
          <w:p w14:paraId="78A4FF2F"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Additional</w:t>
            </w:r>
          </w:p>
        </w:tc>
      </w:tr>
      <w:tr w:rsidR="00430292" w:rsidRPr="00842036" w14:paraId="3FC2AF22" w14:textId="77777777" w:rsidTr="0015766C">
        <w:trPr>
          <w:trHeight w:val="505"/>
        </w:trPr>
        <w:tc>
          <w:tcPr>
            <w:cnfStyle w:val="001000000000" w:firstRow="0" w:lastRow="0" w:firstColumn="1" w:lastColumn="0" w:oddVBand="0" w:evenVBand="0" w:oddHBand="0" w:evenHBand="0" w:firstRowFirstColumn="0" w:firstRowLastColumn="0" w:lastRowFirstColumn="0" w:lastRowLastColumn="0"/>
            <w:tcW w:w="2258" w:type="dxa"/>
          </w:tcPr>
          <w:p w14:paraId="3335C98B" w14:textId="77777777" w:rsidR="00430292" w:rsidRPr="00842036" w:rsidRDefault="00430292" w:rsidP="00842036">
            <w:pPr>
              <w:rPr>
                <w:sz w:val="20"/>
                <w:szCs w:val="20"/>
              </w:rPr>
            </w:pPr>
            <w:r w:rsidRPr="00842036">
              <w:rPr>
                <w:sz w:val="20"/>
                <w:szCs w:val="20"/>
              </w:rPr>
              <w:t>Important identified risks</w:t>
            </w:r>
          </w:p>
        </w:tc>
        <w:tc>
          <w:tcPr>
            <w:tcW w:w="2557" w:type="dxa"/>
          </w:tcPr>
          <w:p w14:paraId="3181B6EF"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None</w:t>
            </w:r>
          </w:p>
        </w:tc>
        <w:tc>
          <w:tcPr>
            <w:tcW w:w="1134" w:type="dxa"/>
          </w:tcPr>
          <w:p w14:paraId="5853B5B5"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w:t>
            </w:r>
          </w:p>
        </w:tc>
        <w:tc>
          <w:tcPr>
            <w:tcW w:w="1134" w:type="dxa"/>
          </w:tcPr>
          <w:p w14:paraId="1E6EB427"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w:t>
            </w:r>
          </w:p>
        </w:tc>
        <w:tc>
          <w:tcPr>
            <w:tcW w:w="1134" w:type="dxa"/>
          </w:tcPr>
          <w:p w14:paraId="1801F604"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w:t>
            </w:r>
          </w:p>
        </w:tc>
        <w:tc>
          <w:tcPr>
            <w:tcW w:w="1252" w:type="dxa"/>
          </w:tcPr>
          <w:p w14:paraId="1E47B39F"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w:t>
            </w:r>
          </w:p>
        </w:tc>
      </w:tr>
      <w:tr w:rsidR="00430292" w:rsidRPr="00842036" w14:paraId="3D7E4499" w14:textId="77777777" w:rsidTr="0015766C">
        <w:trPr>
          <w:trHeight w:val="555"/>
        </w:trPr>
        <w:tc>
          <w:tcPr>
            <w:cnfStyle w:val="001000000000" w:firstRow="0" w:lastRow="0" w:firstColumn="1" w:lastColumn="0" w:oddVBand="0" w:evenVBand="0" w:oddHBand="0" w:evenHBand="0" w:firstRowFirstColumn="0" w:firstRowLastColumn="0" w:lastRowFirstColumn="0" w:lastRowLastColumn="0"/>
            <w:tcW w:w="2258" w:type="dxa"/>
          </w:tcPr>
          <w:p w14:paraId="2AC5730F" w14:textId="77777777" w:rsidR="00430292" w:rsidRPr="00842036" w:rsidRDefault="00430292" w:rsidP="00842036">
            <w:pPr>
              <w:rPr>
                <w:sz w:val="20"/>
                <w:szCs w:val="20"/>
              </w:rPr>
            </w:pPr>
            <w:r w:rsidRPr="00842036">
              <w:rPr>
                <w:sz w:val="20"/>
                <w:szCs w:val="20"/>
              </w:rPr>
              <w:t>Important potential risks</w:t>
            </w:r>
          </w:p>
        </w:tc>
        <w:tc>
          <w:tcPr>
            <w:tcW w:w="2557" w:type="dxa"/>
          </w:tcPr>
          <w:p w14:paraId="73DBD9C4"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None</w:t>
            </w:r>
          </w:p>
        </w:tc>
        <w:tc>
          <w:tcPr>
            <w:tcW w:w="1134" w:type="dxa"/>
          </w:tcPr>
          <w:p w14:paraId="543E33CE"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w:t>
            </w:r>
          </w:p>
        </w:tc>
        <w:tc>
          <w:tcPr>
            <w:tcW w:w="1134" w:type="dxa"/>
          </w:tcPr>
          <w:p w14:paraId="71564C8F"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w:t>
            </w:r>
          </w:p>
        </w:tc>
        <w:tc>
          <w:tcPr>
            <w:tcW w:w="1134" w:type="dxa"/>
          </w:tcPr>
          <w:p w14:paraId="16C40B47"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w:t>
            </w:r>
          </w:p>
        </w:tc>
        <w:tc>
          <w:tcPr>
            <w:tcW w:w="1252" w:type="dxa"/>
          </w:tcPr>
          <w:p w14:paraId="79F16A0C"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w:t>
            </w:r>
          </w:p>
        </w:tc>
      </w:tr>
      <w:tr w:rsidR="00430292" w:rsidRPr="00842036" w14:paraId="16A5021B" w14:textId="77777777" w:rsidTr="0015766C">
        <w:trPr>
          <w:trHeight w:val="592"/>
        </w:trPr>
        <w:tc>
          <w:tcPr>
            <w:cnfStyle w:val="001000000000" w:firstRow="0" w:lastRow="0" w:firstColumn="1" w:lastColumn="0" w:oddVBand="0" w:evenVBand="0" w:oddHBand="0" w:evenHBand="0" w:firstRowFirstColumn="0" w:firstRowLastColumn="0" w:lastRowFirstColumn="0" w:lastRowLastColumn="0"/>
            <w:tcW w:w="2258" w:type="dxa"/>
          </w:tcPr>
          <w:p w14:paraId="301A6D56" w14:textId="77777777" w:rsidR="00430292" w:rsidRPr="00842036" w:rsidRDefault="00430292" w:rsidP="00842036">
            <w:pPr>
              <w:rPr>
                <w:sz w:val="20"/>
                <w:szCs w:val="20"/>
              </w:rPr>
            </w:pPr>
            <w:r w:rsidRPr="00842036">
              <w:rPr>
                <w:sz w:val="20"/>
                <w:szCs w:val="20"/>
              </w:rPr>
              <w:lastRenderedPageBreak/>
              <w:t>Missing information</w:t>
            </w:r>
          </w:p>
        </w:tc>
        <w:tc>
          <w:tcPr>
            <w:tcW w:w="2557" w:type="dxa"/>
          </w:tcPr>
          <w:p w14:paraId="00E14839"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Long term use in the population of women using adjuvant endocrine therapy (AET)</w:t>
            </w:r>
          </w:p>
        </w:tc>
        <w:tc>
          <w:tcPr>
            <w:tcW w:w="1134" w:type="dxa"/>
          </w:tcPr>
          <w:p w14:paraId="5D9C6D39"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sym w:font="Wingdings" w:char="F0FC"/>
            </w:r>
          </w:p>
        </w:tc>
        <w:tc>
          <w:tcPr>
            <w:tcW w:w="1134" w:type="dxa"/>
          </w:tcPr>
          <w:p w14:paraId="55171E97"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sym w:font="Wingdings" w:char="F0FC"/>
            </w:r>
            <w:r w:rsidRPr="00842036">
              <w:rPr>
                <w:sz w:val="20"/>
                <w:szCs w:val="20"/>
              </w:rPr>
              <w:t>*</w:t>
            </w:r>
          </w:p>
        </w:tc>
        <w:tc>
          <w:tcPr>
            <w:tcW w:w="1134" w:type="dxa"/>
          </w:tcPr>
          <w:p w14:paraId="72FD67F6"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w:t>
            </w:r>
          </w:p>
        </w:tc>
        <w:tc>
          <w:tcPr>
            <w:tcW w:w="1252" w:type="dxa"/>
          </w:tcPr>
          <w:p w14:paraId="7E8A31CA" w14:textId="77777777" w:rsidR="00430292" w:rsidRPr="00842036" w:rsidRDefault="00430292" w:rsidP="00842036">
            <w:pPr>
              <w:cnfStyle w:val="000000000000" w:firstRow="0" w:lastRow="0" w:firstColumn="0" w:lastColumn="0" w:oddVBand="0" w:evenVBand="0" w:oddHBand="0" w:evenHBand="0" w:firstRowFirstColumn="0" w:firstRowLastColumn="0" w:lastRowFirstColumn="0" w:lastRowLastColumn="0"/>
              <w:rPr>
                <w:sz w:val="20"/>
                <w:szCs w:val="20"/>
              </w:rPr>
            </w:pPr>
            <w:r w:rsidRPr="00842036">
              <w:rPr>
                <w:sz w:val="20"/>
                <w:szCs w:val="20"/>
              </w:rPr>
              <w:t>–</w:t>
            </w:r>
          </w:p>
        </w:tc>
      </w:tr>
    </w:tbl>
    <w:p w14:paraId="534E72B1" w14:textId="77777777" w:rsidR="00430292" w:rsidRPr="004E72E0" w:rsidRDefault="00430292" w:rsidP="00430292">
      <w:pPr>
        <w:pStyle w:val="Tabletext0"/>
        <w:spacing w:before="60" w:after="60" w:line="240" w:lineRule="auto"/>
        <w:rPr>
          <w:rFonts w:ascii="Arial Narrow" w:hAnsi="Arial Narrow"/>
          <w:sz w:val="20"/>
          <w:szCs w:val="20"/>
        </w:rPr>
      </w:pPr>
      <w:r w:rsidRPr="004E72E0">
        <w:rPr>
          <w:rFonts w:ascii="Arial Narrow" w:hAnsi="Arial Narrow"/>
          <w:sz w:val="20"/>
          <w:szCs w:val="20"/>
        </w:rPr>
        <w:t>*  OASIS 4 (Part C)</w:t>
      </w:r>
    </w:p>
    <w:p w14:paraId="592A95FA" w14:textId="77777777" w:rsidR="00376DB8" w:rsidRPr="00376DB8" w:rsidRDefault="00376DB8" w:rsidP="00376DB8">
      <w:r w:rsidRPr="00376DB8">
        <w:t xml:space="preserve">No safety concerns are proposed. At round 2, the sponsor provided rationale for not including issues identified in the </w:t>
      </w:r>
      <w:proofErr w:type="spellStart"/>
      <w:r w:rsidRPr="00376DB8">
        <w:t>Swissmedic</w:t>
      </w:r>
      <w:proofErr w:type="spellEnd"/>
      <w:r w:rsidRPr="00376DB8">
        <w:t xml:space="preserve"> clinical evaluation report as safety concerns. At round 3, the sponsor has added missing information relating to use in women </w:t>
      </w:r>
      <w:r w:rsidRPr="001136E5">
        <w:t>treated with AET. The</w:t>
      </w:r>
      <w:r w:rsidRPr="00376DB8">
        <w:t xml:space="preserve"> summary of safety concerns is acceptable.</w:t>
      </w:r>
    </w:p>
    <w:p w14:paraId="51C881FE" w14:textId="77777777" w:rsidR="00376DB8" w:rsidRPr="00056D17" w:rsidRDefault="00376DB8" w:rsidP="00376DB8">
      <w:pPr>
        <w:rPr>
          <w:b/>
          <w:iCs/>
        </w:rPr>
      </w:pPr>
      <w:r w:rsidRPr="00056D17">
        <w:rPr>
          <w:b/>
          <w:iCs/>
        </w:rPr>
        <w:t>Pharmacovigilance plan</w:t>
      </w:r>
    </w:p>
    <w:p w14:paraId="142FD5E0" w14:textId="77777777" w:rsidR="00376DB8" w:rsidRPr="00376DB8" w:rsidRDefault="00376DB8" w:rsidP="00376DB8">
      <w:r w:rsidRPr="00376DB8">
        <w:t>Routine pharmacovigilance activities only are proposed. At round 3 the sponsor included OASIS 4 (Part C) as additional pharmacovigilance relating to the missing information. The pharmacovigilance plan is acceptable.</w:t>
      </w:r>
    </w:p>
    <w:p w14:paraId="0A2CBBBC" w14:textId="77777777" w:rsidR="00376DB8" w:rsidRPr="00056D17" w:rsidRDefault="00376DB8" w:rsidP="00376DB8">
      <w:pPr>
        <w:rPr>
          <w:b/>
          <w:iCs/>
        </w:rPr>
      </w:pPr>
      <w:r w:rsidRPr="00056D17">
        <w:rPr>
          <w:b/>
          <w:iCs/>
        </w:rPr>
        <w:t>Risk minimisation plan</w:t>
      </w:r>
    </w:p>
    <w:p w14:paraId="712AC81A" w14:textId="77777777" w:rsidR="00376DB8" w:rsidRPr="00376DB8" w:rsidRDefault="00376DB8" w:rsidP="00376DB8">
      <w:r w:rsidRPr="00376DB8">
        <w:t>Routine risk minimisation activities only are proposed (PI and CMI) which aligns with the EU-RMP and other similar products. At round 3 routine risk minimisation has been revised as requested and the risk minimisation plan is acceptable.</w:t>
      </w:r>
    </w:p>
    <w:p w14:paraId="114B7F1D" w14:textId="77777777" w:rsidR="00376DB8" w:rsidRPr="00376DB8" w:rsidRDefault="00376DB8" w:rsidP="00376DB8">
      <w:pPr>
        <w:tabs>
          <w:tab w:val="num" w:pos="1078"/>
        </w:tabs>
        <w:rPr>
          <w:b/>
          <w:bCs/>
        </w:rPr>
      </w:pPr>
      <w:r w:rsidRPr="00376DB8">
        <w:rPr>
          <w:b/>
          <w:bCs/>
        </w:rPr>
        <w:t>Outstanding issues</w:t>
      </w:r>
    </w:p>
    <w:p w14:paraId="18584425" w14:textId="77777777" w:rsidR="00376DB8" w:rsidRPr="00376DB8" w:rsidRDefault="00376DB8" w:rsidP="00376DB8">
      <w:r w:rsidRPr="00376DB8">
        <w:t>The following advice is for the sponsor and should not impede registration:</w:t>
      </w:r>
    </w:p>
    <w:p w14:paraId="0D3AF34C" w14:textId="77777777" w:rsidR="00376DB8" w:rsidRPr="00376DB8" w:rsidRDefault="00376DB8" w:rsidP="00376DB8">
      <w:r w:rsidRPr="00376DB8">
        <w:t>The sponsor is advised that submission of the final report of OASIS 4 (Part C) to the TGA is not required. However, safety outcomes should be considered in an updated RMP. Revision of Table 2 of the ASA to remove the submission requirement for Part C of OASIS 4 can be bundled with significant changes when they arise and provided as a post-market RMP update.</w:t>
      </w:r>
    </w:p>
    <w:p w14:paraId="29945266" w14:textId="77777777" w:rsidR="00376DB8" w:rsidRPr="00376DB8" w:rsidRDefault="00376DB8" w:rsidP="00376DB8">
      <w:r w:rsidRPr="00376DB8">
        <w:t>It is noted that the EU-RMP version date in the ASA (19 May 2025) does not correspond to the version date on the EU-RMP (21 May 2025). The sponsor should ensure that the EU-RMP details in the ASA and the date on the EU-RMP align in future ASAs.</w:t>
      </w:r>
    </w:p>
    <w:p w14:paraId="456C7934" w14:textId="62E95786" w:rsidR="00FA1BC9" w:rsidRDefault="00FA1BC9" w:rsidP="00FA1BC9">
      <w:pPr>
        <w:rPr>
          <w:szCs w:val="22"/>
        </w:rPr>
      </w:pPr>
      <w:bookmarkStart w:id="87" w:name="_Toc103679299"/>
      <w:r w:rsidRPr="00BD5DBD">
        <w:rPr>
          <w:szCs w:val="22"/>
        </w:rPr>
        <w:t xml:space="preserve">Further information regarding the TGA’s risk management approach can be found in </w:t>
      </w:r>
      <w:hyperlink r:id="rId42" w:history="1">
        <w:r w:rsidRPr="00BD5DBD">
          <w:rPr>
            <w:rStyle w:val="Hyperlink"/>
            <w:szCs w:val="22"/>
          </w:rPr>
          <w:t>risk management plans for medicines and biologicals</w:t>
        </w:r>
      </w:hyperlink>
      <w:r w:rsidRPr="00BD5DBD">
        <w:rPr>
          <w:szCs w:val="22"/>
        </w:rPr>
        <w:t xml:space="preserve"> and </w:t>
      </w:r>
      <w:hyperlink r:id="rId43" w:history="1">
        <w:r w:rsidRPr="00BD5DBD">
          <w:rPr>
            <w:rStyle w:val="Hyperlink"/>
            <w:szCs w:val="22"/>
          </w:rPr>
          <w:t>the TGA's risk management approach</w:t>
        </w:r>
      </w:hyperlink>
      <w:r w:rsidRPr="00BD5DBD">
        <w:rPr>
          <w:szCs w:val="22"/>
        </w:rPr>
        <w:t xml:space="preserve">. Information on the </w:t>
      </w:r>
      <w:hyperlink r:id="rId44" w:history="1">
        <w:r w:rsidRPr="00BD5DBD">
          <w:rPr>
            <w:rStyle w:val="Hyperlink"/>
            <w:szCs w:val="22"/>
          </w:rPr>
          <w:t>Australia</w:t>
        </w:r>
        <w:r w:rsidR="00C57CEA">
          <w:rPr>
            <w:rStyle w:val="Hyperlink"/>
            <w:szCs w:val="22"/>
          </w:rPr>
          <w:t>-</w:t>
        </w:r>
        <w:r w:rsidRPr="00BD5DBD">
          <w:rPr>
            <w:rStyle w:val="Hyperlink"/>
            <w:szCs w:val="22"/>
          </w:rPr>
          <w:t>specific annex</w:t>
        </w:r>
      </w:hyperlink>
      <w:r w:rsidRPr="00BD5DBD">
        <w:rPr>
          <w:szCs w:val="22"/>
        </w:rPr>
        <w:t xml:space="preserve"> (</w:t>
      </w:r>
      <w:hyperlink r:id="rId45" w:history="1">
        <w:r w:rsidRPr="00BD5DBD">
          <w:rPr>
            <w:rStyle w:val="Hyperlink"/>
            <w:szCs w:val="22"/>
          </w:rPr>
          <w:t>ASA</w:t>
        </w:r>
      </w:hyperlink>
      <w:r w:rsidRPr="00BD5DBD">
        <w:rPr>
          <w:szCs w:val="22"/>
        </w:rPr>
        <w:t>) can be found on the TGA website.</w:t>
      </w:r>
    </w:p>
    <w:p w14:paraId="74A4F87F" w14:textId="77777777" w:rsidR="00C22214" w:rsidRDefault="00C22214" w:rsidP="00C22214">
      <w:pPr>
        <w:pStyle w:val="Heading3"/>
      </w:pPr>
      <w:bookmarkStart w:id="88" w:name="_Toc223341697"/>
      <w:r>
        <w:t>Risk-benefit analysis</w:t>
      </w:r>
      <w:bookmarkEnd w:id="84"/>
      <w:bookmarkEnd w:id="85"/>
      <w:bookmarkEnd w:id="87"/>
      <w:bookmarkEnd w:id="88"/>
    </w:p>
    <w:p w14:paraId="77DE2655" w14:textId="77777777" w:rsidR="00C22214" w:rsidRDefault="00C22214" w:rsidP="00C22214">
      <w:pPr>
        <w:pStyle w:val="Heading4"/>
      </w:pPr>
      <w:bookmarkStart w:id="89" w:name="_Toc98931932"/>
      <w:bookmarkStart w:id="90" w:name="_Toc223341698"/>
      <w:r>
        <w:t>Delegate’s considerations</w:t>
      </w:r>
      <w:bookmarkEnd w:id="89"/>
      <w:bookmarkEnd w:id="90"/>
    </w:p>
    <w:p w14:paraId="70BB1207" w14:textId="77777777" w:rsidR="003215C4" w:rsidRDefault="003215C4" w:rsidP="003215C4">
      <w:pPr>
        <w:pStyle w:val="Heading6"/>
      </w:pPr>
      <w:r>
        <w:t>Regulatory guidance</w:t>
      </w:r>
    </w:p>
    <w:p w14:paraId="53AF9924" w14:textId="77777777" w:rsidR="003215C4" w:rsidRDefault="003215C4" w:rsidP="0014737B">
      <w:pPr>
        <w:rPr>
          <w:lang w:eastAsia="ja-JP"/>
        </w:rPr>
      </w:pPr>
      <w:r>
        <w:rPr>
          <w:lang w:eastAsia="ja-JP"/>
        </w:rPr>
        <w:t>Elinza</w:t>
      </w:r>
      <w:r w:rsidRPr="005C472A">
        <w:rPr>
          <w:lang w:eastAsia="ja-JP"/>
        </w:rPr>
        <w:t>netant is a non-hormonal selective antagonist of the NK3 receptor.</w:t>
      </w:r>
      <w:r>
        <w:rPr>
          <w:lang w:eastAsia="ja-JP"/>
        </w:rPr>
        <w:t xml:space="preserve"> There is no specific guidance available for </w:t>
      </w:r>
      <w:r w:rsidRPr="005C472A">
        <w:rPr>
          <w:lang w:eastAsia="ja-JP"/>
        </w:rPr>
        <w:t>NK3 receptor</w:t>
      </w:r>
      <w:r>
        <w:rPr>
          <w:lang w:eastAsia="ja-JP"/>
        </w:rPr>
        <w:t xml:space="preserve"> </w:t>
      </w:r>
      <w:r w:rsidRPr="005C472A">
        <w:rPr>
          <w:lang w:eastAsia="ja-JP"/>
        </w:rPr>
        <w:t>antagonist</w:t>
      </w:r>
      <w:r>
        <w:rPr>
          <w:lang w:eastAsia="ja-JP"/>
        </w:rPr>
        <w:t xml:space="preserve">s. In the absence of such guidance, </w:t>
      </w:r>
      <w:r w:rsidRPr="008E43E7">
        <w:rPr>
          <w:lang w:eastAsia="ja-JP"/>
        </w:rPr>
        <w:t>EMEA/CHMP/021/97 Rev. 1</w:t>
      </w:r>
      <w:r>
        <w:rPr>
          <w:lang w:eastAsia="ja-JP"/>
        </w:rPr>
        <w:t xml:space="preserve"> provides useful guidance whilst noting that many aspects do not necessarily apply to a non-hormonal treatment.</w:t>
      </w:r>
    </w:p>
    <w:p w14:paraId="1292EB00" w14:textId="77777777" w:rsidR="003215C4" w:rsidRDefault="003215C4" w:rsidP="003215C4">
      <w:pPr>
        <w:pStyle w:val="Heading6"/>
      </w:pPr>
      <w:r>
        <w:lastRenderedPageBreak/>
        <w:t>Clinical pharmacology</w:t>
      </w:r>
    </w:p>
    <w:p w14:paraId="294E0836" w14:textId="77777777" w:rsidR="003215C4" w:rsidRDefault="003215C4" w:rsidP="0014737B">
      <w:r>
        <w:t xml:space="preserve">The pharmacokinetic properties of </w:t>
      </w:r>
      <w:proofErr w:type="spellStart"/>
      <w:r>
        <w:t>elinzanetant</w:t>
      </w:r>
      <w:proofErr w:type="spellEnd"/>
      <w:r>
        <w:t xml:space="preserve"> and the metabolic pathway (including its major metabolites) are well understood in the target patient population. E</w:t>
      </w:r>
      <w:r w:rsidRPr="00221CB7">
        <w:t>linzanetant is eliminated primarily by metabolism, with CYP3A being the predominantly responsible enzym</w:t>
      </w:r>
      <w:r>
        <w:t>e</w:t>
      </w:r>
      <w:r w:rsidRPr="00221CB7">
        <w:t>.</w:t>
      </w:r>
      <w:r>
        <w:t xml:space="preserve"> It could be classified as a </w:t>
      </w:r>
      <w:r w:rsidRPr="00AC1144">
        <w:t>weak CYP3A inhibitor</w:t>
      </w:r>
      <w:r>
        <w:t>.</w:t>
      </w:r>
    </w:p>
    <w:p w14:paraId="319DD5B6" w14:textId="77777777" w:rsidR="003215C4" w:rsidRPr="003215C4" w:rsidRDefault="003215C4" w:rsidP="003215C4">
      <w:pPr>
        <w:pStyle w:val="Heading6"/>
      </w:pPr>
      <w:r w:rsidRPr="003215C4">
        <w:t>Clinically relevant interactions</w:t>
      </w:r>
    </w:p>
    <w:p w14:paraId="0F1C75A5" w14:textId="77777777" w:rsidR="003215C4" w:rsidRDefault="003215C4" w:rsidP="0014737B">
      <w:r>
        <w:t xml:space="preserve">Clinically relevant interactions have been identified and are addressed in the product information document. </w:t>
      </w:r>
      <w:r w:rsidRPr="00221CB7">
        <w:t xml:space="preserve">The efficacy of </w:t>
      </w:r>
      <w:proofErr w:type="spellStart"/>
      <w:r w:rsidRPr="00221CB7">
        <w:t>elinzanetant</w:t>
      </w:r>
      <w:proofErr w:type="spellEnd"/>
      <w:r w:rsidRPr="00221CB7">
        <w:t xml:space="preserve"> should be monitored when co-administered with moderate to strong CYP3A4 inducers</w:t>
      </w:r>
      <w:r>
        <w:t xml:space="preserve">, as the reduction in </w:t>
      </w:r>
      <w:proofErr w:type="spellStart"/>
      <w:r>
        <w:t>elinzanetant</w:t>
      </w:r>
      <w:proofErr w:type="spellEnd"/>
      <w:r>
        <w:t xml:space="preserve"> exposure was associated with reduced efficacy in the clinical studies. </w:t>
      </w:r>
      <w:r w:rsidRPr="00A9044C">
        <w:t>PBPK modelling predictions</w:t>
      </w:r>
      <w:r>
        <w:t xml:space="preserve"> suggest a </w:t>
      </w:r>
      <w:r w:rsidRPr="00A9044C">
        <w:t xml:space="preserve">daily dose </w:t>
      </w:r>
      <w:r>
        <w:t xml:space="preserve">of </w:t>
      </w:r>
      <w:proofErr w:type="spellStart"/>
      <w:r w:rsidRPr="00A9044C">
        <w:t>elinzanetant</w:t>
      </w:r>
      <w:proofErr w:type="spellEnd"/>
      <w:r w:rsidRPr="00A9044C">
        <w:t xml:space="preserve"> 60 mg</w:t>
      </w:r>
      <w:r>
        <w:t xml:space="preserve"> when </w:t>
      </w:r>
      <w:r w:rsidRPr="00A9044C">
        <w:t>co-administ</w:t>
      </w:r>
      <w:r>
        <w:t>ered with</w:t>
      </w:r>
      <w:r w:rsidRPr="00A9044C">
        <w:t xml:space="preserve"> moderate CYP3A4 inhibitor</w:t>
      </w:r>
      <w:r>
        <w:t xml:space="preserve">s. </w:t>
      </w:r>
      <w:r w:rsidRPr="00932719">
        <w:t>A</w:t>
      </w:r>
      <w:r>
        <w:t xml:space="preserve"> </w:t>
      </w:r>
      <w:r w:rsidRPr="00932719">
        <w:t>contraindication for strong CYP3A inhibitors</w:t>
      </w:r>
      <w:r>
        <w:t xml:space="preserve"> is needed due to the resultant high </w:t>
      </w:r>
      <w:proofErr w:type="spellStart"/>
      <w:r>
        <w:t>e</w:t>
      </w:r>
      <w:r w:rsidRPr="00BC246D">
        <w:t>linzanetant</w:t>
      </w:r>
      <w:proofErr w:type="spellEnd"/>
      <w:r>
        <w:t xml:space="preserve"> exposures. </w:t>
      </w:r>
    </w:p>
    <w:p w14:paraId="51D9FC34" w14:textId="77777777" w:rsidR="003215C4" w:rsidRDefault="003215C4" w:rsidP="0014737B">
      <w:r>
        <w:t>T</w:t>
      </w:r>
      <w:r w:rsidRPr="001C34ED">
        <w:t xml:space="preserve">amoxifen </w:t>
      </w:r>
      <w:r>
        <w:t xml:space="preserve">could be expected to be co-administered with </w:t>
      </w:r>
      <w:proofErr w:type="spellStart"/>
      <w:proofErr w:type="gramStart"/>
      <w:r w:rsidRPr="00A9044C">
        <w:t>elinzanetant</w:t>
      </w:r>
      <w:proofErr w:type="spellEnd"/>
      <w:proofErr w:type="gramEnd"/>
      <w:r w:rsidRPr="00A9044C">
        <w:t xml:space="preserve"> </w:t>
      </w:r>
      <w:r>
        <w:t xml:space="preserve">and this was specifically studied. </w:t>
      </w:r>
      <w:r w:rsidRPr="00674077">
        <w:t xml:space="preserve">There </w:t>
      </w:r>
      <w:r>
        <w:t>appears to be</w:t>
      </w:r>
      <w:r w:rsidRPr="00674077">
        <w:t xml:space="preserve"> no clinically relevant effect on </w:t>
      </w:r>
      <w:r>
        <w:t xml:space="preserve">exposure of </w:t>
      </w:r>
      <w:r w:rsidRPr="00674077">
        <w:t>tamoxifen and it</w:t>
      </w:r>
      <w:r>
        <w:t>s</w:t>
      </w:r>
      <w:r w:rsidRPr="00674077">
        <w:t xml:space="preserve"> active metabolite </w:t>
      </w:r>
      <w:proofErr w:type="spellStart"/>
      <w:r w:rsidRPr="00674077">
        <w:t>endoxifen</w:t>
      </w:r>
      <w:proofErr w:type="spellEnd"/>
      <w:r w:rsidRPr="00674077">
        <w:t>.</w:t>
      </w:r>
    </w:p>
    <w:p w14:paraId="32AD38C0" w14:textId="77777777" w:rsidR="003215C4" w:rsidRDefault="003215C4" w:rsidP="003215C4">
      <w:pPr>
        <w:pStyle w:val="Heading6"/>
        <w:spacing w:line="240" w:lineRule="auto"/>
      </w:pPr>
      <w:r>
        <w:t>Hepatic or renal impairment</w:t>
      </w:r>
    </w:p>
    <w:p w14:paraId="3A66D9C5" w14:textId="77777777" w:rsidR="003215C4" w:rsidRDefault="003215C4" w:rsidP="0014737B">
      <w:r>
        <w:t>Based on available data, a</w:t>
      </w:r>
      <w:r w:rsidRPr="00845F3B">
        <w:t xml:space="preserve"> contraindication for severe </w:t>
      </w:r>
      <w:r w:rsidRPr="00845F3B">
        <w:rPr>
          <w:lang w:val="en-US"/>
        </w:rPr>
        <w:t xml:space="preserve">hepatic impairment </w:t>
      </w:r>
      <w:r w:rsidRPr="00845F3B">
        <w:t>is necessary.</w:t>
      </w:r>
      <w:r>
        <w:t xml:space="preserve"> No dose adaptations are needed for mild and moderate impairment, and patients with severe RI </w:t>
      </w:r>
      <w:r w:rsidRPr="00DA1231">
        <w:t xml:space="preserve">should not be treated with </w:t>
      </w:r>
      <w:proofErr w:type="spellStart"/>
      <w:r w:rsidRPr="00DA1231">
        <w:t>elinzanetant</w:t>
      </w:r>
      <w:proofErr w:type="spellEnd"/>
      <w:r w:rsidRPr="00DA1231">
        <w:t xml:space="preserve">. </w:t>
      </w:r>
    </w:p>
    <w:p w14:paraId="16BD2100" w14:textId="77777777" w:rsidR="003215C4" w:rsidRDefault="003215C4" w:rsidP="003215C4">
      <w:pPr>
        <w:pStyle w:val="Heading5"/>
      </w:pPr>
      <w:r>
        <w:t>Efficacy</w:t>
      </w:r>
    </w:p>
    <w:p w14:paraId="70A7CCF2" w14:textId="77777777" w:rsidR="003215C4" w:rsidRPr="003215C4" w:rsidRDefault="003215C4" w:rsidP="003215C4">
      <w:pPr>
        <w:pStyle w:val="Heading6"/>
      </w:pPr>
      <w:r w:rsidRPr="003215C4">
        <w:t xml:space="preserve">Pooled phase 3 pivotal study results </w:t>
      </w:r>
    </w:p>
    <w:p w14:paraId="706E58D9" w14:textId="49C496ED" w:rsidR="003215C4" w:rsidRDefault="003215C4" w:rsidP="0014737B">
      <w:pPr>
        <w:rPr>
          <w:lang w:eastAsia="ja-JP"/>
        </w:rPr>
      </w:pPr>
      <w:r w:rsidRPr="00CD1457">
        <w:rPr>
          <w:lang w:eastAsia="ja-JP"/>
        </w:rPr>
        <w:t xml:space="preserve">The pooled results of the pivotal clinical trials </w:t>
      </w:r>
      <w:r>
        <w:rPr>
          <w:lang w:eastAsia="ja-JP"/>
        </w:rPr>
        <w:t>OASIS 1 and 2</w:t>
      </w:r>
      <w:r w:rsidRPr="00CD1457">
        <w:rPr>
          <w:lang w:eastAsia="ja-JP"/>
        </w:rPr>
        <w:t xml:space="preserve"> show a statistically significant treatment effect </w:t>
      </w:r>
      <w:r>
        <w:rPr>
          <w:lang w:eastAsia="ja-JP"/>
        </w:rPr>
        <w:t xml:space="preserve">of </w:t>
      </w:r>
      <w:proofErr w:type="spellStart"/>
      <w:r>
        <w:rPr>
          <w:lang w:eastAsia="ja-JP"/>
        </w:rPr>
        <w:t>elinzanetant</w:t>
      </w:r>
      <w:proofErr w:type="spellEnd"/>
      <w:r>
        <w:rPr>
          <w:lang w:eastAsia="ja-JP"/>
        </w:rPr>
        <w:t xml:space="preserve"> 120 mg once daily </w:t>
      </w:r>
      <w:r w:rsidRPr="00CD1457">
        <w:rPr>
          <w:lang w:eastAsia="ja-JP"/>
        </w:rPr>
        <w:t>when compared to placebo</w:t>
      </w:r>
      <w:r>
        <w:rPr>
          <w:lang w:eastAsia="ja-JP"/>
        </w:rPr>
        <w:t xml:space="preserve"> for treatment of moderate to severe VMS in postmenopausal women (</w:t>
      </w:r>
      <w:r>
        <w:rPr>
          <w:lang w:eastAsia="ja-JP"/>
        </w:rPr>
        <w:fldChar w:fldCharType="begin"/>
      </w:r>
      <w:r>
        <w:rPr>
          <w:lang w:eastAsia="ja-JP"/>
        </w:rPr>
        <w:instrText xml:space="preserve"> REF _Ref211116092 \h  \* MERGEFORMAT </w:instrText>
      </w:r>
      <w:r>
        <w:rPr>
          <w:lang w:eastAsia="ja-JP"/>
        </w:rPr>
      </w:r>
      <w:r>
        <w:rPr>
          <w:lang w:eastAsia="ja-JP"/>
        </w:rPr>
        <w:fldChar w:fldCharType="separate"/>
      </w:r>
      <w:r>
        <w:t xml:space="preserve">Table </w:t>
      </w:r>
      <w:r>
        <w:rPr>
          <w:lang w:eastAsia="ja-JP"/>
        </w:rPr>
        <w:fldChar w:fldCharType="end"/>
      </w:r>
      <w:r w:rsidR="00C171FE">
        <w:rPr>
          <w:lang w:eastAsia="ja-JP"/>
        </w:rPr>
        <w:t>21</w:t>
      </w:r>
      <w:r>
        <w:rPr>
          <w:lang w:eastAsia="ja-JP"/>
        </w:rPr>
        <w:t xml:space="preserve">). This applied to both significant reductions in both frequency and severity of VMS that were clinically meaningful, </w:t>
      </w:r>
      <w:proofErr w:type="gramStart"/>
      <w:r>
        <w:rPr>
          <w:lang w:eastAsia="ja-JP"/>
        </w:rPr>
        <w:t>in particular for</w:t>
      </w:r>
      <w:proofErr w:type="gramEnd"/>
      <w:r>
        <w:rPr>
          <w:lang w:eastAsia="ja-JP"/>
        </w:rPr>
        <w:t xml:space="preserve"> frequency.</w:t>
      </w:r>
    </w:p>
    <w:p w14:paraId="54535D44" w14:textId="77777777" w:rsidR="003215C4" w:rsidRDefault="003215C4" w:rsidP="0014737B">
      <w:pPr>
        <w:rPr>
          <w:lang w:eastAsia="ja-JP"/>
        </w:rPr>
      </w:pPr>
      <w:r>
        <w:rPr>
          <w:lang w:eastAsia="ja-JP"/>
        </w:rPr>
        <w:t>The results were consistent in both studies: s</w:t>
      </w:r>
      <w:r w:rsidRPr="00E60E41">
        <w:rPr>
          <w:lang w:eastAsia="ja-JP"/>
        </w:rPr>
        <w:t xml:space="preserve">uperiority over placebo was shown for </w:t>
      </w:r>
      <w:proofErr w:type="spellStart"/>
      <w:r w:rsidRPr="00E60E41">
        <w:rPr>
          <w:lang w:eastAsia="ja-JP"/>
        </w:rPr>
        <w:t>elinzanetant</w:t>
      </w:r>
      <w:proofErr w:type="spellEnd"/>
      <w:r w:rsidRPr="00E60E41">
        <w:rPr>
          <w:lang w:eastAsia="ja-JP"/>
        </w:rPr>
        <w:t xml:space="preserve"> in all 4 primary endpoints after 4 weeks as well as after 12 weeks</w:t>
      </w:r>
      <w:r>
        <w:rPr>
          <w:lang w:eastAsia="ja-JP"/>
        </w:rPr>
        <w:t>.</w:t>
      </w:r>
    </w:p>
    <w:p w14:paraId="1D2DCADA" w14:textId="3D147A18" w:rsidR="003215C4" w:rsidRDefault="003215C4" w:rsidP="0014737B">
      <w:pPr>
        <w:rPr>
          <w:lang w:eastAsia="ja-JP"/>
        </w:rPr>
      </w:pPr>
      <w:r>
        <w:rPr>
          <w:lang w:eastAsia="ja-JP"/>
        </w:rPr>
        <w:t>A</w:t>
      </w:r>
      <w:r w:rsidRPr="00CD1457">
        <w:rPr>
          <w:lang w:eastAsia="ja-JP"/>
        </w:rPr>
        <w:t xml:space="preserve"> rather extensive treatment effect was observed in the placebo group.</w:t>
      </w:r>
      <w:r w:rsidRPr="00EB1A59">
        <w:rPr>
          <w:lang w:eastAsia="ja-JP"/>
        </w:rPr>
        <w:t xml:space="preserve"> </w:t>
      </w:r>
      <w:r w:rsidRPr="00CD1457">
        <w:rPr>
          <w:lang w:eastAsia="ja-JP"/>
        </w:rPr>
        <w:t>A relevant reduction in frequency was observed during the first week of treatment</w:t>
      </w:r>
      <w:r>
        <w:rPr>
          <w:lang w:eastAsia="ja-JP"/>
        </w:rPr>
        <w:t xml:space="preserve"> indicating a rather rapid onset of the therapeutic effect, in particular </w:t>
      </w:r>
      <w:proofErr w:type="gramStart"/>
      <w:r>
        <w:rPr>
          <w:lang w:eastAsia="ja-JP"/>
        </w:rPr>
        <w:t>with regard to</w:t>
      </w:r>
      <w:proofErr w:type="gramEnd"/>
      <w:r>
        <w:rPr>
          <w:lang w:eastAsia="ja-JP"/>
        </w:rPr>
        <w:t xml:space="preserve"> frequency (</w:t>
      </w:r>
      <w:r w:rsidR="00F82B9D">
        <w:rPr>
          <w:lang w:eastAsia="ja-JP"/>
        </w:rPr>
        <w:t>Figure 6</w:t>
      </w:r>
      <w:r>
        <w:rPr>
          <w:lang w:eastAsia="ja-JP"/>
        </w:rPr>
        <w:t>).</w:t>
      </w:r>
    </w:p>
    <w:p w14:paraId="00CBDC2D" w14:textId="77777777" w:rsidR="003215C4" w:rsidRDefault="003215C4" w:rsidP="0014737B">
      <w:pPr>
        <w:rPr>
          <w:lang w:eastAsia="ja-JP"/>
        </w:rPr>
      </w:pPr>
      <w:r>
        <w:rPr>
          <w:lang w:eastAsia="ja-JP"/>
        </w:rPr>
        <w:t>The primary endpoint results were supported by clinically meaningful changes in the PROMIS SD SF 8b total score (sleep quality) and the MENQOL total score (quality of life) from baseline to Week 12.</w:t>
      </w:r>
    </w:p>
    <w:p w14:paraId="00466984" w14:textId="77777777" w:rsidR="007039AD" w:rsidRDefault="007039AD" w:rsidP="00D831E8">
      <w:pPr>
        <w:pStyle w:val="TableTitle"/>
        <w:rPr>
          <w:lang w:eastAsia="ja-JP"/>
        </w:rPr>
      </w:pPr>
      <w:bookmarkStart w:id="91" w:name="_Ref211116092"/>
      <w:r w:rsidRPr="007039AD">
        <w:rPr>
          <w:lang w:eastAsia="ja-JP"/>
        </w:rPr>
        <w:lastRenderedPageBreak/>
        <w:t>Table</w:t>
      </w:r>
      <w:bookmarkEnd w:id="91"/>
      <w:r w:rsidRPr="007039AD">
        <w:rPr>
          <w:lang w:eastAsia="ja-JP"/>
        </w:rPr>
        <w:t xml:space="preserve"> 21. OASIS 1 and OASIS 2 (separate and pooled). Primary and key secondary endpoint result summary.</w:t>
      </w:r>
    </w:p>
    <w:p w14:paraId="5198D139" w14:textId="4819733F" w:rsidR="00D831E8" w:rsidRPr="007039AD" w:rsidRDefault="007039AD" w:rsidP="007039AD">
      <w:pPr>
        <w:rPr>
          <w:b/>
          <w:lang w:eastAsia="ja-JP"/>
        </w:rPr>
      </w:pPr>
      <w:r w:rsidRPr="00420F6C">
        <w:rPr>
          <w:noProof/>
        </w:rPr>
        <w:drawing>
          <wp:inline distT="0" distB="0" distL="0" distR="0" wp14:anchorId="755F0195" wp14:editId="3F39FB5C">
            <wp:extent cx="5351145" cy="3927944"/>
            <wp:effectExtent l="0" t="0" r="1905" b="0"/>
            <wp:docPr id="1032239168" name="Picture 8" descr="Table 21. OASIS 1 and OASIS 2 (separate and pooled). Primary and key secondary endpoint resul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39168" name="Picture 8" descr="Table 21. OASIS 1 and OASIS 2 (separate and pooled). Primary and key secondary endpoint result summary."/>
                    <pic:cNvPicPr>
                      <a:picLocks noChangeAspect="1" noChangeArrowheads="1"/>
                    </pic:cNvPicPr>
                  </pic:nvPicPr>
                  <pic:blipFill rotWithShape="1">
                    <a:blip r:embed="rId46">
                      <a:extLst>
                        <a:ext uri="{28A0092B-C50C-407E-A947-70E740481C1C}">
                          <a14:useLocalDpi xmlns:a14="http://schemas.microsoft.com/office/drawing/2010/main" val="0"/>
                        </a:ext>
                      </a:extLst>
                    </a:blip>
                    <a:srcRect t="1" b="1595"/>
                    <a:stretch>
                      <a:fillRect/>
                    </a:stretch>
                  </pic:blipFill>
                  <pic:spPr bwMode="auto">
                    <a:xfrm>
                      <a:off x="0" y="0"/>
                      <a:ext cx="5362918" cy="3936586"/>
                    </a:xfrm>
                    <a:prstGeom prst="rect">
                      <a:avLst/>
                    </a:prstGeom>
                    <a:noFill/>
                    <a:ln>
                      <a:noFill/>
                    </a:ln>
                    <a:extLst>
                      <a:ext uri="{53640926-AAD7-44D8-BBD7-CCE9431645EC}">
                        <a14:shadowObscured xmlns:a14="http://schemas.microsoft.com/office/drawing/2010/main"/>
                      </a:ext>
                    </a:extLst>
                  </pic:spPr>
                </pic:pic>
              </a:graphicData>
            </a:graphic>
          </wp:inline>
        </w:drawing>
      </w:r>
      <w:r w:rsidR="00D831E8" w:rsidRPr="00591667">
        <w:rPr>
          <w:noProof/>
        </w:rPr>
        <w:drawing>
          <wp:inline distT="0" distB="0" distL="0" distR="0" wp14:anchorId="6F506D51" wp14:editId="1D16652F">
            <wp:extent cx="5351145" cy="3705225"/>
            <wp:effectExtent l="0" t="0" r="1905" b="9525"/>
            <wp:docPr id="431640524" name="Picture 9" descr="Table 21. OASIS 1 and OASIS 2 (separate and pooled). Primary and key secondary endpoint resul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640524" name="Picture 9" descr="Table 21. OASIS 1 and OASIS 2 (separate and pooled). Primary and key secondary endpoint result summ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51145" cy="3705225"/>
                    </a:xfrm>
                    <a:prstGeom prst="rect">
                      <a:avLst/>
                    </a:prstGeom>
                    <a:noFill/>
                    <a:ln>
                      <a:noFill/>
                    </a:ln>
                  </pic:spPr>
                </pic:pic>
              </a:graphicData>
            </a:graphic>
          </wp:inline>
        </w:drawing>
      </w:r>
    </w:p>
    <w:p w14:paraId="246B0B5A" w14:textId="77777777" w:rsidR="007039AD" w:rsidRDefault="007039AD" w:rsidP="0014737B">
      <w:pPr>
        <w:rPr>
          <w:lang w:eastAsia="ja-JP"/>
        </w:rPr>
      </w:pPr>
    </w:p>
    <w:p w14:paraId="2E070517" w14:textId="4FD68574" w:rsidR="00F93C13" w:rsidRPr="00F93C13" w:rsidRDefault="00F93C13" w:rsidP="00F93C13">
      <w:pPr>
        <w:pStyle w:val="FigureTitle"/>
      </w:pPr>
      <w:bookmarkStart w:id="92" w:name="_Ref211116104"/>
      <w:r w:rsidRPr="00F93C13">
        <w:lastRenderedPageBreak/>
        <w:t xml:space="preserve">Figure </w:t>
      </w:r>
      <w:bookmarkEnd w:id="92"/>
      <w:r w:rsidR="00F82B9D">
        <w:t>6</w:t>
      </w:r>
      <w:r w:rsidRPr="00F93C13">
        <w:t>. OASIS 1 and OASIS 2 (pooled). Change from baseline in mean daily frequency of moderate to severe HFs by treatment arm (FAS).</w:t>
      </w:r>
    </w:p>
    <w:p w14:paraId="20717102" w14:textId="4FE5E79A" w:rsidR="00C22214" w:rsidRPr="00456765" w:rsidRDefault="00084993" w:rsidP="00842036">
      <w:r w:rsidRPr="00C43F57">
        <w:rPr>
          <w:noProof/>
          <w:lang w:eastAsia="ja-JP"/>
        </w:rPr>
        <w:drawing>
          <wp:inline distT="0" distB="0" distL="0" distR="0" wp14:anchorId="41F2D1E4" wp14:editId="443A2C8B">
            <wp:extent cx="5695950" cy="3841750"/>
            <wp:effectExtent l="0" t="0" r="0" b="6350"/>
            <wp:docPr id="1478890356" name="Picture 2" descr="Figure 7. OASIS 1 and OASIS 2 (pooled). Change from baseline in mean daily frequency of moderate to severe HFs by treatment arm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90356" name="Picture 2" descr="Figure 7. OASIS 1 and OASIS 2 (pooled). Change from baseline in mean daily frequency of moderate to severe HFs by treatment arm (FA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09978" cy="3851211"/>
                    </a:xfrm>
                    <a:prstGeom prst="rect">
                      <a:avLst/>
                    </a:prstGeom>
                    <a:noFill/>
                    <a:ln>
                      <a:noFill/>
                    </a:ln>
                  </pic:spPr>
                </pic:pic>
              </a:graphicData>
            </a:graphic>
          </wp:inline>
        </w:drawing>
      </w:r>
    </w:p>
    <w:p w14:paraId="351AE32A" w14:textId="77777777" w:rsidR="0014737B" w:rsidRDefault="0014737B" w:rsidP="0014737B">
      <w:pPr>
        <w:pStyle w:val="Heading6"/>
        <w:spacing w:line="240" w:lineRule="auto"/>
      </w:pPr>
      <w:bookmarkStart w:id="93" w:name="_Toc98931933"/>
      <w:r>
        <w:t>Phase 3 study population and generalisability</w:t>
      </w:r>
    </w:p>
    <w:p w14:paraId="638996DA" w14:textId="77777777" w:rsidR="0014737B" w:rsidRPr="00920071" w:rsidRDefault="0014737B" w:rsidP="0014737B">
      <w:r w:rsidRPr="00920071">
        <w:t xml:space="preserve">VMS are associated with a large variability in individual perception, with a cultural component. </w:t>
      </w:r>
    </w:p>
    <w:p w14:paraId="306D05CF" w14:textId="77777777" w:rsidR="0014737B" w:rsidRPr="00744D5C" w:rsidRDefault="0014737B" w:rsidP="0014737B">
      <w:r w:rsidRPr="00D061FB">
        <w:t>The Phase 3 studies were conducted in Europe, Israel and North America. The population is largely generalisable to the Australian population (except for the large African American populations represented in the clinical trials, and the absent Australian Indigenous and largely absent Asian populations).</w:t>
      </w:r>
      <w:r>
        <w:t xml:space="preserve"> </w:t>
      </w:r>
      <w:r w:rsidRPr="004D7094">
        <w:t xml:space="preserve">Very few Asian patients were included in the pivotal clinical studies </w:t>
      </w:r>
      <w:r>
        <w:t>(approximately 0.5% only), and the number was not sufficient for Asian ethnicity to be included as a category in the pre-specified subgroup analysis. However, two pharmacology</w:t>
      </w:r>
      <w:r w:rsidRPr="004D7094">
        <w:t xml:space="preserve"> studies were conducted in healthy Asian participants.</w:t>
      </w:r>
      <w:r>
        <w:t xml:space="preserve"> Population PK data did not indicate a </w:t>
      </w:r>
      <w:r w:rsidRPr="0083177A">
        <w:t>significant influence of race</w:t>
      </w:r>
      <w:r>
        <w:t xml:space="preserve"> on </w:t>
      </w:r>
      <w:proofErr w:type="spellStart"/>
      <w:r w:rsidRPr="00E60E41">
        <w:rPr>
          <w:lang w:eastAsia="ja-JP"/>
        </w:rPr>
        <w:t>elinzanetant</w:t>
      </w:r>
      <w:proofErr w:type="spellEnd"/>
      <w:r w:rsidRPr="00E60E41">
        <w:rPr>
          <w:lang w:eastAsia="ja-JP"/>
        </w:rPr>
        <w:t xml:space="preserve"> </w:t>
      </w:r>
      <w:r>
        <w:t>exposure.</w:t>
      </w:r>
    </w:p>
    <w:p w14:paraId="61849D28" w14:textId="77777777" w:rsidR="0014737B" w:rsidRDefault="0014737B" w:rsidP="0014737B">
      <w:r w:rsidRPr="00744D5C">
        <w:t>In the phase 3 clinical trial program, the mean age was 54 to 55 years (range: 40-65 years). A larger proportion of younger women would have been beneficial.</w:t>
      </w:r>
      <w:r>
        <w:t xml:space="preserve"> However, relevant subgroup analyses did not provide evidence for a difference in clinical treatment effect based on age.</w:t>
      </w:r>
      <w:r>
        <w:rPr>
          <w:lang w:eastAsia="ja-JP"/>
        </w:rPr>
        <w:t xml:space="preserve"> It is noted that patient with a similar age range have been included in many studies investigating treatment for postmenopausal VMS.</w:t>
      </w:r>
    </w:p>
    <w:p w14:paraId="378DE1E5" w14:textId="77777777" w:rsidR="0014737B" w:rsidRDefault="0014737B" w:rsidP="0014737B">
      <w:r w:rsidRPr="005453CE">
        <w:t>The median duration of amenorrhoea differed between studies and treatment arms. In OASIS 1, it was longer than in OASIS 2, and longer at 7 years in the placebo group as compared to the active group (6 years). In OASIS 2, the median duration was 5.6 years in the active group compared to 4.0 years in the placebo group.</w:t>
      </w:r>
      <w:r>
        <w:t xml:space="preserve"> Pooling of the results could have mitigated some of those imbalances. </w:t>
      </w:r>
    </w:p>
    <w:p w14:paraId="591FEA47" w14:textId="77777777" w:rsidR="0014737B" w:rsidRDefault="0014737B" w:rsidP="0014737B">
      <w:r w:rsidRPr="00290142">
        <w:t>Regarding the rather large median duration of amenorrhoea: A reduction of symptoms could have been due to the natural progression of menopause rather than a definite treatment effect, but this would have also affected the placebo group.</w:t>
      </w:r>
    </w:p>
    <w:p w14:paraId="6F1ED540" w14:textId="77777777" w:rsidR="00FB5F0C" w:rsidRPr="00FB5F0C" w:rsidRDefault="00FB5F0C" w:rsidP="00FB5F0C">
      <w:pPr>
        <w:pStyle w:val="Heading6"/>
      </w:pPr>
      <w:r w:rsidRPr="00FB5F0C">
        <w:lastRenderedPageBreak/>
        <w:t>Supportive OASIS 3 study</w:t>
      </w:r>
    </w:p>
    <w:p w14:paraId="0CE7DD7B" w14:textId="77777777" w:rsidR="00FB5F0C" w:rsidRPr="00FB5F0C" w:rsidRDefault="00FB5F0C" w:rsidP="00FB5F0C">
      <w:r w:rsidRPr="00FB5F0C">
        <w:t xml:space="preserve">The results of the pivotal studies OASIS 1 and 2 are further supported by the long-term 52-week OASIS 3 study in which </w:t>
      </w:r>
      <w:proofErr w:type="spellStart"/>
      <w:r w:rsidRPr="00FB5F0C">
        <w:t>elinzanetant</w:t>
      </w:r>
      <w:proofErr w:type="spellEnd"/>
      <w:r w:rsidRPr="00FB5F0C">
        <w:t xml:space="preserve"> showed a statistically significant outcome on the primary HF frequency endpoint with a stable effect as evaluated up to Week 50 based on descriptive statistics. </w:t>
      </w:r>
    </w:p>
    <w:p w14:paraId="36287A72" w14:textId="77777777" w:rsidR="00FB5F0C" w:rsidRPr="00FB5F0C" w:rsidRDefault="00FB5F0C" w:rsidP="00121DB8">
      <w:pPr>
        <w:pStyle w:val="Heading6"/>
      </w:pPr>
      <w:r w:rsidRPr="00FB5F0C">
        <w:t>Populations not specifically studied</w:t>
      </w:r>
    </w:p>
    <w:p w14:paraId="49EE3B2F" w14:textId="77777777" w:rsidR="00FB5F0C" w:rsidRPr="00FB5F0C" w:rsidRDefault="00FB5F0C" w:rsidP="00FB5F0C">
      <w:r w:rsidRPr="00842036">
        <w:rPr>
          <w:b/>
          <w:bCs/>
        </w:rPr>
        <w:t>Breast cancer patients</w:t>
      </w:r>
      <w:r w:rsidRPr="00FB5F0C">
        <w:t>: Elinzanetant has not been studied in in breast cancer patients, but a Phase III study in breast cancer patients (and patients at high risk for breast cancer) is currently ongoing (Study 21656).</w:t>
      </w:r>
    </w:p>
    <w:p w14:paraId="536156C2" w14:textId="77777777" w:rsidR="00FB5F0C" w:rsidRPr="00FB5F0C" w:rsidRDefault="00FB5F0C" w:rsidP="00FB5F0C">
      <w:r w:rsidRPr="00FB5F0C">
        <w:t xml:space="preserve">Patients with breast cancer may receive anti-oestrogen treatment which is associated with severe VMS and/or other symptoms of oestrogen deficiency. No data are currently available, even though </w:t>
      </w:r>
      <w:proofErr w:type="spellStart"/>
      <w:r w:rsidRPr="00FB5F0C">
        <w:t>elinzanetant</w:t>
      </w:r>
      <w:proofErr w:type="spellEnd"/>
      <w:r w:rsidRPr="00FB5F0C">
        <w:t xml:space="preserve"> will likely be efficacious in this population as well. The potential influence of </w:t>
      </w:r>
      <w:proofErr w:type="spellStart"/>
      <w:r w:rsidRPr="00FB5F0C">
        <w:t>elinzanetant</w:t>
      </w:r>
      <w:proofErr w:type="spellEnd"/>
      <w:r w:rsidRPr="00FB5F0C">
        <w:t xml:space="preserve"> on the course of the malignant disease or the treatment success of the antitumour therapy is unknown. The decision to use </w:t>
      </w:r>
      <w:proofErr w:type="spellStart"/>
      <w:r w:rsidRPr="00FB5F0C">
        <w:t>elinzanetant</w:t>
      </w:r>
      <w:proofErr w:type="spellEnd"/>
      <w:r w:rsidRPr="00FB5F0C">
        <w:t xml:space="preserve"> in such patients should be based on individual benefit-risk considerations.</w:t>
      </w:r>
    </w:p>
    <w:p w14:paraId="584A44C4" w14:textId="77777777" w:rsidR="00FB5F0C" w:rsidRPr="00FB5F0C" w:rsidRDefault="00FB5F0C" w:rsidP="00FB5F0C">
      <w:r w:rsidRPr="00FB5F0C">
        <w:t xml:space="preserve">Women undergoing oncologic treatment (e.g. chemotherapy, radiation therapy) for breast cancer or other oestrogen-dependent malignancies have not been included in the clinical studies. Until sufficient data are available, </w:t>
      </w:r>
      <w:proofErr w:type="spellStart"/>
      <w:r w:rsidRPr="00FB5F0C">
        <w:t>elinzanetant</w:t>
      </w:r>
      <w:proofErr w:type="spellEnd"/>
      <w:r w:rsidRPr="00FB5F0C">
        <w:t xml:space="preserve"> is not recommended for use in this population at this stage.</w:t>
      </w:r>
    </w:p>
    <w:p w14:paraId="343CE972" w14:textId="77777777" w:rsidR="00FB5F0C" w:rsidRPr="00FB5F0C" w:rsidRDefault="00FB5F0C" w:rsidP="00FB5F0C">
      <w:r w:rsidRPr="00842036">
        <w:rPr>
          <w:b/>
          <w:bCs/>
        </w:rPr>
        <w:t>Pharmacologically induced menopause</w:t>
      </w:r>
      <w:r w:rsidRPr="00FB5F0C">
        <w:t xml:space="preserve">: In the studies presented, </w:t>
      </w:r>
      <w:proofErr w:type="spellStart"/>
      <w:r w:rsidRPr="00FB5F0C">
        <w:t>elinzanetant</w:t>
      </w:r>
      <w:proofErr w:type="spellEnd"/>
      <w:r w:rsidRPr="00FB5F0C">
        <w:t xml:space="preserve"> was only studied in patients after physiological or surgical menopause with no data available on patients after pharmacologically induced menopause. This applies to breast cancer patients receiving oestrogen-lowering treatment as well as patients treated with GnRH agonists for conditions such as endometriosis or uterine fibroma. It is noted that the mechanism of action of </w:t>
      </w:r>
      <w:proofErr w:type="spellStart"/>
      <w:r w:rsidRPr="00FB5F0C">
        <w:t>elinzanetant</w:t>
      </w:r>
      <w:proofErr w:type="spellEnd"/>
      <w:r w:rsidRPr="00FB5F0C">
        <w:t xml:space="preserve"> is independent from the cause of menopause.</w:t>
      </w:r>
    </w:p>
    <w:p w14:paraId="1FD496E1" w14:textId="77777777" w:rsidR="00FB5F0C" w:rsidRPr="00FB5F0C" w:rsidRDefault="00FB5F0C" w:rsidP="00FB5F0C">
      <w:r w:rsidRPr="00842036">
        <w:rPr>
          <w:b/>
          <w:bCs/>
        </w:rPr>
        <w:t>Perimenopausal women</w:t>
      </w:r>
      <w:r w:rsidRPr="00FB5F0C">
        <w:t xml:space="preserve">: Elinzanetant has been only studied in women with confirmed postmenopausal status. There are challenges determining the start of menopause, and it may be difficult to </w:t>
      </w:r>
      <w:proofErr w:type="gramStart"/>
      <w:r w:rsidRPr="00FB5F0C">
        <w:t>definitely distinguish</w:t>
      </w:r>
      <w:proofErr w:type="gramEnd"/>
      <w:r w:rsidRPr="00FB5F0C">
        <w:t xml:space="preserve"> between perimenopause and menopause. No effects of </w:t>
      </w:r>
      <w:proofErr w:type="spellStart"/>
      <w:r w:rsidRPr="00FB5F0C">
        <w:t>elinzanetant</w:t>
      </w:r>
      <w:proofErr w:type="spellEnd"/>
      <w:r w:rsidRPr="00FB5F0C">
        <w:t xml:space="preserve"> on the endometrium were observed in the clinical studies. Overall, there is no definite reason to assume that the efficacy would significantly differ compared to the studied population, and a therapeutic need can be assumed in this population.</w:t>
      </w:r>
    </w:p>
    <w:p w14:paraId="39ACEEC2" w14:textId="77777777" w:rsidR="00FB5F0C" w:rsidRPr="00FB5F0C" w:rsidRDefault="00FB5F0C" w:rsidP="00FB5F0C">
      <w:r w:rsidRPr="00FB5F0C">
        <w:t>Thus, in the indication, reference to section 5.1 points should be made to point prescribers to the clinical trial section of the PI in which the study population is described.</w:t>
      </w:r>
      <w:r w:rsidRPr="00FB5F0C">
        <w:rPr>
          <w:i/>
          <w:iCs/>
        </w:rPr>
        <w:t xml:space="preserve"> </w:t>
      </w:r>
      <w:r w:rsidRPr="00FB5F0C">
        <w:t xml:space="preserve">This aligns with the approved Australian indication for </w:t>
      </w:r>
      <w:proofErr w:type="spellStart"/>
      <w:r w:rsidRPr="00FB5F0C">
        <w:t>fezolinetant</w:t>
      </w:r>
      <w:proofErr w:type="spellEnd"/>
      <w:r w:rsidRPr="00FB5F0C">
        <w:t xml:space="preserve">, for which similar considerations had been made by the advisory committee (ACM). </w:t>
      </w:r>
    </w:p>
    <w:p w14:paraId="3A506B15" w14:textId="77777777" w:rsidR="00FB5F0C" w:rsidRPr="00121DB8" w:rsidRDefault="00FB5F0C" w:rsidP="00121DB8">
      <w:pPr>
        <w:pStyle w:val="Heading5"/>
      </w:pPr>
      <w:r w:rsidRPr="00121DB8">
        <w:t>Safety</w:t>
      </w:r>
    </w:p>
    <w:p w14:paraId="3A28DFF8" w14:textId="77777777" w:rsidR="00FB5F0C" w:rsidRPr="00FB5F0C" w:rsidRDefault="00FB5F0C" w:rsidP="00FB5F0C">
      <w:r w:rsidRPr="00FB5F0C">
        <w:t xml:space="preserve">Elinzanetant is a new chemical entity. </w:t>
      </w:r>
      <w:proofErr w:type="spellStart"/>
      <w:r w:rsidRPr="00FB5F0C">
        <w:t>Fezolinetant</w:t>
      </w:r>
      <w:proofErr w:type="spellEnd"/>
      <w:r w:rsidRPr="00FB5F0C">
        <w:t xml:space="preserve"> is the only other NK3 antagonist currently registered on the ARTG for the VMS indication, and may inform class effect safety data, most notably regarding hepatotoxicity.</w:t>
      </w:r>
    </w:p>
    <w:p w14:paraId="4D24F0AE" w14:textId="77777777" w:rsidR="00FB5F0C" w:rsidRPr="00FB5F0C" w:rsidRDefault="00FB5F0C" w:rsidP="00FB5F0C">
      <w:r w:rsidRPr="00FB5F0C">
        <w:t xml:space="preserve">The safety data for </w:t>
      </w:r>
      <w:proofErr w:type="spellStart"/>
      <w:r w:rsidRPr="00FB5F0C">
        <w:t>elinzanetant</w:t>
      </w:r>
      <w:proofErr w:type="spellEnd"/>
      <w:r w:rsidRPr="00FB5F0C">
        <w:t xml:space="preserve"> were generated from clinical trials with no post-market data available. The safety data consist mainly of short-term data from the clinical trial </w:t>
      </w:r>
      <w:proofErr w:type="gramStart"/>
      <w:r w:rsidRPr="00FB5F0C">
        <w:t>program, and</w:t>
      </w:r>
      <w:proofErr w:type="gramEnd"/>
      <w:r w:rsidRPr="00FB5F0C">
        <w:t xml:space="preserve"> appears to be satisfactory. For most AEs, there were no significant differences in incidence between active treatment and placebo. Only a small proportion of patients discontinued the study drug prematurely. Long-term data are only available up to a treatment duration of 12 </w:t>
      </w:r>
      <w:r w:rsidRPr="00FB5F0C">
        <w:lastRenderedPageBreak/>
        <w:t>months with no significant additional safety signals identified. However, rare events may not have been detected.</w:t>
      </w:r>
    </w:p>
    <w:p w14:paraId="1D3216E9" w14:textId="77777777" w:rsidR="00FB5F0C" w:rsidRPr="00FB5F0C" w:rsidRDefault="00FB5F0C" w:rsidP="00FB5F0C">
      <w:r w:rsidRPr="00FB5F0C">
        <w:t xml:space="preserve">1113 women from SWITCH-1 and OASIS 1, 2 and 3 studies were exposed to at least one dose of </w:t>
      </w:r>
      <w:proofErr w:type="spellStart"/>
      <w:r w:rsidRPr="00FB5F0C">
        <w:t>elinzanetant</w:t>
      </w:r>
      <w:proofErr w:type="spellEnd"/>
      <w:r w:rsidRPr="00FB5F0C">
        <w:t xml:space="preserve"> 120 mg with varying exposure duration: 966 women were treated with </w:t>
      </w:r>
      <w:proofErr w:type="spellStart"/>
      <w:r w:rsidRPr="00FB5F0C">
        <w:t>elinzanetant</w:t>
      </w:r>
      <w:proofErr w:type="spellEnd"/>
      <w:r w:rsidRPr="00FB5F0C">
        <w:t xml:space="preserve"> 120 mg for at least 12 weeks; 575 women were treated with </w:t>
      </w:r>
      <w:proofErr w:type="spellStart"/>
      <w:r w:rsidRPr="00FB5F0C">
        <w:t>elinzanetant</w:t>
      </w:r>
      <w:proofErr w:type="spellEnd"/>
      <w:r w:rsidRPr="00FB5F0C">
        <w:t xml:space="preserve"> 120 mg for at least 23 weeks; and 219 women were treated with </w:t>
      </w:r>
      <w:proofErr w:type="spellStart"/>
      <w:r w:rsidRPr="00FB5F0C">
        <w:t>elinzanetant</w:t>
      </w:r>
      <w:proofErr w:type="spellEnd"/>
      <w:r w:rsidRPr="00FB5F0C">
        <w:t xml:space="preserve"> 120 mg for at least 50 weeks.</w:t>
      </w:r>
    </w:p>
    <w:p w14:paraId="25A59800" w14:textId="77777777" w:rsidR="00FB5F0C" w:rsidRPr="00FB5F0C" w:rsidRDefault="00FB5F0C" w:rsidP="00FB5F0C">
      <w:r w:rsidRPr="00FB5F0C">
        <w:t xml:space="preserve">Overall, the incidence of AEs or SAEs with a possible causal relationship to </w:t>
      </w:r>
      <w:proofErr w:type="spellStart"/>
      <w:r w:rsidRPr="00FB5F0C">
        <w:t>elinzanetant</w:t>
      </w:r>
      <w:proofErr w:type="spellEnd"/>
      <w:r w:rsidRPr="00FB5F0C">
        <w:t>, was relatively low. Subjective tolerability appeared to be satisfactory, with a low rate of discontinuations due to AEs.</w:t>
      </w:r>
    </w:p>
    <w:p w14:paraId="5CC50A0C" w14:textId="77777777" w:rsidR="00FB5F0C" w:rsidRPr="00FB5F0C" w:rsidRDefault="00FB5F0C" w:rsidP="00FB5F0C">
      <w:r w:rsidRPr="00FB5F0C">
        <w:t xml:space="preserve">There appeared to be no specific safety signals </w:t>
      </w:r>
      <w:proofErr w:type="gramStart"/>
      <w:r w:rsidRPr="00FB5F0C">
        <w:t>with regard to</w:t>
      </w:r>
      <w:proofErr w:type="gramEnd"/>
      <w:r w:rsidRPr="00FB5F0C">
        <w:t xml:space="preserve"> somnolence or fatigue, postmenopausal bleeding, phototoxicity, bone safety, endometrial safety, CNS effects and suicidality. In the clinical trials, there was no evidence for rebound or withdrawal effects.</w:t>
      </w:r>
    </w:p>
    <w:p w14:paraId="0E1F443B" w14:textId="77777777" w:rsidR="00FB5F0C" w:rsidRPr="00FB5F0C" w:rsidRDefault="00FB5F0C" w:rsidP="00FB5F0C">
      <w:r w:rsidRPr="00FB5F0C">
        <w:t xml:space="preserve">However, as stated above unfavourable effects cannot be </w:t>
      </w:r>
      <w:proofErr w:type="gramStart"/>
      <w:r w:rsidRPr="00FB5F0C">
        <w:t>definitely excluded</w:t>
      </w:r>
      <w:proofErr w:type="gramEnd"/>
      <w:r w:rsidRPr="00FB5F0C">
        <w:t>, and may only emerge with exposures in larger populations in a post-market setting. Inclusion in the black triangle scheme and PSUR requirements are in place.</w:t>
      </w:r>
    </w:p>
    <w:p w14:paraId="6089450D" w14:textId="77777777" w:rsidR="00FB5F0C" w:rsidRPr="00FB5F0C" w:rsidRDefault="00FB5F0C" w:rsidP="00C87551">
      <w:pPr>
        <w:pStyle w:val="Heading6"/>
      </w:pPr>
      <w:r w:rsidRPr="00FB5F0C">
        <w:t>Hepatic safety</w:t>
      </w:r>
    </w:p>
    <w:p w14:paraId="0D2AF7B7" w14:textId="77777777" w:rsidR="00FB5F0C" w:rsidRPr="00FB5F0C" w:rsidRDefault="00FB5F0C" w:rsidP="00FB5F0C">
      <w:r w:rsidRPr="00FB5F0C">
        <w:t xml:space="preserve">In the clinical studies with </w:t>
      </w:r>
      <w:proofErr w:type="spellStart"/>
      <w:r w:rsidRPr="00FB5F0C">
        <w:t>elinzanetant</w:t>
      </w:r>
      <w:proofErr w:type="spellEnd"/>
      <w:r w:rsidRPr="00FB5F0C">
        <w:t>, there have been no indications of hepatotoxicity so far.  No imbalances between treatment groups or relevant changes from baseline in any of the four studies included in the data pool were identified. None of the cases fulfilled Hy’s Law criteria. No cases of cholestatic DILI were identified. However, patients with abnormal liver function or a BMI &gt; 38 kg/m</w:t>
      </w:r>
      <w:r w:rsidRPr="00FB5F0C">
        <w:rPr>
          <w:vertAlign w:val="superscript"/>
        </w:rPr>
        <w:t>2</w:t>
      </w:r>
      <w:r w:rsidRPr="00FB5F0C">
        <w:t xml:space="preserve"> were excluded from the trials.</w:t>
      </w:r>
    </w:p>
    <w:p w14:paraId="446DE1DA" w14:textId="4A8A5BC4" w:rsidR="00FB5F0C" w:rsidRPr="00FB5F0C" w:rsidRDefault="00FB5F0C" w:rsidP="00FB5F0C">
      <w:r w:rsidRPr="00FB5F0C">
        <w:t xml:space="preserve">Due to the limited number of patients who have been treated with </w:t>
      </w:r>
      <w:proofErr w:type="spellStart"/>
      <w:r w:rsidRPr="00FB5F0C">
        <w:t>elinzanetant</w:t>
      </w:r>
      <w:proofErr w:type="spellEnd"/>
      <w:r w:rsidRPr="00FB5F0C">
        <w:t xml:space="preserve"> in clinical studies, any rare hepatic adverse effects cannot be </w:t>
      </w:r>
      <w:r w:rsidR="007746C2" w:rsidRPr="00FB5F0C">
        <w:t>excluded and</w:t>
      </w:r>
      <w:r w:rsidRPr="00FB5F0C">
        <w:t xml:space="preserve"> may only emerge in a post-market setting.</w:t>
      </w:r>
    </w:p>
    <w:p w14:paraId="467E2EC7" w14:textId="77777777" w:rsidR="00FB5F0C" w:rsidRPr="00FB5F0C" w:rsidRDefault="00FB5F0C" w:rsidP="00FB5F0C">
      <w:r w:rsidRPr="00FB5F0C">
        <w:t xml:space="preserve">Hepatotoxicity has been reported with the use of a different NK-3 receptor antagonist, and due to this potential class effect, liver function testing is recommended before starting treatment and during treatment with </w:t>
      </w:r>
      <w:proofErr w:type="spellStart"/>
      <w:r w:rsidRPr="00FB5F0C">
        <w:t>elinzanetant</w:t>
      </w:r>
      <w:proofErr w:type="spellEnd"/>
      <w:r w:rsidRPr="00FB5F0C">
        <w:t>. Relevant PI changes were requested to communicate this to prescribers.</w:t>
      </w:r>
    </w:p>
    <w:p w14:paraId="71D5662D" w14:textId="77777777" w:rsidR="00FB5F0C" w:rsidRPr="00FB5F0C" w:rsidRDefault="00FB5F0C" w:rsidP="00C87551">
      <w:pPr>
        <w:pStyle w:val="Heading6"/>
      </w:pPr>
      <w:r w:rsidRPr="00FB5F0C">
        <w:t>Long-term use and periodic re-evaluation</w:t>
      </w:r>
    </w:p>
    <w:p w14:paraId="22BDBD0B" w14:textId="77777777" w:rsidR="00FB5F0C" w:rsidRPr="00FB5F0C" w:rsidRDefault="00FB5F0C" w:rsidP="00FB5F0C">
      <w:r w:rsidRPr="00FB5F0C">
        <w:t xml:space="preserve">In many instances, treatment for VMS will be required for several years. At this stage, the currently available safety data cannot exclude the risk of rare (and potentially severe) side effects. If treatment is intended to be continued after the first year, a thorough re-evaluation is recommended, </w:t>
      </w:r>
      <w:proofErr w:type="gramStart"/>
      <w:r w:rsidRPr="00FB5F0C">
        <w:t>in order to</w:t>
      </w:r>
      <w:proofErr w:type="gramEnd"/>
      <w:r w:rsidRPr="00FB5F0C">
        <w:t xml:space="preserve"> confirm the further need for therapy und to exclude relevant adverse reactions. </w:t>
      </w:r>
      <w:proofErr w:type="gramStart"/>
      <w:r w:rsidRPr="00FB5F0C">
        <w:t>In particular, liver</w:t>
      </w:r>
      <w:proofErr w:type="gramEnd"/>
      <w:r w:rsidRPr="00FB5F0C">
        <w:t xml:space="preserve"> function should be monitored based on the NK3 antagonist class effect rather than definite evidence for </w:t>
      </w:r>
      <w:proofErr w:type="spellStart"/>
      <w:r w:rsidRPr="00FB5F0C">
        <w:t>elinzanetant</w:t>
      </w:r>
      <w:proofErr w:type="spellEnd"/>
      <w:r w:rsidRPr="00FB5F0C">
        <w:t xml:space="preserve"> itself.</w:t>
      </w:r>
    </w:p>
    <w:p w14:paraId="640A09AA" w14:textId="77777777" w:rsidR="00FB5F0C" w:rsidRPr="00FB5F0C" w:rsidRDefault="00FB5F0C" w:rsidP="00FB5F0C">
      <w:r w:rsidRPr="00FB5F0C">
        <w:t>A statement that the benefit and duration of treatment should be periodically assessed based on the natural history and course of the vasomotor symptoms has been requested from the applicant.</w:t>
      </w:r>
    </w:p>
    <w:p w14:paraId="174A3232" w14:textId="77777777" w:rsidR="001E5758" w:rsidRPr="001E5758" w:rsidRDefault="001E5758" w:rsidP="00424D93">
      <w:pPr>
        <w:pStyle w:val="Heading5"/>
      </w:pPr>
      <w:r w:rsidRPr="001E5758">
        <w:t>Regulatory considerations and translation to clinical practice</w:t>
      </w:r>
    </w:p>
    <w:p w14:paraId="14746F20" w14:textId="77777777" w:rsidR="001E5758" w:rsidRPr="001E5758" w:rsidRDefault="001E5758" w:rsidP="00424D93">
      <w:pPr>
        <w:pStyle w:val="Heading6"/>
      </w:pPr>
      <w:r w:rsidRPr="001E5758">
        <w:t>Clinical practice</w:t>
      </w:r>
    </w:p>
    <w:p w14:paraId="51D7D2A0" w14:textId="77777777" w:rsidR="001E5758" w:rsidRPr="001E5758" w:rsidRDefault="001E5758" w:rsidP="001E5758">
      <w:r w:rsidRPr="001E5758">
        <w:t xml:space="preserve">Hormone replacement therapy (HRT) has been used as first-line therapy in women with moderate to severe VMS. However, despite some additional beneficial effects on BMD, HRT is </w:t>
      </w:r>
      <w:r w:rsidRPr="001E5758">
        <w:lastRenderedPageBreak/>
        <w:t xml:space="preserve">associated with certain safety issues (including some contraindications). An additional, non-hormonal treatment option for VMS is considered useful, </w:t>
      </w:r>
      <w:proofErr w:type="gramStart"/>
      <w:r w:rsidRPr="001E5758">
        <w:t>in particular for</w:t>
      </w:r>
      <w:proofErr w:type="gramEnd"/>
      <w:r w:rsidRPr="001E5758">
        <w:t xml:space="preserve"> those patients for whom HRT is contraindicated.</w:t>
      </w:r>
    </w:p>
    <w:p w14:paraId="5FB82036" w14:textId="77777777" w:rsidR="001E5758" w:rsidRPr="001E5758" w:rsidRDefault="001E5758" w:rsidP="001E5758">
      <w:r w:rsidRPr="001E5758">
        <w:t xml:space="preserve">Elinzanetant is the second NK3 receptor antagonist for which registration is sought for a VMS indication. </w:t>
      </w:r>
      <w:proofErr w:type="spellStart"/>
      <w:r w:rsidRPr="001E5758">
        <w:t>Fezolinetant</w:t>
      </w:r>
      <w:proofErr w:type="spellEnd"/>
      <w:r w:rsidRPr="001E5758">
        <w:t xml:space="preserve"> has been registered on the ARTG on 26 February 2024.</w:t>
      </w:r>
    </w:p>
    <w:p w14:paraId="35B89A86" w14:textId="77777777" w:rsidR="001E5758" w:rsidRPr="001E5758" w:rsidRDefault="001E5758" w:rsidP="00424D93">
      <w:pPr>
        <w:pStyle w:val="Heading6"/>
      </w:pPr>
      <w:r w:rsidRPr="001E5758">
        <w:t xml:space="preserve">Benefit-risk balance </w:t>
      </w:r>
    </w:p>
    <w:p w14:paraId="060CD788" w14:textId="77777777" w:rsidR="001E5758" w:rsidRPr="001E5758" w:rsidRDefault="001E5758" w:rsidP="001E5758">
      <w:r w:rsidRPr="001E5758">
        <w:t xml:space="preserve">Based on the clinical data presented, there appears to be a positive benefit-risk balance of </w:t>
      </w:r>
      <w:proofErr w:type="spellStart"/>
      <w:r w:rsidRPr="001E5758">
        <w:t>elinzanetant</w:t>
      </w:r>
      <w:proofErr w:type="spellEnd"/>
      <w:r w:rsidRPr="001E5758">
        <w:t xml:space="preserve"> for the treatment of moderate to severe VMS in post-menopausal women. </w:t>
      </w:r>
    </w:p>
    <w:p w14:paraId="35B52F82" w14:textId="77777777" w:rsidR="001E5758" w:rsidRPr="001E5758" w:rsidRDefault="001E5758" w:rsidP="001E5758">
      <w:r w:rsidRPr="001E5758">
        <w:t>In agreement with the applicant, the final indication for this application is as follows:</w:t>
      </w:r>
    </w:p>
    <w:p w14:paraId="02EC636D" w14:textId="77777777" w:rsidR="001E5758" w:rsidRPr="001E5758" w:rsidRDefault="001E5758" w:rsidP="007B709C">
      <w:pPr>
        <w:ind w:left="720"/>
        <w:rPr>
          <w:i/>
          <w:iCs/>
        </w:rPr>
      </w:pPr>
      <w:r w:rsidRPr="001E5758">
        <w:rPr>
          <w:i/>
          <w:iCs/>
        </w:rPr>
        <w:t>LYNKUET is indicated for the treatment of moderate to severe vasomotor symptoms (VMS) associated with menopause (see Section 5.1 Pharmacodynamic properties – Clinical Trials).</w:t>
      </w:r>
    </w:p>
    <w:p w14:paraId="3916F296" w14:textId="4FEC96AB" w:rsidR="00C22214" w:rsidRDefault="00C22214" w:rsidP="00C22214">
      <w:pPr>
        <w:pStyle w:val="Heading4"/>
      </w:pPr>
      <w:bookmarkStart w:id="94" w:name="_Toc223341699"/>
      <w:r w:rsidRPr="00D23139">
        <w:t>Proposed action</w:t>
      </w:r>
      <w:bookmarkEnd w:id="93"/>
      <w:bookmarkEnd w:id="94"/>
    </w:p>
    <w:p w14:paraId="406541C7" w14:textId="2287072C" w:rsidR="00C22214" w:rsidRPr="00456765" w:rsidRDefault="00F42BB8" w:rsidP="00F42BB8">
      <w:r w:rsidRPr="001E5758">
        <w:t>Elinzanetant is not a first-in-class NCE. There were no outstanding issues, and as the applicant had agreed to the TGA-requested changes, the application was not referred to the ACM. The application was approved on 5 September 2025</w:t>
      </w:r>
    </w:p>
    <w:p w14:paraId="307F236C" w14:textId="7FD19BD3" w:rsidR="00C22214" w:rsidRPr="002E238E" w:rsidRDefault="0046285C" w:rsidP="00C22214">
      <w:pPr>
        <w:pStyle w:val="Heading2"/>
      </w:pPr>
      <w:bookmarkStart w:id="95" w:name="_Toc247691532"/>
      <w:bookmarkStart w:id="96" w:name="_Toc314842516"/>
      <w:bookmarkStart w:id="97" w:name="_Toc103679300"/>
      <w:bookmarkStart w:id="98" w:name="_Toc223341700"/>
      <w:r>
        <w:t>Assessment</w:t>
      </w:r>
      <w:r w:rsidR="00190853">
        <w:t xml:space="preserve"> </w:t>
      </w:r>
      <w:r>
        <w:t>o</w:t>
      </w:r>
      <w:r w:rsidR="00C22214">
        <w:t>utcome</w:t>
      </w:r>
      <w:bookmarkEnd w:id="95"/>
      <w:bookmarkEnd w:id="96"/>
      <w:bookmarkEnd w:id="97"/>
      <w:bookmarkEnd w:id="98"/>
    </w:p>
    <w:p w14:paraId="4EF22939" w14:textId="08D0E887" w:rsidR="00C22214" w:rsidRPr="00787D71" w:rsidRDefault="00C22214" w:rsidP="0006104E">
      <w:r w:rsidRPr="0017005C">
        <w:t xml:space="preserve">Based on a review of quality, safety, and efficacy, the TGA </w:t>
      </w:r>
      <w:r w:rsidR="00B46DFB">
        <w:t>decided to</w:t>
      </w:r>
      <w:r w:rsidRPr="0017005C">
        <w:t xml:space="preserve"> </w:t>
      </w:r>
      <w:r w:rsidRPr="00787D71">
        <w:t>regist</w:t>
      </w:r>
      <w:r w:rsidR="00B46DFB" w:rsidRPr="00787D71">
        <w:t>er</w:t>
      </w:r>
      <w:r w:rsidRPr="00787D71">
        <w:t xml:space="preserve"> </w:t>
      </w:r>
      <w:r w:rsidR="00F53E77" w:rsidRPr="001E5758">
        <w:t>L</w:t>
      </w:r>
      <w:r w:rsidR="00787D71" w:rsidRPr="00787D71">
        <w:t>ynkuet</w:t>
      </w:r>
      <w:r w:rsidR="00787D71">
        <w:t xml:space="preserve"> </w:t>
      </w:r>
      <w:r w:rsidRPr="00787D71">
        <w:t>(</w:t>
      </w:r>
      <w:r w:rsidR="00F53E77" w:rsidRPr="00F53E77">
        <w:t>Elinzanetant</w:t>
      </w:r>
      <w:r w:rsidRPr="00787D71">
        <w:t xml:space="preserve">) </w:t>
      </w:r>
      <w:r w:rsidR="005A4518" w:rsidRPr="00787D71">
        <w:t>60 mg soft capsule blister pack</w:t>
      </w:r>
      <w:r w:rsidRPr="00787D71">
        <w:t>, indicated for:</w:t>
      </w:r>
    </w:p>
    <w:p w14:paraId="5489808B" w14:textId="2602F842" w:rsidR="002F2D4A" w:rsidRPr="002F2D4A" w:rsidRDefault="002F2D4A" w:rsidP="002F2D4A">
      <w:pPr>
        <w:pStyle w:val="Indication"/>
      </w:pPr>
      <w:r w:rsidRPr="002F2D4A">
        <w:rPr>
          <w:rFonts w:ascii="CIDFont+F4" w:hAnsi="CIDFont+F4" w:cs="CIDFont+F4"/>
          <w:sz w:val="21"/>
          <w:szCs w:val="21"/>
        </w:rPr>
        <w:t xml:space="preserve"> </w:t>
      </w:r>
      <w:r w:rsidRPr="002F2D4A">
        <w:t>L</w:t>
      </w:r>
      <w:r>
        <w:t>ynkuet</w:t>
      </w:r>
      <w:r w:rsidRPr="002F2D4A">
        <w:t xml:space="preserve"> is indicated for the treatment of moderate to severe vasomotor symptoms</w:t>
      </w:r>
    </w:p>
    <w:p w14:paraId="3A153F0B" w14:textId="77777777" w:rsidR="002F2D4A" w:rsidRPr="002F2D4A" w:rsidRDefault="002F2D4A" w:rsidP="002F2D4A">
      <w:pPr>
        <w:pStyle w:val="Indication"/>
      </w:pPr>
      <w:r w:rsidRPr="002F2D4A">
        <w:t>(VMS) associated with menopause (see Section 5.1 Pharmacodynamic properties –</w:t>
      </w:r>
    </w:p>
    <w:p w14:paraId="3B245AB5" w14:textId="5C206E13" w:rsidR="00C22214" w:rsidRPr="00BD5DBD" w:rsidRDefault="002F2D4A" w:rsidP="002F2D4A">
      <w:pPr>
        <w:pStyle w:val="Indication"/>
      </w:pPr>
      <w:r w:rsidRPr="002F2D4A">
        <w:t>Clinical Trials).</w:t>
      </w:r>
    </w:p>
    <w:p w14:paraId="0D732DA4" w14:textId="74882685" w:rsidR="00854D98" w:rsidRPr="00D23139" w:rsidRDefault="00854D98" w:rsidP="00D954FA">
      <w:pPr>
        <w:pStyle w:val="Heading3"/>
      </w:pPr>
      <w:bookmarkStart w:id="99" w:name="_Toc223341701"/>
      <w:bookmarkStart w:id="100" w:name="_Toc103679301"/>
      <w:r w:rsidRPr="00D23139">
        <w:t>Specific conditions of registration</w:t>
      </w:r>
      <w:bookmarkEnd w:id="99"/>
      <w:r w:rsidRPr="00D23139">
        <w:t xml:space="preserve"> </w:t>
      </w:r>
      <w:bookmarkEnd w:id="100"/>
    </w:p>
    <w:p w14:paraId="68991740" w14:textId="77777777" w:rsidR="000B5D42" w:rsidRDefault="002B3CF2" w:rsidP="002B3CF2">
      <w:pPr>
        <w:pStyle w:val="ListBullet"/>
      </w:pPr>
      <w:r w:rsidRPr="000B5D42">
        <w:t>Lynkuet (</w:t>
      </w:r>
      <w:proofErr w:type="spellStart"/>
      <w:r w:rsidRPr="000B5D42">
        <w:t>elinzanetant</w:t>
      </w:r>
      <w:proofErr w:type="spellEnd"/>
      <w:r w:rsidRPr="000B5D42">
        <w:t>) is to be included in the Black Triangle Scheme. The PI and CMI</w:t>
      </w:r>
      <w:r w:rsidR="000B5D42" w:rsidRPr="000B5D42">
        <w:t xml:space="preserve"> </w:t>
      </w:r>
      <w:r w:rsidRPr="000B5D42">
        <w:t>for Lynkuet must include the black triangle symbol and mandatory accompanying text</w:t>
      </w:r>
      <w:r w:rsidR="000B5D42" w:rsidRPr="000B5D42">
        <w:t xml:space="preserve"> </w:t>
      </w:r>
      <w:r w:rsidRPr="000B5D42">
        <w:t>for five years, which starts from the date of first supply of the product.</w:t>
      </w:r>
    </w:p>
    <w:p w14:paraId="5A42A0C4" w14:textId="77777777" w:rsidR="000B5D42" w:rsidRDefault="002B3CF2" w:rsidP="00791D98">
      <w:pPr>
        <w:pStyle w:val="ListBullet"/>
      </w:pPr>
      <w:r>
        <w:t xml:space="preserve">The Lynkuet EU-Risk Management Plan (RMP) version 1.2, </w:t>
      </w:r>
      <w:r w:rsidR="000B5D42">
        <w:t>(</w:t>
      </w:r>
      <w:r>
        <w:t>dated 21 May 2025, data</w:t>
      </w:r>
      <w:r w:rsidR="000B5D42">
        <w:t xml:space="preserve"> </w:t>
      </w:r>
      <w:r>
        <w:t xml:space="preserve">lock point 18 June 2024), with Australia-Specific Annex (ASA) version 3.0 </w:t>
      </w:r>
      <w:r w:rsidR="000B5D42">
        <w:t>(</w:t>
      </w:r>
      <w:r>
        <w:t>dated 10</w:t>
      </w:r>
      <w:r w:rsidR="000B5D42">
        <w:t xml:space="preserve"> </w:t>
      </w:r>
      <w:r>
        <w:t>June 2025), included with submission PM-2024-03648-1-5, to be revised to the</w:t>
      </w:r>
      <w:r w:rsidR="000B5D42">
        <w:t xml:space="preserve"> </w:t>
      </w:r>
      <w:r>
        <w:t>satisfaction of the TGA, and any subsequent revisions, as agreed with the TGA will be</w:t>
      </w:r>
      <w:r w:rsidR="000B5D42">
        <w:t xml:space="preserve"> </w:t>
      </w:r>
      <w:r>
        <w:t>implemented in Australia.</w:t>
      </w:r>
    </w:p>
    <w:p w14:paraId="1348FE0D" w14:textId="26FF7D11" w:rsidR="002B3CF2" w:rsidRDefault="002B3CF2" w:rsidP="00791D98">
      <w:pPr>
        <w:pStyle w:val="ListBullet"/>
      </w:pPr>
      <w:r>
        <w:t>An obligatory component of risk management plans is routine pharmacovigilance.</w:t>
      </w:r>
      <w:r w:rsidR="00565837">
        <w:t xml:space="preserve"> </w:t>
      </w:r>
      <w:r>
        <w:t>Routine pharmacovigilance includes the submission of periodic safety update reports</w:t>
      </w:r>
      <w:r w:rsidR="000B5D42">
        <w:t xml:space="preserve"> </w:t>
      </w:r>
      <w:r>
        <w:t>(PSURs).</w:t>
      </w:r>
    </w:p>
    <w:p w14:paraId="7190CFC2" w14:textId="25987634" w:rsidR="002B3CF2" w:rsidRDefault="002B3CF2" w:rsidP="00791D98">
      <w:pPr>
        <w:ind w:left="360"/>
      </w:pPr>
      <w:r>
        <w:t>Unless agreed separately between the supplier who is the recipient of the approval and</w:t>
      </w:r>
      <w:r w:rsidR="00565837">
        <w:t xml:space="preserve"> </w:t>
      </w:r>
      <w:r>
        <w:t>the TGA, the first report must be submitted to TGA no later than 15 calendar months</w:t>
      </w:r>
      <w:r w:rsidR="00565837">
        <w:t xml:space="preserve"> </w:t>
      </w:r>
      <w:r>
        <w:t>after the date of this approval letter. The subsequent reports must be submitted no less</w:t>
      </w:r>
      <w:r w:rsidR="00565837">
        <w:t xml:space="preserve"> </w:t>
      </w:r>
      <w:r>
        <w:t>frequently than annually from the date of the first submitted report until the period</w:t>
      </w:r>
      <w:r w:rsidR="00565837">
        <w:t xml:space="preserve"> </w:t>
      </w:r>
      <w:r>
        <w:t>covered by such reports is not less than three years from the date of this approval</w:t>
      </w:r>
      <w:r w:rsidR="00565837">
        <w:t xml:space="preserve"> </w:t>
      </w:r>
      <w:r>
        <w:t>letter. The annual submission may be made up of two PSURs each covering six months.</w:t>
      </w:r>
      <w:r w:rsidR="00AA3064">
        <w:t xml:space="preserve"> </w:t>
      </w:r>
      <w:r>
        <w:t xml:space="preserve">If the sponsor wishes, the </w:t>
      </w:r>
      <w:r w:rsidR="00791D98">
        <w:t>six-monthly</w:t>
      </w:r>
      <w:r>
        <w:t xml:space="preserve"> reports may be submitted separately as they</w:t>
      </w:r>
      <w:r w:rsidR="00AA3064">
        <w:t xml:space="preserve"> </w:t>
      </w:r>
      <w:r>
        <w:t>become available.</w:t>
      </w:r>
    </w:p>
    <w:p w14:paraId="4B771286" w14:textId="7E1FB8E1" w:rsidR="002B3CF2" w:rsidRDefault="002B3CF2" w:rsidP="00791D98">
      <w:pPr>
        <w:ind w:left="360"/>
      </w:pPr>
      <w:r>
        <w:t>If the product is approved in the EU during the three years period, reports can be</w:t>
      </w:r>
      <w:r w:rsidR="00791D98">
        <w:t xml:space="preserve"> </w:t>
      </w:r>
      <w:r>
        <w:t>provided in line with the published list of EU reference dates no less frequently than</w:t>
      </w:r>
      <w:r w:rsidR="00791D98">
        <w:t xml:space="preserve"> </w:t>
      </w:r>
      <w:r>
        <w:t xml:space="preserve">annually from the </w:t>
      </w:r>
      <w:r>
        <w:lastRenderedPageBreak/>
        <w:t>date of the first submitted report until the period covered by such</w:t>
      </w:r>
      <w:r w:rsidR="00791D98">
        <w:t xml:space="preserve"> </w:t>
      </w:r>
      <w:r>
        <w:t>reports is not less than three years from the date of this approval letter.</w:t>
      </w:r>
    </w:p>
    <w:p w14:paraId="1FD2F319" w14:textId="31C28B86" w:rsidR="002B3CF2" w:rsidRDefault="002B3CF2" w:rsidP="00791D98">
      <w:pPr>
        <w:ind w:left="360"/>
      </w:pPr>
      <w:r>
        <w:t>The reports are to at least meet the requirements for PSURs as described in the</w:t>
      </w:r>
      <w:r w:rsidR="00791D98">
        <w:t xml:space="preserve"> </w:t>
      </w:r>
      <w:r>
        <w:t>European Medicines Agency’s Guideline on good pharmacovigilance practices (GVP)</w:t>
      </w:r>
      <w:r w:rsidR="00791D98">
        <w:t xml:space="preserve"> </w:t>
      </w:r>
      <w:r>
        <w:t>Module VII-periodic safety update report (Rev 1), Part VII.B Structures and processes.</w:t>
      </w:r>
      <w:r w:rsidR="00791D98">
        <w:t xml:space="preserve"> </w:t>
      </w:r>
      <w:r>
        <w:t>Note that submission of a PSUR does not constitute an application to vary the</w:t>
      </w:r>
      <w:r w:rsidR="00791D98">
        <w:t xml:space="preserve"> </w:t>
      </w:r>
      <w:r>
        <w:t>registration. Each report must be submitted within ninety calendar days of the data</w:t>
      </w:r>
      <w:r w:rsidR="00791D98">
        <w:t xml:space="preserve"> </w:t>
      </w:r>
      <w:r>
        <w:t>lock point for that report.</w:t>
      </w:r>
    </w:p>
    <w:p w14:paraId="0F9C1952" w14:textId="46BD475E" w:rsidR="00BA657C" w:rsidRPr="00D954FA" w:rsidRDefault="00BA657C" w:rsidP="00842036">
      <w:pPr>
        <w:pStyle w:val="Heading2"/>
      </w:pPr>
      <w:bookmarkStart w:id="101" w:name="_Toc223341702"/>
      <w:bookmarkStart w:id="102" w:name="_Toc196738290"/>
      <w:r w:rsidRPr="00D954FA">
        <w:t>Product Information and Consumer Medicine Information</w:t>
      </w:r>
      <w:bookmarkEnd w:id="101"/>
      <w:r w:rsidRPr="00D954FA">
        <w:t xml:space="preserve"> </w:t>
      </w:r>
      <w:bookmarkEnd w:id="102"/>
    </w:p>
    <w:p w14:paraId="5F276616" w14:textId="6667B73D" w:rsidR="004D0933" w:rsidRPr="004D0933" w:rsidRDefault="004D0933" w:rsidP="004D0933">
      <w:bookmarkStart w:id="103" w:name="_Hlk200021736"/>
      <w:r w:rsidRPr="004D0933">
        <w:t xml:space="preserve">For the most recent Product Information (PI) and Consumer Medicine Information (CMI), please refer to the TGA </w:t>
      </w:r>
      <w:hyperlink r:id="rId49" w:history="1">
        <w:r w:rsidRPr="004D0933">
          <w:rPr>
            <w:rStyle w:val="Hyperlink"/>
          </w:rPr>
          <w:t>PI/CMI search facility.</w:t>
        </w:r>
      </w:hyperlink>
    </w:p>
    <w:bookmarkEnd w:id="103"/>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default" r:id="rId50"/>
          <w:footerReference w:type="default" r:id="rId5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4"/>
          <w:bookmarkEnd w:id="5"/>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2"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53"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215D48">
              <w:t>Reference/Publication #</w:t>
            </w:r>
          </w:p>
        </w:tc>
      </w:tr>
    </w:tbl>
    <w:p w14:paraId="788B80FD" w14:textId="77777777" w:rsidR="007452E8" w:rsidRDefault="007452E8"/>
    <w:sectPr w:rsidR="007452E8" w:rsidSect="007452E8">
      <w:headerReference w:type="first" r:id="rId54"/>
      <w:footerReference w:type="first" r:id="rId5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2BCE1" w14:textId="77777777" w:rsidR="007D7CFF" w:rsidRDefault="007D7CFF" w:rsidP="00F02AEC">
      <w:pPr>
        <w:spacing w:after="0" w:line="240" w:lineRule="auto"/>
      </w:pPr>
      <w:r>
        <w:separator/>
      </w:r>
    </w:p>
  </w:endnote>
  <w:endnote w:type="continuationSeparator" w:id="0">
    <w:p w14:paraId="2B8EF783" w14:textId="77777777" w:rsidR="007D7CFF" w:rsidRDefault="007D7CFF"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IDFont+F4">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53031084" w:rsidR="007452E8" w:rsidRPr="004A3084" w:rsidRDefault="007452E8" w:rsidP="007452E8">
          <w:pPr>
            <w:pStyle w:val="Footer"/>
          </w:pPr>
          <w:r w:rsidRPr="00487162">
            <w:t>AusPA</w:t>
          </w:r>
          <w:r>
            <w:t xml:space="preserve">R </w:t>
          </w:r>
          <w:r w:rsidR="00DD26AB">
            <w:t>–</w:t>
          </w:r>
          <w:r>
            <w:t xml:space="preserve"> </w:t>
          </w:r>
          <w:r w:rsidR="00DD26AB">
            <w:t xml:space="preserve">Lynkuet </w:t>
          </w:r>
          <w:r w:rsidR="00AD073B">
            <w:t>–</w:t>
          </w:r>
          <w:r w:rsidR="00DD26AB">
            <w:t xml:space="preserve"> </w:t>
          </w:r>
          <w:proofErr w:type="spellStart"/>
          <w:r w:rsidR="00AD073B">
            <w:t>elinzanetant</w:t>
          </w:r>
          <w:proofErr w:type="spellEnd"/>
          <w:r w:rsidR="00AD073B">
            <w:t xml:space="preserve"> – Bayer Australia Ltd – PM-2024</w:t>
          </w:r>
          <w:r w:rsidR="00CE08E7">
            <w:t>-03648-1-5</w:t>
          </w:r>
          <w:r>
            <w:br/>
          </w:r>
          <w:r w:rsidR="00461537">
            <w:t xml:space="preserve">Final </w:t>
          </w:r>
          <w:r w:rsidR="00293652">
            <w:t>–</w:t>
          </w:r>
          <w:r w:rsidR="00461537">
            <w:t xml:space="preserve"> </w:t>
          </w:r>
          <w:r w:rsidR="00293652">
            <w:t>2 March 2026</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0EFBEC" w14:textId="77777777" w:rsidR="007D7CFF" w:rsidRDefault="007D7CFF" w:rsidP="00F02AEC">
      <w:pPr>
        <w:spacing w:after="0" w:line="240" w:lineRule="auto"/>
      </w:pPr>
      <w:r>
        <w:separator/>
      </w:r>
    </w:p>
  </w:footnote>
  <w:footnote w:type="continuationSeparator" w:id="0">
    <w:p w14:paraId="68091EF1" w14:textId="77777777" w:rsidR="007D7CFF" w:rsidRDefault="007D7CFF"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59EEB79F" w14:textId="17C82DBC" w:rsidR="009668C4" w:rsidRDefault="009668C4">
      <w:pPr>
        <w:pStyle w:val="FootnoteText"/>
      </w:pPr>
      <w:r>
        <w:rPr>
          <w:rStyle w:val="FootnoteReference"/>
        </w:rPr>
        <w:footnoteRef/>
      </w:r>
      <w:r>
        <w:t xml:space="preserve"> </w:t>
      </w:r>
      <w:r w:rsidRPr="009668C4">
        <w:t>Pinkerton, J</w:t>
      </w:r>
      <w:r w:rsidR="00D55947">
        <w:t>.</w:t>
      </w:r>
      <w:r w:rsidRPr="009668C4">
        <w:t xml:space="preserve"> V</w:t>
      </w:r>
      <w:r w:rsidR="00D55947">
        <w:t xml:space="preserve"> ,</w:t>
      </w:r>
      <w:r w:rsidRPr="009668C4">
        <w:t xml:space="preserve"> Simon, J</w:t>
      </w:r>
      <w:r w:rsidR="00D55947">
        <w:t>.,</w:t>
      </w:r>
      <w:r w:rsidRPr="009668C4">
        <w:t xml:space="preserve"> Panay, N</w:t>
      </w:r>
      <w:r w:rsidR="00D55947">
        <w:t>.,</w:t>
      </w:r>
      <w:r w:rsidRPr="009668C4">
        <w:t xml:space="preserve"> Seitz, C</w:t>
      </w:r>
      <w:r w:rsidR="00D55947">
        <w:t>.,</w:t>
      </w:r>
      <w:r w:rsidRPr="009668C4">
        <w:t xml:space="preserve"> Parke, </w:t>
      </w:r>
      <w:r w:rsidR="00404304">
        <w:t>S.,</w:t>
      </w:r>
      <w:r w:rsidRPr="009668C4">
        <w:t xml:space="preserve"> Caetano, C</w:t>
      </w:r>
      <w:r w:rsidR="00404304">
        <w:t>.,</w:t>
      </w:r>
      <w:r w:rsidRPr="009668C4">
        <w:t xml:space="preserve"> Mellinger, U</w:t>
      </w:r>
      <w:r w:rsidR="00404304">
        <w:t>.,</w:t>
      </w:r>
      <w:r w:rsidRPr="009668C4">
        <w:t xml:space="preserve"> </w:t>
      </w:r>
      <w:r w:rsidRPr="009668C4">
        <w:t>Haseli M</w:t>
      </w:r>
      <w:r w:rsidR="00DA0806">
        <w:t>.</w:t>
      </w:r>
      <w:r w:rsidRPr="009668C4">
        <w:t xml:space="preserve">, Nazanin7; Haberland, </w:t>
      </w:r>
      <w:r w:rsidR="00DA0806">
        <w:t>C.</w:t>
      </w:r>
      <w:r w:rsidRPr="009668C4">
        <w:t>, Atanackovic, G</w:t>
      </w:r>
      <w:r w:rsidR="00DA0806">
        <w:t>.,</w:t>
      </w:r>
      <w:r w:rsidRPr="009668C4">
        <w:t xml:space="preserve"> Holz, </w:t>
      </w:r>
      <w:r w:rsidR="00DA0806">
        <w:t>C.,</w:t>
      </w:r>
      <w:r w:rsidRPr="009668C4">
        <w:t xml:space="preserve"> Mao, G</w:t>
      </w:r>
      <w:r w:rsidR="002E5E85">
        <w:t>.,</w:t>
      </w:r>
      <w:r w:rsidRPr="009668C4">
        <w:t xml:space="preserve"> Morrison, M</w:t>
      </w:r>
      <w:r w:rsidR="002E5E85">
        <w:t>.,</w:t>
      </w:r>
      <w:r w:rsidRPr="009668C4">
        <w:t xml:space="preserve"> Nisius, S</w:t>
      </w:r>
      <w:r w:rsidR="002E5E85">
        <w:t>.,</w:t>
      </w:r>
      <w:r w:rsidRPr="009668C4">
        <w:t xml:space="preserve"> Schaefers, M</w:t>
      </w:r>
      <w:r w:rsidR="002E5E85">
        <w:t>. and</w:t>
      </w:r>
      <w:r w:rsidRPr="009668C4">
        <w:t xml:space="preserve"> Zuurman, L. </w:t>
      </w:r>
      <w:r w:rsidR="002E5E85">
        <w:t xml:space="preserve">(2024) </w:t>
      </w:r>
      <w:r w:rsidRPr="009668C4">
        <w:t>Design of OASIS 1 and 2: phase 3 clinical trials assessing the efficacy and safety of elinzanetant for the treatment of vasomotor symptoms associated with menopause. Menopause 31(6</w:t>
      </w:r>
      <w:r w:rsidRPr="009668C4">
        <w:t>):p 522-529</w:t>
      </w:r>
      <w:r w:rsidR="002E5E85">
        <w:t>.</w:t>
      </w:r>
      <w:r w:rsidRPr="009668C4">
        <w:t xml:space="preserve"> DOI: </w:t>
      </w:r>
      <w:hyperlink r:id="rId1" w:history="1">
        <w:r w:rsidRPr="00657D7D">
          <w:rPr>
            <w:rStyle w:val="Hyperlink"/>
          </w:rPr>
          <w:t>10.1097/GME.0000000000002350</w:t>
        </w:r>
      </w:hyperlink>
      <w:r w:rsidR="002E5E85">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230820"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38802056" w:rsidR="007452E8" w:rsidRDefault="0006693A" w:rsidP="007452E8">
    <w:pPr>
      <w:rPr>
        <w:noProof/>
      </w:rPr>
    </w:pPr>
    <w:r>
      <w:rPr>
        <w:noProof/>
      </w:rPr>
      <w:drawing>
        <wp:inline distT="0" distB="0" distL="0" distR="0" wp14:anchorId="26654E9F" wp14:editId="78E105AB">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r w:rsidR="007452E8" w:rsidRPr="002B29B2">
      <w:rPr>
        <w:noProof/>
        <w:lang w:val="en-GB" w:eastAsia="en-GB"/>
      </w:rPr>
      <w:drawing>
        <wp:anchor distT="0" distB="0" distL="114300" distR="114300" simplePos="0" relativeHeight="251660288" behindDoc="0" locked="0" layoutInCell="0" allowOverlap="1" wp14:anchorId="14BBEAC1" wp14:editId="5D9F0498">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613C5"/>
    <w:multiLevelType w:val="hybridMultilevel"/>
    <w:tmpl w:val="264A2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079FE"/>
    <w:multiLevelType w:val="hybridMultilevel"/>
    <w:tmpl w:val="937C7A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7"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8" w15:restartNumberingAfterBreak="0">
    <w:nsid w:val="257956C3"/>
    <w:multiLevelType w:val="hybridMultilevel"/>
    <w:tmpl w:val="A372DD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0" w15:restartNumberingAfterBreak="0">
    <w:nsid w:val="484E196C"/>
    <w:multiLevelType w:val="hybridMultilevel"/>
    <w:tmpl w:val="E38C1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015CA7"/>
    <w:multiLevelType w:val="hybridMultilevel"/>
    <w:tmpl w:val="6AEC6A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6" w15:restartNumberingAfterBreak="0">
    <w:nsid w:val="76B4206D"/>
    <w:multiLevelType w:val="hybridMultilevel"/>
    <w:tmpl w:val="61707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B07C07"/>
    <w:multiLevelType w:val="hybridMultilevel"/>
    <w:tmpl w:val="C5C6F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091609"/>
    <w:multiLevelType w:val="hybridMultilevel"/>
    <w:tmpl w:val="B53E807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num w:numId="1" w16cid:durableId="1032997172">
    <w:abstractNumId w:val="4"/>
  </w:num>
  <w:num w:numId="2" w16cid:durableId="1856573705">
    <w:abstractNumId w:val="1"/>
  </w:num>
  <w:num w:numId="3" w16cid:durableId="357703499">
    <w:abstractNumId w:val="3"/>
  </w:num>
  <w:num w:numId="4" w16cid:durableId="1869176708">
    <w:abstractNumId w:val="14"/>
  </w:num>
  <w:num w:numId="5" w16cid:durableId="1652950129">
    <w:abstractNumId w:val="7"/>
  </w:num>
  <w:num w:numId="6" w16cid:durableId="1053193207">
    <w:abstractNumId w:val="12"/>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3"/>
  </w:num>
  <w:num w:numId="9" w16cid:durableId="173421270">
    <w:abstractNumId w:val="2"/>
  </w:num>
  <w:num w:numId="10" w16cid:durableId="2108043357">
    <w:abstractNumId w:val="6"/>
  </w:num>
  <w:num w:numId="11" w16cid:durableId="1725904230">
    <w:abstractNumId w:val="9"/>
  </w:num>
  <w:num w:numId="12" w16cid:durableId="141579354">
    <w:abstractNumId w:val="15"/>
  </w:num>
  <w:num w:numId="13" w16cid:durableId="283735081">
    <w:abstractNumId w:val="19"/>
  </w:num>
  <w:num w:numId="14" w16cid:durableId="1666469272">
    <w:abstractNumId w:val="18"/>
  </w:num>
  <w:num w:numId="15" w16cid:durableId="344014179">
    <w:abstractNumId w:val="10"/>
  </w:num>
  <w:num w:numId="16" w16cid:durableId="1617520253">
    <w:abstractNumId w:val="8"/>
  </w:num>
  <w:num w:numId="17" w16cid:durableId="1058474008">
    <w:abstractNumId w:val="5"/>
  </w:num>
  <w:num w:numId="18" w16cid:durableId="421030326">
    <w:abstractNumId w:val="11"/>
  </w:num>
  <w:num w:numId="19" w16cid:durableId="885802127">
    <w:abstractNumId w:val="17"/>
  </w:num>
  <w:num w:numId="20" w16cid:durableId="735904373">
    <w:abstractNumId w:val="16"/>
  </w:num>
  <w:num w:numId="21" w16cid:durableId="1311715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6E3"/>
    <w:rsid w:val="00000E6E"/>
    <w:rsid w:val="000024CF"/>
    <w:rsid w:val="00004431"/>
    <w:rsid w:val="00004BCA"/>
    <w:rsid w:val="00005062"/>
    <w:rsid w:val="00005DFC"/>
    <w:rsid w:val="0001064C"/>
    <w:rsid w:val="0001384A"/>
    <w:rsid w:val="00017980"/>
    <w:rsid w:val="00021C13"/>
    <w:rsid w:val="00023E25"/>
    <w:rsid w:val="0003097F"/>
    <w:rsid w:val="00032A0F"/>
    <w:rsid w:val="00035EBD"/>
    <w:rsid w:val="00040D8D"/>
    <w:rsid w:val="00041D34"/>
    <w:rsid w:val="00046423"/>
    <w:rsid w:val="000477F5"/>
    <w:rsid w:val="0004799A"/>
    <w:rsid w:val="0005067C"/>
    <w:rsid w:val="0005147E"/>
    <w:rsid w:val="00053B69"/>
    <w:rsid w:val="00056D17"/>
    <w:rsid w:val="00056FC5"/>
    <w:rsid w:val="0006104E"/>
    <w:rsid w:val="000628FE"/>
    <w:rsid w:val="00063505"/>
    <w:rsid w:val="000640BD"/>
    <w:rsid w:val="00064571"/>
    <w:rsid w:val="00065839"/>
    <w:rsid w:val="00065FDF"/>
    <w:rsid w:val="0006693A"/>
    <w:rsid w:val="0007681D"/>
    <w:rsid w:val="00077844"/>
    <w:rsid w:val="00083763"/>
    <w:rsid w:val="00084993"/>
    <w:rsid w:val="0008636E"/>
    <w:rsid w:val="00090510"/>
    <w:rsid w:val="000917AE"/>
    <w:rsid w:val="00092277"/>
    <w:rsid w:val="00094061"/>
    <w:rsid w:val="00094B81"/>
    <w:rsid w:val="00095C6A"/>
    <w:rsid w:val="000975AA"/>
    <w:rsid w:val="000A102D"/>
    <w:rsid w:val="000A28D3"/>
    <w:rsid w:val="000B5D42"/>
    <w:rsid w:val="000B6B15"/>
    <w:rsid w:val="000C25A7"/>
    <w:rsid w:val="000C5432"/>
    <w:rsid w:val="000C55C8"/>
    <w:rsid w:val="000C5824"/>
    <w:rsid w:val="000C6CE7"/>
    <w:rsid w:val="000D1F32"/>
    <w:rsid w:val="000D78EC"/>
    <w:rsid w:val="000D7934"/>
    <w:rsid w:val="000E21A7"/>
    <w:rsid w:val="000E2434"/>
    <w:rsid w:val="000E2597"/>
    <w:rsid w:val="000E3763"/>
    <w:rsid w:val="000E46C5"/>
    <w:rsid w:val="000E504E"/>
    <w:rsid w:val="000E6746"/>
    <w:rsid w:val="000F19A9"/>
    <w:rsid w:val="000F5B4B"/>
    <w:rsid w:val="000F7B51"/>
    <w:rsid w:val="001013AF"/>
    <w:rsid w:val="00101BEE"/>
    <w:rsid w:val="00101CE6"/>
    <w:rsid w:val="00101FB1"/>
    <w:rsid w:val="0010238A"/>
    <w:rsid w:val="0010558A"/>
    <w:rsid w:val="001101FF"/>
    <w:rsid w:val="00111989"/>
    <w:rsid w:val="00111E1B"/>
    <w:rsid w:val="001136E5"/>
    <w:rsid w:val="00113F9F"/>
    <w:rsid w:val="00114025"/>
    <w:rsid w:val="00114E49"/>
    <w:rsid w:val="001177DF"/>
    <w:rsid w:val="00121DB8"/>
    <w:rsid w:val="001235B7"/>
    <w:rsid w:val="0012473C"/>
    <w:rsid w:val="00127A74"/>
    <w:rsid w:val="0013132F"/>
    <w:rsid w:val="00131B1B"/>
    <w:rsid w:val="0013306D"/>
    <w:rsid w:val="0013528C"/>
    <w:rsid w:val="001356CB"/>
    <w:rsid w:val="00143D1F"/>
    <w:rsid w:val="001442A2"/>
    <w:rsid w:val="0014526F"/>
    <w:rsid w:val="001468CA"/>
    <w:rsid w:val="0014737B"/>
    <w:rsid w:val="001500A8"/>
    <w:rsid w:val="001512D5"/>
    <w:rsid w:val="00155257"/>
    <w:rsid w:val="00155D85"/>
    <w:rsid w:val="001560E4"/>
    <w:rsid w:val="001567EA"/>
    <w:rsid w:val="0015766C"/>
    <w:rsid w:val="00165D28"/>
    <w:rsid w:val="00166818"/>
    <w:rsid w:val="00167704"/>
    <w:rsid w:val="00167D81"/>
    <w:rsid w:val="0017005C"/>
    <w:rsid w:val="001706B0"/>
    <w:rsid w:val="00174A9F"/>
    <w:rsid w:val="00174FEF"/>
    <w:rsid w:val="00175CD8"/>
    <w:rsid w:val="0017614A"/>
    <w:rsid w:val="00182BD8"/>
    <w:rsid w:val="00184DC5"/>
    <w:rsid w:val="00185143"/>
    <w:rsid w:val="00190853"/>
    <w:rsid w:val="0019102D"/>
    <w:rsid w:val="00193AC5"/>
    <w:rsid w:val="001A053E"/>
    <w:rsid w:val="001A3E7D"/>
    <w:rsid w:val="001A76F9"/>
    <w:rsid w:val="001B06FF"/>
    <w:rsid w:val="001B1703"/>
    <w:rsid w:val="001B52F3"/>
    <w:rsid w:val="001C1C2E"/>
    <w:rsid w:val="001C31A1"/>
    <w:rsid w:val="001C3FA2"/>
    <w:rsid w:val="001C59E1"/>
    <w:rsid w:val="001C5EE2"/>
    <w:rsid w:val="001C756B"/>
    <w:rsid w:val="001D0077"/>
    <w:rsid w:val="001D27CB"/>
    <w:rsid w:val="001E407B"/>
    <w:rsid w:val="001E5758"/>
    <w:rsid w:val="001E7FC6"/>
    <w:rsid w:val="001F2502"/>
    <w:rsid w:val="001F4E88"/>
    <w:rsid w:val="001F70A5"/>
    <w:rsid w:val="001F7F79"/>
    <w:rsid w:val="002022CA"/>
    <w:rsid w:val="0020235D"/>
    <w:rsid w:val="0020369B"/>
    <w:rsid w:val="00203740"/>
    <w:rsid w:val="00205A2F"/>
    <w:rsid w:val="00207A3B"/>
    <w:rsid w:val="00207B4D"/>
    <w:rsid w:val="00210F9B"/>
    <w:rsid w:val="002117B1"/>
    <w:rsid w:val="00211813"/>
    <w:rsid w:val="00217CCE"/>
    <w:rsid w:val="002203B1"/>
    <w:rsid w:val="00226F39"/>
    <w:rsid w:val="002277DD"/>
    <w:rsid w:val="00227CEC"/>
    <w:rsid w:val="002334AD"/>
    <w:rsid w:val="00233A28"/>
    <w:rsid w:val="00241B60"/>
    <w:rsid w:val="002430C6"/>
    <w:rsid w:val="00247DC3"/>
    <w:rsid w:val="0025785B"/>
    <w:rsid w:val="00257969"/>
    <w:rsid w:val="00262AC7"/>
    <w:rsid w:val="00265CD1"/>
    <w:rsid w:val="00273E2B"/>
    <w:rsid w:val="00275EB3"/>
    <w:rsid w:val="00280048"/>
    <w:rsid w:val="0028489E"/>
    <w:rsid w:val="002848DE"/>
    <w:rsid w:val="0028794E"/>
    <w:rsid w:val="00293652"/>
    <w:rsid w:val="0029404D"/>
    <w:rsid w:val="002958D1"/>
    <w:rsid w:val="0029733B"/>
    <w:rsid w:val="00297A68"/>
    <w:rsid w:val="002A230B"/>
    <w:rsid w:val="002A3B9A"/>
    <w:rsid w:val="002A5841"/>
    <w:rsid w:val="002A5B6E"/>
    <w:rsid w:val="002B1EDF"/>
    <w:rsid w:val="002B2061"/>
    <w:rsid w:val="002B332C"/>
    <w:rsid w:val="002B33C3"/>
    <w:rsid w:val="002B3CF2"/>
    <w:rsid w:val="002B59EE"/>
    <w:rsid w:val="002B7776"/>
    <w:rsid w:val="002C1232"/>
    <w:rsid w:val="002C1E44"/>
    <w:rsid w:val="002C2AB9"/>
    <w:rsid w:val="002C43E0"/>
    <w:rsid w:val="002C5C92"/>
    <w:rsid w:val="002C5E29"/>
    <w:rsid w:val="002D0478"/>
    <w:rsid w:val="002D2A38"/>
    <w:rsid w:val="002D7127"/>
    <w:rsid w:val="002E2ACD"/>
    <w:rsid w:val="002E4ABB"/>
    <w:rsid w:val="002E5E85"/>
    <w:rsid w:val="002F2D4A"/>
    <w:rsid w:val="002F599E"/>
    <w:rsid w:val="003008D8"/>
    <w:rsid w:val="00301D9A"/>
    <w:rsid w:val="00303029"/>
    <w:rsid w:val="00303959"/>
    <w:rsid w:val="00306E72"/>
    <w:rsid w:val="00311ABA"/>
    <w:rsid w:val="00312AC3"/>
    <w:rsid w:val="00314430"/>
    <w:rsid w:val="003163BC"/>
    <w:rsid w:val="003172BE"/>
    <w:rsid w:val="00317B4D"/>
    <w:rsid w:val="003212D9"/>
    <w:rsid w:val="003215C4"/>
    <w:rsid w:val="0032351A"/>
    <w:rsid w:val="00324164"/>
    <w:rsid w:val="00324B33"/>
    <w:rsid w:val="00327488"/>
    <w:rsid w:val="00330EA9"/>
    <w:rsid w:val="003323EA"/>
    <w:rsid w:val="003331B4"/>
    <w:rsid w:val="003339D6"/>
    <w:rsid w:val="00335D0B"/>
    <w:rsid w:val="00336FE1"/>
    <w:rsid w:val="00337A4A"/>
    <w:rsid w:val="00337BD8"/>
    <w:rsid w:val="00342D56"/>
    <w:rsid w:val="00344206"/>
    <w:rsid w:val="003456E7"/>
    <w:rsid w:val="00346EC2"/>
    <w:rsid w:val="003477F9"/>
    <w:rsid w:val="0035444D"/>
    <w:rsid w:val="00354744"/>
    <w:rsid w:val="00356D62"/>
    <w:rsid w:val="00363EE3"/>
    <w:rsid w:val="003735F3"/>
    <w:rsid w:val="00373B03"/>
    <w:rsid w:val="00374729"/>
    <w:rsid w:val="00375709"/>
    <w:rsid w:val="00376DB8"/>
    <w:rsid w:val="00380C11"/>
    <w:rsid w:val="00385027"/>
    <w:rsid w:val="00387298"/>
    <w:rsid w:val="00387984"/>
    <w:rsid w:val="0039386E"/>
    <w:rsid w:val="00395140"/>
    <w:rsid w:val="003A2422"/>
    <w:rsid w:val="003A7777"/>
    <w:rsid w:val="003B149C"/>
    <w:rsid w:val="003C0FDB"/>
    <w:rsid w:val="003C1192"/>
    <w:rsid w:val="003C2501"/>
    <w:rsid w:val="003C36AE"/>
    <w:rsid w:val="003C4558"/>
    <w:rsid w:val="003C55E2"/>
    <w:rsid w:val="003C5D29"/>
    <w:rsid w:val="003C63D5"/>
    <w:rsid w:val="003C7AA8"/>
    <w:rsid w:val="003D0195"/>
    <w:rsid w:val="003D02F3"/>
    <w:rsid w:val="003D2398"/>
    <w:rsid w:val="003D71A1"/>
    <w:rsid w:val="003E1D61"/>
    <w:rsid w:val="003F6FBB"/>
    <w:rsid w:val="00404304"/>
    <w:rsid w:val="00404369"/>
    <w:rsid w:val="00405BC2"/>
    <w:rsid w:val="00413214"/>
    <w:rsid w:val="004149C1"/>
    <w:rsid w:val="004160EF"/>
    <w:rsid w:val="0041688F"/>
    <w:rsid w:val="00417078"/>
    <w:rsid w:val="004201B8"/>
    <w:rsid w:val="0042376F"/>
    <w:rsid w:val="004246B8"/>
    <w:rsid w:val="004248F1"/>
    <w:rsid w:val="00424D93"/>
    <w:rsid w:val="00425981"/>
    <w:rsid w:val="00430292"/>
    <w:rsid w:val="00432272"/>
    <w:rsid w:val="00433318"/>
    <w:rsid w:val="004411D9"/>
    <w:rsid w:val="00442A56"/>
    <w:rsid w:val="004444B0"/>
    <w:rsid w:val="0045060B"/>
    <w:rsid w:val="0045125A"/>
    <w:rsid w:val="004571AC"/>
    <w:rsid w:val="00461537"/>
    <w:rsid w:val="004626FF"/>
    <w:rsid w:val="0046285C"/>
    <w:rsid w:val="004632F2"/>
    <w:rsid w:val="00467981"/>
    <w:rsid w:val="00470A52"/>
    <w:rsid w:val="00471BD5"/>
    <w:rsid w:val="00477C4E"/>
    <w:rsid w:val="00477F07"/>
    <w:rsid w:val="00481503"/>
    <w:rsid w:val="00481D12"/>
    <w:rsid w:val="004854A6"/>
    <w:rsid w:val="00485FD9"/>
    <w:rsid w:val="00491A55"/>
    <w:rsid w:val="00494C3E"/>
    <w:rsid w:val="00497DF1"/>
    <w:rsid w:val="004A08EA"/>
    <w:rsid w:val="004A318E"/>
    <w:rsid w:val="004A45D4"/>
    <w:rsid w:val="004A5772"/>
    <w:rsid w:val="004A57E8"/>
    <w:rsid w:val="004B3081"/>
    <w:rsid w:val="004B3FEC"/>
    <w:rsid w:val="004B4A09"/>
    <w:rsid w:val="004C3443"/>
    <w:rsid w:val="004C41CE"/>
    <w:rsid w:val="004C5E4F"/>
    <w:rsid w:val="004C631B"/>
    <w:rsid w:val="004D0933"/>
    <w:rsid w:val="004D2F00"/>
    <w:rsid w:val="004D31D8"/>
    <w:rsid w:val="004D35D1"/>
    <w:rsid w:val="004D4AD5"/>
    <w:rsid w:val="004D5388"/>
    <w:rsid w:val="004D6E77"/>
    <w:rsid w:val="004E3C7B"/>
    <w:rsid w:val="004E617C"/>
    <w:rsid w:val="004E7C7C"/>
    <w:rsid w:val="004E7F16"/>
    <w:rsid w:val="004F093A"/>
    <w:rsid w:val="004F18EC"/>
    <w:rsid w:val="004F735F"/>
    <w:rsid w:val="00500D68"/>
    <w:rsid w:val="00505E8C"/>
    <w:rsid w:val="00510E9B"/>
    <w:rsid w:val="00515C33"/>
    <w:rsid w:val="005171A0"/>
    <w:rsid w:val="00524EA6"/>
    <w:rsid w:val="00530B2D"/>
    <w:rsid w:val="005311B4"/>
    <w:rsid w:val="0053377D"/>
    <w:rsid w:val="00535DFE"/>
    <w:rsid w:val="005373B5"/>
    <w:rsid w:val="00537AB7"/>
    <w:rsid w:val="005434BC"/>
    <w:rsid w:val="00544BC8"/>
    <w:rsid w:val="0054669B"/>
    <w:rsid w:val="00556243"/>
    <w:rsid w:val="00557684"/>
    <w:rsid w:val="00560EC1"/>
    <w:rsid w:val="005610D1"/>
    <w:rsid w:val="00562F42"/>
    <w:rsid w:val="005631F6"/>
    <w:rsid w:val="005642C2"/>
    <w:rsid w:val="00565739"/>
    <w:rsid w:val="00565837"/>
    <w:rsid w:val="00566542"/>
    <w:rsid w:val="0056766D"/>
    <w:rsid w:val="00575215"/>
    <w:rsid w:val="005775D0"/>
    <w:rsid w:val="00581138"/>
    <w:rsid w:val="00584A35"/>
    <w:rsid w:val="0058575E"/>
    <w:rsid w:val="0058783C"/>
    <w:rsid w:val="005911AE"/>
    <w:rsid w:val="00592090"/>
    <w:rsid w:val="005925DB"/>
    <w:rsid w:val="005926E2"/>
    <w:rsid w:val="0059313A"/>
    <w:rsid w:val="005A1C92"/>
    <w:rsid w:val="005A4518"/>
    <w:rsid w:val="005A4C59"/>
    <w:rsid w:val="005A54EA"/>
    <w:rsid w:val="005B023F"/>
    <w:rsid w:val="005B02A2"/>
    <w:rsid w:val="005B1417"/>
    <w:rsid w:val="005B5F3C"/>
    <w:rsid w:val="005B69CF"/>
    <w:rsid w:val="005B6CB5"/>
    <w:rsid w:val="005C03DA"/>
    <w:rsid w:val="005C3F07"/>
    <w:rsid w:val="005C4317"/>
    <w:rsid w:val="005C4B46"/>
    <w:rsid w:val="005C5DC5"/>
    <w:rsid w:val="005D0E1E"/>
    <w:rsid w:val="005D2089"/>
    <w:rsid w:val="005D5F2F"/>
    <w:rsid w:val="005D6AE4"/>
    <w:rsid w:val="005D7514"/>
    <w:rsid w:val="005E0FC6"/>
    <w:rsid w:val="005E1A7B"/>
    <w:rsid w:val="005E231F"/>
    <w:rsid w:val="005F5AF5"/>
    <w:rsid w:val="00602D6E"/>
    <w:rsid w:val="00605C05"/>
    <w:rsid w:val="00611351"/>
    <w:rsid w:val="0061217D"/>
    <w:rsid w:val="006129AE"/>
    <w:rsid w:val="006277A1"/>
    <w:rsid w:val="00633BD7"/>
    <w:rsid w:val="00634580"/>
    <w:rsid w:val="00634884"/>
    <w:rsid w:val="006351D9"/>
    <w:rsid w:val="00637130"/>
    <w:rsid w:val="00637F0E"/>
    <w:rsid w:val="00641A3E"/>
    <w:rsid w:val="006423F2"/>
    <w:rsid w:val="006428C5"/>
    <w:rsid w:val="00650234"/>
    <w:rsid w:val="006534FC"/>
    <w:rsid w:val="00657D7D"/>
    <w:rsid w:val="0066044B"/>
    <w:rsid w:val="006630AA"/>
    <w:rsid w:val="00663544"/>
    <w:rsid w:val="0066357F"/>
    <w:rsid w:val="00666539"/>
    <w:rsid w:val="00666911"/>
    <w:rsid w:val="006669FE"/>
    <w:rsid w:val="006725AB"/>
    <w:rsid w:val="00675F81"/>
    <w:rsid w:val="0068143E"/>
    <w:rsid w:val="00684A34"/>
    <w:rsid w:val="0068507D"/>
    <w:rsid w:val="00687490"/>
    <w:rsid w:val="00691AF2"/>
    <w:rsid w:val="00692B80"/>
    <w:rsid w:val="00692CCD"/>
    <w:rsid w:val="00692D51"/>
    <w:rsid w:val="00694DD7"/>
    <w:rsid w:val="00695EEC"/>
    <w:rsid w:val="0069636B"/>
    <w:rsid w:val="006A1762"/>
    <w:rsid w:val="006A19CE"/>
    <w:rsid w:val="006A1F0B"/>
    <w:rsid w:val="006A277A"/>
    <w:rsid w:val="006A5973"/>
    <w:rsid w:val="006B0459"/>
    <w:rsid w:val="006B04F3"/>
    <w:rsid w:val="006B5E64"/>
    <w:rsid w:val="006B7126"/>
    <w:rsid w:val="006C1063"/>
    <w:rsid w:val="006C6B86"/>
    <w:rsid w:val="006D2073"/>
    <w:rsid w:val="006D2880"/>
    <w:rsid w:val="006D4553"/>
    <w:rsid w:val="006D4A35"/>
    <w:rsid w:val="006D6B44"/>
    <w:rsid w:val="006E0F71"/>
    <w:rsid w:val="006E27FE"/>
    <w:rsid w:val="006F424A"/>
    <w:rsid w:val="006F77C8"/>
    <w:rsid w:val="00701110"/>
    <w:rsid w:val="00702E91"/>
    <w:rsid w:val="0070330F"/>
    <w:rsid w:val="00703493"/>
    <w:rsid w:val="00703624"/>
    <w:rsid w:val="007039AD"/>
    <w:rsid w:val="007046ED"/>
    <w:rsid w:val="0070541F"/>
    <w:rsid w:val="007072A1"/>
    <w:rsid w:val="0070744D"/>
    <w:rsid w:val="0071060C"/>
    <w:rsid w:val="00710BC5"/>
    <w:rsid w:val="007121CA"/>
    <w:rsid w:val="00714043"/>
    <w:rsid w:val="0072003B"/>
    <w:rsid w:val="00721059"/>
    <w:rsid w:val="007211E6"/>
    <w:rsid w:val="007220C4"/>
    <w:rsid w:val="00723A28"/>
    <w:rsid w:val="007305ED"/>
    <w:rsid w:val="007311B9"/>
    <w:rsid w:val="00732361"/>
    <w:rsid w:val="007357B9"/>
    <w:rsid w:val="00736596"/>
    <w:rsid w:val="00741AB9"/>
    <w:rsid w:val="00742190"/>
    <w:rsid w:val="00742D03"/>
    <w:rsid w:val="00742FF9"/>
    <w:rsid w:val="007432F8"/>
    <w:rsid w:val="00744216"/>
    <w:rsid w:val="007452E8"/>
    <w:rsid w:val="00746990"/>
    <w:rsid w:val="00747093"/>
    <w:rsid w:val="007475CB"/>
    <w:rsid w:val="0075063E"/>
    <w:rsid w:val="00750D70"/>
    <w:rsid w:val="0075343E"/>
    <w:rsid w:val="007575D0"/>
    <w:rsid w:val="00757EFE"/>
    <w:rsid w:val="00764820"/>
    <w:rsid w:val="00764D6C"/>
    <w:rsid w:val="007662E0"/>
    <w:rsid w:val="00766798"/>
    <w:rsid w:val="00771601"/>
    <w:rsid w:val="007746C2"/>
    <w:rsid w:val="00776E9C"/>
    <w:rsid w:val="007816D8"/>
    <w:rsid w:val="00784150"/>
    <w:rsid w:val="00786B60"/>
    <w:rsid w:val="007870A0"/>
    <w:rsid w:val="00787D71"/>
    <w:rsid w:val="00791D98"/>
    <w:rsid w:val="00793272"/>
    <w:rsid w:val="0079499A"/>
    <w:rsid w:val="00794B64"/>
    <w:rsid w:val="007967C3"/>
    <w:rsid w:val="007A0A33"/>
    <w:rsid w:val="007A0A66"/>
    <w:rsid w:val="007A18B7"/>
    <w:rsid w:val="007A3E35"/>
    <w:rsid w:val="007B04DE"/>
    <w:rsid w:val="007B0AE6"/>
    <w:rsid w:val="007B5E27"/>
    <w:rsid w:val="007B709C"/>
    <w:rsid w:val="007B73F4"/>
    <w:rsid w:val="007C0EC0"/>
    <w:rsid w:val="007C0F0B"/>
    <w:rsid w:val="007C57BC"/>
    <w:rsid w:val="007D04CA"/>
    <w:rsid w:val="007D0A2B"/>
    <w:rsid w:val="007D12A1"/>
    <w:rsid w:val="007D1DD5"/>
    <w:rsid w:val="007D40E5"/>
    <w:rsid w:val="007D4138"/>
    <w:rsid w:val="007D7931"/>
    <w:rsid w:val="007D7CFF"/>
    <w:rsid w:val="007E20CB"/>
    <w:rsid w:val="007E4178"/>
    <w:rsid w:val="007E4F42"/>
    <w:rsid w:val="007E6443"/>
    <w:rsid w:val="007E6E78"/>
    <w:rsid w:val="007F0A77"/>
    <w:rsid w:val="007F1E37"/>
    <w:rsid w:val="007F50D3"/>
    <w:rsid w:val="007F6B1F"/>
    <w:rsid w:val="008013F0"/>
    <w:rsid w:val="00803926"/>
    <w:rsid w:val="00804299"/>
    <w:rsid w:val="00804897"/>
    <w:rsid w:val="0082509C"/>
    <w:rsid w:val="008329DB"/>
    <w:rsid w:val="00835A82"/>
    <w:rsid w:val="008361C5"/>
    <w:rsid w:val="0083628F"/>
    <w:rsid w:val="00837AB9"/>
    <w:rsid w:val="00842036"/>
    <w:rsid w:val="00843B71"/>
    <w:rsid w:val="00850637"/>
    <w:rsid w:val="00850903"/>
    <w:rsid w:val="0085322E"/>
    <w:rsid w:val="00853C60"/>
    <w:rsid w:val="00854D98"/>
    <w:rsid w:val="0085751E"/>
    <w:rsid w:val="00860B29"/>
    <w:rsid w:val="008622E8"/>
    <w:rsid w:val="008645EE"/>
    <w:rsid w:val="008656C1"/>
    <w:rsid w:val="00870144"/>
    <w:rsid w:val="0087072C"/>
    <w:rsid w:val="00871312"/>
    <w:rsid w:val="00873D7A"/>
    <w:rsid w:val="0087563F"/>
    <w:rsid w:val="00877CB3"/>
    <w:rsid w:val="008804CF"/>
    <w:rsid w:val="00882D58"/>
    <w:rsid w:val="00882F19"/>
    <w:rsid w:val="00883A89"/>
    <w:rsid w:val="00883BF2"/>
    <w:rsid w:val="00883D35"/>
    <w:rsid w:val="00884569"/>
    <w:rsid w:val="0088623F"/>
    <w:rsid w:val="008879EB"/>
    <w:rsid w:val="00887A51"/>
    <w:rsid w:val="0089038A"/>
    <w:rsid w:val="00890D9B"/>
    <w:rsid w:val="00891C6C"/>
    <w:rsid w:val="00892E4F"/>
    <w:rsid w:val="00893CCD"/>
    <w:rsid w:val="008964B3"/>
    <w:rsid w:val="008A5F0E"/>
    <w:rsid w:val="008A5FD0"/>
    <w:rsid w:val="008B1CB5"/>
    <w:rsid w:val="008B2326"/>
    <w:rsid w:val="008B45E5"/>
    <w:rsid w:val="008B47E7"/>
    <w:rsid w:val="008C2D69"/>
    <w:rsid w:val="008C2F8C"/>
    <w:rsid w:val="008C3309"/>
    <w:rsid w:val="008C4579"/>
    <w:rsid w:val="008C49C6"/>
    <w:rsid w:val="008C7238"/>
    <w:rsid w:val="008C754C"/>
    <w:rsid w:val="008D2E03"/>
    <w:rsid w:val="008D52CC"/>
    <w:rsid w:val="008D53C9"/>
    <w:rsid w:val="008D56C9"/>
    <w:rsid w:val="008D56CA"/>
    <w:rsid w:val="008D5B0F"/>
    <w:rsid w:val="008D6A54"/>
    <w:rsid w:val="008D789F"/>
    <w:rsid w:val="008E2585"/>
    <w:rsid w:val="008E2D7A"/>
    <w:rsid w:val="008F3215"/>
    <w:rsid w:val="008F4A62"/>
    <w:rsid w:val="008F5992"/>
    <w:rsid w:val="008F7256"/>
    <w:rsid w:val="00901597"/>
    <w:rsid w:val="0090240D"/>
    <w:rsid w:val="0090424C"/>
    <w:rsid w:val="00904F31"/>
    <w:rsid w:val="0090605E"/>
    <w:rsid w:val="00906C74"/>
    <w:rsid w:val="00907A46"/>
    <w:rsid w:val="009108CE"/>
    <w:rsid w:val="00915A9F"/>
    <w:rsid w:val="009213C1"/>
    <w:rsid w:val="00930D58"/>
    <w:rsid w:val="00933E66"/>
    <w:rsid w:val="00935AAA"/>
    <w:rsid w:val="0093741F"/>
    <w:rsid w:val="00941C24"/>
    <w:rsid w:val="0095031E"/>
    <w:rsid w:val="00954297"/>
    <w:rsid w:val="00960A56"/>
    <w:rsid w:val="00961F35"/>
    <w:rsid w:val="009646E7"/>
    <w:rsid w:val="009668C4"/>
    <w:rsid w:val="00966EF1"/>
    <w:rsid w:val="00967223"/>
    <w:rsid w:val="009751F7"/>
    <w:rsid w:val="0097759F"/>
    <w:rsid w:val="0098168B"/>
    <w:rsid w:val="0098350E"/>
    <w:rsid w:val="0098394D"/>
    <w:rsid w:val="00985D51"/>
    <w:rsid w:val="00985D6C"/>
    <w:rsid w:val="00986A08"/>
    <w:rsid w:val="00990C12"/>
    <w:rsid w:val="0099404F"/>
    <w:rsid w:val="00996FA5"/>
    <w:rsid w:val="009A3F4F"/>
    <w:rsid w:val="009A4FA0"/>
    <w:rsid w:val="009B1ED6"/>
    <w:rsid w:val="009B5662"/>
    <w:rsid w:val="009B6334"/>
    <w:rsid w:val="009B730B"/>
    <w:rsid w:val="009C0CC4"/>
    <w:rsid w:val="009C0D69"/>
    <w:rsid w:val="009C2211"/>
    <w:rsid w:val="009C40E8"/>
    <w:rsid w:val="009C45C5"/>
    <w:rsid w:val="009D5F5B"/>
    <w:rsid w:val="009E53A1"/>
    <w:rsid w:val="009E6858"/>
    <w:rsid w:val="009E6F8C"/>
    <w:rsid w:val="009F0ECD"/>
    <w:rsid w:val="009F2C11"/>
    <w:rsid w:val="009F405F"/>
    <w:rsid w:val="009F689D"/>
    <w:rsid w:val="00A01C56"/>
    <w:rsid w:val="00A0424A"/>
    <w:rsid w:val="00A04E0A"/>
    <w:rsid w:val="00A05BEC"/>
    <w:rsid w:val="00A07D82"/>
    <w:rsid w:val="00A1761C"/>
    <w:rsid w:val="00A22371"/>
    <w:rsid w:val="00A25B77"/>
    <w:rsid w:val="00A30F42"/>
    <w:rsid w:val="00A32C50"/>
    <w:rsid w:val="00A358E7"/>
    <w:rsid w:val="00A4380B"/>
    <w:rsid w:val="00A4769E"/>
    <w:rsid w:val="00A51A2D"/>
    <w:rsid w:val="00A5225A"/>
    <w:rsid w:val="00A5473F"/>
    <w:rsid w:val="00A5596B"/>
    <w:rsid w:val="00A5680E"/>
    <w:rsid w:val="00A62E54"/>
    <w:rsid w:val="00A63C07"/>
    <w:rsid w:val="00A63D9B"/>
    <w:rsid w:val="00A704DC"/>
    <w:rsid w:val="00A736A3"/>
    <w:rsid w:val="00A87D26"/>
    <w:rsid w:val="00A87E16"/>
    <w:rsid w:val="00A91DD1"/>
    <w:rsid w:val="00A93DC6"/>
    <w:rsid w:val="00A9411A"/>
    <w:rsid w:val="00A94590"/>
    <w:rsid w:val="00A97A97"/>
    <w:rsid w:val="00AA017E"/>
    <w:rsid w:val="00AA13E9"/>
    <w:rsid w:val="00AA3064"/>
    <w:rsid w:val="00AA3EE2"/>
    <w:rsid w:val="00AA4A4B"/>
    <w:rsid w:val="00AA516A"/>
    <w:rsid w:val="00AA6682"/>
    <w:rsid w:val="00AB0613"/>
    <w:rsid w:val="00AB7C5C"/>
    <w:rsid w:val="00AB7CBF"/>
    <w:rsid w:val="00AD0111"/>
    <w:rsid w:val="00AD073B"/>
    <w:rsid w:val="00AD0B68"/>
    <w:rsid w:val="00AD40C3"/>
    <w:rsid w:val="00AD4C72"/>
    <w:rsid w:val="00AD4E14"/>
    <w:rsid w:val="00AD5451"/>
    <w:rsid w:val="00AD7639"/>
    <w:rsid w:val="00AD784D"/>
    <w:rsid w:val="00AE1947"/>
    <w:rsid w:val="00AE3A0B"/>
    <w:rsid w:val="00AE5A78"/>
    <w:rsid w:val="00AE5FCF"/>
    <w:rsid w:val="00AF1C8B"/>
    <w:rsid w:val="00AF299B"/>
    <w:rsid w:val="00AF7E43"/>
    <w:rsid w:val="00B0135A"/>
    <w:rsid w:val="00B02AE0"/>
    <w:rsid w:val="00B03F25"/>
    <w:rsid w:val="00B05326"/>
    <w:rsid w:val="00B14545"/>
    <w:rsid w:val="00B14E60"/>
    <w:rsid w:val="00B17BA2"/>
    <w:rsid w:val="00B222D2"/>
    <w:rsid w:val="00B25982"/>
    <w:rsid w:val="00B26DC3"/>
    <w:rsid w:val="00B30B9D"/>
    <w:rsid w:val="00B32DE6"/>
    <w:rsid w:val="00B34BD9"/>
    <w:rsid w:val="00B350A0"/>
    <w:rsid w:val="00B361F1"/>
    <w:rsid w:val="00B42779"/>
    <w:rsid w:val="00B4574D"/>
    <w:rsid w:val="00B468E1"/>
    <w:rsid w:val="00B46BC0"/>
    <w:rsid w:val="00B46DFB"/>
    <w:rsid w:val="00B51077"/>
    <w:rsid w:val="00B5141B"/>
    <w:rsid w:val="00B5253F"/>
    <w:rsid w:val="00B54A80"/>
    <w:rsid w:val="00B54BA4"/>
    <w:rsid w:val="00B553E0"/>
    <w:rsid w:val="00B55681"/>
    <w:rsid w:val="00B5606A"/>
    <w:rsid w:val="00B57AAD"/>
    <w:rsid w:val="00B607CD"/>
    <w:rsid w:val="00B6374E"/>
    <w:rsid w:val="00B65C70"/>
    <w:rsid w:val="00B70288"/>
    <w:rsid w:val="00B72B16"/>
    <w:rsid w:val="00B80408"/>
    <w:rsid w:val="00B80E29"/>
    <w:rsid w:val="00B81397"/>
    <w:rsid w:val="00B85236"/>
    <w:rsid w:val="00B925DB"/>
    <w:rsid w:val="00B967FF"/>
    <w:rsid w:val="00B974B9"/>
    <w:rsid w:val="00B97A05"/>
    <w:rsid w:val="00BA0461"/>
    <w:rsid w:val="00BA0732"/>
    <w:rsid w:val="00BA12C5"/>
    <w:rsid w:val="00BA3F6D"/>
    <w:rsid w:val="00BA4BE6"/>
    <w:rsid w:val="00BA4FC0"/>
    <w:rsid w:val="00BA61E0"/>
    <w:rsid w:val="00BA657C"/>
    <w:rsid w:val="00BA668F"/>
    <w:rsid w:val="00BA7F7D"/>
    <w:rsid w:val="00BB1C14"/>
    <w:rsid w:val="00BB2A29"/>
    <w:rsid w:val="00BB3879"/>
    <w:rsid w:val="00BB6847"/>
    <w:rsid w:val="00BB7F8F"/>
    <w:rsid w:val="00BC127D"/>
    <w:rsid w:val="00BC58FC"/>
    <w:rsid w:val="00BC5FCF"/>
    <w:rsid w:val="00BC716A"/>
    <w:rsid w:val="00BD07DF"/>
    <w:rsid w:val="00BD26F4"/>
    <w:rsid w:val="00BD5BC5"/>
    <w:rsid w:val="00BD5DBD"/>
    <w:rsid w:val="00BD5DF6"/>
    <w:rsid w:val="00BE0041"/>
    <w:rsid w:val="00BE0C33"/>
    <w:rsid w:val="00BE640F"/>
    <w:rsid w:val="00BE6D2A"/>
    <w:rsid w:val="00BF31EC"/>
    <w:rsid w:val="00BF4638"/>
    <w:rsid w:val="00BF5130"/>
    <w:rsid w:val="00C00844"/>
    <w:rsid w:val="00C02C84"/>
    <w:rsid w:val="00C03567"/>
    <w:rsid w:val="00C059D0"/>
    <w:rsid w:val="00C07551"/>
    <w:rsid w:val="00C1109F"/>
    <w:rsid w:val="00C12D65"/>
    <w:rsid w:val="00C133AB"/>
    <w:rsid w:val="00C14BAE"/>
    <w:rsid w:val="00C171FE"/>
    <w:rsid w:val="00C20927"/>
    <w:rsid w:val="00C20B56"/>
    <w:rsid w:val="00C22214"/>
    <w:rsid w:val="00C23D2D"/>
    <w:rsid w:val="00C250FD"/>
    <w:rsid w:val="00C26F72"/>
    <w:rsid w:val="00C309A7"/>
    <w:rsid w:val="00C335AB"/>
    <w:rsid w:val="00C3529D"/>
    <w:rsid w:val="00C365AC"/>
    <w:rsid w:val="00C407AB"/>
    <w:rsid w:val="00C4187C"/>
    <w:rsid w:val="00C41B02"/>
    <w:rsid w:val="00C52B7B"/>
    <w:rsid w:val="00C547CD"/>
    <w:rsid w:val="00C570FF"/>
    <w:rsid w:val="00C57CEA"/>
    <w:rsid w:val="00C60CB7"/>
    <w:rsid w:val="00C60FEC"/>
    <w:rsid w:val="00C62B1C"/>
    <w:rsid w:val="00C64362"/>
    <w:rsid w:val="00C65493"/>
    <w:rsid w:val="00C6574E"/>
    <w:rsid w:val="00C663D1"/>
    <w:rsid w:val="00C707FD"/>
    <w:rsid w:val="00C711C4"/>
    <w:rsid w:val="00C73997"/>
    <w:rsid w:val="00C76134"/>
    <w:rsid w:val="00C76DEB"/>
    <w:rsid w:val="00C811D8"/>
    <w:rsid w:val="00C811FE"/>
    <w:rsid w:val="00C816C6"/>
    <w:rsid w:val="00C863A7"/>
    <w:rsid w:val="00C86A13"/>
    <w:rsid w:val="00C87551"/>
    <w:rsid w:val="00C912F4"/>
    <w:rsid w:val="00C9156F"/>
    <w:rsid w:val="00C9581A"/>
    <w:rsid w:val="00C95E4B"/>
    <w:rsid w:val="00C97D29"/>
    <w:rsid w:val="00CA0FA1"/>
    <w:rsid w:val="00CA63E3"/>
    <w:rsid w:val="00CB0550"/>
    <w:rsid w:val="00CB1A1C"/>
    <w:rsid w:val="00CB6813"/>
    <w:rsid w:val="00CC4F89"/>
    <w:rsid w:val="00CE08E7"/>
    <w:rsid w:val="00CE0C23"/>
    <w:rsid w:val="00CE3847"/>
    <w:rsid w:val="00CF6A55"/>
    <w:rsid w:val="00CF6DC6"/>
    <w:rsid w:val="00CF6DCF"/>
    <w:rsid w:val="00D017FF"/>
    <w:rsid w:val="00D01DDB"/>
    <w:rsid w:val="00D02189"/>
    <w:rsid w:val="00D03385"/>
    <w:rsid w:val="00D040B6"/>
    <w:rsid w:val="00D078BE"/>
    <w:rsid w:val="00D079F6"/>
    <w:rsid w:val="00D11433"/>
    <w:rsid w:val="00D11865"/>
    <w:rsid w:val="00D13F8A"/>
    <w:rsid w:val="00D16F60"/>
    <w:rsid w:val="00D22981"/>
    <w:rsid w:val="00D24624"/>
    <w:rsid w:val="00D303E4"/>
    <w:rsid w:val="00D30D29"/>
    <w:rsid w:val="00D3349B"/>
    <w:rsid w:val="00D424A8"/>
    <w:rsid w:val="00D45101"/>
    <w:rsid w:val="00D5191E"/>
    <w:rsid w:val="00D53259"/>
    <w:rsid w:val="00D538DB"/>
    <w:rsid w:val="00D55947"/>
    <w:rsid w:val="00D6036F"/>
    <w:rsid w:val="00D62877"/>
    <w:rsid w:val="00D63760"/>
    <w:rsid w:val="00D6703F"/>
    <w:rsid w:val="00D734EB"/>
    <w:rsid w:val="00D74BFC"/>
    <w:rsid w:val="00D81821"/>
    <w:rsid w:val="00D82713"/>
    <w:rsid w:val="00D82813"/>
    <w:rsid w:val="00D831E8"/>
    <w:rsid w:val="00D86F00"/>
    <w:rsid w:val="00D918D5"/>
    <w:rsid w:val="00D94C8E"/>
    <w:rsid w:val="00D954FA"/>
    <w:rsid w:val="00DA0806"/>
    <w:rsid w:val="00DB128D"/>
    <w:rsid w:val="00DB1372"/>
    <w:rsid w:val="00DB192C"/>
    <w:rsid w:val="00DB1CF3"/>
    <w:rsid w:val="00DB43A7"/>
    <w:rsid w:val="00DB4E7E"/>
    <w:rsid w:val="00DB5425"/>
    <w:rsid w:val="00DB6E2C"/>
    <w:rsid w:val="00DB72A6"/>
    <w:rsid w:val="00DC33AF"/>
    <w:rsid w:val="00DC6611"/>
    <w:rsid w:val="00DD26AB"/>
    <w:rsid w:val="00DD5AFB"/>
    <w:rsid w:val="00DD7060"/>
    <w:rsid w:val="00DE1344"/>
    <w:rsid w:val="00DE3E9F"/>
    <w:rsid w:val="00DE7B10"/>
    <w:rsid w:val="00DF1CFD"/>
    <w:rsid w:val="00DF4AB7"/>
    <w:rsid w:val="00DF5BFE"/>
    <w:rsid w:val="00DF64E1"/>
    <w:rsid w:val="00E00589"/>
    <w:rsid w:val="00E03E2F"/>
    <w:rsid w:val="00E0523F"/>
    <w:rsid w:val="00E06D40"/>
    <w:rsid w:val="00E120A4"/>
    <w:rsid w:val="00E16E44"/>
    <w:rsid w:val="00E23E50"/>
    <w:rsid w:val="00E26213"/>
    <w:rsid w:val="00E274DF"/>
    <w:rsid w:val="00E33C51"/>
    <w:rsid w:val="00E34D14"/>
    <w:rsid w:val="00E34D66"/>
    <w:rsid w:val="00E362C4"/>
    <w:rsid w:val="00E36577"/>
    <w:rsid w:val="00E37195"/>
    <w:rsid w:val="00E46CC2"/>
    <w:rsid w:val="00E47E0C"/>
    <w:rsid w:val="00E51360"/>
    <w:rsid w:val="00E51813"/>
    <w:rsid w:val="00E52851"/>
    <w:rsid w:val="00E52C0B"/>
    <w:rsid w:val="00E5359D"/>
    <w:rsid w:val="00E53D3F"/>
    <w:rsid w:val="00E5579B"/>
    <w:rsid w:val="00E57FF4"/>
    <w:rsid w:val="00E64313"/>
    <w:rsid w:val="00E679D1"/>
    <w:rsid w:val="00E67C1C"/>
    <w:rsid w:val="00E71549"/>
    <w:rsid w:val="00E73CCB"/>
    <w:rsid w:val="00E740F1"/>
    <w:rsid w:val="00E875D1"/>
    <w:rsid w:val="00E905B0"/>
    <w:rsid w:val="00E91F11"/>
    <w:rsid w:val="00E93A11"/>
    <w:rsid w:val="00E93EDA"/>
    <w:rsid w:val="00E96AC6"/>
    <w:rsid w:val="00E9706D"/>
    <w:rsid w:val="00E97912"/>
    <w:rsid w:val="00EA17F0"/>
    <w:rsid w:val="00EA2145"/>
    <w:rsid w:val="00EA3855"/>
    <w:rsid w:val="00EA3AF4"/>
    <w:rsid w:val="00EB103C"/>
    <w:rsid w:val="00EB6861"/>
    <w:rsid w:val="00EB733C"/>
    <w:rsid w:val="00EC0516"/>
    <w:rsid w:val="00ED3D38"/>
    <w:rsid w:val="00ED67B0"/>
    <w:rsid w:val="00EE1E75"/>
    <w:rsid w:val="00EE4B01"/>
    <w:rsid w:val="00EF0F41"/>
    <w:rsid w:val="00EF3F0B"/>
    <w:rsid w:val="00EF5583"/>
    <w:rsid w:val="00F0289D"/>
    <w:rsid w:val="00F02AEC"/>
    <w:rsid w:val="00F06F40"/>
    <w:rsid w:val="00F07572"/>
    <w:rsid w:val="00F07FE6"/>
    <w:rsid w:val="00F130ED"/>
    <w:rsid w:val="00F157FC"/>
    <w:rsid w:val="00F170EC"/>
    <w:rsid w:val="00F20A65"/>
    <w:rsid w:val="00F23B52"/>
    <w:rsid w:val="00F30AF3"/>
    <w:rsid w:val="00F34978"/>
    <w:rsid w:val="00F378DD"/>
    <w:rsid w:val="00F4089D"/>
    <w:rsid w:val="00F426B0"/>
    <w:rsid w:val="00F42BB8"/>
    <w:rsid w:val="00F43CD1"/>
    <w:rsid w:val="00F45AE0"/>
    <w:rsid w:val="00F466A9"/>
    <w:rsid w:val="00F51759"/>
    <w:rsid w:val="00F53E77"/>
    <w:rsid w:val="00F55617"/>
    <w:rsid w:val="00F60CF2"/>
    <w:rsid w:val="00F657B4"/>
    <w:rsid w:val="00F72725"/>
    <w:rsid w:val="00F74DFC"/>
    <w:rsid w:val="00F7649F"/>
    <w:rsid w:val="00F8083B"/>
    <w:rsid w:val="00F82474"/>
    <w:rsid w:val="00F82B9D"/>
    <w:rsid w:val="00F82D1B"/>
    <w:rsid w:val="00F8568E"/>
    <w:rsid w:val="00F865A7"/>
    <w:rsid w:val="00F93C13"/>
    <w:rsid w:val="00F93D2F"/>
    <w:rsid w:val="00FA0754"/>
    <w:rsid w:val="00FA1BC9"/>
    <w:rsid w:val="00FA49C3"/>
    <w:rsid w:val="00FA7C0A"/>
    <w:rsid w:val="00FA7F14"/>
    <w:rsid w:val="00FB143F"/>
    <w:rsid w:val="00FB1EB5"/>
    <w:rsid w:val="00FB236E"/>
    <w:rsid w:val="00FB3F7B"/>
    <w:rsid w:val="00FB4C2A"/>
    <w:rsid w:val="00FB5F0C"/>
    <w:rsid w:val="00FC2107"/>
    <w:rsid w:val="00FC48FE"/>
    <w:rsid w:val="00FC6F56"/>
    <w:rsid w:val="00FC7CE5"/>
    <w:rsid w:val="00FD43AC"/>
    <w:rsid w:val="00FD66C1"/>
    <w:rsid w:val="00FE0569"/>
    <w:rsid w:val="00FE087C"/>
    <w:rsid w:val="00FE79A0"/>
    <w:rsid w:val="00FF0939"/>
    <w:rsid w:val="00FF4BD4"/>
    <w:rsid w:val="00FF6A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aliases w:val="Bayer Caption,NDA,IB Caption,Medical Caption,Caption-FUSA,Bayer Normal Char,Bayer Normal Zchn Zchn,NDA Char,Légende eCTD,Caption Char1,Bayer Caption Char1,IB Caption Char,Medical Caption Char Char Char,Medical Caption Char,Beschriftung1,12+"/>
    <w:basedOn w:val="Normal"/>
    <w:next w:val="Normal"/>
    <w:link w:val="CaptionChar"/>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character" w:customStyle="1" w:styleId="CaptionChar">
    <w:name w:val="Caption Char"/>
    <w:aliases w:val="Bayer Caption Char,NDA Char1,IB Caption Char1,Medical Caption Char1,Caption-FUSA Char,Bayer Normal Char Char,Bayer Normal Zchn Zchn Char,NDA Char Char,Légende eCTD Char,Caption Char1 Char,Bayer Caption Char1 Char,IB Caption Char Char"/>
    <w:link w:val="Caption"/>
    <w:locked/>
    <w:rsid w:val="00F426B0"/>
    <w:rPr>
      <w:rFonts w:ascii="Cambria" w:hAnsi="Cambria"/>
      <w:i/>
      <w:iCs/>
      <w:color w:val="44546A" w:themeColor="text2"/>
      <w:sz w:val="18"/>
      <w:szCs w:val="18"/>
    </w:rPr>
  </w:style>
  <w:style w:type="paragraph" w:customStyle="1" w:styleId="Tabletext0">
    <w:name w:val="Table text"/>
    <w:basedOn w:val="Normal"/>
    <w:link w:val="TabletextChar"/>
    <w:qFormat/>
    <w:rsid w:val="007E4F42"/>
    <w:pPr>
      <w:spacing w:before="120" w:line="240" w:lineRule="atLeast"/>
    </w:pPr>
    <w:rPr>
      <w:rFonts w:eastAsia="Cambria" w:cs="Times New Roman"/>
      <w:sz w:val="19"/>
      <w:szCs w:val="22"/>
    </w:rPr>
  </w:style>
  <w:style w:type="character" w:customStyle="1" w:styleId="TabletextChar">
    <w:name w:val="Table text Char"/>
    <w:basedOn w:val="DefaultParagraphFont"/>
    <w:link w:val="Tabletext0"/>
    <w:rsid w:val="007E4F42"/>
    <w:rPr>
      <w:rFonts w:ascii="Cambria" w:eastAsia="Cambria" w:hAnsi="Cambria" w:cs="Times New Roman"/>
      <w:sz w:val="19"/>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australia-canada-singapore-switzerland-united-kingdom-access-consortium" TargetMode="External"/><Relationship Id="rId26" Type="http://schemas.openxmlformats.org/officeDocument/2006/relationships/image" Target="media/image10.emf"/><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s://www.tga.gov.au/publication/risk-management-plans-medicines-and-biologicals" TargetMode="External"/><Relationship Id="rId47" Type="http://schemas.openxmlformats.org/officeDocument/2006/relationships/image" Target="media/image27.emf"/><Relationship Id="rId50" Type="http://schemas.openxmlformats.org/officeDocument/2006/relationships/header" Target="header3.xml"/><Relationship Id="rId55"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ga.gov.au/products/medicines/find-information-about-medicine/prescribing-medicines-pregnancy-database" TargetMode="Externa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emf"/><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hyperlink" Target="https://www.tga.gov.au/resources/resource/guidance/risk-management-plans-medicines-and-biologicals/australia-specific-annex-eu-rmp" TargetMode="External"/><Relationship Id="rId53" Type="http://schemas.openxmlformats.org/officeDocument/2006/relationships/hyperlink" Target="https://www.tga.gov.au" TargetMode="External"/><Relationship Id="rId5" Type="http://schemas.openxmlformats.org/officeDocument/2006/relationships/webSettings" Target="webSettings.xml"/><Relationship Id="rId19" Type="http://schemas.openxmlformats.org/officeDocument/2006/relationships/hyperlink" Target="https://www.tga.gov.au/how-we-regulate/supply-therapeutic-good-0/supply-prescription-medicine/application-process/prescription-medicines-registration-proces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hyperlink" Target="https://www.tga.gov.au/tgas-risk-management-approach" TargetMode="External"/><Relationship Id="rId48" Type="http://schemas.openxmlformats.org/officeDocument/2006/relationships/image" Target="media/image28.emf"/><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tga.gov.au/" TargetMode="External"/><Relationship Id="rId17" Type="http://schemas.openxmlformats.org/officeDocument/2006/relationships/hyperlink" Target="https://www.tga.gov.au/obstetric-drug-information-services" TargetMode="External"/><Relationship Id="rId25" Type="http://schemas.openxmlformats.org/officeDocument/2006/relationships/image" Target="media/image9.png"/><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26.emf"/><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tga.gov.au/black-triangle-schem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hyperlink" Target="https://www.ebs.tga.gov.au/" TargetMode="External"/><Relationship Id="rId5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15.emf"/><Relationship Id="rId44" Type="http://schemas.openxmlformats.org/officeDocument/2006/relationships/hyperlink" Target="https://www.tga.gov.au/resources/resource/guidance/risk-management-plans-medicines-and-biologicals/australia-specific-annex-eu-rmp" TargetMode="External"/><Relationship Id="rId52" Type="http://schemas.openxmlformats.org/officeDocument/2006/relationships/hyperlink" Target="mailto:info@tga.gov.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journals.lww.com/menopausejournal/fulltext/2024/06000/design_of_oasis_1_and_2__phase_3_clinical_trials.8.aspx"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40</Pages>
  <Words>10149</Words>
  <Characters>56956</Characters>
  <Application>Microsoft Office Word</Application>
  <DocSecurity>0</DocSecurity>
  <Lines>1302</Lines>
  <Paragraphs>649</Paragraphs>
  <ScaleCrop>false</ScaleCrop>
  <HeadingPairs>
    <vt:vector size="2" baseType="variant">
      <vt:variant>
        <vt:lpstr>Title</vt:lpstr>
      </vt:variant>
      <vt:variant>
        <vt:i4>1</vt:i4>
      </vt:variant>
    </vt:vector>
  </HeadingPairs>
  <TitlesOfParts>
    <vt:vector size="1" baseType="lpstr">
      <vt:lpstr>Australian public assessment report for Lynkuet</vt:lpstr>
    </vt:vector>
  </TitlesOfParts>
  <Company>Department of Health, Disability and Ageing</Company>
  <LinksUpToDate>false</LinksUpToDate>
  <CharactersWithSpaces>66593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Lynkuet</dc:title>
  <dc:subject>Prescription medicines</dc:subject>
  <dc:creator>Therapeutic Goods Administration</dc:creator>
  <cp:keywords/>
  <dc:description/>
  <cp:lastModifiedBy>LACK, Janet</cp:lastModifiedBy>
  <cp:revision>4</cp:revision>
  <dcterms:created xsi:type="dcterms:W3CDTF">2026-03-03T04:17:00Z</dcterms:created>
  <dcterms:modified xsi:type="dcterms:W3CDTF">2026-03-03T04:52:00Z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cd3e8b9-ffed-43a8-b7f4-cc2fa0382d36_Enabled">
    <vt:lpwstr>true</vt:lpwstr>
  </property>
  <property fmtid="{D5CDD505-2E9C-101B-9397-08002B2CF9AE}" pid="3" name="MSIP_Label_7cd3e8b9-ffed-43a8-b7f4-cc2fa0382d36_SetDate">
    <vt:lpwstr>2025-12-01T03:47:48Z</vt:lpwstr>
  </property>
  <property fmtid="{D5CDD505-2E9C-101B-9397-08002B2CF9AE}" pid="4" name="MSIP_Label_7cd3e8b9-ffed-43a8-b7f4-cc2fa0382d36_Method">
    <vt:lpwstr>Privileged</vt:lpwstr>
  </property>
  <property fmtid="{D5CDD505-2E9C-101B-9397-08002B2CF9AE}" pid="5" name="MSIP_Label_7cd3e8b9-ffed-43a8-b7f4-cc2fa0382d36_Name">
    <vt:lpwstr>O</vt:lpwstr>
  </property>
  <property fmtid="{D5CDD505-2E9C-101B-9397-08002B2CF9AE}" pid="6" name="MSIP_Label_7cd3e8b9-ffed-43a8-b7f4-cc2fa0382d36_SiteId">
    <vt:lpwstr>34a3929c-73cf-4954-abfe-147dc3517892</vt:lpwstr>
  </property>
  <property fmtid="{D5CDD505-2E9C-101B-9397-08002B2CF9AE}" pid="7" name="MSIP_Label_7cd3e8b9-ffed-43a8-b7f4-cc2fa0382d36_ActionId">
    <vt:lpwstr>93f14edd-a9cd-485c-a7b7-a4a0dd485297</vt:lpwstr>
  </property>
  <property fmtid="{D5CDD505-2E9C-101B-9397-08002B2CF9AE}" pid="8" name="MSIP_Label_7cd3e8b9-ffed-43a8-b7f4-cc2fa0382d36_ContentBits">
    <vt:lpwstr>3</vt:lpwstr>
  </property>
  <property fmtid="{D5CDD505-2E9C-101B-9397-08002B2CF9AE}" pid="9" name="MSIP_Label_7cd3e8b9-ffed-43a8-b7f4-cc2fa0382d36_Tag">
    <vt:lpwstr>10, 0, 1, 1</vt:lpwstr>
  </property>
  <property fmtid="{D5CDD505-2E9C-101B-9397-08002B2CF9AE}" pid="10" name="MSIP_Label_7f850223-87a8-40c3-9eb2-432606efca2a_Enabled">
    <vt:lpwstr>true</vt:lpwstr>
  </property>
  <property fmtid="{D5CDD505-2E9C-101B-9397-08002B2CF9AE}" pid="11" name="MSIP_Label_7f850223-87a8-40c3-9eb2-432606efca2a_SetDate">
    <vt:lpwstr>2026-02-27T01:58:22Z</vt:lpwstr>
  </property>
  <property fmtid="{D5CDD505-2E9C-101B-9397-08002B2CF9AE}" pid="12" name="MSIP_Label_7f850223-87a8-40c3-9eb2-432606efca2a_Method">
    <vt:lpwstr>Standard</vt:lpwstr>
  </property>
  <property fmtid="{D5CDD505-2E9C-101B-9397-08002B2CF9AE}" pid="13" name="MSIP_Label_7f850223-87a8-40c3-9eb2-432606efca2a_Name">
    <vt:lpwstr>7f850223-87a8-40c3-9eb2-432606efca2a</vt:lpwstr>
  </property>
  <property fmtid="{D5CDD505-2E9C-101B-9397-08002B2CF9AE}" pid="14" name="MSIP_Label_7f850223-87a8-40c3-9eb2-432606efca2a_SiteId">
    <vt:lpwstr>fcb2b37b-5da0-466b-9b83-0014b67a7c78</vt:lpwstr>
  </property>
  <property fmtid="{D5CDD505-2E9C-101B-9397-08002B2CF9AE}" pid="15" name="MSIP_Label_7f850223-87a8-40c3-9eb2-432606efca2a_ActionId">
    <vt:lpwstr>65c09fab-3b5a-4add-855e-df58467e5cdf</vt:lpwstr>
  </property>
  <property fmtid="{D5CDD505-2E9C-101B-9397-08002B2CF9AE}" pid="16" name="MSIP_Label_7f850223-87a8-40c3-9eb2-432606efca2a_ContentBits">
    <vt:lpwstr>0</vt:lpwstr>
  </property>
  <property fmtid="{D5CDD505-2E9C-101B-9397-08002B2CF9AE}" pid="17" name="MSIP_Label_7f850223-87a8-40c3-9eb2-432606efca2a_Tag">
    <vt:lpwstr>10, 3, 0, 1</vt:lpwstr>
  </property>
</Properties>
</file>