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07B3" w14:textId="77777777" w:rsidR="00375DF3" w:rsidRPr="00D67495" w:rsidRDefault="00375DF3" w:rsidP="00FE0388">
      <w:pPr>
        <w:tabs>
          <w:tab w:val="left" w:pos="284"/>
        </w:tabs>
        <w:spacing w:after="480" w:line="240" w:lineRule="auto"/>
        <w:rPr>
          <w:rFonts w:asciiTheme="majorHAnsi" w:hAnsiTheme="majorHAnsi"/>
        </w:rPr>
      </w:pPr>
      <w:r w:rsidRPr="00D67495">
        <w:rPr>
          <w:rFonts w:asciiTheme="majorHAnsi" w:hAnsiTheme="majorHAnsi"/>
          <w:noProof/>
          <w:color w:val="2B579A"/>
          <w:shd w:val="clear" w:color="auto" w:fill="E6E6E6"/>
          <w:lang w:eastAsia="en-AU"/>
        </w:rPr>
        <mc:AlternateContent>
          <mc:Choice Requires="wps">
            <w:drawing>
              <wp:inline distT="0" distB="0" distL="0" distR="0" wp14:anchorId="1C70A5BD" wp14:editId="289311F6">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2168A" w14:textId="77777777" w:rsidR="00375DF3" w:rsidRPr="009F4BAE" w:rsidRDefault="00BE2A26" w:rsidP="00375DF3">
                            <w:pPr>
                              <w:spacing w:after="0"/>
                              <w:rPr>
                                <w:rFonts w:ascii="Wingdings 3" w:hAnsi="Wingdings 3"/>
                                <w:sz w:val="24"/>
                              </w:rPr>
                            </w:pPr>
                            <w:r w:rsidRPr="009F4BAE">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C70A5BD"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EB2168A" w14:textId="77777777" w:rsidR="00375DF3" w:rsidRPr="009F4BAE" w:rsidRDefault="00BE2A26" w:rsidP="00375DF3">
                      <w:pPr>
                        <w:spacing w:after="0"/>
                        <w:rPr>
                          <w:rFonts w:ascii="Wingdings 3" w:hAnsi="Wingdings 3"/>
                          <w:sz w:val="24"/>
                        </w:rPr>
                      </w:pPr>
                      <w:r w:rsidRPr="009F4BAE">
                        <w:rPr>
                          <w:rFonts w:ascii="SimSun" w:eastAsia="SimSun" w:hAnsi="SimSun" w:cs="Arial" w:hint="eastAsia"/>
                          <w:sz w:val="40"/>
                        </w:rPr>
                        <w:t>▼</w:t>
                      </w:r>
                    </w:p>
                  </w:txbxContent>
                </v:textbox>
                <w10:anchorlock/>
              </v:shape>
            </w:pict>
          </mc:Fallback>
        </mc:AlternateContent>
      </w:r>
      <w:r w:rsidR="001A3992" w:rsidRPr="00D67495">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D67495">
          <w:rPr>
            <w:rStyle w:val="Hyperlink"/>
            <w:rFonts w:asciiTheme="majorHAnsi" w:hAnsiTheme="majorHAnsi"/>
          </w:rPr>
          <w:t>www.tga.gov.au/reporting-problems</w:t>
        </w:r>
      </w:hyperlink>
      <w:r w:rsidRPr="00D67495">
        <w:rPr>
          <w:rFonts w:asciiTheme="majorHAnsi" w:hAnsiTheme="majorHAnsi"/>
        </w:rPr>
        <w:t>.</w:t>
      </w:r>
    </w:p>
    <w:p w14:paraId="1FC8943A" w14:textId="2DB02A7F" w:rsidR="00B14FDE" w:rsidRDefault="006018AE" w:rsidP="00FE0388">
      <w:pPr>
        <w:pStyle w:val="Heading1"/>
        <w:numPr>
          <w:ilvl w:val="0"/>
          <w:numId w:val="0"/>
        </w:numPr>
        <w:spacing w:after="120"/>
        <w:jc w:val="center"/>
        <w:rPr>
          <w:rFonts w:eastAsia="SimSun"/>
        </w:rPr>
      </w:pPr>
      <w:bookmarkStart w:id="0" w:name="_Ref173749682"/>
      <w:r w:rsidRPr="00D67495">
        <w:rPr>
          <w:rFonts w:eastAsia="SimSun"/>
        </w:rPr>
        <w:t>Australian P</w:t>
      </w:r>
      <w:r w:rsidR="0021200F" w:rsidRPr="00D67495">
        <w:rPr>
          <w:rFonts w:eastAsia="SimSun"/>
        </w:rPr>
        <w:t xml:space="preserve">roduct </w:t>
      </w:r>
      <w:r w:rsidRPr="00D67495">
        <w:rPr>
          <w:rFonts w:eastAsia="SimSun"/>
        </w:rPr>
        <w:t>I</w:t>
      </w:r>
      <w:r w:rsidR="0021200F" w:rsidRPr="00D67495">
        <w:rPr>
          <w:rFonts w:eastAsia="SimSun"/>
        </w:rPr>
        <w:t>nformation</w:t>
      </w:r>
      <w:r w:rsidRPr="00D67495">
        <w:rPr>
          <w:rFonts w:eastAsia="SimSun"/>
        </w:rPr>
        <w:t xml:space="preserve"> –</w:t>
      </w:r>
    </w:p>
    <w:p w14:paraId="0233468E" w14:textId="4807D8F8" w:rsidR="006018AE" w:rsidRPr="00D67495" w:rsidRDefault="00C17814" w:rsidP="00FE0388">
      <w:pPr>
        <w:pStyle w:val="Heading1"/>
        <w:numPr>
          <w:ilvl w:val="0"/>
          <w:numId w:val="0"/>
        </w:numPr>
        <w:spacing w:before="0" w:after="240"/>
        <w:jc w:val="center"/>
        <w:rPr>
          <w:rFonts w:eastAsia="SimSun"/>
        </w:rPr>
      </w:pPr>
      <w:r w:rsidRPr="00D67495">
        <w:rPr>
          <w:rFonts w:eastAsia="SimSun"/>
        </w:rPr>
        <w:t>lynkuet</w:t>
      </w:r>
      <w:r w:rsidRPr="007F59D9">
        <w:rPr>
          <w:rFonts w:eastAsia="SimSun"/>
          <w:vertAlign w:val="superscript"/>
        </w:rPr>
        <w:t>®</w:t>
      </w:r>
      <w:r w:rsidR="00AF238D" w:rsidRPr="00D67495">
        <w:rPr>
          <w:rFonts w:eastAsia="SimSun"/>
        </w:rPr>
        <w:t xml:space="preserve"> </w:t>
      </w:r>
      <w:r w:rsidR="006018AE" w:rsidRPr="00D67495">
        <w:rPr>
          <w:rFonts w:eastAsia="SimSun"/>
        </w:rPr>
        <w:t>(</w:t>
      </w:r>
      <w:r w:rsidRPr="00D67495">
        <w:rPr>
          <w:rFonts w:eastAsia="SimSun"/>
        </w:rPr>
        <w:t>elinzanetant</w:t>
      </w:r>
      <w:r w:rsidR="006018AE" w:rsidRPr="00D67495">
        <w:rPr>
          <w:rFonts w:eastAsia="SimSun"/>
        </w:rPr>
        <w:t>)</w:t>
      </w:r>
      <w:bookmarkEnd w:id="0"/>
    </w:p>
    <w:p w14:paraId="6DB233C2" w14:textId="77777777" w:rsidR="0059154D" w:rsidRPr="00D67495" w:rsidRDefault="0059154D" w:rsidP="00FE0388">
      <w:pPr>
        <w:rPr>
          <w:rFonts w:asciiTheme="majorHAnsi" w:hAnsiTheme="majorHAnsi"/>
        </w:rPr>
      </w:pPr>
    </w:p>
    <w:p w14:paraId="042677FA" w14:textId="77777777" w:rsidR="001A3992" w:rsidRPr="00D67495" w:rsidRDefault="001A3992" w:rsidP="00FE0388">
      <w:pPr>
        <w:pStyle w:val="Heading1"/>
        <w:spacing w:before="0" w:after="120"/>
      </w:pPr>
      <w:r w:rsidRPr="00D67495">
        <w:t>Name of the medicine</w:t>
      </w:r>
    </w:p>
    <w:p w14:paraId="6E866F5D" w14:textId="5B231F82" w:rsidR="00C17814" w:rsidRPr="00D67495" w:rsidRDefault="00C17814" w:rsidP="00FE0388">
      <w:pPr>
        <w:rPr>
          <w:rFonts w:asciiTheme="majorHAnsi" w:hAnsiTheme="majorHAnsi"/>
        </w:rPr>
      </w:pPr>
      <w:r w:rsidRPr="00D67495">
        <w:rPr>
          <w:rFonts w:asciiTheme="majorHAnsi" w:hAnsiTheme="majorHAnsi"/>
        </w:rPr>
        <w:t xml:space="preserve"> </w:t>
      </w:r>
      <w:proofErr w:type="spellStart"/>
      <w:r w:rsidRPr="00D67495">
        <w:rPr>
          <w:rFonts w:asciiTheme="majorHAnsi" w:hAnsiTheme="majorHAnsi"/>
        </w:rPr>
        <w:t>elinzanetant</w:t>
      </w:r>
      <w:proofErr w:type="spellEnd"/>
    </w:p>
    <w:p w14:paraId="52D562C0" w14:textId="77777777" w:rsidR="001A3992" w:rsidRPr="00D67495" w:rsidRDefault="001A3992" w:rsidP="00FE0388">
      <w:pPr>
        <w:pStyle w:val="Heading1"/>
        <w:spacing w:before="0" w:after="120"/>
      </w:pPr>
      <w:r w:rsidRPr="00D67495">
        <w:t>Qualitative and quantitative composition</w:t>
      </w:r>
    </w:p>
    <w:p w14:paraId="372E502E" w14:textId="7F12A855" w:rsidR="00C17814" w:rsidRPr="00D67495" w:rsidRDefault="00C17814" w:rsidP="00FE0388">
      <w:pPr>
        <w:rPr>
          <w:rFonts w:asciiTheme="majorHAnsi" w:hAnsiTheme="majorHAnsi" w:cstheme="minorHAnsi"/>
        </w:rPr>
      </w:pPr>
      <w:r w:rsidRPr="00D67495">
        <w:rPr>
          <w:rFonts w:asciiTheme="majorHAnsi" w:hAnsiTheme="majorHAnsi" w:cstheme="minorHAnsi"/>
        </w:rPr>
        <w:t>Each capsule contains 60</w:t>
      </w:r>
      <w:r w:rsidR="00D8360F">
        <w:rPr>
          <w:rFonts w:asciiTheme="majorHAnsi" w:hAnsiTheme="majorHAnsi" w:cstheme="minorHAnsi"/>
        </w:rPr>
        <w:t xml:space="preserve"> </w:t>
      </w:r>
      <w:r w:rsidRPr="00D67495">
        <w:rPr>
          <w:rFonts w:asciiTheme="majorHAnsi" w:hAnsiTheme="majorHAnsi" w:cstheme="minorHAnsi"/>
        </w:rPr>
        <w:t xml:space="preserve">mg of </w:t>
      </w:r>
      <w:proofErr w:type="spellStart"/>
      <w:r w:rsidRPr="00D67495">
        <w:rPr>
          <w:rFonts w:asciiTheme="majorHAnsi" w:hAnsiTheme="majorHAnsi" w:cstheme="minorHAnsi"/>
        </w:rPr>
        <w:t>elinzanetant</w:t>
      </w:r>
      <w:proofErr w:type="spellEnd"/>
    </w:p>
    <w:p w14:paraId="1BF21341" w14:textId="605B2324" w:rsidR="00C17814" w:rsidRPr="00D67495" w:rsidRDefault="00C17814" w:rsidP="00FE0388">
      <w:pPr>
        <w:rPr>
          <w:rFonts w:asciiTheme="majorHAnsi" w:hAnsiTheme="majorHAnsi" w:cstheme="minorHAnsi"/>
        </w:rPr>
      </w:pPr>
      <w:r w:rsidRPr="00D67495">
        <w:rPr>
          <w:rFonts w:asciiTheme="majorHAnsi" w:hAnsiTheme="majorHAnsi" w:cstheme="minorHAnsi"/>
        </w:rPr>
        <w:t>Excipient with known effect</w:t>
      </w:r>
      <w:r w:rsidR="00214425">
        <w:rPr>
          <w:rFonts w:asciiTheme="majorHAnsi" w:hAnsiTheme="majorHAnsi" w:cstheme="minorHAnsi"/>
        </w:rPr>
        <w:t>s</w:t>
      </w:r>
      <w:r w:rsidR="00D8360F">
        <w:rPr>
          <w:rFonts w:asciiTheme="majorHAnsi" w:hAnsiTheme="majorHAnsi" w:cstheme="minorHAnsi"/>
        </w:rPr>
        <w:t>:</w:t>
      </w:r>
      <w:r w:rsidRPr="00D67495">
        <w:rPr>
          <w:rFonts w:asciiTheme="majorHAnsi" w:hAnsiTheme="majorHAnsi" w:cstheme="minorHAnsi"/>
        </w:rPr>
        <w:t xml:space="preserve"> </w:t>
      </w:r>
      <w:r w:rsidR="00C67214" w:rsidRPr="00D67495">
        <w:rPr>
          <w:rFonts w:asciiTheme="majorHAnsi" w:hAnsiTheme="majorHAnsi" w:cstheme="minorHAnsi"/>
        </w:rPr>
        <w:t>soya bean products</w:t>
      </w:r>
    </w:p>
    <w:p w14:paraId="5F3A41AC" w14:textId="6F646572" w:rsidR="005B2812" w:rsidRPr="00D67495" w:rsidRDefault="005B2812" w:rsidP="00FE0388">
      <w:pPr>
        <w:rPr>
          <w:rFonts w:asciiTheme="majorHAnsi" w:hAnsiTheme="majorHAnsi" w:cstheme="minorHAnsi"/>
        </w:rPr>
      </w:pPr>
      <w:r w:rsidRPr="00D67495">
        <w:rPr>
          <w:rFonts w:asciiTheme="majorHAnsi" w:hAnsiTheme="majorHAnsi" w:cstheme="minorHAnsi"/>
        </w:rPr>
        <w:t>For the full list of excipients, see Section 6.1</w:t>
      </w:r>
      <w:r w:rsidR="00A17748">
        <w:rPr>
          <w:rFonts w:asciiTheme="majorHAnsi" w:hAnsiTheme="majorHAnsi" w:cstheme="minorHAnsi"/>
        </w:rPr>
        <w:t xml:space="preserve"> </w:t>
      </w:r>
      <w:r w:rsidR="00AB6C05" w:rsidRPr="004C55F0">
        <w:rPr>
          <w:rFonts w:asciiTheme="majorHAnsi" w:hAnsiTheme="majorHAnsi" w:cstheme="minorHAnsi"/>
        </w:rPr>
        <w:fldChar w:fldCharType="begin"/>
      </w:r>
      <w:r w:rsidR="00AB6C05">
        <w:rPr>
          <w:rFonts w:asciiTheme="majorHAnsi" w:hAnsiTheme="majorHAnsi" w:cstheme="minorHAnsi"/>
        </w:rPr>
        <w:instrText xml:space="preserve"> REF _Ref171429360 \h </w:instrText>
      </w:r>
      <w:r w:rsidR="004C55F0">
        <w:rPr>
          <w:rFonts w:asciiTheme="majorHAnsi" w:hAnsiTheme="majorHAnsi" w:cstheme="minorHAnsi"/>
        </w:rPr>
        <w:instrText xml:space="preserve"> \* MERGEFORMAT </w:instrText>
      </w:r>
      <w:r w:rsidR="00AB6C05" w:rsidRPr="004C55F0">
        <w:rPr>
          <w:rFonts w:asciiTheme="majorHAnsi" w:hAnsiTheme="majorHAnsi" w:cstheme="minorHAnsi"/>
        </w:rPr>
      </w:r>
      <w:r w:rsidR="00AB6C05" w:rsidRPr="004C55F0">
        <w:rPr>
          <w:rFonts w:asciiTheme="majorHAnsi" w:hAnsiTheme="majorHAnsi" w:cstheme="minorHAnsi"/>
        </w:rPr>
        <w:fldChar w:fldCharType="separate"/>
      </w:r>
      <w:r w:rsidR="00D06091" w:rsidRPr="00D06091">
        <w:rPr>
          <w:rFonts w:asciiTheme="majorHAnsi" w:hAnsiTheme="majorHAnsi" w:cstheme="minorHAnsi"/>
        </w:rPr>
        <w:t>List of excipients</w:t>
      </w:r>
      <w:r w:rsidR="00AB6C05" w:rsidRPr="004C55F0">
        <w:rPr>
          <w:rFonts w:asciiTheme="majorHAnsi" w:hAnsiTheme="majorHAnsi" w:cstheme="minorHAnsi"/>
        </w:rPr>
        <w:fldChar w:fldCharType="end"/>
      </w:r>
      <w:r w:rsidRPr="00D67495">
        <w:rPr>
          <w:rFonts w:asciiTheme="majorHAnsi" w:hAnsiTheme="majorHAnsi" w:cstheme="minorHAnsi"/>
        </w:rPr>
        <w:t xml:space="preserve">. </w:t>
      </w:r>
    </w:p>
    <w:p w14:paraId="58F63D8C" w14:textId="77777777" w:rsidR="001A3992" w:rsidRPr="00D67495" w:rsidRDefault="001A3992" w:rsidP="00FE0388">
      <w:pPr>
        <w:pStyle w:val="Heading1"/>
        <w:spacing w:before="0" w:after="120"/>
      </w:pPr>
      <w:r w:rsidRPr="00D67495">
        <w:t>Pharmaceutical form</w:t>
      </w:r>
    </w:p>
    <w:p w14:paraId="303AE238" w14:textId="22C1F773" w:rsidR="004C46EB" w:rsidRPr="00D67495" w:rsidRDefault="00E67732" w:rsidP="00FE0388">
      <w:pPr>
        <w:rPr>
          <w:rFonts w:asciiTheme="majorHAnsi" w:hAnsiTheme="majorHAnsi"/>
        </w:rPr>
      </w:pPr>
      <w:r w:rsidRPr="00D67495">
        <w:rPr>
          <w:rFonts w:asciiTheme="majorHAnsi" w:hAnsiTheme="majorHAnsi"/>
        </w:rPr>
        <w:t>Opaque red, oblong soft capsules</w:t>
      </w:r>
      <w:r w:rsidRPr="00D67495" w:rsidDel="00E67732">
        <w:rPr>
          <w:rFonts w:asciiTheme="majorHAnsi" w:hAnsiTheme="majorHAnsi"/>
        </w:rPr>
        <w:t xml:space="preserve">, size 20 </w:t>
      </w:r>
      <w:r w:rsidRPr="00D67495">
        <w:rPr>
          <w:rFonts w:asciiTheme="majorHAnsi" w:hAnsiTheme="majorHAnsi"/>
        </w:rPr>
        <w:t>with white printing of “EZN60”.</w:t>
      </w:r>
    </w:p>
    <w:p w14:paraId="79A40A6F" w14:textId="77777777" w:rsidR="001A3992" w:rsidRPr="00D67495" w:rsidRDefault="001A3992" w:rsidP="00FE0388">
      <w:pPr>
        <w:pStyle w:val="Heading1"/>
        <w:spacing w:before="0" w:after="120"/>
      </w:pPr>
      <w:r w:rsidRPr="00D67495">
        <w:t>Clinical particulars</w:t>
      </w:r>
    </w:p>
    <w:p w14:paraId="253137B7" w14:textId="77777777" w:rsidR="001A3992" w:rsidRPr="00D67495" w:rsidRDefault="001A3992" w:rsidP="00FE0388">
      <w:pPr>
        <w:pStyle w:val="Heading2"/>
        <w:spacing w:before="0" w:after="120"/>
      </w:pPr>
      <w:r w:rsidRPr="00D67495">
        <w:t xml:space="preserve">Therapeutic indications </w:t>
      </w:r>
    </w:p>
    <w:p w14:paraId="7482BBFC" w14:textId="174D4E0E" w:rsidR="00C17814" w:rsidRPr="000F0EB7" w:rsidRDefault="00697DD6" w:rsidP="00FE0388">
      <w:pPr>
        <w:rPr>
          <w:rFonts w:ascii="Cambria" w:hAnsi="Cambria"/>
        </w:rPr>
      </w:pPr>
      <w:r w:rsidRPr="000F0EB7">
        <w:rPr>
          <w:rFonts w:ascii="Cambria" w:hAnsi="Cambria"/>
        </w:rPr>
        <w:t xml:space="preserve">LYNKUET is indicated for the treatment of moderate to severe vasomotor symptoms (VMS) associated with menopause (see </w:t>
      </w:r>
      <w:r w:rsidR="00AB6C05" w:rsidRPr="000F0EB7">
        <w:rPr>
          <w:rFonts w:ascii="Cambria" w:hAnsi="Cambria"/>
        </w:rPr>
        <w:t xml:space="preserve">Section 5.1 </w:t>
      </w:r>
      <w:r w:rsidR="00AB6C05" w:rsidRPr="000F0EB7">
        <w:rPr>
          <w:rFonts w:ascii="Cambria" w:hAnsi="Cambria"/>
          <w:color w:val="2B579A"/>
          <w:shd w:val="clear" w:color="auto" w:fill="E6E6E6"/>
        </w:rPr>
        <w:fldChar w:fldCharType="begin"/>
      </w:r>
      <w:r w:rsidR="00AB6C05" w:rsidRPr="000F0EB7">
        <w:rPr>
          <w:rFonts w:ascii="Cambria" w:hAnsi="Cambria"/>
        </w:rPr>
        <w:instrText xml:space="preserve"> REF _Ref171429212 \h </w:instrText>
      </w:r>
      <w:r w:rsidR="000F0EB7">
        <w:rPr>
          <w:rFonts w:ascii="Cambria" w:hAnsi="Cambria"/>
          <w:color w:val="2B579A"/>
          <w:shd w:val="clear" w:color="auto" w:fill="E6E6E6"/>
        </w:rPr>
        <w:instrText xml:space="preserve"> \* MERGEFORMAT </w:instrText>
      </w:r>
      <w:r w:rsidR="00AB6C05" w:rsidRPr="000F0EB7">
        <w:rPr>
          <w:rFonts w:ascii="Cambria" w:hAnsi="Cambria"/>
          <w:color w:val="2B579A"/>
          <w:shd w:val="clear" w:color="auto" w:fill="E6E6E6"/>
        </w:rPr>
      </w:r>
      <w:r w:rsidR="00AB6C05" w:rsidRPr="000F0EB7">
        <w:rPr>
          <w:rFonts w:ascii="Cambria" w:hAnsi="Cambria"/>
          <w:color w:val="2B579A"/>
          <w:shd w:val="clear" w:color="auto" w:fill="E6E6E6"/>
        </w:rPr>
        <w:fldChar w:fldCharType="separate"/>
      </w:r>
      <w:r w:rsidR="00D06091" w:rsidRPr="00D06091">
        <w:rPr>
          <w:rFonts w:ascii="Cambria" w:hAnsi="Cambria"/>
        </w:rPr>
        <w:t>Pharmacodynamic properties</w:t>
      </w:r>
      <w:r w:rsidR="00AB6C05" w:rsidRPr="000F0EB7">
        <w:rPr>
          <w:rFonts w:ascii="Cambria" w:hAnsi="Cambria"/>
          <w:color w:val="2B579A"/>
          <w:shd w:val="clear" w:color="auto" w:fill="E6E6E6"/>
        </w:rPr>
        <w:fldChar w:fldCharType="end"/>
      </w:r>
      <w:r w:rsidR="004752D3" w:rsidRPr="00212015">
        <w:rPr>
          <w:rFonts w:ascii="Cambria" w:hAnsi="Cambria"/>
        </w:rPr>
        <w:t xml:space="preserve"> – Clinical Trials</w:t>
      </w:r>
      <w:r w:rsidRPr="000F0EB7">
        <w:rPr>
          <w:rFonts w:ascii="Cambria" w:hAnsi="Cambria"/>
        </w:rPr>
        <w:t>).</w:t>
      </w:r>
    </w:p>
    <w:p w14:paraId="6C3336D4" w14:textId="77777777" w:rsidR="001A3992" w:rsidRPr="00D67495" w:rsidRDefault="001A3992" w:rsidP="00FE0388">
      <w:pPr>
        <w:pStyle w:val="Heading2"/>
        <w:spacing w:before="0" w:after="120"/>
      </w:pPr>
      <w:r w:rsidRPr="00D67495">
        <w:t xml:space="preserve">Dose and method of administration </w:t>
      </w:r>
    </w:p>
    <w:p w14:paraId="06E77C9B" w14:textId="4663BA7F" w:rsidR="00C17814" w:rsidRPr="00D67495" w:rsidRDefault="00697DD6" w:rsidP="00FE0388">
      <w:pPr>
        <w:rPr>
          <w:rFonts w:asciiTheme="majorHAnsi" w:hAnsiTheme="majorHAnsi" w:cstheme="minorHAnsi"/>
        </w:rPr>
      </w:pPr>
      <w:r w:rsidRPr="00D67495">
        <w:rPr>
          <w:rFonts w:asciiTheme="majorHAnsi" w:hAnsiTheme="majorHAnsi" w:cstheme="minorHAnsi"/>
        </w:rPr>
        <w:t>For oral use.</w:t>
      </w:r>
    </w:p>
    <w:p w14:paraId="5AE339F7" w14:textId="0B844EEF" w:rsidR="00697DD6" w:rsidRPr="00D67495" w:rsidRDefault="00697DD6" w:rsidP="00FE0388">
      <w:pPr>
        <w:rPr>
          <w:rFonts w:asciiTheme="majorHAnsi" w:hAnsiTheme="majorHAnsi" w:cstheme="minorHAnsi"/>
        </w:rPr>
      </w:pPr>
      <w:r w:rsidRPr="00D67495">
        <w:rPr>
          <w:rFonts w:asciiTheme="majorHAnsi" w:hAnsiTheme="majorHAnsi" w:cstheme="minorHAnsi"/>
        </w:rPr>
        <w:t>The capsules should be swallowed whole with water. The capsules should not be cut, chewed or crushed.</w:t>
      </w:r>
    </w:p>
    <w:p w14:paraId="481B6C9C" w14:textId="77777777" w:rsidR="00697DD6" w:rsidRPr="00D67495" w:rsidRDefault="00697DD6" w:rsidP="00FE0388">
      <w:pPr>
        <w:pStyle w:val="Default"/>
        <w:rPr>
          <w:rFonts w:asciiTheme="majorHAnsi" w:hAnsiTheme="majorHAnsi" w:cstheme="minorHAnsi"/>
          <w:sz w:val="22"/>
          <w:szCs w:val="22"/>
        </w:rPr>
      </w:pPr>
      <w:r w:rsidRPr="00D67495">
        <w:rPr>
          <w:rFonts w:asciiTheme="majorHAnsi" w:hAnsiTheme="majorHAnsi" w:cstheme="minorHAnsi"/>
          <w:sz w:val="22"/>
          <w:szCs w:val="22"/>
        </w:rPr>
        <w:t xml:space="preserve">The recommended daily dose is 120 mg </w:t>
      </w:r>
      <w:proofErr w:type="spellStart"/>
      <w:r w:rsidRPr="00D67495">
        <w:rPr>
          <w:rFonts w:asciiTheme="majorHAnsi" w:hAnsiTheme="majorHAnsi" w:cstheme="minorHAnsi"/>
          <w:sz w:val="22"/>
          <w:szCs w:val="22"/>
        </w:rPr>
        <w:t>elinzanetant</w:t>
      </w:r>
      <w:proofErr w:type="spellEnd"/>
      <w:r w:rsidRPr="00D67495">
        <w:rPr>
          <w:rFonts w:asciiTheme="majorHAnsi" w:hAnsiTheme="majorHAnsi" w:cstheme="minorHAnsi"/>
          <w:sz w:val="22"/>
          <w:szCs w:val="22"/>
        </w:rPr>
        <w:t xml:space="preserve"> (two 60 mg capsules) taken orally once daily at bedtime. </w:t>
      </w:r>
    </w:p>
    <w:p w14:paraId="6EDEFD1A" w14:textId="2C6AB1A2" w:rsidR="005440C1" w:rsidRDefault="00697DD6" w:rsidP="00FE0388">
      <w:pPr>
        <w:rPr>
          <w:rFonts w:asciiTheme="majorHAnsi" w:hAnsiTheme="majorHAnsi" w:cstheme="minorHAnsi"/>
        </w:rPr>
      </w:pPr>
      <w:r w:rsidRPr="00D67495">
        <w:rPr>
          <w:rFonts w:asciiTheme="majorHAnsi" w:hAnsiTheme="majorHAnsi" w:cstheme="minorHAnsi"/>
        </w:rPr>
        <w:t>The capsules can be taken with or without food.</w:t>
      </w:r>
    </w:p>
    <w:p w14:paraId="658F831C" w14:textId="77777777" w:rsidR="00236EDF" w:rsidRPr="00236EDF" w:rsidRDefault="00236EDF" w:rsidP="00FE0388">
      <w:pPr>
        <w:rPr>
          <w:rFonts w:asciiTheme="majorHAnsi" w:hAnsiTheme="majorHAnsi" w:cstheme="minorHAnsi"/>
        </w:rPr>
      </w:pPr>
      <w:r w:rsidRPr="00236EDF">
        <w:rPr>
          <w:rFonts w:asciiTheme="majorHAnsi" w:hAnsiTheme="majorHAnsi" w:cstheme="minorHAnsi"/>
        </w:rPr>
        <w:t xml:space="preserve">The benefit and duration of treatment with LYNKUET should be periodically assessed based on the natural history and course of the vasomotor symptoms (VMS) associated with menopause. No clinical data beyond a treatment period of 12 months are available (see Section 5.1 Pharmacodynamic Properties – Clinical Trials). </w:t>
      </w:r>
    </w:p>
    <w:p w14:paraId="66FB354B" w14:textId="1358E61B" w:rsidR="00236EDF" w:rsidRPr="00B70977" w:rsidRDefault="000C1FA4" w:rsidP="00FE0388">
      <w:pPr>
        <w:rPr>
          <w:rFonts w:asciiTheme="majorHAnsi" w:hAnsiTheme="majorHAnsi" w:cstheme="minorHAnsi"/>
        </w:rPr>
      </w:pPr>
      <w:r w:rsidRPr="000C1FA4">
        <w:rPr>
          <w:rFonts w:asciiTheme="majorHAnsi" w:hAnsiTheme="majorHAnsi" w:cstheme="minorHAnsi"/>
        </w:rPr>
        <w:lastRenderedPageBreak/>
        <w:t xml:space="preserve">Liver function testing is recommended before starting treatment with </w:t>
      </w:r>
      <w:proofErr w:type="spellStart"/>
      <w:r w:rsidRPr="000C1FA4">
        <w:rPr>
          <w:rFonts w:asciiTheme="majorHAnsi" w:hAnsiTheme="majorHAnsi" w:cstheme="minorHAnsi"/>
        </w:rPr>
        <w:t>elinzanetant</w:t>
      </w:r>
      <w:proofErr w:type="spellEnd"/>
      <w:r w:rsidRPr="000C1FA4">
        <w:rPr>
          <w:rFonts w:asciiTheme="majorHAnsi" w:hAnsiTheme="majorHAnsi" w:cstheme="minorHAnsi"/>
        </w:rPr>
        <w:t>. Liver function testing should be performed if symptoms suggestive of liver injury occur</w:t>
      </w:r>
      <w:r>
        <w:rPr>
          <w:rFonts w:asciiTheme="majorHAnsi" w:hAnsiTheme="majorHAnsi" w:cstheme="minorHAnsi"/>
        </w:rPr>
        <w:t xml:space="preserve"> </w:t>
      </w:r>
      <w:r w:rsidR="00236EDF" w:rsidRPr="00B70977">
        <w:rPr>
          <w:rFonts w:asciiTheme="majorHAnsi" w:hAnsiTheme="majorHAnsi" w:cstheme="minorHAnsi"/>
        </w:rPr>
        <w:t>(see Section 4.4 Special warnings and precautions for use).</w:t>
      </w:r>
    </w:p>
    <w:p w14:paraId="0954A4D5" w14:textId="22F5FE75" w:rsidR="0008169D" w:rsidRDefault="0008169D" w:rsidP="00FE0388">
      <w:pPr>
        <w:pStyle w:val="Heading3"/>
        <w:spacing w:before="0" w:after="120"/>
        <w:ind w:left="0"/>
      </w:pPr>
      <w:r>
        <w:t>Special populations:</w:t>
      </w:r>
    </w:p>
    <w:p w14:paraId="2D09D594" w14:textId="02CCE286" w:rsidR="00FC119B" w:rsidRDefault="00FC119B" w:rsidP="00FE0388">
      <w:pPr>
        <w:pStyle w:val="Heading4"/>
        <w:keepNext w:val="0"/>
        <w:keepLines w:val="0"/>
      </w:pPr>
      <w:r>
        <w:t>Co-administration with moderate CYP3A4 inhibitors</w:t>
      </w:r>
    </w:p>
    <w:p w14:paraId="44E3FA8A" w14:textId="45512186" w:rsidR="00FC119B" w:rsidRPr="00FC119B" w:rsidRDefault="00FC119B" w:rsidP="00FE0388">
      <w:pPr>
        <w:ind w:left="227"/>
        <w:rPr>
          <w:rFonts w:ascii="Cambria" w:hAnsi="Cambria"/>
        </w:rPr>
      </w:pPr>
      <w:r>
        <w:rPr>
          <w:rFonts w:ascii="Cambria" w:hAnsi="Cambria"/>
        </w:rPr>
        <w:t xml:space="preserve">The recommended daily dose when used with moderate CYP3A4 inhibitors is 60 mg </w:t>
      </w:r>
      <w:proofErr w:type="spellStart"/>
      <w:r>
        <w:rPr>
          <w:rFonts w:ascii="Cambria" w:hAnsi="Cambria"/>
        </w:rPr>
        <w:t>elinzanetant</w:t>
      </w:r>
      <w:proofErr w:type="spellEnd"/>
      <w:r>
        <w:rPr>
          <w:rFonts w:ascii="Cambria" w:hAnsi="Cambria"/>
        </w:rPr>
        <w:t xml:space="preserve"> (one 60 mg capsule) taken orally once daily at bedtime (see </w:t>
      </w:r>
      <w:r w:rsidR="002C5A69">
        <w:rPr>
          <w:rFonts w:ascii="Cambria" w:hAnsi="Cambria"/>
        </w:rPr>
        <w:t>S</w:t>
      </w:r>
      <w:r>
        <w:rPr>
          <w:rFonts w:ascii="Cambria" w:hAnsi="Cambria"/>
        </w:rPr>
        <w:t>ection 4.5 I</w:t>
      </w:r>
      <w:r w:rsidRPr="00FC119B">
        <w:rPr>
          <w:rFonts w:ascii="Cambria" w:hAnsi="Cambria"/>
        </w:rPr>
        <w:t>nteractions with other medicines and other forms of interactions</w:t>
      </w:r>
      <w:r>
        <w:rPr>
          <w:rFonts w:ascii="Cambria" w:hAnsi="Cambria"/>
        </w:rPr>
        <w:t>). After discontinuation of the moderate inhibitor (after 3 to 5 half-lives of the inhibitor)</w:t>
      </w:r>
      <w:r w:rsidR="00AF05AA">
        <w:rPr>
          <w:rFonts w:ascii="Cambria" w:hAnsi="Cambria"/>
        </w:rPr>
        <w:t>,</w:t>
      </w:r>
      <w:r>
        <w:rPr>
          <w:rFonts w:ascii="Cambria" w:hAnsi="Cambria"/>
        </w:rPr>
        <w:t xml:space="preserve"> LYNKUET should be used at the usual dose of 120 mg once daily. </w:t>
      </w:r>
    </w:p>
    <w:p w14:paraId="1016572C" w14:textId="1BB852FE" w:rsidR="008209CD" w:rsidRPr="00D67495" w:rsidRDefault="008209CD" w:rsidP="00FE0388">
      <w:pPr>
        <w:pStyle w:val="Heading4"/>
      </w:pPr>
      <w:r w:rsidRPr="00D67495">
        <w:t xml:space="preserve">Use in hepatic impairment </w:t>
      </w:r>
    </w:p>
    <w:p w14:paraId="441AD9CC" w14:textId="079E7989" w:rsidR="008209CD" w:rsidRPr="00D67495" w:rsidRDefault="008209CD" w:rsidP="00FE0388">
      <w:pPr>
        <w:pStyle w:val="Default"/>
        <w:ind w:left="227"/>
        <w:rPr>
          <w:rFonts w:asciiTheme="majorHAnsi" w:hAnsiTheme="majorHAnsi"/>
          <w:color w:val="auto"/>
          <w:sz w:val="22"/>
          <w:szCs w:val="22"/>
        </w:rPr>
      </w:pPr>
      <w:r w:rsidRPr="00D67495">
        <w:rPr>
          <w:rFonts w:asciiTheme="majorHAnsi" w:hAnsiTheme="majorHAnsi"/>
          <w:color w:val="auto"/>
          <w:sz w:val="22"/>
          <w:szCs w:val="22"/>
        </w:rPr>
        <w:t xml:space="preserve">No clinically relevant increase in </w:t>
      </w:r>
      <w:proofErr w:type="spellStart"/>
      <w:r w:rsidRPr="00D67495">
        <w:rPr>
          <w:rFonts w:asciiTheme="majorHAnsi" w:hAnsiTheme="majorHAnsi"/>
          <w:color w:val="auto"/>
          <w:sz w:val="22"/>
          <w:szCs w:val="22"/>
        </w:rPr>
        <w:t>elinzanetant</w:t>
      </w:r>
      <w:proofErr w:type="spellEnd"/>
      <w:r w:rsidRPr="00D67495">
        <w:rPr>
          <w:rFonts w:asciiTheme="majorHAnsi" w:hAnsiTheme="majorHAnsi"/>
          <w:color w:val="auto"/>
          <w:sz w:val="22"/>
          <w:szCs w:val="22"/>
        </w:rPr>
        <w:t xml:space="preserve"> exposure was observed in patients with mild chronic hepatic impairment. In a clinical pharmacokinetic study, moderate hepatic impairment increased the exposure of </w:t>
      </w:r>
      <w:proofErr w:type="spellStart"/>
      <w:proofErr w:type="gramStart"/>
      <w:r w:rsidRPr="00D67495">
        <w:rPr>
          <w:rFonts w:asciiTheme="majorHAnsi" w:hAnsiTheme="majorHAnsi"/>
          <w:color w:val="auto"/>
          <w:sz w:val="22"/>
          <w:szCs w:val="22"/>
        </w:rPr>
        <w:t>elinzanetant</w:t>
      </w:r>
      <w:proofErr w:type="spellEnd"/>
      <w:proofErr w:type="gramEnd"/>
      <w:r w:rsidRPr="00D67495">
        <w:rPr>
          <w:rFonts w:asciiTheme="majorHAnsi" w:hAnsiTheme="majorHAnsi"/>
          <w:color w:val="auto"/>
          <w:sz w:val="22"/>
          <w:szCs w:val="22"/>
        </w:rPr>
        <w:t xml:space="preserve"> and no clinical data are available in these patients. Elinzanetant has not been studied in individuals with severe chronic hepatic impairment (see </w:t>
      </w:r>
      <w:r w:rsidR="002C5A69">
        <w:rPr>
          <w:rFonts w:asciiTheme="majorHAnsi" w:hAnsiTheme="majorHAnsi"/>
          <w:color w:val="auto"/>
          <w:sz w:val="22"/>
          <w:szCs w:val="22"/>
        </w:rPr>
        <w:t>S</w:t>
      </w:r>
      <w:r w:rsidRPr="00D67495">
        <w:rPr>
          <w:rFonts w:asciiTheme="majorHAnsi" w:hAnsiTheme="majorHAnsi"/>
          <w:color w:val="auto"/>
          <w:sz w:val="22"/>
          <w:szCs w:val="22"/>
        </w:rPr>
        <w:t xml:space="preserve">ection </w:t>
      </w:r>
      <w:r w:rsidR="002C5A69">
        <w:rPr>
          <w:rFonts w:asciiTheme="majorHAnsi" w:hAnsiTheme="majorHAnsi"/>
          <w:color w:val="auto"/>
          <w:sz w:val="22"/>
          <w:szCs w:val="22"/>
        </w:rPr>
        <w:t xml:space="preserve">5.2 </w:t>
      </w:r>
      <w:r w:rsidRPr="00D67495">
        <w:rPr>
          <w:rFonts w:asciiTheme="majorHAnsi" w:hAnsiTheme="majorHAnsi"/>
          <w:color w:val="auto"/>
          <w:sz w:val="22"/>
          <w:szCs w:val="22"/>
        </w:rPr>
        <w:t xml:space="preserve">Pharmacokinetic properties). </w:t>
      </w:r>
    </w:p>
    <w:p w14:paraId="55224465" w14:textId="77777777" w:rsidR="008209CD" w:rsidRPr="00D67495" w:rsidRDefault="008209CD" w:rsidP="00FE0388">
      <w:pPr>
        <w:pStyle w:val="Default"/>
        <w:ind w:left="227"/>
        <w:rPr>
          <w:rFonts w:asciiTheme="majorHAnsi" w:hAnsiTheme="majorHAnsi"/>
          <w:color w:val="auto"/>
          <w:sz w:val="22"/>
          <w:szCs w:val="22"/>
        </w:rPr>
      </w:pPr>
      <w:r w:rsidRPr="00D67495">
        <w:rPr>
          <w:rFonts w:asciiTheme="majorHAnsi" w:hAnsiTheme="majorHAnsi"/>
          <w:color w:val="auto"/>
          <w:sz w:val="22"/>
          <w:szCs w:val="22"/>
        </w:rPr>
        <w:t xml:space="preserve">No dose modification is required for individuals with mild (Child-Pugh A) chronic hepatic impairment. </w:t>
      </w:r>
    </w:p>
    <w:p w14:paraId="1EA6B601" w14:textId="77777777" w:rsidR="008209CD" w:rsidRPr="00D67495" w:rsidRDefault="008209CD" w:rsidP="00FE0388">
      <w:pPr>
        <w:pStyle w:val="Default"/>
        <w:ind w:left="227"/>
        <w:rPr>
          <w:rFonts w:asciiTheme="majorHAnsi" w:hAnsiTheme="majorHAnsi"/>
          <w:color w:val="auto"/>
          <w:sz w:val="22"/>
          <w:szCs w:val="22"/>
        </w:rPr>
      </w:pPr>
    </w:p>
    <w:p w14:paraId="61C8DFE7" w14:textId="65A92168" w:rsidR="004752D3" w:rsidRPr="004752D3" w:rsidRDefault="004752D3" w:rsidP="00FE0388">
      <w:pPr>
        <w:ind w:left="227"/>
        <w:rPr>
          <w:rFonts w:asciiTheme="majorHAnsi" w:hAnsiTheme="majorHAnsi"/>
        </w:rPr>
      </w:pPr>
      <w:r w:rsidRPr="004752D3">
        <w:rPr>
          <w:rFonts w:asciiTheme="majorHAnsi" w:hAnsiTheme="majorHAnsi"/>
        </w:rPr>
        <w:t>Elinzanetant is not recommended for use in individuals with moderate (Child-Pugh B)</w:t>
      </w:r>
      <w:r>
        <w:rPr>
          <w:rFonts w:asciiTheme="majorHAnsi" w:hAnsiTheme="majorHAnsi"/>
        </w:rPr>
        <w:t xml:space="preserve"> </w:t>
      </w:r>
      <w:r w:rsidRPr="004752D3">
        <w:rPr>
          <w:rFonts w:asciiTheme="majorHAnsi" w:hAnsiTheme="majorHAnsi"/>
        </w:rPr>
        <w:t>chronic hepatic impairment.</w:t>
      </w:r>
    </w:p>
    <w:p w14:paraId="7CA0F9A2" w14:textId="4CBC69E5" w:rsidR="008209CD" w:rsidRPr="00D67495" w:rsidRDefault="004752D3" w:rsidP="00FE0388">
      <w:pPr>
        <w:ind w:left="227"/>
        <w:rPr>
          <w:rFonts w:asciiTheme="majorHAnsi" w:hAnsiTheme="majorHAnsi"/>
        </w:rPr>
      </w:pPr>
      <w:r w:rsidRPr="004752D3">
        <w:rPr>
          <w:rFonts w:asciiTheme="majorHAnsi" w:hAnsiTheme="majorHAnsi"/>
        </w:rPr>
        <w:t>Elinzanetant is contraindicated for use in individuals with severe (Child-Pugh C)</w:t>
      </w:r>
      <w:r>
        <w:rPr>
          <w:rFonts w:asciiTheme="majorHAnsi" w:hAnsiTheme="majorHAnsi"/>
        </w:rPr>
        <w:t xml:space="preserve"> </w:t>
      </w:r>
      <w:r w:rsidRPr="004752D3">
        <w:rPr>
          <w:rFonts w:asciiTheme="majorHAnsi" w:hAnsiTheme="majorHAnsi"/>
        </w:rPr>
        <w:t>chronic hepatic impairment (see Section 4.3 Contraindications).</w:t>
      </w:r>
    </w:p>
    <w:p w14:paraId="4695C1AC" w14:textId="77777777" w:rsidR="008209CD" w:rsidRPr="00D67495" w:rsidRDefault="008209CD" w:rsidP="00FE0388">
      <w:pPr>
        <w:pStyle w:val="Heading4"/>
      </w:pPr>
      <w:r w:rsidRPr="00D67495">
        <w:t xml:space="preserve">Use in renal impairment </w:t>
      </w:r>
    </w:p>
    <w:p w14:paraId="7A33CD34" w14:textId="7FD50AFC" w:rsidR="008209CD" w:rsidRPr="00BA45BC" w:rsidRDefault="008209CD" w:rsidP="00FE0388">
      <w:pPr>
        <w:ind w:left="227"/>
        <w:rPr>
          <w:rFonts w:asciiTheme="majorHAnsi" w:hAnsiTheme="majorHAnsi"/>
        </w:rPr>
      </w:pPr>
      <w:r w:rsidRPr="00BA45BC">
        <w:rPr>
          <w:rFonts w:asciiTheme="majorHAnsi" w:hAnsiTheme="majorHAnsi"/>
        </w:rPr>
        <w:t xml:space="preserve">Population pharmacokinetic analysis of the clinical study data indicates similar total exposure of </w:t>
      </w:r>
      <w:proofErr w:type="spellStart"/>
      <w:r w:rsidRPr="00BA45BC">
        <w:rPr>
          <w:rFonts w:asciiTheme="majorHAnsi" w:hAnsiTheme="majorHAnsi"/>
        </w:rPr>
        <w:t>elinzanetant</w:t>
      </w:r>
      <w:proofErr w:type="spellEnd"/>
      <w:r w:rsidRPr="00BA45BC">
        <w:rPr>
          <w:rFonts w:asciiTheme="majorHAnsi" w:hAnsiTheme="majorHAnsi"/>
        </w:rPr>
        <w:t xml:space="preserve"> in patients with mild or moderate renal impairment compared to patients with normal renal function. The available data on </w:t>
      </w:r>
      <w:proofErr w:type="spellStart"/>
      <w:r w:rsidRPr="00BA45BC">
        <w:rPr>
          <w:rFonts w:asciiTheme="majorHAnsi" w:hAnsiTheme="majorHAnsi"/>
        </w:rPr>
        <w:t>elinzanetant</w:t>
      </w:r>
      <w:proofErr w:type="spellEnd"/>
      <w:r w:rsidRPr="00BA45BC">
        <w:rPr>
          <w:rFonts w:asciiTheme="majorHAnsi" w:hAnsiTheme="majorHAnsi"/>
        </w:rPr>
        <w:t xml:space="preserve"> pharmacokinetics in patients with severe renal impairment is limited (see </w:t>
      </w:r>
      <w:r w:rsidR="002C5A69">
        <w:rPr>
          <w:rFonts w:asciiTheme="majorHAnsi" w:hAnsiTheme="majorHAnsi"/>
        </w:rPr>
        <w:t>S</w:t>
      </w:r>
      <w:r w:rsidRPr="00BA45BC">
        <w:rPr>
          <w:rFonts w:asciiTheme="majorHAnsi" w:hAnsiTheme="majorHAnsi"/>
        </w:rPr>
        <w:t xml:space="preserve">ection </w:t>
      </w:r>
      <w:r w:rsidR="002C5A69">
        <w:rPr>
          <w:rFonts w:asciiTheme="majorHAnsi" w:hAnsiTheme="majorHAnsi"/>
        </w:rPr>
        <w:t xml:space="preserve">5.2 </w:t>
      </w:r>
      <w:r w:rsidRPr="00BA45BC">
        <w:rPr>
          <w:rFonts w:asciiTheme="majorHAnsi" w:hAnsiTheme="majorHAnsi"/>
        </w:rPr>
        <w:t xml:space="preserve">Pharmacokinetic properties). The pharmacokinetics of </w:t>
      </w:r>
      <w:proofErr w:type="spellStart"/>
      <w:r w:rsidRPr="00BA45BC">
        <w:rPr>
          <w:rFonts w:asciiTheme="majorHAnsi" w:hAnsiTheme="majorHAnsi"/>
        </w:rPr>
        <w:t>elinzanetant</w:t>
      </w:r>
      <w:proofErr w:type="spellEnd"/>
      <w:r w:rsidRPr="00BA45BC">
        <w:rPr>
          <w:rFonts w:asciiTheme="majorHAnsi" w:hAnsiTheme="majorHAnsi"/>
        </w:rPr>
        <w:t xml:space="preserve"> has not been studied in patients with end stage renal disease (estimated Glomerular Filtration Rate [eGFR] less than 15 ml/min/1.73 m</w:t>
      </w:r>
      <w:r w:rsidRPr="00BA45BC">
        <w:rPr>
          <w:rFonts w:asciiTheme="majorHAnsi" w:hAnsiTheme="majorHAnsi"/>
          <w:vertAlign w:val="superscript"/>
        </w:rPr>
        <w:t>2</w:t>
      </w:r>
      <w:r w:rsidRPr="00BA45BC">
        <w:rPr>
          <w:rFonts w:asciiTheme="majorHAnsi" w:hAnsiTheme="majorHAnsi"/>
        </w:rPr>
        <w:t>). No dose modification is required for individuals with mild or moderate (eGFR 30 to 89 ml/min/1.73m</w:t>
      </w:r>
      <w:r w:rsidRPr="00BA45BC">
        <w:rPr>
          <w:rFonts w:asciiTheme="majorHAnsi" w:hAnsiTheme="majorHAnsi"/>
          <w:vertAlign w:val="superscript"/>
        </w:rPr>
        <w:t>2</w:t>
      </w:r>
      <w:r w:rsidRPr="00BA45BC">
        <w:rPr>
          <w:rFonts w:asciiTheme="majorHAnsi" w:hAnsiTheme="majorHAnsi"/>
        </w:rPr>
        <w:t xml:space="preserve">) renal impairment. </w:t>
      </w:r>
    </w:p>
    <w:p w14:paraId="2D772B04" w14:textId="4C59A366" w:rsidR="008209CD" w:rsidRPr="00D67495" w:rsidRDefault="008209CD" w:rsidP="00FE0388">
      <w:pPr>
        <w:ind w:left="227"/>
      </w:pPr>
      <w:r w:rsidRPr="00BA45BC">
        <w:rPr>
          <w:rFonts w:asciiTheme="majorHAnsi" w:hAnsiTheme="majorHAnsi"/>
        </w:rPr>
        <w:t>Elinzanetant is not recommended for use in individuals with severe (eGFR less than 30</w:t>
      </w:r>
      <w:r w:rsidR="0070583A">
        <w:rPr>
          <w:rFonts w:asciiTheme="majorHAnsi" w:hAnsiTheme="majorHAnsi"/>
        </w:rPr>
        <w:t> </w:t>
      </w:r>
      <w:r w:rsidRPr="00BA45BC">
        <w:rPr>
          <w:rFonts w:asciiTheme="majorHAnsi" w:hAnsiTheme="majorHAnsi"/>
        </w:rPr>
        <w:t>ml/min/1.73 m</w:t>
      </w:r>
      <w:r w:rsidRPr="00BA45BC">
        <w:rPr>
          <w:rFonts w:asciiTheme="majorHAnsi" w:hAnsiTheme="majorHAnsi"/>
          <w:vertAlign w:val="superscript"/>
        </w:rPr>
        <w:t>2</w:t>
      </w:r>
      <w:r w:rsidRPr="00BA45BC">
        <w:rPr>
          <w:rFonts w:asciiTheme="majorHAnsi" w:hAnsiTheme="majorHAnsi"/>
        </w:rPr>
        <w:t>) renal impairment.</w:t>
      </w:r>
    </w:p>
    <w:p w14:paraId="4FB9F0F3" w14:textId="77777777" w:rsidR="008209CD" w:rsidRPr="00D67495" w:rsidRDefault="008209CD" w:rsidP="00FE0388">
      <w:pPr>
        <w:pStyle w:val="Heading4"/>
      </w:pPr>
      <w:r w:rsidRPr="00D67495">
        <w:t>Use in the elderly</w:t>
      </w:r>
    </w:p>
    <w:p w14:paraId="2B5D7278" w14:textId="77777777" w:rsidR="008209CD" w:rsidRPr="00D67495" w:rsidRDefault="008209CD" w:rsidP="00FE0388">
      <w:pPr>
        <w:ind w:left="227"/>
        <w:rPr>
          <w:rFonts w:asciiTheme="majorHAnsi" w:hAnsiTheme="majorHAnsi"/>
        </w:rPr>
      </w:pPr>
      <w:r w:rsidRPr="00D67495">
        <w:rPr>
          <w:rFonts w:asciiTheme="majorHAnsi" w:hAnsiTheme="majorHAnsi"/>
        </w:rPr>
        <w:t xml:space="preserve">The safety and efficacy of </w:t>
      </w:r>
      <w:proofErr w:type="spellStart"/>
      <w:r w:rsidRPr="00D67495">
        <w:rPr>
          <w:rFonts w:asciiTheme="majorHAnsi" w:hAnsiTheme="majorHAnsi"/>
        </w:rPr>
        <w:t>elinzanetant</w:t>
      </w:r>
      <w:proofErr w:type="spellEnd"/>
      <w:r w:rsidRPr="00D67495">
        <w:rPr>
          <w:rFonts w:asciiTheme="majorHAnsi" w:hAnsiTheme="majorHAnsi"/>
        </w:rPr>
        <w:t xml:space="preserve"> </w:t>
      </w:r>
      <w:proofErr w:type="gramStart"/>
      <w:r w:rsidRPr="00D67495">
        <w:rPr>
          <w:rFonts w:asciiTheme="majorHAnsi" w:hAnsiTheme="majorHAnsi"/>
        </w:rPr>
        <w:t>has</w:t>
      </w:r>
      <w:proofErr w:type="gramEnd"/>
      <w:r w:rsidRPr="00D67495">
        <w:rPr>
          <w:rFonts w:asciiTheme="majorHAnsi" w:hAnsiTheme="majorHAnsi"/>
        </w:rPr>
        <w:t xml:space="preserve"> not been established in women over 65 years of age.</w:t>
      </w:r>
    </w:p>
    <w:p w14:paraId="3AFD376B" w14:textId="77777777" w:rsidR="008209CD" w:rsidRPr="00D67495" w:rsidRDefault="008209CD" w:rsidP="00FE0388">
      <w:pPr>
        <w:pStyle w:val="Heading4"/>
      </w:pPr>
      <w:r w:rsidRPr="00D67495">
        <w:t>Paediatric use</w:t>
      </w:r>
    </w:p>
    <w:p w14:paraId="5B363821" w14:textId="3D448826" w:rsidR="00A54839" w:rsidRPr="000F0EB7" w:rsidRDefault="008209CD" w:rsidP="00FE0388">
      <w:pPr>
        <w:pStyle w:val="Default"/>
        <w:ind w:left="227"/>
        <w:rPr>
          <w:rFonts w:asciiTheme="majorHAnsi" w:hAnsiTheme="majorHAnsi"/>
          <w:sz w:val="22"/>
          <w:szCs w:val="22"/>
        </w:rPr>
      </w:pPr>
      <w:r w:rsidRPr="000F0EB7">
        <w:rPr>
          <w:rFonts w:asciiTheme="majorHAnsi" w:hAnsiTheme="majorHAnsi"/>
          <w:sz w:val="22"/>
          <w:szCs w:val="22"/>
        </w:rPr>
        <w:t xml:space="preserve">The safety and efficacy of </w:t>
      </w:r>
      <w:proofErr w:type="spellStart"/>
      <w:r w:rsidRPr="000F0EB7">
        <w:rPr>
          <w:rFonts w:asciiTheme="majorHAnsi" w:hAnsiTheme="majorHAnsi"/>
          <w:sz w:val="22"/>
          <w:szCs w:val="22"/>
        </w:rPr>
        <w:t>elinzanetant</w:t>
      </w:r>
      <w:proofErr w:type="spellEnd"/>
      <w:r w:rsidRPr="000F0EB7">
        <w:rPr>
          <w:rFonts w:asciiTheme="majorHAnsi" w:hAnsiTheme="majorHAnsi"/>
          <w:sz w:val="22"/>
          <w:szCs w:val="22"/>
        </w:rPr>
        <w:t xml:space="preserve"> </w:t>
      </w:r>
      <w:proofErr w:type="gramStart"/>
      <w:r w:rsidRPr="000F0EB7">
        <w:rPr>
          <w:rFonts w:asciiTheme="majorHAnsi" w:hAnsiTheme="majorHAnsi"/>
          <w:sz w:val="22"/>
          <w:szCs w:val="22"/>
        </w:rPr>
        <w:t>has</w:t>
      </w:r>
      <w:proofErr w:type="gramEnd"/>
      <w:r w:rsidRPr="000F0EB7">
        <w:rPr>
          <w:rFonts w:asciiTheme="majorHAnsi" w:hAnsiTheme="majorHAnsi"/>
          <w:sz w:val="22"/>
          <w:szCs w:val="22"/>
        </w:rPr>
        <w:t xml:space="preserve"> not been studied in children and adolescents below</w:t>
      </w:r>
      <w:r w:rsidR="000B44AE">
        <w:rPr>
          <w:rFonts w:asciiTheme="majorHAnsi" w:hAnsiTheme="majorHAnsi"/>
          <w:sz w:val="22"/>
          <w:szCs w:val="22"/>
        </w:rPr>
        <w:t xml:space="preserve"> </w:t>
      </w:r>
      <w:r w:rsidRPr="000F0EB7">
        <w:rPr>
          <w:rFonts w:asciiTheme="majorHAnsi" w:hAnsiTheme="majorHAnsi"/>
          <w:sz w:val="22"/>
          <w:szCs w:val="22"/>
        </w:rPr>
        <w:t>18 years of age.</w:t>
      </w:r>
    </w:p>
    <w:p w14:paraId="04F6A7EE" w14:textId="77777777" w:rsidR="00A54839" w:rsidRDefault="00A54839" w:rsidP="00FE0388">
      <w:pPr>
        <w:pStyle w:val="Default"/>
        <w:rPr>
          <w:rFonts w:asciiTheme="majorHAnsi" w:hAnsiTheme="majorHAnsi"/>
        </w:rPr>
      </w:pPr>
    </w:p>
    <w:p w14:paraId="5527155B" w14:textId="4A1439B5" w:rsidR="006742A0" w:rsidRPr="00D67495" w:rsidRDefault="006742A0" w:rsidP="00FE0388">
      <w:pPr>
        <w:pStyle w:val="Heading3"/>
        <w:ind w:left="0"/>
      </w:pPr>
      <w:r w:rsidRPr="00D67495">
        <w:lastRenderedPageBreak/>
        <w:t xml:space="preserve">Missed dose </w:t>
      </w:r>
    </w:p>
    <w:p w14:paraId="330F4F3B" w14:textId="576B37F9" w:rsidR="006742A0" w:rsidRPr="00D67495" w:rsidRDefault="006742A0" w:rsidP="00FE0388">
      <w:pPr>
        <w:rPr>
          <w:rFonts w:asciiTheme="majorHAnsi" w:hAnsiTheme="majorHAnsi" w:cstheme="minorHAnsi"/>
        </w:rPr>
      </w:pPr>
      <w:r w:rsidRPr="00D67495">
        <w:rPr>
          <w:rFonts w:asciiTheme="majorHAnsi" w:hAnsiTheme="majorHAnsi" w:cstheme="minorHAnsi"/>
        </w:rPr>
        <w:t>If a dose is missed at bedtime, the next dose should be taken as scheduled on the following day. Patients should not take two doses on the same day to make up for a missed dose.</w:t>
      </w:r>
    </w:p>
    <w:p w14:paraId="03CB4A92" w14:textId="45EF380E" w:rsidR="001A3992" w:rsidRPr="00D67495" w:rsidRDefault="001A3992" w:rsidP="00FE0388">
      <w:pPr>
        <w:pStyle w:val="Heading2"/>
        <w:spacing w:before="0" w:after="120"/>
      </w:pPr>
      <w:r w:rsidRPr="00D67495">
        <w:t>Contraindications</w:t>
      </w:r>
    </w:p>
    <w:p w14:paraId="67B9616D" w14:textId="77777777" w:rsidR="005055C8" w:rsidRDefault="005055C8" w:rsidP="00FE0388">
      <w:pPr>
        <w:rPr>
          <w:rFonts w:asciiTheme="majorHAnsi" w:hAnsiTheme="majorHAnsi"/>
        </w:rPr>
      </w:pPr>
      <w:r w:rsidRPr="005055C8">
        <w:rPr>
          <w:rFonts w:asciiTheme="majorHAnsi" w:hAnsiTheme="majorHAnsi"/>
        </w:rPr>
        <w:t>LYNKUET is contraindicated in:</w:t>
      </w:r>
    </w:p>
    <w:p w14:paraId="7DDFED9C" w14:textId="2B135CAF" w:rsidR="00FC3BB9" w:rsidRDefault="00FC3BB9" w:rsidP="00FE0388">
      <w:pPr>
        <w:pStyle w:val="ListParagraph"/>
        <w:numPr>
          <w:ilvl w:val="0"/>
          <w:numId w:val="11"/>
        </w:numPr>
        <w:rPr>
          <w:rFonts w:asciiTheme="majorHAnsi" w:hAnsiTheme="majorHAnsi"/>
        </w:rPr>
      </w:pPr>
      <w:r w:rsidRPr="005055C8">
        <w:rPr>
          <w:rFonts w:asciiTheme="majorHAnsi" w:hAnsiTheme="majorHAnsi"/>
        </w:rPr>
        <w:t xml:space="preserve">Patients with known hypersensitivity to </w:t>
      </w:r>
      <w:proofErr w:type="spellStart"/>
      <w:r w:rsidRPr="005055C8">
        <w:rPr>
          <w:rFonts w:asciiTheme="majorHAnsi" w:hAnsiTheme="majorHAnsi"/>
        </w:rPr>
        <w:t>elinzanetant</w:t>
      </w:r>
      <w:proofErr w:type="spellEnd"/>
      <w:r w:rsidRPr="005055C8">
        <w:rPr>
          <w:rFonts w:asciiTheme="majorHAnsi" w:hAnsiTheme="majorHAnsi"/>
        </w:rPr>
        <w:t xml:space="preserve"> or to any of the excipients in the formulation (see </w:t>
      </w:r>
      <w:r w:rsidR="00733348">
        <w:rPr>
          <w:rFonts w:asciiTheme="majorHAnsi" w:hAnsiTheme="majorHAnsi"/>
        </w:rPr>
        <w:t>S</w:t>
      </w:r>
      <w:r w:rsidRPr="005055C8">
        <w:rPr>
          <w:rFonts w:asciiTheme="majorHAnsi" w:hAnsiTheme="majorHAnsi"/>
        </w:rPr>
        <w:t>ection 6.1</w:t>
      </w:r>
      <w:r w:rsidR="00AB6C05" w:rsidRPr="005055C8">
        <w:rPr>
          <w:rFonts w:asciiTheme="majorHAnsi" w:hAnsiTheme="majorHAnsi"/>
        </w:rPr>
        <w:t xml:space="preserve"> </w:t>
      </w:r>
      <w:r w:rsidR="00AB6C05" w:rsidRPr="005055C8">
        <w:rPr>
          <w:rFonts w:asciiTheme="majorHAnsi" w:hAnsiTheme="majorHAnsi"/>
          <w:color w:val="2B579A"/>
          <w:shd w:val="clear" w:color="auto" w:fill="E6E6E6"/>
        </w:rPr>
        <w:fldChar w:fldCharType="begin"/>
      </w:r>
      <w:r w:rsidR="00AB6C05" w:rsidRPr="005055C8">
        <w:rPr>
          <w:rFonts w:asciiTheme="majorHAnsi" w:hAnsiTheme="majorHAnsi"/>
        </w:rPr>
        <w:instrText xml:space="preserve"> REF _Ref171429360 \h </w:instrText>
      </w:r>
      <w:r w:rsidR="000F0EB7" w:rsidRPr="005055C8">
        <w:rPr>
          <w:rFonts w:asciiTheme="majorHAnsi" w:hAnsiTheme="majorHAnsi"/>
          <w:color w:val="2B579A"/>
          <w:shd w:val="clear" w:color="auto" w:fill="E6E6E6"/>
        </w:rPr>
        <w:instrText xml:space="preserve"> \* MERGEFORMAT </w:instrText>
      </w:r>
      <w:r w:rsidR="00AB6C05" w:rsidRPr="005055C8">
        <w:rPr>
          <w:rFonts w:asciiTheme="majorHAnsi" w:hAnsiTheme="majorHAnsi"/>
          <w:color w:val="2B579A"/>
          <w:shd w:val="clear" w:color="auto" w:fill="E6E6E6"/>
        </w:rPr>
      </w:r>
      <w:r w:rsidR="00AB6C05" w:rsidRPr="005055C8">
        <w:rPr>
          <w:rFonts w:asciiTheme="majorHAnsi" w:hAnsiTheme="majorHAnsi"/>
          <w:color w:val="2B579A"/>
          <w:shd w:val="clear" w:color="auto" w:fill="E6E6E6"/>
        </w:rPr>
        <w:fldChar w:fldCharType="separate"/>
      </w:r>
      <w:r w:rsidR="00D06091" w:rsidRPr="00D06091">
        <w:rPr>
          <w:rFonts w:asciiTheme="majorHAnsi" w:hAnsiTheme="majorHAnsi" w:cstheme="minorHAnsi"/>
        </w:rPr>
        <w:t>List of excipients</w:t>
      </w:r>
      <w:r w:rsidR="00AB6C05" w:rsidRPr="005055C8">
        <w:rPr>
          <w:rFonts w:asciiTheme="majorHAnsi" w:hAnsiTheme="majorHAnsi"/>
          <w:color w:val="2B579A"/>
          <w:shd w:val="clear" w:color="auto" w:fill="E6E6E6"/>
        </w:rPr>
        <w:fldChar w:fldCharType="end"/>
      </w:r>
      <w:r w:rsidR="004C46EB" w:rsidRPr="005055C8">
        <w:rPr>
          <w:rFonts w:asciiTheme="majorHAnsi" w:hAnsiTheme="majorHAnsi"/>
        </w:rPr>
        <w:t>)</w:t>
      </w:r>
      <w:r w:rsidR="00616E96">
        <w:rPr>
          <w:rFonts w:asciiTheme="majorHAnsi" w:hAnsiTheme="majorHAnsi"/>
        </w:rPr>
        <w:t>.</w:t>
      </w:r>
    </w:p>
    <w:p w14:paraId="1C69F999" w14:textId="13D839B0" w:rsidR="005055C8" w:rsidRDefault="005055C8" w:rsidP="00FE0388">
      <w:pPr>
        <w:pStyle w:val="ListParagraph"/>
        <w:numPr>
          <w:ilvl w:val="0"/>
          <w:numId w:val="11"/>
        </w:numPr>
        <w:rPr>
          <w:rFonts w:asciiTheme="majorHAnsi" w:hAnsiTheme="majorHAnsi"/>
        </w:rPr>
      </w:pPr>
      <w:r w:rsidRPr="005055C8">
        <w:rPr>
          <w:rFonts w:asciiTheme="majorHAnsi" w:hAnsiTheme="majorHAnsi"/>
        </w:rPr>
        <w:t>Concomitant use of strong CYP3A4 inhibitors (see Sections 4.4 Special warnings and precautions for use and 4.5 Interactions with other medicines and other forms of interactions).</w:t>
      </w:r>
    </w:p>
    <w:p w14:paraId="4D2FFCD9" w14:textId="647EDC3D" w:rsidR="005055C8" w:rsidRDefault="005055C8" w:rsidP="00FE0388">
      <w:pPr>
        <w:pStyle w:val="ListParagraph"/>
        <w:numPr>
          <w:ilvl w:val="0"/>
          <w:numId w:val="11"/>
        </w:numPr>
        <w:rPr>
          <w:rFonts w:asciiTheme="majorHAnsi" w:hAnsiTheme="majorHAnsi"/>
        </w:rPr>
      </w:pPr>
      <w:r>
        <w:rPr>
          <w:rFonts w:asciiTheme="majorHAnsi" w:hAnsiTheme="majorHAnsi"/>
        </w:rPr>
        <w:t xml:space="preserve">Patients </w:t>
      </w:r>
      <w:r w:rsidRPr="005055C8">
        <w:rPr>
          <w:rFonts w:asciiTheme="majorHAnsi" w:hAnsiTheme="majorHAnsi"/>
        </w:rPr>
        <w:t xml:space="preserve">with pre-existing Class C (severe) chronic hepatic impairment (see </w:t>
      </w:r>
      <w:r>
        <w:rPr>
          <w:rFonts w:asciiTheme="majorHAnsi" w:hAnsiTheme="majorHAnsi"/>
        </w:rPr>
        <w:t>S</w:t>
      </w:r>
      <w:r w:rsidRPr="005055C8">
        <w:rPr>
          <w:rFonts w:asciiTheme="majorHAnsi" w:hAnsiTheme="majorHAnsi"/>
        </w:rPr>
        <w:t>ection 4.4 Special warnings and precautions for use).</w:t>
      </w:r>
    </w:p>
    <w:p w14:paraId="4BE028AA" w14:textId="5EB940AF" w:rsidR="005055C8" w:rsidRPr="005055C8" w:rsidRDefault="005055C8" w:rsidP="00FE0388">
      <w:pPr>
        <w:pStyle w:val="ListParagraph"/>
        <w:numPr>
          <w:ilvl w:val="0"/>
          <w:numId w:val="11"/>
        </w:numPr>
        <w:rPr>
          <w:rFonts w:asciiTheme="majorHAnsi" w:hAnsiTheme="majorHAnsi"/>
        </w:rPr>
      </w:pPr>
      <w:r w:rsidRPr="005055C8">
        <w:rPr>
          <w:rFonts w:asciiTheme="majorHAnsi" w:hAnsiTheme="majorHAnsi"/>
        </w:rPr>
        <w:t>Known or suspected pregnancy (see Section 4.6 Fertility, pregnancy and lactation).</w:t>
      </w:r>
      <w:r>
        <w:rPr>
          <w:rFonts w:asciiTheme="majorHAnsi" w:hAnsiTheme="majorHAnsi"/>
        </w:rPr>
        <w:br/>
      </w:r>
    </w:p>
    <w:p w14:paraId="28F877B7" w14:textId="77777777" w:rsidR="001A3992" w:rsidRPr="00D67495" w:rsidRDefault="00E74A56" w:rsidP="00FE0388">
      <w:pPr>
        <w:pStyle w:val="Heading2"/>
        <w:spacing w:before="0" w:after="120"/>
      </w:pPr>
      <w:bookmarkStart w:id="1" w:name="_Ref171430729"/>
      <w:r w:rsidRPr="00D67495">
        <w:t>Special warnings and p</w:t>
      </w:r>
      <w:r w:rsidR="001A3992" w:rsidRPr="00D67495">
        <w:t xml:space="preserve">recautions </w:t>
      </w:r>
      <w:r w:rsidRPr="00D67495">
        <w:t>for use</w:t>
      </w:r>
      <w:bookmarkEnd w:id="1"/>
    </w:p>
    <w:p w14:paraId="17C48E6E" w14:textId="736BCF79" w:rsidR="00CA2A7C" w:rsidRDefault="00CA2A7C" w:rsidP="00FE0388">
      <w:pPr>
        <w:pStyle w:val="Heading3"/>
        <w:ind w:left="0"/>
      </w:pPr>
      <w:r w:rsidRPr="00CA2A7C">
        <w:t>Concomitant use with other medicinal products</w:t>
      </w:r>
    </w:p>
    <w:p w14:paraId="36758C53" w14:textId="77777777" w:rsidR="00733348" w:rsidRPr="00733348" w:rsidRDefault="00733348" w:rsidP="00FE0388">
      <w:pPr>
        <w:rPr>
          <w:rFonts w:asciiTheme="majorHAnsi" w:hAnsiTheme="majorHAnsi"/>
        </w:rPr>
      </w:pPr>
      <w:r w:rsidRPr="00733348">
        <w:rPr>
          <w:rFonts w:asciiTheme="majorHAnsi" w:hAnsiTheme="majorHAnsi"/>
        </w:rPr>
        <w:t xml:space="preserve">CYP3A4 inhibitors may decrease the clearance of </w:t>
      </w:r>
      <w:proofErr w:type="spellStart"/>
      <w:r w:rsidRPr="00733348">
        <w:rPr>
          <w:rFonts w:asciiTheme="majorHAnsi" w:hAnsiTheme="majorHAnsi"/>
        </w:rPr>
        <w:t>elinzanetant</w:t>
      </w:r>
      <w:proofErr w:type="spellEnd"/>
      <w:r w:rsidRPr="00733348">
        <w:rPr>
          <w:rFonts w:asciiTheme="majorHAnsi" w:hAnsiTheme="majorHAnsi"/>
        </w:rPr>
        <w:t>, resulting in higher exposure:</w:t>
      </w:r>
    </w:p>
    <w:p w14:paraId="56950F83" w14:textId="7AA7BB38" w:rsidR="00733348" w:rsidRPr="00733348" w:rsidRDefault="00733348" w:rsidP="00FE0388">
      <w:pPr>
        <w:pStyle w:val="ListParagraph"/>
        <w:numPr>
          <w:ilvl w:val="0"/>
          <w:numId w:val="12"/>
        </w:numPr>
        <w:rPr>
          <w:rFonts w:asciiTheme="majorHAnsi" w:hAnsiTheme="majorHAnsi"/>
        </w:rPr>
      </w:pPr>
      <w:r w:rsidRPr="00733348">
        <w:rPr>
          <w:rFonts w:asciiTheme="majorHAnsi" w:hAnsiTheme="majorHAnsi"/>
        </w:rPr>
        <w:t>Strong CYP3A4 inhibitors: The concomitant use of LYNKUET with strong CYP3A4 inhibitors is contraindicated (see Sections 4.3 Contraindications and 4.5 Interactions with other medicines and other forms of interactions).</w:t>
      </w:r>
    </w:p>
    <w:p w14:paraId="2F80F9BF" w14:textId="7D510526" w:rsidR="00733348" w:rsidRPr="00733348" w:rsidRDefault="00733348" w:rsidP="00FE0388">
      <w:pPr>
        <w:pStyle w:val="ListParagraph"/>
        <w:numPr>
          <w:ilvl w:val="0"/>
          <w:numId w:val="12"/>
        </w:numPr>
        <w:rPr>
          <w:rFonts w:asciiTheme="majorHAnsi" w:hAnsiTheme="majorHAnsi"/>
        </w:rPr>
      </w:pPr>
      <w:r w:rsidRPr="00733348">
        <w:rPr>
          <w:rFonts w:asciiTheme="majorHAnsi" w:hAnsiTheme="majorHAnsi"/>
        </w:rPr>
        <w:t>Moderate CYP3A4 inhibitors: Reduce LYNKUET dosage when co-administered with moderate CYP3A4 inhibitors (see Sections 4.2 Dose and method of administration and 4.5 Interactions with other medicines and other forms of interactions).</w:t>
      </w:r>
    </w:p>
    <w:p w14:paraId="01845A1E" w14:textId="65C099B0" w:rsidR="00733348" w:rsidRPr="00D67495" w:rsidRDefault="00733348" w:rsidP="00FE0388">
      <w:pPr>
        <w:rPr>
          <w:rFonts w:asciiTheme="majorHAnsi" w:hAnsiTheme="majorHAnsi"/>
        </w:rPr>
      </w:pPr>
      <w:r w:rsidRPr="00733348">
        <w:rPr>
          <w:rFonts w:asciiTheme="majorHAnsi" w:hAnsiTheme="majorHAnsi"/>
        </w:rPr>
        <w:t xml:space="preserve">Moderate to strong CYP3A4 inducers (e.g., rifampicin, carbamazepine, phenobarbital, St. John’s Wort) reduce </w:t>
      </w:r>
      <w:proofErr w:type="spellStart"/>
      <w:r w:rsidRPr="00733348">
        <w:rPr>
          <w:rFonts w:asciiTheme="majorHAnsi" w:hAnsiTheme="majorHAnsi"/>
        </w:rPr>
        <w:t>elinzanetant</w:t>
      </w:r>
      <w:proofErr w:type="spellEnd"/>
      <w:r w:rsidRPr="00733348">
        <w:rPr>
          <w:rFonts w:asciiTheme="majorHAnsi" w:hAnsiTheme="majorHAnsi"/>
        </w:rPr>
        <w:t xml:space="preserve"> exposure and efficacy may be reduced. Monitor </w:t>
      </w:r>
      <w:proofErr w:type="spellStart"/>
      <w:r w:rsidRPr="00733348">
        <w:rPr>
          <w:rFonts w:asciiTheme="majorHAnsi" w:hAnsiTheme="majorHAnsi"/>
        </w:rPr>
        <w:t>elinzanetant</w:t>
      </w:r>
      <w:proofErr w:type="spellEnd"/>
      <w:r w:rsidRPr="00733348">
        <w:rPr>
          <w:rFonts w:asciiTheme="majorHAnsi" w:hAnsiTheme="majorHAnsi"/>
        </w:rPr>
        <w:t xml:space="preserve"> efficacy when co-administered with moderate to strong CYP3A4 inducers (see Section 4.5 Interactions with other medicines and other forms of interactions).</w:t>
      </w:r>
    </w:p>
    <w:p w14:paraId="492B3F0C" w14:textId="77777777" w:rsidR="00CA2A7C" w:rsidRPr="00CA2A7C" w:rsidRDefault="00CA2A7C" w:rsidP="00FE0388">
      <w:pPr>
        <w:pStyle w:val="Heading3"/>
        <w:ind w:left="0"/>
      </w:pPr>
      <w:r w:rsidRPr="00CA2A7C">
        <w:t xml:space="preserve">Liver Safety </w:t>
      </w:r>
    </w:p>
    <w:p w14:paraId="49B0A005" w14:textId="6DAAF2CC" w:rsidR="00733348" w:rsidRDefault="00CA2A7C" w:rsidP="00FE0388">
      <w:pPr>
        <w:rPr>
          <w:rFonts w:asciiTheme="majorHAnsi" w:hAnsiTheme="majorHAnsi"/>
        </w:rPr>
      </w:pPr>
      <w:r w:rsidRPr="00CA2A7C">
        <w:rPr>
          <w:rFonts w:asciiTheme="majorHAnsi" w:hAnsiTheme="majorHAnsi"/>
        </w:rPr>
        <w:t xml:space="preserve">Hepatotoxicity has been reported with the use of </w:t>
      </w:r>
      <w:r w:rsidR="003F5877">
        <w:rPr>
          <w:rFonts w:asciiTheme="majorHAnsi" w:hAnsiTheme="majorHAnsi"/>
        </w:rPr>
        <w:t xml:space="preserve">a </w:t>
      </w:r>
      <w:r w:rsidR="0007003A">
        <w:rPr>
          <w:rFonts w:asciiTheme="majorHAnsi" w:hAnsiTheme="majorHAnsi"/>
        </w:rPr>
        <w:t xml:space="preserve">different </w:t>
      </w:r>
      <w:r w:rsidRPr="00CA2A7C">
        <w:rPr>
          <w:rFonts w:asciiTheme="majorHAnsi" w:hAnsiTheme="majorHAnsi"/>
        </w:rPr>
        <w:t xml:space="preserve">NK-3 receptor antagonist. </w:t>
      </w:r>
    </w:p>
    <w:p w14:paraId="243D58C5" w14:textId="47502EF0" w:rsidR="006072DD" w:rsidRDefault="00CA2A7C" w:rsidP="00FE0388">
      <w:pPr>
        <w:rPr>
          <w:rFonts w:asciiTheme="majorHAnsi" w:hAnsiTheme="majorHAnsi"/>
        </w:rPr>
      </w:pPr>
      <w:r w:rsidRPr="00CA2A7C">
        <w:rPr>
          <w:rFonts w:asciiTheme="majorHAnsi" w:hAnsiTheme="majorHAnsi"/>
        </w:rPr>
        <w:t xml:space="preserve">In the clinical studies with </w:t>
      </w:r>
      <w:proofErr w:type="spellStart"/>
      <w:r w:rsidR="00741696">
        <w:rPr>
          <w:rFonts w:asciiTheme="majorHAnsi" w:hAnsiTheme="majorHAnsi"/>
        </w:rPr>
        <w:t>e</w:t>
      </w:r>
      <w:r w:rsidRPr="00CA2A7C">
        <w:rPr>
          <w:rFonts w:asciiTheme="majorHAnsi" w:hAnsiTheme="majorHAnsi"/>
        </w:rPr>
        <w:t>linzanetant</w:t>
      </w:r>
      <w:proofErr w:type="spellEnd"/>
      <w:r w:rsidRPr="00CA2A7C">
        <w:rPr>
          <w:rFonts w:asciiTheme="majorHAnsi" w:hAnsiTheme="majorHAnsi"/>
        </w:rPr>
        <w:t xml:space="preserve">, there have been no indications of hepatotoxicity so far. However, due to the limited number of patients who have been treated with </w:t>
      </w:r>
      <w:proofErr w:type="spellStart"/>
      <w:r w:rsidR="00741696">
        <w:rPr>
          <w:rFonts w:asciiTheme="majorHAnsi" w:hAnsiTheme="majorHAnsi"/>
        </w:rPr>
        <w:t>e</w:t>
      </w:r>
      <w:r w:rsidRPr="00CA2A7C">
        <w:rPr>
          <w:rFonts w:asciiTheme="majorHAnsi" w:hAnsiTheme="majorHAnsi"/>
        </w:rPr>
        <w:t>linzanetant</w:t>
      </w:r>
      <w:proofErr w:type="spellEnd"/>
      <w:r w:rsidRPr="00CA2A7C">
        <w:rPr>
          <w:rFonts w:asciiTheme="majorHAnsi" w:hAnsiTheme="majorHAnsi"/>
        </w:rPr>
        <w:t xml:space="preserve"> in clinical studies, any rare hepatic adverse effects cannot be completely excluded.</w:t>
      </w:r>
    </w:p>
    <w:p w14:paraId="21B33A2B" w14:textId="5FD808FC" w:rsidR="00733348" w:rsidRPr="00CA2A7C" w:rsidRDefault="0092427C" w:rsidP="00FE0388">
      <w:pPr>
        <w:rPr>
          <w:rFonts w:asciiTheme="majorHAnsi" w:hAnsiTheme="majorHAnsi"/>
        </w:rPr>
      </w:pPr>
      <w:r w:rsidRPr="0092427C">
        <w:rPr>
          <w:rFonts w:asciiTheme="majorHAnsi" w:hAnsiTheme="majorHAnsi"/>
        </w:rPr>
        <w:t xml:space="preserve">Liver function testing is recommended before starting treatment with </w:t>
      </w:r>
      <w:proofErr w:type="spellStart"/>
      <w:r w:rsidRPr="0092427C">
        <w:rPr>
          <w:rFonts w:asciiTheme="majorHAnsi" w:hAnsiTheme="majorHAnsi"/>
        </w:rPr>
        <w:t>elinzanetant</w:t>
      </w:r>
      <w:proofErr w:type="spellEnd"/>
      <w:r w:rsidRPr="0092427C">
        <w:rPr>
          <w:rFonts w:asciiTheme="majorHAnsi" w:hAnsiTheme="majorHAnsi"/>
        </w:rPr>
        <w:t>. Liver function testing should be performed if symptoms suggestive of liver injury occur.</w:t>
      </w:r>
    </w:p>
    <w:p w14:paraId="19822BB5" w14:textId="77777777" w:rsidR="00CA2A7C" w:rsidRPr="00CA2A7C" w:rsidRDefault="00CA2A7C" w:rsidP="00FE0388">
      <w:pPr>
        <w:pStyle w:val="Heading3"/>
        <w:ind w:left="0"/>
      </w:pPr>
      <w:r w:rsidRPr="00CA2A7C">
        <w:lastRenderedPageBreak/>
        <w:t>Patients with Impaired Liver Function</w:t>
      </w:r>
    </w:p>
    <w:p w14:paraId="0107E903" w14:textId="6B865677" w:rsidR="00CA2A7C" w:rsidRDefault="00CA2A7C" w:rsidP="00FE0388">
      <w:pPr>
        <w:rPr>
          <w:rFonts w:asciiTheme="majorHAnsi" w:hAnsiTheme="majorHAnsi"/>
        </w:rPr>
      </w:pPr>
      <w:r w:rsidRPr="00CA2A7C">
        <w:rPr>
          <w:rFonts w:asciiTheme="majorHAnsi" w:hAnsiTheme="majorHAnsi"/>
        </w:rPr>
        <w:t xml:space="preserve">The use of </w:t>
      </w:r>
      <w:r w:rsidR="00741696" w:rsidRPr="00CA2A7C">
        <w:rPr>
          <w:rFonts w:asciiTheme="majorHAnsi" w:hAnsiTheme="majorHAnsi"/>
        </w:rPr>
        <w:t xml:space="preserve">LYNKUET </w:t>
      </w:r>
      <w:r w:rsidRPr="00CA2A7C">
        <w:rPr>
          <w:rFonts w:asciiTheme="majorHAnsi" w:hAnsiTheme="majorHAnsi"/>
        </w:rPr>
        <w:t>is not recommended for patients with moderate</w:t>
      </w:r>
      <w:r w:rsidR="00835EC1">
        <w:rPr>
          <w:rFonts w:asciiTheme="majorHAnsi" w:hAnsiTheme="majorHAnsi"/>
        </w:rPr>
        <w:t xml:space="preserve"> </w:t>
      </w:r>
      <w:r w:rsidR="00835EC1" w:rsidRPr="00835EC1">
        <w:rPr>
          <w:rFonts w:asciiTheme="majorHAnsi" w:hAnsiTheme="majorHAnsi"/>
        </w:rPr>
        <w:t>(Child-Pugh B) chronic hepatic impairment</w:t>
      </w:r>
      <w:r w:rsidRPr="00CA2A7C">
        <w:rPr>
          <w:rFonts w:asciiTheme="majorHAnsi" w:hAnsiTheme="majorHAnsi"/>
        </w:rPr>
        <w:t xml:space="preserve">. If such patients are still treated with </w:t>
      </w:r>
      <w:r w:rsidR="00741696" w:rsidRPr="00CA2A7C">
        <w:rPr>
          <w:rFonts w:asciiTheme="majorHAnsi" w:hAnsiTheme="majorHAnsi"/>
        </w:rPr>
        <w:t>LYNKUET</w:t>
      </w:r>
      <w:r w:rsidRPr="00CA2A7C">
        <w:rPr>
          <w:rFonts w:asciiTheme="majorHAnsi" w:hAnsiTheme="majorHAnsi"/>
        </w:rPr>
        <w:t xml:space="preserve">, </w:t>
      </w:r>
      <w:r w:rsidR="00835EC1">
        <w:rPr>
          <w:rFonts w:asciiTheme="majorHAnsi" w:hAnsiTheme="majorHAnsi"/>
        </w:rPr>
        <w:t xml:space="preserve">the </w:t>
      </w:r>
      <w:r w:rsidRPr="00CA2A7C">
        <w:rPr>
          <w:rFonts w:asciiTheme="majorHAnsi" w:hAnsiTheme="majorHAnsi"/>
        </w:rPr>
        <w:t xml:space="preserve">liver </w:t>
      </w:r>
      <w:r w:rsidR="00835EC1">
        <w:rPr>
          <w:rFonts w:asciiTheme="majorHAnsi" w:hAnsiTheme="majorHAnsi"/>
        </w:rPr>
        <w:t xml:space="preserve">function </w:t>
      </w:r>
      <w:r w:rsidRPr="00CA2A7C">
        <w:rPr>
          <w:rFonts w:asciiTheme="majorHAnsi" w:hAnsiTheme="majorHAnsi"/>
        </w:rPr>
        <w:t>must be closely monitored (see Section 4.2 Dose and method of administ</w:t>
      </w:r>
      <w:r>
        <w:rPr>
          <w:rFonts w:asciiTheme="majorHAnsi" w:hAnsiTheme="majorHAnsi"/>
        </w:rPr>
        <w:t>ration</w:t>
      </w:r>
      <w:r w:rsidRPr="00CA2A7C">
        <w:rPr>
          <w:rFonts w:asciiTheme="majorHAnsi" w:hAnsiTheme="majorHAnsi"/>
        </w:rPr>
        <w:t>).</w:t>
      </w:r>
    </w:p>
    <w:p w14:paraId="276C51D5" w14:textId="1EF77909" w:rsidR="008770EB" w:rsidRDefault="008770EB" w:rsidP="00FE0388">
      <w:pPr>
        <w:rPr>
          <w:rFonts w:asciiTheme="majorHAnsi" w:hAnsiTheme="majorHAnsi"/>
        </w:rPr>
      </w:pPr>
      <w:r w:rsidRPr="008770EB">
        <w:rPr>
          <w:rFonts w:asciiTheme="majorHAnsi" w:hAnsiTheme="majorHAnsi"/>
        </w:rPr>
        <w:t>Elinzanetant is contraindicated for use in individuals with severe (Child-Pugh C)</w:t>
      </w:r>
      <w:r>
        <w:rPr>
          <w:rFonts w:asciiTheme="majorHAnsi" w:hAnsiTheme="majorHAnsi"/>
        </w:rPr>
        <w:t xml:space="preserve"> </w:t>
      </w:r>
      <w:r w:rsidRPr="008770EB">
        <w:rPr>
          <w:rFonts w:asciiTheme="majorHAnsi" w:hAnsiTheme="majorHAnsi"/>
        </w:rPr>
        <w:t>chronic hepatic impairment (see Section 4.3 Contraindications).</w:t>
      </w:r>
    </w:p>
    <w:p w14:paraId="49DB4047" w14:textId="77777777" w:rsidR="0020327B" w:rsidRPr="0020327B" w:rsidRDefault="0020327B" w:rsidP="00FE0388">
      <w:pPr>
        <w:pStyle w:val="Heading3"/>
        <w:ind w:left="0"/>
      </w:pPr>
      <w:r w:rsidRPr="0020327B">
        <w:t>Oestrogen-dependent tumours</w:t>
      </w:r>
    </w:p>
    <w:p w14:paraId="48513620" w14:textId="54BB5837" w:rsidR="0020327B" w:rsidRPr="0020327B" w:rsidRDefault="0020327B" w:rsidP="00FE0388">
      <w:pPr>
        <w:spacing w:after="0" w:line="240" w:lineRule="auto"/>
        <w:rPr>
          <w:rFonts w:ascii="Cambria" w:eastAsia="Aptos" w:hAnsi="Cambria" w:cs="Aptos"/>
          <w14:ligatures w14:val="standardContextual"/>
        </w:rPr>
      </w:pPr>
      <w:r w:rsidRPr="0020327B">
        <w:rPr>
          <w:rFonts w:ascii="Cambria" w:eastAsia="Aptos" w:hAnsi="Cambria" w:cs="Aptos"/>
          <w14:ligatures w14:val="standardContextual"/>
        </w:rPr>
        <w:t>The efficacy and safety of LYNKUET in patients with breast cancer or other oestrogen</w:t>
      </w:r>
      <w:r>
        <w:rPr>
          <w:rFonts w:ascii="Cambria" w:eastAsia="Aptos" w:hAnsi="Cambria" w:cs="Aptos"/>
          <w14:ligatures w14:val="standardContextual"/>
        </w:rPr>
        <w:t xml:space="preserve"> </w:t>
      </w:r>
      <w:r w:rsidRPr="0020327B">
        <w:rPr>
          <w:rFonts w:ascii="Cambria" w:eastAsia="Aptos" w:hAnsi="Cambria" w:cs="Aptos"/>
          <w14:ligatures w14:val="standardContextual"/>
        </w:rPr>
        <w:t>dependent tumours or patients with a history of such malignancies has not been</w:t>
      </w:r>
      <w:r>
        <w:rPr>
          <w:rFonts w:ascii="Cambria" w:eastAsia="Aptos" w:hAnsi="Cambria" w:cs="Aptos"/>
          <w14:ligatures w14:val="standardContextual"/>
        </w:rPr>
        <w:t xml:space="preserve"> </w:t>
      </w:r>
      <w:r w:rsidRPr="0020327B">
        <w:rPr>
          <w:rFonts w:ascii="Cambria" w:eastAsia="Aptos" w:hAnsi="Cambria" w:cs="Aptos"/>
          <w14:ligatures w14:val="standardContextual"/>
        </w:rPr>
        <w:t>established. This applies</w:t>
      </w:r>
      <w:proofErr w:type="gramStart"/>
      <w:r w:rsidRPr="0020327B">
        <w:rPr>
          <w:rFonts w:ascii="Cambria" w:eastAsia="Aptos" w:hAnsi="Cambria" w:cs="Aptos"/>
          <w14:ligatures w14:val="standardContextual"/>
        </w:rPr>
        <w:t>, in particular, to</w:t>
      </w:r>
      <w:proofErr w:type="gramEnd"/>
      <w:r w:rsidRPr="0020327B">
        <w:rPr>
          <w:rFonts w:ascii="Cambria" w:eastAsia="Aptos" w:hAnsi="Cambria" w:cs="Aptos"/>
          <w14:ligatures w14:val="standardContextual"/>
        </w:rPr>
        <w:t xml:space="preserve"> patients receiving anti-oestrogen</w:t>
      </w:r>
      <w:r>
        <w:rPr>
          <w:rFonts w:ascii="Cambria" w:eastAsia="Aptos" w:hAnsi="Cambria" w:cs="Aptos"/>
          <w14:ligatures w14:val="standardContextual"/>
        </w:rPr>
        <w:t xml:space="preserve"> </w:t>
      </w:r>
      <w:r w:rsidRPr="0020327B">
        <w:rPr>
          <w:rFonts w:ascii="Cambria" w:eastAsia="Aptos" w:hAnsi="Cambria" w:cs="Aptos"/>
          <w14:ligatures w14:val="standardContextual"/>
        </w:rPr>
        <w:t>treatment which is associated with severe VMS and/or other symptoms of oestrogen</w:t>
      </w:r>
      <w:r>
        <w:rPr>
          <w:rFonts w:ascii="Cambria" w:eastAsia="Aptos" w:hAnsi="Cambria" w:cs="Aptos"/>
          <w14:ligatures w14:val="standardContextual"/>
        </w:rPr>
        <w:t xml:space="preserve"> </w:t>
      </w:r>
      <w:r w:rsidRPr="0020327B">
        <w:rPr>
          <w:rFonts w:ascii="Cambria" w:eastAsia="Aptos" w:hAnsi="Cambria" w:cs="Aptos"/>
          <w14:ligatures w14:val="standardContextual"/>
        </w:rPr>
        <w:t>deficiency.</w:t>
      </w:r>
    </w:p>
    <w:p w14:paraId="6E964316" w14:textId="77777777" w:rsidR="0020327B" w:rsidRPr="0020327B" w:rsidRDefault="0020327B" w:rsidP="00FE0388">
      <w:pPr>
        <w:spacing w:after="0" w:line="240" w:lineRule="auto"/>
        <w:ind w:left="720"/>
        <w:rPr>
          <w:rFonts w:ascii="Cambria" w:eastAsia="Aptos" w:hAnsi="Cambria" w:cs="Aptos"/>
          <w14:ligatures w14:val="standardContextual"/>
        </w:rPr>
      </w:pPr>
    </w:p>
    <w:p w14:paraId="1B074EEE" w14:textId="44127CAF" w:rsidR="0020327B" w:rsidRPr="0020327B" w:rsidRDefault="0020327B" w:rsidP="00FE0388">
      <w:pPr>
        <w:spacing w:after="0" w:line="240" w:lineRule="auto"/>
        <w:rPr>
          <w:rFonts w:ascii="Cambria" w:eastAsia="Aptos" w:hAnsi="Cambria" w:cs="Aptos"/>
          <w14:ligatures w14:val="standardContextual"/>
        </w:rPr>
      </w:pPr>
      <w:r w:rsidRPr="0020327B">
        <w:rPr>
          <w:rFonts w:ascii="Cambria" w:eastAsia="Aptos" w:hAnsi="Cambria" w:cs="Aptos"/>
          <w14:ligatures w14:val="standardContextual"/>
        </w:rPr>
        <w:t>The decision to use LYNKUET in such patients should be based on individual</w:t>
      </w:r>
      <w:r>
        <w:rPr>
          <w:rFonts w:ascii="Cambria" w:eastAsia="Aptos" w:hAnsi="Cambria" w:cs="Aptos"/>
          <w14:ligatures w14:val="standardContextual"/>
        </w:rPr>
        <w:t xml:space="preserve"> </w:t>
      </w:r>
      <w:r w:rsidRPr="0020327B">
        <w:rPr>
          <w:rFonts w:ascii="Cambria" w:eastAsia="Aptos" w:hAnsi="Cambria" w:cs="Aptos"/>
          <w14:ligatures w14:val="standardContextual"/>
        </w:rPr>
        <w:t>benefit-risk considerations.</w:t>
      </w:r>
    </w:p>
    <w:p w14:paraId="026BD3C9" w14:textId="77777777" w:rsidR="0020327B" w:rsidRPr="0020327B" w:rsidRDefault="0020327B" w:rsidP="00FE0388">
      <w:pPr>
        <w:spacing w:after="0" w:line="240" w:lineRule="auto"/>
        <w:ind w:left="720"/>
        <w:rPr>
          <w:rFonts w:ascii="Cambria" w:eastAsia="Aptos" w:hAnsi="Cambria" w:cs="Aptos"/>
          <w14:ligatures w14:val="standardContextual"/>
        </w:rPr>
      </w:pPr>
    </w:p>
    <w:p w14:paraId="6CF2C66E" w14:textId="35ADFFEB" w:rsidR="0020327B" w:rsidRDefault="0020327B" w:rsidP="00FE0388">
      <w:pPr>
        <w:spacing w:after="0" w:line="240" w:lineRule="auto"/>
        <w:rPr>
          <w:rFonts w:ascii="Cambria" w:eastAsia="Aptos" w:hAnsi="Cambria" w:cs="Aptos"/>
          <w14:ligatures w14:val="standardContextual"/>
        </w:rPr>
      </w:pPr>
      <w:r w:rsidRPr="0020327B">
        <w:rPr>
          <w:rFonts w:ascii="Cambria" w:eastAsia="Aptos" w:hAnsi="Cambria" w:cs="Aptos"/>
          <w14:ligatures w14:val="standardContextual"/>
        </w:rPr>
        <w:t>Women undergoing oncologic treatment (e.g. chemotherapy, radiation therapy) for</w:t>
      </w:r>
      <w:r>
        <w:rPr>
          <w:rFonts w:ascii="Cambria" w:eastAsia="Aptos" w:hAnsi="Cambria" w:cs="Aptos"/>
          <w14:ligatures w14:val="standardContextual"/>
        </w:rPr>
        <w:t xml:space="preserve"> </w:t>
      </w:r>
      <w:r w:rsidRPr="0020327B">
        <w:rPr>
          <w:rFonts w:ascii="Cambria" w:eastAsia="Aptos" w:hAnsi="Cambria" w:cs="Aptos"/>
          <w14:ligatures w14:val="standardContextual"/>
        </w:rPr>
        <w:t>breast cancer or other oestrogen-dependent malignancies have not been included in</w:t>
      </w:r>
      <w:r>
        <w:rPr>
          <w:rFonts w:ascii="Cambria" w:eastAsia="Aptos" w:hAnsi="Cambria" w:cs="Aptos"/>
          <w14:ligatures w14:val="standardContextual"/>
        </w:rPr>
        <w:t xml:space="preserve"> </w:t>
      </w:r>
      <w:r w:rsidRPr="0020327B">
        <w:rPr>
          <w:rFonts w:ascii="Cambria" w:eastAsia="Aptos" w:hAnsi="Cambria" w:cs="Aptos"/>
          <w14:ligatures w14:val="standardContextual"/>
        </w:rPr>
        <w:t xml:space="preserve">the clinical studies. Therefore, </w:t>
      </w:r>
      <w:proofErr w:type="spellStart"/>
      <w:r w:rsidRPr="0020327B">
        <w:rPr>
          <w:rFonts w:ascii="Cambria" w:eastAsia="Aptos" w:hAnsi="Cambria" w:cs="Aptos"/>
          <w14:ligatures w14:val="standardContextual"/>
        </w:rPr>
        <w:t>elinzanetant</w:t>
      </w:r>
      <w:proofErr w:type="spellEnd"/>
      <w:r w:rsidRPr="0020327B">
        <w:rPr>
          <w:rFonts w:ascii="Cambria" w:eastAsia="Aptos" w:hAnsi="Cambria" w:cs="Aptos"/>
          <w14:ligatures w14:val="standardContextual"/>
        </w:rPr>
        <w:t xml:space="preserve"> is not recommended for use in this</w:t>
      </w:r>
      <w:r>
        <w:rPr>
          <w:rFonts w:ascii="Cambria" w:eastAsia="Aptos" w:hAnsi="Cambria" w:cs="Aptos"/>
          <w14:ligatures w14:val="standardContextual"/>
        </w:rPr>
        <w:t xml:space="preserve"> </w:t>
      </w:r>
      <w:r w:rsidRPr="0020327B">
        <w:rPr>
          <w:rFonts w:ascii="Cambria" w:eastAsia="Aptos" w:hAnsi="Cambria" w:cs="Aptos"/>
          <w14:ligatures w14:val="standardContextual"/>
        </w:rPr>
        <w:t>population.</w:t>
      </w:r>
    </w:p>
    <w:p w14:paraId="3AC6F076" w14:textId="77777777" w:rsidR="00845F57" w:rsidRDefault="00845F57" w:rsidP="00FE0388">
      <w:pPr>
        <w:spacing w:after="0" w:line="240" w:lineRule="auto"/>
        <w:rPr>
          <w:rFonts w:ascii="Cambria" w:eastAsia="Aptos" w:hAnsi="Cambria" w:cs="Aptos"/>
          <w14:ligatures w14:val="standardContextual"/>
        </w:rPr>
      </w:pPr>
    </w:p>
    <w:p w14:paraId="41590973" w14:textId="77777777" w:rsidR="00845F57" w:rsidRPr="00845F57" w:rsidRDefault="00845F57" w:rsidP="00FE0388">
      <w:pPr>
        <w:pStyle w:val="Heading3"/>
        <w:ind w:left="0"/>
      </w:pPr>
      <w:r w:rsidRPr="00845F57">
        <w:t>Pharmacologically induced menopause</w:t>
      </w:r>
    </w:p>
    <w:p w14:paraId="0FCC648C" w14:textId="77777777" w:rsidR="00845F57" w:rsidRPr="00845F57" w:rsidRDefault="00845F57" w:rsidP="00FE0388">
      <w:pPr>
        <w:rPr>
          <w:rFonts w:ascii="Cambria" w:hAnsi="Cambria"/>
        </w:rPr>
      </w:pPr>
      <w:r w:rsidRPr="00845F57">
        <w:rPr>
          <w:rFonts w:ascii="Cambria" w:hAnsi="Cambria"/>
        </w:rPr>
        <w:t xml:space="preserve">The use of </w:t>
      </w:r>
      <w:proofErr w:type="spellStart"/>
      <w:r w:rsidRPr="00845F57">
        <w:rPr>
          <w:rFonts w:ascii="Cambria" w:hAnsi="Cambria"/>
        </w:rPr>
        <w:t>elinzanetant</w:t>
      </w:r>
      <w:proofErr w:type="spellEnd"/>
      <w:r w:rsidRPr="00845F57">
        <w:rPr>
          <w:rFonts w:ascii="Cambria" w:hAnsi="Cambria"/>
        </w:rPr>
        <w:t xml:space="preserve"> has only been investigated in patients with natural or surgical menopause. No data for use of </w:t>
      </w:r>
      <w:proofErr w:type="spellStart"/>
      <w:r w:rsidRPr="00845F57">
        <w:rPr>
          <w:rFonts w:ascii="Cambria" w:hAnsi="Cambria"/>
        </w:rPr>
        <w:t>elinzanetant</w:t>
      </w:r>
      <w:proofErr w:type="spellEnd"/>
      <w:r w:rsidRPr="00845F57">
        <w:rPr>
          <w:rFonts w:ascii="Cambria" w:hAnsi="Cambria"/>
        </w:rPr>
        <w:t xml:space="preserve"> in patients with pharmacologically induced menopause (e.g. in those treated with GnRH analogues) are available.</w:t>
      </w:r>
    </w:p>
    <w:p w14:paraId="220CBE9C" w14:textId="6E5E47F9" w:rsidR="00845F57" w:rsidRPr="00845F57" w:rsidRDefault="00845F57" w:rsidP="00FE0388">
      <w:pPr>
        <w:rPr>
          <w:rFonts w:ascii="Cambria" w:hAnsi="Cambria"/>
        </w:rPr>
      </w:pPr>
      <w:r w:rsidRPr="00845F57">
        <w:rPr>
          <w:rFonts w:ascii="Cambria" w:hAnsi="Cambria"/>
        </w:rPr>
        <w:t>The decision to use LYNKUET in such patients should be based on individual benefit-risk considerations.</w:t>
      </w:r>
    </w:p>
    <w:p w14:paraId="42F64BDF" w14:textId="5E8516C8" w:rsidR="00220D7E" w:rsidRPr="00220D7E" w:rsidRDefault="00220D7E" w:rsidP="00FE0388">
      <w:pPr>
        <w:pStyle w:val="Heading3"/>
        <w:ind w:left="0"/>
      </w:pPr>
      <w:r w:rsidRPr="00220D7E">
        <w:t>Concomitant use of hormone replacement therapy with oestrogens (local vaginal</w:t>
      </w:r>
      <w:r>
        <w:t xml:space="preserve"> </w:t>
      </w:r>
      <w:r w:rsidRPr="00220D7E">
        <w:t>preparations excluded)</w:t>
      </w:r>
    </w:p>
    <w:p w14:paraId="7DC98199" w14:textId="77777777" w:rsidR="00220D7E" w:rsidRPr="00220D7E" w:rsidRDefault="00220D7E" w:rsidP="00FE0388">
      <w:pPr>
        <w:spacing w:after="0" w:line="240" w:lineRule="auto"/>
        <w:rPr>
          <w:rFonts w:ascii="Cambria" w:eastAsia="Aptos" w:hAnsi="Cambria" w:cs="Aptos"/>
          <w14:ligatures w14:val="standardContextual"/>
        </w:rPr>
      </w:pPr>
      <w:r w:rsidRPr="00220D7E">
        <w:rPr>
          <w:rFonts w:ascii="Cambria" w:eastAsia="Aptos" w:hAnsi="Cambria" w:cs="Aptos"/>
          <w14:ligatures w14:val="standardContextual"/>
        </w:rPr>
        <w:t xml:space="preserve">Concomitant use of </w:t>
      </w:r>
      <w:proofErr w:type="spellStart"/>
      <w:r w:rsidRPr="00220D7E">
        <w:rPr>
          <w:rFonts w:ascii="Cambria" w:eastAsia="Aptos" w:hAnsi="Cambria" w:cs="Aptos"/>
          <w14:ligatures w14:val="standardContextual"/>
        </w:rPr>
        <w:t>elinzanetant</w:t>
      </w:r>
      <w:proofErr w:type="spellEnd"/>
      <w:r w:rsidRPr="00220D7E">
        <w:rPr>
          <w:rFonts w:ascii="Cambria" w:eastAsia="Aptos" w:hAnsi="Cambria" w:cs="Aptos"/>
          <w14:ligatures w14:val="standardContextual"/>
        </w:rPr>
        <w:t xml:space="preserve"> and systemic hormone replacement therapy with oestrogens has not been studied, and therefore concomitant use is not recommended.</w:t>
      </w:r>
    </w:p>
    <w:p w14:paraId="07BA6107" w14:textId="77777777" w:rsidR="00845F57" w:rsidRDefault="00845F57" w:rsidP="00FE0388">
      <w:pPr>
        <w:spacing w:after="0" w:line="240" w:lineRule="auto"/>
        <w:rPr>
          <w:rFonts w:ascii="Cambria" w:eastAsia="Aptos" w:hAnsi="Cambria" w:cs="Aptos"/>
          <w14:ligatures w14:val="standardContextual"/>
        </w:rPr>
      </w:pPr>
    </w:p>
    <w:p w14:paraId="79DF7100" w14:textId="77777777" w:rsidR="001A3992" w:rsidRPr="00D67495" w:rsidRDefault="001A3992" w:rsidP="00FE0388">
      <w:pPr>
        <w:pStyle w:val="Heading2"/>
        <w:keepNext/>
        <w:keepLines/>
        <w:spacing w:before="0" w:after="120"/>
      </w:pPr>
      <w:bookmarkStart w:id="2" w:name="_Ref171430518"/>
      <w:r w:rsidRPr="00D67495">
        <w:t>Interactions with other medicines and other forms of interactions</w:t>
      </w:r>
      <w:bookmarkEnd w:id="2"/>
    </w:p>
    <w:p w14:paraId="7B96C90B" w14:textId="1CA6CABA" w:rsidR="002B313B" w:rsidRPr="00D67495" w:rsidRDefault="002B313B" w:rsidP="00FE0388">
      <w:pPr>
        <w:pStyle w:val="Heading3"/>
      </w:pPr>
      <w:r w:rsidRPr="00D67495">
        <w:t xml:space="preserve">Effects of other medicinal products on </w:t>
      </w:r>
      <w:proofErr w:type="spellStart"/>
      <w:r w:rsidRPr="00D67495">
        <w:t>elinzanetant</w:t>
      </w:r>
      <w:proofErr w:type="spellEnd"/>
    </w:p>
    <w:p w14:paraId="521D679C" w14:textId="45BBFD37" w:rsidR="007C761B" w:rsidRPr="00D67495" w:rsidRDefault="002B313B" w:rsidP="00FE0388">
      <w:pPr>
        <w:ind w:left="227"/>
        <w:rPr>
          <w:rFonts w:asciiTheme="majorHAnsi" w:hAnsiTheme="majorHAnsi"/>
        </w:rPr>
      </w:pPr>
      <w:r w:rsidRPr="00D67495">
        <w:rPr>
          <w:rFonts w:asciiTheme="majorHAnsi" w:hAnsiTheme="majorHAnsi"/>
        </w:rPr>
        <w:t>Elinzanetant is metaboli</w:t>
      </w:r>
      <w:r w:rsidR="004C55F0">
        <w:rPr>
          <w:rFonts w:asciiTheme="majorHAnsi" w:hAnsiTheme="majorHAnsi"/>
        </w:rPr>
        <w:t>s</w:t>
      </w:r>
      <w:r w:rsidRPr="00D67495">
        <w:rPr>
          <w:rFonts w:asciiTheme="majorHAnsi" w:hAnsiTheme="majorHAnsi"/>
        </w:rPr>
        <w:t>ed via Cytochrome P450 isoform 3A4 (CYP3A4) and is a substrate for the P-glycoprotein (P-</w:t>
      </w:r>
      <w:proofErr w:type="spellStart"/>
      <w:r w:rsidRPr="00D67495">
        <w:rPr>
          <w:rFonts w:asciiTheme="majorHAnsi" w:hAnsiTheme="majorHAnsi"/>
        </w:rPr>
        <w:t>gp</w:t>
      </w:r>
      <w:proofErr w:type="spellEnd"/>
      <w:r w:rsidRPr="00D67495">
        <w:rPr>
          <w:rFonts w:asciiTheme="majorHAnsi" w:hAnsiTheme="majorHAnsi"/>
        </w:rPr>
        <w:t xml:space="preserve">) transporter protein. </w:t>
      </w:r>
    </w:p>
    <w:p w14:paraId="6F20BA5B" w14:textId="0ECA7B32" w:rsidR="0027157F" w:rsidRPr="008857E1" w:rsidRDefault="009E50BC" w:rsidP="00FE0388">
      <w:pPr>
        <w:pStyle w:val="Heading4"/>
        <w:ind w:left="805" w:hanging="578"/>
      </w:pPr>
      <w:r w:rsidRPr="00D67495">
        <w:t>CYP3A4 and P-</w:t>
      </w:r>
      <w:proofErr w:type="spellStart"/>
      <w:r w:rsidRPr="00D67495">
        <w:t>gp</w:t>
      </w:r>
      <w:proofErr w:type="spellEnd"/>
      <w:r w:rsidRPr="00D67495">
        <w:t xml:space="preserve"> inhibitors (Substances decreasing the clearance of </w:t>
      </w:r>
      <w:proofErr w:type="spellStart"/>
      <w:r w:rsidRPr="00D67495">
        <w:t>elinzanetant</w:t>
      </w:r>
      <w:proofErr w:type="spellEnd"/>
      <w:r w:rsidRPr="00D67495">
        <w:t>)</w:t>
      </w:r>
    </w:p>
    <w:p w14:paraId="4113415C" w14:textId="77777777" w:rsidR="0027157F" w:rsidRPr="000565B9" w:rsidRDefault="0027157F" w:rsidP="00FE0388">
      <w:pPr>
        <w:pStyle w:val="ListParagraph"/>
        <w:numPr>
          <w:ilvl w:val="0"/>
          <w:numId w:val="14"/>
        </w:numPr>
        <w:spacing w:before="120" w:after="120" w:line="240" w:lineRule="auto"/>
        <w:ind w:left="584" w:hanging="357"/>
        <w:rPr>
          <w:b/>
          <w:bCs/>
        </w:rPr>
      </w:pPr>
      <w:r w:rsidRPr="000565B9">
        <w:rPr>
          <w:b/>
          <w:bCs/>
        </w:rPr>
        <w:t>Strong CYP3A4 inhibitors</w:t>
      </w:r>
    </w:p>
    <w:p w14:paraId="626E3E83" w14:textId="089FBCD2" w:rsidR="00122CE4" w:rsidRPr="00A54839" w:rsidRDefault="00122CE4" w:rsidP="00FE0388">
      <w:pPr>
        <w:ind w:left="227"/>
        <w:rPr>
          <w:rFonts w:ascii="Cambria" w:hAnsi="Cambria"/>
        </w:rPr>
      </w:pPr>
      <w:r w:rsidRPr="00A54839">
        <w:rPr>
          <w:rFonts w:ascii="Cambria" w:hAnsi="Cambria"/>
        </w:rPr>
        <w:t>Co-administration of multiple daily doses of itraconazole (200 mg), a strong CYP3A4 and P-</w:t>
      </w:r>
      <w:proofErr w:type="spellStart"/>
      <w:r w:rsidRPr="00A54839">
        <w:rPr>
          <w:rFonts w:ascii="Cambria" w:hAnsi="Cambria"/>
        </w:rPr>
        <w:t>gp</w:t>
      </w:r>
      <w:proofErr w:type="spellEnd"/>
      <w:r w:rsidRPr="00A54839">
        <w:rPr>
          <w:rFonts w:ascii="Cambria" w:hAnsi="Cambria"/>
        </w:rPr>
        <w:t xml:space="preserve"> inhibitor, and </w:t>
      </w:r>
      <w:proofErr w:type="spellStart"/>
      <w:r w:rsidRPr="00A54839">
        <w:rPr>
          <w:rFonts w:ascii="Cambria" w:hAnsi="Cambria"/>
        </w:rPr>
        <w:t>elinzanetant</w:t>
      </w:r>
      <w:proofErr w:type="spellEnd"/>
      <w:r w:rsidRPr="00A54839">
        <w:rPr>
          <w:rFonts w:ascii="Cambria" w:hAnsi="Cambria"/>
        </w:rPr>
        <w:t xml:space="preserve"> 120 mg resulted in an increase of approximately 3.3-fold in </w:t>
      </w:r>
      <w:proofErr w:type="spellStart"/>
      <w:r w:rsidRPr="00A54839">
        <w:rPr>
          <w:rFonts w:ascii="Cambria" w:hAnsi="Cambria"/>
        </w:rPr>
        <w:t>C</w:t>
      </w:r>
      <w:r w:rsidRPr="00402D72">
        <w:rPr>
          <w:rFonts w:ascii="Cambria" w:hAnsi="Cambria"/>
          <w:vertAlign w:val="subscript"/>
        </w:rPr>
        <w:t>max</w:t>
      </w:r>
      <w:proofErr w:type="spellEnd"/>
      <w:r w:rsidRPr="00402D72">
        <w:rPr>
          <w:rFonts w:ascii="Cambria" w:hAnsi="Cambria"/>
          <w:vertAlign w:val="subscript"/>
        </w:rPr>
        <w:t xml:space="preserve"> </w:t>
      </w:r>
      <w:r w:rsidRPr="00A54839">
        <w:rPr>
          <w:rFonts w:ascii="Cambria" w:hAnsi="Cambria"/>
        </w:rPr>
        <w:t xml:space="preserve">and between 4.6-fold and 6.3-fold in AUC of </w:t>
      </w:r>
      <w:proofErr w:type="spellStart"/>
      <w:r w:rsidRPr="00A54839">
        <w:rPr>
          <w:rFonts w:ascii="Cambria" w:hAnsi="Cambria"/>
        </w:rPr>
        <w:t>elinzanetant</w:t>
      </w:r>
      <w:proofErr w:type="spellEnd"/>
      <w:r w:rsidRPr="00A54839">
        <w:rPr>
          <w:rFonts w:ascii="Cambria" w:hAnsi="Cambria"/>
        </w:rPr>
        <w:t xml:space="preserve">. </w:t>
      </w:r>
    </w:p>
    <w:p w14:paraId="6E7D7215" w14:textId="685748DA" w:rsidR="0027157F" w:rsidRPr="0039428E" w:rsidRDefault="009E2E2F" w:rsidP="00FE0388">
      <w:pPr>
        <w:ind w:left="227"/>
        <w:rPr>
          <w:rFonts w:ascii="Cambria" w:hAnsi="Cambria"/>
        </w:rPr>
      </w:pPr>
      <w:r w:rsidRPr="009E2E2F">
        <w:rPr>
          <w:rFonts w:ascii="Cambria" w:hAnsi="Cambria"/>
        </w:rPr>
        <w:t>The concomitant use of LYNKUET with strong CYP3A4 inhibitors is contraindicated (see Section 4.3 Contraindications).</w:t>
      </w:r>
    </w:p>
    <w:p w14:paraId="53C5357D" w14:textId="340CEA18" w:rsidR="0027157F" w:rsidRPr="000565B9" w:rsidRDefault="0027157F" w:rsidP="00FE0388">
      <w:pPr>
        <w:pStyle w:val="ListParagraph"/>
        <w:numPr>
          <w:ilvl w:val="0"/>
          <w:numId w:val="14"/>
        </w:numPr>
        <w:spacing w:after="120" w:line="240" w:lineRule="auto"/>
        <w:ind w:left="584" w:hanging="357"/>
        <w:rPr>
          <w:b/>
          <w:bCs/>
        </w:rPr>
      </w:pPr>
      <w:r w:rsidRPr="000565B9">
        <w:rPr>
          <w:b/>
          <w:bCs/>
        </w:rPr>
        <w:lastRenderedPageBreak/>
        <w:t>Moderate CYP3A4 inhibitors</w:t>
      </w:r>
    </w:p>
    <w:p w14:paraId="0CF90F3A" w14:textId="014B1C5D" w:rsidR="00122CE4" w:rsidRDefault="00122CE4" w:rsidP="00FE0388">
      <w:pPr>
        <w:ind w:left="227"/>
        <w:rPr>
          <w:rFonts w:ascii="Cambria" w:hAnsi="Cambria"/>
        </w:rPr>
      </w:pPr>
      <w:r w:rsidRPr="00A54839">
        <w:rPr>
          <w:rFonts w:ascii="Cambria" w:hAnsi="Cambria"/>
        </w:rPr>
        <w:t>Physiologically Based Pharmacokinetic (PBPK) model</w:t>
      </w:r>
      <w:r>
        <w:rPr>
          <w:rFonts w:ascii="Cambria" w:hAnsi="Cambria"/>
        </w:rPr>
        <w:t>l</w:t>
      </w:r>
      <w:r w:rsidRPr="00A54839">
        <w:rPr>
          <w:rFonts w:ascii="Cambria" w:hAnsi="Cambria"/>
        </w:rPr>
        <w:t>ing predictions after co-administration of</w:t>
      </w:r>
      <w:r>
        <w:rPr>
          <w:rFonts w:ascii="Cambria" w:hAnsi="Cambria"/>
        </w:rPr>
        <w:t xml:space="preserve"> 120 mg </w:t>
      </w:r>
      <w:proofErr w:type="spellStart"/>
      <w:r>
        <w:rPr>
          <w:rFonts w:ascii="Cambria" w:hAnsi="Cambria"/>
        </w:rPr>
        <w:t>elinzanetant</w:t>
      </w:r>
      <w:proofErr w:type="spellEnd"/>
      <w:r w:rsidRPr="00A54839">
        <w:rPr>
          <w:rFonts w:ascii="Cambria" w:hAnsi="Cambria"/>
        </w:rPr>
        <w:t xml:space="preserve"> </w:t>
      </w:r>
      <w:r>
        <w:rPr>
          <w:rFonts w:ascii="Cambria" w:hAnsi="Cambria"/>
        </w:rPr>
        <w:t xml:space="preserve">with </w:t>
      </w:r>
      <w:r w:rsidRPr="00A54839">
        <w:rPr>
          <w:rFonts w:ascii="Cambria" w:hAnsi="Cambria"/>
        </w:rPr>
        <w:t xml:space="preserve">the moderate CYP3A4 inhibitor erythromycin showed a 3.0-fold increase of AUC and 2.0-fold increase for </w:t>
      </w:r>
      <w:proofErr w:type="spellStart"/>
      <w:r w:rsidRPr="00A54839">
        <w:rPr>
          <w:rFonts w:ascii="Cambria" w:hAnsi="Cambria"/>
        </w:rPr>
        <w:t>C</w:t>
      </w:r>
      <w:r w:rsidRPr="00402D72">
        <w:rPr>
          <w:rFonts w:ascii="Cambria" w:hAnsi="Cambria"/>
          <w:vertAlign w:val="subscript"/>
        </w:rPr>
        <w:t>max</w:t>
      </w:r>
      <w:proofErr w:type="spellEnd"/>
      <w:r w:rsidRPr="00A54839">
        <w:rPr>
          <w:rFonts w:ascii="Cambria" w:hAnsi="Cambria"/>
        </w:rPr>
        <w:t xml:space="preserve"> of </w:t>
      </w:r>
      <w:proofErr w:type="spellStart"/>
      <w:r w:rsidRPr="00A54839">
        <w:rPr>
          <w:rFonts w:ascii="Cambria" w:hAnsi="Cambria"/>
        </w:rPr>
        <w:t>elinzanetant</w:t>
      </w:r>
      <w:proofErr w:type="spellEnd"/>
      <w:r w:rsidRPr="00A54839">
        <w:rPr>
          <w:rFonts w:ascii="Cambria" w:hAnsi="Cambria"/>
        </w:rPr>
        <w:t xml:space="preserve">. </w:t>
      </w:r>
    </w:p>
    <w:p w14:paraId="152DE80F" w14:textId="518C545F" w:rsidR="007051DC" w:rsidRDefault="00131ED3" w:rsidP="00FE0388">
      <w:pPr>
        <w:ind w:left="227"/>
        <w:rPr>
          <w:rFonts w:ascii="Cambria" w:hAnsi="Cambria"/>
        </w:rPr>
      </w:pPr>
      <w:r w:rsidRPr="00815820">
        <w:rPr>
          <w:rFonts w:ascii="Cambria" w:hAnsi="Cambria"/>
        </w:rPr>
        <w:t xml:space="preserve">PBPK </w:t>
      </w:r>
      <w:r w:rsidR="00EA3235">
        <w:rPr>
          <w:rFonts w:ascii="Cambria" w:hAnsi="Cambria"/>
        </w:rPr>
        <w:t xml:space="preserve">modelling </w:t>
      </w:r>
      <w:r w:rsidRPr="00815820">
        <w:rPr>
          <w:rFonts w:ascii="Cambria" w:hAnsi="Cambria"/>
        </w:rPr>
        <w:t xml:space="preserve">predictions after co-administration of </w:t>
      </w:r>
      <w:r>
        <w:rPr>
          <w:rFonts w:ascii="Cambria" w:hAnsi="Cambria"/>
        </w:rPr>
        <w:t>6</w:t>
      </w:r>
      <w:r w:rsidRPr="00815820">
        <w:rPr>
          <w:rFonts w:ascii="Cambria" w:hAnsi="Cambria"/>
        </w:rPr>
        <w:t xml:space="preserve">0 mg </w:t>
      </w:r>
      <w:proofErr w:type="spellStart"/>
      <w:r w:rsidRPr="00815820">
        <w:rPr>
          <w:rFonts w:ascii="Cambria" w:hAnsi="Cambria"/>
        </w:rPr>
        <w:t>elinzan</w:t>
      </w:r>
      <w:r>
        <w:rPr>
          <w:rFonts w:ascii="Cambria" w:hAnsi="Cambria"/>
        </w:rPr>
        <w:t>e</w:t>
      </w:r>
      <w:r w:rsidRPr="00815820">
        <w:rPr>
          <w:rFonts w:ascii="Cambria" w:hAnsi="Cambria"/>
        </w:rPr>
        <w:t>t</w:t>
      </w:r>
      <w:r>
        <w:rPr>
          <w:rFonts w:ascii="Cambria" w:hAnsi="Cambria"/>
        </w:rPr>
        <w:t>a</w:t>
      </w:r>
      <w:r w:rsidRPr="00815820">
        <w:rPr>
          <w:rFonts w:ascii="Cambria" w:hAnsi="Cambria"/>
        </w:rPr>
        <w:t>nt</w:t>
      </w:r>
      <w:proofErr w:type="spellEnd"/>
      <w:r w:rsidRPr="00815820">
        <w:rPr>
          <w:rFonts w:ascii="Cambria" w:hAnsi="Cambria"/>
        </w:rPr>
        <w:t xml:space="preserve"> with </w:t>
      </w:r>
      <w:r>
        <w:rPr>
          <w:rFonts w:ascii="Cambria" w:hAnsi="Cambria"/>
        </w:rPr>
        <w:t>moderate</w:t>
      </w:r>
      <w:r w:rsidRPr="00815820">
        <w:rPr>
          <w:rFonts w:ascii="Cambria" w:hAnsi="Cambria"/>
        </w:rPr>
        <w:t xml:space="preserve"> CYP3A4 inhibitor</w:t>
      </w:r>
      <w:r>
        <w:rPr>
          <w:rFonts w:ascii="Cambria" w:hAnsi="Cambria"/>
        </w:rPr>
        <w:t xml:space="preserve"> erythromycin showed a 1.4-fold increase of AUC and no increase for </w:t>
      </w:r>
      <w:proofErr w:type="spellStart"/>
      <w:r w:rsidRPr="00815820">
        <w:rPr>
          <w:rFonts w:ascii="Cambria" w:hAnsi="Cambria"/>
        </w:rPr>
        <w:t>C</w:t>
      </w:r>
      <w:r w:rsidRPr="00815820">
        <w:rPr>
          <w:rFonts w:ascii="Cambria" w:hAnsi="Cambria"/>
          <w:vertAlign w:val="subscript"/>
        </w:rPr>
        <w:t>max</w:t>
      </w:r>
      <w:proofErr w:type="spellEnd"/>
      <w:r w:rsidRPr="00815820">
        <w:rPr>
          <w:rFonts w:ascii="Cambria" w:hAnsi="Cambria"/>
        </w:rPr>
        <w:t xml:space="preserve"> </w:t>
      </w:r>
      <w:r>
        <w:rPr>
          <w:rFonts w:ascii="Cambria" w:hAnsi="Cambria"/>
        </w:rPr>
        <w:t xml:space="preserve">compared to 120 mg </w:t>
      </w:r>
      <w:proofErr w:type="spellStart"/>
      <w:r>
        <w:rPr>
          <w:rFonts w:ascii="Cambria" w:hAnsi="Cambria"/>
        </w:rPr>
        <w:t>elinzanetant</w:t>
      </w:r>
      <w:proofErr w:type="spellEnd"/>
      <w:r>
        <w:rPr>
          <w:rFonts w:ascii="Cambria" w:hAnsi="Cambria"/>
        </w:rPr>
        <w:t xml:space="preserve"> alone</w:t>
      </w:r>
      <w:r w:rsidR="00705482">
        <w:rPr>
          <w:rFonts w:ascii="Cambria" w:hAnsi="Cambria"/>
        </w:rPr>
        <w:t>.</w:t>
      </w:r>
    </w:p>
    <w:p w14:paraId="581FEAFE" w14:textId="6CCA369A" w:rsidR="00705482" w:rsidRPr="00705482" w:rsidRDefault="00705482" w:rsidP="00FE0388">
      <w:pPr>
        <w:ind w:left="227"/>
        <w:rPr>
          <w:rFonts w:ascii="Cambria" w:hAnsi="Cambria"/>
        </w:rPr>
      </w:pPr>
      <w:r w:rsidRPr="00705482">
        <w:rPr>
          <w:rFonts w:ascii="Cambria" w:hAnsi="Cambria"/>
        </w:rPr>
        <w:t>With co-administration of a moderate CYP3A4 inhibitor (e.g. erythromycin, ciprofloxacin, fluconazole and verapamil), the recommended daily dose of LYNKUET is 60 mg (see Section 4.2 Dose and method of administration).</w:t>
      </w:r>
    </w:p>
    <w:p w14:paraId="07C5BF24" w14:textId="77777777" w:rsidR="0027157F" w:rsidRPr="000565B9" w:rsidRDefault="0027157F" w:rsidP="00FE0388">
      <w:pPr>
        <w:pStyle w:val="ListParagraph"/>
        <w:numPr>
          <w:ilvl w:val="0"/>
          <w:numId w:val="14"/>
        </w:numPr>
        <w:spacing w:after="120" w:line="240" w:lineRule="auto"/>
        <w:ind w:left="584" w:hanging="357"/>
        <w:rPr>
          <w:b/>
          <w:bCs/>
        </w:rPr>
      </w:pPr>
      <w:r w:rsidRPr="000565B9">
        <w:rPr>
          <w:b/>
          <w:bCs/>
        </w:rPr>
        <w:t>Weak CYP3A4 inhibitors</w:t>
      </w:r>
    </w:p>
    <w:p w14:paraId="0377A9F2" w14:textId="3E8CB00F" w:rsidR="001A3CC6" w:rsidRPr="00A54839" w:rsidRDefault="001A3CC6" w:rsidP="00FE0388">
      <w:pPr>
        <w:ind w:left="227"/>
        <w:rPr>
          <w:rFonts w:ascii="Cambria" w:hAnsi="Cambria"/>
        </w:rPr>
      </w:pPr>
      <w:r w:rsidRPr="00A54839">
        <w:rPr>
          <w:rFonts w:ascii="Cambria" w:hAnsi="Cambria"/>
        </w:rPr>
        <w:t xml:space="preserve">PBPK </w:t>
      </w:r>
      <w:r>
        <w:rPr>
          <w:rFonts w:ascii="Cambria" w:hAnsi="Cambria"/>
        </w:rPr>
        <w:t xml:space="preserve">modelling </w:t>
      </w:r>
      <w:r w:rsidRPr="00A54839">
        <w:rPr>
          <w:rFonts w:ascii="Cambria" w:hAnsi="Cambria"/>
        </w:rPr>
        <w:t xml:space="preserve">predictions after co-administration of </w:t>
      </w:r>
      <w:r>
        <w:rPr>
          <w:rFonts w:ascii="Cambria" w:hAnsi="Cambria"/>
        </w:rPr>
        <w:t xml:space="preserve">120 mg </w:t>
      </w:r>
      <w:proofErr w:type="spellStart"/>
      <w:r>
        <w:rPr>
          <w:rFonts w:ascii="Cambria" w:hAnsi="Cambria"/>
        </w:rPr>
        <w:t>elinzanetant</w:t>
      </w:r>
      <w:proofErr w:type="spellEnd"/>
      <w:r>
        <w:rPr>
          <w:rFonts w:ascii="Cambria" w:hAnsi="Cambria"/>
        </w:rPr>
        <w:t xml:space="preserve"> with </w:t>
      </w:r>
      <w:r w:rsidRPr="00A54839">
        <w:rPr>
          <w:rFonts w:ascii="Cambria" w:hAnsi="Cambria"/>
        </w:rPr>
        <w:t xml:space="preserve">the weak CYP3A4 inhibitor cimetidine showed a 1.5-fold increase of AUC and 1.3-fold increase for </w:t>
      </w:r>
      <w:proofErr w:type="spellStart"/>
      <w:r w:rsidRPr="00A54839">
        <w:rPr>
          <w:rFonts w:ascii="Cambria" w:hAnsi="Cambria"/>
        </w:rPr>
        <w:t>C</w:t>
      </w:r>
      <w:r w:rsidRPr="00402D72">
        <w:rPr>
          <w:rFonts w:ascii="Cambria" w:hAnsi="Cambria"/>
          <w:vertAlign w:val="subscript"/>
        </w:rPr>
        <w:t>max</w:t>
      </w:r>
      <w:proofErr w:type="spellEnd"/>
      <w:r w:rsidRPr="00A54839">
        <w:rPr>
          <w:rFonts w:ascii="Cambria" w:hAnsi="Cambria"/>
        </w:rPr>
        <w:t xml:space="preserve"> of </w:t>
      </w:r>
      <w:proofErr w:type="spellStart"/>
      <w:r w:rsidRPr="00A54839">
        <w:rPr>
          <w:rFonts w:ascii="Cambria" w:hAnsi="Cambria"/>
        </w:rPr>
        <w:t>elinzanetant</w:t>
      </w:r>
      <w:proofErr w:type="spellEnd"/>
      <w:r w:rsidRPr="00A54839">
        <w:rPr>
          <w:rFonts w:ascii="Cambria" w:hAnsi="Cambria"/>
        </w:rPr>
        <w:t>.</w:t>
      </w:r>
    </w:p>
    <w:p w14:paraId="1DB6590E" w14:textId="77777777" w:rsidR="0027157F" w:rsidRPr="000565B9" w:rsidRDefault="0027157F" w:rsidP="00FE0388">
      <w:pPr>
        <w:pStyle w:val="ListParagraph"/>
        <w:numPr>
          <w:ilvl w:val="0"/>
          <w:numId w:val="14"/>
        </w:numPr>
        <w:spacing w:after="120" w:line="240" w:lineRule="auto"/>
        <w:ind w:left="584" w:hanging="357"/>
        <w:rPr>
          <w:b/>
          <w:bCs/>
        </w:rPr>
      </w:pPr>
      <w:r w:rsidRPr="000565B9">
        <w:rPr>
          <w:b/>
          <w:bCs/>
        </w:rPr>
        <w:t>P-</w:t>
      </w:r>
      <w:proofErr w:type="spellStart"/>
      <w:r w:rsidRPr="000565B9">
        <w:rPr>
          <w:b/>
          <w:bCs/>
        </w:rPr>
        <w:t>gp</w:t>
      </w:r>
      <w:proofErr w:type="spellEnd"/>
      <w:r w:rsidRPr="000565B9">
        <w:rPr>
          <w:b/>
          <w:bCs/>
        </w:rPr>
        <w:t xml:space="preserve"> inhibitors</w:t>
      </w:r>
    </w:p>
    <w:p w14:paraId="46057025" w14:textId="77777777" w:rsidR="001A3CC6" w:rsidRPr="00A54839" w:rsidRDefault="001A3CC6" w:rsidP="00FE0388">
      <w:pPr>
        <w:ind w:left="227"/>
        <w:rPr>
          <w:rFonts w:ascii="Cambria" w:hAnsi="Cambria"/>
        </w:rPr>
      </w:pPr>
      <w:r w:rsidRPr="00A54839">
        <w:rPr>
          <w:rFonts w:ascii="Cambria" w:hAnsi="Cambria"/>
        </w:rPr>
        <w:t>No clinically relevant interaction with P-</w:t>
      </w:r>
      <w:proofErr w:type="spellStart"/>
      <w:r w:rsidRPr="00A54839">
        <w:rPr>
          <w:rFonts w:ascii="Cambria" w:hAnsi="Cambria"/>
        </w:rPr>
        <w:t>gp</w:t>
      </w:r>
      <w:proofErr w:type="spellEnd"/>
      <w:r w:rsidRPr="00A54839">
        <w:rPr>
          <w:rFonts w:ascii="Cambria" w:hAnsi="Cambria"/>
        </w:rPr>
        <w:t xml:space="preserve"> inhibitors is expected due to high permeability of </w:t>
      </w:r>
      <w:proofErr w:type="spellStart"/>
      <w:r w:rsidRPr="00A54839">
        <w:rPr>
          <w:rFonts w:ascii="Cambria" w:hAnsi="Cambria"/>
        </w:rPr>
        <w:t>elinzanetant</w:t>
      </w:r>
      <w:proofErr w:type="spellEnd"/>
      <w:r w:rsidRPr="00A54839">
        <w:rPr>
          <w:rFonts w:ascii="Cambria" w:hAnsi="Cambria"/>
        </w:rPr>
        <w:t xml:space="preserve"> through membranes and its main elimination through metabolism. </w:t>
      </w:r>
    </w:p>
    <w:p w14:paraId="34842126" w14:textId="77777777" w:rsidR="00EE3B62" w:rsidRPr="000565B9" w:rsidRDefault="00EE3B62" w:rsidP="00FE0388">
      <w:pPr>
        <w:pStyle w:val="ListParagraph"/>
        <w:numPr>
          <w:ilvl w:val="0"/>
          <w:numId w:val="14"/>
        </w:numPr>
        <w:spacing w:after="120" w:line="240" w:lineRule="auto"/>
        <w:ind w:left="584" w:hanging="357"/>
        <w:rPr>
          <w:b/>
          <w:bCs/>
        </w:rPr>
      </w:pPr>
      <w:r w:rsidRPr="000565B9">
        <w:rPr>
          <w:b/>
          <w:bCs/>
        </w:rPr>
        <w:t>Grapefruit juice</w:t>
      </w:r>
    </w:p>
    <w:p w14:paraId="3C560C18" w14:textId="08E4EDD5" w:rsidR="007C39F5" w:rsidRPr="004C55F0" w:rsidRDefault="00DE2336" w:rsidP="00FE0388">
      <w:pPr>
        <w:ind w:left="227"/>
        <w:rPr>
          <w:rFonts w:ascii="Cambria" w:hAnsi="Cambria"/>
        </w:rPr>
      </w:pPr>
      <w:r w:rsidRPr="00DE2336">
        <w:rPr>
          <w:rFonts w:ascii="Cambria" w:hAnsi="Cambria"/>
        </w:rPr>
        <w:t>The concomitant use of LYNKUET with grapefruit juice is not recommended.</w:t>
      </w:r>
    </w:p>
    <w:p w14:paraId="0F270B25" w14:textId="5E88E78A" w:rsidR="007C761B" w:rsidRPr="00D67495" w:rsidRDefault="002B313B" w:rsidP="00FE0388">
      <w:pPr>
        <w:pStyle w:val="Heading4"/>
      </w:pPr>
      <w:r w:rsidRPr="00D67495">
        <w:t>CYP3A4 and P-</w:t>
      </w:r>
      <w:proofErr w:type="spellStart"/>
      <w:r w:rsidRPr="00D67495">
        <w:t>gp</w:t>
      </w:r>
      <w:proofErr w:type="spellEnd"/>
      <w:r w:rsidRPr="00D67495">
        <w:t xml:space="preserve"> inducers (Substances increasing the clearance of </w:t>
      </w:r>
      <w:proofErr w:type="spellStart"/>
      <w:r w:rsidRPr="00D67495">
        <w:t>elinzanetant</w:t>
      </w:r>
      <w:proofErr w:type="spellEnd"/>
      <w:r w:rsidRPr="00D67495">
        <w:t xml:space="preserve">) </w:t>
      </w:r>
    </w:p>
    <w:p w14:paraId="4DDB1B0D" w14:textId="77777777" w:rsidR="00DF6457" w:rsidRDefault="002B313B" w:rsidP="00FE0388">
      <w:pPr>
        <w:ind w:left="227"/>
        <w:rPr>
          <w:rFonts w:asciiTheme="majorHAnsi" w:hAnsiTheme="majorHAnsi"/>
        </w:rPr>
      </w:pPr>
      <w:r w:rsidRPr="00D67495">
        <w:rPr>
          <w:rFonts w:asciiTheme="majorHAnsi" w:hAnsiTheme="majorHAnsi"/>
        </w:rPr>
        <w:t>Co-administration of multiple daily doses of carbamazepine (600 mg), a strong CYP3A4 and P-</w:t>
      </w:r>
      <w:proofErr w:type="spellStart"/>
      <w:r w:rsidRPr="00D67495">
        <w:rPr>
          <w:rFonts w:asciiTheme="majorHAnsi" w:hAnsiTheme="majorHAnsi"/>
        </w:rPr>
        <w:t>gp</w:t>
      </w:r>
      <w:proofErr w:type="spellEnd"/>
      <w:r w:rsidRPr="00D67495">
        <w:rPr>
          <w:rFonts w:asciiTheme="majorHAnsi" w:hAnsiTheme="majorHAnsi"/>
        </w:rPr>
        <w:t xml:space="preserve"> inducer, and </w:t>
      </w:r>
      <w:proofErr w:type="spellStart"/>
      <w:r w:rsidRPr="00D67495">
        <w:rPr>
          <w:rFonts w:asciiTheme="majorHAnsi" w:hAnsiTheme="majorHAnsi"/>
        </w:rPr>
        <w:t>elinzanetant</w:t>
      </w:r>
      <w:proofErr w:type="spellEnd"/>
      <w:r w:rsidRPr="00D67495">
        <w:rPr>
          <w:rFonts w:asciiTheme="majorHAnsi" w:hAnsiTheme="majorHAnsi"/>
        </w:rPr>
        <w:t xml:space="preserve"> 120 mg resulted in a decrease of </w:t>
      </w:r>
      <w:proofErr w:type="spellStart"/>
      <w:r w:rsidRPr="00D67495">
        <w:rPr>
          <w:rFonts w:asciiTheme="majorHAnsi" w:hAnsiTheme="majorHAnsi"/>
        </w:rPr>
        <w:t>C</w:t>
      </w:r>
      <w:r w:rsidRPr="00825694">
        <w:rPr>
          <w:rFonts w:asciiTheme="majorHAnsi" w:hAnsiTheme="majorHAnsi"/>
          <w:vertAlign w:val="subscript"/>
        </w:rPr>
        <w:t>max</w:t>
      </w:r>
      <w:proofErr w:type="spellEnd"/>
      <w:r w:rsidRPr="00D67495">
        <w:rPr>
          <w:rFonts w:asciiTheme="majorHAnsi" w:hAnsiTheme="majorHAnsi"/>
        </w:rPr>
        <w:t xml:space="preserve"> by 44% and AUC by 64% of </w:t>
      </w:r>
      <w:proofErr w:type="spellStart"/>
      <w:r w:rsidRPr="00D67495">
        <w:rPr>
          <w:rFonts w:asciiTheme="majorHAnsi" w:hAnsiTheme="majorHAnsi"/>
        </w:rPr>
        <w:t>elinzanetant</w:t>
      </w:r>
      <w:proofErr w:type="spellEnd"/>
      <w:r w:rsidRPr="00D67495">
        <w:rPr>
          <w:rFonts w:asciiTheme="majorHAnsi" w:hAnsiTheme="majorHAnsi"/>
        </w:rPr>
        <w:t xml:space="preserve">. </w:t>
      </w:r>
    </w:p>
    <w:p w14:paraId="0BB13223" w14:textId="152778E8" w:rsidR="007C761B" w:rsidRDefault="00DF6457" w:rsidP="00FE0388">
      <w:pPr>
        <w:ind w:left="227"/>
        <w:rPr>
          <w:rFonts w:asciiTheme="majorHAnsi" w:hAnsiTheme="majorHAnsi"/>
        </w:rPr>
      </w:pPr>
      <w:r w:rsidRPr="00DF6457">
        <w:rPr>
          <w:rFonts w:asciiTheme="majorHAnsi" w:hAnsiTheme="majorHAnsi"/>
        </w:rPr>
        <w:t>Due to the reduction in exposure efficacy may be reduced. Monitor the efficacy of LYNKUET when co-administered with moderate to strong CYP3A4 inducers (e.g. rifampicin, carbamazepine, phenobarbital, St. John’s Wort)</w:t>
      </w:r>
      <w:r w:rsidR="002B313B" w:rsidRPr="00D67495">
        <w:rPr>
          <w:rFonts w:asciiTheme="majorHAnsi" w:hAnsiTheme="majorHAnsi"/>
        </w:rPr>
        <w:t xml:space="preserve">. </w:t>
      </w:r>
    </w:p>
    <w:p w14:paraId="36C6AB44" w14:textId="2656245D" w:rsidR="002B313B" w:rsidRDefault="002B313B" w:rsidP="00FE0388">
      <w:pPr>
        <w:pStyle w:val="Heading3"/>
        <w:spacing w:before="0"/>
      </w:pPr>
      <w:r w:rsidRPr="00D67495">
        <w:t xml:space="preserve">Effects of </w:t>
      </w:r>
      <w:proofErr w:type="spellStart"/>
      <w:r w:rsidRPr="00D67495">
        <w:t>elinzanetant</w:t>
      </w:r>
      <w:proofErr w:type="spellEnd"/>
      <w:r w:rsidRPr="00D67495">
        <w:t xml:space="preserve"> on other medicinal products</w:t>
      </w:r>
    </w:p>
    <w:p w14:paraId="149D9F87" w14:textId="5A34CF44" w:rsidR="00AB70CE" w:rsidRPr="00AB70CE" w:rsidRDefault="00AB70CE" w:rsidP="00FE0388">
      <w:pPr>
        <w:ind w:left="227"/>
        <w:rPr>
          <w:rFonts w:ascii="Cambria" w:hAnsi="Cambria"/>
        </w:rPr>
      </w:pPr>
      <w:r w:rsidRPr="00AB70CE">
        <w:rPr>
          <w:rFonts w:ascii="Cambria" w:hAnsi="Cambria"/>
          <w:i/>
          <w:iCs/>
        </w:rPr>
        <w:t>In vitro</w:t>
      </w:r>
      <w:r w:rsidRPr="00AB70CE">
        <w:rPr>
          <w:rFonts w:ascii="Cambria" w:hAnsi="Cambria"/>
        </w:rPr>
        <w:t xml:space="preserve">, </w:t>
      </w:r>
      <w:proofErr w:type="spellStart"/>
      <w:r w:rsidRPr="00AB70CE">
        <w:rPr>
          <w:rFonts w:ascii="Cambria" w:hAnsi="Cambria"/>
        </w:rPr>
        <w:t>elinzanetant</w:t>
      </w:r>
      <w:proofErr w:type="spellEnd"/>
      <w:r w:rsidRPr="00AB70CE">
        <w:rPr>
          <w:rFonts w:ascii="Cambria" w:hAnsi="Cambria"/>
        </w:rPr>
        <w:t xml:space="preserve"> has been shown to be a CYP3A4 inhibitor, CYP3A4 inducer, as well as an inhibitor of BCRP, P-</w:t>
      </w:r>
      <w:proofErr w:type="spellStart"/>
      <w:r w:rsidRPr="00AB70CE">
        <w:rPr>
          <w:rFonts w:ascii="Cambria" w:hAnsi="Cambria"/>
        </w:rPr>
        <w:t>gp</w:t>
      </w:r>
      <w:proofErr w:type="spellEnd"/>
      <w:r w:rsidRPr="00AB70CE">
        <w:rPr>
          <w:rFonts w:ascii="Cambria" w:hAnsi="Cambria"/>
        </w:rPr>
        <w:t xml:space="preserve"> und OATP1B3, and may affect the exposure of medicines that are mainly eliminated via CYP3A4, BCRP, P-</w:t>
      </w:r>
      <w:proofErr w:type="spellStart"/>
      <w:r w:rsidRPr="00AB70CE">
        <w:rPr>
          <w:rFonts w:ascii="Cambria" w:hAnsi="Cambria"/>
        </w:rPr>
        <w:t>gp</w:t>
      </w:r>
      <w:proofErr w:type="spellEnd"/>
      <w:r w:rsidRPr="00AB70CE">
        <w:rPr>
          <w:rFonts w:ascii="Cambria" w:hAnsi="Cambria"/>
        </w:rPr>
        <w:t>, or OATP1B3.</w:t>
      </w:r>
      <w:r w:rsidR="00106E5B">
        <w:rPr>
          <w:rFonts w:ascii="Cambria" w:hAnsi="Cambria"/>
        </w:rPr>
        <w:t xml:space="preserve"> </w:t>
      </w:r>
      <w:r w:rsidR="00B91428" w:rsidRPr="00CA742A">
        <w:rPr>
          <w:rFonts w:ascii="Cambria" w:hAnsi="Cambria"/>
          <w:i/>
          <w:iCs/>
        </w:rPr>
        <w:t>In vivo</w:t>
      </w:r>
      <w:r w:rsidR="00B91428" w:rsidRPr="00B91428">
        <w:rPr>
          <w:rFonts w:ascii="Cambria" w:hAnsi="Cambria"/>
        </w:rPr>
        <w:t>, no clinically relevant inhibition of BCRP, P-</w:t>
      </w:r>
      <w:proofErr w:type="spellStart"/>
      <w:r w:rsidR="00B91428" w:rsidRPr="00B91428">
        <w:rPr>
          <w:rFonts w:ascii="Cambria" w:hAnsi="Cambria"/>
        </w:rPr>
        <w:t>gp</w:t>
      </w:r>
      <w:proofErr w:type="spellEnd"/>
      <w:r w:rsidR="00B91428" w:rsidRPr="00B91428">
        <w:rPr>
          <w:rFonts w:ascii="Cambria" w:hAnsi="Cambria"/>
        </w:rPr>
        <w:t xml:space="preserve"> and OATP1B1/OATP1B3 was observed.</w:t>
      </w:r>
    </w:p>
    <w:p w14:paraId="7EA51C93" w14:textId="5EDD501B" w:rsidR="002B313B" w:rsidRPr="00D67495" w:rsidRDefault="002B313B" w:rsidP="00FE0388">
      <w:pPr>
        <w:ind w:left="227"/>
        <w:rPr>
          <w:rFonts w:asciiTheme="majorHAnsi" w:hAnsiTheme="majorHAnsi"/>
        </w:rPr>
      </w:pPr>
      <w:r w:rsidRPr="00D67495">
        <w:rPr>
          <w:rFonts w:asciiTheme="majorHAnsi" w:hAnsiTheme="majorHAnsi"/>
        </w:rPr>
        <w:t xml:space="preserve">Elinzanetant is a weak inhibitor of CYP3A4. Co-administration of midazolam, a sensitive substrate of CYP3A4, and multiple daily doses of </w:t>
      </w:r>
      <w:proofErr w:type="spellStart"/>
      <w:r w:rsidRPr="00D67495">
        <w:rPr>
          <w:rFonts w:asciiTheme="majorHAnsi" w:hAnsiTheme="majorHAnsi"/>
        </w:rPr>
        <w:t>elinzanetant</w:t>
      </w:r>
      <w:proofErr w:type="spellEnd"/>
      <w:r w:rsidRPr="00D67495">
        <w:rPr>
          <w:rFonts w:asciiTheme="majorHAnsi" w:hAnsiTheme="majorHAnsi"/>
        </w:rPr>
        <w:t xml:space="preserve"> 120 mg resulted in an increase of 1.5-fold in </w:t>
      </w:r>
      <w:proofErr w:type="spellStart"/>
      <w:r w:rsidRPr="00D67495">
        <w:rPr>
          <w:rFonts w:asciiTheme="majorHAnsi" w:hAnsiTheme="majorHAnsi"/>
        </w:rPr>
        <w:t>C</w:t>
      </w:r>
      <w:r w:rsidRPr="0077416C">
        <w:rPr>
          <w:rFonts w:asciiTheme="majorHAnsi" w:hAnsiTheme="majorHAnsi"/>
          <w:vertAlign w:val="subscript"/>
        </w:rPr>
        <w:t>max</w:t>
      </w:r>
      <w:proofErr w:type="spellEnd"/>
      <w:r w:rsidRPr="00D67495">
        <w:rPr>
          <w:rFonts w:asciiTheme="majorHAnsi" w:hAnsiTheme="majorHAnsi"/>
        </w:rPr>
        <w:t xml:space="preserve"> and 1.8-fold in AUC of midazolam. </w:t>
      </w:r>
    </w:p>
    <w:p w14:paraId="36832268" w14:textId="720B4226" w:rsidR="00DE7ED8" w:rsidRDefault="002B313B" w:rsidP="00FE0388">
      <w:pPr>
        <w:ind w:left="227"/>
        <w:rPr>
          <w:rFonts w:asciiTheme="majorHAnsi" w:hAnsiTheme="majorHAnsi"/>
        </w:rPr>
      </w:pPr>
      <w:r w:rsidRPr="00D67495">
        <w:rPr>
          <w:rFonts w:asciiTheme="majorHAnsi" w:hAnsiTheme="majorHAnsi"/>
        </w:rPr>
        <w:t>Caution is required when co-administering LYNKUET with sensitive CYP3A4 substrates with a narrow therapeutic window (e.g. c</w:t>
      </w:r>
      <w:r w:rsidR="00C7279B">
        <w:rPr>
          <w:rFonts w:asciiTheme="majorHAnsi" w:hAnsiTheme="majorHAnsi"/>
        </w:rPr>
        <w:t>i</w:t>
      </w:r>
      <w:r w:rsidRPr="00D67495">
        <w:rPr>
          <w:rFonts w:asciiTheme="majorHAnsi" w:hAnsiTheme="majorHAnsi"/>
        </w:rPr>
        <w:t>closporin, fentanyl</w:t>
      </w:r>
      <w:r w:rsidR="00AB70CE">
        <w:rPr>
          <w:rFonts w:asciiTheme="majorHAnsi" w:hAnsiTheme="majorHAnsi"/>
        </w:rPr>
        <w:t>,</w:t>
      </w:r>
      <w:r w:rsidRPr="00D67495">
        <w:rPr>
          <w:rFonts w:asciiTheme="majorHAnsi" w:hAnsiTheme="majorHAnsi"/>
        </w:rPr>
        <w:t xml:space="preserve"> </w:t>
      </w:r>
      <w:r w:rsidR="00AB70CE">
        <w:rPr>
          <w:rFonts w:asciiTheme="majorHAnsi" w:hAnsiTheme="majorHAnsi"/>
        </w:rPr>
        <w:t>or</w:t>
      </w:r>
      <w:r w:rsidRPr="00D67495">
        <w:rPr>
          <w:rFonts w:asciiTheme="majorHAnsi" w:hAnsiTheme="majorHAnsi"/>
        </w:rPr>
        <w:t xml:space="preserve"> tacrolimus). The related recommendation in the product information of these CYP3A4 substrates should be followed.</w:t>
      </w:r>
    </w:p>
    <w:p w14:paraId="6D7B404D" w14:textId="3550BBF8" w:rsidR="002B313B" w:rsidRDefault="002B313B" w:rsidP="00FE0388">
      <w:pPr>
        <w:ind w:left="227"/>
        <w:rPr>
          <w:rFonts w:asciiTheme="majorHAnsi" w:hAnsiTheme="majorHAnsi"/>
        </w:rPr>
      </w:pPr>
      <w:r w:rsidRPr="00D67495">
        <w:rPr>
          <w:rFonts w:asciiTheme="majorHAnsi" w:hAnsiTheme="majorHAnsi"/>
        </w:rPr>
        <w:lastRenderedPageBreak/>
        <w:t xml:space="preserve">Co-administration of multiple daily doses of tamoxifen 20 mg and </w:t>
      </w:r>
      <w:proofErr w:type="spellStart"/>
      <w:r w:rsidRPr="00D67495">
        <w:rPr>
          <w:rFonts w:asciiTheme="majorHAnsi" w:hAnsiTheme="majorHAnsi"/>
        </w:rPr>
        <w:t>elinzanetant</w:t>
      </w:r>
      <w:proofErr w:type="spellEnd"/>
      <w:r w:rsidRPr="00D67495">
        <w:rPr>
          <w:rFonts w:asciiTheme="majorHAnsi" w:hAnsiTheme="majorHAnsi"/>
        </w:rPr>
        <w:t xml:space="preserve"> 120 mg resulted in no clinically relevant changes in the pharmacokinetics of tamoxifen and its metabolites N-</w:t>
      </w:r>
      <w:proofErr w:type="spellStart"/>
      <w:r w:rsidRPr="00D67495">
        <w:rPr>
          <w:rFonts w:asciiTheme="majorHAnsi" w:hAnsiTheme="majorHAnsi"/>
        </w:rPr>
        <w:t>desmethyltamoxifen</w:t>
      </w:r>
      <w:proofErr w:type="spellEnd"/>
      <w:r w:rsidRPr="00D67495">
        <w:rPr>
          <w:rFonts w:asciiTheme="majorHAnsi" w:hAnsiTheme="majorHAnsi"/>
        </w:rPr>
        <w:t xml:space="preserve">, 4-hydroxytamoxifen and </w:t>
      </w:r>
      <w:proofErr w:type="spellStart"/>
      <w:r w:rsidRPr="00D67495">
        <w:rPr>
          <w:rFonts w:asciiTheme="majorHAnsi" w:hAnsiTheme="majorHAnsi"/>
        </w:rPr>
        <w:t>endoxifen</w:t>
      </w:r>
      <w:proofErr w:type="spellEnd"/>
      <w:r w:rsidRPr="00D67495">
        <w:rPr>
          <w:rFonts w:asciiTheme="majorHAnsi" w:hAnsiTheme="majorHAnsi"/>
        </w:rPr>
        <w:t>.</w:t>
      </w:r>
    </w:p>
    <w:p w14:paraId="0BFF0A36" w14:textId="209D5D31" w:rsidR="001A3992" w:rsidRPr="00D67495" w:rsidRDefault="001A3992" w:rsidP="00FE0388">
      <w:pPr>
        <w:pStyle w:val="Heading2"/>
        <w:spacing w:before="0" w:after="120"/>
      </w:pPr>
      <w:r w:rsidRPr="00D67495">
        <w:t xml:space="preserve">Fertility, pregnancy and lactation </w:t>
      </w:r>
    </w:p>
    <w:p w14:paraId="52376932" w14:textId="77777777" w:rsidR="001A3992" w:rsidRPr="00D67495" w:rsidRDefault="001A3992" w:rsidP="00FE0388">
      <w:pPr>
        <w:pStyle w:val="Heading3"/>
        <w:spacing w:before="0" w:after="120"/>
        <w:ind w:left="0"/>
      </w:pPr>
      <w:r w:rsidRPr="00D67495">
        <w:t>Effects on fertility</w:t>
      </w:r>
    </w:p>
    <w:p w14:paraId="135B50B9" w14:textId="1445D245" w:rsidR="00DC6449" w:rsidRPr="00D67495" w:rsidRDefault="00DC6449" w:rsidP="00FE0388">
      <w:pPr>
        <w:rPr>
          <w:rFonts w:asciiTheme="majorHAnsi" w:hAnsiTheme="majorHAnsi"/>
        </w:rPr>
      </w:pPr>
      <w:r w:rsidRPr="00D67495">
        <w:rPr>
          <w:rFonts w:asciiTheme="majorHAnsi" w:hAnsiTheme="majorHAnsi"/>
        </w:rPr>
        <w:t xml:space="preserve">No human data on the effect of </w:t>
      </w:r>
      <w:r w:rsidR="003729E7">
        <w:rPr>
          <w:rFonts w:asciiTheme="majorHAnsi" w:hAnsiTheme="majorHAnsi"/>
        </w:rPr>
        <w:t>LYNKUET</w:t>
      </w:r>
      <w:r w:rsidR="003729E7" w:rsidRPr="00D67495">
        <w:rPr>
          <w:rFonts w:asciiTheme="majorHAnsi" w:hAnsiTheme="majorHAnsi"/>
        </w:rPr>
        <w:t xml:space="preserve"> </w:t>
      </w:r>
      <w:r w:rsidRPr="00D67495">
        <w:rPr>
          <w:rFonts w:asciiTheme="majorHAnsi" w:hAnsiTheme="majorHAnsi"/>
        </w:rPr>
        <w:t xml:space="preserve">on fertility are available. </w:t>
      </w:r>
      <w:r w:rsidR="00D16CE4">
        <w:rPr>
          <w:rFonts w:asciiTheme="majorHAnsi" w:hAnsiTheme="majorHAnsi"/>
        </w:rPr>
        <w:t xml:space="preserve"> </w:t>
      </w:r>
      <w:r w:rsidR="00D16CE4" w:rsidRPr="00D16CE4">
        <w:rPr>
          <w:rFonts w:asciiTheme="majorHAnsi" w:hAnsiTheme="majorHAnsi"/>
        </w:rPr>
        <w:t>Elinzanetant did not affect the incidence of pregnancy in female rats at oral doses up to 100 mg/kg/day (estimated to yield exposure [plasma AUC] 16-times higher than in patients at the clinical dose of 120 mg/day); adverse effects on early embryonic development (increased pre- and post-implantation loss) were observed at this highest dose though.</w:t>
      </w:r>
    </w:p>
    <w:p w14:paraId="32CB8A1E" w14:textId="02AC141E" w:rsidR="001A3992" w:rsidRPr="00D67495" w:rsidRDefault="001A3992" w:rsidP="00FE0388">
      <w:pPr>
        <w:pStyle w:val="Heading3"/>
        <w:spacing w:before="0" w:after="120"/>
        <w:ind w:left="0"/>
        <w:rPr>
          <w:rFonts w:cstheme="minorHAnsi"/>
        </w:rPr>
      </w:pPr>
      <w:r w:rsidRPr="00D67495">
        <w:t xml:space="preserve">Use in pregnancy </w:t>
      </w:r>
      <w:r w:rsidR="005B2812" w:rsidRPr="00D67495">
        <w:rPr>
          <w:rFonts w:cstheme="minorHAnsi"/>
        </w:rPr>
        <w:t>– Pregnancy Category B3</w:t>
      </w:r>
      <w:r w:rsidR="002B313B" w:rsidRPr="00D67495">
        <w:rPr>
          <w:rFonts w:cstheme="minorHAnsi"/>
        </w:rPr>
        <w:t xml:space="preserve"> </w:t>
      </w:r>
    </w:p>
    <w:p w14:paraId="77631473" w14:textId="572A2DFB" w:rsidR="009D44B1" w:rsidRPr="009D44B1" w:rsidRDefault="009D44B1" w:rsidP="00FE0388">
      <w:pPr>
        <w:rPr>
          <w:rFonts w:ascii="Cambria" w:hAnsi="Cambria"/>
        </w:rPr>
      </w:pPr>
      <w:r w:rsidRPr="009D44B1">
        <w:rPr>
          <w:rFonts w:ascii="Cambria" w:hAnsi="Cambria"/>
        </w:rPr>
        <w:t>The use of LYNKUET in pregnant women is not indicated.</w:t>
      </w:r>
    </w:p>
    <w:p w14:paraId="4490ACE9" w14:textId="55A05F68" w:rsidR="005471D6" w:rsidRDefault="007C761B" w:rsidP="00FE0388">
      <w:pPr>
        <w:rPr>
          <w:rFonts w:asciiTheme="majorHAnsi" w:hAnsiTheme="majorHAnsi"/>
        </w:rPr>
      </w:pPr>
      <w:r w:rsidRPr="00F83F66">
        <w:rPr>
          <w:rFonts w:asciiTheme="majorHAnsi" w:hAnsiTheme="majorHAnsi"/>
        </w:rPr>
        <w:t xml:space="preserve">There are no data on the use of LYNKUET in pregnant women. Studies in animals </w:t>
      </w:r>
      <w:r w:rsidR="0071310C">
        <w:rPr>
          <w:rFonts w:asciiTheme="majorHAnsi" w:hAnsiTheme="majorHAnsi"/>
        </w:rPr>
        <w:t>indicate the potential for</w:t>
      </w:r>
      <w:r w:rsidRPr="00F83F66">
        <w:rPr>
          <w:rFonts w:asciiTheme="majorHAnsi" w:hAnsiTheme="majorHAnsi"/>
        </w:rPr>
        <w:t xml:space="preserve"> reproductive </w:t>
      </w:r>
      <w:r w:rsidR="0071310C">
        <w:rPr>
          <w:rFonts w:asciiTheme="majorHAnsi" w:hAnsiTheme="majorHAnsi"/>
        </w:rPr>
        <w:t xml:space="preserve">and developmental </w:t>
      </w:r>
      <w:r w:rsidRPr="00F83F66">
        <w:rPr>
          <w:rFonts w:asciiTheme="majorHAnsi" w:hAnsiTheme="majorHAnsi"/>
        </w:rPr>
        <w:t>toxicity</w:t>
      </w:r>
      <w:r w:rsidR="0071310C">
        <w:rPr>
          <w:rFonts w:asciiTheme="majorHAnsi" w:hAnsiTheme="majorHAnsi"/>
        </w:rPr>
        <w:t xml:space="preserve"> in pregnant patients</w:t>
      </w:r>
      <w:r w:rsidR="0077416C" w:rsidRPr="00F83F66">
        <w:rPr>
          <w:rFonts w:asciiTheme="majorHAnsi" w:hAnsiTheme="majorHAnsi"/>
        </w:rPr>
        <w:t>.</w:t>
      </w:r>
    </w:p>
    <w:p w14:paraId="6351FD7E" w14:textId="77777777" w:rsidR="0071310C" w:rsidRPr="0071310C" w:rsidRDefault="0071310C" w:rsidP="00FE0388">
      <w:pPr>
        <w:rPr>
          <w:rFonts w:asciiTheme="majorHAnsi" w:hAnsiTheme="majorHAnsi"/>
        </w:rPr>
      </w:pPr>
      <w:r w:rsidRPr="0071310C">
        <w:rPr>
          <w:rFonts w:asciiTheme="majorHAnsi" w:hAnsiTheme="majorHAnsi"/>
        </w:rPr>
        <w:t>Elinzanetant reduced perinatal survival of the offspring in rats at oral doses ≥5 mg/kg/day, yielding exposure equivalent to that of patients at the recommended dose. Increased post-implantation loss, delayed parturition, dystocia, increased stillbirths and decreased pup body weight were observed in rats at 100 mg/kg/day. No malformations were observed in rats or rabbits up to the highest doses tested (100 and 140 mg/kg/day in the respective species, yielding exposure 23- and 1.2-times higher than in patients).</w:t>
      </w:r>
    </w:p>
    <w:p w14:paraId="102D3107" w14:textId="5B76A5BC" w:rsidR="0071310C" w:rsidRPr="00F83F66" w:rsidRDefault="0071310C" w:rsidP="00FE0388">
      <w:pPr>
        <w:rPr>
          <w:rFonts w:asciiTheme="majorHAnsi" w:hAnsiTheme="majorHAnsi"/>
        </w:rPr>
      </w:pPr>
      <w:r w:rsidRPr="0071310C">
        <w:rPr>
          <w:rFonts w:asciiTheme="majorHAnsi" w:hAnsiTheme="majorHAnsi"/>
        </w:rPr>
        <w:t>Elinzanetant and/or its metabolites were shown to cross the placenta in rats.</w:t>
      </w:r>
    </w:p>
    <w:p w14:paraId="44BB2A33" w14:textId="2D82DF9A" w:rsidR="007C761B" w:rsidRPr="00F83F66" w:rsidRDefault="007C761B" w:rsidP="00FE0388">
      <w:pPr>
        <w:rPr>
          <w:rFonts w:asciiTheme="majorHAnsi" w:hAnsiTheme="majorHAnsi"/>
        </w:rPr>
      </w:pPr>
      <w:r w:rsidRPr="00F83F66">
        <w:rPr>
          <w:rFonts w:asciiTheme="majorHAnsi" w:hAnsiTheme="majorHAnsi"/>
        </w:rPr>
        <w:t>Pregnancy should be prevented in women of child-bearing potential by using effective contraception</w:t>
      </w:r>
      <w:r w:rsidR="00E703D9" w:rsidRPr="00F83F66">
        <w:rPr>
          <w:rFonts w:asciiTheme="majorHAnsi" w:hAnsiTheme="majorHAnsi"/>
        </w:rPr>
        <w:t xml:space="preserve"> during treatment with LYNKUET</w:t>
      </w:r>
      <w:r w:rsidRPr="00F83F66">
        <w:rPr>
          <w:rFonts w:asciiTheme="majorHAnsi" w:hAnsiTheme="majorHAnsi"/>
        </w:rPr>
        <w:t>. If pregnancy occurs during use of LYNKUET treatment should be withdrawn.</w:t>
      </w:r>
    </w:p>
    <w:p w14:paraId="457E6A67" w14:textId="460508B6" w:rsidR="001A3992" w:rsidRPr="00D67495" w:rsidRDefault="001A3992" w:rsidP="00FE0388">
      <w:pPr>
        <w:pStyle w:val="Heading3"/>
        <w:spacing w:before="0" w:after="120"/>
        <w:ind w:left="0"/>
      </w:pPr>
      <w:r w:rsidRPr="00D67495">
        <w:t xml:space="preserve">Use in lactation </w:t>
      </w:r>
    </w:p>
    <w:p w14:paraId="0E410857" w14:textId="7229BFE4" w:rsidR="007C761B" w:rsidRPr="00D67495" w:rsidRDefault="007C761B" w:rsidP="00FE0388">
      <w:pPr>
        <w:rPr>
          <w:rFonts w:asciiTheme="majorHAnsi" w:hAnsiTheme="majorHAnsi"/>
        </w:rPr>
      </w:pPr>
      <w:r w:rsidRPr="00D67495">
        <w:rPr>
          <w:rFonts w:asciiTheme="majorHAnsi" w:hAnsiTheme="majorHAnsi"/>
        </w:rPr>
        <w:t xml:space="preserve">There are no data on the presence of </w:t>
      </w:r>
      <w:proofErr w:type="spellStart"/>
      <w:r w:rsidRPr="00D67495">
        <w:rPr>
          <w:rFonts w:asciiTheme="majorHAnsi" w:hAnsiTheme="majorHAnsi"/>
        </w:rPr>
        <w:t>elinzanetant</w:t>
      </w:r>
      <w:proofErr w:type="spellEnd"/>
      <w:r w:rsidRPr="00D67495">
        <w:rPr>
          <w:rFonts w:asciiTheme="majorHAnsi" w:hAnsiTheme="majorHAnsi"/>
        </w:rPr>
        <w:t xml:space="preserve"> or its metabolites in human milk.</w:t>
      </w:r>
    </w:p>
    <w:p w14:paraId="2F2FBB92" w14:textId="0478F76B" w:rsidR="00C17814" w:rsidRPr="00D67495" w:rsidRDefault="00AC78ED" w:rsidP="00FE0388">
      <w:pPr>
        <w:rPr>
          <w:rFonts w:asciiTheme="majorHAnsi" w:hAnsiTheme="majorHAnsi"/>
        </w:rPr>
      </w:pPr>
      <w:r>
        <w:rPr>
          <w:rFonts w:asciiTheme="majorHAnsi" w:hAnsiTheme="majorHAnsi"/>
        </w:rPr>
        <w:t>E</w:t>
      </w:r>
      <w:r w:rsidR="007C761B" w:rsidRPr="00D67495">
        <w:rPr>
          <w:rFonts w:asciiTheme="majorHAnsi" w:hAnsiTheme="majorHAnsi"/>
        </w:rPr>
        <w:t xml:space="preserve">xcretion of </w:t>
      </w:r>
      <w:proofErr w:type="spellStart"/>
      <w:r w:rsidR="007C761B" w:rsidRPr="00D67495">
        <w:rPr>
          <w:rFonts w:asciiTheme="majorHAnsi" w:hAnsiTheme="majorHAnsi"/>
        </w:rPr>
        <w:t>elinzanetant</w:t>
      </w:r>
      <w:proofErr w:type="spellEnd"/>
      <w:r w:rsidR="007C761B" w:rsidRPr="00D67495">
        <w:rPr>
          <w:rFonts w:asciiTheme="majorHAnsi" w:hAnsiTheme="majorHAnsi"/>
        </w:rPr>
        <w:t xml:space="preserve"> and its metabolites in milk</w:t>
      </w:r>
      <w:r>
        <w:rPr>
          <w:rFonts w:asciiTheme="majorHAnsi" w:hAnsiTheme="majorHAnsi"/>
        </w:rPr>
        <w:t xml:space="preserve"> </w:t>
      </w:r>
      <w:r w:rsidRPr="00AC78ED">
        <w:rPr>
          <w:rFonts w:asciiTheme="majorHAnsi" w:hAnsiTheme="majorHAnsi"/>
        </w:rPr>
        <w:t>has been demonstrated in rats</w:t>
      </w:r>
      <w:r w:rsidR="0077416C">
        <w:rPr>
          <w:rFonts w:asciiTheme="majorHAnsi" w:hAnsiTheme="majorHAnsi"/>
        </w:rPr>
        <w:t>.</w:t>
      </w:r>
      <w:r w:rsidR="00650A08">
        <w:rPr>
          <w:rFonts w:asciiTheme="majorHAnsi" w:hAnsiTheme="majorHAnsi"/>
        </w:rPr>
        <w:t xml:space="preserve"> </w:t>
      </w:r>
      <w:r w:rsidR="00174B7E" w:rsidRPr="00174B7E">
        <w:rPr>
          <w:rFonts w:asciiTheme="majorHAnsi" w:hAnsiTheme="majorHAnsi"/>
        </w:rPr>
        <w:t xml:space="preserve">Levels of </w:t>
      </w:r>
      <w:proofErr w:type="spellStart"/>
      <w:r w:rsidR="00174B7E" w:rsidRPr="00174B7E">
        <w:rPr>
          <w:rFonts w:asciiTheme="majorHAnsi" w:hAnsiTheme="majorHAnsi"/>
        </w:rPr>
        <w:t>elinzanetant</w:t>
      </w:r>
      <w:proofErr w:type="spellEnd"/>
      <w:r w:rsidR="00174B7E" w:rsidRPr="00174B7E">
        <w:rPr>
          <w:rFonts w:asciiTheme="majorHAnsi" w:hAnsiTheme="majorHAnsi"/>
        </w:rPr>
        <w:t xml:space="preserve"> in milk were higher than in plasma. </w:t>
      </w:r>
      <w:r w:rsidR="00650A08">
        <w:rPr>
          <w:rFonts w:asciiTheme="majorHAnsi" w:hAnsiTheme="majorHAnsi"/>
        </w:rPr>
        <w:t xml:space="preserve">Use of LYNKUET in lactating women is not recommended. </w:t>
      </w:r>
    </w:p>
    <w:p w14:paraId="1DC4D287" w14:textId="77777777" w:rsidR="001A3992" w:rsidRPr="00D67495" w:rsidRDefault="001A3992" w:rsidP="00FE0388">
      <w:pPr>
        <w:pStyle w:val="Heading2"/>
        <w:spacing w:before="0" w:after="120"/>
      </w:pPr>
      <w:r w:rsidRPr="00D67495">
        <w:t xml:space="preserve">Effects on ability to drive and use machines </w:t>
      </w:r>
    </w:p>
    <w:p w14:paraId="22CD481B" w14:textId="2FB88728" w:rsidR="005B2812" w:rsidRDefault="007C761B" w:rsidP="00FE0388">
      <w:pPr>
        <w:rPr>
          <w:rFonts w:asciiTheme="majorHAnsi" w:hAnsiTheme="majorHAnsi" w:cstheme="minorHAnsi"/>
        </w:rPr>
      </w:pPr>
      <w:r w:rsidRPr="00D67495">
        <w:rPr>
          <w:rFonts w:asciiTheme="majorHAnsi" w:hAnsiTheme="majorHAnsi" w:cstheme="minorHAnsi"/>
        </w:rPr>
        <w:t xml:space="preserve">Women should be advised to be careful when driving or using machines if they experience fatigue, dizziness or somnolence during treatment with LYNKUET (see </w:t>
      </w:r>
      <w:r w:rsidR="002C5A69">
        <w:rPr>
          <w:rFonts w:asciiTheme="majorHAnsi" w:hAnsiTheme="majorHAnsi" w:cstheme="minorHAnsi"/>
        </w:rPr>
        <w:t>S</w:t>
      </w:r>
      <w:r w:rsidRPr="00D67495">
        <w:rPr>
          <w:rFonts w:asciiTheme="majorHAnsi" w:hAnsiTheme="majorHAnsi" w:cstheme="minorHAnsi"/>
        </w:rPr>
        <w:t>ection</w:t>
      </w:r>
      <w:r w:rsidR="0077416C">
        <w:rPr>
          <w:rFonts w:asciiTheme="majorHAnsi" w:hAnsiTheme="majorHAnsi" w:cstheme="minorHAnsi"/>
        </w:rPr>
        <w:t xml:space="preserve"> 4.8</w:t>
      </w:r>
      <w:r w:rsidRPr="00D67495">
        <w:rPr>
          <w:rFonts w:asciiTheme="majorHAnsi" w:hAnsiTheme="majorHAnsi" w:cstheme="minorHAnsi"/>
        </w:rPr>
        <w:t xml:space="preserve"> </w:t>
      </w:r>
      <w:r w:rsidR="0077416C" w:rsidRPr="004C55F0">
        <w:rPr>
          <w:rFonts w:asciiTheme="majorHAnsi" w:hAnsiTheme="majorHAnsi" w:cstheme="minorHAnsi"/>
        </w:rPr>
        <w:fldChar w:fldCharType="begin"/>
      </w:r>
      <w:r w:rsidR="0077416C">
        <w:rPr>
          <w:rFonts w:asciiTheme="majorHAnsi" w:hAnsiTheme="majorHAnsi" w:cstheme="minorHAnsi"/>
        </w:rPr>
        <w:instrText xml:space="preserve"> REF _Ref171431091 \h </w:instrText>
      </w:r>
      <w:r w:rsidR="004C55F0">
        <w:rPr>
          <w:rFonts w:asciiTheme="majorHAnsi" w:hAnsiTheme="majorHAnsi" w:cstheme="minorHAnsi"/>
        </w:rPr>
        <w:instrText xml:space="preserve"> \* MERGEFORMAT </w:instrText>
      </w:r>
      <w:r w:rsidR="0077416C" w:rsidRPr="004C55F0">
        <w:rPr>
          <w:rFonts w:asciiTheme="majorHAnsi" w:hAnsiTheme="majorHAnsi" w:cstheme="minorHAnsi"/>
        </w:rPr>
      </w:r>
      <w:r w:rsidR="0077416C" w:rsidRPr="004C55F0">
        <w:rPr>
          <w:rFonts w:asciiTheme="majorHAnsi" w:hAnsiTheme="majorHAnsi" w:cstheme="minorHAnsi"/>
        </w:rPr>
        <w:fldChar w:fldCharType="separate"/>
      </w:r>
      <w:r w:rsidR="00D06091" w:rsidRPr="00D06091">
        <w:rPr>
          <w:rFonts w:asciiTheme="majorHAnsi" w:hAnsiTheme="majorHAnsi" w:cstheme="minorHAnsi"/>
        </w:rPr>
        <w:t>Adverse effects (Undesirable effects)</w:t>
      </w:r>
      <w:r w:rsidR="0077416C" w:rsidRPr="004C55F0">
        <w:rPr>
          <w:rFonts w:asciiTheme="majorHAnsi" w:hAnsiTheme="majorHAnsi" w:cstheme="minorHAnsi"/>
        </w:rPr>
        <w:fldChar w:fldCharType="end"/>
      </w:r>
      <w:r w:rsidR="0077416C">
        <w:rPr>
          <w:rFonts w:asciiTheme="majorHAnsi" w:hAnsiTheme="majorHAnsi" w:cstheme="minorHAnsi"/>
        </w:rPr>
        <w:t>)</w:t>
      </w:r>
      <w:r w:rsidRPr="00D67495">
        <w:rPr>
          <w:rFonts w:asciiTheme="majorHAnsi" w:hAnsiTheme="majorHAnsi" w:cstheme="minorHAnsi"/>
        </w:rPr>
        <w:t>.</w:t>
      </w:r>
    </w:p>
    <w:p w14:paraId="32E0B0FF" w14:textId="77777777" w:rsidR="001D5D58" w:rsidRPr="001D5D58" w:rsidRDefault="001D5D58" w:rsidP="00FE0388">
      <w:pPr>
        <w:pStyle w:val="Heading3"/>
        <w:ind w:left="0"/>
      </w:pPr>
      <w:r w:rsidRPr="001D5D58">
        <w:t>Driving ability study</w:t>
      </w:r>
    </w:p>
    <w:p w14:paraId="777B3762" w14:textId="70F2F2B0" w:rsidR="001D5D58" w:rsidRPr="001D5D58" w:rsidRDefault="001D5D58" w:rsidP="00FE0388">
      <w:pPr>
        <w:rPr>
          <w:rFonts w:ascii="Cambria" w:hAnsi="Cambria"/>
        </w:rPr>
      </w:pPr>
      <w:r w:rsidRPr="001D5D58">
        <w:rPr>
          <w:rFonts w:ascii="Cambria" w:hAnsi="Cambria"/>
        </w:rPr>
        <w:t xml:space="preserve">Driving performance was assessed at 9 hours after bedtime administration of LYNKUET 120 mg and 240 mg (two times the recommended dose) in a randomised, double-blind, placebo- and </w:t>
      </w:r>
      <w:r w:rsidRPr="001D5D58">
        <w:rPr>
          <w:rFonts w:ascii="Cambria" w:hAnsi="Cambria"/>
        </w:rPr>
        <w:lastRenderedPageBreak/>
        <w:t>active-controlled, four-period crossover study in 64 healthy women (mean age 52.1 years) using a computer-based driving simulation. The primary outcome measure was the difference from placebo in the Standard Deviation of Lateral Position (SDLP). Driving performance was evaluated using a validated threshold established in a population with blood alcohol concentration of 0.05%. The mean SDLP did not reach the threshold for driving impairment after administration of LYNKUET 120 or 240 mg. Compared to placebo minor differences in mean SDLP, not exceeding the predefined threshold for driving impairment, were seen with both doses after 1 day but not after 5 consecutive days of LYNKUET administration.</w:t>
      </w:r>
    </w:p>
    <w:p w14:paraId="3853FD17" w14:textId="77777777" w:rsidR="001A3992" w:rsidRPr="00D67495" w:rsidRDefault="001A3992" w:rsidP="00FE0388">
      <w:pPr>
        <w:pStyle w:val="Heading2"/>
        <w:keepNext/>
        <w:keepLines/>
        <w:spacing w:before="0" w:after="120"/>
      </w:pPr>
      <w:bookmarkStart w:id="3" w:name="_Ref171431091"/>
      <w:r w:rsidRPr="00D67495">
        <w:t>Adverse effects (Undesirable effects)</w:t>
      </w:r>
      <w:bookmarkEnd w:id="3"/>
    </w:p>
    <w:p w14:paraId="202565A4" w14:textId="47CF11AB" w:rsidR="00DF49ED" w:rsidRPr="00D67495" w:rsidRDefault="00DF49ED" w:rsidP="00FE0388">
      <w:pPr>
        <w:pStyle w:val="Heading3"/>
        <w:ind w:left="0"/>
      </w:pPr>
      <w:r w:rsidRPr="00D67495">
        <w:t>Summary of safety profile</w:t>
      </w:r>
    </w:p>
    <w:p w14:paraId="195EF78C" w14:textId="1A1DA634" w:rsidR="007C761B" w:rsidRPr="00D67495" w:rsidRDefault="007C761B" w:rsidP="00FE0388">
      <w:pPr>
        <w:rPr>
          <w:rFonts w:asciiTheme="majorHAnsi" w:hAnsiTheme="majorHAnsi"/>
        </w:rPr>
      </w:pPr>
      <w:r w:rsidRPr="00D67495">
        <w:rPr>
          <w:rFonts w:asciiTheme="majorHAnsi" w:hAnsiTheme="majorHAnsi"/>
        </w:rPr>
        <w:t xml:space="preserve">The overall safety profile of LYNKUET is based on data from 1113 treated women with VMS associated with menopause, who received at least one dose of </w:t>
      </w:r>
      <w:proofErr w:type="spellStart"/>
      <w:r w:rsidRPr="00D67495">
        <w:rPr>
          <w:rFonts w:asciiTheme="majorHAnsi" w:hAnsiTheme="majorHAnsi"/>
        </w:rPr>
        <w:t>elinzanetant</w:t>
      </w:r>
      <w:proofErr w:type="spellEnd"/>
      <w:r w:rsidRPr="00D67495">
        <w:rPr>
          <w:rFonts w:asciiTheme="majorHAnsi" w:hAnsiTheme="majorHAnsi"/>
        </w:rPr>
        <w:t xml:space="preserve"> 120 mg, in phase III (OASIS 1, OASIS 2, OASIS 3) and phase II (SWITCH-1) clinical studies.</w:t>
      </w:r>
    </w:p>
    <w:p w14:paraId="22A90099" w14:textId="6B4B8222" w:rsidR="00DF49ED" w:rsidRDefault="007C761B" w:rsidP="00FE0388">
      <w:pPr>
        <w:rPr>
          <w:rFonts w:asciiTheme="majorHAnsi" w:hAnsiTheme="majorHAnsi"/>
        </w:rPr>
      </w:pPr>
      <w:r w:rsidRPr="00D67495">
        <w:rPr>
          <w:rFonts w:asciiTheme="majorHAnsi" w:hAnsiTheme="majorHAnsi"/>
        </w:rPr>
        <w:t xml:space="preserve">The most frequently observed adverse drug reactions (≥5%) with </w:t>
      </w:r>
      <w:proofErr w:type="spellStart"/>
      <w:r w:rsidRPr="00D67495">
        <w:rPr>
          <w:rFonts w:asciiTheme="majorHAnsi" w:hAnsiTheme="majorHAnsi"/>
        </w:rPr>
        <w:t>elinzanetant</w:t>
      </w:r>
      <w:proofErr w:type="spellEnd"/>
      <w:r w:rsidRPr="00D67495">
        <w:rPr>
          <w:rFonts w:asciiTheme="majorHAnsi" w:hAnsiTheme="majorHAnsi"/>
        </w:rPr>
        <w:t xml:space="preserve"> were headache and fatigue.</w:t>
      </w:r>
    </w:p>
    <w:p w14:paraId="212D212C" w14:textId="335086E8" w:rsidR="00FB6497" w:rsidRDefault="00FB6497" w:rsidP="00FE0388">
      <w:pPr>
        <w:pStyle w:val="Heading3"/>
        <w:ind w:left="0"/>
      </w:pPr>
      <w:r w:rsidRPr="00FB6497">
        <w:t>Adverse events</w:t>
      </w:r>
    </w:p>
    <w:p w14:paraId="366A7CB4" w14:textId="77777777" w:rsidR="007A412A" w:rsidRPr="007A412A" w:rsidRDefault="007A412A" w:rsidP="00FE0388">
      <w:pPr>
        <w:spacing w:after="0"/>
      </w:pPr>
    </w:p>
    <w:p w14:paraId="215310F5" w14:textId="73B3CBDB" w:rsidR="00887138" w:rsidRPr="007A412A" w:rsidDel="00563AF4" w:rsidRDefault="007922CF" w:rsidP="00FE0388">
      <w:pPr>
        <w:rPr>
          <w:rFonts w:ascii="Cambria" w:hAnsi="Cambria"/>
          <w:b/>
          <w:bCs/>
        </w:rPr>
      </w:pPr>
      <w:r w:rsidRPr="007A412A" w:rsidDel="00563AF4">
        <w:rPr>
          <w:rFonts w:ascii="Cambria" w:hAnsi="Cambria"/>
          <w:b/>
          <w:bCs/>
        </w:rPr>
        <w:t xml:space="preserve">Table </w:t>
      </w:r>
      <w:r w:rsidRPr="007A412A">
        <w:rPr>
          <w:rFonts w:ascii="Cambria" w:hAnsi="Cambria"/>
          <w:b/>
          <w:bCs/>
        </w:rPr>
        <w:t>1</w:t>
      </w:r>
      <w:r w:rsidRPr="007A412A" w:rsidDel="00563AF4">
        <w:rPr>
          <w:rFonts w:ascii="Cambria" w:hAnsi="Cambria"/>
          <w:b/>
          <w:bCs/>
        </w:rPr>
        <w:t xml:space="preserve">. </w:t>
      </w:r>
      <w:r w:rsidR="00887138" w:rsidRPr="007A412A" w:rsidDel="00563AF4">
        <w:rPr>
          <w:rFonts w:ascii="Cambria" w:hAnsi="Cambria"/>
          <w:b/>
          <w:bCs/>
        </w:rPr>
        <w:t>OASIS 1,</w:t>
      </w:r>
      <w:r w:rsidR="009D0B30">
        <w:rPr>
          <w:rFonts w:ascii="Cambria" w:hAnsi="Cambria"/>
          <w:b/>
          <w:bCs/>
        </w:rPr>
        <w:t xml:space="preserve"> </w:t>
      </w:r>
      <w:r w:rsidR="00887138" w:rsidRPr="007A412A" w:rsidDel="00563AF4">
        <w:rPr>
          <w:rFonts w:ascii="Cambria" w:hAnsi="Cambria"/>
          <w:b/>
          <w:bCs/>
        </w:rPr>
        <w:t xml:space="preserve">2 and 3, SWITCH-1: treatment-emergent adverse events reported in at least </w:t>
      </w:r>
      <w:r w:rsidR="00196E69" w:rsidRPr="007A412A">
        <w:rPr>
          <w:rFonts w:ascii="Cambria" w:hAnsi="Cambria"/>
          <w:b/>
          <w:bCs/>
        </w:rPr>
        <w:t>1</w:t>
      </w:r>
      <w:r w:rsidR="00887138" w:rsidRPr="007A412A" w:rsidDel="00563AF4">
        <w:rPr>
          <w:rFonts w:ascii="Cambria" w:hAnsi="Cambria"/>
          <w:b/>
          <w:bCs/>
        </w:rPr>
        <w:t>% in LYNKUET after 12 weeks of treatment</w:t>
      </w:r>
    </w:p>
    <w:tbl>
      <w:tblPr>
        <w:tblW w:w="814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1"/>
        <w:gridCol w:w="2250"/>
        <w:gridCol w:w="2070"/>
      </w:tblGrid>
      <w:tr w:rsidR="007A412A" w:rsidRPr="00281C54" w14:paraId="45E13622" w14:textId="77777777" w:rsidTr="00F94C0F">
        <w:trPr>
          <w:trHeight w:val="278"/>
        </w:trPr>
        <w:tc>
          <w:tcPr>
            <w:tcW w:w="3821" w:type="dxa"/>
          </w:tcPr>
          <w:p w14:paraId="2670FE95"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b/>
                <w:bCs/>
                <w:sz w:val="20"/>
                <w:szCs w:val="20"/>
              </w:rPr>
              <w:t>Preferred Term</w:t>
            </w:r>
          </w:p>
        </w:tc>
        <w:tc>
          <w:tcPr>
            <w:tcW w:w="2250" w:type="dxa"/>
          </w:tcPr>
          <w:p w14:paraId="57E36535"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b/>
                <w:bCs/>
                <w:sz w:val="20"/>
                <w:szCs w:val="20"/>
              </w:rPr>
              <w:t xml:space="preserve">Elinzanetant 120 mg  </w:t>
            </w:r>
          </w:p>
        </w:tc>
        <w:tc>
          <w:tcPr>
            <w:tcW w:w="2070" w:type="dxa"/>
          </w:tcPr>
          <w:p w14:paraId="49AE7C3E" w14:textId="77777777" w:rsidR="007A412A" w:rsidRPr="00281C54" w:rsidRDefault="007A412A" w:rsidP="00FE0388">
            <w:pPr>
              <w:pStyle w:val="Default"/>
              <w:rPr>
                <w:rFonts w:asciiTheme="majorHAnsi" w:hAnsiTheme="majorHAnsi"/>
                <w:b/>
                <w:bCs/>
                <w:sz w:val="20"/>
                <w:szCs w:val="20"/>
              </w:rPr>
            </w:pPr>
            <w:r w:rsidRPr="00281C54">
              <w:rPr>
                <w:rFonts w:asciiTheme="majorHAnsi" w:hAnsiTheme="majorHAnsi"/>
                <w:b/>
                <w:bCs/>
                <w:sz w:val="20"/>
                <w:szCs w:val="20"/>
              </w:rPr>
              <w:t xml:space="preserve">Placebo </w:t>
            </w:r>
          </w:p>
        </w:tc>
      </w:tr>
      <w:tr w:rsidR="007A412A" w:rsidRPr="00281C54" w14:paraId="3828BCC7" w14:textId="77777777" w:rsidTr="00F94C0F">
        <w:trPr>
          <w:trHeight w:val="309"/>
        </w:trPr>
        <w:tc>
          <w:tcPr>
            <w:tcW w:w="3821" w:type="dxa"/>
          </w:tcPr>
          <w:p w14:paraId="6BE6877F"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Abdominal pain upper</w:t>
            </w:r>
          </w:p>
        </w:tc>
        <w:tc>
          <w:tcPr>
            <w:tcW w:w="2250" w:type="dxa"/>
          </w:tcPr>
          <w:p w14:paraId="05E9087A"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11 (1.4%)</w:t>
            </w:r>
          </w:p>
        </w:tc>
        <w:tc>
          <w:tcPr>
            <w:tcW w:w="2070" w:type="dxa"/>
          </w:tcPr>
          <w:p w14:paraId="57F6F52E"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3 (0.4%)</w:t>
            </w:r>
          </w:p>
        </w:tc>
      </w:tr>
      <w:tr w:rsidR="007A412A" w:rsidRPr="00281C54" w14:paraId="598B4B28" w14:textId="77777777" w:rsidTr="00F94C0F">
        <w:trPr>
          <w:trHeight w:val="309"/>
        </w:trPr>
        <w:tc>
          <w:tcPr>
            <w:tcW w:w="3821" w:type="dxa"/>
          </w:tcPr>
          <w:p w14:paraId="0DDEFAAF"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Alopecia</w:t>
            </w:r>
          </w:p>
        </w:tc>
        <w:tc>
          <w:tcPr>
            <w:tcW w:w="2250" w:type="dxa"/>
          </w:tcPr>
          <w:p w14:paraId="3E43BDA0"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12 (1.6%)</w:t>
            </w:r>
          </w:p>
        </w:tc>
        <w:tc>
          <w:tcPr>
            <w:tcW w:w="2070" w:type="dxa"/>
          </w:tcPr>
          <w:p w14:paraId="47CE89DA"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6 (0.8%)</w:t>
            </w:r>
          </w:p>
        </w:tc>
      </w:tr>
      <w:tr w:rsidR="007A412A" w:rsidRPr="00281C54" w14:paraId="46E1FD95" w14:textId="77777777" w:rsidTr="00F94C0F">
        <w:trPr>
          <w:trHeight w:val="179"/>
        </w:trPr>
        <w:tc>
          <w:tcPr>
            <w:tcW w:w="3821" w:type="dxa"/>
          </w:tcPr>
          <w:p w14:paraId="4FCF2B00"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Arthralgia</w:t>
            </w:r>
          </w:p>
        </w:tc>
        <w:tc>
          <w:tcPr>
            <w:tcW w:w="2250" w:type="dxa"/>
          </w:tcPr>
          <w:p w14:paraId="59B1874D"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23 (3.0%)</w:t>
            </w:r>
          </w:p>
        </w:tc>
        <w:tc>
          <w:tcPr>
            <w:tcW w:w="2070" w:type="dxa"/>
          </w:tcPr>
          <w:p w14:paraId="0AA068D2"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20 (2.7%)</w:t>
            </w:r>
          </w:p>
        </w:tc>
      </w:tr>
      <w:tr w:rsidR="007A412A" w:rsidRPr="00281C54" w14:paraId="06AE6321" w14:textId="77777777" w:rsidTr="00F94C0F">
        <w:trPr>
          <w:trHeight w:val="309"/>
        </w:trPr>
        <w:tc>
          <w:tcPr>
            <w:tcW w:w="3821" w:type="dxa"/>
          </w:tcPr>
          <w:p w14:paraId="66CA06EE"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Back pain</w:t>
            </w:r>
          </w:p>
        </w:tc>
        <w:tc>
          <w:tcPr>
            <w:tcW w:w="2250" w:type="dxa"/>
          </w:tcPr>
          <w:p w14:paraId="6F78D570"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11 (1.4%)</w:t>
            </w:r>
          </w:p>
        </w:tc>
        <w:tc>
          <w:tcPr>
            <w:tcW w:w="2070" w:type="dxa"/>
          </w:tcPr>
          <w:p w14:paraId="09A128FF"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6 (0.8%)</w:t>
            </w:r>
          </w:p>
        </w:tc>
      </w:tr>
      <w:tr w:rsidR="007A412A" w:rsidRPr="00281C54" w14:paraId="2123C186" w14:textId="77777777" w:rsidTr="00F94C0F">
        <w:trPr>
          <w:trHeight w:val="309"/>
        </w:trPr>
        <w:tc>
          <w:tcPr>
            <w:tcW w:w="3821" w:type="dxa"/>
          </w:tcPr>
          <w:p w14:paraId="6B1DAE12"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Blood creatine phosphokinase increased</w:t>
            </w:r>
          </w:p>
        </w:tc>
        <w:tc>
          <w:tcPr>
            <w:tcW w:w="2250" w:type="dxa"/>
          </w:tcPr>
          <w:p w14:paraId="6CABD482"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9 (1.2%)</w:t>
            </w:r>
          </w:p>
        </w:tc>
        <w:tc>
          <w:tcPr>
            <w:tcW w:w="2070" w:type="dxa"/>
          </w:tcPr>
          <w:p w14:paraId="170475B1"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6 (0.8%)</w:t>
            </w:r>
          </w:p>
        </w:tc>
      </w:tr>
      <w:tr w:rsidR="007A412A" w:rsidRPr="00281C54" w14:paraId="4794733E" w14:textId="77777777" w:rsidTr="00F94C0F">
        <w:trPr>
          <w:trHeight w:val="309"/>
        </w:trPr>
        <w:tc>
          <w:tcPr>
            <w:tcW w:w="3821" w:type="dxa"/>
          </w:tcPr>
          <w:p w14:paraId="73C3EA53"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Constipation</w:t>
            </w:r>
          </w:p>
        </w:tc>
        <w:tc>
          <w:tcPr>
            <w:tcW w:w="2250" w:type="dxa"/>
          </w:tcPr>
          <w:p w14:paraId="3E015848"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9 (1.2%)</w:t>
            </w:r>
          </w:p>
        </w:tc>
        <w:tc>
          <w:tcPr>
            <w:tcW w:w="2070" w:type="dxa"/>
          </w:tcPr>
          <w:p w14:paraId="54A48BCF"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7 (0.9%)</w:t>
            </w:r>
          </w:p>
        </w:tc>
      </w:tr>
      <w:tr w:rsidR="007A412A" w:rsidRPr="00281C54" w14:paraId="4C59304A" w14:textId="77777777" w:rsidTr="00F94C0F">
        <w:trPr>
          <w:trHeight w:val="309"/>
        </w:trPr>
        <w:tc>
          <w:tcPr>
            <w:tcW w:w="3821" w:type="dxa"/>
          </w:tcPr>
          <w:p w14:paraId="2515F2B5"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Depressed mood</w:t>
            </w:r>
          </w:p>
        </w:tc>
        <w:tc>
          <w:tcPr>
            <w:tcW w:w="2250" w:type="dxa"/>
          </w:tcPr>
          <w:p w14:paraId="560CD3C8"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10 (1.3%)</w:t>
            </w:r>
          </w:p>
        </w:tc>
        <w:tc>
          <w:tcPr>
            <w:tcW w:w="2070" w:type="dxa"/>
          </w:tcPr>
          <w:p w14:paraId="45258B2E"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 (0.1%)</w:t>
            </w:r>
          </w:p>
        </w:tc>
      </w:tr>
      <w:tr w:rsidR="007A412A" w:rsidRPr="00281C54" w14:paraId="77DE617F" w14:textId="77777777" w:rsidTr="00F94C0F">
        <w:trPr>
          <w:trHeight w:val="178"/>
        </w:trPr>
        <w:tc>
          <w:tcPr>
            <w:tcW w:w="3821" w:type="dxa"/>
          </w:tcPr>
          <w:p w14:paraId="149E52CA"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 xml:space="preserve">Diarrhoea </w:t>
            </w:r>
          </w:p>
        </w:tc>
        <w:tc>
          <w:tcPr>
            <w:tcW w:w="2250" w:type="dxa"/>
          </w:tcPr>
          <w:p w14:paraId="18DAC2F0"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16 (2.1%)</w:t>
            </w:r>
          </w:p>
        </w:tc>
        <w:tc>
          <w:tcPr>
            <w:tcW w:w="2070" w:type="dxa"/>
          </w:tcPr>
          <w:p w14:paraId="1B752378"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14 (1.9%)</w:t>
            </w:r>
          </w:p>
        </w:tc>
      </w:tr>
      <w:tr w:rsidR="007A412A" w:rsidRPr="00281C54" w14:paraId="5E600A94" w14:textId="77777777" w:rsidTr="00F94C0F">
        <w:trPr>
          <w:trHeight w:val="178"/>
        </w:trPr>
        <w:tc>
          <w:tcPr>
            <w:tcW w:w="3821" w:type="dxa"/>
          </w:tcPr>
          <w:p w14:paraId="294F3A1A"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 xml:space="preserve">Dizziness </w:t>
            </w:r>
          </w:p>
          <w:p w14:paraId="5F74BFC0" w14:textId="77777777" w:rsidR="007A412A" w:rsidRPr="00281C54" w:rsidRDefault="007A412A" w:rsidP="00FE0388">
            <w:pPr>
              <w:pStyle w:val="Default"/>
              <w:rPr>
                <w:rFonts w:asciiTheme="majorHAnsi" w:hAnsiTheme="majorHAnsi"/>
                <w:sz w:val="20"/>
                <w:szCs w:val="20"/>
              </w:rPr>
            </w:pPr>
          </w:p>
        </w:tc>
        <w:tc>
          <w:tcPr>
            <w:tcW w:w="2250" w:type="dxa"/>
          </w:tcPr>
          <w:p w14:paraId="1CED0D75"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23 (3.0%)</w:t>
            </w:r>
          </w:p>
        </w:tc>
        <w:tc>
          <w:tcPr>
            <w:tcW w:w="2070" w:type="dxa"/>
          </w:tcPr>
          <w:p w14:paraId="4D29F9C6"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8 (1.1%)</w:t>
            </w:r>
          </w:p>
        </w:tc>
      </w:tr>
      <w:tr w:rsidR="007A412A" w:rsidRPr="00281C54" w14:paraId="7446CF63" w14:textId="77777777" w:rsidTr="00F94C0F">
        <w:trPr>
          <w:trHeight w:val="309"/>
        </w:trPr>
        <w:tc>
          <w:tcPr>
            <w:tcW w:w="3821" w:type="dxa"/>
          </w:tcPr>
          <w:p w14:paraId="2582ADF4"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Dry mouth</w:t>
            </w:r>
          </w:p>
        </w:tc>
        <w:tc>
          <w:tcPr>
            <w:tcW w:w="2250" w:type="dxa"/>
          </w:tcPr>
          <w:p w14:paraId="2158297B"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11 (1.4%)</w:t>
            </w:r>
          </w:p>
        </w:tc>
        <w:tc>
          <w:tcPr>
            <w:tcW w:w="2070" w:type="dxa"/>
          </w:tcPr>
          <w:p w14:paraId="4E3C243B"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6 (0.8%)</w:t>
            </w:r>
          </w:p>
        </w:tc>
      </w:tr>
      <w:tr w:rsidR="007A412A" w:rsidRPr="00281C54" w14:paraId="5052838D" w14:textId="77777777" w:rsidTr="00F94C0F">
        <w:trPr>
          <w:trHeight w:val="83"/>
        </w:trPr>
        <w:tc>
          <w:tcPr>
            <w:tcW w:w="3821" w:type="dxa"/>
          </w:tcPr>
          <w:p w14:paraId="5B8EEEA4"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Fatigue</w:t>
            </w:r>
          </w:p>
        </w:tc>
        <w:tc>
          <w:tcPr>
            <w:tcW w:w="2250" w:type="dxa"/>
          </w:tcPr>
          <w:p w14:paraId="1565F627"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41 (5.4%)</w:t>
            </w:r>
          </w:p>
        </w:tc>
        <w:tc>
          <w:tcPr>
            <w:tcW w:w="2070" w:type="dxa"/>
          </w:tcPr>
          <w:p w14:paraId="03A0F137"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10 (1.3%)</w:t>
            </w:r>
          </w:p>
        </w:tc>
      </w:tr>
      <w:tr w:rsidR="007A412A" w:rsidRPr="00281C54" w14:paraId="2867D450" w14:textId="77777777" w:rsidTr="00F94C0F">
        <w:trPr>
          <w:trHeight w:val="309"/>
        </w:trPr>
        <w:tc>
          <w:tcPr>
            <w:tcW w:w="3821" w:type="dxa"/>
          </w:tcPr>
          <w:p w14:paraId="088D9763" w14:textId="77777777" w:rsidR="007A412A" w:rsidRPr="00281C54" w:rsidRDefault="007A412A" w:rsidP="00FE0388">
            <w:pPr>
              <w:pStyle w:val="Default"/>
              <w:rPr>
                <w:rFonts w:asciiTheme="majorHAnsi" w:hAnsiTheme="majorHAnsi"/>
                <w:sz w:val="20"/>
                <w:szCs w:val="20"/>
              </w:rPr>
            </w:pPr>
            <w:proofErr w:type="spellStart"/>
            <w:r w:rsidRPr="00281C54">
              <w:rPr>
                <w:rFonts w:asciiTheme="majorHAnsi" w:hAnsiTheme="majorHAnsi" w:cs="Times"/>
                <w:sz w:val="20"/>
                <w:szCs w:val="20"/>
              </w:rPr>
              <w:t>Gastrooesophageal</w:t>
            </w:r>
            <w:proofErr w:type="spellEnd"/>
            <w:r w:rsidRPr="00281C54">
              <w:rPr>
                <w:rFonts w:asciiTheme="majorHAnsi" w:hAnsiTheme="majorHAnsi" w:cs="Times"/>
                <w:sz w:val="20"/>
                <w:szCs w:val="20"/>
              </w:rPr>
              <w:t xml:space="preserve"> reflux disease</w:t>
            </w:r>
          </w:p>
        </w:tc>
        <w:tc>
          <w:tcPr>
            <w:tcW w:w="2250" w:type="dxa"/>
          </w:tcPr>
          <w:p w14:paraId="3AF5584E"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15 (2.0%)</w:t>
            </w:r>
          </w:p>
        </w:tc>
        <w:tc>
          <w:tcPr>
            <w:tcW w:w="2070" w:type="dxa"/>
          </w:tcPr>
          <w:p w14:paraId="714969AC"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5 (0.7%)</w:t>
            </w:r>
          </w:p>
        </w:tc>
      </w:tr>
      <w:tr w:rsidR="007A412A" w:rsidRPr="00281C54" w14:paraId="4245B380" w14:textId="77777777" w:rsidTr="00F94C0F">
        <w:trPr>
          <w:trHeight w:val="309"/>
        </w:trPr>
        <w:tc>
          <w:tcPr>
            <w:tcW w:w="3821" w:type="dxa"/>
          </w:tcPr>
          <w:p w14:paraId="3248B909"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 xml:space="preserve">Headache </w:t>
            </w:r>
          </w:p>
          <w:p w14:paraId="2AEF5C0C" w14:textId="77777777" w:rsidR="007A412A" w:rsidRPr="00281C54" w:rsidRDefault="007A412A" w:rsidP="00FE0388">
            <w:pPr>
              <w:pStyle w:val="Default"/>
              <w:rPr>
                <w:rFonts w:asciiTheme="majorHAnsi" w:hAnsiTheme="majorHAnsi"/>
                <w:sz w:val="20"/>
                <w:szCs w:val="20"/>
              </w:rPr>
            </w:pPr>
          </w:p>
        </w:tc>
        <w:tc>
          <w:tcPr>
            <w:tcW w:w="2250" w:type="dxa"/>
          </w:tcPr>
          <w:p w14:paraId="3BAB00AA"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57 (7.5%)</w:t>
            </w:r>
          </w:p>
        </w:tc>
        <w:tc>
          <w:tcPr>
            <w:tcW w:w="2070" w:type="dxa"/>
          </w:tcPr>
          <w:p w14:paraId="2A455E77"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32 (4.2%)</w:t>
            </w:r>
          </w:p>
        </w:tc>
      </w:tr>
      <w:tr w:rsidR="007A412A" w:rsidRPr="00281C54" w14:paraId="15D89B16" w14:textId="77777777" w:rsidTr="00F94C0F">
        <w:trPr>
          <w:trHeight w:val="309"/>
        </w:trPr>
        <w:tc>
          <w:tcPr>
            <w:tcW w:w="3821" w:type="dxa"/>
          </w:tcPr>
          <w:p w14:paraId="07041F27"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Muscle spasms</w:t>
            </w:r>
          </w:p>
        </w:tc>
        <w:tc>
          <w:tcPr>
            <w:tcW w:w="2250" w:type="dxa"/>
          </w:tcPr>
          <w:p w14:paraId="442BD2FD"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11 (1.4%)</w:t>
            </w:r>
          </w:p>
        </w:tc>
        <w:tc>
          <w:tcPr>
            <w:tcW w:w="2070" w:type="dxa"/>
          </w:tcPr>
          <w:p w14:paraId="604A1A1C"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3 (0.4%)</w:t>
            </w:r>
          </w:p>
        </w:tc>
      </w:tr>
      <w:tr w:rsidR="007A412A" w:rsidRPr="00281C54" w14:paraId="266CCF52" w14:textId="77777777" w:rsidTr="00F94C0F">
        <w:trPr>
          <w:trHeight w:val="309"/>
        </w:trPr>
        <w:tc>
          <w:tcPr>
            <w:tcW w:w="3821" w:type="dxa"/>
          </w:tcPr>
          <w:p w14:paraId="31C25896"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Nasopharyngitis</w:t>
            </w:r>
          </w:p>
        </w:tc>
        <w:tc>
          <w:tcPr>
            <w:tcW w:w="2250" w:type="dxa"/>
          </w:tcPr>
          <w:p w14:paraId="07CD31CF"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14 (1.8%)</w:t>
            </w:r>
          </w:p>
        </w:tc>
        <w:tc>
          <w:tcPr>
            <w:tcW w:w="2070" w:type="dxa"/>
          </w:tcPr>
          <w:p w14:paraId="65FC9855"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12 (1.6%)</w:t>
            </w:r>
          </w:p>
        </w:tc>
      </w:tr>
      <w:tr w:rsidR="007A412A" w:rsidRPr="00281C54" w14:paraId="6E5BD5DE" w14:textId="77777777" w:rsidTr="00F94C0F">
        <w:trPr>
          <w:trHeight w:val="178"/>
        </w:trPr>
        <w:tc>
          <w:tcPr>
            <w:tcW w:w="3821" w:type="dxa"/>
          </w:tcPr>
          <w:p w14:paraId="375A397B"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Nausea</w:t>
            </w:r>
          </w:p>
        </w:tc>
        <w:tc>
          <w:tcPr>
            <w:tcW w:w="2250" w:type="dxa"/>
          </w:tcPr>
          <w:p w14:paraId="1B5C0278"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19 (2.5%)</w:t>
            </w:r>
          </w:p>
        </w:tc>
        <w:tc>
          <w:tcPr>
            <w:tcW w:w="2070" w:type="dxa"/>
          </w:tcPr>
          <w:p w14:paraId="33D786D1"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14 (1.9%)</w:t>
            </w:r>
          </w:p>
        </w:tc>
      </w:tr>
      <w:tr w:rsidR="007A412A" w:rsidRPr="00281C54" w14:paraId="2C50084F" w14:textId="77777777" w:rsidTr="00F94C0F">
        <w:trPr>
          <w:trHeight w:val="309"/>
        </w:trPr>
        <w:tc>
          <w:tcPr>
            <w:tcW w:w="3821" w:type="dxa"/>
          </w:tcPr>
          <w:p w14:paraId="54288C99"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Rash</w:t>
            </w:r>
          </w:p>
        </w:tc>
        <w:tc>
          <w:tcPr>
            <w:tcW w:w="2250" w:type="dxa"/>
          </w:tcPr>
          <w:p w14:paraId="32A6B99A"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10 (1.3%)</w:t>
            </w:r>
          </w:p>
        </w:tc>
        <w:tc>
          <w:tcPr>
            <w:tcW w:w="2070" w:type="dxa"/>
          </w:tcPr>
          <w:p w14:paraId="412B11A0"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cs="Times"/>
                <w:sz w:val="20"/>
                <w:szCs w:val="20"/>
              </w:rPr>
              <w:t>6 (0.8%)</w:t>
            </w:r>
          </w:p>
        </w:tc>
      </w:tr>
      <w:tr w:rsidR="007A412A" w:rsidRPr="00281C54" w14:paraId="49FAEBA9" w14:textId="77777777" w:rsidTr="00F94C0F">
        <w:trPr>
          <w:trHeight w:val="178"/>
        </w:trPr>
        <w:tc>
          <w:tcPr>
            <w:tcW w:w="3821" w:type="dxa"/>
          </w:tcPr>
          <w:p w14:paraId="155B88BB"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 xml:space="preserve">Somnolence </w:t>
            </w:r>
          </w:p>
        </w:tc>
        <w:tc>
          <w:tcPr>
            <w:tcW w:w="2250" w:type="dxa"/>
          </w:tcPr>
          <w:p w14:paraId="73993317"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26 (3.4%)</w:t>
            </w:r>
          </w:p>
        </w:tc>
        <w:tc>
          <w:tcPr>
            <w:tcW w:w="2070" w:type="dxa"/>
          </w:tcPr>
          <w:p w14:paraId="5749EC4B" w14:textId="77777777" w:rsidR="007A412A" w:rsidRPr="00281C54" w:rsidRDefault="007A412A" w:rsidP="00FE0388">
            <w:pPr>
              <w:pStyle w:val="Default"/>
              <w:rPr>
                <w:rFonts w:asciiTheme="majorHAnsi" w:hAnsiTheme="majorHAnsi"/>
                <w:sz w:val="20"/>
                <w:szCs w:val="20"/>
              </w:rPr>
            </w:pPr>
            <w:r w:rsidRPr="00281C54">
              <w:rPr>
                <w:rFonts w:asciiTheme="majorHAnsi" w:hAnsiTheme="majorHAnsi"/>
                <w:sz w:val="20"/>
                <w:szCs w:val="20"/>
              </w:rPr>
              <w:t>4 (0.5%)</w:t>
            </w:r>
          </w:p>
        </w:tc>
      </w:tr>
    </w:tbl>
    <w:p w14:paraId="7D84B40C" w14:textId="77777777" w:rsidR="00FB6497" w:rsidRPr="00D67495" w:rsidRDefault="00FB6497" w:rsidP="00FE0388">
      <w:pPr>
        <w:rPr>
          <w:rFonts w:asciiTheme="majorHAnsi" w:hAnsiTheme="majorHAnsi"/>
        </w:rPr>
      </w:pPr>
    </w:p>
    <w:p w14:paraId="44C6B48B" w14:textId="3AEDB2A7" w:rsidR="00DF49ED" w:rsidRPr="00D67495" w:rsidRDefault="00DF49ED" w:rsidP="00FE0388">
      <w:pPr>
        <w:pStyle w:val="Heading3"/>
        <w:ind w:left="0"/>
      </w:pPr>
      <w:r w:rsidRPr="00D67495">
        <w:lastRenderedPageBreak/>
        <w:t>Tabulated list of adverse reactions</w:t>
      </w:r>
    </w:p>
    <w:p w14:paraId="068E9638" w14:textId="5525E7B7" w:rsidR="007C761B" w:rsidRPr="00D67495" w:rsidRDefault="007C761B" w:rsidP="00FE0388">
      <w:pPr>
        <w:spacing w:after="0"/>
        <w:rPr>
          <w:rFonts w:asciiTheme="majorHAnsi" w:hAnsiTheme="majorHAnsi"/>
        </w:rPr>
      </w:pPr>
      <w:r w:rsidRPr="00D67495">
        <w:rPr>
          <w:rFonts w:asciiTheme="majorHAnsi" w:hAnsiTheme="majorHAnsi"/>
        </w:rPr>
        <w:t xml:space="preserve">The adverse drug reactions observed during clinical studies in women treated with LYNKUET are listed in Table </w:t>
      </w:r>
      <w:r w:rsidR="00050DAD">
        <w:rPr>
          <w:rFonts w:asciiTheme="majorHAnsi" w:hAnsiTheme="majorHAnsi"/>
        </w:rPr>
        <w:t>2</w:t>
      </w:r>
      <w:r w:rsidRPr="00D67495">
        <w:rPr>
          <w:rFonts w:asciiTheme="majorHAnsi" w:hAnsiTheme="majorHAnsi"/>
        </w:rPr>
        <w:t>.</w:t>
      </w:r>
    </w:p>
    <w:p w14:paraId="4D39F70A" w14:textId="77777777" w:rsidR="00FE0388" w:rsidRDefault="00FE0388" w:rsidP="00FE0388">
      <w:pPr>
        <w:spacing w:after="0"/>
        <w:rPr>
          <w:rFonts w:asciiTheme="majorHAnsi" w:hAnsiTheme="majorHAnsi"/>
        </w:rPr>
      </w:pPr>
    </w:p>
    <w:p w14:paraId="2725893C" w14:textId="6D8CCA4E" w:rsidR="007C761B" w:rsidRDefault="007C761B" w:rsidP="00FE0388">
      <w:pPr>
        <w:spacing w:after="0"/>
        <w:rPr>
          <w:rFonts w:asciiTheme="majorHAnsi" w:hAnsiTheme="majorHAnsi"/>
        </w:rPr>
      </w:pPr>
      <w:r w:rsidRPr="00D67495">
        <w:rPr>
          <w:rFonts w:asciiTheme="majorHAnsi" w:hAnsiTheme="majorHAnsi"/>
        </w:rPr>
        <w:t>They are classified according to System Organ Class (MedDRA). The most appropriate MedDRA term is used to describe a certain reaction and its synonyms and related conditions.</w:t>
      </w:r>
    </w:p>
    <w:p w14:paraId="48212F5A" w14:textId="77777777" w:rsidR="00FE0388" w:rsidRPr="00D67495" w:rsidRDefault="00FE0388" w:rsidP="00FE0388">
      <w:pPr>
        <w:spacing w:after="0"/>
        <w:rPr>
          <w:rFonts w:asciiTheme="majorHAnsi" w:hAnsiTheme="majorHAnsi"/>
        </w:rPr>
      </w:pPr>
    </w:p>
    <w:p w14:paraId="24A0C0BF" w14:textId="660E80B0" w:rsidR="00DF49ED" w:rsidRPr="00D67495" w:rsidRDefault="007C761B" w:rsidP="00FE0388">
      <w:pPr>
        <w:spacing w:after="0"/>
        <w:rPr>
          <w:rFonts w:asciiTheme="majorHAnsi" w:hAnsiTheme="majorHAnsi"/>
        </w:rPr>
      </w:pPr>
      <w:r w:rsidRPr="00D67495">
        <w:rPr>
          <w:rFonts w:asciiTheme="majorHAnsi" w:hAnsiTheme="majorHAnsi"/>
        </w:rPr>
        <w:t>Adverse drug reactions are grouped according to their frequencies. Frequency groups are defined by the following convention: very common: ≥ 1/10; common: ≥ 1/100 to &lt; 1/10; uncommon: ≥ 1/1 000 to &lt; 1/100; rare: ≥ 1/10 000 to &lt; 1/1 000.</w:t>
      </w:r>
    </w:p>
    <w:p w14:paraId="6F9D9013" w14:textId="77777777" w:rsidR="001C3E45" w:rsidRPr="00D67495" w:rsidRDefault="001C3E45" w:rsidP="00FE0388">
      <w:pPr>
        <w:spacing w:after="0"/>
        <w:rPr>
          <w:rFonts w:asciiTheme="majorHAnsi" w:hAnsiTheme="majorHAnsi"/>
        </w:rPr>
      </w:pPr>
    </w:p>
    <w:p w14:paraId="2B9C15EB" w14:textId="4F0AC5C7" w:rsidR="00EF2FAF" w:rsidRPr="004D17C4" w:rsidRDefault="008857E1" w:rsidP="00FE0388">
      <w:pPr>
        <w:pStyle w:val="BayerTableColumnHeadings"/>
        <w:keepNext/>
      </w:pPr>
      <w:r>
        <w:t>T</w:t>
      </w:r>
      <w:r w:rsidR="00EF2FAF" w:rsidRPr="004D17C4">
        <w:t>ab</w:t>
      </w:r>
      <w:r w:rsidR="00580B6D">
        <w:rPr>
          <w:color w:val="2B579A"/>
          <w:shd w:val="clear" w:color="auto" w:fill="E6E6E6"/>
        </w:rPr>
        <w:fldChar w:fldCharType="begin"/>
      </w:r>
      <w:r w:rsidR="00580B6D">
        <w:instrText xml:space="preserve"> TOC \h \z \c "Figure" </w:instrText>
      </w:r>
      <w:r w:rsidR="00580B6D">
        <w:rPr>
          <w:color w:val="2B579A"/>
          <w:shd w:val="clear" w:color="auto" w:fill="E6E6E6"/>
        </w:rPr>
        <w:fldChar w:fldCharType="separate"/>
      </w:r>
      <w:r w:rsidR="00580B6D">
        <w:rPr>
          <w:color w:val="2B579A"/>
          <w:shd w:val="clear" w:color="auto" w:fill="E6E6E6"/>
        </w:rPr>
        <w:fldChar w:fldCharType="end"/>
      </w:r>
      <w:r w:rsidR="00EF2FAF" w:rsidRPr="004D17C4">
        <w:t xml:space="preserve">le </w:t>
      </w:r>
      <w:r w:rsidR="00050DAD">
        <w:t>2</w:t>
      </w:r>
      <w:r w:rsidR="00EF2FAF" w:rsidRPr="004D17C4">
        <w:t xml:space="preserve">. Adverse reactions reported for </w:t>
      </w:r>
      <w:proofErr w:type="spellStart"/>
      <w:r w:rsidR="00EF2FAF" w:rsidRPr="004D17C4">
        <w:t>elinzanetant</w:t>
      </w:r>
      <w:proofErr w:type="spellEnd"/>
      <w:r w:rsidR="00EF2FAF" w:rsidRPr="004D17C4">
        <w:t xml:space="preserve"> 120mg</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2694"/>
      </w:tblGrid>
      <w:tr w:rsidR="00EF2FAF" w:rsidRPr="00D67495" w14:paraId="1F246057" w14:textId="77777777" w:rsidTr="009F4BAE">
        <w:trPr>
          <w:trHeight w:val="171"/>
        </w:trPr>
        <w:tc>
          <w:tcPr>
            <w:tcW w:w="5386" w:type="dxa"/>
          </w:tcPr>
          <w:p w14:paraId="32349A75" w14:textId="34241038" w:rsidR="00EF2FAF" w:rsidRPr="00D67495" w:rsidRDefault="00C977C6" w:rsidP="00FE0388">
            <w:pPr>
              <w:pStyle w:val="Default"/>
              <w:rPr>
                <w:rFonts w:asciiTheme="majorHAnsi" w:hAnsiTheme="majorHAnsi"/>
                <w:sz w:val="20"/>
                <w:szCs w:val="20"/>
              </w:rPr>
            </w:pPr>
            <w:r>
              <w:rPr>
                <w:rFonts w:asciiTheme="majorHAnsi" w:hAnsiTheme="majorHAnsi"/>
                <w:b/>
                <w:bCs/>
                <w:sz w:val="20"/>
                <w:szCs w:val="20"/>
              </w:rPr>
              <w:t>Me</w:t>
            </w:r>
            <w:r w:rsidR="005F1055">
              <w:rPr>
                <w:rFonts w:asciiTheme="majorHAnsi" w:hAnsiTheme="majorHAnsi"/>
                <w:b/>
                <w:bCs/>
                <w:sz w:val="20"/>
                <w:szCs w:val="20"/>
              </w:rPr>
              <w:t>d</w:t>
            </w:r>
            <w:r>
              <w:rPr>
                <w:rFonts w:asciiTheme="majorHAnsi" w:hAnsiTheme="majorHAnsi"/>
                <w:b/>
                <w:bCs/>
                <w:sz w:val="20"/>
                <w:szCs w:val="20"/>
              </w:rPr>
              <w:t xml:space="preserve">DRA </w:t>
            </w:r>
            <w:r w:rsidR="00EF2FAF" w:rsidRPr="00D67495">
              <w:rPr>
                <w:rFonts w:asciiTheme="majorHAnsi" w:hAnsiTheme="majorHAnsi"/>
                <w:b/>
                <w:bCs/>
                <w:sz w:val="20"/>
                <w:szCs w:val="20"/>
              </w:rPr>
              <w:t xml:space="preserve">System Organ Class </w:t>
            </w:r>
          </w:p>
        </w:tc>
        <w:tc>
          <w:tcPr>
            <w:tcW w:w="2694" w:type="dxa"/>
          </w:tcPr>
          <w:p w14:paraId="2716576B"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b/>
                <w:bCs/>
                <w:sz w:val="20"/>
                <w:szCs w:val="20"/>
              </w:rPr>
              <w:t xml:space="preserve">Common </w:t>
            </w:r>
          </w:p>
        </w:tc>
      </w:tr>
      <w:tr w:rsidR="00EF2FAF" w:rsidRPr="00D67495" w14:paraId="49938B2C" w14:textId="77777777" w:rsidTr="009F4BAE">
        <w:trPr>
          <w:trHeight w:val="309"/>
        </w:trPr>
        <w:tc>
          <w:tcPr>
            <w:tcW w:w="5386" w:type="dxa"/>
          </w:tcPr>
          <w:p w14:paraId="5190B37C"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Nervous system disorders </w:t>
            </w:r>
          </w:p>
        </w:tc>
        <w:tc>
          <w:tcPr>
            <w:tcW w:w="2694" w:type="dxa"/>
          </w:tcPr>
          <w:p w14:paraId="374279A2"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Dizziness </w:t>
            </w:r>
          </w:p>
          <w:p w14:paraId="0C4110AD"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Headache </w:t>
            </w:r>
            <w:r w:rsidRPr="00D67495">
              <w:rPr>
                <w:rFonts w:asciiTheme="majorHAnsi" w:hAnsiTheme="majorHAnsi"/>
                <w:sz w:val="20"/>
                <w:szCs w:val="20"/>
                <w:vertAlign w:val="superscript"/>
              </w:rPr>
              <w:t>a</w:t>
            </w:r>
            <w:r w:rsidRPr="00D67495">
              <w:rPr>
                <w:rFonts w:asciiTheme="majorHAnsi" w:hAnsiTheme="majorHAnsi"/>
                <w:sz w:val="20"/>
                <w:szCs w:val="20"/>
              </w:rPr>
              <w:t xml:space="preserve"> </w:t>
            </w:r>
          </w:p>
          <w:p w14:paraId="372961A3"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Somnolence </w:t>
            </w:r>
            <w:r w:rsidRPr="00D67495">
              <w:rPr>
                <w:rFonts w:asciiTheme="majorHAnsi" w:hAnsiTheme="majorHAnsi"/>
                <w:sz w:val="20"/>
                <w:szCs w:val="20"/>
                <w:vertAlign w:val="superscript"/>
              </w:rPr>
              <w:t>b</w:t>
            </w:r>
            <w:r w:rsidRPr="00D67495">
              <w:rPr>
                <w:rFonts w:asciiTheme="majorHAnsi" w:hAnsiTheme="majorHAnsi"/>
                <w:sz w:val="20"/>
                <w:szCs w:val="20"/>
              </w:rPr>
              <w:t xml:space="preserve"> </w:t>
            </w:r>
          </w:p>
        </w:tc>
      </w:tr>
      <w:tr w:rsidR="00EF2FAF" w:rsidRPr="00D67495" w14:paraId="3E158323" w14:textId="77777777" w:rsidTr="009F4BAE">
        <w:trPr>
          <w:trHeight w:val="83"/>
        </w:trPr>
        <w:tc>
          <w:tcPr>
            <w:tcW w:w="5386" w:type="dxa"/>
          </w:tcPr>
          <w:p w14:paraId="3C4EF279" w14:textId="0F4CB8DD"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Gastrointestinal disorder</w:t>
            </w:r>
            <w:r w:rsidR="00C977C6">
              <w:rPr>
                <w:rFonts w:asciiTheme="majorHAnsi" w:hAnsiTheme="majorHAnsi"/>
                <w:sz w:val="20"/>
                <w:szCs w:val="20"/>
              </w:rPr>
              <w:t>s</w:t>
            </w:r>
            <w:r w:rsidRPr="00D67495">
              <w:rPr>
                <w:rFonts w:asciiTheme="majorHAnsi" w:hAnsiTheme="majorHAnsi"/>
                <w:sz w:val="20"/>
                <w:szCs w:val="20"/>
              </w:rPr>
              <w:t xml:space="preserve"> </w:t>
            </w:r>
          </w:p>
        </w:tc>
        <w:tc>
          <w:tcPr>
            <w:tcW w:w="2694" w:type="dxa"/>
          </w:tcPr>
          <w:p w14:paraId="402E8C9E" w14:textId="77777777" w:rsidR="00EF2FAF" w:rsidRDefault="00EF2FAF" w:rsidP="00FE0388">
            <w:pPr>
              <w:pStyle w:val="Default"/>
              <w:rPr>
                <w:rFonts w:asciiTheme="majorHAnsi" w:hAnsiTheme="majorHAnsi"/>
                <w:sz w:val="20"/>
                <w:szCs w:val="20"/>
              </w:rPr>
            </w:pPr>
            <w:r w:rsidRPr="00D67495">
              <w:rPr>
                <w:rFonts w:asciiTheme="majorHAnsi" w:hAnsiTheme="majorHAnsi"/>
                <w:sz w:val="20"/>
                <w:szCs w:val="20"/>
              </w:rPr>
              <w:t xml:space="preserve">Abdominal pain </w:t>
            </w:r>
            <w:r w:rsidRPr="00D67495">
              <w:rPr>
                <w:rFonts w:asciiTheme="majorHAnsi" w:hAnsiTheme="majorHAnsi"/>
                <w:sz w:val="20"/>
                <w:szCs w:val="20"/>
                <w:vertAlign w:val="superscript"/>
              </w:rPr>
              <w:t>c</w:t>
            </w:r>
            <w:r w:rsidRPr="00D67495">
              <w:rPr>
                <w:rFonts w:asciiTheme="majorHAnsi" w:hAnsiTheme="majorHAnsi"/>
                <w:sz w:val="20"/>
                <w:szCs w:val="20"/>
              </w:rPr>
              <w:t xml:space="preserve"> </w:t>
            </w:r>
          </w:p>
          <w:p w14:paraId="3BB8DD7B" w14:textId="6588EE2B" w:rsidR="00C977C6" w:rsidRPr="00D67495" w:rsidRDefault="00C977C6" w:rsidP="00FE0388">
            <w:pPr>
              <w:pStyle w:val="Default"/>
              <w:rPr>
                <w:rFonts w:asciiTheme="majorHAnsi" w:hAnsiTheme="majorHAnsi"/>
                <w:sz w:val="20"/>
                <w:szCs w:val="20"/>
              </w:rPr>
            </w:pPr>
            <w:r>
              <w:rPr>
                <w:rFonts w:asciiTheme="majorHAnsi" w:hAnsiTheme="majorHAnsi"/>
                <w:sz w:val="20"/>
                <w:szCs w:val="20"/>
              </w:rPr>
              <w:t>Diarrhoea</w:t>
            </w:r>
            <w:r w:rsidR="00473C0C">
              <w:rPr>
                <w:rFonts w:asciiTheme="majorHAnsi" w:hAnsiTheme="majorHAnsi"/>
                <w:sz w:val="20"/>
                <w:szCs w:val="20"/>
              </w:rPr>
              <w:t xml:space="preserve"> </w:t>
            </w:r>
            <w:r w:rsidR="005A2B7E" w:rsidRPr="005A2B7E">
              <w:rPr>
                <w:rFonts w:asciiTheme="majorHAnsi" w:hAnsiTheme="majorHAnsi"/>
                <w:sz w:val="20"/>
                <w:szCs w:val="20"/>
                <w:vertAlign w:val="superscript"/>
              </w:rPr>
              <w:t>d</w:t>
            </w:r>
          </w:p>
        </w:tc>
      </w:tr>
      <w:tr w:rsidR="00EF2FAF" w:rsidRPr="00D67495" w14:paraId="267F9C4A" w14:textId="77777777" w:rsidTr="009F4BAE">
        <w:trPr>
          <w:trHeight w:val="178"/>
        </w:trPr>
        <w:tc>
          <w:tcPr>
            <w:tcW w:w="5386" w:type="dxa"/>
          </w:tcPr>
          <w:p w14:paraId="5A54AC2E"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Skin and subcutaneous tissue disorders </w:t>
            </w:r>
          </w:p>
        </w:tc>
        <w:tc>
          <w:tcPr>
            <w:tcW w:w="2694" w:type="dxa"/>
          </w:tcPr>
          <w:p w14:paraId="7D5E5213" w14:textId="15266088"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Rash </w:t>
            </w:r>
            <w:r w:rsidR="005A2B7E">
              <w:rPr>
                <w:rFonts w:asciiTheme="majorHAnsi" w:hAnsiTheme="majorHAnsi"/>
                <w:sz w:val="20"/>
                <w:szCs w:val="20"/>
                <w:vertAlign w:val="superscript"/>
              </w:rPr>
              <w:t>e</w:t>
            </w:r>
          </w:p>
        </w:tc>
      </w:tr>
      <w:tr w:rsidR="00EF2FAF" w:rsidRPr="00D67495" w14:paraId="553900AD" w14:textId="77777777" w:rsidTr="009F4BAE">
        <w:trPr>
          <w:trHeight w:val="179"/>
        </w:trPr>
        <w:tc>
          <w:tcPr>
            <w:tcW w:w="5386" w:type="dxa"/>
          </w:tcPr>
          <w:p w14:paraId="089B8041"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Musculoskeletal and connective tissue disorders </w:t>
            </w:r>
          </w:p>
        </w:tc>
        <w:tc>
          <w:tcPr>
            <w:tcW w:w="2694" w:type="dxa"/>
          </w:tcPr>
          <w:p w14:paraId="5093E806" w14:textId="7C51F57A"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Muscle spasms</w:t>
            </w:r>
            <w:r w:rsidRPr="00D67495">
              <w:rPr>
                <w:rFonts w:asciiTheme="majorHAnsi" w:hAnsiTheme="majorHAnsi"/>
                <w:sz w:val="20"/>
                <w:szCs w:val="20"/>
                <w:vertAlign w:val="superscript"/>
              </w:rPr>
              <w:t xml:space="preserve"> </w:t>
            </w:r>
            <w:r w:rsidR="005A2B7E">
              <w:rPr>
                <w:rFonts w:asciiTheme="majorHAnsi" w:hAnsiTheme="majorHAnsi"/>
                <w:sz w:val="20"/>
                <w:szCs w:val="20"/>
                <w:vertAlign w:val="superscript"/>
              </w:rPr>
              <w:t>f</w:t>
            </w:r>
            <w:r w:rsidRPr="00D67495">
              <w:rPr>
                <w:rFonts w:asciiTheme="majorHAnsi" w:hAnsiTheme="majorHAnsi"/>
                <w:sz w:val="20"/>
                <w:szCs w:val="20"/>
                <w:vertAlign w:val="superscript"/>
              </w:rPr>
              <w:t xml:space="preserve"> </w:t>
            </w:r>
          </w:p>
        </w:tc>
      </w:tr>
      <w:tr w:rsidR="00EF2FAF" w:rsidRPr="00D67495" w14:paraId="237697D4" w14:textId="77777777" w:rsidTr="009F4BAE">
        <w:trPr>
          <w:trHeight w:val="178"/>
        </w:trPr>
        <w:tc>
          <w:tcPr>
            <w:tcW w:w="5386" w:type="dxa"/>
          </w:tcPr>
          <w:p w14:paraId="06DBC62A" w14:textId="77777777"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General disorders and administration site conditions </w:t>
            </w:r>
          </w:p>
        </w:tc>
        <w:tc>
          <w:tcPr>
            <w:tcW w:w="2694" w:type="dxa"/>
          </w:tcPr>
          <w:p w14:paraId="384E0084" w14:textId="04C9FB99" w:rsidR="00EF2FAF" w:rsidRPr="00D67495" w:rsidRDefault="00EF2FAF" w:rsidP="00FE0388">
            <w:pPr>
              <w:pStyle w:val="Default"/>
              <w:rPr>
                <w:rFonts w:asciiTheme="majorHAnsi" w:hAnsiTheme="majorHAnsi"/>
                <w:sz w:val="20"/>
                <w:szCs w:val="20"/>
              </w:rPr>
            </w:pPr>
            <w:r w:rsidRPr="00D67495">
              <w:rPr>
                <w:rFonts w:asciiTheme="majorHAnsi" w:hAnsiTheme="majorHAnsi"/>
                <w:sz w:val="20"/>
                <w:szCs w:val="20"/>
              </w:rPr>
              <w:t xml:space="preserve">Fatigue </w:t>
            </w:r>
            <w:r w:rsidR="005A2B7E">
              <w:rPr>
                <w:rFonts w:asciiTheme="majorHAnsi" w:hAnsiTheme="majorHAnsi"/>
                <w:sz w:val="20"/>
                <w:szCs w:val="20"/>
                <w:vertAlign w:val="superscript"/>
              </w:rPr>
              <w:t>g</w:t>
            </w:r>
          </w:p>
        </w:tc>
      </w:tr>
    </w:tbl>
    <w:p w14:paraId="7B5334C9" w14:textId="77777777" w:rsidR="001C3E45" w:rsidRPr="00D67495" w:rsidRDefault="001C3E45" w:rsidP="00FE0388">
      <w:pPr>
        <w:spacing w:after="0"/>
        <w:rPr>
          <w:rFonts w:asciiTheme="majorHAnsi" w:hAnsiTheme="majorHAnsi"/>
          <w:sz w:val="16"/>
          <w:szCs w:val="16"/>
        </w:rPr>
      </w:pPr>
      <w:proofErr w:type="gramStart"/>
      <w:r w:rsidRPr="00D67495">
        <w:rPr>
          <w:rFonts w:asciiTheme="majorHAnsi" w:hAnsiTheme="majorHAnsi"/>
          <w:sz w:val="16"/>
          <w:szCs w:val="16"/>
          <w:vertAlign w:val="superscript"/>
        </w:rPr>
        <w:t>a</w:t>
      </w:r>
      <w:proofErr w:type="gramEnd"/>
      <w:r w:rsidRPr="00D67495">
        <w:rPr>
          <w:rFonts w:asciiTheme="majorHAnsi" w:hAnsiTheme="majorHAnsi"/>
          <w:sz w:val="16"/>
          <w:szCs w:val="16"/>
        </w:rPr>
        <w:t xml:space="preserve"> </w:t>
      </w:r>
      <w:r w:rsidR="00EF2FAF" w:rsidRPr="00D67495">
        <w:rPr>
          <w:rFonts w:asciiTheme="majorHAnsi" w:hAnsiTheme="majorHAnsi"/>
          <w:sz w:val="16"/>
          <w:szCs w:val="16"/>
        </w:rPr>
        <w:t xml:space="preserve">Including sinus headache, tension headache </w:t>
      </w:r>
    </w:p>
    <w:p w14:paraId="6EBB0BE5" w14:textId="77777777" w:rsidR="001C3E45" w:rsidRPr="00D67495" w:rsidRDefault="00EF2FAF" w:rsidP="00FE0388">
      <w:pPr>
        <w:spacing w:after="0"/>
        <w:rPr>
          <w:rFonts w:asciiTheme="majorHAnsi" w:hAnsiTheme="majorHAnsi"/>
          <w:sz w:val="16"/>
          <w:szCs w:val="16"/>
        </w:rPr>
      </w:pPr>
      <w:r w:rsidRPr="00D67495">
        <w:rPr>
          <w:rFonts w:asciiTheme="majorHAnsi" w:hAnsiTheme="majorHAnsi"/>
          <w:sz w:val="16"/>
          <w:szCs w:val="16"/>
          <w:vertAlign w:val="superscript"/>
        </w:rPr>
        <w:t>b</w:t>
      </w:r>
      <w:r w:rsidRPr="00D67495">
        <w:rPr>
          <w:rFonts w:asciiTheme="majorHAnsi" w:hAnsiTheme="majorHAnsi"/>
          <w:sz w:val="16"/>
          <w:szCs w:val="16"/>
        </w:rPr>
        <w:t xml:space="preserve"> Including hypersomnia </w:t>
      </w:r>
    </w:p>
    <w:p w14:paraId="1CD875EA" w14:textId="77777777" w:rsidR="005A2B7E" w:rsidRDefault="00EF2FAF" w:rsidP="00FE0388">
      <w:pPr>
        <w:spacing w:after="0"/>
        <w:rPr>
          <w:rFonts w:asciiTheme="majorHAnsi" w:hAnsiTheme="majorHAnsi"/>
          <w:sz w:val="16"/>
          <w:szCs w:val="16"/>
        </w:rPr>
      </w:pPr>
      <w:r w:rsidRPr="00D67495">
        <w:rPr>
          <w:rFonts w:asciiTheme="majorHAnsi" w:hAnsiTheme="majorHAnsi"/>
          <w:sz w:val="16"/>
          <w:szCs w:val="16"/>
          <w:vertAlign w:val="superscript"/>
        </w:rPr>
        <w:t>c</w:t>
      </w:r>
      <w:r w:rsidRPr="00D67495">
        <w:rPr>
          <w:rFonts w:asciiTheme="majorHAnsi" w:hAnsiTheme="majorHAnsi"/>
          <w:sz w:val="16"/>
          <w:szCs w:val="16"/>
        </w:rPr>
        <w:t xml:space="preserve"> Including abdominal discomfort, abdominal pain lower/upper, gastrointestinal pain</w:t>
      </w:r>
    </w:p>
    <w:p w14:paraId="3E61239C" w14:textId="53C5D574" w:rsidR="001C3E45" w:rsidRPr="00D67495" w:rsidRDefault="005A2B7E" w:rsidP="00FE0388">
      <w:pPr>
        <w:spacing w:after="0"/>
        <w:rPr>
          <w:rFonts w:asciiTheme="majorHAnsi" w:hAnsiTheme="majorHAnsi"/>
          <w:sz w:val="16"/>
          <w:szCs w:val="16"/>
        </w:rPr>
      </w:pPr>
      <w:r>
        <w:rPr>
          <w:rFonts w:asciiTheme="majorHAnsi" w:hAnsiTheme="majorHAnsi"/>
          <w:sz w:val="16"/>
          <w:szCs w:val="16"/>
          <w:vertAlign w:val="superscript"/>
        </w:rPr>
        <w:t xml:space="preserve">d </w:t>
      </w:r>
      <w:r w:rsidRPr="005A2B7E">
        <w:rPr>
          <w:rFonts w:asciiTheme="majorHAnsi" w:hAnsiTheme="majorHAnsi"/>
          <w:sz w:val="16"/>
          <w:szCs w:val="16"/>
        </w:rPr>
        <w:t>Including frequent bowel movements, intestinal transit time decreased</w:t>
      </w:r>
    </w:p>
    <w:p w14:paraId="51468A8E" w14:textId="30BEC3C8" w:rsidR="001C3E45" w:rsidRPr="00D67495" w:rsidRDefault="005A2B7E" w:rsidP="00FE0388">
      <w:pPr>
        <w:spacing w:after="0"/>
        <w:rPr>
          <w:rFonts w:asciiTheme="majorHAnsi" w:hAnsiTheme="majorHAnsi"/>
          <w:sz w:val="16"/>
          <w:szCs w:val="16"/>
        </w:rPr>
      </w:pPr>
      <w:r>
        <w:rPr>
          <w:rFonts w:asciiTheme="majorHAnsi" w:hAnsiTheme="majorHAnsi"/>
          <w:sz w:val="16"/>
          <w:szCs w:val="16"/>
          <w:vertAlign w:val="superscript"/>
        </w:rPr>
        <w:t>e</w:t>
      </w:r>
      <w:r w:rsidR="00EF2FAF" w:rsidRPr="00D67495">
        <w:rPr>
          <w:rFonts w:asciiTheme="majorHAnsi" w:hAnsiTheme="majorHAnsi"/>
          <w:sz w:val="16"/>
          <w:szCs w:val="16"/>
        </w:rPr>
        <w:t xml:space="preserve"> Including rash maculo-papular, rash p</w:t>
      </w:r>
      <w:r w:rsidR="00196379">
        <w:rPr>
          <w:rFonts w:asciiTheme="majorHAnsi" w:hAnsiTheme="majorHAnsi"/>
          <w:sz w:val="16"/>
          <w:szCs w:val="16"/>
        </w:rPr>
        <w:t>a</w:t>
      </w:r>
      <w:r w:rsidR="00EF2FAF" w:rsidRPr="00D67495">
        <w:rPr>
          <w:rFonts w:asciiTheme="majorHAnsi" w:hAnsiTheme="majorHAnsi"/>
          <w:sz w:val="16"/>
          <w:szCs w:val="16"/>
        </w:rPr>
        <w:t>pular, rash pruritic</w:t>
      </w:r>
    </w:p>
    <w:p w14:paraId="5677552F" w14:textId="2169927F" w:rsidR="001C3E45" w:rsidRPr="00D67495" w:rsidRDefault="005A2B7E" w:rsidP="00FE0388">
      <w:pPr>
        <w:spacing w:after="0"/>
        <w:rPr>
          <w:rFonts w:asciiTheme="majorHAnsi" w:hAnsiTheme="majorHAnsi"/>
          <w:sz w:val="16"/>
          <w:szCs w:val="16"/>
        </w:rPr>
      </w:pPr>
      <w:r>
        <w:rPr>
          <w:rFonts w:asciiTheme="majorHAnsi" w:hAnsiTheme="majorHAnsi"/>
          <w:sz w:val="16"/>
          <w:szCs w:val="16"/>
          <w:vertAlign w:val="superscript"/>
        </w:rPr>
        <w:t>f</w:t>
      </w:r>
      <w:r w:rsidR="001C3E45" w:rsidRPr="00D67495">
        <w:rPr>
          <w:rFonts w:asciiTheme="majorHAnsi" w:hAnsiTheme="majorHAnsi"/>
          <w:sz w:val="16"/>
          <w:szCs w:val="16"/>
        </w:rPr>
        <w:t xml:space="preserve"> Including muscle tightness, musculoskeletal stiffness </w:t>
      </w:r>
    </w:p>
    <w:p w14:paraId="3A5516D0" w14:textId="6A25C682" w:rsidR="00EF2FAF" w:rsidRDefault="005A2B7E" w:rsidP="00FE0388">
      <w:pPr>
        <w:spacing w:after="0"/>
        <w:rPr>
          <w:rFonts w:asciiTheme="majorHAnsi" w:hAnsiTheme="majorHAnsi"/>
          <w:sz w:val="16"/>
          <w:szCs w:val="16"/>
        </w:rPr>
      </w:pPr>
      <w:r>
        <w:rPr>
          <w:rFonts w:asciiTheme="majorHAnsi" w:hAnsiTheme="majorHAnsi"/>
          <w:sz w:val="16"/>
          <w:szCs w:val="16"/>
          <w:vertAlign w:val="superscript"/>
        </w:rPr>
        <w:t>g</w:t>
      </w:r>
      <w:r w:rsidR="001C3E45" w:rsidRPr="00D67495">
        <w:rPr>
          <w:rFonts w:asciiTheme="majorHAnsi" w:hAnsiTheme="majorHAnsi"/>
          <w:sz w:val="16"/>
          <w:szCs w:val="16"/>
        </w:rPr>
        <w:t xml:space="preserve"> Including asthenia</w:t>
      </w:r>
    </w:p>
    <w:p w14:paraId="229796C0" w14:textId="77777777" w:rsidR="00365CBA" w:rsidRDefault="00365CBA" w:rsidP="00FE0388">
      <w:pPr>
        <w:spacing w:after="0"/>
        <w:rPr>
          <w:rFonts w:asciiTheme="majorHAnsi" w:hAnsiTheme="majorHAnsi"/>
          <w:sz w:val="16"/>
          <w:szCs w:val="16"/>
        </w:rPr>
      </w:pPr>
    </w:p>
    <w:p w14:paraId="66EDAA66" w14:textId="78950640" w:rsidR="00075AF0" w:rsidRPr="00E44C64" w:rsidRDefault="00075AF0" w:rsidP="00FE0388">
      <w:pPr>
        <w:spacing w:after="120" w:line="240" w:lineRule="auto"/>
        <w:rPr>
          <w:rFonts w:ascii="Cambria" w:hAnsi="Cambria"/>
          <w:b/>
          <w:bCs/>
          <w:i/>
          <w:iCs/>
        </w:rPr>
      </w:pPr>
      <w:r w:rsidRPr="00E44C64">
        <w:rPr>
          <w:rFonts w:ascii="Cambria" w:hAnsi="Cambria"/>
          <w:b/>
          <w:bCs/>
          <w:i/>
          <w:iCs/>
        </w:rPr>
        <w:t>Seizures or other convulsive disorders</w:t>
      </w:r>
    </w:p>
    <w:p w14:paraId="14F9C909" w14:textId="5D124721" w:rsidR="00847ED3" w:rsidRDefault="00075AF0" w:rsidP="00FE0388">
      <w:pPr>
        <w:spacing w:after="0"/>
        <w:rPr>
          <w:rFonts w:ascii="Cambria" w:hAnsi="Cambria"/>
        </w:rPr>
      </w:pPr>
      <w:r w:rsidRPr="00075AF0">
        <w:rPr>
          <w:rFonts w:ascii="Cambria" w:hAnsi="Cambria"/>
        </w:rPr>
        <w:t>A total of 7 patients with a history of seizures were included in the clinical trials. One of these patients reported generalized tonic-</w:t>
      </w:r>
      <w:proofErr w:type="spellStart"/>
      <w:r w:rsidRPr="00075AF0">
        <w:rPr>
          <w:rFonts w:ascii="Cambria" w:hAnsi="Cambria"/>
        </w:rPr>
        <w:t>clonic</w:t>
      </w:r>
      <w:proofErr w:type="spellEnd"/>
      <w:r w:rsidRPr="00075AF0">
        <w:rPr>
          <w:rFonts w:ascii="Cambria" w:hAnsi="Cambria"/>
        </w:rPr>
        <w:t xml:space="preserve"> seizure 46 days after initiating treatment with LYNKUET. The patient had not experienced seizures or required anti-seizure medications for at least eight years prior to starting LYNKUET. A causal relationship between LYNKUET and a risk for seizures has not been established.</w:t>
      </w:r>
    </w:p>
    <w:p w14:paraId="229DB141" w14:textId="77777777" w:rsidR="00A80AED" w:rsidRPr="00A80AED" w:rsidRDefault="00A80AED" w:rsidP="00FE0388">
      <w:pPr>
        <w:spacing w:after="0" w:line="240" w:lineRule="auto"/>
        <w:rPr>
          <w:rFonts w:ascii="Cambria" w:hAnsi="Cambria"/>
        </w:rPr>
      </w:pPr>
    </w:p>
    <w:p w14:paraId="09212790" w14:textId="3A93FE35" w:rsidR="0021200F" w:rsidRPr="00D67495" w:rsidRDefault="0021200F" w:rsidP="00FE0388">
      <w:pPr>
        <w:pStyle w:val="Heading3"/>
        <w:spacing w:before="120"/>
        <w:ind w:left="0"/>
      </w:pPr>
      <w:r w:rsidRPr="00D67495">
        <w:t>Reporting suspected adverse effects</w:t>
      </w:r>
    </w:p>
    <w:p w14:paraId="57F7685F" w14:textId="77777777" w:rsidR="005B2812" w:rsidRPr="00D67495" w:rsidRDefault="005B2812" w:rsidP="00FE0388">
      <w:pPr>
        <w:rPr>
          <w:rFonts w:asciiTheme="majorHAnsi" w:hAnsiTheme="majorHAnsi"/>
        </w:rPr>
      </w:pPr>
      <w:r w:rsidRPr="00D67495">
        <w:rPr>
          <w:rFonts w:asciiTheme="majorHAnsi" w:hAnsiTheme="majorHAnsi"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D67495">
          <w:rPr>
            <w:rStyle w:val="Hyperlink"/>
            <w:rFonts w:asciiTheme="majorHAnsi" w:hAnsiTheme="majorHAnsi" w:cstheme="minorHAnsi"/>
          </w:rPr>
          <w:t>www.tga.gov.au/reporting-problems</w:t>
        </w:r>
      </w:hyperlink>
      <w:r w:rsidRPr="00D67495">
        <w:rPr>
          <w:rFonts w:asciiTheme="majorHAnsi" w:hAnsiTheme="majorHAnsi" w:cstheme="minorHAnsi"/>
        </w:rPr>
        <w:t>.</w:t>
      </w:r>
    </w:p>
    <w:p w14:paraId="496BF308" w14:textId="77777777" w:rsidR="001A3992" w:rsidRPr="00D67495" w:rsidRDefault="001A3992" w:rsidP="00FE0388">
      <w:pPr>
        <w:pStyle w:val="Heading2"/>
        <w:keepNext/>
        <w:keepLines/>
        <w:spacing w:before="0" w:after="120"/>
      </w:pPr>
      <w:r w:rsidRPr="00D67495">
        <w:t>Overdose</w:t>
      </w:r>
    </w:p>
    <w:p w14:paraId="494929BB" w14:textId="0C817F0A" w:rsidR="007C761B" w:rsidRPr="007D2540" w:rsidRDefault="007C761B" w:rsidP="00FE0388">
      <w:pPr>
        <w:pStyle w:val="BayerBodyTextFull"/>
        <w:spacing w:before="0" w:after="0"/>
        <w:rPr>
          <w:rFonts w:asciiTheme="majorHAnsi" w:hAnsiTheme="majorHAnsi"/>
          <w:sz w:val="22"/>
        </w:rPr>
      </w:pPr>
      <w:r w:rsidRPr="007D2540">
        <w:rPr>
          <w:rFonts w:asciiTheme="majorHAnsi" w:hAnsiTheme="majorHAnsi"/>
          <w:sz w:val="22"/>
        </w:rPr>
        <w:t xml:space="preserve">There </w:t>
      </w:r>
      <w:r w:rsidR="00FB6497">
        <w:rPr>
          <w:rFonts w:asciiTheme="majorHAnsi" w:hAnsiTheme="majorHAnsi"/>
          <w:sz w:val="22"/>
        </w:rPr>
        <w:t>were</w:t>
      </w:r>
      <w:r w:rsidR="00FB6497" w:rsidRPr="007D2540">
        <w:rPr>
          <w:rFonts w:asciiTheme="majorHAnsi" w:hAnsiTheme="majorHAnsi"/>
          <w:sz w:val="22"/>
        </w:rPr>
        <w:t xml:space="preserve"> </w:t>
      </w:r>
      <w:r w:rsidRPr="007D2540">
        <w:rPr>
          <w:rFonts w:asciiTheme="majorHAnsi" w:hAnsiTheme="majorHAnsi"/>
          <w:sz w:val="22"/>
        </w:rPr>
        <w:t>no cases of overdose reported</w:t>
      </w:r>
      <w:r w:rsidR="00FB6497">
        <w:rPr>
          <w:rFonts w:asciiTheme="majorHAnsi" w:hAnsiTheme="majorHAnsi"/>
          <w:sz w:val="22"/>
        </w:rPr>
        <w:t xml:space="preserve"> </w:t>
      </w:r>
      <w:r w:rsidR="00FB6497" w:rsidRPr="00FB6497">
        <w:rPr>
          <w:rFonts w:asciiTheme="majorHAnsi" w:hAnsiTheme="majorHAnsi"/>
          <w:sz w:val="22"/>
        </w:rPr>
        <w:t>in pre-market clinical trials</w:t>
      </w:r>
      <w:r w:rsidRPr="007D2540">
        <w:rPr>
          <w:rFonts w:asciiTheme="majorHAnsi" w:hAnsiTheme="majorHAnsi"/>
          <w:sz w:val="22"/>
        </w:rPr>
        <w:t>.</w:t>
      </w:r>
      <w:r w:rsidR="00FE0388">
        <w:rPr>
          <w:rFonts w:asciiTheme="majorHAnsi" w:hAnsiTheme="majorHAnsi"/>
          <w:sz w:val="22"/>
        </w:rPr>
        <w:t xml:space="preserve"> </w:t>
      </w:r>
      <w:r w:rsidRPr="007D2540">
        <w:rPr>
          <w:rFonts w:asciiTheme="majorHAnsi" w:hAnsiTheme="majorHAnsi"/>
          <w:sz w:val="22"/>
        </w:rPr>
        <w:t>Single doses of LYNKUET up to 600 mg have been tested in clinical studies in healthy</w:t>
      </w:r>
      <w:r w:rsidR="00FE0388">
        <w:rPr>
          <w:rFonts w:asciiTheme="majorHAnsi" w:hAnsiTheme="majorHAnsi"/>
          <w:sz w:val="22"/>
        </w:rPr>
        <w:t xml:space="preserve"> </w:t>
      </w:r>
      <w:r w:rsidRPr="007D2540">
        <w:rPr>
          <w:rFonts w:asciiTheme="majorHAnsi" w:hAnsiTheme="majorHAnsi"/>
          <w:sz w:val="22"/>
        </w:rPr>
        <w:t xml:space="preserve">volunteers. Adverse events at higher doses were </w:t>
      </w:r>
      <w:proofErr w:type="gramStart"/>
      <w:r w:rsidRPr="007D2540">
        <w:rPr>
          <w:rFonts w:asciiTheme="majorHAnsi" w:hAnsiTheme="majorHAnsi"/>
          <w:sz w:val="22"/>
        </w:rPr>
        <w:t>similar to</w:t>
      </w:r>
      <w:proofErr w:type="gramEnd"/>
      <w:r w:rsidRPr="007D2540">
        <w:rPr>
          <w:rFonts w:asciiTheme="majorHAnsi" w:hAnsiTheme="majorHAnsi"/>
          <w:sz w:val="22"/>
        </w:rPr>
        <w:t xml:space="preserve"> those observed with the therapeutic</w:t>
      </w:r>
      <w:r w:rsidR="00273E0C" w:rsidRPr="007D2540">
        <w:rPr>
          <w:rFonts w:asciiTheme="majorHAnsi" w:hAnsiTheme="majorHAnsi"/>
          <w:sz w:val="22"/>
        </w:rPr>
        <w:t xml:space="preserve"> </w:t>
      </w:r>
      <w:proofErr w:type="gramStart"/>
      <w:r w:rsidRPr="007D2540">
        <w:rPr>
          <w:rFonts w:asciiTheme="majorHAnsi" w:hAnsiTheme="majorHAnsi"/>
          <w:sz w:val="22"/>
        </w:rPr>
        <w:t>dose, but</w:t>
      </w:r>
      <w:proofErr w:type="gramEnd"/>
      <w:r w:rsidRPr="007D2540">
        <w:rPr>
          <w:rFonts w:asciiTheme="majorHAnsi" w:hAnsiTheme="majorHAnsi"/>
          <w:sz w:val="22"/>
        </w:rPr>
        <w:t xml:space="preserve"> occurred slightly more often and with moderately higher intensity. Multiple once</w:t>
      </w:r>
      <w:r w:rsidR="00273E0C" w:rsidRPr="007D2540">
        <w:rPr>
          <w:rFonts w:asciiTheme="majorHAnsi" w:hAnsiTheme="majorHAnsi"/>
          <w:sz w:val="22"/>
        </w:rPr>
        <w:t xml:space="preserve"> </w:t>
      </w:r>
      <w:r w:rsidRPr="007D2540">
        <w:rPr>
          <w:rFonts w:asciiTheme="majorHAnsi" w:hAnsiTheme="majorHAnsi"/>
          <w:sz w:val="22"/>
        </w:rPr>
        <w:t>daily doses up to 240 mg over 5 days were well tolerated. No dose limiting toxicities were</w:t>
      </w:r>
      <w:r w:rsidR="00273E0C" w:rsidRPr="007D2540">
        <w:rPr>
          <w:rFonts w:asciiTheme="majorHAnsi" w:hAnsiTheme="majorHAnsi"/>
          <w:sz w:val="22"/>
        </w:rPr>
        <w:t xml:space="preserve"> </w:t>
      </w:r>
      <w:r w:rsidRPr="007D2540">
        <w:rPr>
          <w:rFonts w:asciiTheme="majorHAnsi" w:hAnsiTheme="majorHAnsi"/>
          <w:sz w:val="22"/>
        </w:rPr>
        <w:t xml:space="preserve">observed with tested doses. </w:t>
      </w:r>
    </w:p>
    <w:p w14:paraId="33892303" w14:textId="77777777" w:rsidR="004D17C4" w:rsidRDefault="004D17C4" w:rsidP="00FE0388">
      <w:pPr>
        <w:pStyle w:val="BayerBodyTextFull"/>
        <w:spacing w:before="0" w:after="0"/>
        <w:rPr>
          <w:rFonts w:asciiTheme="majorHAnsi" w:hAnsiTheme="majorHAnsi"/>
          <w:sz w:val="22"/>
        </w:rPr>
      </w:pPr>
    </w:p>
    <w:p w14:paraId="2E8EB4B5" w14:textId="614F1FF0" w:rsidR="007C761B" w:rsidRDefault="007C761B" w:rsidP="00FE0388">
      <w:pPr>
        <w:pStyle w:val="BayerBodyTextFull"/>
        <w:spacing w:before="0" w:after="0"/>
        <w:rPr>
          <w:rFonts w:asciiTheme="majorHAnsi" w:hAnsiTheme="majorHAnsi"/>
          <w:sz w:val="22"/>
        </w:rPr>
      </w:pPr>
      <w:r w:rsidRPr="007D2540">
        <w:rPr>
          <w:rFonts w:asciiTheme="majorHAnsi" w:hAnsiTheme="majorHAnsi"/>
          <w:sz w:val="22"/>
        </w:rPr>
        <w:lastRenderedPageBreak/>
        <w:t>In the case of overdose, the individual should be closely monitored, and supportive treatment</w:t>
      </w:r>
      <w:r w:rsidR="00273E0C" w:rsidRPr="007D2540">
        <w:rPr>
          <w:rFonts w:asciiTheme="majorHAnsi" w:hAnsiTheme="majorHAnsi"/>
          <w:sz w:val="22"/>
        </w:rPr>
        <w:t xml:space="preserve"> </w:t>
      </w:r>
      <w:r w:rsidRPr="007D2540">
        <w:rPr>
          <w:rFonts w:asciiTheme="majorHAnsi" w:hAnsiTheme="majorHAnsi"/>
          <w:sz w:val="22"/>
        </w:rPr>
        <w:t>should be considered based on signs and symptoms.</w:t>
      </w:r>
    </w:p>
    <w:p w14:paraId="3B7A2B81" w14:textId="77777777" w:rsidR="004D17C4" w:rsidRPr="007D2540" w:rsidRDefault="004D17C4" w:rsidP="00FE0388">
      <w:pPr>
        <w:pStyle w:val="BayerBodyTextFull"/>
        <w:spacing w:before="0" w:after="0"/>
        <w:rPr>
          <w:rFonts w:asciiTheme="majorHAnsi" w:hAnsiTheme="majorHAnsi"/>
          <w:sz w:val="22"/>
        </w:rPr>
      </w:pPr>
    </w:p>
    <w:p w14:paraId="381A5198" w14:textId="319EE8C6" w:rsidR="00273E0C" w:rsidRDefault="007C761B" w:rsidP="00FE0388">
      <w:pPr>
        <w:pStyle w:val="BayerBodyTextFull"/>
        <w:spacing w:before="0" w:after="0"/>
        <w:rPr>
          <w:rFonts w:asciiTheme="majorHAnsi" w:hAnsiTheme="majorHAnsi"/>
          <w:sz w:val="22"/>
        </w:rPr>
      </w:pPr>
      <w:r w:rsidRPr="007D2540">
        <w:rPr>
          <w:rFonts w:asciiTheme="majorHAnsi" w:hAnsiTheme="majorHAnsi"/>
          <w:sz w:val="22"/>
        </w:rPr>
        <w:t>There is no specific antidote for LYNKUET.</w:t>
      </w:r>
    </w:p>
    <w:p w14:paraId="281C139A" w14:textId="77777777" w:rsidR="004D17C4" w:rsidRPr="004D17C4" w:rsidRDefault="004D17C4" w:rsidP="00FE0388">
      <w:pPr>
        <w:pStyle w:val="BayerBodyTextFull"/>
        <w:spacing w:before="0" w:after="0"/>
        <w:rPr>
          <w:rFonts w:asciiTheme="majorHAnsi" w:hAnsiTheme="majorHAnsi" w:cstheme="minorHAnsi"/>
          <w:sz w:val="22"/>
        </w:rPr>
      </w:pPr>
    </w:p>
    <w:p w14:paraId="3454BB36" w14:textId="5828CC64" w:rsidR="004D17C4" w:rsidRDefault="005B2812" w:rsidP="00FE0388">
      <w:pPr>
        <w:rPr>
          <w:rFonts w:asciiTheme="majorHAnsi" w:hAnsiTheme="majorHAnsi" w:cstheme="minorHAnsi"/>
        </w:rPr>
      </w:pPr>
      <w:r w:rsidRPr="00D67495">
        <w:rPr>
          <w:rFonts w:asciiTheme="majorHAnsi" w:hAnsiTheme="majorHAnsi" w:cstheme="minorHAnsi"/>
        </w:rPr>
        <w:t>For information on the management of overdose, contact the Poisons Information Centre on 13 11 26 (Australia).</w:t>
      </w:r>
    </w:p>
    <w:p w14:paraId="29BEBD5D" w14:textId="77777777" w:rsidR="001A3992" w:rsidRPr="00D67495" w:rsidRDefault="001A3992" w:rsidP="00FE0388">
      <w:pPr>
        <w:pStyle w:val="Heading1"/>
        <w:spacing w:before="0" w:after="120"/>
      </w:pPr>
      <w:r w:rsidRPr="00D67495">
        <w:t>Pharmacological properties</w:t>
      </w:r>
    </w:p>
    <w:p w14:paraId="15735B53" w14:textId="77777777" w:rsidR="001A3992" w:rsidRPr="00D67495" w:rsidRDefault="001A3992" w:rsidP="00FE0388">
      <w:pPr>
        <w:pStyle w:val="Heading2"/>
        <w:spacing w:before="0" w:after="120"/>
      </w:pPr>
      <w:bookmarkStart w:id="4" w:name="_Ref171429212"/>
      <w:r w:rsidRPr="00D67495">
        <w:t>Pharmacodynamic properties</w:t>
      </w:r>
      <w:bookmarkEnd w:id="4"/>
      <w:r w:rsidRPr="00D67495">
        <w:t xml:space="preserve"> </w:t>
      </w:r>
    </w:p>
    <w:p w14:paraId="05833E05" w14:textId="77777777" w:rsidR="001A3992" w:rsidRPr="00D67495" w:rsidRDefault="001A3992" w:rsidP="00FE0388">
      <w:pPr>
        <w:pStyle w:val="Heading3"/>
        <w:spacing w:before="0" w:after="120"/>
        <w:ind w:left="0"/>
      </w:pPr>
      <w:r w:rsidRPr="00D67495">
        <w:t>Mechanism of action</w:t>
      </w:r>
    </w:p>
    <w:p w14:paraId="0C9CE096" w14:textId="459CE66E" w:rsidR="00273E0C" w:rsidRPr="00D67495" w:rsidRDefault="003729E7" w:rsidP="00FE0388">
      <w:pPr>
        <w:spacing w:after="0"/>
        <w:rPr>
          <w:rFonts w:asciiTheme="majorHAnsi" w:hAnsiTheme="majorHAnsi"/>
        </w:rPr>
      </w:pPr>
      <w:r>
        <w:rPr>
          <w:rFonts w:asciiTheme="majorHAnsi" w:hAnsiTheme="majorHAnsi"/>
        </w:rPr>
        <w:t>Elinzanetant</w:t>
      </w:r>
      <w:r w:rsidRPr="00D67495">
        <w:rPr>
          <w:rFonts w:asciiTheme="majorHAnsi" w:hAnsiTheme="majorHAnsi"/>
        </w:rPr>
        <w:t xml:space="preserve"> </w:t>
      </w:r>
      <w:r w:rsidR="00273E0C" w:rsidRPr="00D67495">
        <w:rPr>
          <w:rFonts w:asciiTheme="majorHAnsi" w:hAnsiTheme="majorHAnsi"/>
        </w:rPr>
        <w:t>is a non-hormonal, selective neurokinin 1 (NK</w:t>
      </w:r>
      <w:r w:rsidR="00273E0C" w:rsidRPr="003729E7">
        <w:rPr>
          <w:rFonts w:asciiTheme="majorHAnsi" w:hAnsiTheme="majorHAnsi"/>
          <w:vertAlign w:val="subscript"/>
        </w:rPr>
        <w:t>1</w:t>
      </w:r>
      <w:r w:rsidR="00273E0C" w:rsidRPr="00D67495">
        <w:rPr>
          <w:rFonts w:asciiTheme="majorHAnsi" w:hAnsiTheme="majorHAnsi"/>
        </w:rPr>
        <w:t>) and 3 (NK</w:t>
      </w:r>
      <w:r w:rsidR="00273E0C" w:rsidRPr="003729E7">
        <w:rPr>
          <w:rFonts w:asciiTheme="majorHAnsi" w:hAnsiTheme="majorHAnsi"/>
          <w:vertAlign w:val="subscript"/>
        </w:rPr>
        <w:t>3</w:t>
      </w:r>
      <w:r w:rsidR="00273E0C" w:rsidRPr="00D67495">
        <w:rPr>
          <w:rFonts w:asciiTheme="majorHAnsi" w:hAnsiTheme="majorHAnsi"/>
        </w:rPr>
        <w:t>) receptors</w:t>
      </w:r>
      <w:r w:rsidR="003A7455">
        <w:rPr>
          <w:rFonts w:asciiTheme="majorHAnsi" w:hAnsiTheme="majorHAnsi"/>
        </w:rPr>
        <w:t xml:space="preserve"> </w:t>
      </w:r>
      <w:r w:rsidR="00273E0C" w:rsidRPr="00D67495">
        <w:rPr>
          <w:rFonts w:asciiTheme="majorHAnsi" w:hAnsiTheme="majorHAnsi"/>
        </w:rPr>
        <w:t>antagonist that blocks NK</w:t>
      </w:r>
      <w:r w:rsidR="00273E0C" w:rsidRPr="003729E7">
        <w:rPr>
          <w:rFonts w:asciiTheme="majorHAnsi" w:hAnsiTheme="majorHAnsi"/>
          <w:vertAlign w:val="subscript"/>
        </w:rPr>
        <w:t>1</w:t>
      </w:r>
      <w:r w:rsidR="00273E0C" w:rsidRPr="00D67495">
        <w:rPr>
          <w:rFonts w:asciiTheme="majorHAnsi" w:hAnsiTheme="majorHAnsi"/>
        </w:rPr>
        <w:t xml:space="preserve"> and NK</w:t>
      </w:r>
      <w:r w:rsidR="00273E0C" w:rsidRPr="003729E7">
        <w:rPr>
          <w:rFonts w:asciiTheme="majorHAnsi" w:hAnsiTheme="majorHAnsi"/>
          <w:vertAlign w:val="subscript"/>
        </w:rPr>
        <w:t>3</w:t>
      </w:r>
      <w:r w:rsidR="00273E0C" w:rsidRPr="00D67495">
        <w:rPr>
          <w:rFonts w:asciiTheme="majorHAnsi" w:hAnsiTheme="majorHAnsi"/>
        </w:rPr>
        <w:t xml:space="preserve"> receptor signa</w:t>
      </w:r>
      <w:r w:rsidR="00893F65">
        <w:rPr>
          <w:rFonts w:asciiTheme="majorHAnsi" w:hAnsiTheme="majorHAnsi"/>
        </w:rPr>
        <w:t>l</w:t>
      </w:r>
      <w:r w:rsidR="00273E0C" w:rsidRPr="00D67495">
        <w:rPr>
          <w:rFonts w:asciiTheme="majorHAnsi" w:hAnsiTheme="majorHAnsi"/>
        </w:rPr>
        <w:t>ling on kisspeptin/neurokinin</w:t>
      </w:r>
      <w:r w:rsidR="00C553A4">
        <w:rPr>
          <w:rFonts w:asciiTheme="majorHAnsi" w:hAnsiTheme="majorHAnsi"/>
        </w:rPr>
        <w:t xml:space="preserve"> </w:t>
      </w:r>
      <w:r w:rsidR="00273E0C" w:rsidRPr="00D67495">
        <w:rPr>
          <w:rFonts w:asciiTheme="majorHAnsi" w:hAnsiTheme="majorHAnsi"/>
        </w:rPr>
        <w:t>B/dynorphin (</w:t>
      </w:r>
      <w:proofErr w:type="spellStart"/>
      <w:r w:rsidR="00273E0C" w:rsidRPr="00D67495">
        <w:rPr>
          <w:rFonts w:asciiTheme="majorHAnsi" w:hAnsiTheme="majorHAnsi"/>
        </w:rPr>
        <w:t>KNDy</w:t>
      </w:r>
      <w:proofErr w:type="spellEnd"/>
      <w:r w:rsidR="00273E0C" w:rsidRPr="00D67495">
        <w:rPr>
          <w:rFonts w:asciiTheme="majorHAnsi" w:hAnsiTheme="majorHAnsi"/>
        </w:rPr>
        <w:t>) neurons to modulate neuronal activity involved in thermo- and sleep</w:t>
      </w:r>
      <w:r w:rsidR="00C553A4">
        <w:rPr>
          <w:rFonts w:asciiTheme="majorHAnsi" w:hAnsiTheme="majorHAnsi"/>
        </w:rPr>
        <w:t xml:space="preserve"> </w:t>
      </w:r>
      <w:r w:rsidR="00273E0C" w:rsidRPr="00D67495">
        <w:rPr>
          <w:rFonts w:asciiTheme="majorHAnsi" w:hAnsiTheme="majorHAnsi"/>
        </w:rPr>
        <w:t xml:space="preserve">regulation. </w:t>
      </w:r>
      <w:proofErr w:type="spellStart"/>
      <w:r w:rsidR="00273E0C" w:rsidRPr="00D67495">
        <w:rPr>
          <w:rFonts w:asciiTheme="majorHAnsi" w:hAnsiTheme="majorHAnsi"/>
        </w:rPr>
        <w:t>KNDy</w:t>
      </w:r>
      <w:proofErr w:type="spellEnd"/>
      <w:r w:rsidR="00273E0C" w:rsidRPr="00D67495">
        <w:rPr>
          <w:rFonts w:asciiTheme="majorHAnsi" w:hAnsiTheme="majorHAnsi"/>
        </w:rPr>
        <w:t xml:space="preserve"> neurons in the hypothalamus are hyperactivated due to estrogen decline in</w:t>
      </w:r>
      <w:r w:rsidR="00C553A4">
        <w:rPr>
          <w:rFonts w:asciiTheme="majorHAnsi" w:hAnsiTheme="majorHAnsi"/>
        </w:rPr>
        <w:t xml:space="preserve"> </w:t>
      </w:r>
      <w:r w:rsidR="00273E0C" w:rsidRPr="00D67495">
        <w:rPr>
          <w:rFonts w:asciiTheme="majorHAnsi" w:hAnsiTheme="majorHAnsi"/>
        </w:rPr>
        <w:t xml:space="preserve">menopause. </w:t>
      </w:r>
    </w:p>
    <w:p w14:paraId="13052172" w14:textId="77777777" w:rsidR="00273E0C" w:rsidRPr="00D67495" w:rsidRDefault="00273E0C" w:rsidP="00FE0388">
      <w:pPr>
        <w:spacing w:after="0"/>
        <w:rPr>
          <w:rFonts w:asciiTheme="majorHAnsi" w:hAnsiTheme="majorHAnsi"/>
        </w:rPr>
      </w:pPr>
    </w:p>
    <w:p w14:paraId="16B0D341" w14:textId="1E6EE138" w:rsidR="00DC6449" w:rsidRPr="00D67495" w:rsidRDefault="00273E0C" w:rsidP="00FE0388">
      <w:pPr>
        <w:spacing w:after="0"/>
        <w:rPr>
          <w:rFonts w:asciiTheme="majorHAnsi" w:hAnsiTheme="majorHAnsi"/>
        </w:rPr>
      </w:pPr>
      <w:r w:rsidRPr="00D67495">
        <w:rPr>
          <w:rFonts w:asciiTheme="majorHAnsi" w:hAnsiTheme="majorHAnsi"/>
        </w:rPr>
        <w:t>Elinzanetant has high affinity for human NK</w:t>
      </w:r>
      <w:r w:rsidRPr="003729E7">
        <w:rPr>
          <w:rFonts w:asciiTheme="majorHAnsi" w:hAnsiTheme="majorHAnsi"/>
          <w:vertAlign w:val="subscript"/>
        </w:rPr>
        <w:t>1</w:t>
      </w:r>
      <w:r w:rsidRPr="00D67495">
        <w:rPr>
          <w:rFonts w:asciiTheme="majorHAnsi" w:hAnsiTheme="majorHAnsi"/>
        </w:rPr>
        <w:t xml:space="preserve"> receptors (</w:t>
      </w:r>
      <w:proofErr w:type="spellStart"/>
      <w:r w:rsidRPr="00D67495">
        <w:rPr>
          <w:rFonts w:asciiTheme="majorHAnsi" w:hAnsiTheme="majorHAnsi"/>
        </w:rPr>
        <w:t>pKi</w:t>
      </w:r>
      <w:proofErr w:type="spellEnd"/>
      <w:r w:rsidRPr="00D67495">
        <w:rPr>
          <w:rFonts w:asciiTheme="majorHAnsi" w:hAnsiTheme="majorHAnsi"/>
        </w:rPr>
        <w:t xml:space="preserve"> values of 8.7 to 10.2) and NK</w:t>
      </w:r>
      <w:r w:rsidRPr="003729E7">
        <w:rPr>
          <w:rFonts w:asciiTheme="majorHAnsi" w:hAnsiTheme="majorHAnsi"/>
          <w:vertAlign w:val="subscript"/>
        </w:rPr>
        <w:t>3</w:t>
      </w:r>
      <w:r w:rsidR="00C553A4">
        <w:rPr>
          <w:rFonts w:asciiTheme="majorHAnsi" w:hAnsiTheme="majorHAnsi"/>
          <w:vertAlign w:val="subscript"/>
        </w:rPr>
        <w:t xml:space="preserve"> </w:t>
      </w:r>
      <w:r w:rsidRPr="00D67495">
        <w:rPr>
          <w:rFonts w:asciiTheme="majorHAnsi" w:hAnsiTheme="majorHAnsi"/>
        </w:rPr>
        <w:t>receptors (</w:t>
      </w:r>
      <w:proofErr w:type="spellStart"/>
      <w:r w:rsidRPr="00D67495">
        <w:rPr>
          <w:rFonts w:asciiTheme="majorHAnsi" w:hAnsiTheme="majorHAnsi"/>
        </w:rPr>
        <w:t>pKi</w:t>
      </w:r>
      <w:proofErr w:type="spellEnd"/>
      <w:r w:rsidRPr="00D67495">
        <w:rPr>
          <w:rFonts w:asciiTheme="majorHAnsi" w:hAnsiTheme="majorHAnsi"/>
        </w:rPr>
        <w:t xml:space="preserve"> values 8.0 to 8.8), and not for human NK</w:t>
      </w:r>
      <w:r w:rsidRPr="008A2049">
        <w:rPr>
          <w:rFonts w:asciiTheme="majorHAnsi" w:hAnsiTheme="majorHAnsi"/>
          <w:vertAlign w:val="subscript"/>
        </w:rPr>
        <w:t>2</w:t>
      </w:r>
      <w:r w:rsidRPr="00D67495">
        <w:rPr>
          <w:rFonts w:asciiTheme="majorHAnsi" w:hAnsiTheme="majorHAnsi"/>
        </w:rPr>
        <w:t xml:space="preserve"> receptors (as shown by a low </w:t>
      </w:r>
      <w:proofErr w:type="spellStart"/>
      <w:r w:rsidRPr="00D67495">
        <w:rPr>
          <w:rFonts w:asciiTheme="majorHAnsi" w:hAnsiTheme="majorHAnsi"/>
        </w:rPr>
        <w:t>pKi</w:t>
      </w:r>
      <w:proofErr w:type="spellEnd"/>
      <w:r w:rsidR="00C553A4">
        <w:rPr>
          <w:rFonts w:asciiTheme="majorHAnsi" w:hAnsiTheme="majorHAnsi"/>
        </w:rPr>
        <w:t xml:space="preserve"> </w:t>
      </w:r>
      <w:r w:rsidRPr="00D67495">
        <w:rPr>
          <w:rFonts w:asciiTheme="majorHAnsi" w:hAnsiTheme="majorHAnsi"/>
        </w:rPr>
        <w:t>of 6.0). Elinzanetant is more than 100-fold selective for the human NK</w:t>
      </w:r>
      <w:r w:rsidRPr="00850C8E">
        <w:rPr>
          <w:rFonts w:asciiTheme="majorHAnsi" w:hAnsiTheme="majorHAnsi"/>
          <w:vertAlign w:val="subscript"/>
        </w:rPr>
        <w:t>3</w:t>
      </w:r>
      <w:r w:rsidRPr="00D67495">
        <w:rPr>
          <w:rFonts w:asciiTheme="majorHAnsi" w:hAnsiTheme="majorHAnsi"/>
        </w:rPr>
        <w:t xml:space="preserve"> receptor and more</w:t>
      </w:r>
      <w:r w:rsidR="00C553A4">
        <w:rPr>
          <w:rFonts w:asciiTheme="majorHAnsi" w:hAnsiTheme="majorHAnsi"/>
        </w:rPr>
        <w:t xml:space="preserve"> </w:t>
      </w:r>
      <w:r w:rsidRPr="00D67495">
        <w:rPr>
          <w:rFonts w:asciiTheme="majorHAnsi" w:hAnsiTheme="majorHAnsi"/>
        </w:rPr>
        <w:t>than 300-fold for the human NK</w:t>
      </w:r>
      <w:r w:rsidRPr="00850C8E">
        <w:rPr>
          <w:rFonts w:asciiTheme="majorHAnsi" w:hAnsiTheme="majorHAnsi"/>
          <w:vertAlign w:val="subscript"/>
        </w:rPr>
        <w:t>1</w:t>
      </w:r>
      <w:r w:rsidRPr="00D67495">
        <w:rPr>
          <w:rFonts w:asciiTheme="majorHAnsi" w:hAnsiTheme="majorHAnsi"/>
        </w:rPr>
        <w:t xml:space="preserve"> receptor versus multiple other non-NK receptors and off</w:t>
      </w:r>
      <w:r w:rsidR="00850C8E">
        <w:rPr>
          <w:rFonts w:asciiTheme="majorHAnsi" w:hAnsiTheme="majorHAnsi"/>
        </w:rPr>
        <w:t>-</w:t>
      </w:r>
      <w:r w:rsidRPr="00D67495">
        <w:rPr>
          <w:rFonts w:asciiTheme="majorHAnsi" w:hAnsiTheme="majorHAnsi"/>
        </w:rPr>
        <w:t>targets.</w:t>
      </w:r>
    </w:p>
    <w:p w14:paraId="1C8057EA" w14:textId="77777777" w:rsidR="00273E0C" w:rsidRPr="00D67495" w:rsidRDefault="00273E0C" w:rsidP="00FE0388">
      <w:pPr>
        <w:spacing w:after="0"/>
        <w:rPr>
          <w:rFonts w:asciiTheme="majorHAnsi" w:hAnsiTheme="majorHAnsi"/>
        </w:rPr>
      </w:pPr>
    </w:p>
    <w:p w14:paraId="2C8A8202" w14:textId="73EDFD3F" w:rsidR="00DC6449" w:rsidRPr="00D67495" w:rsidRDefault="00DC6449" w:rsidP="00FE0388">
      <w:pPr>
        <w:pStyle w:val="Heading3"/>
        <w:spacing w:before="0" w:after="120"/>
        <w:ind w:left="0"/>
      </w:pPr>
      <w:r w:rsidRPr="00D67495">
        <w:t>Pharmacodynamic effects</w:t>
      </w:r>
    </w:p>
    <w:p w14:paraId="3FB1036C" w14:textId="398FBF55" w:rsidR="00DC6449" w:rsidRPr="00D67495" w:rsidRDefault="00DC6449" w:rsidP="00FE0388">
      <w:pPr>
        <w:rPr>
          <w:rFonts w:asciiTheme="majorHAnsi" w:hAnsiTheme="majorHAnsi"/>
        </w:rPr>
      </w:pPr>
      <w:r w:rsidRPr="00D67495">
        <w:rPr>
          <w:rFonts w:asciiTheme="majorHAnsi" w:hAnsiTheme="majorHAnsi"/>
        </w:rPr>
        <w:t xml:space="preserve">No clinically relevant prolongation of the QTc interval was observed after single oral administration of </w:t>
      </w:r>
      <w:proofErr w:type="spellStart"/>
      <w:r w:rsidRPr="00D67495">
        <w:rPr>
          <w:rFonts w:asciiTheme="majorHAnsi" w:hAnsiTheme="majorHAnsi"/>
        </w:rPr>
        <w:t>elinzanetant</w:t>
      </w:r>
      <w:proofErr w:type="spellEnd"/>
      <w:r w:rsidRPr="00D67495">
        <w:rPr>
          <w:rFonts w:asciiTheme="majorHAnsi" w:hAnsiTheme="majorHAnsi"/>
        </w:rPr>
        <w:t xml:space="preserve"> at doses up to 5 times the maximum recommended dose.</w:t>
      </w:r>
    </w:p>
    <w:p w14:paraId="16EF0881" w14:textId="5CFEC61A" w:rsidR="001A3992" w:rsidRPr="00D67495" w:rsidRDefault="001A3992" w:rsidP="00FE0388">
      <w:pPr>
        <w:pStyle w:val="Heading3"/>
        <w:spacing w:before="0" w:after="120"/>
        <w:ind w:left="0"/>
      </w:pPr>
      <w:r w:rsidRPr="00D67495">
        <w:t>Clinical trials</w:t>
      </w:r>
      <w:r w:rsidR="009F4BAE" w:rsidRPr="00D67495">
        <w:t xml:space="preserve"> </w:t>
      </w:r>
    </w:p>
    <w:p w14:paraId="42D5E519" w14:textId="38817361" w:rsidR="00D738C6"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 xml:space="preserve">The efficacy and safety of </w:t>
      </w:r>
      <w:proofErr w:type="spellStart"/>
      <w:r w:rsidR="00D738C6">
        <w:rPr>
          <w:rFonts w:asciiTheme="majorHAnsi" w:hAnsiTheme="majorHAnsi" w:cs="Times New Roman"/>
        </w:rPr>
        <w:t>elinzanetant</w:t>
      </w:r>
      <w:proofErr w:type="spellEnd"/>
      <w:r w:rsidR="00D738C6" w:rsidRPr="00D67495">
        <w:rPr>
          <w:rFonts w:asciiTheme="majorHAnsi" w:hAnsiTheme="majorHAnsi" w:cs="Times New Roman"/>
        </w:rPr>
        <w:t xml:space="preserve"> </w:t>
      </w:r>
      <w:r w:rsidRPr="00D67495">
        <w:rPr>
          <w:rFonts w:asciiTheme="majorHAnsi" w:hAnsiTheme="majorHAnsi" w:cs="Times New Roman"/>
        </w:rPr>
        <w:t>for the treatment of moderate to severe vasomotor</w:t>
      </w:r>
      <w:r w:rsidR="00C553A4">
        <w:rPr>
          <w:rFonts w:asciiTheme="majorHAnsi" w:hAnsiTheme="majorHAnsi" w:cs="Times New Roman"/>
        </w:rPr>
        <w:t xml:space="preserve"> </w:t>
      </w:r>
      <w:r w:rsidRPr="00D67495">
        <w:rPr>
          <w:rFonts w:asciiTheme="majorHAnsi" w:hAnsiTheme="majorHAnsi" w:cs="Times New Roman"/>
        </w:rPr>
        <w:t>symptoms (VMS) associated with menopause were demonstrated in two similar randomi</w:t>
      </w:r>
      <w:r w:rsidR="00582E0C">
        <w:rPr>
          <w:rFonts w:asciiTheme="majorHAnsi" w:hAnsiTheme="majorHAnsi" w:cs="Times New Roman"/>
        </w:rPr>
        <w:t>s</w:t>
      </w:r>
      <w:r w:rsidRPr="00D67495">
        <w:rPr>
          <w:rFonts w:asciiTheme="majorHAnsi" w:hAnsiTheme="majorHAnsi" w:cs="Times New Roman"/>
        </w:rPr>
        <w:t>ed,</w:t>
      </w:r>
      <w:r w:rsidR="00C553A4">
        <w:rPr>
          <w:rFonts w:asciiTheme="majorHAnsi" w:hAnsiTheme="majorHAnsi" w:cs="Times New Roman"/>
        </w:rPr>
        <w:t xml:space="preserve"> </w:t>
      </w:r>
      <w:r w:rsidRPr="00D67495">
        <w:rPr>
          <w:rFonts w:asciiTheme="majorHAnsi" w:hAnsiTheme="majorHAnsi" w:cs="Times New Roman"/>
        </w:rPr>
        <w:t xml:space="preserve">double-blind, placebo-controlled, </w:t>
      </w:r>
      <w:r w:rsidR="00114AF3" w:rsidRPr="00D67495">
        <w:rPr>
          <w:rFonts w:asciiTheme="majorHAnsi" w:hAnsiTheme="majorHAnsi" w:cs="Times New Roman"/>
        </w:rPr>
        <w:t>multi</w:t>
      </w:r>
      <w:r w:rsidR="006153AE">
        <w:rPr>
          <w:rFonts w:asciiTheme="majorHAnsi" w:hAnsiTheme="majorHAnsi" w:cs="Times New Roman"/>
        </w:rPr>
        <w:t>-</w:t>
      </w:r>
      <w:r w:rsidR="00114AF3" w:rsidRPr="00D67495">
        <w:rPr>
          <w:rFonts w:asciiTheme="majorHAnsi" w:hAnsiTheme="majorHAnsi" w:cs="Times New Roman"/>
        </w:rPr>
        <w:t>centre</w:t>
      </w:r>
      <w:r w:rsidRPr="00D67495">
        <w:rPr>
          <w:rFonts w:asciiTheme="majorHAnsi" w:hAnsiTheme="majorHAnsi" w:cs="Times New Roman"/>
        </w:rPr>
        <w:t xml:space="preserve"> Phase III studies (OASIS 1 and 2). </w:t>
      </w:r>
    </w:p>
    <w:p w14:paraId="5D14871E" w14:textId="77777777" w:rsidR="00D738C6" w:rsidRDefault="00D738C6" w:rsidP="00FE0388">
      <w:pPr>
        <w:autoSpaceDE w:val="0"/>
        <w:autoSpaceDN w:val="0"/>
        <w:adjustRightInd w:val="0"/>
        <w:spacing w:after="0" w:line="240" w:lineRule="auto"/>
        <w:rPr>
          <w:rFonts w:asciiTheme="majorHAnsi" w:hAnsiTheme="majorHAnsi" w:cs="Times New Roman"/>
        </w:rPr>
      </w:pPr>
    </w:p>
    <w:p w14:paraId="30E252D5" w14:textId="3D5F5F8E" w:rsidR="00273E0C" w:rsidRPr="00D67495"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A total of</w:t>
      </w:r>
      <w:r w:rsidR="00C553A4">
        <w:rPr>
          <w:rFonts w:asciiTheme="majorHAnsi" w:hAnsiTheme="majorHAnsi" w:cs="Times New Roman"/>
        </w:rPr>
        <w:t xml:space="preserve"> </w:t>
      </w:r>
      <w:r w:rsidRPr="00D67495">
        <w:rPr>
          <w:rFonts w:asciiTheme="majorHAnsi" w:hAnsiTheme="majorHAnsi" w:cs="Times New Roman"/>
        </w:rPr>
        <w:t>796 postmenopausal women were randomi</w:t>
      </w:r>
      <w:r w:rsidR="00885FA9">
        <w:rPr>
          <w:rFonts w:asciiTheme="majorHAnsi" w:hAnsiTheme="majorHAnsi" w:cs="Times New Roman"/>
        </w:rPr>
        <w:t>s</w:t>
      </w:r>
      <w:r w:rsidRPr="00D67495">
        <w:rPr>
          <w:rFonts w:asciiTheme="majorHAnsi" w:hAnsiTheme="majorHAnsi" w:cs="Times New Roman"/>
        </w:rPr>
        <w:t xml:space="preserve">ed 1:1 to receive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or placebo once</w:t>
      </w:r>
      <w:r w:rsidR="00114AF3" w:rsidRPr="00D67495">
        <w:rPr>
          <w:rFonts w:asciiTheme="majorHAnsi" w:hAnsiTheme="majorHAnsi" w:cs="Times New Roman"/>
        </w:rPr>
        <w:t xml:space="preserve"> </w:t>
      </w:r>
      <w:r w:rsidRPr="00D67495">
        <w:rPr>
          <w:rFonts w:asciiTheme="majorHAnsi" w:hAnsiTheme="majorHAnsi" w:cs="Times New Roman"/>
        </w:rPr>
        <w:t xml:space="preserve">daily at bedtime for 12 weeks, followed by </w:t>
      </w:r>
      <w:proofErr w:type="spellStart"/>
      <w:r w:rsidR="00D738C6" w:rsidRPr="00D738C6">
        <w:rPr>
          <w:rFonts w:asciiTheme="majorHAnsi" w:hAnsiTheme="majorHAnsi" w:cs="Times New Roman"/>
        </w:rPr>
        <w:t>elinzanetant</w:t>
      </w:r>
      <w:proofErr w:type="spellEnd"/>
      <w:r w:rsidRPr="00D67495">
        <w:rPr>
          <w:rFonts w:asciiTheme="majorHAnsi" w:hAnsiTheme="majorHAnsi" w:cs="Times New Roman"/>
        </w:rPr>
        <w:t xml:space="preserve"> </w:t>
      </w:r>
      <w:r w:rsidR="00D738C6">
        <w:rPr>
          <w:rFonts w:asciiTheme="majorHAnsi" w:hAnsiTheme="majorHAnsi" w:cs="Times New Roman"/>
        </w:rPr>
        <w:t xml:space="preserve">in all patients </w:t>
      </w:r>
      <w:r w:rsidRPr="00D67495">
        <w:rPr>
          <w:rFonts w:asciiTheme="majorHAnsi" w:hAnsiTheme="majorHAnsi" w:cs="Times New Roman"/>
        </w:rPr>
        <w:t xml:space="preserve">for 14 weeks, for a total treatment of up to 26 weeks. Women who had at least 50 </w:t>
      </w:r>
      <w:proofErr w:type="gramStart"/>
      <w:r w:rsidRPr="00D67495">
        <w:rPr>
          <w:rFonts w:asciiTheme="majorHAnsi" w:hAnsiTheme="majorHAnsi" w:cs="Times New Roman"/>
        </w:rPr>
        <w:t>moderate</w:t>
      </w:r>
      <w:proofErr w:type="gramEnd"/>
      <w:r w:rsidRPr="00D67495">
        <w:rPr>
          <w:rFonts w:asciiTheme="majorHAnsi" w:hAnsiTheme="majorHAnsi" w:cs="Times New Roman"/>
        </w:rPr>
        <w:t xml:space="preserve"> to severe hot flashes (HFs), including</w:t>
      </w:r>
      <w:r w:rsidR="00C553A4">
        <w:rPr>
          <w:rFonts w:asciiTheme="majorHAnsi" w:hAnsiTheme="majorHAnsi" w:cs="Times New Roman"/>
        </w:rPr>
        <w:t xml:space="preserve"> </w:t>
      </w:r>
      <w:r w:rsidRPr="00D67495">
        <w:rPr>
          <w:rFonts w:asciiTheme="majorHAnsi" w:hAnsiTheme="majorHAnsi" w:cs="Times New Roman"/>
        </w:rPr>
        <w:t>night-time HFs, per week were enrolled in OASIS 1 and 2.</w:t>
      </w:r>
    </w:p>
    <w:p w14:paraId="5060A9E9" w14:textId="77777777" w:rsidR="00273E0C" w:rsidRPr="00D67495" w:rsidRDefault="00273E0C" w:rsidP="00FE0388">
      <w:pPr>
        <w:autoSpaceDE w:val="0"/>
        <w:autoSpaceDN w:val="0"/>
        <w:adjustRightInd w:val="0"/>
        <w:spacing w:after="0" w:line="240" w:lineRule="auto"/>
        <w:rPr>
          <w:rFonts w:asciiTheme="majorHAnsi" w:hAnsiTheme="majorHAnsi" w:cs="Times New Roman"/>
        </w:rPr>
      </w:pPr>
    </w:p>
    <w:p w14:paraId="7E7ED3C1" w14:textId="2E9676B9" w:rsidR="009F4BAE" w:rsidRPr="00D67495"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In OASIS 1 and 2 studies, the mean age of women was 54.6 years (range 40-65). Most women were</w:t>
      </w:r>
      <w:r w:rsidR="00114AF3" w:rsidRPr="00D67495">
        <w:rPr>
          <w:rFonts w:asciiTheme="majorHAnsi" w:hAnsiTheme="majorHAnsi" w:cs="Times New Roman"/>
        </w:rPr>
        <w:t xml:space="preserve"> </w:t>
      </w:r>
      <w:r w:rsidRPr="00D67495">
        <w:rPr>
          <w:rFonts w:asciiTheme="majorHAnsi" w:hAnsiTheme="majorHAnsi" w:cs="Times New Roman"/>
        </w:rPr>
        <w:t>White (80.4%), 17.1% Black or African American, 0.5% Asian, and 8.5% with Hispanic or</w:t>
      </w:r>
      <w:r w:rsidR="00C553A4">
        <w:rPr>
          <w:rFonts w:asciiTheme="majorHAnsi" w:hAnsiTheme="majorHAnsi" w:cs="Times New Roman"/>
        </w:rPr>
        <w:t xml:space="preserve"> </w:t>
      </w:r>
      <w:r w:rsidRPr="00D67495">
        <w:rPr>
          <w:rFonts w:asciiTheme="majorHAnsi" w:hAnsiTheme="majorHAnsi" w:cs="Times New Roman"/>
        </w:rPr>
        <w:t>Latino ethnicity.  The study population included women with prior hysterectomy (38.8%),</w:t>
      </w:r>
      <w:r w:rsidR="00C553A4">
        <w:rPr>
          <w:rFonts w:asciiTheme="majorHAnsi" w:hAnsiTheme="majorHAnsi" w:cs="Times New Roman"/>
        </w:rPr>
        <w:t xml:space="preserve"> </w:t>
      </w:r>
      <w:r w:rsidRPr="00D67495">
        <w:rPr>
          <w:rFonts w:asciiTheme="majorHAnsi" w:hAnsiTheme="majorHAnsi" w:cs="Times New Roman"/>
        </w:rPr>
        <w:t xml:space="preserve">prior </w:t>
      </w:r>
      <w:proofErr w:type="spellStart"/>
      <w:r w:rsidRPr="00D67495">
        <w:rPr>
          <w:rFonts w:asciiTheme="majorHAnsi" w:hAnsiTheme="majorHAnsi" w:cs="Times New Roman"/>
        </w:rPr>
        <w:t>uni</w:t>
      </w:r>
      <w:proofErr w:type="spellEnd"/>
      <w:r w:rsidRPr="00D67495">
        <w:rPr>
          <w:rFonts w:asciiTheme="majorHAnsi" w:hAnsiTheme="majorHAnsi" w:cs="Times New Roman"/>
        </w:rPr>
        <w:t>-/bilateral oophorectomy (20.6%), or prior hormone replacement therapy (HRT) use</w:t>
      </w:r>
      <w:r w:rsidR="00C553A4">
        <w:rPr>
          <w:rFonts w:asciiTheme="majorHAnsi" w:hAnsiTheme="majorHAnsi" w:cs="Times New Roman"/>
        </w:rPr>
        <w:t xml:space="preserve"> </w:t>
      </w:r>
      <w:r w:rsidRPr="00D67495">
        <w:rPr>
          <w:rFonts w:asciiTheme="majorHAnsi" w:hAnsiTheme="majorHAnsi" w:cs="Times New Roman"/>
        </w:rPr>
        <w:t xml:space="preserve">31.4%). </w:t>
      </w:r>
    </w:p>
    <w:p w14:paraId="0F429782" w14:textId="77777777" w:rsidR="00273E0C" w:rsidRPr="00D67495" w:rsidRDefault="00273E0C" w:rsidP="00FE0388">
      <w:pPr>
        <w:autoSpaceDE w:val="0"/>
        <w:autoSpaceDN w:val="0"/>
        <w:adjustRightInd w:val="0"/>
        <w:spacing w:after="0" w:line="240" w:lineRule="auto"/>
        <w:rPr>
          <w:rFonts w:asciiTheme="majorHAnsi" w:hAnsiTheme="majorHAnsi" w:cs="Times New Roman"/>
        </w:rPr>
      </w:pPr>
    </w:p>
    <w:p w14:paraId="3A016D69" w14:textId="77777777" w:rsidR="00FE0388"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The primary efficacy endpoints in OASIS 1 and 2 were the mean change in frequency of</w:t>
      </w:r>
      <w:r w:rsidR="00C553A4">
        <w:rPr>
          <w:rFonts w:asciiTheme="majorHAnsi" w:hAnsiTheme="majorHAnsi" w:cs="Times New Roman"/>
        </w:rPr>
        <w:t xml:space="preserve"> </w:t>
      </w:r>
      <w:r w:rsidRPr="00D67495">
        <w:rPr>
          <w:rFonts w:asciiTheme="majorHAnsi" w:hAnsiTheme="majorHAnsi" w:cs="Times New Roman"/>
        </w:rPr>
        <w:t xml:space="preserve">moderate to severe HF from baseline to Weeks 4 and 12, </w:t>
      </w:r>
      <w:r w:rsidR="000F64C1">
        <w:rPr>
          <w:rFonts w:asciiTheme="majorHAnsi" w:hAnsiTheme="majorHAnsi" w:cs="Times New Roman"/>
        </w:rPr>
        <w:t>including day and night HFs</w:t>
      </w:r>
      <w:r w:rsidR="009F7234">
        <w:rPr>
          <w:rFonts w:asciiTheme="majorHAnsi" w:hAnsiTheme="majorHAnsi" w:cs="Times New Roman"/>
        </w:rPr>
        <w:t xml:space="preserve"> </w:t>
      </w:r>
      <w:r w:rsidRPr="00D67495">
        <w:rPr>
          <w:rFonts w:asciiTheme="majorHAnsi" w:hAnsiTheme="majorHAnsi" w:cs="Times New Roman"/>
        </w:rPr>
        <w:t xml:space="preserve">measured using Hot Flash Daily Diary (HFDD). </w:t>
      </w:r>
    </w:p>
    <w:p w14:paraId="1E614A30" w14:textId="77777777" w:rsidR="00FE0388" w:rsidRDefault="00FE0388" w:rsidP="00FE0388">
      <w:pPr>
        <w:autoSpaceDE w:val="0"/>
        <w:autoSpaceDN w:val="0"/>
        <w:adjustRightInd w:val="0"/>
        <w:spacing w:after="0" w:line="240" w:lineRule="auto"/>
        <w:rPr>
          <w:rFonts w:asciiTheme="majorHAnsi" w:hAnsiTheme="majorHAnsi" w:cs="Times New Roman"/>
        </w:rPr>
      </w:pPr>
    </w:p>
    <w:p w14:paraId="4A048825" w14:textId="77777777" w:rsidR="00FE0388" w:rsidRDefault="00FE0388" w:rsidP="00FE0388">
      <w:pPr>
        <w:autoSpaceDE w:val="0"/>
        <w:autoSpaceDN w:val="0"/>
        <w:adjustRightInd w:val="0"/>
        <w:spacing w:after="0" w:line="240" w:lineRule="auto"/>
        <w:rPr>
          <w:rFonts w:asciiTheme="majorHAnsi" w:hAnsiTheme="majorHAnsi" w:cs="Times New Roman"/>
        </w:rPr>
      </w:pPr>
    </w:p>
    <w:p w14:paraId="4F7E6C56" w14:textId="1567CBDD" w:rsidR="00273E0C" w:rsidRPr="00D67495"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lastRenderedPageBreak/>
        <w:t>The key secondary endpoints were mean change in severity of moderate to severe HF from baseline to Week 4 and 12 and the mean change in frequency of moderate to severe HFs from baseline to Week 1 using HFDD, the mean change in the Patient-Reported Outcome (PRO) instruments PROMIS SD SF 8b to assess sleep disturbances total T-score and MENQOL total score to evaluate menopause-related quality of life from baseline to Week 12.</w:t>
      </w:r>
    </w:p>
    <w:p w14:paraId="32976167" w14:textId="77777777" w:rsidR="00273E0C" w:rsidRPr="00D67495" w:rsidRDefault="00273E0C" w:rsidP="00FE0388">
      <w:pPr>
        <w:autoSpaceDE w:val="0"/>
        <w:autoSpaceDN w:val="0"/>
        <w:adjustRightInd w:val="0"/>
        <w:spacing w:after="0" w:line="240" w:lineRule="auto"/>
        <w:rPr>
          <w:rFonts w:asciiTheme="majorHAnsi" w:hAnsiTheme="majorHAnsi" w:cs="Times New Roman"/>
          <w:sz w:val="20"/>
          <w:szCs w:val="20"/>
        </w:rPr>
      </w:pPr>
    </w:p>
    <w:p w14:paraId="02F76720" w14:textId="5D556ECD" w:rsidR="00D738C6"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In OASIS 1 and 2</w:t>
      </w:r>
      <w:r w:rsidR="00D738C6">
        <w:rPr>
          <w:rFonts w:asciiTheme="majorHAnsi" w:hAnsiTheme="majorHAnsi" w:cs="Times New Roman"/>
        </w:rPr>
        <w:t>, the</w:t>
      </w:r>
      <w:r w:rsidRPr="00D67495">
        <w:rPr>
          <w:rFonts w:asciiTheme="majorHAnsi" w:hAnsiTheme="majorHAnsi" w:cs="Times New Roman"/>
        </w:rPr>
        <w:t xml:space="preserve"> </w:t>
      </w:r>
      <w:proofErr w:type="spellStart"/>
      <w:r w:rsidR="00D738C6" w:rsidRPr="00D738C6">
        <w:rPr>
          <w:rFonts w:asciiTheme="majorHAnsi" w:hAnsiTheme="majorHAnsi" w:cs="Times New Roman"/>
        </w:rPr>
        <w:t>elinzanetant</w:t>
      </w:r>
      <w:proofErr w:type="spellEnd"/>
      <w:r w:rsidRPr="00D67495">
        <w:rPr>
          <w:rFonts w:asciiTheme="majorHAnsi" w:hAnsiTheme="majorHAnsi" w:cs="Times New Roman"/>
        </w:rPr>
        <w:t xml:space="preserve"> treatment groups showed </w:t>
      </w:r>
      <w:r w:rsidR="00D738C6">
        <w:rPr>
          <w:rFonts w:asciiTheme="majorHAnsi" w:hAnsiTheme="majorHAnsi" w:cs="Times New Roman"/>
        </w:rPr>
        <w:t xml:space="preserve">a </w:t>
      </w:r>
      <w:r w:rsidRPr="00D67495">
        <w:rPr>
          <w:rFonts w:asciiTheme="majorHAnsi" w:hAnsiTheme="majorHAnsi" w:cs="Times New Roman"/>
        </w:rPr>
        <w:t>statistically significant and clinically</w:t>
      </w:r>
      <w:r w:rsidR="00C553A4">
        <w:rPr>
          <w:rFonts w:asciiTheme="majorHAnsi" w:hAnsiTheme="majorHAnsi" w:cs="Times New Roman"/>
        </w:rPr>
        <w:t xml:space="preserve"> </w:t>
      </w:r>
      <w:r w:rsidRPr="00D67495">
        <w:rPr>
          <w:rFonts w:asciiTheme="majorHAnsi" w:hAnsiTheme="majorHAnsi" w:cs="Times New Roman"/>
        </w:rPr>
        <w:t>meaningful reduction in frequency of moderate to severe HFs from baseline to weeks 4 and</w:t>
      </w:r>
      <w:r w:rsidR="00C553A4">
        <w:rPr>
          <w:rFonts w:asciiTheme="majorHAnsi" w:hAnsiTheme="majorHAnsi" w:cs="Times New Roman"/>
        </w:rPr>
        <w:t xml:space="preserve"> </w:t>
      </w:r>
      <w:r w:rsidRPr="00D67495">
        <w:rPr>
          <w:rFonts w:asciiTheme="majorHAnsi" w:hAnsiTheme="majorHAnsi" w:cs="Times New Roman"/>
        </w:rPr>
        <w:t xml:space="preserve">12 compared to placebo. </w:t>
      </w:r>
    </w:p>
    <w:p w14:paraId="2592FC65" w14:textId="77777777" w:rsidR="00D738C6" w:rsidRDefault="00D738C6" w:rsidP="00FE0388">
      <w:pPr>
        <w:autoSpaceDE w:val="0"/>
        <w:autoSpaceDN w:val="0"/>
        <w:adjustRightInd w:val="0"/>
        <w:spacing w:after="0" w:line="240" w:lineRule="auto"/>
        <w:rPr>
          <w:rFonts w:asciiTheme="majorHAnsi" w:hAnsiTheme="majorHAnsi" w:cs="Times New Roman"/>
        </w:rPr>
      </w:pPr>
    </w:p>
    <w:p w14:paraId="0930A155" w14:textId="318885EA" w:rsidR="00D738C6"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In OASIS 1 and 2</w:t>
      </w:r>
      <w:r w:rsidR="00D738C6">
        <w:rPr>
          <w:rFonts w:asciiTheme="majorHAnsi" w:hAnsiTheme="majorHAnsi" w:cs="Times New Roman"/>
        </w:rPr>
        <w:t xml:space="preserve">, </w:t>
      </w:r>
      <w:proofErr w:type="spellStart"/>
      <w:r w:rsidR="00D738C6" w:rsidRPr="00D738C6">
        <w:rPr>
          <w:rFonts w:asciiTheme="majorHAnsi" w:hAnsiTheme="majorHAnsi" w:cs="Times New Roman"/>
        </w:rPr>
        <w:t>elinzanetant</w:t>
      </w:r>
      <w:proofErr w:type="spellEnd"/>
      <w:r w:rsidRPr="00D67495">
        <w:rPr>
          <w:rFonts w:asciiTheme="majorHAnsi" w:hAnsiTheme="majorHAnsi" w:cs="Times New Roman"/>
        </w:rPr>
        <w:t xml:space="preserve"> treatment groups showed a</w:t>
      </w:r>
      <w:r w:rsidR="00C553A4">
        <w:rPr>
          <w:rFonts w:asciiTheme="majorHAnsi" w:hAnsiTheme="majorHAnsi" w:cs="Times New Roman"/>
        </w:rPr>
        <w:t xml:space="preserve"> </w:t>
      </w:r>
      <w:r w:rsidRPr="00D67495">
        <w:rPr>
          <w:rFonts w:asciiTheme="majorHAnsi" w:hAnsiTheme="majorHAnsi" w:cs="Times New Roman"/>
        </w:rPr>
        <w:t>statistically significant reduction in severity of moderate to severe HFs from baseline to</w:t>
      </w:r>
      <w:r w:rsidR="00C553A4">
        <w:rPr>
          <w:rFonts w:asciiTheme="majorHAnsi" w:hAnsiTheme="majorHAnsi" w:cs="Times New Roman"/>
        </w:rPr>
        <w:t xml:space="preserve"> </w:t>
      </w:r>
      <w:r w:rsidRPr="00D67495">
        <w:rPr>
          <w:rFonts w:asciiTheme="majorHAnsi" w:hAnsiTheme="majorHAnsi" w:cs="Times New Roman"/>
        </w:rPr>
        <w:t xml:space="preserve">weeks 4 and 12 compared to placebo. </w:t>
      </w:r>
    </w:p>
    <w:p w14:paraId="6BCBD523" w14:textId="5D863ADF" w:rsidR="00D738C6"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A statistically significant improvement in frequency of</w:t>
      </w:r>
      <w:r w:rsidR="00C553A4">
        <w:rPr>
          <w:rFonts w:asciiTheme="majorHAnsi" w:hAnsiTheme="majorHAnsi" w:cs="Times New Roman"/>
        </w:rPr>
        <w:t xml:space="preserve"> </w:t>
      </w:r>
      <w:r w:rsidRPr="00D67495">
        <w:rPr>
          <w:rFonts w:asciiTheme="majorHAnsi" w:hAnsiTheme="majorHAnsi" w:cs="Times New Roman"/>
        </w:rPr>
        <w:t xml:space="preserve">moderate to severe HFs was observed at Week 1 with </w:t>
      </w:r>
      <w:proofErr w:type="spellStart"/>
      <w:r w:rsidR="00D738C6" w:rsidRPr="00D738C6">
        <w:rPr>
          <w:rFonts w:asciiTheme="majorHAnsi" w:hAnsiTheme="majorHAnsi" w:cs="Times New Roman"/>
        </w:rPr>
        <w:t>elinzanetant</w:t>
      </w:r>
      <w:proofErr w:type="spellEnd"/>
      <w:r w:rsidRPr="00D67495">
        <w:rPr>
          <w:rFonts w:asciiTheme="majorHAnsi" w:hAnsiTheme="majorHAnsi" w:cs="Times New Roman"/>
        </w:rPr>
        <w:t xml:space="preserve">. </w:t>
      </w:r>
    </w:p>
    <w:p w14:paraId="7F5395C1" w14:textId="77777777" w:rsidR="00D738C6" w:rsidRDefault="00D738C6" w:rsidP="00FE0388">
      <w:pPr>
        <w:autoSpaceDE w:val="0"/>
        <w:autoSpaceDN w:val="0"/>
        <w:adjustRightInd w:val="0"/>
        <w:spacing w:after="0" w:line="240" w:lineRule="auto"/>
        <w:rPr>
          <w:rFonts w:asciiTheme="majorHAnsi" w:hAnsiTheme="majorHAnsi" w:cs="Times New Roman"/>
        </w:rPr>
      </w:pPr>
    </w:p>
    <w:p w14:paraId="0AF16A3F" w14:textId="018D6730" w:rsidR="00273E0C" w:rsidRPr="009D2241" w:rsidRDefault="00273E0C"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Results of the change in</w:t>
      </w:r>
      <w:r w:rsidR="00C553A4">
        <w:rPr>
          <w:rFonts w:asciiTheme="majorHAnsi" w:hAnsiTheme="majorHAnsi" w:cs="Times New Roman"/>
        </w:rPr>
        <w:t xml:space="preserve"> </w:t>
      </w:r>
      <w:r w:rsidRPr="00D67495">
        <w:rPr>
          <w:rFonts w:asciiTheme="majorHAnsi" w:hAnsiTheme="majorHAnsi" w:cs="Times New Roman"/>
        </w:rPr>
        <w:t xml:space="preserve">mean frequency </w:t>
      </w:r>
      <w:r w:rsidRPr="009D2241">
        <w:rPr>
          <w:rFonts w:asciiTheme="majorHAnsi" w:hAnsiTheme="majorHAnsi" w:cs="Times New Roman"/>
        </w:rPr>
        <w:t>and severity of moderate to severe HFs over 24 hours from OASIS 1 and</w:t>
      </w:r>
      <w:r w:rsidR="00C553A4">
        <w:rPr>
          <w:rFonts w:asciiTheme="majorHAnsi" w:hAnsiTheme="majorHAnsi" w:cs="Times New Roman"/>
        </w:rPr>
        <w:t xml:space="preserve"> </w:t>
      </w:r>
      <w:r w:rsidRPr="009D2241">
        <w:rPr>
          <w:rFonts w:asciiTheme="majorHAnsi" w:hAnsiTheme="majorHAnsi" w:cs="Times New Roman"/>
        </w:rPr>
        <w:t xml:space="preserve">OASIS 2 are shown in Table </w:t>
      </w:r>
      <w:r w:rsidR="00A57BDB">
        <w:rPr>
          <w:rFonts w:asciiTheme="majorHAnsi" w:hAnsiTheme="majorHAnsi" w:cs="Times New Roman"/>
        </w:rPr>
        <w:t>3</w:t>
      </w:r>
      <w:r w:rsidRPr="009D2241">
        <w:rPr>
          <w:rFonts w:asciiTheme="majorHAnsi" w:hAnsiTheme="majorHAnsi" w:cs="Times New Roman"/>
        </w:rPr>
        <w:t>.</w:t>
      </w:r>
    </w:p>
    <w:p w14:paraId="1410AAAD" w14:textId="76B708A0" w:rsidR="008857E1" w:rsidRDefault="008857E1" w:rsidP="00FE0388">
      <w:pPr>
        <w:rPr>
          <w:rFonts w:asciiTheme="majorHAnsi" w:hAnsiTheme="majorHAnsi" w:cs="Arial"/>
          <w:b/>
          <w:lang w:val="en-US"/>
        </w:rPr>
      </w:pPr>
    </w:p>
    <w:p w14:paraId="0172938A" w14:textId="358B03D8" w:rsidR="00D25961" w:rsidRPr="009D2241" w:rsidRDefault="00D25961" w:rsidP="00FE0388">
      <w:pPr>
        <w:pStyle w:val="BayerTableColumnHeadings"/>
        <w:keepNext/>
      </w:pPr>
      <w:r w:rsidRPr="009D2241">
        <w:t xml:space="preserve">Table </w:t>
      </w:r>
      <w:r w:rsidR="00050DAD">
        <w:t>3</w:t>
      </w:r>
      <w:r w:rsidRPr="009D2241">
        <w:t>: Mean change in frequency and severity of moderate to severe HFs from baseline to Weeks 1, 4 and 12 (OASIS 1 and</w:t>
      </w:r>
      <w:r w:rsidR="00B7316F">
        <w:t xml:space="preserve"> </w:t>
      </w:r>
      <w:r w:rsidRPr="009D2241">
        <w:t>2)</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5"/>
        <w:gridCol w:w="1150"/>
        <w:gridCol w:w="1074"/>
        <w:gridCol w:w="1116"/>
        <w:gridCol w:w="1240"/>
        <w:gridCol w:w="1140"/>
        <w:gridCol w:w="1150"/>
      </w:tblGrid>
      <w:tr w:rsidR="00D25961" w:rsidRPr="00D25961" w14:paraId="23105DFF" w14:textId="77777777" w:rsidTr="00763C2D">
        <w:trPr>
          <w:cantSplit/>
          <w:trHeight w:val="172"/>
          <w:tblHeader/>
        </w:trPr>
        <w:tc>
          <w:tcPr>
            <w:tcW w:w="1995" w:type="dxa"/>
            <w:vMerge w:val="restar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center"/>
            <w:hideMark/>
          </w:tcPr>
          <w:p w14:paraId="509FC06C"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bCs/>
                <w:sz w:val="20"/>
                <w:szCs w:val="20"/>
                <w:lang w:val="de-DE" w:eastAsia="de-DE"/>
              </w:rPr>
              <w:t>Parameter</w:t>
            </w:r>
          </w:p>
        </w:tc>
        <w:tc>
          <w:tcPr>
            <w:tcW w:w="3340" w:type="dxa"/>
            <w:gridSpan w:val="3"/>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bottom"/>
            <w:hideMark/>
          </w:tcPr>
          <w:p w14:paraId="1BA5D600"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OASIS 1</w:t>
            </w:r>
          </w:p>
        </w:tc>
        <w:tc>
          <w:tcPr>
            <w:tcW w:w="3530" w:type="dxa"/>
            <w:gridSpan w:val="3"/>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bottom"/>
            <w:hideMark/>
          </w:tcPr>
          <w:p w14:paraId="440F893A"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OASIS 2</w:t>
            </w:r>
          </w:p>
        </w:tc>
      </w:tr>
      <w:tr w:rsidR="00D25961" w:rsidRPr="00D25961" w14:paraId="3C9B083D" w14:textId="77777777" w:rsidTr="00763C2D">
        <w:trPr>
          <w:cantSplit/>
          <w:trHeight w:val="881"/>
          <w:tblHeader/>
        </w:trPr>
        <w:tc>
          <w:tcPr>
            <w:tcW w:w="1995" w:type="dxa"/>
            <w:vMerge/>
            <w:tcBorders>
              <w:top w:val="single" w:sz="4" w:space="0" w:color="auto"/>
              <w:left w:val="single" w:sz="4" w:space="0" w:color="auto"/>
              <w:bottom w:val="single" w:sz="4" w:space="0" w:color="auto"/>
              <w:right w:val="single" w:sz="4" w:space="0" w:color="auto"/>
            </w:tcBorders>
            <w:vAlign w:val="center"/>
            <w:hideMark/>
          </w:tcPr>
          <w:p w14:paraId="45F2D701" w14:textId="77777777" w:rsidR="00D25961" w:rsidRPr="00D25961" w:rsidRDefault="00D25961" w:rsidP="00FE0388">
            <w:pPr>
              <w:spacing w:after="0" w:line="240" w:lineRule="auto"/>
              <w:rPr>
                <w:rFonts w:asciiTheme="majorHAnsi" w:eastAsia="Times New Roman" w:hAnsiTheme="majorHAnsi" w:cs="Times New Roman"/>
                <w:b/>
                <w:sz w:val="20"/>
                <w:szCs w:val="20"/>
                <w:lang w:val="en-US" w:eastAsia="de-DE"/>
              </w:rPr>
            </w:pP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102F1343"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LYNKUET 120 mg</w:t>
            </w:r>
          </w:p>
          <w:p w14:paraId="7902B945"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(N= 199)</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788A744A"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 xml:space="preserve">Placebo </w:t>
            </w:r>
            <w:r w:rsidRPr="00D25961">
              <w:rPr>
                <w:rFonts w:asciiTheme="majorHAnsi" w:eastAsia="Times New Roman" w:hAnsiTheme="majorHAnsi" w:cs="Times New Roman"/>
                <w:b/>
                <w:sz w:val="20"/>
                <w:szCs w:val="20"/>
                <w:lang w:val="de-DE" w:eastAsia="de-DE"/>
              </w:rPr>
              <w:br/>
              <w:t>(N= 197)</w:t>
            </w:r>
          </w:p>
        </w:tc>
        <w:tc>
          <w:tcPr>
            <w:tcW w:w="1116" w:type="dxa"/>
            <w:tcBorders>
              <w:top w:val="single" w:sz="4" w:space="0" w:color="auto"/>
              <w:left w:val="single" w:sz="4" w:space="0" w:color="auto"/>
              <w:bottom w:val="single" w:sz="4" w:space="0" w:color="auto"/>
              <w:right w:val="single" w:sz="4" w:space="0" w:color="auto"/>
            </w:tcBorders>
            <w:hideMark/>
          </w:tcPr>
          <w:p w14:paraId="729C2E32"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sz w:val="20"/>
                <w:szCs w:val="20"/>
                <w:lang w:val="en-US" w:eastAsia="de-DE"/>
              </w:rPr>
              <w:t>Difference</w:t>
            </w:r>
          </w:p>
          <w:p w14:paraId="6CA522FB"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sz w:val="20"/>
                <w:szCs w:val="20"/>
                <w:lang w:val="en-US" w:eastAsia="de-DE"/>
              </w:rPr>
              <w:t>LYNKUET - placebo</w:t>
            </w:r>
          </w:p>
          <w:p w14:paraId="163BE9E7"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sz w:val="20"/>
                <w:szCs w:val="20"/>
                <w:lang w:val="en-US" w:eastAsia="de-DE"/>
              </w:rPr>
              <w:t>95% CI</w:t>
            </w:r>
          </w:p>
          <w:p w14:paraId="1388F9FE"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bCs/>
                <w:sz w:val="20"/>
                <w:szCs w:val="20"/>
                <w:lang w:val="en-US" w:eastAsia="de-DE"/>
              </w:rPr>
              <w:t>p</w:t>
            </w:r>
            <w:r w:rsidRPr="00D25961">
              <w:rPr>
                <w:rFonts w:asciiTheme="majorHAnsi" w:eastAsia="Times New Roman" w:hAnsiTheme="majorHAnsi" w:cs="Times New Roman"/>
                <w:b/>
                <w:sz w:val="20"/>
                <w:szCs w:val="20"/>
                <w:lang w:val="en-US" w:eastAsia="de-DE"/>
              </w:rPr>
              <w:t>-value</w:t>
            </w:r>
            <w:r w:rsidRPr="00D25961">
              <w:rPr>
                <w:rFonts w:asciiTheme="majorHAnsi" w:eastAsia="Times New Roman" w:hAnsiTheme="majorHAnsi" w:cs="Times New Roman"/>
                <w:b/>
                <w:color w:val="1F497D"/>
                <w:sz w:val="20"/>
                <w:szCs w:val="20"/>
                <w:lang w:val="en-US" w:eastAsia="de-DE"/>
              </w:rPr>
              <w:t>*</w:t>
            </w: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08EB4C29"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LYNKUET 120 mg</w:t>
            </w:r>
          </w:p>
          <w:p w14:paraId="45D56DED"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(N= 200)</w:t>
            </w:r>
          </w:p>
        </w:tc>
        <w:tc>
          <w:tcPr>
            <w:tcW w:w="1140" w:type="dxa"/>
            <w:tcBorders>
              <w:top w:val="single" w:sz="4" w:space="0" w:color="auto"/>
              <w:left w:val="single" w:sz="4" w:space="0" w:color="auto"/>
              <w:bottom w:val="single" w:sz="4" w:space="0" w:color="auto"/>
              <w:right w:val="single" w:sz="4" w:space="0" w:color="auto"/>
            </w:tcBorders>
            <w:hideMark/>
          </w:tcPr>
          <w:p w14:paraId="27E6FD4F" w14:textId="77777777" w:rsidR="00D25961" w:rsidRPr="00D25961" w:rsidRDefault="00D25961" w:rsidP="00FE0388">
            <w:pPr>
              <w:spacing w:after="0" w:line="252" w:lineRule="auto"/>
              <w:rPr>
                <w:rFonts w:asciiTheme="majorHAnsi" w:eastAsia="Times New Roman" w:hAnsiTheme="majorHAnsi" w:cs="Times New Roman"/>
                <w:b/>
                <w:sz w:val="20"/>
                <w:szCs w:val="20"/>
                <w:lang w:val="de-DE" w:eastAsia="de-DE"/>
              </w:rPr>
            </w:pPr>
            <w:r w:rsidRPr="00D25961">
              <w:rPr>
                <w:rFonts w:asciiTheme="majorHAnsi" w:eastAsia="Times New Roman" w:hAnsiTheme="majorHAnsi" w:cs="Times New Roman"/>
                <w:b/>
                <w:sz w:val="20"/>
                <w:szCs w:val="20"/>
                <w:lang w:val="de-DE" w:eastAsia="de-DE"/>
              </w:rPr>
              <w:t xml:space="preserve">Placebo </w:t>
            </w:r>
            <w:r w:rsidRPr="00D25961">
              <w:rPr>
                <w:rFonts w:asciiTheme="majorHAnsi" w:eastAsia="Times New Roman" w:hAnsiTheme="majorHAnsi" w:cs="Times New Roman"/>
                <w:b/>
                <w:sz w:val="20"/>
                <w:szCs w:val="20"/>
                <w:lang w:val="de-DE" w:eastAsia="de-DE"/>
              </w:rPr>
              <w:br/>
              <w:t>(N= 200)</w:t>
            </w:r>
          </w:p>
        </w:tc>
        <w:tc>
          <w:tcPr>
            <w:tcW w:w="1150" w:type="dxa"/>
            <w:tcBorders>
              <w:top w:val="single" w:sz="4" w:space="0" w:color="auto"/>
              <w:left w:val="single" w:sz="4" w:space="0" w:color="auto"/>
              <w:bottom w:val="single" w:sz="4" w:space="0" w:color="auto"/>
              <w:right w:val="single" w:sz="4" w:space="0" w:color="auto"/>
            </w:tcBorders>
            <w:hideMark/>
          </w:tcPr>
          <w:p w14:paraId="63907BDD"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sz w:val="20"/>
                <w:szCs w:val="20"/>
                <w:lang w:val="en-US" w:eastAsia="de-DE"/>
              </w:rPr>
              <w:t>Difference</w:t>
            </w:r>
          </w:p>
          <w:p w14:paraId="38ECC805"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sz w:val="20"/>
                <w:szCs w:val="20"/>
                <w:lang w:val="en-US" w:eastAsia="de-DE"/>
              </w:rPr>
              <w:t>LYNKUET - placebo</w:t>
            </w:r>
          </w:p>
          <w:p w14:paraId="6EC22F85"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sz w:val="20"/>
                <w:szCs w:val="20"/>
                <w:lang w:val="en-US" w:eastAsia="de-DE"/>
              </w:rPr>
              <w:t>95% CI</w:t>
            </w:r>
          </w:p>
          <w:p w14:paraId="2AA5FB00" w14:textId="77777777" w:rsidR="00D25961" w:rsidRPr="00D25961" w:rsidRDefault="00D25961" w:rsidP="00FE0388">
            <w:pPr>
              <w:spacing w:after="0" w:line="252" w:lineRule="auto"/>
              <w:rPr>
                <w:rFonts w:asciiTheme="majorHAnsi" w:eastAsia="Times New Roman" w:hAnsiTheme="majorHAnsi" w:cs="Times New Roman"/>
                <w:b/>
                <w:sz w:val="20"/>
                <w:szCs w:val="20"/>
                <w:lang w:val="en-US" w:eastAsia="de-DE"/>
              </w:rPr>
            </w:pPr>
            <w:r w:rsidRPr="00D25961">
              <w:rPr>
                <w:rFonts w:asciiTheme="majorHAnsi" w:eastAsia="Times New Roman" w:hAnsiTheme="majorHAnsi" w:cs="Times New Roman"/>
                <w:b/>
                <w:bCs/>
                <w:sz w:val="20"/>
                <w:szCs w:val="20"/>
                <w:lang w:val="en-US" w:eastAsia="de-DE"/>
              </w:rPr>
              <w:t>p</w:t>
            </w:r>
            <w:r w:rsidRPr="00D25961">
              <w:rPr>
                <w:rFonts w:asciiTheme="majorHAnsi" w:eastAsia="Times New Roman" w:hAnsiTheme="majorHAnsi" w:cs="Times New Roman"/>
                <w:b/>
                <w:sz w:val="20"/>
                <w:szCs w:val="20"/>
                <w:lang w:val="en-US" w:eastAsia="de-DE"/>
              </w:rPr>
              <w:t>-value</w:t>
            </w:r>
            <w:r w:rsidRPr="00D25961">
              <w:rPr>
                <w:rFonts w:asciiTheme="majorHAnsi" w:eastAsia="Times New Roman" w:hAnsiTheme="majorHAnsi" w:cs="Times New Roman"/>
                <w:b/>
                <w:color w:val="1F497D"/>
                <w:sz w:val="20"/>
                <w:szCs w:val="20"/>
                <w:lang w:val="en-US" w:eastAsia="de-DE"/>
              </w:rPr>
              <w:t>*</w:t>
            </w:r>
          </w:p>
        </w:tc>
      </w:tr>
      <w:tr w:rsidR="00D25961" w:rsidRPr="00D25961" w14:paraId="1C488A43" w14:textId="77777777" w:rsidTr="00763C2D">
        <w:trPr>
          <w:cantSplit/>
          <w:trHeight w:val="523"/>
        </w:trPr>
        <w:tc>
          <w:tcPr>
            <w:tcW w:w="1995"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297F2D0"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 xml:space="preserve">Frequency at </w:t>
            </w:r>
            <w:r w:rsidRPr="00D25961">
              <w:rPr>
                <w:rFonts w:asciiTheme="majorHAnsi" w:eastAsia="Calibri" w:hAnsiTheme="majorHAnsi" w:cs="Times New Roman"/>
                <w:b/>
                <w:sz w:val="20"/>
                <w:szCs w:val="20"/>
                <w:lang w:val="en-US"/>
              </w:rPr>
              <w:t>Baseline</w:t>
            </w:r>
            <w:r w:rsidRPr="00D25961">
              <w:rPr>
                <w:rFonts w:asciiTheme="majorHAnsi" w:eastAsia="Calibri" w:hAnsiTheme="majorHAnsi" w:cs="Times New Roman"/>
                <w:sz w:val="20"/>
                <w:szCs w:val="20"/>
                <w:lang w:val="en-US"/>
              </w:rPr>
              <w:t xml:space="preserve"> </w:t>
            </w:r>
          </w:p>
          <w:p w14:paraId="3A4AE98F" w14:textId="77777777" w:rsidR="00D25961" w:rsidRPr="00D25961" w:rsidRDefault="00D25961" w:rsidP="00FE0388">
            <w:pPr>
              <w:autoSpaceDE w:val="0"/>
              <w:autoSpaceDN w:val="0"/>
              <w:spacing w:after="0" w:line="252" w:lineRule="auto"/>
              <w:rPr>
                <w:rFonts w:asciiTheme="majorHAnsi" w:eastAsia="Calibri" w:hAnsiTheme="majorHAnsi" w:cs="Times New Roman"/>
                <w:b/>
                <w:sz w:val="20"/>
                <w:szCs w:val="20"/>
                <w:lang w:val="en-US"/>
              </w:rPr>
            </w:pPr>
            <w:r w:rsidRPr="00D25961">
              <w:rPr>
                <w:rFonts w:asciiTheme="majorHAnsi" w:eastAsia="Calibri" w:hAnsiTheme="majorHAnsi" w:cs="Times New Roman"/>
                <w:sz w:val="20"/>
                <w:szCs w:val="20"/>
                <w:lang w:val="en-US"/>
              </w:rPr>
              <w:t>Mean (SD)</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6EEDE2D"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eastAsia="de-DE"/>
              </w:rPr>
            </w:pPr>
            <w:r w:rsidRPr="00D25961">
              <w:rPr>
                <w:rFonts w:asciiTheme="majorHAnsi" w:eastAsia="Times New Roman" w:hAnsiTheme="majorHAnsi" w:cs="Times New Roman"/>
                <w:sz w:val="20"/>
                <w:szCs w:val="20"/>
                <w:lang w:val="en-US"/>
              </w:rPr>
              <w:t>13.38 (6.57)</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74CE4C45"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eastAsia="de-DE"/>
              </w:rPr>
            </w:pPr>
            <w:r w:rsidRPr="00D25961">
              <w:rPr>
                <w:rFonts w:asciiTheme="majorHAnsi" w:eastAsia="Times New Roman" w:hAnsiTheme="majorHAnsi" w:cs="Times New Roman"/>
                <w:sz w:val="20"/>
                <w:szCs w:val="20"/>
                <w:lang w:val="en-US"/>
              </w:rPr>
              <w:t>14.26 (13.94)</w:t>
            </w:r>
          </w:p>
        </w:tc>
        <w:tc>
          <w:tcPr>
            <w:tcW w:w="1116" w:type="dxa"/>
            <w:tcBorders>
              <w:top w:val="single" w:sz="4" w:space="0" w:color="auto"/>
              <w:left w:val="single" w:sz="4" w:space="0" w:color="auto"/>
              <w:bottom w:val="single" w:sz="4" w:space="0" w:color="auto"/>
              <w:right w:val="single" w:sz="4" w:space="0" w:color="auto"/>
            </w:tcBorders>
          </w:tcPr>
          <w:p w14:paraId="2950F0CC"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1329428"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eastAsia="de-DE"/>
              </w:rPr>
            </w:pPr>
            <w:r w:rsidRPr="00D25961">
              <w:rPr>
                <w:rFonts w:asciiTheme="majorHAnsi" w:eastAsia="Times New Roman" w:hAnsiTheme="majorHAnsi" w:cs="Times New Roman"/>
                <w:sz w:val="20"/>
                <w:szCs w:val="20"/>
                <w:lang w:val="en-US"/>
              </w:rPr>
              <w:t>14.66 (11.08)</w:t>
            </w:r>
          </w:p>
        </w:tc>
        <w:tc>
          <w:tcPr>
            <w:tcW w:w="1140" w:type="dxa"/>
            <w:tcBorders>
              <w:top w:val="single" w:sz="4" w:space="0" w:color="auto"/>
              <w:left w:val="single" w:sz="4" w:space="0" w:color="auto"/>
              <w:bottom w:val="single" w:sz="4" w:space="0" w:color="auto"/>
              <w:right w:val="single" w:sz="4" w:space="0" w:color="auto"/>
            </w:tcBorders>
            <w:hideMark/>
          </w:tcPr>
          <w:p w14:paraId="2C6A9867"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eastAsia="de-DE"/>
              </w:rPr>
            </w:pPr>
            <w:r w:rsidRPr="00D25961">
              <w:rPr>
                <w:rFonts w:asciiTheme="majorHAnsi" w:eastAsia="Times New Roman" w:hAnsiTheme="majorHAnsi" w:cs="Times New Roman"/>
                <w:sz w:val="20"/>
                <w:szCs w:val="20"/>
                <w:lang w:val="en-US"/>
              </w:rPr>
              <w:t>16.16 (11.15)</w:t>
            </w:r>
          </w:p>
        </w:tc>
        <w:tc>
          <w:tcPr>
            <w:tcW w:w="1150" w:type="dxa"/>
            <w:tcBorders>
              <w:top w:val="single" w:sz="4" w:space="0" w:color="auto"/>
              <w:left w:val="single" w:sz="4" w:space="0" w:color="auto"/>
              <w:bottom w:val="single" w:sz="4" w:space="0" w:color="auto"/>
              <w:right w:val="single" w:sz="4" w:space="0" w:color="auto"/>
            </w:tcBorders>
          </w:tcPr>
          <w:p w14:paraId="1065610B"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p>
        </w:tc>
      </w:tr>
      <w:tr w:rsidR="00D25961" w:rsidRPr="00D25961" w14:paraId="33AFF439" w14:textId="77777777" w:rsidTr="00763C2D">
        <w:trPr>
          <w:cantSplit/>
          <w:trHeight w:val="703"/>
        </w:trPr>
        <w:tc>
          <w:tcPr>
            <w:tcW w:w="1995"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5ECE6B6" w14:textId="77777777" w:rsidR="00D25961" w:rsidRPr="00D25961" w:rsidRDefault="00D25961" w:rsidP="00FE0388">
            <w:pPr>
              <w:autoSpaceDE w:val="0"/>
              <w:autoSpaceDN w:val="0"/>
              <w:spacing w:after="0" w:line="252" w:lineRule="auto"/>
              <w:rPr>
                <w:rFonts w:asciiTheme="majorHAnsi" w:eastAsia="Calibri" w:hAnsiTheme="majorHAnsi" w:cs="Times New Roman"/>
                <w:b/>
                <w:sz w:val="20"/>
                <w:szCs w:val="20"/>
                <w:lang w:val="en-US"/>
              </w:rPr>
            </w:pPr>
            <w:r w:rsidRPr="00D25961">
              <w:rPr>
                <w:rFonts w:asciiTheme="majorHAnsi" w:eastAsia="Calibri" w:hAnsiTheme="majorHAnsi" w:cs="Times New Roman"/>
                <w:b/>
                <w:sz w:val="20"/>
                <w:szCs w:val="20"/>
                <w:lang w:val="en-US"/>
              </w:rPr>
              <w:t>Change from baseline to week 1</w:t>
            </w:r>
            <w:r w:rsidRPr="00D25961">
              <w:rPr>
                <w:rFonts w:asciiTheme="majorHAnsi" w:eastAsia="Calibri" w:hAnsiTheme="majorHAnsi" w:cs="Times New Roman"/>
                <w:b/>
                <w:bCs/>
                <w:sz w:val="20"/>
                <w:szCs w:val="20"/>
                <w:lang w:val="en-US"/>
              </w:rPr>
              <w:t>**</w:t>
            </w:r>
          </w:p>
          <w:p w14:paraId="0C5B9AB4" w14:textId="77777777" w:rsidR="00D25961" w:rsidRPr="00D25961" w:rsidRDefault="00D25961" w:rsidP="00FE0388">
            <w:pPr>
              <w:autoSpaceDE w:val="0"/>
              <w:autoSpaceDN w:val="0"/>
              <w:spacing w:after="0" w:line="252" w:lineRule="auto"/>
              <w:rPr>
                <w:rFonts w:asciiTheme="majorHAnsi" w:eastAsia="Calibri" w:hAnsiTheme="majorHAnsi" w:cs="Times New Roman"/>
                <w:b/>
                <w:sz w:val="20"/>
                <w:szCs w:val="20"/>
                <w:lang w:val="en-US"/>
              </w:rPr>
            </w:pPr>
            <w:r w:rsidRPr="00D25961">
              <w:rPr>
                <w:rFonts w:asciiTheme="majorHAnsi" w:eastAsia="Calibri" w:hAnsiTheme="majorHAnsi" w:cs="Times New Roman"/>
                <w:sz w:val="20"/>
                <w:szCs w:val="20"/>
                <w:lang w:val="en-US"/>
              </w:rPr>
              <w:t>LS-Means (SE)</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314AA2EA"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de-DE" w:eastAsia="de-DE"/>
              </w:rPr>
              <w:t>-5.13 (0.33)</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1758B557"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de-DE" w:eastAsia="de-DE"/>
              </w:rPr>
              <w:t>-2.68 (0.33)</w:t>
            </w:r>
          </w:p>
        </w:tc>
        <w:tc>
          <w:tcPr>
            <w:tcW w:w="1116" w:type="dxa"/>
            <w:tcBorders>
              <w:top w:val="single" w:sz="4" w:space="0" w:color="auto"/>
              <w:left w:val="single" w:sz="4" w:space="0" w:color="auto"/>
              <w:bottom w:val="single" w:sz="4" w:space="0" w:color="auto"/>
              <w:right w:val="single" w:sz="4" w:space="0" w:color="auto"/>
            </w:tcBorders>
            <w:hideMark/>
          </w:tcPr>
          <w:p w14:paraId="41318546"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-2.45 (0.46)</w:t>
            </w:r>
          </w:p>
          <w:p w14:paraId="23D2B0E3"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-3.36, -1.55</w:t>
            </w:r>
          </w:p>
          <w:p w14:paraId="64D8C1DD"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A922D7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de-DE" w:eastAsia="de-DE"/>
              </w:rPr>
              <w:t>-4.93 (0.39)</w:t>
            </w:r>
          </w:p>
        </w:tc>
        <w:tc>
          <w:tcPr>
            <w:tcW w:w="1140" w:type="dxa"/>
            <w:tcBorders>
              <w:top w:val="single" w:sz="4" w:space="0" w:color="auto"/>
              <w:left w:val="single" w:sz="4" w:space="0" w:color="auto"/>
              <w:bottom w:val="single" w:sz="4" w:space="0" w:color="auto"/>
              <w:right w:val="single" w:sz="4" w:space="0" w:color="auto"/>
            </w:tcBorders>
            <w:hideMark/>
          </w:tcPr>
          <w:p w14:paraId="04E77445"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de-DE" w:eastAsia="de-DE"/>
              </w:rPr>
              <w:t>-3.28 (0.39)</w:t>
            </w:r>
          </w:p>
        </w:tc>
        <w:tc>
          <w:tcPr>
            <w:tcW w:w="1150" w:type="dxa"/>
            <w:tcBorders>
              <w:top w:val="single" w:sz="4" w:space="0" w:color="auto"/>
              <w:left w:val="single" w:sz="4" w:space="0" w:color="auto"/>
              <w:bottom w:val="single" w:sz="4" w:space="0" w:color="auto"/>
              <w:right w:val="single" w:sz="4" w:space="0" w:color="auto"/>
            </w:tcBorders>
            <w:hideMark/>
          </w:tcPr>
          <w:p w14:paraId="3E643177"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-1.66 (0.55)</w:t>
            </w:r>
          </w:p>
          <w:p w14:paraId="24CA7720"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-2.73, -0.58</w:t>
            </w:r>
          </w:p>
          <w:p w14:paraId="0648D8C0"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0.0013</w:t>
            </w:r>
          </w:p>
        </w:tc>
      </w:tr>
      <w:tr w:rsidR="00D25961" w:rsidRPr="00D25961" w14:paraId="7ED24E2C" w14:textId="77777777" w:rsidTr="00763C2D">
        <w:trPr>
          <w:cantSplit/>
          <w:trHeight w:val="755"/>
        </w:trPr>
        <w:tc>
          <w:tcPr>
            <w:tcW w:w="1995" w:type="dxa"/>
            <w:tcBorders>
              <w:top w:val="single" w:sz="4" w:space="0" w:color="auto"/>
              <w:left w:val="single" w:sz="4" w:space="0" w:color="auto"/>
              <w:bottom w:val="single" w:sz="4" w:space="0" w:color="auto"/>
              <w:right w:val="single" w:sz="4" w:space="0" w:color="auto"/>
            </w:tcBorders>
            <w:vAlign w:val="center"/>
            <w:hideMark/>
          </w:tcPr>
          <w:p w14:paraId="00390A93" w14:textId="77777777" w:rsidR="00D25961" w:rsidRPr="00D25961" w:rsidRDefault="00D25961" w:rsidP="00FE0388">
            <w:pPr>
              <w:autoSpaceDE w:val="0"/>
              <w:autoSpaceDN w:val="0"/>
              <w:spacing w:after="0" w:line="252" w:lineRule="auto"/>
              <w:ind w:left="79"/>
              <w:rPr>
                <w:rFonts w:asciiTheme="majorHAnsi" w:eastAsia="Calibri" w:hAnsiTheme="majorHAnsi" w:cs="Times New Roman"/>
                <w:b/>
                <w:sz w:val="20"/>
                <w:szCs w:val="20"/>
                <w:lang w:val="en-US"/>
              </w:rPr>
            </w:pPr>
            <w:r w:rsidRPr="00D25961">
              <w:rPr>
                <w:rFonts w:asciiTheme="majorHAnsi" w:eastAsia="Calibri" w:hAnsiTheme="majorHAnsi" w:cs="Times New Roman"/>
                <w:b/>
                <w:sz w:val="20"/>
                <w:szCs w:val="20"/>
                <w:lang w:val="en-US"/>
              </w:rPr>
              <w:t xml:space="preserve">Change from </w:t>
            </w:r>
            <w:proofErr w:type="gramStart"/>
            <w:r w:rsidRPr="00D25961">
              <w:rPr>
                <w:rFonts w:asciiTheme="majorHAnsi" w:eastAsia="Calibri" w:hAnsiTheme="majorHAnsi" w:cs="Times New Roman"/>
                <w:b/>
                <w:sz w:val="20"/>
                <w:szCs w:val="20"/>
                <w:lang w:val="en-US"/>
              </w:rPr>
              <w:t>baseline  to</w:t>
            </w:r>
            <w:proofErr w:type="gramEnd"/>
            <w:r w:rsidRPr="00D25961">
              <w:rPr>
                <w:rFonts w:asciiTheme="majorHAnsi" w:eastAsia="Calibri" w:hAnsiTheme="majorHAnsi" w:cs="Times New Roman"/>
                <w:b/>
                <w:sz w:val="20"/>
                <w:szCs w:val="20"/>
                <w:lang w:val="en-US"/>
              </w:rPr>
              <w:t xml:space="preserve"> week 4</w:t>
            </w:r>
          </w:p>
          <w:p w14:paraId="2757510B" w14:textId="77777777" w:rsidR="00D25961" w:rsidRPr="00D25961" w:rsidRDefault="00D25961" w:rsidP="00FE0388">
            <w:pPr>
              <w:autoSpaceDE w:val="0"/>
              <w:autoSpaceDN w:val="0"/>
              <w:spacing w:after="0" w:line="252" w:lineRule="auto"/>
              <w:ind w:left="79"/>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LS-Means (SE)</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BCCC9D8"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-7.60 (0.43)</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A684A32"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-4.31 (0.43)</w:t>
            </w:r>
          </w:p>
        </w:tc>
        <w:tc>
          <w:tcPr>
            <w:tcW w:w="1116" w:type="dxa"/>
            <w:tcBorders>
              <w:top w:val="single" w:sz="4" w:space="0" w:color="auto"/>
              <w:left w:val="single" w:sz="4" w:space="0" w:color="auto"/>
              <w:bottom w:val="single" w:sz="4" w:space="0" w:color="auto"/>
              <w:right w:val="single" w:sz="4" w:space="0" w:color="auto"/>
            </w:tcBorders>
            <w:hideMark/>
          </w:tcPr>
          <w:p w14:paraId="6DF33B20"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-3.29 (0.61)</w:t>
            </w:r>
          </w:p>
          <w:p w14:paraId="2730281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-4.47, -2.10</w:t>
            </w:r>
          </w:p>
          <w:p w14:paraId="7D7F0917"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0D8CB88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-8.58 (0.49)</w:t>
            </w:r>
          </w:p>
        </w:tc>
        <w:tc>
          <w:tcPr>
            <w:tcW w:w="1140" w:type="dxa"/>
            <w:tcBorders>
              <w:top w:val="single" w:sz="4" w:space="0" w:color="auto"/>
              <w:left w:val="single" w:sz="4" w:space="0" w:color="auto"/>
              <w:bottom w:val="single" w:sz="4" w:space="0" w:color="auto"/>
              <w:right w:val="single" w:sz="4" w:space="0" w:color="auto"/>
            </w:tcBorders>
            <w:hideMark/>
          </w:tcPr>
          <w:p w14:paraId="6A9018F0"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-5.54 (0.49)</w:t>
            </w:r>
          </w:p>
        </w:tc>
        <w:tc>
          <w:tcPr>
            <w:tcW w:w="1150" w:type="dxa"/>
            <w:tcBorders>
              <w:top w:val="single" w:sz="4" w:space="0" w:color="auto"/>
              <w:left w:val="single" w:sz="4" w:space="0" w:color="auto"/>
              <w:bottom w:val="single" w:sz="4" w:space="0" w:color="auto"/>
              <w:right w:val="single" w:sz="4" w:space="0" w:color="auto"/>
            </w:tcBorders>
            <w:hideMark/>
          </w:tcPr>
          <w:p w14:paraId="35199FBB"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-3.04 (0.69)</w:t>
            </w:r>
          </w:p>
          <w:p w14:paraId="33119C08"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-4.40, -1.68</w:t>
            </w:r>
          </w:p>
          <w:p w14:paraId="459BA33E"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r>
      <w:tr w:rsidR="00D25961" w:rsidRPr="00D25961" w14:paraId="69115575" w14:textId="77777777" w:rsidTr="00763C2D">
        <w:trPr>
          <w:cantSplit/>
          <w:trHeight w:val="523"/>
        </w:trPr>
        <w:tc>
          <w:tcPr>
            <w:tcW w:w="1995" w:type="dxa"/>
            <w:tcBorders>
              <w:top w:val="single" w:sz="4" w:space="0" w:color="auto"/>
              <w:left w:val="single" w:sz="4" w:space="0" w:color="auto"/>
              <w:bottom w:val="single" w:sz="4" w:space="0" w:color="auto"/>
              <w:right w:val="single" w:sz="4" w:space="0" w:color="auto"/>
            </w:tcBorders>
            <w:vAlign w:val="center"/>
            <w:hideMark/>
          </w:tcPr>
          <w:p w14:paraId="650DE737" w14:textId="77777777" w:rsidR="00D25961" w:rsidRPr="00D25961" w:rsidRDefault="00D25961" w:rsidP="00FE0388">
            <w:pPr>
              <w:spacing w:after="0" w:line="240" w:lineRule="auto"/>
              <w:ind w:left="79"/>
              <w:rPr>
                <w:rFonts w:asciiTheme="majorHAnsi" w:eastAsia="Calibri" w:hAnsiTheme="majorHAnsi" w:cs="Times New Roman"/>
                <w:b/>
                <w:sz w:val="20"/>
                <w:szCs w:val="20"/>
                <w:lang w:val="en-US"/>
              </w:rPr>
            </w:pPr>
            <w:r w:rsidRPr="00D25961">
              <w:rPr>
                <w:rFonts w:asciiTheme="majorHAnsi" w:eastAsia="Calibri" w:hAnsiTheme="majorHAnsi" w:cs="Times New Roman"/>
                <w:b/>
                <w:sz w:val="20"/>
                <w:szCs w:val="20"/>
                <w:lang w:val="en-US"/>
              </w:rPr>
              <w:t xml:space="preserve">Change from </w:t>
            </w:r>
            <w:proofErr w:type="gramStart"/>
            <w:r w:rsidRPr="00D25961">
              <w:rPr>
                <w:rFonts w:asciiTheme="majorHAnsi" w:eastAsia="Calibri" w:hAnsiTheme="majorHAnsi" w:cs="Times New Roman"/>
                <w:b/>
                <w:sz w:val="20"/>
                <w:szCs w:val="20"/>
                <w:lang w:val="en-US"/>
              </w:rPr>
              <w:t>baseline  to</w:t>
            </w:r>
            <w:proofErr w:type="gramEnd"/>
            <w:r w:rsidRPr="00D25961">
              <w:rPr>
                <w:rFonts w:asciiTheme="majorHAnsi" w:eastAsia="Calibri" w:hAnsiTheme="majorHAnsi" w:cs="Times New Roman"/>
                <w:b/>
                <w:sz w:val="20"/>
                <w:szCs w:val="20"/>
                <w:lang w:val="en-US"/>
              </w:rPr>
              <w:t xml:space="preserve"> week 12</w:t>
            </w:r>
          </w:p>
          <w:p w14:paraId="616C2549" w14:textId="77777777" w:rsidR="00D25961" w:rsidRPr="00D25961" w:rsidRDefault="00D25961" w:rsidP="00FE0388">
            <w:pPr>
              <w:spacing w:after="0" w:line="240" w:lineRule="auto"/>
              <w:ind w:left="79"/>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LS-Means (SE)</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0CDF487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-8.66 (0.58)</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CEC1376"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-5.44 (0.59)</w:t>
            </w:r>
          </w:p>
        </w:tc>
        <w:tc>
          <w:tcPr>
            <w:tcW w:w="1116" w:type="dxa"/>
            <w:tcBorders>
              <w:top w:val="single" w:sz="4" w:space="0" w:color="auto"/>
              <w:left w:val="single" w:sz="4" w:space="0" w:color="auto"/>
              <w:bottom w:val="single" w:sz="4" w:space="0" w:color="auto"/>
              <w:right w:val="single" w:sz="4" w:space="0" w:color="auto"/>
            </w:tcBorders>
            <w:hideMark/>
          </w:tcPr>
          <w:p w14:paraId="37B376FA"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-3.22 (0.81)</w:t>
            </w:r>
          </w:p>
          <w:p w14:paraId="7AE817E1"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-4.81, -1.63</w:t>
            </w:r>
          </w:p>
          <w:p w14:paraId="34E90262"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A0D35F4"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-9.72 (0.50)</w:t>
            </w:r>
          </w:p>
        </w:tc>
        <w:tc>
          <w:tcPr>
            <w:tcW w:w="1140" w:type="dxa"/>
            <w:tcBorders>
              <w:top w:val="single" w:sz="4" w:space="0" w:color="auto"/>
              <w:left w:val="single" w:sz="4" w:space="0" w:color="auto"/>
              <w:bottom w:val="single" w:sz="4" w:space="0" w:color="auto"/>
              <w:right w:val="single" w:sz="4" w:space="0" w:color="auto"/>
            </w:tcBorders>
            <w:hideMark/>
          </w:tcPr>
          <w:p w14:paraId="17DBAF01"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-6.48 (0.49)</w:t>
            </w:r>
          </w:p>
        </w:tc>
        <w:tc>
          <w:tcPr>
            <w:tcW w:w="1150" w:type="dxa"/>
            <w:tcBorders>
              <w:top w:val="single" w:sz="4" w:space="0" w:color="auto"/>
              <w:left w:val="single" w:sz="4" w:space="0" w:color="auto"/>
              <w:bottom w:val="single" w:sz="4" w:space="0" w:color="auto"/>
              <w:right w:val="single" w:sz="4" w:space="0" w:color="auto"/>
            </w:tcBorders>
            <w:hideMark/>
          </w:tcPr>
          <w:p w14:paraId="61D57946"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-3.24 (0.69)</w:t>
            </w:r>
          </w:p>
          <w:p w14:paraId="559A704F"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-4.60, -1.88</w:t>
            </w:r>
          </w:p>
          <w:p w14:paraId="20D3668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r>
      <w:tr w:rsidR="00D25961" w:rsidRPr="00D25961" w14:paraId="2FF4B1EE" w14:textId="77777777" w:rsidTr="00763C2D">
        <w:trPr>
          <w:cantSplit/>
          <w:trHeight w:val="523"/>
        </w:trPr>
        <w:tc>
          <w:tcPr>
            <w:tcW w:w="1995"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908527A"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 xml:space="preserve">Severity at </w:t>
            </w:r>
            <w:r w:rsidRPr="00D25961">
              <w:rPr>
                <w:rFonts w:asciiTheme="majorHAnsi" w:eastAsia="Calibri" w:hAnsiTheme="majorHAnsi" w:cs="Times New Roman"/>
                <w:b/>
                <w:sz w:val="20"/>
                <w:szCs w:val="20"/>
                <w:lang w:val="en-US"/>
              </w:rPr>
              <w:t>Baseline</w:t>
            </w:r>
            <w:r w:rsidRPr="00D25961">
              <w:rPr>
                <w:rFonts w:asciiTheme="majorHAnsi" w:eastAsia="Calibri" w:hAnsiTheme="majorHAnsi" w:cs="Times New Roman"/>
                <w:sz w:val="20"/>
                <w:szCs w:val="20"/>
                <w:lang w:val="en-US"/>
              </w:rPr>
              <w:t xml:space="preserve"> </w:t>
            </w:r>
          </w:p>
          <w:p w14:paraId="2F50FE85" w14:textId="77777777" w:rsidR="00D25961" w:rsidRPr="00D25961" w:rsidRDefault="00D25961" w:rsidP="00FE0388">
            <w:pPr>
              <w:autoSpaceDE w:val="0"/>
              <w:autoSpaceDN w:val="0"/>
              <w:spacing w:after="0" w:line="252" w:lineRule="auto"/>
              <w:rPr>
                <w:rFonts w:asciiTheme="majorHAnsi" w:eastAsia="Calibri" w:hAnsiTheme="majorHAnsi" w:cs="Times New Roman"/>
                <w:b/>
                <w:sz w:val="20"/>
                <w:szCs w:val="20"/>
                <w:lang w:val="en-US"/>
              </w:rPr>
            </w:pPr>
            <w:r w:rsidRPr="00D25961">
              <w:rPr>
                <w:rFonts w:asciiTheme="majorHAnsi" w:eastAsia="Calibri" w:hAnsiTheme="majorHAnsi" w:cs="Times New Roman"/>
                <w:sz w:val="20"/>
                <w:szCs w:val="20"/>
                <w:lang w:val="en-US"/>
              </w:rPr>
              <w:t>Mean (SD)</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140F2E1"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Times New Roman" w:hAnsiTheme="majorHAnsi" w:cs="Times New Roman"/>
                <w:sz w:val="20"/>
                <w:szCs w:val="20"/>
                <w:lang w:val="en-US"/>
              </w:rPr>
              <w:t>2.56 (0.22)</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43B29547"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Times New Roman" w:hAnsiTheme="majorHAnsi" w:cs="Times New Roman"/>
                <w:sz w:val="20"/>
                <w:szCs w:val="20"/>
                <w:lang w:val="en-US"/>
              </w:rPr>
              <w:t>2.53 (0.23)</w:t>
            </w:r>
          </w:p>
        </w:tc>
        <w:tc>
          <w:tcPr>
            <w:tcW w:w="1116" w:type="dxa"/>
            <w:tcBorders>
              <w:top w:val="single" w:sz="4" w:space="0" w:color="auto"/>
              <w:left w:val="single" w:sz="4" w:space="0" w:color="auto"/>
              <w:bottom w:val="single" w:sz="4" w:space="0" w:color="auto"/>
              <w:right w:val="single" w:sz="4" w:space="0" w:color="auto"/>
            </w:tcBorders>
          </w:tcPr>
          <w:p w14:paraId="3515A214"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19F7B894"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Times New Roman" w:hAnsiTheme="majorHAnsi" w:cs="Times New Roman"/>
                <w:sz w:val="20"/>
                <w:szCs w:val="20"/>
                <w:lang w:val="en-US"/>
              </w:rPr>
              <w:t>2.53 (0.24)</w:t>
            </w:r>
          </w:p>
        </w:tc>
        <w:tc>
          <w:tcPr>
            <w:tcW w:w="1140" w:type="dxa"/>
            <w:tcBorders>
              <w:top w:val="single" w:sz="4" w:space="0" w:color="auto"/>
              <w:left w:val="single" w:sz="4" w:space="0" w:color="auto"/>
              <w:bottom w:val="single" w:sz="4" w:space="0" w:color="auto"/>
              <w:right w:val="single" w:sz="4" w:space="0" w:color="auto"/>
            </w:tcBorders>
            <w:hideMark/>
          </w:tcPr>
          <w:p w14:paraId="4F70BB0A"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Times New Roman" w:hAnsiTheme="majorHAnsi" w:cs="Times New Roman"/>
                <w:sz w:val="20"/>
                <w:szCs w:val="20"/>
                <w:lang w:val="en-US"/>
              </w:rPr>
              <w:t>2.54 (0.24)</w:t>
            </w:r>
          </w:p>
        </w:tc>
        <w:tc>
          <w:tcPr>
            <w:tcW w:w="1150" w:type="dxa"/>
            <w:tcBorders>
              <w:top w:val="single" w:sz="4" w:space="0" w:color="auto"/>
              <w:left w:val="single" w:sz="4" w:space="0" w:color="auto"/>
              <w:bottom w:val="single" w:sz="4" w:space="0" w:color="auto"/>
              <w:right w:val="single" w:sz="4" w:space="0" w:color="auto"/>
            </w:tcBorders>
          </w:tcPr>
          <w:p w14:paraId="32C44E18"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p>
        </w:tc>
      </w:tr>
      <w:tr w:rsidR="00D25961" w:rsidRPr="00D25961" w14:paraId="4605EA54" w14:textId="77777777" w:rsidTr="00763C2D">
        <w:trPr>
          <w:cantSplit/>
          <w:trHeight w:val="523"/>
        </w:trPr>
        <w:tc>
          <w:tcPr>
            <w:tcW w:w="1995"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95ACEAD" w14:textId="77777777" w:rsidR="00D25961" w:rsidRPr="00D25961" w:rsidRDefault="00D25961" w:rsidP="00FE0388">
            <w:pPr>
              <w:autoSpaceDE w:val="0"/>
              <w:autoSpaceDN w:val="0"/>
              <w:spacing w:after="0" w:line="252" w:lineRule="auto"/>
              <w:rPr>
                <w:rFonts w:asciiTheme="majorHAnsi" w:eastAsia="Calibri" w:hAnsiTheme="majorHAnsi" w:cs="Times New Roman"/>
                <w:b/>
                <w:sz w:val="20"/>
                <w:szCs w:val="20"/>
                <w:lang w:val="en-US"/>
              </w:rPr>
            </w:pPr>
            <w:r w:rsidRPr="00D25961">
              <w:rPr>
                <w:rFonts w:asciiTheme="majorHAnsi" w:eastAsia="Calibri" w:hAnsiTheme="majorHAnsi" w:cs="Times New Roman"/>
                <w:b/>
                <w:sz w:val="20"/>
                <w:szCs w:val="20"/>
                <w:lang w:val="en-US"/>
              </w:rPr>
              <w:t xml:space="preserve">Change from baseline to week 4  </w:t>
            </w:r>
          </w:p>
          <w:p w14:paraId="0BB7AD2D"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LS-Means (SE)</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07B412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-0.73 (0.04)</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337F8302"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-0.40 (0.04)</w:t>
            </w:r>
          </w:p>
        </w:tc>
        <w:tc>
          <w:tcPr>
            <w:tcW w:w="1116" w:type="dxa"/>
            <w:tcBorders>
              <w:top w:val="single" w:sz="4" w:space="0" w:color="auto"/>
              <w:left w:val="single" w:sz="4" w:space="0" w:color="auto"/>
              <w:bottom w:val="single" w:sz="4" w:space="0" w:color="auto"/>
              <w:right w:val="single" w:sz="4" w:space="0" w:color="auto"/>
            </w:tcBorders>
            <w:hideMark/>
          </w:tcPr>
          <w:p w14:paraId="3DD1B7A6"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-0.33 (0.06)</w:t>
            </w:r>
          </w:p>
          <w:p w14:paraId="317F1F91"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-0.44, -0.23</w:t>
            </w:r>
          </w:p>
          <w:p w14:paraId="74EAC35B"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D55776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-0.75 (0.04)</w:t>
            </w:r>
          </w:p>
        </w:tc>
        <w:tc>
          <w:tcPr>
            <w:tcW w:w="1140" w:type="dxa"/>
            <w:tcBorders>
              <w:top w:val="single" w:sz="4" w:space="0" w:color="auto"/>
              <w:left w:val="single" w:sz="4" w:space="0" w:color="auto"/>
              <w:bottom w:val="single" w:sz="4" w:space="0" w:color="auto"/>
              <w:right w:val="single" w:sz="4" w:space="0" w:color="auto"/>
            </w:tcBorders>
            <w:hideMark/>
          </w:tcPr>
          <w:p w14:paraId="02D2F301"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-0.53 (0.04)</w:t>
            </w:r>
          </w:p>
        </w:tc>
        <w:tc>
          <w:tcPr>
            <w:tcW w:w="1150" w:type="dxa"/>
            <w:tcBorders>
              <w:top w:val="single" w:sz="4" w:space="0" w:color="auto"/>
              <w:left w:val="single" w:sz="4" w:space="0" w:color="auto"/>
              <w:bottom w:val="single" w:sz="4" w:space="0" w:color="auto"/>
              <w:right w:val="single" w:sz="4" w:space="0" w:color="auto"/>
            </w:tcBorders>
            <w:hideMark/>
          </w:tcPr>
          <w:p w14:paraId="71C12A94"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-0.22 (0.06)</w:t>
            </w:r>
          </w:p>
          <w:p w14:paraId="1A8B58F8"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-0.34, -0.09</w:t>
            </w:r>
          </w:p>
          <w:p w14:paraId="6EE0ED8B"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0.0003</w:t>
            </w:r>
          </w:p>
        </w:tc>
      </w:tr>
      <w:tr w:rsidR="00D25961" w:rsidRPr="00D25961" w14:paraId="0A7A73A8" w14:textId="77777777" w:rsidTr="00763C2D">
        <w:trPr>
          <w:cantSplit/>
          <w:trHeight w:val="523"/>
        </w:trPr>
        <w:tc>
          <w:tcPr>
            <w:tcW w:w="1995" w:type="dxa"/>
            <w:tcBorders>
              <w:top w:val="single" w:sz="4" w:space="0" w:color="auto"/>
              <w:left w:val="single" w:sz="4" w:space="0" w:color="auto"/>
              <w:bottom w:val="single" w:sz="4" w:space="0" w:color="auto"/>
              <w:right w:val="single" w:sz="4" w:space="0" w:color="auto"/>
            </w:tcBorders>
            <w:vAlign w:val="center"/>
            <w:hideMark/>
          </w:tcPr>
          <w:p w14:paraId="6BFB63AB" w14:textId="77777777" w:rsidR="00D25961" w:rsidRPr="00D25961" w:rsidRDefault="00D25961" w:rsidP="00FE0388">
            <w:pPr>
              <w:autoSpaceDE w:val="0"/>
              <w:autoSpaceDN w:val="0"/>
              <w:spacing w:after="0" w:line="252" w:lineRule="auto"/>
              <w:ind w:left="79"/>
              <w:rPr>
                <w:rFonts w:asciiTheme="majorHAnsi" w:eastAsia="Calibri" w:hAnsiTheme="majorHAnsi" w:cs="Times New Roman"/>
                <w:b/>
                <w:sz w:val="20"/>
                <w:szCs w:val="20"/>
                <w:lang w:val="en-US"/>
              </w:rPr>
            </w:pPr>
            <w:r w:rsidRPr="00D25961">
              <w:rPr>
                <w:rFonts w:asciiTheme="majorHAnsi" w:eastAsia="Calibri" w:hAnsiTheme="majorHAnsi" w:cs="Times New Roman"/>
                <w:b/>
                <w:sz w:val="20"/>
                <w:szCs w:val="20"/>
                <w:lang w:val="en-US"/>
              </w:rPr>
              <w:t xml:space="preserve">Change from baseline to week 12  </w:t>
            </w:r>
          </w:p>
          <w:p w14:paraId="262B7815" w14:textId="77777777" w:rsidR="00D25961" w:rsidRPr="00D25961" w:rsidRDefault="00D25961" w:rsidP="00FE0388">
            <w:pPr>
              <w:autoSpaceDE w:val="0"/>
              <w:autoSpaceDN w:val="0"/>
              <w:spacing w:after="0" w:line="252" w:lineRule="auto"/>
              <w:ind w:left="79"/>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LS-Means (SE)</w:t>
            </w:r>
          </w:p>
        </w:tc>
        <w:tc>
          <w:tcPr>
            <w:tcW w:w="115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CAA72E7"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-0.92 (0.05)</w:t>
            </w:r>
          </w:p>
        </w:tc>
        <w:tc>
          <w:tcPr>
            <w:tcW w:w="1074"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6206E760"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-0.52 (0.05)</w:t>
            </w:r>
          </w:p>
        </w:tc>
        <w:tc>
          <w:tcPr>
            <w:tcW w:w="1116" w:type="dxa"/>
            <w:tcBorders>
              <w:top w:val="single" w:sz="4" w:space="0" w:color="auto"/>
              <w:left w:val="single" w:sz="4" w:space="0" w:color="auto"/>
              <w:bottom w:val="single" w:sz="4" w:space="0" w:color="auto"/>
              <w:right w:val="single" w:sz="4" w:space="0" w:color="auto"/>
            </w:tcBorders>
            <w:hideMark/>
          </w:tcPr>
          <w:p w14:paraId="3DE73799"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-0.40 (0.07)</w:t>
            </w:r>
          </w:p>
          <w:p w14:paraId="6A4CCDBC"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-0.54, -0.25</w:t>
            </w:r>
          </w:p>
          <w:p w14:paraId="1F7D8761"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c>
          <w:tcPr>
            <w:tcW w:w="1240"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DBF652A"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-0.91 (0.06)</w:t>
            </w:r>
          </w:p>
        </w:tc>
        <w:tc>
          <w:tcPr>
            <w:tcW w:w="1140" w:type="dxa"/>
            <w:tcBorders>
              <w:top w:val="single" w:sz="4" w:space="0" w:color="auto"/>
              <w:left w:val="single" w:sz="4" w:space="0" w:color="auto"/>
              <w:bottom w:val="single" w:sz="4" w:space="0" w:color="auto"/>
              <w:right w:val="single" w:sz="4" w:space="0" w:color="auto"/>
            </w:tcBorders>
            <w:hideMark/>
          </w:tcPr>
          <w:p w14:paraId="2298B654"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-0.62 (0.05)</w:t>
            </w:r>
          </w:p>
        </w:tc>
        <w:tc>
          <w:tcPr>
            <w:tcW w:w="1150" w:type="dxa"/>
            <w:tcBorders>
              <w:top w:val="single" w:sz="4" w:space="0" w:color="auto"/>
              <w:left w:val="single" w:sz="4" w:space="0" w:color="auto"/>
              <w:bottom w:val="single" w:sz="4" w:space="0" w:color="auto"/>
              <w:right w:val="single" w:sz="4" w:space="0" w:color="auto"/>
            </w:tcBorders>
            <w:hideMark/>
          </w:tcPr>
          <w:p w14:paraId="57978596"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-0.29 (0.08)</w:t>
            </w:r>
          </w:p>
          <w:p w14:paraId="6AECB9DC"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-0.44, -0.14</w:t>
            </w:r>
          </w:p>
          <w:p w14:paraId="16A31C1E" w14:textId="77777777" w:rsidR="00D25961" w:rsidRPr="00D25961" w:rsidRDefault="00D25961" w:rsidP="00FE0388">
            <w:pPr>
              <w:autoSpaceDE w:val="0"/>
              <w:autoSpaceDN w:val="0"/>
              <w:spacing w:after="0" w:line="252" w:lineRule="auto"/>
              <w:rPr>
                <w:rFonts w:asciiTheme="majorHAnsi" w:eastAsia="Calibri" w:hAnsiTheme="majorHAnsi" w:cs="Times New Roman"/>
                <w:sz w:val="20"/>
                <w:szCs w:val="20"/>
                <w:lang w:val="en-US"/>
              </w:rPr>
            </w:pPr>
            <w:r w:rsidRPr="00D25961">
              <w:rPr>
                <w:rFonts w:asciiTheme="majorHAnsi" w:eastAsia="Calibri" w:hAnsiTheme="majorHAnsi" w:cs="Times New Roman"/>
                <w:sz w:val="20"/>
                <w:szCs w:val="20"/>
                <w:lang w:val="en-US"/>
              </w:rPr>
              <w:t>&lt;0.0001</w:t>
            </w:r>
          </w:p>
        </w:tc>
      </w:tr>
    </w:tbl>
    <w:p w14:paraId="16B3B5D2" w14:textId="77777777" w:rsidR="00D25961" w:rsidRPr="00D25961" w:rsidRDefault="00D25961" w:rsidP="00FE0388">
      <w:pPr>
        <w:spacing w:after="0" w:line="240" w:lineRule="auto"/>
        <w:rPr>
          <w:rFonts w:asciiTheme="majorHAnsi" w:eastAsia="Calibri" w:hAnsiTheme="majorHAnsi" w:cs="Times New Roman"/>
          <w:sz w:val="16"/>
          <w:szCs w:val="16"/>
          <w:lang w:val="en-US"/>
          <w14:ligatures w14:val="standardContextual"/>
        </w:rPr>
      </w:pPr>
    </w:p>
    <w:p w14:paraId="0752FF33" w14:textId="77777777" w:rsidR="00D25961" w:rsidRPr="00D25961" w:rsidRDefault="00D25961" w:rsidP="00FE0388">
      <w:pPr>
        <w:spacing w:after="0" w:line="240" w:lineRule="auto"/>
        <w:rPr>
          <w:rFonts w:asciiTheme="majorHAnsi" w:eastAsia="Calibri" w:hAnsiTheme="majorHAnsi" w:cs="Times New Roman"/>
          <w:sz w:val="16"/>
          <w:szCs w:val="16"/>
          <w:lang w:val="en-US"/>
          <w14:ligatures w14:val="standardContextual"/>
        </w:rPr>
      </w:pPr>
      <w:r w:rsidRPr="00D25961">
        <w:rPr>
          <w:rFonts w:asciiTheme="majorHAnsi" w:eastAsia="Calibri" w:hAnsiTheme="majorHAnsi" w:cs="Times New Roman"/>
          <w:sz w:val="16"/>
          <w:szCs w:val="16"/>
          <w:lang w:val="en-US"/>
          <w14:ligatures w14:val="standardContextual"/>
        </w:rPr>
        <w:t>CI = Confidence Interval, LS-Means = Least Squares Means, SD = standard deviation, SE = Standard Error</w:t>
      </w:r>
    </w:p>
    <w:p w14:paraId="16150D10" w14:textId="77777777" w:rsidR="00D25961" w:rsidRPr="00D25961" w:rsidRDefault="00D25961" w:rsidP="00FE0388">
      <w:pPr>
        <w:spacing w:after="0" w:line="240" w:lineRule="auto"/>
        <w:rPr>
          <w:rFonts w:asciiTheme="majorHAnsi" w:eastAsia="Calibri" w:hAnsiTheme="majorHAnsi" w:cs="Times New Roman"/>
          <w:sz w:val="16"/>
          <w:szCs w:val="16"/>
          <w:lang w:val="en-US"/>
          <w14:ligatures w14:val="standardContextual"/>
        </w:rPr>
      </w:pPr>
      <w:r w:rsidRPr="00D25961">
        <w:rPr>
          <w:rFonts w:asciiTheme="majorHAnsi" w:eastAsia="Calibri" w:hAnsiTheme="majorHAnsi" w:cs="Times New Roman"/>
          <w:sz w:val="16"/>
          <w:szCs w:val="16"/>
          <w:lang w:val="en-US"/>
          <w14:ligatures w14:val="standardContextual"/>
        </w:rPr>
        <w:t>* - one-sided p-value</w:t>
      </w:r>
    </w:p>
    <w:p w14:paraId="40A2E7DE" w14:textId="77777777" w:rsidR="00D25961" w:rsidRPr="00D25961" w:rsidRDefault="00D25961" w:rsidP="00FE0388">
      <w:pPr>
        <w:spacing w:after="0" w:line="240" w:lineRule="auto"/>
        <w:rPr>
          <w:rFonts w:asciiTheme="majorHAnsi" w:eastAsia="Calibri" w:hAnsiTheme="majorHAnsi" w:cs="Times New Roman"/>
          <w:sz w:val="16"/>
          <w:szCs w:val="16"/>
          <w:lang w:val="en-US"/>
          <w14:ligatures w14:val="standardContextual"/>
        </w:rPr>
      </w:pPr>
      <w:r w:rsidRPr="00D25961">
        <w:rPr>
          <w:rFonts w:asciiTheme="majorHAnsi" w:eastAsia="Calibri" w:hAnsiTheme="majorHAnsi" w:cs="Times New Roman"/>
          <w:sz w:val="16"/>
          <w:szCs w:val="16"/>
          <w:lang w:val="en-US"/>
          <w14:ligatures w14:val="standardContextual"/>
        </w:rPr>
        <w:t>** - key secondary endpoint</w:t>
      </w:r>
    </w:p>
    <w:p w14:paraId="2DC64535" w14:textId="77777777" w:rsidR="00CC5A59" w:rsidRDefault="00CC5A59" w:rsidP="00FE0388">
      <w:pPr>
        <w:spacing w:before="120" w:after="120" w:line="240" w:lineRule="auto"/>
        <w:rPr>
          <w:rFonts w:asciiTheme="majorHAnsi" w:eastAsia="Calibri" w:hAnsiTheme="majorHAnsi" w:cs="Times New Roman"/>
          <w:lang w:val="en-US"/>
        </w:rPr>
      </w:pPr>
    </w:p>
    <w:p w14:paraId="44A60D4F" w14:textId="6674958F" w:rsidR="00D25961" w:rsidRPr="00B2617E" w:rsidRDefault="00D25961" w:rsidP="00FE0388">
      <w:pPr>
        <w:spacing w:before="120" w:after="120" w:line="240" w:lineRule="auto"/>
        <w:rPr>
          <w:rFonts w:asciiTheme="majorHAnsi" w:eastAsia="Times New Roman" w:hAnsiTheme="majorHAnsi" w:cs="Times New Roman"/>
          <w:lang w:val="en-US"/>
        </w:rPr>
      </w:pPr>
      <w:r w:rsidRPr="00B2617E">
        <w:rPr>
          <w:rFonts w:asciiTheme="majorHAnsi" w:eastAsia="Calibri" w:hAnsiTheme="majorHAnsi" w:cs="Times New Roman"/>
          <w:lang w:val="en-US"/>
        </w:rPr>
        <w:lastRenderedPageBreak/>
        <w:t xml:space="preserve">The results in reduction of frequency and severity of moderate to severe HFs were consistent across </w:t>
      </w:r>
      <w:r w:rsidR="00B63BAE">
        <w:rPr>
          <w:rFonts w:asciiTheme="majorHAnsi" w:eastAsia="Calibri" w:hAnsiTheme="majorHAnsi" w:cs="Times New Roman"/>
          <w:lang w:val="en-US"/>
        </w:rPr>
        <w:t>the</w:t>
      </w:r>
      <w:r w:rsidRPr="00B2617E">
        <w:rPr>
          <w:rFonts w:asciiTheme="majorHAnsi" w:eastAsia="Calibri" w:hAnsiTheme="majorHAnsi" w:cs="Times New Roman"/>
          <w:lang w:val="en-US"/>
        </w:rPr>
        <w:t xml:space="preserve"> patient subgroups </w:t>
      </w:r>
      <w:r w:rsidR="00B63BAE">
        <w:rPr>
          <w:rFonts w:asciiTheme="majorHAnsi" w:eastAsia="Calibri" w:hAnsiTheme="majorHAnsi" w:cs="Times New Roman"/>
          <w:lang w:val="en-US"/>
        </w:rPr>
        <w:t>based on</w:t>
      </w:r>
      <w:r w:rsidRPr="00B2617E">
        <w:rPr>
          <w:rFonts w:asciiTheme="majorHAnsi" w:eastAsia="Calibri" w:hAnsiTheme="majorHAnsi" w:cs="Times New Roman"/>
          <w:lang w:val="en-US"/>
        </w:rPr>
        <w:t xml:space="preserve"> race, ethnicity, BMI and smoking status. </w:t>
      </w:r>
    </w:p>
    <w:p w14:paraId="31596B7D" w14:textId="533E2762" w:rsidR="00D25961" w:rsidRPr="00B2617E" w:rsidRDefault="00D25961" w:rsidP="00FE0388">
      <w:pPr>
        <w:spacing w:after="0" w:line="240" w:lineRule="auto"/>
        <w:rPr>
          <w:rFonts w:asciiTheme="majorHAnsi" w:eastAsia="Times New Roman" w:hAnsiTheme="majorHAnsi" w:cs="Times New Roman"/>
          <w:lang w:eastAsia="en-AU"/>
        </w:rPr>
      </w:pPr>
      <w:r w:rsidRPr="00B2617E">
        <w:rPr>
          <w:rFonts w:asciiTheme="majorHAnsi" w:eastAsia="Times New Roman" w:hAnsiTheme="majorHAnsi" w:cs="Times New Roman"/>
          <w:lang w:val="en-US"/>
        </w:rPr>
        <w:t xml:space="preserve">In OASIS 1 and 2 women treated with </w:t>
      </w:r>
      <w:proofErr w:type="spellStart"/>
      <w:r w:rsidR="00B63BAE" w:rsidRPr="00B63BAE">
        <w:rPr>
          <w:rFonts w:asciiTheme="majorHAnsi" w:eastAsia="Times New Roman" w:hAnsiTheme="majorHAnsi" w:cs="Times New Roman"/>
          <w:lang w:val="en-US"/>
        </w:rPr>
        <w:t>elinzanetant</w:t>
      </w:r>
      <w:proofErr w:type="spellEnd"/>
      <w:r w:rsidRPr="00B2617E">
        <w:rPr>
          <w:rFonts w:asciiTheme="majorHAnsi" w:eastAsia="Times New Roman" w:hAnsiTheme="majorHAnsi" w:cs="Times New Roman"/>
          <w:lang w:val="en-US"/>
        </w:rPr>
        <w:t xml:space="preserve"> showed </w:t>
      </w:r>
      <w:r w:rsidR="00B63BAE">
        <w:rPr>
          <w:rFonts w:asciiTheme="majorHAnsi" w:eastAsia="Times New Roman" w:hAnsiTheme="majorHAnsi" w:cs="Times New Roman"/>
          <w:lang w:val="en-US"/>
        </w:rPr>
        <w:t xml:space="preserve">a </w:t>
      </w:r>
      <w:r w:rsidRPr="00B2617E">
        <w:rPr>
          <w:rFonts w:asciiTheme="majorHAnsi" w:eastAsia="Times New Roman" w:hAnsiTheme="majorHAnsi" w:cs="Times New Roman"/>
          <w:lang w:val="en-US"/>
        </w:rPr>
        <w:t>statistically significant</w:t>
      </w:r>
      <w:r w:rsidR="007B4D7A" w:rsidRPr="00B2617E">
        <w:rPr>
          <w:rFonts w:asciiTheme="majorHAnsi" w:eastAsia="Times New Roman" w:hAnsiTheme="majorHAnsi" w:cs="Times New Roman"/>
          <w:lang w:val="en-US"/>
        </w:rPr>
        <w:t xml:space="preserve"> </w:t>
      </w:r>
      <w:r w:rsidRPr="00B2617E">
        <w:rPr>
          <w:rFonts w:asciiTheme="majorHAnsi" w:eastAsia="Times New Roman" w:hAnsiTheme="majorHAnsi" w:cs="Times New Roman"/>
          <w:lang w:val="en-US"/>
        </w:rPr>
        <w:t xml:space="preserve">improvement in sleep disturbances from baseline to Week 12 compared to placebo as assessed by the PROMIS SD SF 8b total T-score. Women treated with </w:t>
      </w:r>
      <w:proofErr w:type="spellStart"/>
      <w:r w:rsidR="00B63BAE" w:rsidRPr="00B63BAE">
        <w:rPr>
          <w:rFonts w:asciiTheme="majorHAnsi" w:eastAsia="Times New Roman" w:hAnsiTheme="majorHAnsi" w:cs="Times New Roman"/>
          <w:lang w:val="en-US"/>
        </w:rPr>
        <w:t>elinzanetant</w:t>
      </w:r>
      <w:proofErr w:type="spellEnd"/>
      <w:r w:rsidRPr="00B2617E">
        <w:rPr>
          <w:rFonts w:asciiTheme="majorHAnsi" w:eastAsia="Times New Roman" w:hAnsiTheme="majorHAnsi" w:cs="Times New Roman"/>
          <w:lang w:val="en-US"/>
        </w:rPr>
        <w:t xml:space="preserve"> showed </w:t>
      </w:r>
      <w:r w:rsidR="00B63BAE">
        <w:rPr>
          <w:rFonts w:asciiTheme="majorHAnsi" w:eastAsia="Times New Roman" w:hAnsiTheme="majorHAnsi" w:cs="Times New Roman"/>
          <w:lang w:val="en-US"/>
        </w:rPr>
        <w:t>a</w:t>
      </w:r>
      <w:r w:rsidR="00B63BAE" w:rsidRPr="00B2617E">
        <w:rPr>
          <w:rFonts w:asciiTheme="majorHAnsi" w:eastAsia="Times New Roman" w:hAnsiTheme="majorHAnsi" w:cs="Times New Roman"/>
          <w:lang w:val="en-US"/>
        </w:rPr>
        <w:t xml:space="preserve"> </w:t>
      </w:r>
      <w:r w:rsidRPr="00B2617E">
        <w:rPr>
          <w:rFonts w:asciiTheme="majorHAnsi" w:eastAsia="Times New Roman" w:hAnsiTheme="majorHAnsi" w:cs="Times New Roman"/>
          <w:lang w:val="en-US"/>
        </w:rPr>
        <w:t xml:space="preserve">statistically significant improvement in menopause related quality of life from baseline to Week 12 as assessed by the MENQOL total score. </w:t>
      </w:r>
    </w:p>
    <w:p w14:paraId="532761DA" w14:textId="40494C1B" w:rsidR="00763C2D" w:rsidRDefault="00763C2D" w:rsidP="00FE0388">
      <w:pPr>
        <w:rPr>
          <w:rFonts w:asciiTheme="majorHAnsi" w:hAnsiTheme="majorHAnsi" w:cs="Arial"/>
          <w:b/>
          <w:lang w:val="en-US"/>
        </w:rPr>
      </w:pPr>
    </w:p>
    <w:p w14:paraId="731C9781" w14:textId="1AEC06CE" w:rsidR="00D25961" w:rsidRPr="009D2241" w:rsidRDefault="00D25961" w:rsidP="00FE0388">
      <w:pPr>
        <w:pStyle w:val="BayerTableColumnHeadings"/>
        <w:keepNext/>
      </w:pPr>
      <w:r w:rsidRPr="009D2241">
        <w:t xml:space="preserve">Table </w:t>
      </w:r>
      <w:r w:rsidR="00050DAD">
        <w:rPr>
          <w:bCs/>
        </w:rPr>
        <w:t>4</w:t>
      </w:r>
      <w:r w:rsidRPr="009D2241">
        <w:rPr>
          <w:bCs/>
        </w:rPr>
        <w:t>:</w:t>
      </w:r>
      <w:r w:rsidRPr="009D2241">
        <w:t xml:space="preserve"> PROMIS SD SF 8b total T-score and MENQOL total score change from baseline at Week 12 (OASIS 1 and</w:t>
      </w:r>
      <w:r w:rsidR="00B7316F">
        <w:t xml:space="preserve"> </w:t>
      </w:r>
      <w:r w:rsidRPr="009D2241">
        <w:t>2)</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1262"/>
        <w:gridCol w:w="1170"/>
        <w:gridCol w:w="1090"/>
        <w:gridCol w:w="1150"/>
        <w:gridCol w:w="1103"/>
        <w:gridCol w:w="1366"/>
      </w:tblGrid>
      <w:tr w:rsidR="00D25961" w:rsidRPr="009D2241" w14:paraId="25E52377" w14:textId="77777777" w:rsidTr="006B3E3B">
        <w:trPr>
          <w:cantSplit/>
          <w:trHeight w:val="186"/>
          <w:tblHeader/>
        </w:trPr>
        <w:tc>
          <w:tcPr>
            <w:tcW w:w="1043"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bottom"/>
          </w:tcPr>
          <w:p w14:paraId="2AED2654" w14:textId="77777777" w:rsidR="00D25961" w:rsidRPr="009D2241" w:rsidRDefault="00D25961" w:rsidP="00FE0388">
            <w:pPr>
              <w:pStyle w:val="BayerTableColumnHeadings"/>
            </w:pPr>
          </w:p>
        </w:tc>
        <w:tc>
          <w:tcPr>
            <w:tcW w:w="1951" w:type="pct"/>
            <w:gridSpan w:val="3"/>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bottom"/>
            <w:hideMark/>
          </w:tcPr>
          <w:p w14:paraId="66E41EBC" w14:textId="77777777" w:rsidR="00D25961" w:rsidRPr="009D2241" w:rsidRDefault="00D25961" w:rsidP="00FE0388">
            <w:pPr>
              <w:pStyle w:val="BayerTableColumnHeadings"/>
            </w:pPr>
            <w:r w:rsidRPr="009D2241">
              <w:t>OASIS 1</w:t>
            </w:r>
          </w:p>
        </w:tc>
        <w:tc>
          <w:tcPr>
            <w:tcW w:w="2005" w:type="pct"/>
            <w:gridSpan w:val="3"/>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vAlign w:val="bottom"/>
            <w:hideMark/>
          </w:tcPr>
          <w:p w14:paraId="587BF14E" w14:textId="77777777" w:rsidR="00D25961" w:rsidRPr="009D2241" w:rsidRDefault="00D25961" w:rsidP="00FE0388">
            <w:pPr>
              <w:pStyle w:val="BayerTableColumnHeadings"/>
            </w:pPr>
            <w:r w:rsidRPr="009D2241">
              <w:t>OASIS 2</w:t>
            </w:r>
          </w:p>
        </w:tc>
      </w:tr>
      <w:tr w:rsidR="00D25961" w:rsidRPr="009D2241" w14:paraId="03E3AFB8" w14:textId="77777777" w:rsidTr="006B3E3B">
        <w:trPr>
          <w:cantSplit/>
          <w:trHeight w:val="925"/>
          <w:tblHeader/>
        </w:trPr>
        <w:tc>
          <w:tcPr>
            <w:tcW w:w="1043"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tcPr>
          <w:p w14:paraId="628E55CF" w14:textId="77777777" w:rsidR="00D25961" w:rsidRPr="009D2241" w:rsidRDefault="00D25961" w:rsidP="00FE0388">
            <w:pPr>
              <w:pStyle w:val="BayerTableColumnHeadings"/>
            </w:pPr>
          </w:p>
          <w:p w14:paraId="097ECE47" w14:textId="77777777" w:rsidR="00D25961" w:rsidRPr="009D2241" w:rsidRDefault="00D25961" w:rsidP="00FE0388">
            <w:pPr>
              <w:pStyle w:val="BayerTableColumnHeadings"/>
            </w:pPr>
          </w:p>
          <w:p w14:paraId="60BC38BB" w14:textId="77777777" w:rsidR="00D25961" w:rsidRPr="009D2241" w:rsidRDefault="00D25961" w:rsidP="00FE0388">
            <w:pPr>
              <w:pStyle w:val="BayerTableColumnHeadings"/>
            </w:pPr>
            <w:r w:rsidRPr="009D2241">
              <w:t>Parameter</w:t>
            </w:r>
          </w:p>
        </w:tc>
        <w:tc>
          <w:tcPr>
            <w:tcW w:w="699"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FD94DF4" w14:textId="77777777" w:rsidR="00D25961" w:rsidRPr="009D2241" w:rsidRDefault="00D25961" w:rsidP="00FE0388">
            <w:pPr>
              <w:pStyle w:val="BayerTableColumnHeadings"/>
            </w:pPr>
            <w:r w:rsidRPr="009D2241">
              <w:t>LYNKUET 120 mg</w:t>
            </w:r>
          </w:p>
          <w:p w14:paraId="3E905252" w14:textId="77777777" w:rsidR="00D25961" w:rsidRPr="009D2241" w:rsidRDefault="00D25961" w:rsidP="00FE0388">
            <w:pPr>
              <w:pStyle w:val="BayerTableColumnHeadings"/>
            </w:pPr>
            <w:r w:rsidRPr="009D2241">
              <w:t>(N= 199)</w:t>
            </w:r>
          </w:p>
        </w:tc>
        <w:tc>
          <w:tcPr>
            <w:tcW w:w="648"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41B2F4F9" w14:textId="77777777" w:rsidR="00D25961" w:rsidRPr="009D2241" w:rsidRDefault="00D25961" w:rsidP="00FE0388">
            <w:pPr>
              <w:pStyle w:val="BayerTableColumnHeadings"/>
            </w:pPr>
            <w:r w:rsidRPr="009D2241">
              <w:t xml:space="preserve">Placebo </w:t>
            </w:r>
            <w:r w:rsidRPr="009D2241">
              <w:br/>
              <w:t>(N= 197)</w:t>
            </w:r>
          </w:p>
        </w:tc>
        <w:tc>
          <w:tcPr>
            <w:tcW w:w="604" w:type="pct"/>
            <w:tcBorders>
              <w:top w:val="single" w:sz="4" w:space="0" w:color="auto"/>
              <w:left w:val="single" w:sz="4" w:space="0" w:color="auto"/>
              <w:bottom w:val="single" w:sz="4" w:space="0" w:color="auto"/>
              <w:right w:val="single" w:sz="4" w:space="0" w:color="auto"/>
            </w:tcBorders>
            <w:hideMark/>
          </w:tcPr>
          <w:p w14:paraId="096CBE7D" w14:textId="77777777" w:rsidR="00D25961" w:rsidRPr="009D2241" w:rsidRDefault="00D25961" w:rsidP="00FE0388">
            <w:pPr>
              <w:pStyle w:val="BayerTableColumnHeadings"/>
            </w:pPr>
            <w:r w:rsidRPr="009D2241">
              <w:t>Difference</w:t>
            </w:r>
          </w:p>
          <w:p w14:paraId="2BD48692" w14:textId="77777777" w:rsidR="00D25961" w:rsidRPr="009D2241" w:rsidRDefault="00D25961" w:rsidP="00FE0388">
            <w:pPr>
              <w:pStyle w:val="BayerTableColumnHeadings"/>
            </w:pPr>
            <w:r w:rsidRPr="009D2241">
              <w:t>LYNKUET - placebo</w:t>
            </w:r>
          </w:p>
          <w:p w14:paraId="133B5B9E" w14:textId="77777777" w:rsidR="00D25961" w:rsidRPr="009D2241" w:rsidRDefault="00D25961" w:rsidP="00FE0388">
            <w:pPr>
              <w:pStyle w:val="BayerTableColumnHeadings"/>
            </w:pPr>
            <w:r w:rsidRPr="009D2241">
              <w:t>(95% CI)</w:t>
            </w:r>
          </w:p>
          <w:p w14:paraId="6736884C" w14:textId="77777777" w:rsidR="00D25961" w:rsidRPr="009D2241" w:rsidRDefault="00D25961" w:rsidP="00FE0388">
            <w:pPr>
              <w:pStyle w:val="BayerTableColumnHeadings"/>
            </w:pPr>
            <w:r w:rsidRPr="009D2241">
              <w:t>P-value*</w:t>
            </w:r>
          </w:p>
        </w:tc>
        <w:tc>
          <w:tcPr>
            <w:tcW w:w="637"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3217CBE3" w14:textId="77777777" w:rsidR="00D25961" w:rsidRPr="009D2241" w:rsidRDefault="00D25961" w:rsidP="00FE0388">
            <w:pPr>
              <w:pStyle w:val="BayerTableColumnHeadings"/>
            </w:pPr>
            <w:r w:rsidRPr="009D2241">
              <w:t>LYNKUET 120 mg (N= 200)</w:t>
            </w:r>
          </w:p>
        </w:tc>
        <w:tc>
          <w:tcPr>
            <w:tcW w:w="611" w:type="pct"/>
            <w:tcBorders>
              <w:top w:val="single" w:sz="4" w:space="0" w:color="auto"/>
              <w:left w:val="single" w:sz="4" w:space="0" w:color="auto"/>
              <w:bottom w:val="single" w:sz="4" w:space="0" w:color="auto"/>
              <w:right w:val="single" w:sz="4" w:space="0" w:color="auto"/>
            </w:tcBorders>
            <w:hideMark/>
          </w:tcPr>
          <w:p w14:paraId="55F59C1B" w14:textId="77777777" w:rsidR="00D25961" w:rsidRPr="009D2241" w:rsidRDefault="00D25961" w:rsidP="00FE0388">
            <w:pPr>
              <w:pStyle w:val="BayerTableColumnHeadings"/>
            </w:pPr>
            <w:r w:rsidRPr="009D2241">
              <w:t xml:space="preserve">Placebo </w:t>
            </w:r>
            <w:r w:rsidRPr="009D2241">
              <w:br/>
              <w:t>(N= 200)</w:t>
            </w:r>
          </w:p>
        </w:tc>
        <w:tc>
          <w:tcPr>
            <w:tcW w:w="757" w:type="pct"/>
            <w:tcBorders>
              <w:top w:val="single" w:sz="4" w:space="0" w:color="auto"/>
              <w:left w:val="single" w:sz="4" w:space="0" w:color="auto"/>
              <w:bottom w:val="single" w:sz="4" w:space="0" w:color="auto"/>
              <w:right w:val="single" w:sz="4" w:space="0" w:color="auto"/>
            </w:tcBorders>
            <w:hideMark/>
          </w:tcPr>
          <w:p w14:paraId="4A728D14" w14:textId="77777777" w:rsidR="00D25961" w:rsidRPr="009D2241" w:rsidRDefault="00D25961" w:rsidP="00FE0388">
            <w:pPr>
              <w:pStyle w:val="BayerTableColumnHeadings"/>
            </w:pPr>
            <w:r w:rsidRPr="009D2241">
              <w:t>Difference</w:t>
            </w:r>
          </w:p>
          <w:p w14:paraId="279B06DE" w14:textId="77777777" w:rsidR="00D25961" w:rsidRPr="009D2241" w:rsidRDefault="00D25961" w:rsidP="00FE0388">
            <w:pPr>
              <w:pStyle w:val="BayerTableColumnHeadings"/>
            </w:pPr>
            <w:r w:rsidRPr="009D2241">
              <w:t>LYNKUET - placebo</w:t>
            </w:r>
          </w:p>
          <w:p w14:paraId="01633AE2" w14:textId="77777777" w:rsidR="00D25961" w:rsidRPr="009D2241" w:rsidRDefault="00D25961" w:rsidP="00FE0388">
            <w:pPr>
              <w:pStyle w:val="BayerTableColumnHeadings"/>
            </w:pPr>
            <w:r w:rsidRPr="009D2241">
              <w:t>95% CI</w:t>
            </w:r>
          </w:p>
          <w:p w14:paraId="56D6A779" w14:textId="77777777" w:rsidR="00D25961" w:rsidRPr="009D2241" w:rsidRDefault="00D25961" w:rsidP="00FE0388">
            <w:pPr>
              <w:pStyle w:val="BayerTableColumnHeadings"/>
            </w:pPr>
            <w:r w:rsidRPr="009D2241">
              <w:t>P-value*</w:t>
            </w:r>
          </w:p>
        </w:tc>
      </w:tr>
      <w:tr w:rsidR="00D25961" w:rsidRPr="009D2241" w14:paraId="180BB3D2" w14:textId="77777777" w:rsidTr="006B3E3B">
        <w:trPr>
          <w:cantSplit/>
          <w:trHeight w:val="530"/>
          <w:tblHeader/>
        </w:trPr>
        <w:tc>
          <w:tcPr>
            <w:tcW w:w="1043"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0D8CDDB" w14:textId="77777777" w:rsidR="00D25961" w:rsidRPr="009D2241" w:rsidRDefault="00D25961" w:rsidP="00FE0388">
            <w:pPr>
              <w:pStyle w:val="Smalltext80"/>
              <w:rPr>
                <w:rFonts w:asciiTheme="majorHAnsi" w:hAnsiTheme="majorHAnsi" w:cs="Times New Roman"/>
                <w:bCs/>
                <w:color w:val="auto"/>
                <w:sz w:val="20"/>
                <w:szCs w:val="20"/>
              </w:rPr>
            </w:pPr>
            <w:r w:rsidRPr="009D2241">
              <w:rPr>
                <w:rFonts w:asciiTheme="majorHAnsi" w:hAnsiTheme="majorHAnsi" w:cs="Times New Roman"/>
                <w:bCs/>
                <w:color w:val="auto"/>
                <w:sz w:val="20"/>
                <w:szCs w:val="20"/>
              </w:rPr>
              <w:t xml:space="preserve">PROMIS SD SF 8b total T-score </w:t>
            </w:r>
            <w:r w:rsidRPr="009D2241">
              <w:rPr>
                <w:rFonts w:asciiTheme="majorHAnsi" w:hAnsiTheme="majorHAnsi" w:cs="Times New Roman"/>
                <w:b/>
                <w:color w:val="auto"/>
                <w:sz w:val="20"/>
                <w:szCs w:val="20"/>
              </w:rPr>
              <w:t>Baseline</w:t>
            </w:r>
            <w:r w:rsidRPr="009D2241">
              <w:rPr>
                <w:rFonts w:asciiTheme="majorHAnsi" w:hAnsiTheme="majorHAnsi" w:cs="Times New Roman"/>
                <w:bCs/>
                <w:color w:val="auto"/>
                <w:sz w:val="20"/>
                <w:szCs w:val="20"/>
              </w:rPr>
              <w:t xml:space="preserve"> </w:t>
            </w:r>
          </w:p>
          <w:p w14:paraId="285E2440" w14:textId="77777777" w:rsidR="00D25961" w:rsidRPr="009D2241" w:rsidRDefault="00D25961" w:rsidP="00FE0388">
            <w:pPr>
              <w:pStyle w:val="BayerTableColumnHeadings"/>
              <w:rPr>
                <w:rFonts w:cs="Times New Roman"/>
                <w:bCs/>
                <w:sz w:val="20"/>
                <w:szCs w:val="20"/>
              </w:rPr>
            </w:pPr>
            <w:r w:rsidRPr="009D2241">
              <w:t>Mean (SD)</w:t>
            </w:r>
          </w:p>
        </w:tc>
        <w:tc>
          <w:tcPr>
            <w:tcW w:w="699"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3EA16EFC" w14:textId="77777777" w:rsidR="00D25961" w:rsidRPr="009D2241" w:rsidRDefault="00D25961" w:rsidP="00FE0388">
            <w:pPr>
              <w:pStyle w:val="BayerTableColumnHeadings"/>
            </w:pPr>
            <w:r w:rsidRPr="009D2241">
              <w:t>61.0 (7.7)</w:t>
            </w:r>
          </w:p>
        </w:tc>
        <w:tc>
          <w:tcPr>
            <w:tcW w:w="648"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22B9B2D" w14:textId="77777777" w:rsidR="00D25961" w:rsidRPr="009D2241" w:rsidRDefault="00D25961" w:rsidP="00FE0388">
            <w:pPr>
              <w:pStyle w:val="BayerTableColumnHeadings"/>
            </w:pPr>
            <w:r w:rsidRPr="009D2241">
              <w:t>60.2 (7.2)</w:t>
            </w:r>
          </w:p>
        </w:tc>
        <w:tc>
          <w:tcPr>
            <w:tcW w:w="604" w:type="pct"/>
            <w:tcBorders>
              <w:top w:val="single" w:sz="4" w:space="0" w:color="auto"/>
              <w:left w:val="single" w:sz="4" w:space="0" w:color="auto"/>
              <w:bottom w:val="single" w:sz="4" w:space="0" w:color="auto"/>
              <w:right w:val="single" w:sz="4" w:space="0" w:color="auto"/>
            </w:tcBorders>
          </w:tcPr>
          <w:p w14:paraId="6DED012F" w14:textId="77777777" w:rsidR="00D25961" w:rsidRPr="009D2241" w:rsidRDefault="00D25961" w:rsidP="00FE0388">
            <w:pPr>
              <w:pStyle w:val="BayerTableColumnHeadings"/>
            </w:pPr>
          </w:p>
        </w:tc>
        <w:tc>
          <w:tcPr>
            <w:tcW w:w="637"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3853613C" w14:textId="77777777" w:rsidR="00D25961" w:rsidRPr="009D2241" w:rsidRDefault="00D25961" w:rsidP="00FE0388">
            <w:pPr>
              <w:pStyle w:val="BayerTableColumnHeadings"/>
            </w:pPr>
            <w:r w:rsidRPr="009D2241">
              <w:t>61.7 (6.2)</w:t>
            </w:r>
          </w:p>
        </w:tc>
        <w:tc>
          <w:tcPr>
            <w:tcW w:w="611" w:type="pct"/>
            <w:tcBorders>
              <w:top w:val="single" w:sz="4" w:space="0" w:color="auto"/>
              <w:left w:val="single" w:sz="4" w:space="0" w:color="auto"/>
              <w:bottom w:val="single" w:sz="4" w:space="0" w:color="auto"/>
              <w:right w:val="single" w:sz="4" w:space="0" w:color="auto"/>
            </w:tcBorders>
            <w:hideMark/>
          </w:tcPr>
          <w:p w14:paraId="71C609B2" w14:textId="77777777" w:rsidR="00D25961" w:rsidRPr="009D2241" w:rsidRDefault="00D25961" w:rsidP="00FE0388">
            <w:pPr>
              <w:pStyle w:val="BayerTableColumnHeadings"/>
            </w:pPr>
            <w:r w:rsidRPr="009D2241">
              <w:t>60.7 (7.2)</w:t>
            </w:r>
          </w:p>
        </w:tc>
        <w:tc>
          <w:tcPr>
            <w:tcW w:w="757" w:type="pct"/>
            <w:tcBorders>
              <w:top w:val="single" w:sz="4" w:space="0" w:color="auto"/>
              <w:left w:val="single" w:sz="4" w:space="0" w:color="auto"/>
              <w:bottom w:val="single" w:sz="4" w:space="0" w:color="auto"/>
              <w:right w:val="single" w:sz="4" w:space="0" w:color="auto"/>
            </w:tcBorders>
          </w:tcPr>
          <w:p w14:paraId="556ED5C4" w14:textId="77777777" w:rsidR="00D25961" w:rsidRPr="009D2241" w:rsidRDefault="00D25961" w:rsidP="00FE0388">
            <w:pPr>
              <w:pStyle w:val="BayerTableColumnHeadings"/>
            </w:pPr>
          </w:p>
        </w:tc>
      </w:tr>
      <w:tr w:rsidR="00D25961" w:rsidRPr="009D2241" w14:paraId="266339CD" w14:textId="77777777" w:rsidTr="006B3E3B">
        <w:trPr>
          <w:cantSplit/>
          <w:trHeight w:val="647"/>
        </w:trPr>
        <w:tc>
          <w:tcPr>
            <w:tcW w:w="1043"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13FE3D2F" w14:textId="77777777" w:rsidR="00D25961" w:rsidRPr="009D2241" w:rsidRDefault="00D25961" w:rsidP="00FE0388">
            <w:pPr>
              <w:pStyle w:val="Smalltext80"/>
              <w:rPr>
                <w:rFonts w:asciiTheme="majorHAnsi" w:hAnsiTheme="majorHAnsi" w:cs="Times New Roman"/>
                <w:b/>
                <w:color w:val="auto"/>
                <w:sz w:val="20"/>
                <w:szCs w:val="20"/>
              </w:rPr>
            </w:pPr>
            <w:r w:rsidRPr="009D2241">
              <w:rPr>
                <w:rFonts w:asciiTheme="majorHAnsi" w:hAnsiTheme="majorHAnsi" w:cs="Times New Roman"/>
                <w:b/>
                <w:color w:val="auto"/>
                <w:sz w:val="20"/>
                <w:szCs w:val="20"/>
              </w:rPr>
              <w:t>Change from baseline to week 12</w:t>
            </w:r>
          </w:p>
          <w:p w14:paraId="1B7DE8E7"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LS-Means (SE)</w:t>
            </w:r>
          </w:p>
        </w:tc>
        <w:tc>
          <w:tcPr>
            <w:tcW w:w="699"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485C9B91" w14:textId="77777777" w:rsidR="00D25961" w:rsidRPr="009D2241" w:rsidRDefault="00D25961" w:rsidP="00FE0388">
            <w:pPr>
              <w:pStyle w:val="Smalltext80"/>
              <w:rPr>
                <w:rFonts w:asciiTheme="majorHAnsi" w:hAnsiTheme="majorHAnsi" w:cs="Times New Roman"/>
                <w:sz w:val="20"/>
                <w:szCs w:val="20"/>
              </w:rPr>
            </w:pPr>
            <w:r w:rsidRPr="009D2241">
              <w:rPr>
                <w:rFonts w:asciiTheme="majorHAnsi" w:hAnsiTheme="majorHAnsi" w:cs="Times New Roman"/>
                <w:color w:val="auto"/>
                <w:sz w:val="20"/>
                <w:szCs w:val="20"/>
              </w:rPr>
              <w:t>-10.41 (0.60)</w:t>
            </w:r>
          </w:p>
        </w:tc>
        <w:tc>
          <w:tcPr>
            <w:tcW w:w="648"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3C8E59D" w14:textId="77777777" w:rsidR="00D25961" w:rsidRPr="009D2241" w:rsidRDefault="00D25961" w:rsidP="00FE0388">
            <w:pPr>
              <w:pStyle w:val="Smalltext80"/>
              <w:rPr>
                <w:rFonts w:asciiTheme="majorHAnsi" w:hAnsiTheme="majorHAnsi" w:cs="Times New Roman"/>
                <w:sz w:val="20"/>
                <w:szCs w:val="20"/>
              </w:rPr>
            </w:pPr>
            <w:r w:rsidRPr="009D2241">
              <w:rPr>
                <w:rFonts w:asciiTheme="majorHAnsi" w:hAnsiTheme="majorHAnsi" w:cs="Times New Roman"/>
                <w:color w:val="auto"/>
                <w:sz w:val="20"/>
                <w:szCs w:val="20"/>
              </w:rPr>
              <w:t>-4.83 (0.62)</w:t>
            </w:r>
          </w:p>
        </w:tc>
        <w:tc>
          <w:tcPr>
            <w:tcW w:w="604" w:type="pct"/>
            <w:tcBorders>
              <w:top w:val="single" w:sz="4" w:space="0" w:color="auto"/>
              <w:left w:val="single" w:sz="4" w:space="0" w:color="auto"/>
              <w:bottom w:val="single" w:sz="4" w:space="0" w:color="auto"/>
              <w:right w:val="single" w:sz="4" w:space="0" w:color="auto"/>
            </w:tcBorders>
            <w:hideMark/>
          </w:tcPr>
          <w:p w14:paraId="6D1D8D00"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-5.58 (0.82)</w:t>
            </w:r>
          </w:p>
          <w:p w14:paraId="21B73875"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-7.18, -3.98</w:t>
            </w:r>
          </w:p>
          <w:p w14:paraId="0CFD92EF" w14:textId="77777777" w:rsidR="00D25961" w:rsidRPr="009D2241" w:rsidRDefault="00D25961" w:rsidP="00FE0388">
            <w:pPr>
              <w:pStyle w:val="Smalltext80"/>
              <w:rPr>
                <w:rFonts w:asciiTheme="majorHAnsi" w:hAnsiTheme="majorHAnsi" w:cs="Times New Roman"/>
                <w:sz w:val="20"/>
                <w:szCs w:val="20"/>
              </w:rPr>
            </w:pPr>
            <w:r w:rsidRPr="009D2241">
              <w:rPr>
                <w:rFonts w:asciiTheme="majorHAnsi" w:hAnsiTheme="majorHAnsi" w:cs="Times New Roman"/>
                <w:color w:val="auto"/>
                <w:sz w:val="20"/>
                <w:szCs w:val="20"/>
              </w:rPr>
              <w:t>&lt;0.0001</w:t>
            </w:r>
          </w:p>
        </w:tc>
        <w:tc>
          <w:tcPr>
            <w:tcW w:w="637"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76FA97AA"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-10.28 (0.54)</w:t>
            </w:r>
          </w:p>
        </w:tc>
        <w:tc>
          <w:tcPr>
            <w:tcW w:w="611" w:type="pct"/>
            <w:tcBorders>
              <w:top w:val="single" w:sz="4" w:space="0" w:color="auto"/>
              <w:left w:val="single" w:sz="4" w:space="0" w:color="auto"/>
              <w:bottom w:val="single" w:sz="4" w:space="0" w:color="auto"/>
              <w:right w:val="single" w:sz="4" w:space="0" w:color="auto"/>
            </w:tcBorders>
            <w:hideMark/>
          </w:tcPr>
          <w:p w14:paraId="0699417C"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-5.97 (0.53)</w:t>
            </w:r>
          </w:p>
        </w:tc>
        <w:tc>
          <w:tcPr>
            <w:tcW w:w="757" w:type="pct"/>
            <w:tcBorders>
              <w:top w:val="single" w:sz="4" w:space="0" w:color="auto"/>
              <w:left w:val="single" w:sz="4" w:space="0" w:color="auto"/>
              <w:bottom w:val="single" w:sz="4" w:space="0" w:color="auto"/>
              <w:right w:val="single" w:sz="4" w:space="0" w:color="auto"/>
            </w:tcBorders>
            <w:hideMark/>
          </w:tcPr>
          <w:p w14:paraId="4071D4BD"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-4.32 (0.74)</w:t>
            </w:r>
          </w:p>
          <w:p w14:paraId="69FB3451"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-5.77, -2.86</w:t>
            </w:r>
          </w:p>
          <w:p w14:paraId="65130993"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&lt;0.0001</w:t>
            </w:r>
          </w:p>
        </w:tc>
      </w:tr>
      <w:tr w:rsidR="00D25961" w:rsidRPr="009D2241" w14:paraId="36C492DF" w14:textId="77777777" w:rsidTr="006B3E3B">
        <w:trPr>
          <w:cantSplit/>
          <w:trHeight w:val="539"/>
        </w:trPr>
        <w:tc>
          <w:tcPr>
            <w:tcW w:w="1043"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47AD2871"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 xml:space="preserve">MENQOL total score </w:t>
            </w:r>
          </w:p>
          <w:p w14:paraId="58F54F04" w14:textId="77777777" w:rsidR="00D25961" w:rsidRPr="009D2241" w:rsidRDefault="00D25961" w:rsidP="00FE0388">
            <w:pPr>
              <w:pStyle w:val="Smalltext80"/>
              <w:rPr>
                <w:rFonts w:asciiTheme="majorHAnsi" w:hAnsiTheme="majorHAnsi" w:cs="Times New Roman"/>
                <w:b/>
                <w:color w:val="auto"/>
                <w:sz w:val="20"/>
                <w:szCs w:val="20"/>
              </w:rPr>
            </w:pPr>
            <w:r w:rsidRPr="009D2241">
              <w:rPr>
                <w:rFonts w:asciiTheme="majorHAnsi" w:hAnsiTheme="majorHAnsi" w:cs="Times New Roman"/>
                <w:b/>
                <w:color w:val="auto"/>
                <w:sz w:val="20"/>
                <w:szCs w:val="20"/>
              </w:rPr>
              <w:t xml:space="preserve">Baseline </w:t>
            </w:r>
          </w:p>
          <w:p w14:paraId="55E52FBB" w14:textId="77777777" w:rsidR="00D25961" w:rsidRPr="009D2241" w:rsidRDefault="00D25961" w:rsidP="00FE0388">
            <w:pPr>
              <w:pStyle w:val="Smalltext80"/>
              <w:rPr>
                <w:rFonts w:asciiTheme="majorHAnsi" w:hAnsiTheme="majorHAnsi" w:cs="Times New Roman"/>
                <w:bCs/>
                <w:color w:val="auto"/>
                <w:sz w:val="20"/>
                <w:szCs w:val="20"/>
              </w:rPr>
            </w:pPr>
            <w:r w:rsidRPr="009D2241">
              <w:rPr>
                <w:rFonts w:asciiTheme="majorHAnsi" w:hAnsiTheme="majorHAnsi" w:cs="Times New Roman"/>
                <w:color w:val="auto"/>
                <w:sz w:val="20"/>
                <w:szCs w:val="20"/>
              </w:rPr>
              <w:t>Mean (SD)</w:t>
            </w:r>
          </w:p>
        </w:tc>
        <w:tc>
          <w:tcPr>
            <w:tcW w:w="699"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4650C9F"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4.56 (1.27)</w:t>
            </w:r>
          </w:p>
        </w:tc>
        <w:tc>
          <w:tcPr>
            <w:tcW w:w="648"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43A21AFC"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4.49 (1.31)</w:t>
            </w:r>
          </w:p>
        </w:tc>
        <w:tc>
          <w:tcPr>
            <w:tcW w:w="604" w:type="pct"/>
            <w:tcBorders>
              <w:top w:val="single" w:sz="4" w:space="0" w:color="auto"/>
              <w:left w:val="single" w:sz="4" w:space="0" w:color="auto"/>
              <w:bottom w:val="single" w:sz="4" w:space="0" w:color="auto"/>
              <w:right w:val="single" w:sz="4" w:space="0" w:color="auto"/>
            </w:tcBorders>
          </w:tcPr>
          <w:p w14:paraId="3CF20C9D" w14:textId="77777777" w:rsidR="00D25961" w:rsidRPr="009D2241" w:rsidRDefault="00D25961" w:rsidP="00FE0388">
            <w:pPr>
              <w:pStyle w:val="Smalltext80"/>
              <w:rPr>
                <w:rFonts w:asciiTheme="majorHAnsi" w:hAnsiTheme="majorHAnsi" w:cs="Times New Roman"/>
                <w:color w:val="auto"/>
                <w:sz w:val="20"/>
                <w:szCs w:val="20"/>
              </w:rPr>
            </w:pPr>
          </w:p>
        </w:tc>
        <w:tc>
          <w:tcPr>
            <w:tcW w:w="637"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CDABF6C"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4.48 (1.14)</w:t>
            </w:r>
          </w:p>
        </w:tc>
        <w:tc>
          <w:tcPr>
            <w:tcW w:w="611" w:type="pct"/>
            <w:tcBorders>
              <w:top w:val="single" w:sz="4" w:space="0" w:color="auto"/>
              <w:left w:val="single" w:sz="4" w:space="0" w:color="auto"/>
              <w:bottom w:val="single" w:sz="4" w:space="0" w:color="auto"/>
              <w:right w:val="single" w:sz="4" w:space="0" w:color="auto"/>
            </w:tcBorders>
            <w:hideMark/>
          </w:tcPr>
          <w:p w14:paraId="5EEE6AA6"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4.49 (1.17)</w:t>
            </w:r>
          </w:p>
        </w:tc>
        <w:tc>
          <w:tcPr>
            <w:tcW w:w="757" w:type="pct"/>
            <w:tcBorders>
              <w:top w:val="single" w:sz="4" w:space="0" w:color="auto"/>
              <w:left w:val="single" w:sz="4" w:space="0" w:color="auto"/>
              <w:bottom w:val="single" w:sz="4" w:space="0" w:color="auto"/>
              <w:right w:val="single" w:sz="4" w:space="0" w:color="auto"/>
            </w:tcBorders>
          </w:tcPr>
          <w:p w14:paraId="7B7E4907" w14:textId="77777777" w:rsidR="00D25961" w:rsidRPr="009D2241" w:rsidRDefault="00D25961" w:rsidP="00FE0388">
            <w:pPr>
              <w:pStyle w:val="Smalltext80"/>
              <w:rPr>
                <w:rFonts w:asciiTheme="majorHAnsi" w:hAnsiTheme="majorHAnsi" w:cs="Times New Roman"/>
                <w:color w:val="auto"/>
                <w:sz w:val="20"/>
                <w:szCs w:val="20"/>
              </w:rPr>
            </w:pPr>
          </w:p>
        </w:tc>
      </w:tr>
      <w:tr w:rsidR="00D25961" w:rsidRPr="009D2241" w14:paraId="19AC9C69" w14:textId="77777777" w:rsidTr="00CC5A59">
        <w:trPr>
          <w:cantSplit/>
          <w:trHeight w:val="990"/>
        </w:trPr>
        <w:tc>
          <w:tcPr>
            <w:tcW w:w="1043"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2E433C45" w14:textId="77777777" w:rsidR="00D25961" w:rsidRPr="009D2241" w:rsidRDefault="00D25961" w:rsidP="00FE0388">
            <w:pPr>
              <w:pStyle w:val="Smalltext80"/>
              <w:rPr>
                <w:rFonts w:asciiTheme="majorHAnsi" w:hAnsiTheme="majorHAnsi" w:cs="Times New Roman"/>
                <w:b/>
                <w:color w:val="auto"/>
                <w:sz w:val="20"/>
                <w:szCs w:val="20"/>
              </w:rPr>
            </w:pPr>
            <w:r w:rsidRPr="009D2241">
              <w:rPr>
                <w:rFonts w:asciiTheme="majorHAnsi" w:hAnsiTheme="majorHAnsi" w:cs="Times New Roman"/>
                <w:b/>
                <w:color w:val="auto"/>
                <w:sz w:val="20"/>
                <w:szCs w:val="20"/>
              </w:rPr>
              <w:t xml:space="preserve">Change from baseline to week 12 </w:t>
            </w:r>
          </w:p>
          <w:p w14:paraId="646BF2F0"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LS-Means (SE)</w:t>
            </w:r>
          </w:p>
        </w:tc>
        <w:tc>
          <w:tcPr>
            <w:tcW w:w="699"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1C53D328"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-1.36(0.08)</w:t>
            </w:r>
          </w:p>
        </w:tc>
        <w:tc>
          <w:tcPr>
            <w:tcW w:w="648"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56D86392"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-0.94 (0.08)</w:t>
            </w:r>
          </w:p>
        </w:tc>
        <w:tc>
          <w:tcPr>
            <w:tcW w:w="604" w:type="pct"/>
            <w:tcBorders>
              <w:top w:val="single" w:sz="4" w:space="0" w:color="auto"/>
              <w:left w:val="single" w:sz="4" w:space="0" w:color="auto"/>
              <w:bottom w:val="single" w:sz="4" w:space="0" w:color="auto"/>
              <w:right w:val="single" w:sz="4" w:space="0" w:color="auto"/>
            </w:tcBorders>
            <w:hideMark/>
          </w:tcPr>
          <w:p w14:paraId="4670C12A"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-0.42 (0.11)</w:t>
            </w:r>
          </w:p>
          <w:p w14:paraId="6EAF3C06"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-0.64, -0.20</w:t>
            </w:r>
          </w:p>
          <w:p w14:paraId="539EB53A"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&lt;.0001</w:t>
            </w:r>
          </w:p>
        </w:tc>
        <w:tc>
          <w:tcPr>
            <w:tcW w:w="637" w:type="pct"/>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hideMark/>
          </w:tcPr>
          <w:p w14:paraId="0A9B6670"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-1.29 (0.09)</w:t>
            </w:r>
          </w:p>
        </w:tc>
        <w:tc>
          <w:tcPr>
            <w:tcW w:w="611" w:type="pct"/>
            <w:tcBorders>
              <w:top w:val="single" w:sz="4" w:space="0" w:color="auto"/>
              <w:left w:val="single" w:sz="4" w:space="0" w:color="auto"/>
              <w:bottom w:val="single" w:sz="4" w:space="0" w:color="auto"/>
              <w:right w:val="single" w:sz="4" w:space="0" w:color="auto"/>
            </w:tcBorders>
            <w:hideMark/>
          </w:tcPr>
          <w:p w14:paraId="06B58D8A"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-1.00 (0.08)</w:t>
            </w:r>
          </w:p>
        </w:tc>
        <w:tc>
          <w:tcPr>
            <w:tcW w:w="757" w:type="pct"/>
            <w:tcBorders>
              <w:top w:val="single" w:sz="4" w:space="0" w:color="auto"/>
              <w:left w:val="single" w:sz="4" w:space="0" w:color="auto"/>
              <w:bottom w:val="single" w:sz="4" w:space="0" w:color="auto"/>
              <w:right w:val="single" w:sz="4" w:space="0" w:color="auto"/>
            </w:tcBorders>
            <w:hideMark/>
          </w:tcPr>
          <w:p w14:paraId="7E03991B"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-0.30 (0.12)</w:t>
            </w:r>
          </w:p>
          <w:p w14:paraId="6B15A6EE"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-0.53, -0.07</w:t>
            </w:r>
          </w:p>
          <w:p w14:paraId="38B1D7B2" w14:textId="77777777" w:rsidR="00D25961" w:rsidRPr="009D2241" w:rsidRDefault="00D25961" w:rsidP="00FE0388">
            <w:pPr>
              <w:pStyle w:val="Smalltext80"/>
              <w:rPr>
                <w:rFonts w:asciiTheme="majorHAnsi" w:hAnsiTheme="majorHAnsi" w:cs="Times New Roman"/>
                <w:color w:val="auto"/>
                <w:sz w:val="20"/>
                <w:szCs w:val="20"/>
              </w:rPr>
            </w:pPr>
            <w:r w:rsidRPr="009D2241">
              <w:rPr>
                <w:rFonts w:asciiTheme="majorHAnsi" w:hAnsiTheme="majorHAnsi" w:cs="Times New Roman"/>
                <w:color w:val="auto"/>
                <w:sz w:val="20"/>
                <w:szCs w:val="20"/>
              </w:rPr>
              <w:t>0.0059</w:t>
            </w:r>
          </w:p>
        </w:tc>
      </w:tr>
    </w:tbl>
    <w:p w14:paraId="0DF92C55" w14:textId="77777777" w:rsidR="00D25961" w:rsidRPr="009D2241" w:rsidRDefault="00D25961" w:rsidP="00FE0388">
      <w:pPr>
        <w:pStyle w:val="BayerBodyTextFull"/>
        <w:rPr>
          <w:rFonts w:asciiTheme="majorHAnsi" w:hAnsiTheme="majorHAnsi" w:cs="Times New Roman"/>
          <w:sz w:val="16"/>
          <w:szCs w:val="12"/>
        </w:rPr>
      </w:pPr>
      <w:r w:rsidRPr="009D2241">
        <w:rPr>
          <w:rFonts w:asciiTheme="majorHAnsi" w:hAnsiTheme="majorHAnsi"/>
          <w:sz w:val="16"/>
          <w:szCs w:val="12"/>
        </w:rPr>
        <w:t>CI = Confidence Interval, LS-Means = Least Squares Means, MENQOL =- Menopause Specific Quality of Life Scale, PROMIS SD SF 8b = Patient-Reported Outcomes Measurement Information System Sleep Disturbance Short Form 8b</w:t>
      </w:r>
    </w:p>
    <w:p w14:paraId="2B267798" w14:textId="77777777" w:rsidR="00D25961" w:rsidRPr="009D2241" w:rsidRDefault="00D25961" w:rsidP="00FE0388">
      <w:pPr>
        <w:pStyle w:val="BayerBodyTextFull"/>
        <w:rPr>
          <w:rFonts w:asciiTheme="majorHAnsi" w:hAnsiTheme="majorHAnsi"/>
          <w:sz w:val="16"/>
          <w:szCs w:val="12"/>
        </w:rPr>
      </w:pPr>
      <w:r w:rsidRPr="009D2241">
        <w:rPr>
          <w:rFonts w:asciiTheme="majorHAnsi" w:hAnsiTheme="majorHAnsi"/>
          <w:sz w:val="16"/>
          <w:szCs w:val="12"/>
        </w:rPr>
        <w:t>*- one-sided p-value</w:t>
      </w:r>
    </w:p>
    <w:p w14:paraId="5077E344" w14:textId="77777777" w:rsidR="00CC5A59" w:rsidRDefault="00CC5A59" w:rsidP="00FE0388">
      <w:pPr>
        <w:pStyle w:val="BayerBodyTextFull"/>
        <w:rPr>
          <w:rFonts w:asciiTheme="majorHAnsi" w:hAnsiTheme="majorHAnsi"/>
          <w:sz w:val="22"/>
          <w:szCs w:val="20"/>
        </w:rPr>
      </w:pPr>
    </w:p>
    <w:p w14:paraId="7DC6DD54" w14:textId="0EEDE2ED" w:rsidR="00D25961" w:rsidRPr="00214425" w:rsidRDefault="00D25961" w:rsidP="00FE0388">
      <w:pPr>
        <w:pStyle w:val="BayerBodyTextFull"/>
        <w:rPr>
          <w:rFonts w:asciiTheme="majorHAnsi" w:hAnsiTheme="majorHAnsi"/>
          <w:sz w:val="22"/>
          <w:szCs w:val="18"/>
        </w:rPr>
      </w:pPr>
      <w:r w:rsidRPr="00214425">
        <w:rPr>
          <w:rFonts w:asciiTheme="majorHAnsi" w:hAnsiTheme="majorHAnsi"/>
          <w:sz w:val="22"/>
          <w:szCs w:val="20"/>
        </w:rPr>
        <w:t xml:space="preserve">The OASIS 3 </w:t>
      </w:r>
      <w:r w:rsidR="00B63BAE">
        <w:rPr>
          <w:rFonts w:asciiTheme="majorHAnsi" w:hAnsiTheme="majorHAnsi"/>
          <w:sz w:val="22"/>
          <w:szCs w:val="20"/>
        </w:rPr>
        <w:t xml:space="preserve">study </w:t>
      </w:r>
      <w:r w:rsidRPr="00214425">
        <w:rPr>
          <w:rFonts w:asciiTheme="majorHAnsi" w:hAnsiTheme="majorHAnsi"/>
          <w:sz w:val="22"/>
          <w:szCs w:val="20"/>
        </w:rPr>
        <w:t>was a</w:t>
      </w:r>
      <w:r w:rsidR="00B63BAE">
        <w:rPr>
          <w:rFonts w:asciiTheme="majorHAnsi" w:hAnsiTheme="majorHAnsi"/>
          <w:sz w:val="22"/>
          <w:szCs w:val="20"/>
        </w:rPr>
        <w:t xml:space="preserve"> supportive,</w:t>
      </w:r>
      <w:r w:rsidRPr="00214425">
        <w:rPr>
          <w:rFonts w:asciiTheme="majorHAnsi" w:hAnsiTheme="majorHAnsi"/>
          <w:sz w:val="22"/>
          <w:szCs w:val="20"/>
        </w:rPr>
        <w:t xml:space="preserve"> </w:t>
      </w:r>
      <w:proofErr w:type="spellStart"/>
      <w:r w:rsidRPr="00214425">
        <w:rPr>
          <w:rFonts w:asciiTheme="majorHAnsi" w:hAnsiTheme="majorHAnsi"/>
          <w:sz w:val="22"/>
          <w:szCs w:val="20"/>
        </w:rPr>
        <w:t>randomi</w:t>
      </w:r>
      <w:r w:rsidR="00885FA9">
        <w:rPr>
          <w:rFonts w:asciiTheme="majorHAnsi" w:hAnsiTheme="majorHAnsi"/>
          <w:sz w:val="22"/>
          <w:szCs w:val="20"/>
        </w:rPr>
        <w:t>s</w:t>
      </w:r>
      <w:r w:rsidRPr="00214425">
        <w:rPr>
          <w:rFonts w:asciiTheme="majorHAnsi" w:hAnsiTheme="majorHAnsi"/>
          <w:sz w:val="22"/>
          <w:szCs w:val="20"/>
        </w:rPr>
        <w:t>ed</w:t>
      </w:r>
      <w:proofErr w:type="spellEnd"/>
      <w:r w:rsidRPr="00214425">
        <w:rPr>
          <w:rFonts w:asciiTheme="majorHAnsi" w:hAnsiTheme="majorHAnsi"/>
          <w:sz w:val="22"/>
          <w:szCs w:val="20"/>
        </w:rPr>
        <w:t>, double-blind, placebo-controlled, multi</w:t>
      </w:r>
      <w:r w:rsidR="00B63BAE">
        <w:rPr>
          <w:rFonts w:asciiTheme="majorHAnsi" w:hAnsiTheme="majorHAnsi"/>
          <w:sz w:val="22"/>
          <w:szCs w:val="20"/>
        </w:rPr>
        <w:t>-</w:t>
      </w:r>
      <w:proofErr w:type="spellStart"/>
      <w:r w:rsidRPr="00214425">
        <w:rPr>
          <w:rFonts w:asciiTheme="majorHAnsi" w:hAnsiTheme="majorHAnsi"/>
          <w:sz w:val="22"/>
          <w:szCs w:val="20"/>
        </w:rPr>
        <w:t>cent</w:t>
      </w:r>
      <w:r w:rsidR="00B63BAE">
        <w:rPr>
          <w:rFonts w:asciiTheme="majorHAnsi" w:hAnsiTheme="majorHAnsi"/>
          <w:sz w:val="22"/>
          <w:szCs w:val="20"/>
        </w:rPr>
        <w:t>re</w:t>
      </w:r>
      <w:proofErr w:type="spellEnd"/>
      <w:r w:rsidRPr="00214425">
        <w:rPr>
          <w:rFonts w:asciiTheme="majorHAnsi" w:hAnsiTheme="majorHAnsi"/>
          <w:sz w:val="22"/>
          <w:szCs w:val="20"/>
        </w:rPr>
        <w:t xml:space="preserve"> Phase III study with a primary efficacy endpoint of mean change in frequency of moderate to severe HFs from baseline to week 12 and a long-term safety evaluation up to 52 weeks in 628 postmenopausal women (</w:t>
      </w:r>
      <w:proofErr w:type="spellStart"/>
      <w:r w:rsidRPr="00214425">
        <w:rPr>
          <w:rFonts w:asciiTheme="majorHAnsi" w:hAnsiTheme="majorHAnsi"/>
          <w:sz w:val="22"/>
          <w:szCs w:val="20"/>
        </w:rPr>
        <w:t>randomi</w:t>
      </w:r>
      <w:r w:rsidR="00885FA9">
        <w:rPr>
          <w:rFonts w:asciiTheme="majorHAnsi" w:hAnsiTheme="majorHAnsi"/>
          <w:sz w:val="22"/>
          <w:szCs w:val="20"/>
        </w:rPr>
        <w:t>s</w:t>
      </w:r>
      <w:r w:rsidRPr="00214425">
        <w:rPr>
          <w:rFonts w:asciiTheme="majorHAnsi" w:hAnsiTheme="majorHAnsi"/>
          <w:sz w:val="22"/>
          <w:szCs w:val="20"/>
        </w:rPr>
        <w:t>ed</w:t>
      </w:r>
      <w:proofErr w:type="spellEnd"/>
      <w:r w:rsidRPr="00214425">
        <w:rPr>
          <w:rFonts w:asciiTheme="majorHAnsi" w:hAnsiTheme="majorHAnsi"/>
          <w:sz w:val="22"/>
          <w:szCs w:val="20"/>
        </w:rPr>
        <w:t xml:space="preserve"> 1:1 to </w:t>
      </w:r>
      <w:proofErr w:type="spellStart"/>
      <w:r w:rsidR="00B63BAE" w:rsidRPr="00B63BAE">
        <w:rPr>
          <w:rFonts w:asciiTheme="majorHAnsi" w:hAnsiTheme="majorHAnsi"/>
          <w:sz w:val="22"/>
          <w:szCs w:val="20"/>
        </w:rPr>
        <w:t>elinzanetant</w:t>
      </w:r>
      <w:proofErr w:type="spellEnd"/>
      <w:r w:rsidRPr="00214425">
        <w:rPr>
          <w:rFonts w:asciiTheme="majorHAnsi" w:hAnsiTheme="majorHAnsi"/>
          <w:sz w:val="22"/>
          <w:szCs w:val="20"/>
        </w:rPr>
        <w:t xml:space="preserve"> or placebo). </w:t>
      </w:r>
      <w:r w:rsidR="00B63BAE" w:rsidRPr="00B63BAE">
        <w:rPr>
          <w:rFonts w:asciiTheme="majorHAnsi" w:hAnsiTheme="majorHAnsi"/>
          <w:sz w:val="22"/>
          <w:szCs w:val="20"/>
        </w:rPr>
        <w:t>The study did not contain a HF severity endpoint, and no minimum disease severity was</w:t>
      </w:r>
      <w:r w:rsidR="00B63BAE">
        <w:rPr>
          <w:rFonts w:asciiTheme="majorHAnsi" w:hAnsiTheme="majorHAnsi"/>
          <w:sz w:val="22"/>
          <w:szCs w:val="20"/>
        </w:rPr>
        <w:t xml:space="preserve"> </w:t>
      </w:r>
      <w:r w:rsidR="00B63BAE" w:rsidRPr="00B63BAE">
        <w:rPr>
          <w:rFonts w:asciiTheme="majorHAnsi" w:hAnsiTheme="majorHAnsi"/>
          <w:sz w:val="22"/>
          <w:szCs w:val="20"/>
        </w:rPr>
        <w:t>required as an inclusion criterion.</w:t>
      </w:r>
      <w:r w:rsidR="00B63BAE" w:rsidRPr="00B63BAE" w:rsidDel="00B63BAE">
        <w:rPr>
          <w:rFonts w:asciiTheme="majorHAnsi" w:hAnsiTheme="majorHAnsi"/>
          <w:sz w:val="22"/>
          <w:szCs w:val="20"/>
        </w:rPr>
        <w:t xml:space="preserve"> </w:t>
      </w:r>
      <w:r w:rsidR="00B63BAE">
        <w:rPr>
          <w:rFonts w:asciiTheme="majorHAnsi" w:hAnsiTheme="majorHAnsi"/>
          <w:sz w:val="22"/>
          <w:szCs w:val="20"/>
        </w:rPr>
        <w:t>E</w:t>
      </w:r>
      <w:r w:rsidR="00B63BAE" w:rsidRPr="00B63BAE">
        <w:rPr>
          <w:rFonts w:asciiTheme="majorHAnsi" w:hAnsiTheme="majorHAnsi"/>
          <w:sz w:val="22"/>
          <w:szCs w:val="20"/>
        </w:rPr>
        <w:t>linzanetant</w:t>
      </w:r>
      <w:r w:rsidRPr="00214425">
        <w:rPr>
          <w:rFonts w:asciiTheme="majorHAnsi" w:hAnsiTheme="majorHAnsi"/>
          <w:sz w:val="22"/>
          <w:szCs w:val="20"/>
        </w:rPr>
        <w:t xml:space="preserve"> showed a</w:t>
      </w:r>
      <w:r w:rsidRPr="00214425">
        <w:rPr>
          <w:rFonts w:asciiTheme="majorHAnsi" w:hAnsiTheme="majorHAnsi"/>
          <w:color w:val="CD5937"/>
          <w:sz w:val="22"/>
          <w:szCs w:val="20"/>
        </w:rPr>
        <w:t xml:space="preserve"> </w:t>
      </w:r>
      <w:r w:rsidRPr="00214425">
        <w:rPr>
          <w:rFonts w:asciiTheme="majorHAnsi" w:hAnsiTheme="majorHAnsi"/>
          <w:sz w:val="22"/>
          <w:szCs w:val="20"/>
        </w:rPr>
        <w:t xml:space="preserve">statistically significant outcome on the primary </w:t>
      </w:r>
      <w:r w:rsidR="00B63BAE">
        <w:rPr>
          <w:rFonts w:asciiTheme="majorHAnsi" w:hAnsiTheme="majorHAnsi"/>
          <w:sz w:val="22"/>
          <w:szCs w:val="20"/>
        </w:rPr>
        <w:t xml:space="preserve">HF frequency </w:t>
      </w:r>
      <w:r w:rsidRPr="00214425">
        <w:rPr>
          <w:rFonts w:asciiTheme="majorHAnsi" w:hAnsiTheme="majorHAnsi"/>
          <w:sz w:val="22"/>
          <w:szCs w:val="20"/>
        </w:rPr>
        <w:t xml:space="preserve">endpoint with a stable effect as evaluated up to </w:t>
      </w:r>
      <w:r w:rsidR="00B63BAE">
        <w:rPr>
          <w:rFonts w:asciiTheme="majorHAnsi" w:hAnsiTheme="majorHAnsi"/>
          <w:sz w:val="22"/>
          <w:szCs w:val="20"/>
        </w:rPr>
        <w:t>W</w:t>
      </w:r>
      <w:r w:rsidRPr="00214425">
        <w:rPr>
          <w:rFonts w:asciiTheme="majorHAnsi" w:hAnsiTheme="majorHAnsi"/>
          <w:sz w:val="22"/>
          <w:szCs w:val="20"/>
        </w:rPr>
        <w:t>eek 50</w:t>
      </w:r>
      <w:r w:rsidR="00B63BAE" w:rsidRPr="00B63BAE">
        <w:t xml:space="preserve"> </w:t>
      </w:r>
      <w:r w:rsidR="00B63BAE" w:rsidRPr="00B63BAE">
        <w:rPr>
          <w:rFonts w:asciiTheme="majorHAnsi" w:hAnsiTheme="majorHAnsi"/>
          <w:sz w:val="22"/>
          <w:szCs w:val="20"/>
        </w:rPr>
        <w:t>based on descriptive statistics</w:t>
      </w:r>
      <w:r w:rsidRPr="00214425">
        <w:rPr>
          <w:rFonts w:asciiTheme="majorHAnsi" w:hAnsiTheme="majorHAnsi"/>
          <w:sz w:val="22"/>
          <w:szCs w:val="20"/>
        </w:rPr>
        <w:t xml:space="preserve">. </w:t>
      </w:r>
    </w:p>
    <w:p w14:paraId="5125DAEC" w14:textId="7FD85916" w:rsidR="00D25961" w:rsidRPr="00C75C98" w:rsidRDefault="00D25961" w:rsidP="00FE0388">
      <w:pPr>
        <w:pStyle w:val="BayerBodyTextFull"/>
        <w:rPr>
          <w:rFonts w:asciiTheme="majorHAnsi" w:hAnsiTheme="majorHAnsi"/>
          <w:b/>
          <w:sz w:val="22"/>
          <w:szCs w:val="20"/>
        </w:rPr>
      </w:pPr>
      <w:r w:rsidRPr="00C75C98">
        <w:rPr>
          <w:rFonts w:asciiTheme="majorHAnsi" w:hAnsiTheme="majorHAnsi"/>
          <w:b/>
          <w:sz w:val="22"/>
          <w:szCs w:val="20"/>
        </w:rPr>
        <w:t xml:space="preserve">Endometrial safety </w:t>
      </w:r>
    </w:p>
    <w:p w14:paraId="344C6FDE" w14:textId="77777777" w:rsidR="00D25961" w:rsidRPr="00214425" w:rsidRDefault="00D25961" w:rsidP="00FE0388">
      <w:pPr>
        <w:pStyle w:val="BayerBodyTextFull"/>
        <w:rPr>
          <w:rFonts w:asciiTheme="majorHAnsi" w:hAnsiTheme="majorHAnsi"/>
          <w:sz w:val="22"/>
          <w:szCs w:val="20"/>
        </w:rPr>
      </w:pPr>
      <w:r w:rsidRPr="00214425">
        <w:rPr>
          <w:rFonts w:asciiTheme="majorHAnsi" w:hAnsiTheme="majorHAnsi"/>
          <w:sz w:val="22"/>
          <w:szCs w:val="20"/>
        </w:rPr>
        <w:t xml:space="preserve">Endometrial safety of LYNKUET was assessed in clinical studies OASIS 1, 2 and 3 by transvaginal ultrasound and endometrial biopsies. Transvaginal ultrasound did not reveal increased endometrial thickness. There were no cases of endometrial hyperplasia or malignancy based on endometrial biopsies. </w:t>
      </w:r>
    </w:p>
    <w:p w14:paraId="19259B8E" w14:textId="77777777" w:rsidR="00FE0388" w:rsidRDefault="00FE0388" w:rsidP="00FE0388">
      <w:pPr>
        <w:pStyle w:val="BayerBodyTextFull"/>
        <w:rPr>
          <w:rFonts w:asciiTheme="majorHAnsi" w:hAnsiTheme="majorHAnsi"/>
          <w:b/>
          <w:sz w:val="22"/>
          <w:szCs w:val="20"/>
        </w:rPr>
      </w:pPr>
    </w:p>
    <w:p w14:paraId="2BEC3377" w14:textId="77777777" w:rsidR="00FE0388" w:rsidRDefault="00FE0388" w:rsidP="00FE0388">
      <w:pPr>
        <w:pStyle w:val="BayerBodyTextFull"/>
        <w:rPr>
          <w:rFonts w:asciiTheme="majorHAnsi" w:hAnsiTheme="majorHAnsi"/>
          <w:b/>
          <w:sz w:val="22"/>
          <w:szCs w:val="20"/>
        </w:rPr>
      </w:pPr>
    </w:p>
    <w:p w14:paraId="736C7335" w14:textId="52CD6017" w:rsidR="00D25961" w:rsidRPr="00C75C98" w:rsidRDefault="00D25961" w:rsidP="00FE0388">
      <w:pPr>
        <w:pStyle w:val="BayerBodyTextFull"/>
        <w:rPr>
          <w:rFonts w:asciiTheme="majorHAnsi" w:hAnsiTheme="majorHAnsi"/>
          <w:b/>
          <w:sz w:val="22"/>
          <w:szCs w:val="20"/>
        </w:rPr>
      </w:pPr>
      <w:r w:rsidRPr="00C75C98">
        <w:rPr>
          <w:rFonts w:asciiTheme="majorHAnsi" w:hAnsiTheme="majorHAnsi"/>
          <w:b/>
          <w:sz w:val="22"/>
          <w:szCs w:val="20"/>
        </w:rPr>
        <w:t>Bone safety</w:t>
      </w:r>
    </w:p>
    <w:p w14:paraId="0B597495" w14:textId="57274A01" w:rsidR="00D25961" w:rsidRPr="00D67495" w:rsidRDefault="00D25961" w:rsidP="00FE0388">
      <w:pPr>
        <w:pStyle w:val="BayerBodyTextFull"/>
        <w:rPr>
          <w:rFonts w:asciiTheme="majorHAnsi" w:hAnsiTheme="majorHAnsi"/>
          <w:highlight w:val="lightGray"/>
        </w:rPr>
      </w:pPr>
      <w:r w:rsidRPr="00214425">
        <w:rPr>
          <w:rFonts w:asciiTheme="majorHAnsi" w:hAnsiTheme="majorHAnsi"/>
          <w:sz w:val="22"/>
          <w:szCs w:val="20"/>
        </w:rPr>
        <w:t xml:space="preserve">Bone safety of LYNKUET was assessed in 343/628 women in the OASIS 3 study by bone mineral density (BMD) measurements. After 52 weeks of treatment, the observed mean percentage changes from baseline in BMD with LYNKUET </w:t>
      </w:r>
      <w:proofErr w:type="gramStart"/>
      <w:r w:rsidRPr="00214425">
        <w:rPr>
          <w:rFonts w:asciiTheme="majorHAnsi" w:hAnsiTheme="majorHAnsi"/>
          <w:sz w:val="22"/>
          <w:szCs w:val="20"/>
        </w:rPr>
        <w:t>was</w:t>
      </w:r>
      <w:proofErr w:type="gramEnd"/>
      <w:r w:rsidRPr="00214425">
        <w:rPr>
          <w:rFonts w:asciiTheme="majorHAnsi" w:hAnsiTheme="majorHAnsi"/>
          <w:sz w:val="22"/>
          <w:szCs w:val="20"/>
        </w:rPr>
        <w:t xml:space="preserve"> comparable to that with placebo and was within the expected age-related changes per year. </w:t>
      </w:r>
    </w:p>
    <w:p w14:paraId="741D0782" w14:textId="59A7023B" w:rsidR="00D25961" w:rsidRPr="004D17C4" w:rsidRDefault="00D25961" w:rsidP="00FE0388">
      <w:pPr>
        <w:pStyle w:val="BodyText"/>
        <w:kinsoku w:val="0"/>
        <w:overflowPunct w:val="0"/>
        <w:spacing w:before="91"/>
        <w:ind w:left="21"/>
        <w:rPr>
          <w:rFonts w:asciiTheme="majorHAnsi" w:hAnsiTheme="majorHAnsi"/>
          <w:sz w:val="22"/>
          <w:szCs w:val="20"/>
        </w:rPr>
      </w:pPr>
    </w:p>
    <w:p w14:paraId="523F3CE4" w14:textId="77777777" w:rsidR="00273E0C" w:rsidRPr="00D67495" w:rsidRDefault="00273E0C" w:rsidP="00FE0388">
      <w:pPr>
        <w:autoSpaceDE w:val="0"/>
        <w:autoSpaceDN w:val="0"/>
        <w:adjustRightInd w:val="0"/>
        <w:spacing w:after="0" w:line="240" w:lineRule="auto"/>
        <w:rPr>
          <w:rFonts w:asciiTheme="majorHAnsi" w:hAnsiTheme="majorHAnsi" w:cs="Times New Roman"/>
        </w:rPr>
      </w:pPr>
    </w:p>
    <w:p w14:paraId="6B2609AA" w14:textId="77777777" w:rsidR="001A3992" w:rsidRPr="00D67495" w:rsidRDefault="001A3992" w:rsidP="00FE0388">
      <w:pPr>
        <w:pStyle w:val="Heading2"/>
        <w:keepNext/>
        <w:spacing w:before="0" w:after="120"/>
      </w:pPr>
      <w:r w:rsidRPr="00D67495">
        <w:t xml:space="preserve">Pharmacokinetic properties </w:t>
      </w:r>
    </w:p>
    <w:p w14:paraId="4E36460B" w14:textId="6C11FD1E" w:rsidR="00A9619B" w:rsidRPr="00214425" w:rsidRDefault="00A9619B" w:rsidP="00FE0388">
      <w:pPr>
        <w:pStyle w:val="BayerBodyTextFull"/>
        <w:rPr>
          <w:rFonts w:asciiTheme="majorHAnsi" w:hAnsiTheme="majorHAnsi"/>
          <w:sz w:val="22"/>
          <w:szCs w:val="20"/>
        </w:rPr>
      </w:pPr>
      <w:r w:rsidRPr="00214425">
        <w:rPr>
          <w:rFonts w:asciiTheme="majorHAnsi" w:hAnsiTheme="majorHAnsi"/>
          <w:sz w:val="22"/>
          <w:szCs w:val="20"/>
        </w:rPr>
        <w:t xml:space="preserve">In healthy volunteers, </w:t>
      </w:r>
      <w:proofErr w:type="spellStart"/>
      <w:r w:rsidRPr="00214425">
        <w:rPr>
          <w:rFonts w:asciiTheme="majorHAnsi" w:hAnsiTheme="majorHAnsi"/>
          <w:sz w:val="22"/>
          <w:szCs w:val="20"/>
        </w:rPr>
        <w:t>elinzanetant</w:t>
      </w:r>
      <w:proofErr w:type="spellEnd"/>
      <w:r w:rsidRPr="00214425">
        <w:rPr>
          <w:rFonts w:asciiTheme="majorHAnsi" w:hAnsiTheme="majorHAnsi"/>
          <w:sz w:val="22"/>
          <w:szCs w:val="20"/>
        </w:rPr>
        <w:t xml:space="preserve"> </w:t>
      </w:r>
      <w:proofErr w:type="spellStart"/>
      <w:r w:rsidRPr="00214425">
        <w:rPr>
          <w:rFonts w:asciiTheme="majorHAnsi" w:hAnsiTheme="majorHAnsi"/>
          <w:sz w:val="22"/>
          <w:szCs w:val="20"/>
        </w:rPr>
        <w:t>C</w:t>
      </w:r>
      <w:r w:rsidRPr="00214425">
        <w:rPr>
          <w:rFonts w:asciiTheme="majorHAnsi" w:hAnsiTheme="majorHAnsi"/>
          <w:sz w:val="22"/>
          <w:szCs w:val="20"/>
          <w:vertAlign w:val="subscript"/>
        </w:rPr>
        <w:t>max</w:t>
      </w:r>
      <w:proofErr w:type="spellEnd"/>
      <w:r w:rsidRPr="00214425">
        <w:rPr>
          <w:rFonts w:asciiTheme="majorHAnsi" w:hAnsiTheme="majorHAnsi"/>
          <w:sz w:val="22"/>
          <w:szCs w:val="20"/>
        </w:rPr>
        <w:t xml:space="preserve"> and AUC increased in greater than dose-proportional</w:t>
      </w:r>
      <w:r w:rsidRPr="00214425">
        <w:rPr>
          <w:rFonts w:asciiTheme="majorHAnsi" w:hAnsiTheme="majorHAnsi"/>
          <w:b/>
          <w:bCs/>
          <w:sz w:val="22"/>
          <w:szCs w:val="20"/>
        </w:rPr>
        <w:t xml:space="preserve"> </w:t>
      </w:r>
      <w:r w:rsidRPr="00214425">
        <w:rPr>
          <w:rFonts w:asciiTheme="majorHAnsi" w:hAnsiTheme="majorHAnsi"/>
          <w:sz w:val="22"/>
          <w:szCs w:val="20"/>
        </w:rPr>
        <w:t xml:space="preserve">manner (20% to 50%) over the dose </w:t>
      </w:r>
      <w:proofErr w:type="gramStart"/>
      <w:r w:rsidRPr="00214425">
        <w:rPr>
          <w:rFonts w:asciiTheme="majorHAnsi" w:hAnsiTheme="majorHAnsi"/>
          <w:sz w:val="22"/>
          <w:szCs w:val="20"/>
        </w:rPr>
        <w:t>range</w:t>
      </w:r>
      <w:proofErr w:type="gramEnd"/>
      <w:r w:rsidRPr="00214425">
        <w:rPr>
          <w:rFonts w:asciiTheme="majorHAnsi" w:hAnsiTheme="majorHAnsi"/>
          <w:sz w:val="22"/>
          <w:szCs w:val="20"/>
        </w:rPr>
        <w:t xml:space="preserve"> from 40 to 160 mg once daily (0.33 to 1.33 times</w:t>
      </w:r>
      <w:r w:rsidRPr="00214425">
        <w:rPr>
          <w:rFonts w:asciiTheme="majorHAnsi" w:hAnsiTheme="majorHAnsi"/>
          <w:b/>
          <w:bCs/>
          <w:sz w:val="22"/>
          <w:szCs w:val="20"/>
        </w:rPr>
        <w:t xml:space="preserve"> </w:t>
      </w:r>
      <w:r w:rsidRPr="00214425">
        <w:rPr>
          <w:rFonts w:asciiTheme="majorHAnsi" w:hAnsiTheme="majorHAnsi"/>
          <w:sz w:val="22"/>
          <w:szCs w:val="20"/>
        </w:rPr>
        <w:t xml:space="preserve">the recommended dose). Steady state plasma concentrations of </w:t>
      </w:r>
      <w:proofErr w:type="spellStart"/>
      <w:r w:rsidRPr="00214425">
        <w:rPr>
          <w:rFonts w:asciiTheme="majorHAnsi" w:hAnsiTheme="majorHAnsi"/>
          <w:sz w:val="22"/>
          <w:szCs w:val="20"/>
        </w:rPr>
        <w:t>elinzanetant</w:t>
      </w:r>
      <w:proofErr w:type="spellEnd"/>
      <w:r w:rsidRPr="00214425">
        <w:rPr>
          <w:rFonts w:asciiTheme="majorHAnsi" w:hAnsiTheme="majorHAnsi"/>
          <w:sz w:val="22"/>
          <w:szCs w:val="20"/>
        </w:rPr>
        <w:t xml:space="preserve"> were reached 5 to 7 days after daily dosing,</w:t>
      </w:r>
      <w:r w:rsidRPr="00214425">
        <w:rPr>
          <w:rFonts w:asciiTheme="majorHAnsi" w:hAnsiTheme="majorHAnsi"/>
          <w:b/>
          <w:bCs/>
          <w:sz w:val="22"/>
          <w:szCs w:val="20"/>
        </w:rPr>
        <w:t xml:space="preserve"> </w:t>
      </w:r>
      <w:r w:rsidRPr="00214425">
        <w:rPr>
          <w:rFonts w:asciiTheme="majorHAnsi" w:hAnsiTheme="majorHAnsi"/>
          <w:sz w:val="22"/>
          <w:szCs w:val="20"/>
        </w:rPr>
        <w:t xml:space="preserve">with modest (&lt;2-fold) accumulation. </w:t>
      </w:r>
    </w:p>
    <w:p w14:paraId="6A51ABAE" w14:textId="5FE87E05" w:rsidR="00A9619B" w:rsidRPr="00214425" w:rsidRDefault="00A9619B" w:rsidP="00FE0388">
      <w:pPr>
        <w:pStyle w:val="BayerBodyTextFull"/>
        <w:rPr>
          <w:rFonts w:asciiTheme="majorHAnsi" w:hAnsiTheme="majorHAnsi"/>
          <w:b/>
          <w:bCs/>
          <w:sz w:val="22"/>
          <w:szCs w:val="20"/>
        </w:rPr>
      </w:pPr>
      <w:r w:rsidRPr="00214425">
        <w:rPr>
          <w:rFonts w:asciiTheme="majorHAnsi" w:hAnsiTheme="majorHAnsi"/>
          <w:sz w:val="22"/>
          <w:szCs w:val="20"/>
        </w:rPr>
        <w:t>Elinzanetant is practically insoluble in water and slightly soluble under acidic conditions.</w:t>
      </w:r>
    </w:p>
    <w:p w14:paraId="2D4D9F91" w14:textId="09284E54" w:rsidR="0021200F" w:rsidRPr="00D67495" w:rsidRDefault="0021200F" w:rsidP="00FE0388">
      <w:pPr>
        <w:pStyle w:val="Heading3"/>
        <w:spacing w:before="240" w:after="120"/>
        <w:ind w:left="0"/>
        <w:rPr>
          <w:rFonts w:cstheme="minorHAnsi"/>
          <w:b w:val="0"/>
        </w:rPr>
      </w:pPr>
      <w:r w:rsidRPr="00D67495">
        <w:rPr>
          <w:rFonts w:cstheme="minorHAnsi"/>
        </w:rPr>
        <w:t>Absorption</w:t>
      </w:r>
    </w:p>
    <w:p w14:paraId="12EFEF68" w14:textId="40382112" w:rsidR="0079157A" w:rsidRPr="00D67495" w:rsidRDefault="0079157A"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 xml:space="preserve">The median (range) time to reach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w:t>
      </w:r>
      <w:proofErr w:type="spellStart"/>
      <w:r w:rsidRPr="00D67495">
        <w:rPr>
          <w:rFonts w:asciiTheme="majorHAnsi" w:hAnsiTheme="majorHAnsi" w:cs="Times New Roman"/>
        </w:rPr>
        <w:t>C</w:t>
      </w:r>
      <w:r w:rsidRPr="004D17C4">
        <w:rPr>
          <w:rFonts w:asciiTheme="majorHAnsi" w:hAnsiTheme="majorHAnsi" w:cs="Times New Roman"/>
          <w:vertAlign w:val="subscript"/>
        </w:rPr>
        <w:t>max</w:t>
      </w:r>
      <w:proofErr w:type="spellEnd"/>
      <w:r w:rsidRPr="00D67495">
        <w:rPr>
          <w:rFonts w:asciiTheme="majorHAnsi" w:hAnsiTheme="majorHAnsi" w:cs="Times New Roman"/>
        </w:rPr>
        <w:t xml:space="preserve"> is 1.0 (1 to 4) hour. The absolute</w:t>
      </w:r>
      <w:r w:rsidR="00D06362">
        <w:rPr>
          <w:rFonts w:asciiTheme="majorHAnsi" w:hAnsiTheme="majorHAnsi" w:cs="Times New Roman"/>
        </w:rPr>
        <w:t xml:space="preserve"> </w:t>
      </w:r>
      <w:r w:rsidRPr="00D67495">
        <w:rPr>
          <w:rFonts w:asciiTheme="majorHAnsi" w:hAnsiTheme="majorHAnsi" w:cs="Times New Roman"/>
        </w:rPr>
        <w:t xml:space="preserve">bioavailability of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is 52%.</w:t>
      </w:r>
    </w:p>
    <w:p w14:paraId="67A5D5CD" w14:textId="77777777" w:rsidR="00A9619B" w:rsidRPr="00D67495" w:rsidRDefault="00A9619B"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The minimum effective steady state plasma concentrations (</w:t>
      </w:r>
      <w:proofErr w:type="spellStart"/>
      <w:r w:rsidRPr="00D67495">
        <w:rPr>
          <w:rFonts w:asciiTheme="majorHAnsi" w:hAnsiTheme="majorHAnsi" w:cs="Times New Roman"/>
        </w:rPr>
        <w:t>C</w:t>
      </w:r>
      <w:r w:rsidRPr="004D17C4">
        <w:rPr>
          <w:rFonts w:asciiTheme="majorHAnsi" w:hAnsiTheme="majorHAnsi" w:cs="Times New Roman"/>
          <w:vertAlign w:val="subscript"/>
        </w:rPr>
        <w:t>trough</w:t>
      </w:r>
      <w:proofErr w:type="spellEnd"/>
      <w:r w:rsidRPr="00D67495">
        <w:rPr>
          <w:rFonts w:asciiTheme="majorHAnsi" w:hAnsiTheme="majorHAnsi" w:cs="Times New Roman"/>
        </w:rPr>
        <w:t>) to ensure almost complete receptor-occupancy were unchanged with or without food intake.</w:t>
      </w:r>
    </w:p>
    <w:p w14:paraId="3046E51C" w14:textId="77777777" w:rsidR="00A9619B" w:rsidRPr="00D67495" w:rsidRDefault="00A9619B" w:rsidP="00FE0388">
      <w:pPr>
        <w:autoSpaceDE w:val="0"/>
        <w:autoSpaceDN w:val="0"/>
        <w:adjustRightInd w:val="0"/>
        <w:spacing w:after="0" w:line="240" w:lineRule="auto"/>
        <w:rPr>
          <w:rFonts w:asciiTheme="majorHAnsi" w:hAnsiTheme="majorHAnsi" w:cs="Times New Roman"/>
        </w:rPr>
      </w:pPr>
    </w:p>
    <w:p w14:paraId="15EF4B3B" w14:textId="60080F7C" w:rsidR="0021200F" w:rsidRPr="00D67495" w:rsidRDefault="0021200F" w:rsidP="00FE0388">
      <w:pPr>
        <w:pStyle w:val="Heading3"/>
        <w:spacing w:before="0" w:after="120"/>
        <w:ind w:left="0"/>
        <w:rPr>
          <w:rFonts w:cs="Times New Roman"/>
        </w:rPr>
      </w:pPr>
      <w:r w:rsidRPr="00D67495">
        <w:t>Distribution</w:t>
      </w:r>
    </w:p>
    <w:p w14:paraId="70222502" w14:textId="4E301873" w:rsidR="0079157A" w:rsidRPr="00D67495" w:rsidRDefault="0079157A"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The mean volume of distribution after intravenous administration at steady state (</w:t>
      </w:r>
      <w:proofErr w:type="spellStart"/>
      <w:r w:rsidRPr="00D67495">
        <w:rPr>
          <w:rFonts w:asciiTheme="majorHAnsi" w:hAnsiTheme="majorHAnsi" w:cs="Times New Roman"/>
        </w:rPr>
        <w:t>Vss</w:t>
      </w:r>
      <w:proofErr w:type="spellEnd"/>
      <w:r w:rsidRPr="00D67495">
        <w:rPr>
          <w:rFonts w:asciiTheme="majorHAnsi" w:hAnsiTheme="majorHAnsi" w:cs="Times New Roman"/>
        </w:rPr>
        <w:t>) of</w:t>
      </w:r>
      <w:r w:rsidR="00C553A4">
        <w:rPr>
          <w:rFonts w:asciiTheme="majorHAnsi" w:hAnsiTheme="majorHAnsi" w:cs="Times New Roman"/>
        </w:rPr>
        <w:t xml:space="preserve">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is 137 L, indicating extensive extravascular distribution. The plasma protein</w:t>
      </w:r>
      <w:r w:rsidR="00C553A4">
        <w:rPr>
          <w:rFonts w:asciiTheme="majorHAnsi" w:hAnsiTheme="majorHAnsi" w:cs="Times New Roman"/>
        </w:rPr>
        <w:t xml:space="preserve"> </w:t>
      </w:r>
      <w:r w:rsidRPr="00D67495">
        <w:rPr>
          <w:rFonts w:asciiTheme="majorHAnsi" w:hAnsiTheme="majorHAnsi" w:cs="Times New Roman"/>
        </w:rPr>
        <w:t xml:space="preserve">binding of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is </w:t>
      </w:r>
      <w:r w:rsidR="00807583">
        <w:rPr>
          <w:rFonts w:asciiTheme="majorHAnsi" w:hAnsiTheme="majorHAnsi" w:cs="Times New Roman"/>
        </w:rPr>
        <w:t xml:space="preserve">very </w:t>
      </w:r>
      <w:r w:rsidRPr="00D67495">
        <w:rPr>
          <w:rFonts w:asciiTheme="majorHAnsi" w:hAnsiTheme="majorHAnsi" w:cs="Times New Roman"/>
        </w:rPr>
        <w:t>high (99.7%). The blood-to-plasma ratio is between 0.6 and 0.7.</w:t>
      </w:r>
      <w:r w:rsidR="00807583">
        <w:rPr>
          <w:rFonts w:asciiTheme="majorHAnsi" w:hAnsiTheme="majorHAnsi" w:cs="Times New Roman"/>
        </w:rPr>
        <w:t xml:space="preserve"> </w:t>
      </w:r>
      <w:r w:rsidRPr="00D67495">
        <w:rPr>
          <w:rFonts w:asciiTheme="majorHAnsi" w:hAnsiTheme="majorHAnsi" w:cs="Times New Roman"/>
        </w:rPr>
        <w:t xml:space="preserve">Exposure of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in human brain was shown by clinical positron emission tomography</w:t>
      </w:r>
      <w:r w:rsidR="00A9619B" w:rsidRPr="00D67495">
        <w:rPr>
          <w:rFonts w:asciiTheme="majorHAnsi" w:hAnsiTheme="majorHAnsi" w:cs="Times New Roman"/>
        </w:rPr>
        <w:t xml:space="preserve"> </w:t>
      </w:r>
      <w:r w:rsidRPr="00D67495">
        <w:rPr>
          <w:rFonts w:asciiTheme="majorHAnsi" w:hAnsiTheme="majorHAnsi" w:cs="Times New Roman"/>
        </w:rPr>
        <w:t>(PET) studies.</w:t>
      </w:r>
    </w:p>
    <w:p w14:paraId="51B8DC9A" w14:textId="77777777" w:rsidR="00A9619B" w:rsidRPr="00D67495" w:rsidRDefault="00A9619B" w:rsidP="00FE0388">
      <w:pPr>
        <w:autoSpaceDE w:val="0"/>
        <w:autoSpaceDN w:val="0"/>
        <w:adjustRightInd w:val="0"/>
        <w:spacing w:after="0" w:line="240" w:lineRule="auto"/>
        <w:rPr>
          <w:rFonts w:asciiTheme="majorHAnsi" w:hAnsiTheme="majorHAnsi" w:cs="Times New Roman"/>
        </w:rPr>
      </w:pPr>
    </w:p>
    <w:p w14:paraId="1825C9D6" w14:textId="76F94074" w:rsidR="0021200F" w:rsidRPr="00D67495" w:rsidRDefault="0021200F" w:rsidP="00FE0388">
      <w:pPr>
        <w:pStyle w:val="Heading3"/>
        <w:spacing w:before="0" w:after="120"/>
        <w:ind w:left="0"/>
        <w:rPr>
          <w:rFonts w:cstheme="minorHAnsi"/>
          <w:b w:val="0"/>
        </w:rPr>
      </w:pPr>
      <w:r w:rsidRPr="00D67495">
        <w:rPr>
          <w:rFonts w:cstheme="minorHAnsi"/>
        </w:rPr>
        <w:t xml:space="preserve">Metabolism </w:t>
      </w:r>
    </w:p>
    <w:p w14:paraId="05BC43C3" w14:textId="34ECE16D" w:rsidR="0079157A" w:rsidRDefault="0079157A" w:rsidP="00FE0388">
      <w:pPr>
        <w:autoSpaceDE w:val="0"/>
        <w:autoSpaceDN w:val="0"/>
        <w:adjustRightInd w:val="0"/>
        <w:spacing w:after="0" w:line="240" w:lineRule="auto"/>
        <w:rPr>
          <w:rFonts w:asciiTheme="majorHAnsi" w:hAnsiTheme="majorHAnsi" w:cs="Times New Roman"/>
          <w:color w:val="000000"/>
        </w:rPr>
      </w:pPr>
      <w:r w:rsidRPr="00D67495">
        <w:rPr>
          <w:rFonts w:asciiTheme="majorHAnsi" w:hAnsiTheme="majorHAnsi" w:cs="Times New Roman"/>
          <w:color w:val="000000"/>
        </w:rPr>
        <w:t>Elinzanetant is primarily metaboli</w:t>
      </w:r>
      <w:r w:rsidR="00885FA9">
        <w:rPr>
          <w:rFonts w:asciiTheme="majorHAnsi" w:hAnsiTheme="majorHAnsi" w:cs="Times New Roman"/>
          <w:color w:val="000000"/>
        </w:rPr>
        <w:t>s</w:t>
      </w:r>
      <w:r w:rsidRPr="00D67495">
        <w:rPr>
          <w:rFonts w:asciiTheme="majorHAnsi" w:hAnsiTheme="majorHAnsi" w:cs="Times New Roman"/>
          <w:color w:val="000000"/>
        </w:rPr>
        <w:t>ed by CYP3A4 to yield three active metabolites. These</w:t>
      </w:r>
      <w:r w:rsidR="00D06362">
        <w:rPr>
          <w:rFonts w:asciiTheme="majorHAnsi" w:hAnsiTheme="majorHAnsi" w:cs="Times New Roman"/>
          <w:color w:val="000000"/>
        </w:rPr>
        <w:t xml:space="preserve"> </w:t>
      </w:r>
      <w:r w:rsidRPr="00D67495">
        <w:rPr>
          <w:rFonts w:asciiTheme="majorHAnsi" w:hAnsiTheme="majorHAnsi" w:cs="Times New Roman"/>
          <w:color w:val="000000"/>
        </w:rPr>
        <w:t xml:space="preserve">metabolites have </w:t>
      </w:r>
      <w:r w:rsidR="00C2795E">
        <w:rPr>
          <w:rFonts w:asciiTheme="majorHAnsi" w:hAnsiTheme="majorHAnsi" w:cs="Times New Roman"/>
          <w:color w:val="000000"/>
        </w:rPr>
        <w:t xml:space="preserve">roughly </w:t>
      </w:r>
      <w:r w:rsidRPr="00D67495">
        <w:rPr>
          <w:rFonts w:asciiTheme="majorHAnsi" w:hAnsiTheme="majorHAnsi" w:cs="Times New Roman"/>
          <w:color w:val="000000"/>
        </w:rPr>
        <w:t xml:space="preserve">similar </w:t>
      </w:r>
      <w:r w:rsidR="00C2795E">
        <w:rPr>
          <w:rFonts w:asciiTheme="majorHAnsi" w:hAnsiTheme="majorHAnsi" w:cs="Times New Roman"/>
          <w:color w:val="000000"/>
        </w:rPr>
        <w:t>affinity</w:t>
      </w:r>
      <w:r w:rsidR="00C2795E" w:rsidRPr="00D67495">
        <w:rPr>
          <w:rFonts w:asciiTheme="majorHAnsi" w:hAnsiTheme="majorHAnsi" w:cs="Times New Roman"/>
          <w:color w:val="000000"/>
        </w:rPr>
        <w:t xml:space="preserve"> </w:t>
      </w:r>
      <w:r w:rsidRPr="00D67495">
        <w:rPr>
          <w:rFonts w:asciiTheme="majorHAnsi" w:hAnsiTheme="majorHAnsi" w:cs="Times New Roman"/>
          <w:color w:val="000000"/>
        </w:rPr>
        <w:t>for the human NK</w:t>
      </w:r>
      <w:r w:rsidRPr="008A2049">
        <w:rPr>
          <w:rFonts w:asciiTheme="majorHAnsi" w:hAnsiTheme="majorHAnsi" w:cs="Times New Roman"/>
          <w:color w:val="000000"/>
          <w:vertAlign w:val="subscript"/>
        </w:rPr>
        <w:t>1</w:t>
      </w:r>
      <w:r w:rsidRPr="00D67495">
        <w:rPr>
          <w:rFonts w:asciiTheme="majorHAnsi" w:hAnsiTheme="majorHAnsi" w:cs="Times New Roman"/>
          <w:color w:val="000000"/>
        </w:rPr>
        <w:t xml:space="preserve"> and NK</w:t>
      </w:r>
      <w:r w:rsidRPr="008A2049">
        <w:rPr>
          <w:rFonts w:asciiTheme="majorHAnsi" w:hAnsiTheme="majorHAnsi" w:cs="Times New Roman"/>
          <w:color w:val="000000"/>
          <w:vertAlign w:val="subscript"/>
        </w:rPr>
        <w:t>3</w:t>
      </w:r>
      <w:r w:rsidRPr="00D67495">
        <w:rPr>
          <w:rFonts w:asciiTheme="majorHAnsi" w:hAnsiTheme="majorHAnsi" w:cs="Times New Roman"/>
          <w:color w:val="000000"/>
        </w:rPr>
        <w:t xml:space="preserve"> receptors as compared to</w:t>
      </w:r>
      <w:r w:rsidR="00A25108">
        <w:rPr>
          <w:rFonts w:asciiTheme="majorHAnsi" w:hAnsiTheme="majorHAnsi" w:cs="Times New Roman"/>
          <w:color w:val="000000"/>
        </w:rPr>
        <w:t xml:space="preserve"> </w:t>
      </w:r>
      <w:proofErr w:type="spellStart"/>
      <w:r w:rsidRPr="00D67495">
        <w:rPr>
          <w:rFonts w:asciiTheme="majorHAnsi" w:hAnsiTheme="majorHAnsi" w:cs="Times New Roman"/>
          <w:color w:val="000000"/>
        </w:rPr>
        <w:t>elinzanetant</w:t>
      </w:r>
      <w:proofErr w:type="spellEnd"/>
      <w:r w:rsidRPr="00D67495">
        <w:rPr>
          <w:rFonts w:asciiTheme="majorHAnsi" w:hAnsiTheme="majorHAnsi" w:cs="Times New Roman"/>
          <w:color w:val="000000"/>
        </w:rPr>
        <w:t>.</w:t>
      </w:r>
      <w:r w:rsidRPr="00D67495">
        <w:rPr>
          <w:rFonts w:asciiTheme="majorHAnsi" w:hAnsiTheme="majorHAnsi" w:cs="Times New Roman"/>
          <w:color w:val="0000FF"/>
        </w:rPr>
        <w:t xml:space="preserve"> </w:t>
      </w:r>
      <w:r w:rsidRPr="00D67495">
        <w:rPr>
          <w:rFonts w:asciiTheme="majorHAnsi" w:hAnsiTheme="majorHAnsi" w:cs="Times New Roman"/>
          <w:color w:val="000000"/>
        </w:rPr>
        <w:t>The ratio of these metabolites to parent in plasma is approximately 0.39.</w:t>
      </w:r>
    </w:p>
    <w:p w14:paraId="60289042" w14:textId="77777777" w:rsidR="00A25108" w:rsidRPr="00D67495" w:rsidRDefault="00A25108" w:rsidP="00FE0388">
      <w:pPr>
        <w:autoSpaceDE w:val="0"/>
        <w:autoSpaceDN w:val="0"/>
        <w:adjustRightInd w:val="0"/>
        <w:spacing w:after="0" w:line="240" w:lineRule="auto"/>
        <w:rPr>
          <w:rFonts w:asciiTheme="majorHAnsi" w:hAnsiTheme="majorHAnsi"/>
        </w:rPr>
      </w:pPr>
    </w:p>
    <w:p w14:paraId="7CBCE171" w14:textId="532A9B99" w:rsidR="0021200F" w:rsidRPr="00D67495" w:rsidRDefault="0021200F" w:rsidP="00FE0388">
      <w:pPr>
        <w:pStyle w:val="Heading3"/>
        <w:spacing w:before="0" w:after="120"/>
        <w:ind w:left="0"/>
        <w:rPr>
          <w:rFonts w:cstheme="minorHAnsi"/>
          <w:b w:val="0"/>
        </w:rPr>
      </w:pPr>
      <w:r w:rsidRPr="00D67495">
        <w:rPr>
          <w:rFonts w:cstheme="minorHAnsi"/>
        </w:rPr>
        <w:t xml:space="preserve">Excretion </w:t>
      </w:r>
    </w:p>
    <w:p w14:paraId="2DF00281" w14:textId="77777777" w:rsidR="0079157A" w:rsidRPr="00D67495" w:rsidRDefault="0079157A"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 xml:space="preserve">The clearance of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after single intravenous dose is 8.77 L/h.</w:t>
      </w:r>
    </w:p>
    <w:p w14:paraId="6DA5CFA2" w14:textId="035F70C9" w:rsidR="0079157A" w:rsidRDefault="0079157A"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 xml:space="preserve">Following oral administration of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approximately 90% of the dose was excreted</w:t>
      </w:r>
      <w:r w:rsidR="00C553A4">
        <w:rPr>
          <w:rFonts w:asciiTheme="majorHAnsi" w:hAnsiTheme="majorHAnsi" w:cs="Times New Roman"/>
        </w:rPr>
        <w:t xml:space="preserve"> </w:t>
      </w:r>
      <w:r w:rsidRPr="00D67495">
        <w:rPr>
          <w:rFonts w:asciiTheme="majorHAnsi" w:hAnsiTheme="majorHAnsi" w:cs="Times New Roman"/>
        </w:rPr>
        <w:t xml:space="preserve">with </w:t>
      </w:r>
      <w:r w:rsidR="00224A6B" w:rsidRPr="00D67495">
        <w:rPr>
          <w:rFonts w:asciiTheme="majorHAnsi" w:hAnsiTheme="majorHAnsi" w:cs="Times New Roman"/>
        </w:rPr>
        <w:t>faeces</w:t>
      </w:r>
      <w:r w:rsidRPr="00D67495">
        <w:rPr>
          <w:rFonts w:asciiTheme="majorHAnsi" w:hAnsiTheme="majorHAnsi" w:cs="Times New Roman"/>
        </w:rPr>
        <w:t xml:space="preserve"> (mainly as metabolites) and less than 1% with urine. The effective half-life of</w:t>
      </w:r>
      <w:r w:rsidR="00C553A4">
        <w:rPr>
          <w:rFonts w:asciiTheme="majorHAnsi" w:hAnsiTheme="majorHAnsi" w:cs="Times New Roman"/>
        </w:rPr>
        <w:t xml:space="preserve">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is approximately 45 hours in women with vasomotor symptoms.</w:t>
      </w:r>
    </w:p>
    <w:p w14:paraId="03F58171" w14:textId="77777777" w:rsidR="00AD2898" w:rsidRDefault="00AD2898" w:rsidP="00FE0388">
      <w:pPr>
        <w:autoSpaceDE w:val="0"/>
        <w:autoSpaceDN w:val="0"/>
        <w:adjustRightInd w:val="0"/>
        <w:spacing w:after="0" w:line="240" w:lineRule="auto"/>
        <w:rPr>
          <w:rFonts w:asciiTheme="majorHAnsi" w:hAnsiTheme="majorHAnsi" w:cs="Times New Roman"/>
        </w:rPr>
      </w:pPr>
    </w:p>
    <w:p w14:paraId="2E061802" w14:textId="395EDA8A" w:rsidR="00AD2898" w:rsidRPr="00AD2898" w:rsidRDefault="00AD2898" w:rsidP="00FE0388">
      <w:pPr>
        <w:pStyle w:val="Heading3"/>
        <w:ind w:left="0"/>
      </w:pPr>
      <w:r w:rsidRPr="00AD2898">
        <w:t>Special populations</w:t>
      </w:r>
    </w:p>
    <w:p w14:paraId="3AD3DC2B" w14:textId="77777777" w:rsidR="00AD2898" w:rsidRPr="00AD2898" w:rsidRDefault="00AD2898" w:rsidP="00FE0388">
      <w:pPr>
        <w:pStyle w:val="Heading4"/>
        <w:ind w:left="0"/>
      </w:pPr>
      <w:r w:rsidRPr="00AD2898">
        <w:t>Hepatic impairment</w:t>
      </w:r>
    </w:p>
    <w:p w14:paraId="63FF8A20" w14:textId="6D6E01B5" w:rsidR="00AD2898" w:rsidRPr="00AD2898" w:rsidRDefault="00AD2898" w:rsidP="00FE0388">
      <w:pPr>
        <w:autoSpaceDE w:val="0"/>
        <w:autoSpaceDN w:val="0"/>
        <w:adjustRightInd w:val="0"/>
        <w:spacing w:after="0" w:line="240" w:lineRule="auto"/>
        <w:rPr>
          <w:rFonts w:asciiTheme="majorHAnsi" w:hAnsiTheme="majorHAnsi" w:cs="Times New Roman"/>
        </w:rPr>
      </w:pPr>
      <w:r w:rsidRPr="00AD2898">
        <w:rPr>
          <w:rFonts w:asciiTheme="majorHAnsi" w:hAnsiTheme="majorHAnsi" w:cs="Times New Roman"/>
        </w:rPr>
        <w:t xml:space="preserve">Following multiple-dose administration of 120 mg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in patients with</w:t>
      </w:r>
      <w:r>
        <w:rPr>
          <w:rFonts w:asciiTheme="majorHAnsi" w:hAnsiTheme="majorHAnsi" w:cs="Times New Roman"/>
        </w:rPr>
        <w:t xml:space="preserve"> </w:t>
      </w:r>
      <w:r w:rsidRPr="00AD2898">
        <w:rPr>
          <w:rFonts w:asciiTheme="majorHAnsi" w:hAnsiTheme="majorHAnsi" w:cs="Times New Roman"/>
        </w:rPr>
        <w:t xml:space="preserve">Child-Pugh Class A (mild) chronic hepatic impairment, the mean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w:t>
      </w:r>
      <w:proofErr w:type="spellStart"/>
      <w:r w:rsidRPr="00AD2898">
        <w:rPr>
          <w:rFonts w:asciiTheme="majorHAnsi" w:hAnsiTheme="majorHAnsi" w:cs="Times New Roman"/>
        </w:rPr>
        <w:t>C</w:t>
      </w:r>
      <w:r w:rsidRPr="00AD2898">
        <w:rPr>
          <w:rFonts w:asciiTheme="majorHAnsi" w:hAnsiTheme="majorHAnsi" w:cs="Times New Roman"/>
          <w:vertAlign w:val="subscript"/>
        </w:rPr>
        <w:t>max</w:t>
      </w:r>
      <w:proofErr w:type="spellEnd"/>
      <w:r>
        <w:rPr>
          <w:rFonts w:asciiTheme="majorHAnsi" w:hAnsiTheme="majorHAnsi" w:cs="Times New Roman"/>
          <w:vertAlign w:val="subscript"/>
        </w:rPr>
        <w:t xml:space="preserve"> </w:t>
      </w:r>
      <w:r w:rsidRPr="00AD2898">
        <w:rPr>
          <w:rFonts w:asciiTheme="majorHAnsi" w:hAnsiTheme="majorHAnsi" w:cs="Times New Roman"/>
        </w:rPr>
        <w:t xml:space="preserve">increased 1.2-fold and </w:t>
      </w:r>
      <w:proofErr w:type="gramStart"/>
      <w:r w:rsidRPr="00AD2898">
        <w:rPr>
          <w:rFonts w:asciiTheme="majorHAnsi" w:hAnsiTheme="majorHAnsi" w:cs="Times New Roman"/>
        </w:rPr>
        <w:t>AUC</w:t>
      </w:r>
      <w:r w:rsidRPr="00AD2898">
        <w:rPr>
          <w:rFonts w:asciiTheme="majorHAnsi" w:hAnsiTheme="majorHAnsi" w:cs="Times New Roman"/>
          <w:vertAlign w:val="subscript"/>
        </w:rPr>
        <w:t>(</w:t>
      </w:r>
      <w:proofErr w:type="gramEnd"/>
      <w:r w:rsidRPr="00AD2898">
        <w:rPr>
          <w:rFonts w:asciiTheme="majorHAnsi" w:hAnsiTheme="majorHAnsi" w:cs="Times New Roman"/>
          <w:vertAlign w:val="subscript"/>
        </w:rPr>
        <w:t>0-24)</w:t>
      </w:r>
      <w:r w:rsidRPr="00AD2898">
        <w:rPr>
          <w:rFonts w:asciiTheme="majorHAnsi" w:hAnsiTheme="majorHAnsi" w:cs="Times New Roman"/>
        </w:rPr>
        <w:t xml:space="preserve"> increased 1.5-fold, relative to subjects with</w:t>
      </w:r>
      <w:r>
        <w:rPr>
          <w:rFonts w:asciiTheme="majorHAnsi" w:hAnsiTheme="majorHAnsi" w:cs="Times New Roman"/>
        </w:rPr>
        <w:t xml:space="preserve"> </w:t>
      </w:r>
      <w:r w:rsidRPr="00AD2898">
        <w:rPr>
          <w:rFonts w:asciiTheme="majorHAnsi" w:hAnsiTheme="majorHAnsi" w:cs="Times New Roman"/>
        </w:rPr>
        <w:t xml:space="preserve">normal hepatic function. In patients with </w:t>
      </w:r>
      <w:r w:rsidRPr="00AD2898">
        <w:rPr>
          <w:rFonts w:asciiTheme="majorHAnsi" w:hAnsiTheme="majorHAnsi" w:cs="Times New Roman"/>
        </w:rPr>
        <w:lastRenderedPageBreak/>
        <w:t>Child-Pugh Class B (moderate) chronic</w:t>
      </w:r>
      <w:r>
        <w:rPr>
          <w:rFonts w:asciiTheme="majorHAnsi" w:hAnsiTheme="majorHAnsi" w:cs="Times New Roman"/>
        </w:rPr>
        <w:t xml:space="preserve"> </w:t>
      </w:r>
      <w:r w:rsidRPr="00AD2898">
        <w:rPr>
          <w:rFonts w:asciiTheme="majorHAnsi" w:hAnsiTheme="majorHAnsi" w:cs="Times New Roman"/>
        </w:rPr>
        <w:t xml:space="preserve">hepatic impairment, the mean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w:t>
      </w:r>
      <w:proofErr w:type="spellStart"/>
      <w:r w:rsidRPr="00AD2898">
        <w:rPr>
          <w:rFonts w:asciiTheme="majorHAnsi" w:hAnsiTheme="majorHAnsi" w:cs="Times New Roman"/>
        </w:rPr>
        <w:t>C</w:t>
      </w:r>
      <w:r w:rsidRPr="00AD2898">
        <w:rPr>
          <w:rFonts w:asciiTheme="majorHAnsi" w:hAnsiTheme="majorHAnsi" w:cs="Times New Roman"/>
          <w:vertAlign w:val="subscript"/>
        </w:rPr>
        <w:t>max</w:t>
      </w:r>
      <w:proofErr w:type="spellEnd"/>
      <w:r w:rsidRPr="00AD2898">
        <w:rPr>
          <w:rFonts w:asciiTheme="majorHAnsi" w:hAnsiTheme="majorHAnsi" w:cs="Times New Roman"/>
        </w:rPr>
        <w:t xml:space="preserve"> and </w:t>
      </w:r>
      <w:proofErr w:type="gramStart"/>
      <w:r w:rsidRPr="00AD2898">
        <w:rPr>
          <w:rFonts w:asciiTheme="majorHAnsi" w:hAnsiTheme="majorHAnsi" w:cs="Times New Roman"/>
        </w:rPr>
        <w:t>AUC</w:t>
      </w:r>
      <w:r w:rsidRPr="00AD2898">
        <w:rPr>
          <w:rFonts w:asciiTheme="majorHAnsi" w:hAnsiTheme="majorHAnsi" w:cs="Times New Roman"/>
          <w:vertAlign w:val="subscript"/>
        </w:rPr>
        <w:t>(</w:t>
      </w:r>
      <w:proofErr w:type="gramEnd"/>
      <w:r w:rsidRPr="00AD2898">
        <w:rPr>
          <w:rFonts w:asciiTheme="majorHAnsi" w:hAnsiTheme="majorHAnsi" w:cs="Times New Roman"/>
          <w:vertAlign w:val="subscript"/>
        </w:rPr>
        <w:t>0-24)</w:t>
      </w:r>
      <w:r w:rsidRPr="00AD2898">
        <w:rPr>
          <w:rFonts w:asciiTheme="majorHAnsi" w:hAnsiTheme="majorHAnsi" w:cs="Times New Roman"/>
        </w:rPr>
        <w:t xml:space="preserve"> increased 2.3-fold.</w:t>
      </w:r>
    </w:p>
    <w:p w14:paraId="5D62DFAA" w14:textId="77777777" w:rsidR="00AD2898" w:rsidRPr="00AD2898" w:rsidRDefault="00AD2898" w:rsidP="00FE0388">
      <w:pPr>
        <w:autoSpaceDE w:val="0"/>
        <w:autoSpaceDN w:val="0"/>
        <w:adjustRightInd w:val="0"/>
        <w:spacing w:after="0" w:line="240" w:lineRule="auto"/>
        <w:rPr>
          <w:rFonts w:asciiTheme="majorHAnsi" w:hAnsiTheme="majorHAnsi" w:cs="Times New Roman"/>
        </w:rPr>
      </w:pPr>
    </w:p>
    <w:p w14:paraId="5D469EFD" w14:textId="7045D9E4" w:rsidR="00AD2898" w:rsidRPr="00AD2898" w:rsidRDefault="00AD2898" w:rsidP="00FE0388">
      <w:pPr>
        <w:autoSpaceDE w:val="0"/>
        <w:autoSpaceDN w:val="0"/>
        <w:adjustRightInd w:val="0"/>
        <w:spacing w:after="0" w:line="240" w:lineRule="auto"/>
        <w:rPr>
          <w:rFonts w:asciiTheme="majorHAnsi" w:hAnsiTheme="majorHAnsi" w:cs="Times New Roman"/>
        </w:rPr>
      </w:pPr>
      <w:r w:rsidRPr="00AD2898">
        <w:rPr>
          <w:rFonts w:asciiTheme="majorHAnsi" w:hAnsiTheme="majorHAnsi" w:cs="Times New Roman"/>
        </w:rPr>
        <w:t>Elinzanetant has not been studied in individuals with Child-Pugh Class C (severe)</w:t>
      </w:r>
      <w:r>
        <w:rPr>
          <w:rFonts w:asciiTheme="majorHAnsi" w:hAnsiTheme="majorHAnsi" w:cs="Times New Roman"/>
        </w:rPr>
        <w:t xml:space="preserve"> </w:t>
      </w:r>
      <w:r w:rsidRPr="00AD2898">
        <w:rPr>
          <w:rFonts w:asciiTheme="majorHAnsi" w:hAnsiTheme="majorHAnsi" w:cs="Times New Roman"/>
        </w:rPr>
        <w:t>chronic hepatic impairment.</w:t>
      </w:r>
    </w:p>
    <w:p w14:paraId="794E4A6A" w14:textId="77777777" w:rsidR="00AD2898" w:rsidRPr="00AD2898" w:rsidRDefault="00AD2898" w:rsidP="00FE0388">
      <w:pPr>
        <w:autoSpaceDE w:val="0"/>
        <w:autoSpaceDN w:val="0"/>
        <w:adjustRightInd w:val="0"/>
        <w:spacing w:after="0" w:line="240" w:lineRule="auto"/>
        <w:rPr>
          <w:rFonts w:asciiTheme="majorHAnsi" w:hAnsiTheme="majorHAnsi" w:cs="Times New Roman"/>
        </w:rPr>
      </w:pPr>
    </w:p>
    <w:p w14:paraId="4B89C409" w14:textId="77777777" w:rsidR="00AD2898" w:rsidRPr="00AD2898" w:rsidRDefault="00AD2898" w:rsidP="00FE0388">
      <w:pPr>
        <w:pStyle w:val="Heading4"/>
        <w:ind w:left="0"/>
      </w:pPr>
      <w:r w:rsidRPr="00AD2898">
        <w:t>Renal impairment</w:t>
      </w:r>
    </w:p>
    <w:p w14:paraId="4046E1DC" w14:textId="5B520D8E" w:rsidR="00AD2898" w:rsidRPr="00AD2898" w:rsidRDefault="00AD2898" w:rsidP="00FE0388">
      <w:pPr>
        <w:autoSpaceDE w:val="0"/>
        <w:autoSpaceDN w:val="0"/>
        <w:adjustRightInd w:val="0"/>
        <w:spacing w:after="0" w:line="240" w:lineRule="auto"/>
        <w:rPr>
          <w:rFonts w:asciiTheme="majorHAnsi" w:hAnsiTheme="majorHAnsi" w:cs="Times New Roman"/>
        </w:rPr>
      </w:pPr>
      <w:r w:rsidRPr="00AD2898">
        <w:rPr>
          <w:rFonts w:asciiTheme="majorHAnsi" w:hAnsiTheme="majorHAnsi" w:cs="Times New Roman"/>
        </w:rPr>
        <w:t>In a clinical pharmacokinetic study, following single-dose administration of 120 mg</w:t>
      </w:r>
      <w:r>
        <w:rPr>
          <w:rFonts w:asciiTheme="majorHAnsi" w:hAnsiTheme="majorHAnsi" w:cs="Times New Roman"/>
        </w:rPr>
        <w:t xml:space="preserve">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in patients with moderate (eGFR 30 - 59 mL/min/1.73 m</w:t>
      </w:r>
      <w:r w:rsidRPr="00AD2898">
        <w:rPr>
          <w:rFonts w:asciiTheme="majorHAnsi" w:hAnsiTheme="majorHAnsi" w:cs="Times New Roman"/>
          <w:vertAlign w:val="superscript"/>
        </w:rPr>
        <w:t>2</w:t>
      </w:r>
      <w:r w:rsidRPr="00AD2898">
        <w:rPr>
          <w:rFonts w:asciiTheme="majorHAnsi" w:hAnsiTheme="majorHAnsi" w:cs="Times New Roman"/>
        </w:rPr>
        <w:t>) renal</w:t>
      </w:r>
      <w:r>
        <w:rPr>
          <w:rFonts w:asciiTheme="majorHAnsi" w:hAnsiTheme="majorHAnsi" w:cs="Times New Roman"/>
        </w:rPr>
        <w:t xml:space="preserve"> </w:t>
      </w:r>
      <w:r w:rsidRPr="00AD2898">
        <w:rPr>
          <w:rFonts w:asciiTheme="majorHAnsi" w:hAnsiTheme="majorHAnsi" w:cs="Times New Roman"/>
        </w:rPr>
        <w:t xml:space="preserve">impairment, the mean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w:t>
      </w:r>
      <w:proofErr w:type="spellStart"/>
      <w:r w:rsidRPr="00AD2898">
        <w:rPr>
          <w:rFonts w:asciiTheme="majorHAnsi" w:hAnsiTheme="majorHAnsi" w:cs="Times New Roman"/>
        </w:rPr>
        <w:t>C</w:t>
      </w:r>
      <w:r w:rsidRPr="00AD2898">
        <w:rPr>
          <w:rFonts w:asciiTheme="majorHAnsi" w:hAnsiTheme="majorHAnsi" w:cs="Times New Roman"/>
          <w:vertAlign w:val="subscript"/>
        </w:rPr>
        <w:t>max</w:t>
      </w:r>
      <w:proofErr w:type="spellEnd"/>
      <w:r w:rsidRPr="00AD2898">
        <w:rPr>
          <w:rFonts w:asciiTheme="majorHAnsi" w:hAnsiTheme="majorHAnsi" w:cs="Times New Roman"/>
          <w:vertAlign w:val="subscript"/>
        </w:rPr>
        <w:t>, unbound</w:t>
      </w:r>
      <w:r w:rsidRPr="00AD2898">
        <w:rPr>
          <w:rFonts w:asciiTheme="majorHAnsi" w:hAnsiTheme="majorHAnsi" w:cs="Times New Roman"/>
        </w:rPr>
        <w:t xml:space="preserve"> increased 2.3-fold and </w:t>
      </w:r>
      <w:proofErr w:type="spellStart"/>
      <w:r w:rsidRPr="00AD2898">
        <w:rPr>
          <w:rFonts w:asciiTheme="majorHAnsi" w:hAnsiTheme="majorHAnsi" w:cs="Times New Roman"/>
        </w:rPr>
        <w:t>AUC</w:t>
      </w:r>
      <w:r w:rsidRPr="00AD2898">
        <w:rPr>
          <w:rFonts w:asciiTheme="majorHAnsi" w:hAnsiTheme="majorHAnsi" w:cs="Times New Roman"/>
          <w:vertAlign w:val="subscript"/>
        </w:rPr>
        <w:t>unbound</w:t>
      </w:r>
      <w:proofErr w:type="spellEnd"/>
      <w:r>
        <w:rPr>
          <w:rFonts w:asciiTheme="majorHAnsi" w:hAnsiTheme="majorHAnsi" w:cs="Times New Roman"/>
          <w:vertAlign w:val="subscript"/>
        </w:rPr>
        <w:t xml:space="preserve"> </w:t>
      </w:r>
      <w:r w:rsidRPr="00AD2898">
        <w:rPr>
          <w:rFonts w:asciiTheme="majorHAnsi" w:hAnsiTheme="majorHAnsi" w:cs="Times New Roman"/>
        </w:rPr>
        <w:t>increased 2.2-fold. In patients with severe (eGFR less than 30 mL/min/1.73 m</w:t>
      </w:r>
      <w:r w:rsidRPr="00AD2898">
        <w:rPr>
          <w:rFonts w:asciiTheme="majorHAnsi" w:hAnsiTheme="majorHAnsi" w:cs="Times New Roman"/>
          <w:vertAlign w:val="superscript"/>
        </w:rPr>
        <w:t>2</w:t>
      </w:r>
      <w:r w:rsidRPr="00AD2898">
        <w:rPr>
          <w:rFonts w:asciiTheme="majorHAnsi" w:hAnsiTheme="majorHAnsi" w:cs="Times New Roman"/>
        </w:rPr>
        <w:t>)</w:t>
      </w:r>
      <w:r>
        <w:rPr>
          <w:rFonts w:asciiTheme="majorHAnsi" w:hAnsiTheme="majorHAnsi" w:cs="Times New Roman"/>
        </w:rPr>
        <w:t xml:space="preserve"> </w:t>
      </w:r>
      <w:r w:rsidRPr="00AD2898">
        <w:rPr>
          <w:rFonts w:asciiTheme="majorHAnsi" w:hAnsiTheme="majorHAnsi" w:cs="Times New Roman"/>
        </w:rPr>
        <w:t xml:space="preserve">renal impairment, the mean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w:t>
      </w:r>
      <w:proofErr w:type="spellStart"/>
      <w:r w:rsidRPr="00AD2898">
        <w:rPr>
          <w:rFonts w:asciiTheme="majorHAnsi" w:hAnsiTheme="majorHAnsi" w:cs="Times New Roman"/>
        </w:rPr>
        <w:t>C</w:t>
      </w:r>
      <w:r w:rsidRPr="00AD2898">
        <w:rPr>
          <w:rFonts w:asciiTheme="majorHAnsi" w:hAnsiTheme="majorHAnsi" w:cs="Times New Roman"/>
          <w:vertAlign w:val="subscript"/>
        </w:rPr>
        <w:t>max</w:t>
      </w:r>
      <w:proofErr w:type="spellEnd"/>
      <w:r w:rsidRPr="00AD2898">
        <w:rPr>
          <w:rFonts w:asciiTheme="majorHAnsi" w:hAnsiTheme="majorHAnsi" w:cs="Times New Roman"/>
          <w:vertAlign w:val="subscript"/>
        </w:rPr>
        <w:t>, unbound</w:t>
      </w:r>
      <w:r w:rsidRPr="00AD2898">
        <w:rPr>
          <w:rFonts w:asciiTheme="majorHAnsi" w:hAnsiTheme="majorHAnsi" w:cs="Times New Roman"/>
        </w:rPr>
        <w:t xml:space="preserve"> and </w:t>
      </w:r>
      <w:proofErr w:type="spellStart"/>
      <w:r w:rsidRPr="00AD2898">
        <w:rPr>
          <w:rFonts w:asciiTheme="majorHAnsi" w:hAnsiTheme="majorHAnsi" w:cs="Times New Roman"/>
        </w:rPr>
        <w:t>AUC</w:t>
      </w:r>
      <w:r w:rsidRPr="00AD2898">
        <w:rPr>
          <w:rFonts w:asciiTheme="majorHAnsi" w:hAnsiTheme="majorHAnsi" w:cs="Times New Roman"/>
          <w:vertAlign w:val="subscript"/>
        </w:rPr>
        <w:t>unbound</w:t>
      </w:r>
      <w:proofErr w:type="spellEnd"/>
      <w:r w:rsidRPr="00AD2898">
        <w:rPr>
          <w:rFonts w:asciiTheme="majorHAnsi" w:hAnsiTheme="majorHAnsi" w:cs="Times New Roman"/>
          <w:vertAlign w:val="subscript"/>
        </w:rPr>
        <w:t xml:space="preserve"> </w:t>
      </w:r>
      <w:r w:rsidRPr="00AD2898">
        <w:rPr>
          <w:rFonts w:asciiTheme="majorHAnsi" w:hAnsiTheme="majorHAnsi" w:cs="Times New Roman"/>
        </w:rPr>
        <w:t>increased 1.9-fold.</w:t>
      </w:r>
    </w:p>
    <w:p w14:paraId="7A5382D8" w14:textId="77777777" w:rsidR="00AD2898" w:rsidRPr="00AD2898" w:rsidRDefault="00AD2898" w:rsidP="00FE0388">
      <w:pPr>
        <w:autoSpaceDE w:val="0"/>
        <w:autoSpaceDN w:val="0"/>
        <w:adjustRightInd w:val="0"/>
        <w:spacing w:after="0" w:line="240" w:lineRule="auto"/>
        <w:rPr>
          <w:rFonts w:asciiTheme="majorHAnsi" w:hAnsiTheme="majorHAnsi" w:cs="Times New Roman"/>
        </w:rPr>
      </w:pPr>
    </w:p>
    <w:p w14:paraId="70CF9512" w14:textId="673CD48E" w:rsidR="00AD2898" w:rsidRPr="00AD2898" w:rsidRDefault="00AD2898" w:rsidP="00FE0388">
      <w:pPr>
        <w:autoSpaceDE w:val="0"/>
        <w:autoSpaceDN w:val="0"/>
        <w:adjustRightInd w:val="0"/>
        <w:spacing w:after="0" w:line="240" w:lineRule="auto"/>
        <w:rPr>
          <w:rFonts w:asciiTheme="majorHAnsi" w:hAnsiTheme="majorHAnsi" w:cs="Times New Roman"/>
        </w:rPr>
      </w:pPr>
      <w:r w:rsidRPr="00AD2898">
        <w:rPr>
          <w:rFonts w:asciiTheme="majorHAnsi" w:hAnsiTheme="majorHAnsi" w:cs="Times New Roman"/>
        </w:rPr>
        <w:t>A population pharmacokinetic analysis of the clinical study data indicates a similar total</w:t>
      </w:r>
      <w:r>
        <w:rPr>
          <w:rFonts w:asciiTheme="majorHAnsi" w:hAnsiTheme="majorHAnsi" w:cs="Times New Roman"/>
        </w:rPr>
        <w:t xml:space="preserve"> </w:t>
      </w:r>
      <w:r w:rsidRPr="00AD2898">
        <w:rPr>
          <w:rFonts w:asciiTheme="majorHAnsi" w:hAnsiTheme="majorHAnsi" w:cs="Times New Roman"/>
        </w:rPr>
        <w:t xml:space="preserve">exposure of </w:t>
      </w:r>
      <w:proofErr w:type="spellStart"/>
      <w:r w:rsidRPr="00AD2898">
        <w:rPr>
          <w:rFonts w:asciiTheme="majorHAnsi" w:hAnsiTheme="majorHAnsi" w:cs="Times New Roman"/>
        </w:rPr>
        <w:t>elinzanetant</w:t>
      </w:r>
      <w:proofErr w:type="spellEnd"/>
      <w:r w:rsidRPr="00AD2898">
        <w:rPr>
          <w:rFonts w:asciiTheme="majorHAnsi" w:hAnsiTheme="majorHAnsi" w:cs="Times New Roman"/>
        </w:rPr>
        <w:t xml:space="preserve"> in patients with mild and moderate renal impairment compared to patients with normal renal function.</w:t>
      </w:r>
    </w:p>
    <w:p w14:paraId="6696D670" w14:textId="77777777" w:rsidR="00AD2898" w:rsidRPr="00AD2898" w:rsidRDefault="00AD2898" w:rsidP="00FE0388">
      <w:pPr>
        <w:autoSpaceDE w:val="0"/>
        <w:autoSpaceDN w:val="0"/>
        <w:adjustRightInd w:val="0"/>
        <w:spacing w:after="0" w:line="240" w:lineRule="auto"/>
        <w:rPr>
          <w:rFonts w:asciiTheme="majorHAnsi" w:hAnsiTheme="majorHAnsi" w:cs="Times New Roman"/>
        </w:rPr>
      </w:pPr>
    </w:p>
    <w:p w14:paraId="43AD6D1D" w14:textId="24786347" w:rsidR="00AD2898" w:rsidRPr="00AD2898" w:rsidRDefault="00AD2898" w:rsidP="00FE0388">
      <w:pPr>
        <w:autoSpaceDE w:val="0"/>
        <w:autoSpaceDN w:val="0"/>
        <w:adjustRightInd w:val="0"/>
        <w:spacing w:after="0" w:line="240" w:lineRule="auto"/>
        <w:rPr>
          <w:rFonts w:asciiTheme="majorHAnsi" w:hAnsiTheme="majorHAnsi" w:cs="Times New Roman"/>
        </w:rPr>
      </w:pPr>
      <w:r w:rsidRPr="00AD2898">
        <w:rPr>
          <w:rFonts w:asciiTheme="majorHAnsi" w:hAnsiTheme="majorHAnsi" w:cs="Times New Roman"/>
        </w:rPr>
        <w:t>Elinzanetant has not been studied in patients with end-stage renal disease (eGFR &lt;15</w:t>
      </w:r>
      <w:r>
        <w:rPr>
          <w:rFonts w:asciiTheme="majorHAnsi" w:hAnsiTheme="majorHAnsi" w:cs="Times New Roman"/>
        </w:rPr>
        <w:t> </w:t>
      </w:r>
      <w:r w:rsidRPr="00AD2898">
        <w:rPr>
          <w:rFonts w:asciiTheme="majorHAnsi" w:hAnsiTheme="majorHAnsi" w:cs="Times New Roman"/>
        </w:rPr>
        <w:t>mL/min/1.73 m</w:t>
      </w:r>
      <w:r w:rsidRPr="00AD2898">
        <w:rPr>
          <w:rFonts w:asciiTheme="majorHAnsi" w:hAnsiTheme="majorHAnsi" w:cs="Times New Roman"/>
          <w:vertAlign w:val="superscript"/>
        </w:rPr>
        <w:t>2</w:t>
      </w:r>
      <w:r w:rsidRPr="00AD2898">
        <w:rPr>
          <w:rFonts w:asciiTheme="majorHAnsi" w:hAnsiTheme="majorHAnsi" w:cs="Times New Roman"/>
        </w:rPr>
        <w:t>).</w:t>
      </w:r>
    </w:p>
    <w:p w14:paraId="4228FDA5" w14:textId="77777777" w:rsidR="00AD2898" w:rsidRDefault="00AD2898" w:rsidP="00FE0388">
      <w:pPr>
        <w:autoSpaceDE w:val="0"/>
        <w:autoSpaceDN w:val="0"/>
        <w:adjustRightInd w:val="0"/>
        <w:spacing w:after="0" w:line="240" w:lineRule="auto"/>
        <w:rPr>
          <w:rFonts w:asciiTheme="majorHAnsi" w:hAnsiTheme="majorHAnsi" w:cs="Times New Roman"/>
        </w:rPr>
      </w:pPr>
    </w:p>
    <w:p w14:paraId="7521AFEC" w14:textId="77777777" w:rsidR="001A3992" w:rsidRPr="00D67495" w:rsidRDefault="001A3992" w:rsidP="00FE0388">
      <w:pPr>
        <w:pStyle w:val="Heading2"/>
        <w:spacing w:before="0" w:after="120"/>
      </w:pPr>
      <w:r w:rsidRPr="00D67495">
        <w:t>Preclinical safety data</w:t>
      </w:r>
    </w:p>
    <w:p w14:paraId="2866E4F3" w14:textId="77777777" w:rsidR="001A3992" w:rsidRPr="00D67495" w:rsidRDefault="001A3992" w:rsidP="00FE0388">
      <w:pPr>
        <w:pStyle w:val="Heading3"/>
        <w:spacing w:before="0" w:after="120"/>
        <w:ind w:left="0"/>
      </w:pPr>
      <w:r w:rsidRPr="00D67495">
        <w:t>Genotoxicity</w:t>
      </w:r>
    </w:p>
    <w:p w14:paraId="11DE019F" w14:textId="002818B1" w:rsidR="0079157A" w:rsidRDefault="0079157A" w:rsidP="00FE0388">
      <w:pPr>
        <w:autoSpaceDE w:val="0"/>
        <w:autoSpaceDN w:val="0"/>
        <w:adjustRightInd w:val="0"/>
        <w:spacing w:after="0" w:line="240" w:lineRule="auto"/>
        <w:rPr>
          <w:rFonts w:asciiTheme="majorHAnsi" w:hAnsiTheme="majorHAnsi" w:cs="Times New Roman"/>
        </w:rPr>
      </w:pPr>
      <w:r w:rsidRPr="00D67495">
        <w:rPr>
          <w:rFonts w:asciiTheme="majorHAnsi" w:hAnsiTheme="majorHAnsi" w:cs="Times New Roman"/>
        </w:rPr>
        <w:t xml:space="preserve">Elinzanetant showed no genotoxic potential in a panel of </w:t>
      </w:r>
      <w:r w:rsidRPr="00D67495">
        <w:rPr>
          <w:rFonts w:asciiTheme="majorHAnsi" w:hAnsiTheme="majorHAnsi" w:cs="Times New Roman"/>
          <w:i/>
          <w:iCs/>
        </w:rPr>
        <w:t xml:space="preserve">in vitro </w:t>
      </w:r>
      <w:r w:rsidRPr="00D67495">
        <w:rPr>
          <w:rFonts w:asciiTheme="majorHAnsi" w:hAnsiTheme="majorHAnsi" w:cs="Times New Roman"/>
        </w:rPr>
        <w:t xml:space="preserve">and </w:t>
      </w:r>
      <w:r w:rsidRPr="00D67495">
        <w:rPr>
          <w:rFonts w:asciiTheme="majorHAnsi" w:hAnsiTheme="majorHAnsi" w:cs="Times New Roman"/>
          <w:i/>
          <w:iCs/>
        </w:rPr>
        <w:t xml:space="preserve">in vivo </w:t>
      </w:r>
      <w:r w:rsidRPr="00D67495">
        <w:rPr>
          <w:rFonts w:asciiTheme="majorHAnsi" w:hAnsiTheme="majorHAnsi" w:cs="Times New Roman"/>
        </w:rPr>
        <w:t>genotoxicity</w:t>
      </w:r>
      <w:r w:rsidR="00C553A4">
        <w:rPr>
          <w:rFonts w:asciiTheme="majorHAnsi" w:hAnsiTheme="majorHAnsi" w:cs="Times New Roman"/>
        </w:rPr>
        <w:t xml:space="preserve"> </w:t>
      </w:r>
      <w:r w:rsidRPr="00D67495">
        <w:rPr>
          <w:rFonts w:asciiTheme="majorHAnsi" w:hAnsiTheme="majorHAnsi" w:cs="Times New Roman"/>
        </w:rPr>
        <w:t>tests including a bacterial mutation assay (</w:t>
      </w:r>
      <w:proofErr w:type="gramStart"/>
      <w:r w:rsidRPr="00D67495">
        <w:rPr>
          <w:rFonts w:asciiTheme="majorHAnsi" w:hAnsiTheme="majorHAnsi" w:cs="Times New Roman"/>
        </w:rPr>
        <w:t>Ames</w:t>
      </w:r>
      <w:proofErr w:type="gramEnd"/>
      <w:r w:rsidRPr="00D67495">
        <w:rPr>
          <w:rFonts w:asciiTheme="majorHAnsi" w:hAnsiTheme="majorHAnsi" w:cs="Times New Roman"/>
        </w:rPr>
        <w:t xml:space="preserve"> test), a mouse lymphoma assay, and an </w:t>
      </w:r>
      <w:r w:rsidRPr="00D67495">
        <w:rPr>
          <w:rFonts w:asciiTheme="majorHAnsi" w:hAnsiTheme="majorHAnsi" w:cs="Times New Roman"/>
          <w:i/>
          <w:iCs/>
        </w:rPr>
        <w:t>in</w:t>
      </w:r>
      <w:r w:rsidR="00C553A4">
        <w:rPr>
          <w:rFonts w:asciiTheme="majorHAnsi" w:hAnsiTheme="majorHAnsi" w:cs="Times New Roman"/>
          <w:i/>
          <w:iCs/>
        </w:rPr>
        <w:t xml:space="preserve"> </w:t>
      </w:r>
      <w:r w:rsidRPr="00D67495">
        <w:rPr>
          <w:rFonts w:asciiTheme="majorHAnsi" w:hAnsiTheme="majorHAnsi" w:cs="Times New Roman"/>
          <w:i/>
          <w:iCs/>
        </w:rPr>
        <w:t xml:space="preserve">vivo </w:t>
      </w:r>
      <w:r w:rsidRPr="00D67495">
        <w:rPr>
          <w:rFonts w:asciiTheme="majorHAnsi" w:hAnsiTheme="majorHAnsi" w:cs="Times New Roman"/>
        </w:rPr>
        <w:t>bone marrow micronucleus test in rats. Additionally, the principal human metabolites of</w:t>
      </w:r>
      <w:r w:rsidR="00C553A4">
        <w:rPr>
          <w:rFonts w:asciiTheme="majorHAnsi" w:hAnsiTheme="majorHAnsi" w:cs="Times New Roman"/>
        </w:rPr>
        <w:t xml:space="preserve"> </w:t>
      </w:r>
      <w:proofErr w:type="spellStart"/>
      <w:r w:rsidRPr="00D67495">
        <w:rPr>
          <w:rFonts w:asciiTheme="majorHAnsi" w:hAnsiTheme="majorHAnsi" w:cs="Times New Roman"/>
        </w:rPr>
        <w:t>elinzanetant</w:t>
      </w:r>
      <w:proofErr w:type="spellEnd"/>
      <w:r w:rsidRPr="00D67495">
        <w:rPr>
          <w:rFonts w:asciiTheme="majorHAnsi" w:hAnsiTheme="majorHAnsi" w:cs="Times New Roman"/>
        </w:rPr>
        <w:t xml:space="preserve"> were negative for genotoxicity </w:t>
      </w:r>
      <w:r w:rsidRPr="00D67495">
        <w:rPr>
          <w:rFonts w:asciiTheme="majorHAnsi" w:hAnsiTheme="majorHAnsi" w:cs="Times New Roman"/>
          <w:i/>
          <w:iCs/>
        </w:rPr>
        <w:t xml:space="preserve">in vitro </w:t>
      </w:r>
      <w:r w:rsidRPr="00D67495">
        <w:rPr>
          <w:rFonts w:asciiTheme="majorHAnsi" w:hAnsiTheme="majorHAnsi" w:cs="Times New Roman"/>
        </w:rPr>
        <w:t>in the Ames and micronucleus test.</w:t>
      </w:r>
    </w:p>
    <w:p w14:paraId="11B4FB67" w14:textId="77777777" w:rsidR="0075699F" w:rsidRPr="00D67495" w:rsidRDefault="0075699F" w:rsidP="00FE0388">
      <w:pPr>
        <w:autoSpaceDE w:val="0"/>
        <w:autoSpaceDN w:val="0"/>
        <w:adjustRightInd w:val="0"/>
        <w:spacing w:after="0" w:line="240" w:lineRule="auto"/>
        <w:rPr>
          <w:rFonts w:asciiTheme="majorHAnsi" w:hAnsiTheme="majorHAnsi"/>
        </w:rPr>
      </w:pPr>
    </w:p>
    <w:p w14:paraId="0E6A0DA1" w14:textId="77777777" w:rsidR="001A3992" w:rsidRPr="00D67495" w:rsidRDefault="001A3992" w:rsidP="00FE0388">
      <w:pPr>
        <w:pStyle w:val="Heading3"/>
        <w:spacing w:before="0" w:after="120"/>
        <w:ind w:left="0"/>
      </w:pPr>
      <w:r w:rsidRPr="00D67495">
        <w:t>Carcinogenicity</w:t>
      </w:r>
    </w:p>
    <w:p w14:paraId="75F3E645" w14:textId="0E8E3F23" w:rsidR="00207FC9" w:rsidRDefault="00207FC9" w:rsidP="00FE0388">
      <w:pPr>
        <w:autoSpaceDE w:val="0"/>
        <w:autoSpaceDN w:val="0"/>
        <w:adjustRightInd w:val="0"/>
        <w:spacing w:after="0" w:line="240" w:lineRule="auto"/>
        <w:rPr>
          <w:rFonts w:asciiTheme="majorHAnsi" w:hAnsiTheme="majorHAnsi" w:cs="Times New Roman"/>
        </w:rPr>
      </w:pPr>
      <w:r w:rsidRPr="00207FC9">
        <w:rPr>
          <w:rFonts w:asciiTheme="majorHAnsi" w:hAnsiTheme="majorHAnsi" w:cs="Times New Roman"/>
        </w:rPr>
        <w:t xml:space="preserve">The carcinogenic potential of </w:t>
      </w:r>
      <w:proofErr w:type="spellStart"/>
      <w:r w:rsidRPr="00207FC9">
        <w:rPr>
          <w:rFonts w:asciiTheme="majorHAnsi" w:hAnsiTheme="majorHAnsi" w:cs="Times New Roman"/>
        </w:rPr>
        <w:t>elinzanetant</w:t>
      </w:r>
      <w:proofErr w:type="spellEnd"/>
      <w:r w:rsidRPr="00207FC9">
        <w:rPr>
          <w:rFonts w:asciiTheme="majorHAnsi" w:hAnsiTheme="majorHAnsi" w:cs="Times New Roman"/>
        </w:rPr>
        <w:t xml:space="preserve"> was investigated in a 6-month study in transgenic (</w:t>
      </w:r>
      <w:proofErr w:type="gramStart"/>
      <w:r w:rsidRPr="00207FC9">
        <w:rPr>
          <w:rFonts w:asciiTheme="majorHAnsi" w:hAnsiTheme="majorHAnsi" w:cs="Times New Roman"/>
        </w:rPr>
        <w:t>Tg.rasH</w:t>
      </w:r>
      <w:proofErr w:type="gramEnd"/>
      <w:r w:rsidRPr="00207FC9">
        <w:rPr>
          <w:rFonts w:asciiTheme="majorHAnsi" w:hAnsiTheme="majorHAnsi" w:cs="Times New Roman"/>
        </w:rPr>
        <w:t>2) mice and in a 2-year study in female rats, both conducted by the oral route. Elinzanetant was not carcinogenic in transgenic mice up to the highest dose level tested (85</w:t>
      </w:r>
      <w:r w:rsidR="00BE322F">
        <w:rPr>
          <w:rFonts w:asciiTheme="majorHAnsi" w:hAnsiTheme="majorHAnsi" w:cs="Times New Roman"/>
        </w:rPr>
        <w:t> </w:t>
      </w:r>
      <w:r w:rsidRPr="00207FC9">
        <w:rPr>
          <w:rFonts w:asciiTheme="majorHAnsi" w:hAnsiTheme="majorHAnsi" w:cs="Times New Roman"/>
        </w:rPr>
        <w:t xml:space="preserve">mg/kg/day in males and 70 mg/kg/day in females), yielding exposure to </w:t>
      </w:r>
      <w:proofErr w:type="spellStart"/>
      <w:r w:rsidRPr="00207FC9">
        <w:rPr>
          <w:rFonts w:asciiTheme="majorHAnsi" w:hAnsiTheme="majorHAnsi" w:cs="Times New Roman"/>
        </w:rPr>
        <w:t>elinzanetant</w:t>
      </w:r>
      <w:proofErr w:type="spellEnd"/>
      <w:r w:rsidRPr="00207FC9">
        <w:rPr>
          <w:rFonts w:asciiTheme="majorHAnsi" w:hAnsiTheme="majorHAnsi" w:cs="Times New Roman"/>
        </w:rPr>
        <w:t xml:space="preserve"> [plasma AUC] 3- and 2-times higher in the respective sexes than in patients at the recommended clinical dose of 120 mg/day.</w:t>
      </w:r>
    </w:p>
    <w:p w14:paraId="41DAAD45" w14:textId="77777777" w:rsidR="00477911" w:rsidRDefault="00477911" w:rsidP="00FE0388">
      <w:pPr>
        <w:autoSpaceDE w:val="0"/>
        <w:autoSpaceDN w:val="0"/>
        <w:adjustRightInd w:val="0"/>
        <w:spacing w:after="0" w:line="240" w:lineRule="auto"/>
        <w:rPr>
          <w:rFonts w:asciiTheme="majorHAnsi" w:hAnsiTheme="majorHAnsi" w:cs="Times New Roman"/>
        </w:rPr>
      </w:pPr>
    </w:p>
    <w:p w14:paraId="4996D3FB" w14:textId="2213D6C8" w:rsidR="006B3E3B" w:rsidRPr="00D67495" w:rsidRDefault="00207FC9" w:rsidP="00FE0388">
      <w:pPr>
        <w:autoSpaceDE w:val="0"/>
        <w:autoSpaceDN w:val="0"/>
        <w:adjustRightInd w:val="0"/>
        <w:spacing w:after="0" w:line="240" w:lineRule="auto"/>
        <w:rPr>
          <w:rFonts w:asciiTheme="majorHAnsi" w:hAnsiTheme="majorHAnsi" w:cs="Times New Roman"/>
        </w:rPr>
      </w:pPr>
      <w:r w:rsidRPr="00207FC9">
        <w:rPr>
          <w:rFonts w:asciiTheme="majorHAnsi" w:hAnsiTheme="majorHAnsi" w:cs="Times New Roman"/>
        </w:rPr>
        <w:t xml:space="preserve">A treatment-related increase in uterine neoplasms (endometrial adenocarcinoma and squamous cell carcinoma) and malignant lymphoma was observed with </w:t>
      </w:r>
      <w:proofErr w:type="spellStart"/>
      <w:r w:rsidRPr="00207FC9">
        <w:rPr>
          <w:rFonts w:asciiTheme="majorHAnsi" w:hAnsiTheme="majorHAnsi" w:cs="Times New Roman"/>
        </w:rPr>
        <w:t>elinzanetant</w:t>
      </w:r>
      <w:proofErr w:type="spellEnd"/>
      <w:r w:rsidRPr="00207FC9">
        <w:rPr>
          <w:rFonts w:asciiTheme="majorHAnsi" w:hAnsiTheme="majorHAnsi" w:cs="Times New Roman"/>
        </w:rPr>
        <w:t xml:space="preserve"> in rats</w:t>
      </w:r>
      <w:r w:rsidR="006B3E3B" w:rsidRPr="00D67495">
        <w:rPr>
          <w:rFonts w:asciiTheme="majorHAnsi" w:hAnsiTheme="majorHAnsi" w:cs="Times New Roman"/>
        </w:rPr>
        <w:t>. The findings were seen at a dose equal to or greater than 60</w:t>
      </w:r>
      <w:r w:rsidR="00477911">
        <w:rPr>
          <w:rFonts w:asciiTheme="majorHAnsi" w:hAnsiTheme="majorHAnsi" w:cs="Times New Roman"/>
        </w:rPr>
        <w:t> </w:t>
      </w:r>
      <w:r w:rsidR="006B3E3B" w:rsidRPr="00D67495">
        <w:rPr>
          <w:rFonts w:asciiTheme="majorHAnsi" w:hAnsiTheme="majorHAnsi" w:cs="Times New Roman"/>
        </w:rPr>
        <w:t xml:space="preserve">mg/kg/day representing at least 29-fold the total AUC at the human therapeutic </w:t>
      </w:r>
      <w:proofErr w:type="gramStart"/>
      <w:r w:rsidR="006B3E3B" w:rsidRPr="00D67495">
        <w:rPr>
          <w:rFonts w:asciiTheme="majorHAnsi" w:hAnsiTheme="majorHAnsi" w:cs="Times New Roman"/>
        </w:rPr>
        <w:t>dose, and</w:t>
      </w:r>
      <w:proofErr w:type="gramEnd"/>
      <w:r w:rsidR="006B3E3B" w:rsidRPr="00D67495">
        <w:rPr>
          <w:rFonts w:asciiTheme="majorHAnsi" w:hAnsiTheme="majorHAnsi" w:cs="Times New Roman"/>
        </w:rPr>
        <w:t xml:space="preserve"> are thus not considered </w:t>
      </w:r>
      <w:r w:rsidR="00875D43" w:rsidRPr="00875D43">
        <w:rPr>
          <w:rFonts w:asciiTheme="majorHAnsi" w:hAnsiTheme="majorHAnsi" w:cs="Times New Roman"/>
        </w:rPr>
        <w:t xml:space="preserve">to indicate that </w:t>
      </w:r>
      <w:proofErr w:type="spellStart"/>
      <w:r w:rsidR="00875D43" w:rsidRPr="00875D43">
        <w:rPr>
          <w:rFonts w:asciiTheme="majorHAnsi" w:hAnsiTheme="majorHAnsi" w:cs="Times New Roman"/>
        </w:rPr>
        <w:t>elinzanetant</w:t>
      </w:r>
      <w:proofErr w:type="spellEnd"/>
      <w:r w:rsidR="00875D43" w:rsidRPr="00875D43">
        <w:rPr>
          <w:rFonts w:asciiTheme="majorHAnsi" w:hAnsiTheme="majorHAnsi" w:cs="Times New Roman"/>
        </w:rPr>
        <w:t xml:space="preserve"> poses a particular carcinogenic risk to patients</w:t>
      </w:r>
      <w:r w:rsidR="006B3E3B" w:rsidRPr="00D67495">
        <w:rPr>
          <w:rFonts w:asciiTheme="majorHAnsi" w:hAnsiTheme="majorHAnsi" w:cs="Times New Roman"/>
        </w:rPr>
        <w:t>. These effects were not observed at a dose</w:t>
      </w:r>
      <w:r w:rsidR="00D06362">
        <w:rPr>
          <w:rFonts w:asciiTheme="majorHAnsi" w:hAnsiTheme="majorHAnsi" w:cs="Times New Roman"/>
        </w:rPr>
        <w:t xml:space="preserve"> </w:t>
      </w:r>
      <w:r w:rsidR="006B3E3B" w:rsidRPr="00D67495">
        <w:rPr>
          <w:rFonts w:asciiTheme="majorHAnsi" w:hAnsiTheme="majorHAnsi" w:cs="Times New Roman"/>
        </w:rPr>
        <w:t>representing 7-fold the total AUC at the human therapeutic dose. The increased incidence of uterine neoplasms in aged rats undergoing reproductive senescence with pronounced body weight reduction resembles effects observed in dietary restriction studies in rats and chronic, drug-induced hypoprolactin</w:t>
      </w:r>
      <w:r w:rsidR="00825694">
        <w:rPr>
          <w:rFonts w:asciiTheme="majorHAnsi" w:hAnsiTheme="majorHAnsi" w:cs="Times New Roman"/>
        </w:rPr>
        <w:t>a</w:t>
      </w:r>
      <w:r w:rsidR="006B3E3B" w:rsidRPr="00D67495">
        <w:rPr>
          <w:rFonts w:asciiTheme="majorHAnsi" w:hAnsiTheme="majorHAnsi" w:cs="Times New Roman"/>
        </w:rPr>
        <w:t xml:space="preserve">emia, a rat-specific mode of action, which is not relevant for humans. </w:t>
      </w:r>
    </w:p>
    <w:p w14:paraId="212C4DB3" w14:textId="77777777" w:rsidR="006B3E3B" w:rsidRPr="00D67495" w:rsidRDefault="006B3E3B" w:rsidP="00FE0388">
      <w:pPr>
        <w:autoSpaceDE w:val="0"/>
        <w:autoSpaceDN w:val="0"/>
        <w:adjustRightInd w:val="0"/>
        <w:spacing w:after="0" w:line="240" w:lineRule="auto"/>
        <w:rPr>
          <w:rFonts w:asciiTheme="majorHAnsi" w:hAnsiTheme="majorHAnsi" w:cs="Times New Roman"/>
        </w:rPr>
      </w:pPr>
    </w:p>
    <w:p w14:paraId="3A75BF4B" w14:textId="3B6CAD27" w:rsidR="00D461B3" w:rsidRDefault="00D461B3" w:rsidP="00FE0388">
      <w:pPr>
        <w:pStyle w:val="Heading3"/>
        <w:ind w:left="0"/>
      </w:pPr>
      <w:r>
        <w:lastRenderedPageBreak/>
        <w:t>Phototoxicity</w:t>
      </w:r>
    </w:p>
    <w:p w14:paraId="01A8BA66" w14:textId="19D1EFA6" w:rsidR="00D461B3" w:rsidRPr="00D461B3" w:rsidRDefault="00D461B3" w:rsidP="00FE0388">
      <w:pPr>
        <w:rPr>
          <w:rFonts w:asciiTheme="majorHAnsi" w:hAnsiTheme="majorHAnsi" w:cs="Times New Roman"/>
        </w:rPr>
      </w:pPr>
      <w:r w:rsidRPr="00D461B3">
        <w:rPr>
          <w:rFonts w:asciiTheme="majorHAnsi" w:hAnsiTheme="majorHAnsi" w:cs="Times New Roman"/>
        </w:rPr>
        <w:t xml:space="preserve">Elinzanetant binds to melanin and absorbs light in the visible part of the spectrum. Phototoxicity was seen in vitro at a concentration of 316 ng/mL, yielding 67-times the unbound clinical </w:t>
      </w:r>
      <w:proofErr w:type="spellStart"/>
      <w:r w:rsidRPr="00D461B3">
        <w:rPr>
          <w:rFonts w:asciiTheme="majorHAnsi" w:hAnsiTheme="majorHAnsi" w:cs="Times New Roman"/>
        </w:rPr>
        <w:t>C</w:t>
      </w:r>
      <w:r w:rsidRPr="00D461B3">
        <w:rPr>
          <w:rFonts w:asciiTheme="majorHAnsi" w:hAnsiTheme="majorHAnsi" w:cs="Times New Roman"/>
          <w:vertAlign w:val="subscript"/>
        </w:rPr>
        <w:t>max</w:t>
      </w:r>
      <w:proofErr w:type="spellEnd"/>
      <w:r w:rsidRPr="00D461B3">
        <w:rPr>
          <w:rFonts w:asciiTheme="majorHAnsi" w:hAnsiTheme="majorHAnsi" w:cs="Times New Roman"/>
        </w:rPr>
        <w:t xml:space="preserve"> at the clinical dose of 120 mg/day. No phototoxicity was seen at the next lowest concentration (100 ng/mL; 21-times the unbound clinical </w:t>
      </w:r>
      <w:proofErr w:type="spellStart"/>
      <w:r w:rsidRPr="00D461B3">
        <w:rPr>
          <w:rFonts w:asciiTheme="majorHAnsi" w:hAnsiTheme="majorHAnsi" w:cs="Times New Roman"/>
        </w:rPr>
        <w:t>C</w:t>
      </w:r>
      <w:r w:rsidRPr="00D461B3">
        <w:rPr>
          <w:rFonts w:asciiTheme="majorHAnsi" w:hAnsiTheme="majorHAnsi" w:cs="Times New Roman"/>
          <w:vertAlign w:val="subscript"/>
        </w:rPr>
        <w:t>max</w:t>
      </w:r>
      <w:proofErr w:type="spellEnd"/>
      <w:r w:rsidRPr="00D461B3">
        <w:rPr>
          <w:rFonts w:asciiTheme="majorHAnsi" w:hAnsiTheme="majorHAnsi" w:cs="Times New Roman"/>
        </w:rPr>
        <w:t xml:space="preserve"> at the clinical dose of 120 mg/day). Clinical relevance is unknown but cannot be excluded.</w:t>
      </w:r>
    </w:p>
    <w:p w14:paraId="6E3C4D49" w14:textId="77777777" w:rsidR="00D461B3" w:rsidRPr="00D67495" w:rsidRDefault="00D461B3" w:rsidP="00FE0388">
      <w:pPr>
        <w:autoSpaceDE w:val="0"/>
        <w:autoSpaceDN w:val="0"/>
        <w:adjustRightInd w:val="0"/>
        <w:spacing w:after="0" w:line="240" w:lineRule="auto"/>
        <w:ind w:left="284"/>
        <w:rPr>
          <w:rFonts w:asciiTheme="majorHAnsi" w:hAnsiTheme="majorHAnsi" w:cs="Times New Roman"/>
        </w:rPr>
      </w:pPr>
    </w:p>
    <w:p w14:paraId="15999AAE" w14:textId="77777777" w:rsidR="001A3992" w:rsidRPr="00D67495" w:rsidRDefault="001A3992" w:rsidP="00FE0388">
      <w:pPr>
        <w:pStyle w:val="Heading1"/>
        <w:spacing w:before="0" w:after="120"/>
      </w:pPr>
      <w:r w:rsidRPr="00D67495">
        <w:t>Pharmaceutical particulars</w:t>
      </w:r>
    </w:p>
    <w:p w14:paraId="40CFB9BC" w14:textId="77777777" w:rsidR="005B2812" w:rsidRPr="00D67495" w:rsidRDefault="005B2812" w:rsidP="00FE0388">
      <w:pPr>
        <w:pStyle w:val="Heading2"/>
        <w:spacing w:before="0" w:after="120"/>
        <w:rPr>
          <w:rFonts w:cstheme="minorHAnsi"/>
        </w:rPr>
      </w:pPr>
      <w:bookmarkStart w:id="5" w:name="_Ref171429360"/>
      <w:r w:rsidRPr="00D67495">
        <w:rPr>
          <w:rFonts w:cstheme="minorHAnsi"/>
        </w:rPr>
        <w:t>List of excipients</w:t>
      </w:r>
      <w:bookmarkEnd w:id="5"/>
      <w:r w:rsidRPr="00D67495">
        <w:rPr>
          <w:rFonts w:cstheme="minorHAnsi"/>
        </w:rPr>
        <w:t xml:space="preserve"> </w:t>
      </w:r>
    </w:p>
    <w:p w14:paraId="5033EDB5" w14:textId="66C0AF2E" w:rsidR="001A62E5" w:rsidRPr="00D67495" w:rsidRDefault="001A62E5" w:rsidP="00FE0388">
      <w:pPr>
        <w:spacing w:after="0"/>
        <w:rPr>
          <w:rFonts w:asciiTheme="majorHAnsi" w:hAnsiTheme="majorHAnsi"/>
          <w:u w:val="single"/>
        </w:rPr>
      </w:pPr>
      <w:r w:rsidRPr="00D67495">
        <w:rPr>
          <w:rFonts w:asciiTheme="majorHAnsi" w:hAnsiTheme="majorHAnsi"/>
          <w:u w:val="single"/>
        </w:rPr>
        <w:t>Capsule filling</w:t>
      </w:r>
    </w:p>
    <w:p w14:paraId="4CC71041" w14:textId="04116940" w:rsidR="004C4731" w:rsidRPr="00A54839" w:rsidRDefault="00ED00E7" w:rsidP="00FE0388">
      <w:pPr>
        <w:spacing w:after="0"/>
        <w:rPr>
          <w:rFonts w:asciiTheme="majorHAnsi" w:hAnsiTheme="majorHAnsi" w:cs="Arial"/>
        </w:rPr>
      </w:pPr>
      <w:r w:rsidRPr="00D67495">
        <w:rPr>
          <w:rFonts w:asciiTheme="majorHAnsi" w:hAnsiTheme="majorHAnsi" w:cs="Arial"/>
        </w:rPr>
        <w:t>dl-alpha-tocopherol</w:t>
      </w:r>
    </w:p>
    <w:p w14:paraId="0CD27B10" w14:textId="4BF39CCF" w:rsidR="001A62E5" w:rsidRPr="00D67495" w:rsidRDefault="001A62E5" w:rsidP="00FE0388">
      <w:pPr>
        <w:spacing w:after="0"/>
        <w:rPr>
          <w:rFonts w:asciiTheme="majorHAnsi" w:hAnsiTheme="majorHAnsi"/>
        </w:rPr>
      </w:pPr>
      <w:proofErr w:type="spellStart"/>
      <w:r w:rsidRPr="00D67495">
        <w:rPr>
          <w:rFonts w:asciiTheme="majorHAnsi" w:hAnsiTheme="majorHAnsi"/>
        </w:rPr>
        <w:t>Caprylocaproyl</w:t>
      </w:r>
      <w:proofErr w:type="spellEnd"/>
      <w:r w:rsidRPr="00D67495">
        <w:rPr>
          <w:rFonts w:asciiTheme="majorHAnsi" w:hAnsiTheme="majorHAnsi"/>
        </w:rPr>
        <w:t xml:space="preserve"> </w:t>
      </w:r>
      <w:proofErr w:type="spellStart"/>
      <w:r w:rsidRPr="00D67495">
        <w:rPr>
          <w:rFonts w:asciiTheme="majorHAnsi" w:hAnsiTheme="majorHAnsi"/>
        </w:rPr>
        <w:t>macrogolglycerides</w:t>
      </w:r>
      <w:proofErr w:type="spellEnd"/>
    </w:p>
    <w:p w14:paraId="01C7C4B2" w14:textId="5E9DC3E3" w:rsidR="001A62E5" w:rsidRPr="00D67495" w:rsidRDefault="001A62E5" w:rsidP="00FE0388">
      <w:pPr>
        <w:spacing w:after="0"/>
        <w:rPr>
          <w:rFonts w:asciiTheme="majorHAnsi" w:hAnsiTheme="majorHAnsi"/>
        </w:rPr>
      </w:pPr>
      <w:r w:rsidRPr="00D67495">
        <w:rPr>
          <w:rFonts w:asciiTheme="majorHAnsi" w:hAnsiTheme="majorHAnsi"/>
        </w:rPr>
        <w:t>Glycer</w:t>
      </w:r>
      <w:r w:rsidR="00010CF0">
        <w:rPr>
          <w:rFonts w:asciiTheme="majorHAnsi" w:hAnsiTheme="majorHAnsi"/>
        </w:rPr>
        <w:t>y</w:t>
      </w:r>
      <w:r w:rsidRPr="00D67495">
        <w:rPr>
          <w:rFonts w:asciiTheme="majorHAnsi" w:hAnsiTheme="majorHAnsi"/>
        </w:rPr>
        <w:t xml:space="preserve">l </w:t>
      </w:r>
      <w:r w:rsidR="00010CF0" w:rsidRPr="00010CF0">
        <w:rPr>
          <w:rFonts w:asciiTheme="majorHAnsi" w:hAnsiTheme="majorHAnsi"/>
        </w:rPr>
        <w:t xml:space="preserve">mono and </w:t>
      </w:r>
      <w:proofErr w:type="spellStart"/>
      <w:r w:rsidR="00010CF0" w:rsidRPr="00010CF0">
        <w:rPr>
          <w:rFonts w:asciiTheme="majorHAnsi" w:hAnsiTheme="majorHAnsi"/>
        </w:rPr>
        <w:t>dicaprylocaprate</w:t>
      </w:r>
      <w:proofErr w:type="spellEnd"/>
    </w:p>
    <w:p w14:paraId="67D196C3" w14:textId="33CAD643" w:rsidR="001A62E5" w:rsidRPr="00D67495" w:rsidRDefault="001A62E5" w:rsidP="00FE0388">
      <w:pPr>
        <w:spacing w:after="0"/>
        <w:rPr>
          <w:rFonts w:asciiTheme="majorHAnsi" w:hAnsiTheme="majorHAnsi"/>
        </w:rPr>
      </w:pPr>
      <w:r w:rsidRPr="00D67495">
        <w:rPr>
          <w:rFonts w:asciiTheme="majorHAnsi" w:hAnsiTheme="majorHAnsi"/>
        </w:rPr>
        <w:t>Glycer</w:t>
      </w:r>
      <w:r w:rsidR="00010CF0">
        <w:rPr>
          <w:rFonts w:asciiTheme="majorHAnsi" w:hAnsiTheme="majorHAnsi"/>
        </w:rPr>
        <w:t>y</w:t>
      </w:r>
      <w:r w:rsidRPr="00D67495">
        <w:rPr>
          <w:rFonts w:asciiTheme="majorHAnsi" w:hAnsiTheme="majorHAnsi"/>
        </w:rPr>
        <w:t>l monooleate</w:t>
      </w:r>
    </w:p>
    <w:p w14:paraId="6E919639" w14:textId="77777777" w:rsidR="001A62E5" w:rsidRPr="00D67495" w:rsidRDefault="001A62E5" w:rsidP="00FE0388">
      <w:pPr>
        <w:spacing w:after="0"/>
        <w:rPr>
          <w:rFonts w:asciiTheme="majorHAnsi" w:hAnsiTheme="majorHAnsi"/>
        </w:rPr>
      </w:pPr>
      <w:r w:rsidRPr="00D67495">
        <w:rPr>
          <w:rFonts w:asciiTheme="majorHAnsi" w:hAnsiTheme="majorHAnsi"/>
        </w:rPr>
        <w:t>Polysorbate 80</w:t>
      </w:r>
    </w:p>
    <w:p w14:paraId="623D0250" w14:textId="77777777" w:rsidR="001A62E5" w:rsidRPr="00D67495" w:rsidRDefault="001A62E5" w:rsidP="00FE0388">
      <w:pPr>
        <w:spacing w:after="0"/>
        <w:rPr>
          <w:rFonts w:asciiTheme="majorHAnsi" w:hAnsiTheme="majorHAnsi"/>
        </w:rPr>
      </w:pPr>
    </w:p>
    <w:p w14:paraId="51FA0A4F" w14:textId="090D5DC4" w:rsidR="001A62E5" w:rsidRPr="00D67495" w:rsidRDefault="001A62E5" w:rsidP="00FE0388">
      <w:pPr>
        <w:spacing w:after="0"/>
        <w:rPr>
          <w:rFonts w:asciiTheme="majorHAnsi" w:hAnsiTheme="majorHAnsi"/>
          <w:u w:val="single"/>
        </w:rPr>
      </w:pPr>
      <w:r w:rsidRPr="00D67495">
        <w:rPr>
          <w:rFonts w:asciiTheme="majorHAnsi" w:hAnsiTheme="majorHAnsi"/>
          <w:u w:val="single"/>
        </w:rPr>
        <w:t>Capsule shell</w:t>
      </w:r>
    </w:p>
    <w:p w14:paraId="006A4834" w14:textId="078A9B4A" w:rsidR="001A62E5" w:rsidRPr="00D67495" w:rsidRDefault="001A62E5" w:rsidP="00FE0388">
      <w:pPr>
        <w:spacing w:after="0"/>
        <w:rPr>
          <w:rFonts w:asciiTheme="majorHAnsi" w:hAnsiTheme="majorHAnsi"/>
        </w:rPr>
      </w:pPr>
      <w:proofErr w:type="spellStart"/>
      <w:r w:rsidRPr="00D67495">
        <w:rPr>
          <w:rFonts w:asciiTheme="majorHAnsi" w:hAnsiTheme="majorHAnsi"/>
        </w:rPr>
        <w:t>Gelatin</w:t>
      </w:r>
      <w:proofErr w:type="spellEnd"/>
    </w:p>
    <w:p w14:paraId="08609BA8" w14:textId="5AB8B22D" w:rsidR="001A62E5" w:rsidRDefault="00FF7205" w:rsidP="00FE0388">
      <w:pPr>
        <w:spacing w:after="0"/>
        <w:rPr>
          <w:rFonts w:asciiTheme="majorHAnsi" w:hAnsiTheme="majorHAnsi"/>
        </w:rPr>
      </w:pPr>
      <w:r>
        <w:rPr>
          <w:rFonts w:asciiTheme="majorHAnsi" w:hAnsiTheme="majorHAnsi"/>
        </w:rPr>
        <w:t>P</w:t>
      </w:r>
      <w:r w:rsidRPr="00FF7205">
        <w:rPr>
          <w:rFonts w:asciiTheme="majorHAnsi" w:hAnsiTheme="majorHAnsi"/>
        </w:rPr>
        <w:t>artially dehydrated liquid sorbitol</w:t>
      </w:r>
    </w:p>
    <w:p w14:paraId="31470EA8" w14:textId="159EC184" w:rsidR="0095135F" w:rsidRPr="00D67495" w:rsidRDefault="0095135F" w:rsidP="00FE0388">
      <w:pPr>
        <w:spacing w:after="0"/>
        <w:rPr>
          <w:rFonts w:asciiTheme="majorHAnsi" w:hAnsiTheme="majorHAnsi"/>
          <w:i/>
          <w:iCs/>
        </w:rPr>
      </w:pPr>
      <w:r>
        <w:rPr>
          <w:rFonts w:asciiTheme="majorHAnsi" w:hAnsiTheme="majorHAnsi"/>
        </w:rPr>
        <w:t>Glycerol</w:t>
      </w:r>
    </w:p>
    <w:p w14:paraId="7D402850" w14:textId="77777777" w:rsidR="001A62E5" w:rsidRPr="00D67495" w:rsidRDefault="001A62E5" w:rsidP="00FE0388">
      <w:pPr>
        <w:spacing w:after="0"/>
        <w:rPr>
          <w:rFonts w:asciiTheme="majorHAnsi" w:hAnsiTheme="majorHAnsi"/>
        </w:rPr>
      </w:pPr>
      <w:r w:rsidRPr="00D67495">
        <w:rPr>
          <w:rFonts w:asciiTheme="majorHAnsi" w:hAnsiTheme="majorHAnsi"/>
        </w:rPr>
        <w:t>Iron oxide red</w:t>
      </w:r>
    </w:p>
    <w:p w14:paraId="215777D1" w14:textId="77777777" w:rsidR="001A62E5" w:rsidRPr="00D67495" w:rsidRDefault="001A62E5" w:rsidP="00FE0388">
      <w:pPr>
        <w:spacing w:after="0"/>
        <w:rPr>
          <w:rFonts w:asciiTheme="majorHAnsi" w:hAnsiTheme="majorHAnsi"/>
        </w:rPr>
      </w:pPr>
      <w:r w:rsidRPr="00D67495">
        <w:rPr>
          <w:rFonts w:asciiTheme="majorHAnsi" w:hAnsiTheme="majorHAnsi"/>
        </w:rPr>
        <w:t>Iron oxide yellow</w:t>
      </w:r>
    </w:p>
    <w:p w14:paraId="339C5AA1" w14:textId="77777777" w:rsidR="001A62E5" w:rsidRPr="00D67495" w:rsidRDefault="001A62E5" w:rsidP="00FE0388">
      <w:pPr>
        <w:spacing w:after="0"/>
        <w:rPr>
          <w:rFonts w:asciiTheme="majorHAnsi" w:hAnsiTheme="majorHAnsi"/>
        </w:rPr>
      </w:pPr>
      <w:r w:rsidRPr="00D67495">
        <w:rPr>
          <w:rFonts w:asciiTheme="majorHAnsi" w:hAnsiTheme="majorHAnsi"/>
        </w:rPr>
        <w:t>Titanium dioxide</w:t>
      </w:r>
    </w:p>
    <w:p w14:paraId="5A869A4A" w14:textId="2019009B" w:rsidR="001A62E5" w:rsidRPr="00D67495" w:rsidRDefault="005012C9" w:rsidP="00FE0388">
      <w:pPr>
        <w:rPr>
          <w:rFonts w:asciiTheme="majorHAnsi" w:hAnsiTheme="majorHAnsi"/>
        </w:rPr>
      </w:pPr>
      <w:proofErr w:type="spellStart"/>
      <w:r w:rsidRPr="005012C9">
        <w:rPr>
          <w:rFonts w:asciiTheme="majorHAnsi" w:hAnsiTheme="majorHAnsi"/>
        </w:rPr>
        <w:t>Opacode</w:t>
      </w:r>
      <w:proofErr w:type="spellEnd"/>
      <w:r w:rsidRPr="005012C9">
        <w:rPr>
          <w:rFonts w:asciiTheme="majorHAnsi" w:hAnsiTheme="majorHAnsi"/>
        </w:rPr>
        <w:t xml:space="preserve"> WB water based Monogramming Ink NSP-78-18022 White</w:t>
      </w:r>
    </w:p>
    <w:p w14:paraId="57704988" w14:textId="77777777" w:rsidR="005B2812" w:rsidRPr="00D67495" w:rsidRDefault="005B2812" w:rsidP="00FE0388">
      <w:pPr>
        <w:pStyle w:val="Heading2"/>
        <w:keepNext/>
        <w:keepLines/>
        <w:spacing w:before="0" w:after="120"/>
        <w:rPr>
          <w:rFonts w:cstheme="minorHAnsi"/>
        </w:rPr>
      </w:pPr>
      <w:r w:rsidRPr="00D67495">
        <w:rPr>
          <w:rFonts w:cstheme="minorHAnsi"/>
        </w:rPr>
        <w:t xml:space="preserve">Incompatibilities </w:t>
      </w:r>
    </w:p>
    <w:p w14:paraId="09C1B9F4" w14:textId="69402B99" w:rsidR="005B2812" w:rsidRPr="00D67495" w:rsidRDefault="007D15CB" w:rsidP="00FE0388">
      <w:pPr>
        <w:rPr>
          <w:rFonts w:asciiTheme="majorHAnsi" w:hAnsiTheme="majorHAnsi" w:cstheme="minorHAnsi"/>
        </w:rPr>
      </w:pPr>
      <w:r>
        <w:rPr>
          <w:rFonts w:asciiTheme="majorHAnsi" w:hAnsiTheme="majorHAnsi" w:cstheme="minorHAnsi"/>
        </w:rPr>
        <w:t>Not applicable</w:t>
      </w:r>
    </w:p>
    <w:p w14:paraId="68078D6B" w14:textId="77777777" w:rsidR="005B2812" w:rsidRPr="00D67495" w:rsidRDefault="005B2812" w:rsidP="00FE0388">
      <w:pPr>
        <w:pStyle w:val="Heading2"/>
        <w:spacing w:before="0" w:after="120"/>
        <w:rPr>
          <w:rFonts w:cstheme="minorHAnsi"/>
        </w:rPr>
      </w:pPr>
      <w:r w:rsidRPr="00D67495">
        <w:rPr>
          <w:rFonts w:cstheme="minorHAnsi"/>
        </w:rPr>
        <w:t xml:space="preserve">Shelf life </w:t>
      </w:r>
    </w:p>
    <w:p w14:paraId="04C94287" w14:textId="5B3AC2C6" w:rsidR="005B2812" w:rsidRPr="00D67495" w:rsidRDefault="005B2812" w:rsidP="00FE0388">
      <w:pPr>
        <w:rPr>
          <w:rFonts w:asciiTheme="majorHAnsi" w:hAnsiTheme="majorHAnsi" w:cstheme="minorHAnsi"/>
        </w:rPr>
      </w:pPr>
      <w:r w:rsidRPr="00D67495">
        <w:rPr>
          <w:rFonts w:asciiTheme="majorHAnsi" w:hAnsiTheme="majorHAnsi" w:cstheme="minorHAnsi"/>
        </w:rPr>
        <w:t xml:space="preserve">In Australia, information on the shelf life can be found on the public summary of the Australian Register of Therapeutic Goods (ARTG). The expiry date can be found on the packaging. </w:t>
      </w:r>
    </w:p>
    <w:p w14:paraId="3809E3CD" w14:textId="77777777" w:rsidR="005B2812" w:rsidRPr="00D67495" w:rsidRDefault="005B2812" w:rsidP="00FE0388">
      <w:pPr>
        <w:pStyle w:val="Heading2"/>
        <w:keepNext/>
        <w:keepLines/>
        <w:spacing w:before="0" w:after="120"/>
        <w:rPr>
          <w:rFonts w:cstheme="minorHAnsi"/>
        </w:rPr>
      </w:pPr>
      <w:r w:rsidRPr="00D67495">
        <w:rPr>
          <w:rFonts w:cstheme="minorHAnsi"/>
        </w:rPr>
        <w:t xml:space="preserve">Special precautions for storage </w:t>
      </w:r>
    </w:p>
    <w:p w14:paraId="71318D7B" w14:textId="51E85EEA" w:rsidR="0059154D" w:rsidRPr="00D67495" w:rsidRDefault="0059154D" w:rsidP="00FE0388">
      <w:pPr>
        <w:rPr>
          <w:rFonts w:asciiTheme="majorHAnsi" w:hAnsiTheme="majorHAnsi"/>
        </w:rPr>
      </w:pPr>
      <w:r w:rsidRPr="00D67495">
        <w:rPr>
          <w:rFonts w:asciiTheme="majorHAnsi" w:hAnsiTheme="majorHAnsi"/>
        </w:rPr>
        <w:t xml:space="preserve">Store below </w:t>
      </w:r>
      <w:r w:rsidR="00ED00E7" w:rsidRPr="00D67495">
        <w:rPr>
          <w:rFonts w:asciiTheme="majorHAnsi" w:hAnsiTheme="majorHAnsi"/>
        </w:rPr>
        <w:t>25</w:t>
      </w:r>
      <w:r w:rsidRPr="00D67495">
        <w:rPr>
          <w:rFonts w:asciiTheme="majorHAnsi" w:eastAsia="Symbol" w:hAnsiTheme="majorHAnsi" w:cs="Symbol"/>
        </w:rPr>
        <w:t>°</w:t>
      </w:r>
      <w:r w:rsidRPr="00D67495">
        <w:rPr>
          <w:rFonts w:asciiTheme="majorHAnsi" w:hAnsiTheme="majorHAnsi"/>
        </w:rPr>
        <w:t xml:space="preserve">C. Store capsules in original pack until required. </w:t>
      </w:r>
    </w:p>
    <w:p w14:paraId="6E74F022" w14:textId="77777777" w:rsidR="005B2812" w:rsidRPr="00D67495" w:rsidRDefault="005B2812" w:rsidP="00FE0388">
      <w:pPr>
        <w:pStyle w:val="Heading2"/>
        <w:spacing w:before="0" w:after="120"/>
        <w:rPr>
          <w:rFonts w:cstheme="minorHAnsi"/>
        </w:rPr>
      </w:pPr>
      <w:r w:rsidRPr="00D67495">
        <w:rPr>
          <w:rFonts w:cstheme="minorHAnsi"/>
        </w:rPr>
        <w:t xml:space="preserve">Nature and contents of container </w:t>
      </w:r>
    </w:p>
    <w:p w14:paraId="0CB677B6" w14:textId="444E67B2" w:rsidR="00AF4349" w:rsidRDefault="00AF4349" w:rsidP="00FE0388">
      <w:pPr>
        <w:rPr>
          <w:rFonts w:asciiTheme="majorHAnsi" w:hAnsiTheme="majorHAnsi"/>
        </w:rPr>
      </w:pPr>
      <w:r w:rsidRPr="00D67495">
        <w:rPr>
          <w:rFonts w:asciiTheme="majorHAnsi" w:hAnsiTheme="majorHAnsi"/>
        </w:rPr>
        <w:t xml:space="preserve">The capsules are packed in </w:t>
      </w:r>
      <w:r w:rsidR="00C17814" w:rsidRPr="00D67495">
        <w:rPr>
          <w:rFonts w:asciiTheme="majorHAnsi" w:hAnsiTheme="majorHAnsi"/>
        </w:rPr>
        <w:t xml:space="preserve">Alu/ </w:t>
      </w:r>
      <w:proofErr w:type="spellStart"/>
      <w:r w:rsidR="00C17814" w:rsidRPr="00D67495">
        <w:rPr>
          <w:rFonts w:asciiTheme="majorHAnsi" w:hAnsiTheme="majorHAnsi"/>
        </w:rPr>
        <w:t>Aclar</w:t>
      </w:r>
      <w:proofErr w:type="spellEnd"/>
      <w:r w:rsidR="00C17814" w:rsidRPr="00D67495">
        <w:rPr>
          <w:rFonts w:asciiTheme="majorHAnsi" w:hAnsiTheme="majorHAnsi"/>
        </w:rPr>
        <w:t xml:space="preserve"> blister</w:t>
      </w:r>
      <w:r w:rsidR="00B14FDE">
        <w:rPr>
          <w:rFonts w:asciiTheme="majorHAnsi" w:hAnsiTheme="majorHAnsi"/>
        </w:rPr>
        <w:t>s.</w:t>
      </w:r>
    </w:p>
    <w:p w14:paraId="72B996C2" w14:textId="53FE6772" w:rsidR="00580B6D" w:rsidRDefault="00580B6D" w:rsidP="00FE0388">
      <w:pPr>
        <w:rPr>
          <w:rFonts w:asciiTheme="majorHAnsi" w:hAnsiTheme="majorHAnsi"/>
        </w:rPr>
      </w:pPr>
      <w:r w:rsidRPr="44F44DB2">
        <w:rPr>
          <w:rFonts w:asciiTheme="majorHAnsi" w:hAnsiTheme="majorHAnsi"/>
        </w:rPr>
        <w:t>Pack sizes: 2</w:t>
      </w:r>
      <w:r w:rsidR="07D7D93B" w:rsidRPr="44F44DB2">
        <w:rPr>
          <w:rFonts w:asciiTheme="majorHAnsi" w:hAnsiTheme="majorHAnsi"/>
        </w:rPr>
        <w:t>4</w:t>
      </w:r>
      <w:r w:rsidR="006D2834">
        <w:rPr>
          <w:rFonts w:asciiTheme="majorHAnsi" w:hAnsiTheme="majorHAnsi"/>
        </w:rPr>
        <w:t xml:space="preserve"> (sample)</w:t>
      </w:r>
      <w:r w:rsidRPr="44F44DB2">
        <w:rPr>
          <w:rFonts w:asciiTheme="majorHAnsi" w:hAnsiTheme="majorHAnsi"/>
        </w:rPr>
        <w:t>, 60</w:t>
      </w:r>
      <w:r w:rsidR="00F34F52">
        <w:rPr>
          <w:rFonts w:asciiTheme="majorHAnsi" w:hAnsiTheme="majorHAnsi"/>
        </w:rPr>
        <w:t>, 180</w:t>
      </w:r>
    </w:p>
    <w:p w14:paraId="20C8C7FB" w14:textId="68E56B3B" w:rsidR="00580B6D" w:rsidRPr="00D67495" w:rsidRDefault="00580B6D" w:rsidP="00FE0388">
      <w:pPr>
        <w:rPr>
          <w:rFonts w:asciiTheme="majorHAnsi" w:hAnsiTheme="majorHAnsi"/>
        </w:rPr>
      </w:pPr>
      <w:r>
        <w:rPr>
          <w:rFonts w:asciiTheme="majorHAnsi" w:hAnsiTheme="majorHAnsi"/>
        </w:rPr>
        <w:t>Some pack size</w:t>
      </w:r>
      <w:r w:rsidR="004C55F0">
        <w:rPr>
          <w:rFonts w:asciiTheme="majorHAnsi" w:hAnsiTheme="majorHAnsi"/>
        </w:rPr>
        <w:t>s</w:t>
      </w:r>
      <w:r>
        <w:rPr>
          <w:rFonts w:asciiTheme="majorHAnsi" w:hAnsiTheme="majorHAnsi"/>
        </w:rPr>
        <w:t xml:space="preserve"> may not be marketed. </w:t>
      </w:r>
    </w:p>
    <w:p w14:paraId="172D3F31" w14:textId="77777777" w:rsidR="005B2812" w:rsidRPr="00D67495" w:rsidRDefault="005B2812" w:rsidP="00FE0388">
      <w:pPr>
        <w:pStyle w:val="Heading2"/>
        <w:spacing w:before="0" w:after="120"/>
        <w:rPr>
          <w:rFonts w:cstheme="minorHAnsi"/>
        </w:rPr>
      </w:pPr>
      <w:r w:rsidRPr="00D67495">
        <w:rPr>
          <w:rFonts w:cstheme="minorHAnsi"/>
        </w:rPr>
        <w:t xml:space="preserve">Special precautions for disposal </w:t>
      </w:r>
    </w:p>
    <w:p w14:paraId="3DDDF193" w14:textId="4F7D74A1" w:rsidR="0021200F" w:rsidRPr="00D67495" w:rsidRDefault="0021200F" w:rsidP="00FE0388">
      <w:pPr>
        <w:rPr>
          <w:rFonts w:asciiTheme="majorHAnsi" w:hAnsiTheme="majorHAnsi" w:cstheme="minorHAnsi"/>
        </w:rPr>
      </w:pPr>
      <w:r w:rsidRPr="00D67495">
        <w:rPr>
          <w:rFonts w:asciiTheme="majorHAnsi" w:hAnsiTheme="majorHAnsi" w:cstheme="minorHAnsi"/>
        </w:rPr>
        <w:lastRenderedPageBreak/>
        <w:t xml:space="preserve">In Australia, any unused medicine or waste material should be disposed of by taking to your local pharmacy. </w:t>
      </w:r>
    </w:p>
    <w:p w14:paraId="601240CF" w14:textId="77777777" w:rsidR="001A3992" w:rsidRPr="00D67495" w:rsidRDefault="001A3992" w:rsidP="00FE0388">
      <w:pPr>
        <w:pStyle w:val="Heading2"/>
        <w:spacing w:before="0" w:after="120"/>
      </w:pPr>
      <w:r w:rsidRPr="00D67495">
        <w:t>Physicochemical properties</w:t>
      </w:r>
    </w:p>
    <w:p w14:paraId="374D23E9" w14:textId="77777777" w:rsidR="001A3992" w:rsidRPr="00D67495" w:rsidRDefault="001A3992" w:rsidP="00FE0388">
      <w:pPr>
        <w:pStyle w:val="Heading3"/>
        <w:spacing w:before="0" w:after="120"/>
      </w:pPr>
      <w:r w:rsidRPr="00D67495">
        <w:t>Chemical structure</w:t>
      </w:r>
    </w:p>
    <w:p w14:paraId="468BFE4E" w14:textId="77777777" w:rsidR="00C17814" w:rsidRPr="00D67495" w:rsidRDefault="00C17814" w:rsidP="00FE0388">
      <w:pPr>
        <w:pStyle w:val="BayerBodyTextFull"/>
        <w:tabs>
          <w:tab w:val="left" w:pos="1800"/>
        </w:tabs>
        <w:ind w:left="1920" w:hanging="1920"/>
        <w:rPr>
          <w:rFonts w:asciiTheme="majorHAnsi" w:hAnsiTheme="majorHAnsi"/>
          <w:sz w:val="22"/>
          <w:lang w:val="en-AU"/>
        </w:rPr>
      </w:pPr>
      <w:r w:rsidRPr="7F4DA821">
        <w:rPr>
          <w:rFonts w:asciiTheme="majorHAnsi" w:hAnsiTheme="majorHAnsi"/>
          <w:sz w:val="22"/>
          <w:lang w:val="en-AU"/>
        </w:rPr>
        <w:t>Chemical name</w:t>
      </w:r>
      <w:r>
        <w:tab/>
      </w:r>
      <w:r w:rsidRPr="7F4DA821">
        <w:rPr>
          <w:rFonts w:asciiTheme="majorHAnsi" w:hAnsiTheme="majorHAnsi"/>
          <w:sz w:val="22"/>
          <w:lang w:val="en-AU"/>
        </w:rPr>
        <w:t>:</w:t>
      </w:r>
      <w:r>
        <w:tab/>
      </w:r>
      <w:r w:rsidRPr="7F4DA821">
        <w:rPr>
          <w:rFonts w:asciiTheme="majorHAnsi" w:eastAsia="MS Mincho" w:hAnsiTheme="majorHAnsi"/>
          <w:sz w:val="22"/>
          <w:lang w:val="en-AU"/>
        </w:rPr>
        <w:t>2-[3,5-bis(trifluoromethyl)phenyl]-N-{4-(4-fluoro-2-methylphenyl)-6-[(7S,9aS)-7-(</w:t>
      </w:r>
      <w:proofErr w:type="gramStart"/>
      <w:r w:rsidRPr="7F4DA821">
        <w:rPr>
          <w:rFonts w:asciiTheme="majorHAnsi" w:eastAsia="MS Mincho" w:hAnsiTheme="majorHAnsi"/>
          <w:sz w:val="22"/>
          <w:lang w:val="en-AU"/>
        </w:rPr>
        <w:t>hydroxymethyl)hexahydropyrazino</w:t>
      </w:r>
      <w:proofErr w:type="gramEnd"/>
      <w:r w:rsidRPr="7F4DA821">
        <w:rPr>
          <w:rFonts w:asciiTheme="majorHAnsi" w:eastAsia="MS Mincho" w:hAnsiTheme="majorHAnsi"/>
          <w:sz w:val="22"/>
          <w:lang w:val="en-AU"/>
        </w:rPr>
        <w:t>[2,1-</w:t>
      </w:r>
      <w:proofErr w:type="gramStart"/>
      <w:r w:rsidRPr="7F4DA821">
        <w:rPr>
          <w:rFonts w:asciiTheme="majorHAnsi" w:eastAsia="MS Mincho" w:hAnsiTheme="majorHAnsi"/>
          <w:sz w:val="22"/>
          <w:lang w:val="en-AU"/>
        </w:rPr>
        <w:t>c][</w:t>
      </w:r>
      <w:proofErr w:type="gramEnd"/>
      <w:r w:rsidRPr="7F4DA821">
        <w:rPr>
          <w:rFonts w:asciiTheme="majorHAnsi" w:eastAsia="MS Mincho" w:hAnsiTheme="majorHAnsi"/>
          <w:sz w:val="22"/>
          <w:lang w:val="en-AU"/>
        </w:rPr>
        <w:t>1,</w:t>
      </w:r>
      <w:proofErr w:type="gramStart"/>
      <w:r w:rsidRPr="7F4DA821">
        <w:rPr>
          <w:rFonts w:asciiTheme="majorHAnsi" w:eastAsia="MS Mincho" w:hAnsiTheme="majorHAnsi"/>
          <w:sz w:val="22"/>
          <w:lang w:val="en-AU"/>
        </w:rPr>
        <w:t>4]oxazin</w:t>
      </w:r>
      <w:proofErr w:type="gramEnd"/>
      <w:r w:rsidRPr="7F4DA821">
        <w:rPr>
          <w:rFonts w:asciiTheme="majorHAnsi" w:eastAsia="MS Mincho" w:hAnsiTheme="majorHAnsi"/>
          <w:sz w:val="22"/>
          <w:lang w:val="en-AU"/>
        </w:rPr>
        <w:t>-8(1H)-</w:t>
      </w:r>
      <w:proofErr w:type="gramStart"/>
      <w:r w:rsidRPr="7F4DA821">
        <w:rPr>
          <w:rFonts w:asciiTheme="majorHAnsi" w:eastAsia="MS Mincho" w:hAnsiTheme="majorHAnsi"/>
          <w:sz w:val="22"/>
          <w:lang w:val="en-AU"/>
        </w:rPr>
        <w:t>yl]pyridin</w:t>
      </w:r>
      <w:proofErr w:type="gramEnd"/>
      <w:r w:rsidRPr="7F4DA821">
        <w:rPr>
          <w:rFonts w:asciiTheme="majorHAnsi" w:eastAsia="MS Mincho" w:hAnsiTheme="majorHAnsi"/>
          <w:sz w:val="22"/>
          <w:lang w:val="en-AU"/>
        </w:rPr>
        <w:t>-3-yl}-N,2-dimethylpropanamide</w:t>
      </w:r>
    </w:p>
    <w:p w14:paraId="03A7C1F1" w14:textId="77777777" w:rsidR="00C17814" w:rsidRPr="00D67495" w:rsidRDefault="00C17814" w:rsidP="00FE0388">
      <w:pPr>
        <w:pStyle w:val="BayerBodyTextFull"/>
        <w:tabs>
          <w:tab w:val="left" w:pos="1800"/>
        </w:tabs>
        <w:ind w:left="1920" w:hanging="1920"/>
        <w:rPr>
          <w:rFonts w:asciiTheme="majorHAnsi" w:hAnsiTheme="majorHAnsi"/>
          <w:sz w:val="22"/>
        </w:rPr>
      </w:pPr>
      <w:r w:rsidRPr="5698B49D">
        <w:rPr>
          <w:rFonts w:asciiTheme="majorHAnsi" w:hAnsiTheme="majorHAnsi"/>
          <w:sz w:val="22"/>
        </w:rPr>
        <w:t>Empirical formula</w:t>
      </w:r>
      <w:r>
        <w:tab/>
      </w:r>
      <w:r w:rsidRPr="5698B49D">
        <w:rPr>
          <w:rFonts w:asciiTheme="majorHAnsi" w:hAnsiTheme="majorHAnsi"/>
          <w:sz w:val="22"/>
        </w:rPr>
        <w:t>:</w:t>
      </w:r>
      <w:r>
        <w:tab/>
      </w:r>
      <w:r w:rsidRPr="5698B49D">
        <w:rPr>
          <w:rFonts w:asciiTheme="majorHAnsi" w:eastAsia="MS Mincho" w:hAnsiTheme="majorHAnsi"/>
          <w:sz w:val="22"/>
        </w:rPr>
        <w:t>C</w:t>
      </w:r>
      <w:r w:rsidRPr="5698B49D">
        <w:rPr>
          <w:rFonts w:asciiTheme="majorHAnsi" w:eastAsia="MS Mincho" w:hAnsiTheme="majorHAnsi"/>
          <w:sz w:val="22"/>
          <w:vertAlign w:val="subscript"/>
        </w:rPr>
        <w:t>33</w:t>
      </w:r>
      <w:r w:rsidRPr="5698B49D">
        <w:rPr>
          <w:rFonts w:asciiTheme="majorHAnsi" w:eastAsia="MS Mincho" w:hAnsiTheme="majorHAnsi"/>
          <w:sz w:val="22"/>
        </w:rPr>
        <w:t>H</w:t>
      </w:r>
      <w:r w:rsidRPr="5698B49D">
        <w:rPr>
          <w:rFonts w:asciiTheme="majorHAnsi" w:eastAsia="MS Mincho" w:hAnsiTheme="majorHAnsi"/>
          <w:sz w:val="22"/>
          <w:vertAlign w:val="subscript"/>
        </w:rPr>
        <w:t>35</w:t>
      </w:r>
      <w:r w:rsidRPr="5698B49D">
        <w:rPr>
          <w:rFonts w:asciiTheme="majorHAnsi" w:eastAsia="MS Mincho" w:hAnsiTheme="majorHAnsi"/>
          <w:sz w:val="22"/>
        </w:rPr>
        <w:t>F</w:t>
      </w:r>
      <w:r w:rsidRPr="5698B49D">
        <w:rPr>
          <w:rFonts w:asciiTheme="majorHAnsi" w:eastAsia="MS Mincho" w:hAnsiTheme="majorHAnsi"/>
          <w:sz w:val="22"/>
          <w:vertAlign w:val="subscript"/>
        </w:rPr>
        <w:t>7</w:t>
      </w:r>
      <w:r w:rsidRPr="5698B49D">
        <w:rPr>
          <w:rFonts w:asciiTheme="majorHAnsi" w:eastAsia="MS Mincho" w:hAnsiTheme="majorHAnsi"/>
          <w:sz w:val="22"/>
        </w:rPr>
        <w:t>N</w:t>
      </w:r>
      <w:r w:rsidRPr="5698B49D">
        <w:rPr>
          <w:rFonts w:asciiTheme="majorHAnsi" w:eastAsia="MS Mincho" w:hAnsiTheme="majorHAnsi"/>
          <w:sz w:val="22"/>
          <w:vertAlign w:val="subscript"/>
        </w:rPr>
        <w:t>4</w:t>
      </w:r>
      <w:r w:rsidRPr="5698B49D">
        <w:rPr>
          <w:rFonts w:asciiTheme="majorHAnsi" w:eastAsia="MS Mincho" w:hAnsiTheme="majorHAnsi"/>
          <w:sz w:val="22"/>
        </w:rPr>
        <w:t>O</w:t>
      </w:r>
      <w:r w:rsidRPr="5698B49D">
        <w:rPr>
          <w:rFonts w:asciiTheme="majorHAnsi" w:eastAsia="MS Mincho" w:hAnsiTheme="majorHAnsi"/>
          <w:sz w:val="22"/>
          <w:vertAlign w:val="subscript"/>
        </w:rPr>
        <w:t>3</w:t>
      </w:r>
    </w:p>
    <w:p w14:paraId="55C7F897" w14:textId="77777777" w:rsidR="00C17814" w:rsidRPr="00D67495" w:rsidRDefault="00C17814" w:rsidP="00FE0388">
      <w:pPr>
        <w:pStyle w:val="BayerBodyTextFull"/>
        <w:tabs>
          <w:tab w:val="left" w:pos="1800"/>
        </w:tabs>
        <w:ind w:left="1920" w:hanging="1920"/>
        <w:rPr>
          <w:rFonts w:asciiTheme="majorHAnsi" w:hAnsiTheme="majorHAnsi"/>
          <w:sz w:val="22"/>
        </w:rPr>
      </w:pPr>
      <w:r w:rsidRPr="5698B49D">
        <w:rPr>
          <w:rFonts w:asciiTheme="majorHAnsi" w:hAnsiTheme="majorHAnsi"/>
          <w:sz w:val="22"/>
        </w:rPr>
        <w:t>Molecular weight</w:t>
      </w:r>
      <w:r>
        <w:tab/>
      </w:r>
      <w:r w:rsidRPr="5698B49D">
        <w:rPr>
          <w:rFonts w:asciiTheme="majorHAnsi" w:hAnsiTheme="majorHAnsi"/>
          <w:sz w:val="22"/>
        </w:rPr>
        <w:t>:</w:t>
      </w:r>
      <w:r>
        <w:tab/>
      </w:r>
      <w:r w:rsidRPr="5698B49D">
        <w:rPr>
          <w:rFonts w:asciiTheme="majorHAnsi" w:eastAsia="MS Mincho" w:hAnsiTheme="majorHAnsi"/>
          <w:sz w:val="22"/>
          <w:lang w:eastAsia="en-GB"/>
        </w:rPr>
        <w:t>668.7 g/mol</w:t>
      </w:r>
    </w:p>
    <w:p w14:paraId="2777DF20" w14:textId="59A2C884" w:rsidR="00C17814" w:rsidRPr="00D67495" w:rsidRDefault="001A62E5" w:rsidP="00FE0388">
      <w:pPr>
        <w:rPr>
          <w:rFonts w:asciiTheme="majorHAnsi" w:hAnsiTheme="majorHAnsi"/>
        </w:rPr>
      </w:pPr>
      <w:r w:rsidRPr="00D67495">
        <w:rPr>
          <w:rFonts w:asciiTheme="majorHAnsi" w:hAnsiTheme="majorHAnsi"/>
          <w:noProof/>
          <w:color w:val="2B579A"/>
          <w:shd w:val="clear" w:color="auto" w:fill="E6E6E6"/>
        </w:rPr>
        <w:drawing>
          <wp:inline distT="0" distB="0" distL="0" distR="0" wp14:anchorId="54F35328" wp14:editId="15CA1241">
            <wp:extent cx="3019425" cy="2181225"/>
            <wp:effectExtent l="0" t="0" r="9525" b="9525"/>
            <wp:docPr id="926045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45320" name=""/>
                    <pic:cNvPicPr/>
                  </pic:nvPicPr>
                  <pic:blipFill>
                    <a:blip r:embed="rId14"/>
                    <a:stretch>
                      <a:fillRect/>
                    </a:stretch>
                  </pic:blipFill>
                  <pic:spPr>
                    <a:xfrm>
                      <a:off x="0" y="0"/>
                      <a:ext cx="3019425" cy="2181225"/>
                    </a:xfrm>
                    <a:prstGeom prst="rect">
                      <a:avLst/>
                    </a:prstGeom>
                  </pic:spPr>
                </pic:pic>
              </a:graphicData>
            </a:graphic>
          </wp:inline>
        </w:drawing>
      </w:r>
    </w:p>
    <w:p w14:paraId="25676BE7" w14:textId="77777777" w:rsidR="001A3992" w:rsidRPr="00D67495" w:rsidRDefault="001A3992" w:rsidP="00FE0388">
      <w:pPr>
        <w:pStyle w:val="Heading3"/>
        <w:spacing w:before="0" w:after="120"/>
      </w:pPr>
      <w:r w:rsidRPr="00D67495">
        <w:t>CAS number</w:t>
      </w:r>
    </w:p>
    <w:p w14:paraId="44EBA476" w14:textId="36C0C8FE" w:rsidR="00AF4349" w:rsidRPr="00D67495" w:rsidRDefault="0059154D" w:rsidP="00FE0388">
      <w:pPr>
        <w:rPr>
          <w:rFonts w:asciiTheme="majorHAnsi" w:hAnsiTheme="majorHAnsi"/>
        </w:rPr>
      </w:pPr>
      <w:r w:rsidRPr="00D67495">
        <w:rPr>
          <w:rFonts w:asciiTheme="majorHAnsi" w:hAnsiTheme="majorHAnsi"/>
        </w:rPr>
        <w:t>929046-33-3</w:t>
      </w:r>
    </w:p>
    <w:p w14:paraId="0BA3309F" w14:textId="77777777" w:rsidR="001A3992" w:rsidRPr="00D67495" w:rsidRDefault="001A3992" w:rsidP="00FE0388">
      <w:pPr>
        <w:pStyle w:val="Heading1"/>
        <w:spacing w:before="0" w:after="120"/>
      </w:pPr>
      <w:r w:rsidRPr="00D67495">
        <w:t>Medicine schedule (Poisons Standard)</w:t>
      </w:r>
    </w:p>
    <w:p w14:paraId="4E6A7B9B" w14:textId="51DA8864" w:rsidR="00AF4349" w:rsidRPr="00D67495" w:rsidRDefault="00AF4349" w:rsidP="00FE0388">
      <w:pPr>
        <w:rPr>
          <w:rFonts w:asciiTheme="majorHAnsi" w:hAnsiTheme="majorHAnsi"/>
        </w:rPr>
      </w:pPr>
      <w:r w:rsidRPr="00D67495">
        <w:rPr>
          <w:rFonts w:asciiTheme="majorHAnsi" w:hAnsiTheme="majorHAnsi"/>
        </w:rPr>
        <w:t>S4 – PRESCRIPTION ONLY MEDICINE</w:t>
      </w:r>
    </w:p>
    <w:p w14:paraId="0E8D03FB" w14:textId="77777777" w:rsidR="00285173" w:rsidRPr="00D67495" w:rsidRDefault="001A3992" w:rsidP="00FE0388">
      <w:pPr>
        <w:pStyle w:val="Heading1"/>
        <w:spacing w:before="0"/>
      </w:pPr>
      <w:r w:rsidRPr="00D67495">
        <w:t>Sponsor</w:t>
      </w:r>
      <w:r w:rsidR="00285173" w:rsidRPr="00D67495">
        <w:t xml:space="preserve"> </w:t>
      </w:r>
    </w:p>
    <w:p w14:paraId="73609A83" w14:textId="77777777" w:rsidR="0079157A" w:rsidRPr="00D67495" w:rsidRDefault="0079157A" w:rsidP="00FE0388">
      <w:pPr>
        <w:spacing w:after="0"/>
        <w:rPr>
          <w:rFonts w:asciiTheme="majorHAnsi" w:hAnsiTheme="majorHAnsi"/>
        </w:rPr>
      </w:pPr>
    </w:p>
    <w:p w14:paraId="554D2CC3" w14:textId="79DECCB8" w:rsidR="004F0575" w:rsidRPr="00D67495" w:rsidRDefault="00AF4349" w:rsidP="00FE0388">
      <w:pPr>
        <w:spacing w:after="0"/>
        <w:rPr>
          <w:rFonts w:asciiTheme="majorHAnsi" w:hAnsiTheme="majorHAnsi"/>
        </w:rPr>
      </w:pPr>
      <w:r w:rsidRPr="00D67495">
        <w:rPr>
          <w:rFonts w:asciiTheme="majorHAnsi" w:hAnsiTheme="majorHAnsi"/>
        </w:rPr>
        <w:t>BAYER AUSTRALIA LTD</w:t>
      </w:r>
    </w:p>
    <w:p w14:paraId="2EE06063" w14:textId="4AAABE90" w:rsidR="00AF4349" w:rsidRPr="00D67495" w:rsidRDefault="00AF4349" w:rsidP="00FE0388">
      <w:pPr>
        <w:spacing w:after="0"/>
        <w:rPr>
          <w:rFonts w:asciiTheme="majorHAnsi" w:hAnsiTheme="majorHAnsi"/>
        </w:rPr>
      </w:pPr>
      <w:r w:rsidRPr="00D67495">
        <w:rPr>
          <w:rFonts w:asciiTheme="majorHAnsi" w:hAnsiTheme="majorHAnsi"/>
        </w:rPr>
        <w:t>ABN 22 000 138 714</w:t>
      </w:r>
    </w:p>
    <w:p w14:paraId="055755A9" w14:textId="5E7A8948" w:rsidR="00AF4349" w:rsidRPr="00D67495" w:rsidRDefault="00AF4349" w:rsidP="00FE0388">
      <w:pPr>
        <w:spacing w:after="0"/>
        <w:rPr>
          <w:rFonts w:asciiTheme="majorHAnsi" w:hAnsiTheme="majorHAnsi"/>
        </w:rPr>
      </w:pPr>
      <w:r w:rsidRPr="00D67495">
        <w:rPr>
          <w:rFonts w:asciiTheme="majorHAnsi" w:hAnsiTheme="majorHAnsi"/>
        </w:rPr>
        <w:t>875 Pacific Highway</w:t>
      </w:r>
    </w:p>
    <w:p w14:paraId="5563819F" w14:textId="6B5C6FFE" w:rsidR="00AF4349" w:rsidRPr="00D67495" w:rsidRDefault="00AF4349" w:rsidP="00FE0388">
      <w:pPr>
        <w:spacing w:after="0"/>
        <w:rPr>
          <w:rFonts w:asciiTheme="majorHAnsi" w:hAnsiTheme="majorHAnsi"/>
        </w:rPr>
      </w:pPr>
      <w:r w:rsidRPr="00D67495">
        <w:rPr>
          <w:rFonts w:asciiTheme="majorHAnsi" w:hAnsiTheme="majorHAnsi"/>
        </w:rPr>
        <w:t>Pymble NSW 2073</w:t>
      </w:r>
    </w:p>
    <w:p w14:paraId="6B7DF1E5" w14:textId="1CC92DD3" w:rsidR="00AF4349" w:rsidRPr="00D67495" w:rsidRDefault="00AF4349" w:rsidP="00FE0388">
      <w:pPr>
        <w:spacing w:after="0"/>
        <w:rPr>
          <w:rFonts w:asciiTheme="majorHAnsi" w:hAnsiTheme="majorHAnsi"/>
        </w:rPr>
      </w:pPr>
      <w:hyperlink r:id="rId15" w:history="1">
        <w:r w:rsidRPr="00D67495">
          <w:rPr>
            <w:rStyle w:val="Hyperlink"/>
            <w:rFonts w:asciiTheme="majorHAnsi" w:hAnsiTheme="majorHAnsi"/>
          </w:rPr>
          <w:t>www.bayer.com.au</w:t>
        </w:r>
      </w:hyperlink>
    </w:p>
    <w:p w14:paraId="4904C3F7" w14:textId="77777777" w:rsidR="00AF4349" w:rsidRPr="00D67495" w:rsidRDefault="00AF4349" w:rsidP="00FE0388">
      <w:pPr>
        <w:spacing w:after="0"/>
        <w:rPr>
          <w:rFonts w:asciiTheme="majorHAnsi" w:hAnsiTheme="majorHAnsi"/>
        </w:rPr>
      </w:pPr>
    </w:p>
    <w:p w14:paraId="52DE5AD9" w14:textId="77777777" w:rsidR="00285173" w:rsidRPr="00D67495" w:rsidRDefault="00285173" w:rsidP="00FE0388">
      <w:pPr>
        <w:pStyle w:val="Heading1"/>
        <w:spacing w:before="0" w:after="120"/>
      </w:pPr>
      <w:r w:rsidRPr="00D67495">
        <w:t xml:space="preserve">Date of first approval  </w:t>
      </w:r>
    </w:p>
    <w:p w14:paraId="447D8F29" w14:textId="182E3D21" w:rsidR="00AF4349" w:rsidRPr="00D67495" w:rsidRDefault="00DB13AD" w:rsidP="00FE0388">
      <w:pPr>
        <w:rPr>
          <w:rFonts w:asciiTheme="majorHAnsi" w:hAnsiTheme="majorHAnsi"/>
        </w:rPr>
      </w:pPr>
      <w:r>
        <w:rPr>
          <w:rFonts w:asciiTheme="majorHAnsi" w:hAnsiTheme="majorHAnsi"/>
        </w:rPr>
        <w:t xml:space="preserve"> </w:t>
      </w:r>
      <w:r w:rsidR="001E00F6">
        <w:rPr>
          <w:rFonts w:asciiTheme="majorHAnsi" w:hAnsiTheme="majorHAnsi"/>
        </w:rPr>
        <w:t>1</w:t>
      </w:r>
      <w:r w:rsidR="00DA4DEF">
        <w:rPr>
          <w:rFonts w:asciiTheme="majorHAnsi" w:hAnsiTheme="majorHAnsi"/>
        </w:rPr>
        <w:t>1</w:t>
      </w:r>
      <w:r w:rsidR="001E00F6">
        <w:rPr>
          <w:rFonts w:asciiTheme="majorHAnsi" w:hAnsiTheme="majorHAnsi"/>
        </w:rPr>
        <w:t xml:space="preserve"> </w:t>
      </w:r>
      <w:r>
        <w:rPr>
          <w:rFonts w:asciiTheme="majorHAnsi" w:hAnsiTheme="majorHAnsi"/>
        </w:rPr>
        <w:t>September 2025</w:t>
      </w:r>
    </w:p>
    <w:p w14:paraId="3750062F" w14:textId="77777777" w:rsidR="00285173" w:rsidRPr="00D67495" w:rsidRDefault="00285173" w:rsidP="00FE0388">
      <w:pPr>
        <w:pStyle w:val="Heading1"/>
        <w:pageBreakBefore/>
        <w:spacing w:before="0" w:after="120"/>
        <w:ind w:left="431" w:hanging="431"/>
      </w:pPr>
      <w:r w:rsidRPr="00D67495">
        <w:lastRenderedPageBreak/>
        <w:t xml:space="preserve">Date of revision </w:t>
      </w:r>
    </w:p>
    <w:p w14:paraId="43554FDB" w14:textId="350B93B3" w:rsidR="00AF4349" w:rsidRPr="00D67495" w:rsidRDefault="00AF4349" w:rsidP="00FE0388">
      <w:pPr>
        <w:rPr>
          <w:rFonts w:asciiTheme="majorHAnsi" w:hAnsiTheme="majorHAnsi"/>
        </w:rPr>
      </w:pPr>
      <w:r w:rsidRPr="00D67495">
        <w:rPr>
          <w:rFonts w:asciiTheme="majorHAnsi" w:hAnsiTheme="majorHAnsi"/>
        </w:rPr>
        <w:t>n/a</w:t>
      </w:r>
    </w:p>
    <w:p w14:paraId="390810FB" w14:textId="77777777" w:rsidR="00AF4349" w:rsidRPr="00D67495" w:rsidRDefault="00AF4349" w:rsidP="00FE0388">
      <w:pPr>
        <w:rPr>
          <w:rFonts w:asciiTheme="majorHAnsi" w:hAnsiTheme="majorHAnsi"/>
        </w:rPr>
      </w:pPr>
    </w:p>
    <w:p w14:paraId="1409FA44" w14:textId="77777777" w:rsidR="00285173" w:rsidRPr="00D67495" w:rsidRDefault="00285173" w:rsidP="00FE0388">
      <w:pPr>
        <w:pStyle w:val="Heading2"/>
        <w:numPr>
          <w:ilvl w:val="0"/>
          <w:numId w:val="0"/>
        </w:numPr>
        <w:spacing w:before="0" w:after="120"/>
      </w:pPr>
      <w:r w:rsidRPr="00D67495">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rsidRPr="00D67495" w14:paraId="6AF15775" w14:textId="77777777" w:rsidTr="001F5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5DD2B73A" w14:textId="77777777" w:rsidR="00285173" w:rsidRPr="00D67495" w:rsidRDefault="00285173" w:rsidP="00FE0388">
            <w:pPr>
              <w:rPr>
                <w:sz w:val="20"/>
              </w:rPr>
            </w:pPr>
            <w:r w:rsidRPr="00D67495">
              <w:rPr>
                <w:sz w:val="20"/>
              </w:rPr>
              <w:t>Section Changed</w:t>
            </w:r>
          </w:p>
        </w:tc>
        <w:tc>
          <w:tcPr>
            <w:tcW w:w="7635" w:type="dxa"/>
            <w:shd w:val="clear" w:color="auto" w:fill="F2F2F2" w:themeFill="background1" w:themeFillShade="F2"/>
            <w:vAlign w:val="center"/>
          </w:tcPr>
          <w:p w14:paraId="77CC1292" w14:textId="77777777" w:rsidR="00285173" w:rsidRPr="00D67495" w:rsidRDefault="00285173" w:rsidP="00FE0388">
            <w:pPr>
              <w:cnfStyle w:val="100000000000" w:firstRow="1" w:lastRow="0" w:firstColumn="0" w:lastColumn="0" w:oddVBand="0" w:evenVBand="0" w:oddHBand="0" w:evenHBand="0" w:firstRowFirstColumn="0" w:firstRowLastColumn="0" w:lastRowFirstColumn="0" w:lastRowLastColumn="0"/>
              <w:rPr>
                <w:sz w:val="20"/>
              </w:rPr>
            </w:pPr>
            <w:r w:rsidRPr="00D67495">
              <w:rPr>
                <w:sz w:val="20"/>
              </w:rPr>
              <w:t>Summary of new information</w:t>
            </w:r>
          </w:p>
        </w:tc>
      </w:tr>
      <w:tr w:rsidR="00285173" w:rsidRPr="00D67495" w14:paraId="5C5D580A" w14:textId="77777777" w:rsidTr="001F5EC8">
        <w:tc>
          <w:tcPr>
            <w:cnfStyle w:val="001000000000" w:firstRow="0" w:lastRow="0" w:firstColumn="1" w:lastColumn="0" w:oddVBand="0" w:evenVBand="0" w:oddHBand="0" w:evenHBand="0" w:firstRowFirstColumn="0" w:firstRowLastColumn="0" w:lastRowFirstColumn="0" w:lastRowLastColumn="0"/>
            <w:tcW w:w="1371" w:type="dxa"/>
            <w:vAlign w:val="center"/>
          </w:tcPr>
          <w:p w14:paraId="47B51D69" w14:textId="2E6F7CDD" w:rsidR="00285173" w:rsidRPr="00D67495" w:rsidRDefault="001F5EC8" w:rsidP="00FE0388">
            <w:pPr>
              <w:rPr>
                <w:b w:val="0"/>
                <w:bCs w:val="0"/>
              </w:rPr>
            </w:pPr>
            <w:r w:rsidRPr="00D67495">
              <w:rPr>
                <w:b w:val="0"/>
                <w:bCs w:val="0"/>
              </w:rPr>
              <w:t xml:space="preserve">All </w:t>
            </w:r>
          </w:p>
        </w:tc>
        <w:tc>
          <w:tcPr>
            <w:tcW w:w="7635" w:type="dxa"/>
            <w:vAlign w:val="center"/>
          </w:tcPr>
          <w:p w14:paraId="0A36335E" w14:textId="1F157629" w:rsidR="00285173" w:rsidRPr="00D67495" w:rsidRDefault="001F5EC8" w:rsidP="00FE038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7495">
              <w:rPr>
                <w:rFonts w:asciiTheme="majorHAnsi" w:hAnsiTheme="majorHAnsi"/>
              </w:rPr>
              <w:t>New Product Information</w:t>
            </w:r>
          </w:p>
        </w:tc>
      </w:tr>
    </w:tbl>
    <w:p w14:paraId="2F50AD73" w14:textId="77777777" w:rsidR="0070583A" w:rsidRDefault="0070583A" w:rsidP="00FE0388"/>
    <w:p w14:paraId="4873274F" w14:textId="68527CB8" w:rsidR="0070583A" w:rsidRPr="0070583A" w:rsidRDefault="0070583A" w:rsidP="00FE0388">
      <w:pPr>
        <w:rPr>
          <w:rFonts w:asciiTheme="majorHAnsi" w:hAnsiTheme="majorHAnsi"/>
        </w:rPr>
      </w:pPr>
      <w:r w:rsidRPr="00CC5A59">
        <w:rPr>
          <w:rFonts w:asciiTheme="majorHAnsi" w:hAnsiTheme="majorHAnsi"/>
          <w:vertAlign w:val="superscript"/>
        </w:rPr>
        <w:t>®</w:t>
      </w:r>
      <w:r w:rsidRPr="00D67495">
        <w:rPr>
          <w:rFonts w:asciiTheme="majorHAnsi" w:hAnsiTheme="majorHAnsi"/>
        </w:rPr>
        <w:t xml:space="preserve"> Registered Trademark of the Bayer Group, Germany</w:t>
      </w:r>
    </w:p>
    <w:sectPr w:rsidR="0070583A" w:rsidRPr="0070583A" w:rsidSect="007F59D9">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51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7927" w14:textId="77777777" w:rsidR="00732CAA" w:rsidRPr="009F4BAE" w:rsidRDefault="00732CAA" w:rsidP="001A3992">
      <w:pPr>
        <w:spacing w:after="0" w:line="240" w:lineRule="auto"/>
      </w:pPr>
      <w:r w:rsidRPr="009F4BAE">
        <w:separator/>
      </w:r>
    </w:p>
  </w:endnote>
  <w:endnote w:type="continuationSeparator" w:id="0">
    <w:p w14:paraId="67DEE131" w14:textId="77777777" w:rsidR="00732CAA" w:rsidRPr="009F4BAE" w:rsidRDefault="00732CAA" w:rsidP="001A3992">
      <w:pPr>
        <w:spacing w:after="0" w:line="240" w:lineRule="auto"/>
      </w:pPr>
      <w:r w:rsidRPr="009F4BAE">
        <w:continuationSeparator/>
      </w:r>
    </w:p>
  </w:endnote>
  <w:endnote w:type="continuationNotice" w:id="1">
    <w:p w14:paraId="6E382912" w14:textId="77777777" w:rsidR="00732CAA" w:rsidRDefault="00732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A58C" w14:textId="3B9A2EE7" w:rsidR="007D7BC2" w:rsidRDefault="007D7BC2">
    <w:pPr>
      <w:pStyle w:val="Footer"/>
    </w:pPr>
    <w:r>
      <w:rPr>
        <w:noProof/>
      </w:rPr>
      <mc:AlternateContent>
        <mc:Choice Requires="wps">
          <w:drawing>
            <wp:anchor distT="0" distB="0" distL="0" distR="0" simplePos="0" relativeHeight="251662336" behindDoc="0" locked="0" layoutInCell="1" allowOverlap="1" wp14:anchorId="250621D8" wp14:editId="77D6C5BA">
              <wp:simplePos x="635" y="635"/>
              <wp:positionH relativeFrom="page">
                <wp:align>center</wp:align>
              </wp:positionH>
              <wp:positionV relativeFrom="page">
                <wp:align>bottom</wp:align>
              </wp:positionV>
              <wp:extent cx="622300" cy="404495"/>
              <wp:effectExtent l="0" t="0" r="6350" b="0"/>
              <wp:wrapNone/>
              <wp:docPr id="19493355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58BE04D" w14:textId="0228B428"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621D8"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58BE04D" w14:textId="0228B428"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A8B4" w14:textId="29664DC0" w:rsidR="00C17814" w:rsidRPr="009F4BAE" w:rsidRDefault="007D7BC2">
    <w:pPr>
      <w:pStyle w:val="Footer"/>
      <w:jc w:val="right"/>
    </w:pPr>
    <w:r>
      <w:rPr>
        <w:noProof/>
      </w:rPr>
      <mc:AlternateContent>
        <mc:Choice Requires="wps">
          <w:drawing>
            <wp:anchor distT="0" distB="0" distL="0" distR="0" simplePos="0" relativeHeight="251663360" behindDoc="0" locked="0" layoutInCell="1" allowOverlap="1" wp14:anchorId="54C19152" wp14:editId="14157C2D">
              <wp:simplePos x="899160" y="10035540"/>
              <wp:positionH relativeFrom="page">
                <wp:align>center</wp:align>
              </wp:positionH>
              <wp:positionV relativeFrom="page">
                <wp:align>bottom</wp:align>
              </wp:positionV>
              <wp:extent cx="622300" cy="404495"/>
              <wp:effectExtent l="0" t="0" r="6350" b="0"/>
              <wp:wrapNone/>
              <wp:docPr id="5326093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5B5CAE1" w14:textId="3A35082F"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1915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55B5CAE1" w14:textId="3A35082F"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v:textbox>
              <w10:wrap anchorx="page" anchory="page"/>
            </v:shape>
          </w:pict>
        </mc:Fallback>
      </mc:AlternateContent>
    </w:r>
    <w:sdt>
      <w:sdtPr>
        <w:id w:val="-1974588690"/>
        <w:docPartObj>
          <w:docPartGallery w:val="Page Numbers (Bottom of Page)"/>
          <w:docPartUnique/>
        </w:docPartObj>
      </w:sdtPr>
      <w:sdtEndPr/>
      <w:sdtContent>
        <w:sdt>
          <w:sdtPr>
            <w:id w:val="-1769616900"/>
            <w:docPartObj>
              <w:docPartGallery w:val="Page Numbers (Top of Page)"/>
              <w:docPartUnique/>
            </w:docPartObj>
          </w:sdtPr>
          <w:sdtEndPr/>
          <w:sdtContent>
            <w:r w:rsidR="0059154D" w:rsidRPr="00EE0BE1">
              <w:rPr>
                <w:sz w:val="20"/>
                <w:szCs w:val="20"/>
              </w:rPr>
              <w:t>LYNKUET PI V</w:t>
            </w:r>
            <w:r w:rsidR="00DB13AD">
              <w:rPr>
                <w:sz w:val="20"/>
                <w:szCs w:val="20"/>
              </w:rPr>
              <w:t>1.0</w:t>
            </w:r>
            <w:r w:rsidR="0059154D" w:rsidRPr="00EE0BE1">
              <w:rPr>
                <w:sz w:val="20"/>
                <w:szCs w:val="20"/>
              </w:rPr>
              <w:t xml:space="preserve">; CCDS </w:t>
            </w:r>
            <w:r w:rsidR="00044B93">
              <w:rPr>
                <w:sz w:val="20"/>
                <w:szCs w:val="20"/>
              </w:rPr>
              <w:t>3</w:t>
            </w:r>
            <w:r w:rsidR="0059154D" w:rsidRPr="00EE0BE1">
              <w:rPr>
                <w:sz w:val="20"/>
                <w:szCs w:val="20"/>
              </w:rPr>
              <w:tab/>
            </w:r>
            <w:r w:rsidR="0059154D" w:rsidRPr="00EE0BE1">
              <w:rPr>
                <w:sz w:val="20"/>
                <w:szCs w:val="20"/>
              </w:rPr>
              <w:tab/>
            </w:r>
            <w:r w:rsidR="00C17814" w:rsidRPr="00EE0BE1">
              <w:rPr>
                <w:sz w:val="20"/>
                <w:szCs w:val="20"/>
              </w:rPr>
              <w:t xml:space="preserve">Page </w:t>
            </w:r>
            <w:r w:rsidR="00C17814" w:rsidRPr="00EE0BE1">
              <w:rPr>
                <w:b/>
                <w:color w:val="2B579A"/>
                <w:shd w:val="clear" w:color="auto" w:fill="E6E6E6"/>
              </w:rPr>
              <w:fldChar w:fldCharType="begin"/>
            </w:r>
            <w:r w:rsidR="00C17814" w:rsidRPr="00EE0BE1">
              <w:rPr>
                <w:b/>
                <w:bCs/>
                <w:sz w:val="20"/>
                <w:szCs w:val="20"/>
              </w:rPr>
              <w:instrText xml:space="preserve"> PAGE </w:instrText>
            </w:r>
            <w:r w:rsidR="00C17814" w:rsidRPr="00EE0BE1">
              <w:rPr>
                <w:b/>
                <w:color w:val="2B579A"/>
                <w:shd w:val="clear" w:color="auto" w:fill="E6E6E6"/>
              </w:rPr>
              <w:fldChar w:fldCharType="separate"/>
            </w:r>
            <w:r w:rsidR="00C17814" w:rsidRPr="00EE0BE1">
              <w:rPr>
                <w:b/>
                <w:bCs/>
                <w:sz w:val="20"/>
                <w:szCs w:val="20"/>
              </w:rPr>
              <w:t>2</w:t>
            </w:r>
            <w:r w:rsidR="00C17814" w:rsidRPr="00EE0BE1">
              <w:rPr>
                <w:b/>
                <w:color w:val="2B579A"/>
                <w:shd w:val="clear" w:color="auto" w:fill="E6E6E6"/>
              </w:rPr>
              <w:fldChar w:fldCharType="end"/>
            </w:r>
            <w:r w:rsidR="00C17814" w:rsidRPr="00EE0BE1">
              <w:rPr>
                <w:sz w:val="20"/>
                <w:szCs w:val="20"/>
              </w:rPr>
              <w:t xml:space="preserve"> of </w:t>
            </w:r>
            <w:r w:rsidR="00C17814" w:rsidRPr="00EE0BE1">
              <w:rPr>
                <w:b/>
                <w:color w:val="2B579A"/>
                <w:shd w:val="clear" w:color="auto" w:fill="E6E6E6"/>
              </w:rPr>
              <w:fldChar w:fldCharType="begin"/>
            </w:r>
            <w:r w:rsidR="00C17814" w:rsidRPr="00EE0BE1">
              <w:rPr>
                <w:b/>
                <w:bCs/>
                <w:sz w:val="20"/>
                <w:szCs w:val="20"/>
              </w:rPr>
              <w:instrText xml:space="preserve"> NUMPAGES  </w:instrText>
            </w:r>
            <w:r w:rsidR="00C17814" w:rsidRPr="00EE0BE1">
              <w:rPr>
                <w:b/>
                <w:color w:val="2B579A"/>
                <w:shd w:val="clear" w:color="auto" w:fill="E6E6E6"/>
              </w:rPr>
              <w:fldChar w:fldCharType="separate"/>
            </w:r>
            <w:r w:rsidR="00C17814" w:rsidRPr="00EE0BE1">
              <w:rPr>
                <w:b/>
                <w:bCs/>
                <w:sz w:val="20"/>
                <w:szCs w:val="20"/>
              </w:rPr>
              <w:t>2</w:t>
            </w:r>
            <w:r w:rsidR="00C17814" w:rsidRPr="00EE0BE1">
              <w:rPr>
                <w:b/>
                <w:color w:val="2B579A"/>
                <w:shd w:val="clear" w:color="auto" w:fill="E6E6E6"/>
              </w:rPr>
              <w:fldChar w:fldCharType="end"/>
            </w:r>
          </w:sdtContent>
        </w:sdt>
      </w:sdtContent>
    </w:sdt>
  </w:p>
  <w:p w14:paraId="0E8D29E8" w14:textId="71BF58A5" w:rsidR="0054012A" w:rsidRPr="009F4BAE" w:rsidRDefault="0054012A" w:rsidP="004A64B8">
    <w:pPr>
      <w:pStyle w:val="Footer"/>
      <w:jc w:val="right"/>
      <w:rPr>
        <w:sz w:val="20"/>
      </w:rPr>
    </w:pPr>
  </w:p>
  <w:p w14:paraId="7A8C2447" w14:textId="77777777" w:rsidR="00544A16" w:rsidRPr="009F4BAE" w:rsidRDefault="00544A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C735" w14:textId="08284E89" w:rsidR="007D7BC2" w:rsidRDefault="007D7BC2">
    <w:pPr>
      <w:pStyle w:val="Footer"/>
    </w:pPr>
    <w:r>
      <w:rPr>
        <w:noProof/>
      </w:rPr>
      <mc:AlternateContent>
        <mc:Choice Requires="wps">
          <w:drawing>
            <wp:anchor distT="0" distB="0" distL="0" distR="0" simplePos="0" relativeHeight="251661312" behindDoc="0" locked="0" layoutInCell="1" allowOverlap="1" wp14:anchorId="0D59826A" wp14:editId="4FEFD376">
              <wp:simplePos x="635" y="635"/>
              <wp:positionH relativeFrom="page">
                <wp:align>center</wp:align>
              </wp:positionH>
              <wp:positionV relativeFrom="page">
                <wp:align>bottom</wp:align>
              </wp:positionV>
              <wp:extent cx="622300" cy="404495"/>
              <wp:effectExtent l="0" t="0" r="6350" b="0"/>
              <wp:wrapNone/>
              <wp:docPr id="21322445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04D41AF" w14:textId="1EDDA913"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9826A"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304D41AF" w14:textId="1EDDA913"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893F" w14:textId="77777777" w:rsidR="00732CAA" w:rsidRPr="009F4BAE" w:rsidRDefault="00732CAA" w:rsidP="001A3992">
      <w:pPr>
        <w:spacing w:after="0" w:line="240" w:lineRule="auto"/>
      </w:pPr>
      <w:r w:rsidRPr="009F4BAE">
        <w:separator/>
      </w:r>
    </w:p>
  </w:footnote>
  <w:footnote w:type="continuationSeparator" w:id="0">
    <w:p w14:paraId="0BDBD8AE" w14:textId="77777777" w:rsidR="00732CAA" w:rsidRPr="009F4BAE" w:rsidRDefault="00732CAA" w:rsidP="001A3992">
      <w:pPr>
        <w:spacing w:after="0" w:line="240" w:lineRule="auto"/>
      </w:pPr>
      <w:r w:rsidRPr="009F4BAE">
        <w:continuationSeparator/>
      </w:r>
    </w:p>
  </w:footnote>
  <w:footnote w:type="continuationNotice" w:id="1">
    <w:p w14:paraId="02987660" w14:textId="77777777" w:rsidR="00732CAA" w:rsidRDefault="00732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6E99" w14:textId="3B7A0630" w:rsidR="007D7BC2" w:rsidRDefault="007D7BC2">
    <w:pPr>
      <w:pStyle w:val="Header"/>
    </w:pPr>
    <w:r>
      <w:rPr>
        <w:noProof/>
      </w:rPr>
      <mc:AlternateContent>
        <mc:Choice Requires="wps">
          <w:drawing>
            <wp:anchor distT="0" distB="0" distL="0" distR="0" simplePos="0" relativeHeight="251659264" behindDoc="0" locked="0" layoutInCell="1" allowOverlap="1" wp14:anchorId="534C2113" wp14:editId="29B8A121">
              <wp:simplePos x="635" y="635"/>
              <wp:positionH relativeFrom="page">
                <wp:align>center</wp:align>
              </wp:positionH>
              <wp:positionV relativeFrom="page">
                <wp:align>top</wp:align>
              </wp:positionV>
              <wp:extent cx="622300" cy="404495"/>
              <wp:effectExtent l="0" t="0" r="6350" b="14605"/>
              <wp:wrapNone/>
              <wp:docPr id="11290428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3A5A07E" w14:textId="640AE68D"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C2113" id="_x0000_t202" coordsize="21600,21600" o:spt="202" path="m,l,21600r21600,l21600,xe">
              <v:stroke joinstyle="miter"/>
              <v:path gradientshapeok="t" o:connecttype="rect"/>
            </v:shapetype>
            <v:shape id="Text Box 2" o:spid="_x0000_s1027"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63A5A07E" w14:textId="640AE68D"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60"/>
    </w:tblGrid>
    <w:tr w:rsidR="00FE0388" w:rsidRPr="000B2145" w14:paraId="236D9728" w14:textId="77777777" w:rsidTr="002D4380">
      <w:trPr>
        <w:trHeight w:val="1012"/>
      </w:trPr>
      <w:tc>
        <w:tcPr>
          <w:tcW w:w="9180" w:type="dxa"/>
          <w:shd w:val="clear" w:color="auto" w:fill="E4F2E0"/>
        </w:tcPr>
        <w:p w14:paraId="2F1DC078" w14:textId="77777777" w:rsidR="00FE0388" w:rsidRPr="000E4791" w:rsidRDefault="00FE0388" w:rsidP="00FE0388">
          <w:pPr>
            <w:pStyle w:val="Footer"/>
            <w:rPr>
              <w:b/>
              <w:sz w:val="18"/>
              <w:szCs w:val="18"/>
            </w:rPr>
          </w:pPr>
          <w:bookmarkStart w:id="6" w:name="_Hlk109054010"/>
          <w:r w:rsidRPr="003B6DF3">
            <w:rPr>
              <w:b/>
              <w:bCs/>
            </w:rPr>
            <w:t xml:space="preserve">AusPAR – Lynkuet – </w:t>
          </w:r>
          <w:proofErr w:type="spellStart"/>
          <w:r w:rsidRPr="003B6DF3">
            <w:rPr>
              <w:b/>
              <w:bCs/>
            </w:rPr>
            <w:t>elinzanetant</w:t>
          </w:r>
          <w:proofErr w:type="spellEnd"/>
          <w:r w:rsidRPr="003B6DF3">
            <w:rPr>
              <w:b/>
              <w:bCs/>
            </w:rPr>
            <w:t xml:space="preserve"> – Bayer Australia Ltd – PM-2024-03648-1-5</w:t>
          </w:r>
          <w:r>
            <w:rPr>
              <w:b/>
              <w:bCs/>
            </w:rPr>
            <w:t xml:space="preserve"> </w:t>
          </w:r>
          <w:r w:rsidRPr="003B6DF3">
            <w:rPr>
              <w:b/>
              <w:bCs/>
            </w:rPr>
            <w:t>Final – 2 March 2026</w:t>
          </w:r>
          <w:r>
            <w:t>.</w:t>
          </w:r>
          <w:r>
            <w:rPr>
              <w:b/>
              <w:bCs/>
            </w:rPr>
            <w:t xml:space="preserve"> </w:t>
          </w:r>
          <w:r w:rsidRPr="001733D7">
            <w:rPr>
              <w:b/>
              <w:szCs w:val="17"/>
            </w:rPr>
            <w:t>This is the Product Information that was approved with the submission described in this AusPAR. It may have been superseded. For the most recent PI, please refer to the TGA website at &lt;</w:t>
          </w:r>
          <w:r w:rsidRPr="001733D7">
            <w:rPr>
              <w:szCs w:val="17"/>
            </w:rPr>
            <w:t xml:space="preserve"> </w:t>
          </w:r>
          <w:hyperlink r:id="rId1" w:history="1">
            <w:r w:rsidRPr="001733D7">
              <w:rPr>
                <w:rStyle w:val="Hyperlink"/>
                <w:szCs w:val="17"/>
              </w:rPr>
              <w:t>https://www.tga.gov.au/products/australian-register-therapeutic-goods-artg/product-information-pi</w:t>
            </w:r>
          </w:hyperlink>
          <w:r w:rsidRPr="001733D7">
            <w:rPr>
              <w:b/>
              <w:szCs w:val="17"/>
              <w:u w:val="single"/>
            </w:rPr>
            <w:t>&gt;</w:t>
          </w:r>
        </w:p>
      </w:tc>
    </w:tr>
    <w:bookmarkEnd w:id="6"/>
  </w:tbl>
  <w:p w14:paraId="729A7C96" w14:textId="16D640F1" w:rsidR="007D7BC2" w:rsidRPr="00FE0388" w:rsidRDefault="007D7BC2" w:rsidP="00FE0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F1BF" w14:textId="47D0B60B" w:rsidR="007D7BC2" w:rsidRDefault="007D7BC2">
    <w:pPr>
      <w:pStyle w:val="Header"/>
    </w:pPr>
    <w:r>
      <w:rPr>
        <w:noProof/>
      </w:rPr>
      <mc:AlternateContent>
        <mc:Choice Requires="wps">
          <w:drawing>
            <wp:anchor distT="0" distB="0" distL="0" distR="0" simplePos="0" relativeHeight="251658240" behindDoc="0" locked="0" layoutInCell="1" allowOverlap="1" wp14:anchorId="2CE4B178" wp14:editId="17D74139">
              <wp:simplePos x="635" y="635"/>
              <wp:positionH relativeFrom="page">
                <wp:align>center</wp:align>
              </wp:positionH>
              <wp:positionV relativeFrom="page">
                <wp:align>top</wp:align>
              </wp:positionV>
              <wp:extent cx="622300" cy="404495"/>
              <wp:effectExtent l="0" t="0" r="6350" b="14605"/>
              <wp:wrapNone/>
              <wp:docPr id="1531201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16F95E7" w14:textId="40D6AF16"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E4B178" id="_x0000_t202" coordsize="21600,21600" o:spt="202" path="m,l,21600r21600,l21600,xe">
              <v:stroke joinstyle="miter"/>
              <v:path gradientshapeok="t" o:connecttype="rect"/>
            </v:shapetype>
            <v:shape 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16F95E7" w14:textId="40D6AF16" w:rsidR="007D7BC2" w:rsidRPr="007D7BC2" w:rsidRDefault="007D7BC2" w:rsidP="007D7BC2">
                    <w:pPr>
                      <w:spacing w:after="0"/>
                      <w:rPr>
                        <w:rFonts w:ascii="Aptos" w:eastAsia="Aptos" w:hAnsi="Aptos" w:cs="Aptos"/>
                        <w:noProof/>
                        <w:color w:val="FF0000"/>
                        <w:sz w:val="24"/>
                        <w:szCs w:val="24"/>
                      </w:rPr>
                    </w:pPr>
                    <w:r w:rsidRPr="007D7BC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5F7B93"/>
    <w:multiLevelType w:val="hybridMultilevel"/>
    <w:tmpl w:val="2A0C77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5A632C"/>
    <w:multiLevelType w:val="hybridMultilevel"/>
    <w:tmpl w:val="CFC09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A75906"/>
    <w:multiLevelType w:val="hybridMultilevel"/>
    <w:tmpl w:val="00202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68408E"/>
    <w:multiLevelType w:val="hybridMultilevel"/>
    <w:tmpl w:val="34C4CE6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3720827">
    <w:abstractNumId w:val="10"/>
  </w:num>
  <w:num w:numId="2" w16cid:durableId="1429351862">
    <w:abstractNumId w:val="1"/>
  </w:num>
  <w:num w:numId="3" w16cid:durableId="1100180937">
    <w:abstractNumId w:val="0"/>
  </w:num>
  <w:num w:numId="4" w16cid:durableId="610550638">
    <w:abstractNumId w:val="6"/>
  </w:num>
  <w:num w:numId="5" w16cid:durableId="486290620">
    <w:abstractNumId w:val="13"/>
  </w:num>
  <w:num w:numId="6" w16cid:durableId="1280449784">
    <w:abstractNumId w:val="11"/>
  </w:num>
  <w:num w:numId="7" w16cid:durableId="1808738353">
    <w:abstractNumId w:val="9"/>
  </w:num>
  <w:num w:numId="8" w16cid:durableId="203560229">
    <w:abstractNumId w:val="12"/>
  </w:num>
  <w:num w:numId="9" w16cid:durableId="672218981">
    <w:abstractNumId w:val="3"/>
  </w:num>
  <w:num w:numId="10" w16cid:durableId="263727900">
    <w:abstractNumId w:val="8"/>
  </w:num>
  <w:num w:numId="11" w16cid:durableId="1461453482">
    <w:abstractNumId w:val="5"/>
  </w:num>
  <w:num w:numId="12" w16cid:durableId="1777410475">
    <w:abstractNumId w:val="4"/>
  </w:num>
  <w:num w:numId="13" w16cid:durableId="455493677">
    <w:abstractNumId w:val="2"/>
  </w:num>
  <w:num w:numId="14" w16cid:durableId="1154370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84"/>
    <w:rsid w:val="0000004A"/>
    <w:rsid w:val="000063BB"/>
    <w:rsid w:val="0000668D"/>
    <w:rsid w:val="00010CF0"/>
    <w:rsid w:val="00011235"/>
    <w:rsid w:val="00021EF3"/>
    <w:rsid w:val="00024D55"/>
    <w:rsid w:val="00026CC7"/>
    <w:rsid w:val="00027316"/>
    <w:rsid w:val="000355D3"/>
    <w:rsid w:val="00035FAB"/>
    <w:rsid w:val="000403B8"/>
    <w:rsid w:val="00041394"/>
    <w:rsid w:val="00042302"/>
    <w:rsid w:val="00044B93"/>
    <w:rsid w:val="00045F35"/>
    <w:rsid w:val="000468C1"/>
    <w:rsid w:val="00050DAD"/>
    <w:rsid w:val="000565B9"/>
    <w:rsid w:val="00060510"/>
    <w:rsid w:val="00060C10"/>
    <w:rsid w:val="000663EF"/>
    <w:rsid w:val="0007003A"/>
    <w:rsid w:val="000702A5"/>
    <w:rsid w:val="00070615"/>
    <w:rsid w:val="00072C63"/>
    <w:rsid w:val="00074095"/>
    <w:rsid w:val="00075AF0"/>
    <w:rsid w:val="00076E57"/>
    <w:rsid w:val="00080548"/>
    <w:rsid w:val="0008169D"/>
    <w:rsid w:val="00083DC9"/>
    <w:rsid w:val="000858DB"/>
    <w:rsid w:val="00091AC3"/>
    <w:rsid w:val="000A1AC2"/>
    <w:rsid w:val="000B24FC"/>
    <w:rsid w:val="000B44AE"/>
    <w:rsid w:val="000C16A6"/>
    <w:rsid w:val="000C1FA4"/>
    <w:rsid w:val="000C2548"/>
    <w:rsid w:val="000C767C"/>
    <w:rsid w:val="000D0B46"/>
    <w:rsid w:val="000D1CEA"/>
    <w:rsid w:val="000D50CD"/>
    <w:rsid w:val="000E0184"/>
    <w:rsid w:val="000E4509"/>
    <w:rsid w:val="000E52E2"/>
    <w:rsid w:val="000F0EB7"/>
    <w:rsid w:val="000F64C1"/>
    <w:rsid w:val="000F742D"/>
    <w:rsid w:val="00103418"/>
    <w:rsid w:val="00106E5B"/>
    <w:rsid w:val="00114AF3"/>
    <w:rsid w:val="00117EF9"/>
    <w:rsid w:val="0012089D"/>
    <w:rsid w:val="00122CE4"/>
    <w:rsid w:val="00123298"/>
    <w:rsid w:val="00125CA3"/>
    <w:rsid w:val="00125D66"/>
    <w:rsid w:val="00130456"/>
    <w:rsid w:val="00131EA1"/>
    <w:rsid w:val="00131ED3"/>
    <w:rsid w:val="00141A09"/>
    <w:rsid w:val="00142A12"/>
    <w:rsid w:val="00146002"/>
    <w:rsid w:val="001528D6"/>
    <w:rsid w:val="00155D3C"/>
    <w:rsid w:val="00157164"/>
    <w:rsid w:val="00157925"/>
    <w:rsid w:val="00161B06"/>
    <w:rsid w:val="00171392"/>
    <w:rsid w:val="00174B7E"/>
    <w:rsid w:val="0017606D"/>
    <w:rsid w:val="001802DD"/>
    <w:rsid w:val="0018122D"/>
    <w:rsid w:val="0018334F"/>
    <w:rsid w:val="001836CB"/>
    <w:rsid w:val="00184CB0"/>
    <w:rsid w:val="00185972"/>
    <w:rsid w:val="001911C9"/>
    <w:rsid w:val="00195FFC"/>
    <w:rsid w:val="00196379"/>
    <w:rsid w:val="00196E69"/>
    <w:rsid w:val="001A3992"/>
    <w:rsid w:val="001A3CC6"/>
    <w:rsid w:val="001A3FF3"/>
    <w:rsid w:val="001A4800"/>
    <w:rsid w:val="001A62E5"/>
    <w:rsid w:val="001A6E1E"/>
    <w:rsid w:val="001A7679"/>
    <w:rsid w:val="001B0569"/>
    <w:rsid w:val="001B2A1E"/>
    <w:rsid w:val="001B3CAC"/>
    <w:rsid w:val="001B47A0"/>
    <w:rsid w:val="001B5B88"/>
    <w:rsid w:val="001C0CEF"/>
    <w:rsid w:val="001C3E45"/>
    <w:rsid w:val="001C6838"/>
    <w:rsid w:val="001D1801"/>
    <w:rsid w:val="001D3BED"/>
    <w:rsid w:val="001D58A8"/>
    <w:rsid w:val="001D5CD7"/>
    <w:rsid w:val="001D5D58"/>
    <w:rsid w:val="001D6A8A"/>
    <w:rsid w:val="001E00F6"/>
    <w:rsid w:val="001E0E5F"/>
    <w:rsid w:val="001E24EC"/>
    <w:rsid w:val="001E346A"/>
    <w:rsid w:val="001F0313"/>
    <w:rsid w:val="001F065A"/>
    <w:rsid w:val="001F5EC8"/>
    <w:rsid w:val="001F5F8E"/>
    <w:rsid w:val="001F7819"/>
    <w:rsid w:val="0020327B"/>
    <w:rsid w:val="00203C51"/>
    <w:rsid w:val="00207FC9"/>
    <w:rsid w:val="0021200F"/>
    <w:rsid w:val="00212015"/>
    <w:rsid w:val="00214425"/>
    <w:rsid w:val="002168B9"/>
    <w:rsid w:val="00220D7E"/>
    <w:rsid w:val="00224A6B"/>
    <w:rsid w:val="0022508A"/>
    <w:rsid w:val="00232644"/>
    <w:rsid w:val="00233D9C"/>
    <w:rsid w:val="00235D3A"/>
    <w:rsid w:val="00236EDF"/>
    <w:rsid w:val="00242958"/>
    <w:rsid w:val="0024333D"/>
    <w:rsid w:val="00243A84"/>
    <w:rsid w:val="00244B42"/>
    <w:rsid w:val="00244B66"/>
    <w:rsid w:val="0025352F"/>
    <w:rsid w:val="0025749F"/>
    <w:rsid w:val="002635E9"/>
    <w:rsid w:val="00265600"/>
    <w:rsid w:val="00265C5C"/>
    <w:rsid w:val="0027157F"/>
    <w:rsid w:val="002717BF"/>
    <w:rsid w:val="00273397"/>
    <w:rsid w:val="00273E0C"/>
    <w:rsid w:val="00274E3B"/>
    <w:rsid w:val="002760A8"/>
    <w:rsid w:val="002830A2"/>
    <w:rsid w:val="00285173"/>
    <w:rsid w:val="00287666"/>
    <w:rsid w:val="00292364"/>
    <w:rsid w:val="002A406A"/>
    <w:rsid w:val="002A4941"/>
    <w:rsid w:val="002B063D"/>
    <w:rsid w:val="002B313B"/>
    <w:rsid w:val="002B4E68"/>
    <w:rsid w:val="002B7C1F"/>
    <w:rsid w:val="002C0B03"/>
    <w:rsid w:val="002C0DC3"/>
    <w:rsid w:val="002C3EFD"/>
    <w:rsid w:val="002C477D"/>
    <w:rsid w:val="002C5A69"/>
    <w:rsid w:val="002C629E"/>
    <w:rsid w:val="002C680F"/>
    <w:rsid w:val="002E064A"/>
    <w:rsid w:val="002E2184"/>
    <w:rsid w:val="002E277D"/>
    <w:rsid w:val="002E61A7"/>
    <w:rsid w:val="002E6678"/>
    <w:rsid w:val="002F76F7"/>
    <w:rsid w:val="003060B3"/>
    <w:rsid w:val="00312C39"/>
    <w:rsid w:val="00316CA5"/>
    <w:rsid w:val="0032160D"/>
    <w:rsid w:val="003237F6"/>
    <w:rsid w:val="00326E4D"/>
    <w:rsid w:val="00327F5B"/>
    <w:rsid w:val="0033141F"/>
    <w:rsid w:val="00336E94"/>
    <w:rsid w:val="003425B6"/>
    <w:rsid w:val="003536A7"/>
    <w:rsid w:val="00354299"/>
    <w:rsid w:val="0035587E"/>
    <w:rsid w:val="00356BB2"/>
    <w:rsid w:val="00360B61"/>
    <w:rsid w:val="00361384"/>
    <w:rsid w:val="00365CBA"/>
    <w:rsid w:val="0036754E"/>
    <w:rsid w:val="00372932"/>
    <w:rsid w:val="003729E7"/>
    <w:rsid w:val="00375DF3"/>
    <w:rsid w:val="00377459"/>
    <w:rsid w:val="00384A71"/>
    <w:rsid w:val="003872C3"/>
    <w:rsid w:val="00387C47"/>
    <w:rsid w:val="00390F06"/>
    <w:rsid w:val="00391A7C"/>
    <w:rsid w:val="00393E28"/>
    <w:rsid w:val="0039428E"/>
    <w:rsid w:val="003A0BEF"/>
    <w:rsid w:val="003A2C00"/>
    <w:rsid w:val="003A7455"/>
    <w:rsid w:val="003B6973"/>
    <w:rsid w:val="003B722E"/>
    <w:rsid w:val="003C2E0E"/>
    <w:rsid w:val="003C3C92"/>
    <w:rsid w:val="003C7505"/>
    <w:rsid w:val="003D0427"/>
    <w:rsid w:val="003D0A17"/>
    <w:rsid w:val="003D2238"/>
    <w:rsid w:val="003E1CC6"/>
    <w:rsid w:val="003F1015"/>
    <w:rsid w:val="003F5877"/>
    <w:rsid w:val="00402469"/>
    <w:rsid w:val="00402D72"/>
    <w:rsid w:val="00403D6B"/>
    <w:rsid w:val="004042D3"/>
    <w:rsid w:val="00405860"/>
    <w:rsid w:val="0040594A"/>
    <w:rsid w:val="00420A6F"/>
    <w:rsid w:val="00422497"/>
    <w:rsid w:val="00423023"/>
    <w:rsid w:val="00430179"/>
    <w:rsid w:val="004317C7"/>
    <w:rsid w:val="00431ACD"/>
    <w:rsid w:val="00436752"/>
    <w:rsid w:val="00437C4B"/>
    <w:rsid w:val="004403D0"/>
    <w:rsid w:val="00442CD9"/>
    <w:rsid w:val="004439E6"/>
    <w:rsid w:val="00443D01"/>
    <w:rsid w:val="004459BE"/>
    <w:rsid w:val="00447960"/>
    <w:rsid w:val="00450307"/>
    <w:rsid w:val="00453D72"/>
    <w:rsid w:val="00456DEC"/>
    <w:rsid w:val="004579CF"/>
    <w:rsid w:val="00461182"/>
    <w:rsid w:val="004659C9"/>
    <w:rsid w:val="00467F7D"/>
    <w:rsid w:val="00473C0C"/>
    <w:rsid w:val="004752D3"/>
    <w:rsid w:val="00477911"/>
    <w:rsid w:val="00480FCF"/>
    <w:rsid w:val="00485F68"/>
    <w:rsid w:val="00493AC7"/>
    <w:rsid w:val="004944A8"/>
    <w:rsid w:val="0049593A"/>
    <w:rsid w:val="00495E17"/>
    <w:rsid w:val="00497A15"/>
    <w:rsid w:val="004A64B8"/>
    <w:rsid w:val="004B4F83"/>
    <w:rsid w:val="004B69B7"/>
    <w:rsid w:val="004B6B19"/>
    <w:rsid w:val="004B79FF"/>
    <w:rsid w:val="004C46EB"/>
    <w:rsid w:val="004C4731"/>
    <w:rsid w:val="004C55F0"/>
    <w:rsid w:val="004D11A0"/>
    <w:rsid w:val="004D17C4"/>
    <w:rsid w:val="004D1B5F"/>
    <w:rsid w:val="004D6D26"/>
    <w:rsid w:val="004F0575"/>
    <w:rsid w:val="004F10DB"/>
    <w:rsid w:val="004F48E3"/>
    <w:rsid w:val="004F5A9B"/>
    <w:rsid w:val="004F6D2B"/>
    <w:rsid w:val="005012C9"/>
    <w:rsid w:val="00502E6B"/>
    <w:rsid w:val="0050536C"/>
    <w:rsid w:val="005055C8"/>
    <w:rsid w:val="00506321"/>
    <w:rsid w:val="0050701A"/>
    <w:rsid w:val="00513E73"/>
    <w:rsid w:val="005242A8"/>
    <w:rsid w:val="00524959"/>
    <w:rsid w:val="005324C5"/>
    <w:rsid w:val="005334E6"/>
    <w:rsid w:val="00534ADF"/>
    <w:rsid w:val="005356F2"/>
    <w:rsid w:val="0054012A"/>
    <w:rsid w:val="005421E4"/>
    <w:rsid w:val="005440C1"/>
    <w:rsid w:val="00544A16"/>
    <w:rsid w:val="005471D6"/>
    <w:rsid w:val="00552BDF"/>
    <w:rsid w:val="00563AF4"/>
    <w:rsid w:val="005708BA"/>
    <w:rsid w:val="0057372B"/>
    <w:rsid w:val="005756A1"/>
    <w:rsid w:val="00577AF4"/>
    <w:rsid w:val="00580B6D"/>
    <w:rsid w:val="00582E0C"/>
    <w:rsid w:val="00585F24"/>
    <w:rsid w:val="0059154D"/>
    <w:rsid w:val="005917B3"/>
    <w:rsid w:val="0059389B"/>
    <w:rsid w:val="0059485C"/>
    <w:rsid w:val="00594CA6"/>
    <w:rsid w:val="005969C3"/>
    <w:rsid w:val="005A1D25"/>
    <w:rsid w:val="005A2B7E"/>
    <w:rsid w:val="005A45AB"/>
    <w:rsid w:val="005A5C6E"/>
    <w:rsid w:val="005B2812"/>
    <w:rsid w:val="005B7C07"/>
    <w:rsid w:val="005C1B5A"/>
    <w:rsid w:val="005C252D"/>
    <w:rsid w:val="005C32EE"/>
    <w:rsid w:val="005C4EA2"/>
    <w:rsid w:val="005D3C65"/>
    <w:rsid w:val="005D44AD"/>
    <w:rsid w:val="005D45C7"/>
    <w:rsid w:val="005D78F3"/>
    <w:rsid w:val="005E3C37"/>
    <w:rsid w:val="005E4388"/>
    <w:rsid w:val="005E493A"/>
    <w:rsid w:val="005F0C0F"/>
    <w:rsid w:val="005F1055"/>
    <w:rsid w:val="0060014C"/>
    <w:rsid w:val="006018AE"/>
    <w:rsid w:val="00601EA6"/>
    <w:rsid w:val="00605F66"/>
    <w:rsid w:val="006072DD"/>
    <w:rsid w:val="00611BFE"/>
    <w:rsid w:val="006153AE"/>
    <w:rsid w:val="00616E96"/>
    <w:rsid w:val="006342AF"/>
    <w:rsid w:val="006411D6"/>
    <w:rsid w:val="00643475"/>
    <w:rsid w:val="006447D5"/>
    <w:rsid w:val="00645B0C"/>
    <w:rsid w:val="00650A08"/>
    <w:rsid w:val="00655D60"/>
    <w:rsid w:val="006629EF"/>
    <w:rsid w:val="00666ACC"/>
    <w:rsid w:val="006674E0"/>
    <w:rsid w:val="0067201B"/>
    <w:rsid w:val="006742A0"/>
    <w:rsid w:val="00685C9A"/>
    <w:rsid w:val="00685DCA"/>
    <w:rsid w:val="00691E51"/>
    <w:rsid w:val="00694236"/>
    <w:rsid w:val="00697DD6"/>
    <w:rsid w:val="006A368C"/>
    <w:rsid w:val="006A402A"/>
    <w:rsid w:val="006A496E"/>
    <w:rsid w:val="006A770D"/>
    <w:rsid w:val="006B1A3E"/>
    <w:rsid w:val="006B1EDF"/>
    <w:rsid w:val="006B3E3B"/>
    <w:rsid w:val="006B4CD8"/>
    <w:rsid w:val="006B5373"/>
    <w:rsid w:val="006B7039"/>
    <w:rsid w:val="006C02DA"/>
    <w:rsid w:val="006C36E8"/>
    <w:rsid w:val="006C5D46"/>
    <w:rsid w:val="006C651E"/>
    <w:rsid w:val="006D2834"/>
    <w:rsid w:val="006D41AD"/>
    <w:rsid w:val="006D5BAB"/>
    <w:rsid w:val="006D6B25"/>
    <w:rsid w:val="006D6C51"/>
    <w:rsid w:val="006E07C4"/>
    <w:rsid w:val="006E2A73"/>
    <w:rsid w:val="006E4F83"/>
    <w:rsid w:val="006E5AD1"/>
    <w:rsid w:val="006F0724"/>
    <w:rsid w:val="006F08DE"/>
    <w:rsid w:val="006F7AE2"/>
    <w:rsid w:val="00702BA2"/>
    <w:rsid w:val="007051DC"/>
    <w:rsid w:val="00705482"/>
    <w:rsid w:val="0070583A"/>
    <w:rsid w:val="00706A60"/>
    <w:rsid w:val="00710A61"/>
    <w:rsid w:val="007117A1"/>
    <w:rsid w:val="0071299A"/>
    <w:rsid w:val="0071310C"/>
    <w:rsid w:val="00726F2C"/>
    <w:rsid w:val="00730DE2"/>
    <w:rsid w:val="00732CAA"/>
    <w:rsid w:val="00733348"/>
    <w:rsid w:val="00737E59"/>
    <w:rsid w:val="00741696"/>
    <w:rsid w:val="00741FC8"/>
    <w:rsid w:val="00746DEA"/>
    <w:rsid w:val="00747C85"/>
    <w:rsid w:val="00751181"/>
    <w:rsid w:val="00755AAC"/>
    <w:rsid w:val="0075699F"/>
    <w:rsid w:val="00756CB9"/>
    <w:rsid w:val="007619A1"/>
    <w:rsid w:val="00762099"/>
    <w:rsid w:val="00763C2D"/>
    <w:rsid w:val="007661F7"/>
    <w:rsid w:val="0077015A"/>
    <w:rsid w:val="007701F8"/>
    <w:rsid w:val="00771F22"/>
    <w:rsid w:val="00773B00"/>
    <w:rsid w:val="0077416C"/>
    <w:rsid w:val="00775031"/>
    <w:rsid w:val="00775454"/>
    <w:rsid w:val="00776767"/>
    <w:rsid w:val="00777C61"/>
    <w:rsid w:val="00780E40"/>
    <w:rsid w:val="0078192A"/>
    <w:rsid w:val="00783174"/>
    <w:rsid w:val="0079157A"/>
    <w:rsid w:val="007922CF"/>
    <w:rsid w:val="007A2491"/>
    <w:rsid w:val="007A2936"/>
    <w:rsid w:val="007A412A"/>
    <w:rsid w:val="007A7B33"/>
    <w:rsid w:val="007B0735"/>
    <w:rsid w:val="007B4D7A"/>
    <w:rsid w:val="007C39F5"/>
    <w:rsid w:val="007C66C8"/>
    <w:rsid w:val="007C6F0F"/>
    <w:rsid w:val="007C761B"/>
    <w:rsid w:val="007D15CB"/>
    <w:rsid w:val="007D2421"/>
    <w:rsid w:val="007D2540"/>
    <w:rsid w:val="007D397A"/>
    <w:rsid w:val="007D4CFA"/>
    <w:rsid w:val="007D67E2"/>
    <w:rsid w:val="007D7BC2"/>
    <w:rsid w:val="007F0C2E"/>
    <w:rsid w:val="007F59D9"/>
    <w:rsid w:val="0080230D"/>
    <w:rsid w:val="00804B0F"/>
    <w:rsid w:val="008065E1"/>
    <w:rsid w:val="00807583"/>
    <w:rsid w:val="00810D5F"/>
    <w:rsid w:val="00814779"/>
    <w:rsid w:val="00815820"/>
    <w:rsid w:val="008209CD"/>
    <w:rsid w:val="00820FD6"/>
    <w:rsid w:val="008250E6"/>
    <w:rsid w:val="00825694"/>
    <w:rsid w:val="00826912"/>
    <w:rsid w:val="00832BF0"/>
    <w:rsid w:val="00834BF9"/>
    <w:rsid w:val="00834C6D"/>
    <w:rsid w:val="00835EC1"/>
    <w:rsid w:val="00843AE6"/>
    <w:rsid w:val="0084480E"/>
    <w:rsid w:val="00845EFF"/>
    <w:rsid w:val="00845F57"/>
    <w:rsid w:val="00846771"/>
    <w:rsid w:val="00847ED3"/>
    <w:rsid w:val="00850C8E"/>
    <w:rsid w:val="00855895"/>
    <w:rsid w:val="008657BA"/>
    <w:rsid w:val="00867B64"/>
    <w:rsid w:val="00871D3B"/>
    <w:rsid w:val="008745FC"/>
    <w:rsid w:val="00875D43"/>
    <w:rsid w:val="008770EB"/>
    <w:rsid w:val="0088182B"/>
    <w:rsid w:val="00882416"/>
    <w:rsid w:val="008857E1"/>
    <w:rsid w:val="00885FA9"/>
    <w:rsid w:val="00887138"/>
    <w:rsid w:val="00893F65"/>
    <w:rsid w:val="00894736"/>
    <w:rsid w:val="00895A47"/>
    <w:rsid w:val="008A2049"/>
    <w:rsid w:val="008A75BF"/>
    <w:rsid w:val="008B3C77"/>
    <w:rsid w:val="008C32AF"/>
    <w:rsid w:val="008D0AEC"/>
    <w:rsid w:val="008D21D7"/>
    <w:rsid w:val="008D3849"/>
    <w:rsid w:val="008E52DF"/>
    <w:rsid w:val="008F4520"/>
    <w:rsid w:val="008F5222"/>
    <w:rsid w:val="008F564A"/>
    <w:rsid w:val="008F5FE9"/>
    <w:rsid w:val="008F7D62"/>
    <w:rsid w:val="00902046"/>
    <w:rsid w:val="0090320E"/>
    <w:rsid w:val="00905BE6"/>
    <w:rsid w:val="00905FE6"/>
    <w:rsid w:val="0090714C"/>
    <w:rsid w:val="00915C7C"/>
    <w:rsid w:val="00916DA5"/>
    <w:rsid w:val="009179F4"/>
    <w:rsid w:val="00917D14"/>
    <w:rsid w:val="00917FBB"/>
    <w:rsid w:val="00921245"/>
    <w:rsid w:val="00923DF3"/>
    <w:rsid w:val="0092427C"/>
    <w:rsid w:val="009245B9"/>
    <w:rsid w:val="009310E1"/>
    <w:rsid w:val="00935A94"/>
    <w:rsid w:val="00944849"/>
    <w:rsid w:val="00944FF5"/>
    <w:rsid w:val="00945F9B"/>
    <w:rsid w:val="0095135F"/>
    <w:rsid w:val="009522F3"/>
    <w:rsid w:val="00957FDE"/>
    <w:rsid w:val="00960CD5"/>
    <w:rsid w:val="00961954"/>
    <w:rsid w:val="0096448E"/>
    <w:rsid w:val="00964A10"/>
    <w:rsid w:val="00964B2A"/>
    <w:rsid w:val="009700FE"/>
    <w:rsid w:val="00982464"/>
    <w:rsid w:val="00982FE3"/>
    <w:rsid w:val="00984E95"/>
    <w:rsid w:val="00994965"/>
    <w:rsid w:val="009A12E1"/>
    <w:rsid w:val="009A19AF"/>
    <w:rsid w:val="009B1D2F"/>
    <w:rsid w:val="009B34D8"/>
    <w:rsid w:val="009B3852"/>
    <w:rsid w:val="009B5EAB"/>
    <w:rsid w:val="009B7C56"/>
    <w:rsid w:val="009C6EC5"/>
    <w:rsid w:val="009D0B30"/>
    <w:rsid w:val="009D0F1D"/>
    <w:rsid w:val="009D2241"/>
    <w:rsid w:val="009D44B1"/>
    <w:rsid w:val="009D4DBD"/>
    <w:rsid w:val="009D657D"/>
    <w:rsid w:val="009E2E2F"/>
    <w:rsid w:val="009E50BC"/>
    <w:rsid w:val="009E5CDB"/>
    <w:rsid w:val="009E7D38"/>
    <w:rsid w:val="009F093C"/>
    <w:rsid w:val="009F20FE"/>
    <w:rsid w:val="009F44CF"/>
    <w:rsid w:val="009F4BAE"/>
    <w:rsid w:val="009F7234"/>
    <w:rsid w:val="00A028D7"/>
    <w:rsid w:val="00A0473F"/>
    <w:rsid w:val="00A05045"/>
    <w:rsid w:val="00A14C0D"/>
    <w:rsid w:val="00A17748"/>
    <w:rsid w:val="00A25108"/>
    <w:rsid w:val="00A25DA2"/>
    <w:rsid w:val="00A2748C"/>
    <w:rsid w:val="00A27801"/>
    <w:rsid w:val="00A309CA"/>
    <w:rsid w:val="00A4371B"/>
    <w:rsid w:val="00A54839"/>
    <w:rsid w:val="00A57BDB"/>
    <w:rsid w:val="00A627F4"/>
    <w:rsid w:val="00A64655"/>
    <w:rsid w:val="00A67759"/>
    <w:rsid w:val="00A71AA8"/>
    <w:rsid w:val="00A7255B"/>
    <w:rsid w:val="00A73EEF"/>
    <w:rsid w:val="00A74F3C"/>
    <w:rsid w:val="00A751A1"/>
    <w:rsid w:val="00A755C5"/>
    <w:rsid w:val="00A80AED"/>
    <w:rsid w:val="00A840AC"/>
    <w:rsid w:val="00A842B2"/>
    <w:rsid w:val="00A86372"/>
    <w:rsid w:val="00A91027"/>
    <w:rsid w:val="00A9619B"/>
    <w:rsid w:val="00A96497"/>
    <w:rsid w:val="00AA19AA"/>
    <w:rsid w:val="00AA1E1A"/>
    <w:rsid w:val="00AA2CB7"/>
    <w:rsid w:val="00AA5274"/>
    <w:rsid w:val="00AA5A5E"/>
    <w:rsid w:val="00AA661C"/>
    <w:rsid w:val="00AA79B8"/>
    <w:rsid w:val="00AB2A7A"/>
    <w:rsid w:val="00AB4C91"/>
    <w:rsid w:val="00AB4F4F"/>
    <w:rsid w:val="00AB69A1"/>
    <w:rsid w:val="00AB6C05"/>
    <w:rsid w:val="00AB70CE"/>
    <w:rsid w:val="00AC13B7"/>
    <w:rsid w:val="00AC1568"/>
    <w:rsid w:val="00AC78ED"/>
    <w:rsid w:val="00AD067A"/>
    <w:rsid w:val="00AD2898"/>
    <w:rsid w:val="00AE63A7"/>
    <w:rsid w:val="00AF05AA"/>
    <w:rsid w:val="00AF238D"/>
    <w:rsid w:val="00AF2D1F"/>
    <w:rsid w:val="00AF4349"/>
    <w:rsid w:val="00AF5F11"/>
    <w:rsid w:val="00B10E98"/>
    <w:rsid w:val="00B11F1E"/>
    <w:rsid w:val="00B14FDE"/>
    <w:rsid w:val="00B15709"/>
    <w:rsid w:val="00B16A3B"/>
    <w:rsid w:val="00B20725"/>
    <w:rsid w:val="00B2096F"/>
    <w:rsid w:val="00B221E3"/>
    <w:rsid w:val="00B2617E"/>
    <w:rsid w:val="00B26742"/>
    <w:rsid w:val="00B26F68"/>
    <w:rsid w:val="00B26FDE"/>
    <w:rsid w:val="00B30319"/>
    <w:rsid w:val="00B34034"/>
    <w:rsid w:val="00B35CA2"/>
    <w:rsid w:val="00B37D8C"/>
    <w:rsid w:val="00B44914"/>
    <w:rsid w:val="00B509FE"/>
    <w:rsid w:val="00B611A7"/>
    <w:rsid w:val="00B63681"/>
    <w:rsid w:val="00B63BAE"/>
    <w:rsid w:val="00B70977"/>
    <w:rsid w:val="00B72F16"/>
    <w:rsid w:val="00B7316F"/>
    <w:rsid w:val="00B8092C"/>
    <w:rsid w:val="00B816FD"/>
    <w:rsid w:val="00B84EE4"/>
    <w:rsid w:val="00B87A6B"/>
    <w:rsid w:val="00B87BFA"/>
    <w:rsid w:val="00B87D22"/>
    <w:rsid w:val="00B91428"/>
    <w:rsid w:val="00BA45BC"/>
    <w:rsid w:val="00BA4998"/>
    <w:rsid w:val="00BB5067"/>
    <w:rsid w:val="00BC3EDD"/>
    <w:rsid w:val="00BC4BD0"/>
    <w:rsid w:val="00BC552D"/>
    <w:rsid w:val="00BE121A"/>
    <w:rsid w:val="00BE178E"/>
    <w:rsid w:val="00BE2A26"/>
    <w:rsid w:val="00BE322F"/>
    <w:rsid w:val="00BE7F23"/>
    <w:rsid w:val="00BF08A5"/>
    <w:rsid w:val="00BF216B"/>
    <w:rsid w:val="00C021F8"/>
    <w:rsid w:val="00C03FD1"/>
    <w:rsid w:val="00C0534D"/>
    <w:rsid w:val="00C061D3"/>
    <w:rsid w:val="00C119DA"/>
    <w:rsid w:val="00C15366"/>
    <w:rsid w:val="00C1682D"/>
    <w:rsid w:val="00C17814"/>
    <w:rsid w:val="00C2497E"/>
    <w:rsid w:val="00C253B9"/>
    <w:rsid w:val="00C2795E"/>
    <w:rsid w:val="00C27E2B"/>
    <w:rsid w:val="00C32E41"/>
    <w:rsid w:val="00C330E6"/>
    <w:rsid w:val="00C404BE"/>
    <w:rsid w:val="00C45C5A"/>
    <w:rsid w:val="00C46622"/>
    <w:rsid w:val="00C466E6"/>
    <w:rsid w:val="00C553A4"/>
    <w:rsid w:val="00C57E7D"/>
    <w:rsid w:val="00C610BB"/>
    <w:rsid w:val="00C67214"/>
    <w:rsid w:val="00C7279B"/>
    <w:rsid w:val="00C75C98"/>
    <w:rsid w:val="00C82E86"/>
    <w:rsid w:val="00C83253"/>
    <w:rsid w:val="00C94573"/>
    <w:rsid w:val="00C9593B"/>
    <w:rsid w:val="00C963BC"/>
    <w:rsid w:val="00C977C6"/>
    <w:rsid w:val="00CA2A7C"/>
    <w:rsid w:val="00CA5BA8"/>
    <w:rsid w:val="00CA742A"/>
    <w:rsid w:val="00CB505C"/>
    <w:rsid w:val="00CC4F8F"/>
    <w:rsid w:val="00CC5A59"/>
    <w:rsid w:val="00CC6EFB"/>
    <w:rsid w:val="00CC7D68"/>
    <w:rsid w:val="00CC7FC7"/>
    <w:rsid w:val="00CD4A7E"/>
    <w:rsid w:val="00CD4DC5"/>
    <w:rsid w:val="00CE6F80"/>
    <w:rsid w:val="00CF2EC9"/>
    <w:rsid w:val="00CF308C"/>
    <w:rsid w:val="00CF3E23"/>
    <w:rsid w:val="00CF6B7B"/>
    <w:rsid w:val="00CF7C86"/>
    <w:rsid w:val="00D041AD"/>
    <w:rsid w:val="00D049A8"/>
    <w:rsid w:val="00D06091"/>
    <w:rsid w:val="00D06362"/>
    <w:rsid w:val="00D10B05"/>
    <w:rsid w:val="00D11433"/>
    <w:rsid w:val="00D12C9E"/>
    <w:rsid w:val="00D13904"/>
    <w:rsid w:val="00D15296"/>
    <w:rsid w:val="00D152FF"/>
    <w:rsid w:val="00D16CE4"/>
    <w:rsid w:val="00D218BC"/>
    <w:rsid w:val="00D23CAD"/>
    <w:rsid w:val="00D25961"/>
    <w:rsid w:val="00D3356E"/>
    <w:rsid w:val="00D347C0"/>
    <w:rsid w:val="00D35D8F"/>
    <w:rsid w:val="00D43816"/>
    <w:rsid w:val="00D43B0F"/>
    <w:rsid w:val="00D45514"/>
    <w:rsid w:val="00D461B3"/>
    <w:rsid w:val="00D46989"/>
    <w:rsid w:val="00D47413"/>
    <w:rsid w:val="00D50932"/>
    <w:rsid w:val="00D57EDE"/>
    <w:rsid w:val="00D616B9"/>
    <w:rsid w:val="00D67495"/>
    <w:rsid w:val="00D737B6"/>
    <w:rsid w:val="00D738C6"/>
    <w:rsid w:val="00D76FAB"/>
    <w:rsid w:val="00D77515"/>
    <w:rsid w:val="00D83086"/>
    <w:rsid w:val="00D8339D"/>
    <w:rsid w:val="00D8360F"/>
    <w:rsid w:val="00D83765"/>
    <w:rsid w:val="00D94067"/>
    <w:rsid w:val="00D9688E"/>
    <w:rsid w:val="00DA3A9C"/>
    <w:rsid w:val="00DA4DEF"/>
    <w:rsid w:val="00DB13AD"/>
    <w:rsid w:val="00DC3EB5"/>
    <w:rsid w:val="00DC6449"/>
    <w:rsid w:val="00DC745D"/>
    <w:rsid w:val="00DD1B0D"/>
    <w:rsid w:val="00DD24ED"/>
    <w:rsid w:val="00DD7F1A"/>
    <w:rsid w:val="00DE17FA"/>
    <w:rsid w:val="00DE2336"/>
    <w:rsid w:val="00DE25D9"/>
    <w:rsid w:val="00DE62E9"/>
    <w:rsid w:val="00DE7ED8"/>
    <w:rsid w:val="00DF3E38"/>
    <w:rsid w:val="00DF42B9"/>
    <w:rsid w:val="00DF49ED"/>
    <w:rsid w:val="00DF5691"/>
    <w:rsid w:val="00DF6457"/>
    <w:rsid w:val="00E00AF4"/>
    <w:rsid w:val="00E04EB1"/>
    <w:rsid w:val="00E05B63"/>
    <w:rsid w:val="00E15E7E"/>
    <w:rsid w:val="00E23902"/>
    <w:rsid w:val="00E2398D"/>
    <w:rsid w:val="00E243FD"/>
    <w:rsid w:val="00E24F72"/>
    <w:rsid w:val="00E3194C"/>
    <w:rsid w:val="00E34115"/>
    <w:rsid w:val="00E360C9"/>
    <w:rsid w:val="00E42C15"/>
    <w:rsid w:val="00E44C64"/>
    <w:rsid w:val="00E45371"/>
    <w:rsid w:val="00E5060A"/>
    <w:rsid w:val="00E61E9D"/>
    <w:rsid w:val="00E643BE"/>
    <w:rsid w:val="00E66E81"/>
    <w:rsid w:val="00E67732"/>
    <w:rsid w:val="00E703D9"/>
    <w:rsid w:val="00E73A40"/>
    <w:rsid w:val="00E74A56"/>
    <w:rsid w:val="00E7689B"/>
    <w:rsid w:val="00E76D09"/>
    <w:rsid w:val="00E7705A"/>
    <w:rsid w:val="00E77EFB"/>
    <w:rsid w:val="00E80679"/>
    <w:rsid w:val="00E86DFF"/>
    <w:rsid w:val="00E91082"/>
    <w:rsid w:val="00EA0810"/>
    <w:rsid w:val="00EA188E"/>
    <w:rsid w:val="00EA3235"/>
    <w:rsid w:val="00EB1B4E"/>
    <w:rsid w:val="00EB6222"/>
    <w:rsid w:val="00EB6A32"/>
    <w:rsid w:val="00EC144F"/>
    <w:rsid w:val="00EC25E1"/>
    <w:rsid w:val="00EC3FC6"/>
    <w:rsid w:val="00ED00E7"/>
    <w:rsid w:val="00ED262D"/>
    <w:rsid w:val="00ED34A5"/>
    <w:rsid w:val="00ED69EC"/>
    <w:rsid w:val="00EE0BE1"/>
    <w:rsid w:val="00EE1851"/>
    <w:rsid w:val="00EE2B24"/>
    <w:rsid w:val="00EE3B62"/>
    <w:rsid w:val="00EE4320"/>
    <w:rsid w:val="00EE73B5"/>
    <w:rsid w:val="00EF1DEA"/>
    <w:rsid w:val="00EF2FAF"/>
    <w:rsid w:val="00EF7E9D"/>
    <w:rsid w:val="00F05B1F"/>
    <w:rsid w:val="00F0614E"/>
    <w:rsid w:val="00F14E0F"/>
    <w:rsid w:val="00F25617"/>
    <w:rsid w:val="00F2784C"/>
    <w:rsid w:val="00F30ACB"/>
    <w:rsid w:val="00F31388"/>
    <w:rsid w:val="00F34F52"/>
    <w:rsid w:val="00F35187"/>
    <w:rsid w:val="00F35BC9"/>
    <w:rsid w:val="00F44D5F"/>
    <w:rsid w:val="00F528E4"/>
    <w:rsid w:val="00F5398B"/>
    <w:rsid w:val="00F55E0B"/>
    <w:rsid w:val="00F56907"/>
    <w:rsid w:val="00F72249"/>
    <w:rsid w:val="00F72530"/>
    <w:rsid w:val="00F756E9"/>
    <w:rsid w:val="00F822E0"/>
    <w:rsid w:val="00F823F1"/>
    <w:rsid w:val="00F83F66"/>
    <w:rsid w:val="00F84B81"/>
    <w:rsid w:val="00F84D20"/>
    <w:rsid w:val="00F8673F"/>
    <w:rsid w:val="00F92316"/>
    <w:rsid w:val="00F93D39"/>
    <w:rsid w:val="00F94233"/>
    <w:rsid w:val="00F9623A"/>
    <w:rsid w:val="00F97F39"/>
    <w:rsid w:val="00FA2E98"/>
    <w:rsid w:val="00FB0FB6"/>
    <w:rsid w:val="00FB1CFE"/>
    <w:rsid w:val="00FB3B63"/>
    <w:rsid w:val="00FB545A"/>
    <w:rsid w:val="00FB6497"/>
    <w:rsid w:val="00FC119B"/>
    <w:rsid w:val="00FC3BB9"/>
    <w:rsid w:val="00FC3F00"/>
    <w:rsid w:val="00FC7F19"/>
    <w:rsid w:val="00FD0BEE"/>
    <w:rsid w:val="00FD4B0C"/>
    <w:rsid w:val="00FD6629"/>
    <w:rsid w:val="00FE0388"/>
    <w:rsid w:val="00FE23ED"/>
    <w:rsid w:val="00FE7B4C"/>
    <w:rsid w:val="00FF7205"/>
    <w:rsid w:val="04101AF0"/>
    <w:rsid w:val="06995F4A"/>
    <w:rsid w:val="07D7D93B"/>
    <w:rsid w:val="0F4F6051"/>
    <w:rsid w:val="195DC284"/>
    <w:rsid w:val="19EF3810"/>
    <w:rsid w:val="1D398C9E"/>
    <w:rsid w:val="1F6BC8C4"/>
    <w:rsid w:val="212A64F2"/>
    <w:rsid w:val="2AEF13D1"/>
    <w:rsid w:val="2D737ACC"/>
    <w:rsid w:val="2F23D56E"/>
    <w:rsid w:val="3F23B3D6"/>
    <w:rsid w:val="42B3626B"/>
    <w:rsid w:val="42ECE08C"/>
    <w:rsid w:val="44F44DB2"/>
    <w:rsid w:val="4837F2BC"/>
    <w:rsid w:val="5698B49D"/>
    <w:rsid w:val="69A5A38E"/>
    <w:rsid w:val="6F26B227"/>
    <w:rsid w:val="7F4DA8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381E"/>
  <w15:docId w15:val="{278F4877-4B12-493B-A916-65712C6C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D3"/>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79FF"/>
    <w:pPr>
      <w:keepNext/>
      <w:keepLines/>
      <w:spacing w:before="200" w:after="0"/>
      <w:ind w:left="227"/>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B79F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Revision">
    <w:name w:val="Revision"/>
    <w:hidden/>
    <w:uiPriority w:val="99"/>
    <w:semiHidden/>
    <w:rsid w:val="004F0575"/>
    <w:pPr>
      <w:spacing w:after="0" w:line="240" w:lineRule="auto"/>
    </w:pPr>
  </w:style>
  <w:style w:type="character" w:styleId="UnresolvedMention">
    <w:name w:val="Unresolved Mention"/>
    <w:basedOn w:val="DefaultParagraphFont"/>
    <w:uiPriority w:val="99"/>
    <w:semiHidden/>
    <w:unhideWhenUsed/>
    <w:rsid w:val="00AF4349"/>
    <w:rPr>
      <w:color w:val="605E5C"/>
      <w:shd w:val="clear" w:color="auto" w:fill="E1DFDD"/>
    </w:rPr>
  </w:style>
  <w:style w:type="paragraph" w:styleId="Header">
    <w:name w:val="header"/>
    <w:basedOn w:val="Normal"/>
    <w:link w:val="HeaderChar"/>
    <w:uiPriority w:val="99"/>
    <w:unhideWhenUsed/>
    <w:rsid w:val="00C17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14"/>
  </w:style>
  <w:style w:type="character" w:customStyle="1" w:styleId="BayerBodyTextFullChar">
    <w:name w:val="Bayer Body Text Full Char"/>
    <w:link w:val="BayerBodyTextFull"/>
    <w:qFormat/>
    <w:locked/>
    <w:rsid w:val="00C17814"/>
    <w:rPr>
      <w:sz w:val="24"/>
      <w:lang w:val="en-US"/>
    </w:rPr>
  </w:style>
  <w:style w:type="paragraph" w:customStyle="1" w:styleId="BayerBodyTextFull">
    <w:name w:val="Bayer Body Text Full"/>
    <w:basedOn w:val="Normal"/>
    <w:link w:val="BayerBodyTextFullChar"/>
    <w:qFormat/>
    <w:rsid w:val="00C17814"/>
    <w:pPr>
      <w:spacing w:before="120" w:after="120" w:line="240" w:lineRule="auto"/>
    </w:pPr>
    <w:rPr>
      <w:sz w:val="24"/>
      <w:lang w:val="en-US"/>
    </w:rPr>
  </w:style>
  <w:style w:type="paragraph" w:styleId="CommentSubject">
    <w:name w:val="annotation subject"/>
    <w:basedOn w:val="CommentText"/>
    <w:next w:val="CommentText"/>
    <w:link w:val="CommentSubjectChar"/>
    <w:uiPriority w:val="99"/>
    <w:semiHidden/>
    <w:unhideWhenUsed/>
    <w:rsid w:val="001A62E5"/>
    <w:rPr>
      <w:rFonts w:asciiTheme="minorHAnsi" w:hAnsiTheme="minorHAnsi"/>
      <w:b/>
      <w:bCs/>
    </w:rPr>
  </w:style>
  <w:style w:type="character" w:customStyle="1" w:styleId="CommentSubjectChar">
    <w:name w:val="Comment Subject Char"/>
    <w:basedOn w:val="CommentTextChar"/>
    <w:link w:val="CommentSubject"/>
    <w:uiPriority w:val="99"/>
    <w:semiHidden/>
    <w:rsid w:val="001A62E5"/>
    <w:rPr>
      <w:rFonts w:ascii="Cambria" w:hAnsi="Cambria"/>
      <w:b/>
      <w:bCs/>
      <w:sz w:val="20"/>
      <w:szCs w:val="20"/>
    </w:rPr>
  </w:style>
  <w:style w:type="paragraph" w:customStyle="1" w:styleId="Default">
    <w:name w:val="Default"/>
    <w:rsid w:val="00697DD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
    <w:name w:val="Table"/>
    <w:basedOn w:val="TableNormal"/>
    <w:uiPriority w:val="99"/>
    <w:rsid w:val="00EF2FAF"/>
    <w:pPr>
      <w:spacing w:after="0" w:line="240" w:lineRule="auto"/>
    </w:pPr>
    <w:rPr>
      <w:rFonts w:asciiTheme="majorHAnsi" w:hAnsiTheme="majorHAnsi"/>
    </w:rPr>
    <w:tblPr/>
  </w:style>
  <w:style w:type="paragraph" w:styleId="EndnoteText">
    <w:name w:val="endnote text"/>
    <w:basedOn w:val="Normal"/>
    <w:link w:val="EndnoteTextChar"/>
    <w:semiHidden/>
    <w:unhideWhenUsed/>
    <w:rsid w:val="00D25961"/>
    <w:pPr>
      <w:spacing w:after="0" w:line="240" w:lineRule="auto"/>
    </w:pPr>
    <w:rPr>
      <w:sz w:val="20"/>
      <w:szCs w:val="20"/>
    </w:rPr>
  </w:style>
  <w:style w:type="character" w:customStyle="1" w:styleId="EndnoteTextChar">
    <w:name w:val="Endnote Text Char"/>
    <w:basedOn w:val="DefaultParagraphFont"/>
    <w:link w:val="EndnoteText"/>
    <w:semiHidden/>
    <w:rsid w:val="00D25961"/>
    <w:rPr>
      <w:sz w:val="20"/>
      <w:szCs w:val="20"/>
    </w:rPr>
  </w:style>
  <w:style w:type="character" w:styleId="EndnoteReference">
    <w:name w:val="endnote reference"/>
    <w:semiHidden/>
    <w:unhideWhenUsed/>
    <w:rsid w:val="00D25961"/>
    <w:rPr>
      <w:bdr w:val="none" w:sz="0" w:space="0" w:color="auto" w:frame="1"/>
      <w:shd w:val="clear" w:color="auto" w:fill="BFBFBF"/>
      <w:vertAlign w:val="superscript"/>
    </w:rPr>
  </w:style>
  <w:style w:type="character" w:customStyle="1" w:styleId="BayerTableColumnHeadingsChar">
    <w:name w:val="Bayer Table Column Headings Char"/>
    <w:link w:val="BayerTableColumnHeadings"/>
    <w:locked/>
    <w:rsid w:val="004D17C4"/>
    <w:rPr>
      <w:rFonts w:asciiTheme="majorHAnsi" w:hAnsiTheme="majorHAnsi" w:cs="Arial"/>
      <w:b/>
      <w:lang w:val="en-US"/>
    </w:rPr>
  </w:style>
  <w:style w:type="paragraph" w:customStyle="1" w:styleId="BayerTableColumnHeadings">
    <w:name w:val="Bayer Table Column Headings"/>
    <w:basedOn w:val="Normal"/>
    <w:link w:val="BayerTableColumnHeadingsChar"/>
    <w:qFormat/>
    <w:rsid w:val="004D17C4"/>
    <w:pPr>
      <w:spacing w:after="0" w:line="240" w:lineRule="auto"/>
    </w:pPr>
    <w:rPr>
      <w:rFonts w:asciiTheme="majorHAnsi" w:hAnsiTheme="majorHAnsi" w:cs="Arial"/>
      <w:b/>
      <w:lang w:val="en-US"/>
    </w:rPr>
  </w:style>
  <w:style w:type="paragraph" w:customStyle="1" w:styleId="Smalltext80">
    <w:name w:val="Smalltext8:0"/>
    <w:uiPriority w:val="99"/>
    <w:rsid w:val="00D25961"/>
    <w:pPr>
      <w:widowControl w:val="0"/>
      <w:autoSpaceDE w:val="0"/>
      <w:autoSpaceDN w:val="0"/>
      <w:adjustRightInd w:val="0"/>
      <w:spacing w:after="0" w:line="240" w:lineRule="auto"/>
    </w:pPr>
    <w:rPr>
      <w:rFonts w:eastAsiaTheme="minorEastAsia"/>
      <w:color w:val="000000"/>
      <w:sz w:val="16"/>
      <w:szCs w:val="16"/>
      <w:lang w:val="en-US"/>
    </w:rPr>
  </w:style>
  <w:style w:type="paragraph" w:styleId="BodyText">
    <w:name w:val="Body Text"/>
    <w:basedOn w:val="Normal"/>
    <w:link w:val="BodyTextChar"/>
    <w:uiPriority w:val="1"/>
    <w:qFormat/>
    <w:rsid w:val="00D45514"/>
    <w:pPr>
      <w:widowControl w:val="0"/>
      <w:autoSpaceDE w:val="0"/>
      <w:autoSpaceDN w:val="0"/>
      <w:adjustRightInd w:val="0"/>
      <w:spacing w:after="0" w:line="240" w:lineRule="auto"/>
    </w:pPr>
    <w:rPr>
      <w:rFonts w:ascii="Times New Roman" w:eastAsiaTheme="minorEastAsia" w:hAnsi="Times New Roman" w:cs="Times New Roman"/>
      <w:sz w:val="18"/>
      <w:szCs w:val="18"/>
      <w:lang w:eastAsia="en-AU"/>
      <w14:ligatures w14:val="standardContextual"/>
    </w:rPr>
  </w:style>
  <w:style w:type="character" w:customStyle="1" w:styleId="BodyTextChar">
    <w:name w:val="Body Text Char"/>
    <w:basedOn w:val="DefaultParagraphFont"/>
    <w:link w:val="BodyText"/>
    <w:uiPriority w:val="1"/>
    <w:rsid w:val="00D45514"/>
    <w:rPr>
      <w:rFonts w:ascii="Times New Roman" w:eastAsiaTheme="minorEastAsia" w:hAnsi="Times New Roman" w:cs="Times New Roman"/>
      <w:sz w:val="18"/>
      <w:szCs w:val="18"/>
      <w:lang w:eastAsia="en-AU"/>
      <w14:ligatures w14:val="standardContextual"/>
    </w:rPr>
  </w:style>
  <w:style w:type="character" w:styleId="Mention">
    <w:name w:val="Mention"/>
    <w:basedOn w:val="DefaultParagraphFont"/>
    <w:uiPriority w:val="99"/>
    <w:unhideWhenUsed/>
    <w:rsid w:val="00DE25D9"/>
    <w:rPr>
      <w:color w:val="2B579A"/>
      <w:shd w:val="clear" w:color="auto" w:fill="E6E6E6"/>
    </w:rPr>
  </w:style>
  <w:style w:type="paragraph" w:styleId="Caption">
    <w:name w:val="caption"/>
    <w:basedOn w:val="Normal"/>
    <w:next w:val="Normal"/>
    <w:uiPriority w:val="35"/>
    <w:unhideWhenUsed/>
    <w:qFormat/>
    <w:rsid w:val="00643475"/>
    <w:pPr>
      <w:spacing w:line="240" w:lineRule="auto"/>
    </w:pPr>
    <w:rPr>
      <w:i/>
      <w:iCs/>
      <w:color w:val="1F497D" w:themeColor="text2"/>
      <w:sz w:val="18"/>
      <w:szCs w:val="18"/>
    </w:rPr>
  </w:style>
  <w:style w:type="table" w:styleId="TableGrid">
    <w:name w:val="Table Grid"/>
    <w:basedOn w:val="TableNormal"/>
    <w:uiPriority w:val="59"/>
    <w:rsid w:val="00FE0388"/>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894">
      <w:bodyDiv w:val="1"/>
      <w:marLeft w:val="0"/>
      <w:marRight w:val="0"/>
      <w:marTop w:val="0"/>
      <w:marBottom w:val="0"/>
      <w:divBdr>
        <w:top w:val="none" w:sz="0" w:space="0" w:color="auto"/>
        <w:left w:val="none" w:sz="0" w:space="0" w:color="auto"/>
        <w:bottom w:val="none" w:sz="0" w:space="0" w:color="auto"/>
        <w:right w:val="none" w:sz="0" w:space="0" w:color="auto"/>
      </w:divBdr>
    </w:div>
    <w:div w:id="250622966">
      <w:bodyDiv w:val="1"/>
      <w:marLeft w:val="0"/>
      <w:marRight w:val="0"/>
      <w:marTop w:val="0"/>
      <w:marBottom w:val="0"/>
      <w:divBdr>
        <w:top w:val="none" w:sz="0" w:space="0" w:color="auto"/>
        <w:left w:val="none" w:sz="0" w:space="0" w:color="auto"/>
        <w:bottom w:val="none" w:sz="0" w:space="0" w:color="auto"/>
        <w:right w:val="none" w:sz="0" w:space="0" w:color="auto"/>
      </w:divBdr>
    </w:div>
    <w:div w:id="375937925">
      <w:bodyDiv w:val="1"/>
      <w:marLeft w:val="0"/>
      <w:marRight w:val="0"/>
      <w:marTop w:val="0"/>
      <w:marBottom w:val="0"/>
      <w:divBdr>
        <w:top w:val="none" w:sz="0" w:space="0" w:color="auto"/>
        <w:left w:val="none" w:sz="0" w:space="0" w:color="auto"/>
        <w:bottom w:val="none" w:sz="0" w:space="0" w:color="auto"/>
        <w:right w:val="none" w:sz="0" w:space="0" w:color="auto"/>
      </w:divBdr>
    </w:div>
    <w:div w:id="397245509">
      <w:bodyDiv w:val="1"/>
      <w:marLeft w:val="0"/>
      <w:marRight w:val="0"/>
      <w:marTop w:val="0"/>
      <w:marBottom w:val="0"/>
      <w:divBdr>
        <w:top w:val="none" w:sz="0" w:space="0" w:color="auto"/>
        <w:left w:val="none" w:sz="0" w:space="0" w:color="auto"/>
        <w:bottom w:val="none" w:sz="0" w:space="0" w:color="auto"/>
        <w:right w:val="none" w:sz="0" w:space="0" w:color="auto"/>
      </w:divBdr>
    </w:div>
    <w:div w:id="459342525">
      <w:bodyDiv w:val="1"/>
      <w:marLeft w:val="0"/>
      <w:marRight w:val="0"/>
      <w:marTop w:val="0"/>
      <w:marBottom w:val="0"/>
      <w:divBdr>
        <w:top w:val="none" w:sz="0" w:space="0" w:color="auto"/>
        <w:left w:val="none" w:sz="0" w:space="0" w:color="auto"/>
        <w:bottom w:val="none" w:sz="0" w:space="0" w:color="auto"/>
        <w:right w:val="none" w:sz="0" w:space="0" w:color="auto"/>
      </w:divBdr>
    </w:div>
    <w:div w:id="526647505">
      <w:bodyDiv w:val="1"/>
      <w:marLeft w:val="0"/>
      <w:marRight w:val="0"/>
      <w:marTop w:val="0"/>
      <w:marBottom w:val="0"/>
      <w:divBdr>
        <w:top w:val="none" w:sz="0" w:space="0" w:color="auto"/>
        <w:left w:val="none" w:sz="0" w:space="0" w:color="auto"/>
        <w:bottom w:val="none" w:sz="0" w:space="0" w:color="auto"/>
        <w:right w:val="none" w:sz="0" w:space="0" w:color="auto"/>
      </w:divBdr>
    </w:div>
    <w:div w:id="1030105530">
      <w:bodyDiv w:val="1"/>
      <w:marLeft w:val="0"/>
      <w:marRight w:val="0"/>
      <w:marTop w:val="0"/>
      <w:marBottom w:val="0"/>
      <w:divBdr>
        <w:top w:val="none" w:sz="0" w:space="0" w:color="auto"/>
        <w:left w:val="none" w:sz="0" w:space="0" w:color="auto"/>
        <w:bottom w:val="none" w:sz="0" w:space="0" w:color="auto"/>
        <w:right w:val="none" w:sz="0" w:space="0" w:color="auto"/>
      </w:divBdr>
    </w:div>
    <w:div w:id="1122919098">
      <w:bodyDiv w:val="1"/>
      <w:marLeft w:val="0"/>
      <w:marRight w:val="0"/>
      <w:marTop w:val="0"/>
      <w:marBottom w:val="0"/>
      <w:divBdr>
        <w:top w:val="none" w:sz="0" w:space="0" w:color="auto"/>
        <w:left w:val="none" w:sz="0" w:space="0" w:color="auto"/>
        <w:bottom w:val="none" w:sz="0" w:space="0" w:color="auto"/>
        <w:right w:val="none" w:sz="0" w:space="0" w:color="auto"/>
      </w:divBdr>
    </w:div>
    <w:div w:id="1179463290">
      <w:bodyDiv w:val="1"/>
      <w:marLeft w:val="0"/>
      <w:marRight w:val="0"/>
      <w:marTop w:val="0"/>
      <w:marBottom w:val="0"/>
      <w:divBdr>
        <w:top w:val="none" w:sz="0" w:space="0" w:color="auto"/>
        <w:left w:val="none" w:sz="0" w:space="0" w:color="auto"/>
        <w:bottom w:val="none" w:sz="0" w:space="0" w:color="auto"/>
        <w:right w:val="none" w:sz="0" w:space="0" w:color="auto"/>
      </w:divBdr>
    </w:div>
    <w:div w:id="1187018590">
      <w:bodyDiv w:val="1"/>
      <w:marLeft w:val="0"/>
      <w:marRight w:val="0"/>
      <w:marTop w:val="0"/>
      <w:marBottom w:val="0"/>
      <w:divBdr>
        <w:top w:val="none" w:sz="0" w:space="0" w:color="auto"/>
        <w:left w:val="none" w:sz="0" w:space="0" w:color="auto"/>
        <w:bottom w:val="none" w:sz="0" w:space="0" w:color="auto"/>
        <w:right w:val="none" w:sz="0" w:space="0" w:color="auto"/>
      </w:divBdr>
    </w:div>
    <w:div w:id="1320034746">
      <w:bodyDiv w:val="1"/>
      <w:marLeft w:val="0"/>
      <w:marRight w:val="0"/>
      <w:marTop w:val="0"/>
      <w:marBottom w:val="0"/>
      <w:divBdr>
        <w:top w:val="none" w:sz="0" w:space="0" w:color="auto"/>
        <w:left w:val="none" w:sz="0" w:space="0" w:color="auto"/>
        <w:bottom w:val="none" w:sz="0" w:space="0" w:color="auto"/>
        <w:right w:val="none" w:sz="0" w:space="0" w:color="auto"/>
      </w:divBdr>
    </w:div>
    <w:div w:id="1355493276">
      <w:bodyDiv w:val="1"/>
      <w:marLeft w:val="0"/>
      <w:marRight w:val="0"/>
      <w:marTop w:val="0"/>
      <w:marBottom w:val="0"/>
      <w:divBdr>
        <w:top w:val="none" w:sz="0" w:space="0" w:color="auto"/>
        <w:left w:val="none" w:sz="0" w:space="0" w:color="auto"/>
        <w:bottom w:val="none" w:sz="0" w:space="0" w:color="auto"/>
        <w:right w:val="none" w:sz="0" w:space="0" w:color="auto"/>
      </w:divBdr>
    </w:div>
    <w:div w:id="1989243857">
      <w:bodyDiv w:val="1"/>
      <w:marLeft w:val="0"/>
      <w:marRight w:val="0"/>
      <w:marTop w:val="0"/>
      <w:marBottom w:val="0"/>
      <w:divBdr>
        <w:top w:val="none" w:sz="0" w:space="0" w:color="auto"/>
        <w:left w:val="none" w:sz="0" w:space="0" w:color="auto"/>
        <w:bottom w:val="none" w:sz="0" w:space="0" w:color="auto"/>
        <w:right w:val="none" w:sz="0" w:space="0" w:color="auto"/>
      </w:divBdr>
    </w:div>
    <w:div w:id="206656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ayer.com.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KMA\AppData\Local\Temp\MicrosoftEdgeDownloads\2f34eda7-0c74-4bc3-8983-3cc85bbb3906\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21" ma:contentTypeDescription="Create a new document." ma:contentTypeScope="" ma:versionID="df5a98347b3b977a4ff8435ea75cbfba">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30bad71a58e1796e564de04433ff324"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4d292e-883c-434b-96e3-060cfff16c86">
      <Value>1</Value>
    </TaxCatchAll>
    <TaxCatchAllLabel xmlns="1a4d292e-883c-434b-96e3-060cfff16c86" xsi:nil="true"/>
    <_dlc_ExpireDateSaved xmlns="http://schemas.microsoft.com/sharepoint/v3" xsi:nil="true"/>
    <_dlc_ExpireDate xmlns="http://schemas.microsoft.com/sharepoint/v3" xsi:nil="true"/>
    <_dlc_Exempt xmlns="http://schemas.microsoft.com/sharepoint/v3" xsi:nil="true"/>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7bc43322-b630-4bac-8b27-31def233d1d0" ContentTypeId="0x0101" PreviousValue="false"/>
</file>

<file path=customXml/itemProps1.xml><?xml version="1.0" encoding="utf-8"?>
<ds:datastoreItem xmlns:ds="http://schemas.openxmlformats.org/officeDocument/2006/customXml" ds:itemID="{D2ACC8BF-009B-4A5C-8EBA-5B6237EC7F6F}">
  <ds:schemaRefs>
    <ds:schemaRef ds:uri="http://schemas.openxmlformats.org/officeDocument/2006/bibliography"/>
  </ds:schemaRefs>
</ds:datastoreItem>
</file>

<file path=customXml/itemProps2.xml><?xml version="1.0" encoding="utf-8"?>
<ds:datastoreItem xmlns:ds="http://schemas.openxmlformats.org/officeDocument/2006/customXml" ds:itemID="{5C66FDD7-BE53-4D39-AE0F-80F1A7FEF480}">
  <ds:schemaRefs>
    <ds:schemaRef ds:uri="http://schemas.microsoft.com/sharepoint/v3/contenttype/forms"/>
  </ds:schemaRefs>
</ds:datastoreItem>
</file>

<file path=customXml/itemProps3.xml><?xml version="1.0" encoding="utf-8"?>
<ds:datastoreItem xmlns:ds="http://schemas.openxmlformats.org/officeDocument/2006/customXml" ds:itemID="{9E225FF1-059D-44E5-AEC6-23CA39B9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47E9E-ED92-45D4-BA8A-1BDE83D13012}">
  <ds:schemaRefs>
    <ds:schemaRef ds:uri="1a4d292e-883c-434b-96e3-060cfff16c86"/>
    <ds:schemaRef ds:uri="http://schemas.microsoft.com/office/2006/documentManagement/types"/>
    <ds:schemaRef ds:uri="http://purl.org/dc/dcmitype/"/>
    <ds:schemaRef ds:uri="f754d41b-893c-4d54-a0bb-b59c4aa27429"/>
    <ds:schemaRef ds:uri="http://purl.org/dc/elements/1.1/"/>
    <ds:schemaRef ds:uri="http://schemas.microsoft.com/office/2006/metadata/properties"/>
    <ds:schemaRef ds:uri="http://schemas.microsoft.com/sharepoint/v3"/>
    <ds:schemaRef ds:uri="ccfde104-9ae0-4d05-a2f3-ec6cccb2614a"/>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C8012B2-9299-4B66-9CDA-FE45DEA9EE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7</TotalTime>
  <Pages>16</Pages>
  <Words>4945</Words>
  <Characters>28418</Characters>
  <Application>Microsoft Office Word</Application>
  <DocSecurity>0</DocSecurity>
  <Lines>805</Lines>
  <Paragraphs>461</Paragraphs>
  <ScaleCrop>false</ScaleCrop>
  <HeadingPairs>
    <vt:vector size="2" baseType="variant">
      <vt:variant>
        <vt:lpstr>Title</vt:lpstr>
      </vt:variant>
      <vt:variant>
        <vt:i4>1</vt:i4>
      </vt:variant>
    </vt:vector>
  </HeadingPairs>
  <TitlesOfParts>
    <vt:vector size="1" baseType="lpstr">
      <vt:lpstr/>
    </vt:vector>
  </TitlesOfParts>
  <Company>Bayer Australia Pty Ltd</Company>
  <LinksUpToDate>false</LinksUpToDate>
  <CharactersWithSpaces>33024</CharactersWithSpaces>
  <SharedDoc>false</SharedDoc>
  <HLinks>
    <vt:vector size="36" baseType="variant">
      <vt:variant>
        <vt:i4>131150</vt:i4>
      </vt:variant>
      <vt:variant>
        <vt:i4>27</vt:i4>
      </vt:variant>
      <vt:variant>
        <vt:i4>0</vt:i4>
      </vt:variant>
      <vt:variant>
        <vt:i4>5</vt:i4>
      </vt:variant>
      <vt:variant>
        <vt:lpwstr>http://www.bayer.com.au/</vt:lpwstr>
      </vt:variant>
      <vt:variant>
        <vt:lpwstr/>
      </vt:variant>
      <vt:variant>
        <vt:i4>5898317</vt:i4>
      </vt:variant>
      <vt:variant>
        <vt:i4>24</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ariant>
        <vt:i4>2490418</vt:i4>
      </vt:variant>
      <vt:variant>
        <vt:i4>6</vt:i4>
      </vt:variant>
      <vt:variant>
        <vt:i4>0</vt:i4>
      </vt:variant>
      <vt:variant>
        <vt:i4>5</vt:i4>
      </vt:variant>
      <vt:variant>
        <vt:lpwstr>https://bayer-brave.veevavault.com/ui/</vt:lpwstr>
      </vt:variant>
      <vt:variant>
        <vt:lpwstr>permalink=V1B0000000P4062</vt:lpwstr>
      </vt:variant>
      <vt:variant>
        <vt:i4>5308468</vt:i4>
      </vt:variant>
      <vt:variant>
        <vt:i4>3</vt:i4>
      </vt:variant>
      <vt:variant>
        <vt:i4>0</vt:i4>
      </vt:variant>
      <vt:variant>
        <vt:i4>5</vt:i4>
      </vt:variant>
      <vt:variant>
        <vt:lpwstr>mailto:jasmin.chu@bayer.com</vt:lpwstr>
      </vt:variant>
      <vt:variant>
        <vt:lpwstr/>
      </vt:variant>
      <vt:variant>
        <vt:i4>5308468</vt:i4>
      </vt:variant>
      <vt:variant>
        <vt:i4>0</vt:i4>
      </vt:variant>
      <vt:variant>
        <vt:i4>0</vt:i4>
      </vt:variant>
      <vt:variant>
        <vt:i4>5</vt:i4>
      </vt:variant>
      <vt:variant>
        <vt:lpwstr>mailto:jasmin.chu@bayer.com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Lynkuet</dc:title>
  <dc:subject>prescription medicines</dc:subject>
  <dc:creator>Bayer Australia Pty Ltd</dc:creator>
  <cp:keywords/>
  <cp:lastModifiedBy>LACK, Janet</cp:lastModifiedBy>
  <cp:revision>4</cp:revision>
  <cp:lastPrinted>2025-08-26T20:11:00Z</cp:lastPrinted>
  <dcterms:created xsi:type="dcterms:W3CDTF">2026-03-03T21:33:00Z</dcterms:created>
  <dcterms:modified xsi:type="dcterms:W3CDTF">2026-03-03T21:41:00Z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2024-04-17T05:03:30Z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a2fb202c-facd-4afe-a344-e5810ccdcd20</vt:lpwstr>
  </property>
  <property fmtid="{D5CDD505-2E9C-101B-9397-08002B2CF9AE}" pid="8" name="MSIP_Label_7f850223-87a8-40c3-9eb2-432606efca2a_ContentBits">
    <vt:lpwstr>0</vt:lpwstr>
  </property>
  <property fmtid="{D5CDD505-2E9C-101B-9397-08002B2CF9AE}" pid="9" name="ContentTypeId">
    <vt:lpwstr>0x0101009E043391B52E0243877F9268BA5D6AB2</vt:lpwstr>
  </property>
  <property fmtid="{D5CDD505-2E9C-101B-9397-08002B2CF9AE}" pid="10" name="c2b5fb8256bd435bb7806ac3891e195b0">
    <vt:lpwstr>Short-Term|6d967203-8346-4b9c-90f8-b3828a3fa508</vt:lpwstr>
  </property>
  <property fmtid="{D5CDD505-2E9C-101B-9397-08002B2CF9AE}" pid="11" name="DataClassBayerRetention">
    <vt:lpwstr>1;#Short-Term|6d967203-8346-4b9c-90f8-b3828a3fa508</vt:lpwstr>
  </property>
  <property fmtid="{D5CDD505-2E9C-101B-9397-08002B2CF9AE}" pid="12" name="ClassificationContentMarkingHeaderShapeIds">
    <vt:lpwstr>9206d77,434bd377,40c26dc3</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7f177828,74307fdd,1fbef923</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2026-03-02T00:24:09Z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2607c5e7-97c9-48b5-844b-5cbbc6f4b09e</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