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pPr w:leftFromText="180" w:rightFromText="180" w:vertAnchor="page" w:horzAnchor="margin" w:tblpY="31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0"/>
        <w:gridCol w:w="206"/>
      </w:tblGrid>
      <w:tr w:rsidR="00F02AEC" w:rsidRPr="00215D48" w14:paraId="08AE1D54" w14:textId="77777777" w:rsidTr="00E01CD2">
        <w:trPr>
          <w:gridAfter w:val="1"/>
          <w:wAfter w:w="206" w:type="dxa"/>
          <w:trHeight w:val="1558"/>
        </w:trPr>
        <w:tc>
          <w:tcPr>
            <w:tcW w:w="8720" w:type="dxa"/>
          </w:tcPr>
          <w:p w14:paraId="2538A211" w14:textId="01059BB6" w:rsidR="00F02AEC" w:rsidRPr="00215D48" w:rsidRDefault="00346EC2" w:rsidP="007452E8">
            <w:pPr>
              <w:pStyle w:val="Title"/>
            </w:pPr>
            <w:r w:rsidRPr="00346EC2">
              <w:t xml:space="preserve">Australian Public Assessment Report for </w:t>
            </w:r>
            <w:r w:rsidR="00CE3296">
              <w:t>Lutathera</w:t>
            </w:r>
          </w:p>
        </w:tc>
      </w:tr>
      <w:tr w:rsidR="00F02AEC" w:rsidRPr="00215D48" w14:paraId="318A40A3" w14:textId="77777777" w:rsidTr="00E01CD2">
        <w:trPr>
          <w:trHeight w:val="995"/>
        </w:trPr>
        <w:tc>
          <w:tcPr>
            <w:tcW w:w="8926" w:type="dxa"/>
            <w:gridSpan w:val="2"/>
          </w:tcPr>
          <w:p w14:paraId="1AA7C701" w14:textId="5CC36E30" w:rsidR="00F02AEC" w:rsidRPr="00215D48" w:rsidRDefault="00346EC2" w:rsidP="007452E8">
            <w:pPr>
              <w:pStyle w:val="Subtitle"/>
              <w:ind w:left="0"/>
            </w:pPr>
            <w:r w:rsidRPr="00346EC2">
              <w:t>Active ingredient:</w:t>
            </w:r>
            <w:r w:rsidR="006F4084">
              <w:t xml:space="preserve"> L</w:t>
            </w:r>
            <w:r w:rsidR="006F4084" w:rsidRPr="006F4084">
              <w:t>utetium (</w:t>
            </w:r>
            <w:r w:rsidR="00544537" w:rsidRPr="00544537">
              <w:rPr>
                <w:vertAlign w:val="superscript"/>
              </w:rPr>
              <w:t>177</w:t>
            </w:r>
            <w:r w:rsidR="006F4084" w:rsidRPr="006F4084">
              <w:t>Lu)</w:t>
            </w:r>
            <w:r w:rsidR="006F4084">
              <w:t xml:space="preserve"> </w:t>
            </w:r>
            <w:r w:rsidR="00E01CD2" w:rsidRPr="006F4084">
              <w:t xml:space="preserve">oxodotreotide </w:t>
            </w:r>
          </w:p>
        </w:tc>
      </w:tr>
      <w:tr w:rsidR="00346EC2" w:rsidRPr="00215D48" w14:paraId="362CCAE4" w14:textId="77777777" w:rsidTr="00E01CD2">
        <w:trPr>
          <w:gridAfter w:val="1"/>
          <w:wAfter w:w="206" w:type="dxa"/>
          <w:trHeight w:val="1916"/>
        </w:trPr>
        <w:tc>
          <w:tcPr>
            <w:tcW w:w="8720" w:type="dxa"/>
          </w:tcPr>
          <w:p w14:paraId="709C45C0" w14:textId="4F5B580B" w:rsidR="00346EC2" w:rsidRPr="00215D48" w:rsidRDefault="00346EC2" w:rsidP="007452E8">
            <w:pPr>
              <w:pStyle w:val="Subtitle"/>
              <w:ind w:left="0"/>
            </w:pPr>
            <w:r w:rsidRPr="00346EC2">
              <w:t xml:space="preserve">Sponsor: </w:t>
            </w:r>
            <w:r w:rsidR="006F4084" w:rsidRPr="006F4084">
              <w:t>Novartis Pharmaceuticals Australia Pty Ltd</w:t>
            </w:r>
          </w:p>
        </w:tc>
      </w:tr>
      <w:tr w:rsidR="00F02AEC" w:rsidRPr="00215D48" w14:paraId="37F2AA1F" w14:textId="77777777" w:rsidTr="00E01CD2">
        <w:trPr>
          <w:gridAfter w:val="1"/>
          <w:wAfter w:w="206" w:type="dxa"/>
        </w:trPr>
        <w:tc>
          <w:tcPr>
            <w:tcW w:w="8720" w:type="dxa"/>
          </w:tcPr>
          <w:p w14:paraId="1FDE8DCD" w14:textId="04D7FBF8" w:rsidR="00F02AEC" w:rsidRPr="00215D48" w:rsidRDefault="00544537" w:rsidP="007452E8">
            <w:pPr>
              <w:pStyle w:val="Date"/>
            </w:pPr>
            <w:r>
              <w:t>March</w:t>
            </w:r>
            <w:r w:rsidR="006F4084">
              <w:t xml:space="preserve"> 2026</w:t>
            </w:r>
          </w:p>
        </w:tc>
      </w:tr>
    </w:tbl>
    <w:p w14:paraId="73752706" w14:textId="77777777" w:rsidR="00F02AEC" w:rsidRPr="00215D48" w:rsidRDefault="00F02AEC" w:rsidP="007452E8">
      <w:pPr>
        <w:pStyle w:val="ListBullet"/>
        <w:numPr>
          <w:ilvl w:val="0"/>
          <w:numId w:val="0"/>
        </w:numPr>
        <w:sectPr w:rsidR="00F02AEC" w:rsidRPr="00215D48" w:rsidSect="00CB0550">
          <w:headerReference w:type="even" r:id="rId8"/>
          <w:headerReference w:type="default" r:id="rId9"/>
          <w:footerReference w:type="even" r:id="rId10"/>
          <w:footerReference w:type="default" r:id="rId11"/>
          <w:headerReference w:type="first" r:id="rId12"/>
          <w:footerReference w:type="first" r:id="rId13"/>
          <w:pgSz w:w="11906" w:h="16838"/>
          <w:pgMar w:top="1440" w:right="1440" w:bottom="1440" w:left="1440" w:header="708" w:footer="708" w:gutter="0"/>
          <w:cols w:space="708"/>
          <w:titlePg/>
          <w:docGrid w:linePitch="360"/>
        </w:sectPr>
      </w:pPr>
    </w:p>
    <w:p w14:paraId="2170A423" w14:textId="77777777" w:rsidR="00346EC2" w:rsidRPr="001F6CBA" w:rsidRDefault="00346EC2" w:rsidP="00346EC2">
      <w:pPr>
        <w:pStyle w:val="NonTOCHeading20"/>
      </w:pPr>
      <w:r w:rsidRPr="001F6CBA">
        <w:lastRenderedPageBreak/>
        <w:t>About the Therapeutic Goods Administration (TGA)</w:t>
      </w:r>
    </w:p>
    <w:p w14:paraId="79558AE9" w14:textId="038D0DA4" w:rsidR="00346EC2" w:rsidRPr="00391B0C" w:rsidRDefault="00346EC2" w:rsidP="0056766D">
      <w:pPr>
        <w:pStyle w:val="ListBullet"/>
      </w:pPr>
      <w:r w:rsidRPr="00391B0C">
        <w:t xml:space="preserve">The Therapeutic Goods Administration (TGA) is part of the Australian Government </w:t>
      </w:r>
      <w:r w:rsidRPr="00C22214">
        <w:t>Department of Health</w:t>
      </w:r>
      <w:r w:rsidR="0006693A">
        <w:t>, Disability</w:t>
      </w:r>
      <w:r w:rsidRPr="00C22214">
        <w:t xml:space="preserve"> and Ag</w:t>
      </w:r>
      <w:r w:rsidR="0006693A">
        <w:t>eing</w:t>
      </w:r>
      <w:r>
        <w:t xml:space="preserve"> </w:t>
      </w:r>
      <w:r w:rsidRPr="00391B0C">
        <w:t>and is responsible for regulating therapeutic goods, including medicines, medical devices, and biologicals.</w:t>
      </w:r>
    </w:p>
    <w:p w14:paraId="61BEFDB6" w14:textId="77777777" w:rsidR="00346EC2" w:rsidRPr="00391B0C" w:rsidRDefault="00346EC2" w:rsidP="00346EC2">
      <w:pPr>
        <w:pStyle w:val="ListBullet"/>
      </w:pPr>
      <w:r w:rsidRPr="00391B0C">
        <w:t xml:space="preserve">The TGA administers the </w:t>
      </w:r>
      <w:r w:rsidRPr="00822FCB">
        <w:rPr>
          <w:i/>
          <w:iCs/>
        </w:rPr>
        <w:t>Therapeutic Goods Act 1989</w:t>
      </w:r>
      <w:r w:rsidRPr="00391B0C">
        <w:t xml:space="preserve"> (the Act), applying a risk management approach designed to ensure therapeutic goods supplied in Australia meet acceptable standards of quality, safety, and efficacy.</w:t>
      </w:r>
    </w:p>
    <w:p w14:paraId="77180CB3" w14:textId="77777777" w:rsidR="00346EC2" w:rsidRPr="003C6D1F" w:rsidRDefault="00346EC2" w:rsidP="00346EC2">
      <w:pPr>
        <w:pStyle w:val="ListBullet"/>
      </w:pPr>
      <w:r w:rsidRPr="003C6D1F">
        <w:t xml:space="preserve">The work of the TGA is based on applying scientific and clinical expertise to decision-making, to ensure that the benefits to </w:t>
      </w:r>
      <w:r>
        <w:t>the Australian public</w:t>
      </w:r>
      <w:r w:rsidRPr="003C6D1F">
        <w:t xml:space="preserve"> outweigh any risks associated with the use of </w:t>
      </w:r>
      <w:r>
        <w:t>therapeutic goods</w:t>
      </w:r>
      <w:r w:rsidRPr="003C6D1F">
        <w:t>.</w:t>
      </w:r>
    </w:p>
    <w:p w14:paraId="70AC2A35" w14:textId="77777777" w:rsidR="00346EC2" w:rsidRPr="003C6D1F" w:rsidRDefault="00346EC2" w:rsidP="00346EC2">
      <w:pPr>
        <w:pStyle w:val="ListBullet"/>
      </w:pPr>
      <w:r w:rsidRPr="003C6D1F">
        <w:t xml:space="preserve">The TGA relies on the public, healthcare professionals and industry to report problems with </w:t>
      </w:r>
      <w:r>
        <w:t>therapeutic goods</w:t>
      </w:r>
      <w:r w:rsidRPr="003C6D1F">
        <w:t>.</w:t>
      </w:r>
      <w:r>
        <w:t xml:space="preserve"> The</w:t>
      </w:r>
      <w:r w:rsidRPr="003C6D1F">
        <w:t xml:space="preserve"> TGA investigates reports received to determine any necessary regulatory action.</w:t>
      </w:r>
    </w:p>
    <w:p w14:paraId="17DC24C6" w14:textId="1C976CB8" w:rsidR="00346EC2" w:rsidRDefault="00346EC2" w:rsidP="00346EC2">
      <w:pPr>
        <w:pStyle w:val="ListBullet"/>
      </w:pPr>
      <w:r w:rsidRPr="003C6D1F">
        <w:t xml:space="preserve">To report a problem with a </w:t>
      </w:r>
      <w:r>
        <w:t>therapeutic good</w:t>
      </w:r>
      <w:r w:rsidRPr="003C6D1F">
        <w:t xml:space="preserve">, please see the information on the </w:t>
      </w:r>
      <w:hyperlink r:id="rId14" w:history="1">
        <w:r w:rsidRPr="00A63C07">
          <w:rPr>
            <w:rStyle w:val="Hyperlink"/>
          </w:rPr>
          <w:t>TGA website</w:t>
        </w:r>
      </w:hyperlink>
      <w:r w:rsidRPr="003C6D1F">
        <w:t>.</w:t>
      </w:r>
    </w:p>
    <w:p w14:paraId="737B7A99" w14:textId="77777777" w:rsidR="00346EC2" w:rsidRDefault="00346EC2" w:rsidP="00346EC2">
      <w:pPr>
        <w:pStyle w:val="NonTOCHeading20"/>
      </w:pPr>
      <w:r>
        <w:t>About AusPARs</w:t>
      </w:r>
    </w:p>
    <w:p w14:paraId="631B2209" w14:textId="010FE2EE" w:rsidR="00346EC2" w:rsidRPr="003C6D1F" w:rsidRDefault="00346EC2" w:rsidP="00346EC2">
      <w:pPr>
        <w:pStyle w:val="ListBullet"/>
      </w:pPr>
      <w:r>
        <w:t>The</w:t>
      </w:r>
      <w:r w:rsidRPr="003C6D1F">
        <w:t xml:space="preserve"> Australian Public Assessment Report (AusPAR) provides information about the evaluation of a prescription medicine and the considerations that led the TGA to approve or not approve a prescription medicine submission.</w:t>
      </w:r>
      <w:r>
        <w:t xml:space="preserve"> Further information can be found in </w:t>
      </w:r>
      <w:hyperlink r:id="rId15" w:history="1">
        <w:r w:rsidRPr="005A2EB8">
          <w:rPr>
            <w:rStyle w:val="Hyperlink"/>
          </w:rPr>
          <w:t>Australian Public Assessment Report (AusPAR) guidance</w:t>
        </w:r>
      </w:hyperlink>
      <w:r>
        <w:t>.</w:t>
      </w:r>
    </w:p>
    <w:p w14:paraId="22F5A730" w14:textId="77777777" w:rsidR="00346EC2" w:rsidRPr="003C6D1F" w:rsidRDefault="00346EC2" w:rsidP="00346EC2">
      <w:pPr>
        <w:pStyle w:val="ListBullet"/>
      </w:pPr>
      <w:r w:rsidRPr="003C6D1F">
        <w:t>AusPARs are prepared and published by the TGA.</w:t>
      </w:r>
    </w:p>
    <w:p w14:paraId="451B8FD7" w14:textId="77777777" w:rsidR="00346EC2" w:rsidRPr="003C6D1F" w:rsidRDefault="00346EC2" w:rsidP="00346EC2">
      <w:pPr>
        <w:pStyle w:val="ListBullet"/>
      </w:pPr>
      <w:r w:rsidRPr="003C6D1F">
        <w:t>AusPAR</w:t>
      </w:r>
      <w:r>
        <w:t xml:space="preserve">s are </w:t>
      </w:r>
      <w:r w:rsidRPr="003C6D1F">
        <w:t>static document</w:t>
      </w:r>
      <w:r>
        <w:t xml:space="preserve">s that </w:t>
      </w:r>
      <w:r w:rsidRPr="003C6D1F">
        <w:t>provide information that relates to a submission at a particular point in time.</w:t>
      </w:r>
      <w:r>
        <w:t xml:space="preserve"> The publication of an AusPAR is an important part of the transparency of the TGA’s decision-making process.</w:t>
      </w:r>
    </w:p>
    <w:p w14:paraId="4D69F5CF" w14:textId="77777777" w:rsidR="00346EC2" w:rsidRPr="003C6D1F" w:rsidRDefault="00346EC2" w:rsidP="00346EC2">
      <w:pPr>
        <w:pStyle w:val="ListBullet"/>
      </w:pPr>
      <w:r w:rsidRPr="003C6D1F">
        <w:t xml:space="preserve">A new AusPAR </w:t>
      </w:r>
      <w:r>
        <w:t xml:space="preserve">may be provided </w:t>
      </w:r>
      <w:r w:rsidRPr="003C6D1F">
        <w:t>to reflect changes to indications or major variations to a prescription medicine subject to evaluation by the TGA.</w:t>
      </w:r>
    </w:p>
    <w:p w14:paraId="7067011F" w14:textId="510D5C5C" w:rsidR="00F02AEC" w:rsidRPr="00E1198B" w:rsidRDefault="00F02AEC" w:rsidP="00FE087C">
      <w:pPr>
        <w:pStyle w:val="LegalSubheading"/>
        <w:spacing w:before="3600"/>
      </w:pPr>
      <w:r w:rsidRPr="00BA0DFC">
        <w:t>Copyright</w:t>
      </w:r>
    </w:p>
    <w:p w14:paraId="170A8A5D" w14:textId="2437D4AB" w:rsidR="00175CD8" w:rsidRPr="00346EC2" w:rsidRDefault="00F02AEC" w:rsidP="00346EC2">
      <w:pPr>
        <w:pStyle w:val="LegalCopy"/>
        <w:rPr>
          <w:rFonts w:cs="Arial"/>
        </w:rPr>
      </w:pPr>
      <w:r w:rsidRPr="00215D48">
        <w:rPr>
          <w:rFonts w:cs="Arial"/>
        </w:rPr>
        <w:t>© Commonwealth of Australia 20</w:t>
      </w:r>
      <w:r>
        <w:rPr>
          <w:rFonts w:cs="Arial"/>
        </w:rPr>
        <w:t>2</w:t>
      </w:r>
      <w:r w:rsidR="00D915C6">
        <w:rPr>
          <w:rFonts w:cs="Arial"/>
        </w:rPr>
        <w:t>6</w:t>
      </w:r>
      <w:r w:rsidRPr="00215D48">
        <w:rPr>
          <w:rFonts w:cs="Arial"/>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215D48">
        <w:rPr>
          <w:rFonts w:cs="Arial"/>
          <w:i/>
        </w:rPr>
        <w:t>Copyright Act 1968</w:t>
      </w:r>
      <w:r w:rsidRPr="00215D48">
        <w:rPr>
          <w:rFonts w:cs="Arial"/>
        </w:rPr>
        <w:t xml:space="preserve"> or allowed by this copyright notice, all other rights are </w:t>
      </w:r>
      <w:proofErr w:type="gramStart"/>
      <w:r w:rsidRPr="00215D48">
        <w:rPr>
          <w:rFonts w:cs="Arial"/>
        </w:rPr>
        <w:t>reserved</w:t>
      </w:r>
      <w:proofErr w:type="gramEnd"/>
      <w:r w:rsidRPr="00215D48">
        <w:rPr>
          <w:rFonts w:cs="Arial"/>
        </w:rPr>
        <w:t xml:space="preserve">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16" w:history="1">
        <w:r w:rsidRPr="00215D48">
          <w:rPr>
            <w:rStyle w:val="Hyperlink"/>
            <w:rFonts w:cs="Arial"/>
          </w:rPr>
          <w:t>tga.copyright@tga.gov.au</w:t>
        </w:r>
      </w:hyperlink>
      <w:r w:rsidRPr="00215D48">
        <w:rPr>
          <w:rFonts w:cs="Arial"/>
        </w:rPr>
        <w:t>&gt;.</w:t>
      </w:r>
    </w:p>
    <w:sdt>
      <w:sdtPr>
        <w:rPr>
          <w:rFonts w:ascii="Cambria" w:eastAsiaTheme="minorHAnsi" w:hAnsi="Cambria" w:cstheme="minorBidi"/>
          <w:b w:val="0"/>
          <w:color w:val="auto"/>
          <w:sz w:val="22"/>
          <w:szCs w:val="22"/>
        </w:rPr>
        <w:id w:val="21514769"/>
        <w:docPartObj>
          <w:docPartGallery w:val="Table of Contents"/>
          <w:docPartUnique/>
        </w:docPartObj>
      </w:sdtPr>
      <w:sdtEndPr>
        <w:rPr>
          <w:szCs w:val="20"/>
        </w:rPr>
      </w:sdtEndPr>
      <w:sdtContent>
        <w:p w14:paraId="0A6ADA2B" w14:textId="77777777" w:rsidR="00F02AEC" w:rsidRPr="00215D48" w:rsidRDefault="00F02AEC" w:rsidP="007452E8">
          <w:pPr>
            <w:pStyle w:val="NonTOCheading2"/>
          </w:pPr>
          <w:r w:rsidRPr="00215D48">
            <w:t>Contents</w:t>
          </w:r>
        </w:p>
        <w:p w14:paraId="1926B967" w14:textId="14089B2E" w:rsidR="00BC7DFF" w:rsidRDefault="00F02AEC">
          <w:pPr>
            <w:pStyle w:val="TOC1"/>
            <w:rPr>
              <w:rFonts w:asciiTheme="minorHAnsi" w:eastAsiaTheme="minorEastAsia" w:hAnsiTheme="minorHAnsi" w:cstheme="minorBidi"/>
              <w:b w:val="0"/>
              <w:noProof/>
              <w:color w:val="auto"/>
              <w:kern w:val="2"/>
              <w:sz w:val="24"/>
              <w:szCs w:val="24"/>
              <w:lang w:eastAsia="en-AU"/>
              <w14:ligatures w14:val="standardContextual"/>
            </w:rPr>
          </w:pPr>
          <w:r w:rsidRPr="00215D48">
            <w:fldChar w:fldCharType="begin"/>
          </w:r>
          <w:r w:rsidRPr="00215D48">
            <w:instrText xml:space="preserve"> TOC \h \z \u \t "Heading 2,1,Heading 3,2,Heading 4,3" </w:instrText>
          </w:r>
          <w:r w:rsidRPr="00215D48">
            <w:fldChar w:fldCharType="separate"/>
          </w:r>
          <w:hyperlink w:anchor="_Toc221611014" w:history="1">
            <w:r w:rsidR="00BC7DFF" w:rsidRPr="0085155A">
              <w:rPr>
                <w:rStyle w:val="Hyperlink"/>
                <w:noProof/>
              </w:rPr>
              <w:t>List of abbreviations</w:t>
            </w:r>
            <w:r w:rsidR="00BC7DFF">
              <w:rPr>
                <w:noProof/>
                <w:webHidden/>
              </w:rPr>
              <w:tab/>
            </w:r>
            <w:r w:rsidR="00BC7DFF">
              <w:rPr>
                <w:noProof/>
                <w:webHidden/>
              </w:rPr>
              <w:fldChar w:fldCharType="begin"/>
            </w:r>
            <w:r w:rsidR="00BC7DFF">
              <w:rPr>
                <w:noProof/>
                <w:webHidden/>
              </w:rPr>
              <w:instrText xml:space="preserve"> PAGEREF _Toc221611014 \h </w:instrText>
            </w:r>
            <w:r w:rsidR="00BC7DFF">
              <w:rPr>
                <w:noProof/>
                <w:webHidden/>
              </w:rPr>
            </w:r>
            <w:r w:rsidR="00BC7DFF">
              <w:rPr>
                <w:noProof/>
                <w:webHidden/>
              </w:rPr>
              <w:fldChar w:fldCharType="separate"/>
            </w:r>
            <w:r w:rsidR="00BC7DFF">
              <w:rPr>
                <w:noProof/>
                <w:webHidden/>
              </w:rPr>
              <w:t>4</w:t>
            </w:r>
            <w:r w:rsidR="00BC7DFF">
              <w:rPr>
                <w:noProof/>
                <w:webHidden/>
              </w:rPr>
              <w:fldChar w:fldCharType="end"/>
            </w:r>
          </w:hyperlink>
        </w:p>
        <w:p w14:paraId="7DA35CD6" w14:textId="15405F1C" w:rsidR="00BC7DFF" w:rsidRDefault="00BC7DFF">
          <w:pPr>
            <w:pStyle w:val="TOC1"/>
            <w:rPr>
              <w:rFonts w:asciiTheme="minorHAnsi" w:eastAsiaTheme="minorEastAsia" w:hAnsiTheme="minorHAnsi" w:cstheme="minorBidi"/>
              <w:b w:val="0"/>
              <w:noProof/>
              <w:color w:val="auto"/>
              <w:kern w:val="2"/>
              <w:sz w:val="24"/>
              <w:szCs w:val="24"/>
              <w:lang w:eastAsia="en-AU"/>
              <w14:ligatures w14:val="standardContextual"/>
            </w:rPr>
          </w:pPr>
          <w:hyperlink w:anchor="_Toc221611015" w:history="1">
            <w:r w:rsidRPr="0085155A">
              <w:rPr>
                <w:rStyle w:val="Hyperlink"/>
                <w:noProof/>
              </w:rPr>
              <w:t>Product submission</w:t>
            </w:r>
            <w:r>
              <w:rPr>
                <w:noProof/>
                <w:webHidden/>
              </w:rPr>
              <w:tab/>
            </w:r>
            <w:r>
              <w:rPr>
                <w:noProof/>
                <w:webHidden/>
              </w:rPr>
              <w:fldChar w:fldCharType="begin"/>
            </w:r>
            <w:r>
              <w:rPr>
                <w:noProof/>
                <w:webHidden/>
              </w:rPr>
              <w:instrText xml:space="preserve"> PAGEREF _Toc221611015 \h </w:instrText>
            </w:r>
            <w:r>
              <w:rPr>
                <w:noProof/>
                <w:webHidden/>
              </w:rPr>
            </w:r>
            <w:r>
              <w:rPr>
                <w:noProof/>
                <w:webHidden/>
              </w:rPr>
              <w:fldChar w:fldCharType="separate"/>
            </w:r>
            <w:r>
              <w:rPr>
                <w:noProof/>
                <w:webHidden/>
              </w:rPr>
              <w:t>5</w:t>
            </w:r>
            <w:r>
              <w:rPr>
                <w:noProof/>
                <w:webHidden/>
              </w:rPr>
              <w:fldChar w:fldCharType="end"/>
            </w:r>
          </w:hyperlink>
        </w:p>
        <w:p w14:paraId="7F2D7553" w14:textId="0BFC9710" w:rsidR="00BC7DFF" w:rsidRDefault="00BC7DFF">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21611016" w:history="1">
            <w:r w:rsidRPr="0085155A">
              <w:rPr>
                <w:rStyle w:val="Hyperlink"/>
                <w:noProof/>
                <w:lang w:eastAsia="en-AU"/>
              </w:rPr>
              <w:t>Submission details</w:t>
            </w:r>
            <w:r>
              <w:rPr>
                <w:noProof/>
                <w:webHidden/>
              </w:rPr>
              <w:tab/>
            </w:r>
            <w:r>
              <w:rPr>
                <w:noProof/>
                <w:webHidden/>
              </w:rPr>
              <w:fldChar w:fldCharType="begin"/>
            </w:r>
            <w:r>
              <w:rPr>
                <w:noProof/>
                <w:webHidden/>
              </w:rPr>
              <w:instrText xml:space="preserve"> PAGEREF _Toc221611016 \h </w:instrText>
            </w:r>
            <w:r>
              <w:rPr>
                <w:noProof/>
                <w:webHidden/>
              </w:rPr>
            </w:r>
            <w:r>
              <w:rPr>
                <w:noProof/>
                <w:webHidden/>
              </w:rPr>
              <w:fldChar w:fldCharType="separate"/>
            </w:r>
            <w:r>
              <w:rPr>
                <w:noProof/>
                <w:webHidden/>
              </w:rPr>
              <w:t>5</w:t>
            </w:r>
            <w:r>
              <w:rPr>
                <w:noProof/>
                <w:webHidden/>
              </w:rPr>
              <w:fldChar w:fldCharType="end"/>
            </w:r>
          </w:hyperlink>
        </w:p>
        <w:p w14:paraId="0DFAED76" w14:textId="3B008D97" w:rsidR="00BC7DFF" w:rsidRDefault="00BC7DFF">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21611017" w:history="1">
            <w:r w:rsidRPr="0085155A">
              <w:rPr>
                <w:rStyle w:val="Hyperlink"/>
                <w:noProof/>
              </w:rPr>
              <w:t>Product background</w:t>
            </w:r>
            <w:r>
              <w:rPr>
                <w:noProof/>
                <w:webHidden/>
              </w:rPr>
              <w:tab/>
            </w:r>
            <w:r>
              <w:rPr>
                <w:noProof/>
                <w:webHidden/>
              </w:rPr>
              <w:fldChar w:fldCharType="begin"/>
            </w:r>
            <w:r>
              <w:rPr>
                <w:noProof/>
                <w:webHidden/>
              </w:rPr>
              <w:instrText xml:space="preserve"> PAGEREF _Toc221611017 \h </w:instrText>
            </w:r>
            <w:r>
              <w:rPr>
                <w:noProof/>
                <w:webHidden/>
              </w:rPr>
            </w:r>
            <w:r>
              <w:rPr>
                <w:noProof/>
                <w:webHidden/>
              </w:rPr>
              <w:fldChar w:fldCharType="separate"/>
            </w:r>
            <w:r>
              <w:rPr>
                <w:noProof/>
                <w:webHidden/>
              </w:rPr>
              <w:t>6</w:t>
            </w:r>
            <w:r>
              <w:rPr>
                <w:noProof/>
                <w:webHidden/>
              </w:rPr>
              <w:fldChar w:fldCharType="end"/>
            </w:r>
          </w:hyperlink>
        </w:p>
        <w:p w14:paraId="6E748887" w14:textId="28D40F2B" w:rsidR="00BC7DFF" w:rsidRDefault="00BC7DFF">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21611018" w:history="1">
            <w:r w:rsidRPr="0085155A">
              <w:rPr>
                <w:rStyle w:val="Hyperlink"/>
                <w:noProof/>
              </w:rPr>
              <w:t>Disease or condition</w:t>
            </w:r>
            <w:r>
              <w:rPr>
                <w:noProof/>
                <w:webHidden/>
              </w:rPr>
              <w:tab/>
            </w:r>
            <w:r>
              <w:rPr>
                <w:noProof/>
                <w:webHidden/>
              </w:rPr>
              <w:fldChar w:fldCharType="begin"/>
            </w:r>
            <w:r>
              <w:rPr>
                <w:noProof/>
                <w:webHidden/>
              </w:rPr>
              <w:instrText xml:space="preserve"> PAGEREF _Toc221611018 \h </w:instrText>
            </w:r>
            <w:r>
              <w:rPr>
                <w:noProof/>
                <w:webHidden/>
              </w:rPr>
            </w:r>
            <w:r>
              <w:rPr>
                <w:noProof/>
                <w:webHidden/>
              </w:rPr>
              <w:fldChar w:fldCharType="separate"/>
            </w:r>
            <w:r>
              <w:rPr>
                <w:noProof/>
                <w:webHidden/>
              </w:rPr>
              <w:t>6</w:t>
            </w:r>
            <w:r>
              <w:rPr>
                <w:noProof/>
                <w:webHidden/>
              </w:rPr>
              <w:fldChar w:fldCharType="end"/>
            </w:r>
          </w:hyperlink>
        </w:p>
        <w:p w14:paraId="07A699E2" w14:textId="17F5FEAB" w:rsidR="00BC7DFF" w:rsidRDefault="00BC7DFF">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21611019" w:history="1">
            <w:r w:rsidRPr="0085155A">
              <w:rPr>
                <w:rStyle w:val="Hyperlink"/>
                <w:noProof/>
              </w:rPr>
              <w:t>Current treatment options</w:t>
            </w:r>
            <w:r>
              <w:rPr>
                <w:noProof/>
                <w:webHidden/>
              </w:rPr>
              <w:tab/>
            </w:r>
            <w:r>
              <w:rPr>
                <w:noProof/>
                <w:webHidden/>
              </w:rPr>
              <w:fldChar w:fldCharType="begin"/>
            </w:r>
            <w:r>
              <w:rPr>
                <w:noProof/>
                <w:webHidden/>
              </w:rPr>
              <w:instrText xml:space="preserve"> PAGEREF _Toc221611019 \h </w:instrText>
            </w:r>
            <w:r>
              <w:rPr>
                <w:noProof/>
                <w:webHidden/>
              </w:rPr>
            </w:r>
            <w:r>
              <w:rPr>
                <w:noProof/>
                <w:webHidden/>
              </w:rPr>
              <w:fldChar w:fldCharType="separate"/>
            </w:r>
            <w:r>
              <w:rPr>
                <w:noProof/>
                <w:webHidden/>
              </w:rPr>
              <w:t>7</w:t>
            </w:r>
            <w:r>
              <w:rPr>
                <w:noProof/>
                <w:webHidden/>
              </w:rPr>
              <w:fldChar w:fldCharType="end"/>
            </w:r>
          </w:hyperlink>
        </w:p>
        <w:p w14:paraId="1D6A29E0" w14:textId="1A8D2BE8" w:rsidR="00BC7DFF" w:rsidRDefault="00BC7DFF">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21611020" w:history="1">
            <w:r w:rsidRPr="0085155A">
              <w:rPr>
                <w:rStyle w:val="Hyperlink"/>
                <w:noProof/>
              </w:rPr>
              <w:t>Clinical rationale</w:t>
            </w:r>
            <w:r>
              <w:rPr>
                <w:noProof/>
                <w:webHidden/>
              </w:rPr>
              <w:tab/>
            </w:r>
            <w:r>
              <w:rPr>
                <w:noProof/>
                <w:webHidden/>
              </w:rPr>
              <w:fldChar w:fldCharType="begin"/>
            </w:r>
            <w:r>
              <w:rPr>
                <w:noProof/>
                <w:webHidden/>
              </w:rPr>
              <w:instrText xml:space="preserve"> PAGEREF _Toc221611020 \h </w:instrText>
            </w:r>
            <w:r>
              <w:rPr>
                <w:noProof/>
                <w:webHidden/>
              </w:rPr>
            </w:r>
            <w:r>
              <w:rPr>
                <w:noProof/>
                <w:webHidden/>
              </w:rPr>
              <w:fldChar w:fldCharType="separate"/>
            </w:r>
            <w:r>
              <w:rPr>
                <w:noProof/>
                <w:webHidden/>
              </w:rPr>
              <w:t>7</w:t>
            </w:r>
            <w:r>
              <w:rPr>
                <w:noProof/>
                <w:webHidden/>
              </w:rPr>
              <w:fldChar w:fldCharType="end"/>
            </w:r>
          </w:hyperlink>
        </w:p>
        <w:p w14:paraId="0CD547C0" w14:textId="305F82DA" w:rsidR="00BC7DFF" w:rsidRDefault="00BC7DFF">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21611021" w:history="1">
            <w:r w:rsidRPr="0085155A">
              <w:rPr>
                <w:rStyle w:val="Hyperlink"/>
                <w:noProof/>
              </w:rPr>
              <w:t>Regulatory status</w:t>
            </w:r>
            <w:r>
              <w:rPr>
                <w:noProof/>
                <w:webHidden/>
              </w:rPr>
              <w:tab/>
            </w:r>
            <w:r>
              <w:rPr>
                <w:noProof/>
                <w:webHidden/>
              </w:rPr>
              <w:fldChar w:fldCharType="begin"/>
            </w:r>
            <w:r>
              <w:rPr>
                <w:noProof/>
                <w:webHidden/>
              </w:rPr>
              <w:instrText xml:space="preserve"> PAGEREF _Toc221611021 \h </w:instrText>
            </w:r>
            <w:r>
              <w:rPr>
                <w:noProof/>
                <w:webHidden/>
              </w:rPr>
            </w:r>
            <w:r>
              <w:rPr>
                <w:noProof/>
                <w:webHidden/>
              </w:rPr>
              <w:fldChar w:fldCharType="separate"/>
            </w:r>
            <w:r>
              <w:rPr>
                <w:noProof/>
                <w:webHidden/>
              </w:rPr>
              <w:t>7</w:t>
            </w:r>
            <w:r>
              <w:rPr>
                <w:noProof/>
                <w:webHidden/>
              </w:rPr>
              <w:fldChar w:fldCharType="end"/>
            </w:r>
          </w:hyperlink>
        </w:p>
        <w:p w14:paraId="6D2E4E44" w14:textId="38410E76" w:rsidR="00BC7DFF" w:rsidRDefault="00BC7DFF">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21611022" w:history="1">
            <w:r w:rsidRPr="0085155A">
              <w:rPr>
                <w:rStyle w:val="Hyperlink"/>
                <w:noProof/>
              </w:rPr>
              <w:t>Australian regulatory status</w:t>
            </w:r>
            <w:r>
              <w:rPr>
                <w:noProof/>
                <w:webHidden/>
              </w:rPr>
              <w:tab/>
            </w:r>
            <w:r>
              <w:rPr>
                <w:noProof/>
                <w:webHidden/>
              </w:rPr>
              <w:fldChar w:fldCharType="begin"/>
            </w:r>
            <w:r>
              <w:rPr>
                <w:noProof/>
                <w:webHidden/>
              </w:rPr>
              <w:instrText xml:space="preserve"> PAGEREF _Toc221611022 \h </w:instrText>
            </w:r>
            <w:r>
              <w:rPr>
                <w:noProof/>
                <w:webHidden/>
              </w:rPr>
            </w:r>
            <w:r>
              <w:rPr>
                <w:noProof/>
                <w:webHidden/>
              </w:rPr>
              <w:fldChar w:fldCharType="separate"/>
            </w:r>
            <w:r>
              <w:rPr>
                <w:noProof/>
                <w:webHidden/>
              </w:rPr>
              <w:t>7</w:t>
            </w:r>
            <w:r>
              <w:rPr>
                <w:noProof/>
                <w:webHidden/>
              </w:rPr>
              <w:fldChar w:fldCharType="end"/>
            </w:r>
          </w:hyperlink>
        </w:p>
        <w:p w14:paraId="247D656A" w14:textId="1E80BDF8" w:rsidR="00BC7DFF" w:rsidRDefault="00BC7DFF">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21611023" w:history="1">
            <w:r w:rsidRPr="0085155A">
              <w:rPr>
                <w:rStyle w:val="Hyperlink"/>
                <w:noProof/>
              </w:rPr>
              <w:t>International regulatory status</w:t>
            </w:r>
            <w:r>
              <w:rPr>
                <w:noProof/>
                <w:webHidden/>
              </w:rPr>
              <w:tab/>
            </w:r>
            <w:r>
              <w:rPr>
                <w:noProof/>
                <w:webHidden/>
              </w:rPr>
              <w:fldChar w:fldCharType="begin"/>
            </w:r>
            <w:r>
              <w:rPr>
                <w:noProof/>
                <w:webHidden/>
              </w:rPr>
              <w:instrText xml:space="preserve"> PAGEREF _Toc221611023 \h </w:instrText>
            </w:r>
            <w:r>
              <w:rPr>
                <w:noProof/>
                <w:webHidden/>
              </w:rPr>
            </w:r>
            <w:r>
              <w:rPr>
                <w:noProof/>
                <w:webHidden/>
              </w:rPr>
              <w:fldChar w:fldCharType="separate"/>
            </w:r>
            <w:r>
              <w:rPr>
                <w:noProof/>
                <w:webHidden/>
              </w:rPr>
              <w:t>7</w:t>
            </w:r>
            <w:r>
              <w:rPr>
                <w:noProof/>
                <w:webHidden/>
              </w:rPr>
              <w:fldChar w:fldCharType="end"/>
            </w:r>
          </w:hyperlink>
        </w:p>
        <w:p w14:paraId="79A85DC2" w14:textId="64AB60B6" w:rsidR="00BC7DFF" w:rsidRDefault="00BC7DFF">
          <w:pPr>
            <w:pStyle w:val="TOC1"/>
            <w:rPr>
              <w:rFonts w:asciiTheme="minorHAnsi" w:eastAsiaTheme="minorEastAsia" w:hAnsiTheme="minorHAnsi" w:cstheme="minorBidi"/>
              <w:b w:val="0"/>
              <w:noProof/>
              <w:color w:val="auto"/>
              <w:kern w:val="2"/>
              <w:sz w:val="24"/>
              <w:szCs w:val="24"/>
              <w:lang w:eastAsia="en-AU"/>
              <w14:ligatures w14:val="standardContextual"/>
            </w:rPr>
          </w:pPr>
          <w:hyperlink w:anchor="_Toc221611024" w:history="1">
            <w:r w:rsidRPr="0085155A">
              <w:rPr>
                <w:rStyle w:val="Hyperlink"/>
                <w:noProof/>
              </w:rPr>
              <w:t>Registration timeline</w:t>
            </w:r>
            <w:r>
              <w:rPr>
                <w:noProof/>
                <w:webHidden/>
              </w:rPr>
              <w:tab/>
            </w:r>
            <w:r>
              <w:rPr>
                <w:noProof/>
                <w:webHidden/>
              </w:rPr>
              <w:fldChar w:fldCharType="begin"/>
            </w:r>
            <w:r>
              <w:rPr>
                <w:noProof/>
                <w:webHidden/>
              </w:rPr>
              <w:instrText xml:space="preserve"> PAGEREF _Toc221611024 \h </w:instrText>
            </w:r>
            <w:r>
              <w:rPr>
                <w:noProof/>
                <w:webHidden/>
              </w:rPr>
            </w:r>
            <w:r>
              <w:rPr>
                <w:noProof/>
                <w:webHidden/>
              </w:rPr>
              <w:fldChar w:fldCharType="separate"/>
            </w:r>
            <w:r>
              <w:rPr>
                <w:noProof/>
                <w:webHidden/>
              </w:rPr>
              <w:t>9</w:t>
            </w:r>
            <w:r>
              <w:rPr>
                <w:noProof/>
                <w:webHidden/>
              </w:rPr>
              <w:fldChar w:fldCharType="end"/>
            </w:r>
          </w:hyperlink>
        </w:p>
        <w:p w14:paraId="4B21DBE7" w14:textId="1DBBEC74" w:rsidR="00BC7DFF" w:rsidRDefault="00BC7DFF">
          <w:pPr>
            <w:pStyle w:val="TOC1"/>
            <w:rPr>
              <w:rFonts w:asciiTheme="minorHAnsi" w:eastAsiaTheme="minorEastAsia" w:hAnsiTheme="minorHAnsi" w:cstheme="minorBidi"/>
              <w:b w:val="0"/>
              <w:noProof/>
              <w:color w:val="auto"/>
              <w:kern w:val="2"/>
              <w:sz w:val="24"/>
              <w:szCs w:val="24"/>
              <w:lang w:eastAsia="en-AU"/>
              <w14:ligatures w14:val="standardContextual"/>
            </w:rPr>
          </w:pPr>
          <w:hyperlink w:anchor="_Toc221611025" w:history="1">
            <w:r w:rsidRPr="0085155A">
              <w:rPr>
                <w:rStyle w:val="Hyperlink"/>
                <w:noProof/>
              </w:rPr>
              <w:t>Assessment overview</w:t>
            </w:r>
            <w:r>
              <w:rPr>
                <w:noProof/>
                <w:webHidden/>
              </w:rPr>
              <w:tab/>
            </w:r>
            <w:r>
              <w:rPr>
                <w:noProof/>
                <w:webHidden/>
              </w:rPr>
              <w:fldChar w:fldCharType="begin"/>
            </w:r>
            <w:r>
              <w:rPr>
                <w:noProof/>
                <w:webHidden/>
              </w:rPr>
              <w:instrText xml:space="preserve"> PAGEREF _Toc221611025 \h </w:instrText>
            </w:r>
            <w:r>
              <w:rPr>
                <w:noProof/>
                <w:webHidden/>
              </w:rPr>
            </w:r>
            <w:r>
              <w:rPr>
                <w:noProof/>
                <w:webHidden/>
              </w:rPr>
              <w:fldChar w:fldCharType="separate"/>
            </w:r>
            <w:r>
              <w:rPr>
                <w:noProof/>
                <w:webHidden/>
              </w:rPr>
              <w:t>9</w:t>
            </w:r>
            <w:r>
              <w:rPr>
                <w:noProof/>
                <w:webHidden/>
              </w:rPr>
              <w:fldChar w:fldCharType="end"/>
            </w:r>
          </w:hyperlink>
        </w:p>
        <w:p w14:paraId="6CFE13A4" w14:textId="199BC22C" w:rsidR="00BC7DFF" w:rsidRDefault="00BC7DFF">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21611026" w:history="1">
            <w:r w:rsidRPr="0085155A">
              <w:rPr>
                <w:rStyle w:val="Hyperlink"/>
                <w:noProof/>
              </w:rPr>
              <w:t>Quality evaluation summary</w:t>
            </w:r>
            <w:r>
              <w:rPr>
                <w:noProof/>
                <w:webHidden/>
              </w:rPr>
              <w:tab/>
            </w:r>
            <w:r>
              <w:rPr>
                <w:noProof/>
                <w:webHidden/>
              </w:rPr>
              <w:fldChar w:fldCharType="begin"/>
            </w:r>
            <w:r>
              <w:rPr>
                <w:noProof/>
                <w:webHidden/>
              </w:rPr>
              <w:instrText xml:space="preserve"> PAGEREF _Toc221611026 \h </w:instrText>
            </w:r>
            <w:r>
              <w:rPr>
                <w:noProof/>
                <w:webHidden/>
              </w:rPr>
            </w:r>
            <w:r>
              <w:rPr>
                <w:noProof/>
                <w:webHidden/>
              </w:rPr>
              <w:fldChar w:fldCharType="separate"/>
            </w:r>
            <w:r>
              <w:rPr>
                <w:noProof/>
                <w:webHidden/>
              </w:rPr>
              <w:t>9</w:t>
            </w:r>
            <w:r>
              <w:rPr>
                <w:noProof/>
                <w:webHidden/>
              </w:rPr>
              <w:fldChar w:fldCharType="end"/>
            </w:r>
          </w:hyperlink>
        </w:p>
        <w:p w14:paraId="6A447BE7" w14:textId="26D64562" w:rsidR="00BC7DFF" w:rsidRDefault="00BC7DFF">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21611027" w:history="1">
            <w:r w:rsidRPr="0085155A">
              <w:rPr>
                <w:rStyle w:val="Hyperlink"/>
                <w:noProof/>
              </w:rPr>
              <w:t>Nonclinical evaluation summary</w:t>
            </w:r>
            <w:r>
              <w:rPr>
                <w:noProof/>
                <w:webHidden/>
              </w:rPr>
              <w:tab/>
            </w:r>
            <w:r>
              <w:rPr>
                <w:noProof/>
                <w:webHidden/>
              </w:rPr>
              <w:fldChar w:fldCharType="begin"/>
            </w:r>
            <w:r>
              <w:rPr>
                <w:noProof/>
                <w:webHidden/>
              </w:rPr>
              <w:instrText xml:space="preserve"> PAGEREF _Toc221611027 \h </w:instrText>
            </w:r>
            <w:r>
              <w:rPr>
                <w:noProof/>
                <w:webHidden/>
              </w:rPr>
            </w:r>
            <w:r>
              <w:rPr>
                <w:noProof/>
                <w:webHidden/>
              </w:rPr>
              <w:fldChar w:fldCharType="separate"/>
            </w:r>
            <w:r>
              <w:rPr>
                <w:noProof/>
                <w:webHidden/>
              </w:rPr>
              <w:t>11</w:t>
            </w:r>
            <w:r>
              <w:rPr>
                <w:noProof/>
                <w:webHidden/>
              </w:rPr>
              <w:fldChar w:fldCharType="end"/>
            </w:r>
          </w:hyperlink>
        </w:p>
        <w:p w14:paraId="60523A89" w14:textId="3400B9F7" w:rsidR="00BC7DFF" w:rsidRDefault="00BC7DFF">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21611028" w:history="1">
            <w:r w:rsidRPr="0085155A">
              <w:rPr>
                <w:rStyle w:val="Hyperlink"/>
                <w:noProof/>
              </w:rPr>
              <w:t>Clinical evaluation summary</w:t>
            </w:r>
            <w:r>
              <w:rPr>
                <w:noProof/>
                <w:webHidden/>
              </w:rPr>
              <w:tab/>
            </w:r>
            <w:r>
              <w:rPr>
                <w:noProof/>
                <w:webHidden/>
              </w:rPr>
              <w:fldChar w:fldCharType="begin"/>
            </w:r>
            <w:r>
              <w:rPr>
                <w:noProof/>
                <w:webHidden/>
              </w:rPr>
              <w:instrText xml:space="preserve"> PAGEREF _Toc221611028 \h </w:instrText>
            </w:r>
            <w:r>
              <w:rPr>
                <w:noProof/>
                <w:webHidden/>
              </w:rPr>
            </w:r>
            <w:r>
              <w:rPr>
                <w:noProof/>
                <w:webHidden/>
              </w:rPr>
              <w:fldChar w:fldCharType="separate"/>
            </w:r>
            <w:r>
              <w:rPr>
                <w:noProof/>
                <w:webHidden/>
              </w:rPr>
              <w:t>12</w:t>
            </w:r>
            <w:r>
              <w:rPr>
                <w:noProof/>
                <w:webHidden/>
              </w:rPr>
              <w:fldChar w:fldCharType="end"/>
            </w:r>
          </w:hyperlink>
        </w:p>
        <w:p w14:paraId="4D9C9002" w14:textId="4739FC74" w:rsidR="00BC7DFF" w:rsidRDefault="00BC7DFF">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21611029" w:history="1">
            <w:r w:rsidRPr="0085155A">
              <w:rPr>
                <w:rStyle w:val="Hyperlink"/>
                <w:noProof/>
              </w:rPr>
              <w:t>Pharmacology</w:t>
            </w:r>
            <w:r>
              <w:rPr>
                <w:noProof/>
                <w:webHidden/>
              </w:rPr>
              <w:tab/>
            </w:r>
            <w:r>
              <w:rPr>
                <w:noProof/>
                <w:webHidden/>
              </w:rPr>
              <w:fldChar w:fldCharType="begin"/>
            </w:r>
            <w:r>
              <w:rPr>
                <w:noProof/>
                <w:webHidden/>
              </w:rPr>
              <w:instrText xml:space="preserve"> PAGEREF _Toc221611029 \h </w:instrText>
            </w:r>
            <w:r>
              <w:rPr>
                <w:noProof/>
                <w:webHidden/>
              </w:rPr>
            </w:r>
            <w:r>
              <w:rPr>
                <w:noProof/>
                <w:webHidden/>
              </w:rPr>
              <w:fldChar w:fldCharType="separate"/>
            </w:r>
            <w:r>
              <w:rPr>
                <w:noProof/>
                <w:webHidden/>
              </w:rPr>
              <w:t>12</w:t>
            </w:r>
            <w:r>
              <w:rPr>
                <w:noProof/>
                <w:webHidden/>
              </w:rPr>
              <w:fldChar w:fldCharType="end"/>
            </w:r>
          </w:hyperlink>
        </w:p>
        <w:p w14:paraId="0A4D6855" w14:textId="303548DC" w:rsidR="00BC7DFF" w:rsidRDefault="00BC7DFF">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21611030" w:history="1">
            <w:r w:rsidRPr="0085155A">
              <w:rPr>
                <w:rStyle w:val="Hyperlink"/>
                <w:noProof/>
              </w:rPr>
              <w:t>Efficacy</w:t>
            </w:r>
            <w:r>
              <w:rPr>
                <w:noProof/>
                <w:webHidden/>
              </w:rPr>
              <w:tab/>
            </w:r>
            <w:r>
              <w:rPr>
                <w:noProof/>
                <w:webHidden/>
              </w:rPr>
              <w:fldChar w:fldCharType="begin"/>
            </w:r>
            <w:r>
              <w:rPr>
                <w:noProof/>
                <w:webHidden/>
              </w:rPr>
              <w:instrText xml:space="preserve"> PAGEREF _Toc221611030 \h </w:instrText>
            </w:r>
            <w:r>
              <w:rPr>
                <w:noProof/>
                <w:webHidden/>
              </w:rPr>
            </w:r>
            <w:r>
              <w:rPr>
                <w:noProof/>
                <w:webHidden/>
              </w:rPr>
              <w:fldChar w:fldCharType="separate"/>
            </w:r>
            <w:r>
              <w:rPr>
                <w:noProof/>
                <w:webHidden/>
              </w:rPr>
              <w:t>14</w:t>
            </w:r>
            <w:r>
              <w:rPr>
                <w:noProof/>
                <w:webHidden/>
              </w:rPr>
              <w:fldChar w:fldCharType="end"/>
            </w:r>
          </w:hyperlink>
        </w:p>
        <w:p w14:paraId="56A842EB" w14:textId="2CA7E3FC" w:rsidR="00BC7DFF" w:rsidRDefault="00BC7DFF">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21611031" w:history="1">
            <w:r w:rsidRPr="0085155A">
              <w:rPr>
                <w:rStyle w:val="Hyperlink"/>
                <w:noProof/>
              </w:rPr>
              <w:t>Safety</w:t>
            </w:r>
            <w:r>
              <w:rPr>
                <w:noProof/>
                <w:webHidden/>
              </w:rPr>
              <w:tab/>
            </w:r>
            <w:r>
              <w:rPr>
                <w:noProof/>
                <w:webHidden/>
              </w:rPr>
              <w:fldChar w:fldCharType="begin"/>
            </w:r>
            <w:r>
              <w:rPr>
                <w:noProof/>
                <w:webHidden/>
              </w:rPr>
              <w:instrText xml:space="preserve"> PAGEREF _Toc221611031 \h </w:instrText>
            </w:r>
            <w:r>
              <w:rPr>
                <w:noProof/>
                <w:webHidden/>
              </w:rPr>
            </w:r>
            <w:r>
              <w:rPr>
                <w:noProof/>
                <w:webHidden/>
              </w:rPr>
              <w:fldChar w:fldCharType="separate"/>
            </w:r>
            <w:r>
              <w:rPr>
                <w:noProof/>
                <w:webHidden/>
              </w:rPr>
              <w:t>21</w:t>
            </w:r>
            <w:r>
              <w:rPr>
                <w:noProof/>
                <w:webHidden/>
              </w:rPr>
              <w:fldChar w:fldCharType="end"/>
            </w:r>
          </w:hyperlink>
        </w:p>
        <w:p w14:paraId="101C1A80" w14:textId="5B131B3A" w:rsidR="00BC7DFF" w:rsidRDefault="00BC7DFF">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21611032" w:history="1">
            <w:r w:rsidRPr="0085155A">
              <w:rPr>
                <w:rStyle w:val="Hyperlink"/>
                <w:noProof/>
                <w:lang w:eastAsia="en-AU"/>
              </w:rPr>
              <w:t>Risk management plan</w:t>
            </w:r>
            <w:r>
              <w:rPr>
                <w:noProof/>
                <w:webHidden/>
              </w:rPr>
              <w:tab/>
            </w:r>
            <w:r>
              <w:rPr>
                <w:noProof/>
                <w:webHidden/>
              </w:rPr>
              <w:fldChar w:fldCharType="begin"/>
            </w:r>
            <w:r>
              <w:rPr>
                <w:noProof/>
                <w:webHidden/>
              </w:rPr>
              <w:instrText xml:space="preserve"> PAGEREF _Toc221611032 \h </w:instrText>
            </w:r>
            <w:r>
              <w:rPr>
                <w:noProof/>
                <w:webHidden/>
              </w:rPr>
            </w:r>
            <w:r>
              <w:rPr>
                <w:noProof/>
                <w:webHidden/>
              </w:rPr>
              <w:fldChar w:fldCharType="separate"/>
            </w:r>
            <w:r>
              <w:rPr>
                <w:noProof/>
                <w:webHidden/>
              </w:rPr>
              <w:t>27</w:t>
            </w:r>
            <w:r>
              <w:rPr>
                <w:noProof/>
                <w:webHidden/>
              </w:rPr>
              <w:fldChar w:fldCharType="end"/>
            </w:r>
          </w:hyperlink>
        </w:p>
        <w:p w14:paraId="21314DE9" w14:textId="696AAEEA" w:rsidR="00BC7DFF" w:rsidRDefault="00BC7DFF">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21611033" w:history="1">
            <w:r w:rsidRPr="0085155A">
              <w:rPr>
                <w:rStyle w:val="Hyperlink"/>
                <w:noProof/>
              </w:rPr>
              <w:t>Risk-benefit analysis</w:t>
            </w:r>
            <w:r>
              <w:rPr>
                <w:noProof/>
                <w:webHidden/>
              </w:rPr>
              <w:tab/>
            </w:r>
            <w:r>
              <w:rPr>
                <w:noProof/>
                <w:webHidden/>
              </w:rPr>
              <w:fldChar w:fldCharType="begin"/>
            </w:r>
            <w:r>
              <w:rPr>
                <w:noProof/>
                <w:webHidden/>
              </w:rPr>
              <w:instrText xml:space="preserve"> PAGEREF _Toc221611033 \h </w:instrText>
            </w:r>
            <w:r>
              <w:rPr>
                <w:noProof/>
                <w:webHidden/>
              </w:rPr>
            </w:r>
            <w:r>
              <w:rPr>
                <w:noProof/>
                <w:webHidden/>
              </w:rPr>
              <w:fldChar w:fldCharType="separate"/>
            </w:r>
            <w:r>
              <w:rPr>
                <w:noProof/>
                <w:webHidden/>
              </w:rPr>
              <w:t>28</w:t>
            </w:r>
            <w:r>
              <w:rPr>
                <w:noProof/>
                <w:webHidden/>
              </w:rPr>
              <w:fldChar w:fldCharType="end"/>
            </w:r>
          </w:hyperlink>
        </w:p>
        <w:p w14:paraId="7B8699F7" w14:textId="73EB5B15" w:rsidR="00BC7DFF" w:rsidRDefault="00BC7DFF">
          <w:pPr>
            <w:pStyle w:val="TOC1"/>
            <w:rPr>
              <w:rFonts w:asciiTheme="minorHAnsi" w:eastAsiaTheme="minorEastAsia" w:hAnsiTheme="minorHAnsi" w:cstheme="minorBidi"/>
              <w:b w:val="0"/>
              <w:noProof/>
              <w:color w:val="auto"/>
              <w:kern w:val="2"/>
              <w:sz w:val="24"/>
              <w:szCs w:val="24"/>
              <w:lang w:eastAsia="en-AU"/>
              <w14:ligatures w14:val="standardContextual"/>
            </w:rPr>
          </w:pPr>
          <w:hyperlink w:anchor="_Toc221611034" w:history="1">
            <w:r w:rsidRPr="0085155A">
              <w:rPr>
                <w:rStyle w:val="Hyperlink"/>
                <w:noProof/>
              </w:rPr>
              <w:t>Assessment outcome</w:t>
            </w:r>
            <w:r>
              <w:rPr>
                <w:noProof/>
                <w:webHidden/>
              </w:rPr>
              <w:tab/>
            </w:r>
            <w:r>
              <w:rPr>
                <w:noProof/>
                <w:webHidden/>
              </w:rPr>
              <w:fldChar w:fldCharType="begin"/>
            </w:r>
            <w:r>
              <w:rPr>
                <w:noProof/>
                <w:webHidden/>
              </w:rPr>
              <w:instrText xml:space="preserve"> PAGEREF _Toc221611034 \h </w:instrText>
            </w:r>
            <w:r>
              <w:rPr>
                <w:noProof/>
                <w:webHidden/>
              </w:rPr>
            </w:r>
            <w:r>
              <w:rPr>
                <w:noProof/>
                <w:webHidden/>
              </w:rPr>
              <w:fldChar w:fldCharType="separate"/>
            </w:r>
            <w:r>
              <w:rPr>
                <w:noProof/>
                <w:webHidden/>
              </w:rPr>
              <w:t>29</w:t>
            </w:r>
            <w:r>
              <w:rPr>
                <w:noProof/>
                <w:webHidden/>
              </w:rPr>
              <w:fldChar w:fldCharType="end"/>
            </w:r>
          </w:hyperlink>
        </w:p>
        <w:p w14:paraId="75CD8D04" w14:textId="01BDD2E7" w:rsidR="00BC7DFF" w:rsidRDefault="00BC7DFF">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21611035" w:history="1">
            <w:r w:rsidRPr="0085155A">
              <w:rPr>
                <w:rStyle w:val="Hyperlink"/>
                <w:noProof/>
              </w:rPr>
              <w:t>Specific conditions of registration</w:t>
            </w:r>
            <w:r>
              <w:rPr>
                <w:noProof/>
                <w:webHidden/>
              </w:rPr>
              <w:tab/>
            </w:r>
            <w:r>
              <w:rPr>
                <w:noProof/>
                <w:webHidden/>
              </w:rPr>
              <w:fldChar w:fldCharType="begin"/>
            </w:r>
            <w:r>
              <w:rPr>
                <w:noProof/>
                <w:webHidden/>
              </w:rPr>
              <w:instrText xml:space="preserve"> PAGEREF _Toc221611035 \h </w:instrText>
            </w:r>
            <w:r>
              <w:rPr>
                <w:noProof/>
                <w:webHidden/>
              </w:rPr>
            </w:r>
            <w:r>
              <w:rPr>
                <w:noProof/>
                <w:webHidden/>
              </w:rPr>
              <w:fldChar w:fldCharType="separate"/>
            </w:r>
            <w:r>
              <w:rPr>
                <w:noProof/>
                <w:webHidden/>
              </w:rPr>
              <w:t>29</w:t>
            </w:r>
            <w:r>
              <w:rPr>
                <w:noProof/>
                <w:webHidden/>
              </w:rPr>
              <w:fldChar w:fldCharType="end"/>
            </w:r>
          </w:hyperlink>
        </w:p>
        <w:p w14:paraId="69A7CF0F" w14:textId="336E8BF5" w:rsidR="00BC7DFF" w:rsidRDefault="00BC7DFF">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21611036" w:history="1">
            <w:r w:rsidRPr="0085155A">
              <w:rPr>
                <w:rStyle w:val="Hyperlink"/>
                <w:noProof/>
              </w:rPr>
              <w:t>Product Information and Consumer Medicine Information</w:t>
            </w:r>
            <w:r>
              <w:rPr>
                <w:noProof/>
                <w:webHidden/>
              </w:rPr>
              <w:tab/>
            </w:r>
            <w:r>
              <w:rPr>
                <w:noProof/>
                <w:webHidden/>
              </w:rPr>
              <w:fldChar w:fldCharType="begin"/>
            </w:r>
            <w:r>
              <w:rPr>
                <w:noProof/>
                <w:webHidden/>
              </w:rPr>
              <w:instrText xml:space="preserve"> PAGEREF _Toc221611036 \h </w:instrText>
            </w:r>
            <w:r>
              <w:rPr>
                <w:noProof/>
                <w:webHidden/>
              </w:rPr>
            </w:r>
            <w:r>
              <w:rPr>
                <w:noProof/>
                <w:webHidden/>
              </w:rPr>
              <w:fldChar w:fldCharType="separate"/>
            </w:r>
            <w:r>
              <w:rPr>
                <w:noProof/>
                <w:webHidden/>
              </w:rPr>
              <w:t>30</w:t>
            </w:r>
            <w:r>
              <w:rPr>
                <w:noProof/>
                <w:webHidden/>
              </w:rPr>
              <w:fldChar w:fldCharType="end"/>
            </w:r>
          </w:hyperlink>
        </w:p>
        <w:p w14:paraId="77659F2D" w14:textId="65BF4EFC" w:rsidR="00F02AEC" w:rsidRPr="00215D48" w:rsidRDefault="00F02AEC" w:rsidP="007452E8">
          <w:r w:rsidRPr="00215D48">
            <w:fldChar w:fldCharType="end"/>
          </w:r>
        </w:p>
      </w:sdtContent>
    </w:sdt>
    <w:p w14:paraId="10987AE2" w14:textId="77777777" w:rsidR="00F02AEC" w:rsidRPr="00215D48" w:rsidRDefault="00F02AEC" w:rsidP="007452E8">
      <w:r w:rsidRPr="00215D48">
        <w:br w:type="page"/>
      </w:r>
    </w:p>
    <w:p w14:paraId="1E73AB93" w14:textId="77777777" w:rsidR="00324B33" w:rsidRDefault="00324B33" w:rsidP="00324B33">
      <w:pPr>
        <w:pStyle w:val="Heading2"/>
      </w:pPr>
      <w:bookmarkStart w:id="0" w:name="_Toc98931917"/>
      <w:bookmarkStart w:id="1" w:name="_Toc103679287"/>
      <w:bookmarkStart w:id="2" w:name="_Toc221611014"/>
      <w:bookmarkStart w:id="3" w:name="_Toc323739589"/>
      <w:bookmarkStart w:id="4" w:name="_Toc356305216"/>
      <w:r>
        <w:lastRenderedPageBreak/>
        <w:t>List of abbreviations</w:t>
      </w:r>
      <w:bookmarkEnd w:id="0"/>
      <w:bookmarkEnd w:id="1"/>
      <w:bookmarkEnd w:id="2"/>
    </w:p>
    <w:tbl>
      <w:tblPr>
        <w:tblStyle w:val="TableTGAblue2023"/>
        <w:tblW w:w="5000" w:type="pct"/>
        <w:tblLook w:val="04A0" w:firstRow="1" w:lastRow="0" w:firstColumn="1" w:lastColumn="0" w:noHBand="0" w:noVBand="1"/>
      </w:tblPr>
      <w:tblGrid>
        <w:gridCol w:w="2174"/>
        <w:gridCol w:w="6886"/>
      </w:tblGrid>
      <w:tr w:rsidR="00193E14" w:rsidRPr="00DE0C9A" w14:paraId="6425CD73" w14:textId="77777777" w:rsidTr="00282739">
        <w:trPr>
          <w:cnfStyle w:val="100000000000" w:firstRow="1" w:lastRow="0" w:firstColumn="0" w:lastColumn="0" w:oddVBand="0" w:evenVBand="0" w:oddHBand="0" w:evenHBand="0" w:firstRowFirstColumn="0" w:firstRowLastColumn="0" w:lastRowFirstColumn="0" w:lastRowLastColumn="0"/>
          <w:trHeight w:val="447"/>
        </w:trPr>
        <w:tc>
          <w:tcPr>
            <w:cnfStyle w:val="001000000000" w:firstRow="0" w:lastRow="0" w:firstColumn="1" w:lastColumn="0" w:oddVBand="0" w:evenVBand="0" w:oddHBand="0" w:evenHBand="0" w:firstRowFirstColumn="0" w:firstRowLastColumn="0" w:lastRowFirstColumn="0" w:lastRowLastColumn="0"/>
            <w:tcW w:w="1200" w:type="pct"/>
          </w:tcPr>
          <w:p w14:paraId="2706BB83" w14:textId="77777777" w:rsidR="00193E14" w:rsidRPr="00DE0C9A" w:rsidRDefault="00193E14" w:rsidP="00282739">
            <w:pPr>
              <w:rPr>
                <w:szCs w:val="22"/>
              </w:rPr>
            </w:pPr>
            <w:r w:rsidRPr="00DE0C9A">
              <w:rPr>
                <w:szCs w:val="22"/>
              </w:rPr>
              <w:t>Abbreviation</w:t>
            </w:r>
          </w:p>
        </w:tc>
        <w:tc>
          <w:tcPr>
            <w:tcW w:w="3800" w:type="pct"/>
          </w:tcPr>
          <w:p w14:paraId="4854469D" w14:textId="77777777" w:rsidR="00193E14" w:rsidRPr="00DE0C9A" w:rsidRDefault="00193E14" w:rsidP="00282739">
            <w:pPr>
              <w:cnfStyle w:val="100000000000" w:firstRow="1" w:lastRow="0" w:firstColumn="0" w:lastColumn="0" w:oddVBand="0" w:evenVBand="0" w:oddHBand="0" w:evenHBand="0" w:firstRowFirstColumn="0" w:firstRowLastColumn="0" w:lastRowFirstColumn="0" w:lastRowLastColumn="0"/>
              <w:rPr>
                <w:szCs w:val="22"/>
              </w:rPr>
            </w:pPr>
            <w:r w:rsidRPr="00DE0C9A">
              <w:rPr>
                <w:szCs w:val="22"/>
              </w:rPr>
              <w:t>Meaning</w:t>
            </w:r>
          </w:p>
        </w:tc>
      </w:tr>
      <w:tr w:rsidR="00193E14" w:rsidRPr="00DE0C9A" w14:paraId="187F5220" w14:textId="77777777" w:rsidTr="00282739">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9479B82" w14:textId="77777777" w:rsidR="00193E14" w:rsidRPr="00DE0C9A" w:rsidRDefault="00193E14" w:rsidP="00282739">
            <w:pPr>
              <w:rPr>
                <w:szCs w:val="22"/>
              </w:rPr>
            </w:pPr>
            <w:r w:rsidRPr="00DE0C9A">
              <w:rPr>
                <w:szCs w:val="22"/>
              </w:rPr>
              <w:t>AE</w:t>
            </w:r>
          </w:p>
        </w:tc>
        <w:tc>
          <w:tcPr>
            <w:tcW w:w="3800" w:type="pct"/>
          </w:tcPr>
          <w:p w14:paraId="6B257ED3" w14:textId="77777777" w:rsidR="00193E14" w:rsidRPr="00DE0C9A" w:rsidRDefault="00193E14" w:rsidP="00282739">
            <w:pPr>
              <w:cnfStyle w:val="000000000000" w:firstRow="0" w:lastRow="0" w:firstColumn="0" w:lastColumn="0" w:oddVBand="0" w:evenVBand="0" w:oddHBand="0" w:evenHBand="0" w:firstRowFirstColumn="0" w:firstRowLastColumn="0" w:lastRowFirstColumn="0" w:lastRowLastColumn="0"/>
              <w:rPr>
                <w:szCs w:val="22"/>
              </w:rPr>
            </w:pPr>
            <w:r w:rsidRPr="00DE0C9A">
              <w:rPr>
                <w:szCs w:val="22"/>
              </w:rPr>
              <w:t>Adverse events</w:t>
            </w:r>
          </w:p>
        </w:tc>
      </w:tr>
      <w:tr w:rsidR="00193E14" w:rsidRPr="00DE0C9A" w14:paraId="71B66313" w14:textId="77777777" w:rsidTr="00282739">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677E57A2" w14:textId="77777777" w:rsidR="00193E14" w:rsidRPr="00DE0C9A" w:rsidRDefault="00193E14" w:rsidP="00282739">
            <w:pPr>
              <w:rPr>
                <w:szCs w:val="22"/>
              </w:rPr>
            </w:pPr>
            <w:r w:rsidRPr="00DE0C9A">
              <w:rPr>
                <w:szCs w:val="22"/>
              </w:rPr>
              <w:t>ARTG</w:t>
            </w:r>
          </w:p>
        </w:tc>
        <w:tc>
          <w:tcPr>
            <w:tcW w:w="3800" w:type="pct"/>
          </w:tcPr>
          <w:p w14:paraId="74F4E306" w14:textId="77777777" w:rsidR="00193E14" w:rsidRPr="00DE0C9A" w:rsidRDefault="00193E14" w:rsidP="00282739">
            <w:pPr>
              <w:cnfStyle w:val="000000000000" w:firstRow="0" w:lastRow="0" w:firstColumn="0" w:lastColumn="0" w:oddVBand="0" w:evenVBand="0" w:oddHBand="0" w:evenHBand="0" w:firstRowFirstColumn="0" w:firstRowLastColumn="0" w:lastRowFirstColumn="0" w:lastRowLastColumn="0"/>
              <w:rPr>
                <w:szCs w:val="22"/>
              </w:rPr>
            </w:pPr>
            <w:r w:rsidRPr="00DE0C9A">
              <w:rPr>
                <w:szCs w:val="22"/>
              </w:rPr>
              <w:t>Australian Register of Therapeutic Goods</w:t>
            </w:r>
          </w:p>
        </w:tc>
      </w:tr>
      <w:tr w:rsidR="00193E14" w:rsidRPr="00DE0C9A" w14:paraId="0068B7C4" w14:textId="77777777" w:rsidTr="00282739">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7D03C084" w14:textId="77777777" w:rsidR="00193E14" w:rsidRPr="00DE0C9A" w:rsidRDefault="00193E14" w:rsidP="00282739">
            <w:pPr>
              <w:rPr>
                <w:szCs w:val="22"/>
              </w:rPr>
            </w:pPr>
            <w:r w:rsidRPr="00DE0C9A">
              <w:rPr>
                <w:szCs w:val="22"/>
              </w:rPr>
              <w:t>AUC</w:t>
            </w:r>
            <w:r w:rsidRPr="00DE0C9A">
              <w:rPr>
                <w:szCs w:val="22"/>
                <w:vertAlign w:val="subscript"/>
              </w:rPr>
              <w:t>0-last</w:t>
            </w:r>
          </w:p>
        </w:tc>
        <w:tc>
          <w:tcPr>
            <w:tcW w:w="3800" w:type="pct"/>
          </w:tcPr>
          <w:p w14:paraId="13FD8875" w14:textId="77777777" w:rsidR="00193E14" w:rsidRPr="00DE0C9A" w:rsidRDefault="00193E14" w:rsidP="00282739">
            <w:pPr>
              <w:cnfStyle w:val="000000000000" w:firstRow="0" w:lastRow="0" w:firstColumn="0" w:lastColumn="0" w:oddVBand="0" w:evenVBand="0" w:oddHBand="0" w:evenHBand="0" w:firstRowFirstColumn="0" w:firstRowLastColumn="0" w:lastRowFirstColumn="0" w:lastRowLastColumn="0"/>
              <w:rPr>
                <w:szCs w:val="22"/>
              </w:rPr>
            </w:pPr>
            <w:r w:rsidRPr="00DE0C9A">
              <w:rPr>
                <w:szCs w:val="22"/>
              </w:rPr>
              <w:t>Area Under the concentration-time Curve from time zero to the time of the last quantifiable concentration</w:t>
            </w:r>
          </w:p>
        </w:tc>
      </w:tr>
      <w:tr w:rsidR="00193E14" w:rsidRPr="00DE0C9A" w14:paraId="6AE84B6B" w14:textId="77777777" w:rsidTr="00282739">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C5E83B7" w14:textId="77777777" w:rsidR="00193E14" w:rsidRPr="00DE0C9A" w:rsidRDefault="00193E14" w:rsidP="00282739">
            <w:pPr>
              <w:rPr>
                <w:szCs w:val="22"/>
              </w:rPr>
            </w:pPr>
            <w:r w:rsidRPr="00DE0C9A">
              <w:rPr>
                <w:szCs w:val="22"/>
              </w:rPr>
              <w:t>CMI</w:t>
            </w:r>
          </w:p>
        </w:tc>
        <w:tc>
          <w:tcPr>
            <w:tcW w:w="3800" w:type="pct"/>
          </w:tcPr>
          <w:p w14:paraId="60EFCF15" w14:textId="77777777" w:rsidR="00193E14" w:rsidRPr="00DE0C9A" w:rsidRDefault="00193E14" w:rsidP="00282739">
            <w:pPr>
              <w:cnfStyle w:val="000000000000" w:firstRow="0" w:lastRow="0" w:firstColumn="0" w:lastColumn="0" w:oddVBand="0" w:evenVBand="0" w:oddHBand="0" w:evenHBand="0" w:firstRowFirstColumn="0" w:firstRowLastColumn="0" w:lastRowFirstColumn="0" w:lastRowLastColumn="0"/>
              <w:rPr>
                <w:szCs w:val="22"/>
              </w:rPr>
            </w:pPr>
            <w:r w:rsidRPr="00DE0C9A">
              <w:rPr>
                <w:szCs w:val="22"/>
              </w:rPr>
              <w:t>Consumer Medicines Information</w:t>
            </w:r>
          </w:p>
        </w:tc>
      </w:tr>
      <w:tr w:rsidR="00193E14" w:rsidRPr="00DE0C9A" w14:paraId="57532B69" w14:textId="77777777" w:rsidTr="00282739">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6CA22C33" w14:textId="77777777" w:rsidR="00193E14" w:rsidRPr="00DE0C9A" w:rsidRDefault="00193E14" w:rsidP="00282739">
            <w:pPr>
              <w:rPr>
                <w:szCs w:val="22"/>
              </w:rPr>
            </w:pPr>
            <w:r w:rsidRPr="00DE0C9A">
              <w:rPr>
                <w:szCs w:val="22"/>
              </w:rPr>
              <w:t>CV</w:t>
            </w:r>
          </w:p>
        </w:tc>
        <w:tc>
          <w:tcPr>
            <w:tcW w:w="3800" w:type="pct"/>
          </w:tcPr>
          <w:p w14:paraId="248682C3" w14:textId="77777777" w:rsidR="00193E14" w:rsidRPr="00DE0C9A" w:rsidRDefault="00193E14" w:rsidP="00282739">
            <w:pPr>
              <w:cnfStyle w:val="000000000000" w:firstRow="0" w:lastRow="0" w:firstColumn="0" w:lastColumn="0" w:oddVBand="0" w:evenVBand="0" w:oddHBand="0" w:evenHBand="0" w:firstRowFirstColumn="0" w:firstRowLastColumn="0" w:lastRowFirstColumn="0" w:lastRowLastColumn="0"/>
              <w:rPr>
                <w:szCs w:val="22"/>
              </w:rPr>
            </w:pPr>
            <w:r w:rsidRPr="00DE0C9A">
              <w:rPr>
                <w:szCs w:val="22"/>
              </w:rPr>
              <w:t>Co-efficient of variation</w:t>
            </w:r>
          </w:p>
        </w:tc>
      </w:tr>
      <w:tr w:rsidR="00193E14" w:rsidRPr="00DE0C9A" w14:paraId="41C490F8" w14:textId="77777777" w:rsidTr="00282739">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CB53A4E" w14:textId="77777777" w:rsidR="00193E14" w:rsidRPr="00DE0C9A" w:rsidRDefault="00193E14" w:rsidP="00282739">
            <w:pPr>
              <w:rPr>
                <w:szCs w:val="22"/>
              </w:rPr>
            </w:pPr>
            <w:r w:rsidRPr="00DE0C9A">
              <w:rPr>
                <w:szCs w:val="22"/>
              </w:rPr>
              <w:t>Delegate</w:t>
            </w:r>
          </w:p>
        </w:tc>
        <w:tc>
          <w:tcPr>
            <w:tcW w:w="3800" w:type="pct"/>
          </w:tcPr>
          <w:p w14:paraId="3F8A9009" w14:textId="77777777" w:rsidR="00193E14" w:rsidRPr="00DE0C9A" w:rsidRDefault="00193E14" w:rsidP="00282739">
            <w:pPr>
              <w:cnfStyle w:val="000000000000" w:firstRow="0" w:lastRow="0" w:firstColumn="0" w:lastColumn="0" w:oddVBand="0" w:evenVBand="0" w:oddHBand="0" w:evenHBand="0" w:firstRowFirstColumn="0" w:firstRowLastColumn="0" w:lastRowFirstColumn="0" w:lastRowLastColumn="0"/>
              <w:rPr>
                <w:szCs w:val="22"/>
              </w:rPr>
            </w:pPr>
            <w:r w:rsidRPr="00DE0C9A">
              <w:rPr>
                <w:szCs w:val="22"/>
              </w:rPr>
              <w:t>The Delegate of the Secretary of the Department of Health, Disability and Ageing who decided the submission under section 25 of the Act.</w:t>
            </w:r>
          </w:p>
        </w:tc>
      </w:tr>
      <w:tr w:rsidR="00193E14" w:rsidRPr="00164083" w14:paraId="67ABA0A8" w14:textId="77777777" w:rsidTr="00282739">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CFA62EB" w14:textId="77777777" w:rsidR="00193E14" w:rsidRPr="00DE0C9A" w:rsidRDefault="00193E14" w:rsidP="00282739">
            <w:pPr>
              <w:rPr>
                <w:szCs w:val="22"/>
              </w:rPr>
            </w:pPr>
            <w:r w:rsidRPr="00DE0C9A">
              <w:rPr>
                <w:szCs w:val="22"/>
              </w:rPr>
              <w:t>GEP-NETs</w:t>
            </w:r>
          </w:p>
        </w:tc>
        <w:tc>
          <w:tcPr>
            <w:tcW w:w="3800" w:type="pct"/>
          </w:tcPr>
          <w:p w14:paraId="1CB1AFA2" w14:textId="77777777" w:rsidR="00193E14" w:rsidRPr="00DE0C9A" w:rsidRDefault="00193E14" w:rsidP="00282739">
            <w:pPr>
              <w:cnfStyle w:val="000000000000" w:firstRow="0" w:lastRow="0" w:firstColumn="0" w:lastColumn="0" w:oddVBand="0" w:evenVBand="0" w:oddHBand="0" w:evenHBand="0" w:firstRowFirstColumn="0" w:firstRowLastColumn="0" w:lastRowFirstColumn="0" w:lastRowLastColumn="0"/>
              <w:rPr>
                <w:szCs w:val="22"/>
                <w:lang w:val="it-IT"/>
              </w:rPr>
            </w:pPr>
            <w:r w:rsidRPr="00DE0C9A">
              <w:rPr>
                <w:szCs w:val="22"/>
                <w:lang w:val="it-IT"/>
              </w:rPr>
              <w:t>Gastro-entero-pancreatic neuroendocrine tumours</w:t>
            </w:r>
          </w:p>
        </w:tc>
      </w:tr>
      <w:tr w:rsidR="00193E14" w:rsidRPr="00DE0C9A" w14:paraId="2215728F" w14:textId="77777777" w:rsidTr="00282739">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3E3F3FD2" w14:textId="77777777" w:rsidR="00193E14" w:rsidRPr="00DE0C9A" w:rsidRDefault="00193E14" w:rsidP="00282739">
            <w:pPr>
              <w:rPr>
                <w:szCs w:val="22"/>
              </w:rPr>
            </w:pPr>
            <w:r w:rsidRPr="00DE0C9A">
              <w:rPr>
                <w:szCs w:val="22"/>
              </w:rPr>
              <w:t>Gy</w:t>
            </w:r>
          </w:p>
        </w:tc>
        <w:tc>
          <w:tcPr>
            <w:tcW w:w="3800" w:type="pct"/>
          </w:tcPr>
          <w:p w14:paraId="1B803F9F" w14:textId="77777777" w:rsidR="00193E14" w:rsidRPr="00B076D5" w:rsidRDefault="00193E14" w:rsidP="00282739">
            <w:pPr>
              <w:tabs>
                <w:tab w:val="left" w:pos="2859"/>
              </w:tabs>
              <w:cnfStyle w:val="000000000000" w:firstRow="0" w:lastRow="0" w:firstColumn="0" w:lastColumn="0" w:oddVBand="0" w:evenVBand="0" w:oddHBand="0" w:evenHBand="0" w:firstRowFirstColumn="0" w:firstRowLastColumn="0" w:lastRowFirstColumn="0" w:lastRowLastColumn="0"/>
              <w:rPr>
                <w:szCs w:val="22"/>
              </w:rPr>
            </w:pPr>
            <w:r w:rsidRPr="00DE0C9A">
              <w:rPr>
                <w:szCs w:val="22"/>
              </w:rPr>
              <w:t>Gray</w:t>
            </w:r>
            <w:r>
              <w:rPr>
                <w:szCs w:val="22"/>
              </w:rPr>
              <w:t xml:space="preserve">, </w:t>
            </w:r>
            <w:r w:rsidRPr="00B076D5">
              <w:rPr>
                <w:szCs w:val="22"/>
              </w:rPr>
              <w:t>the International System of Units (SI) unit for absorbed radiation dose</w:t>
            </w:r>
            <w:r w:rsidRPr="00DE0C9A">
              <w:rPr>
                <w:szCs w:val="22"/>
              </w:rPr>
              <w:tab/>
            </w:r>
          </w:p>
        </w:tc>
      </w:tr>
      <w:tr w:rsidR="00193E14" w:rsidRPr="00DE0C9A" w14:paraId="15F5BD4D" w14:textId="77777777" w:rsidTr="00282739">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BD8897A" w14:textId="77777777" w:rsidR="00193E14" w:rsidRPr="00DE0C9A" w:rsidRDefault="00193E14" w:rsidP="00282739">
            <w:pPr>
              <w:rPr>
                <w:szCs w:val="22"/>
              </w:rPr>
            </w:pPr>
            <w:r w:rsidRPr="00DE0C9A">
              <w:rPr>
                <w:szCs w:val="22"/>
              </w:rPr>
              <w:t>MDS</w:t>
            </w:r>
          </w:p>
        </w:tc>
        <w:tc>
          <w:tcPr>
            <w:tcW w:w="3800" w:type="pct"/>
          </w:tcPr>
          <w:p w14:paraId="2D1EE9A2" w14:textId="1142969B" w:rsidR="00193E14" w:rsidRPr="00DE0C9A" w:rsidRDefault="002B5AEA" w:rsidP="00282739">
            <w:pPr>
              <w:tabs>
                <w:tab w:val="left" w:pos="2859"/>
              </w:tabs>
              <w:cnfStyle w:val="000000000000" w:firstRow="0" w:lastRow="0" w:firstColumn="0" w:lastColumn="0" w:oddVBand="0" w:evenVBand="0" w:oddHBand="0" w:evenHBand="0" w:firstRowFirstColumn="0" w:firstRowLastColumn="0" w:lastRowFirstColumn="0" w:lastRowLastColumn="0"/>
              <w:rPr>
                <w:szCs w:val="22"/>
              </w:rPr>
            </w:pPr>
            <w:r>
              <w:rPr>
                <w:szCs w:val="22"/>
              </w:rPr>
              <w:t>M</w:t>
            </w:r>
            <w:r w:rsidR="00193E14" w:rsidRPr="00DE0C9A">
              <w:rPr>
                <w:szCs w:val="22"/>
              </w:rPr>
              <w:t>yelodysplastic syndrome</w:t>
            </w:r>
          </w:p>
        </w:tc>
      </w:tr>
      <w:tr w:rsidR="00193E14" w:rsidRPr="00DE0C9A" w14:paraId="11EC495A" w14:textId="77777777" w:rsidTr="00282739">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F6BF776" w14:textId="77777777" w:rsidR="00193E14" w:rsidRPr="00DE0C9A" w:rsidRDefault="00193E14" w:rsidP="00282739">
            <w:pPr>
              <w:rPr>
                <w:szCs w:val="22"/>
              </w:rPr>
            </w:pPr>
            <w:r w:rsidRPr="00DE0C9A">
              <w:rPr>
                <w:szCs w:val="22"/>
              </w:rPr>
              <w:t>NETs</w:t>
            </w:r>
          </w:p>
        </w:tc>
        <w:tc>
          <w:tcPr>
            <w:tcW w:w="3800" w:type="pct"/>
          </w:tcPr>
          <w:p w14:paraId="3C011E18" w14:textId="6F12312B" w:rsidR="00193E14" w:rsidRPr="00DE0C9A" w:rsidRDefault="002B5AEA" w:rsidP="00282739">
            <w:pPr>
              <w:cnfStyle w:val="000000000000" w:firstRow="0" w:lastRow="0" w:firstColumn="0" w:lastColumn="0" w:oddVBand="0" w:evenVBand="0" w:oddHBand="0" w:evenHBand="0" w:firstRowFirstColumn="0" w:firstRowLastColumn="0" w:lastRowFirstColumn="0" w:lastRowLastColumn="0"/>
              <w:rPr>
                <w:szCs w:val="22"/>
                <w:lang w:val="it-IT"/>
              </w:rPr>
            </w:pPr>
            <w:r>
              <w:rPr>
                <w:szCs w:val="22"/>
              </w:rPr>
              <w:t>N</w:t>
            </w:r>
            <w:r w:rsidR="00193E14" w:rsidRPr="00DE0C9A">
              <w:rPr>
                <w:szCs w:val="22"/>
              </w:rPr>
              <w:t>euroendocrine tumours</w:t>
            </w:r>
          </w:p>
        </w:tc>
      </w:tr>
      <w:tr w:rsidR="00193E14" w:rsidRPr="00DE0C9A" w14:paraId="6954153B" w14:textId="77777777" w:rsidTr="00282739">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30C6B1E0" w14:textId="77777777" w:rsidR="00193E14" w:rsidRPr="00DE0C9A" w:rsidRDefault="00193E14" w:rsidP="00282739">
            <w:pPr>
              <w:rPr>
                <w:szCs w:val="22"/>
              </w:rPr>
            </w:pPr>
            <w:r w:rsidRPr="00DE0C9A">
              <w:rPr>
                <w:szCs w:val="22"/>
              </w:rPr>
              <w:t>ORR</w:t>
            </w:r>
          </w:p>
        </w:tc>
        <w:tc>
          <w:tcPr>
            <w:tcW w:w="3800" w:type="pct"/>
          </w:tcPr>
          <w:p w14:paraId="51A2B059" w14:textId="4477827F" w:rsidR="00193E14" w:rsidRPr="00DE0C9A" w:rsidRDefault="00193E14" w:rsidP="00282739">
            <w:pPr>
              <w:cnfStyle w:val="000000000000" w:firstRow="0" w:lastRow="0" w:firstColumn="0" w:lastColumn="0" w:oddVBand="0" w:evenVBand="0" w:oddHBand="0" w:evenHBand="0" w:firstRowFirstColumn="0" w:firstRowLastColumn="0" w:lastRowFirstColumn="0" w:lastRowLastColumn="0"/>
              <w:rPr>
                <w:szCs w:val="22"/>
              </w:rPr>
            </w:pPr>
            <w:r>
              <w:rPr>
                <w:szCs w:val="22"/>
              </w:rPr>
              <w:t>O</w:t>
            </w:r>
            <w:r w:rsidRPr="00DE0C9A">
              <w:rPr>
                <w:szCs w:val="22"/>
              </w:rPr>
              <w:t>verall response rate</w:t>
            </w:r>
          </w:p>
        </w:tc>
      </w:tr>
      <w:tr w:rsidR="00193E14" w:rsidRPr="00DE0C9A" w14:paraId="50B27EDB" w14:textId="77777777" w:rsidTr="00282739">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9BF5C89" w14:textId="77777777" w:rsidR="00193E14" w:rsidRPr="00DE0C9A" w:rsidRDefault="00193E14" w:rsidP="00282739">
            <w:pPr>
              <w:rPr>
                <w:szCs w:val="22"/>
              </w:rPr>
            </w:pPr>
            <w:r w:rsidRPr="00DE0C9A">
              <w:rPr>
                <w:szCs w:val="22"/>
              </w:rPr>
              <w:t>OS</w:t>
            </w:r>
          </w:p>
        </w:tc>
        <w:tc>
          <w:tcPr>
            <w:tcW w:w="3800" w:type="pct"/>
          </w:tcPr>
          <w:p w14:paraId="1D4DE763" w14:textId="477003C4" w:rsidR="00193E14" w:rsidRPr="00DE0C9A" w:rsidRDefault="00193E14" w:rsidP="00282739">
            <w:pPr>
              <w:cnfStyle w:val="000000000000" w:firstRow="0" w:lastRow="0" w:firstColumn="0" w:lastColumn="0" w:oddVBand="0" w:evenVBand="0" w:oddHBand="0" w:evenHBand="0" w:firstRowFirstColumn="0" w:firstRowLastColumn="0" w:lastRowFirstColumn="0" w:lastRowLastColumn="0"/>
              <w:rPr>
                <w:szCs w:val="22"/>
              </w:rPr>
            </w:pPr>
            <w:r>
              <w:rPr>
                <w:szCs w:val="22"/>
              </w:rPr>
              <w:t>O</w:t>
            </w:r>
            <w:r w:rsidRPr="00DE0C9A">
              <w:rPr>
                <w:szCs w:val="22"/>
              </w:rPr>
              <w:t>verall survival</w:t>
            </w:r>
          </w:p>
        </w:tc>
      </w:tr>
      <w:tr w:rsidR="00193E14" w:rsidRPr="00DE0C9A" w14:paraId="643455FD" w14:textId="77777777" w:rsidTr="00282739">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6AB972BE" w14:textId="77777777" w:rsidR="00193E14" w:rsidRPr="00DE0C9A" w:rsidRDefault="00193E14" w:rsidP="00282739">
            <w:pPr>
              <w:rPr>
                <w:szCs w:val="22"/>
              </w:rPr>
            </w:pPr>
            <w:r w:rsidRPr="00DE0C9A">
              <w:rPr>
                <w:szCs w:val="22"/>
              </w:rPr>
              <w:t>PI</w:t>
            </w:r>
          </w:p>
        </w:tc>
        <w:tc>
          <w:tcPr>
            <w:tcW w:w="3800" w:type="pct"/>
          </w:tcPr>
          <w:p w14:paraId="6773E566" w14:textId="77777777" w:rsidR="00193E14" w:rsidRPr="00DE0C9A" w:rsidRDefault="00193E14" w:rsidP="00282739">
            <w:pPr>
              <w:cnfStyle w:val="000000000000" w:firstRow="0" w:lastRow="0" w:firstColumn="0" w:lastColumn="0" w:oddVBand="0" w:evenVBand="0" w:oddHBand="0" w:evenHBand="0" w:firstRowFirstColumn="0" w:firstRowLastColumn="0" w:lastRowFirstColumn="0" w:lastRowLastColumn="0"/>
              <w:rPr>
                <w:szCs w:val="22"/>
              </w:rPr>
            </w:pPr>
            <w:r w:rsidRPr="00DE0C9A">
              <w:rPr>
                <w:szCs w:val="22"/>
              </w:rPr>
              <w:t>Product Information</w:t>
            </w:r>
          </w:p>
        </w:tc>
      </w:tr>
      <w:tr w:rsidR="00193E14" w:rsidRPr="00DE0C9A" w14:paraId="6AD58CBF" w14:textId="77777777" w:rsidTr="00282739">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6D3C63E" w14:textId="77777777" w:rsidR="00193E14" w:rsidRPr="00DE0C9A" w:rsidRDefault="00193E14" w:rsidP="00282739">
            <w:pPr>
              <w:rPr>
                <w:szCs w:val="22"/>
              </w:rPr>
            </w:pPr>
            <w:r w:rsidRPr="00DE0C9A">
              <w:rPr>
                <w:szCs w:val="22"/>
              </w:rPr>
              <w:t>PSUR</w:t>
            </w:r>
          </w:p>
        </w:tc>
        <w:tc>
          <w:tcPr>
            <w:tcW w:w="3800" w:type="pct"/>
          </w:tcPr>
          <w:p w14:paraId="4569119D" w14:textId="77777777" w:rsidR="00193E14" w:rsidRPr="00DE0C9A" w:rsidRDefault="00193E14" w:rsidP="00282739">
            <w:pPr>
              <w:cnfStyle w:val="000000000000" w:firstRow="0" w:lastRow="0" w:firstColumn="0" w:lastColumn="0" w:oddVBand="0" w:evenVBand="0" w:oddHBand="0" w:evenHBand="0" w:firstRowFirstColumn="0" w:firstRowLastColumn="0" w:lastRowFirstColumn="0" w:lastRowLastColumn="0"/>
              <w:rPr>
                <w:szCs w:val="22"/>
              </w:rPr>
            </w:pPr>
            <w:r w:rsidRPr="00DE0C9A">
              <w:rPr>
                <w:szCs w:val="22"/>
              </w:rPr>
              <w:t>Periodic safety update report</w:t>
            </w:r>
          </w:p>
        </w:tc>
      </w:tr>
      <w:tr w:rsidR="00193E14" w:rsidRPr="00DE0C9A" w14:paraId="015A2DCF" w14:textId="77777777" w:rsidTr="00282739">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D857DFD" w14:textId="77777777" w:rsidR="00193E14" w:rsidRPr="00DE0C9A" w:rsidRDefault="00193E14" w:rsidP="00282739">
            <w:pPr>
              <w:rPr>
                <w:szCs w:val="22"/>
              </w:rPr>
            </w:pPr>
            <w:r w:rsidRPr="00DE0C9A">
              <w:rPr>
                <w:szCs w:val="22"/>
              </w:rPr>
              <w:t>RMP</w:t>
            </w:r>
          </w:p>
        </w:tc>
        <w:tc>
          <w:tcPr>
            <w:tcW w:w="3800" w:type="pct"/>
          </w:tcPr>
          <w:p w14:paraId="253F1D77" w14:textId="77777777" w:rsidR="00193E14" w:rsidRPr="00DE0C9A" w:rsidRDefault="00193E14" w:rsidP="00282739">
            <w:pPr>
              <w:cnfStyle w:val="000000000000" w:firstRow="0" w:lastRow="0" w:firstColumn="0" w:lastColumn="0" w:oddVBand="0" w:evenVBand="0" w:oddHBand="0" w:evenHBand="0" w:firstRowFirstColumn="0" w:firstRowLastColumn="0" w:lastRowFirstColumn="0" w:lastRowLastColumn="0"/>
              <w:rPr>
                <w:szCs w:val="22"/>
              </w:rPr>
            </w:pPr>
            <w:r w:rsidRPr="00DE0C9A">
              <w:rPr>
                <w:szCs w:val="22"/>
              </w:rPr>
              <w:t>Risk management plan</w:t>
            </w:r>
          </w:p>
        </w:tc>
      </w:tr>
      <w:tr w:rsidR="00193E14" w:rsidRPr="00DE0C9A" w14:paraId="23BD83B7" w14:textId="77777777" w:rsidTr="00282739">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7B9C0DED" w14:textId="77777777" w:rsidR="00193E14" w:rsidRPr="00DE0C9A" w:rsidRDefault="00193E14" w:rsidP="00282739">
            <w:pPr>
              <w:rPr>
                <w:szCs w:val="22"/>
              </w:rPr>
            </w:pPr>
            <w:r w:rsidRPr="00DE0C9A">
              <w:rPr>
                <w:szCs w:val="22"/>
                <w:lang w:val="en-US"/>
              </w:rPr>
              <w:t>SAE</w:t>
            </w:r>
          </w:p>
        </w:tc>
        <w:tc>
          <w:tcPr>
            <w:tcW w:w="3800" w:type="pct"/>
          </w:tcPr>
          <w:p w14:paraId="2CCF31FD" w14:textId="1385330C" w:rsidR="00193E14" w:rsidRPr="00DE0C9A" w:rsidRDefault="00193E14" w:rsidP="00282739">
            <w:pPr>
              <w:cnfStyle w:val="000000000000" w:firstRow="0" w:lastRow="0" w:firstColumn="0" w:lastColumn="0" w:oddVBand="0" w:evenVBand="0" w:oddHBand="0" w:evenHBand="0" w:firstRowFirstColumn="0" w:firstRowLastColumn="0" w:lastRowFirstColumn="0" w:lastRowLastColumn="0"/>
              <w:rPr>
                <w:szCs w:val="22"/>
              </w:rPr>
            </w:pPr>
            <w:r w:rsidRPr="00DE0C9A">
              <w:rPr>
                <w:szCs w:val="22"/>
                <w:lang w:val="en-US"/>
              </w:rPr>
              <w:t xml:space="preserve">Serious </w:t>
            </w:r>
            <w:r w:rsidR="008A4845">
              <w:rPr>
                <w:szCs w:val="22"/>
                <w:lang w:val="en-US"/>
              </w:rPr>
              <w:t>a</w:t>
            </w:r>
            <w:r w:rsidRPr="00DE0C9A">
              <w:rPr>
                <w:szCs w:val="22"/>
                <w:lang w:val="en-US"/>
              </w:rPr>
              <w:t xml:space="preserve">dverse </w:t>
            </w:r>
            <w:r w:rsidR="008A4845">
              <w:rPr>
                <w:szCs w:val="22"/>
                <w:lang w:val="en-US"/>
              </w:rPr>
              <w:t>e</w:t>
            </w:r>
            <w:r w:rsidRPr="00DE0C9A">
              <w:rPr>
                <w:szCs w:val="22"/>
                <w:lang w:val="en-US"/>
              </w:rPr>
              <w:t>vents</w:t>
            </w:r>
          </w:p>
        </w:tc>
      </w:tr>
      <w:tr w:rsidR="00193E14" w:rsidRPr="00DE0C9A" w14:paraId="32588C12" w14:textId="77777777" w:rsidTr="00282739">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3872BDED" w14:textId="77777777" w:rsidR="00193E14" w:rsidRPr="00DE0C9A" w:rsidRDefault="00193E14" w:rsidP="00282739">
            <w:pPr>
              <w:rPr>
                <w:szCs w:val="22"/>
              </w:rPr>
            </w:pPr>
            <w:r w:rsidRPr="00DE0C9A">
              <w:rPr>
                <w:szCs w:val="22"/>
                <w:lang w:val="en-US"/>
              </w:rPr>
              <w:t>SAF</w:t>
            </w:r>
          </w:p>
        </w:tc>
        <w:tc>
          <w:tcPr>
            <w:tcW w:w="3800" w:type="pct"/>
          </w:tcPr>
          <w:p w14:paraId="24ECFAA7" w14:textId="671222D3" w:rsidR="00193E14" w:rsidRPr="00DE0C9A" w:rsidRDefault="00193E14" w:rsidP="00282739">
            <w:pPr>
              <w:cnfStyle w:val="000000000000" w:firstRow="0" w:lastRow="0" w:firstColumn="0" w:lastColumn="0" w:oddVBand="0" w:evenVBand="0" w:oddHBand="0" w:evenHBand="0" w:firstRowFirstColumn="0" w:firstRowLastColumn="0" w:lastRowFirstColumn="0" w:lastRowLastColumn="0"/>
              <w:rPr>
                <w:szCs w:val="22"/>
              </w:rPr>
            </w:pPr>
            <w:r>
              <w:rPr>
                <w:szCs w:val="22"/>
                <w:lang w:val="en-US"/>
              </w:rPr>
              <w:t>S</w:t>
            </w:r>
            <w:r w:rsidRPr="00DE0C9A">
              <w:rPr>
                <w:szCs w:val="22"/>
                <w:lang w:val="en-US"/>
              </w:rPr>
              <w:t>afety analysis population</w:t>
            </w:r>
          </w:p>
        </w:tc>
      </w:tr>
      <w:tr w:rsidR="00193E14" w:rsidRPr="00DE0C9A" w14:paraId="3A97901F" w14:textId="77777777" w:rsidTr="00282739">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A02593F" w14:textId="77777777" w:rsidR="00193E14" w:rsidRPr="00DE0C9A" w:rsidRDefault="00193E14" w:rsidP="00282739">
            <w:pPr>
              <w:rPr>
                <w:szCs w:val="22"/>
              </w:rPr>
            </w:pPr>
            <w:r w:rsidRPr="00DE0C9A">
              <w:rPr>
                <w:szCs w:val="22"/>
              </w:rPr>
              <w:t xml:space="preserve">SD </w:t>
            </w:r>
          </w:p>
        </w:tc>
        <w:tc>
          <w:tcPr>
            <w:tcW w:w="3800" w:type="pct"/>
          </w:tcPr>
          <w:p w14:paraId="17267D09" w14:textId="77777777" w:rsidR="00193E14" w:rsidRPr="00DE0C9A" w:rsidRDefault="00193E14" w:rsidP="00282739">
            <w:pPr>
              <w:cnfStyle w:val="000000000000" w:firstRow="0" w:lastRow="0" w:firstColumn="0" w:lastColumn="0" w:oddVBand="0" w:evenVBand="0" w:oddHBand="0" w:evenHBand="0" w:firstRowFirstColumn="0" w:firstRowLastColumn="0" w:lastRowFirstColumn="0" w:lastRowLastColumn="0"/>
              <w:rPr>
                <w:szCs w:val="22"/>
              </w:rPr>
            </w:pPr>
            <w:r w:rsidRPr="00DE0C9A">
              <w:rPr>
                <w:szCs w:val="22"/>
              </w:rPr>
              <w:t>Standard deviation</w:t>
            </w:r>
          </w:p>
        </w:tc>
      </w:tr>
      <w:tr w:rsidR="00193E14" w:rsidRPr="00DE0C9A" w14:paraId="587B07B4" w14:textId="77777777" w:rsidTr="00282739">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6380C489" w14:textId="77777777" w:rsidR="00193E14" w:rsidRPr="00DE0C9A" w:rsidRDefault="00193E14" w:rsidP="00282739">
            <w:pPr>
              <w:rPr>
                <w:szCs w:val="22"/>
              </w:rPr>
            </w:pPr>
            <w:r w:rsidRPr="009B5170">
              <w:rPr>
                <w:szCs w:val="22"/>
              </w:rPr>
              <w:t>SSTR2</w:t>
            </w:r>
          </w:p>
        </w:tc>
        <w:tc>
          <w:tcPr>
            <w:tcW w:w="3800" w:type="pct"/>
          </w:tcPr>
          <w:p w14:paraId="5E009C5A" w14:textId="4DBCFE6F" w:rsidR="00193E14" w:rsidRPr="00DE0C9A" w:rsidRDefault="00193E14" w:rsidP="00282739">
            <w:pPr>
              <w:cnfStyle w:val="000000000000" w:firstRow="0" w:lastRow="0" w:firstColumn="0" w:lastColumn="0" w:oddVBand="0" w:evenVBand="0" w:oddHBand="0" w:evenHBand="0" w:firstRowFirstColumn="0" w:firstRowLastColumn="0" w:lastRowFirstColumn="0" w:lastRowLastColumn="0"/>
              <w:rPr>
                <w:szCs w:val="22"/>
              </w:rPr>
            </w:pPr>
            <w:r>
              <w:rPr>
                <w:szCs w:val="22"/>
              </w:rPr>
              <w:t>S</w:t>
            </w:r>
            <w:r w:rsidRPr="00DE0C9A">
              <w:rPr>
                <w:szCs w:val="22"/>
              </w:rPr>
              <w:t>omatostatin receptor subtype 2</w:t>
            </w:r>
          </w:p>
        </w:tc>
      </w:tr>
      <w:tr w:rsidR="00193E14" w:rsidRPr="00DE0C9A" w14:paraId="110BEE46" w14:textId="77777777" w:rsidTr="00282739">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2E36A86" w14:textId="77777777" w:rsidR="00193E14" w:rsidRPr="00DE0C9A" w:rsidRDefault="00193E14" w:rsidP="00282739">
            <w:pPr>
              <w:rPr>
                <w:szCs w:val="22"/>
              </w:rPr>
            </w:pPr>
            <w:r w:rsidRPr="00DE0C9A">
              <w:rPr>
                <w:szCs w:val="22"/>
                <w:lang w:val="en-US"/>
              </w:rPr>
              <w:t xml:space="preserve">TEAE </w:t>
            </w:r>
          </w:p>
        </w:tc>
        <w:tc>
          <w:tcPr>
            <w:tcW w:w="3800" w:type="pct"/>
          </w:tcPr>
          <w:p w14:paraId="697A39E5" w14:textId="279350B0" w:rsidR="00193E14" w:rsidRPr="00DE0C9A" w:rsidRDefault="00193E14" w:rsidP="00282739">
            <w:pPr>
              <w:cnfStyle w:val="000000000000" w:firstRow="0" w:lastRow="0" w:firstColumn="0" w:lastColumn="0" w:oddVBand="0" w:evenVBand="0" w:oddHBand="0" w:evenHBand="0" w:firstRowFirstColumn="0" w:firstRowLastColumn="0" w:lastRowFirstColumn="0" w:lastRowLastColumn="0"/>
              <w:rPr>
                <w:szCs w:val="22"/>
              </w:rPr>
            </w:pPr>
            <w:r>
              <w:rPr>
                <w:szCs w:val="22"/>
                <w:lang w:val="en-US"/>
              </w:rPr>
              <w:t>T</w:t>
            </w:r>
            <w:r w:rsidRPr="00DE0C9A">
              <w:rPr>
                <w:szCs w:val="22"/>
                <w:lang w:val="en-US"/>
              </w:rPr>
              <w:t>reatment emergent</w:t>
            </w:r>
            <w:r>
              <w:rPr>
                <w:szCs w:val="22"/>
                <w:lang w:val="en-US"/>
              </w:rPr>
              <w:t xml:space="preserve"> adverse event</w:t>
            </w:r>
            <w:r w:rsidRPr="00DE0C9A">
              <w:rPr>
                <w:szCs w:val="22"/>
                <w:lang w:val="en-US"/>
              </w:rPr>
              <w:t xml:space="preserve"> </w:t>
            </w:r>
          </w:p>
        </w:tc>
      </w:tr>
      <w:tr w:rsidR="00193E14" w:rsidRPr="00DE0C9A" w14:paraId="2A1B5EB8" w14:textId="77777777" w:rsidTr="00282739">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1C0A303" w14:textId="77777777" w:rsidR="00193E14" w:rsidRPr="00DE0C9A" w:rsidRDefault="00193E14" w:rsidP="00282739">
            <w:pPr>
              <w:rPr>
                <w:szCs w:val="22"/>
              </w:rPr>
            </w:pPr>
            <w:r w:rsidRPr="00DE0C9A">
              <w:rPr>
                <w:szCs w:val="22"/>
              </w:rPr>
              <w:t>TGA</w:t>
            </w:r>
          </w:p>
        </w:tc>
        <w:tc>
          <w:tcPr>
            <w:tcW w:w="3800" w:type="pct"/>
          </w:tcPr>
          <w:p w14:paraId="263A6AAE" w14:textId="77777777" w:rsidR="00193E14" w:rsidRPr="00DE0C9A" w:rsidRDefault="00193E14" w:rsidP="00282739">
            <w:pPr>
              <w:cnfStyle w:val="000000000000" w:firstRow="0" w:lastRow="0" w:firstColumn="0" w:lastColumn="0" w:oddVBand="0" w:evenVBand="0" w:oddHBand="0" w:evenHBand="0" w:firstRowFirstColumn="0" w:firstRowLastColumn="0" w:lastRowFirstColumn="0" w:lastRowLastColumn="0"/>
              <w:rPr>
                <w:szCs w:val="22"/>
              </w:rPr>
            </w:pPr>
            <w:r w:rsidRPr="00DE0C9A">
              <w:rPr>
                <w:szCs w:val="22"/>
              </w:rPr>
              <w:t>Therapeutic Goods Administration</w:t>
            </w:r>
          </w:p>
        </w:tc>
      </w:tr>
      <w:tr w:rsidR="00193E14" w:rsidRPr="00DE0C9A" w14:paraId="6C3342B9" w14:textId="77777777" w:rsidTr="00282739">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770D7396" w14:textId="77777777" w:rsidR="00193E14" w:rsidRPr="00DE0C9A" w:rsidRDefault="00193E14" w:rsidP="00282739">
            <w:pPr>
              <w:rPr>
                <w:szCs w:val="22"/>
              </w:rPr>
            </w:pPr>
            <w:r w:rsidRPr="00DE0C9A">
              <w:rPr>
                <w:szCs w:val="22"/>
              </w:rPr>
              <w:t>ULN</w:t>
            </w:r>
          </w:p>
        </w:tc>
        <w:tc>
          <w:tcPr>
            <w:tcW w:w="3800" w:type="pct"/>
          </w:tcPr>
          <w:p w14:paraId="5A182AEA" w14:textId="77777777" w:rsidR="00193E14" w:rsidRPr="00DE0C9A" w:rsidRDefault="00193E14" w:rsidP="00282739">
            <w:pPr>
              <w:cnfStyle w:val="000000000000" w:firstRow="0" w:lastRow="0" w:firstColumn="0" w:lastColumn="0" w:oddVBand="0" w:evenVBand="0" w:oddHBand="0" w:evenHBand="0" w:firstRowFirstColumn="0" w:firstRowLastColumn="0" w:lastRowFirstColumn="0" w:lastRowLastColumn="0"/>
              <w:rPr>
                <w:szCs w:val="22"/>
              </w:rPr>
            </w:pPr>
            <w:r w:rsidRPr="00DE0C9A">
              <w:rPr>
                <w:szCs w:val="22"/>
              </w:rPr>
              <w:t>Upper limit of normal</w:t>
            </w:r>
          </w:p>
        </w:tc>
      </w:tr>
    </w:tbl>
    <w:p w14:paraId="7378F926" w14:textId="77777777" w:rsidR="00324B33" w:rsidRDefault="00324B33" w:rsidP="00324B33"/>
    <w:p w14:paraId="02FB1F38" w14:textId="77777777" w:rsidR="00324B33" w:rsidRPr="00FD119B" w:rsidRDefault="00324B33" w:rsidP="00324B33">
      <w:pPr>
        <w:spacing w:after="200" w:line="0" w:lineRule="auto"/>
        <w:rPr>
          <w:b/>
          <w:i/>
          <w:sz w:val="24"/>
          <w:szCs w:val="24"/>
        </w:rPr>
      </w:pPr>
      <w:r w:rsidRPr="00FD119B">
        <w:rPr>
          <w:b/>
          <w:i/>
          <w:sz w:val="24"/>
          <w:szCs w:val="24"/>
        </w:rPr>
        <w:br w:type="page"/>
      </w:r>
    </w:p>
    <w:p w14:paraId="44C2A39C" w14:textId="77777777" w:rsidR="00324B33" w:rsidRDefault="00324B33" w:rsidP="00324B33">
      <w:pPr>
        <w:pStyle w:val="Heading2"/>
      </w:pPr>
      <w:bookmarkStart w:id="5" w:name="_Toc103679288"/>
      <w:bookmarkStart w:id="6" w:name="_Toc221611015"/>
      <w:r>
        <w:lastRenderedPageBreak/>
        <w:t>Product submission</w:t>
      </w:r>
      <w:bookmarkEnd w:id="5"/>
      <w:bookmarkEnd w:id="6"/>
    </w:p>
    <w:p w14:paraId="21D559DF" w14:textId="77777777" w:rsidR="00324B33" w:rsidRDefault="00324B33" w:rsidP="00324B33">
      <w:pPr>
        <w:pStyle w:val="Heading3"/>
        <w:rPr>
          <w:lang w:eastAsia="en-AU"/>
        </w:rPr>
      </w:pPr>
      <w:bookmarkStart w:id="7" w:name="_Toc247691502"/>
      <w:bookmarkStart w:id="8" w:name="_Toc314842483"/>
      <w:bookmarkStart w:id="9" w:name="_Toc103679289"/>
      <w:bookmarkStart w:id="10" w:name="_Toc221611016"/>
      <w:r>
        <w:rPr>
          <w:lang w:eastAsia="en-AU"/>
        </w:rPr>
        <w:t>Submission details</w:t>
      </w:r>
      <w:bookmarkEnd w:id="7"/>
      <w:bookmarkEnd w:id="8"/>
      <w:bookmarkEnd w:id="9"/>
      <w:bookmarkEnd w:id="10"/>
    </w:p>
    <w:tbl>
      <w:tblPr>
        <w:tblW w:w="5000" w:type="pct"/>
        <w:tblLook w:val="01E0" w:firstRow="1" w:lastRow="1" w:firstColumn="1" w:lastColumn="1" w:noHBand="0" w:noVBand="0"/>
      </w:tblPr>
      <w:tblGrid>
        <w:gridCol w:w="4111"/>
        <w:gridCol w:w="4959"/>
      </w:tblGrid>
      <w:tr w:rsidR="00324B33" w:rsidRPr="00BD5DBD" w14:paraId="77D11C95" w14:textId="77777777" w:rsidTr="0091138B">
        <w:tc>
          <w:tcPr>
            <w:tcW w:w="2266" w:type="pct"/>
          </w:tcPr>
          <w:p w14:paraId="10E57D62" w14:textId="134C743A" w:rsidR="00324B33" w:rsidRPr="00BD5DBD" w:rsidRDefault="00324B33" w:rsidP="007452E8">
            <w:pPr>
              <w:rPr>
                <w:i/>
                <w:szCs w:val="22"/>
              </w:rPr>
            </w:pPr>
            <w:r w:rsidRPr="00BD5DBD">
              <w:rPr>
                <w:i/>
                <w:szCs w:val="22"/>
              </w:rPr>
              <w:t>Type of submission:</w:t>
            </w:r>
          </w:p>
        </w:tc>
        <w:tc>
          <w:tcPr>
            <w:tcW w:w="2734" w:type="pct"/>
          </w:tcPr>
          <w:p w14:paraId="4F07C303" w14:textId="1E6D86A5" w:rsidR="00324B33" w:rsidRPr="00BD5DBD" w:rsidRDefault="00324B33" w:rsidP="007452E8">
            <w:pPr>
              <w:rPr>
                <w:szCs w:val="22"/>
              </w:rPr>
            </w:pPr>
            <w:r w:rsidRPr="00BD5DBD">
              <w:rPr>
                <w:szCs w:val="22"/>
              </w:rPr>
              <w:t>New chemical entity</w:t>
            </w:r>
          </w:p>
        </w:tc>
      </w:tr>
      <w:tr w:rsidR="00324B33" w:rsidRPr="00BD5DBD" w14:paraId="13482B61" w14:textId="77777777" w:rsidTr="0091138B">
        <w:tc>
          <w:tcPr>
            <w:tcW w:w="2266" w:type="pct"/>
          </w:tcPr>
          <w:p w14:paraId="2C427FCF" w14:textId="300A52EC" w:rsidR="00324B33" w:rsidRPr="00BD5DBD" w:rsidRDefault="00324B33" w:rsidP="007452E8">
            <w:pPr>
              <w:rPr>
                <w:i/>
                <w:szCs w:val="22"/>
              </w:rPr>
            </w:pPr>
            <w:r w:rsidRPr="00BD5DBD">
              <w:rPr>
                <w:i/>
                <w:szCs w:val="22"/>
              </w:rPr>
              <w:t>Product name:</w:t>
            </w:r>
          </w:p>
        </w:tc>
        <w:tc>
          <w:tcPr>
            <w:tcW w:w="2734" w:type="pct"/>
          </w:tcPr>
          <w:p w14:paraId="0E2DEF76" w14:textId="7E355839" w:rsidR="00324B33" w:rsidRPr="00BD5DBD" w:rsidRDefault="00CE3296" w:rsidP="007452E8">
            <w:pPr>
              <w:rPr>
                <w:szCs w:val="22"/>
              </w:rPr>
            </w:pPr>
            <w:r>
              <w:rPr>
                <w:szCs w:val="22"/>
              </w:rPr>
              <w:t>Lutathera</w:t>
            </w:r>
          </w:p>
        </w:tc>
      </w:tr>
      <w:tr w:rsidR="00324B33" w:rsidRPr="00BD5DBD" w14:paraId="01255B5B" w14:textId="77777777" w:rsidTr="0091138B">
        <w:tc>
          <w:tcPr>
            <w:tcW w:w="2266" w:type="pct"/>
          </w:tcPr>
          <w:p w14:paraId="52B4F3D7" w14:textId="4D03A423" w:rsidR="00324B33" w:rsidRPr="00BD5DBD" w:rsidRDefault="00324B33" w:rsidP="007452E8">
            <w:pPr>
              <w:rPr>
                <w:i/>
                <w:szCs w:val="22"/>
              </w:rPr>
            </w:pPr>
            <w:r w:rsidRPr="00BD5DBD">
              <w:rPr>
                <w:i/>
                <w:szCs w:val="22"/>
              </w:rPr>
              <w:t>Active ingredient:</w:t>
            </w:r>
          </w:p>
        </w:tc>
        <w:tc>
          <w:tcPr>
            <w:tcW w:w="2734" w:type="pct"/>
          </w:tcPr>
          <w:p w14:paraId="02FB6383" w14:textId="7A20F8F5" w:rsidR="00324B33" w:rsidRPr="00BD5DBD" w:rsidRDefault="00652330" w:rsidP="007452E8">
            <w:pPr>
              <w:rPr>
                <w:szCs w:val="22"/>
              </w:rPr>
            </w:pPr>
            <w:r w:rsidRPr="00652330">
              <w:rPr>
                <w:szCs w:val="22"/>
              </w:rPr>
              <w:t>lutetium (</w:t>
            </w:r>
            <w:r w:rsidR="00544537" w:rsidRPr="00544537">
              <w:rPr>
                <w:szCs w:val="22"/>
                <w:vertAlign w:val="superscript"/>
              </w:rPr>
              <w:t>177</w:t>
            </w:r>
            <w:r w:rsidRPr="00652330">
              <w:rPr>
                <w:szCs w:val="22"/>
              </w:rPr>
              <w:t>Lu) oxodotreotide</w:t>
            </w:r>
          </w:p>
        </w:tc>
      </w:tr>
      <w:tr w:rsidR="00324B33" w:rsidRPr="00BD5DBD" w14:paraId="219A281B" w14:textId="77777777" w:rsidTr="0091138B">
        <w:tc>
          <w:tcPr>
            <w:tcW w:w="2266" w:type="pct"/>
          </w:tcPr>
          <w:p w14:paraId="112E5F78" w14:textId="77777777" w:rsidR="00324B33" w:rsidRPr="00BD5DBD" w:rsidRDefault="00324B33" w:rsidP="007452E8">
            <w:pPr>
              <w:rPr>
                <w:i/>
                <w:szCs w:val="22"/>
              </w:rPr>
            </w:pPr>
            <w:r w:rsidRPr="00BD5DBD">
              <w:rPr>
                <w:i/>
                <w:szCs w:val="22"/>
              </w:rPr>
              <w:t>Decision:</w:t>
            </w:r>
          </w:p>
        </w:tc>
        <w:tc>
          <w:tcPr>
            <w:tcW w:w="2734" w:type="pct"/>
          </w:tcPr>
          <w:p w14:paraId="3B114BEA" w14:textId="72944137" w:rsidR="00324B33" w:rsidRPr="00BD5DBD" w:rsidRDefault="00324B33" w:rsidP="007452E8">
            <w:pPr>
              <w:rPr>
                <w:szCs w:val="22"/>
              </w:rPr>
            </w:pPr>
            <w:r w:rsidRPr="00BD5DBD">
              <w:rPr>
                <w:szCs w:val="22"/>
              </w:rPr>
              <w:t>Approved</w:t>
            </w:r>
          </w:p>
        </w:tc>
      </w:tr>
      <w:tr w:rsidR="00AE1947" w:rsidRPr="00BD5DBD" w14:paraId="32B72632" w14:textId="77777777" w:rsidTr="0091138B">
        <w:tc>
          <w:tcPr>
            <w:tcW w:w="2266" w:type="pct"/>
          </w:tcPr>
          <w:p w14:paraId="332A5CD5" w14:textId="65682B5F" w:rsidR="00AE1947" w:rsidRPr="00BD5DBD" w:rsidRDefault="00AE1947" w:rsidP="007F1E37">
            <w:r w:rsidRPr="00BD5DBD">
              <w:rPr>
                <w:i/>
                <w:szCs w:val="22"/>
              </w:rPr>
              <w:t>Date of decision:</w:t>
            </w:r>
          </w:p>
        </w:tc>
        <w:tc>
          <w:tcPr>
            <w:tcW w:w="2734" w:type="pct"/>
          </w:tcPr>
          <w:p w14:paraId="7B381CD6" w14:textId="0A941095" w:rsidR="00AE1947" w:rsidRPr="00BD5DBD" w:rsidRDefault="008309F7" w:rsidP="00602658">
            <w:pPr>
              <w:rPr>
                <w:szCs w:val="22"/>
              </w:rPr>
            </w:pPr>
            <w:r w:rsidRPr="008309F7">
              <w:rPr>
                <w:szCs w:val="22"/>
              </w:rPr>
              <w:t>14 November 2025</w:t>
            </w:r>
          </w:p>
        </w:tc>
      </w:tr>
      <w:tr w:rsidR="00324B33" w:rsidRPr="00BD5DBD" w14:paraId="60A25F5A" w14:textId="77777777" w:rsidTr="0091138B">
        <w:tc>
          <w:tcPr>
            <w:tcW w:w="2266" w:type="pct"/>
          </w:tcPr>
          <w:p w14:paraId="5C5E4CBA" w14:textId="77777777" w:rsidR="00324B33" w:rsidRPr="00BD5DBD" w:rsidRDefault="00324B33" w:rsidP="007452E8">
            <w:pPr>
              <w:rPr>
                <w:i/>
                <w:szCs w:val="22"/>
              </w:rPr>
            </w:pPr>
            <w:r w:rsidRPr="00BD5DBD">
              <w:rPr>
                <w:i/>
                <w:szCs w:val="22"/>
              </w:rPr>
              <w:t>Date of entry onto ARTG:</w:t>
            </w:r>
          </w:p>
        </w:tc>
        <w:tc>
          <w:tcPr>
            <w:tcW w:w="2734" w:type="pct"/>
          </w:tcPr>
          <w:p w14:paraId="28B270E9" w14:textId="6CFE7D75" w:rsidR="00324B33" w:rsidRPr="00BD5DBD" w:rsidRDefault="004B65D5" w:rsidP="007452E8">
            <w:pPr>
              <w:rPr>
                <w:szCs w:val="22"/>
              </w:rPr>
            </w:pPr>
            <w:r w:rsidRPr="004B65D5">
              <w:rPr>
                <w:szCs w:val="22"/>
              </w:rPr>
              <w:t>17 November 2025</w:t>
            </w:r>
          </w:p>
        </w:tc>
      </w:tr>
      <w:tr w:rsidR="00324B33" w:rsidRPr="00BD5DBD" w14:paraId="547E08D7" w14:textId="77777777" w:rsidTr="0091138B">
        <w:tc>
          <w:tcPr>
            <w:tcW w:w="2266" w:type="pct"/>
          </w:tcPr>
          <w:p w14:paraId="5030EF30" w14:textId="29DA4705" w:rsidR="00324B33" w:rsidRPr="00BD5DBD" w:rsidRDefault="00324B33" w:rsidP="007452E8">
            <w:pPr>
              <w:rPr>
                <w:i/>
                <w:szCs w:val="22"/>
              </w:rPr>
            </w:pPr>
            <w:r w:rsidRPr="00BD5DBD">
              <w:rPr>
                <w:i/>
                <w:szCs w:val="22"/>
              </w:rPr>
              <w:t>ARTG number:</w:t>
            </w:r>
          </w:p>
        </w:tc>
        <w:tc>
          <w:tcPr>
            <w:tcW w:w="2734" w:type="pct"/>
          </w:tcPr>
          <w:p w14:paraId="0054E912" w14:textId="055D8BAC" w:rsidR="00324B33" w:rsidRPr="00BD5DBD" w:rsidRDefault="00254B45" w:rsidP="007452E8">
            <w:pPr>
              <w:rPr>
                <w:szCs w:val="22"/>
              </w:rPr>
            </w:pPr>
            <w:hyperlink r:id="rId17" w:history="1">
              <w:r w:rsidRPr="00A964D8">
                <w:rPr>
                  <w:rStyle w:val="Hyperlink"/>
                  <w:szCs w:val="22"/>
                </w:rPr>
                <w:t>455452</w:t>
              </w:r>
            </w:hyperlink>
          </w:p>
        </w:tc>
      </w:tr>
      <w:tr w:rsidR="00324B33" w:rsidRPr="00BD5DBD" w14:paraId="7618393F" w14:textId="77777777" w:rsidTr="0091138B">
        <w:tc>
          <w:tcPr>
            <w:tcW w:w="2266" w:type="pct"/>
          </w:tcPr>
          <w:p w14:paraId="02260DE2" w14:textId="5D473663" w:rsidR="00324B33" w:rsidRPr="00BD5DBD" w:rsidRDefault="00324B33" w:rsidP="00A964D8">
            <w:pPr>
              <w:rPr>
                <w:i/>
                <w:szCs w:val="22"/>
              </w:rPr>
            </w:pPr>
            <w:r w:rsidRPr="00BD5DBD">
              <w:rPr>
                <w:rFonts w:ascii="Wingdings 3" w:hAnsi="Wingdings 3"/>
                <w:szCs w:val="22"/>
                <w:lang w:eastAsia="en-AU"/>
              </w:rPr>
              <w:t></w:t>
            </w:r>
            <w:hyperlink r:id="rId18" w:history="1">
              <w:r w:rsidRPr="00BD5DBD">
                <w:rPr>
                  <w:rStyle w:val="Hyperlink"/>
                  <w:i/>
                  <w:szCs w:val="22"/>
                </w:rPr>
                <w:t>Black Triangle Scheme</w:t>
              </w:r>
            </w:hyperlink>
            <w:r w:rsidRPr="00BD5DBD">
              <w:rPr>
                <w:i/>
                <w:szCs w:val="22"/>
              </w:rPr>
              <w:t>:</w:t>
            </w:r>
          </w:p>
        </w:tc>
        <w:tc>
          <w:tcPr>
            <w:tcW w:w="2734" w:type="pct"/>
          </w:tcPr>
          <w:p w14:paraId="6FF3C6A2" w14:textId="220DAAD6" w:rsidR="00324B33" w:rsidRPr="00BD5DBD" w:rsidRDefault="00324B33" w:rsidP="007452E8">
            <w:pPr>
              <w:rPr>
                <w:szCs w:val="22"/>
              </w:rPr>
            </w:pPr>
            <w:r w:rsidRPr="00BD5DBD">
              <w:rPr>
                <w:szCs w:val="22"/>
              </w:rPr>
              <w:t>Yes</w:t>
            </w:r>
          </w:p>
        </w:tc>
      </w:tr>
      <w:tr w:rsidR="00324B33" w:rsidRPr="00BD5DBD" w14:paraId="179E09FE" w14:textId="77777777" w:rsidTr="0091138B">
        <w:tc>
          <w:tcPr>
            <w:tcW w:w="2266" w:type="pct"/>
          </w:tcPr>
          <w:p w14:paraId="1A592498" w14:textId="77777777" w:rsidR="00324B33" w:rsidRPr="00BD5DBD" w:rsidRDefault="00324B33" w:rsidP="007452E8">
            <w:pPr>
              <w:rPr>
                <w:i/>
                <w:szCs w:val="22"/>
              </w:rPr>
            </w:pPr>
            <w:r w:rsidRPr="00BD5DBD">
              <w:rPr>
                <w:i/>
                <w:szCs w:val="22"/>
              </w:rPr>
              <w:t>Sponsor’s name and address:</w:t>
            </w:r>
          </w:p>
        </w:tc>
        <w:tc>
          <w:tcPr>
            <w:tcW w:w="2734" w:type="pct"/>
          </w:tcPr>
          <w:p w14:paraId="68DD94B0" w14:textId="1F52F635" w:rsidR="00324B33" w:rsidRPr="00BD5DBD" w:rsidRDefault="00EB1C62" w:rsidP="007452E8">
            <w:pPr>
              <w:rPr>
                <w:szCs w:val="22"/>
              </w:rPr>
            </w:pPr>
            <w:r w:rsidRPr="00EB1C62">
              <w:rPr>
                <w:szCs w:val="22"/>
              </w:rPr>
              <w:t>Novartis Pharmaceuticals Australia Pty Ltd</w:t>
            </w:r>
            <w:r w:rsidR="00705B24">
              <w:rPr>
                <w:szCs w:val="22"/>
              </w:rPr>
              <w:t xml:space="preserve">, </w:t>
            </w:r>
            <w:r w:rsidR="00705B24" w:rsidRPr="00705B24">
              <w:rPr>
                <w:szCs w:val="22"/>
              </w:rPr>
              <w:t>54 Waterloo Road Macquarie Park</w:t>
            </w:r>
            <w:r w:rsidR="00705B24">
              <w:rPr>
                <w:szCs w:val="22"/>
              </w:rPr>
              <w:t>.</w:t>
            </w:r>
            <w:r w:rsidR="00705B24" w:rsidRPr="00705B24">
              <w:rPr>
                <w:szCs w:val="22"/>
              </w:rPr>
              <w:t xml:space="preserve"> NSW</w:t>
            </w:r>
            <w:r w:rsidR="00325921">
              <w:rPr>
                <w:szCs w:val="22"/>
              </w:rPr>
              <w:t>,</w:t>
            </w:r>
            <w:r w:rsidR="00705B24" w:rsidRPr="00705B24">
              <w:rPr>
                <w:szCs w:val="22"/>
              </w:rPr>
              <w:t xml:space="preserve"> 2113</w:t>
            </w:r>
          </w:p>
        </w:tc>
      </w:tr>
      <w:tr w:rsidR="00324B33" w:rsidRPr="00BD5DBD" w14:paraId="5322B989" w14:textId="77777777" w:rsidTr="0091138B">
        <w:tc>
          <w:tcPr>
            <w:tcW w:w="2266" w:type="pct"/>
          </w:tcPr>
          <w:p w14:paraId="24F217E3" w14:textId="7B5C40A2" w:rsidR="00324B33" w:rsidRPr="00BD5DBD" w:rsidRDefault="00324B33" w:rsidP="007452E8">
            <w:pPr>
              <w:rPr>
                <w:i/>
                <w:szCs w:val="22"/>
              </w:rPr>
            </w:pPr>
            <w:r w:rsidRPr="00BD5DBD">
              <w:rPr>
                <w:i/>
                <w:szCs w:val="22"/>
              </w:rPr>
              <w:t>Dose form:</w:t>
            </w:r>
          </w:p>
        </w:tc>
        <w:tc>
          <w:tcPr>
            <w:tcW w:w="2734" w:type="pct"/>
          </w:tcPr>
          <w:p w14:paraId="768B254C" w14:textId="46DD3071" w:rsidR="00324B33" w:rsidRPr="00BD5DBD" w:rsidRDefault="00CE3296" w:rsidP="007452E8">
            <w:pPr>
              <w:rPr>
                <w:szCs w:val="22"/>
              </w:rPr>
            </w:pPr>
            <w:r>
              <w:rPr>
                <w:szCs w:val="22"/>
              </w:rPr>
              <w:t>Lutathera</w:t>
            </w:r>
            <w:r w:rsidR="0051061A" w:rsidRPr="0051061A">
              <w:rPr>
                <w:szCs w:val="22"/>
              </w:rPr>
              <w:t xml:space="preserve"> is a clear, colourless to slightly yellow solution with a pH range of 4.5 to 6.0</w:t>
            </w:r>
          </w:p>
        </w:tc>
      </w:tr>
      <w:tr w:rsidR="00324B33" w:rsidRPr="00BD5DBD" w14:paraId="115243E6" w14:textId="77777777" w:rsidTr="0091138B">
        <w:tc>
          <w:tcPr>
            <w:tcW w:w="2266" w:type="pct"/>
          </w:tcPr>
          <w:p w14:paraId="7634B062" w14:textId="4928D2F9" w:rsidR="00324B33" w:rsidRPr="00BD5DBD" w:rsidRDefault="00324B33" w:rsidP="007452E8">
            <w:pPr>
              <w:rPr>
                <w:i/>
                <w:szCs w:val="22"/>
              </w:rPr>
            </w:pPr>
            <w:r w:rsidRPr="00BD5DBD">
              <w:rPr>
                <w:i/>
                <w:szCs w:val="22"/>
              </w:rPr>
              <w:t>Strength:</w:t>
            </w:r>
          </w:p>
        </w:tc>
        <w:tc>
          <w:tcPr>
            <w:tcW w:w="2734" w:type="pct"/>
          </w:tcPr>
          <w:p w14:paraId="5E5F83DB" w14:textId="1D9CD4C8" w:rsidR="00324B33" w:rsidRPr="00BD5DBD" w:rsidRDefault="00AB74E8" w:rsidP="007452E8">
            <w:pPr>
              <w:rPr>
                <w:szCs w:val="22"/>
              </w:rPr>
            </w:pPr>
            <w:r w:rsidRPr="00AB74E8">
              <w:rPr>
                <w:szCs w:val="22"/>
              </w:rPr>
              <w:t>One mL of solution contains 370 MBq of lutetium (</w:t>
            </w:r>
            <w:r w:rsidR="00544537" w:rsidRPr="00544537">
              <w:rPr>
                <w:szCs w:val="22"/>
                <w:vertAlign w:val="superscript"/>
              </w:rPr>
              <w:t>177</w:t>
            </w:r>
            <w:r w:rsidRPr="00AB74E8">
              <w:rPr>
                <w:szCs w:val="22"/>
              </w:rPr>
              <w:t>Lu) oxodotreotide at the date and time of calibration</w:t>
            </w:r>
            <w:r>
              <w:rPr>
                <w:szCs w:val="22"/>
              </w:rPr>
              <w:t>.</w:t>
            </w:r>
          </w:p>
        </w:tc>
      </w:tr>
      <w:tr w:rsidR="00324B33" w:rsidRPr="00BD5DBD" w14:paraId="34B07BA6" w14:textId="77777777" w:rsidTr="0091138B">
        <w:tc>
          <w:tcPr>
            <w:tcW w:w="2266" w:type="pct"/>
          </w:tcPr>
          <w:p w14:paraId="1C039224" w14:textId="126CC99E" w:rsidR="00324B33" w:rsidRPr="00BD5DBD" w:rsidRDefault="00324B33" w:rsidP="007452E8">
            <w:pPr>
              <w:rPr>
                <w:i/>
                <w:szCs w:val="22"/>
              </w:rPr>
            </w:pPr>
            <w:r w:rsidRPr="00BD5DBD">
              <w:rPr>
                <w:i/>
                <w:szCs w:val="22"/>
              </w:rPr>
              <w:t>Container:</w:t>
            </w:r>
          </w:p>
        </w:tc>
        <w:tc>
          <w:tcPr>
            <w:tcW w:w="2734" w:type="pct"/>
          </w:tcPr>
          <w:p w14:paraId="6BAEA0F9" w14:textId="77777777" w:rsidR="00C617FD" w:rsidRPr="00C617FD" w:rsidRDefault="00C617FD" w:rsidP="00C617FD">
            <w:pPr>
              <w:rPr>
                <w:szCs w:val="22"/>
              </w:rPr>
            </w:pPr>
            <w:r w:rsidRPr="00C617FD">
              <w:rPr>
                <w:szCs w:val="22"/>
              </w:rPr>
              <w:t xml:space="preserve">Clear, colourless type I glass vial, closed with a </w:t>
            </w:r>
            <w:proofErr w:type="spellStart"/>
            <w:r w:rsidRPr="00C617FD">
              <w:rPr>
                <w:szCs w:val="22"/>
              </w:rPr>
              <w:t>bromobutyl</w:t>
            </w:r>
            <w:proofErr w:type="spellEnd"/>
            <w:r w:rsidRPr="00C617FD">
              <w:rPr>
                <w:szCs w:val="22"/>
              </w:rPr>
              <w:t xml:space="preserve"> rubber stopper and aluminium cap.</w:t>
            </w:r>
          </w:p>
          <w:p w14:paraId="25626A5E" w14:textId="77777777" w:rsidR="00C617FD" w:rsidRPr="00C617FD" w:rsidRDefault="00C617FD" w:rsidP="00C617FD">
            <w:pPr>
              <w:rPr>
                <w:szCs w:val="22"/>
              </w:rPr>
            </w:pPr>
            <w:r w:rsidRPr="00C617FD">
              <w:rPr>
                <w:szCs w:val="22"/>
              </w:rPr>
              <w:t>Each vial contains a volume that ranges from 20.5 to 25.0 mL of solution, corresponding to a radioactivity of 7400 MBq ± 10% at the date and time of infusion.</w:t>
            </w:r>
          </w:p>
          <w:p w14:paraId="500A42C6" w14:textId="4F8FAD72" w:rsidR="00324B33" w:rsidRPr="00BD5DBD" w:rsidRDefault="00C617FD" w:rsidP="00C617FD">
            <w:pPr>
              <w:rPr>
                <w:szCs w:val="22"/>
              </w:rPr>
            </w:pPr>
            <w:r w:rsidRPr="00C617FD">
              <w:rPr>
                <w:szCs w:val="22"/>
              </w:rPr>
              <w:t xml:space="preserve">The vial is enclosed within a lead shielded container and placed in a </w:t>
            </w:r>
            <w:r w:rsidR="00E10E94" w:rsidRPr="00E10E94">
              <w:rPr>
                <w:szCs w:val="22"/>
              </w:rPr>
              <w:t>Type A cardboard shipping box</w:t>
            </w:r>
            <w:r w:rsidRPr="00C617FD">
              <w:rPr>
                <w:szCs w:val="22"/>
              </w:rPr>
              <w:t>.</w:t>
            </w:r>
          </w:p>
        </w:tc>
      </w:tr>
      <w:tr w:rsidR="00324B33" w:rsidRPr="00BD5DBD" w14:paraId="19A2544A" w14:textId="77777777" w:rsidTr="0091138B">
        <w:tc>
          <w:tcPr>
            <w:tcW w:w="2266" w:type="pct"/>
          </w:tcPr>
          <w:p w14:paraId="0E6C5C0E" w14:textId="7DB3FC66" w:rsidR="00324B33" w:rsidRPr="00BD5DBD" w:rsidRDefault="00324B33" w:rsidP="007452E8">
            <w:pPr>
              <w:rPr>
                <w:i/>
                <w:szCs w:val="22"/>
              </w:rPr>
            </w:pPr>
            <w:r w:rsidRPr="00BD5DBD">
              <w:rPr>
                <w:i/>
                <w:szCs w:val="22"/>
              </w:rPr>
              <w:t>Approved therapeutic use</w:t>
            </w:r>
            <w:r w:rsidR="00E47E0C" w:rsidRPr="00BD5DBD">
              <w:rPr>
                <w:i/>
                <w:szCs w:val="22"/>
              </w:rPr>
              <w:t xml:space="preserve"> </w:t>
            </w:r>
            <w:r w:rsidR="007B04DE" w:rsidRPr="00BD5DBD">
              <w:rPr>
                <w:i/>
                <w:szCs w:val="22"/>
              </w:rPr>
              <w:t>for the current</w:t>
            </w:r>
            <w:r w:rsidR="00E47E0C" w:rsidRPr="00BD5DBD">
              <w:rPr>
                <w:i/>
                <w:szCs w:val="22"/>
              </w:rPr>
              <w:t xml:space="preserve"> submission</w:t>
            </w:r>
            <w:r w:rsidRPr="00BD5DBD">
              <w:rPr>
                <w:i/>
                <w:szCs w:val="22"/>
              </w:rPr>
              <w:t>:</w:t>
            </w:r>
          </w:p>
        </w:tc>
        <w:tc>
          <w:tcPr>
            <w:tcW w:w="2734" w:type="pct"/>
          </w:tcPr>
          <w:p w14:paraId="6E143E2E" w14:textId="221BA55F" w:rsidR="00324B33" w:rsidRPr="00BD5DBD" w:rsidRDefault="00CE3296" w:rsidP="007452E8">
            <w:pPr>
              <w:rPr>
                <w:szCs w:val="22"/>
              </w:rPr>
            </w:pPr>
            <w:r>
              <w:rPr>
                <w:szCs w:val="22"/>
              </w:rPr>
              <w:t>Lutathera</w:t>
            </w:r>
            <w:r w:rsidR="005B0331" w:rsidRPr="005B0331">
              <w:rPr>
                <w:szCs w:val="22"/>
              </w:rPr>
              <w:t xml:space="preserve"> is indicated for the treatment of somatostatin receptor-positive gastroenteropancreatic neuroendocrine tumours (GEP-NETs), including foregut, midgut, and hindgut neuroendocrine tumours in adults.</w:t>
            </w:r>
          </w:p>
        </w:tc>
      </w:tr>
      <w:tr w:rsidR="00324B33" w:rsidRPr="00BD5DBD" w14:paraId="5AFDEED3" w14:textId="77777777" w:rsidTr="0091138B">
        <w:tc>
          <w:tcPr>
            <w:tcW w:w="2266" w:type="pct"/>
          </w:tcPr>
          <w:p w14:paraId="03884BD1" w14:textId="7A94F7EC" w:rsidR="00324B33" w:rsidRPr="00BD5DBD" w:rsidRDefault="00324B33" w:rsidP="007452E8">
            <w:pPr>
              <w:rPr>
                <w:i/>
                <w:szCs w:val="22"/>
              </w:rPr>
            </w:pPr>
            <w:r w:rsidRPr="00BD5DBD">
              <w:rPr>
                <w:i/>
                <w:szCs w:val="22"/>
              </w:rPr>
              <w:t>Route of administration:</w:t>
            </w:r>
          </w:p>
        </w:tc>
        <w:tc>
          <w:tcPr>
            <w:tcW w:w="2734" w:type="pct"/>
          </w:tcPr>
          <w:p w14:paraId="1ED1357E" w14:textId="0DD62843" w:rsidR="00324B33" w:rsidRPr="00BD5DBD" w:rsidRDefault="00A9606C" w:rsidP="007452E8">
            <w:pPr>
              <w:rPr>
                <w:szCs w:val="22"/>
              </w:rPr>
            </w:pPr>
            <w:r>
              <w:rPr>
                <w:szCs w:val="22"/>
              </w:rPr>
              <w:t>I</w:t>
            </w:r>
            <w:r w:rsidRPr="00A9606C">
              <w:rPr>
                <w:szCs w:val="22"/>
              </w:rPr>
              <w:t>ntravenous infusion</w:t>
            </w:r>
          </w:p>
        </w:tc>
      </w:tr>
      <w:tr w:rsidR="00324B33" w:rsidRPr="00BD5DBD" w14:paraId="70D7E9FA" w14:textId="77777777" w:rsidTr="0091138B">
        <w:tc>
          <w:tcPr>
            <w:tcW w:w="2266" w:type="pct"/>
          </w:tcPr>
          <w:p w14:paraId="5ABFFC80" w14:textId="77777777" w:rsidR="00324B33" w:rsidRPr="00BD5DBD" w:rsidRDefault="00324B33" w:rsidP="007452E8">
            <w:pPr>
              <w:rPr>
                <w:i/>
                <w:szCs w:val="22"/>
              </w:rPr>
            </w:pPr>
            <w:r w:rsidRPr="00BD5DBD">
              <w:rPr>
                <w:i/>
                <w:szCs w:val="22"/>
              </w:rPr>
              <w:t>Dosage:</w:t>
            </w:r>
          </w:p>
        </w:tc>
        <w:tc>
          <w:tcPr>
            <w:tcW w:w="2734" w:type="pct"/>
          </w:tcPr>
          <w:p w14:paraId="4ED9C397" w14:textId="06068710" w:rsidR="00876502" w:rsidRDefault="00876502" w:rsidP="007452E8">
            <w:pPr>
              <w:rPr>
                <w:szCs w:val="22"/>
              </w:rPr>
            </w:pPr>
            <w:r w:rsidRPr="00876502">
              <w:rPr>
                <w:szCs w:val="22"/>
              </w:rPr>
              <w:t xml:space="preserve">The recommended treatment regimen of </w:t>
            </w:r>
            <w:r w:rsidR="00CE3296">
              <w:rPr>
                <w:szCs w:val="22"/>
              </w:rPr>
              <w:t>Lutathera</w:t>
            </w:r>
            <w:r w:rsidRPr="00876502">
              <w:rPr>
                <w:szCs w:val="22"/>
              </w:rPr>
              <w:t xml:space="preserve"> in adults consists of 4 infusions of 7400 MBq each. The recommended interval between each infusion is 8 weeks (±1 week).</w:t>
            </w:r>
            <w:r>
              <w:rPr>
                <w:szCs w:val="22"/>
              </w:rPr>
              <w:t xml:space="preserve"> </w:t>
            </w:r>
          </w:p>
          <w:p w14:paraId="3D0B2D5C" w14:textId="13314C4D" w:rsidR="00324B33" w:rsidRPr="00BD5DBD" w:rsidRDefault="00324B33" w:rsidP="007452E8">
            <w:pPr>
              <w:rPr>
                <w:szCs w:val="22"/>
              </w:rPr>
            </w:pPr>
            <w:r w:rsidRPr="00BD5DBD">
              <w:rPr>
                <w:szCs w:val="22"/>
              </w:rPr>
              <w:t>For further information regarding dosage, refer to the Product Information.</w:t>
            </w:r>
          </w:p>
        </w:tc>
      </w:tr>
      <w:tr w:rsidR="0017005C" w:rsidRPr="00BD5DBD" w14:paraId="7B7BB6AE" w14:textId="77777777" w:rsidTr="0091138B">
        <w:tc>
          <w:tcPr>
            <w:tcW w:w="2266" w:type="pct"/>
          </w:tcPr>
          <w:p w14:paraId="3A76AFF7" w14:textId="2B17DE10" w:rsidR="00953B03" w:rsidRPr="00953B03" w:rsidRDefault="0070330F" w:rsidP="0091138B">
            <w:r w:rsidRPr="00BD5DBD">
              <w:rPr>
                <w:i/>
                <w:szCs w:val="22"/>
              </w:rPr>
              <w:t>Pregnancy category:</w:t>
            </w:r>
          </w:p>
        </w:tc>
        <w:tc>
          <w:tcPr>
            <w:tcW w:w="2734" w:type="pct"/>
          </w:tcPr>
          <w:p w14:paraId="14A79481" w14:textId="77777777" w:rsidR="00953B03" w:rsidRDefault="00953B03" w:rsidP="00953B03">
            <w:r>
              <w:t>Category X</w:t>
            </w:r>
          </w:p>
          <w:p w14:paraId="4817F4F4" w14:textId="37227932" w:rsidR="00000E6E" w:rsidRPr="00BD5DBD" w:rsidRDefault="00953B03" w:rsidP="00953B03">
            <w:pPr>
              <w:rPr>
                <w:szCs w:val="22"/>
              </w:rPr>
            </w:pPr>
            <w:r>
              <w:lastRenderedPageBreak/>
              <w:t xml:space="preserve">Drugs which have such a high risk of causing permanent damage to the </w:t>
            </w:r>
            <w:proofErr w:type="spellStart"/>
            <w:r>
              <w:t>fetus</w:t>
            </w:r>
            <w:proofErr w:type="spellEnd"/>
            <w:r>
              <w:t xml:space="preserve"> that they should not be used in pregnancy or when there is a possibility of pregnancy.</w:t>
            </w:r>
          </w:p>
          <w:p w14:paraId="76497789" w14:textId="634DC28C" w:rsidR="0017005C" w:rsidRPr="00BD5DBD" w:rsidRDefault="0070330F" w:rsidP="00306E72">
            <w:pPr>
              <w:rPr>
                <w:szCs w:val="22"/>
              </w:rPr>
            </w:pPr>
            <w:r w:rsidRPr="00BD5DBD">
              <w:rPr>
                <w:szCs w:val="22"/>
              </w:rPr>
              <w:t xml:space="preserve">The use of any medicine during pregnancy requires careful consideration of both risks and benefits by the treating health professional. </w:t>
            </w:r>
            <w:r w:rsidR="00721059">
              <w:rPr>
                <w:szCs w:val="22"/>
              </w:rPr>
              <w:t xml:space="preserve">The </w:t>
            </w:r>
            <w:hyperlink r:id="rId19" w:history="1">
              <w:r w:rsidR="00721059" w:rsidRPr="00065FDF">
                <w:rPr>
                  <w:rStyle w:val="Hyperlink"/>
                  <w:szCs w:val="22"/>
                </w:rPr>
                <w:t>pregnancy database</w:t>
              </w:r>
            </w:hyperlink>
            <w:r w:rsidR="00387984">
              <w:t xml:space="preserve"> </w:t>
            </w:r>
            <w:r w:rsidRPr="00BD5DBD">
              <w:rPr>
                <w:szCs w:val="22"/>
              </w:rPr>
              <w:t xml:space="preserve">must not be used as the sole basis of decision making in the use of medicines during pregnancy. The TGA does not provide advice on the use of medicines in pregnancy for specific cases. More information is available from </w:t>
            </w:r>
            <w:hyperlink r:id="rId20" w:history="1">
              <w:r w:rsidRPr="00C059D0">
                <w:rPr>
                  <w:rStyle w:val="Hyperlink"/>
                  <w:szCs w:val="22"/>
                </w:rPr>
                <w:t>obstetric drug information services</w:t>
              </w:r>
            </w:hyperlink>
            <w:r w:rsidRPr="00BD5DBD">
              <w:rPr>
                <w:szCs w:val="22"/>
              </w:rPr>
              <w:t xml:space="preserve"> in your </w:t>
            </w:r>
            <w:r w:rsidR="00306E72">
              <w:rPr>
                <w:szCs w:val="22"/>
              </w:rPr>
              <w:t>s</w:t>
            </w:r>
            <w:r w:rsidRPr="00BD5DBD">
              <w:rPr>
                <w:szCs w:val="22"/>
              </w:rPr>
              <w:t xml:space="preserve">tate or </w:t>
            </w:r>
            <w:r w:rsidR="00306E72">
              <w:rPr>
                <w:szCs w:val="22"/>
              </w:rPr>
              <w:t>t</w:t>
            </w:r>
            <w:r w:rsidRPr="00BD5DBD">
              <w:rPr>
                <w:szCs w:val="22"/>
              </w:rPr>
              <w:t>erritory.</w:t>
            </w:r>
          </w:p>
        </w:tc>
      </w:tr>
    </w:tbl>
    <w:p w14:paraId="51F2479F" w14:textId="1E34B277" w:rsidR="00324B33" w:rsidRDefault="00324B33" w:rsidP="00324B33">
      <w:pPr>
        <w:pStyle w:val="Heading3"/>
      </w:pPr>
      <w:bookmarkStart w:id="11" w:name="_Toc247691503"/>
      <w:bookmarkStart w:id="12" w:name="_Toc314842484"/>
      <w:bookmarkStart w:id="13" w:name="_Toc103679290"/>
      <w:bookmarkStart w:id="14" w:name="_Toc221611017"/>
      <w:r>
        <w:lastRenderedPageBreak/>
        <w:t>Product background</w:t>
      </w:r>
      <w:bookmarkEnd w:id="11"/>
      <w:bookmarkEnd w:id="12"/>
      <w:bookmarkEnd w:id="13"/>
      <w:bookmarkEnd w:id="14"/>
    </w:p>
    <w:p w14:paraId="59BF31D1" w14:textId="07FC8945" w:rsidR="001500A8" w:rsidRDefault="00324B33" w:rsidP="00065839">
      <w:r w:rsidRPr="00065839">
        <w:t xml:space="preserve">This AusPAR describes the submission by </w:t>
      </w:r>
      <w:r w:rsidR="00953B03" w:rsidRPr="00953B03">
        <w:t>Novartis Pharmaceuticals Australia Pty Ltd</w:t>
      </w:r>
      <w:r w:rsidRPr="00065839">
        <w:t xml:space="preserve"> (the sponsor) to register </w:t>
      </w:r>
      <w:r w:rsidR="00CE3296">
        <w:t>Lutathera</w:t>
      </w:r>
      <w:r w:rsidRPr="00065839">
        <w:t xml:space="preserve"> (</w:t>
      </w:r>
      <w:r w:rsidR="00953B03" w:rsidRPr="00953B03">
        <w:t>lutetium (</w:t>
      </w:r>
      <w:r w:rsidR="00544537" w:rsidRPr="00544537">
        <w:rPr>
          <w:vertAlign w:val="superscript"/>
        </w:rPr>
        <w:t>177</w:t>
      </w:r>
      <w:r w:rsidR="00953B03" w:rsidRPr="00953B03">
        <w:t>Lu) oxodotreotide</w:t>
      </w:r>
      <w:r w:rsidR="00D51E9A">
        <w:t>)</w:t>
      </w:r>
      <w:r w:rsidR="00953B03">
        <w:t xml:space="preserve"> </w:t>
      </w:r>
      <w:r w:rsidRPr="00065839">
        <w:t>for the following proposed indication:</w:t>
      </w:r>
      <w:r w:rsidR="00D63760" w:rsidRPr="00065839">
        <w:rPr>
          <w:vertAlign w:val="superscript"/>
        </w:rPr>
        <w:footnoteReference w:id="1"/>
      </w:r>
    </w:p>
    <w:p w14:paraId="3258DE10" w14:textId="0A90DBC2" w:rsidR="00554F55" w:rsidRPr="00065839" w:rsidRDefault="00CE3296" w:rsidP="00554F55">
      <w:pPr>
        <w:pStyle w:val="Indication"/>
      </w:pPr>
      <w:r>
        <w:t>Lutathera</w:t>
      </w:r>
      <w:r w:rsidR="00554F55">
        <w:t xml:space="preserve"> is indicated for the treatment of somatostatin receptor-positive gastroenteropancreatic neuroendocrine tumours (GEP-NETs), including foregut, midgut, and hindgut neuroendocrine tumours in adults.</w:t>
      </w:r>
    </w:p>
    <w:p w14:paraId="1E63A2AE" w14:textId="5FCD6C6F" w:rsidR="00CB6813" w:rsidRDefault="00005DFC" w:rsidP="00CB6813">
      <w:pPr>
        <w:pStyle w:val="Heading4"/>
      </w:pPr>
      <w:bookmarkStart w:id="15" w:name="_Toc221611018"/>
      <w:bookmarkStart w:id="16" w:name="_Toc314842485"/>
      <w:bookmarkStart w:id="17" w:name="_Toc247691504"/>
      <w:r>
        <w:t>D</w:t>
      </w:r>
      <w:r w:rsidR="00CB6813" w:rsidRPr="00C12D65">
        <w:t>isease</w:t>
      </w:r>
      <w:r w:rsidR="006428C5">
        <w:t xml:space="preserve"> or condition</w:t>
      </w:r>
      <w:bookmarkEnd w:id="15"/>
    </w:p>
    <w:p w14:paraId="41602482" w14:textId="5626F6E1" w:rsidR="00ED0E79" w:rsidRPr="00ED0E79" w:rsidRDefault="00ED0E79" w:rsidP="00ED0E79">
      <w:r w:rsidRPr="00ED0E79">
        <w:t>Gastro-entero-pancreatic neuroendocrine tumours (GEP-NETs) are a heterogeneous group of tumours that arise from neuroendocrine cells in the gastrointestinal tract.</w:t>
      </w:r>
      <w:r w:rsidR="0085386A">
        <w:rPr>
          <w:rStyle w:val="FootnoteReference"/>
        </w:rPr>
        <w:footnoteReference w:id="2"/>
      </w:r>
      <w:r w:rsidRPr="00ED0E79">
        <w:t xml:space="preserve"> </w:t>
      </w:r>
    </w:p>
    <w:p w14:paraId="6B7CD9DE" w14:textId="651115EE" w:rsidR="00ED0E79" w:rsidRPr="00ED0E79" w:rsidRDefault="00ED0E79" w:rsidP="00ED0E79">
      <w:r w:rsidRPr="00ED0E79">
        <w:t xml:space="preserve">They are characterised by the capacity for peptide hormone and biogenic amine production, that can lead to a range of clinical syndromes. A subset of tumours </w:t>
      </w:r>
      <w:proofErr w:type="gramStart"/>
      <w:r w:rsidRPr="00ED0E79">
        <w:t>do</w:t>
      </w:r>
      <w:proofErr w:type="gramEnd"/>
      <w:r w:rsidRPr="00ED0E79">
        <w:t xml:space="preserve"> not produc</w:t>
      </w:r>
      <w:r w:rsidR="00FF57EE">
        <w:t>e</w:t>
      </w:r>
      <w:r w:rsidRPr="00ED0E79">
        <w:t xml:space="preserve"> functional hormones, and present late with symptoms from a mass effect or distant metastases.</w:t>
      </w:r>
      <w:r w:rsidR="00A87A41">
        <w:rPr>
          <w:rStyle w:val="FootnoteReference"/>
        </w:rPr>
        <w:footnoteReference w:id="3"/>
      </w:r>
    </w:p>
    <w:p w14:paraId="4C30CCEA" w14:textId="76B8E992" w:rsidR="00ED0E79" w:rsidRPr="00ED0E79" w:rsidRDefault="00ED0E79" w:rsidP="00ED0E79">
      <w:r w:rsidRPr="00ED0E79">
        <w:t xml:space="preserve">Most </w:t>
      </w:r>
      <w:r w:rsidR="00B80A32" w:rsidRPr="00B80A32">
        <w:t xml:space="preserve">neuroendocrine tumours </w:t>
      </w:r>
      <w:r w:rsidR="00B80A32">
        <w:t>(</w:t>
      </w:r>
      <w:r w:rsidRPr="00ED0E79">
        <w:t>NETs</w:t>
      </w:r>
      <w:r w:rsidR="00B80A32">
        <w:t>)</w:t>
      </w:r>
      <w:r w:rsidRPr="00ED0E79">
        <w:t xml:space="preserve"> are sporadic. Sporadic cases of pancreatic NETs can arise from germline mutations including in the DNA repair genes MUYTH, CHEK2 and BRCA2. GEP-NETs can arise in the setting of multiple endocrine neoplasia 1 syndrome. Pancreatic NETs are also associated with von Hippel-Lindau, tuberous sclerosis and neurofibromatosis.</w:t>
      </w:r>
      <w:r w:rsidR="00842B30">
        <w:rPr>
          <w:rStyle w:val="FootnoteReference"/>
        </w:rPr>
        <w:footnoteReference w:id="4"/>
      </w:r>
    </w:p>
    <w:p w14:paraId="26209A4A" w14:textId="386B8698" w:rsidR="00ED0E79" w:rsidRPr="00ED0E79" w:rsidRDefault="00ED0E79" w:rsidP="00ED0E79">
      <w:r w:rsidRPr="00ED0E79">
        <w:t xml:space="preserve">Diagnostic work-up includes imaging comprising CT scan, MRI scan, </w:t>
      </w:r>
      <w:r w:rsidRPr="00ED0E79">
        <w:rPr>
          <w:vertAlign w:val="superscript"/>
        </w:rPr>
        <w:t>18</w:t>
      </w:r>
      <w:r w:rsidR="002F1FA5" w:rsidRPr="002F1FA5">
        <w:t>F</w:t>
      </w:r>
      <w:r w:rsidR="002F1FA5">
        <w:rPr>
          <w:vertAlign w:val="superscript"/>
        </w:rPr>
        <w:t>-</w:t>
      </w:r>
      <w:r w:rsidRPr="00ED0E79">
        <w:t xml:space="preserve">fluorodeoxyglucose PET/CT (FDG-PET/CT), somatostatin receptor (SSTR)-PET/CT and/or SSTR PET/MRI and in certain circumstances endorectal ultrasound. In addition, haematological, biochemistry, </w:t>
      </w:r>
      <w:r w:rsidRPr="00ED0E79">
        <w:lastRenderedPageBreak/>
        <w:t>(including tumour markers such as chromogranin A and 5-hydroxyindolacetic acid) and genetic testing.</w:t>
      </w:r>
      <w:r w:rsidR="005A66B6">
        <w:rPr>
          <w:rStyle w:val="FootnoteReference"/>
        </w:rPr>
        <w:footnoteReference w:id="5"/>
      </w:r>
    </w:p>
    <w:p w14:paraId="4BCBCF9D" w14:textId="47BEC3C9" w:rsidR="00ED0E79" w:rsidRPr="00ED0E79" w:rsidRDefault="00ED0E79" w:rsidP="00ED0E79">
      <w:r w:rsidRPr="00ED0E79">
        <w:t xml:space="preserve">The </w:t>
      </w:r>
      <w:r w:rsidR="00D64703">
        <w:t>tumour-node-metastasis (</w:t>
      </w:r>
      <w:r w:rsidRPr="00ED0E79">
        <w:t>TNM</w:t>
      </w:r>
      <w:r w:rsidR="00D64703">
        <w:t>)</w:t>
      </w:r>
      <w:r w:rsidRPr="00ED0E79">
        <w:t xml:space="preserve"> classification can be used to stage GEP-NETs although the most recent </w:t>
      </w:r>
      <w:r w:rsidR="00823CA9" w:rsidRPr="00823CA9">
        <w:t xml:space="preserve">American Joint Committee on Cancer </w:t>
      </w:r>
      <w:r w:rsidRPr="00ED0E79">
        <w:t xml:space="preserve">classification has different criteria for stages 1-3 depending on the location of the tumour (stomach, small intestine, appendix, colon and rectum or pancreas). Tumours are classified by mitotic count and Ki-67 index (%) into Grade 1 through 3. Grade 3 is further subdivided into well differentiated and poorly differentiated. </w:t>
      </w:r>
    </w:p>
    <w:p w14:paraId="404B6AA0" w14:textId="4C2FAB02" w:rsidR="00ED0E79" w:rsidRPr="00ED0E79" w:rsidRDefault="00ED0E79" w:rsidP="00ED0E79">
      <w:r w:rsidRPr="00ED0E79">
        <w:t>Grade 1 tumours are typically indolent, particularly if localised or with limited metastases. Grade 2 is more variable, and Grade 3, particularly poorly differentiated Grade 3 tumours, tend to behave more aggressively.</w:t>
      </w:r>
    </w:p>
    <w:p w14:paraId="255E083A" w14:textId="77777777" w:rsidR="00CB6813" w:rsidRDefault="00CB6813" w:rsidP="00CB6813">
      <w:pPr>
        <w:pStyle w:val="Heading4"/>
      </w:pPr>
      <w:bookmarkStart w:id="18" w:name="_Toc221611019"/>
      <w:r>
        <w:t>Current treatment options</w:t>
      </w:r>
      <w:bookmarkEnd w:id="18"/>
    </w:p>
    <w:p w14:paraId="0E500F4E" w14:textId="77777777" w:rsidR="00B615CC" w:rsidRPr="00B615CC" w:rsidRDefault="00B615CC" w:rsidP="00B615CC">
      <w:r w:rsidRPr="00B615CC">
        <w:t xml:space="preserve">Surgical treatment may be with curative intent for small local disease, or to de-bulk more extensive disease. Ablation to target liver metastases may be considered in limited specific circumstances – either by </w:t>
      </w:r>
      <w:proofErr w:type="spellStart"/>
      <w:r w:rsidRPr="00B615CC">
        <w:t>transarterial</w:t>
      </w:r>
      <w:proofErr w:type="spellEnd"/>
      <w:r w:rsidRPr="00B615CC">
        <w:t xml:space="preserve"> </w:t>
      </w:r>
      <w:proofErr w:type="spellStart"/>
      <w:r w:rsidRPr="00B615CC">
        <w:t>embolisation</w:t>
      </w:r>
      <w:proofErr w:type="spellEnd"/>
      <w:r w:rsidRPr="00B615CC">
        <w:t xml:space="preserve"> or </w:t>
      </w:r>
      <w:proofErr w:type="spellStart"/>
      <w:r w:rsidRPr="00B615CC">
        <w:t>transarterial</w:t>
      </w:r>
      <w:proofErr w:type="spellEnd"/>
      <w:r w:rsidRPr="00B615CC">
        <w:t xml:space="preserve"> chemoembolization.</w:t>
      </w:r>
    </w:p>
    <w:p w14:paraId="19472B25" w14:textId="4F3402F0" w:rsidR="00B615CC" w:rsidRPr="00B615CC" w:rsidRDefault="00B615CC" w:rsidP="00B615CC">
      <w:r w:rsidRPr="00B615CC">
        <w:t>Somatostatin analogues reduce the release of hormones from NETs and slow tumour growth. They are recommended first line systemic therapy for lower grade metastatic well differentiated tumours.</w:t>
      </w:r>
      <w:r w:rsidR="008C3F98">
        <w:rPr>
          <w:rStyle w:val="FootnoteReference"/>
        </w:rPr>
        <w:footnoteReference w:id="6"/>
      </w:r>
      <w:r w:rsidRPr="00B615CC">
        <w:t xml:space="preserve"> They have application in tumours with carcinoid syndromes (flushing and diarrhoea). Octreotide LAR </w:t>
      </w:r>
      <w:r w:rsidR="00D7505F" w:rsidRPr="00D7505F">
        <w:t xml:space="preserve">(long-acting release) </w:t>
      </w:r>
      <w:r w:rsidRPr="00B615CC">
        <w:t xml:space="preserve">and </w:t>
      </w:r>
      <w:proofErr w:type="spellStart"/>
      <w:r w:rsidRPr="00B615CC">
        <w:t>lanreotide</w:t>
      </w:r>
      <w:proofErr w:type="spellEnd"/>
      <w:r w:rsidRPr="00B615CC">
        <w:t xml:space="preserve"> are the somatostatin analogues typically used in Australia.</w:t>
      </w:r>
    </w:p>
    <w:p w14:paraId="1FCC64BA" w14:textId="03524A4B" w:rsidR="00B615CC" w:rsidRPr="00B615CC" w:rsidRDefault="00856876" w:rsidP="00B615CC">
      <w:r>
        <w:t>After p</w:t>
      </w:r>
      <w:r w:rsidR="00B615CC" w:rsidRPr="00B615CC">
        <w:t xml:space="preserve">rogression on Peptide Receptor Radionuclide Therapy such as </w:t>
      </w:r>
      <w:r w:rsidR="00CE3296">
        <w:t>Lutathera</w:t>
      </w:r>
      <w:r w:rsidR="00B615CC" w:rsidRPr="00B615CC">
        <w:t xml:space="preserve"> is a recognised therapy in international guidelines for patient with inoperable or metastatic tumours that express somatostatin receptors.</w:t>
      </w:r>
    </w:p>
    <w:p w14:paraId="7BE2F05E" w14:textId="66BEC539" w:rsidR="00B103DE" w:rsidRPr="00B103DE" w:rsidRDefault="00B615CC" w:rsidP="00B615CC">
      <w:r w:rsidRPr="00B615CC">
        <w:t xml:space="preserve">Other second-line options include combination </w:t>
      </w:r>
      <w:r w:rsidR="00DE7C2C">
        <w:t xml:space="preserve">of </w:t>
      </w:r>
      <w:r w:rsidRPr="00B615CC">
        <w:t>cytotoxic chemotherapy regimens such as carboplatin and etoposide, FOLFOX regimens (fluorouracil, oxaliplatin and folinic acid) and CAPTEM (capecitabine and temozolomide). Among other second-line options are everolimus</w:t>
      </w:r>
      <w:r w:rsidR="00DE7C2C">
        <w:t xml:space="preserve">, </w:t>
      </w:r>
      <w:r w:rsidR="00D344DF" w:rsidRPr="00D344DF">
        <w:t xml:space="preserve">sunitinib, and cabozantinib. </w:t>
      </w:r>
      <w:proofErr w:type="spellStart"/>
      <w:r w:rsidR="00D344DF" w:rsidRPr="00D344DF">
        <w:t>Belzutifan</w:t>
      </w:r>
      <w:proofErr w:type="spellEnd"/>
      <w:r w:rsidR="00D344DF">
        <w:t xml:space="preserve"> </w:t>
      </w:r>
      <w:r w:rsidR="00D344DF" w:rsidRPr="00D344DF">
        <w:t xml:space="preserve">may be useful for patients with von-Hippel Lindau disease with pancreatic </w:t>
      </w:r>
      <w:r w:rsidR="00E17F13">
        <w:t>n</w:t>
      </w:r>
      <w:r w:rsidR="00E17F13" w:rsidRPr="00E17F13">
        <w:t xml:space="preserve">euroendocrine </w:t>
      </w:r>
      <w:r w:rsidR="00E17F13">
        <w:t>t</w:t>
      </w:r>
      <w:r w:rsidR="00E17F13" w:rsidRPr="00E17F13">
        <w:t>umours</w:t>
      </w:r>
      <w:r w:rsidR="00D344DF" w:rsidRPr="00D344DF">
        <w:t>.</w:t>
      </w:r>
    </w:p>
    <w:p w14:paraId="37C47E09" w14:textId="14D3762D" w:rsidR="00CB6813" w:rsidRDefault="00CB6813" w:rsidP="00CB6813">
      <w:pPr>
        <w:pStyle w:val="Heading4"/>
      </w:pPr>
      <w:bookmarkStart w:id="19" w:name="_Toc221611020"/>
      <w:r>
        <w:t>C</w:t>
      </w:r>
      <w:r w:rsidRPr="00DE1344">
        <w:t>linical rational</w:t>
      </w:r>
      <w:r w:rsidR="0025785B">
        <w:t>e</w:t>
      </w:r>
      <w:bookmarkEnd w:id="19"/>
    </w:p>
    <w:p w14:paraId="369BD568" w14:textId="6B28209B" w:rsidR="00B81043" w:rsidRPr="00B81043" w:rsidRDefault="0081320B" w:rsidP="00B81043">
      <w:r>
        <w:t>GEP-NETs usually have high levels of somatostatin receptor subtype 2 (</w:t>
      </w:r>
      <w:r w:rsidR="00BA5534">
        <w:t>SSTR2</w:t>
      </w:r>
      <w:r>
        <w:t xml:space="preserve">) expression. </w:t>
      </w:r>
      <w:r w:rsidR="007729B3">
        <w:t>L</w:t>
      </w:r>
      <w:r w:rsidRPr="0081320B">
        <w:t>utetium (</w:t>
      </w:r>
      <w:r w:rsidR="00544537" w:rsidRPr="00544537">
        <w:rPr>
          <w:vertAlign w:val="superscript"/>
        </w:rPr>
        <w:t>177</w:t>
      </w:r>
      <w:r w:rsidRPr="0081320B">
        <w:t>Lu) oxodotreotide</w:t>
      </w:r>
      <w:r w:rsidR="00B81043">
        <w:t xml:space="preserve"> is </w:t>
      </w:r>
      <w:r w:rsidR="007729B3">
        <w:t xml:space="preserve">a </w:t>
      </w:r>
      <w:r w:rsidR="00B81043">
        <w:t xml:space="preserve">somatostatin receptor agonist with high affinity for </w:t>
      </w:r>
      <w:r w:rsidR="00F3735C" w:rsidRPr="00F3735C">
        <w:t>SSTR2</w:t>
      </w:r>
      <w:r w:rsidR="00B81043">
        <w:t xml:space="preserve">. The compound binds to malignant cells that overexpress </w:t>
      </w:r>
      <w:r w:rsidR="00E30357" w:rsidRPr="00E30357">
        <w:t>SST</w:t>
      </w:r>
      <w:r w:rsidR="006263EE">
        <w:t>R</w:t>
      </w:r>
      <w:r w:rsidR="00E30357" w:rsidRPr="00E30357">
        <w:t>2</w:t>
      </w:r>
      <w:r w:rsidR="00B81043">
        <w:t xml:space="preserve">. </w:t>
      </w:r>
      <w:r w:rsidR="007729B3">
        <w:t xml:space="preserve"> </w:t>
      </w:r>
      <w:r w:rsidR="00544537" w:rsidRPr="00544537">
        <w:rPr>
          <w:vertAlign w:val="superscript"/>
        </w:rPr>
        <w:t>177</w:t>
      </w:r>
      <w:r w:rsidR="00B81043">
        <w:t xml:space="preserve">Lu is a β-emitting radionuclide. The </w:t>
      </w:r>
      <w:r w:rsidR="00D03CFD">
        <w:t>maximum</w:t>
      </w:r>
      <w:r w:rsidR="00B81043">
        <w:t xml:space="preserve"> path length of the β</w:t>
      </w:r>
      <w:r w:rsidR="00D03CFD">
        <w:t xml:space="preserve"> negative </w:t>
      </w:r>
      <w:r w:rsidR="00B81043">
        <w:t xml:space="preserve">emission is about 2 mm, </w:t>
      </w:r>
      <w:r w:rsidR="00D03CFD">
        <w:t xml:space="preserve">the mean is 0.27 mm, </w:t>
      </w:r>
      <w:r w:rsidR="00B81043">
        <w:t>which</w:t>
      </w:r>
      <w:r w:rsidR="0091467D">
        <w:t xml:space="preserve"> </w:t>
      </w:r>
      <w:r w:rsidR="00B81043">
        <w:t>is sufficient to effectively kill targeted tumour cells, and with only limited effect on neighbouring</w:t>
      </w:r>
      <w:r w:rsidR="0091467D">
        <w:t xml:space="preserve"> </w:t>
      </w:r>
      <w:r w:rsidR="00B81043">
        <w:t>non-target cells.</w:t>
      </w:r>
    </w:p>
    <w:p w14:paraId="0D615854" w14:textId="77777777" w:rsidR="00324B33" w:rsidRPr="003F31A2" w:rsidRDefault="00324B33" w:rsidP="00324B33">
      <w:pPr>
        <w:pStyle w:val="Heading3"/>
      </w:pPr>
      <w:bookmarkStart w:id="20" w:name="_Toc103679291"/>
      <w:bookmarkStart w:id="21" w:name="_Toc221611021"/>
      <w:r>
        <w:lastRenderedPageBreak/>
        <w:t>Regulatory status</w:t>
      </w:r>
      <w:bookmarkEnd w:id="16"/>
      <w:bookmarkEnd w:id="17"/>
      <w:bookmarkEnd w:id="20"/>
      <w:bookmarkEnd w:id="21"/>
    </w:p>
    <w:p w14:paraId="72C889D6" w14:textId="7E200950" w:rsidR="0017005C" w:rsidRPr="00BD5DBD" w:rsidRDefault="0017005C" w:rsidP="00741AB9">
      <w:pPr>
        <w:pStyle w:val="Heading4"/>
      </w:pPr>
      <w:bookmarkStart w:id="22" w:name="_Toc221611022"/>
      <w:r w:rsidRPr="00BD5DBD">
        <w:t>Australian regulatory</w:t>
      </w:r>
      <w:r>
        <w:t xml:space="preserve"> sta</w:t>
      </w:r>
      <w:r w:rsidR="0025785B">
        <w:t>t</w:t>
      </w:r>
      <w:r>
        <w:t>us</w:t>
      </w:r>
      <w:bookmarkEnd w:id="22"/>
    </w:p>
    <w:p w14:paraId="6A8633FA" w14:textId="034397C1" w:rsidR="00324B33" w:rsidRDefault="00324B33" w:rsidP="00324B33">
      <w:pPr>
        <w:rPr>
          <w:szCs w:val="22"/>
        </w:rPr>
      </w:pPr>
      <w:r w:rsidRPr="00BD5DBD">
        <w:rPr>
          <w:szCs w:val="22"/>
        </w:rPr>
        <w:t>This product is considered a new chemical</w:t>
      </w:r>
      <w:r w:rsidR="008C754C" w:rsidRPr="00BD5DBD">
        <w:rPr>
          <w:szCs w:val="22"/>
        </w:rPr>
        <w:t xml:space="preserve"> entity</w:t>
      </w:r>
      <w:r w:rsidRPr="00BD5DBD">
        <w:rPr>
          <w:szCs w:val="22"/>
        </w:rPr>
        <w:t xml:space="preserve"> for Australian regulatory purposes.</w:t>
      </w:r>
    </w:p>
    <w:p w14:paraId="546C1031" w14:textId="4EF98FA1" w:rsidR="0017005C" w:rsidRDefault="00131B1B" w:rsidP="0017005C">
      <w:pPr>
        <w:pStyle w:val="Heading4"/>
      </w:pPr>
      <w:bookmarkStart w:id="23" w:name="_Toc221611023"/>
      <w:r>
        <w:t xml:space="preserve">International </w:t>
      </w:r>
      <w:r w:rsidR="0017005C" w:rsidRPr="00BD5DBD">
        <w:t>regulatory</w:t>
      </w:r>
      <w:r w:rsidR="0017005C">
        <w:t xml:space="preserve"> status</w:t>
      </w:r>
      <w:bookmarkEnd w:id="23"/>
    </w:p>
    <w:p w14:paraId="7FDF4A0B" w14:textId="7F9DDE4B" w:rsidR="008F4A62" w:rsidRPr="0017005C" w:rsidRDefault="008F4A62" w:rsidP="008F4A62">
      <w:r w:rsidRPr="00BD5DBD">
        <w:rPr>
          <w:szCs w:val="22"/>
        </w:rPr>
        <w:t xml:space="preserve">At the time the TGA considered this submission, a similar submission had been </w:t>
      </w:r>
      <w:r>
        <w:rPr>
          <w:szCs w:val="22"/>
        </w:rPr>
        <w:t xml:space="preserve">considered by other regulatory agencies. </w:t>
      </w:r>
      <w:r w:rsidR="00F16E7C">
        <w:rPr>
          <w:szCs w:val="22"/>
        </w:rPr>
        <w:t>T</w:t>
      </w:r>
      <w:r w:rsidRPr="00BD5DBD">
        <w:rPr>
          <w:szCs w:val="22"/>
        </w:rPr>
        <w:t>able</w:t>
      </w:r>
      <w:r w:rsidR="00F16E7C">
        <w:rPr>
          <w:szCs w:val="22"/>
        </w:rPr>
        <w:t xml:space="preserve"> 1</w:t>
      </w:r>
      <w:r w:rsidRPr="00BD5DBD">
        <w:rPr>
          <w:szCs w:val="22"/>
        </w:rPr>
        <w:t xml:space="preserve"> summarises these submissions and provides the indications where approved.</w:t>
      </w:r>
      <w:r>
        <w:rPr>
          <w:szCs w:val="22"/>
        </w:rPr>
        <w:t xml:space="preserve"> </w:t>
      </w:r>
    </w:p>
    <w:p w14:paraId="19B9E0AC" w14:textId="7DA2A11F" w:rsidR="00324B33" w:rsidRDefault="00324B33" w:rsidP="00324B33">
      <w:pPr>
        <w:pStyle w:val="TableTitle"/>
      </w:pPr>
      <w:bookmarkStart w:id="24" w:name="_Ref99705479"/>
      <w:r>
        <w:t xml:space="preserve">Table </w:t>
      </w:r>
      <w:r w:rsidR="007F1E37">
        <w:fldChar w:fldCharType="begin"/>
      </w:r>
      <w:r w:rsidR="007F1E37">
        <w:instrText xml:space="preserve"> SEQ Table \* ARABIC </w:instrText>
      </w:r>
      <w:r w:rsidR="007F1E37">
        <w:fldChar w:fldCharType="separate"/>
      </w:r>
      <w:r w:rsidR="008B1CB5">
        <w:rPr>
          <w:noProof/>
        </w:rPr>
        <w:t>1</w:t>
      </w:r>
      <w:r w:rsidR="007F1E37">
        <w:rPr>
          <w:noProof/>
        </w:rPr>
        <w:fldChar w:fldCharType="end"/>
      </w:r>
      <w:bookmarkEnd w:id="24"/>
      <w:r>
        <w:t>: International regulatory status</w:t>
      </w:r>
      <w:r w:rsidR="00417CEE">
        <w:t xml:space="preserve"> a</w:t>
      </w:r>
      <w:r w:rsidR="00417CEE" w:rsidRPr="00417CEE">
        <w:t>t the time the TGA considered this submission</w:t>
      </w:r>
    </w:p>
    <w:tbl>
      <w:tblPr>
        <w:tblStyle w:val="TableTGAblue2023"/>
        <w:tblW w:w="5000" w:type="pct"/>
        <w:tblLook w:val="04A0" w:firstRow="1" w:lastRow="0" w:firstColumn="1" w:lastColumn="0" w:noHBand="0" w:noVBand="1"/>
        <w:tblCaption w:val="Table 1: International regulatory status at the time the TGA considered this submission"/>
      </w:tblPr>
      <w:tblGrid>
        <w:gridCol w:w="1837"/>
        <w:gridCol w:w="1845"/>
        <w:gridCol w:w="2125"/>
        <w:gridCol w:w="3253"/>
      </w:tblGrid>
      <w:tr w:rsidR="007B482C" w:rsidRPr="00D01DDB" w14:paraId="405E5D78" w14:textId="16839333" w:rsidTr="0013132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4" w:type="pct"/>
          </w:tcPr>
          <w:p w14:paraId="185B099B" w14:textId="7A4C0E6C" w:rsidR="00324B33" w:rsidRPr="00D01DDB" w:rsidRDefault="00324B33" w:rsidP="00324B33">
            <w:pPr>
              <w:rPr>
                <w:szCs w:val="22"/>
              </w:rPr>
            </w:pPr>
            <w:r w:rsidRPr="00D01DDB">
              <w:rPr>
                <w:szCs w:val="22"/>
              </w:rPr>
              <w:t>Region</w:t>
            </w:r>
          </w:p>
        </w:tc>
        <w:tc>
          <w:tcPr>
            <w:tcW w:w="1018" w:type="pct"/>
          </w:tcPr>
          <w:p w14:paraId="778C35C7" w14:textId="52D23C85" w:rsidR="00324B33" w:rsidRPr="00D01DDB" w:rsidRDefault="00324B33" w:rsidP="00324B33">
            <w:pPr>
              <w:cnfStyle w:val="100000000000" w:firstRow="1" w:lastRow="0" w:firstColumn="0" w:lastColumn="0" w:oddVBand="0" w:evenVBand="0" w:oddHBand="0" w:evenHBand="0" w:firstRowFirstColumn="0" w:firstRowLastColumn="0" w:lastRowFirstColumn="0" w:lastRowLastColumn="0"/>
              <w:rPr>
                <w:szCs w:val="22"/>
              </w:rPr>
            </w:pPr>
            <w:r w:rsidRPr="00D01DDB">
              <w:rPr>
                <w:szCs w:val="22"/>
              </w:rPr>
              <w:t>Submission date</w:t>
            </w:r>
          </w:p>
        </w:tc>
        <w:tc>
          <w:tcPr>
            <w:tcW w:w="1173" w:type="pct"/>
          </w:tcPr>
          <w:p w14:paraId="58F81584" w14:textId="66689ABF" w:rsidR="00324B33" w:rsidRPr="00D01DDB" w:rsidRDefault="00324B33" w:rsidP="00324B33">
            <w:pPr>
              <w:cnfStyle w:val="100000000000" w:firstRow="1" w:lastRow="0" w:firstColumn="0" w:lastColumn="0" w:oddVBand="0" w:evenVBand="0" w:oddHBand="0" w:evenHBand="0" w:firstRowFirstColumn="0" w:firstRowLastColumn="0" w:lastRowFirstColumn="0" w:lastRowLastColumn="0"/>
              <w:rPr>
                <w:szCs w:val="22"/>
              </w:rPr>
            </w:pPr>
            <w:r w:rsidRPr="00D01DDB">
              <w:rPr>
                <w:szCs w:val="22"/>
              </w:rPr>
              <w:t>Status</w:t>
            </w:r>
          </w:p>
        </w:tc>
        <w:tc>
          <w:tcPr>
            <w:tcW w:w="1795" w:type="pct"/>
          </w:tcPr>
          <w:p w14:paraId="50B2D435" w14:textId="560588D2" w:rsidR="00324B33" w:rsidRPr="00D01DDB" w:rsidRDefault="00324B33" w:rsidP="00324B33">
            <w:pPr>
              <w:cnfStyle w:val="100000000000" w:firstRow="1" w:lastRow="0" w:firstColumn="0" w:lastColumn="0" w:oddVBand="0" w:evenVBand="0" w:oddHBand="0" w:evenHBand="0" w:firstRowFirstColumn="0" w:firstRowLastColumn="0" w:lastRowFirstColumn="0" w:lastRowLastColumn="0"/>
              <w:rPr>
                <w:szCs w:val="22"/>
              </w:rPr>
            </w:pPr>
            <w:r w:rsidRPr="00D01DDB">
              <w:rPr>
                <w:szCs w:val="22"/>
              </w:rPr>
              <w:t>Approved indications</w:t>
            </w:r>
          </w:p>
        </w:tc>
      </w:tr>
      <w:tr w:rsidR="007B482C" w:rsidRPr="00D01DDB" w14:paraId="38D24E86" w14:textId="77777777" w:rsidTr="0013132F">
        <w:tc>
          <w:tcPr>
            <w:cnfStyle w:val="001000000000" w:firstRow="0" w:lastRow="0" w:firstColumn="1" w:lastColumn="0" w:oddVBand="0" w:evenVBand="0" w:oddHBand="0" w:evenHBand="0" w:firstRowFirstColumn="0" w:firstRowLastColumn="0" w:lastRowFirstColumn="0" w:lastRowLastColumn="0"/>
            <w:tcW w:w="1014" w:type="pct"/>
          </w:tcPr>
          <w:p w14:paraId="4C540DE5" w14:textId="0FC8DF59" w:rsidR="00324B33" w:rsidRPr="00D01DDB" w:rsidRDefault="009649D0" w:rsidP="00324B33">
            <w:pPr>
              <w:rPr>
                <w:szCs w:val="22"/>
              </w:rPr>
            </w:pPr>
            <w:r w:rsidRPr="009649D0">
              <w:rPr>
                <w:szCs w:val="22"/>
              </w:rPr>
              <w:t>United States of America</w:t>
            </w:r>
          </w:p>
        </w:tc>
        <w:tc>
          <w:tcPr>
            <w:tcW w:w="1018" w:type="pct"/>
          </w:tcPr>
          <w:p w14:paraId="4FA5DDA9" w14:textId="549E9031" w:rsidR="00324B33" w:rsidRPr="00D01DDB" w:rsidRDefault="00E762B9" w:rsidP="00324B33">
            <w:pPr>
              <w:cnfStyle w:val="000000000000" w:firstRow="0" w:lastRow="0" w:firstColumn="0" w:lastColumn="0" w:oddVBand="0" w:evenVBand="0" w:oddHBand="0" w:evenHBand="0" w:firstRowFirstColumn="0" w:firstRowLastColumn="0" w:lastRowFirstColumn="0" w:lastRowLastColumn="0"/>
              <w:rPr>
                <w:szCs w:val="22"/>
              </w:rPr>
            </w:pPr>
            <w:r w:rsidRPr="00E762B9">
              <w:rPr>
                <w:szCs w:val="22"/>
              </w:rPr>
              <w:t>26 July 2017</w:t>
            </w:r>
          </w:p>
        </w:tc>
        <w:tc>
          <w:tcPr>
            <w:tcW w:w="1173" w:type="pct"/>
          </w:tcPr>
          <w:p w14:paraId="29358393" w14:textId="0D50D14A" w:rsidR="00324B33" w:rsidRPr="00D01DDB" w:rsidRDefault="00E762B9" w:rsidP="00341638">
            <w:pPr>
              <w:cnfStyle w:val="000000000000" w:firstRow="0" w:lastRow="0" w:firstColumn="0" w:lastColumn="0" w:oddVBand="0" w:evenVBand="0" w:oddHBand="0" w:evenHBand="0" w:firstRowFirstColumn="0" w:firstRowLastColumn="0" w:lastRowFirstColumn="0" w:lastRowLastColumn="0"/>
              <w:rPr>
                <w:szCs w:val="22"/>
              </w:rPr>
            </w:pPr>
            <w:r w:rsidRPr="00E762B9">
              <w:rPr>
                <w:szCs w:val="22"/>
              </w:rPr>
              <w:t>Approved</w:t>
            </w:r>
            <w:r w:rsidR="00341638">
              <w:rPr>
                <w:szCs w:val="22"/>
              </w:rPr>
              <w:t xml:space="preserve"> </w:t>
            </w:r>
            <w:r w:rsidRPr="00E762B9">
              <w:rPr>
                <w:szCs w:val="22"/>
              </w:rPr>
              <w:t>(26 January 2018)</w:t>
            </w:r>
          </w:p>
        </w:tc>
        <w:tc>
          <w:tcPr>
            <w:tcW w:w="1795" w:type="pct"/>
          </w:tcPr>
          <w:p w14:paraId="05055674" w14:textId="05E9122F" w:rsidR="00324B33" w:rsidRPr="00D01DDB" w:rsidRDefault="00E762B9" w:rsidP="00E762B9">
            <w:pPr>
              <w:cnfStyle w:val="000000000000" w:firstRow="0" w:lastRow="0" w:firstColumn="0" w:lastColumn="0" w:oddVBand="0" w:evenVBand="0" w:oddHBand="0" w:evenHBand="0" w:firstRowFirstColumn="0" w:firstRowLastColumn="0" w:lastRowFirstColumn="0" w:lastRowLastColumn="0"/>
              <w:rPr>
                <w:szCs w:val="22"/>
              </w:rPr>
            </w:pPr>
            <w:r w:rsidRPr="00E762B9">
              <w:rPr>
                <w:szCs w:val="22"/>
              </w:rPr>
              <w:t>Treatment of somatostatin</w:t>
            </w:r>
            <w:r>
              <w:rPr>
                <w:szCs w:val="22"/>
              </w:rPr>
              <w:t xml:space="preserve"> </w:t>
            </w:r>
            <w:r w:rsidRPr="00E762B9">
              <w:rPr>
                <w:szCs w:val="22"/>
              </w:rPr>
              <w:t>receptor-positive</w:t>
            </w:r>
            <w:r>
              <w:rPr>
                <w:szCs w:val="22"/>
              </w:rPr>
              <w:t xml:space="preserve"> </w:t>
            </w:r>
            <w:r w:rsidRPr="00E762B9">
              <w:rPr>
                <w:szCs w:val="22"/>
              </w:rPr>
              <w:t>gastroenteropancreatic</w:t>
            </w:r>
            <w:r>
              <w:rPr>
                <w:szCs w:val="22"/>
              </w:rPr>
              <w:t xml:space="preserve"> </w:t>
            </w:r>
            <w:r w:rsidRPr="00E762B9">
              <w:rPr>
                <w:szCs w:val="22"/>
              </w:rPr>
              <w:t xml:space="preserve">neuroendocrine </w:t>
            </w:r>
            <w:proofErr w:type="spellStart"/>
            <w:r w:rsidRPr="00E762B9">
              <w:rPr>
                <w:szCs w:val="22"/>
              </w:rPr>
              <w:t>tumors</w:t>
            </w:r>
            <w:proofErr w:type="spellEnd"/>
            <w:r w:rsidRPr="00E762B9">
              <w:rPr>
                <w:szCs w:val="22"/>
              </w:rPr>
              <w:t xml:space="preserve"> (GEPNETs),</w:t>
            </w:r>
            <w:r>
              <w:rPr>
                <w:szCs w:val="22"/>
              </w:rPr>
              <w:t xml:space="preserve"> </w:t>
            </w:r>
            <w:r w:rsidRPr="00E762B9">
              <w:rPr>
                <w:szCs w:val="22"/>
              </w:rPr>
              <w:t>including foregut,</w:t>
            </w:r>
            <w:r>
              <w:rPr>
                <w:szCs w:val="22"/>
              </w:rPr>
              <w:t xml:space="preserve"> </w:t>
            </w:r>
            <w:r w:rsidRPr="00E762B9">
              <w:rPr>
                <w:szCs w:val="22"/>
              </w:rPr>
              <w:t>midgut, and hindgut</w:t>
            </w:r>
            <w:r>
              <w:rPr>
                <w:szCs w:val="22"/>
              </w:rPr>
              <w:t xml:space="preserve"> </w:t>
            </w:r>
            <w:r w:rsidRPr="00E762B9">
              <w:rPr>
                <w:szCs w:val="22"/>
              </w:rPr>
              <w:t xml:space="preserve">neuroendocrine </w:t>
            </w:r>
            <w:proofErr w:type="spellStart"/>
            <w:r w:rsidRPr="00E762B9">
              <w:rPr>
                <w:szCs w:val="22"/>
              </w:rPr>
              <w:t>tumors</w:t>
            </w:r>
            <w:proofErr w:type="spellEnd"/>
            <w:r w:rsidRPr="00E762B9">
              <w:rPr>
                <w:szCs w:val="22"/>
              </w:rPr>
              <w:t xml:space="preserve"> in</w:t>
            </w:r>
            <w:r>
              <w:rPr>
                <w:szCs w:val="22"/>
              </w:rPr>
              <w:t xml:space="preserve"> </w:t>
            </w:r>
            <w:r w:rsidRPr="00E762B9">
              <w:rPr>
                <w:szCs w:val="22"/>
              </w:rPr>
              <w:t>adults.</w:t>
            </w:r>
          </w:p>
        </w:tc>
      </w:tr>
      <w:tr w:rsidR="007B482C" w:rsidRPr="00D01DDB" w14:paraId="18B6E2AA" w14:textId="7783D66F" w:rsidTr="0013132F">
        <w:tc>
          <w:tcPr>
            <w:cnfStyle w:val="001000000000" w:firstRow="0" w:lastRow="0" w:firstColumn="1" w:lastColumn="0" w:oddVBand="0" w:evenVBand="0" w:oddHBand="0" w:evenHBand="0" w:firstRowFirstColumn="0" w:firstRowLastColumn="0" w:lastRowFirstColumn="0" w:lastRowLastColumn="0"/>
            <w:tcW w:w="1014" w:type="pct"/>
          </w:tcPr>
          <w:p w14:paraId="7F348960" w14:textId="2E70B4D6" w:rsidR="00324B33" w:rsidRPr="00D01DDB" w:rsidRDefault="00341638" w:rsidP="00324B33">
            <w:pPr>
              <w:rPr>
                <w:szCs w:val="22"/>
              </w:rPr>
            </w:pPr>
            <w:r w:rsidRPr="00341638">
              <w:rPr>
                <w:szCs w:val="22"/>
              </w:rPr>
              <w:t>European Union</w:t>
            </w:r>
          </w:p>
        </w:tc>
        <w:tc>
          <w:tcPr>
            <w:tcW w:w="1018" w:type="pct"/>
          </w:tcPr>
          <w:p w14:paraId="1D871E57" w14:textId="1B514C0A" w:rsidR="00324B33" w:rsidRPr="00D01DDB" w:rsidRDefault="00341638" w:rsidP="00341638">
            <w:pPr>
              <w:cnfStyle w:val="000000000000" w:firstRow="0" w:lastRow="0" w:firstColumn="0" w:lastColumn="0" w:oddVBand="0" w:evenVBand="0" w:oddHBand="0" w:evenHBand="0" w:firstRowFirstColumn="0" w:firstRowLastColumn="0" w:lastRowFirstColumn="0" w:lastRowLastColumn="0"/>
              <w:rPr>
                <w:szCs w:val="22"/>
              </w:rPr>
            </w:pPr>
            <w:r w:rsidRPr="00341638">
              <w:rPr>
                <w:szCs w:val="22"/>
              </w:rPr>
              <w:t>26 April 2016</w:t>
            </w:r>
            <w:r>
              <w:rPr>
                <w:szCs w:val="22"/>
              </w:rPr>
              <w:t xml:space="preserve"> </w:t>
            </w:r>
            <w:r w:rsidRPr="00341638">
              <w:rPr>
                <w:szCs w:val="22"/>
              </w:rPr>
              <w:t>(centralised procedure)</w:t>
            </w:r>
          </w:p>
        </w:tc>
        <w:tc>
          <w:tcPr>
            <w:tcW w:w="1173" w:type="pct"/>
          </w:tcPr>
          <w:p w14:paraId="63A3A9D3" w14:textId="2E5EF854" w:rsidR="00324B33" w:rsidRPr="00D01DDB" w:rsidRDefault="00341638" w:rsidP="00341638">
            <w:pPr>
              <w:cnfStyle w:val="000000000000" w:firstRow="0" w:lastRow="0" w:firstColumn="0" w:lastColumn="0" w:oddVBand="0" w:evenVBand="0" w:oddHBand="0" w:evenHBand="0" w:firstRowFirstColumn="0" w:firstRowLastColumn="0" w:lastRowFirstColumn="0" w:lastRowLastColumn="0"/>
              <w:rPr>
                <w:szCs w:val="22"/>
              </w:rPr>
            </w:pPr>
            <w:r w:rsidRPr="00341638">
              <w:rPr>
                <w:szCs w:val="22"/>
              </w:rPr>
              <w:t>Approved</w:t>
            </w:r>
            <w:r>
              <w:rPr>
                <w:szCs w:val="22"/>
              </w:rPr>
              <w:t xml:space="preserve"> </w:t>
            </w:r>
            <w:r w:rsidRPr="00341638">
              <w:rPr>
                <w:szCs w:val="22"/>
              </w:rPr>
              <w:t>(26 September</w:t>
            </w:r>
            <w:r>
              <w:rPr>
                <w:szCs w:val="22"/>
              </w:rPr>
              <w:t xml:space="preserve"> </w:t>
            </w:r>
            <w:r w:rsidRPr="00341638">
              <w:rPr>
                <w:szCs w:val="22"/>
              </w:rPr>
              <w:t>2017)</w:t>
            </w:r>
          </w:p>
        </w:tc>
        <w:tc>
          <w:tcPr>
            <w:tcW w:w="1795" w:type="pct"/>
          </w:tcPr>
          <w:p w14:paraId="17C650B8" w14:textId="4404BC84" w:rsidR="00324B33" w:rsidRPr="00D01DDB" w:rsidRDefault="00341638" w:rsidP="00341638">
            <w:pPr>
              <w:cnfStyle w:val="000000000000" w:firstRow="0" w:lastRow="0" w:firstColumn="0" w:lastColumn="0" w:oddVBand="0" w:evenVBand="0" w:oddHBand="0" w:evenHBand="0" w:firstRowFirstColumn="0" w:firstRowLastColumn="0" w:lastRowFirstColumn="0" w:lastRowLastColumn="0"/>
              <w:rPr>
                <w:szCs w:val="22"/>
              </w:rPr>
            </w:pPr>
            <w:r w:rsidRPr="00341638">
              <w:rPr>
                <w:szCs w:val="22"/>
              </w:rPr>
              <w:t>Treatment of unresectable or</w:t>
            </w:r>
            <w:r>
              <w:rPr>
                <w:szCs w:val="22"/>
              </w:rPr>
              <w:t xml:space="preserve"> </w:t>
            </w:r>
            <w:r w:rsidRPr="00341638">
              <w:rPr>
                <w:szCs w:val="22"/>
              </w:rPr>
              <w:t>metastatic, progressive, well</w:t>
            </w:r>
            <w:r>
              <w:rPr>
                <w:szCs w:val="22"/>
              </w:rPr>
              <w:t xml:space="preserve"> </w:t>
            </w:r>
            <w:r w:rsidRPr="00341638">
              <w:rPr>
                <w:szCs w:val="22"/>
              </w:rPr>
              <w:t>differentiated (G1 and G2),</w:t>
            </w:r>
            <w:r>
              <w:rPr>
                <w:szCs w:val="22"/>
              </w:rPr>
              <w:t xml:space="preserve"> </w:t>
            </w:r>
            <w:r w:rsidRPr="00341638">
              <w:rPr>
                <w:szCs w:val="22"/>
              </w:rPr>
              <w:t>somatostatin receptor positive</w:t>
            </w:r>
            <w:r>
              <w:rPr>
                <w:szCs w:val="22"/>
              </w:rPr>
              <w:t xml:space="preserve"> </w:t>
            </w:r>
            <w:r w:rsidRPr="00341638">
              <w:rPr>
                <w:szCs w:val="22"/>
              </w:rPr>
              <w:t>gastroenteropancreatic</w:t>
            </w:r>
            <w:r>
              <w:rPr>
                <w:szCs w:val="22"/>
              </w:rPr>
              <w:t xml:space="preserve"> </w:t>
            </w:r>
            <w:r w:rsidRPr="00341638">
              <w:rPr>
                <w:szCs w:val="22"/>
              </w:rPr>
              <w:t>neuroendocrine tumours (GEP</w:t>
            </w:r>
            <w:r>
              <w:rPr>
                <w:szCs w:val="22"/>
              </w:rPr>
              <w:t xml:space="preserve"> </w:t>
            </w:r>
            <w:r w:rsidRPr="00341638">
              <w:rPr>
                <w:szCs w:val="22"/>
              </w:rPr>
              <w:t>NETs) in adults</w:t>
            </w:r>
          </w:p>
        </w:tc>
      </w:tr>
      <w:tr w:rsidR="00E762B9" w:rsidRPr="00D01DDB" w14:paraId="7098BC9B" w14:textId="77777777" w:rsidTr="0013132F">
        <w:tc>
          <w:tcPr>
            <w:cnfStyle w:val="001000000000" w:firstRow="0" w:lastRow="0" w:firstColumn="1" w:lastColumn="0" w:oddVBand="0" w:evenVBand="0" w:oddHBand="0" w:evenHBand="0" w:firstRowFirstColumn="0" w:firstRowLastColumn="0" w:lastRowFirstColumn="0" w:lastRowLastColumn="0"/>
            <w:tcW w:w="1014" w:type="pct"/>
          </w:tcPr>
          <w:p w14:paraId="0BAAD40E" w14:textId="1B2EA836" w:rsidR="00E762B9" w:rsidRPr="00D01DDB" w:rsidRDefault="002E1588" w:rsidP="00324B33">
            <w:pPr>
              <w:rPr>
                <w:szCs w:val="22"/>
              </w:rPr>
            </w:pPr>
            <w:r w:rsidRPr="002E1588">
              <w:rPr>
                <w:szCs w:val="22"/>
              </w:rPr>
              <w:t>Switzerland</w:t>
            </w:r>
          </w:p>
        </w:tc>
        <w:tc>
          <w:tcPr>
            <w:tcW w:w="1018" w:type="pct"/>
          </w:tcPr>
          <w:p w14:paraId="3395D5CF" w14:textId="19E50D9F" w:rsidR="00E762B9" w:rsidRPr="00D01DDB" w:rsidRDefault="002E1588" w:rsidP="00324B33">
            <w:pPr>
              <w:cnfStyle w:val="000000000000" w:firstRow="0" w:lastRow="0" w:firstColumn="0" w:lastColumn="0" w:oddVBand="0" w:evenVBand="0" w:oddHBand="0" w:evenHBand="0" w:firstRowFirstColumn="0" w:firstRowLastColumn="0" w:lastRowFirstColumn="0" w:lastRowLastColumn="0"/>
              <w:rPr>
                <w:szCs w:val="22"/>
              </w:rPr>
            </w:pPr>
            <w:r w:rsidRPr="002E1588">
              <w:rPr>
                <w:szCs w:val="22"/>
              </w:rPr>
              <w:t>16 November 2017</w:t>
            </w:r>
          </w:p>
        </w:tc>
        <w:tc>
          <w:tcPr>
            <w:tcW w:w="1173" w:type="pct"/>
          </w:tcPr>
          <w:p w14:paraId="16382CEF" w14:textId="46CCA796" w:rsidR="00E762B9" w:rsidRPr="00D01DDB" w:rsidRDefault="002E1588" w:rsidP="002E1588">
            <w:pPr>
              <w:cnfStyle w:val="000000000000" w:firstRow="0" w:lastRow="0" w:firstColumn="0" w:lastColumn="0" w:oddVBand="0" w:evenVBand="0" w:oddHBand="0" w:evenHBand="0" w:firstRowFirstColumn="0" w:firstRowLastColumn="0" w:lastRowFirstColumn="0" w:lastRowLastColumn="0"/>
              <w:rPr>
                <w:szCs w:val="22"/>
              </w:rPr>
            </w:pPr>
            <w:r w:rsidRPr="002E1588">
              <w:rPr>
                <w:szCs w:val="22"/>
              </w:rPr>
              <w:t>Approved</w:t>
            </w:r>
            <w:r>
              <w:rPr>
                <w:szCs w:val="22"/>
              </w:rPr>
              <w:t xml:space="preserve"> </w:t>
            </w:r>
            <w:r w:rsidRPr="002E1588">
              <w:rPr>
                <w:szCs w:val="22"/>
              </w:rPr>
              <w:t>(25 June 2019)</w:t>
            </w:r>
          </w:p>
        </w:tc>
        <w:tc>
          <w:tcPr>
            <w:tcW w:w="1795" w:type="pct"/>
          </w:tcPr>
          <w:p w14:paraId="04209249" w14:textId="62BE5299" w:rsidR="00E762B9" w:rsidRPr="00D01DDB" w:rsidRDefault="002E1588" w:rsidP="002E1588">
            <w:pPr>
              <w:cnfStyle w:val="000000000000" w:firstRow="0" w:lastRow="0" w:firstColumn="0" w:lastColumn="0" w:oddVBand="0" w:evenVBand="0" w:oddHBand="0" w:evenHBand="0" w:firstRowFirstColumn="0" w:firstRowLastColumn="0" w:lastRowFirstColumn="0" w:lastRowLastColumn="0"/>
              <w:rPr>
                <w:szCs w:val="22"/>
              </w:rPr>
            </w:pPr>
            <w:r w:rsidRPr="002E1588">
              <w:rPr>
                <w:szCs w:val="22"/>
              </w:rPr>
              <w:t>Indicated for the treatment of</w:t>
            </w:r>
            <w:r>
              <w:rPr>
                <w:szCs w:val="22"/>
              </w:rPr>
              <w:t xml:space="preserve"> </w:t>
            </w:r>
            <w:r w:rsidRPr="002E1588">
              <w:rPr>
                <w:szCs w:val="22"/>
              </w:rPr>
              <w:t>unresectable or metastatic,</w:t>
            </w:r>
            <w:r>
              <w:rPr>
                <w:szCs w:val="22"/>
              </w:rPr>
              <w:t xml:space="preserve"> </w:t>
            </w:r>
            <w:r w:rsidRPr="002E1588">
              <w:rPr>
                <w:szCs w:val="22"/>
              </w:rPr>
              <w:t>progressive, well</w:t>
            </w:r>
            <w:r>
              <w:rPr>
                <w:szCs w:val="22"/>
              </w:rPr>
              <w:t xml:space="preserve"> d</w:t>
            </w:r>
            <w:r w:rsidRPr="002E1588">
              <w:rPr>
                <w:szCs w:val="22"/>
              </w:rPr>
              <w:t>ifferentiated</w:t>
            </w:r>
            <w:r>
              <w:rPr>
                <w:szCs w:val="22"/>
              </w:rPr>
              <w:t xml:space="preserve"> </w:t>
            </w:r>
            <w:r w:rsidRPr="002E1588">
              <w:rPr>
                <w:szCs w:val="22"/>
              </w:rPr>
              <w:t xml:space="preserve">(G1 and G2), </w:t>
            </w:r>
            <w:r>
              <w:rPr>
                <w:szCs w:val="22"/>
              </w:rPr>
              <w:t>s</w:t>
            </w:r>
            <w:r w:rsidRPr="002E1588">
              <w:rPr>
                <w:szCs w:val="22"/>
              </w:rPr>
              <w:t>omatostatin</w:t>
            </w:r>
            <w:r>
              <w:rPr>
                <w:szCs w:val="22"/>
              </w:rPr>
              <w:t xml:space="preserve"> </w:t>
            </w:r>
            <w:r w:rsidRPr="002E1588">
              <w:rPr>
                <w:szCs w:val="22"/>
              </w:rPr>
              <w:t>receptor positive</w:t>
            </w:r>
            <w:r>
              <w:rPr>
                <w:szCs w:val="22"/>
              </w:rPr>
              <w:t xml:space="preserve"> </w:t>
            </w:r>
            <w:r w:rsidRPr="002E1588">
              <w:rPr>
                <w:szCs w:val="22"/>
              </w:rPr>
              <w:t>gastroenteropancreatic</w:t>
            </w:r>
            <w:r>
              <w:rPr>
                <w:szCs w:val="22"/>
              </w:rPr>
              <w:t xml:space="preserve"> </w:t>
            </w:r>
            <w:r w:rsidRPr="002E1588">
              <w:rPr>
                <w:szCs w:val="22"/>
              </w:rPr>
              <w:t>neuroendocrine tumours (GEP</w:t>
            </w:r>
            <w:r>
              <w:rPr>
                <w:szCs w:val="22"/>
              </w:rPr>
              <w:t xml:space="preserve"> </w:t>
            </w:r>
            <w:r w:rsidRPr="002E1588">
              <w:rPr>
                <w:szCs w:val="22"/>
              </w:rPr>
              <w:t>NETs) in adults.</w:t>
            </w:r>
          </w:p>
        </w:tc>
      </w:tr>
      <w:tr w:rsidR="00E762B9" w:rsidRPr="00D01DDB" w14:paraId="2BAC1FE4" w14:textId="77777777" w:rsidTr="0013132F">
        <w:tc>
          <w:tcPr>
            <w:cnfStyle w:val="001000000000" w:firstRow="0" w:lastRow="0" w:firstColumn="1" w:lastColumn="0" w:oddVBand="0" w:evenVBand="0" w:oddHBand="0" w:evenHBand="0" w:firstRowFirstColumn="0" w:firstRowLastColumn="0" w:lastRowFirstColumn="0" w:lastRowLastColumn="0"/>
            <w:tcW w:w="1014" w:type="pct"/>
          </w:tcPr>
          <w:p w14:paraId="65FF9509" w14:textId="3311D2E0" w:rsidR="00E762B9" w:rsidRPr="00D01DDB" w:rsidRDefault="00631CCB" w:rsidP="00324B33">
            <w:pPr>
              <w:rPr>
                <w:szCs w:val="22"/>
              </w:rPr>
            </w:pPr>
            <w:r w:rsidRPr="00631CCB">
              <w:rPr>
                <w:szCs w:val="22"/>
              </w:rPr>
              <w:t>Canada</w:t>
            </w:r>
          </w:p>
        </w:tc>
        <w:tc>
          <w:tcPr>
            <w:tcW w:w="1018" w:type="pct"/>
          </w:tcPr>
          <w:p w14:paraId="19056BA4" w14:textId="53E37054" w:rsidR="00E762B9" w:rsidRPr="00D01DDB" w:rsidRDefault="00631CCB" w:rsidP="00631CCB">
            <w:pPr>
              <w:cnfStyle w:val="000000000000" w:firstRow="0" w:lastRow="0" w:firstColumn="0" w:lastColumn="0" w:oddVBand="0" w:evenVBand="0" w:oddHBand="0" w:evenHBand="0" w:firstRowFirstColumn="0" w:firstRowLastColumn="0" w:lastRowFirstColumn="0" w:lastRowLastColumn="0"/>
              <w:rPr>
                <w:szCs w:val="22"/>
              </w:rPr>
            </w:pPr>
            <w:r w:rsidRPr="00631CCB">
              <w:rPr>
                <w:szCs w:val="22"/>
              </w:rPr>
              <w:t>11 June 2018</w:t>
            </w:r>
          </w:p>
        </w:tc>
        <w:tc>
          <w:tcPr>
            <w:tcW w:w="1173" w:type="pct"/>
          </w:tcPr>
          <w:p w14:paraId="7FFF1F3B" w14:textId="650C455D" w:rsidR="00E762B9" w:rsidRPr="00D01DDB" w:rsidRDefault="00631CCB" w:rsidP="00631CCB">
            <w:pPr>
              <w:cnfStyle w:val="000000000000" w:firstRow="0" w:lastRow="0" w:firstColumn="0" w:lastColumn="0" w:oddVBand="0" w:evenVBand="0" w:oddHBand="0" w:evenHBand="0" w:firstRowFirstColumn="0" w:firstRowLastColumn="0" w:lastRowFirstColumn="0" w:lastRowLastColumn="0"/>
              <w:rPr>
                <w:szCs w:val="22"/>
              </w:rPr>
            </w:pPr>
            <w:r w:rsidRPr="00631CCB">
              <w:rPr>
                <w:szCs w:val="22"/>
              </w:rPr>
              <w:t>Approved</w:t>
            </w:r>
            <w:r>
              <w:rPr>
                <w:szCs w:val="22"/>
              </w:rPr>
              <w:t xml:space="preserve"> </w:t>
            </w:r>
            <w:r w:rsidRPr="00631CCB">
              <w:rPr>
                <w:szCs w:val="22"/>
              </w:rPr>
              <w:t>(9 January 2019)</w:t>
            </w:r>
          </w:p>
        </w:tc>
        <w:tc>
          <w:tcPr>
            <w:tcW w:w="1795" w:type="pct"/>
          </w:tcPr>
          <w:p w14:paraId="795E2486" w14:textId="756DEE0D" w:rsidR="00E762B9" w:rsidRPr="00D01DDB" w:rsidRDefault="00A16D2E" w:rsidP="00A16D2E">
            <w:pPr>
              <w:cnfStyle w:val="000000000000" w:firstRow="0" w:lastRow="0" w:firstColumn="0" w:lastColumn="0" w:oddVBand="0" w:evenVBand="0" w:oddHBand="0" w:evenHBand="0" w:firstRowFirstColumn="0" w:firstRowLastColumn="0" w:lastRowFirstColumn="0" w:lastRowLastColumn="0"/>
              <w:rPr>
                <w:szCs w:val="22"/>
              </w:rPr>
            </w:pPr>
            <w:r w:rsidRPr="00A16D2E">
              <w:rPr>
                <w:szCs w:val="22"/>
              </w:rPr>
              <w:t>Indicated for the treatment of</w:t>
            </w:r>
            <w:r>
              <w:rPr>
                <w:szCs w:val="22"/>
              </w:rPr>
              <w:t xml:space="preserve"> </w:t>
            </w:r>
            <w:r w:rsidRPr="00A16D2E">
              <w:rPr>
                <w:szCs w:val="22"/>
              </w:rPr>
              <w:t>unresectable or metastatic,</w:t>
            </w:r>
            <w:r>
              <w:rPr>
                <w:szCs w:val="22"/>
              </w:rPr>
              <w:t xml:space="preserve"> </w:t>
            </w:r>
            <w:r w:rsidRPr="00A16D2E">
              <w:rPr>
                <w:szCs w:val="22"/>
              </w:rPr>
              <w:t>well-differentiated,</w:t>
            </w:r>
            <w:r>
              <w:rPr>
                <w:szCs w:val="22"/>
              </w:rPr>
              <w:t xml:space="preserve"> </w:t>
            </w:r>
            <w:r w:rsidRPr="00A16D2E">
              <w:rPr>
                <w:szCs w:val="22"/>
              </w:rPr>
              <w:t>somatostatin</w:t>
            </w:r>
            <w:r>
              <w:rPr>
                <w:szCs w:val="22"/>
              </w:rPr>
              <w:t xml:space="preserve"> </w:t>
            </w:r>
            <w:r w:rsidRPr="00A16D2E">
              <w:rPr>
                <w:szCs w:val="22"/>
              </w:rPr>
              <w:t>receptor-positive</w:t>
            </w:r>
            <w:r>
              <w:rPr>
                <w:szCs w:val="22"/>
              </w:rPr>
              <w:t xml:space="preserve"> </w:t>
            </w:r>
            <w:r w:rsidRPr="00A16D2E">
              <w:rPr>
                <w:szCs w:val="22"/>
              </w:rPr>
              <w:t>gastroenteropancreatic</w:t>
            </w:r>
            <w:r>
              <w:rPr>
                <w:szCs w:val="22"/>
              </w:rPr>
              <w:t xml:space="preserve"> </w:t>
            </w:r>
            <w:r w:rsidRPr="00A16D2E">
              <w:rPr>
                <w:szCs w:val="22"/>
              </w:rPr>
              <w:t xml:space="preserve">neuroendocrine </w:t>
            </w:r>
            <w:proofErr w:type="spellStart"/>
            <w:r w:rsidRPr="00A16D2E">
              <w:rPr>
                <w:szCs w:val="22"/>
              </w:rPr>
              <w:t>tumors</w:t>
            </w:r>
            <w:proofErr w:type="spellEnd"/>
            <w:r>
              <w:rPr>
                <w:szCs w:val="22"/>
              </w:rPr>
              <w:t xml:space="preserve"> </w:t>
            </w:r>
            <w:r w:rsidR="0024559B">
              <w:rPr>
                <w:szCs w:val="22"/>
              </w:rPr>
              <w:t>(</w:t>
            </w:r>
            <w:r w:rsidRPr="00A16D2E">
              <w:rPr>
                <w:szCs w:val="22"/>
              </w:rPr>
              <w:t>GEPNETs)</w:t>
            </w:r>
            <w:r>
              <w:rPr>
                <w:szCs w:val="22"/>
              </w:rPr>
              <w:t xml:space="preserve"> </w:t>
            </w:r>
            <w:r w:rsidRPr="00A16D2E">
              <w:rPr>
                <w:szCs w:val="22"/>
              </w:rPr>
              <w:t>in adults with</w:t>
            </w:r>
            <w:r>
              <w:rPr>
                <w:szCs w:val="22"/>
              </w:rPr>
              <w:t xml:space="preserve"> </w:t>
            </w:r>
            <w:r w:rsidRPr="00A16D2E">
              <w:rPr>
                <w:szCs w:val="22"/>
              </w:rPr>
              <w:t>progressive disease.</w:t>
            </w:r>
          </w:p>
        </w:tc>
      </w:tr>
      <w:tr w:rsidR="00631CCB" w:rsidRPr="00D01DDB" w14:paraId="47E44ECF" w14:textId="77777777" w:rsidTr="0013132F">
        <w:tc>
          <w:tcPr>
            <w:cnfStyle w:val="001000000000" w:firstRow="0" w:lastRow="0" w:firstColumn="1" w:lastColumn="0" w:oddVBand="0" w:evenVBand="0" w:oddHBand="0" w:evenHBand="0" w:firstRowFirstColumn="0" w:firstRowLastColumn="0" w:lastRowFirstColumn="0" w:lastRowLastColumn="0"/>
            <w:tcW w:w="1014" w:type="pct"/>
          </w:tcPr>
          <w:p w14:paraId="4AA51976" w14:textId="11196E78" w:rsidR="00631CCB" w:rsidRPr="00D01DDB" w:rsidRDefault="00BC0D5E" w:rsidP="00BC0D5E">
            <w:pPr>
              <w:rPr>
                <w:szCs w:val="22"/>
              </w:rPr>
            </w:pPr>
            <w:r w:rsidRPr="00BC0D5E">
              <w:rPr>
                <w:szCs w:val="22"/>
              </w:rPr>
              <w:lastRenderedPageBreak/>
              <w:t>United Kingdom</w:t>
            </w:r>
          </w:p>
        </w:tc>
        <w:tc>
          <w:tcPr>
            <w:tcW w:w="1018" w:type="pct"/>
          </w:tcPr>
          <w:p w14:paraId="3ACE9A43" w14:textId="1006966A" w:rsidR="00631CCB" w:rsidRPr="00D01DDB" w:rsidRDefault="00BC0D5E" w:rsidP="00324B33">
            <w:pPr>
              <w:cnfStyle w:val="000000000000" w:firstRow="0" w:lastRow="0" w:firstColumn="0" w:lastColumn="0" w:oddVBand="0" w:evenVBand="0" w:oddHBand="0" w:evenHBand="0" w:firstRowFirstColumn="0" w:firstRowLastColumn="0" w:lastRowFirstColumn="0" w:lastRowLastColumn="0"/>
              <w:rPr>
                <w:szCs w:val="22"/>
              </w:rPr>
            </w:pPr>
            <w:r w:rsidRPr="00BC0D5E">
              <w:rPr>
                <w:szCs w:val="22"/>
              </w:rPr>
              <w:t>26 April 2016</w:t>
            </w:r>
          </w:p>
        </w:tc>
        <w:tc>
          <w:tcPr>
            <w:tcW w:w="1173" w:type="pct"/>
          </w:tcPr>
          <w:p w14:paraId="2300C060" w14:textId="13B5F8AB" w:rsidR="00631CCB" w:rsidRPr="00D01DDB" w:rsidRDefault="00BC0D5E" w:rsidP="00BC0D5E">
            <w:pPr>
              <w:cnfStyle w:val="000000000000" w:firstRow="0" w:lastRow="0" w:firstColumn="0" w:lastColumn="0" w:oddVBand="0" w:evenVBand="0" w:oddHBand="0" w:evenHBand="0" w:firstRowFirstColumn="0" w:firstRowLastColumn="0" w:lastRowFirstColumn="0" w:lastRowLastColumn="0"/>
              <w:rPr>
                <w:szCs w:val="22"/>
              </w:rPr>
            </w:pPr>
            <w:r w:rsidRPr="00BC0D5E">
              <w:rPr>
                <w:szCs w:val="22"/>
              </w:rPr>
              <w:t>Approved</w:t>
            </w:r>
            <w:r>
              <w:rPr>
                <w:szCs w:val="22"/>
              </w:rPr>
              <w:t xml:space="preserve"> </w:t>
            </w:r>
            <w:r w:rsidRPr="00BC0D5E">
              <w:rPr>
                <w:szCs w:val="22"/>
              </w:rPr>
              <w:t>(26 September</w:t>
            </w:r>
            <w:r>
              <w:rPr>
                <w:szCs w:val="22"/>
              </w:rPr>
              <w:t xml:space="preserve"> </w:t>
            </w:r>
            <w:r w:rsidRPr="00BC0D5E">
              <w:rPr>
                <w:szCs w:val="22"/>
              </w:rPr>
              <w:t>2017)</w:t>
            </w:r>
          </w:p>
        </w:tc>
        <w:tc>
          <w:tcPr>
            <w:tcW w:w="1795" w:type="pct"/>
          </w:tcPr>
          <w:p w14:paraId="6EE0FA04" w14:textId="5441FAA0" w:rsidR="00631CCB" w:rsidRPr="00D01DDB" w:rsidRDefault="007B482C" w:rsidP="007B482C">
            <w:pPr>
              <w:cnfStyle w:val="000000000000" w:firstRow="0" w:lastRow="0" w:firstColumn="0" w:lastColumn="0" w:oddVBand="0" w:evenVBand="0" w:oddHBand="0" w:evenHBand="0" w:firstRowFirstColumn="0" w:firstRowLastColumn="0" w:lastRowFirstColumn="0" w:lastRowLastColumn="0"/>
              <w:rPr>
                <w:szCs w:val="22"/>
              </w:rPr>
            </w:pPr>
            <w:r w:rsidRPr="007B482C">
              <w:rPr>
                <w:szCs w:val="22"/>
              </w:rPr>
              <w:t>Indicated for the treatment of</w:t>
            </w:r>
            <w:r>
              <w:rPr>
                <w:szCs w:val="22"/>
              </w:rPr>
              <w:t xml:space="preserve"> </w:t>
            </w:r>
            <w:r w:rsidRPr="007B482C">
              <w:rPr>
                <w:szCs w:val="22"/>
              </w:rPr>
              <w:t>unresectable or metastatic,</w:t>
            </w:r>
            <w:r>
              <w:rPr>
                <w:szCs w:val="22"/>
              </w:rPr>
              <w:t xml:space="preserve"> </w:t>
            </w:r>
            <w:r w:rsidRPr="007B482C">
              <w:rPr>
                <w:szCs w:val="22"/>
              </w:rPr>
              <w:t xml:space="preserve">progressive, well </w:t>
            </w:r>
            <w:r>
              <w:rPr>
                <w:szCs w:val="22"/>
              </w:rPr>
              <w:t>d</w:t>
            </w:r>
            <w:r w:rsidRPr="007B482C">
              <w:rPr>
                <w:szCs w:val="22"/>
              </w:rPr>
              <w:t>ifferentiated</w:t>
            </w:r>
            <w:r>
              <w:rPr>
                <w:szCs w:val="22"/>
              </w:rPr>
              <w:t xml:space="preserve"> </w:t>
            </w:r>
            <w:r w:rsidRPr="007B482C">
              <w:rPr>
                <w:szCs w:val="22"/>
              </w:rPr>
              <w:t>(G1 and G2), somatostatin</w:t>
            </w:r>
            <w:r>
              <w:rPr>
                <w:szCs w:val="22"/>
              </w:rPr>
              <w:t xml:space="preserve"> </w:t>
            </w:r>
            <w:r w:rsidRPr="007B482C">
              <w:rPr>
                <w:szCs w:val="22"/>
              </w:rPr>
              <w:t>receptor positive</w:t>
            </w:r>
            <w:r>
              <w:rPr>
                <w:szCs w:val="22"/>
              </w:rPr>
              <w:t xml:space="preserve"> </w:t>
            </w:r>
            <w:r w:rsidRPr="007B482C">
              <w:rPr>
                <w:szCs w:val="22"/>
              </w:rPr>
              <w:t>gastroenteropancreatic</w:t>
            </w:r>
            <w:r>
              <w:rPr>
                <w:szCs w:val="22"/>
              </w:rPr>
              <w:t xml:space="preserve"> </w:t>
            </w:r>
            <w:r w:rsidRPr="007B482C">
              <w:rPr>
                <w:szCs w:val="22"/>
              </w:rPr>
              <w:t>neuroendocrine tumours (GEP</w:t>
            </w:r>
            <w:r>
              <w:rPr>
                <w:szCs w:val="22"/>
              </w:rPr>
              <w:t xml:space="preserve"> </w:t>
            </w:r>
            <w:r w:rsidRPr="007B482C">
              <w:rPr>
                <w:szCs w:val="22"/>
              </w:rPr>
              <w:t>NETs) in adults</w:t>
            </w:r>
          </w:p>
        </w:tc>
      </w:tr>
      <w:tr w:rsidR="00E762B9" w:rsidRPr="00D01DDB" w14:paraId="1E9589B2" w14:textId="77777777" w:rsidTr="0013132F">
        <w:tc>
          <w:tcPr>
            <w:cnfStyle w:val="001000000000" w:firstRow="0" w:lastRow="0" w:firstColumn="1" w:lastColumn="0" w:oddVBand="0" w:evenVBand="0" w:oddHBand="0" w:evenHBand="0" w:firstRowFirstColumn="0" w:firstRowLastColumn="0" w:lastRowFirstColumn="0" w:lastRowLastColumn="0"/>
            <w:tcW w:w="1014" w:type="pct"/>
          </w:tcPr>
          <w:p w14:paraId="578C083C" w14:textId="3C6CD381" w:rsidR="00E762B9" w:rsidRPr="00D01DDB" w:rsidRDefault="00A0423D" w:rsidP="00324B33">
            <w:pPr>
              <w:rPr>
                <w:szCs w:val="22"/>
              </w:rPr>
            </w:pPr>
            <w:r w:rsidRPr="00A0423D">
              <w:rPr>
                <w:szCs w:val="22"/>
              </w:rPr>
              <w:t>Singapore</w:t>
            </w:r>
          </w:p>
        </w:tc>
        <w:tc>
          <w:tcPr>
            <w:tcW w:w="1018" w:type="pct"/>
          </w:tcPr>
          <w:p w14:paraId="3224C28F" w14:textId="04A9FC9F" w:rsidR="00E762B9" w:rsidRPr="00D01DDB" w:rsidRDefault="00A0423D" w:rsidP="00324B33">
            <w:pPr>
              <w:cnfStyle w:val="000000000000" w:firstRow="0" w:lastRow="0" w:firstColumn="0" w:lastColumn="0" w:oddVBand="0" w:evenVBand="0" w:oddHBand="0" w:evenHBand="0" w:firstRowFirstColumn="0" w:firstRowLastColumn="0" w:lastRowFirstColumn="0" w:lastRowLastColumn="0"/>
              <w:rPr>
                <w:szCs w:val="22"/>
              </w:rPr>
            </w:pPr>
            <w:r w:rsidRPr="00A0423D">
              <w:rPr>
                <w:szCs w:val="22"/>
              </w:rPr>
              <w:t>27 August 2019</w:t>
            </w:r>
          </w:p>
        </w:tc>
        <w:tc>
          <w:tcPr>
            <w:tcW w:w="1173" w:type="pct"/>
          </w:tcPr>
          <w:p w14:paraId="4748BCD8" w14:textId="1C24543F" w:rsidR="00E762B9" w:rsidRPr="00D01DDB" w:rsidRDefault="00A0423D" w:rsidP="00A0423D">
            <w:pPr>
              <w:cnfStyle w:val="000000000000" w:firstRow="0" w:lastRow="0" w:firstColumn="0" w:lastColumn="0" w:oddVBand="0" w:evenVBand="0" w:oddHBand="0" w:evenHBand="0" w:firstRowFirstColumn="0" w:firstRowLastColumn="0" w:lastRowFirstColumn="0" w:lastRowLastColumn="0"/>
              <w:rPr>
                <w:szCs w:val="22"/>
              </w:rPr>
            </w:pPr>
            <w:r w:rsidRPr="00A0423D">
              <w:rPr>
                <w:szCs w:val="22"/>
              </w:rPr>
              <w:t>Approved</w:t>
            </w:r>
            <w:r>
              <w:rPr>
                <w:szCs w:val="22"/>
              </w:rPr>
              <w:t xml:space="preserve"> </w:t>
            </w:r>
            <w:r w:rsidRPr="00A0423D">
              <w:rPr>
                <w:szCs w:val="22"/>
              </w:rPr>
              <w:t>(1 June 2020)</w:t>
            </w:r>
          </w:p>
        </w:tc>
        <w:tc>
          <w:tcPr>
            <w:tcW w:w="1795" w:type="pct"/>
          </w:tcPr>
          <w:p w14:paraId="4C817C97" w14:textId="3A2DA051" w:rsidR="00E762B9" w:rsidRPr="00D01DDB" w:rsidRDefault="008A687D" w:rsidP="008A687D">
            <w:pPr>
              <w:cnfStyle w:val="000000000000" w:firstRow="0" w:lastRow="0" w:firstColumn="0" w:lastColumn="0" w:oddVBand="0" w:evenVBand="0" w:oddHBand="0" w:evenHBand="0" w:firstRowFirstColumn="0" w:firstRowLastColumn="0" w:lastRowFirstColumn="0" w:lastRowLastColumn="0"/>
              <w:rPr>
                <w:szCs w:val="22"/>
              </w:rPr>
            </w:pPr>
            <w:r w:rsidRPr="008A687D">
              <w:rPr>
                <w:szCs w:val="22"/>
              </w:rPr>
              <w:t>Indicated for the treatment of</w:t>
            </w:r>
            <w:r>
              <w:rPr>
                <w:szCs w:val="22"/>
              </w:rPr>
              <w:t xml:space="preserve"> </w:t>
            </w:r>
            <w:r w:rsidRPr="008A687D">
              <w:rPr>
                <w:szCs w:val="22"/>
              </w:rPr>
              <w:t>unresectable or metastatic,</w:t>
            </w:r>
            <w:r>
              <w:rPr>
                <w:szCs w:val="22"/>
              </w:rPr>
              <w:t xml:space="preserve"> </w:t>
            </w:r>
            <w:r w:rsidRPr="008A687D">
              <w:rPr>
                <w:szCs w:val="22"/>
              </w:rPr>
              <w:t>progressive, well</w:t>
            </w:r>
            <w:r>
              <w:rPr>
                <w:szCs w:val="22"/>
              </w:rPr>
              <w:t xml:space="preserve"> </w:t>
            </w:r>
            <w:r w:rsidRPr="008A687D">
              <w:rPr>
                <w:szCs w:val="22"/>
              </w:rPr>
              <w:t>differentiated</w:t>
            </w:r>
            <w:r>
              <w:rPr>
                <w:szCs w:val="22"/>
              </w:rPr>
              <w:t xml:space="preserve"> </w:t>
            </w:r>
            <w:r w:rsidRPr="008A687D">
              <w:rPr>
                <w:szCs w:val="22"/>
              </w:rPr>
              <w:t>(G1 and G2), somatostatin</w:t>
            </w:r>
            <w:r>
              <w:rPr>
                <w:szCs w:val="22"/>
              </w:rPr>
              <w:t xml:space="preserve"> </w:t>
            </w:r>
            <w:r w:rsidRPr="008A687D">
              <w:rPr>
                <w:szCs w:val="22"/>
              </w:rPr>
              <w:t>receptor-positive</w:t>
            </w:r>
            <w:r>
              <w:rPr>
                <w:szCs w:val="22"/>
              </w:rPr>
              <w:t xml:space="preserve"> </w:t>
            </w:r>
            <w:r w:rsidRPr="008A687D">
              <w:rPr>
                <w:szCs w:val="22"/>
              </w:rPr>
              <w:t>gastroenteropancreatic</w:t>
            </w:r>
            <w:r>
              <w:rPr>
                <w:szCs w:val="22"/>
              </w:rPr>
              <w:t xml:space="preserve"> </w:t>
            </w:r>
            <w:r w:rsidRPr="008A687D">
              <w:rPr>
                <w:szCs w:val="22"/>
              </w:rPr>
              <w:t xml:space="preserve">neuroendocrine </w:t>
            </w:r>
            <w:proofErr w:type="spellStart"/>
            <w:r w:rsidRPr="008A687D">
              <w:rPr>
                <w:szCs w:val="22"/>
              </w:rPr>
              <w:t>tumors</w:t>
            </w:r>
            <w:proofErr w:type="spellEnd"/>
            <w:r>
              <w:rPr>
                <w:szCs w:val="22"/>
              </w:rPr>
              <w:t xml:space="preserve"> </w:t>
            </w:r>
            <w:r w:rsidRPr="008A687D">
              <w:rPr>
                <w:szCs w:val="22"/>
              </w:rPr>
              <w:t>(GEPNETs),</w:t>
            </w:r>
            <w:r>
              <w:rPr>
                <w:szCs w:val="22"/>
              </w:rPr>
              <w:t xml:space="preserve"> </w:t>
            </w:r>
            <w:r w:rsidRPr="008A687D">
              <w:rPr>
                <w:szCs w:val="22"/>
              </w:rPr>
              <w:t>including foregut,</w:t>
            </w:r>
            <w:r>
              <w:rPr>
                <w:szCs w:val="22"/>
              </w:rPr>
              <w:t xml:space="preserve"> </w:t>
            </w:r>
            <w:r w:rsidRPr="008A687D">
              <w:rPr>
                <w:szCs w:val="22"/>
              </w:rPr>
              <w:t>midgut, and hindgut</w:t>
            </w:r>
            <w:r>
              <w:rPr>
                <w:szCs w:val="22"/>
              </w:rPr>
              <w:t xml:space="preserve"> </w:t>
            </w:r>
            <w:r w:rsidRPr="008A687D">
              <w:rPr>
                <w:szCs w:val="22"/>
              </w:rPr>
              <w:t xml:space="preserve">neuroendocrine </w:t>
            </w:r>
            <w:proofErr w:type="spellStart"/>
            <w:r w:rsidRPr="008A687D">
              <w:rPr>
                <w:szCs w:val="22"/>
              </w:rPr>
              <w:t>tumors</w:t>
            </w:r>
            <w:proofErr w:type="spellEnd"/>
            <w:r w:rsidRPr="008A687D">
              <w:rPr>
                <w:szCs w:val="22"/>
              </w:rPr>
              <w:t xml:space="preserve"> in</w:t>
            </w:r>
            <w:r>
              <w:rPr>
                <w:szCs w:val="22"/>
              </w:rPr>
              <w:t xml:space="preserve"> </w:t>
            </w:r>
            <w:r w:rsidRPr="008A687D">
              <w:rPr>
                <w:szCs w:val="22"/>
              </w:rPr>
              <w:t>adults.</w:t>
            </w:r>
          </w:p>
        </w:tc>
      </w:tr>
    </w:tbl>
    <w:p w14:paraId="6D92589C" w14:textId="09786CEF" w:rsidR="00324B33" w:rsidRDefault="00324B33" w:rsidP="00324B33">
      <w:pPr>
        <w:pStyle w:val="Heading2"/>
      </w:pPr>
      <w:bookmarkStart w:id="25" w:name="_Toc504480011"/>
      <w:bookmarkStart w:id="26" w:name="_Toc103679293"/>
      <w:bookmarkStart w:id="27" w:name="_Toc221611024"/>
      <w:r>
        <w:t>Registration timeline</w:t>
      </w:r>
      <w:bookmarkEnd w:id="25"/>
      <w:bookmarkEnd w:id="26"/>
      <w:bookmarkEnd w:id="27"/>
    </w:p>
    <w:p w14:paraId="225E3D87" w14:textId="26C90727" w:rsidR="00324B33" w:rsidRPr="00BD5DBD" w:rsidRDefault="00167B84" w:rsidP="00324B33">
      <w:pPr>
        <w:rPr>
          <w:szCs w:val="22"/>
        </w:rPr>
      </w:pPr>
      <w:r>
        <w:rPr>
          <w:szCs w:val="22"/>
        </w:rPr>
        <w:t>Table 2</w:t>
      </w:r>
      <w:r w:rsidR="00324B33" w:rsidRPr="00BD5DBD">
        <w:rPr>
          <w:szCs w:val="22"/>
        </w:rPr>
        <w:t xml:space="preserve"> captures the key steps and dates for this submission.</w:t>
      </w:r>
    </w:p>
    <w:p w14:paraId="6BB76942" w14:textId="49C62989" w:rsidR="00477C4E" w:rsidRPr="00BD5DBD" w:rsidRDefault="00477C4E" w:rsidP="00324B33">
      <w:pPr>
        <w:rPr>
          <w:szCs w:val="22"/>
        </w:rPr>
      </w:pPr>
      <w:r w:rsidRPr="00BD5DBD">
        <w:rPr>
          <w:szCs w:val="22"/>
        </w:rPr>
        <w:t xml:space="preserve">This submission was evaluated under the </w:t>
      </w:r>
      <w:hyperlink r:id="rId21" w:history="1">
        <w:r w:rsidRPr="00BD5DBD">
          <w:rPr>
            <w:rStyle w:val="Hyperlink"/>
            <w:szCs w:val="22"/>
          </w:rPr>
          <w:t>standard prescription medicines registration process</w:t>
        </w:r>
      </w:hyperlink>
      <w:r w:rsidRPr="00BD5DBD">
        <w:rPr>
          <w:szCs w:val="22"/>
        </w:rPr>
        <w:t>.</w:t>
      </w:r>
    </w:p>
    <w:p w14:paraId="5263E729" w14:textId="384D9F09" w:rsidR="005B02A2" w:rsidRPr="003C1192" w:rsidRDefault="00324B33" w:rsidP="00CC310F">
      <w:pPr>
        <w:pStyle w:val="TableTitle"/>
        <w:rPr>
          <w:iCs/>
        </w:rPr>
      </w:pPr>
      <w:r w:rsidRPr="002C1232">
        <w:t xml:space="preserve">Table </w:t>
      </w:r>
      <w:r w:rsidR="007F1E37">
        <w:fldChar w:fldCharType="begin"/>
      </w:r>
      <w:r w:rsidR="007F1E37">
        <w:instrText xml:space="preserve"> SEQ Table \* ARABIC </w:instrText>
      </w:r>
      <w:r w:rsidR="007F1E37">
        <w:fldChar w:fldCharType="separate"/>
      </w:r>
      <w:r w:rsidR="008B1CB5" w:rsidRPr="002C1232">
        <w:t>2</w:t>
      </w:r>
      <w:r w:rsidR="007F1E37">
        <w:fldChar w:fldCharType="end"/>
      </w:r>
      <w:r w:rsidRPr="002C1232">
        <w:t xml:space="preserve">: </w:t>
      </w:r>
      <w:r w:rsidR="00CE3296">
        <w:t>Lutathera</w:t>
      </w:r>
      <w:r w:rsidR="00CC310F" w:rsidRPr="00CC310F">
        <w:t xml:space="preserve"> - lutetium (</w:t>
      </w:r>
      <w:r w:rsidR="00544537" w:rsidRPr="00544537">
        <w:rPr>
          <w:vertAlign w:val="superscript"/>
        </w:rPr>
        <w:t>177</w:t>
      </w:r>
      <w:r w:rsidR="00CC310F" w:rsidRPr="00CC310F">
        <w:t>Lu) oxodotreotide - Novartis Pharmaceuticals Australia Pty Ltd - PM-2024-02583-1-6</w:t>
      </w:r>
    </w:p>
    <w:tbl>
      <w:tblPr>
        <w:tblStyle w:val="TableTGAblue2023"/>
        <w:tblW w:w="8642" w:type="dxa"/>
        <w:tblLook w:val="04A0" w:firstRow="1" w:lastRow="0" w:firstColumn="1" w:lastColumn="0" w:noHBand="0" w:noVBand="1"/>
        <w:tblDescription w:val="Table 2: Lutathera - lutetium (177Lu) oxodotreotide - Novartis Pharmaceuticals Australia Pty Ltd - PM-2024-02583-1-6"/>
      </w:tblPr>
      <w:tblGrid>
        <w:gridCol w:w="6091"/>
        <w:gridCol w:w="2551"/>
      </w:tblGrid>
      <w:tr w:rsidR="00324B33" w:rsidRPr="00D01DDB" w14:paraId="6C59BE9C" w14:textId="77777777" w:rsidTr="0091138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tcPr>
          <w:p w14:paraId="16D80E78" w14:textId="3EC0CCAF" w:rsidR="00324B33" w:rsidRPr="00D01DDB" w:rsidRDefault="00324B33" w:rsidP="00324B33">
            <w:pPr>
              <w:rPr>
                <w:szCs w:val="22"/>
              </w:rPr>
            </w:pPr>
            <w:r w:rsidRPr="00D01DDB">
              <w:rPr>
                <w:szCs w:val="22"/>
              </w:rPr>
              <w:t>Description</w:t>
            </w:r>
          </w:p>
        </w:tc>
        <w:tc>
          <w:tcPr>
            <w:tcW w:w="2551" w:type="dxa"/>
          </w:tcPr>
          <w:p w14:paraId="79AFDC4B" w14:textId="05792035" w:rsidR="00324B33" w:rsidRPr="00D01DDB" w:rsidRDefault="00324B33" w:rsidP="00324B33">
            <w:pPr>
              <w:cnfStyle w:val="100000000000" w:firstRow="1" w:lastRow="0" w:firstColumn="0" w:lastColumn="0" w:oddVBand="0" w:evenVBand="0" w:oddHBand="0" w:evenHBand="0" w:firstRowFirstColumn="0" w:firstRowLastColumn="0" w:lastRowFirstColumn="0" w:lastRowLastColumn="0"/>
              <w:rPr>
                <w:szCs w:val="22"/>
              </w:rPr>
            </w:pPr>
            <w:r w:rsidRPr="00D01DDB">
              <w:rPr>
                <w:szCs w:val="22"/>
              </w:rPr>
              <w:t>Date</w:t>
            </w:r>
          </w:p>
        </w:tc>
      </w:tr>
      <w:tr w:rsidR="00324B33" w:rsidRPr="00D01DDB" w14:paraId="23610C53" w14:textId="77777777" w:rsidTr="0091138B">
        <w:tc>
          <w:tcPr>
            <w:cnfStyle w:val="001000000000" w:firstRow="0" w:lastRow="0" w:firstColumn="1" w:lastColumn="0" w:oddVBand="0" w:evenVBand="0" w:oddHBand="0" w:evenHBand="0" w:firstRowFirstColumn="0" w:firstRowLastColumn="0" w:lastRowFirstColumn="0" w:lastRowLastColumn="0"/>
            <w:tcW w:w="6091" w:type="dxa"/>
          </w:tcPr>
          <w:p w14:paraId="759D2A12" w14:textId="79DDBD90" w:rsidR="00324B33" w:rsidRPr="00E679D1" w:rsidRDefault="00324B33" w:rsidP="00E679D1">
            <w:r w:rsidRPr="00E679D1">
              <w:t>Submission dossier accepted and evaluation commenced</w:t>
            </w:r>
          </w:p>
        </w:tc>
        <w:tc>
          <w:tcPr>
            <w:tcW w:w="2551" w:type="dxa"/>
          </w:tcPr>
          <w:p w14:paraId="2963D9D8" w14:textId="193AE877" w:rsidR="00324B33" w:rsidRPr="00D01DDB" w:rsidRDefault="00C21B32"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2 September 2024</w:t>
            </w:r>
          </w:p>
        </w:tc>
      </w:tr>
      <w:tr w:rsidR="00803926" w:rsidRPr="00D01DDB" w14:paraId="16D13F79" w14:textId="77777777" w:rsidTr="0091138B">
        <w:tc>
          <w:tcPr>
            <w:cnfStyle w:val="001000000000" w:firstRow="0" w:lastRow="0" w:firstColumn="1" w:lastColumn="0" w:oddVBand="0" w:evenVBand="0" w:oddHBand="0" w:evenHBand="0" w:firstRowFirstColumn="0" w:firstRowLastColumn="0" w:lastRowFirstColumn="0" w:lastRowLastColumn="0"/>
            <w:tcW w:w="6091" w:type="dxa"/>
          </w:tcPr>
          <w:p w14:paraId="6858B45A" w14:textId="4ABE398B" w:rsidR="00803926" w:rsidRPr="00E679D1" w:rsidDel="00C62B1C" w:rsidRDefault="00803926" w:rsidP="00E679D1">
            <w:r>
              <w:t>Evaluation completed</w:t>
            </w:r>
            <w:r w:rsidR="005775D0">
              <w:t xml:space="preserve"> </w:t>
            </w:r>
          </w:p>
        </w:tc>
        <w:tc>
          <w:tcPr>
            <w:tcW w:w="2551" w:type="dxa"/>
          </w:tcPr>
          <w:p w14:paraId="2E0BD403" w14:textId="0C4B66B6" w:rsidR="00803926" w:rsidRPr="00D01DDB" w:rsidRDefault="00440AD8"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9 July 2025</w:t>
            </w:r>
          </w:p>
        </w:tc>
      </w:tr>
      <w:tr w:rsidR="00324B33" w:rsidRPr="00D01DDB" w14:paraId="6E5D32FE" w14:textId="77777777" w:rsidTr="0091138B">
        <w:tc>
          <w:tcPr>
            <w:cnfStyle w:val="001000000000" w:firstRow="0" w:lastRow="0" w:firstColumn="1" w:lastColumn="0" w:oddVBand="0" w:evenVBand="0" w:oddHBand="0" w:evenHBand="0" w:firstRowFirstColumn="0" w:firstRowLastColumn="0" w:lastRowFirstColumn="0" w:lastRowLastColumn="0"/>
            <w:tcW w:w="6091" w:type="dxa"/>
          </w:tcPr>
          <w:p w14:paraId="4E95C44C" w14:textId="7A91C710" w:rsidR="00324B33" w:rsidRPr="00E679D1" w:rsidRDefault="00324B33" w:rsidP="00E679D1">
            <w:r w:rsidRPr="00E679D1">
              <w:t>Registration decision (Outcome)</w:t>
            </w:r>
          </w:p>
        </w:tc>
        <w:tc>
          <w:tcPr>
            <w:tcW w:w="2551" w:type="dxa"/>
          </w:tcPr>
          <w:p w14:paraId="62987ABD" w14:textId="678E0408" w:rsidR="00324B33" w:rsidRPr="00D01DDB" w:rsidRDefault="00A972B6"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14 November 2025</w:t>
            </w:r>
          </w:p>
        </w:tc>
      </w:tr>
      <w:tr w:rsidR="00324B33" w:rsidRPr="00D01DDB" w14:paraId="6DDCDDA4" w14:textId="77777777" w:rsidTr="0091138B">
        <w:tc>
          <w:tcPr>
            <w:cnfStyle w:val="001000000000" w:firstRow="0" w:lastRow="0" w:firstColumn="1" w:lastColumn="0" w:oddVBand="0" w:evenVBand="0" w:oddHBand="0" w:evenHBand="0" w:firstRowFirstColumn="0" w:firstRowLastColumn="0" w:lastRowFirstColumn="0" w:lastRowLastColumn="0"/>
            <w:tcW w:w="6091" w:type="dxa"/>
          </w:tcPr>
          <w:p w14:paraId="192FD19D" w14:textId="7EB269A0" w:rsidR="00324B33" w:rsidRPr="00E679D1" w:rsidRDefault="00CC310F" w:rsidP="007311B9">
            <w:pPr>
              <w:ind w:left="0"/>
            </w:pPr>
            <w:r>
              <w:t xml:space="preserve"> </w:t>
            </w:r>
            <w:r w:rsidR="0013132F" w:rsidRPr="00E679D1">
              <w:t xml:space="preserve"> </w:t>
            </w:r>
            <w:r w:rsidR="00C00844">
              <w:t>R</w:t>
            </w:r>
            <w:r w:rsidR="0013132F" w:rsidRPr="00E679D1">
              <w:t xml:space="preserve">egistration </w:t>
            </w:r>
            <w:r w:rsidR="005C4B46" w:rsidRPr="00E679D1">
              <w:t xml:space="preserve">in </w:t>
            </w:r>
            <w:r w:rsidR="0013132F" w:rsidRPr="00E679D1">
              <w:t>the ARTG completed</w:t>
            </w:r>
          </w:p>
        </w:tc>
        <w:tc>
          <w:tcPr>
            <w:tcW w:w="2551" w:type="dxa"/>
          </w:tcPr>
          <w:p w14:paraId="5A8923FD" w14:textId="387C6E74" w:rsidR="00324B33" w:rsidRPr="00D01DDB" w:rsidRDefault="00A972B6"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17 November 2025</w:t>
            </w:r>
          </w:p>
        </w:tc>
      </w:tr>
      <w:tr w:rsidR="00324B33" w:rsidRPr="00D01DDB" w14:paraId="56D922E2" w14:textId="77777777" w:rsidTr="0091138B">
        <w:tc>
          <w:tcPr>
            <w:cnfStyle w:val="001000000000" w:firstRow="0" w:lastRow="0" w:firstColumn="1" w:lastColumn="0" w:oddVBand="0" w:evenVBand="0" w:oddHBand="0" w:evenHBand="0" w:firstRowFirstColumn="0" w:firstRowLastColumn="0" w:lastRowFirstColumn="0" w:lastRowLastColumn="0"/>
            <w:tcW w:w="6091" w:type="dxa"/>
          </w:tcPr>
          <w:p w14:paraId="787FD8DD" w14:textId="0E0CF97F" w:rsidR="00324B33" w:rsidRPr="00E679D1" w:rsidRDefault="00324B33" w:rsidP="00E679D1">
            <w:r w:rsidRPr="00E679D1">
              <w:t>Number of working days from submission dossier acceptance to registration decision*</w:t>
            </w:r>
          </w:p>
        </w:tc>
        <w:tc>
          <w:tcPr>
            <w:tcW w:w="2551" w:type="dxa"/>
          </w:tcPr>
          <w:p w14:paraId="5BAF9FA1" w14:textId="4995B2F1" w:rsidR="00324B33" w:rsidRPr="00D01DDB" w:rsidRDefault="00B159E3"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248</w:t>
            </w:r>
          </w:p>
        </w:tc>
      </w:tr>
    </w:tbl>
    <w:p w14:paraId="7B02554C" w14:textId="77777777" w:rsidR="00433318" w:rsidRDefault="00433318" w:rsidP="00433318">
      <w:pPr>
        <w:pStyle w:val="TableDescription"/>
      </w:pPr>
      <w:r>
        <w:t>*</w:t>
      </w:r>
      <w:r w:rsidRPr="00BF3774">
        <w:t xml:space="preserve">Statutory </w:t>
      </w:r>
      <w:r>
        <w:t>timeframe for standard submissions is 255 working days</w:t>
      </w:r>
    </w:p>
    <w:p w14:paraId="1553753A" w14:textId="77777777" w:rsidR="007F55E6" w:rsidRDefault="00083763" w:rsidP="00C22214">
      <w:pPr>
        <w:pStyle w:val="Heading2"/>
      </w:pPr>
      <w:bookmarkStart w:id="28" w:name="_Toc221611025"/>
      <w:bookmarkStart w:id="29" w:name="_Toc196046504"/>
      <w:bookmarkStart w:id="30" w:name="_Toc247691527"/>
      <w:bookmarkStart w:id="31" w:name="_Toc314842510"/>
      <w:bookmarkStart w:id="32" w:name="_Toc103679294"/>
      <w:r>
        <w:t xml:space="preserve">Assessment </w:t>
      </w:r>
      <w:r w:rsidR="00C22214" w:rsidRPr="00006FAB">
        <w:t>overview</w:t>
      </w:r>
      <w:bookmarkEnd w:id="28"/>
    </w:p>
    <w:p w14:paraId="785B2F20" w14:textId="77777777" w:rsidR="0091138B" w:rsidRDefault="007F55E6" w:rsidP="007F55E6">
      <w:r w:rsidRPr="007F55E6">
        <w:t xml:space="preserve">This evaluation was facilitated through Project Orbis, an initiative of the United States Food and Drug Administration (FDA) Oncology </w:t>
      </w:r>
      <w:proofErr w:type="spellStart"/>
      <w:r w:rsidRPr="007F55E6">
        <w:t>Center</w:t>
      </w:r>
      <w:proofErr w:type="spellEnd"/>
      <w:r w:rsidRPr="007F55E6">
        <w:t xml:space="preserve"> of Excellence. Under this project, the FDA and the TGA collaboratively reviewed the submission. This evaluation process provided a framework for process alignment and management of evaluation issues in real-time across jurisdictions. </w:t>
      </w:r>
    </w:p>
    <w:p w14:paraId="220925F1" w14:textId="1ED1F971" w:rsidR="00C22214" w:rsidRPr="00792A32" w:rsidRDefault="007F55E6" w:rsidP="007F55E6">
      <w:r w:rsidRPr="007F55E6">
        <w:lastRenderedPageBreak/>
        <w:t>Each regulator made independent decisions regarding approval (market authorisation) of the new medicine.</w:t>
      </w:r>
      <w:r w:rsidR="00C22214" w:rsidRPr="00006FAB">
        <w:t xml:space="preserve"> </w:t>
      </w:r>
      <w:bookmarkEnd w:id="29"/>
      <w:bookmarkEnd w:id="30"/>
      <w:bookmarkEnd w:id="31"/>
      <w:bookmarkEnd w:id="32"/>
    </w:p>
    <w:p w14:paraId="540151FC" w14:textId="77777777" w:rsidR="00C22214" w:rsidRPr="00BD5DBD" w:rsidRDefault="00C22214" w:rsidP="00BD5DBD">
      <w:pPr>
        <w:rPr>
          <w:szCs w:val="22"/>
        </w:rPr>
      </w:pPr>
      <w:bookmarkStart w:id="33" w:name="_Toc247691528"/>
      <w:bookmarkStart w:id="34" w:name="_Toc314842511"/>
      <w:r w:rsidRPr="00BD5DBD">
        <w:rPr>
          <w:szCs w:val="22"/>
        </w:rPr>
        <w:t>A summary of the TGA’s assessment for this submission is provided below.</w:t>
      </w:r>
    </w:p>
    <w:p w14:paraId="37F5A1C0" w14:textId="5D3D5FE0" w:rsidR="00C22214" w:rsidRDefault="00095C6A" w:rsidP="00C22214">
      <w:pPr>
        <w:pStyle w:val="Heading3"/>
      </w:pPr>
      <w:bookmarkStart w:id="35" w:name="_Toc103679295"/>
      <w:bookmarkStart w:id="36" w:name="_Toc221611026"/>
      <w:r>
        <w:t>Q</w:t>
      </w:r>
      <w:r w:rsidR="00C22214">
        <w:t>uality</w:t>
      </w:r>
      <w:bookmarkEnd w:id="33"/>
      <w:bookmarkEnd w:id="34"/>
      <w:bookmarkEnd w:id="35"/>
      <w:r w:rsidR="007E6443">
        <w:t xml:space="preserve"> evaluation</w:t>
      </w:r>
      <w:r>
        <w:t xml:space="preserve"> summary</w:t>
      </w:r>
      <w:bookmarkEnd w:id="36"/>
    </w:p>
    <w:p w14:paraId="2098C629" w14:textId="2B7D0BBF" w:rsidR="00997E92" w:rsidRDefault="00997E92" w:rsidP="00997E92">
      <w:r w:rsidRPr="00997E92">
        <w:t>Lutetium (</w:t>
      </w:r>
      <w:r w:rsidR="00544537" w:rsidRPr="00544537">
        <w:rPr>
          <w:vertAlign w:val="superscript"/>
        </w:rPr>
        <w:t>177</w:t>
      </w:r>
      <w:r w:rsidRPr="00997E92">
        <w:t xml:space="preserve">Lu) oxodotreotide is a radiolabelled somatostatin receptor agonist with high affinity for </w:t>
      </w:r>
      <w:r w:rsidR="008077D0">
        <w:t>SST2</w:t>
      </w:r>
      <w:r>
        <w:t xml:space="preserve">. </w:t>
      </w:r>
      <w:r w:rsidR="00B02373" w:rsidRPr="00B02373">
        <w:t>Its structure is depicted in</w:t>
      </w:r>
      <w:r w:rsidR="00B02373">
        <w:t xml:space="preserve"> Figure 1</w:t>
      </w:r>
      <w:r w:rsidR="00FF2DD6">
        <w:t>.</w:t>
      </w:r>
    </w:p>
    <w:p w14:paraId="27B36C96" w14:textId="3A69AF3E" w:rsidR="008228F3" w:rsidRDefault="008228F3" w:rsidP="008228F3">
      <w:pPr>
        <w:pStyle w:val="FigureTitle"/>
      </w:pPr>
      <w:r>
        <w:t xml:space="preserve">Figure 1. </w:t>
      </w:r>
      <w:r w:rsidRPr="008228F3">
        <w:t xml:space="preserve">Structural formula of </w:t>
      </w:r>
      <w:r w:rsidR="00544537" w:rsidRPr="00544537">
        <w:rPr>
          <w:vertAlign w:val="superscript"/>
        </w:rPr>
        <w:t>177</w:t>
      </w:r>
      <w:r w:rsidRPr="008228F3">
        <w:t>Lu-DOTA0-Tyr3-Octreotate</w:t>
      </w:r>
      <w:r>
        <w:t xml:space="preserve"> (</w:t>
      </w:r>
      <w:r w:rsidRPr="008228F3">
        <w:t>Lutetium (</w:t>
      </w:r>
      <w:r w:rsidR="00544537" w:rsidRPr="00544537">
        <w:rPr>
          <w:vertAlign w:val="superscript"/>
        </w:rPr>
        <w:t>177</w:t>
      </w:r>
      <w:r w:rsidRPr="008228F3">
        <w:t>Lu) oxodotreotide</w:t>
      </w:r>
      <w:r>
        <w:t>)</w:t>
      </w:r>
    </w:p>
    <w:p w14:paraId="447C88E1" w14:textId="31DB404D" w:rsidR="00807A00" w:rsidRDefault="00807A00" w:rsidP="00997E92">
      <w:r w:rsidRPr="00807A00">
        <w:rPr>
          <w:noProof/>
        </w:rPr>
        <w:drawing>
          <wp:inline distT="0" distB="0" distL="0" distR="0" wp14:anchorId="433E926E" wp14:editId="0A46B172">
            <wp:extent cx="3063882" cy="2884170"/>
            <wp:effectExtent l="0" t="0" r="3175" b="0"/>
            <wp:docPr id="1937785903" name="Picture 1" descr="Figure 1. Structural formula of 177Lu-DOTA0-Tyr3-Octreotate (Lutetium (177Lu) oxodotreot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7785903" name="Picture 1" descr="Figure 1. Structural formula of 177Lu-DOTA0-Tyr3-Octreotate (Lutetium (177Lu) oxodotreotide)"/>
                    <pic:cNvPicPr/>
                  </pic:nvPicPr>
                  <pic:blipFill>
                    <a:blip r:embed="rId22"/>
                    <a:stretch>
                      <a:fillRect/>
                    </a:stretch>
                  </pic:blipFill>
                  <pic:spPr>
                    <a:xfrm>
                      <a:off x="0" y="0"/>
                      <a:ext cx="3067809" cy="2887867"/>
                    </a:xfrm>
                    <a:prstGeom prst="rect">
                      <a:avLst/>
                    </a:prstGeom>
                  </pic:spPr>
                </pic:pic>
              </a:graphicData>
            </a:graphic>
          </wp:inline>
        </w:drawing>
      </w:r>
    </w:p>
    <w:p w14:paraId="06C8A3ED" w14:textId="07A23FB1" w:rsidR="00E6542A" w:rsidRDefault="00F74ECA" w:rsidP="00F74ECA">
      <w:r>
        <w:t xml:space="preserve">The drug substance is produced through a continuous automated radiolabelling process in which the radionuclide precursor lutetium </w:t>
      </w:r>
      <w:r w:rsidR="00544537" w:rsidRPr="00544537">
        <w:rPr>
          <w:vertAlign w:val="superscript"/>
        </w:rPr>
        <w:t>177</w:t>
      </w:r>
      <w:r>
        <w:t xml:space="preserve">chloride is combined with the chemical precursor oxodotreotide to form the final active substance. Oxodotreotide is synthesised using standard 9-fluorenylmethyloxycarbonyl (FMOC) based solid phase peptide techniques, followed by dodecane </w:t>
      </w:r>
      <w:proofErr w:type="spellStart"/>
      <w:r>
        <w:t>tetraacetic</w:t>
      </w:r>
      <w:proofErr w:type="spellEnd"/>
      <w:r>
        <w:t xml:space="preserve"> acid (DOTA) conjugation, cleavage, purification, and cyclisation. </w:t>
      </w:r>
    </w:p>
    <w:p w14:paraId="44FA1D89" w14:textId="612E5650" w:rsidR="00F74ECA" w:rsidRDefault="00F74ECA" w:rsidP="00F74ECA">
      <w:r>
        <w:t xml:space="preserve">The radionuclide precursor may be manufactured either through the direct route, where neutron bombardment of ¹⁷⁶Lu yields carrier added ¹⁷⁷Lu, or through the indirect route using ¹⁷⁶Yb as the irradiated target, offering higher specific activity. Both precursor pathways have been adequately characterised, and their specifications are consistent with the British Pharmacopoeia monograph for lutetium </w:t>
      </w:r>
      <w:r w:rsidR="00544537" w:rsidRPr="00544537">
        <w:rPr>
          <w:vertAlign w:val="superscript"/>
        </w:rPr>
        <w:t>177</w:t>
      </w:r>
      <w:r>
        <w:t xml:space="preserve"> radiolabelling solutions. Development studies support the proposed specific activity limits and demonstrate their suitability for achieving the required radiochemical purity.</w:t>
      </w:r>
    </w:p>
    <w:p w14:paraId="336AFDB0" w14:textId="530ECE9A" w:rsidR="00E6542A" w:rsidRDefault="00F74ECA" w:rsidP="00F74ECA">
      <w:r>
        <w:t>The final drug product is manufactured via semi</w:t>
      </w:r>
      <w:r w:rsidR="008228F3">
        <w:t>-</w:t>
      </w:r>
      <w:r>
        <w:t xml:space="preserve">automated dispensing. The solution containing lutetium </w:t>
      </w:r>
      <w:r w:rsidR="00544537" w:rsidRPr="00544537">
        <w:rPr>
          <w:vertAlign w:val="superscript"/>
        </w:rPr>
        <w:t>177</w:t>
      </w:r>
      <w:r>
        <w:t xml:space="preserve"> oxodotreotide is formulated with a saline based dilution solution containing ascorbic acid and </w:t>
      </w:r>
      <w:proofErr w:type="spellStart"/>
      <w:r>
        <w:t>pentetic</w:t>
      </w:r>
      <w:proofErr w:type="spellEnd"/>
      <w:r>
        <w:t xml:space="preserve"> acid, followed by sterile filtration and filling into Type I glass vials sealed with </w:t>
      </w:r>
      <w:proofErr w:type="spellStart"/>
      <w:r>
        <w:t>bromobutyl</w:t>
      </w:r>
      <w:proofErr w:type="spellEnd"/>
      <w:r>
        <w:t xml:space="preserve"> rubber stoppers and aluminium caps. </w:t>
      </w:r>
    </w:p>
    <w:p w14:paraId="4A4BDB53" w14:textId="5A45661B" w:rsidR="00F74ECA" w:rsidRDefault="00F74ECA" w:rsidP="00F74ECA">
      <w:r>
        <w:t xml:space="preserve">The product is supplied in a lead shielded secondary container. Its Australian specification aligns with those approved in the EU and US and incorporates all relevant tests for radionuclide and radiochemical purity in accordance with British Pharmacopoeia general standards for radiopharmaceutical preparations. </w:t>
      </w:r>
      <w:r w:rsidR="008228F3">
        <w:t>S</w:t>
      </w:r>
      <w:r>
        <w:t xml:space="preserve">terility, endotoxin levels, and container safety meet requirements. Stability data support a shelf life of 72 hours when stored below 25°C, with </w:t>
      </w:r>
      <w:r>
        <w:lastRenderedPageBreak/>
        <w:t xml:space="preserve">additional stipulations to </w:t>
      </w:r>
      <w:r w:rsidR="00520997">
        <w:t xml:space="preserve">not </w:t>
      </w:r>
      <w:r>
        <w:t>freeze the product and to keep it within its original protective container.</w:t>
      </w:r>
    </w:p>
    <w:p w14:paraId="0AB530E0" w14:textId="77777777" w:rsidR="00520997" w:rsidRDefault="00F74ECA" w:rsidP="00F74ECA">
      <w:r>
        <w:t xml:space="preserve">From a biopharmaceutics perspective, no bioequivalence studies were required. The formulation used in the pivotal NETTER 1 Phase III clinical trial is identical to the proposed commercial formulation and consistent with that used in earlier clinical studies, removing the need for bridging studies. </w:t>
      </w:r>
    </w:p>
    <w:p w14:paraId="44C1E220" w14:textId="2B92F06C" w:rsidR="00F74ECA" w:rsidRPr="00997E92" w:rsidRDefault="00F74ECA" w:rsidP="00F74ECA">
      <w:r>
        <w:t xml:space="preserve">The quality and biopharmaceutic data support approval of </w:t>
      </w:r>
      <w:r w:rsidR="00CE3296">
        <w:t>Lutathera</w:t>
      </w:r>
      <w:r>
        <w:t xml:space="preserve"> for registration.</w:t>
      </w:r>
    </w:p>
    <w:p w14:paraId="2BE90AAE" w14:textId="35796FD3" w:rsidR="00C22214" w:rsidRDefault="00C22214" w:rsidP="00C22214">
      <w:pPr>
        <w:pStyle w:val="Heading3"/>
      </w:pPr>
      <w:bookmarkStart w:id="37" w:name="_Toc314842512"/>
      <w:bookmarkStart w:id="38" w:name="_Toc103679296"/>
      <w:bookmarkStart w:id="39" w:name="_Toc221611027"/>
      <w:r>
        <w:t>Nonclinical</w:t>
      </w:r>
      <w:bookmarkEnd w:id="37"/>
      <w:bookmarkEnd w:id="38"/>
      <w:r w:rsidR="007E6443">
        <w:t xml:space="preserve"> evaluation</w:t>
      </w:r>
      <w:r w:rsidR="00095C6A">
        <w:t xml:space="preserve"> summary</w:t>
      </w:r>
      <w:bookmarkEnd w:id="39"/>
    </w:p>
    <w:p w14:paraId="37B40ADF" w14:textId="373193E0" w:rsidR="00932F67" w:rsidRDefault="00932F67" w:rsidP="00932F67">
      <w:r>
        <w:t>The submitted Module 4 dossier was in accordance with the relevant ICH guideline for the nonclinical assessment of anticancer pharmaceuticals (ICH S9)</w:t>
      </w:r>
      <w:r w:rsidR="00C15BAD">
        <w:rPr>
          <w:rStyle w:val="FootnoteReference"/>
        </w:rPr>
        <w:footnoteReference w:id="7"/>
      </w:r>
      <w:r>
        <w:t>. The overall quality of the nonclinical dossier was high. All pivotal safety-related studies were GLP compliant. The nonclinical testing program mainly used (nonradioactive) lutetium (</w:t>
      </w:r>
      <w:r w:rsidR="00454D4C" w:rsidRPr="00454D4C">
        <w:rPr>
          <w:vertAlign w:val="superscript"/>
        </w:rPr>
        <w:t>175</w:t>
      </w:r>
      <w:r>
        <w:t xml:space="preserve">Lu) oxodotreotide. </w:t>
      </w:r>
    </w:p>
    <w:p w14:paraId="1111CE81" w14:textId="1CD971D9" w:rsidR="00932F67" w:rsidRDefault="00932F67" w:rsidP="00932F67">
      <w:r>
        <w:t>In vitro, lutetium (</w:t>
      </w:r>
      <w:r w:rsidR="00544537" w:rsidRPr="00544537">
        <w:rPr>
          <w:vertAlign w:val="superscript"/>
        </w:rPr>
        <w:t>177</w:t>
      </w:r>
      <w:r>
        <w:t>Lu) oxodotreotide bound to the somatostatin SST2 receptor with nanomolar affinity, and decreased survival of CA20948 rat pancreatic tumour cells, within expected clinical plasma concentrations. In vivo, lutetium (</w:t>
      </w:r>
      <w:r w:rsidR="00544537" w:rsidRPr="00544537">
        <w:rPr>
          <w:vertAlign w:val="superscript"/>
        </w:rPr>
        <w:t>177</w:t>
      </w:r>
      <w:r>
        <w:t>Lu) oxodotreotide distributed to tumour tissue of mice harbouring pancreatic cancer cell xenografts and inhibited xenograft growth/induced tumour regression, supporting the proposed clinical indication.</w:t>
      </w:r>
    </w:p>
    <w:p w14:paraId="732BD4E5" w14:textId="7E791BCA" w:rsidR="00932F67" w:rsidRDefault="00932F67" w:rsidP="00932F67">
      <w:r>
        <w:t xml:space="preserve">No secondary pharmacodynamic studies were submitted. </w:t>
      </w:r>
      <w:proofErr w:type="spellStart"/>
      <w:r>
        <w:t>Octreotate</w:t>
      </w:r>
      <w:proofErr w:type="spellEnd"/>
      <w:r>
        <w:t xml:space="preserve"> compounds have shown high selectivity for the SST2 receptor and are therefore expected to primarily bind only to SST</w:t>
      </w:r>
      <w:r w:rsidR="00A32F10">
        <w:t>R</w:t>
      </w:r>
      <w:r>
        <w:t>2 expressing tissue. There were no apparent off-target effects in general toxicity studies in rats and dogs, and no significant secondary pharmacological effects are expected in patients.</w:t>
      </w:r>
    </w:p>
    <w:p w14:paraId="73935192" w14:textId="1ADE318E" w:rsidR="00932F67" w:rsidRDefault="00932F67" w:rsidP="00932F67">
      <w:r>
        <w:t>Safety pharmacology studies assessed effects of non-radioactive lutetium (</w:t>
      </w:r>
      <w:r w:rsidR="00454D4C" w:rsidRPr="00454D4C">
        <w:rPr>
          <w:vertAlign w:val="superscript"/>
        </w:rPr>
        <w:t>175</w:t>
      </w:r>
      <w:r>
        <w:t>Lu) oxodotreotide on the cardiovascular, respiratory and central nervous systems. No adverse effects were seen on CNS function in rats.  Lutetium (</w:t>
      </w:r>
      <w:r w:rsidR="00454D4C" w:rsidRPr="00454D4C">
        <w:rPr>
          <w:vertAlign w:val="superscript"/>
        </w:rPr>
        <w:t>175</w:t>
      </w:r>
      <w:r>
        <w:t xml:space="preserve">Lu) oxodotreotide had a non-adverse and dose-dependent stimulatory effect on respiration in rats, and a transient hypertensive effect in dogs (which also caused reflex bradycardia). No significant inhibition of </w:t>
      </w:r>
      <w:proofErr w:type="spellStart"/>
      <w:r>
        <w:t>hERG</w:t>
      </w:r>
      <w:proofErr w:type="spellEnd"/>
      <w:r>
        <w:t xml:space="preserve"> K+ channel tail current was observed at clinically relevant concentrations. Lutetium (</w:t>
      </w:r>
      <w:r w:rsidR="00544537" w:rsidRPr="00544537">
        <w:rPr>
          <w:vertAlign w:val="superscript"/>
        </w:rPr>
        <w:t>177</w:t>
      </w:r>
      <w:r>
        <w:t>Lu) oxodotreotide is not predicted to prolong the QT interval in patients.</w:t>
      </w:r>
    </w:p>
    <w:p w14:paraId="75AD3BF5" w14:textId="2022D881" w:rsidR="00932F67" w:rsidRDefault="00932F67" w:rsidP="00932F67">
      <w:r>
        <w:t>Overall, the pharmacokinetic profile in animals was qualitatively similar to that of humans. Exposure was dose proportional and without accumulation on repeat dosing. Half-life values were similar in dogs and humans but shorter in rats. Plasma protein binding was low to moderate in rats, dogs and humans. Lutetium (</w:t>
      </w:r>
      <w:r w:rsidR="00544537" w:rsidRPr="00544537">
        <w:rPr>
          <w:vertAlign w:val="superscript"/>
        </w:rPr>
        <w:t>177</w:t>
      </w:r>
      <w:r>
        <w:t>Lu) oxodotreotide distributed SST</w:t>
      </w:r>
      <w:r w:rsidR="00772820">
        <w:t>R2-</w:t>
      </w:r>
      <w:r>
        <w:t>positive tissues (predominantly tumour xenografts and pancreas), and kidney (SST</w:t>
      </w:r>
      <w:r w:rsidR="00772820">
        <w:t>R</w:t>
      </w:r>
      <w:r>
        <w:t>2 negative). Distribution to brain and spinal cord was very limited. Lutetium (</w:t>
      </w:r>
      <w:r w:rsidR="00454D4C" w:rsidRPr="00454D4C">
        <w:rPr>
          <w:vertAlign w:val="superscript"/>
        </w:rPr>
        <w:t>175</w:t>
      </w:r>
      <w:r>
        <w:t xml:space="preserve">Lu) oxodotreotide does not undergo hepatic metabolism and is excreted predominantly as unchanged drug via the urinary route, with faecal excretion playing a minor role. </w:t>
      </w:r>
    </w:p>
    <w:p w14:paraId="11E211D4" w14:textId="588BC40E" w:rsidR="00932F67" w:rsidRDefault="00932F67" w:rsidP="00932F67">
      <w:r>
        <w:t>Based on in vitro studies, no clinically relevant interactions between lutetium (</w:t>
      </w:r>
      <w:r w:rsidR="00454D4C" w:rsidRPr="00454D4C">
        <w:rPr>
          <w:vertAlign w:val="superscript"/>
        </w:rPr>
        <w:t>175</w:t>
      </w:r>
      <w:r>
        <w:t>Lu) oxodotreotide and CYP450 enzymes or membrane transporters are expected.</w:t>
      </w:r>
    </w:p>
    <w:p w14:paraId="28D2B42E" w14:textId="19AD5BC1" w:rsidR="00932F67" w:rsidRDefault="00932F67" w:rsidP="00932F67">
      <w:r>
        <w:t>Lutetium (</w:t>
      </w:r>
      <w:r w:rsidR="00454D4C" w:rsidRPr="00454D4C">
        <w:rPr>
          <w:vertAlign w:val="superscript"/>
        </w:rPr>
        <w:t>175</w:t>
      </w:r>
      <w:r>
        <w:t>Lu) oxodotreotide exhibited a low order of acute toxicity in rats and dogs.</w:t>
      </w:r>
    </w:p>
    <w:p w14:paraId="36570B19" w14:textId="368D520E" w:rsidR="00932F67" w:rsidRDefault="00932F67" w:rsidP="00932F67">
      <w:r>
        <w:t xml:space="preserve">Repeat-dose toxicity studies by the IV route were conducted in rats and dogs (4 administrations over 7 weeks). Maximum exposures (AUC) relative to clinical exposures were very high in both species. The only target organ for toxicity was the pancreas (pancreatic acinar apoptosis). </w:t>
      </w:r>
      <w:r w:rsidRPr="00932F67">
        <w:lastRenderedPageBreak/>
        <w:t>Pancreatic acinar apoptosis occurred at very high multiples of the clinical exposure and is therefore not expected in patients.</w:t>
      </w:r>
    </w:p>
    <w:p w14:paraId="44519560" w14:textId="330A92CD" w:rsidR="00932F67" w:rsidRDefault="00932F67" w:rsidP="00932F67">
      <w:r>
        <w:t>While lutetium (</w:t>
      </w:r>
      <w:r w:rsidR="00544537" w:rsidRPr="00544537">
        <w:rPr>
          <w:vertAlign w:val="superscript"/>
        </w:rPr>
        <w:t>177</w:t>
      </w:r>
      <w:r>
        <w:t>Lu) oxodotreotide is expected to be genotoxic due to ionising radiation, non-radioactive lutetium (</w:t>
      </w:r>
      <w:r w:rsidR="00454D4C" w:rsidRPr="00454D4C">
        <w:rPr>
          <w:vertAlign w:val="superscript"/>
        </w:rPr>
        <w:t>175</w:t>
      </w:r>
      <w:r>
        <w:t>Lu) oxodotreotide was not found to be mutagenic in the bacterial mutation assay or clastogenic in vitro (in mouse lymphoma cells). No carcinogenicity studies were submitted, which is considered acceptable.</w:t>
      </w:r>
    </w:p>
    <w:p w14:paraId="08DC4ECF" w14:textId="7F54AA33" w:rsidR="00932F67" w:rsidRDefault="00932F67" w:rsidP="00932F67">
      <w:r>
        <w:t>No reproductive toxicity studies were submitted, which is considered acceptable, given the indication.</w:t>
      </w:r>
    </w:p>
    <w:p w14:paraId="25CF15B5" w14:textId="77777777" w:rsidR="00932F67" w:rsidRDefault="00932F67" w:rsidP="00932F67">
      <w:r>
        <w:t>No local tolerance studies were submitted. No adverse effects at the injection site were observed in the toxicity studies in rats and dogs.  No local reactions are expected in patients.</w:t>
      </w:r>
    </w:p>
    <w:p w14:paraId="1657CC20" w14:textId="04276F19" w:rsidR="00932F67" w:rsidRPr="00932F67" w:rsidRDefault="00932F67" w:rsidP="00932F67">
      <w:r>
        <w:t xml:space="preserve">There are no nonclinical objections to the registration of </w:t>
      </w:r>
      <w:r w:rsidR="00CE3296">
        <w:t>Lutathera</w:t>
      </w:r>
      <w:r>
        <w:t>.</w:t>
      </w:r>
    </w:p>
    <w:p w14:paraId="35B580A5" w14:textId="40B226DC" w:rsidR="00C22214" w:rsidRDefault="00C22214" w:rsidP="008804CF">
      <w:pPr>
        <w:pStyle w:val="Heading3"/>
      </w:pPr>
      <w:bookmarkStart w:id="40" w:name="_Toc247691530"/>
      <w:bookmarkStart w:id="41" w:name="_Toc314842513"/>
      <w:bookmarkStart w:id="42" w:name="_Toc103679297"/>
      <w:bookmarkStart w:id="43" w:name="_Toc221611028"/>
      <w:r>
        <w:t>Clinical</w:t>
      </w:r>
      <w:bookmarkEnd w:id="40"/>
      <w:bookmarkEnd w:id="41"/>
      <w:bookmarkEnd w:id="42"/>
      <w:r w:rsidR="00095C6A">
        <w:t xml:space="preserve"> evaluation summary</w:t>
      </w:r>
      <w:bookmarkEnd w:id="43"/>
    </w:p>
    <w:p w14:paraId="7DA0FB41" w14:textId="681872AE" w:rsidR="004C6A89" w:rsidRPr="004C6A89" w:rsidRDefault="004C6A89" w:rsidP="004C6A89">
      <w:r w:rsidRPr="004C6A89">
        <w:t xml:space="preserve">The submission in Australia </w:t>
      </w:r>
      <w:r w:rsidR="009C1DD3" w:rsidRPr="009C1DD3">
        <w:t xml:space="preserve">was primarily based on the results of the </w:t>
      </w:r>
      <w:r w:rsidRPr="004C6A89">
        <w:t xml:space="preserve">interim and final analyses of the </w:t>
      </w:r>
      <w:r w:rsidR="00616871" w:rsidRPr="00616871">
        <w:t>NETTER-1 study and interim analysis of ERASMUS MC study.</w:t>
      </w:r>
    </w:p>
    <w:p w14:paraId="75B794AC" w14:textId="77777777" w:rsidR="00CA3CE7" w:rsidRPr="00CA3CE7" w:rsidRDefault="00CA3CE7" w:rsidP="00CA3CE7">
      <w:pPr>
        <w:pStyle w:val="Heading4"/>
        <w:rPr>
          <w:i/>
        </w:rPr>
      </w:pPr>
      <w:bookmarkStart w:id="44" w:name="_Toc221611029"/>
      <w:r w:rsidRPr="00CA3CE7">
        <w:t>Pharmacology</w:t>
      </w:r>
      <w:bookmarkEnd w:id="44"/>
      <w:r w:rsidRPr="00CA3CE7">
        <w:rPr>
          <w:i/>
        </w:rPr>
        <w:t xml:space="preserve"> </w:t>
      </w:r>
    </w:p>
    <w:p w14:paraId="1ECF7EA0" w14:textId="4B0936F5" w:rsidR="00CA3CE7" w:rsidRPr="00CA3CE7" w:rsidRDefault="00CA3CE7" w:rsidP="00CA3CE7">
      <w:pPr>
        <w:pStyle w:val="Heading5"/>
      </w:pPr>
      <w:r w:rsidRPr="00CA3CE7">
        <w:t xml:space="preserve">Pharmacokinetics </w:t>
      </w:r>
    </w:p>
    <w:p w14:paraId="19398895" w14:textId="1AAC7A6A" w:rsidR="00CA3CE7" w:rsidRPr="00CA3CE7" w:rsidRDefault="00CA3CE7" w:rsidP="00CA3CE7">
      <w:r w:rsidRPr="00CA3CE7">
        <w:t>Pharmacokinetics w</w:t>
      </w:r>
      <w:r w:rsidR="00747D07">
        <w:t>ere</w:t>
      </w:r>
      <w:r w:rsidRPr="00CA3CE7">
        <w:t xml:space="preserve"> studied in patients. No healthy volunteer studies were conducted.</w:t>
      </w:r>
    </w:p>
    <w:p w14:paraId="52028662" w14:textId="0077772F" w:rsidR="00CA3CE7" w:rsidRPr="00CA3CE7" w:rsidRDefault="00CE3296" w:rsidP="00D14A72">
      <w:r>
        <w:t>Lutathera</w:t>
      </w:r>
      <w:r w:rsidR="00CA3CE7" w:rsidRPr="00CA3CE7">
        <w:t xml:space="preserve"> is administered intravenously and is immediately and completely bioavailable. </w:t>
      </w:r>
      <w:proofErr w:type="spellStart"/>
      <w:r w:rsidR="00CA3CE7" w:rsidRPr="00CA3CE7">
        <w:t>C</w:t>
      </w:r>
      <w:r w:rsidR="00CA3CE7" w:rsidRPr="00AA026D">
        <w:rPr>
          <w:vertAlign w:val="subscript"/>
        </w:rPr>
        <w:t>max</w:t>
      </w:r>
      <w:proofErr w:type="spellEnd"/>
      <w:r w:rsidR="00CA3CE7" w:rsidRPr="00CA3CE7">
        <w:t xml:space="preserve"> generally occurred at the end of the infusion.</w:t>
      </w:r>
    </w:p>
    <w:p w14:paraId="45EA34BE" w14:textId="40593E9D" w:rsidR="00CA3CE7" w:rsidRPr="00CA3CE7" w:rsidRDefault="00CA3CE7" w:rsidP="00D14A72">
      <w:r w:rsidRPr="00CA3CE7">
        <w:t xml:space="preserve">It is </w:t>
      </w:r>
      <w:r w:rsidR="00D14A72">
        <w:t>approximately</w:t>
      </w:r>
      <w:r w:rsidRPr="00CA3CE7">
        <w:t xml:space="preserve"> 43% plasma protein bound. </w:t>
      </w:r>
      <w:proofErr w:type="spellStart"/>
      <w:r w:rsidRPr="00CA3CE7">
        <w:t>Transchelation</w:t>
      </w:r>
      <w:proofErr w:type="spellEnd"/>
      <w:r w:rsidRPr="00CA3CE7">
        <w:t xml:space="preserve"> of lutetium from </w:t>
      </w:r>
      <w:r w:rsidR="00DB16A4">
        <w:t>[</w:t>
      </w:r>
      <w:r w:rsidR="00454D4C" w:rsidRPr="00454D4C">
        <w:rPr>
          <w:vertAlign w:val="superscript"/>
        </w:rPr>
        <w:t>175</w:t>
      </w:r>
      <w:proofErr w:type="gramStart"/>
      <w:r w:rsidRPr="00CA3CE7">
        <w:t>Lu</w:t>
      </w:r>
      <w:r w:rsidR="00DB16A4">
        <w:t>]Lu</w:t>
      </w:r>
      <w:proofErr w:type="gramEnd"/>
      <w:r w:rsidR="00DB16A4">
        <w:t>-</w:t>
      </w:r>
      <w:r w:rsidRPr="00CA3CE7">
        <w:t>oxodotreotide into serum proteins was not demonstrated. Within 4 hours of administration</w:t>
      </w:r>
      <w:r w:rsidR="00747D07">
        <w:t>,</w:t>
      </w:r>
      <w:r w:rsidRPr="00CA3CE7">
        <w:t xml:space="preserve"> there was uptake into the kidney, tumour lesions, liver and spleen, and in some patients the pituitary or thyroid. The mean </w:t>
      </w:r>
      <w:r w:rsidR="00650EDD">
        <w:t>volume of distribution</w:t>
      </w:r>
      <w:r w:rsidRPr="00CA3CE7">
        <w:t xml:space="preserve"> was 460 L (CV 54%) after a single therapeutic dose.</w:t>
      </w:r>
    </w:p>
    <w:p w14:paraId="44F64061" w14:textId="09B36315" w:rsidR="00CA3CE7" w:rsidRPr="00CA3CE7" w:rsidRDefault="00CA3CE7" w:rsidP="00D14A72">
      <w:r w:rsidRPr="00CA3CE7">
        <w:t xml:space="preserve">Co-administration of amino acids resulted in reduction of the median </w:t>
      </w:r>
      <w:r w:rsidR="00770037" w:rsidRPr="00770037">
        <w:t xml:space="preserve">radiation absorbed dose in </w:t>
      </w:r>
      <w:r w:rsidRPr="00CA3CE7">
        <w:t xml:space="preserve">Gray </w:t>
      </w:r>
      <w:r w:rsidR="006563E4">
        <w:t xml:space="preserve">(Gy) </w:t>
      </w:r>
      <w:r w:rsidR="009507DB">
        <w:t>units</w:t>
      </w:r>
      <w:r w:rsidRPr="00CA3CE7">
        <w:t xml:space="preserve"> to the kidneys by 47% (range 34% - 59%) and a mean 36% (21% CV) increase in blood clearance of </w:t>
      </w:r>
      <w:r w:rsidRPr="00CA3CE7">
        <w:rPr>
          <w:iCs/>
        </w:rPr>
        <w:t>lutetium (</w:t>
      </w:r>
      <w:r w:rsidR="00454D4C" w:rsidRPr="00454D4C">
        <w:rPr>
          <w:iCs/>
          <w:vertAlign w:val="superscript"/>
        </w:rPr>
        <w:t>175</w:t>
      </w:r>
      <w:r w:rsidRPr="00CA3CE7">
        <w:rPr>
          <w:iCs/>
        </w:rPr>
        <w:t>Lu) oxodotreotide</w:t>
      </w:r>
      <w:r w:rsidRPr="00CA3CE7">
        <w:t>.</w:t>
      </w:r>
    </w:p>
    <w:p w14:paraId="36109D89" w14:textId="113E98A4" w:rsidR="00CA3CE7" w:rsidRPr="00CA3CE7" w:rsidRDefault="00CE3296" w:rsidP="00D14A72">
      <w:r>
        <w:t>Lutathera</w:t>
      </w:r>
      <w:r w:rsidR="00CA3CE7" w:rsidRPr="00CA3CE7">
        <w:t xml:space="preserve"> is poorly metabolised and is predominantly excreted in urine (91% in ERASMUS MC), around 58% of the dose in the first 24 hours and 65% of the dose in the first 48 hours. By radiometric HPLC, 99.8% was eliminated in urine. The mean blood elimination half-life was 3.5 (SD 1.4) hours, and the mean terminal half-life was 71 (SD 28) hours.</w:t>
      </w:r>
    </w:p>
    <w:p w14:paraId="40DBBFAB" w14:textId="64B92F58" w:rsidR="00CA3CE7" w:rsidRPr="00CA3CE7" w:rsidRDefault="00CA3CE7" w:rsidP="00CA3CE7">
      <w:r w:rsidRPr="00CA3CE7">
        <w:t xml:space="preserve">Dose proportionality: </w:t>
      </w:r>
      <w:r w:rsidR="009507DB">
        <w:t>activities</w:t>
      </w:r>
      <w:r w:rsidRPr="00CA3CE7">
        <w:t xml:space="preserve"> of 1.85, 3.7 and 7.4 </w:t>
      </w:r>
      <w:proofErr w:type="spellStart"/>
      <w:r w:rsidR="000451A3" w:rsidRPr="000451A3">
        <w:t>gigabecquerels</w:t>
      </w:r>
      <w:proofErr w:type="spellEnd"/>
      <w:r w:rsidR="000451A3">
        <w:t xml:space="preserve"> (</w:t>
      </w:r>
      <w:proofErr w:type="spellStart"/>
      <w:r w:rsidRPr="00CA3CE7">
        <w:t>GBq</w:t>
      </w:r>
      <w:proofErr w:type="spellEnd"/>
      <w:r w:rsidR="000451A3">
        <w:t>)</w:t>
      </w:r>
      <w:r w:rsidRPr="00CA3CE7">
        <w:t xml:space="preserve"> had a dose normalised mean exposure (AUC</w:t>
      </w:r>
      <w:r w:rsidRPr="00CA3CE7">
        <w:rPr>
          <w:vertAlign w:val="subscript"/>
        </w:rPr>
        <w:t>0-last</w:t>
      </w:r>
      <w:r w:rsidRPr="00CA3CE7">
        <w:t xml:space="preserve">) of </w:t>
      </w:r>
      <w:r w:rsidR="00CE3296">
        <w:t>Lutathera</w:t>
      </w:r>
      <w:r w:rsidRPr="00CA3CE7">
        <w:t xml:space="preserve"> of 32 (CV 23%), 35 (CV 57%) and 26 (CV 31%), respectively.</w:t>
      </w:r>
    </w:p>
    <w:p w14:paraId="4954DBFC" w14:textId="77777777" w:rsidR="00CA3CE7" w:rsidRPr="00CA3CE7" w:rsidRDefault="00CA3CE7" w:rsidP="00CA3CE7">
      <w:r w:rsidRPr="00CA3CE7">
        <w:t xml:space="preserve">Accumulation is not anticipated given the </w:t>
      </w:r>
      <w:proofErr w:type="gramStart"/>
      <w:r w:rsidRPr="00CA3CE7">
        <w:t>71 hour</w:t>
      </w:r>
      <w:proofErr w:type="gramEnd"/>
      <w:r w:rsidRPr="00CA3CE7">
        <w:t xml:space="preserve"> half-life and the </w:t>
      </w:r>
      <w:proofErr w:type="gramStart"/>
      <w:r w:rsidRPr="00CA3CE7">
        <w:t>8 week</w:t>
      </w:r>
      <w:proofErr w:type="gramEnd"/>
      <w:r w:rsidRPr="00CA3CE7">
        <w:t xml:space="preserve"> dosing interval.</w:t>
      </w:r>
    </w:p>
    <w:p w14:paraId="208E4772" w14:textId="77777777" w:rsidR="00CA3CE7" w:rsidRPr="00CA3CE7" w:rsidRDefault="00CA3CE7" w:rsidP="00CA3CE7">
      <w:r w:rsidRPr="00CA3CE7">
        <w:t>There is little or no hepatic elimination. No dose adjustment is proposed for patients with mild to moderate hepatic impairment. The safety in patients with severe hepatic impairment defined as bilirubin &gt; 3x ULN and any AST has not been established.</w:t>
      </w:r>
    </w:p>
    <w:p w14:paraId="7718BDBC" w14:textId="56674057" w:rsidR="00CA3CE7" w:rsidRPr="00CA3CE7" w:rsidRDefault="00CA3CE7" w:rsidP="00CA3CE7">
      <w:r w:rsidRPr="00CA3CE7">
        <w:t xml:space="preserve">No dose adjustment is proposed for patients with kidney disease characterised as mild to moderate, noting that coadministration of amino acids is intended to be renally protective. </w:t>
      </w:r>
      <w:r w:rsidRPr="00CA3CE7">
        <w:lastRenderedPageBreak/>
        <w:t xml:space="preserve">There are no data in patients with a creatinine clearance (by Cockroft-Gault estimate) &lt; 30 mL/min or patients with end-stage kidney disease. Treatment with </w:t>
      </w:r>
      <w:r w:rsidR="00CE3296">
        <w:t>Lutathera</w:t>
      </w:r>
      <w:r w:rsidRPr="00CA3CE7">
        <w:t xml:space="preserve"> is not recommended for patients with creatinine clearance &lt; 40 mL/min, and dose adjustment or permanent discontinuation is based on a reduction in renal function.</w:t>
      </w:r>
    </w:p>
    <w:p w14:paraId="73EE09A7" w14:textId="0B56AF8C" w:rsidR="00CA3CE7" w:rsidRDefault="00CA3CE7" w:rsidP="00CA3CE7">
      <w:r w:rsidRPr="00CA3CE7">
        <w:t>Radiation</w:t>
      </w:r>
      <w:r w:rsidR="00D14A72">
        <w:t xml:space="preserve"> d</w:t>
      </w:r>
      <w:r w:rsidRPr="00CA3CE7">
        <w:t xml:space="preserve">osimetry was considered in both main studies, including a specific sub-study of the pivotal NETTER-1 study (n=20). Safety thresholds for exposure in the kidney </w:t>
      </w:r>
      <w:proofErr w:type="gramStart"/>
      <w:r w:rsidRPr="00CA3CE7">
        <w:t>is</w:t>
      </w:r>
      <w:proofErr w:type="gramEnd"/>
      <w:r w:rsidRPr="00CA3CE7">
        <w:t xml:space="preserve"> generally 2</w:t>
      </w:r>
      <w:r w:rsidR="00420563">
        <w:t>9</w:t>
      </w:r>
      <w:r w:rsidRPr="00CA3CE7">
        <w:t xml:space="preserve"> Gy and 2 Gy for red bone marrow. The median (range) predicted absorbed doses (Gy) after a total exposure of 29.6 </w:t>
      </w:r>
      <w:proofErr w:type="spellStart"/>
      <w:r w:rsidRPr="00CA3CE7">
        <w:t>GBq</w:t>
      </w:r>
      <w:proofErr w:type="spellEnd"/>
      <w:r w:rsidRPr="00CA3CE7">
        <w:t xml:space="preserve"> from the NETTER-1 sub-study </w:t>
      </w:r>
      <w:r w:rsidR="00BF339F">
        <w:t>are shown in Table 3</w:t>
      </w:r>
      <w:r w:rsidR="00C14137">
        <w:t>.</w:t>
      </w:r>
    </w:p>
    <w:p w14:paraId="61409433" w14:textId="1F20A037" w:rsidR="009C516D" w:rsidRDefault="009C516D" w:rsidP="009C516D">
      <w:pPr>
        <w:pStyle w:val="TableTitle"/>
      </w:pPr>
      <w:r w:rsidRPr="009C516D">
        <w:t xml:space="preserve">Table </w:t>
      </w:r>
      <w:r>
        <w:t>3.</w:t>
      </w:r>
      <w:r w:rsidRPr="009C516D">
        <w:t xml:space="preserve"> Radiation Dosimetry NETTER-1 Study </w:t>
      </w:r>
      <w:r w:rsidR="00CE3296">
        <w:t>Lutathera</w:t>
      </w:r>
      <w:r w:rsidRPr="009C516D">
        <w:t xml:space="preserve"> Arm</w:t>
      </w:r>
    </w:p>
    <w:p w14:paraId="02DC05ED" w14:textId="5A919C7D" w:rsidR="009D0786" w:rsidRPr="00CA3CE7" w:rsidRDefault="009D0786" w:rsidP="00CA3CE7">
      <w:r>
        <w:rPr>
          <w:noProof/>
        </w:rPr>
        <w:drawing>
          <wp:inline distT="0" distB="0" distL="0" distR="0" wp14:anchorId="2ECA3DB3" wp14:editId="50DD67E0">
            <wp:extent cx="5593715" cy="4531360"/>
            <wp:effectExtent l="0" t="0" r="6985" b="2540"/>
            <wp:docPr id="1832261295" name="Picture 1" descr="Table 3. Radiation Dosimetry NETTER-1 Study Lutathera A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261295" name="Picture 1" descr="Table 3. Radiation Dosimetry NETTER-1 Study Lutathera Arm"/>
                    <pic:cNvPicPr>
                      <a:picLocks noChangeAspect="1" noChangeArrowheads="1"/>
                    </pic:cNvPicPr>
                  </pic:nvPicPr>
                  <pic:blipFill rotWithShape="1">
                    <a:blip r:embed="rId23">
                      <a:extLst>
                        <a:ext uri="{BEBA8EAE-BF5A-486C-A8C5-ECC9F3942E4B}">
                          <a14:imgProps xmlns:a14="http://schemas.microsoft.com/office/drawing/2010/main">
                            <a14:imgLayer r:embed="rId24">
                              <a14:imgEffect>
                                <a14:sharpenSoften amount="25000"/>
                              </a14:imgEffect>
                            </a14:imgLayer>
                          </a14:imgProps>
                        </a:ext>
                        <a:ext uri="{28A0092B-C50C-407E-A947-70E740481C1C}">
                          <a14:useLocalDpi xmlns:a14="http://schemas.microsoft.com/office/drawing/2010/main" val="0"/>
                        </a:ext>
                      </a:extLst>
                    </a:blip>
                    <a:srcRect l="2393" t="1154" b="13015"/>
                    <a:stretch>
                      <a:fillRect/>
                    </a:stretch>
                  </pic:blipFill>
                  <pic:spPr bwMode="auto">
                    <a:xfrm>
                      <a:off x="0" y="0"/>
                      <a:ext cx="5593715" cy="4531360"/>
                    </a:xfrm>
                    <a:prstGeom prst="rect">
                      <a:avLst/>
                    </a:prstGeom>
                    <a:noFill/>
                    <a:ln>
                      <a:noFill/>
                    </a:ln>
                    <a:extLst>
                      <a:ext uri="{53640926-AAD7-44D8-BBD7-CCE9431645EC}">
                        <a14:shadowObscured xmlns:a14="http://schemas.microsoft.com/office/drawing/2010/main"/>
                      </a:ext>
                    </a:extLst>
                  </pic:spPr>
                </pic:pic>
              </a:graphicData>
            </a:graphic>
          </wp:inline>
        </w:drawing>
      </w:r>
    </w:p>
    <w:p w14:paraId="2834D4ED" w14:textId="56EFD7D1" w:rsidR="00EC527C" w:rsidRDefault="00EC527C" w:rsidP="00D143F6">
      <w:pPr>
        <w:pStyle w:val="TableDescription"/>
        <w:contextualSpacing/>
      </w:pPr>
      <w:proofErr w:type="spellStart"/>
      <w:r w:rsidRPr="00D143F6">
        <w:rPr>
          <w:vertAlign w:val="superscript"/>
        </w:rPr>
        <w:t>a</w:t>
      </w:r>
      <w:r>
        <w:t>N</w:t>
      </w:r>
      <w:proofErr w:type="spellEnd"/>
      <w:r>
        <w:t xml:space="preserve"> = 18 (two patients excluded because the liver absorbed dose was biased by the uptake of the liver metastases).</w:t>
      </w:r>
    </w:p>
    <w:p w14:paraId="0DD94D1C" w14:textId="3889983B" w:rsidR="00EC527C" w:rsidRDefault="00EC527C" w:rsidP="00D143F6">
      <w:pPr>
        <w:pStyle w:val="TableDescription"/>
        <w:contextualSpacing/>
      </w:pPr>
      <w:proofErr w:type="spellStart"/>
      <w:r w:rsidRPr="00D143F6">
        <w:rPr>
          <w:vertAlign w:val="superscript"/>
        </w:rPr>
        <w:t>b</w:t>
      </w:r>
      <w:r>
        <w:t>N</w:t>
      </w:r>
      <w:proofErr w:type="spellEnd"/>
      <w:r>
        <w:t xml:space="preserve"> = 9 (female patients only).</w:t>
      </w:r>
    </w:p>
    <w:p w14:paraId="3469A4B5" w14:textId="53A9FB97" w:rsidR="00EC527C" w:rsidRDefault="00EC527C" w:rsidP="00D143F6">
      <w:pPr>
        <w:pStyle w:val="TableDescription"/>
        <w:contextualSpacing/>
      </w:pPr>
      <w:proofErr w:type="spellStart"/>
      <w:r w:rsidRPr="00D143F6">
        <w:rPr>
          <w:vertAlign w:val="superscript"/>
        </w:rPr>
        <w:t>c</w:t>
      </w:r>
      <w:r>
        <w:t>Red</w:t>
      </w:r>
      <w:proofErr w:type="spellEnd"/>
      <w:r>
        <w:t xml:space="preserve"> marrow dosimetry estimates were determined using blood radioactivity.</w:t>
      </w:r>
    </w:p>
    <w:p w14:paraId="7BBA2617" w14:textId="74B25188" w:rsidR="00C22214" w:rsidRDefault="00EC527C" w:rsidP="00D143F6">
      <w:pPr>
        <w:pStyle w:val="TableDescription"/>
        <w:contextualSpacing/>
      </w:pPr>
      <w:proofErr w:type="spellStart"/>
      <w:r w:rsidRPr="00D143F6">
        <w:rPr>
          <w:vertAlign w:val="superscript"/>
        </w:rPr>
        <w:t>d</w:t>
      </w:r>
      <w:r>
        <w:t>N</w:t>
      </w:r>
      <w:proofErr w:type="spellEnd"/>
      <w:r>
        <w:t xml:space="preserve"> = 11 (male patients only).</w:t>
      </w:r>
    </w:p>
    <w:p w14:paraId="64918473" w14:textId="14ACA22D" w:rsidR="006F2C0C" w:rsidRDefault="006F2C0C" w:rsidP="006F2C0C">
      <w:pPr>
        <w:pStyle w:val="Heading6"/>
      </w:pPr>
      <w:r>
        <w:t>Drug-drug interactions</w:t>
      </w:r>
    </w:p>
    <w:p w14:paraId="3D93256A" w14:textId="211475D9" w:rsidR="006F2C0C" w:rsidRDefault="006F2C0C" w:rsidP="006F2C0C">
      <w:r>
        <w:t xml:space="preserve">Somatostatin analogues compete for the same receptors </w:t>
      </w:r>
      <w:r w:rsidR="00FD148B">
        <w:t>with</w:t>
      </w:r>
      <w:r>
        <w:t xml:space="preserve"> </w:t>
      </w:r>
      <w:r w:rsidR="00CE3296">
        <w:t>Lutathera</w:t>
      </w:r>
      <w:r>
        <w:t>. The sponsor recommends discontinuation of long</w:t>
      </w:r>
      <w:r w:rsidR="00FD148B">
        <w:t>-</w:t>
      </w:r>
      <w:r>
        <w:t xml:space="preserve">acting analogues </w:t>
      </w:r>
      <w:r w:rsidR="00AB2E33" w:rsidRPr="00AB2E33">
        <w:t xml:space="preserve">at least 4 weeks </w:t>
      </w:r>
      <w:r>
        <w:t xml:space="preserve">prior to </w:t>
      </w:r>
      <w:r w:rsidR="00CE3296">
        <w:t>Lutathera</w:t>
      </w:r>
      <w:r>
        <w:t xml:space="preserve"> </w:t>
      </w:r>
      <w:r w:rsidR="00AB2E33" w:rsidRPr="00AB2E33">
        <w:t>administration</w:t>
      </w:r>
      <w:r>
        <w:t xml:space="preserve">, and short acting analogues 24 hours prior to </w:t>
      </w:r>
      <w:r w:rsidR="00CE3296">
        <w:t>Lutathera</w:t>
      </w:r>
      <w:r>
        <w:t xml:space="preserve"> </w:t>
      </w:r>
      <w:r w:rsidR="00AB2E33" w:rsidRPr="00AB2E33">
        <w:t>administration</w:t>
      </w:r>
      <w:r>
        <w:t xml:space="preserve">. </w:t>
      </w:r>
    </w:p>
    <w:p w14:paraId="510F3417" w14:textId="5B5CDD8F" w:rsidR="006F2C0C" w:rsidRDefault="006F2C0C" w:rsidP="006F2C0C">
      <w:r>
        <w:t>No significant induction and no demonstrated inhibition of CYP450 enzymes, and no specific interaction with P-glycoprotein, OAT1, OAT3, OCT2, OATP1B1, OAT1B3, OCT1 or BCRP transporters was shown in preclinical studies.</w:t>
      </w:r>
    </w:p>
    <w:p w14:paraId="4F4E355D" w14:textId="62E41D2E" w:rsidR="006F2C0C" w:rsidRDefault="006F2C0C" w:rsidP="006F2C0C">
      <w:pPr>
        <w:pStyle w:val="Heading5"/>
      </w:pPr>
      <w:r>
        <w:lastRenderedPageBreak/>
        <w:t>Pharmacodynamics</w:t>
      </w:r>
    </w:p>
    <w:p w14:paraId="066216EB" w14:textId="66F15B20" w:rsidR="006F2C0C" w:rsidRDefault="006F2C0C" w:rsidP="006F2C0C">
      <w:r>
        <w:t>The mechanism of action and primary p</w:t>
      </w:r>
      <w:r w:rsidRPr="006F2C0C">
        <w:t>harmacodynamics</w:t>
      </w:r>
      <w:r>
        <w:t xml:space="preserve"> (PD) was demonstrated in nonclinical studies.</w:t>
      </w:r>
    </w:p>
    <w:p w14:paraId="4EF0CAF5" w14:textId="0F3B5DE4" w:rsidR="006F2C0C" w:rsidRDefault="006F2C0C" w:rsidP="006F2C0C">
      <w:r>
        <w:t xml:space="preserve">An ECG </w:t>
      </w:r>
      <w:proofErr w:type="spellStart"/>
      <w:r>
        <w:t>substudy</w:t>
      </w:r>
      <w:proofErr w:type="spellEnd"/>
      <w:r>
        <w:t xml:space="preserve"> within the NETTER-1 study (n=20) did not demonstrate </w:t>
      </w:r>
      <w:r w:rsidR="00AB2E33">
        <w:t>a</w:t>
      </w:r>
      <w:r>
        <w:t xml:space="preserve">n increase in QTc &gt; 20 msec for </w:t>
      </w:r>
      <w:r w:rsidR="00CE3296">
        <w:t>Lutathera</w:t>
      </w:r>
      <w:r>
        <w:t xml:space="preserve"> but mean changes &gt; 10 msec were observed with the largest change from baseline </w:t>
      </w:r>
      <w:proofErr w:type="spellStart"/>
      <w:r>
        <w:t>QTcF</w:t>
      </w:r>
      <w:proofErr w:type="spellEnd"/>
      <w:r>
        <w:t xml:space="preserve"> of 11.3 (90% CI 5.7, 16.9 msec).</w:t>
      </w:r>
    </w:p>
    <w:p w14:paraId="69572E29" w14:textId="77777777" w:rsidR="0003471D" w:rsidRPr="0003471D" w:rsidRDefault="0003471D" w:rsidP="0003471D">
      <w:pPr>
        <w:pStyle w:val="Heading4"/>
      </w:pPr>
      <w:bookmarkStart w:id="45" w:name="_Toc221611030"/>
      <w:r w:rsidRPr="0003471D">
        <w:t>Efficacy</w:t>
      </w:r>
      <w:bookmarkEnd w:id="45"/>
    </w:p>
    <w:p w14:paraId="5092CECF" w14:textId="7AC8FA64" w:rsidR="0003471D" w:rsidRPr="0003471D" w:rsidRDefault="0003471D" w:rsidP="0003471D">
      <w:r w:rsidRPr="0003471D">
        <w:t>The main study to support the proposed indication was the NETTER-1 study. The submission included a primary endpoint analysis dated in 2015 with a data lock date of 30 June 2016, and a final analysis of that study with a data lock date of 18 January 2021. Supportive data were provided from the Erasmus MC Phase I/II study.</w:t>
      </w:r>
    </w:p>
    <w:p w14:paraId="2B14B4F7" w14:textId="77777777" w:rsidR="0003471D" w:rsidRPr="0003471D" w:rsidRDefault="0003471D" w:rsidP="0003471D">
      <w:pPr>
        <w:pStyle w:val="Heading5"/>
      </w:pPr>
      <w:r w:rsidRPr="0003471D">
        <w:t>NETTER-1 study</w:t>
      </w:r>
    </w:p>
    <w:p w14:paraId="546F326F" w14:textId="0554C94D" w:rsidR="0003471D" w:rsidRPr="0003471D" w:rsidRDefault="0003471D" w:rsidP="0003471D">
      <w:r w:rsidRPr="0003471D">
        <w:t xml:space="preserve">This was a multicentre, multinational, </w:t>
      </w:r>
      <w:proofErr w:type="gramStart"/>
      <w:r w:rsidRPr="0003471D">
        <w:t>open-label</w:t>
      </w:r>
      <w:proofErr w:type="gramEnd"/>
      <w:r w:rsidRPr="0003471D">
        <w:t xml:space="preserve">, randomised, comparator controlled, parallel group Phase III study that compared </w:t>
      </w:r>
      <w:r w:rsidR="00CE3296">
        <w:t>Lutathera</w:t>
      </w:r>
      <w:r w:rsidRPr="0003471D">
        <w:t xml:space="preserve"> plus 30 mg Octreotide LAR (</w:t>
      </w:r>
      <w:proofErr w:type="gramStart"/>
      <w:r w:rsidRPr="0003471D">
        <w:t>long acting</w:t>
      </w:r>
      <w:proofErr w:type="gramEnd"/>
      <w:r w:rsidRPr="0003471D">
        <w:t xml:space="preserve"> release) with 60 mg Octreotide LAR in patients with inoperable, progressive, somatostatin receptor positive, midgut tumours.</w:t>
      </w:r>
    </w:p>
    <w:p w14:paraId="48EEA9D6" w14:textId="0B87A37D" w:rsidR="0003471D" w:rsidRPr="0003471D" w:rsidRDefault="0003471D" w:rsidP="0003471D">
      <w:r w:rsidRPr="0003471D">
        <w:t xml:space="preserve">The study commenced in 2012 and randomised the last patient in January 2016. </w:t>
      </w:r>
      <w:r w:rsidR="006E7E49" w:rsidRPr="006E7E49">
        <w:t>As of primary analysis cut-off date</w:t>
      </w:r>
      <w:r w:rsidR="006E7E49">
        <w:t>, i</w:t>
      </w:r>
      <w:r w:rsidRPr="0003471D">
        <w:t xml:space="preserve">t randomised 229 patients (116 to </w:t>
      </w:r>
      <w:r w:rsidR="00CE3296">
        <w:t>Lutathera</w:t>
      </w:r>
      <w:r w:rsidRPr="0003471D">
        <w:t xml:space="preserve"> and 113 to octreotide).</w:t>
      </w:r>
      <w:r w:rsidR="00F36A92">
        <w:t xml:space="preserve"> </w:t>
      </w:r>
      <w:r w:rsidR="00F36A92" w:rsidRPr="00F36A92">
        <w:t>Two additional patients were randomised after the primary analysis cut-off date.</w:t>
      </w:r>
      <w:r w:rsidRPr="0003471D">
        <w:t xml:space="preserve"> Randomisation was stratified by somatostatin receptor scintigraphy tumour uptake (Grade 2, 3, or 4 based on the highest uptake in any tumour), and the length of time taking octreotide prior to randomisation (≤6 months, &gt;6 months).</w:t>
      </w:r>
    </w:p>
    <w:p w14:paraId="06F64499" w14:textId="0A6E0F00" w:rsidR="0003471D" w:rsidRDefault="0003471D" w:rsidP="00C65EB4">
      <w:pPr>
        <w:pStyle w:val="FigureTitle"/>
      </w:pPr>
      <w:r w:rsidRPr="0003471D">
        <w:t>Figure</w:t>
      </w:r>
      <w:r>
        <w:t xml:space="preserve"> 2.</w:t>
      </w:r>
      <w:r w:rsidRPr="0003471D">
        <w:t xml:space="preserve"> NETTER-1 Study Schematic</w:t>
      </w:r>
    </w:p>
    <w:p w14:paraId="3FD2EFC4" w14:textId="6180359A" w:rsidR="00D31FC1" w:rsidRDefault="00D47C1D" w:rsidP="0003471D">
      <w:pPr>
        <w:rPr>
          <w:b/>
          <w:bCs/>
        </w:rPr>
      </w:pPr>
      <w:r w:rsidRPr="00D47C1D">
        <w:rPr>
          <w:b/>
          <w:bCs/>
          <w:noProof/>
        </w:rPr>
        <w:drawing>
          <wp:inline distT="0" distB="0" distL="0" distR="0" wp14:anchorId="0E95444B" wp14:editId="707C016B">
            <wp:extent cx="5759450" cy="3585845"/>
            <wp:effectExtent l="0" t="0" r="0" b="0"/>
            <wp:docPr id="49710765" name="Picture 1" descr="Figure 2. NETTER-1 Study Schemat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10765" name="Picture 1" descr="Figure 2. NETTER-1 Study Schematic"/>
                    <pic:cNvPicPr/>
                  </pic:nvPicPr>
                  <pic:blipFill>
                    <a:blip r:embed="rId25">
                      <a:extLst>
                        <a:ext uri="{BEBA8EAE-BF5A-486C-A8C5-ECC9F3942E4B}">
                          <a14:imgProps xmlns:a14="http://schemas.microsoft.com/office/drawing/2010/main">
                            <a14:imgLayer r:embed="rId26">
                              <a14:imgEffect>
                                <a14:sharpenSoften amount="25000"/>
                              </a14:imgEffect>
                              <a14:imgEffect>
                                <a14:brightnessContrast contrast="41000"/>
                              </a14:imgEffect>
                            </a14:imgLayer>
                          </a14:imgProps>
                        </a:ext>
                      </a:extLst>
                    </a:blip>
                    <a:stretch>
                      <a:fillRect/>
                    </a:stretch>
                  </pic:blipFill>
                  <pic:spPr>
                    <a:xfrm>
                      <a:off x="0" y="0"/>
                      <a:ext cx="5759450" cy="3585845"/>
                    </a:xfrm>
                    <a:prstGeom prst="rect">
                      <a:avLst/>
                    </a:prstGeom>
                  </pic:spPr>
                </pic:pic>
              </a:graphicData>
            </a:graphic>
          </wp:inline>
        </w:drawing>
      </w:r>
    </w:p>
    <w:p w14:paraId="105C3046" w14:textId="301A826E" w:rsidR="00470408" w:rsidRPr="00470408" w:rsidRDefault="00470408" w:rsidP="00470408">
      <w:r w:rsidRPr="00470408">
        <w:lastRenderedPageBreak/>
        <w:t xml:space="preserve">All patients had to have metastatic or locally advanced histologically proven, midgut carcinoid tumour (≥1 one measurable site of disease), that was not considered operable with curative intent, that </w:t>
      </w:r>
      <w:r w:rsidR="00F36A92">
        <w:t>was</w:t>
      </w:r>
      <w:r w:rsidRPr="00470408">
        <w:t xml:space="preserve"> somatostatin receptor positive by </w:t>
      </w:r>
      <w:r w:rsidR="00E32527" w:rsidRPr="00E32527">
        <w:t>scintigraphy with [</w:t>
      </w:r>
      <w:r w:rsidR="00E32527" w:rsidRPr="00E32527">
        <w:rPr>
          <w:vertAlign w:val="superscript"/>
        </w:rPr>
        <w:t>111</w:t>
      </w:r>
      <w:r w:rsidR="00E32527" w:rsidRPr="00E32527">
        <w:t>In]In-</w:t>
      </w:r>
      <w:proofErr w:type="spellStart"/>
      <w:r w:rsidR="00E32527" w:rsidRPr="00E32527">
        <w:t>pentetreotide</w:t>
      </w:r>
      <w:proofErr w:type="spellEnd"/>
      <w:r w:rsidR="00E32527" w:rsidRPr="00E32527">
        <w:t xml:space="preserve"> </w:t>
      </w:r>
      <w:r w:rsidR="00E32527">
        <w:t>(</w:t>
      </w:r>
      <w:proofErr w:type="spellStart"/>
      <w:r w:rsidRPr="00470408">
        <w:t>OctreoScan</w:t>
      </w:r>
      <w:proofErr w:type="spellEnd"/>
      <w:r w:rsidR="00E32527">
        <w:t>)</w:t>
      </w:r>
      <w:r w:rsidRPr="00470408">
        <w:t xml:space="preserve"> within 6 months of study commencement and </w:t>
      </w:r>
      <w:r w:rsidR="00E32527">
        <w:t>that had</w:t>
      </w:r>
      <w:r w:rsidRPr="00470408">
        <w:t xml:space="preserve"> a Ki67 index of ≤20%. Patients had to be aged ≥ 18 years, and if on octreotide, to be on a stable dose o</w:t>
      </w:r>
      <w:r w:rsidR="001A7294">
        <w:t>f</w:t>
      </w:r>
      <w:r w:rsidRPr="00470408">
        <w:t xml:space="preserve"> 20 mg or 30 mg every 3 to 4 weeks for at least 12 weeks prior to randomisation in the study. Tumours had to have progressed (</w:t>
      </w:r>
      <w:proofErr w:type="gramStart"/>
      <w:r w:rsidRPr="00470408">
        <w:t>pre RECIST</w:t>
      </w:r>
      <w:proofErr w:type="gramEnd"/>
      <w:r w:rsidRPr="00470408">
        <w:t xml:space="preserve"> v 1.1) while receiving fixed dose octreotide LAR. Karnofsky performance score had to be ≥60. </w:t>
      </w:r>
    </w:p>
    <w:p w14:paraId="3BB4AADF" w14:textId="2B3A9B38" w:rsidR="00470408" w:rsidRPr="00470408" w:rsidRDefault="00470408" w:rsidP="00470408">
      <w:r w:rsidRPr="00470408">
        <w:t>The main exclusion criteria were based on laboratory parameters (creatinine &gt; 150 mmol/L or creatinine clearance &lt; 50 mL/min measured/calculated by the Cockcroft Gault method; Hb &lt; 8.0 g/dL, WBC &lt;2 x 10</w:t>
      </w:r>
      <w:r w:rsidRPr="00470408">
        <w:rPr>
          <w:vertAlign w:val="superscript"/>
        </w:rPr>
        <w:t>9</w:t>
      </w:r>
      <w:r w:rsidRPr="00470408">
        <w:t>/L, platelets &lt;75 x 10</w:t>
      </w:r>
      <w:r w:rsidRPr="00470408">
        <w:rPr>
          <w:vertAlign w:val="superscript"/>
        </w:rPr>
        <w:t>9</w:t>
      </w:r>
      <w:r w:rsidRPr="00470408">
        <w:t xml:space="preserve">/L, total bilirubin &gt; 3x ULN, serum albumin ≤3 g/dL unless normal prothrombin). Patients could not have received treatment with Octreotide LAR &gt;30 mg at 3 – 4 weekly intervals within 12 weeks of randomisation or peptide receptor radionuclide therapy at any time, or unable to interrupt short acting </w:t>
      </w:r>
      <w:r w:rsidR="004A4B98" w:rsidRPr="004A4B98">
        <w:t xml:space="preserve">octreotide </w:t>
      </w:r>
      <w:r w:rsidRPr="00470408">
        <w:t xml:space="preserve">treatment for 24 h before and after the administration of </w:t>
      </w:r>
      <w:r w:rsidR="00CE3296">
        <w:t>Lutathera</w:t>
      </w:r>
      <w:r w:rsidRPr="00470408">
        <w:t xml:space="preserve">, or be receiving Octreotide LAR, which could not be interrupted for at least 6 weeks before the administration of </w:t>
      </w:r>
      <w:r w:rsidR="00CE3296">
        <w:t>Lutathera</w:t>
      </w:r>
      <w:r w:rsidRPr="00470408">
        <w:t xml:space="preserve">, unless the tumour uptake on target lesions on </w:t>
      </w:r>
      <w:proofErr w:type="spellStart"/>
      <w:r w:rsidRPr="00470408">
        <w:t>OctreoScan</w:t>
      </w:r>
      <w:proofErr w:type="spellEnd"/>
      <w:r w:rsidRPr="00470408">
        <w:t xml:space="preserve"> imaging during Octreotide LAR treatment was at least as high as normal liver uptake observed by planar </w:t>
      </w:r>
      <w:r w:rsidR="004B4381" w:rsidRPr="004B4381">
        <w:t xml:space="preserve">scintigraphy </w:t>
      </w:r>
      <w:r w:rsidRPr="00470408">
        <w:t>imaging. Patients could not have received interferons, everolimus or other systemic therapies within 4 weeks of randomisation. Brain metastases had to be treated and stabilised for at least 24 weeks prior to randomisation. Patients were also excluded if they had uncontrolled heart failure (NYHA Class II or greater), or uncontrolled diabetes mellitus.</w:t>
      </w:r>
    </w:p>
    <w:p w14:paraId="1D0C04C1" w14:textId="22DFCFCE" w:rsidR="00470408" w:rsidRPr="00470408" w:rsidRDefault="002C74FB" w:rsidP="00470408">
      <w:r w:rsidRPr="002C74FB">
        <w:t>As of primary analysis data cut-off, 229 patients</w:t>
      </w:r>
      <w:r w:rsidR="00470408" w:rsidRPr="00470408">
        <w:t xml:space="preserve"> were randomised 1:1 to one of the following treatments</w:t>
      </w:r>
      <w:r w:rsidR="00003E74">
        <w:t>:</w:t>
      </w:r>
    </w:p>
    <w:p w14:paraId="711F2E7C" w14:textId="5B2A1402" w:rsidR="00470408" w:rsidRPr="00470408" w:rsidRDefault="00470408" w:rsidP="00003E74">
      <w:pPr>
        <w:pStyle w:val="ListBullet"/>
      </w:pPr>
      <w:r w:rsidRPr="00470408">
        <w:t xml:space="preserve">Experimental arm (n=116): </w:t>
      </w:r>
    </w:p>
    <w:p w14:paraId="54474B19" w14:textId="09E6DDBA" w:rsidR="00470408" w:rsidRPr="00470408" w:rsidRDefault="00CE3296" w:rsidP="00003E74">
      <w:pPr>
        <w:pStyle w:val="ListBullet2"/>
      </w:pPr>
      <w:r>
        <w:t>Lutathera</w:t>
      </w:r>
      <w:r w:rsidR="00470408" w:rsidRPr="00470408">
        <w:t xml:space="preserve"> as 4 IV doses of 7.4 </w:t>
      </w:r>
      <w:proofErr w:type="spellStart"/>
      <w:r w:rsidR="00470408" w:rsidRPr="00470408">
        <w:t>GBq</w:t>
      </w:r>
      <w:proofErr w:type="spellEnd"/>
      <w:r w:rsidR="00470408" w:rsidRPr="00470408">
        <w:t xml:space="preserve"> administered at 8 ± </w:t>
      </w:r>
      <w:proofErr w:type="gramStart"/>
      <w:r w:rsidR="00470408" w:rsidRPr="00470408">
        <w:t>1 week</w:t>
      </w:r>
      <w:proofErr w:type="gramEnd"/>
      <w:r w:rsidR="00470408" w:rsidRPr="00470408">
        <w:t xml:space="preserve"> intervals (up to 16 </w:t>
      </w:r>
      <w:proofErr w:type="gramStart"/>
      <w:r w:rsidR="00470408" w:rsidRPr="00470408">
        <w:t>weekly</w:t>
      </w:r>
      <w:proofErr w:type="gramEnd"/>
      <w:r w:rsidR="00470408" w:rsidRPr="00470408">
        <w:t xml:space="preserve"> to allow for resolution of acute toxicity) </w:t>
      </w:r>
      <w:r w:rsidR="002C74FB">
        <w:t xml:space="preserve">and </w:t>
      </w:r>
      <w:r w:rsidR="00470408" w:rsidRPr="00470408">
        <w:t xml:space="preserve">≥ 36 g of lysine + arginine in ≤2L, and of &lt;1100 </w:t>
      </w:r>
      <w:proofErr w:type="spellStart"/>
      <w:r w:rsidR="00470408" w:rsidRPr="00470408">
        <w:t>mOsm</w:t>
      </w:r>
      <w:proofErr w:type="spellEnd"/>
      <w:r w:rsidR="00470408" w:rsidRPr="00470408">
        <w:t>/L).</w:t>
      </w:r>
    </w:p>
    <w:p w14:paraId="4E18E841" w14:textId="27209727" w:rsidR="00470408" w:rsidRPr="00470408" w:rsidRDefault="00470408" w:rsidP="00003E74">
      <w:pPr>
        <w:pStyle w:val="ListBullet2"/>
      </w:pPr>
      <w:r w:rsidRPr="00470408">
        <w:t xml:space="preserve">30 mg Octreotide LAR 24 hours after </w:t>
      </w:r>
      <w:r w:rsidR="00C32319" w:rsidRPr="00C32319">
        <w:t xml:space="preserve">Lutathera </w:t>
      </w:r>
      <w:r w:rsidRPr="00470408">
        <w:t xml:space="preserve">dosing then every 4 weeks ± 3 days, while leaving a </w:t>
      </w:r>
      <w:proofErr w:type="gramStart"/>
      <w:r w:rsidRPr="00470408">
        <w:t>6 week</w:t>
      </w:r>
      <w:proofErr w:type="gramEnd"/>
      <w:r w:rsidRPr="00470408">
        <w:t xml:space="preserve"> window between the last dose and the next </w:t>
      </w:r>
      <w:r w:rsidR="00CE3296">
        <w:t>Lutathera</w:t>
      </w:r>
      <w:r w:rsidRPr="00470408">
        <w:t xml:space="preserve"> dose</w:t>
      </w:r>
    </w:p>
    <w:p w14:paraId="2C92EE37" w14:textId="77777777" w:rsidR="00470408" w:rsidRPr="00470408" w:rsidRDefault="00470408" w:rsidP="00003E74">
      <w:pPr>
        <w:pStyle w:val="ListBullet"/>
      </w:pPr>
      <w:r w:rsidRPr="00470408">
        <w:t>Control arm (n=113):</w:t>
      </w:r>
    </w:p>
    <w:p w14:paraId="1BC97D56" w14:textId="77777777" w:rsidR="00470408" w:rsidRDefault="00470408" w:rsidP="00003E74">
      <w:pPr>
        <w:pStyle w:val="ListBullet2"/>
      </w:pPr>
      <w:r w:rsidRPr="00470408">
        <w:t>60 mg Octreotide LAR every 4 weeks ± 3 days</w:t>
      </w:r>
    </w:p>
    <w:p w14:paraId="274163D1" w14:textId="259C2FDD" w:rsidR="00C32319" w:rsidRPr="00470408" w:rsidRDefault="00C32319" w:rsidP="00C32319">
      <w:pPr>
        <w:pStyle w:val="ListBullet2"/>
        <w:numPr>
          <w:ilvl w:val="0"/>
          <w:numId w:val="0"/>
        </w:numPr>
      </w:pPr>
      <w:r w:rsidRPr="00C32319">
        <w:t>Two additional patients were randomised, one to each arm, after the primary analysis data cut-off date.</w:t>
      </w:r>
    </w:p>
    <w:p w14:paraId="1BDA1F6A" w14:textId="605C93B3" w:rsidR="00470408" w:rsidRPr="00B80C20" w:rsidRDefault="00470408" w:rsidP="00470408">
      <w:pPr>
        <w:rPr>
          <w:sz w:val="18"/>
          <w:szCs w:val="16"/>
        </w:rPr>
      </w:pPr>
      <w:r w:rsidRPr="00470408">
        <w:t xml:space="preserve">The primary endpoint was progression free survival per RECIST v1.1 as assessed by an independent review committee. Key secondary endpoints were overall response rate (ORR) and overall survival (OS). Quality of life questionnaire were included in the assessment. The study was designed for a primary analysis of </w:t>
      </w:r>
      <w:r w:rsidR="00AE7B29" w:rsidRPr="00AE7B29">
        <w:t xml:space="preserve">progression-free survival </w:t>
      </w:r>
      <w:r w:rsidR="00AE7B29">
        <w:t>(</w:t>
      </w:r>
      <w:r w:rsidRPr="00470408">
        <w:t>PFS</w:t>
      </w:r>
      <w:r w:rsidR="00AE7B29">
        <w:t>)</w:t>
      </w:r>
      <w:r w:rsidRPr="00470408">
        <w:t xml:space="preserve"> after 74 evaluable events, with a planned 5 year follow up from the date of the last randomised patients and an OS analysis after 158 OS events or 5 years after the date of randomisation or the last patient, whichever came first.</w:t>
      </w:r>
      <w:r w:rsidR="00DF7377">
        <w:t xml:space="preserve"> </w:t>
      </w:r>
      <w:r w:rsidR="00DF7377" w:rsidRPr="00DF7377">
        <w:t xml:space="preserve">NETTER-1 </w:t>
      </w:r>
      <w:r w:rsidR="00DF7377">
        <w:t>s</w:t>
      </w:r>
      <w:r w:rsidR="00DF7377" w:rsidRPr="00DF7377">
        <w:t xml:space="preserve">tudy </w:t>
      </w:r>
      <w:r w:rsidR="00DF7377">
        <w:t>p</w:t>
      </w:r>
      <w:r w:rsidR="00DF7377" w:rsidRPr="00DF7377">
        <w:t xml:space="preserve">articipant </w:t>
      </w:r>
      <w:r w:rsidR="00DF7377">
        <w:t>b</w:t>
      </w:r>
      <w:r w:rsidR="00DF7377" w:rsidRPr="00DF7377">
        <w:t xml:space="preserve">aseline </w:t>
      </w:r>
      <w:r w:rsidR="00DF7377">
        <w:t>d</w:t>
      </w:r>
      <w:r w:rsidR="00DF7377" w:rsidRPr="00DF7377">
        <w:t xml:space="preserve">emographic </w:t>
      </w:r>
      <w:r w:rsidR="00DF7377">
        <w:t>p</w:t>
      </w:r>
      <w:r w:rsidR="00DF7377" w:rsidRPr="00DF7377">
        <w:t>arameters</w:t>
      </w:r>
      <w:r w:rsidR="00DF7377">
        <w:t xml:space="preserve"> are </w:t>
      </w:r>
      <w:r w:rsidR="00621C51">
        <w:t>s</w:t>
      </w:r>
      <w:r w:rsidR="00DF7377">
        <w:t>hown in Table 4</w:t>
      </w:r>
      <w:r w:rsidR="00B80C20">
        <w:t xml:space="preserve">, </w:t>
      </w:r>
      <w:r w:rsidR="00621C51">
        <w:t>s</w:t>
      </w:r>
      <w:r w:rsidR="00621C51" w:rsidRPr="00621C51">
        <w:t xml:space="preserve">tudy </w:t>
      </w:r>
      <w:r w:rsidR="00621C51">
        <w:t>b</w:t>
      </w:r>
      <w:r w:rsidR="00621C51" w:rsidRPr="00621C51">
        <w:t xml:space="preserve">aseline </w:t>
      </w:r>
      <w:r w:rsidR="00621C51">
        <w:t>d</w:t>
      </w:r>
      <w:r w:rsidR="00621C51" w:rsidRPr="00621C51">
        <w:t xml:space="preserve">isease </w:t>
      </w:r>
      <w:r w:rsidR="00621C51">
        <w:t>c</w:t>
      </w:r>
      <w:r w:rsidR="00621C51" w:rsidRPr="00621C51">
        <w:t>haracteristics</w:t>
      </w:r>
      <w:r w:rsidR="00B80C20">
        <w:t xml:space="preserve"> in Table 5 and </w:t>
      </w:r>
      <w:r w:rsidR="00B80C20" w:rsidRPr="00B80C20">
        <w:t>study baseline neuroendocrine tumour markers</w:t>
      </w:r>
      <w:r w:rsidR="00B80C20">
        <w:t xml:space="preserve"> in Table 6. </w:t>
      </w:r>
    </w:p>
    <w:p w14:paraId="19F3F0D0" w14:textId="00175D5E" w:rsidR="00470408" w:rsidRDefault="00470408" w:rsidP="00823ECF">
      <w:pPr>
        <w:pStyle w:val="TableTitle"/>
      </w:pPr>
      <w:r w:rsidRPr="00470408">
        <w:lastRenderedPageBreak/>
        <w:t>Table</w:t>
      </w:r>
      <w:r w:rsidR="00003E74">
        <w:t xml:space="preserve"> 4.</w:t>
      </w:r>
      <w:r w:rsidRPr="00470408">
        <w:t xml:space="preserve"> NETTER-1 Study Participant Baseline Demographic Parameters</w:t>
      </w:r>
    </w:p>
    <w:p w14:paraId="618D5BB5" w14:textId="795837AC" w:rsidR="00087CBA" w:rsidRPr="00470408" w:rsidRDefault="00087CBA" w:rsidP="00470408">
      <w:pPr>
        <w:rPr>
          <w:b/>
          <w:bCs/>
        </w:rPr>
      </w:pPr>
      <w:r>
        <w:rPr>
          <w:b/>
          <w:bCs/>
          <w:noProof/>
        </w:rPr>
        <w:drawing>
          <wp:inline distT="0" distB="0" distL="0" distR="0" wp14:anchorId="43D57DD8" wp14:editId="23B65B6C">
            <wp:extent cx="4817660" cy="5628640"/>
            <wp:effectExtent l="0" t="0" r="2540" b="0"/>
            <wp:docPr id="477603564" name="Picture 3" descr="Table 4. NETTER-1 Study Participant Baseline Demographic Parame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603564" name="Picture 3" descr="Table 4. NETTER-1 Study Participant Baseline Demographic Parameters"/>
                    <pic:cNvPicPr>
                      <a:picLocks noChangeAspect="1" noChangeArrowheads="1"/>
                    </pic:cNvPicPr>
                  </pic:nvPicPr>
                  <pic:blipFill rotWithShape="1">
                    <a:blip r:embed="rId27">
                      <a:extLst>
                        <a:ext uri="{BEBA8EAE-BF5A-486C-A8C5-ECC9F3942E4B}">
                          <a14:imgProps xmlns:a14="http://schemas.microsoft.com/office/drawing/2010/main">
                            <a14:imgLayer r:embed="rId28">
                              <a14:imgEffect>
                                <a14:sharpenSoften amount="25000"/>
                              </a14:imgEffect>
                            </a14:imgLayer>
                          </a14:imgProps>
                        </a:ext>
                        <a:ext uri="{28A0092B-C50C-407E-A947-70E740481C1C}">
                          <a14:useLocalDpi xmlns:a14="http://schemas.microsoft.com/office/drawing/2010/main" val="0"/>
                        </a:ext>
                      </a:extLst>
                    </a:blip>
                    <a:srcRect l="5693" t="789" r="10521" b="17675"/>
                    <a:stretch>
                      <a:fillRect/>
                    </a:stretch>
                  </pic:blipFill>
                  <pic:spPr bwMode="auto">
                    <a:xfrm>
                      <a:off x="0" y="0"/>
                      <a:ext cx="4849855" cy="5666254"/>
                    </a:xfrm>
                    <a:prstGeom prst="rect">
                      <a:avLst/>
                    </a:prstGeom>
                    <a:noFill/>
                    <a:ln>
                      <a:noFill/>
                    </a:ln>
                    <a:extLst>
                      <a:ext uri="{53640926-AAD7-44D8-BBD7-CCE9431645EC}">
                        <a14:shadowObscured xmlns:a14="http://schemas.microsoft.com/office/drawing/2010/main"/>
                      </a:ext>
                    </a:extLst>
                  </pic:spPr>
                </pic:pic>
              </a:graphicData>
            </a:graphic>
          </wp:inline>
        </w:drawing>
      </w:r>
    </w:p>
    <w:p w14:paraId="7615AAC2" w14:textId="77777777" w:rsidR="001B6B7F" w:rsidRDefault="001B6B7F" w:rsidP="00993A28">
      <w:pPr>
        <w:pStyle w:val="TableDescription"/>
      </w:pPr>
      <w:r>
        <w:t>1. 21 patients’ race and/or ethnicity were not collected in France because of local regulations.</w:t>
      </w:r>
    </w:p>
    <w:p w14:paraId="33E65C33" w14:textId="64903D66" w:rsidR="00AD0133" w:rsidRDefault="001B6B7F" w:rsidP="00993A28">
      <w:pPr>
        <w:pStyle w:val="TableDescription"/>
      </w:pPr>
      <w:r>
        <w:t xml:space="preserve">2. Subject DEO3-001 received octreotide LAR (30 mg) only and did not receive </w:t>
      </w:r>
      <w:r w:rsidR="00CE3296">
        <w:t>Lutathera</w:t>
      </w:r>
      <w:r>
        <w:t>. This patient was reclassified with the octreotide arm for the safety analysis.</w:t>
      </w:r>
    </w:p>
    <w:p w14:paraId="5D64714D" w14:textId="4F0E9A5C" w:rsidR="00BC79CB" w:rsidRPr="0003471D" w:rsidRDefault="00C860E3" w:rsidP="00C860E3">
      <w:pPr>
        <w:pStyle w:val="TableTitle"/>
      </w:pPr>
      <w:r w:rsidRPr="00C860E3">
        <w:lastRenderedPageBreak/>
        <w:t>Table</w:t>
      </w:r>
      <w:r>
        <w:t xml:space="preserve"> </w:t>
      </w:r>
      <w:r w:rsidR="00B80C20">
        <w:t>5</w:t>
      </w:r>
      <w:r>
        <w:t>.</w:t>
      </w:r>
      <w:r w:rsidRPr="00C860E3">
        <w:t xml:space="preserve"> NETTER-1 Study Baseline Disease Characteristics</w:t>
      </w:r>
    </w:p>
    <w:p w14:paraId="0FDE9718" w14:textId="3F2BE5C2" w:rsidR="0003471D" w:rsidRDefault="00BC79CB" w:rsidP="006F2C0C">
      <w:r>
        <w:rPr>
          <w:noProof/>
        </w:rPr>
        <w:drawing>
          <wp:inline distT="0" distB="0" distL="0" distR="0" wp14:anchorId="1ED9E88E" wp14:editId="66BC166C">
            <wp:extent cx="3957851" cy="5420360"/>
            <wp:effectExtent l="0" t="0" r="5080" b="0"/>
            <wp:docPr id="1340916463" name="Picture 4" descr="Table 5. NETTER-1 Study Baseline Disease Characterist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0916463" name="Picture 4" descr="Table 5. NETTER-1 Study Baseline Disease Characteristics"/>
                    <pic:cNvPicPr>
                      <a:picLocks noChangeAspect="1" noChangeArrowheads="1"/>
                    </pic:cNvPicPr>
                  </pic:nvPicPr>
                  <pic:blipFill rotWithShape="1">
                    <a:blip r:embed="rId29">
                      <a:extLst>
                        <a:ext uri="{BEBA8EAE-BF5A-486C-A8C5-ECC9F3942E4B}">
                          <a14:imgProps xmlns:a14="http://schemas.microsoft.com/office/drawing/2010/main">
                            <a14:imgLayer r:embed="rId30">
                              <a14:imgEffect>
                                <a14:sharpenSoften amount="25000"/>
                              </a14:imgEffect>
                            </a14:imgLayer>
                          </a14:imgProps>
                        </a:ext>
                        <a:ext uri="{28A0092B-C50C-407E-A947-70E740481C1C}">
                          <a14:useLocalDpi xmlns:a14="http://schemas.microsoft.com/office/drawing/2010/main" val="0"/>
                        </a:ext>
                      </a:extLst>
                    </a:blip>
                    <a:srcRect l="4752" t="611" r="9720" b="10772"/>
                    <a:stretch>
                      <a:fillRect/>
                    </a:stretch>
                  </pic:blipFill>
                  <pic:spPr bwMode="auto">
                    <a:xfrm>
                      <a:off x="0" y="0"/>
                      <a:ext cx="3960153" cy="5423513"/>
                    </a:xfrm>
                    <a:prstGeom prst="rect">
                      <a:avLst/>
                    </a:prstGeom>
                    <a:noFill/>
                    <a:ln>
                      <a:noFill/>
                    </a:ln>
                    <a:extLst>
                      <a:ext uri="{53640926-AAD7-44D8-BBD7-CCE9431645EC}">
                        <a14:shadowObscured xmlns:a14="http://schemas.microsoft.com/office/drawing/2010/main"/>
                      </a:ext>
                    </a:extLst>
                  </pic:spPr>
                </pic:pic>
              </a:graphicData>
            </a:graphic>
          </wp:inline>
        </w:drawing>
      </w:r>
    </w:p>
    <w:p w14:paraId="47A2FB77" w14:textId="632D0379" w:rsidR="00375096" w:rsidRDefault="00375096" w:rsidP="006F2C0C">
      <w:r w:rsidRPr="00375096">
        <w:t xml:space="preserve">Most patients (around 74%) had been on a constant octreotide dose. By highest </w:t>
      </w:r>
      <w:proofErr w:type="spellStart"/>
      <w:r w:rsidRPr="00375096">
        <w:t>OctreoScan</w:t>
      </w:r>
      <w:proofErr w:type="spellEnd"/>
      <w:r w:rsidRPr="00375096">
        <w:t xml:space="preserve"> tumour uptake score most patients in each group had Grade 4 tumours (around 58%, around 39% Grade 3 and around 13% Grade 4).</w:t>
      </w:r>
    </w:p>
    <w:p w14:paraId="2778F19A" w14:textId="29D1097C" w:rsidR="00020302" w:rsidRDefault="00020302" w:rsidP="00020302">
      <w:pPr>
        <w:pStyle w:val="TableTitle"/>
      </w:pPr>
      <w:r w:rsidRPr="00020302">
        <w:lastRenderedPageBreak/>
        <w:t xml:space="preserve">Table </w:t>
      </w:r>
      <w:r w:rsidR="00B80C20">
        <w:t>6</w:t>
      </w:r>
      <w:r>
        <w:t xml:space="preserve">. </w:t>
      </w:r>
      <w:r w:rsidRPr="00020302">
        <w:t>NETTER-1 Study Baseline Neuroendocrine Tumour Markers</w:t>
      </w:r>
    </w:p>
    <w:p w14:paraId="67395A17" w14:textId="1E421773" w:rsidR="005C031B" w:rsidRDefault="005C031B" w:rsidP="00220736">
      <w:r>
        <w:rPr>
          <w:noProof/>
        </w:rPr>
        <w:drawing>
          <wp:inline distT="0" distB="0" distL="0" distR="0" wp14:anchorId="688A4A40" wp14:editId="01155358">
            <wp:extent cx="4142096" cy="4232264"/>
            <wp:effectExtent l="0" t="0" r="0" b="0"/>
            <wp:docPr id="1674087551" name="Picture 12" descr="Table 6. NETTER-1 Study Baseline Neuroendocrine Tumour Mark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4087551" name="Picture 12" descr="Table 6. NETTER-1 Study Baseline Neuroendocrine Tumour Markers"/>
                    <pic:cNvPicPr>
                      <a:picLocks noChangeAspect="1"/>
                    </pic:cNvPicPr>
                  </pic:nvPicPr>
                  <pic:blipFill rotWithShape="1">
                    <a:blip r:embed="rId31">
                      <a:extLst>
                        <a:ext uri="{BEBA8EAE-BF5A-486C-A8C5-ECC9F3942E4B}">
                          <a14:imgProps xmlns:a14="http://schemas.microsoft.com/office/drawing/2010/main">
                            <a14:imgLayer r:embed="rId32">
                              <a14:imgEffect>
                                <a14:sharpenSoften amount="25000"/>
                              </a14:imgEffect>
                            </a14:imgLayer>
                          </a14:imgProps>
                        </a:ext>
                        <a:ext uri="{28A0092B-C50C-407E-A947-70E740481C1C}">
                          <a14:useLocalDpi xmlns:a14="http://schemas.microsoft.com/office/drawing/2010/main" val="0"/>
                        </a:ext>
                      </a:extLst>
                    </a:blip>
                    <a:srcRect l="10919" t="1529" r="11916" b="15890"/>
                    <a:stretch>
                      <a:fillRect/>
                    </a:stretch>
                  </pic:blipFill>
                  <pic:spPr bwMode="auto">
                    <a:xfrm>
                      <a:off x="0" y="0"/>
                      <a:ext cx="4147448" cy="4237732"/>
                    </a:xfrm>
                    <a:prstGeom prst="rect">
                      <a:avLst/>
                    </a:prstGeom>
                    <a:ln>
                      <a:noFill/>
                    </a:ln>
                    <a:extLst>
                      <a:ext uri="{53640926-AAD7-44D8-BBD7-CCE9431645EC}">
                        <a14:shadowObscured xmlns:a14="http://schemas.microsoft.com/office/drawing/2010/main"/>
                      </a:ext>
                    </a:extLst>
                  </pic:spPr>
                </pic:pic>
              </a:graphicData>
            </a:graphic>
          </wp:inline>
        </w:drawing>
      </w:r>
    </w:p>
    <w:p w14:paraId="6949AEEF" w14:textId="2405A4FE" w:rsidR="007C0AE2" w:rsidRDefault="007C0AE2" w:rsidP="007C0AE2">
      <w:r>
        <w:t xml:space="preserve">Disease progression was the most common reason for treatment discontinuation (16% vs 57%) in the </w:t>
      </w:r>
      <w:r w:rsidR="00CE3296">
        <w:t>Lutathera</w:t>
      </w:r>
      <w:r w:rsidR="001D1979">
        <w:t xml:space="preserve"> </w:t>
      </w:r>
      <w:r w:rsidR="001D1979" w:rsidRPr="001D1979">
        <w:t xml:space="preserve">and Octreotide LAR </w:t>
      </w:r>
      <w:r>
        <w:t>arm</w:t>
      </w:r>
      <w:r w:rsidR="001D1979">
        <w:t>s</w:t>
      </w:r>
      <w:r w:rsidR="00171038">
        <w:t>, respectively</w:t>
      </w:r>
      <w:r>
        <w:t xml:space="preserve">. </w:t>
      </w:r>
      <w:r w:rsidR="00171038">
        <w:t>More pat</w:t>
      </w:r>
      <w:r w:rsidR="004B35A9">
        <w:t>ients</w:t>
      </w:r>
      <w:r>
        <w:t xml:space="preserve"> on the </w:t>
      </w:r>
      <w:r w:rsidR="00CE3296">
        <w:t>Lutathera</w:t>
      </w:r>
      <w:r>
        <w:t xml:space="preserve"> arm completed treatment (40% vs 10%). The two study arms were generally comparable in the other reasons.</w:t>
      </w:r>
    </w:p>
    <w:p w14:paraId="4AC8F9D7" w14:textId="49D442A5" w:rsidR="007C0AE2" w:rsidRDefault="007C0AE2" w:rsidP="007C0AE2">
      <w:r>
        <w:t>Major protocol violations occurred in around 48 (23%) of patients, with similar proportions in each arm</w:t>
      </w:r>
      <w:r w:rsidR="00B80C20">
        <w:t xml:space="preserve"> (Table 7)</w:t>
      </w:r>
      <w:r>
        <w:t>.</w:t>
      </w:r>
    </w:p>
    <w:p w14:paraId="303488F1" w14:textId="75CE65C8" w:rsidR="005C031B" w:rsidRDefault="007C0AE2" w:rsidP="007C0AE2">
      <w:pPr>
        <w:pStyle w:val="TableTitle"/>
      </w:pPr>
      <w:r>
        <w:t xml:space="preserve">Table </w:t>
      </w:r>
      <w:r w:rsidR="00B80C20">
        <w:t>7</w:t>
      </w:r>
      <w:r>
        <w:t>. NETTER-1 Study Major Protocol Violations</w:t>
      </w:r>
    </w:p>
    <w:p w14:paraId="65FDA4E0" w14:textId="0A0C8636" w:rsidR="00543139" w:rsidRDefault="00543139" w:rsidP="00220736">
      <w:r>
        <w:rPr>
          <w:noProof/>
        </w:rPr>
        <w:drawing>
          <wp:inline distT="0" distB="0" distL="0" distR="0" wp14:anchorId="1D858A1B" wp14:editId="76EE0F62">
            <wp:extent cx="4544705" cy="1278890"/>
            <wp:effectExtent l="0" t="0" r="8255" b="0"/>
            <wp:docPr id="2029825706" name="Picture 8" descr="Table 7. NETTER-1 Study Major Protocol Viol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9825706" name="Picture 8" descr="Table 7. NETTER-1 Study Major Protocol Violations"/>
                    <pic:cNvPicPr>
                      <a:picLocks noChangeAspect="1"/>
                    </pic:cNvPicPr>
                  </pic:nvPicPr>
                  <pic:blipFill rotWithShape="1">
                    <a:blip r:embed="rId33">
                      <a:extLst>
                        <a:ext uri="{BEBA8EAE-BF5A-486C-A8C5-ECC9F3942E4B}">
                          <a14:imgProps xmlns:a14="http://schemas.microsoft.com/office/drawing/2010/main">
                            <a14:imgLayer r:embed="rId34">
                              <a14:imgEffect>
                                <a14:sharpenSoften amount="25000"/>
                              </a14:imgEffect>
                            </a14:imgLayer>
                          </a14:imgProps>
                        </a:ext>
                        <a:ext uri="{28A0092B-C50C-407E-A947-70E740481C1C}">
                          <a14:useLocalDpi xmlns:a14="http://schemas.microsoft.com/office/drawing/2010/main" val="0"/>
                        </a:ext>
                      </a:extLst>
                    </a:blip>
                    <a:srcRect l="4344" r="7474" b="15455"/>
                    <a:stretch>
                      <a:fillRect/>
                    </a:stretch>
                  </pic:blipFill>
                  <pic:spPr bwMode="auto">
                    <a:xfrm>
                      <a:off x="0" y="0"/>
                      <a:ext cx="4568692" cy="1285640"/>
                    </a:xfrm>
                    <a:prstGeom prst="rect">
                      <a:avLst/>
                    </a:prstGeom>
                    <a:ln>
                      <a:noFill/>
                    </a:ln>
                    <a:extLst>
                      <a:ext uri="{53640926-AAD7-44D8-BBD7-CCE9431645EC}">
                        <a14:shadowObscured xmlns:a14="http://schemas.microsoft.com/office/drawing/2010/main"/>
                      </a:ext>
                    </a:extLst>
                  </pic:spPr>
                </pic:pic>
              </a:graphicData>
            </a:graphic>
          </wp:inline>
        </w:drawing>
      </w:r>
    </w:p>
    <w:p w14:paraId="7875D780" w14:textId="276D4B7B" w:rsidR="00543139" w:rsidRDefault="00BE6785" w:rsidP="00013984">
      <w:pPr>
        <w:pStyle w:val="Heading6"/>
      </w:pPr>
      <w:r w:rsidRPr="00BE6785">
        <w:t xml:space="preserve">Primary endpoint </w:t>
      </w:r>
      <w:r w:rsidR="00013984">
        <w:t xml:space="preserve">– </w:t>
      </w:r>
      <w:r w:rsidRPr="00BE6785">
        <w:t>P</w:t>
      </w:r>
      <w:r w:rsidR="00013984">
        <w:t xml:space="preserve">rogression-free </w:t>
      </w:r>
      <w:r w:rsidR="00220736">
        <w:t>s</w:t>
      </w:r>
      <w:r w:rsidR="00013984">
        <w:t>urvival</w:t>
      </w:r>
    </w:p>
    <w:p w14:paraId="7AD9138B" w14:textId="7FEDC2A3" w:rsidR="00013984" w:rsidRDefault="00013984" w:rsidP="00013984">
      <w:r>
        <w:t xml:space="preserve">A statistically significant PFS benefit was demonstrated for the </w:t>
      </w:r>
      <w:r w:rsidR="00CE3296">
        <w:t>Lutathera</w:t>
      </w:r>
      <w:r>
        <w:t xml:space="preserve"> group compared with the Octreotide LAR group</w:t>
      </w:r>
      <w:r w:rsidR="008A2ECD">
        <w:t xml:space="preserve"> (Table 8)</w:t>
      </w:r>
      <w:r>
        <w:t xml:space="preserve">. </w:t>
      </w:r>
    </w:p>
    <w:p w14:paraId="5557CE9A" w14:textId="15662C9A" w:rsidR="00013984" w:rsidRDefault="00013984" w:rsidP="00013984">
      <w:pPr>
        <w:pStyle w:val="TableTitle"/>
      </w:pPr>
      <w:r>
        <w:lastRenderedPageBreak/>
        <w:t xml:space="preserve">Table </w:t>
      </w:r>
      <w:r w:rsidR="00B80C20">
        <w:t>8</w:t>
      </w:r>
      <w:r>
        <w:t>. NETTER-1 Study Primary Analysis Progression Free Survival – Sponsor analysis.</w:t>
      </w:r>
    </w:p>
    <w:p w14:paraId="02DB158D" w14:textId="70A2127E" w:rsidR="00013984" w:rsidRDefault="00DA73D7" w:rsidP="00220736">
      <w:r>
        <w:rPr>
          <w:noProof/>
        </w:rPr>
        <w:drawing>
          <wp:inline distT="0" distB="0" distL="0" distR="0" wp14:anchorId="54702C0D" wp14:editId="6302CECB">
            <wp:extent cx="5279390" cy="2247900"/>
            <wp:effectExtent l="0" t="0" r="0" b="0"/>
            <wp:docPr id="1355946591" name="Picture 5" descr="Table 8. NETTER-1 Study Primary Analysis Progression Free Survival – Sponsor ana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946591" name="Picture 5" descr="Table 8. NETTER-1 Study Primary Analysis Progression Free Survival – Sponsor analysis."/>
                    <pic:cNvPicPr>
                      <a:picLocks noChangeAspect="1" noChangeArrowheads="1"/>
                    </pic:cNvPicPr>
                  </pic:nvPicPr>
                  <pic:blipFill>
                    <a:blip r:embed="rId35">
                      <a:extLst>
                        <a:ext uri="{BEBA8EAE-BF5A-486C-A8C5-ECC9F3942E4B}">
                          <a14:imgProps xmlns:a14="http://schemas.microsoft.com/office/drawing/2010/main">
                            <a14:imgLayer r:embed="rId36">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279390" cy="2247900"/>
                    </a:xfrm>
                    <a:prstGeom prst="rect">
                      <a:avLst/>
                    </a:prstGeom>
                    <a:noFill/>
                  </pic:spPr>
                </pic:pic>
              </a:graphicData>
            </a:graphic>
          </wp:inline>
        </w:drawing>
      </w:r>
    </w:p>
    <w:p w14:paraId="118796D9" w14:textId="4BC9C283" w:rsidR="00DA73D7" w:rsidRDefault="00770325" w:rsidP="00770325">
      <w:r w:rsidRPr="00770325">
        <w:t xml:space="preserve">The FDA repeated the analysis using an assessment of PFS events regardless of whether the patient had missing scheduled visit, treatment discontinuation for toxicity or new anticancer treatment started without progression. The median PFS was not reached for the </w:t>
      </w:r>
      <w:r w:rsidR="00CE3296">
        <w:t>Lutathera</w:t>
      </w:r>
      <w:r w:rsidRPr="00770325">
        <w:t xml:space="preserve"> arm and was 8.5 months (95% CI: 6.0,9.1) for the octreotide arm. The unstratified HR was reported as 0.21 (95% CI: 0.13, 0.32) for </w:t>
      </w:r>
      <w:r w:rsidR="00CE3296">
        <w:t>Lutathera</w:t>
      </w:r>
      <w:r w:rsidRPr="00770325">
        <w:t xml:space="preserve"> vs Octreotide. Additional sensitivity analyses confirmed a benefit of similar magnitude.</w:t>
      </w:r>
    </w:p>
    <w:p w14:paraId="759F3A9B" w14:textId="11B4450D" w:rsidR="00AA44D4" w:rsidRDefault="00AA44D4" w:rsidP="00AA44D4">
      <w:pPr>
        <w:pStyle w:val="FigureTitle"/>
      </w:pPr>
      <w:r>
        <w:t xml:space="preserve">Figure </w:t>
      </w:r>
      <w:r w:rsidR="001676D2">
        <w:t>3</w:t>
      </w:r>
      <w:r>
        <w:t xml:space="preserve">. </w:t>
      </w:r>
      <w:r w:rsidRPr="00AA44D4">
        <w:t>NETTER-1 Progression Free Survival (PFS) - Kaplan-Meier graph (FAS).</w:t>
      </w:r>
    </w:p>
    <w:p w14:paraId="786B54CB" w14:textId="7BF7F845" w:rsidR="00770325" w:rsidRDefault="001A328D" w:rsidP="00770325">
      <w:r>
        <w:rPr>
          <w:noProof/>
        </w:rPr>
        <w:drawing>
          <wp:inline distT="0" distB="0" distL="0" distR="0" wp14:anchorId="7FE4498A" wp14:editId="30EF6F88">
            <wp:extent cx="5670410" cy="3098042"/>
            <wp:effectExtent l="0" t="0" r="6985" b="7620"/>
            <wp:docPr id="1535182468" name="Picture 6" descr="Figure 3. NETTER-1 Progression Free Survival (PFS) - Kaplan-Meier graph (F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182468" name="Picture 6" descr="Figure 3. NETTER-1 Progression Free Survival (PFS) - Kaplan-Meier graph (FAS)."/>
                    <pic:cNvPicPr>
                      <a:picLocks noChangeAspect="1" noChangeArrowheads="1"/>
                    </pic:cNvPicPr>
                  </pic:nvPicPr>
                  <pic:blipFill>
                    <a:blip r:embed="rId37" cstate="print">
                      <a:extLst>
                        <a:ext uri="{BEBA8EAE-BF5A-486C-A8C5-ECC9F3942E4B}">
                          <a14:imgProps xmlns:a14="http://schemas.microsoft.com/office/drawing/2010/main">
                            <a14:imgLayer r:embed="rId38">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699612" cy="3113997"/>
                    </a:xfrm>
                    <a:prstGeom prst="rect">
                      <a:avLst/>
                    </a:prstGeom>
                    <a:noFill/>
                  </pic:spPr>
                </pic:pic>
              </a:graphicData>
            </a:graphic>
          </wp:inline>
        </w:drawing>
      </w:r>
    </w:p>
    <w:p w14:paraId="6A898FCA" w14:textId="4EF349A1" w:rsidR="004F68DB" w:rsidRPr="004F68DB" w:rsidRDefault="004F68DB" w:rsidP="004F68DB">
      <w:r w:rsidRPr="004F68DB">
        <w:t>The K</w:t>
      </w:r>
      <w:r w:rsidR="00AA1BA8">
        <w:t>aplan-Meier (KM)</w:t>
      </w:r>
      <w:r w:rsidRPr="004F68DB">
        <w:t xml:space="preserve"> curves separate early, and the slope of the curves differ throughout their trajectory.</w:t>
      </w:r>
    </w:p>
    <w:p w14:paraId="3A5E3211" w14:textId="757B4E07" w:rsidR="004F68DB" w:rsidRPr="004F68DB" w:rsidRDefault="004F68DB" w:rsidP="004F68DB">
      <w:pPr>
        <w:pStyle w:val="Heading6"/>
      </w:pPr>
      <w:r w:rsidRPr="004F68DB">
        <w:t xml:space="preserve">Key </w:t>
      </w:r>
      <w:r w:rsidR="00220736" w:rsidRPr="004F68DB">
        <w:t>secondary endpoint overall response rate</w:t>
      </w:r>
    </w:p>
    <w:p w14:paraId="4AB38F6A" w14:textId="78BAF6BB" w:rsidR="004F68DB" w:rsidRPr="004F68DB" w:rsidRDefault="004F68DB" w:rsidP="004F68DB">
      <w:r w:rsidRPr="004F68DB">
        <w:t>O</w:t>
      </w:r>
      <w:r>
        <w:t>verall Response Rate</w:t>
      </w:r>
      <w:r w:rsidR="00AF6D3C">
        <w:t xml:space="preserve"> (ORR)</w:t>
      </w:r>
      <w:r>
        <w:t xml:space="preserve"> </w:t>
      </w:r>
      <w:r w:rsidRPr="004F68DB">
        <w:t xml:space="preserve">was 12.9% in the </w:t>
      </w:r>
      <w:r w:rsidR="00CE3296">
        <w:t>Lutathera</w:t>
      </w:r>
      <w:r w:rsidRPr="004F68DB">
        <w:t xml:space="preserve"> group and 3.5% in the Octreotide LAR group.</w:t>
      </w:r>
    </w:p>
    <w:p w14:paraId="6591BC28" w14:textId="77777777" w:rsidR="004F68DB" w:rsidRPr="004F68DB" w:rsidRDefault="004F68DB" w:rsidP="004F68DB">
      <w:r w:rsidRPr="004F68DB">
        <w:t>Complete responses were reported for 0.9% and 0%, respectively, and Partial responses were reported in 12.1% and 3.5%, respectively. The comparison reached statistical significance (p=0.0148).</w:t>
      </w:r>
    </w:p>
    <w:p w14:paraId="22EC44E4" w14:textId="77777777" w:rsidR="004F68DB" w:rsidRPr="004F68DB" w:rsidRDefault="004F68DB" w:rsidP="004F68DB"/>
    <w:p w14:paraId="0957C304" w14:textId="79DFF442" w:rsidR="004F68DB" w:rsidRPr="004F68DB" w:rsidRDefault="004F68DB" w:rsidP="00831967">
      <w:pPr>
        <w:pStyle w:val="Heading6"/>
      </w:pPr>
      <w:r w:rsidRPr="004F68DB">
        <w:t xml:space="preserve">Key </w:t>
      </w:r>
      <w:r w:rsidR="00220736" w:rsidRPr="004F68DB">
        <w:t>secondary endpoint overall survival</w:t>
      </w:r>
    </w:p>
    <w:p w14:paraId="06E12176" w14:textId="08D2058F" w:rsidR="004F68DB" w:rsidRDefault="004F68DB" w:rsidP="00220736">
      <w:pPr>
        <w:pStyle w:val="TableTitle"/>
      </w:pPr>
      <w:r w:rsidRPr="004F68DB">
        <w:t xml:space="preserve">Table </w:t>
      </w:r>
      <w:r w:rsidR="003E4A1C">
        <w:t>9</w:t>
      </w:r>
      <w:r w:rsidR="00C70696">
        <w:t>.</w:t>
      </w:r>
      <w:r w:rsidRPr="004F68DB">
        <w:t xml:space="preserve"> NETTER-1 Study Overall Survival at Primary Analysis and at 2016 Data Cut</w:t>
      </w:r>
    </w:p>
    <w:p w14:paraId="2EB0EC34" w14:textId="54624C33" w:rsidR="00C70696" w:rsidRPr="004F68DB" w:rsidRDefault="00C70696" w:rsidP="004F68DB">
      <w:pPr>
        <w:rPr>
          <w:b/>
          <w:bCs/>
        </w:rPr>
      </w:pPr>
      <w:r>
        <w:rPr>
          <w:noProof/>
        </w:rPr>
        <w:drawing>
          <wp:inline distT="0" distB="0" distL="0" distR="0" wp14:anchorId="5A121B0A" wp14:editId="5294B490">
            <wp:extent cx="5324475" cy="1714500"/>
            <wp:effectExtent l="0" t="0" r="9525" b="0"/>
            <wp:docPr id="123409661" name="Picture 10" descr="Table 9. NETTER-1 Study Overall Survival at Primary Analysis and at 2016 Data C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09661" name="Picture 10" descr="Table 9. NETTER-1 Study Overall Survival at Primary Analysis and at 2016 Data Cut"/>
                    <pic:cNvPicPr>
                      <a:picLocks noChangeAspect="1"/>
                    </pic:cNvPicPr>
                  </pic:nvPicPr>
                  <pic:blipFill>
                    <a:blip r:embed="rId39">
                      <a:extLst>
                        <a:ext uri="{BEBA8EAE-BF5A-486C-A8C5-ECC9F3942E4B}">
                          <a14:imgProps xmlns:a14="http://schemas.microsoft.com/office/drawing/2010/main">
                            <a14:imgLayer r:embed="rId40">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5324475" cy="1714500"/>
                    </a:xfrm>
                    <a:prstGeom prst="rect">
                      <a:avLst/>
                    </a:prstGeom>
                  </pic:spPr>
                </pic:pic>
              </a:graphicData>
            </a:graphic>
          </wp:inline>
        </w:drawing>
      </w:r>
    </w:p>
    <w:p w14:paraId="0DF70878" w14:textId="77777777" w:rsidR="00817703" w:rsidRPr="00817703" w:rsidRDefault="00817703" w:rsidP="00817703">
      <w:r w:rsidRPr="00817703">
        <w:t>By baseline characteristic all subgroups demonstrated a similar benefit.</w:t>
      </w:r>
    </w:p>
    <w:p w14:paraId="590C890F" w14:textId="30FD3798" w:rsidR="00817703" w:rsidRPr="00817703" w:rsidRDefault="00817703" w:rsidP="00817703">
      <w:r w:rsidRPr="00817703">
        <w:t xml:space="preserve">The submission includes data from the final analysis with a data lock of 18 January 2021. In the final study analysis, at least one subsequent treatment was received by 61.5% of the </w:t>
      </w:r>
      <w:r w:rsidR="00CE3296">
        <w:t>Lutathera</w:t>
      </w:r>
      <w:r w:rsidRPr="00817703">
        <w:t xml:space="preserve"> group and 64.9% of the Octreotide group, including 37.7% of the Octreotide group that were treated with a therapeutic radiopharmaceutical. Cumulatively 22.8%, 30.7%, 34.2% and 34.2% within 24 months, 36 months, 48 months, and </w:t>
      </w:r>
      <w:r w:rsidR="00632BEA">
        <w:t>60</w:t>
      </w:r>
      <w:r w:rsidRPr="00817703">
        <w:t xml:space="preserve"> months, respectively. </w:t>
      </w:r>
    </w:p>
    <w:p w14:paraId="50F2D765" w14:textId="1FA4C9A5" w:rsidR="00817703" w:rsidRPr="00817703" w:rsidRDefault="00817703" w:rsidP="00817703">
      <w:pPr>
        <w:rPr>
          <w:iCs/>
        </w:rPr>
      </w:pPr>
      <w:r w:rsidRPr="00817703">
        <w:t xml:space="preserve">At the final analysis, and after a median follow up of 76.3 months in the </w:t>
      </w:r>
      <w:r w:rsidR="00CE3296">
        <w:t>Lutathera</w:t>
      </w:r>
      <w:r w:rsidRPr="00817703">
        <w:t xml:space="preserve"> group and a median of 76.5 months in the Octreotide group, 20.5% of the </w:t>
      </w:r>
      <w:r w:rsidR="00CE3296">
        <w:t>Lutathera</w:t>
      </w:r>
      <w:r w:rsidRPr="00817703">
        <w:t xml:space="preserve"> group and 16.7% of the Octreotide group had died. Median OS in </w:t>
      </w:r>
      <w:r w:rsidR="00CE3296">
        <w:t>Lutathera</w:t>
      </w:r>
      <w:r w:rsidRPr="00817703">
        <w:t xml:space="preserve"> group was 48 months (95%CI: 37.4, 55.2) vs. (36.3 months; 95%CI: 25.9, 51.7) in the Octreotide LAR group.  </w:t>
      </w:r>
      <w:r w:rsidRPr="00817703">
        <w:rPr>
          <w:iCs/>
        </w:rPr>
        <w:t xml:space="preserve">In the final analysis the unstratified OS HR was 0.84 (95% CI: 0.6, 1.17). Analysis using restricted mean survival time (RMST) analysis, rank-preserving structural failure time (RPSFT) and inverse probability of censoring weights (IPCW) all have an estimate of benefit tending to favour </w:t>
      </w:r>
      <w:r w:rsidR="00CE3296">
        <w:t>Lutathera</w:t>
      </w:r>
      <w:r w:rsidRPr="00817703">
        <w:rPr>
          <w:iCs/>
        </w:rPr>
        <w:t>.</w:t>
      </w:r>
    </w:p>
    <w:p w14:paraId="0F3E1A75" w14:textId="31F731CB" w:rsidR="00817703" w:rsidRPr="00817703" w:rsidRDefault="00817703" w:rsidP="00817703">
      <w:pPr>
        <w:rPr>
          <w:b/>
          <w:bCs/>
        </w:rPr>
      </w:pPr>
      <w:r w:rsidRPr="00817703">
        <w:t xml:space="preserve">In the </w:t>
      </w:r>
      <w:r w:rsidR="00CE3296">
        <w:t>Lutathera</w:t>
      </w:r>
      <w:r w:rsidRPr="00817703">
        <w:t xml:space="preserve"> group 52.1% had a second progression or died, as did 56.1 of the Octreotide LAR group. The median PFS2 for </w:t>
      </w:r>
      <w:r w:rsidR="00CE3296">
        <w:t>Lutathera</w:t>
      </w:r>
      <w:r w:rsidRPr="00817703">
        <w:t xml:space="preserve"> vs Octreotide was 45.0 months (95% CI: 39.6, 50.4) vs. 23.2 months (95% CI: 18.5, 28.4); unstratified HR 0.42 (95% CI: 0.29, 0.60; p &lt;0.0001).</w:t>
      </w:r>
    </w:p>
    <w:p w14:paraId="5C89A908" w14:textId="77777777" w:rsidR="00817703" w:rsidRPr="00817703" w:rsidRDefault="00817703" w:rsidP="00817703">
      <w:pPr>
        <w:pStyle w:val="Heading5"/>
      </w:pPr>
      <w:r w:rsidRPr="00817703">
        <w:t>ERASMUS MC study</w:t>
      </w:r>
    </w:p>
    <w:p w14:paraId="28269065" w14:textId="2EC37D05" w:rsidR="00817703" w:rsidRPr="00817703" w:rsidRDefault="00817703" w:rsidP="00817703">
      <w:r w:rsidRPr="00817703">
        <w:t xml:space="preserve">This study provided supportive data for the use of </w:t>
      </w:r>
      <w:r w:rsidR="00CE3296">
        <w:t>Lutathera</w:t>
      </w:r>
      <w:r w:rsidRPr="00817703">
        <w:t xml:space="preserve"> in midgut NETs and provided evidence to support use in pancreatic NETs and foregut and hindgut tumours.</w:t>
      </w:r>
    </w:p>
    <w:p w14:paraId="6A7E2929" w14:textId="034CEDEF" w:rsidR="00817703" w:rsidRPr="00817703" w:rsidRDefault="00817703" w:rsidP="00817703">
      <w:r w:rsidRPr="00817703">
        <w:t xml:space="preserve">The </w:t>
      </w:r>
      <w:r w:rsidR="00632BEA" w:rsidRPr="00632BEA">
        <w:t xml:space="preserve">ERASMUS </w:t>
      </w:r>
      <w:r w:rsidRPr="00817703">
        <w:t xml:space="preserve">MC study was a Phase I/II single arm, Phase I/II study designed to determine treatment efficacy (ORR and duration of responsory (DOR)), safety, QoL and to evaluate time to event endpoints of PFS, time to progression and OS. A biodistribution and dosimetry </w:t>
      </w:r>
      <w:proofErr w:type="spellStart"/>
      <w:r w:rsidRPr="00817703">
        <w:t>substudy</w:t>
      </w:r>
      <w:proofErr w:type="spellEnd"/>
      <w:r w:rsidRPr="00817703">
        <w:t xml:space="preserve"> conducted at the commencement of the trial evaluated the renal protective effect of coadministration of an amino acid infusion and provided a first estimate of the maximum safe dose of </w:t>
      </w:r>
      <w:r w:rsidR="00CE3296">
        <w:t>Lutathera</w:t>
      </w:r>
      <w:r w:rsidRPr="00817703">
        <w:t xml:space="preserve">. This was followed by an ascending dose study. Subsequently, treatment in this study and the NETTER-1 study was standardised to a regimen of a total of 29.6 </w:t>
      </w:r>
      <w:proofErr w:type="spellStart"/>
      <w:r w:rsidRPr="00817703">
        <w:t>GBq</w:t>
      </w:r>
      <w:proofErr w:type="spellEnd"/>
      <w:r w:rsidRPr="00817703">
        <w:t xml:space="preserve"> in 4 divided doses administered over 30 minutes at 6 – </w:t>
      </w:r>
      <w:proofErr w:type="gramStart"/>
      <w:r w:rsidRPr="00817703">
        <w:t>13 week</w:t>
      </w:r>
      <w:proofErr w:type="gramEnd"/>
      <w:r w:rsidRPr="00817703">
        <w:t xml:space="preserve"> intervals. Each dose was given with a concomitant infusion of 2.5% lysine HCl and 2.5% arginine HCl in 1L 0.9% NaCl.</w:t>
      </w:r>
    </w:p>
    <w:p w14:paraId="04FE0C20" w14:textId="77777777" w:rsidR="00817703" w:rsidRPr="00817703" w:rsidRDefault="00817703" w:rsidP="00817703">
      <w:r w:rsidRPr="00817703">
        <w:t>The study commenced in 2000 and enrolled 811 patients. Partial data collection occurred from December 2021 onwards and was limited to patients enrolled prior to that date. Analysis used data from 494 patients in the efficacy set and all 811 in the safety data set.</w:t>
      </w:r>
    </w:p>
    <w:p w14:paraId="2123CF44" w14:textId="618DC808" w:rsidR="00817703" w:rsidRPr="00817703" w:rsidRDefault="00817703" w:rsidP="00817703">
      <w:r w:rsidRPr="00817703">
        <w:lastRenderedPageBreak/>
        <w:t xml:space="preserve">Patients had histologically proven GEP-NET, with somatostatin receptors demonstrated by </w:t>
      </w:r>
      <w:proofErr w:type="spellStart"/>
      <w:r w:rsidRPr="00817703">
        <w:t>OctreoScan</w:t>
      </w:r>
      <w:proofErr w:type="spellEnd"/>
      <w:r w:rsidRPr="00817703">
        <w:t xml:space="preserve"> within 6 months of the first dose </w:t>
      </w:r>
      <w:r w:rsidR="00CE3296">
        <w:t>Lutathera</w:t>
      </w:r>
      <w:r w:rsidRPr="00817703">
        <w:t xml:space="preserve">, serum creatinine &lt; 150 </w:t>
      </w:r>
      <w:proofErr w:type="spellStart"/>
      <w:r w:rsidRPr="00817703">
        <w:t>μmol</w:t>
      </w:r>
      <w:proofErr w:type="spellEnd"/>
      <w:r w:rsidRPr="00817703">
        <w:t>/L and either calculated or measured of &gt; 40 mL/min, Hb ≥ 5.5 mmol/L, WBC ≥2 x 10</w:t>
      </w:r>
      <w:r w:rsidRPr="00817703">
        <w:rPr>
          <w:vertAlign w:val="superscript"/>
        </w:rPr>
        <w:t>9</w:t>
      </w:r>
      <w:r w:rsidRPr="00817703">
        <w:t>/L and platelets ≥75 x 10</w:t>
      </w:r>
      <w:r w:rsidRPr="00817703">
        <w:rPr>
          <w:vertAlign w:val="superscript"/>
        </w:rPr>
        <w:t>9</w:t>
      </w:r>
      <w:r w:rsidRPr="00817703">
        <w:t>/L, total bilirubin ≤3 x ULN serum albumin &gt; 30 g/L and Karnofsky score ≥50. The main exclusion criteria were the possibility of surgery with curative intent, and uncontrolled congestive heart failure.</w:t>
      </w:r>
    </w:p>
    <w:p w14:paraId="75D31A8C" w14:textId="04F13370" w:rsidR="00817703" w:rsidRPr="00817703" w:rsidRDefault="00817703" w:rsidP="00817703">
      <w:r w:rsidRPr="00817703">
        <w:t xml:space="preserve">The study included Dutch and non-Dutch patients. Because of the greater proportion of patients with missing information in the non-Dutch patient data set, and the increased external validity of this population to the Australian context, the sponsor presented data from 559 Dutch national patients with GEP-NETS who had received at least one dose of </w:t>
      </w:r>
      <w:r w:rsidR="00CE3296">
        <w:t>Lutathera</w:t>
      </w:r>
      <w:r w:rsidRPr="00817703">
        <w:t xml:space="preserve"> (safety population – SAF). A further 199 were excluded from the efficacy analysis because they did not have baseline tumour measurements recorded in the study, leaving 360 patients in the full analysis set (FAS). </w:t>
      </w:r>
    </w:p>
    <w:p w14:paraId="3EAE6B90" w14:textId="77777777" w:rsidR="00817703" w:rsidRPr="00817703" w:rsidRDefault="00817703" w:rsidP="00817703">
      <w:r w:rsidRPr="00817703">
        <w:t xml:space="preserve">For the FAS Dutch GEP-NET population, the ORR per RECIST was 45.0%: midgut NET 33.3%, bronchial NET 36.8%, hindgut NET 46.2%, foregut NET 58.3% and pancreatic NET 60.9%. </w:t>
      </w:r>
    </w:p>
    <w:p w14:paraId="44615325" w14:textId="7124329C" w:rsidR="00817703" w:rsidRPr="00817703" w:rsidRDefault="00817703" w:rsidP="00817703">
      <w:r w:rsidRPr="00817703">
        <w:t xml:space="preserve">The ORR in 162 patients with progressive </w:t>
      </w:r>
      <w:r w:rsidR="008755C6">
        <w:t xml:space="preserve">disease </w:t>
      </w:r>
      <w:r w:rsidRPr="00817703">
        <w:t>at baseline overall was 45%: midgut NET 33%, bronchial NET 36.8%, hindgut NET 46.2%, foregut NET 58.3% and pancreatic NET 60.9%.</w:t>
      </w:r>
    </w:p>
    <w:p w14:paraId="64BF987E" w14:textId="19E905A1" w:rsidR="00817703" w:rsidRPr="00817703" w:rsidRDefault="00817703" w:rsidP="00817703">
      <w:r w:rsidRPr="00817703">
        <w:t xml:space="preserve">In a sensitivity analysis performed using data from the SAF patients (N: 559) that considered the 199 patients without a baseline tumour measurement as a </w:t>
      </w:r>
      <w:proofErr w:type="gramStart"/>
      <w:r w:rsidRPr="00817703">
        <w:t>nonresponders</w:t>
      </w:r>
      <w:proofErr w:type="gramEnd"/>
      <w:r w:rsidRPr="00817703">
        <w:t xml:space="preserve">, the ORR was 29%: midgut NET 22%, bronchial NET 18%, hindgut NET 23%, foregut NET 39% and pancreatic NET 41%. The ORR in 296 patients with measured progressive </w:t>
      </w:r>
      <w:r w:rsidR="008755C6">
        <w:t xml:space="preserve">disease </w:t>
      </w:r>
      <w:r w:rsidRPr="00817703">
        <w:t xml:space="preserve">at baseline (radiologically or clinically assessed within 12 months) was 28%: midgut NET 22%, bronchial NET 8%, hindgut NET 25%, foregut NET 33% and pancreatic NET 44%. </w:t>
      </w:r>
    </w:p>
    <w:p w14:paraId="254A02C0" w14:textId="77777777" w:rsidR="00817703" w:rsidRPr="00817703" w:rsidRDefault="00817703" w:rsidP="00817703">
      <w:r w:rsidRPr="00817703">
        <w:t xml:space="preserve">Results for additional endpoints were provided in the submission. The Delegate notes time to event endpoints are difficult to interpret in the setting of a single arm study. </w:t>
      </w:r>
    </w:p>
    <w:p w14:paraId="23584596" w14:textId="77777777" w:rsidR="00817703" w:rsidRPr="00817703" w:rsidRDefault="00817703" w:rsidP="00817703">
      <w:pPr>
        <w:pStyle w:val="Heading4"/>
      </w:pPr>
      <w:bookmarkStart w:id="46" w:name="_Toc221611031"/>
      <w:r w:rsidRPr="00817703">
        <w:t>Safety</w:t>
      </w:r>
      <w:bookmarkEnd w:id="46"/>
    </w:p>
    <w:p w14:paraId="0C724A10" w14:textId="568F700C" w:rsidR="00817703" w:rsidRPr="00817703" w:rsidRDefault="00817703" w:rsidP="00817703">
      <w:r w:rsidRPr="00817703">
        <w:t xml:space="preserve">The Delegate recognises the international experience with the product and the PSURs included in the submission that support the safety of </w:t>
      </w:r>
      <w:r w:rsidR="00CE3296">
        <w:t>Lutathera</w:t>
      </w:r>
      <w:r w:rsidRPr="00817703">
        <w:t>.</w:t>
      </w:r>
    </w:p>
    <w:p w14:paraId="178FEEA1" w14:textId="32A3C672" w:rsidR="00817703" w:rsidRPr="00817703" w:rsidRDefault="00817703" w:rsidP="00817703">
      <w:r w:rsidRPr="00817703">
        <w:t xml:space="preserve">The Safety Set (SAF) </w:t>
      </w:r>
      <w:r w:rsidRPr="00817703">
        <w:rPr>
          <w:lang w:val="en-US"/>
        </w:rPr>
        <w:t xml:space="preserve">of the NETTER-1 study </w:t>
      </w:r>
      <w:r w:rsidRPr="00817703">
        <w:t>consisted of all randomised patients who received at least 1 dose of study drug (</w:t>
      </w:r>
      <w:r w:rsidR="00CE3296">
        <w:t>Lutathera</w:t>
      </w:r>
      <w:r w:rsidRPr="00817703">
        <w:t xml:space="preserve"> or octreotide LAR). Of the 231 randomised patients (FAS), 112/117 (95.7%) patients from the </w:t>
      </w:r>
      <w:r w:rsidR="00CE3296">
        <w:t>Lutathera</w:t>
      </w:r>
      <w:r w:rsidRPr="00817703">
        <w:t xml:space="preserve"> group and 111/114 (97.4%) patients from the Octreotide LAR group were included in the SAF. Of these, 98/117 (83.8%) and 97/114 (85.1%) patients, respectively, entered the long-term follow-up period. However, 1 patient who was randomised to </w:t>
      </w:r>
      <w:r w:rsidR="00CE3296">
        <w:t>Lutathera</w:t>
      </w:r>
      <w:r w:rsidRPr="00817703">
        <w:t xml:space="preserve">, only received octreotide LAR. Therefore, the final safety analysis was conducted on the 111 patients who received </w:t>
      </w:r>
      <w:r w:rsidR="00CE3296">
        <w:t>Lutathera</w:t>
      </w:r>
      <w:r w:rsidRPr="00817703">
        <w:t xml:space="preserve"> and on 112 patients who received octreotide LAR.</w:t>
      </w:r>
    </w:p>
    <w:p w14:paraId="07C24D6A" w14:textId="0CD40CAE" w:rsidR="00817703" w:rsidRPr="00817703" w:rsidRDefault="00817703" w:rsidP="00817703">
      <w:pPr>
        <w:rPr>
          <w:lang w:val="en-US"/>
        </w:rPr>
      </w:pPr>
      <w:r w:rsidRPr="00817703">
        <w:rPr>
          <w:lang w:val="en-US"/>
        </w:rPr>
        <w:t xml:space="preserve">In the NETTER-1 trial, the 111 patients in </w:t>
      </w:r>
      <w:proofErr w:type="gramStart"/>
      <w:r w:rsidRPr="00817703">
        <w:rPr>
          <w:lang w:val="en-US"/>
        </w:rPr>
        <w:t xml:space="preserve">the </w:t>
      </w:r>
      <w:r w:rsidR="00CE3296">
        <w:rPr>
          <w:lang w:val="en-US"/>
        </w:rPr>
        <w:t>Lutathera</w:t>
      </w:r>
      <w:proofErr w:type="gramEnd"/>
      <w:r w:rsidRPr="00817703">
        <w:rPr>
          <w:lang w:val="en-US"/>
        </w:rPr>
        <w:t xml:space="preserve"> SAF received a mean total </w:t>
      </w:r>
      <w:r w:rsidR="008B7F02">
        <w:rPr>
          <w:lang w:val="en-US"/>
        </w:rPr>
        <w:t>absorbed</w:t>
      </w:r>
      <w:r w:rsidRPr="00817703">
        <w:rPr>
          <w:lang w:val="en-US"/>
        </w:rPr>
        <w:t xml:space="preserve"> dose of 25.6 </w:t>
      </w:r>
      <w:proofErr w:type="spellStart"/>
      <w:r w:rsidRPr="00817703">
        <w:rPr>
          <w:lang w:val="en-US"/>
        </w:rPr>
        <w:t>GBq</w:t>
      </w:r>
      <w:proofErr w:type="spellEnd"/>
      <w:r w:rsidRPr="00817703">
        <w:rPr>
          <w:lang w:val="en-US"/>
        </w:rPr>
        <w:t xml:space="preserve">, 26% received </w:t>
      </w:r>
      <w:r w:rsidR="00BA4097" w:rsidRPr="00BA4097">
        <w:rPr>
          <w:lang w:val="en-US"/>
        </w:rPr>
        <w:t xml:space="preserve">a cumulative </w:t>
      </w:r>
      <w:r w:rsidRPr="00817703">
        <w:rPr>
          <w:lang w:val="en-US"/>
        </w:rPr>
        <w:t>dose</w:t>
      </w:r>
      <w:r w:rsidR="00BA4097">
        <w:rPr>
          <w:lang w:val="en-US"/>
        </w:rPr>
        <w:t xml:space="preserve"> of</w:t>
      </w:r>
      <w:r w:rsidRPr="00817703">
        <w:rPr>
          <w:lang w:val="en-US"/>
        </w:rPr>
        <w:t xml:space="preserve"> 29.6 </w:t>
      </w:r>
      <w:proofErr w:type="spellStart"/>
      <w:r w:rsidRPr="00817703">
        <w:rPr>
          <w:lang w:val="en-US"/>
        </w:rPr>
        <w:t>GBq</w:t>
      </w:r>
      <w:proofErr w:type="spellEnd"/>
      <w:r w:rsidRPr="00817703">
        <w:rPr>
          <w:lang w:val="en-US"/>
        </w:rPr>
        <w:t xml:space="preserve"> and 79% received a cumulative dose of ≥22.2 </w:t>
      </w:r>
      <w:proofErr w:type="spellStart"/>
      <w:r w:rsidRPr="00817703">
        <w:rPr>
          <w:lang w:val="en-US"/>
        </w:rPr>
        <w:t>GBq</w:t>
      </w:r>
      <w:proofErr w:type="spellEnd"/>
      <w:r w:rsidRPr="00817703">
        <w:rPr>
          <w:lang w:val="en-US"/>
        </w:rPr>
        <w:t xml:space="preserve">. </w:t>
      </w:r>
      <w:r w:rsidRPr="00817703">
        <w:t xml:space="preserve">By the data cut-off of 30-June-2016, all </w:t>
      </w:r>
      <w:r w:rsidR="00CE3296">
        <w:t>Lutathera</w:t>
      </w:r>
      <w:r w:rsidRPr="00817703">
        <w:t xml:space="preserve"> patients had completed treatment and 75.7% had received 4 </w:t>
      </w:r>
      <w:r w:rsidR="00CE3296">
        <w:t>Lutathera</w:t>
      </w:r>
      <w:r w:rsidRPr="00817703">
        <w:t xml:space="preserve"> administrations with a mean total dose of 29.1 </w:t>
      </w:r>
      <w:proofErr w:type="spellStart"/>
      <w:r w:rsidRPr="00817703">
        <w:t>GBq</w:t>
      </w:r>
      <w:proofErr w:type="spellEnd"/>
      <w:r w:rsidRPr="00817703">
        <w:t>.</w:t>
      </w:r>
      <w:r w:rsidRPr="00817703">
        <w:rPr>
          <w:lang w:val="en-US"/>
        </w:rPr>
        <w:t xml:space="preserve"> The exposure was greater in the ERASMUS MC safety set, with over 60% receiving ≥ 29.6 </w:t>
      </w:r>
      <w:proofErr w:type="spellStart"/>
      <w:r w:rsidR="001E47D6">
        <w:rPr>
          <w:lang w:val="en-US"/>
        </w:rPr>
        <w:t>G</w:t>
      </w:r>
      <w:r w:rsidRPr="00817703">
        <w:rPr>
          <w:lang w:val="en-US"/>
        </w:rPr>
        <w:t>Bq</w:t>
      </w:r>
      <w:proofErr w:type="spellEnd"/>
      <w:r w:rsidRPr="00817703">
        <w:rPr>
          <w:lang w:val="en-US"/>
        </w:rPr>
        <w:t xml:space="preserve">. At the final analysis six patients were still on octreotide LAR across both treatment groups. </w:t>
      </w:r>
    </w:p>
    <w:p w14:paraId="44209474" w14:textId="77777777" w:rsidR="00817703" w:rsidRPr="00817703" w:rsidRDefault="00817703" w:rsidP="00D60B03">
      <w:pPr>
        <w:pStyle w:val="Heading5"/>
        <w:rPr>
          <w:lang w:val="en-US"/>
        </w:rPr>
      </w:pPr>
      <w:r w:rsidRPr="00817703">
        <w:rPr>
          <w:lang w:val="en-US"/>
        </w:rPr>
        <w:t>Adverse events</w:t>
      </w:r>
    </w:p>
    <w:p w14:paraId="30EC01C7" w14:textId="474CF889" w:rsidR="00817703" w:rsidRPr="00817703" w:rsidRDefault="00817703" w:rsidP="00817703">
      <w:pPr>
        <w:rPr>
          <w:lang w:val="en-US"/>
        </w:rPr>
      </w:pPr>
      <w:r w:rsidRPr="00817703">
        <w:rPr>
          <w:lang w:val="en-US"/>
        </w:rPr>
        <w:t xml:space="preserve">The common adverse events are </w:t>
      </w:r>
      <w:proofErr w:type="spellStart"/>
      <w:r w:rsidRPr="00817703">
        <w:rPr>
          <w:lang w:val="en-US"/>
        </w:rPr>
        <w:t>summarised</w:t>
      </w:r>
      <w:proofErr w:type="spellEnd"/>
      <w:r w:rsidRPr="00817703">
        <w:rPr>
          <w:lang w:val="en-US"/>
        </w:rPr>
        <w:t xml:space="preserve"> in </w:t>
      </w:r>
      <w:r w:rsidR="008B3643">
        <w:rPr>
          <w:lang w:val="en-US"/>
        </w:rPr>
        <w:t xml:space="preserve">Table </w:t>
      </w:r>
      <w:r w:rsidR="004545C8">
        <w:rPr>
          <w:lang w:val="en-US"/>
        </w:rPr>
        <w:t>10</w:t>
      </w:r>
      <w:r w:rsidRPr="00817703">
        <w:rPr>
          <w:lang w:val="en-US"/>
        </w:rPr>
        <w:t>.</w:t>
      </w:r>
    </w:p>
    <w:p w14:paraId="487C7B0D" w14:textId="2D6BB0F3" w:rsidR="004F68DB" w:rsidRDefault="00817703" w:rsidP="000C56EC">
      <w:pPr>
        <w:pStyle w:val="TableTitle"/>
      </w:pPr>
      <w:r w:rsidRPr="00817703">
        <w:lastRenderedPageBreak/>
        <w:t xml:space="preserve">Table </w:t>
      </w:r>
      <w:r w:rsidR="004545C8">
        <w:t>10</w:t>
      </w:r>
      <w:r w:rsidR="003E4B80">
        <w:t>.</w:t>
      </w:r>
      <w:r w:rsidRPr="00817703">
        <w:t xml:space="preserve"> Safety Summary NETTER-1 Study</w:t>
      </w:r>
    </w:p>
    <w:p w14:paraId="08EF762F" w14:textId="6595A5B0" w:rsidR="007C46B4" w:rsidRDefault="007C46B4" w:rsidP="00817703">
      <w:pPr>
        <w:rPr>
          <w:b/>
          <w:bCs/>
        </w:rPr>
      </w:pPr>
      <w:r w:rsidRPr="00890263">
        <w:rPr>
          <w:rFonts w:asciiTheme="minorHAnsi" w:hAnsiTheme="minorHAnsi"/>
          <w:noProof/>
          <w:szCs w:val="22"/>
        </w:rPr>
        <w:drawing>
          <wp:inline distT="0" distB="0" distL="0" distR="0" wp14:anchorId="39024F1E" wp14:editId="76344B27">
            <wp:extent cx="5759355" cy="6344920"/>
            <wp:effectExtent l="0" t="0" r="0" b="0"/>
            <wp:docPr id="1358350684" name="Picture 1" descr="Table 10. Safety Summary NETTER-1 Stu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350684" name="Picture 1" descr="Table 10. Safety Summary NETTER-1 Study"/>
                    <pic:cNvPicPr/>
                  </pic:nvPicPr>
                  <pic:blipFill rotWithShape="1">
                    <a:blip r:embed="rId41">
                      <a:extLst>
                        <a:ext uri="{BEBA8EAE-BF5A-486C-A8C5-ECC9F3942E4B}">
                          <a14:imgProps xmlns:a14="http://schemas.microsoft.com/office/drawing/2010/main">
                            <a14:imgLayer r:embed="rId42">
                              <a14:imgEffect>
                                <a14:sharpenSoften amount="25000"/>
                              </a14:imgEffect>
                            </a14:imgLayer>
                          </a14:imgProps>
                        </a:ext>
                      </a:extLst>
                    </a:blip>
                    <a:srcRect r="14114" b="12924"/>
                    <a:stretch>
                      <a:fillRect/>
                    </a:stretch>
                  </pic:blipFill>
                  <pic:spPr bwMode="auto">
                    <a:xfrm>
                      <a:off x="0" y="0"/>
                      <a:ext cx="5765587" cy="6351785"/>
                    </a:xfrm>
                    <a:prstGeom prst="rect">
                      <a:avLst/>
                    </a:prstGeom>
                    <a:ln>
                      <a:noFill/>
                    </a:ln>
                    <a:extLst>
                      <a:ext uri="{53640926-AAD7-44D8-BBD7-CCE9431645EC}">
                        <a14:shadowObscured xmlns:a14="http://schemas.microsoft.com/office/drawing/2010/main"/>
                      </a:ext>
                    </a:extLst>
                  </pic:spPr>
                </pic:pic>
              </a:graphicData>
            </a:graphic>
          </wp:inline>
        </w:drawing>
      </w:r>
    </w:p>
    <w:p w14:paraId="25782A39" w14:textId="32DE2E07" w:rsidR="00B07968" w:rsidRDefault="00B96A53" w:rsidP="000C56EC">
      <w:pPr>
        <w:pStyle w:val="TableDescription"/>
      </w:pPr>
      <w:r w:rsidRPr="00B96A53">
        <w:rPr>
          <w:vertAlign w:val="superscript"/>
        </w:rPr>
        <w:t>a</w:t>
      </w:r>
      <w:r w:rsidR="000C56EC">
        <w:rPr>
          <w:vertAlign w:val="superscript"/>
        </w:rPr>
        <w:t xml:space="preserve"> </w:t>
      </w:r>
      <w:r w:rsidR="00B07968">
        <w:t xml:space="preserve">National Cancer Institute Common Terminology Criteria for Adverse Events (CTCAE) Version 4.03. Only displays adverse reactions occurring at a higher incidence in </w:t>
      </w:r>
      <w:r w:rsidR="00CE3296">
        <w:t>Lutathera</w:t>
      </w:r>
      <w:r w:rsidR="00B07968">
        <w:t>-treated patients [between arm difference of &gt; 5% (all Grades) or &gt; 2% (Grades 3-4)].</w:t>
      </w:r>
    </w:p>
    <w:p w14:paraId="125A313D" w14:textId="278E8503" w:rsidR="00B07968" w:rsidRDefault="00B96A53" w:rsidP="000C56EC">
      <w:pPr>
        <w:pStyle w:val="TableDescription"/>
      </w:pPr>
      <w:r w:rsidRPr="00B96A53">
        <w:rPr>
          <w:vertAlign w:val="superscript"/>
        </w:rPr>
        <w:t>b</w:t>
      </w:r>
      <w:r w:rsidR="000C56EC">
        <w:rPr>
          <w:vertAlign w:val="superscript"/>
        </w:rPr>
        <w:t xml:space="preserve"> </w:t>
      </w:r>
      <w:r w:rsidR="00B07968">
        <w:t xml:space="preserve">Includes the terms: Glomerular filtration rate decreased, acute kidney injury, acute prerenal failure, </w:t>
      </w:r>
      <w:proofErr w:type="spellStart"/>
      <w:r w:rsidR="00B07968">
        <w:t>azotemia</w:t>
      </w:r>
      <w:proofErr w:type="spellEnd"/>
      <w:r w:rsidR="00B07968">
        <w:t>, renal disorder, renal</w:t>
      </w:r>
      <w:r>
        <w:t xml:space="preserve"> </w:t>
      </w:r>
      <w:r w:rsidR="00B07968">
        <w:t>failure, renal impairment.</w:t>
      </w:r>
    </w:p>
    <w:p w14:paraId="3DF2EB78" w14:textId="21919AC9" w:rsidR="0086456F" w:rsidRDefault="00B96A53" w:rsidP="000C56EC">
      <w:pPr>
        <w:pStyle w:val="TableDescription"/>
      </w:pPr>
      <w:r w:rsidRPr="00B96A53">
        <w:rPr>
          <w:vertAlign w:val="superscript"/>
        </w:rPr>
        <w:t>c</w:t>
      </w:r>
      <w:r w:rsidR="000C56EC">
        <w:rPr>
          <w:vertAlign w:val="superscript"/>
        </w:rPr>
        <w:t xml:space="preserve"> </w:t>
      </w:r>
      <w:r w:rsidR="00B07968">
        <w:t>Includes the terms: Dysuria, mictu</w:t>
      </w:r>
      <w:r>
        <w:t>ri</w:t>
      </w:r>
      <w:r w:rsidR="00B07968">
        <w:t>tion urgency, nocturia, pollakiuria, renal colic, renal pain, urinary tract pain and urinary</w:t>
      </w:r>
      <w:r>
        <w:t xml:space="preserve"> </w:t>
      </w:r>
      <w:r w:rsidR="00B07968">
        <w:t>incontinence.</w:t>
      </w:r>
    </w:p>
    <w:p w14:paraId="3F0232A4" w14:textId="428EEB26" w:rsidR="00F37A41" w:rsidRPr="00F37A41" w:rsidRDefault="00F37A41" w:rsidP="00F37A41">
      <w:pPr>
        <w:rPr>
          <w:lang w:val="en-US"/>
        </w:rPr>
      </w:pPr>
      <w:r w:rsidRPr="00F37A41">
        <w:rPr>
          <w:lang w:val="en-US"/>
        </w:rPr>
        <w:t xml:space="preserve">The sponsor attributed </w:t>
      </w:r>
      <w:r w:rsidR="009F1EE7">
        <w:rPr>
          <w:lang w:val="en-US"/>
        </w:rPr>
        <w:t>gastrointestinal</w:t>
      </w:r>
      <w:r w:rsidRPr="00F37A41">
        <w:rPr>
          <w:lang w:val="en-US"/>
        </w:rPr>
        <w:t xml:space="preserve"> symptoms to the co-administration of the amino acid </w:t>
      </w:r>
      <w:proofErr w:type="gramStart"/>
      <w:r w:rsidRPr="00F37A41">
        <w:rPr>
          <w:lang w:val="en-US"/>
        </w:rPr>
        <w:t>solution</w:t>
      </w:r>
      <w:proofErr w:type="gramEnd"/>
      <w:r w:rsidRPr="00F37A41">
        <w:rPr>
          <w:lang w:val="en-US"/>
        </w:rPr>
        <w:t xml:space="preserve"> and the protocol required an antiemetic to be administered concurrently. </w:t>
      </w:r>
    </w:p>
    <w:p w14:paraId="525DA07C" w14:textId="77777777" w:rsidR="00F37A41" w:rsidRPr="00F37A41" w:rsidRDefault="00F37A41" w:rsidP="00F37A41">
      <w:r w:rsidRPr="00F37A41">
        <w:t xml:space="preserve">In the final analysis no new adverse event types were reported. </w:t>
      </w:r>
    </w:p>
    <w:p w14:paraId="6CE285E4" w14:textId="203D4574" w:rsidR="00F37A41" w:rsidRPr="00F37A41" w:rsidRDefault="00F37A41" w:rsidP="00F37A41">
      <w:pPr>
        <w:rPr>
          <w:lang w:val="en-US"/>
        </w:rPr>
      </w:pPr>
      <w:r w:rsidRPr="00F37A41">
        <w:rPr>
          <w:lang w:val="en-US"/>
        </w:rPr>
        <w:t xml:space="preserve">In the </w:t>
      </w:r>
      <w:r w:rsidR="00CE3296">
        <w:rPr>
          <w:lang w:val="en-US"/>
        </w:rPr>
        <w:t>Lutathera</w:t>
      </w:r>
      <w:r w:rsidRPr="00F37A41">
        <w:rPr>
          <w:lang w:val="en-US"/>
        </w:rPr>
        <w:t xml:space="preserve"> arm, 7(6%) patients reported a </w:t>
      </w:r>
      <w:proofErr w:type="gramStart"/>
      <w:r w:rsidRPr="00F37A41">
        <w:rPr>
          <w:lang w:val="en-US"/>
        </w:rPr>
        <w:t>treatment</w:t>
      </w:r>
      <w:proofErr w:type="gramEnd"/>
      <w:r w:rsidRPr="00F37A41">
        <w:rPr>
          <w:lang w:val="en-US"/>
        </w:rPr>
        <w:t xml:space="preserve"> emergent AE (TEAE) that required a dose reduction (all thrombocytopenia). </w:t>
      </w:r>
      <w:r w:rsidR="00CE3296">
        <w:rPr>
          <w:lang w:val="en-US"/>
        </w:rPr>
        <w:t>Lutathera</w:t>
      </w:r>
      <w:r w:rsidRPr="00F37A41">
        <w:rPr>
          <w:lang w:val="en-US"/>
        </w:rPr>
        <w:t xml:space="preserve"> was discontinued in 14 (13%) patients with a TEAE; 3 due to hematologic toxicity, 5 due to a renal-related event, 2 related to disease </w:t>
      </w:r>
      <w:r w:rsidRPr="00F37A41">
        <w:rPr>
          <w:lang w:val="en-US"/>
        </w:rPr>
        <w:lastRenderedPageBreak/>
        <w:t xml:space="preserve">progression, 2 due to underlying disease or a disease-related procedural complication, and 2 for events not clearly related to </w:t>
      </w:r>
      <w:r w:rsidR="00CE3296">
        <w:rPr>
          <w:lang w:val="en-US"/>
        </w:rPr>
        <w:t>Lutathera</w:t>
      </w:r>
      <w:r w:rsidRPr="00F37A41">
        <w:rPr>
          <w:lang w:val="en-US"/>
        </w:rPr>
        <w:t>. In the Octreotide LAR arm, 12 (11%) patients discontinued study drug due to a TEAE.</w:t>
      </w:r>
    </w:p>
    <w:p w14:paraId="49377BA8" w14:textId="77777777" w:rsidR="00F37A41" w:rsidRPr="00F37A41" w:rsidRDefault="00F37A41" w:rsidP="00F37A41">
      <w:pPr>
        <w:pStyle w:val="Heading6"/>
        <w:rPr>
          <w:lang w:val="en-US"/>
        </w:rPr>
      </w:pPr>
      <w:r w:rsidRPr="00F37A41">
        <w:rPr>
          <w:lang w:val="en-US"/>
        </w:rPr>
        <w:t>Deaths</w:t>
      </w:r>
    </w:p>
    <w:p w14:paraId="708FB15F" w14:textId="5DE77F8E" w:rsidR="00F37A41" w:rsidRPr="00F37A41" w:rsidRDefault="00F37A41" w:rsidP="00F37A41">
      <w:r w:rsidRPr="00F37A41">
        <w:rPr>
          <w:lang w:val="en-US"/>
        </w:rPr>
        <w:t xml:space="preserve">In NETTER-1, 16 deaths occurred on treatment or within 30 days following the last treatment in randomized patients </w:t>
      </w:r>
      <w:r w:rsidR="009D1D88">
        <w:rPr>
          <w:lang w:val="en-US"/>
        </w:rPr>
        <w:t>(</w:t>
      </w:r>
      <w:r w:rsidRPr="00F37A41">
        <w:rPr>
          <w:lang w:val="en-US"/>
        </w:rPr>
        <w:t xml:space="preserve">7%); 7 deaths </w:t>
      </w:r>
      <w:r w:rsidR="009C7E82">
        <w:rPr>
          <w:lang w:val="en-US"/>
        </w:rPr>
        <w:t>(</w:t>
      </w:r>
      <w:r w:rsidRPr="00F37A41">
        <w:rPr>
          <w:lang w:val="en-US"/>
        </w:rPr>
        <w:t xml:space="preserve">6%) occurred on the </w:t>
      </w:r>
      <w:r w:rsidR="00CE3296">
        <w:rPr>
          <w:lang w:val="en-US"/>
        </w:rPr>
        <w:t>Lutathera</w:t>
      </w:r>
      <w:r w:rsidRPr="00F37A41">
        <w:rPr>
          <w:lang w:val="en-US"/>
        </w:rPr>
        <w:t xml:space="preserve"> arm and 9 {8%) occurred on the octreotide arm. None were considered related to study drug</w:t>
      </w:r>
      <w:r w:rsidRPr="00F37A41">
        <w:rPr>
          <w:i/>
          <w:iCs/>
          <w:lang w:val="en-US"/>
        </w:rPr>
        <w:t xml:space="preserve">. </w:t>
      </w:r>
    </w:p>
    <w:p w14:paraId="53948571" w14:textId="37F35D2B" w:rsidR="00F37A41" w:rsidRPr="00F37A41" w:rsidRDefault="00F37A41" w:rsidP="00F37A41">
      <w:pPr>
        <w:rPr>
          <w:lang w:val="en-US"/>
        </w:rPr>
      </w:pPr>
      <w:r w:rsidRPr="00F37A41">
        <w:t xml:space="preserve">Deaths due to disease progression or unknown reasons were not reported as </w:t>
      </w:r>
      <w:r w:rsidR="002E4672">
        <w:t>adverse event</w:t>
      </w:r>
      <w:r w:rsidRPr="00F37A41">
        <w:t>s</w:t>
      </w:r>
      <w:r w:rsidR="0002687E">
        <w:t xml:space="preserve"> (AE)</w:t>
      </w:r>
      <w:r w:rsidRPr="00F37A41">
        <w:t xml:space="preserve">. In the SAF, a total of 138 (61.9%) </w:t>
      </w:r>
      <w:r w:rsidRPr="00F37A41">
        <w:rPr>
          <w:lang w:val="en-US"/>
        </w:rPr>
        <w:t xml:space="preserve">patients died during the study due to disease progression or other causes, with no meaningful differences between the treatment groups (70 patients, 63.1% in the </w:t>
      </w:r>
      <w:r w:rsidR="00CE3296">
        <w:rPr>
          <w:lang w:val="en-US"/>
        </w:rPr>
        <w:t>Lutathera</w:t>
      </w:r>
      <w:r w:rsidRPr="00F37A41">
        <w:rPr>
          <w:lang w:val="en-US"/>
        </w:rPr>
        <w:t xml:space="preserve"> group vs. 68 </w:t>
      </w:r>
      <w:r w:rsidRPr="00F37A41">
        <w:t>patients, 60.7% in the Octreotide group).</w:t>
      </w:r>
    </w:p>
    <w:p w14:paraId="03D02AAE" w14:textId="6DE9FE5F" w:rsidR="00F37A41" w:rsidRPr="00F37A41" w:rsidRDefault="00F37A41" w:rsidP="00F37A41">
      <w:r w:rsidRPr="00F37A41">
        <w:t xml:space="preserve">During the treatment period, 4 (3.6%) patients in the </w:t>
      </w:r>
      <w:r w:rsidR="00CE3296">
        <w:t>Lutathera</w:t>
      </w:r>
      <w:r w:rsidRPr="00F37A41">
        <w:t xml:space="preserve"> group vs. 5 (4.5%) patients in the Octreotide LAR group died due to disease progression. None died of other reasons. During the long-term follow-up period, 51 (45.9%) patients in the </w:t>
      </w:r>
      <w:r w:rsidR="00CE3296">
        <w:t>Lutathera</w:t>
      </w:r>
      <w:r w:rsidRPr="00F37A41">
        <w:t xml:space="preserve"> group vs. 49 (43.8%) patients in the Octreotide LAR group died due to disease progression. A total of 15 (13.5%) patients in the </w:t>
      </w:r>
      <w:r w:rsidR="00CE3296">
        <w:t>Lutathera</w:t>
      </w:r>
      <w:r w:rsidRPr="00F37A41">
        <w:t xml:space="preserve"> group and 14 (12.5%) patients in the Octreotide LAR group died due to other causes (including AEs).</w:t>
      </w:r>
    </w:p>
    <w:p w14:paraId="6401F487" w14:textId="77777777" w:rsidR="00F37A41" w:rsidRPr="00F37A41" w:rsidRDefault="00F37A41" w:rsidP="00F37A41">
      <w:r w:rsidRPr="00F37A41">
        <w:t xml:space="preserve">Since the 30-Jun-2016 data cut-off, 1 new fatal event (oesophageal adenocarcinoma; reason for death was reported as disease progression) was reported and 2 events (oesophageal carcinoma and MDS) had the status updated </w:t>
      </w:r>
      <w:proofErr w:type="gramStart"/>
      <w:r w:rsidRPr="00F37A41">
        <w:t>to</w:t>
      </w:r>
      <w:proofErr w:type="gramEnd"/>
      <w:r w:rsidRPr="00F37A41">
        <w:t xml:space="preserve"> fatal.</w:t>
      </w:r>
    </w:p>
    <w:p w14:paraId="3A0EDC66" w14:textId="77777777" w:rsidR="00F37A41" w:rsidRPr="00F37A41" w:rsidRDefault="00F37A41" w:rsidP="00F37A41">
      <w:pPr>
        <w:rPr>
          <w:lang w:val="en-US"/>
        </w:rPr>
      </w:pPr>
      <w:r w:rsidRPr="00F37A41">
        <w:rPr>
          <w:lang w:val="en-US"/>
        </w:rPr>
        <w:t>In ERASMUS, deaths were reported in 446/1214 {37%) patients 397/811 {49%) in the Dutch subset, of which 16 {2%) occurred on treatment or within 30 days following the last treatment. None of these deaths were considered related to study drug.</w:t>
      </w:r>
    </w:p>
    <w:p w14:paraId="672A0A79" w14:textId="7EAB8AA5" w:rsidR="00F37A41" w:rsidRPr="00F37A41" w:rsidRDefault="00F37A41" w:rsidP="00F37A41">
      <w:pPr>
        <w:pStyle w:val="Heading5"/>
        <w:rPr>
          <w:lang w:val="en-US"/>
        </w:rPr>
      </w:pPr>
      <w:r w:rsidRPr="00F37A41">
        <w:rPr>
          <w:lang w:val="en-US"/>
        </w:rPr>
        <w:t xml:space="preserve">Serious </w:t>
      </w:r>
      <w:r w:rsidR="00220736" w:rsidRPr="00F37A41">
        <w:rPr>
          <w:lang w:val="en-US"/>
        </w:rPr>
        <w:t>adverse events</w:t>
      </w:r>
    </w:p>
    <w:p w14:paraId="52E0A07E" w14:textId="1876D705" w:rsidR="00F37A41" w:rsidRPr="00F37A41" w:rsidRDefault="00F37A41" w:rsidP="00F37A41">
      <w:r w:rsidRPr="00F37A41">
        <w:t xml:space="preserve">During the interim analysis of NETTER-1 (data cut-off date 30-Jun-2016), 13 (11.6%) patients in the </w:t>
      </w:r>
      <w:r w:rsidR="00CE3296">
        <w:t>Lutathera</w:t>
      </w:r>
      <w:r w:rsidRPr="00F37A41">
        <w:t xml:space="preserve"> group reported ≥1 SAE related to </w:t>
      </w:r>
      <w:r w:rsidR="00CE3296">
        <w:t>Lutathera</w:t>
      </w:r>
      <w:r w:rsidRPr="00F37A41">
        <w:t xml:space="preserve">. Of these, 10 (8.9%) patients had grade ≥ 3 SAEs related to </w:t>
      </w:r>
      <w:r w:rsidR="00CE3296">
        <w:t>Lutathera</w:t>
      </w:r>
      <w:r w:rsidRPr="00F37A41">
        <w:t xml:space="preserve"> (lymphopenia, neutropenia, refractory cytopenia with multilineage dysplasia, ascites, intestinal obstruction, respiratory tract infection, acute kidney injury, hepatic encephalopathy, dehydration, refractory cytopenia with multilineage dysplasia). Each grade ≥ 3 SAE was reported in 1 (0.9%) patient each.</w:t>
      </w:r>
    </w:p>
    <w:p w14:paraId="0E79E821" w14:textId="48492CFC" w:rsidR="00F37A41" w:rsidRPr="00F37A41" w:rsidRDefault="00F37A41" w:rsidP="00F37A41">
      <w:r w:rsidRPr="00F37A41">
        <w:t xml:space="preserve">During the long-term follow-up period, no SAE related to </w:t>
      </w:r>
      <w:r w:rsidR="00CE3296">
        <w:t>Lutathera</w:t>
      </w:r>
      <w:r w:rsidRPr="00F37A41">
        <w:t xml:space="preserve"> had an onset date after the interim data cut-off (30-Jun-2016). During the long-term follow-up period, 3 (2.7%) patients experienced a total of 5 SAEs related to </w:t>
      </w:r>
      <w:r w:rsidR="00CE3296">
        <w:t>Lutathera</w:t>
      </w:r>
      <w:r w:rsidRPr="00F37A41">
        <w:t>, and all occurred before the interim data cut-off. A summary of the SAEs is tabulated, below</w:t>
      </w:r>
    </w:p>
    <w:p w14:paraId="75CAF21B" w14:textId="4D1A67C8" w:rsidR="00F37A41" w:rsidRDefault="00F37A41" w:rsidP="005D6855">
      <w:pPr>
        <w:pStyle w:val="TableTitle"/>
      </w:pPr>
      <w:r w:rsidRPr="00F37A41">
        <w:lastRenderedPageBreak/>
        <w:t xml:space="preserve">Table </w:t>
      </w:r>
      <w:r w:rsidR="004545C8">
        <w:t>11</w:t>
      </w:r>
      <w:r>
        <w:t>.</w:t>
      </w:r>
      <w:r w:rsidRPr="00F37A41">
        <w:t xml:space="preserve"> Serious adverse events related to </w:t>
      </w:r>
      <w:r w:rsidR="00CE3296">
        <w:t>Lutathera</w:t>
      </w:r>
      <w:r w:rsidRPr="00F37A41">
        <w:t xml:space="preserve"> during long-term follow-up by SOC, preferred term, and maximum CTC Grade (Safety Set)</w:t>
      </w:r>
    </w:p>
    <w:p w14:paraId="178FD0A6" w14:textId="034431A5" w:rsidR="00A4228E" w:rsidRPr="00F37A41" w:rsidRDefault="00A4228E" w:rsidP="00F37A41">
      <w:pPr>
        <w:rPr>
          <w:b/>
          <w:bCs/>
        </w:rPr>
      </w:pPr>
      <w:r w:rsidRPr="00FC6548">
        <w:rPr>
          <w:noProof/>
          <w:color w:val="7030A0"/>
        </w:rPr>
        <w:drawing>
          <wp:inline distT="0" distB="0" distL="0" distR="0" wp14:anchorId="6A314967" wp14:editId="0BDAEF83">
            <wp:extent cx="5561356" cy="2361063"/>
            <wp:effectExtent l="0" t="0" r="1270" b="1270"/>
            <wp:docPr id="759825861" name="Picture 4" descr="Table 11. Serious adverse events related to Lutathera during long-term follow-up by SOC, preferred term, and maximum CTC Grade (Safety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825861" name="Picture 4" descr="Table 11. Serious adverse events related to Lutathera during long-term follow-up by SOC, preferred term, and maximum CTC Grade (Safety Set)"/>
                    <pic:cNvPicPr>
                      <a:picLocks noChangeAspect="1"/>
                    </pic:cNvPicPr>
                  </pic:nvPicPr>
                  <pic:blipFill rotWithShape="1">
                    <a:blip r:embed="rId43">
                      <a:extLst>
                        <a:ext uri="{BEBA8EAE-BF5A-486C-A8C5-ECC9F3942E4B}">
                          <a14:imgProps xmlns:a14="http://schemas.microsoft.com/office/drawing/2010/main">
                            <a14:imgLayer r:embed="rId44">
                              <a14:imgEffect>
                                <a14:sharpenSoften amount="25000"/>
                              </a14:imgEffect>
                            </a14:imgLayer>
                          </a14:imgProps>
                        </a:ext>
                        <a:ext uri="{28A0092B-C50C-407E-A947-70E740481C1C}">
                          <a14:useLocalDpi xmlns:a14="http://schemas.microsoft.com/office/drawing/2010/main" val="0"/>
                        </a:ext>
                      </a:extLst>
                    </a:blip>
                    <a:srcRect b="43262"/>
                    <a:stretch>
                      <a:fillRect/>
                    </a:stretch>
                  </pic:blipFill>
                  <pic:spPr bwMode="auto">
                    <a:xfrm>
                      <a:off x="0" y="0"/>
                      <a:ext cx="5585908" cy="2371487"/>
                    </a:xfrm>
                    <a:prstGeom prst="rect">
                      <a:avLst/>
                    </a:prstGeom>
                    <a:ln>
                      <a:noFill/>
                    </a:ln>
                    <a:extLst>
                      <a:ext uri="{53640926-AAD7-44D8-BBD7-CCE9431645EC}">
                        <a14:shadowObscured xmlns:a14="http://schemas.microsoft.com/office/drawing/2010/main"/>
                      </a:ext>
                    </a:extLst>
                  </pic:spPr>
                </pic:pic>
              </a:graphicData>
            </a:graphic>
          </wp:inline>
        </w:drawing>
      </w:r>
    </w:p>
    <w:p w14:paraId="3ADDB3C8" w14:textId="666976C6" w:rsidR="00312604" w:rsidRDefault="00312604" w:rsidP="00312604">
      <w:pPr>
        <w:pStyle w:val="TableDescription"/>
      </w:pPr>
      <w:r>
        <w:t xml:space="preserve">* Both events of MDS and refractory cytopenia with </w:t>
      </w:r>
      <w:proofErr w:type="spellStart"/>
      <w:r>
        <w:t>unilineage</w:t>
      </w:r>
      <w:proofErr w:type="spellEnd"/>
      <w:r>
        <w:t xml:space="preserve"> dysplasia were reported in the same patient with the same onset date.</w:t>
      </w:r>
    </w:p>
    <w:p w14:paraId="62220D9E" w14:textId="3C7D2D64" w:rsidR="00312604" w:rsidRDefault="00312604" w:rsidP="00312604">
      <w:pPr>
        <w:pStyle w:val="TableDescription"/>
      </w:pPr>
      <w:r>
        <w:t xml:space="preserve">This table summarizes events that started during the long-term follow-up only. </w:t>
      </w:r>
    </w:p>
    <w:p w14:paraId="48274568" w14:textId="5970524B" w:rsidR="00312604" w:rsidRDefault="00312604" w:rsidP="00312604">
      <w:pPr>
        <w:pStyle w:val="TableDescription"/>
      </w:pPr>
      <w:r>
        <w:t>Results given as n (%) where n=number of patients, (</w:t>
      </w:r>
      <w:proofErr w:type="gramStart"/>
      <w:r>
        <w:t>%)=</w:t>
      </w:r>
      <w:proofErr w:type="gramEnd"/>
      <w:r>
        <w:t>percentage based on N.</w:t>
      </w:r>
    </w:p>
    <w:p w14:paraId="259E8DE2" w14:textId="77777777" w:rsidR="00312604" w:rsidRDefault="00312604" w:rsidP="00312604">
      <w:pPr>
        <w:pStyle w:val="TableDescription"/>
      </w:pPr>
      <w:r>
        <w:t>Preferred terms are sorted in descending frequency.</w:t>
      </w:r>
    </w:p>
    <w:p w14:paraId="348D235D" w14:textId="77777777" w:rsidR="00312604" w:rsidRDefault="00312604" w:rsidP="00312604">
      <w:pPr>
        <w:pStyle w:val="TableDescription"/>
      </w:pPr>
      <w:r>
        <w:t>Every patient is counted a single time for each applicable specific adverse event with highest severity.</w:t>
      </w:r>
    </w:p>
    <w:p w14:paraId="7D1031D1" w14:textId="3116C6E4" w:rsidR="00312604" w:rsidRDefault="00312604" w:rsidP="00312604">
      <w:pPr>
        <w:pStyle w:val="TableDescription"/>
      </w:pPr>
      <w:r>
        <w:t>A patient with multiple adverse events within a system organ class is counted a single time for that system organ class with highest severity.</w:t>
      </w:r>
    </w:p>
    <w:p w14:paraId="40C2A330" w14:textId="77777777" w:rsidR="00312604" w:rsidRDefault="00312604" w:rsidP="00312604">
      <w:pPr>
        <w:pStyle w:val="TableDescription"/>
      </w:pPr>
      <w:r>
        <w:t>Coded using MedDRA version v18.0 and NCI CTCAE version 4.03.</w:t>
      </w:r>
    </w:p>
    <w:p w14:paraId="711CBEEE" w14:textId="58877CE5" w:rsidR="00F37A41" w:rsidRDefault="00312604" w:rsidP="00312604">
      <w:pPr>
        <w:pStyle w:val="TableDescription"/>
      </w:pPr>
      <w:r>
        <w:t>The safety set comprises all patients that have had at least one administration of study drug in the treatment period.</w:t>
      </w:r>
    </w:p>
    <w:p w14:paraId="69FB3C4E" w14:textId="77777777" w:rsidR="00982D50" w:rsidRPr="00982D50" w:rsidRDefault="00982D50" w:rsidP="00982D50">
      <w:pPr>
        <w:pStyle w:val="TableDescription"/>
        <w:rPr>
          <w:lang w:val="en-US"/>
        </w:rPr>
      </w:pPr>
      <w:r w:rsidRPr="00982D50">
        <w:rPr>
          <w:lang w:val="en-US"/>
        </w:rPr>
        <w:t>The most frequent SAEs in ERASMUS were pancytopenia (10%), diarrhea (6%), abdominal pain (6%), anemia (5%); nausea, vomiting, and pyrexia (4% each); thrombocytopenia, constipation, pneumonia, dehydration, and dyspnea (3% each).</w:t>
      </w:r>
    </w:p>
    <w:p w14:paraId="664574BE" w14:textId="77777777" w:rsidR="00982D50" w:rsidRPr="00982D50" w:rsidRDefault="00982D50" w:rsidP="00046562">
      <w:pPr>
        <w:pStyle w:val="Heading6"/>
        <w:rPr>
          <w:rFonts w:eastAsia="Cambria"/>
        </w:rPr>
      </w:pPr>
      <w:r w:rsidRPr="00982D50">
        <w:rPr>
          <w:rFonts w:eastAsia="Cambria"/>
        </w:rPr>
        <w:t>Organ toxicities</w:t>
      </w:r>
    </w:p>
    <w:p w14:paraId="6F501457" w14:textId="48301B04" w:rsidR="009C7E82" w:rsidRDefault="00896B72" w:rsidP="00896B72">
      <w:pPr>
        <w:pStyle w:val="Heading7"/>
      </w:pPr>
      <w:r w:rsidRPr="00896B72">
        <w:t>Hepatic Toxicity</w:t>
      </w:r>
    </w:p>
    <w:p w14:paraId="119C9942" w14:textId="15155AFB" w:rsidR="00982D50" w:rsidRPr="00982D50" w:rsidRDefault="00982D50" w:rsidP="002F5D22">
      <w:r w:rsidRPr="00982D50">
        <w:t xml:space="preserve">Two cases of hepatic toxicity in the NETTER-1 study in the </w:t>
      </w:r>
      <w:r w:rsidR="00CE3296">
        <w:t>Lutathera</w:t>
      </w:r>
      <w:r w:rsidRPr="00982D50">
        <w:t xml:space="preserve"> arm were attributed to hepatic tumour burden.</w:t>
      </w:r>
    </w:p>
    <w:p w14:paraId="3FB03299" w14:textId="77777777" w:rsidR="00982D50" w:rsidRPr="00982D50" w:rsidRDefault="00982D50" w:rsidP="00046562">
      <w:pPr>
        <w:pStyle w:val="Heading7"/>
        <w:rPr>
          <w:rFonts w:eastAsia="Cambria"/>
        </w:rPr>
      </w:pPr>
      <w:r w:rsidRPr="00982D50">
        <w:rPr>
          <w:rFonts w:eastAsia="Cambria"/>
        </w:rPr>
        <w:t>Nephrotoxicity</w:t>
      </w:r>
    </w:p>
    <w:p w14:paraId="6591E535" w14:textId="77777777" w:rsidR="00982D50" w:rsidRPr="00982D50" w:rsidRDefault="00982D50" w:rsidP="002F5D22">
      <w:r w:rsidRPr="00982D50">
        <w:t>In NETTER-1, with a median duration of follow-up of 19 months, no clinically meaningful difference was noted between study arm over time in either creatinine or creatinine clearance. In the final analysis, 1 patient had an event of blood creatinine increased (Investigator assessed it as caused by underlying disease) that worsened from grade 1 to grade 3, and the event was ongoing at the final data cut-off. The overall incidence of nephrotoxicity events was unchanged from what was reported previously.</w:t>
      </w:r>
    </w:p>
    <w:p w14:paraId="59666A7E" w14:textId="2632BDFA" w:rsidR="00982D50" w:rsidRPr="00982D50" w:rsidRDefault="00982D50" w:rsidP="002F5D22">
      <w:pPr>
        <w:rPr>
          <w:lang w:val="en-US"/>
        </w:rPr>
      </w:pPr>
      <w:r w:rsidRPr="00982D50">
        <w:rPr>
          <w:lang w:val="en-US"/>
        </w:rPr>
        <w:t>In ERASMUS, the incidence of renal failure (including PTs of renal failure and renal impairment)</w:t>
      </w:r>
      <w:r w:rsidR="00046562">
        <w:rPr>
          <w:lang w:val="en-US"/>
        </w:rPr>
        <w:t xml:space="preserve"> </w:t>
      </w:r>
      <w:r w:rsidRPr="00982D50">
        <w:rPr>
          <w:lang w:val="en-US"/>
        </w:rPr>
        <w:t>was 2%.</w:t>
      </w:r>
    </w:p>
    <w:p w14:paraId="491041A9" w14:textId="77777777" w:rsidR="00982D50" w:rsidRPr="00982D50" w:rsidRDefault="00982D50" w:rsidP="00046562">
      <w:pPr>
        <w:pStyle w:val="Heading7"/>
        <w:rPr>
          <w:rFonts w:eastAsia="Cambria"/>
        </w:rPr>
      </w:pPr>
      <w:r w:rsidRPr="00982D50">
        <w:rPr>
          <w:rFonts w:eastAsia="Cambria"/>
        </w:rPr>
        <w:t>Haematological toxicity</w:t>
      </w:r>
    </w:p>
    <w:p w14:paraId="0FB3BABA" w14:textId="1F0722A1" w:rsidR="00982D50" w:rsidRPr="00982D50" w:rsidRDefault="00982D50" w:rsidP="002F5D22">
      <w:pPr>
        <w:rPr>
          <w:lang w:val="en-US"/>
        </w:rPr>
      </w:pPr>
      <w:proofErr w:type="spellStart"/>
      <w:r w:rsidRPr="00982D50">
        <w:rPr>
          <w:lang w:val="en-US"/>
        </w:rPr>
        <w:t>Haematological</w:t>
      </w:r>
      <w:proofErr w:type="spellEnd"/>
      <w:r w:rsidRPr="00982D50">
        <w:rPr>
          <w:lang w:val="en-US"/>
        </w:rPr>
        <w:t xml:space="preserve"> toxicity was expected based on the estimated cumulative radiation absorbed dose to the red marrow (Gy: mean=1.0; SD=0.8) for 4 treatment cycles of </w:t>
      </w:r>
      <w:r w:rsidR="00CE3296">
        <w:rPr>
          <w:lang w:val="en-US"/>
        </w:rPr>
        <w:t>Lutathera</w:t>
      </w:r>
      <w:r w:rsidRPr="00982D50">
        <w:rPr>
          <w:lang w:val="en-US"/>
        </w:rPr>
        <w:t xml:space="preserve"> in NETTER-1. In the early analyses, lymphopenia (all grades) was the most frequent hematologic toxicity, in 90% of the </w:t>
      </w:r>
      <w:r w:rsidR="00CE3296">
        <w:rPr>
          <w:lang w:val="en-US"/>
        </w:rPr>
        <w:t>Lutathera</w:t>
      </w:r>
      <w:r w:rsidRPr="00982D50">
        <w:rPr>
          <w:lang w:val="en-US"/>
        </w:rPr>
        <w:t xml:space="preserve"> arm. Grade 3-4 lymphopenia was seen in 44% of </w:t>
      </w:r>
      <w:r w:rsidR="00CE3296">
        <w:rPr>
          <w:lang w:val="en-US"/>
        </w:rPr>
        <w:t>Lutathera</w:t>
      </w:r>
      <w:r w:rsidRPr="00982D50">
        <w:rPr>
          <w:lang w:val="en-US"/>
        </w:rPr>
        <w:t xml:space="preserve"> treated patients. Anemia, leukopenia, thrombocytopenia, and neutropenia were also common, occurring </w:t>
      </w:r>
      <w:r w:rsidRPr="00982D50">
        <w:rPr>
          <w:lang w:val="en-US"/>
        </w:rPr>
        <w:lastRenderedPageBreak/>
        <w:t xml:space="preserve">in 81%, 55%, 53%, and 26% of </w:t>
      </w:r>
      <w:r w:rsidR="00CE3296">
        <w:rPr>
          <w:lang w:val="en-US"/>
        </w:rPr>
        <w:t>Lutathera</w:t>
      </w:r>
      <w:r w:rsidRPr="00982D50">
        <w:rPr>
          <w:lang w:val="en-US"/>
        </w:rPr>
        <w:t xml:space="preserve"> arm, respectively (all grades). Grade 3-4 neutropenia, leukopenia and thrombocytopenia occurring in 3%, 2%, and 1%, of the </w:t>
      </w:r>
      <w:r w:rsidR="00CE3296">
        <w:rPr>
          <w:lang w:val="en-US"/>
        </w:rPr>
        <w:t>Lutathera</w:t>
      </w:r>
      <w:r w:rsidRPr="00982D50">
        <w:rPr>
          <w:lang w:val="en-US"/>
        </w:rPr>
        <w:t xml:space="preserve"> arm, respectively.</w:t>
      </w:r>
    </w:p>
    <w:p w14:paraId="7D0F2C3C" w14:textId="4B271708" w:rsidR="00982D50" w:rsidRDefault="00982D50" w:rsidP="007C5A0E">
      <w:pPr>
        <w:rPr>
          <w:lang w:val="en-US"/>
        </w:rPr>
      </w:pPr>
      <w:r w:rsidRPr="00982D50">
        <w:rPr>
          <w:lang w:val="en-US"/>
        </w:rPr>
        <w:t>In at least one SAE, lymphopenia may have contributed to susceptibility to an opportunistic infection (</w:t>
      </w:r>
      <w:r w:rsidR="00CE7645">
        <w:rPr>
          <w:i/>
          <w:iCs/>
          <w:lang w:val="en-US"/>
        </w:rPr>
        <w:t>P</w:t>
      </w:r>
      <w:r w:rsidRPr="00115ACB">
        <w:rPr>
          <w:i/>
          <w:iCs/>
          <w:lang w:val="en-US"/>
        </w:rPr>
        <w:t xml:space="preserve">neumocystis </w:t>
      </w:r>
      <w:proofErr w:type="spellStart"/>
      <w:r w:rsidRPr="00115ACB">
        <w:rPr>
          <w:i/>
          <w:iCs/>
          <w:lang w:val="en-US"/>
        </w:rPr>
        <w:t>jirovicii</w:t>
      </w:r>
      <w:proofErr w:type="spellEnd"/>
      <w:r w:rsidRPr="00982D50">
        <w:rPr>
          <w:lang w:val="en-US"/>
        </w:rPr>
        <w:t xml:space="preserve"> pneumonia).</w:t>
      </w:r>
    </w:p>
    <w:p w14:paraId="16963634" w14:textId="701C116E" w:rsidR="008D22C7" w:rsidRPr="008D22C7" w:rsidRDefault="008D22C7" w:rsidP="007C5A0E">
      <w:pPr>
        <w:rPr>
          <w:lang w:val="en-US"/>
        </w:rPr>
      </w:pPr>
      <w:r w:rsidRPr="008D22C7">
        <w:rPr>
          <w:lang w:val="en-US"/>
        </w:rPr>
        <w:t xml:space="preserve">In the final analysis, </w:t>
      </w:r>
      <w:proofErr w:type="gramStart"/>
      <w:r w:rsidRPr="008D22C7">
        <w:rPr>
          <w:lang w:val="en-US"/>
        </w:rPr>
        <w:t>no</w:t>
      </w:r>
      <w:proofErr w:type="gramEnd"/>
      <w:r w:rsidRPr="008D22C7">
        <w:rPr>
          <w:lang w:val="en-US"/>
        </w:rPr>
        <w:t xml:space="preserve"> major differences between the </w:t>
      </w:r>
      <w:r w:rsidR="00CE3296">
        <w:rPr>
          <w:lang w:val="en-US"/>
        </w:rPr>
        <w:t>Lutathera</w:t>
      </w:r>
      <w:r w:rsidRPr="008D22C7">
        <w:rPr>
          <w:lang w:val="en-US"/>
        </w:rPr>
        <w:t xml:space="preserve"> and the Octreotide LAR groups: </w:t>
      </w:r>
      <w:proofErr w:type="spellStart"/>
      <w:r w:rsidRPr="008D22C7">
        <w:rPr>
          <w:lang w:val="en-US"/>
        </w:rPr>
        <w:t>anaemia</w:t>
      </w:r>
      <w:proofErr w:type="spellEnd"/>
      <w:r w:rsidRPr="008D22C7">
        <w:rPr>
          <w:lang w:val="en-US"/>
        </w:rPr>
        <w:t xml:space="preserve"> (55.9% vs. 48.2%), lymphopenia (50.5% vs. 33.9%), leukopenia (20.7% vs. 21.4%), neutropenia (9.0% vs. 13.4%), and </w:t>
      </w:r>
      <w:proofErr w:type="spellStart"/>
      <w:r w:rsidRPr="008D22C7">
        <w:rPr>
          <w:lang w:val="en-US"/>
        </w:rPr>
        <w:t>thrombocytopaenia</w:t>
      </w:r>
      <w:proofErr w:type="spellEnd"/>
      <w:r w:rsidRPr="008D22C7">
        <w:rPr>
          <w:lang w:val="en-US"/>
        </w:rPr>
        <w:t xml:space="preserve"> (21.6% vs. 20.5%). No toxicities of grade ≥ 3 had &gt;2% difference in frequency between the groups.</w:t>
      </w:r>
    </w:p>
    <w:p w14:paraId="1BAA3758" w14:textId="77777777" w:rsidR="008D22C7" w:rsidRPr="008D22C7" w:rsidRDefault="008D22C7" w:rsidP="008D22C7">
      <w:pPr>
        <w:pStyle w:val="Heading7"/>
        <w:rPr>
          <w:lang w:val="en-US"/>
        </w:rPr>
      </w:pPr>
      <w:r w:rsidRPr="008D22C7">
        <w:rPr>
          <w:lang w:val="en-US"/>
        </w:rPr>
        <w:t>Thrombocytopenia</w:t>
      </w:r>
    </w:p>
    <w:p w14:paraId="6C19E543" w14:textId="426006A9" w:rsidR="008D22C7" w:rsidRPr="008D22C7" w:rsidRDefault="008D22C7" w:rsidP="007C5A0E">
      <w:pPr>
        <w:rPr>
          <w:lang w:val="en-US"/>
        </w:rPr>
      </w:pPr>
      <w:r w:rsidRPr="008D22C7">
        <w:rPr>
          <w:lang w:val="en-US"/>
        </w:rPr>
        <w:t xml:space="preserve">In the NETTER-1 study, the mean time to platelet count nadir in </w:t>
      </w:r>
      <w:r w:rsidR="00CE3296">
        <w:rPr>
          <w:lang w:val="en-US"/>
        </w:rPr>
        <w:t>Lutathera</w:t>
      </w:r>
      <w:r w:rsidRPr="008D22C7">
        <w:rPr>
          <w:lang w:val="en-US"/>
        </w:rPr>
        <w:t xml:space="preserve"> arm was 5.5 months.</w:t>
      </w:r>
    </w:p>
    <w:p w14:paraId="387D2151" w14:textId="1EAE5BE2" w:rsidR="008D22C7" w:rsidRPr="008D22C7" w:rsidRDefault="008D22C7" w:rsidP="007C5A0E">
      <w:pPr>
        <w:rPr>
          <w:lang w:val="en-US"/>
        </w:rPr>
      </w:pPr>
      <w:r w:rsidRPr="008D22C7">
        <w:rPr>
          <w:lang w:val="en-US"/>
        </w:rPr>
        <w:t xml:space="preserve">Approximately one third of the </w:t>
      </w:r>
      <w:r w:rsidR="00CE3296">
        <w:rPr>
          <w:lang w:val="en-US"/>
        </w:rPr>
        <w:t>Lutathera</w:t>
      </w:r>
      <w:r w:rsidRPr="008D22C7">
        <w:rPr>
          <w:lang w:val="en-US"/>
        </w:rPr>
        <w:t xml:space="preserve"> arm who developed </w:t>
      </w:r>
      <w:proofErr w:type="gramStart"/>
      <w:r w:rsidRPr="008D22C7">
        <w:rPr>
          <w:lang w:val="en-US"/>
        </w:rPr>
        <w:t>thrombocytopenia,</w:t>
      </w:r>
      <w:proofErr w:type="gramEnd"/>
      <w:r w:rsidRPr="008D22C7">
        <w:rPr>
          <w:lang w:val="en-US"/>
        </w:rPr>
        <w:t xml:space="preserve"> recovered to baseline platelet counts or higher during follow-up. Of the patients who did not recover to baseline platelet counts</w:t>
      </w:r>
      <w:proofErr w:type="gramStart"/>
      <w:r w:rsidRPr="008D22C7">
        <w:rPr>
          <w:lang w:val="en-US"/>
        </w:rPr>
        <w:t>, all but</w:t>
      </w:r>
      <w:proofErr w:type="gramEnd"/>
      <w:r w:rsidRPr="008D22C7">
        <w:rPr>
          <w:lang w:val="en-US"/>
        </w:rPr>
        <w:t xml:space="preserve"> one patient who remained at Grade 3, recovered to Grade 2 platelet counts or higher.</w:t>
      </w:r>
    </w:p>
    <w:p w14:paraId="33740282" w14:textId="77777777" w:rsidR="008D22C7" w:rsidRPr="008D22C7" w:rsidRDefault="008D22C7" w:rsidP="008D22C7">
      <w:pPr>
        <w:pStyle w:val="Heading7"/>
        <w:rPr>
          <w:lang w:val="en-US"/>
        </w:rPr>
      </w:pPr>
      <w:r w:rsidRPr="008D22C7">
        <w:rPr>
          <w:lang w:val="en-US"/>
        </w:rPr>
        <w:t>Laboratory Findings</w:t>
      </w:r>
    </w:p>
    <w:p w14:paraId="5DF83398" w14:textId="62C69060" w:rsidR="008D22C7" w:rsidRPr="00982D50" w:rsidRDefault="008D22C7" w:rsidP="0041012C">
      <w:pPr>
        <w:rPr>
          <w:lang w:val="en-US"/>
        </w:rPr>
      </w:pPr>
      <w:r w:rsidRPr="008D22C7">
        <w:rPr>
          <w:lang w:val="en-US"/>
        </w:rPr>
        <w:t xml:space="preserve">A summary of the laboratory findings from NETTER-1 is </w:t>
      </w:r>
      <w:r w:rsidR="003D40E1">
        <w:rPr>
          <w:lang w:val="en-US"/>
        </w:rPr>
        <w:t>show</w:t>
      </w:r>
      <w:r w:rsidR="00B87D5E">
        <w:rPr>
          <w:lang w:val="en-US"/>
        </w:rPr>
        <w:t>n</w:t>
      </w:r>
      <w:r w:rsidR="003D40E1">
        <w:rPr>
          <w:lang w:val="en-US"/>
        </w:rPr>
        <w:t xml:space="preserve"> in Table </w:t>
      </w:r>
      <w:r w:rsidR="004545C8">
        <w:rPr>
          <w:lang w:val="en-US"/>
        </w:rPr>
        <w:t>12</w:t>
      </w:r>
      <w:r w:rsidRPr="008D22C7">
        <w:rPr>
          <w:lang w:val="en-US"/>
        </w:rPr>
        <w:t>. The Delegate notes that not all the abnormal laboratory findings met the criteria for adverse events.</w:t>
      </w:r>
    </w:p>
    <w:p w14:paraId="4A8D6562" w14:textId="47E3135A" w:rsidR="00520A3A" w:rsidRDefault="00CC1472" w:rsidP="0041012C">
      <w:pPr>
        <w:pStyle w:val="TableTitle"/>
        <w:rPr>
          <w:lang w:val="en-US"/>
        </w:rPr>
      </w:pPr>
      <w:r w:rsidRPr="00CC1472">
        <w:rPr>
          <w:lang w:val="en-US"/>
        </w:rPr>
        <w:t xml:space="preserve">Table </w:t>
      </w:r>
      <w:r w:rsidR="004545C8">
        <w:rPr>
          <w:lang w:val="en-US"/>
        </w:rPr>
        <w:t>12.</w:t>
      </w:r>
      <w:r w:rsidRPr="00CC1472">
        <w:rPr>
          <w:lang w:val="en-US"/>
        </w:rPr>
        <w:t xml:space="preserve"> Summary of laboratory findings from NETTER-1</w:t>
      </w:r>
    </w:p>
    <w:tbl>
      <w:tblPr>
        <w:tblStyle w:val="TableGrid"/>
        <w:tblW w:w="0" w:type="auto"/>
        <w:tblBorders>
          <w:top w:val="single" w:sz="4" w:space="0" w:color="263287"/>
          <w:left w:val="single" w:sz="4" w:space="0" w:color="263287"/>
          <w:bottom w:val="single" w:sz="4" w:space="0" w:color="263287"/>
          <w:right w:val="single" w:sz="4" w:space="0" w:color="263287"/>
          <w:insideH w:val="single" w:sz="4" w:space="0" w:color="263287"/>
          <w:insideV w:val="single" w:sz="4" w:space="0" w:color="263287"/>
        </w:tblBorders>
        <w:tblLook w:val="04A0" w:firstRow="1" w:lastRow="0" w:firstColumn="1" w:lastColumn="0" w:noHBand="0" w:noVBand="1"/>
        <w:tblDescription w:val="Table 12. Summary of laboratory findings from NETTER-1"/>
      </w:tblPr>
      <w:tblGrid>
        <w:gridCol w:w="3184"/>
        <w:gridCol w:w="1347"/>
        <w:gridCol w:w="1418"/>
        <w:gridCol w:w="1417"/>
        <w:gridCol w:w="1418"/>
      </w:tblGrid>
      <w:tr w:rsidR="001E070D" w:rsidRPr="00574BA1" w14:paraId="61A124F3" w14:textId="77777777" w:rsidTr="00092B4A">
        <w:tc>
          <w:tcPr>
            <w:tcW w:w="0" w:type="auto"/>
            <w:vMerge w:val="restart"/>
            <w:shd w:val="clear" w:color="auto" w:fill="DEEAF6"/>
            <w:noWrap/>
            <w:hideMark/>
          </w:tcPr>
          <w:p w14:paraId="3052ED2D" w14:textId="77777777" w:rsidR="001E070D" w:rsidRPr="00992652" w:rsidRDefault="001E070D" w:rsidP="00220736">
            <w:r w:rsidRPr="00992652">
              <w:t>Laboratory Abnormality</w:t>
            </w:r>
          </w:p>
        </w:tc>
        <w:tc>
          <w:tcPr>
            <w:tcW w:w="2765" w:type="dxa"/>
            <w:gridSpan w:val="2"/>
            <w:shd w:val="clear" w:color="auto" w:fill="DEEAF6"/>
            <w:noWrap/>
            <w:hideMark/>
          </w:tcPr>
          <w:p w14:paraId="7F009FA7" w14:textId="1E81E792" w:rsidR="001E070D" w:rsidRPr="00992652" w:rsidRDefault="00CE3296" w:rsidP="00220736">
            <w:r>
              <w:t>Lutathera</w:t>
            </w:r>
          </w:p>
          <w:p w14:paraId="5211A712" w14:textId="215D73F7" w:rsidR="001E070D" w:rsidRPr="00992652" w:rsidRDefault="001E070D" w:rsidP="00220736">
            <w:r w:rsidRPr="00992652">
              <w:t>N = 111 </w:t>
            </w:r>
          </w:p>
        </w:tc>
        <w:tc>
          <w:tcPr>
            <w:tcW w:w="2835" w:type="dxa"/>
            <w:gridSpan w:val="2"/>
            <w:shd w:val="clear" w:color="auto" w:fill="DEEAF6"/>
            <w:noWrap/>
            <w:hideMark/>
          </w:tcPr>
          <w:p w14:paraId="255EA09E" w14:textId="77777777" w:rsidR="001E070D" w:rsidRPr="00992652" w:rsidRDefault="001E070D" w:rsidP="00220736">
            <w:r w:rsidRPr="00992652">
              <w:t>Octreotide LAR</w:t>
            </w:r>
          </w:p>
          <w:p w14:paraId="5364EB3B" w14:textId="3B402F49" w:rsidR="001E070D" w:rsidRPr="00992652" w:rsidRDefault="001E070D" w:rsidP="00220736">
            <w:r w:rsidRPr="00992652">
              <w:t>N = 112 </w:t>
            </w:r>
          </w:p>
        </w:tc>
      </w:tr>
      <w:tr w:rsidR="00F74314" w:rsidRPr="00574BA1" w14:paraId="2AAD1299" w14:textId="77777777" w:rsidTr="00092B4A">
        <w:trPr>
          <w:trHeight w:val="766"/>
        </w:trPr>
        <w:tc>
          <w:tcPr>
            <w:tcW w:w="0" w:type="auto"/>
            <w:vMerge/>
            <w:shd w:val="clear" w:color="auto" w:fill="DEEAF6"/>
            <w:hideMark/>
          </w:tcPr>
          <w:p w14:paraId="5CB3634B" w14:textId="77777777" w:rsidR="00F74314" w:rsidRPr="00992652" w:rsidRDefault="00F74314" w:rsidP="00220736"/>
        </w:tc>
        <w:tc>
          <w:tcPr>
            <w:tcW w:w="1347" w:type="dxa"/>
            <w:shd w:val="clear" w:color="auto" w:fill="DEEAF6"/>
            <w:noWrap/>
            <w:hideMark/>
          </w:tcPr>
          <w:p w14:paraId="68F5138D" w14:textId="0C49B7DA" w:rsidR="00F74314" w:rsidRPr="00992652" w:rsidRDefault="00F74314" w:rsidP="00220736">
            <w:r w:rsidRPr="00992652">
              <w:t>Grades</w:t>
            </w:r>
            <w:r w:rsidR="0091358F">
              <w:t xml:space="preserve"> </w:t>
            </w:r>
            <w:r w:rsidRPr="00992652">
              <w:t>1-4</w:t>
            </w:r>
          </w:p>
        </w:tc>
        <w:tc>
          <w:tcPr>
            <w:tcW w:w="1418" w:type="dxa"/>
            <w:shd w:val="clear" w:color="auto" w:fill="DEEAF6"/>
            <w:noWrap/>
            <w:hideMark/>
          </w:tcPr>
          <w:p w14:paraId="1CFC0A3A" w14:textId="6FA25101" w:rsidR="00F74314" w:rsidRPr="00992652" w:rsidRDefault="00F74314" w:rsidP="00220736">
            <w:r w:rsidRPr="00992652">
              <w:t>Grades</w:t>
            </w:r>
            <w:r w:rsidR="0091358F">
              <w:t xml:space="preserve"> </w:t>
            </w:r>
            <w:r w:rsidRPr="00992652">
              <w:t>3-4</w:t>
            </w:r>
          </w:p>
        </w:tc>
        <w:tc>
          <w:tcPr>
            <w:tcW w:w="1417" w:type="dxa"/>
            <w:shd w:val="clear" w:color="auto" w:fill="DEEAF6"/>
            <w:noWrap/>
            <w:hideMark/>
          </w:tcPr>
          <w:p w14:paraId="0C210C2B" w14:textId="3DB7C8C3" w:rsidR="00F74314" w:rsidRPr="00992652" w:rsidRDefault="00F74314" w:rsidP="00220736">
            <w:r w:rsidRPr="00992652">
              <w:t>Grades</w:t>
            </w:r>
            <w:r w:rsidR="0091358F">
              <w:t xml:space="preserve"> </w:t>
            </w:r>
            <w:r w:rsidRPr="00992652">
              <w:t>1-4</w:t>
            </w:r>
          </w:p>
        </w:tc>
        <w:tc>
          <w:tcPr>
            <w:tcW w:w="1418" w:type="dxa"/>
            <w:shd w:val="clear" w:color="auto" w:fill="DEEAF6"/>
            <w:noWrap/>
            <w:hideMark/>
          </w:tcPr>
          <w:p w14:paraId="6ADC90D4" w14:textId="669DB636" w:rsidR="00F74314" w:rsidRPr="00992652" w:rsidRDefault="00F74314" w:rsidP="00220736">
            <w:r w:rsidRPr="00992652">
              <w:t>Grades</w:t>
            </w:r>
            <w:r w:rsidR="0091358F">
              <w:t xml:space="preserve"> </w:t>
            </w:r>
            <w:r w:rsidRPr="00992652">
              <w:t>3-4</w:t>
            </w:r>
          </w:p>
        </w:tc>
      </w:tr>
      <w:tr w:rsidR="00092B4A" w:rsidRPr="00574BA1" w14:paraId="7383E0FC" w14:textId="77777777" w:rsidTr="00A91B30">
        <w:tc>
          <w:tcPr>
            <w:tcW w:w="0" w:type="auto"/>
            <w:vMerge/>
            <w:hideMark/>
          </w:tcPr>
          <w:p w14:paraId="17D6DEE6" w14:textId="77777777" w:rsidR="00092B4A" w:rsidRPr="00574BA1" w:rsidRDefault="00092B4A" w:rsidP="00220736"/>
        </w:tc>
        <w:tc>
          <w:tcPr>
            <w:tcW w:w="5600" w:type="dxa"/>
            <w:gridSpan w:val="4"/>
            <w:noWrap/>
            <w:hideMark/>
          </w:tcPr>
          <w:p w14:paraId="5B735B56" w14:textId="40B44179" w:rsidR="00092B4A" w:rsidRPr="00574BA1" w:rsidRDefault="00092B4A" w:rsidP="00220736">
            <w:r w:rsidRPr="00574BA1">
              <w:t>%</w:t>
            </w:r>
          </w:p>
        </w:tc>
      </w:tr>
      <w:tr w:rsidR="00FD4DC3" w:rsidRPr="00574BA1" w14:paraId="58ADE874" w14:textId="77777777" w:rsidTr="00092B4A">
        <w:tc>
          <w:tcPr>
            <w:tcW w:w="0" w:type="auto"/>
            <w:noWrap/>
            <w:hideMark/>
          </w:tcPr>
          <w:p w14:paraId="255B0F39" w14:textId="77777777" w:rsidR="00FD4DC3" w:rsidRPr="00574BA1" w:rsidRDefault="00FD4DC3" w:rsidP="00220736">
            <w:r w:rsidRPr="00574BA1">
              <w:t>Hematology</w:t>
            </w:r>
          </w:p>
        </w:tc>
        <w:tc>
          <w:tcPr>
            <w:tcW w:w="5600" w:type="dxa"/>
            <w:gridSpan w:val="4"/>
            <w:noWrap/>
            <w:hideMark/>
          </w:tcPr>
          <w:p w14:paraId="3163B1EF" w14:textId="77777777" w:rsidR="00FD4DC3" w:rsidRPr="00574BA1" w:rsidRDefault="00FD4DC3" w:rsidP="00220736">
            <w:r w:rsidRPr="00574BA1">
              <w:t> </w:t>
            </w:r>
          </w:p>
        </w:tc>
      </w:tr>
      <w:tr w:rsidR="00FD4DC3" w:rsidRPr="00574BA1" w14:paraId="37E7F891" w14:textId="77777777" w:rsidTr="00092B4A">
        <w:tc>
          <w:tcPr>
            <w:tcW w:w="0" w:type="auto"/>
            <w:noWrap/>
            <w:hideMark/>
          </w:tcPr>
          <w:p w14:paraId="22BB80AF" w14:textId="77777777" w:rsidR="00FD4DC3" w:rsidRPr="00574BA1" w:rsidRDefault="00FD4DC3" w:rsidP="00220736">
            <w:r w:rsidRPr="00574BA1">
              <w:t>Lymphopenia</w:t>
            </w:r>
          </w:p>
        </w:tc>
        <w:tc>
          <w:tcPr>
            <w:tcW w:w="1347" w:type="dxa"/>
            <w:noWrap/>
            <w:hideMark/>
          </w:tcPr>
          <w:p w14:paraId="0E448B8D" w14:textId="77777777" w:rsidR="00FD4DC3" w:rsidRPr="00574BA1" w:rsidRDefault="00FD4DC3" w:rsidP="00220736">
            <w:r w:rsidRPr="00574BA1">
              <w:t>90</w:t>
            </w:r>
          </w:p>
        </w:tc>
        <w:tc>
          <w:tcPr>
            <w:tcW w:w="1418" w:type="dxa"/>
            <w:noWrap/>
            <w:hideMark/>
          </w:tcPr>
          <w:p w14:paraId="76AA48C1" w14:textId="77777777" w:rsidR="00FD4DC3" w:rsidRPr="00574BA1" w:rsidRDefault="00FD4DC3" w:rsidP="00220736">
            <w:r w:rsidRPr="00574BA1">
              <w:t>44</w:t>
            </w:r>
          </w:p>
        </w:tc>
        <w:tc>
          <w:tcPr>
            <w:tcW w:w="1417" w:type="dxa"/>
            <w:noWrap/>
            <w:hideMark/>
          </w:tcPr>
          <w:p w14:paraId="7DB61E94" w14:textId="77777777" w:rsidR="00FD4DC3" w:rsidRPr="00574BA1" w:rsidRDefault="00FD4DC3" w:rsidP="00220736">
            <w:r w:rsidRPr="00574BA1">
              <w:t>39</w:t>
            </w:r>
          </w:p>
        </w:tc>
        <w:tc>
          <w:tcPr>
            <w:tcW w:w="1418" w:type="dxa"/>
            <w:noWrap/>
            <w:hideMark/>
          </w:tcPr>
          <w:p w14:paraId="4EC00761" w14:textId="77777777" w:rsidR="00FD4DC3" w:rsidRPr="00574BA1" w:rsidRDefault="00FD4DC3" w:rsidP="00220736">
            <w:r w:rsidRPr="00574BA1">
              <w:t>4</w:t>
            </w:r>
          </w:p>
        </w:tc>
      </w:tr>
      <w:tr w:rsidR="00FD4DC3" w:rsidRPr="00574BA1" w14:paraId="02A69DD4" w14:textId="77777777" w:rsidTr="00092B4A">
        <w:tc>
          <w:tcPr>
            <w:tcW w:w="0" w:type="auto"/>
            <w:noWrap/>
            <w:hideMark/>
          </w:tcPr>
          <w:p w14:paraId="5937B4D5" w14:textId="769D9F71" w:rsidR="00FD4DC3" w:rsidRPr="00574BA1" w:rsidRDefault="00FD4DC3" w:rsidP="00220736">
            <w:r w:rsidRPr="00574BA1">
              <w:t>An</w:t>
            </w:r>
            <w:r w:rsidR="00B87D5E">
              <w:t>a</w:t>
            </w:r>
            <w:r w:rsidRPr="00574BA1">
              <w:t>emia</w:t>
            </w:r>
          </w:p>
        </w:tc>
        <w:tc>
          <w:tcPr>
            <w:tcW w:w="1347" w:type="dxa"/>
            <w:noWrap/>
            <w:hideMark/>
          </w:tcPr>
          <w:p w14:paraId="49212745" w14:textId="77777777" w:rsidR="00FD4DC3" w:rsidRPr="00574BA1" w:rsidRDefault="00FD4DC3" w:rsidP="00220736">
            <w:r w:rsidRPr="00574BA1">
              <w:t>81</w:t>
            </w:r>
          </w:p>
        </w:tc>
        <w:tc>
          <w:tcPr>
            <w:tcW w:w="1418" w:type="dxa"/>
            <w:noWrap/>
            <w:hideMark/>
          </w:tcPr>
          <w:p w14:paraId="17EC5E61" w14:textId="77777777" w:rsidR="00FD4DC3" w:rsidRPr="00574BA1" w:rsidRDefault="00FD4DC3" w:rsidP="00220736">
            <w:r w:rsidRPr="00574BA1">
              <w:t>0</w:t>
            </w:r>
          </w:p>
        </w:tc>
        <w:tc>
          <w:tcPr>
            <w:tcW w:w="1417" w:type="dxa"/>
            <w:noWrap/>
            <w:hideMark/>
          </w:tcPr>
          <w:p w14:paraId="61ED80AF" w14:textId="77777777" w:rsidR="00FD4DC3" w:rsidRPr="00574BA1" w:rsidRDefault="00FD4DC3" w:rsidP="00220736">
            <w:r w:rsidRPr="00574BA1">
              <w:t>54</w:t>
            </w:r>
          </w:p>
        </w:tc>
        <w:tc>
          <w:tcPr>
            <w:tcW w:w="1418" w:type="dxa"/>
            <w:noWrap/>
            <w:hideMark/>
          </w:tcPr>
          <w:p w14:paraId="6F6EA46B" w14:textId="77777777" w:rsidR="00FD4DC3" w:rsidRPr="00574BA1" w:rsidRDefault="00FD4DC3" w:rsidP="00220736">
            <w:r w:rsidRPr="00574BA1">
              <w:t>1</w:t>
            </w:r>
          </w:p>
        </w:tc>
      </w:tr>
      <w:tr w:rsidR="00FD4DC3" w:rsidRPr="00574BA1" w14:paraId="1853A1AD" w14:textId="77777777" w:rsidTr="00092B4A">
        <w:tc>
          <w:tcPr>
            <w:tcW w:w="0" w:type="auto"/>
            <w:noWrap/>
            <w:hideMark/>
          </w:tcPr>
          <w:p w14:paraId="4D01725B" w14:textId="77777777" w:rsidR="00FD4DC3" w:rsidRPr="00574BA1" w:rsidRDefault="00FD4DC3" w:rsidP="00220736">
            <w:r w:rsidRPr="00574BA1">
              <w:t>Leukopenia</w:t>
            </w:r>
          </w:p>
        </w:tc>
        <w:tc>
          <w:tcPr>
            <w:tcW w:w="1347" w:type="dxa"/>
            <w:noWrap/>
            <w:hideMark/>
          </w:tcPr>
          <w:p w14:paraId="4B8CEA92" w14:textId="77777777" w:rsidR="00FD4DC3" w:rsidRPr="00574BA1" w:rsidRDefault="00FD4DC3" w:rsidP="00220736">
            <w:r w:rsidRPr="00574BA1">
              <w:t>55</w:t>
            </w:r>
          </w:p>
        </w:tc>
        <w:tc>
          <w:tcPr>
            <w:tcW w:w="1418" w:type="dxa"/>
            <w:noWrap/>
            <w:hideMark/>
          </w:tcPr>
          <w:p w14:paraId="780FC7E4" w14:textId="77777777" w:rsidR="00FD4DC3" w:rsidRPr="00574BA1" w:rsidRDefault="00FD4DC3" w:rsidP="00220736">
            <w:r w:rsidRPr="00574BA1">
              <w:t>2</w:t>
            </w:r>
          </w:p>
        </w:tc>
        <w:tc>
          <w:tcPr>
            <w:tcW w:w="1417" w:type="dxa"/>
            <w:noWrap/>
            <w:hideMark/>
          </w:tcPr>
          <w:p w14:paraId="10746267" w14:textId="77777777" w:rsidR="00FD4DC3" w:rsidRPr="00574BA1" w:rsidRDefault="00FD4DC3" w:rsidP="00220736">
            <w:r w:rsidRPr="00574BA1">
              <w:t>20</w:t>
            </w:r>
          </w:p>
        </w:tc>
        <w:tc>
          <w:tcPr>
            <w:tcW w:w="1418" w:type="dxa"/>
            <w:noWrap/>
            <w:hideMark/>
          </w:tcPr>
          <w:p w14:paraId="5BEFC489" w14:textId="77777777" w:rsidR="00FD4DC3" w:rsidRPr="00574BA1" w:rsidRDefault="00FD4DC3" w:rsidP="00220736">
            <w:r w:rsidRPr="00574BA1">
              <w:t>0</w:t>
            </w:r>
          </w:p>
        </w:tc>
      </w:tr>
      <w:tr w:rsidR="00FD4DC3" w:rsidRPr="00574BA1" w14:paraId="67A43D58" w14:textId="77777777" w:rsidTr="00092B4A">
        <w:tc>
          <w:tcPr>
            <w:tcW w:w="0" w:type="auto"/>
            <w:noWrap/>
            <w:hideMark/>
          </w:tcPr>
          <w:p w14:paraId="5B6E1E85" w14:textId="17FAB9D3" w:rsidR="00FD4DC3" w:rsidRPr="00574BA1" w:rsidRDefault="00FD4DC3" w:rsidP="00220736">
            <w:r w:rsidRPr="00574BA1">
              <w:t>Thrombocytop</w:t>
            </w:r>
            <w:r w:rsidR="00B87D5E">
              <w:t>a</w:t>
            </w:r>
            <w:r w:rsidRPr="00574BA1">
              <w:t>enia</w:t>
            </w:r>
          </w:p>
        </w:tc>
        <w:tc>
          <w:tcPr>
            <w:tcW w:w="1347" w:type="dxa"/>
            <w:noWrap/>
            <w:hideMark/>
          </w:tcPr>
          <w:p w14:paraId="2A95C8C2" w14:textId="77777777" w:rsidR="00FD4DC3" w:rsidRPr="00574BA1" w:rsidRDefault="00FD4DC3" w:rsidP="00220736">
            <w:r w:rsidRPr="00574BA1">
              <w:t>53</w:t>
            </w:r>
          </w:p>
        </w:tc>
        <w:tc>
          <w:tcPr>
            <w:tcW w:w="1418" w:type="dxa"/>
            <w:noWrap/>
            <w:hideMark/>
          </w:tcPr>
          <w:p w14:paraId="4F43784B" w14:textId="77777777" w:rsidR="00FD4DC3" w:rsidRPr="00574BA1" w:rsidRDefault="00FD4DC3" w:rsidP="00220736">
            <w:r w:rsidRPr="00574BA1">
              <w:t>1</w:t>
            </w:r>
          </w:p>
        </w:tc>
        <w:tc>
          <w:tcPr>
            <w:tcW w:w="1417" w:type="dxa"/>
            <w:noWrap/>
            <w:hideMark/>
          </w:tcPr>
          <w:p w14:paraId="6A6AA977" w14:textId="77777777" w:rsidR="00FD4DC3" w:rsidRPr="00574BA1" w:rsidRDefault="00FD4DC3" w:rsidP="00220736">
            <w:r w:rsidRPr="00574BA1">
              <w:t>17</w:t>
            </w:r>
          </w:p>
        </w:tc>
        <w:tc>
          <w:tcPr>
            <w:tcW w:w="1418" w:type="dxa"/>
            <w:noWrap/>
            <w:hideMark/>
          </w:tcPr>
          <w:p w14:paraId="18F41A5E" w14:textId="77777777" w:rsidR="00FD4DC3" w:rsidRPr="00574BA1" w:rsidRDefault="00FD4DC3" w:rsidP="00220736">
            <w:r w:rsidRPr="00574BA1">
              <w:t>0</w:t>
            </w:r>
          </w:p>
        </w:tc>
      </w:tr>
      <w:tr w:rsidR="00FD4DC3" w:rsidRPr="00574BA1" w14:paraId="32928851" w14:textId="77777777" w:rsidTr="00092B4A">
        <w:tc>
          <w:tcPr>
            <w:tcW w:w="0" w:type="auto"/>
            <w:noWrap/>
            <w:hideMark/>
          </w:tcPr>
          <w:p w14:paraId="22D257D3" w14:textId="77777777" w:rsidR="00FD4DC3" w:rsidRPr="00574BA1" w:rsidRDefault="00FD4DC3" w:rsidP="00220736">
            <w:r w:rsidRPr="00574BA1">
              <w:t>Neutropenia</w:t>
            </w:r>
          </w:p>
        </w:tc>
        <w:tc>
          <w:tcPr>
            <w:tcW w:w="1347" w:type="dxa"/>
            <w:noWrap/>
            <w:hideMark/>
          </w:tcPr>
          <w:p w14:paraId="7A8000FB" w14:textId="77777777" w:rsidR="00FD4DC3" w:rsidRPr="00574BA1" w:rsidRDefault="00FD4DC3" w:rsidP="00220736">
            <w:r w:rsidRPr="00574BA1">
              <w:t>26</w:t>
            </w:r>
          </w:p>
        </w:tc>
        <w:tc>
          <w:tcPr>
            <w:tcW w:w="1418" w:type="dxa"/>
            <w:noWrap/>
            <w:hideMark/>
          </w:tcPr>
          <w:p w14:paraId="1BB29A64" w14:textId="77777777" w:rsidR="00FD4DC3" w:rsidRPr="00574BA1" w:rsidRDefault="00FD4DC3" w:rsidP="00220736">
            <w:r w:rsidRPr="00574BA1">
              <w:t>3</w:t>
            </w:r>
          </w:p>
        </w:tc>
        <w:tc>
          <w:tcPr>
            <w:tcW w:w="1417" w:type="dxa"/>
            <w:noWrap/>
            <w:hideMark/>
          </w:tcPr>
          <w:p w14:paraId="2DD9B5E3" w14:textId="77777777" w:rsidR="00FD4DC3" w:rsidRPr="00574BA1" w:rsidRDefault="00FD4DC3" w:rsidP="00220736">
            <w:r w:rsidRPr="00574BA1">
              <w:t>11</w:t>
            </w:r>
          </w:p>
        </w:tc>
        <w:tc>
          <w:tcPr>
            <w:tcW w:w="1418" w:type="dxa"/>
            <w:noWrap/>
            <w:hideMark/>
          </w:tcPr>
          <w:p w14:paraId="14238ADA" w14:textId="77777777" w:rsidR="00FD4DC3" w:rsidRPr="00574BA1" w:rsidRDefault="00FD4DC3" w:rsidP="00220736">
            <w:r w:rsidRPr="00574BA1">
              <w:t>0</w:t>
            </w:r>
          </w:p>
        </w:tc>
      </w:tr>
      <w:tr w:rsidR="00FD4DC3" w:rsidRPr="00574BA1" w14:paraId="35BC13A5" w14:textId="77777777" w:rsidTr="00092B4A">
        <w:tc>
          <w:tcPr>
            <w:tcW w:w="0" w:type="auto"/>
            <w:noWrap/>
            <w:hideMark/>
          </w:tcPr>
          <w:p w14:paraId="3A844AF7" w14:textId="77777777" w:rsidR="00FD4DC3" w:rsidRPr="00574BA1" w:rsidRDefault="00FD4DC3" w:rsidP="00220736">
            <w:r w:rsidRPr="00574BA1">
              <w:t>Renal/metabolic</w:t>
            </w:r>
          </w:p>
        </w:tc>
        <w:tc>
          <w:tcPr>
            <w:tcW w:w="5600" w:type="dxa"/>
            <w:gridSpan w:val="4"/>
            <w:noWrap/>
            <w:hideMark/>
          </w:tcPr>
          <w:p w14:paraId="003CC0C6" w14:textId="77777777" w:rsidR="00FD4DC3" w:rsidRPr="00574BA1" w:rsidRDefault="00FD4DC3" w:rsidP="00220736">
            <w:r w:rsidRPr="00574BA1">
              <w:t> </w:t>
            </w:r>
          </w:p>
        </w:tc>
      </w:tr>
      <w:tr w:rsidR="00FD4DC3" w:rsidRPr="00574BA1" w14:paraId="72A647FF" w14:textId="77777777" w:rsidTr="00092B4A">
        <w:tc>
          <w:tcPr>
            <w:tcW w:w="0" w:type="auto"/>
            <w:noWrap/>
            <w:hideMark/>
          </w:tcPr>
          <w:p w14:paraId="0B4A5EC3" w14:textId="77E45C2E" w:rsidR="00FD4DC3" w:rsidRPr="00574BA1" w:rsidRDefault="00234FA3" w:rsidP="00220736">
            <w:r w:rsidRPr="00574BA1">
              <w:t>Hyperglycaemia</w:t>
            </w:r>
          </w:p>
        </w:tc>
        <w:tc>
          <w:tcPr>
            <w:tcW w:w="1347" w:type="dxa"/>
            <w:noWrap/>
            <w:hideMark/>
          </w:tcPr>
          <w:p w14:paraId="3F221B15" w14:textId="77777777" w:rsidR="00FD4DC3" w:rsidRPr="00574BA1" w:rsidRDefault="00FD4DC3" w:rsidP="00220736">
            <w:r w:rsidRPr="00574BA1">
              <w:t>82</w:t>
            </w:r>
          </w:p>
        </w:tc>
        <w:tc>
          <w:tcPr>
            <w:tcW w:w="1418" w:type="dxa"/>
            <w:noWrap/>
            <w:hideMark/>
          </w:tcPr>
          <w:p w14:paraId="1A75CFF8" w14:textId="77777777" w:rsidR="00FD4DC3" w:rsidRPr="00574BA1" w:rsidRDefault="00FD4DC3" w:rsidP="00220736">
            <w:r w:rsidRPr="00574BA1">
              <w:t>4</w:t>
            </w:r>
          </w:p>
        </w:tc>
        <w:tc>
          <w:tcPr>
            <w:tcW w:w="1417" w:type="dxa"/>
            <w:noWrap/>
            <w:hideMark/>
          </w:tcPr>
          <w:p w14:paraId="34B820AE" w14:textId="77777777" w:rsidR="00FD4DC3" w:rsidRPr="00574BA1" w:rsidRDefault="00FD4DC3" w:rsidP="00220736">
            <w:r w:rsidRPr="00574BA1">
              <w:t>67</w:t>
            </w:r>
          </w:p>
        </w:tc>
        <w:tc>
          <w:tcPr>
            <w:tcW w:w="1418" w:type="dxa"/>
            <w:noWrap/>
            <w:hideMark/>
          </w:tcPr>
          <w:p w14:paraId="16CA86E9" w14:textId="77777777" w:rsidR="00FD4DC3" w:rsidRPr="00574BA1" w:rsidRDefault="00FD4DC3" w:rsidP="00220736">
            <w:r w:rsidRPr="00574BA1">
              <w:t>2</w:t>
            </w:r>
          </w:p>
        </w:tc>
      </w:tr>
      <w:tr w:rsidR="00FD4DC3" w:rsidRPr="00574BA1" w14:paraId="54824617" w14:textId="77777777" w:rsidTr="00092B4A">
        <w:tc>
          <w:tcPr>
            <w:tcW w:w="0" w:type="auto"/>
            <w:noWrap/>
            <w:hideMark/>
          </w:tcPr>
          <w:p w14:paraId="7024FA0B" w14:textId="48B4BCD1" w:rsidR="00FD4DC3" w:rsidRPr="00574BA1" w:rsidRDefault="00234FA3" w:rsidP="00220736">
            <w:r w:rsidRPr="00574BA1">
              <w:t>Hypoglycaemia</w:t>
            </w:r>
          </w:p>
        </w:tc>
        <w:tc>
          <w:tcPr>
            <w:tcW w:w="1347" w:type="dxa"/>
            <w:noWrap/>
            <w:hideMark/>
          </w:tcPr>
          <w:p w14:paraId="5599744D" w14:textId="77777777" w:rsidR="00FD4DC3" w:rsidRPr="00574BA1" w:rsidRDefault="00FD4DC3" w:rsidP="00220736">
            <w:r w:rsidRPr="00574BA1">
              <w:t>15</w:t>
            </w:r>
          </w:p>
        </w:tc>
        <w:tc>
          <w:tcPr>
            <w:tcW w:w="1418" w:type="dxa"/>
            <w:noWrap/>
            <w:hideMark/>
          </w:tcPr>
          <w:p w14:paraId="7B0F94FF" w14:textId="77777777" w:rsidR="00FD4DC3" w:rsidRPr="00574BA1" w:rsidRDefault="00FD4DC3" w:rsidP="00220736">
            <w:r w:rsidRPr="00574BA1">
              <w:t>0</w:t>
            </w:r>
          </w:p>
        </w:tc>
        <w:tc>
          <w:tcPr>
            <w:tcW w:w="1417" w:type="dxa"/>
            <w:noWrap/>
            <w:hideMark/>
          </w:tcPr>
          <w:p w14:paraId="1FD3F17A" w14:textId="77777777" w:rsidR="00FD4DC3" w:rsidRPr="00574BA1" w:rsidRDefault="00FD4DC3" w:rsidP="00220736">
            <w:r w:rsidRPr="00574BA1">
              <w:t>8</w:t>
            </w:r>
          </w:p>
        </w:tc>
        <w:tc>
          <w:tcPr>
            <w:tcW w:w="1418" w:type="dxa"/>
            <w:noWrap/>
            <w:hideMark/>
          </w:tcPr>
          <w:p w14:paraId="20E38C18" w14:textId="77777777" w:rsidR="00FD4DC3" w:rsidRPr="00574BA1" w:rsidRDefault="00FD4DC3" w:rsidP="00220736">
            <w:r w:rsidRPr="00574BA1">
              <w:t>0</w:t>
            </w:r>
          </w:p>
        </w:tc>
      </w:tr>
      <w:tr w:rsidR="00FD4DC3" w:rsidRPr="00574BA1" w14:paraId="3C8312C2" w14:textId="77777777" w:rsidTr="00092B4A">
        <w:tc>
          <w:tcPr>
            <w:tcW w:w="0" w:type="auto"/>
            <w:noWrap/>
            <w:hideMark/>
          </w:tcPr>
          <w:p w14:paraId="24C7C43D" w14:textId="2699C52A" w:rsidR="00FD4DC3" w:rsidRPr="00574BA1" w:rsidRDefault="00234FA3" w:rsidP="00220736">
            <w:r w:rsidRPr="00574BA1">
              <w:t>Hypocalcaemia</w:t>
            </w:r>
          </w:p>
        </w:tc>
        <w:tc>
          <w:tcPr>
            <w:tcW w:w="1347" w:type="dxa"/>
            <w:noWrap/>
            <w:hideMark/>
          </w:tcPr>
          <w:p w14:paraId="1EC01082" w14:textId="77777777" w:rsidR="00FD4DC3" w:rsidRPr="00574BA1" w:rsidRDefault="00FD4DC3" w:rsidP="00220736">
            <w:r w:rsidRPr="00574BA1">
              <w:t>32</w:t>
            </w:r>
          </w:p>
        </w:tc>
        <w:tc>
          <w:tcPr>
            <w:tcW w:w="1418" w:type="dxa"/>
            <w:noWrap/>
            <w:hideMark/>
          </w:tcPr>
          <w:p w14:paraId="4946157B" w14:textId="77777777" w:rsidR="00FD4DC3" w:rsidRPr="00574BA1" w:rsidRDefault="00FD4DC3" w:rsidP="00220736">
            <w:r w:rsidRPr="00574BA1">
              <w:t>0</w:t>
            </w:r>
          </w:p>
        </w:tc>
        <w:tc>
          <w:tcPr>
            <w:tcW w:w="1417" w:type="dxa"/>
            <w:noWrap/>
            <w:hideMark/>
          </w:tcPr>
          <w:p w14:paraId="20B2E9C0" w14:textId="77777777" w:rsidR="00FD4DC3" w:rsidRPr="00574BA1" w:rsidRDefault="00FD4DC3" w:rsidP="00220736">
            <w:r w:rsidRPr="00574BA1">
              <w:t>14</w:t>
            </w:r>
          </w:p>
        </w:tc>
        <w:tc>
          <w:tcPr>
            <w:tcW w:w="1418" w:type="dxa"/>
            <w:noWrap/>
            <w:hideMark/>
          </w:tcPr>
          <w:p w14:paraId="0ABE2AF8" w14:textId="77777777" w:rsidR="00FD4DC3" w:rsidRPr="00574BA1" w:rsidRDefault="00FD4DC3" w:rsidP="00220736">
            <w:r w:rsidRPr="00574BA1">
              <w:t>0</w:t>
            </w:r>
          </w:p>
        </w:tc>
      </w:tr>
      <w:tr w:rsidR="00FD4DC3" w:rsidRPr="00574BA1" w14:paraId="26456318" w14:textId="77777777" w:rsidTr="00092B4A">
        <w:tc>
          <w:tcPr>
            <w:tcW w:w="0" w:type="auto"/>
            <w:noWrap/>
            <w:hideMark/>
          </w:tcPr>
          <w:p w14:paraId="0B736BD4" w14:textId="77777777" w:rsidR="00FD4DC3" w:rsidRPr="00574BA1" w:rsidRDefault="00FD4DC3" w:rsidP="00220736">
            <w:r w:rsidRPr="00574BA1">
              <w:t>Hyperuricemia</w:t>
            </w:r>
          </w:p>
        </w:tc>
        <w:tc>
          <w:tcPr>
            <w:tcW w:w="1347" w:type="dxa"/>
            <w:noWrap/>
            <w:hideMark/>
          </w:tcPr>
          <w:p w14:paraId="65FC6534" w14:textId="77777777" w:rsidR="00FD4DC3" w:rsidRPr="00574BA1" w:rsidRDefault="00FD4DC3" w:rsidP="00220736">
            <w:r w:rsidRPr="00574BA1">
              <w:t>34</w:t>
            </w:r>
          </w:p>
        </w:tc>
        <w:tc>
          <w:tcPr>
            <w:tcW w:w="1418" w:type="dxa"/>
            <w:noWrap/>
            <w:hideMark/>
          </w:tcPr>
          <w:p w14:paraId="1EC356C8" w14:textId="77777777" w:rsidR="00FD4DC3" w:rsidRPr="00574BA1" w:rsidRDefault="00FD4DC3" w:rsidP="00220736">
            <w:r w:rsidRPr="00574BA1">
              <w:t>6</w:t>
            </w:r>
          </w:p>
        </w:tc>
        <w:tc>
          <w:tcPr>
            <w:tcW w:w="1417" w:type="dxa"/>
            <w:noWrap/>
            <w:hideMark/>
          </w:tcPr>
          <w:p w14:paraId="46E4F6CB" w14:textId="77777777" w:rsidR="00FD4DC3" w:rsidRPr="00574BA1" w:rsidRDefault="00FD4DC3" w:rsidP="00220736">
            <w:r w:rsidRPr="00574BA1">
              <w:t>29</w:t>
            </w:r>
          </w:p>
        </w:tc>
        <w:tc>
          <w:tcPr>
            <w:tcW w:w="1418" w:type="dxa"/>
            <w:noWrap/>
            <w:hideMark/>
          </w:tcPr>
          <w:p w14:paraId="58DCB62B" w14:textId="77777777" w:rsidR="00FD4DC3" w:rsidRPr="00574BA1" w:rsidRDefault="00FD4DC3" w:rsidP="00220736">
            <w:r w:rsidRPr="00574BA1">
              <w:t>6</w:t>
            </w:r>
          </w:p>
        </w:tc>
      </w:tr>
      <w:tr w:rsidR="00FD4DC3" w:rsidRPr="00574BA1" w14:paraId="446DA3CA" w14:textId="77777777" w:rsidTr="00092B4A">
        <w:tc>
          <w:tcPr>
            <w:tcW w:w="0" w:type="auto"/>
            <w:noWrap/>
            <w:hideMark/>
          </w:tcPr>
          <w:p w14:paraId="4EF75088" w14:textId="1186D78F" w:rsidR="00FD4DC3" w:rsidRPr="00574BA1" w:rsidRDefault="00234FA3" w:rsidP="00220736">
            <w:r w:rsidRPr="00574BA1">
              <w:t>Hypokalaemia</w:t>
            </w:r>
          </w:p>
        </w:tc>
        <w:tc>
          <w:tcPr>
            <w:tcW w:w="1347" w:type="dxa"/>
            <w:noWrap/>
            <w:hideMark/>
          </w:tcPr>
          <w:p w14:paraId="00D94FD2" w14:textId="77777777" w:rsidR="00FD4DC3" w:rsidRPr="00574BA1" w:rsidRDefault="00FD4DC3" w:rsidP="00220736">
            <w:r w:rsidRPr="00574BA1">
              <w:t>26</w:t>
            </w:r>
          </w:p>
        </w:tc>
        <w:tc>
          <w:tcPr>
            <w:tcW w:w="1418" w:type="dxa"/>
            <w:noWrap/>
            <w:hideMark/>
          </w:tcPr>
          <w:p w14:paraId="2BD7D9AC" w14:textId="77777777" w:rsidR="00FD4DC3" w:rsidRPr="00574BA1" w:rsidRDefault="00FD4DC3" w:rsidP="00220736">
            <w:r w:rsidRPr="00574BA1">
              <w:t>4</w:t>
            </w:r>
          </w:p>
        </w:tc>
        <w:tc>
          <w:tcPr>
            <w:tcW w:w="1417" w:type="dxa"/>
            <w:noWrap/>
            <w:hideMark/>
          </w:tcPr>
          <w:p w14:paraId="12C65FAC" w14:textId="77777777" w:rsidR="00FD4DC3" w:rsidRPr="00574BA1" w:rsidRDefault="00FD4DC3" w:rsidP="00220736">
            <w:r w:rsidRPr="00574BA1">
              <w:t>21</w:t>
            </w:r>
          </w:p>
        </w:tc>
        <w:tc>
          <w:tcPr>
            <w:tcW w:w="1418" w:type="dxa"/>
            <w:noWrap/>
            <w:hideMark/>
          </w:tcPr>
          <w:p w14:paraId="5F5113B3" w14:textId="77777777" w:rsidR="00FD4DC3" w:rsidRPr="00574BA1" w:rsidRDefault="00FD4DC3" w:rsidP="00220736">
            <w:r w:rsidRPr="00574BA1">
              <w:t>2</w:t>
            </w:r>
          </w:p>
        </w:tc>
      </w:tr>
      <w:tr w:rsidR="00FD4DC3" w:rsidRPr="00574BA1" w14:paraId="2387384C" w14:textId="77777777" w:rsidTr="00092B4A">
        <w:tc>
          <w:tcPr>
            <w:tcW w:w="0" w:type="auto"/>
            <w:noWrap/>
            <w:hideMark/>
          </w:tcPr>
          <w:p w14:paraId="3D3151CD" w14:textId="4667AE3B" w:rsidR="00FD4DC3" w:rsidRPr="00574BA1" w:rsidRDefault="00234FA3" w:rsidP="00220736">
            <w:r w:rsidRPr="00574BA1">
              <w:t>Hyperkalaemia</w:t>
            </w:r>
          </w:p>
        </w:tc>
        <w:tc>
          <w:tcPr>
            <w:tcW w:w="1347" w:type="dxa"/>
            <w:noWrap/>
            <w:hideMark/>
          </w:tcPr>
          <w:p w14:paraId="281C0203" w14:textId="77777777" w:rsidR="00FD4DC3" w:rsidRPr="00574BA1" w:rsidRDefault="00FD4DC3" w:rsidP="00220736">
            <w:r w:rsidRPr="00574BA1">
              <w:t>19</w:t>
            </w:r>
          </w:p>
        </w:tc>
        <w:tc>
          <w:tcPr>
            <w:tcW w:w="1418" w:type="dxa"/>
            <w:noWrap/>
            <w:hideMark/>
          </w:tcPr>
          <w:p w14:paraId="5585ED14" w14:textId="77777777" w:rsidR="00FD4DC3" w:rsidRPr="00574BA1" w:rsidRDefault="00FD4DC3" w:rsidP="00220736">
            <w:r w:rsidRPr="00574BA1">
              <w:t>0</w:t>
            </w:r>
          </w:p>
        </w:tc>
        <w:tc>
          <w:tcPr>
            <w:tcW w:w="1417" w:type="dxa"/>
            <w:noWrap/>
            <w:hideMark/>
          </w:tcPr>
          <w:p w14:paraId="0DE4F6C1" w14:textId="77777777" w:rsidR="00FD4DC3" w:rsidRPr="00574BA1" w:rsidRDefault="00FD4DC3" w:rsidP="00220736">
            <w:r w:rsidRPr="00574BA1">
              <w:t>11</w:t>
            </w:r>
          </w:p>
        </w:tc>
        <w:tc>
          <w:tcPr>
            <w:tcW w:w="1418" w:type="dxa"/>
            <w:noWrap/>
            <w:hideMark/>
          </w:tcPr>
          <w:p w14:paraId="23DAFF77" w14:textId="77777777" w:rsidR="00FD4DC3" w:rsidRPr="00574BA1" w:rsidRDefault="00FD4DC3" w:rsidP="00220736">
            <w:r w:rsidRPr="00574BA1">
              <w:t>0</w:t>
            </w:r>
          </w:p>
        </w:tc>
      </w:tr>
      <w:tr w:rsidR="00FD4DC3" w:rsidRPr="00574BA1" w14:paraId="2E3076DF" w14:textId="77777777" w:rsidTr="00092B4A">
        <w:tc>
          <w:tcPr>
            <w:tcW w:w="0" w:type="auto"/>
            <w:noWrap/>
            <w:hideMark/>
          </w:tcPr>
          <w:p w14:paraId="15877AB4" w14:textId="77777777" w:rsidR="00FD4DC3" w:rsidRPr="00574BA1" w:rsidRDefault="00FD4DC3" w:rsidP="00220736">
            <w:r w:rsidRPr="00574BA1">
              <w:t>Creatinine increased</w:t>
            </w:r>
          </w:p>
        </w:tc>
        <w:tc>
          <w:tcPr>
            <w:tcW w:w="1347" w:type="dxa"/>
            <w:noWrap/>
            <w:hideMark/>
          </w:tcPr>
          <w:p w14:paraId="097AFC9F" w14:textId="77777777" w:rsidR="00FD4DC3" w:rsidRPr="00574BA1" w:rsidRDefault="00FD4DC3" w:rsidP="00220736">
            <w:r w:rsidRPr="00574BA1">
              <w:t>85</w:t>
            </w:r>
          </w:p>
        </w:tc>
        <w:tc>
          <w:tcPr>
            <w:tcW w:w="1418" w:type="dxa"/>
            <w:noWrap/>
            <w:hideMark/>
          </w:tcPr>
          <w:p w14:paraId="4E3A2033" w14:textId="77777777" w:rsidR="00FD4DC3" w:rsidRPr="00574BA1" w:rsidRDefault="00FD4DC3" w:rsidP="00220736">
            <w:r w:rsidRPr="00574BA1">
              <w:t>1</w:t>
            </w:r>
          </w:p>
        </w:tc>
        <w:tc>
          <w:tcPr>
            <w:tcW w:w="1417" w:type="dxa"/>
            <w:noWrap/>
            <w:hideMark/>
          </w:tcPr>
          <w:p w14:paraId="26F22676" w14:textId="77777777" w:rsidR="00FD4DC3" w:rsidRPr="00574BA1" w:rsidRDefault="00FD4DC3" w:rsidP="00220736">
            <w:r w:rsidRPr="00574BA1">
              <w:t>73</w:t>
            </w:r>
          </w:p>
        </w:tc>
        <w:tc>
          <w:tcPr>
            <w:tcW w:w="1418" w:type="dxa"/>
            <w:noWrap/>
            <w:hideMark/>
          </w:tcPr>
          <w:p w14:paraId="32BA3FDB" w14:textId="77777777" w:rsidR="00FD4DC3" w:rsidRPr="00574BA1" w:rsidRDefault="00FD4DC3" w:rsidP="00220736">
            <w:r w:rsidRPr="00574BA1">
              <w:t>0</w:t>
            </w:r>
          </w:p>
        </w:tc>
      </w:tr>
      <w:tr w:rsidR="00FD4DC3" w:rsidRPr="00574BA1" w14:paraId="4A5AF37D" w14:textId="77777777" w:rsidTr="00092B4A">
        <w:tc>
          <w:tcPr>
            <w:tcW w:w="0" w:type="auto"/>
            <w:noWrap/>
            <w:hideMark/>
          </w:tcPr>
          <w:p w14:paraId="144D1956" w14:textId="77777777" w:rsidR="00FD4DC3" w:rsidRPr="00574BA1" w:rsidRDefault="00FD4DC3" w:rsidP="00220736">
            <w:r w:rsidRPr="00574BA1">
              <w:t>Hypernatremia</w:t>
            </w:r>
          </w:p>
        </w:tc>
        <w:tc>
          <w:tcPr>
            <w:tcW w:w="1347" w:type="dxa"/>
            <w:noWrap/>
            <w:hideMark/>
          </w:tcPr>
          <w:p w14:paraId="6CD1C74A" w14:textId="77777777" w:rsidR="00FD4DC3" w:rsidRPr="00574BA1" w:rsidRDefault="00FD4DC3" w:rsidP="00220736">
            <w:r w:rsidRPr="00574BA1">
              <w:t>17</w:t>
            </w:r>
          </w:p>
        </w:tc>
        <w:tc>
          <w:tcPr>
            <w:tcW w:w="1418" w:type="dxa"/>
            <w:noWrap/>
            <w:hideMark/>
          </w:tcPr>
          <w:p w14:paraId="46D753EC" w14:textId="77777777" w:rsidR="00FD4DC3" w:rsidRPr="00574BA1" w:rsidRDefault="00FD4DC3" w:rsidP="00220736">
            <w:r w:rsidRPr="00574BA1">
              <w:t>0</w:t>
            </w:r>
          </w:p>
        </w:tc>
        <w:tc>
          <w:tcPr>
            <w:tcW w:w="1417" w:type="dxa"/>
            <w:noWrap/>
            <w:hideMark/>
          </w:tcPr>
          <w:p w14:paraId="4DBB7042" w14:textId="77777777" w:rsidR="00FD4DC3" w:rsidRPr="00574BA1" w:rsidRDefault="00FD4DC3" w:rsidP="00220736">
            <w:r w:rsidRPr="00574BA1">
              <w:t>7</w:t>
            </w:r>
          </w:p>
        </w:tc>
        <w:tc>
          <w:tcPr>
            <w:tcW w:w="1418" w:type="dxa"/>
            <w:noWrap/>
            <w:hideMark/>
          </w:tcPr>
          <w:p w14:paraId="2ACE608E" w14:textId="77777777" w:rsidR="00FD4DC3" w:rsidRPr="00574BA1" w:rsidRDefault="00FD4DC3" w:rsidP="00220736">
            <w:r w:rsidRPr="00574BA1">
              <w:t>0</w:t>
            </w:r>
          </w:p>
        </w:tc>
      </w:tr>
      <w:tr w:rsidR="00FD4DC3" w:rsidRPr="00574BA1" w14:paraId="46762504" w14:textId="77777777" w:rsidTr="00092B4A">
        <w:tc>
          <w:tcPr>
            <w:tcW w:w="0" w:type="auto"/>
            <w:noWrap/>
            <w:hideMark/>
          </w:tcPr>
          <w:p w14:paraId="1E3BDC54" w14:textId="77777777" w:rsidR="00FD4DC3" w:rsidRPr="00574BA1" w:rsidRDefault="00FD4DC3" w:rsidP="00220736">
            <w:r w:rsidRPr="00574BA1">
              <w:t>Gastrointestinal</w:t>
            </w:r>
          </w:p>
        </w:tc>
        <w:tc>
          <w:tcPr>
            <w:tcW w:w="5600" w:type="dxa"/>
            <w:gridSpan w:val="4"/>
            <w:noWrap/>
            <w:hideMark/>
          </w:tcPr>
          <w:p w14:paraId="798034CA" w14:textId="77777777" w:rsidR="00FD4DC3" w:rsidRPr="00574BA1" w:rsidRDefault="00FD4DC3" w:rsidP="00220736">
            <w:r w:rsidRPr="00574BA1">
              <w:t> </w:t>
            </w:r>
          </w:p>
        </w:tc>
      </w:tr>
      <w:tr w:rsidR="00FD4DC3" w:rsidRPr="00574BA1" w14:paraId="6EEFB448" w14:textId="77777777" w:rsidTr="00092B4A">
        <w:tc>
          <w:tcPr>
            <w:tcW w:w="0" w:type="auto"/>
            <w:noWrap/>
            <w:hideMark/>
          </w:tcPr>
          <w:p w14:paraId="3D76D934" w14:textId="77777777" w:rsidR="00FD4DC3" w:rsidRPr="00574BA1" w:rsidRDefault="00FD4DC3" w:rsidP="00220736">
            <w:r w:rsidRPr="00574BA1">
              <w:t>GGT increased</w:t>
            </w:r>
          </w:p>
        </w:tc>
        <w:tc>
          <w:tcPr>
            <w:tcW w:w="1347" w:type="dxa"/>
            <w:noWrap/>
            <w:hideMark/>
          </w:tcPr>
          <w:p w14:paraId="13777610" w14:textId="77777777" w:rsidR="00FD4DC3" w:rsidRPr="00574BA1" w:rsidRDefault="00FD4DC3" w:rsidP="00220736">
            <w:r w:rsidRPr="00574BA1">
              <w:t>66</w:t>
            </w:r>
          </w:p>
        </w:tc>
        <w:tc>
          <w:tcPr>
            <w:tcW w:w="1418" w:type="dxa"/>
            <w:noWrap/>
            <w:hideMark/>
          </w:tcPr>
          <w:p w14:paraId="68F8F2F1" w14:textId="77777777" w:rsidR="00FD4DC3" w:rsidRPr="00574BA1" w:rsidRDefault="00FD4DC3" w:rsidP="00220736">
            <w:r w:rsidRPr="00574BA1">
              <w:t>20</w:t>
            </w:r>
          </w:p>
        </w:tc>
        <w:tc>
          <w:tcPr>
            <w:tcW w:w="1417" w:type="dxa"/>
            <w:noWrap/>
            <w:hideMark/>
          </w:tcPr>
          <w:p w14:paraId="318CEB0F" w14:textId="77777777" w:rsidR="00FD4DC3" w:rsidRPr="00574BA1" w:rsidRDefault="00FD4DC3" w:rsidP="00220736">
            <w:r w:rsidRPr="00574BA1">
              <w:t>67</w:t>
            </w:r>
          </w:p>
        </w:tc>
        <w:tc>
          <w:tcPr>
            <w:tcW w:w="1418" w:type="dxa"/>
            <w:noWrap/>
            <w:hideMark/>
          </w:tcPr>
          <w:p w14:paraId="06225A52" w14:textId="77777777" w:rsidR="00FD4DC3" w:rsidRPr="00574BA1" w:rsidRDefault="00FD4DC3" w:rsidP="00220736">
            <w:r w:rsidRPr="00574BA1">
              <w:t>16</w:t>
            </w:r>
          </w:p>
        </w:tc>
      </w:tr>
      <w:tr w:rsidR="00FD4DC3" w:rsidRPr="00574BA1" w14:paraId="3E51D7CF" w14:textId="77777777" w:rsidTr="00092B4A">
        <w:tc>
          <w:tcPr>
            <w:tcW w:w="0" w:type="auto"/>
            <w:noWrap/>
            <w:hideMark/>
          </w:tcPr>
          <w:p w14:paraId="7CE42CB5" w14:textId="77777777" w:rsidR="00FD4DC3" w:rsidRPr="00574BA1" w:rsidRDefault="00FD4DC3" w:rsidP="00220736">
            <w:r w:rsidRPr="00574BA1">
              <w:t>Alkaline phosphatase increased</w:t>
            </w:r>
          </w:p>
        </w:tc>
        <w:tc>
          <w:tcPr>
            <w:tcW w:w="1347" w:type="dxa"/>
            <w:noWrap/>
            <w:hideMark/>
          </w:tcPr>
          <w:p w14:paraId="58941403" w14:textId="77777777" w:rsidR="00FD4DC3" w:rsidRPr="00574BA1" w:rsidRDefault="00FD4DC3" w:rsidP="00220736">
            <w:r w:rsidRPr="00574BA1">
              <w:t>65</w:t>
            </w:r>
          </w:p>
        </w:tc>
        <w:tc>
          <w:tcPr>
            <w:tcW w:w="1418" w:type="dxa"/>
            <w:noWrap/>
            <w:hideMark/>
          </w:tcPr>
          <w:p w14:paraId="43D0A576" w14:textId="77777777" w:rsidR="00FD4DC3" w:rsidRPr="00574BA1" w:rsidRDefault="00FD4DC3" w:rsidP="00220736">
            <w:r w:rsidRPr="00574BA1">
              <w:t>5</w:t>
            </w:r>
          </w:p>
        </w:tc>
        <w:tc>
          <w:tcPr>
            <w:tcW w:w="1417" w:type="dxa"/>
            <w:noWrap/>
            <w:hideMark/>
          </w:tcPr>
          <w:p w14:paraId="366868B3" w14:textId="77777777" w:rsidR="00FD4DC3" w:rsidRPr="00574BA1" w:rsidRDefault="00FD4DC3" w:rsidP="00220736">
            <w:r w:rsidRPr="00574BA1">
              <w:t>54</w:t>
            </w:r>
          </w:p>
        </w:tc>
        <w:tc>
          <w:tcPr>
            <w:tcW w:w="1418" w:type="dxa"/>
            <w:noWrap/>
            <w:hideMark/>
          </w:tcPr>
          <w:p w14:paraId="5E8563C8" w14:textId="77777777" w:rsidR="00FD4DC3" w:rsidRPr="00574BA1" w:rsidRDefault="00FD4DC3" w:rsidP="00220736">
            <w:r w:rsidRPr="00574BA1">
              <w:t>9</w:t>
            </w:r>
          </w:p>
        </w:tc>
      </w:tr>
      <w:tr w:rsidR="00FD4DC3" w:rsidRPr="00574BA1" w14:paraId="6D0302E3" w14:textId="77777777" w:rsidTr="00092B4A">
        <w:tc>
          <w:tcPr>
            <w:tcW w:w="0" w:type="auto"/>
            <w:noWrap/>
            <w:hideMark/>
          </w:tcPr>
          <w:p w14:paraId="64D0E61B" w14:textId="77777777" w:rsidR="00FD4DC3" w:rsidRPr="00574BA1" w:rsidRDefault="00FD4DC3" w:rsidP="00220736">
            <w:r w:rsidRPr="00574BA1">
              <w:t>ASAT increased</w:t>
            </w:r>
          </w:p>
        </w:tc>
        <w:tc>
          <w:tcPr>
            <w:tcW w:w="1347" w:type="dxa"/>
            <w:noWrap/>
            <w:hideMark/>
          </w:tcPr>
          <w:p w14:paraId="3D1885B5" w14:textId="77777777" w:rsidR="00FD4DC3" w:rsidRPr="00574BA1" w:rsidRDefault="00FD4DC3" w:rsidP="00220736">
            <w:r w:rsidRPr="00574BA1">
              <w:t>50</w:t>
            </w:r>
          </w:p>
        </w:tc>
        <w:tc>
          <w:tcPr>
            <w:tcW w:w="1418" w:type="dxa"/>
            <w:noWrap/>
            <w:hideMark/>
          </w:tcPr>
          <w:p w14:paraId="70CE39CE" w14:textId="77777777" w:rsidR="00FD4DC3" w:rsidRPr="00574BA1" w:rsidRDefault="00FD4DC3" w:rsidP="00220736">
            <w:r w:rsidRPr="00574BA1">
              <w:t>5</w:t>
            </w:r>
          </w:p>
        </w:tc>
        <w:tc>
          <w:tcPr>
            <w:tcW w:w="1417" w:type="dxa"/>
            <w:noWrap/>
            <w:hideMark/>
          </w:tcPr>
          <w:p w14:paraId="328C97DC" w14:textId="77777777" w:rsidR="00FD4DC3" w:rsidRPr="00574BA1" w:rsidRDefault="00FD4DC3" w:rsidP="00220736">
            <w:r w:rsidRPr="00574BA1">
              <w:t>35</w:t>
            </w:r>
          </w:p>
        </w:tc>
        <w:tc>
          <w:tcPr>
            <w:tcW w:w="1418" w:type="dxa"/>
            <w:noWrap/>
            <w:hideMark/>
          </w:tcPr>
          <w:p w14:paraId="56AAAEDC" w14:textId="77777777" w:rsidR="00FD4DC3" w:rsidRPr="00574BA1" w:rsidRDefault="00FD4DC3" w:rsidP="00220736">
            <w:r w:rsidRPr="00574BA1">
              <w:t>0</w:t>
            </w:r>
          </w:p>
        </w:tc>
      </w:tr>
      <w:tr w:rsidR="00FD4DC3" w:rsidRPr="00574BA1" w14:paraId="7A18479D" w14:textId="77777777" w:rsidTr="00092B4A">
        <w:tc>
          <w:tcPr>
            <w:tcW w:w="0" w:type="auto"/>
            <w:noWrap/>
            <w:hideMark/>
          </w:tcPr>
          <w:p w14:paraId="2792BDEB" w14:textId="77777777" w:rsidR="00FD4DC3" w:rsidRPr="00574BA1" w:rsidRDefault="00FD4DC3" w:rsidP="00220736">
            <w:r w:rsidRPr="00574BA1">
              <w:t>ALAT increased</w:t>
            </w:r>
          </w:p>
        </w:tc>
        <w:tc>
          <w:tcPr>
            <w:tcW w:w="1347" w:type="dxa"/>
            <w:noWrap/>
            <w:hideMark/>
          </w:tcPr>
          <w:p w14:paraId="438CB929" w14:textId="77777777" w:rsidR="00FD4DC3" w:rsidRPr="00574BA1" w:rsidRDefault="00FD4DC3" w:rsidP="00220736">
            <w:r w:rsidRPr="00574BA1">
              <w:t>43</w:t>
            </w:r>
          </w:p>
        </w:tc>
        <w:tc>
          <w:tcPr>
            <w:tcW w:w="1418" w:type="dxa"/>
            <w:noWrap/>
            <w:hideMark/>
          </w:tcPr>
          <w:p w14:paraId="08A83D1A" w14:textId="77777777" w:rsidR="00FD4DC3" w:rsidRPr="00574BA1" w:rsidRDefault="00FD4DC3" w:rsidP="00220736">
            <w:r w:rsidRPr="00574BA1">
              <w:t>4</w:t>
            </w:r>
          </w:p>
        </w:tc>
        <w:tc>
          <w:tcPr>
            <w:tcW w:w="1417" w:type="dxa"/>
            <w:noWrap/>
            <w:hideMark/>
          </w:tcPr>
          <w:p w14:paraId="393CD4CE" w14:textId="77777777" w:rsidR="00FD4DC3" w:rsidRPr="00574BA1" w:rsidRDefault="00FD4DC3" w:rsidP="00220736">
            <w:r w:rsidRPr="00574BA1">
              <w:t>34</w:t>
            </w:r>
          </w:p>
        </w:tc>
        <w:tc>
          <w:tcPr>
            <w:tcW w:w="1418" w:type="dxa"/>
            <w:noWrap/>
            <w:hideMark/>
          </w:tcPr>
          <w:p w14:paraId="6DBCABD0" w14:textId="77777777" w:rsidR="00FD4DC3" w:rsidRPr="00574BA1" w:rsidRDefault="00FD4DC3" w:rsidP="00220736">
            <w:r w:rsidRPr="00574BA1">
              <w:t>0</w:t>
            </w:r>
          </w:p>
        </w:tc>
      </w:tr>
      <w:tr w:rsidR="00FD4DC3" w:rsidRPr="00574BA1" w14:paraId="7A65292C" w14:textId="77777777" w:rsidTr="00092B4A">
        <w:tc>
          <w:tcPr>
            <w:tcW w:w="0" w:type="auto"/>
            <w:noWrap/>
            <w:hideMark/>
          </w:tcPr>
          <w:p w14:paraId="10805863" w14:textId="77777777" w:rsidR="00FD4DC3" w:rsidRPr="00574BA1" w:rsidRDefault="00FD4DC3" w:rsidP="00220736">
            <w:r w:rsidRPr="00574BA1">
              <w:t>Blood bilirubin increased</w:t>
            </w:r>
          </w:p>
        </w:tc>
        <w:tc>
          <w:tcPr>
            <w:tcW w:w="1347" w:type="dxa"/>
            <w:noWrap/>
            <w:hideMark/>
          </w:tcPr>
          <w:p w14:paraId="26CB754E" w14:textId="77777777" w:rsidR="00FD4DC3" w:rsidRPr="00574BA1" w:rsidRDefault="00FD4DC3" w:rsidP="00220736">
            <w:r w:rsidRPr="00574BA1">
              <w:t>30</w:t>
            </w:r>
          </w:p>
        </w:tc>
        <w:tc>
          <w:tcPr>
            <w:tcW w:w="1418" w:type="dxa"/>
            <w:noWrap/>
            <w:hideMark/>
          </w:tcPr>
          <w:p w14:paraId="665FF2AC" w14:textId="77777777" w:rsidR="00FD4DC3" w:rsidRPr="00574BA1" w:rsidRDefault="00FD4DC3" w:rsidP="00220736">
            <w:r w:rsidRPr="00574BA1">
              <w:t>2</w:t>
            </w:r>
          </w:p>
        </w:tc>
        <w:tc>
          <w:tcPr>
            <w:tcW w:w="1417" w:type="dxa"/>
            <w:noWrap/>
            <w:hideMark/>
          </w:tcPr>
          <w:p w14:paraId="09ED9950" w14:textId="77777777" w:rsidR="00FD4DC3" w:rsidRPr="00574BA1" w:rsidRDefault="00FD4DC3" w:rsidP="00220736">
            <w:r w:rsidRPr="00574BA1">
              <w:t>28</w:t>
            </w:r>
          </w:p>
        </w:tc>
        <w:tc>
          <w:tcPr>
            <w:tcW w:w="1418" w:type="dxa"/>
            <w:noWrap/>
            <w:hideMark/>
          </w:tcPr>
          <w:p w14:paraId="7B1F49F5" w14:textId="77777777" w:rsidR="00FD4DC3" w:rsidRPr="00574BA1" w:rsidRDefault="00FD4DC3" w:rsidP="00220736">
            <w:r w:rsidRPr="00574BA1">
              <w:t>0</w:t>
            </w:r>
          </w:p>
        </w:tc>
      </w:tr>
    </w:tbl>
    <w:p w14:paraId="53ED06FF" w14:textId="5194AC9E" w:rsidR="00FD4DC3" w:rsidRPr="00C82195" w:rsidRDefault="00C82195" w:rsidP="00C82195">
      <w:pPr>
        <w:pStyle w:val="TableDescription"/>
      </w:pPr>
      <w:r w:rsidRPr="00C82195">
        <w:t>*Values are worst grade observed after randomization; N = number of patients</w:t>
      </w:r>
    </w:p>
    <w:p w14:paraId="0A639295" w14:textId="1A847B8D" w:rsidR="00C82195" w:rsidRDefault="00C82195" w:rsidP="00C82195">
      <w:pPr>
        <w:pStyle w:val="TableDescription"/>
      </w:pPr>
      <w:r w:rsidRPr="00C82195">
        <w:t>National Cancer Institute Common Terminology Criteria for Adverse Events Version 4.03</w:t>
      </w:r>
    </w:p>
    <w:p w14:paraId="4DB9B18B" w14:textId="77777777" w:rsidR="00110A71" w:rsidRPr="00110A71" w:rsidRDefault="00110A71" w:rsidP="00110A71">
      <w:pPr>
        <w:pStyle w:val="Heading7"/>
      </w:pPr>
      <w:r w:rsidRPr="00110A71">
        <w:lastRenderedPageBreak/>
        <w:t>Secondary malignancies</w:t>
      </w:r>
    </w:p>
    <w:p w14:paraId="67DCFACF" w14:textId="41AF9257" w:rsidR="00110A71" w:rsidRPr="00110A71" w:rsidRDefault="00110A71" w:rsidP="00110A71">
      <w:r w:rsidRPr="00110A71">
        <w:t xml:space="preserve">In NETTER-1, one patient with a prior diagnosis of breast cancer was diagnosed with diffuse large B-cell lymphoma 14 months after the initial </w:t>
      </w:r>
      <w:r w:rsidR="00CE3296">
        <w:t>Lutathera</w:t>
      </w:r>
      <w:r w:rsidRPr="00110A71">
        <w:t xml:space="preserve"> dose. </w:t>
      </w:r>
      <w:r w:rsidR="00234DB3">
        <w:t>Two</w:t>
      </w:r>
      <w:r w:rsidRPr="00110A71">
        <w:t xml:space="preserve"> patients </w:t>
      </w:r>
      <w:r w:rsidR="00AB3D9C">
        <w:t>(1.8</w:t>
      </w:r>
      <w:r w:rsidRPr="00110A71">
        <w:t xml:space="preserve">%) were identified with a possible diagnosis of myelodysplastic syndrome (MDS), diagnosed 8 to 15 months after the initial </w:t>
      </w:r>
      <w:r w:rsidR="00CE3296">
        <w:t>Lutathera</w:t>
      </w:r>
      <w:r w:rsidRPr="00110A71">
        <w:t xml:space="preserve"> dose. One patient with a history of breast cancer had received alkylator therapy 20 years before the MDS diagnosis. In the other two cases, patients had underlying hematologic changes. After the interim data cut-off (30-Jun-2016), in the </w:t>
      </w:r>
      <w:r w:rsidR="00CE3296">
        <w:t>Lutathera</w:t>
      </w:r>
      <w:r w:rsidRPr="00110A71">
        <w:t xml:space="preserve"> group, 1 patient with a grade 4 refractory cytopenia with </w:t>
      </w:r>
      <w:proofErr w:type="spellStart"/>
      <w:r w:rsidRPr="00110A71">
        <w:t>unilineage</w:t>
      </w:r>
      <w:proofErr w:type="spellEnd"/>
      <w:r w:rsidRPr="00110A71">
        <w:t xml:space="preserve"> dysplasia at the interim data cut-off had the event updated to grade 5 MDS with fatal outcome at the final data cut-off.</w:t>
      </w:r>
    </w:p>
    <w:p w14:paraId="238EC4D2" w14:textId="5643FDCD" w:rsidR="00110A71" w:rsidRPr="00110A71" w:rsidRDefault="00110A71" w:rsidP="00110A71">
      <w:pPr>
        <w:rPr>
          <w:lang w:val="en-US"/>
        </w:rPr>
      </w:pPr>
      <w:r w:rsidRPr="00110A71">
        <w:rPr>
          <w:lang w:val="en-US"/>
        </w:rPr>
        <w:t xml:space="preserve">In the Dutch sub-set of ERASMUS (n=811), 4 patients developed acute leukemia (&lt; 1%).  The time of onset from the initial </w:t>
      </w:r>
      <w:r w:rsidR="00CE3296">
        <w:rPr>
          <w:lang w:val="en-US"/>
        </w:rPr>
        <w:t>Lutathera</w:t>
      </w:r>
      <w:r w:rsidRPr="00110A71">
        <w:rPr>
          <w:lang w:val="en-US"/>
        </w:rPr>
        <w:t xml:space="preserve"> dose ranged from 30 to 120 months. One of these patients had a history of FOLFIRI treatment and a hepatic transplant for </w:t>
      </w:r>
      <w:proofErr w:type="spellStart"/>
      <w:r w:rsidRPr="00110A71">
        <w:rPr>
          <w:lang w:val="en-US"/>
        </w:rPr>
        <w:t>pNET</w:t>
      </w:r>
      <w:proofErr w:type="spellEnd"/>
      <w:r w:rsidRPr="00110A71">
        <w:rPr>
          <w:lang w:val="en-US"/>
        </w:rPr>
        <w:t xml:space="preserve">. Another patient had prior external beam radiotherapy for breast cancer. Sixteen Dutch patients (2%) were reported to have MDS. The median time of onset was 24 (Range: 10 -60) months following the initial </w:t>
      </w:r>
      <w:r w:rsidR="00CE3296">
        <w:rPr>
          <w:lang w:val="en-US"/>
        </w:rPr>
        <w:t>Lutathera</w:t>
      </w:r>
      <w:r w:rsidRPr="00110A71">
        <w:rPr>
          <w:lang w:val="en-US"/>
        </w:rPr>
        <w:t xml:space="preserve"> treatment.</w:t>
      </w:r>
    </w:p>
    <w:p w14:paraId="37217C2A" w14:textId="77777777" w:rsidR="00110A71" w:rsidRPr="00110A71" w:rsidRDefault="00110A71" w:rsidP="00110A71">
      <w:pPr>
        <w:rPr>
          <w:lang w:val="en-US"/>
        </w:rPr>
      </w:pPr>
      <w:r w:rsidRPr="00110A71">
        <w:rPr>
          <w:lang w:val="en-US"/>
        </w:rPr>
        <w:t>The risk of acute leukemia appeared &lt;1% and the risk of MDS appeared around 2-3%</w:t>
      </w:r>
      <w:r w:rsidRPr="00110A71">
        <w:t>.</w:t>
      </w:r>
    </w:p>
    <w:p w14:paraId="1AA522DD" w14:textId="6E74F053" w:rsidR="00110A71" w:rsidRPr="00110A71" w:rsidRDefault="00110A71" w:rsidP="00110A71">
      <w:r w:rsidRPr="00110A71">
        <w:t xml:space="preserve">At the final analysis three patients in the </w:t>
      </w:r>
      <w:r w:rsidR="00CE3296">
        <w:t>Lutathera</w:t>
      </w:r>
      <w:r w:rsidRPr="00110A71">
        <w:t xml:space="preserve"> arm had 5 new-onset secondary solid tumours: 1 patient had oesophageal adenocarcinoma that led to death; 1 patient with a history of grade 1 malignant melanoma in situ (that occurred during the treatment period and was resolved by the prior data cut-off), experienced new grade 2 events of malignant melanoma in situ, basal cell carcinoma, and squamous cell carcinoma of skin, all of which resolved; and 1 patient had grade 2 squamous cell carcinoma that resolved. All these solid tumour events were assessed by the investigator to be unrelated to </w:t>
      </w:r>
      <w:r w:rsidR="00CE3296">
        <w:t>Lutathera</w:t>
      </w:r>
      <w:r w:rsidRPr="00110A71">
        <w:t>.</w:t>
      </w:r>
    </w:p>
    <w:p w14:paraId="4C373653" w14:textId="77777777" w:rsidR="00110A71" w:rsidRPr="00110A71" w:rsidRDefault="00110A71" w:rsidP="00110A71">
      <w:pPr>
        <w:pStyle w:val="Heading7"/>
      </w:pPr>
      <w:r w:rsidRPr="00110A71">
        <w:t>Neuroendocrine hormonal crises</w:t>
      </w:r>
    </w:p>
    <w:p w14:paraId="7D2BF746" w14:textId="04E5773D" w:rsidR="00110A71" w:rsidRPr="00110A71" w:rsidRDefault="00110A71" w:rsidP="00110A71">
      <w:pPr>
        <w:rPr>
          <w:lang w:val="en-US"/>
        </w:rPr>
      </w:pPr>
      <w:r w:rsidRPr="00110A71">
        <w:rPr>
          <w:lang w:val="en-US"/>
        </w:rPr>
        <w:t>There were some differences between the NETTER-1 and ERASMUS MC studies in the reporting of symptoms in the peri-infusion period</w:t>
      </w:r>
      <w:r w:rsidR="00AB3D9C">
        <w:rPr>
          <w:lang w:val="en-US"/>
        </w:rPr>
        <w:t xml:space="preserve"> which</w:t>
      </w:r>
      <w:r w:rsidRPr="00110A71">
        <w:rPr>
          <w:lang w:val="en-US"/>
        </w:rPr>
        <w:t xml:space="preserve"> limit the between-study comparison for these events.  No events were reported in the NETTER-1 study.</w:t>
      </w:r>
    </w:p>
    <w:p w14:paraId="1ABA3291" w14:textId="59B08C87" w:rsidR="00110A71" w:rsidRPr="00110A71" w:rsidRDefault="00110A71" w:rsidP="00110A71">
      <w:r w:rsidRPr="00110A71">
        <w:t xml:space="preserve">Neurohormonal crisis (flushing, intractable diarrhea, bronchospasm and hypotension) was reported in 8 patients (1%) of the efficacy (Dutch) subset of ERASMUS, and 5/8 required administration of intravenous octreotide and steroids. The onset of symptoms typically occurred while on or within 24-48 hours of the </w:t>
      </w:r>
      <w:r w:rsidR="00CE3296">
        <w:t>Lutathera</w:t>
      </w:r>
      <w:r w:rsidRPr="00110A71">
        <w:t xml:space="preserve"> administration.</w:t>
      </w:r>
    </w:p>
    <w:p w14:paraId="74329B25" w14:textId="77777777" w:rsidR="00110A71" w:rsidRPr="00110A71" w:rsidRDefault="00110A71" w:rsidP="00110A71">
      <w:pPr>
        <w:pStyle w:val="Heading7"/>
        <w:rPr>
          <w:lang w:val="en-US"/>
        </w:rPr>
      </w:pPr>
      <w:r w:rsidRPr="00110A71">
        <w:rPr>
          <w:lang w:val="en-US"/>
        </w:rPr>
        <w:t>Safety analyses by demographic subgroups</w:t>
      </w:r>
    </w:p>
    <w:p w14:paraId="5476DCAA" w14:textId="77777777" w:rsidR="00110A71" w:rsidRPr="00110A71" w:rsidRDefault="00110A71" w:rsidP="00110A71">
      <w:pPr>
        <w:rPr>
          <w:lang w:val="en-US"/>
        </w:rPr>
      </w:pPr>
      <w:r w:rsidRPr="00110A71">
        <w:rPr>
          <w:lang w:val="en-US"/>
        </w:rPr>
        <w:t>In NETTER-1, SAEs by age (&lt; 65 years vs ≥ 65 years) were 31% vs 37%. In the Dutch subset of ERASMUS, the overall rate of SAEs and the rate of renal events were similar in both age groups {overall: 64% vs 60%; renal: 4% vs 5%) in the &lt; 65-year vs ≥ 65-year groups, respectively.</w:t>
      </w:r>
    </w:p>
    <w:p w14:paraId="6EFC5A45" w14:textId="77777777" w:rsidR="00110A71" w:rsidRPr="00110A71" w:rsidRDefault="00110A71" w:rsidP="00110A71">
      <w:pPr>
        <w:pStyle w:val="Heading7"/>
        <w:rPr>
          <w:lang w:val="en-US"/>
        </w:rPr>
      </w:pPr>
      <w:r w:rsidRPr="00110A71">
        <w:rPr>
          <w:lang w:val="en-US"/>
        </w:rPr>
        <w:t>Other safety findings</w:t>
      </w:r>
    </w:p>
    <w:p w14:paraId="621FF436" w14:textId="77777777" w:rsidR="00110A71" w:rsidRPr="00110A71" w:rsidRDefault="00110A71" w:rsidP="00110A71">
      <w:r w:rsidRPr="00110A71">
        <w:t>Hypersensitivity events, such as angioedema have emerged in the post-market setting. The evaluator noted tumour lysis particularly in patients with chronic kidney disease and a high tumour burden is a potential risk.</w:t>
      </w:r>
    </w:p>
    <w:p w14:paraId="7EE8B23A" w14:textId="17D6EC3F" w:rsidR="00110A71" w:rsidRPr="00110A71" w:rsidRDefault="00110A71" w:rsidP="00110A71">
      <w:pPr>
        <w:rPr>
          <w:lang w:val="en-US"/>
        </w:rPr>
      </w:pPr>
      <w:r w:rsidRPr="00110A71">
        <w:rPr>
          <w:lang w:val="en-US"/>
        </w:rPr>
        <w:t xml:space="preserve">The evaluation noted elevations of liver enzymes Because </w:t>
      </w:r>
      <w:r w:rsidR="00CE3296">
        <w:rPr>
          <w:lang w:val="en-US"/>
        </w:rPr>
        <w:t>Lutathera</w:t>
      </w:r>
      <w:r w:rsidRPr="00110A71">
        <w:rPr>
          <w:lang w:val="en-US"/>
        </w:rPr>
        <w:t xml:space="preserve"> is primarily excreted through the kidneys, and because the pattern of liver enzyme elevation was non-specific no firm conclusions about the </w:t>
      </w:r>
      <w:proofErr w:type="spellStart"/>
      <w:r w:rsidRPr="00110A71">
        <w:rPr>
          <w:lang w:val="en-US"/>
        </w:rPr>
        <w:t>aetiology</w:t>
      </w:r>
      <w:proofErr w:type="spellEnd"/>
      <w:r w:rsidRPr="00110A71">
        <w:rPr>
          <w:lang w:val="en-US"/>
        </w:rPr>
        <w:t xml:space="preserve"> were drawn.</w:t>
      </w:r>
    </w:p>
    <w:p w14:paraId="400A4984" w14:textId="77777777" w:rsidR="00110A71" w:rsidRPr="00110A71" w:rsidRDefault="00110A71" w:rsidP="00110A71">
      <w:pPr>
        <w:pStyle w:val="Heading7"/>
      </w:pPr>
      <w:r w:rsidRPr="00110A71">
        <w:t>Other matters</w:t>
      </w:r>
    </w:p>
    <w:p w14:paraId="65B31CE6" w14:textId="3093B020" w:rsidR="00110A71" w:rsidRPr="00110A71" w:rsidRDefault="00110A71" w:rsidP="00110A71">
      <w:r w:rsidRPr="00110A71">
        <w:t xml:space="preserve">Amino acids solutions for infusion </w:t>
      </w:r>
      <w:r w:rsidR="00AB3D9C">
        <w:t>containing</w:t>
      </w:r>
      <w:r w:rsidRPr="00110A71">
        <w:t xml:space="preserve"> </w:t>
      </w:r>
      <w:r w:rsidR="00AB3D9C">
        <w:t>L-</w:t>
      </w:r>
      <w:r w:rsidRPr="00110A71">
        <w:t xml:space="preserve">lysine and </w:t>
      </w:r>
      <w:r w:rsidR="00AB3D9C">
        <w:t>L-</w:t>
      </w:r>
      <w:r w:rsidRPr="00110A71">
        <w:t>arginine</w:t>
      </w:r>
      <w:r w:rsidR="00AB3D9C">
        <w:t xml:space="preserve"> must be used for renal protection</w:t>
      </w:r>
      <w:r w:rsidRPr="00110A71">
        <w:t xml:space="preserve"> </w:t>
      </w:r>
      <w:r w:rsidR="00AB3D9C">
        <w:t xml:space="preserve">when administering </w:t>
      </w:r>
      <w:r w:rsidR="00CE3296">
        <w:t>Lutathera</w:t>
      </w:r>
      <w:r w:rsidRPr="00110A71">
        <w:t xml:space="preserve">. The sponsor proposes health facilities will compound their own formulations under the exemptions set out in Schedule 5A of the Therapeutic Goods Regulations 1990, or by using a commercially available preparation. Instructions for use for </w:t>
      </w:r>
      <w:r w:rsidRPr="00110A71">
        <w:lastRenderedPageBreak/>
        <w:t xml:space="preserve">either type of amino acid product when administered as part of the dosing regimen for </w:t>
      </w:r>
      <w:r w:rsidR="00CE3296">
        <w:t>Lutathera</w:t>
      </w:r>
      <w:r w:rsidRPr="00110A71">
        <w:t xml:space="preserve"> are provided in the draft </w:t>
      </w:r>
      <w:r w:rsidR="00CE3296">
        <w:t>Lutathera</w:t>
      </w:r>
      <w:r w:rsidRPr="00110A71">
        <w:t xml:space="preserve"> PI. </w:t>
      </w:r>
    </w:p>
    <w:p w14:paraId="7ABE0067" w14:textId="23689C7E" w:rsidR="00927228" w:rsidRDefault="00110A71" w:rsidP="00110A71">
      <w:r w:rsidRPr="00110A71">
        <w:rPr>
          <w:iCs/>
        </w:rPr>
        <w:t xml:space="preserve">Patient reported outcomes included in the submission were not considered to have been presented in a sufficiently robust manner for regulatory decision making. </w:t>
      </w:r>
      <w:r w:rsidRPr="00110A71">
        <w:t>Real World Evidence was not used for decision-making in this submission.</w:t>
      </w:r>
    </w:p>
    <w:p w14:paraId="33D17EEC" w14:textId="77777777" w:rsidR="00B051F4" w:rsidRDefault="00B051F4" w:rsidP="00B051F4">
      <w:pPr>
        <w:pStyle w:val="Heading3"/>
        <w:rPr>
          <w:lang w:eastAsia="en-AU"/>
        </w:rPr>
      </w:pPr>
      <w:bookmarkStart w:id="47" w:name="_Toc103679298"/>
      <w:bookmarkStart w:id="48" w:name="_Toc221611032"/>
      <w:bookmarkStart w:id="49" w:name="_Toc314842514"/>
      <w:r>
        <w:rPr>
          <w:lang w:eastAsia="en-AU"/>
        </w:rPr>
        <w:t>Risk management plan</w:t>
      </w:r>
      <w:bookmarkEnd w:id="47"/>
      <w:bookmarkEnd w:id="48"/>
    </w:p>
    <w:p w14:paraId="18F575BC" w14:textId="2B0D62C3" w:rsidR="00BF2DCA" w:rsidRDefault="00BF2DCA" w:rsidP="00BF2DCA">
      <w:r w:rsidRPr="00BF2DCA">
        <w:t xml:space="preserve">The EU-RMP versions 2.0 (dated 9 August 2021; </w:t>
      </w:r>
      <w:r w:rsidR="009B518C">
        <w:t>data lock point</w:t>
      </w:r>
      <w:r w:rsidRPr="00BF2DCA">
        <w:t xml:space="preserve"> 18 January 2021) and ASA versions 1.0 (dated 3 July 2024) and version 1.12 (dated 7 March 2025)</w:t>
      </w:r>
      <w:r>
        <w:t xml:space="preserve"> were evaluated. </w:t>
      </w:r>
      <w:r w:rsidR="002A2DD5" w:rsidRPr="002A2DD5">
        <w:t xml:space="preserve">The summary of safety concerns </w:t>
      </w:r>
      <w:proofErr w:type="gramStart"/>
      <w:r w:rsidR="002A2DD5" w:rsidRPr="002A2DD5">
        <w:t>are</w:t>
      </w:r>
      <w:proofErr w:type="gramEnd"/>
      <w:r w:rsidR="002A2DD5" w:rsidRPr="002A2DD5">
        <w:t xml:space="preserve"> rep</w:t>
      </w:r>
      <w:r w:rsidR="00A50026">
        <w:t>orted</w:t>
      </w:r>
      <w:r w:rsidR="002A2DD5" w:rsidRPr="002A2DD5">
        <w:t xml:space="preserve"> in the </w:t>
      </w:r>
      <w:r w:rsidR="004545C8">
        <w:t>Table 13</w:t>
      </w:r>
      <w:r w:rsidR="002A2DD5">
        <w:t xml:space="preserve">. </w:t>
      </w:r>
    </w:p>
    <w:p w14:paraId="04D20291" w14:textId="30E0534E" w:rsidR="004545C8" w:rsidRDefault="004545C8" w:rsidP="004545C8">
      <w:pPr>
        <w:pStyle w:val="TableTitle"/>
      </w:pPr>
      <w:r>
        <w:t>Table 13. Summary of safety concerns</w:t>
      </w:r>
    </w:p>
    <w:tbl>
      <w:tblPr>
        <w:tblStyle w:val="TableGrid"/>
        <w:tblW w:w="9469" w:type="dxa"/>
        <w:jc w:val="center"/>
        <w:tblBorders>
          <w:top w:val="single" w:sz="4" w:space="0" w:color="263287"/>
          <w:left w:val="single" w:sz="4" w:space="0" w:color="263287"/>
          <w:bottom w:val="single" w:sz="4" w:space="0" w:color="263287"/>
          <w:right w:val="single" w:sz="4" w:space="0" w:color="263287"/>
          <w:insideH w:val="single" w:sz="4" w:space="0" w:color="263287"/>
          <w:insideV w:val="single" w:sz="4" w:space="0" w:color="263287"/>
        </w:tblBorders>
        <w:tblLayout w:type="fixed"/>
        <w:tblCellMar>
          <w:left w:w="85" w:type="dxa"/>
          <w:right w:w="85" w:type="dxa"/>
        </w:tblCellMar>
        <w:tblLook w:val="04A0" w:firstRow="1" w:lastRow="0" w:firstColumn="1" w:lastColumn="0" w:noHBand="0" w:noVBand="1"/>
        <w:tblDescription w:val="Table 13. Summary of safety concerns"/>
      </w:tblPr>
      <w:tblGrid>
        <w:gridCol w:w="1408"/>
        <w:gridCol w:w="3118"/>
        <w:gridCol w:w="1276"/>
        <w:gridCol w:w="1276"/>
        <w:gridCol w:w="992"/>
        <w:gridCol w:w="1399"/>
      </w:tblGrid>
      <w:tr w:rsidR="00CF293D" w:rsidRPr="00220736" w14:paraId="400BAC5C" w14:textId="77777777" w:rsidTr="00A50026">
        <w:trPr>
          <w:trHeight w:val="131"/>
          <w:jc w:val="center"/>
        </w:trPr>
        <w:tc>
          <w:tcPr>
            <w:tcW w:w="4526" w:type="dxa"/>
            <w:gridSpan w:val="2"/>
            <w:vMerge w:val="restart"/>
            <w:shd w:val="clear" w:color="auto" w:fill="DEEAF6"/>
          </w:tcPr>
          <w:p w14:paraId="310C5F28" w14:textId="77777777" w:rsidR="00CF293D" w:rsidRPr="00220736" w:rsidRDefault="00CF293D" w:rsidP="00CF293D">
            <w:pPr>
              <w:spacing w:after="120" w:line="259" w:lineRule="auto"/>
              <w:rPr>
                <w:rFonts w:eastAsiaTheme="minorHAnsi" w:cstheme="minorBidi"/>
                <w:b/>
                <w:color w:val="263287"/>
                <w:sz w:val="20"/>
                <w:szCs w:val="20"/>
              </w:rPr>
            </w:pPr>
            <w:r w:rsidRPr="00220736">
              <w:rPr>
                <w:rFonts w:eastAsiaTheme="minorHAnsi" w:cstheme="minorBidi"/>
                <w:b/>
                <w:color w:val="263287"/>
                <w:sz w:val="20"/>
                <w:szCs w:val="20"/>
              </w:rPr>
              <w:t>Summary of safety concerns</w:t>
            </w:r>
          </w:p>
        </w:tc>
        <w:tc>
          <w:tcPr>
            <w:tcW w:w="2552" w:type="dxa"/>
            <w:gridSpan w:val="2"/>
            <w:shd w:val="clear" w:color="auto" w:fill="DEEAF6"/>
          </w:tcPr>
          <w:p w14:paraId="42AB48F0" w14:textId="77777777" w:rsidR="00CF293D" w:rsidRPr="00220736" w:rsidRDefault="00CF293D" w:rsidP="00CF293D">
            <w:pPr>
              <w:spacing w:after="120" w:line="259" w:lineRule="auto"/>
              <w:rPr>
                <w:rFonts w:eastAsiaTheme="minorHAnsi" w:cstheme="minorBidi"/>
                <w:b/>
                <w:color w:val="263287"/>
                <w:sz w:val="20"/>
                <w:szCs w:val="20"/>
              </w:rPr>
            </w:pPr>
            <w:r w:rsidRPr="00220736">
              <w:rPr>
                <w:rFonts w:eastAsiaTheme="minorHAnsi" w:cstheme="minorBidi"/>
                <w:b/>
                <w:color w:val="263287"/>
                <w:sz w:val="20"/>
                <w:szCs w:val="20"/>
              </w:rPr>
              <w:t>Pharmacovigilance</w:t>
            </w:r>
          </w:p>
        </w:tc>
        <w:tc>
          <w:tcPr>
            <w:tcW w:w="2391" w:type="dxa"/>
            <w:gridSpan w:val="2"/>
            <w:shd w:val="clear" w:color="auto" w:fill="DEEAF6"/>
          </w:tcPr>
          <w:p w14:paraId="4019FCFF" w14:textId="77777777" w:rsidR="00CF293D" w:rsidRPr="00220736" w:rsidRDefault="00CF293D" w:rsidP="00CF293D">
            <w:pPr>
              <w:spacing w:after="120" w:line="259" w:lineRule="auto"/>
              <w:rPr>
                <w:rFonts w:eastAsiaTheme="minorHAnsi" w:cstheme="minorBidi"/>
                <w:b/>
                <w:color w:val="263287"/>
                <w:sz w:val="20"/>
                <w:szCs w:val="20"/>
              </w:rPr>
            </w:pPr>
            <w:r w:rsidRPr="00220736">
              <w:rPr>
                <w:rFonts w:eastAsiaTheme="minorHAnsi" w:cstheme="minorBidi"/>
                <w:b/>
                <w:color w:val="263287"/>
                <w:sz w:val="20"/>
                <w:szCs w:val="20"/>
              </w:rPr>
              <w:t>Risk Minimisation</w:t>
            </w:r>
          </w:p>
        </w:tc>
      </w:tr>
      <w:tr w:rsidR="00A50026" w:rsidRPr="00220736" w14:paraId="4CA990E7" w14:textId="77777777" w:rsidTr="00A50026">
        <w:trPr>
          <w:trHeight w:val="150"/>
          <w:jc w:val="center"/>
        </w:trPr>
        <w:tc>
          <w:tcPr>
            <w:tcW w:w="4526" w:type="dxa"/>
            <w:gridSpan w:val="2"/>
            <w:vMerge/>
            <w:shd w:val="clear" w:color="auto" w:fill="DEEAF6"/>
          </w:tcPr>
          <w:p w14:paraId="1AE02A94" w14:textId="77777777" w:rsidR="00CF293D" w:rsidRPr="00220736" w:rsidRDefault="00CF293D" w:rsidP="00CF293D">
            <w:pPr>
              <w:spacing w:after="120" w:line="259" w:lineRule="auto"/>
              <w:rPr>
                <w:rFonts w:eastAsiaTheme="minorHAnsi" w:cstheme="minorBidi"/>
                <w:b/>
                <w:color w:val="263287"/>
                <w:sz w:val="20"/>
                <w:szCs w:val="20"/>
              </w:rPr>
            </w:pPr>
          </w:p>
        </w:tc>
        <w:tc>
          <w:tcPr>
            <w:tcW w:w="1276" w:type="dxa"/>
            <w:shd w:val="clear" w:color="auto" w:fill="DEEAF6"/>
          </w:tcPr>
          <w:p w14:paraId="24CE2B7C" w14:textId="77777777" w:rsidR="00CF293D" w:rsidRPr="00220736" w:rsidRDefault="00CF293D" w:rsidP="00CF293D">
            <w:pPr>
              <w:spacing w:after="120" w:line="259" w:lineRule="auto"/>
              <w:rPr>
                <w:rFonts w:eastAsiaTheme="minorHAnsi" w:cstheme="minorBidi"/>
                <w:color w:val="263287"/>
                <w:sz w:val="20"/>
                <w:szCs w:val="20"/>
              </w:rPr>
            </w:pPr>
            <w:r w:rsidRPr="00220736">
              <w:rPr>
                <w:rFonts w:eastAsiaTheme="minorHAnsi" w:cstheme="minorBidi"/>
                <w:color w:val="263287"/>
                <w:sz w:val="20"/>
                <w:szCs w:val="20"/>
              </w:rPr>
              <w:t>Routine</w:t>
            </w:r>
          </w:p>
        </w:tc>
        <w:tc>
          <w:tcPr>
            <w:tcW w:w="1276" w:type="dxa"/>
            <w:shd w:val="clear" w:color="auto" w:fill="DEEAF6"/>
          </w:tcPr>
          <w:p w14:paraId="146704F9" w14:textId="77777777" w:rsidR="00CF293D" w:rsidRPr="00220736" w:rsidRDefault="00CF293D" w:rsidP="00CF293D">
            <w:pPr>
              <w:spacing w:after="120" w:line="259" w:lineRule="auto"/>
              <w:rPr>
                <w:rFonts w:eastAsiaTheme="minorHAnsi" w:cstheme="minorBidi"/>
                <w:color w:val="263287"/>
                <w:sz w:val="20"/>
                <w:szCs w:val="20"/>
              </w:rPr>
            </w:pPr>
            <w:r w:rsidRPr="00220736">
              <w:rPr>
                <w:rFonts w:eastAsiaTheme="minorHAnsi" w:cstheme="minorBidi"/>
                <w:color w:val="263287"/>
                <w:sz w:val="20"/>
                <w:szCs w:val="20"/>
              </w:rPr>
              <w:t>Additional</w:t>
            </w:r>
          </w:p>
        </w:tc>
        <w:tc>
          <w:tcPr>
            <w:tcW w:w="992" w:type="dxa"/>
            <w:shd w:val="clear" w:color="auto" w:fill="DEEAF6"/>
          </w:tcPr>
          <w:p w14:paraId="4F367E87" w14:textId="77777777" w:rsidR="00CF293D" w:rsidRPr="00220736" w:rsidRDefault="00CF293D" w:rsidP="00CF293D">
            <w:pPr>
              <w:spacing w:after="120" w:line="259" w:lineRule="auto"/>
              <w:rPr>
                <w:rFonts w:eastAsiaTheme="minorHAnsi" w:cstheme="minorBidi"/>
                <w:color w:val="263287"/>
                <w:sz w:val="20"/>
                <w:szCs w:val="20"/>
              </w:rPr>
            </w:pPr>
            <w:r w:rsidRPr="00220736">
              <w:rPr>
                <w:rFonts w:eastAsiaTheme="minorHAnsi" w:cstheme="minorBidi"/>
                <w:color w:val="263287"/>
                <w:sz w:val="20"/>
                <w:szCs w:val="20"/>
              </w:rPr>
              <w:t>Routine</w:t>
            </w:r>
          </w:p>
        </w:tc>
        <w:tc>
          <w:tcPr>
            <w:tcW w:w="1399" w:type="dxa"/>
            <w:shd w:val="clear" w:color="auto" w:fill="DEEAF6"/>
          </w:tcPr>
          <w:p w14:paraId="78A0D21D" w14:textId="77777777" w:rsidR="00CF293D" w:rsidRPr="00220736" w:rsidRDefault="00CF293D" w:rsidP="00CF293D">
            <w:pPr>
              <w:spacing w:after="120" w:line="259" w:lineRule="auto"/>
              <w:rPr>
                <w:rFonts w:eastAsiaTheme="minorHAnsi" w:cstheme="minorBidi"/>
                <w:color w:val="263287"/>
                <w:sz w:val="20"/>
                <w:szCs w:val="20"/>
              </w:rPr>
            </w:pPr>
            <w:r w:rsidRPr="00220736">
              <w:rPr>
                <w:rFonts w:eastAsiaTheme="minorHAnsi" w:cstheme="minorBidi"/>
                <w:color w:val="263287"/>
                <w:sz w:val="20"/>
                <w:szCs w:val="20"/>
              </w:rPr>
              <w:t>Additional</w:t>
            </w:r>
          </w:p>
        </w:tc>
      </w:tr>
      <w:tr w:rsidR="00A50026" w:rsidRPr="00220736" w14:paraId="5314D65D" w14:textId="77777777" w:rsidTr="00A50026">
        <w:trPr>
          <w:trHeight w:val="137"/>
          <w:jc w:val="center"/>
        </w:trPr>
        <w:tc>
          <w:tcPr>
            <w:tcW w:w="1408" w:type="dxa"/>
            <w:vMerge w:val="restart"/>
          </w:tcPr>
          <w:p w14:paraId="2028DD30" w14:textId="77777777" w:rsidR="00CF293D" w:rsidRPr="00220736" w:rsidRDefault="00CF293D" w:rsidP="00CF293D">
            <w:pPr>
              <w:spacing w:after="120" w:line="259" w:lineRule="auto"/>
              <w:rPr>
                <w:rFonts w:eastAsiaTheme="minorHAnsi" w:cstheme="minorBidi"/>
                <w:b/>
                <w:sz w:val="20"/>
                <w:szCs w:val="20"/>
              </w:rPr>
            </w:pPr>
            <w:r w:rsidRPr="00220736">
              <w:rPr>
                <w:rFonts w:eastAsiaTheme="minorHAnsi" w:cstheme="minorBidi"/>
                <w:b/>
                <w:sz w:val="20"/>
                <w:szCs w:val="20"/>
              </w:rPr>
              <w:t>Important identified risks</w:t>
            </w:r>
          </w:p>
        </w:tc>
        <w:tc>
          <w:tcPr>
            <w:tcW w:w="3118" w:type="dxa"/>
          </w:tcPr>
          <w:p w14:paraId="5ABA4A29" w14:textId="77777777" w:rsidR="00CF293D" w:rsidRPr="00220736" w:rsidRDefault="00CF293D" w:rsidP="00CF293D">
            <w:pPr>
              <w:spacing w:after="120" w:line="259" w:lineRule="auto"/>
              <w:rPr>
                <w:rFonts w:eastAsiaTheme="minorHAnsi" w:cstheme="minorBidi"/>
                <w:sz w:val="20"/>
                <w:szCs w:val="20"/>
              </w:rPr>
            </w:pPr>
            <w:r w:rsidRPr="00220736">
              <w:rPr>
                <w:rFonts w:eastAsiaTheme="minorHAnsi" w:cstheme="minorBidi"/>
                <w:sz w:val="20"/>
                <w:szCs w:val="20"/>
              </w:rPr>
              <w:t>Renal dysfunction</w:t>
            </w:r>
          </w:p>
        </w:tc>
        <w:tc>
          <w:tcPr>
            <w:tcW w:w="1276" w:type="dxa"/>
            <w:vAlign w:val="center"/>
          </w:tcPr>
          <w:p w14:paraId="37BBEAED" w14:textId="77777777" w:rsidR="00CF293D" w:rsidRPr="00220736" w:rsidRDefault="00CF293D" w:rsidP="00CF293D">
            <w:pPr>
              <w:spacing w:after="120" w:line="259" w:lineRule="auto"/>
              <w:rPr>
                <w:rFonts w:eastAsiaTheme="minorHAnsi" w:cstheme="minorBidi"/>
                <w:sz w:val="20"/>
                <w:szCs w:val="20"/>
              </w:rPr>
            </w:pPr>
            <w:r w:rsidRPr="00220736">
              <w:rPr>
                <w:rFonts w:eastAsiaTheme="minorHAnsi" w:cstheme="minorBidi"/>
                <w:sz w:val="20"/>
                <w:szCs w:val="20"/>
              </w:rPr>
              <w:sym w:font="Wingdings" w:char="F0FC"/>
            </w:r>
          </w:p>
        </w:tc>
        <w:tc>
          <w:tcPr>
            <w:tcW w:w="1276" w:type="dxa"/>
            <w:vAlign w:val="center"/>
          </w:tcPr>
          <w:p w14:paraId="3F304C61" w14:textId="77777777" w:rsidR="00CF293D" w:rsidRPr="00220736" w:rsidRDefault="00CF293D" w:rsidP="00CF293D">
            <w:pPr>
              <w:spacing w:after="120" w:line="259" w:lineRule="auto"/>
              <w:rPr>
                <w:rFonts w:eastAsiaTheme="minorHAnsi" w:cstheme="minorBidi"/>
                <w:sz w:val="20"/>
                <w:szCs w:val="20"/>
              </w:rPr>
            </w:pPr>
            <w:r w:rsidRPr="00220736">
              <w:rPr>
                <w:rFonts w:eastAsiaTheme="minorHAnsi" w:cstheme="minorBidi"/>
                <w:sz w:val="20"/>
                <w:szCs w:val="20"/>
              </w:rPr>
              <w:sym w:font="Wingdings" w:char="F0FC"/>
            </w:r>
            <w:r w:rsidRPr="00220736">
              <w:rPr>
                <w:rFonts w:eastAsiaTheme="minorHAnsi" w:cstheme="minorBidi"/>
                <w:sz w:val="20"/>
                <w:szCs w:val="20"/>
              </w:rPr>
              <w:t>*</w:t>
            </w:r>
          </w:p>
        </w:tc>
        <w:tc>
          <w:tcPr>
            <w:tcW w:w="992" w:type="dxa"/>
            <w:vAlign w:val="center"/>
          </w:tcPr>
          <w:p w14:paraId="3AEF0D9D" w14:textId="77777777" w:rsidR="00CF293D" w:rsidRPr="00220736" w:rsidRDefault="00CF293D" w:rsidP="00CF293D">
            <w:pPr>
              <w:spacing w:after="120" w:line="259" w:lineRule="auto"/>
              <w:rPr>
                <w:rFonts w:eastAsiaTheme="minorHAnsi" w:cstheme="minorBidi"/>
                <w:sz w:val="20"/>
                <w:szCs w:val="20"/>
              </w:rPr>
            </w:pPr>
            <w:r w:rsidRPr="00220736">
              <w:rPr>
                <w:rFonts w:eastAsiaTheme="minorHAnsi" w:cstheme="minorBidi"/>
                <w:sz w:val="20"/>
                <w:szCs w:val="20"/>
              </w:rPr>
              <w:sym w:font="Wingdings" w:char="F0FC"/>
            </w:r>
          </w:p>
        </w:tc>
        <w:tc>
          <w:tcPr>
            <w:tcW w:w="1399" w:type="dxa"/>
            <w:vAlign w:val="center"/>
          </w:tcPr>
          <w:p w14:paraId="7FEA1AD8" w14:textId="77777777" w:rsidR="00CF293D" w:rsidRPr="00220736" w:rsidRDefault="00CF293D" w:rsidP="00CF293D">
            <w:pPr>
              <w:spacing w:after="120" w:line="259" w:lineRule="auto"/>
              <w:rPr>
                <w:rFonts w:eastAsiaTheme="minorHAnsi" w:cstheme="minorBidi"/>
                <w:sz w:val="20"/>
                <w:szCs w:val="20"/>
              </w:rPr>
            </w:pPr>
            <w:r w:rsidRPr="00220736">
              <w:rPr>
                <w:rFonts w:eastAsiaTheme="minorHAnsi" w:cstheme="minorBidi"/>
                <w:sz w:val="20"/>
                <w:szCs w:val="20"/>
              </w:rPr>
              <w:t>–</w:t>
            </w:r>
          </w:p>
        </w:tc>
      </w:tr>
      <w:tr w:rsidR="00A50026" w:rsidRPr="00220736" w14:paraId="3CC675D3" w14:textId="77777777" w:rsidTr="00A50026">
        <w:trPr>
          <w:trHeight w:val="94"/>
          <w:jc w:val="center"/>
        </w:trPr>
        <w:tc>
          <w:tcPr>
            <w:tcW w:w="1408" w:type="dxa"/>
            <w:vMerge/>
          </w:tcPr>
          <w:p w14:paraId="61709E67" w14:textId="77777777" w:rsidR="00CF293D" w:rsidRPr="00220736" w:rsidRDefault="00CF293D" w:rsidP="00CF293D">
            <w:pPr>
              <w:spacing w:after="120" w:line="259" w:lineRule="auto"/>
              <w:rPr>
                <w:rFonts w:eastAsiaTheme="minorHAnsi" w:cstheme="minorBidi"/>
                <w:b/>
                <w:sz w:val="20"/>
                <w:szCs w:val="20"/>
              </w:rPr>
            </w:pPr>
          </w:p>
        </w:tc>
        <w:tc>
          <w:tcPr>
            <w:tcW w:w="3118" w:type="dxa"/>
          </w:tcPr>
          <w:p w14:paraId="3879AF7C" w14:textId="1293F8E2" w:rsidR="00CF293D" w:rsidRPr="00220736" w:rsidRDefault="00CF293D" w:rsidP="00CF293D">
            <w:pPr>
              <w:spacing w:after="120" w:line="259" w:lineRule="auto"/>
              <w:rPr>
                <w:rFonts w:eastAsiaTheme="minorHAnsi" w:cstheme="minorBidi"/>
                <w:sz w:val="20"/>
                <w:szCs w:val="20"/>
              </w:rPr>
            </w:pPr>
            <w:r w:rsidRPr="00220736">
              <w:rPr>
                <w:rFonts w:eastAsiaTheme="minorHAnsi" w:cstheme="minorBidi"/>
                <w:sz w:val="20"/>
                <w:szCs w:val="20"/>
              </w:rPr>
              <w:t xml:space="preserve">Myelosuppression / cytopenias (immediate </w:t>
            </w:r>
            <w:proofErr w:type="spellStart"/>
            <w:r w:rsidRPr="00220736">
              <w:rPr>
                <w:rFonts w:eastAsiaTheme="minorHAnsi" w:cstheme="minorBidi"/>
                <w:sz w:val="20"/>
                <w:szCs w:val="20"/>
              </w:rPr>
              <w:t>h</w:t>
            </w:r>
            <w:r w:rsidR="00234FA3" w:rsidRPr="00220736">
              <w:rPr>
                <w:rFonts w:eastAsiaTheme="minorHAnsi" w:cstheme="minorBidi"/>
                <w:sz w:val="20"/>
                <w:szCs w:val="20"/>
              </w:rPr>
              <w:t>a</w:t>
            </w:r>
            <w:r w:rsidRPr="00220736">
              <w:rPr>
                <w:rFonts w:eastAsiaTheme="minorHAnsi" w:cstheme="minorBidi"/>
                <w:sz w:val="20"/>
                <w:szCs w:val="20"/>
              </w:rPr>
              <w:t>ematotoxicity</w:t>
            </w:r>
            <w:proofErr w:type="spellEnd"/>
            <w:r w:rsidRPr="00220736">
              <w:rPr>
                <w:rFonts w:eastAsiaTheme="minorHAnsi" w:cstheme="minorBidi"/>
                <w:sz w:val="20"/>
                <w:szCs w:val="20"/>
              </w:rPr>
              <w:t>)</w:t>
            </w:r>
          </w:p>
        </w:tc>
        <w:tc>
          <w:tcPr>
            <w:tcW w:w="1276" w:type="dxa"/>
            <w:vAlign w:val="center"/>
          </w:tcPr>
          <w:p w14:paraId="2F4DE843" w14:textId="77777777" w:rsidR="00CF293D" w:rsidRPr="00220736" w:rsidRDefault="00CF293D" w:rsidP="00CF293D">
            <w:pPr>
              <w:spacing w:after="120" w:line="259" w:lineRule="auto"/>
              <w:rPr>
                <w:rFonts w:eastAsiaTheme="minorHAnsi" w:cstheme="minorBidi"/>
                <w:sz w:val="20"/>
                <w:szCs w:val="20"/>
              </w:rPr>
            </w:pPr>
            <w:r w:rsidRPr="00220736">
              <w:rPr>
                <w:rFonts w:eastAsiaTheme="minorHAnsi" w:cstheme="minorBidi"/>
                <w:sz w:val="20"/>
                <w:szCs w:val="20"/>
              </w:rPr>
              <w:sym w:font="Wingdings" w:char="F0FC"/>
            </w:r>
          </w:p>
        </w:tc>
        <w:tc>
          <w:tcPr>
            <w:tcW w:w="1276" w:type="dxa"/>
            <w:vAlign w:val="center"/>
          </w:tcPr>
          <w:p w14:paraId="5AD41F5D" w14:textId="77777777" w:rsidR="00CF293D" w:rsidRPr="00220736" w:rsidRDefault="00CF293D" w:rsidP="00CF293D">
            <w:pPr>
              <w:spacing w:after="120" w:line="259" w:lineRule="auto"/>
              <w:rPr>
                <w:rFonts w:eastAsiaTheme="minorHAnsi" w:cstheme="minorBidi"/>
                <w:sz w:val="20"/>
                <w:szCs w:val="20"/>
              </w:rPr>
            </w:pPr>
            <w:r w:rsidRPr="00220736">
              <w:rPr>
                <w:rFonts w:eastAsiaTheme="minorHAnsi" w:cstheme="minorBidi"/>
                <w:sz w:val="20"/>
                <w:szCs w:val="20"/>
              </w:rPr>
              <w:sym w:font="Wingdings" w:char="F0FC"/>
            </w:r>
            <w:r w:rsidRPr="00220736">
              <w:rPr>
                <w:rFonts w:eastAsiaTheme="minorHAnsi" w:cstheme="minorBidi"/>
                <w:sz w:val="20"/>
                <w:szCs w:val="20"/>
              </w:rPr>
              <w:t>*</w:t>
            </w:r>
          </w:p>
        </w:tc>
        <w:tc>
          <w:tcPr>
            <w:tcW w:w="992" w:type="dxa"/>
            <w:vAlign w:val="center"/>
          </w:tcPr>
          <w:p w14:paraId="16C42880" w14:textId="77777777" w:rsidR="00CF293D" w:rsidRPr="00220736" w:rsidRDefault="00CF293D" w:rsidP="00CF293D">
            <w:pPr>
              <w:spacing w:after="120" w:line="259" w:lineRule="auto"/>
              <w:rPr>
                <w:rFonts w:eastAsiaTheme="minorHAnsi" w:cstheme="minorBidi"/>
                <w:sz w:val="20"/>
                <w:szCs w:val="20"/>
              </w:rPr>
            </w:pPr>
            <w:r w:rsidRPr="00220736">
              <w:rPr>
                <w:rFonts w:eastAsiaTheme="minorHAnsi" w:cstheme="minorBidi"/>
                <w:sz w:val="20"/>
                <w:szCs w:val="20"/>
              </w:rPr>
              <w:sym w:font="Wingdings" w:char="F0FC"/>
            </w:r>
          </w:p>
        </w:tc>
        <w:tc>
          <w:tcPr>
            <w:tcW w:w="1399" w:type="dxa"/>
            <w:vAlign w:val="center"/>
          </w:tcPr>
          <w:p w14:paraId="7E5277AF" w14:textId="77777777" w:rsidR="00CF293D" w:rsidRPr="00220736" w:rsidRDefault="00CF293D" w:rsidP="00CF293D">
            <w:pPr>
              <w:spacing w:after="120" w:line="259" w:lineRule="auto"/>
              <w:rPr>
                <w:rFonts w:eastAsiaTheme="minorHAnsi" w:cstheme="minorBidi"/>
                <w:sz w:val="20"/>
                <w:szCs w:val="20"/>
              </w:rPr>
            </w:pPr>
            <w:r w:rsidRPr="00220736">
              <w:rPr>
                <w:rFonts w:eastAsiaTheme="minorHAnsi" w:cstheme="minorBidi"/>
                <w:sz w:val="20"/>
                <w:szCs w:val="20"/>
              </w:rPr>
              <w:t>–</w:t>
            </w:r>
          </w:p>
        </w:tc>
      </w:tr>
      <w:tr w:rsidR="00A50026" w:rsidRPr="00220736" w14:paraId="6CB15FCE" w14:textId="77777777" w:rsidTr="00A50026">
        <w:trPr>
          <w:trHeight w:val="94"/>
          <w:jc w:val="center"/>
        </w:trPr>
        <w:tc>
          <w:tcPr>
            <w:tcW w:w="1408" w:type="dxa"/>
            <w:vMerge/>
          </w:tcPr>
          <w:p w14:paraId="24A3063B" w14:textId="77777777" w:rsidR="00CF293D" w:rsidRPr="00220736" w:rsidRDefault="00CF293D" w:rsidP="00CF293D">
            <w:pPr>
              <w:spacing w:after="120" w:line="259" w:lineRule="auto"/>
              <w:rPr>
                <w:rFonts w:eastAsiaTheme="minorHAnsi" w:cstheme="minorBidi"/>
                <w:b/>
                <w:sz w:val="20"/>
                <w:szCs w:val="20"/>
              </w:rPr>
            </w:pPr>
          </w:p>
        </w:tc>
        <w:tc>
          <w:tcPr>
            <w:tcW w:w="3118" w:type="dxa"/>
          </w:tcPr>
          <w:p w14:paraId="1D32D276" w14:textId="51BFBBB6" w:rsidR="00CF293D" w:rsidRPr="00220736" w:rsidRDefault="00CF293D" w:rsidP="00CF293D">
            <w:pPr>
              <w:spacing w:after="120" w:line="259" w:lineRule="auto"/>
              <w:rPr>
                <w:rFonts w:eastAsiaTheme="minorHAnsi" w:cstheme="minorBidi"/>
                <w:sz w:val="20"/>
                <w:szCs w:val="20"/>
              </w:rPr>
            </w:pPr>
            <w:r w:rsidRPr="00220736">
              <w:rPr>
                <w:rFonts w:eastAsiaTheme="minorHAnsi" w:cstheme="minorBidi"/>
                <w:sz w:val="20"/>
                <w:szCs w:val="20"/>
              </w:rPr>
              <w:t xml:space="preserve">Myelodysplastic syndrome / acute leukemia (late </w:t>
            </w:r>
            <w:proofErr w:type="spellStart"/>
            <w:r w:rsidRPr="00220736">
              <w:rPr>
                <w:rFonts w:eastAsiaTheme="minorHAnsi" w:cstheme="minorBidi"/>
                <w:sz w:val="20"/>
                <w:szCs w:val="20"/>
              </w:rPr>
              <w:t>h</w:t>
            </w:r>
            <w:r w:rsidR="00234FA3" w:rsidRPr="00220736">
              <w:rPr>
                <w:rFonts w:eastAsiaTheme="minorHAnsi" w:cstheme="minorBidi"/>
                <w:sz w:val="20"/>
                <w:szCs w:val="20"/>
              </w:rPr>
              <w:t>a</w:t>
            </w:r>
            <w:r w:rsidRPr="00220736">
              <w:rPr>
                <w:rFonts w:eastAsiaTheme="minorHAnsi" w:cstheme="minorBidi"/>
                <w:sz w:val="20"/>
                <w:szCs w:val="20"/>
              </w:rPr>
              <w:t>ematotoxicity</w:t>
            </w:r>
            <w:proofErr w:type="spellEnd"/>
            <w:r w:rsidRPr="00220736">
              <w:rPr>
                <w:rFonts w:eastAsiaTheme="minorHAnsi" w:cstheme="minorBidi"/>
                <w:sz w:val="20"/>
                <w:szCs w:val="20"/>
              </w:rPr>
              <w:t>)</w:t>
            </w:r>
          </w:p>
        </w:tc>
        <w:tc>
          <w:tcPr>
            <w:tcW w:w="1276" w:type="dxa"/>
            <w:vAlign w:val="center"/>
          </w:tcPr>
          <w:p w14:paraId="41C0C837" w14:textId="77777777" w:rsidR="00CF293D" w:rsidRPr="00220736" w:rsidRDefault="00CF293D" w:rsidP="00CF293D">
            <w:pPr>
              <w:spacing w:after="120" w:line="259" w:lineRule="auto"/>
              <w:rPr>
                <w:rFonts w:eastAsiaTheme="minorHAnsi" w:cstheme="minorBidi"/>
                <w:sz w:val="20"/>
                <w:szCs w:val="20"/>
              </w:rPr>
            </w:pPr>
            <w:r w:rsidRPr="00220736">
              <w:rPr>
                <w:rFonts w:eastAsiaTheme="minorHAnsi" w:cstheme="minorBidi"/>
                <w:sz w:val="20"/>
                <w:szCs w:val="20"/>
              </w:rPr>
              <w:sym w:font="Wingdings" w:char="F0FC"/>
            </w:r>
          </w:p>
        </w:tc>
        <w:tc>
          <w:tcPr>
            <w:tcW w:w="1276" w:type="dxa"/>
            <w:vAlign w:val="center"/>
          </w:tcPr>
          <w:p w14:paraId="1BCDCD89" w14:textId="77777777" w:rsidR="00CF293D" w:rsidRPr="00220736" w:rsidRDefault="00CF293D" w:rsidP="00CF293D">
            <w:pPr>
              <w:spacing w:after="120" w:line="259" w:lineRule="auto"/>
              <w:rPr>
                <w:rFonts w:eastAsiaTheme="minorHAnsi" w:cstheme="minorBidi"/>
                <w:sz w:val="20"/>
                <w:szCs w:val="20"/>
              </w:rPr>
            </w:pPr>
            <w:r w:rsidRPr="00220736">
              <w:rPr>
                <w:rFonts w:eastAsiaTheme="minorHAnsi" w:cstheme="minorBidi"/>
                <w:sz w:val="20"/>
                <w:szCs w:val="20"/>
              </w:rPr>
              <w:sym w:font="Wingdings" w:char="F0FC"/>
            </w:r>
            <w:r w:rsidRPr="00220736">
              <w:rPr>
                <w:rFonts w:eastAsiaTheme="minorHAnsi" w:cstheme="minorBidi"/>
                <w:sz w:val="20"/>
                <w:szCs w:val="20"/>
              </w:rPr>
              <w:t>*</w:t>
            </w:r>
          </w:p>
        </w:tc>
        <w:tc>
          <w:tcPr>
            <w:tcW w:w="992" w:type="dxa"/>
            <w:vAlign w:val="center"/>
          </w:tcPr>
          <w:p w14:paraId="4152B54B" w14:textId="77777777" w:rsidR="00CF293D" w:rsidRPr="00220736" w:rsidRDefault="00CF293D" w:rsidP="00CF293D">
            <w:pPr>
              <w:spacing w:after="120" w:line="259" w:lineRule="auto"/>
              <w:rPr>
                <w:rFonts w:eastAsiaTheme="minorHAnsi" w:cstheme="minorBidi"/>
                <w:sz w:val="20"/>
                <w:szCs w:val="20"/>
              </w:rPr>
            </w:pPr>
            <w:r w:rsidRPr="00220736">
              <w:rPr>
                <w:rFonts w:eastAsiaTheme="minorHAnsi" w:cstheme="minorBidi"/>
                <w:sz w:val="20"/>
                <w:szCs w:val="20"/>
              </w:rPr>
              <w:sym w:font="Wingdings" w:char="F0FC"/>
            </w:r>
          </w:p>
        </w:tc>
        <w:tc>
          <w:tcPr>
            <w:tcW w:w="1399" w:type="dxa"/>
            <w:vAlign w:val="center"/>
          </w:tcPr>
          <w:p w14:paraId="1D01E4C0" w14:textId="77777777" w:rsidR="00CF293D" w:rsidRPr="00220736" w:rsidRDefault="00CF293D" w:rsidP="00CF293D">
            <w:pPr>
              <w:spacing w:after="120" w:line="259" w:lineRule="auto"/>
              <w:rPr>
                <w:rFonts w:eastAsiaTheme="minorHAnsi" w:cstheme="minorBidi"/>
                <w:sz w:val="20"/>
                <w:szCs w:val="20"/>
              </w:rPr>
            </w:pPr>
            <w:r w:rsidRPr="00220736">
              <w:rPr>
                <w:rFonts w:eastAsiaTheme="minorHAnsi" w:cstheme="minorBidi"/>
                <w:sz w:val="20"/>
                <w:szCs w:val="20"/>
              </w:rPr>
              <w:t>–</w:t>
            </w:r>
          </w:p>
        </w:tc>
      </w:tr>
      <w:tr w:rsidR="00A50026" w:rsidRPr="00220736" w14:paraId="30ED4B47" w14:textId="77777777" w:rsidTr="00A50026">
        <w:trPr>
          <w:trHeight w:val="94"/>
          <w:jc w:val="center"/>
        </w:trPr>
        <w:tc>
          <w:tcPr>
            <w:tcW w:w="1408" w:type="dxa"/>
            <w:vMerge/>
          </w:tcPr>
          <w:p w14:paraId="6BB55BAB" w14:textId="77777777" w:rsidR="00CF293D" w:rsidRPr="00220736" w:rsidRDefault="00CF293D" w:rsidP="00CF293D">
            <w:pPr>
              <w:spacing w:after="120" w:line="259" w:lineRule="auto"/>
              <w:rPr>
                <w:rFonts w:eastAsiaTheme="minorHAnsi" w:cstheme="minorBidi"/>
                <w:b/>
                <w:sz w:val="20"/>
                <w:szCs w:val="20"/>
              </w:rPr>
            </w:pPr>
          </w:p>
        </w:tc>
        <w:tc>
          <w:tcPr>
            <w:tcW w:w="3118" w:type="dxa"/>
          </w:tcPr>
          <w:p w14:paraId="278A9673" w14:textId="77777777" w:rsidR="00CF293D" w:rsidRPr="00220736" w:rsidRDefault="00CF293D" w:rsidP="00CF293D">
            <w:pPr>
              <w:spacing w:after="120" w:line="259" w:lineRule="auto"/>
              <w:rPr>
                <w:rFonts w:eastAsiaTheme="minorHAnsi" w:cstheme="minorBidi"/>
                <w:sz w:val="20"/>
                <w:szCs w:val="20"/>
              </w:rPr>
            </w:pPr>
            <w:r w:rsidRPr="00220736">
              <w:rPr>
                <w:rFonts w:eastAsiaTheme="minorHAnsi" w:cstheme="minorBidi"/>
                <w:sz w:val="20"/>
                <w:szCs w:val="20"/>
              </w:rPr>
              <w:t>Hepatotoxicity</w:t>
            </w:r>
          </w:p>
        </w:tc>
        <w:tc>
          <w:tcPr>
            <w:tcW w:w="1276" w:type="dxa"/>
            <w:vAlign w:val="center"/>
          </w:tcPr>
          <w:p w14:paraId="0ABA7FD7" w14:textId="77777777" w:rsidR="00CF293D" w:rsidRPr="00220736" w:rsidRDefault="00CF293D" w:rsidP="00CF293D">
            <w:pPr>
              <w:spacing w:after="120" w:line="259" w:lineRule="auto"/>
              <w:rPr>
                <w:rFonts w:eastAsiaTheme="minorHAnsi" w:cstheme="minorBidi"/>
                <w:sz w:val="20"/>
                <w:szCs w:val="20"/>
              </w:rPr>
            </w:pPr>
            <w:r w:rsidRPr="00220736">
              <w:rPr>
                <w:rFonts w:eastAsiaTheme="minorHAnsi" w:cstheme="minorBidi"/>
                <w:sz w:val="20"/>
                <w:szCs w:val="20"/>
              </w:rPr>
              <w:sym w:font="Wingdings" w:char="F0FC"/>
            </w:r>
          </w:p>
        </w:tc>
        <w:tc>
          <w:tcPr>
            <w:tcW w:w="1276" w:type="dxa"/>
            <w:vAlign w:val="center"/>
          </w:tcPr>
          <w:p w14:paraId="2FC70837" w14:textId="77777777" w:rsidR="00CF293D" w:rsidRPr="00220736" w:rsidRDefault="00CF293D" w:rsidP="00CF293D">
            <w:pPr>
              <w:spacing w:after="120" w:line="259" w:lineRule="auto"/>
              <w:rPr>
                <w:rFonts w:eastAsiaTheme="minorHAnsi" w:cstheme="minorBidi"/>
                <w:sz w:val="20"/>
                <w:szCs w:val="20"/>
              </w:rPr>
            </w:pPr>
            <w:r w:rsidRPr="00220736">
              <w:rPr>
                <w:rFonts w:eastAsiaTheme="minorHAnsi" w:cstheme="minorBidi"/>
                <w:sz w:val="20"/>
                <w:szCs w:val="20"/>
              </w:rPr>
              <w:sym w:font="Wingdings" w:char="F0FC"/>
            </w:r>
            <w:r w:rsidRPr="00220736">
              <w:rPr>
                <w:rFonts w:eastAsiaTheme="minorHAnsi" w:cstheme="minorBidi"/>
                <w:sz w:val="20"/>
                <w:szCs w:val="20"/>
              </w:rPr>
              <w:t>*</w:t>
            </w:r>
          </w:p>
        </w:tc>
        <w:tc>
          <w:tcPr>
            <w:tcW w:w="992" w:type="dxa"/>
            <w:vAlign w:val="center"/>
          </w:tcPr>
          <w:p w14:paraId="0192E6CC" w14:textId="77777777" w:rsidR="00CF293D" w:rsidRPr="00220736" w:rsidRDefault="00CF293D" w:rsidP="00CF293D">
            <w:pPr>
              <w:spacing w:after="120" w:line="259" w:lineRule="auto"/>
              <w:rPr>
                <w:rFonts w:eastAsiaTheme="minorHAnsi" w:cstheme="minorBidi"/>
                <w:sz w:val="20"/>
                <w:szCs w:val="20"/>
              </w:rPr>
            </w:pPr>
            <w:r w:rsidRPr="00220736">
              <w:rPr>
                <w:rFonts w:eastAsiaTheme="minorHAnsi" w:cstheme="minorBidi"/>
                <w:sz w:val="20"/>
                <w:szCs w:val="20"/>
              </w:rPr>
              <w:sym w:font="Wingdings" w:char="F0FC"/>
            </w:r>
          </w:p>
        </w:tc>
        <w:tc>
          <w:tcPr>
            <w:tcW w:w="1399" w:type="dxa"/>
            <w:vAlign w:val="center"/>
          </w:tcPr>
          <w:p w14:paraId="7BACD827" w14:textId="77777777" w:rsidR="00CF293D" w:rsidRPr="00220736" w:rsidRDefault="00CF293D" w:rsidP="00CF293D">
            <w:pPr>
              <w:spacing w:after="120" w:line="259" w:lineRule="auto"/>
              <w:rPr>
                <w:rFonts w:eastAsiaTheme="minorHAnsi" w:cstheme="minorBidi"/>
                <w:sz w:val="20"/>
                <w:szCs w:val="20"/>
              </w:rPr>
            </w:pPr>
            <w:r w:rsidRPr="00220736">
              <w:rPr>
                <w:rFonts w:eastAsiaTheme="minorHAnsi" w:cstheme="minorBidi"/>
                <w:sz w:val="20"/>
                <w:szCs w:val="20"/>
              </w:rPr>
              <w:t>–</w:t>
            </w:r>
          </w:p>
        </w:tc>
      </w:tr>
      <w:tr w:rsidR="00A50026" w:rsidRPr="00220736" w14:paraId="186D8F64" w14:textId="77777777" w:rsidTr="00A50026">
        <w:trPr>
          <w:trHeight w:val="94"/>
          <w:jc w:val="center"/>
        </w:trPr>
        <w:tc>
          <w:tcPr>
            <w:tcW w:w="1408" w:type="dxa"/>
            <w:vMerge/>
          </w:tcPr>
          <w:p w14:paraId="1A6DB298" w14:textId="77777777" w:rsidR="00CF293D" w:rsidRPr="00220736" w:rsidRDefault="00CF293D" w:rsidP="00CF293D">
            <w:pPr>
              <w:spacing w:after="120" w:line="259" w:lineRule="auto"/>
              <w:rPr>
                <w:rFonts w:eastAsiaTheme="minorHAnsi" w:cstheme="minorBidi"/>
                <w:b/>
                <w:sz w:val="20"/>
                <w:szCs w:val="20"/>
              </w:rPr>
            </w:pPr>
          </w:p>
        </w:tc>
        <w:tc>
          <w:tcPr>
            <w:tcW w:w="3118" w:type="dxa"/>
          </w:tcPr>
          <w:p w14:paraId="7D6935DA" w14:textId="77777777" w:rsidR="00CF293D" w:rsidRPr="00220736" w:rsidRDefault="00CF293D" w:rsidP="00CF293D">
            <w:pPr>
              <w:spacing w:after="120" w:line="259" w:lineRule="auto"/>
              <w:rPr>
                <w:rFonts w:eastAsiaTheme="minorHAnsi" w:cstheme="minorBidi"/>
                <w:sz w:val="20"/>
                <w:szCs w:val="20"/>
              </w:rPr>
            </w:pPr>
            <w:proofErr w:type="spellStart"/>
            <w:r w:rsidRPr="00220736">
              <w:rPr>
                <w:rFonts w:eastAsiaTheme="minorHAnsi" w:cstheme="minorBidi"/>
                <w:sz w:val="20"/>
                <w:szCs w:val="20"/>
              </w:rPr>
              <w:t>Tumor</w:t>
            </w:r>
            <w:proofErr w:type="spellEnd"/>
            <w:r w:rsidRPr="00220736">
              <w:rPr>
                <w:rFonts w:eastAsiaTheme="minorHAnsi" w:cstheme="minorBidi"/>
                <w:sz w:val="20"/>
                <w:szCs w:val="20"/>
              </w:rPr>
              <w:t xml:space="preserve"> lysis syndrome</w:t>
            </w:r>
          </w:p>
        </w:tc>
        <w:tc>
          <w:tcPr>
            <w:tcW w:w="1276" w:type="dxa"/>
            <w:vAlign w:val="center"/>
          </w:tcPr>
          <w:p w14:paraId="4843D4B8" w14:textId="77777777" w:rsidR="00CF293D" w:rsidRPr="00220736" w:rsidRDefault="00CF293D" w:rsidP="00CF293D">
            <w:pPr>
              <w:spacing w:after="120" w:line="259" w:lineRule="auto"/>
              <w:rPr>
                <w:rFonts w:eastAsiaTheme="minorHAnsi" w:cstheme="minorBidi"/>
                <w:sz w:val="20"/>
                <w:szCs w:val="20"/>
              </w:rPr>
            </w:pPr>
            <w:r w:rsidRPr="00220736">
              <w:rPr>
                <w:rFonts w:eastAsiaTheme="minorHAnsi" w:cstheme="minorBidi"/>
                <w:sz w:val="20"/>
                <w:szCs w:val="20"/>
              </w:rPr>
              <w:sym w:font="Wingdings" w:char="F0FC"/>
            </w:r>
          </w:p>
        </w:tc>
        <w:tc>
          <w:tcPr>
            <w:tcW w:w="1276" w:type="dxa"/>
            <w:vAlign w:val="center"/>
          </w:tcPr>
          <w:p w14:paraId="6D447FAA" w14:textId="77777777" w:rsidR="00CF293D" w:rsidRPr="00220736" w:rsidRDefault="00CF293D" w:rsidP="00CF293D">
            <w:pPr>
              <w:spacing w:after="120" w:line="259" w:lineRule="auto"/>
              <w:rPr>
                <w:rFonts w:eastAsiaTheme="minorHAnsi" w:cstheme="minorBidi"/>
                <w:sz w:val="20"/>
                <w:szCs w:val="20"/>
              </w:rPr>
            </w:pPr>
            <w:r w:rsidRPr="00220736">
              <w:rPr>
                <w:rFonts w:eastAsiaTheme="minorHAnsi" w:cstheme="minorBidi"/>
                <w:sz w:val="20"/>
                <w:szCs w:val="20"/>
              </w:rPr>
              <w:sym w:font="Wingdings" w:char="F0FC"/>
            </w:r>
            <w:r w:rsidRPr="00220736">
              <w:rPr>
                <w:rFonts w:eastAsiaTheme="minorHAnsi" w:cstheme="minorBidi"/>
                <w:sz w:val="20"/>
                <w:szCs w:val="20"/>
              </w:rPr>
              <w:t>*</w:t>
            </w:r>
          </w:p>
        </w:tc>
        <w:tc>
          <w:tcPr>
            <w:tcW w:w="992" w:type="dxa"/>
            <w:vAlign w:val="center"/>
          </w:tcPr>
          <w:p w14:paraId="77E2A161" w14:textId="77777777" w:rsidR="00CF293D" w:rsidRPr="00220736" w:rsidRDefault="00CF293D" w:rsidP="00CF293D">
            <w:pPr>
              <w:spacing w:after="120" w:line="259" w:lineRule="auto"/>
              <w:rPr>
                <w:rFonts w:eastAsiaTheme="minorHAnsi" w:cstheme="minorBidi"/>
                <w:sz w:val="20"/>
                <w:szCs w:val="20"/>
              </w:rPr>
            </w:pPr>
            <w:r w:rsidRPr="00220736">
              <w:rPr>
                <w:rFonts w:eastAsiaTheme="minorHAnsi" w:cstheme="minorBidi"/>
                <w:sz w:val="20"/>
                <w:szCs w:val="20"/>
              </w:rPr>
              <w:sym w:font="Wingdings" w:char="F0FC"/>
            </w:r>
          </w:p>
        </w:tc>
        <w:tc>
          <w:tcPr>
            <w:tcW w:w="1399" w:type="dxa"/>
            <w:vAlign w:val="center"/>
          </w:tcPr>
          <w:p w14:paraId="4C55F38F" w14:textId="77777777" w:rsidR="00CF293D" w:rsidRPr="00220736" w:rsidRDefault="00CF293D" w:rsidP="00CF293D">
            <w:pPr>
              <w:spacing w:after="120" w:line="259" w:lineRule="auto"/>
              <w:rPr>
                <w:rFonts w:eastAsiaTheme="minorHAnsi" w:cstheme="minorBidi"/>
                <w:sz w:val="20"/>
                <w:szCs w:val="20"/>
              </w:rPr>
            </w:pPr>
            <w:r w:rsidRPr="00220736">
              <w:rPr>
                <w:rFonts w:eastAsiaTheme="minorHAnsi" w:cstheme="minorBidi"/>
                <w:sz w:val="20"/>
                <w:szCs w:val="20"/>
              </w:rPr>
              <w:t>–</w:t>
            </w:r>
          </w:p>
        </w:tc>
      </w:tr>
      <w:tr w:rsidR="00A50026" w:rsidRPr="00220736" w14:paraId="417AA15C" w14:textId="77777777" w:rsidTr="00A50026">
        <w:trPr>
          <w:trHeight w:val="94"/>
          <w:jc w:val="center"/>
        </w:trPr>
        <w:tc>
          <w:tcPr>
            <w:tcW w:w="1408" w:type="dxa"/>
            <w:vMerge/>
          </w:tcPr>
          <w:p w14:paraId="3E22AC05" w14:textId="77777777" w:rsidR="00CF293D" w:rsidRPr="00220736" w:rsidRDefault="00CF293D" w:rsidP="00CF293D">
            <w:pPr>
              <w:spacing w:after="120" w:line="259" w:lineRule="auto"/>
              <w:rPr>
                <w:rFonts w:eastAsiaTheme="minorHAnsi" w:cstheme="minorBidi"/>
                <w:b/>
                <w:sz w:val="20"/>
                <w:szCs w:val="20"/>
              </w:rPr>
            </w:pPr>
          </w:p>
        </w:tc>
        <w:tc>
          <w:tcPr>
            <w:tcW w:w="3118" w:type="dxa"/>
          </w:tcPr>
          <w:p w14:paraId="532E1A9A" w14:textId="77777777" w:rsidR="00CF293D" w:rsidRPr="00220736" w:rsidRDefault="00CF293D" w:rsidP="00CF293D">
            <w:pPr>
              <w:spacing w:after="120" w:line="259" w:lineRule="auto"/>
              <w:rPr>
                <w:rFonts w:eastAsiaTheme="minorHAnsi" w:cstheme="minorBidi"/>
                <w:sz w:val="20"/>
                <w:szCs w:val="20"/>
              </w:rPr>
            </w:pPr>
            <w:r w:rsidRPr="00220736">
              <w:rPr>
                <w:rFonts w:eastAsiaTheme="minorHAnsi" w:cstheme="minorBidi"/>
                <w:sz w:val="20"/>
                <w:szCs w:val="20"/>
              </w:rPr>
              <w:t>Hormone release-induced crises</w:t>
            </w:r>
          </w:p>
        </w:tc>
        <w:tc>
          <w:tcPr>
            <w:tcW w:w="1276" w:type="dxa"/>
            <w:vAlign w:val="center"/>
          </w:tcPr>
          <w:p w14:paraId="2ABF572B" w14:textId="77777777" w:rsidR="00CF293D" w:rsidRPr="00220736" w:rsidRDefault="00CF293D" w:rsidP="00CF293D">
            <w:pPr>
              <w:spacing w:after="120" w:line="259" w:lineRule="auto"/>
              <w:rPr>
                <w:rFonts w:eastAsiaTheme="minorHAnsi" w:cstheme="minorBidi"/>
                <w:sz w:val="20"/>
                <w:szCs w:val="20"/>
              </w:rPr>
            </w:pPr>
            <w:r w:rsidRPr="00220736">
              <w:rPr>
                <w:rFonts w:eastAsiaTheme="minorHAnsi" w:cstheme="minorBidi"/>
                <w:sz w:val="20"/>
                <w:szCs w:val="20"/>
              </w:rPr>
              <w:sym w:font="Wingdings" w:char="F0FC"/>
            </w:r>
          </w:p>
        </w:tc>
        <w:tc>
          <w:tcPr>
            <w:tcW w:w="1276" w:type="dxa"/>
            <w:vAlign w:val="center"/>
          </w:tcPr>
          <w:p w14:paraId="097FE291" w14:textId="77777777" w:rsidR="00CF293D" w:rsidRPr="00220736" w:rsidRDefault="00CF293D" w:rsidP="00CF293D">
            <w:pPr>
              <w:spacing w:after="120" w:line="259" w:lineRule="auto"/>
              <w:rPr>
                <w:rFonts w:eastAsiaTheme="minorHAnsi" w:cstheme="minorBidi"/>
                <w:sz w:val="20"/>
                <w:szCs w:val="20"/>
              </w:rPr>
            </w:pPr>
            <w:r w:rsidRPr="00220736">
              <w:rPr>
                <w:rFonts w:eastAsiaTheme="minorHAnsi" w:cstheme="minorBidi"/>
                <w:sz w:val="20"/>
                <w:szCs w:val="20"/>
              </w:rPr>
              <w:sym w:font="Wingdings" w:char="F0FC"/>
            </w:r>
            <w:r w:rsidRPr="00220736">
              <w:rPr>
                <w:rFonts w:eastAsiaTheme="minorHAnsi" w:cstheme="minorBidi"/>
                <w:sz w:val="20"/>
                <w:szCs w:val="20"/>
              </w:rPr>
              <w:t>*</w:t>
            </w:r>
          </w:p>
        </w:tc>
        <w:tc>
          <w:tcPr>
            <w:tcW w:w="992" w:type="dxa"/>
            <w:vAlign w:val="center"/>
          </w:tcPr>
          <w:p w14:paraId="0A239545" w14:textId="77777777" w:rsidR="00CF293D" w:rsidRPr="00220736" w:rsidRDefault="00CF293D" w:rsidP="00CF293D">
            <w:pPr>
              <w:spacing w:after="120" w:line="259" w:lineRule="auto"/>
              <w:rPr>
                <w:rFonts w:eastAsiaTheme="minorHAnsi" w:cstheme="minorBidi"/>
                <w:sz w:val="20"/>
                <w:szCs w:val="20"/>
              </w:rPr>
            </w:pPr>
            <w:r w:rsidRPr="00220736">
              <w:rPr>
                <w:rFonts w:eastAsiaTheme="minorHAnsi" w:cstheme="minorBidi"/>
                <w:sz w:val="20"/>
                <w:szCs w:val="20"/>
              </w:rPr>
              <w:sym w:font="Wingdings" w:char="F0FC"/>
            </w:r>
          </w:p>
        </w:tc>
        <w:tc>
          <w:tcPr>
            <w:tcW w:w="1399" w:type="dxa"/>
            <w:vAlign w:val="center"/>
          </w:tcPr>
          <w:p w14:paraId="12221B36" w14:textId="77777777" w:rsidR="00CF293D" w:rsidRPr="00220736" w:rsidRDefault="00CF293D" w:rsidP="00CF293D">
            <w:pPr>
              <w:spacing w:after="120" w:line="259" w:lineRule="auto"/>
              <w:rPr>
                <w:rFonts w:eastAsiaTheme="minorHAnsi" w:cstheme="minorBidi"/>
                <w:sz w:val="20"/>
                <w:szCs w:val="20"/>
              </w:rPr>
            </w:pPr>
            <w:r w:rsidRPr="00220736">
              <w:rPr>
                <w:rFonts w:eastAsiaTheme="minorHAnsi" w:cstheme="minorBidi"/>
                <w:sz w:val="20"/>
                <w:szCs w:val="20"/>
              </w:rPr>
              <w:t>–</w:t>
            </w:r>
          </w:p>
        </w:tc>
      </w:tr>
      <w:tr w:rsidR="00A50026" w:rsidRPr="00220736" w14:paraId="66C90F1E" w14:textId="77777777" w:rsidTr="00A50026">
        <w:trPr>
          <w:trHeight w:val="94"/>
          <w:jc w:val="center"/>
        </w:trPr>
        <w:tc>
          <w:tcPr>
            <w:tcW w:w="1408" w:type="dxa"/>
            <w:vMerge/>
          </w:tcPr>
          <w:p w14:paraId="188D2FD9" w14:textId="77777777" w:rsidR="00CF293D" w:rsidRPr="00220736" w:rsidRDefault="00CF293D" w:rsidP="00CF293D">
            <w:pPr>
              <w:spacing w:after="120" w:line="259" w:lineRule="auto"/>
              <w:rPr>
                <w:rFonts w:eastAsiaTheme="minorHAnsi" w:cstheme="minorBidi"/>
                <w:b/>
                <w:sz w:val="20"/>
                <w:szCs w:val="20"/>
              </w:rPr>
            </w:pPr>
          </w:p>
        </w:tc>
        <w:tc>
          <w:tcPr>
            <w:tcW w:w="3118" w:type="dxa"/>
          </w:tcPr>
          <w:p w14:paraId="7B71611C" w14:textId="77777777" w:rsidR="00CF293D" w:rsidRPr="00220736" w:rsidRDefault="00CF293D" w:rsidP="00CF293D">
            <w:pPr>
              <w:spacing w:after="120" w:line="259" w:lineRule="auto"/>
              <w:rPr>
                <w:rFonts w:eastAsiaTheme="minorHAnsi" w:cstheme="minorBidi"/>
                <w:sz w:val="20"/>
                <w:szCs w:val="20"/>
              </w:rPr>
            </w:pPr>
            <w:r w:rsidRPr="00220736">
              <w:rPr>
                <w:rFonts w:eastAsiaTheme="minorHAnsi" w:cstheme="minorBidi"/>
                <w:sz w:val="20"/>
                <w:szCs w:val="20"/>
              </w:rPr>
              <w:t>Hypogonadism, sexual dysfunction</w:t>
            </w:r>
          </w:p>
        </w:tc>
        <w:tc>
          <w:tcPr>
            <w:tcW w:w="1276" w:type="dxa"/>
            <w:vAlign w:val="center"/>
          </w:tcPr>
          <w:p w14:paraId="47A761BD" w14:textId="77777777" w:rsidR="00CF293D" w:rsidRPr="00220736" w:rsidRDefault="00CF293D" w:rsidP="00CF293D">
            <w:pPr>
              <w:spacing w:after="120" w:line="259" w:lineRule="auto"/>
              <w:rPr>
                <w:rFonts w:eastAsiaTheme="minorHAnsi" w:cstheme="minorBidi"/>
                <w:sz w:val="20"/>
                <w:szCs w:val="20"/>
              </w:rPr>
            </w:pPr>
            <w:r w:rsidRPr="00220736">
              <w:rPr>
                <w:rFonts w:eastAsiaTheme="minorHAnsi" w:cstheme="minorBidi"/>
                <w:sz w:val="20"/>
                <w:szCs w:val="20"/>
              </w:rPr>
              <w:sym w:font="Wingdings" w:char="F0FC"/>
            </w:r>
          </w:p>
        </w:tc>
        <w:tc>
          <w:tcPr>
            <w:tcW w:w="1276" w:type="dxa"/>
            <w:vAlign w:val="center"/>
          </w:tcPr>
          <w:p w14:paraId="7B5D5F28" w14:textId="77777777" w:rsidR="00CF293D" w:rsidRPr="00220736" w:rsidRDefault="00CF293D" w:rsidP="00CF293D">
            <w:pPr>
              <w:spacing w:after="120" w:line="259" w:lineRule="auto"/>
              <w:rPr>
                <w:rFonts w:eastAsiaTheme="minorHAnsi" w:cstheme="minorBidi"/>
                <w:sz w:val="20"/>
                <w:szCs w:val="20"/>
              </w:rPr>
            </w:pPr>
            <w:r w:rsidRPr="00220736">
              <w:rPr>
                <w:rFonts w:eastAsiaTheme="minorHAnsi" w:cstheme="minorBidi"/>
                <w:sz w:val="20"/>
                <w:szCs w:val="20"/>
              </w:rPr>
              <w:sym w:font="Wingdings" w:char="F0FC"/>
            </w:r>
            <w:r w:rsidRPr="00220736">
              <w:rPr>
                <w:rFonts w:eastAsiaTheme="minorHAnsi" w:cstheme="minorBidi"/>
                <w:sz w:val="20"/>
                <w:szCs w:val="20"/>
              </w:rPr>
              <w:t>*</w:t>
            </w:r>
          </w:p>
        </w:tc>
        <w:tc>
          <w:tcPr>
            <w:tcW w:w="992" w:type="dxa"/>
            <w:vAlign w:val="center"/>
          </w:tcPr>
          <w:p w14:paraId="48187705" w14:textId="77777777" w:rsidR="00CF293D" w:rsidRPr="00220736" w:rsidRDefault="00CF293D" w:rsidP="00CF293D">
            <w:pPr>
              <w:spacing w:after="120" w:line="259" w:lineRule="auto"/>
              <w:rPr>
                <w:rFonts w:eastAsiaTheme="minorHAnsi" w:cstheme="minorBidi"/>
                <w:sz w:val="20"/>
                <w:szCs w:val="20"/>
              </w:rPr>
            </w:pPr>
            <w:r w:rsidRPr="00220736">
              <w:rPr>
                <w:rFonts w:eastAsiaTheme="minorHAnsi" w:cstheme="minorBidi"/>
                <w:sz w:val="20"/>
                <w:szCs w:val="20"/>
              </w:rPr>
              <w:sym w:font="Wingdings" w:char="F0FC"/>
            </w:r>
          </w:p>
        </w:tc>
        <w:tc>
          <w:tcPr>
            <w:tcW w:w="1399" w:type="dxa"/>
            <w:vAlign w:val="center"/>
          </w:tcPr>
          <w:p w14:paraId="6D9ACD76" w14:textId="77777777" w:rsidR="00CF293D" w:rsidRPr="00220736" w:rsidRDefault="00CF293D" w:rsidP="00CF293D">
            <w:pPr>
              <w:spacing w:after="120" w:line="259" w:lineRule="auto"/>
              <w:rPr>
                <w:rFonts w:eastAsiaTheme="minorHAnsi" w:cstheme="minorBidi"/>
                <w:sz w:val="20"/>
                <w:szCs w:val="20"/>
              </w:rPr>
            </w:pPr>
            <w:r w:rsidRPr="00220736">
              <w:rPr>
                <w:rFonts w:eastAsiaTheme="minorHAnsi" w:cstheme="minorBidi"/>
                <w:sz w:val="20"/>
                <w:szCs w:val="20"/>
              </w:rPr>
              <w:t>–</w:t>
            </w:r>
          </w:p>
        </w:tc>
      </w:tr>
      <w:tr w:rsidR="00A50026" w:rsidRPr="00220736" w14:paraId="199395F3" w14:textId="77777777" w:rsidTr="00A50026">
        <w:trPr>
          <w:trHeight w:val="187"/>
          <w:jc w:val="center"/>
        </w:trPr>
        <w:tc>
          <w:tcPr>
            <w:tcW w:w="1408" w:type="dxa"/>
            <w:vMerge/>
          </w:tcPr>
          <w:p w14:paraId="4A55D76D" w14:textId="77777777" w:rsidR="00CF293D" w:rsidRPr="00220736" w:rsidRDefault="00CF293D" w:rsidP="00CF293D">
            <w:pPr>
              <w:spacing w:after="120" w:line="259" w:lineRule="auto"/>
              <w:rPr>
                <w:rFonts w:eastAsiaTheme="minorHAnsi" w:cstheme="minorBidi"/>
                <w:b/>
                <w:sz w:val="20"/>
                <w:szCs w:val="20"/>
              </w:rPr>
            </w:pPr>
          </w:p>
        </w:tc>
        <w:tc>
          <w:tcPr>
            <w:tcW w:w="3118" w:type="dxa"/>
          </w:tcPr>
          <w:p w14:paraId="5A364F28" w14:textId="77777777" w:rsidR="00CF293D" w:rsidRPr="00220736" w:rsidRDefault="00CF293D" w:rsidP="00CF293D">
            <w:pPr>
              <w:spacing w:after="120" w:line="259" w:lineRule="auto"/>
              <w:rPr>
                <w:rFonts w:eastAsiaTheme="minorHAnsi" w:cstheme="minorBidi"/>
                <w:sz w:val="20"/>
                <w:szCs w:val="20"/>
              </w:rPr>
            </w:pPr>
            <w:r w:rsidRPr="00220736">
              <w:rPr>
                <w:rFonts w:eastAsiaTheme="minorHAnsi" w:cstheme="minorBidi"/>
                <w:sz w:val="20"/>
                <w:szCs w:val="20"/>
              </w:rPr>
              <w:t>Drug interaction with somatostatin/somatostatin analogues</w:t>
            </w:r>
          </w:p>
        </w:tc>
        <w:tc>
          <w:tcPr>
            <w:tcW w:w="1276" w:type="dxa"/>
            <w:vAlign w:val="center"/>
          </w:tcPr>
          <w:p w14:paraId="70879436" w14:textId="77777777" w:rsidR="00CF293D" w:rsidRPr="00220736" w:rsidRDefault="00CF293D" w:rsidP="00CF293D">
            <w:pPr>
              <w:spacing w:after="120" w:line="259" w:lineRule="auto"/>
              <w:rPr>
                <w:rFonts w:eastAsiaTheme="minorHAnsi" w:cstheme="minorBidi"/>
                <w:sz w:val="20"/>
                <w:szCs w:val="20"/>
              </w:rPr>
            </w:pPr>
            <w:r w:rsidRPr="00220736">
              <w:rPr>
                <w:rFonts w:eastAsiaTheme="minorHAnsi" w:cstheme="minorBidi"/>
                <w:sz w:val="20"/>
                <w:szCs w:val="20"/>
              </w:rPr>
              <w:sym w:font="Wingdings" w:char="F0FC"/>
            </w:r>
          </w:p>
        </w:tc>
        <w:tc>
          <w:tcPr>
            <w:tcW w:w="1276" w:type="dxa"/>
            <w:vAlign w:val="center"/>
          </w:tcPr>
          <w:p w14:paraId="1C4DBDED" w14:textId="77777777" w:rsidR="00CF293D" w:rsidRPr="00220736" w:rsidRDefault="00CF293D" w:rsidP="00CF293D">
            <w:pPr>
              <w:spacing w:after="120" w:line="259" w:lineRule="auto"/>
              <w:rPr>
                <w:rFonts w:eastAsiaTheme="minorHAnsi" w:cstheme="minorBidi"/>
                <w:sz w:val="20"/>
                <w:szCs w:val="20"/>
              </w:rPr>
            </w:pPr>
            <w:r w:rsidRPr="00220736">
              <w:rPr>
                <w:rFonts w:eastAsiaTheme="minorHAnsi" w:cstheme="minorBidi"/>
                <w:sz w:val="20"/>
                <w:szCs w:val="20"/>
              </w:rPr>
              <w:sym w:font="Wingdings" w:char="F0FC"/>
            </w:r>
            <w:r w:rsidRPr="00220736">
              <w:rPr>
                <w:rFonts w:eastAsiaTheme="minorHAnsi" w:cstheme="minorBidi"/>
                <w:sz w:val="20"/>
                <w:szCs w:val="20"/>
              </w:rPr>
              <w:t>*</w:t>
            </w:r>
          </w:p>
        </w:tc>
        <w:tc>
          <w:tcPr>
            <w:tcW w:w="992" w:type="dxa"/>
            <w:vAlign w:val="center"/>
          </w:tcPr>
          <w:p w14:paraId="6D7BEC8F" w14:textId="77777777" w:rsidR="00CF293D" w:rsidRPr="00220736" w:rsidRDefault="00CF293D" w:rsidP="00CF293D">
            <w:pPr>
              <w:spacing w:after="120" w:line="259" w:lineRule="auto"/>
              <w:rPr>
                <w:rFonts w:eastAsiaTheme="minorHAnsi" w:cstheme="minorBidi"/>
                <w:sz w:val="20"/>
                <w:szCs w:val="20"/>
              </w:rPr>
            </w:pPr>
            <w:r w:rsidRPr="00220736">
              <w:rPr>
                <w:rFonts w:eastAsiaTheme="minorHAnsi" w:cstheme="minorBidi"/>
                <w:sz w:val="20"/>
                <w:szCs w:val="20"/>
              </w:rPr>
              <w:sym w:font="Wingdings" w:char="F0FC"/>
            </w:r>
          </w:p>
        </w:tc>
        <w:tc>
          <w:tcPr>
            <w:tcW w:w="1399" w:type="dxa"/>
            <w:vAlign w:val="center"/>
          </w:tcPr>
          <w:p w14:paraId="462F2462" w14:textId="77777777" w:rsidR="00CF293D" w:rsidRPr="00220736" w:rsidRDefault="00CF293D" w:rsidP="00CF293D">
            <w:pPr>
              <w:spacing w:after="120" w:line="259" w:lineRule="auto"/>
              <w:rPr>
                <w:rFonts w:eastAsiaTheme="minorHAnsi" w:cstheme="minorBidi"/>
                <w:sz w:val="20"/>
                <w:szCs w:val="20"/>
              </w:rPr>
            </w:pPr>
            <w:r w:rsidRPr="00220736">
              <w:rPr>
                <w:rFonts w:eastAsiaTheme="minorHAnsi" w:cstheme="minorBidi"/>
                <w:sz w:val="20"/>
                <w:szCs w:val="20"/>
              </w:rPr>
              <w:t>–</w:t>
            </w:r>
          </w:p>
        </w:tc>
      </w:tr>
      <w:tr w:rsidR="00A50026" w:rsidRPr="00220736" w14:paraId="6E48D441" w14:textId="77777777" w:rsidTr="00A50026">
        <w:trPr>
          <w:trHeight w:val="159"/>
          <w:jc w:val="center"/>
        </w:trPr>
        <w:tc>
          <w:tcPr>
            <w:tcW w:w="1408" w:type="dxa"/>
            <w:vMerge w:val="restart"/>
          </w:tcPr>
          <w:p w14:paraId="4DEC56A8" w14:textId="77777777" w:rsidR="00CF293D" w:rsidRPr="00220736" w:rsidRDefault="00CF293D" w:rsidP="00CF293D">
            <w:pPr>
              <w:spacing w:after="120" w:line="259" w:lineRule="auto"/>
              <w:rPr>
                <w:rFonts w:eastAsiaTheme="minorHAnsi" w:cstheme="minorBidi"/>
                <w:b/>
                <w:sz w:val="20"/>
                <w:szCs w:val="20"/>
              </w:rPr>
            </w:pPr>
            <w:r w:rsidRPr="00220736">
              <w:rPr>
                <w:rFonts w:eastAsiaTheme="minorHAnsi" w:cstheme="minorBidi"/>
                <w:b/>
                <w:sz w:val="20"/>
                <w:szCs w:val="20"/>
              </w:rPr>
              <w:t>Important potential risks</w:t>
            </w:r>
          </w:p>
        </w:tc>
        <w:tc>
          <w:tcPr>
            <w:tcW w:w="3118" w:type="dxa"/>
          </w:tcPr>
          <w:p w14:paraId="7EC53A87" w14:textId="77777777" w:rsidR="00CF293D" w:rsidRPr="00220736" w:rsidRDefault="00CF293D" w:rsidP="00CF293D">
            <w:pPr>
              <w:spacing w:after="120" w:line="259" w:lineRule="auto"/>
              <w:rPr>
                <w:rFonts w:eastAsiaTheme="minorHAnsi" w:cstheme="minorBidi"/>
                <w:sz w:val="20"/>
                <w:szCs w:val="20"/>
              </w:rPr>
            </w:pPr>
            <w:r w:rsidRPr="00220736">
              <w:rPr>
                <w:rFonts w:eastAsiaTheme="minorHAnsi" w:cstheme="minorBidi"/>
                <w:sz w:val="20"/>
                <w:szCs w:val="20"/>
              </w:rPr>
              <w:t>Radiotoxicity, including occupational exposure and inadvertent exposure</w:t>
            </w:r>
          </w:p>
        </w:tc>
        <w:tc>
          <w:tcPr>
            <w:tcW w:w="1276" w:type="dxa"/>
            <w:vAlign w:val="center"/>
          </w:tcPr>
          <w:p w14:paraId="6F634287" w14:textId="77777777" w:rsidR="00CF293D" w:rsidRPr="00220736" w:rsidRDefault="00CF293D" w:rsidP="00CF293D">
            <w:pPr>
              <w:spacing w:after="120" w:line="259" w:lineRule="auto"/>
              <w:rPr>
                <w:rFonts w:eastAsiaTheme="minorHAnsi" w:cstheme="minorBidi"/>
                <w:sz w:val="20"/>
                <w:szCs w:val="20"/>
              </w:rPr>
            </w:pPr>
            <w:r w:rsidRPr="00220736">
              <w:rPr>
                <w:rFonts w:eastAsiaTheme="minorHAnsi" w:cstheme="minorBidi"/>
                <w:sz w:val="20"/>
                <w:szCs w:val="20"/>
              </w:rPr>
              <w:sym w:font="Wingdings" w:char="F0FC"/>
            </w:r>
          </w:p>
        </w:tc>
        <w:tc>
          <w:tcPr>
            <w:tcW w:w="1276" w:type="dxa"/>
            <w:vAlign w:val="center"/>
          </w:tcPr>
          <w:p w14:paraId="4DFC2E0D" w14:textId="77777777" w:rsidR="00CF293D" w:rsidRPr="00220736" w:rsidRDefault="00CF293D" w:rsidP="00CF293D">
            <w:pPr>
              <w:spacing w:after="120" w:line="259" w:lineRule="auto"/>
              <w:rPr>
                <w:rFonts w:eastAsiaTheme="minorHAnsi" w:cstheme="minorBidi"/>
                <w:sz w:val="20"/>
                <w:szCs w:val="20"/>
              </w:rPr>
            </w:pPr>
            <w:r w:rsidRPr="00220736">
              <w:rPr>
                <w:rFonts w:eastAsiaTheme="minorHAnsi" w:cstheme="minorBidi"/>
                <w:sz w:val="20"/>
                <w:szCs w:val="20"/>
              </w:rPr>
              <w:sym w:font="Wingdings" w:char="F0FC"/>
            </w:r>
            <w:r w:rsidRPr="00220736">
              <w:rPr>
                <w:rFonts w:eastAsiaTheme="minorHAnsi" w:cstheme="minorBidi"/>
                <w:sz w:val="20"/>
                <w:szCs w:val="20"/>
              </w:rPr>
              <w:t>*</w:t>
            </w:r>
          </w:p>
        </w:tc>
        <w:tc>
          <w:tcPr>
            <w:tcW w:w="992" w:type="dxa"/>
            <w:vAlign w:val="center"/>
          </w:tcPr>
          <w:p w14:paraId="5E7F900C" w14:textId="77777777" w:rsidR="00CF293D" w:rsidRPr="00220736" w:rsidRDefault="00CF293D" w:rsidP="00CF293D">
            <w:pPr>
              <w:spacing w:after="120" w:line="259" w:lineRule="auto"/>
              <w:rPr>
                <w:rFonts w:eastAsiaTheme="minorHAnsi" w:cstheme="minorBidi"/>
                <w:sz w:val="20"/>
                <w:szCs w:val="20"/>
              </w:rPr>
            </w:pPr>
            <w:r w:rsidRPr="00220736">
              <w:rPr>
                <w:rFonts w:eastAsiaTheme="minorHAnsi" w:cstheme="minorBidi"/>
                <w:sz w:val="20"/>
                <w:szCs w:val="20"/>
              </w:rPr>
              <w:sym w:font="Wingdings" w:char="F0FC"/>
            </w:r>
          </w:p>
        </w:tc>
        <w:tc>
          <w:tcPr>
            <w:tcW w:w="1399" w:type="dxa"/>
            <w:vAlign w:val="center"/>
          </w:tcPr>
          <w:p w14:paraId="5EC608B4" w14:textId="77777777" w:rsidR="00CF293D" w:rsidRPr="00220736" w:rsidRDefault="00CF293D" w:rsidP="00CF293D">
            <w:pPr>
              <w:spacing w:after="120" w:line="259" w:lineRule="auto"/>
              <w:rPr>
                <w:rFonts w:eastAsiaTheme="minorHAnsi" w:cstheme="minorBidi"/>
                <w:sz w:val="20"/>
                <w:szCs w:val="20"/>
              </w:rPr>
            </w:pPr>
            <w:r w:rsidRPr="00220736">
              <w:rPr>
                <w:rFonts w:eastAsiaTheme="minorHAnsi" w:cstheme="minorBidi"/>
                <w:sz w:val="20"/>
                <w:szCs w:val="20"/>
              </w:rPr>
              <w:sym w:font="Wingdings" w:char="F0FC"/>
            </w:r>
            <w:r w:rsidRPr="00220736">
              <w:rPr>
                <w:rFonts w:eastAsiaTheme="minorHAnsi" w:cstheme="minorBidi"/>
                <w:sz w:val="20"/>
                <w:szCs w:val="20"/>
              </w:rPr>
              <w:t>†</w:t>
            </w:r>
          </w:p>
        </w:tc>
      </w:tr>
      <w:tr w:rsidR="00A50026" w:rsidRPr="00220736" w14:paraId="5D4331EE" w14:textId="77777777" w:rsidTr="00A50026">
        <w:trPr>
          <w:trHeight w:val="122"/>
          <w:jc w:val="center"/>
        </w:trPr>
        <w:tc>
          <w:tcPr>
            <w:tcW w:w="1408" w:type="dxa"/>
            <w:vMerge/>
          </w:tcPr>
          <w:p w14:paraId="7B03ACE8" w14:textId="77777777" w:rsidR="00CF293D" w:rsidRPr="00220736" w:rsidRDefault="00CF293D" w:rsidP="00CF293D">
            <w:pPr>
              <w:spacing w:after="120" w:line="259" w:lineRule="auto"/>
              <w:rPr>
                <w:rFonts w:eastAsiaTheme="minorHAnsi" w:cstheme="minorBidi"/>
                <w:b/>
                <w:sz w:val="20"/>
                <w:szCs w:val="20"/>
              </w:rPr>
            </w:pPr>
          </w:p>
        </w:tc>
        <w:tc>
          <w:tcPr>
            <w:tcW w:w="3118" w:type="dxa"/>
          </w:tcPr>
          <w:p w14:paraId="570D44AE" w14:textId="77777777" w:rsidR="00CF293D" w:rsidRPr="00220736" w:rsidRDefault="00CF293D" w:rsidP="00CF293D">
            <w:pPr>
              <w:spacing w:after="120" w:line="259" w:lineRule="auto"/>
              <w:rPr>
                <w:rFonts w:eastAsiaTheme="minorHAnsi" w:cstheme="minorBidi"/>
                <w:sz w:val="20"/>
                <w:szCs w:val="20"/>
              </w:rPr>
            </w:pPr>
            <w:r w:rsidRPr="00220736">
              <w:rPr>
                <w:rFonts w:eastAsiaTheme="minorHAnsi" w:cstheme="minorBidi"/>
                <w:sz w:val="20"/>
                <w:szCs w:val="20"/>
              </w:rPr>
              <w:t xml:space="preserve">Secondary malignancies (solid </w:t>
            </w:r>
            <w:proofErr w:type="spellStart"/>
            <w:r w:rsidRPr="00220736">
              <w:rPr>
                <w:rFonts w:eastAsiaTheme="minorHAnsi" w:cstheme="minorBidi"/>
                <w:sz w:val="20"/>
                <w:szCs w:val="20"/>
              </w:rPr>
              <w:t>tumors</w:t>
            </w:r>
            <w:proofErr w:type="spellEnd"/>
            <w:r w:rsidRPr="00220736">
              <w:rPr>
                <w:rFonts w:eastAsiaTheme="minorHAnsi" w:cstheme="minorBidi"/>
                <w:sz w:val="20"/>
                <w:szCs w:val="20"/>
              </w:rPr>
              <w:t>)</w:t>
            </w:r>
          </w:p>
        </w:tc>
        <w:tc>
          <w:tcPr>
            <w:tcW w:w="1276" w:type="dxa"/>
            <w:vAlign w:val="center"/>
          </w:tcPr>
          <w:p w14:paraId="33109F8D" w14:textId="77777777" w:rsidR="00CF293D" w:rsidRPr="00220736" w:rsidRDefault="00CF293D" w:rsidP="00CF293D">
            <w:pPr>
              <w:spacing w:after="120" w:line="259" w:lineRule="auto"/>
              <w:rPr>
                <w:rFonts w:eastAsiaTheme="minorHAnsi" w:cstheme="minorBidi"/>
                <w:sz w:val="20"/>
                <w:szCs w:val="20"/>
              </w:rPr>
            </w:pPr>
            <w:r w:rsidRPr="00220736">
              <w:rPr>
                <w:rFonts w:eastAsiaTheme="minorHAnsi" w:cstheme="minorBidi"/>
                <w:sz w:val="20"/>
                <w:szCs w:val="20"/>
              </w:rPr>
              <w:sym w:font="Wingdings" w:char="F0FC"/>
            </w:r>
          </w:p>
        </w:tc>
        <w:tc>
          <w:tcPr>
            <w:tcW w:w="1276" w:type="dxa"/>
            <w:vAlign w:val="center"/>
          </w:tcPr>
          <w:p w14:paraId="1FC5C3FC" w14:textId="77777777" w:rsidR="00CF293D" w:rsidRPr="00220736" w:rsidRDefault="00CF293D" w:rsidP="00CF293D">
            <w:pPr>
              <w:spacing w:after="120" w:line="259" w:lineRule="auto"/>
              <w:rPr>
                <w:rFonts w:eastAsiaTheme="minorHAnsi" w:cstheme="minorBidi"/>
                <w:sz w:val="20"/>
                <w:szCs w:val="20"/>
              </w:rPr>
            </w:pPr>
            <w:r w:rsidRPr="00220736">
              <w:rPr>
                <w:rFonts w:eastAsiaTheme="minorHAnsi" w:cstheme="minorBidi"/>
                <w:sz w:val="20"/>
                <w:szCs w:val="20"/>
              </w:rPr>
              <w:sym w:font="Wingdings" w:char="F0FC"/>
            </w:r>
            <w:r w:rsidRPr="00220736">
              <w:rPr>
                <w:rFonts w:eastAsiaTheme="minorHAnsi" w:cstheme="minorBidi"/>
                <w:sz w:val="20"/>
                <w:szCs w:val="20"/>
              </w:rPr>
              <w:t>*</w:t>
            </w:r>
          </w:p>
        </w:tc>
        <w:tc>
          <w:tcPr>
            <w:tcW w:w="992" w:type="dxa"/>
            <w:vAlign w:val="center"/>
          </w:tcPr>
          <w:p w14:paraId="00FC5346" w14:textId="77777777" w:rsidR="00CF293D" w:rsidRPr="00220736" w:rsidRDefault="00CF293D" w:rsidP="00CF293D">
            <w:pPr>
              <w:spacing w:after="120" w:line="259" w:lineRule="auto"/>
              <w:rPr>
                <w:rFonts w:eastAsiaTheme="minorHAnsi" w:cstheme="minorBidi"/>
                <w:sz w:val="20"/>
                <w:szCs w:val="20"/>
              </w:rPr>
            </w:pPr>
            <w:r w:rsidRPr="00220736">
              <w:rPr>
                <w:rFonts w:eastAsiaTheme="minorHAnsi" w:cstheme="minorBidi"/>
                <w:sz w:val="20"/>
                <w:szCs w:val="20"/>
              </w:rPr>
              <w:sym w:font="Wingdings" w:char="F0FC"/>
            </w:r>
          </w:p>
        </w:tc>
        <w:tc>
          <w:tcPr>
            <w:tcW w:w="1399" w:type="dxa"/>
            <w:vAlign w:val="center"/>
          </w:tcPr>
          <w:p w14:paraId="6B1344CC" w14:textId="77777777" w:rsidR="00CF293D" w:rsidRPr="00220736" w:rsidRDefault="00CF293D" w:rsidP="00CF293D">
            <w:pPr>
              <w:spacing w:after="120" w:line="259" w:lineRule="auto"/>
              <w:rPr>
                <w:rFonts w:eastAsiaTheme="minorHAnsi" w:cstheme="minorBidi"/>
                <w:sz w:val="20"/>
                <w:szCs w:val="20"/>
              </w:rPr>
            </w:pPr>
            <w:r w:rsidRPr="00220736">
              <w:rPr>
                <w:rFonts w:eastAsiaTheme="minorHAnsi" w:cstheme="minorBidi"/>
                <w:sz w:val="20"/>
                <w:szCs w:val="20"/>
              </w:rPr>
              <w:t>–</w:t>
            </w:r>
          </w:p>
        </w:tc>
      </w:tr>
      <w:tr w:rsidR="00A50026" w:rsidRPr="00220736" w14:paraId="00103ED4" w14:textId="77777777" w:rsidTr="00A50026">
        <w:trPr>
          <w:trHeight w:val="112"/>
          <w:jc w:val="center"/>
        </w:trPr>
        <w:tc>
          <w:tcPr>
            <w:tcW w:w="1408" w:type="dxa"/>
            <w:vMerge/>
          </w:tcPr>
          <w:p w14:paraId="75DF6B86" w14:textId="77777777" w:rsidR="00CF293D" w:rsidRPr="00220736" w:rsidRDefault="00CF293D" w:rsidP="00CF293D">
            <w:pPr>
              <w:spacing w:after="120" w:line="259" w:lineRule="auto"/>
              <w:rPr>
                <w:rFonts w:eastAsiaTheme="minorHAnsi" w:cstheme="minorBidi"/>
                <w:b/>
                <w:sz w:val="20"/>
                <w:szCs w:val="20"/>
              </w:rPr>
            </w:pPr>
          </w:p>
        </w:tc>
        <w:tc>
          <w:tcPr>
            <w:tcW w:w="3118" w:type="dxa"/>
          </w:tcPr>
          <w:p w14:paraId="172CDB62" w14:textId="77777777" w:rsidR="00CF293D" w:rsidRPr="00220736" w:rsidRDefault="00CF293D" w:rsidP="00CF293D">
            <w:pPr>
              <w:spacing w:after="120" w:line="259" w:lineRule="auto"/>
              <w:rPr>
                <w:rFonts w:eastAsiaTheme="minorHAnsi" w:cstheme="minorBidi"/>
                <w:sz w:val="20"/>
                <w:szCs w:val="20"/>
              </w:rPr>
            </w:pPr>
            <w:r w:rsidRPr="00220736">
              <w:rPr>
                <w:rFonts w:eastAsiaTheme="minorHAnsi" w:cstheme="minorBidi"/>
                <w:sz w:val="20"/>
                <w:szCs w:val="20"/>
              </w:rPr>
              <w:t>Embryo-fetal toxicity</w:t>
            </w:r>
          </w:p>
        </w:tc>
        <w:tc>
          <w:tcPr>
            <w:tcW w:w="1276" w:type="dxa"/>
            <w:vAlign w:val="center"/>
          </w:tcPr>
          <w:p w14:paraId="2EE90110" w14:textId="77777777" w:rsidR="00CF293D" w:rsidRPr="00220736" w:rsidRDefault="00CF293D" w:rsidP="00CF293D">
            <w:pPr>
              <w:spacing w:after="120" w:line="259" w:lineRule="auto"/>
              <w:rPr>
                <w:rFonts w:eastAsiaTheme="minorHAnsi" w:cstheme="minorBidi"/>
                <w:sz w:val="20"/>
                <w:szCs w:val="20"/>
              </w:rPr>
            </w:pPr>
            <w:r w:rsidRPr="00220736">
              <w:rPr>
                <w:rFonts w:eastAsiaTheme="minorHAnsi" w:cstheme="minorBidi"/>
                <w:sz w:val="20"/>
                <w:szCs w:val="20"/>
              </w:rPr>
              <w:sym w:font="Wingdings" w:char="F0FC"/>
            </w:r>
          </w:p>
        </w:tc>
        <w:tc>
          <w:tcPr>
            <w:tcW w:w="1276" w:type="dxa"/>
            <w:vAlign w:val="center"/>
          </w:tcPr>
          <w:p w14:paraId="3BDAA113" w14:textId="77777777" w:rsidR="00CF293D" w:rsidRPr="00220736" w:rsidRDefault="00CF293D" w:rsidP="00CF293D">
            <w:pPr>
              <w:spacing w:after="120" w:line="259" w:lineRule="auto"/>
              <w:rPr>
                <w:rFonts w:eastAsiaTheme="minorHAnsi" w:cstheme="minorBidi"/>
                <w:sz w:val="20"/>
                <w:szCs w:val="20"/>
              </w:rPr>
            </w:pPr>
            <w:r w:rsidRPr="00220736">
              <w:rPr>
                <w:rFonts w:eastAsiaTheme="minorHAnsi" w:cstheme="minorBidi"/>
                <w:sz w:val="20"/>
                <w:szCs w:val="20"/>
              </w:rPr>
              <w:sym w:font="Wingdings" w:char="F0FC"/>
            </w:r>
            <w:r w:rsidRPr="00220736">
              <w:rPr>
                <w:rFonts w:eastAsiaTheme="minorHAnsi" w:cstheme="minorBidi"/>
                <w:sz w:val="20"/>
                <w:szCs w:val="20"/>
              </w:rPr>
              <w:t>*</w:t>
            </w:r>
          </w:p>
        </w:tc>
        <w:tc>
          <w:tcPr>
            <w:tcW w:w="992" w:type="dxa"/>
            <w:vAlign w:val="center"/>
          </w:tcPr>
          <w:p w14:paraId="4D621CB6" w14:textId="77777777" w:rsidR="00CF293D" w:rsidRPr="00220736" w:rsidRDefault="00CF293D" w:rsidP="00CF293D">
            <w:pPr>
              <w:spacing w:after="120" w:line="259" w:lineRule="auto"/>
              <w:rPr>
                <w:rFonts w:eastAsiaTheme="minorHAnsi" w:cstheme="minorBidi"/>
                <w:sz w:val="20"/>
                <w:szCs w:val="20"/>
              </w:rPr>
            </w:pPr>
            <w:r w:rsidRPr="00220736">
              <w:rPr>
                <w:rFonts w:eastAsiaTheme="minorHAnsi" w:cstheme="minorBidi"/>
                <w:sz w:val="20"/>
                <w:szCs w:val="20"/>
              </w:rPr>
              <w:sym w:font="Wingdings" w:char="F0FC"/>
            </w:r>
          </w:p>
        </w:tc>
        <w:tc>
          <w:tcPr>
            <w:tcW w:w="1399" w:type="dxa"/>
            <w:vAlign w:val="center"/>
          </w:tcPr>
          <w:p w14:paraId="47F43E8B" w14:textId="77777777" w:rsidR="00CF293D" w:rsidRPr="00220736" w:rsidRDefault="00CF293D" w:rsidP="00CF293D">
            <w:pPr>
              <w:spacing w:after="120" w:line="259" w:lineRule="auto"/>
              <w:rPr>
                <w:rFonts w:eastAsiaTheme="minorHAnsi" w:cstheme="minorBidi"/>
                <w:sz w:val="20"/>
                <w:szCs w:val="20"/>
              </w:rPr>
            </w:pPr>
            <w:r w:rsidRPr="00220736">
              <w:rPr>
                <w:rFonts w:eastAsiaTheme="minorHAnsi" w:cstheme="minorBidi"/>
                <w:sz w:val="20"/>
                <w:szCs w:val="20"/>
              </w:rPr>
              <w:t>–</w:t>
            </w:r>
          </w:p>
        </w:tc>
      </w:tr>
      <w:tr w:rsidR="00A50026" w:rsidRPr="00220736" w14:paraId="302BD2A5" w14:textId="77777777" w:rsidTr="00A50026">
        <w:trPr>
          <w:trHeight w:val="178"/>
          <w:jc w:val="center"/>
        </w:trPr>
        <w:tc>
          <w:tcPr>
            <w:tcW w:w="1408" w:type="dxa"/>
            <w:vMerge w:val="restart"/>
          </w:tcPr>
          <w:p w14:paraId="0A4706D0" w14:textId="77777777" w:rsidR="00CF293D" w:rsidRPr="00220736" w:rsidRDefault="00CF293D" w:rsidP="00CF293D">
            <w:pPr>
              <w:spacing w:after="120" w:line="259" w:lineRule="auto"/>
              <w:rPr>
                <w:rFonts w:eastAsiaTheme="minorHAnsi" w:cstheme="minorBidi"/>
                <w:b/>
                <w:sz w:val="20"/>
                <w:szCs w:val="20"/>
              </w:rPr>
            </w:pPr>
            <w:r w:rsidRPr="00220736">
              <w:rPr>
                <w:rFonts w:eastAsiaTheme="minorHAnsi" w:cstheme="minorBidi"/>
                <w:b/>
                <w:sz w:val="20"/>
                <w:szCs w:val="20"/>
              </w:rPr>
              <w:t>Missing information</w:t>
            </w:r>
          </w:p>
        </w:tc>
        <w:tc>
          <w:tcPr>
            <w:tcW w:w="3118" w:type="dxa"/>
          </w:tcPr>
          <w:p w14:paraId="61DD0B17" w14:textId="77777777" w:rsidR="00CF293D" w:rsidRPr="00220736" w:rsidRDefault="00CF293D" w:rsidP="00CF293D">
            <w:pPr>
              <w:spacing w:after="120" w:line="259" w:lineRule="auto"/>
              <w:rPr>
                <w:rFonts w:eastAsiaTheme="minorHAnsi" w:cstheme="minorBidi"/>
                <w:sz w:val="20"/>
                <w:szCs w:val="20"/>
              </w:rPr>
            </w:pPr>
            <w:r w:rsidRPr="00220736">
              <w:rPr>
                <w:rFonts w:eastAsiaTheme="minorHAnsi" w:cstheme="minorBidi"/>
                <w:sz w:val="20"/>
                <w:szCs w:val="20"/>
              </w:rPr>
              <w:t>Radiation exposure during breast feeding</w:t>
            </w:r>
          </w:p>
        </w:tc>
        <w:tc>
          <w:tcPr>
            <w:tcW w:w="1276" w:type="dxa"/>
            <w:vAlign w:val="center"/>
          </w:tcPr>
          <w:p w14:paraId="77FF5B52" w14:textId="77777777" w:rsidR="00CF293D" w:rsidRPr="00220736" w:rsidRDefault="00CF293D" w:rsidP="00CF293D">
            <w:pPr>
              <w:spacing w:after="120" w:line="259" w:lineRule="auto"/>
              <w:rPr>
                <w:rFonts w:eastAsiaTheme="minorHAnsi" w:cstheme="minorBidi"/>
                <w:sz w:val="20"/>
                <w:szCs w:val="20"/>
              </w:rPr>
            </w:pPr>
            <w:r w:rsidRPr="00220736">
              <w:rPr>
                <w:rFonts w:eastAsiaTheme="minorHAnsi" w:cstheme="minorBidi"/>
                <w:sz w:val="20"/>
                <w:szCs w:val="20"/>
              </w:rPr>
              <w:sym w:font="Wingdings" w:char="F0FC"/>
            </w:r>
          </w:p>
        </w:tc>
        <w:tc>
          <w:tcPr>
            <w:tcW w:w="1276" w:type="dxa"/>
            <w:vAlign w:val="center"/>
          </w:tcPr>
          <w:p w14:paraId="1A5F4AFB" w14:textId="77777777" w:rsidR="00CF293D" w:rsidRPr="00220736" w:rsidRDefault="00CF293D" w:rsidP="00CF293D">
            <w:pPr>
              <w:spacing w:after="120" w:line="259" w:lineRule="auto"/>
              <w:rPr>
                <w:rFonts w:eastAsiaTheme="minorHAnsi" w:cstheme="minorBidi"/>
                <w:sz w:val="20"/>
                <w:szCs w:val="20"/>
              </w:rPr>
            </w:pPr>
            <w:r w:rsidRPr="00220736">
              <w:rPr>
                <w:rFonts w:eastAsiaTheme="minorHAnsi" w:cstheme="minorBidi"/>
                <w:sz w:val="20"/>
                <w:szCs w:val="20"/>
              </w:rPr>
              <w:sym w:font="Wingdings" w:char="F0FC"/>
            </w:r>
            <w:r w:rsidRPr="00220736">
              <w:rPr>
                <w:rFonts w:eastAsiaTheme="minorHAnsi" w:cstheme="minorBidi"/>
                <w:sz w:val="20"/>
                <w:szCs w:val="20"/>
              </w:rPr>
              <w:t>*</w:t>
            </w:r>
          </w:p>
        </w:tc>
        <w:tc>
          <w:tcPr>
            <w:tcW w:w="992" w:type="dxa"/>
            <w:vAlign w:val="center"/>
          </w:tcPr>
          <w:p w14:paraId="54CC5221" w14:textId="77777777" w:rsidR="00CF293D" w:rsidRPr="00220736" w:rsidRDefault="00CF293D" w:rsidP="00CF293D">
            <w:pPr>
              <w:spacing w:after="120" w:line="259" w:lineRule="auto"/>
              <w:rPr>
                <w:rFonts w:eastAsiaTheme="minorHAnsi" w:cstheme="minorBidi"/>
                <w:sz w:val="20"/>
                <w:szCs w:val="20"/>
              </w:rPr>
            </w:pPr>
            <w:r w:rsidRPr="00220736">
              <w:rPr>
                <w:rFonts w:eastAsiaTheme="minorHAnsi" w:cstheme="minorBidi"/>
                <w:sz w:val="20"/>
                <w:szCs w:val="20"/>
              </w:rPr>
              <w:sym w:font="Wingdings" w:char="F0FC"/>
            </w:r>
          </w:p>
        </w:tc>
        <w:tc>
          <w:tcPr>
            <w:tcW w:w="1399" w:type="dxa"/>
            <w:vAlign w:val="center"/>
          </w:tcPr>
          <w:p w14:paraId="3D7798C0" w14:textId="77777777" w:rsidR="00CF293D" w:rsidRPr="00220736" w:rsidRDefault="00CF293D" w:rsidP="00CF293D">
            <w:pPr>
              <w:spacing w:after="120" w:line="259" w:lineRule="auto"/>
              <w:rPr>
                <w:rFonts w:eastAsiaTheme="minorHAnsi" w:cstheme="minorBidi"/>
                <w:sz w:val="20"/>
                <w:szCs w:val="20"/>
              </w:rPr>
            </w:pPr>
            <w:r w:rsidRPr="00220736">
              <w:rPr>
                <w:rFonts w:eastAsiaTheme="minorHAnsi" w:cstheme="minorBidi"/>
                <w:sz w:val="20"/>
                <w:szCs w:val="20"/>
              </w:rPr>
              <w:t>–</w:t>
            </w:r>
          </w:p>
        </w:tc>
      </w:tr>
      <w:tr w:rsidR="00A50026" w:rsidRPr="00220736" w14:paraId="63CC4AC2" w14:textId="77777777" w:rsidTr="00A50026">
        <w:trPr>
          <w:trHeight w:val="103"/>
          <w:jc w:val="center"/>
        </w:trPr>
        <w:tc>
          <w:tcPr>
            <w:tcW w:w="1408" w:type="dxa"/>
            <w:vMerge/>
          </w:tcPr>
          <w:p w14:paraId="1C3CD611" w14:textId="77777777" w:rsidR="00CF293D" w:rsidRPr="00220736" w:rsidRDefault="00CF293D" w:rsidP="00CF293D">
            <w:pPr>
              <w:spacing w:after="120" w:line="259" w:lineRule="auto"/>
              <w:rPr>
                <w:rFonts w:eastAsiaTheme="minorHAnsi" w:cstheme="minorBidi"/>
                <w:sz w:val="20"/>
                <w:szCs w:val="20"/>
              </w:rPr>
            </w:pPr>
          </w:p>
        </w:tc>
        <w:tc>
          <w:tcPr>
            <w:tcW w:w="3118" w:type="dxa"/>
          </w:tcPr>
          <w:p w14:paraId="64ED00A6" w14:textId="77777777" w:rsidR="00CF293D" w:rsidRPr="00220736" w:rsidRDefault="00CF293D" w:rsidP="00CF293D">
            <w:pPr>
              <w:spacing w:after="120" w:line="259" w:lineRule="auto"/>
              <w:rPr>
                <w:rFonts w:eastAsiaTheme="minorHAnsi" w:cstheme="minorBidi"/>
                <w:sz w:val="20"/>
                <w:szCs w:val="20"/>
              </w:rPr>
            </w:pPr>
            <w:r w:rsidRPr="00220736">
              <w:rPr>
                <w:rFonts w:eastAsiaTheme="minorHAnsi" w:cstheme="minorBidi"/>
                <w:sz w:val="20"/>
                <w:szCs w:val="20"/>
              </w:rPr>
              <w:t>Exposure in patients with renal impairment</w:t>
            </w:r>
          </w:p>
        </w:tc>
        <w:tc>
          <w:tcPr>
            <w:tcW w:w="1276" w:type="dxa"/>
            <w:vAlign w:val="center"/>
          </w:tcPr>
          <w:p w14:paraId="733EBC2A" w14:textId="77777777" w:rsidR="00CF293D" w:rsidRPr="00220736" w:rsidRDefault="00CF293D" w:rsidP="00CF293D">
            <w:pPr>
              <w:spacing w:after="120" w:line="259" w:lineRule="auto"/>
              <w:rPr>
                <w:rFonts w:eastAsiaTheme="minorHAnsi" w:cstheme="minorBidi"/>
                <w:sz w:val="20"/>
                <w:szCs w:val="20"/>
              </w:rPr>
            </w:pPr>
            <w:r w:rsidRPr="00220736">
              <w:rPr>
                <w:rFonts w:eastAsiaTheme="minorHAnsi" w:cstheme="minorBidi"/>
                <w:sz w:val="20"/>
                <w:szCs w:val="20"/>
              </w:rPr>
              <w:sym w:font="Wingdings" w:char="F0FC"/>
            </w:r>
          </w:p>
        </w:tc>
        <w:tc>
          <w:tcPr>
            <w:tcW w:w="1276" w:type="dxa"/>
            <w:vAlign w:val="center"/>
          </w:tcPr>
          <w:p w14:paraId="48C58B9F" w14:textId="77777777" w:rsidR="00CF293D" w:rsidRPr="00220736" w:rsidRDefault="00CF293D" w:rsidP="00CF293D">
            <w:pPr>
              <w:spacing w:after="120" w:line="259" w:lineRule="auto"/>
              <w:rPr>
                <w:rFonts w:eastAsiaTheme="minorHAnsi" w:cstheme="minorBidi"/>
                <w:sz w:val="20"/>
                <w:szCs w:val="20"/>
              </w:rPr>
            </w:pPr>
            <w:r w:rsidRPr="00220736">
              <w:rPr>
                <w:rFonts w:eastAsiaTheme="minorHAnsi" w:cstheme="minorBidi"/>
                <w:sz w:val="20"/>
                <w:szCs w:val="20"/>
              </w:rPr>
              <w:sym w:font="Wingdings" w:char="F0FC"/>
            </w:r>
            <w:r w:rsidRPr="00220736">
              <w:rPr>
                <w:rFonts w:eastAsiaTheme="minorHAnsi" w:cstheme="minorBidi"/>
                <w:sz w:val="20"/>
                <w:szCs w:val="20"/>
              </w:rPr>
              <w:t>*</w:t>
            </w:r>
          </w:p>
        </w:tc>
        <w:tc>
          <w:tcPr>
            <w:tcW w:w="992" w:type="dxa"/>
            <w:vAlign w:val="center"/>
          </w:tcPr>
          <w:p w14:paraId="5D8A300C" w14:textId="77777777" w:rsidR="00CF293D" w:rsidRPr="00220736" w:rsidRDefault="00CF293D" w:rsidP="00CF293D">
            <w:pPr>
              <w:spacing w:after="120" w:line="259" w:lineRule="auto"/>
              <w:rPr>
                <w:rFonts w:eastAsiaTheme="minorHAnsi" w:cstheme="minorBidi"/>
                <w:sz w:val="20"/>
                <w:szCs w:val="20"/>
              </w:rPr>
            </w:pPr>
            <w:r w:rsidRPr="00220736">
              <w:rPr>
                <w:rFonts w:eastAsiaTheme="minorHAnsi" w:cstheme="minorBidi"/>
                <w:sz w:val="20"/>
                <w:szCs w:val="20"/>
              </w:rPr>
              <w:sym w:font="Wingdings" w:char="F0FC"/>
            </w:r>
          </w:p>
        </w:tc>
        <w:tc>
          <w:tcPr>
            <w:tcW w:w="1399" w:type="dxa"/>
            <w:vAlign w:val="center"/>
          </w:tcPr>
          <w:p w14:paraId="19621BAC" w14:textId="77777777" w:rsidR="00CF293D" w:rsidRPr="00220736" w:rsidRDefault="00CF293D" w:rsidP="00CF293D">
            <w:pPr>
              <w:spacing w:after="120" w:line="259" w:lineRule="auto"/>
              <w:rPr>
                <w:rFonts w:eastAsiaTheme="minorHAnsi" w:cstheme="minorBidi"/>
                <w:sz w:val="20"/>
                <w:szCs w:val="20"/>
              </w:rPr>
            </w:pPr>
            <w:r w:rsidRPr="00220736">
              <w:rPr>
                <w:rFonts w:eastAsiaTheme="minorHAnsi" w:cstheme="minorBidi"/>
                <w:sz w:val="20"/>
                <w:szCs w:val="20"/>
              </w:rPr>
              <w:t>–</w:t>
            </w:r>
          </w:p>
        </w:tc>
      </w:tr>
      <w:tr w:rsidR="00A50026" w:rsidRPr="00220736" w14:paraId="7EAE49BD" w14:textId="77777777" w:rsidTr="00A50026">
        <w:trPr>
          <w:trHeight w:val="103"/>
          <w:jc w:val="center"/>
        </w:trPr>
        <w:tc>
          <w:tcPr>
            <w:tcW w:w="1408" w:type="dxa"/>
            <w:vMerge/>
          </w:tcPr>
          <w:p w14:paraId="2F5CD3F0" w14:textId="77777777" w:rsidR="00CF293D" w:rsidRPr="00220736" w:rsidRDefault="00CF293D" w:rsidP="00CF293D">
            <w:pPr>
              <w:spacing w:after="120" w:line="259" w:lineRule="auto"/>
              <w:rPr>
                <w:rFonts w:eastAsiaTheme="minorHAnsi" w:cstheme="minorBidi"/>
                <w:sz w:val="20"/>
                <w:szCs w:val="20"/>
              </w:rPr>
            </w:pPr>
          </w:p>
        </w:tc>
        <w:tc>
          <w:tcPr>
            <w:tcW w:w="3118" w:type="dxa"/>
          </w:tcPr>
          <w:p w14:paraId="173B6167" w14:textId="77777777" w:rsidR="00CF293D" w:rsidRPr="00220736" w:rsidRDefault="00CF293D" w:rsidP="00CF293D">
            <w:pPr>
              <w:spacing w:after="120" w:line="259" w:lineRule="auto"/>
              <w:rPr>
                <w:rFonts w:eastAsiaTheme="minorHAnsi" w:cstheme="minorBidi"/>
                <w:sz w:val="20"/>
                <w:szCs w:val="20"/>
              </w:rPr>
            </w:pPr>
            <w:r w:rsidRPr="00220736">
              <w:rPr>
                <w:rFonts w:eastAsiaTheme="minorHAnsi" w:cstheme="minorBidi"/>
                <w:sz w:val="20"/>
                <w:szCs w:val="20"/>
              </w:rPr>
              <w:t>Exposure in patients with severe hepatic impairment</w:t>
            </w:r>
          </w:p>
        </w:tc>
        <w:tc>
          <w:tcPr>
            <w:tcW w:w="1276" w:type="dxa"/>
            <w:vAlign w:val="center"/>
          </w:tcPr>
          <w:p w14:paraId="5C145D45" w14:textId="77777777" w:rsidR="00CF293D" w:rsidRPr="00220736" w:rsidRDefault="00CF293D" w:rsidP="00CF293D">
            <w:pPr>
              <w:spacing w:after="120" w:line="259" w:lineRule="auto"/>
              <w:rPr>
                <w:rFonts w:eastAsiaTheme="minorHAnsi" w:cstheme="minorBidi"/>
                <w:sz w:val="20"/>
                <w:szCs w:val="20"/>
              </w:rPr>
            </w:pPr>
            <w:r w:rsidRPr="00220736">
              <w:rPr>
                <w:rFonts w:eastAsiaTheme="minorHAnsi" w:cstheme="minorBidi"/>
                <w:sz w:val="20"/>
                <w:szCs w:val="20"/>
              </w:rPr>
              <w:sym w:font="Wingdings" w:char="F0FC"/>
            </w:r>
          </w:p>
        </w:tc>
        <w:tc>
          <w:tcPr>
            <w:tcW w:w="1276" w:type="dxa"/>
            <w:vAlign w:val="center"/>
          </w:tcPr>
          <w:p w14:paraId="144B0A65" w14:textId="77777777" w:rsidR="00CF293D" w:rsidRPr="00220736" w:rsidRDefault="00CF293D" w:rsidP="00CF293D">
            <w:pPr>
              <w:spacing w:after="120" w:line="259" w:lineRule="auto"/>
              <w:rPr>
                <w:rFonts w:eastAsiaTheme="minorHAnsi" w:cstheme="minorBidi"/>
                <w:sz w:val="20"/>
                <w:szCs w:val="20"/>
              </w:rPr>
            </w:pPr>
            <w:r w:rsidRPr="00220736">
              <w:rPr>
                <w:rFonts w:eastAsiaTheme="minorHAnsi" w:cstheme="minorBidi"/>
                <w:sz w:val="20"/>
                <w:szCs w:val="20"/>
              </w:rPr>
              <w:sym w:font="Wingdings" w:char="F0FC"/>
            </w:r>
            <w:r w:rsidRPr="00220736">
              <w:rPr>
                <w:rFonts w:eastAsiaTheme="minorHAnsi" w:cstheme="minorBidi"/>
                <w:sz w:val="20"/>
                <w:szCs w:val="20"/>
              </w:rPr>
              <w:t>*</w:t>
            </w:r>
          </w:p>
        </w:tc>
        <w:tc>
          <w:tcPr>
            <w:tcW w:w="992" w:type="dxa"/>
            <w:vAlign w:val="center"/>
          </w:tcPr>
          <w:p w14:paraId="1DDA6E81" w14:textId="77777777" w:rsidR="00CF293D" w:rsidRPr="00220736" w:rsidRDefault="00CF293D" w:rsidP="00CF293D">
            <w:pPr>
              <w:spacing w:after="120" w:line="259" w:lineRule="auto"/>
              <w:rPr>
                <w:rFonts w:eastAsiaTheme="minorHAnsi" w:cstheme="minorBidi"/>
                <w:sz w:val="20"/>
                <w:szCs w:val="20"/>
              </w:rPr>
            </w:pPr>
            <w:r w:rsidRPr="00220736">
              <w:rPr>
                <w:rFonts w:eastAsiaTheme="minorHAnsi" w:cstheme="minorBidi"/>
                <w:sz w:val="20"/>
                <w:szCs w:val="20"/>
              </w:rPr>
              <w:sym w:font="Wingdings" w:char="F0FC"/>
            </w:r>
          </w:p>
        </w:tc>
        <w:tc>
          <w:tcPr>
            <w:tcW w:w="1399" w:type="dxa"/>
            <w:vAlign w:val="center"/>
          </w:tcPr>
          <w:p w14:paraId="5FCE0BF9" w14:textId="77777777" w:rsidR="00CF293D" w:rsidRPr="00220736" w:rsidRDefault="00CF293D" w:rsidP="00CF293D">
            <w:pPr>
              <w:spacing w:after="120" w:line="259" w:lineRule="auto"/>
              <w:rPr>
                <w:rFonts w:eastAsiaTheme="minorHAnsi" w:cstheme="minorBidi"/>
                <w:sz w:val="20"/>
                <w:szCs w:val="20"/>
              </w:rPr>
            </w:pPr>
            <w:r w:rsidRPr="00220736">
              <w:rPr>
                <w:rFonts w:eastAsiaTheme="minorHAnsi" w:cstheme="minorBidi"/>
                <w:sz w:val="20"/>
                <w:szCs w:val="20"/>
              </w:rPr>
              <w:t>–</w:t>
            </w:r>
          </w:p>
        </w:tc>
      </w:tr>
      <w:tr w:rsidR="00A50026" w:rsidRPr="00220736" w14:paraId="13829A9F" w14:textId="77777777" w:rsidTr="00A50026">
        <w:trPr>
          <w:trHeight w:val="140"/>
          <w:jc w:val="center"/>
        </w:trPr>
        <w:tc>
          <w:tcPr>
            <w:tcW w:w="1408" w:type="dxa"/>
            <w:vMerge/>
          </w:tcPr>
          <w:p w14:paraId="7F4FC248" w14:textId="77777777" w:rsidR="00CF293D" w:rsidRPr="00220736" w:rsidRDefault="00CF293D" w:rsidP="00CF293D">
            <w:pPr>
              <w:spacing w:after="120" w:line="259" w:lineRule="auto"/>
              <w:rPr>
                <w:rFonts w:eastAsiaTheme="minorHAnsi" w:cstheme="minorBidi"/>
                <w:sz w:val="20"/>
                <w:szCs w:val="20"/>
              </w:rPr>
            </w:pPr>
          </w:p>
        </w:tc>
        <w:tc>
          <w:tcPr>
            <w:tcW w:w="3118" w:type="dxa"/>
          </w:tcPr>
          <w:p w14:paraId="31DD3047" w14:textId="77777777" w:rsidR="00CF293D" w:rsidRPr="00220736" w:rsidRDefault="00CF293D" w:rsidP="00CF293D">
            <w:pPr>
              <w:spacing w:after="120" w:line="259" w:lineRule="auto"/>
              <w:rPr>
                <w:rFonts w:eastAsiaTheme="minorHAnsi" w:cstheme="minorBidi"/>
                <w:sz w:val="20"/>
                <w:szCs w:val="20"/>
              </w:rPr>
            </w:pPr>
            <w:r w:rsidRPr="00220736">
              <w:rPr>
                <w:rFonts w:eastAsiaTheme="minorHAnsi" w:cstheme="minorBidi"/>
                <w:sz w:val="20"/>
                <w:szCs w:val="20"/>
              </w:rPr>
              <w:t>Long-term safety data</w:t>
            </w:r>
          </w:p>
        </w:tc>
        <w:tc>
          <w:tcPr>
            <w:tcW w:w="1276" w:type="dxa"/>
            <w:vAlign w:val="center"/>
          </w:tcPr>
          <w:p w14:paraId="0D91F1D5" w14:textId="77777777" w:rsidR="00CF293D" w:rsidRPr="00220736" w:rsidRDefault="00CF293D" w:rsidP="00CF293D">
            <w:pPr>
              <w:spacing w:after="120" w:line="259" w:lineRule="auto"/>
              <w:rPr>
                <w:rFonts w:eastAsiaTheme="minorHAnsi" w:cstheme="minorBidi"/>
                <w:sz w:val="20"/>
                <w:szCs w:val="20"/>
              </w:rPr>
            </w:pPr>
            <w:r w:rsidRPr="00220736">
              <w:rPr>
                <w:rFonts w:eastAsiaTheme="minorHAnsi" w:cstheme="minorBidi"/>
                <w:sz w:val="20"/>
                <w:szCs w:val="20"/>
              </w:rPr>
              <w:sym w:font="Wingdings" w:char="F0FC"/>
            </w:r>
          </w:p>
        </w:tc>
        <w:tc>
          <w:tcPr>
            <w:tcW w:w="1276" w:type="dxa"/>
            <w:vAlign w:val="center"/>
          </w:tcPr>
          <w:p w14:paraId="32F72A48" w14:textId="77777777" w:rsidR="00CF293D" w:rsidRPr="00220736" w:rsidRDefault="00CF293D" w:rsidP="00CF293D">
            <w:pPr>
              <w:spacing w:after="120" w:line="259" w:lineRule="auto"/>
              <w:rPr>
                <w:rFonts w:eastAsiaTheme="minorHAnsi" w:cstheme="minorBidi"/>
                <w:sz w:val="20"/>
                <w:szCs w:val="20"/>
              </w:rPr>
            </w:pPr>
            <w:r w:rsidRPr="00220736">
              <w:rPr>
                <w:rFonts w:eastAsiaTheme="minorHAnsi" w:cstheme="minorBidi"/>
                <w:sz w:val="20"/>
                <w:szCs w:val="20"/>
              </w:rPr>
              <w:sym w:font="Wingdings" w:char="F0FC"/>
            </w:r>
            <w:r w:rsidRPr="00220736">
              <w:rPr>
                <w:rFonts w:eastAsiaTheme="minorHAnsi" w:cstheme="minorBidi"/>
                <w:sz w:val="20"/>
                <w:szCs w:val="20"/>
              </w:rPr>
              <w:t>*</w:t>
            </w:r>
          </w:p>
        </w:tc>
        <w:tc>
          <w:tcPr>
            <w:tcW w:w="992" w:type="dxa"/>
            <w:vAlign w:val="center"/>
          </w:tcPr>
          <w:p w14:paraId="4F1DE4F2" w14:textId="77777777" w:rsidR="00CF293D" w:rsidRPr="00220736" w:rsidRDefault="00CF293D" w:rsidP="00CF293D">
            <w:pPr>
              <w:spacing w:after="120" w:line="259" w:lineRule="auto"/>
              <w:rPr>
                <w:rFonts w:eastAsiaTheme="minorHAnsi" w:cstheme="minorBidi"/>
                <w:sz w:val="20"/>
                <w:szCs w:val="20"/>
              </w:rPr>
            </w:pPr>
            <w:r w:rsidRPr="00220736">
              <w:rPr>
                <w:rFonts w:eastAsiaTheme="minorHAnsi" w:cstheme="minorBidi"/>
                <w:sz w:val="20"/>
                <w:szCs w:val="20"/>
              </w:rPr>
              <w:sym w:font="Wingdings" w:char="F0FC"/>
            </w:r>
          </w:p>
        </w:tc>
        <w:tc>
          <w:tcPr>
            <w:tcW w:w="1399" w:type="dxa"/>
            <w:vAlign w:val="center"/>
          </w:tcPr>
          <w:p w14:paraId="48E4FB1E" w14:textId="77777777" w:rsidR="00CF293D" w:rsidRPr="00220736" w:rsidRDefault="00CF293D" w:rsidP="00CF293D">
            <w:pPr>
              <w:spacing w:after="120" w:line="259" w:lineRule="auto"/>
              <w:rPr>
                <w:rFonts w:eastAsiaTheme="minorHAnsi" w:cstheme="minorBidi"/>
                <w:sz w:val="20"/>
                <w:szCs w:val="20"/>
              </w:rPr>
            </w:pPr>
            <w:r w:rsidRPr="00220736">
              <w:rPr>
                <w:rFonts w:eastAsiaTheme="minorHAnsi" w:cstheme="minorBidi"/>
                <w:sz w:val="20"/>
                <w:szCs w:val="20"/>
              </w:rPr>
              <w:t>–</w:t>
            </w:r>
          </w:p>
        </w:tc>
      </w:tr>
    </w:tbl>
    <w:p w14:paraId="06EE68DF" w14:textId="77777777" w:rsidR="00193631" w:rsidRPr="00193631" w:rsidRDefault="00193631" w:rsidP="00074F20">
      <w:pPr>
        <w:pStyle w:val="TableDescription"/>
        <w:contextualSpacing/>
      </w:pPr>
      <w:r w:rsidRPr="00193631">
        <w:t>*Study ALUT- T-E02- 402 (SALUS)</w:t>
      </w:r>
    </w:p>
    <w:p w14:paraId="39BCB379" w14:textId="0339E165" w:rsidR="00CF293D" w:rsidRDefault="00193631" w:rsidP="00074F20">
      <w:pPr>
        <w:pStyle w:val="TableDescription"/>
        <w:contextualSpacing/>
      </w:pPr>
      <w:r w:rsidRPr="00193631">
        <w:t>†Patient Guide</w:t>
      </w:r>
    </w:p>
    <w:p w14:paraId="59045730" w14:textId="0229DE04" w:rsidR="00A511F9" w:rsidRPr="00A511F9" w:rsidRDefault="00A511F9" w:rsidP="00A511F9">
      <w:r w:rsidRPr="00A511F9">
        <w:rPr>
          <w:bCs/>
          <w:iCs/>
        </w:rPr>
        <w:lastRenderedPageBreak/>
        <w:t>The sponsor proposed a post authorisation registry protocol</w:t>
      </w:r>
      <w:r w:rsidRPr="00A511F9">
        <w:rPr>
          <w:bCs/>
        </w:rPr>
        <w:t xml:space="preserve"> ALUT-T-E02- 402 (SALUS), to investigate the incidence of primary malignancies over a 7-year period, to quantify the incidence of the important identified and important potential risks identified in Table </w:t>
      </w:r>
      <w:r w:rsidR="004545C8">
        <w:rPr>
          <w:bCs/>
        </w:rPr>
        <w:t>13</w:t>
      </w:r>
      <w:r w:rsidRPr="00A511F9">
        <w:rPr>
          <w:bCs/>
        </w:rPr>
        <w:t xml:space="preserve"> to detect new</w:t>
      </w:r>
      <w:r w:rsidR="00074F20">
        <w:rPr>
          <w:bCs/>
        </w:rPr>
        <w:t xml:space="preserve"> </w:t>
      </w:r>
      <w:r w:rsidRPr="00A511F9">
        <w:rPr>
          <w:bCs/>
        </w:rPr>
        <w:t>potential risks and to further quantify the risks of under-represented patients groups in the clinical trials. The evaluator noted the study was expected to be submitted on 31 December 202</w:t>
      </w:r>
      <w:r w:rsidR="00074F20">
        <w:rPr>
          <w:bCs/>
        </w:rPr>
        <w:t>8</w:t>
      </w:r>
      <w:r w:rsidRPr="00A511F9">
        <w:rPr>
          <w:bCs/>
        </w:rPr>
        <w:t xml:space="preserve"> and recommended its submission on completion. </w:t>
      </w:r>
      <w:r w:rsidRPr="00A511F9">
        <w:t>This study will not include Australian patients.</w:t>
      </w:r>
    </w:p>
    <w:p w14:paraId="0FE4D677" w14:textId="24EA5AB9" w:rsidR="00A511F9" w:rsidRPr="00BF2DCA" w:rsidRDefault="00A511F9" w:rsidP="00A511F9">
      <w:r w:rsidRPr="00A511F9">
        <w:t>The RMP evaluator has recommended conditions of registration that have been accepted by the Delegate</w:t>
      </w:r>
      <w:r w:rsidR="00630A66">
        <w:t>.</w:t>
      </w:r>
    </w:p>
    <w:p w14:paraId="74A4F87F" w14:textId="77777777" w:rsidR="00C22214" w:rsidRDefault="00C22214" w:rsidP="00C22214">
      <w:pPr>
        <w:pStyle w:val="Heading3"/>
      </w:pPr>
      <w:bookmarkStart w:id="50" w:name="_Toc247691531"/>
      <w:bookmarkStart w:id="51" w:name="_Toc314842515"/>
      <w:bookmarkStart w:id="52" w:name="_Toc103679299"/>
      <w:bookmarkStart w:id="53" w:name="_Toc221611033"/>
      <w:bookmarkEnd w:id="49"/>
      <w:r>
        <w:t>Risk-benefit analysis</w:t>
      </w:r>
      <w:bookmarkEnd w:id="50"/>
      <w:bookmarkEnd w:id="51"/>
      <w:bookmarkEnd w:id="52"/>
      <w:bookmarkEnd w:id="53"/>
    </w:p>
    <w:p w14:paraId="5145D888" w14:textId="17D4BED1" w:rsidR="00050628" w:rsidRPr="00050628" w:rsidRDefault="00050628" w:rsidP="00050628">
      <w:r w:rsidRPr="00050628">
        <w:t xml:space="preserve">This submission seeks approval for a therapeutic radiopharmaceutical, </w:t>
      </w:r>
      <w:r w:rsidR="00CE3296">
        <w:t>Lutathera</w:t>
      </w:r>
      <w:r w:rsidRPr="00050628">
        <w:t>, for the treatment of gastroenteropancreatic neuroendocrine tumours including foregut, midgut and hindgut neuroendocrine tumours.</w:t>
      </w:r>
    </w:p>
    <w:p w14:paraId="6CA0F069" w14:textId="388223D0" w:rsidR="00050628" w:rsidRPr="00050628" w:rsidRDefault="00050628" w:rsidP="00050628">
      <w:r w:rsidRPr="00050628">
        <w:rPr>
          <w:i/>
        </w:rPr>
        <w:t xml:space="preserve">NETTER-1 </w:t>
      </w:r>
      <w:r w:rsidRPr="00050628">
        <w:rPr>
          <w:iCs/>
        </w:rPr>
        <w:t xml:space="preserve">is the pivotal study. </w:t>
      </w:r>
      <w:r w:rsidRPr="00050628">
        <w:t xml:space="preserve">This was a multicentre, multinational, </w:t>
      </w:r>
      <w:proofErr w:type="gramStart"/>
      <w:r w:rsidRPr="00050628">
        <w:t>open-label</w:t>
      </w:r>
      <w:proofErr w:type="gramEnd"/>
      <w:r w:rsidRPr="00050628">
        <w:t xml:space="preserve">, randomised, comparator controlled, parallel group Phase III study that compared </w:t>
      </w:r>
      <w:r w:rsidR="00CE3296">
        <w:t>Lutathera</w:t>
      </w:r>
      <w:r w:rsidRPr="00050628">
        <w:t xml:space="preserve"> plus 30 mg Octreotide LAR with 600 mg Octreotide LAR in patients with inoperable, progressive, somatostatin receptor positive, midgut tumours.</w:t>
      </w:r>
    </w:p>
    <w:p w14:paraId="7533E035" w14:textId="1194B053" w:rsidR="00050628" w:rsidRPr="00050628" w:rsidRDefault="00050628" w:rsidP="00050628">
      <w:pPr>
        <w:rPr>
          <w:iCs/>
        </w:rPr>
      </w:pPr>
      <w:r w:rsidRPr="00050628">
        <w:rPr>
          <w:iCs/>
        </w:rPr>
        <w:t xml:space="preserve">At the primary PFS analysis, the median PFS in the </w:t>
      </w:r>
      <w:r w:rsidR="00CE3296">
        <w:t>Lutathera</w:t>
      </w:r>
      <w:r w:rsidRPr="00050628">
        <w:rPr>
          <w:iCs/>
        </w:rPr>
        <w:t xml:space="preserve"> group was not reached and was 8.5 months (95% CI: 5.8, 9.1) in the Octreotide LAR group, with a stratified HR of 0.18 (95% CI: 0.11, 0.29), p&lt;0.0001. The KM curves separate early and are persistently separated.</w:t>
      </w:r>
    </w:p>
    <w:p w14:paraId="622D3907" w14:textId="115E7074" w:rsidR="00050628" w:rsidRPr="00050628" w:rsidRDefault="00A9356F" w:rsidP="00050628">
      <w:pPr>
        <w:rPr>
          <w:iCs/>
        </w:rPr>
      </w:pPr>
      <w:r>
        <w:rPr>
          <w:iCs/>
        </w:rPr>
        <w:t xml:space="preserve">Median </w:t>
      </w:r>
      <w:r w:rsidR="00050628" w:rsidRPr="00050628">
        <w:rPr>
          <w:iCs/>
        </w:rPr>
        <w:t xml:space="preserve">OS at the 2015 and 2016 data cut points was not estimable in the </w:t>
      </w:r>
      <w:r w:rsidR="00CE3296">
        <w:t>Lutathera</w:t>
      </w:r>
      <w:r w:rsidR="00050628" w:rsidRPr="00050628">
        <w:rPr>
          <w:iCs/>
        </w:rPr>
        <w:t xml:space="preserve"> group and was 27.4 months in the Octreotide group. In the updated analysis the unstratified HR was 0.54 (95% CI: 0.33, 0.86). </w:t>
      </w:r>
    </w:p>
    <w:p w14:paraId="7BF1B168" w14:textId="53222C70" w:rsidR="00050628" w:rsidRPr="00050628" w:rsidRDefault="00050628" w:rsidP="00050628">
      <w:pPr>
        <w:rPr>
          <w:b/>
          <w:bCs/>
        </w:rPr>
      </w:pPr>
      <w:r w:rsidRPr="00050628">
        <w:rPr>
          <w:iCs/>
        </w:rPr>
        <w:t xml:space="preserve">By the time of the final analysis (median of around 76.4 months across the study) 37.7% of the comparator group had received a radiopharmaceutical therapeutic.  In the final analysis the unstratified OS HR was 0.84 (95% CI: 0.6, 1.17). Analysis using restricted mean survival time (RMST) analysis, rank-preserving structural failure time (RPSFT) and inverse probability of censoring weights (IPCW) all tending to favour </w:t>
      </w:r>
      <w:r w:rsidR="00CE3296">
        <w:t>Lutathera</w:t>
      </w:r>
      <w:r w:rsidRPr="00050628">
        <w:rPr>
          <w:iCs/>
        </w:rPr>
        <w:t xml:space="preserve">. </w:t>
      </w:r>
      <w:r w:rsidRPr="00050628">
        <w:t xml:space="preserve">In the </w:t>
      </w:r>
      <w:r w:rsidR="00CE3296">
        <w:t>Lutathera</w:t>
      </w:r>
      <w:r w:rsidRPr="00050628">
        <w:t xml:space="preserve"> group 52.1% had a second progression or died (PFS2), as did 56.1% of the Octreotide LAR group. The median PFS2 for </w:t>
      </w:r>
      <w:r w:rsidR="00CE3296">
        <w:t>Lutathera</w:t>
      </w:r>
      <w:r w:rsidRPr="00050628">
        <w:t xml:space="preserve"> vs Octreotide was 45.0 months (95% CI: 39.6, 50.4) vs. 23.2 months (95% CI: 18.5, 28.4); unstratified HR 0.42 (95% CI: 0.29, 0.60; p &lt;0.0001). </w:t>
      </w:r>
    </w:p>
    <w:p w14:paraId="022FEA41" w14:textId="6B2747DA" w:rsidR="00050628" w:rsidRPr="00050628" w:rsidRDefault="00050628" w:rsidP="00050628">
      <w:pPr>
        <w:rPr>
          <w:iCs/>
        </w:rPr>
      </w:pPr>
      <w:r w:rsidRPr="00050628">
        <w:rPr>
          <w:iCs/>
        </w:rPr>
        <w:t xml:space="preserve">The comparator Octreotide LAR was an acceptable comparator at the time the NETTER-1 study commenced. It is a treatment option for symptom control, and higher dose octreotide therapy may still be an option for tumours not initially responsive to lower dose treatment.  Alternative treatments in the same clinical setting have emerged subsequently, but not all patients </w:t>
      </w:r>
      <w:r w:rsidR="00A9356F">
        <w:rPr>
          <w:iCs/>
        </w:rPr>
        <w:t>will</w:t>
      </w:r>
      <w:r w:rsidRPr="00050628">
        <w:rPr>
          <w:iCs/>
        </w:rPr>
        <w:t xml:space="preserve"> be suitable for tyrosine kinase inhibitor therapy.  Of note is the PFS benefit and early OS benefit. Although the magnitude of OS</w:t>
      </w:r>
      <w:r w:rsidR="00A9356F">
        <w:rPr>
          <w:iCs/>
        </w:rPr>
        <w:t xml:space="preserve"> benefit</w:t>
      </w:r>
      <w:r w:rsidRPr="00050628">
        <w:rPr>
          <w:iCs/>
        </w:rPr>
        <w:t xml:space="preserve"> is less at 5 years and did not reach statistical significance, the incremental increase of a median of 11.7 months is clinically meaningful.</w:t>
      </w:r>
    </w:p>
    <w:p w14:paraId="033A82AE" w14:textId="2DCBF6DC" w:rsidR="00050628" w:rsidRPr="00050628" w:rsidRDefault="00050628" w:rsidP="00050628">
      <w:pPr>
        <w:rPr>
          <w:iCs/>
        </w:rPr>
      </w:pPr>
      <w:r w:rsidRPr="00050628">
        <w:rPr>
          <w:i/>
        </w:rPr>
        <w:t xml:space="preserve">ERASMUS MC </w:t>
      </w:r>
      <w:r w:rsidRPr="00050628">
        <w:rPr>
          <w:iCs/>
        </w:rPr>
        <w:t xml:space="preserve">is a supportive study. It contributed </w:t>
      </w:r>
      <w:r w:rsidR="00300048">
        <w:rPr>
          <w:iCs/>
        </w:rPr>
        <w:t>with P</w:t>
      </w:r>
      <w:r w:rsidRPr="00050628">
        <w:rPr>
          <w:iCs/>
        </w:rPr>
        <w:t xml:space="preserve">hase I and II data that supported the development of the proposed dose and established the benefit of an amino acid infusion to be co-administered as a renal protective measure. It also contributed </w:t>
      </w:r>
      <w:r w:rsidR="00300048">
        <w:rPr>
          <w:iCs/>
        </w:rPr>
        <w:t xml:space="preserve">with </w:t>
      </w:r>
      <w:r w:rsidRPr="00050628">
        <w:rPr>
          <w:iCs/>
        </w:rPr>
        <w:t xml:space="preserve">single arm data from patients with inoperable Grade 1 or 2 disease, that had progressed on octreotide in GEP tumours. Of relevance to the requested indication, descriptive data from patients with foregut, midgut, hindgut and pancreatic </w:t>
      </w:r>
      <w:r w:rsidR="00D12604">
        <w:rPr>
          <w:iCs/>
        </w:rPr>
        <w:t>N</w:t>
      </w:r>
      <w:r w:rsidRPr="00050628">
        <w:rPr>
          <w:iCs/>
        </w:rPr>
        <w:t xml:space="preserve">ETS were included. Dosing in this study was in intervals of 6 – </w:t>
      </w:r>
      <w:r w:rsidRPr="00050628">
        <w:rPr>
          <w:iCs/>
        </w:rPr>
        <w:lastRenderedPageBreak/>
        <w:t xml:space="preserve">13 weeks. Most patients received at least as high a </w:t>
      </w:r>
      <w:r w:rsidR="00CE3296">
        <w:rPr>
          <w:iCs/>
        </w:rPr>
        <w:t>Lutathera</w:t>
      </w:r>
      <w:r w:rsidRPr="00050628">
        <w:rPr>
          <w:iCs/>
        </w:rPr>
        <w:t xml:space="preserve"> dose as the maximum dose in the NETTER-1 study.</w:t>
      </w:r>
    </w:p>
    <w:p w14:paraId="76B3F020" w14:textId="78D463CF" w:rsidR="00050628" w:rsidRPr="00050628" w:rsidRDefault="00050628" w:rsidP="00050628">
      <w:pPr>
        <w:rPr>
          <w:iCs/>
        </w:rPr>
      </w:pPr>
      <w:r w:rsidRPr="00050628">
        <w:rPr>
          <w:iCs/>
        </w:rPr>
        <w:t xml:space="preserve">The Delegate considers there is sufficient clinical efficacy evidence to establish the efficacy of </w:t>
      </w:r>
      <w:r w:rsidR="00CE3296">
        <w:rPr>
          <w:iCs/>
        </w:rPr>
        <w:t>Lutathera</w:t>
      </w:r>
      <w:r w:rsidRPr="00050628">
        <w:rPr>
          <w:iCs/>
        </w:rPr>
        <w:t xml:space="preserve">. </w:t>
      </w:r>
    </w:p>
    <w:p w14:paraId="70100530" w14:textId="5F1EE320" w:rsidR="00050628" w:rsidRPr="00050628" w:rsidRDefault="00050628" w:rsidP="00050628">
      <w:r w:rsidRPr="00050628">
        <w:t xml:space="preserve">The Delegate recognises the considerable experience with the product. While general safety information is derived from the aggregated data sets of the </w:t>
      </w:r>
      <w:r w:rsidR="00D12604">
        <w:t>ERASMUS MC</w:t>
      </w:r>
      <w:r w:rsidRPr="00050628">
        <w:t xml:space="preserve"> and </w:t>
      </w:r>
      <w:r w:rsidR="00D12604" w:rsidRPr="00D12604">
        <w:t xml:space="preserve">NETTER </w:t>
      </w:r>
      <w:r w:rsidRPr="00050628">
        <w:t xml:space="preserve">-1 studies, supplemented by post marketing information via PSURs, the clinical trial evidence of the comparative safety of </w:t>
      </w:r>
      <w:r w:rsidR="00CE3296">
        <w:t>Lutathera</w:t>
      </w:r>
      <w:r w:rsidRPr="00050628">
        <w:t xml:space="preserve"> with octreotide is only found in the NETTER-1 study. </w:t>
      </w:r>
    </w:p>
    <w:p w14:paraId="31A3E7AB" w14:textId="77777777" w:rsidR="00050628" w:rsidRPr="00050628" w:rsidRDefault="00050628" w:rsidP="00050628">
      <w:r w:rsidRPr="00050628">
        <w:rPr>
          <w:iCs/>
        </w:rPr>
        <w:t>Gastrointestinal adverse events including nausea, vomiting, diarrhoea and constipation were among the more frequently reported events. Across both studies safety findings included increased risk of kidney dysfunction (somewhat mitigated by the concomitant administration of amino acids lysine and arginine), myelosuppression and cytopenias, and later haematological toxicity (myelodysplastic syndrome and acute leukemia), hormone-release related crises and the potential for radiotoxicity. Hypersensitivity, in the form of angioedema, has emerged in the post marketing setting internationally.</w:t>
      </w:r>
    </w:p>
    <w:p w14:paraId="77FB4DE1" w14:textId="37BE983E" w:rsidR="00050628" w:rsidRPr="00050628" w:rsidRDefault="00050628" w:rsidP="00050628">
      <w:r w:rsidRPr="00050628">
        <w:t xml:space="preserve">The co-administration of </w:t>
      </w:r>
      <w:r w:rsidR="008A16E1">
        <w:t>L-</w:t>
      </w:r>
      <w:r w:rsidRPr="00050628">
        <w:t xml:space="preserve">arginine and </w:t>
      </w:r>
      <w:r w:rsidR="008A16E1">
        <w:t>L-</w:t>
      </w:r>
      <w:r w:rsidRPr="00050628">
        <w:t xml:space="preserve">lysine is essential for </w:t>
      </w:r>
      <w:r w:rsidR="008A16E1" w:rsidRPr="008A16E1">
        <w:t xml:space="preserve">renal protection when administering </w:t>
      </w:r>
      <w:r w:rsidR="00CE3296">
        <w:t>Lutathera</w:t>
      </w:r>
      <w:r w:rsidRPr="00050628">
        <w:t xml:space="preserve">. As with some other oncology indications, where medicines are used in combination, a requesting sponsor is not required to arrange reciprocal indications for all the components of the combination before approval can be granted. </w:t>
      </w:r>
      <w:proofErr w:type="spellStart"/>
      <w:r w:rsidRPr="00050628">
        <w:t>Synthamin</w:t>
      </w:r>
      <w:proofErr w:type="spellEnd"/>
      <w:r w:rsidRPr="00050628">
        <w:t xml:space="preserve"> is contraindicated for patients with severe liver disease, a congenital abnormality of amino acid metabolism or hypersensitivity to any of the ingredients (active ingredients or excipients).  There is therefore a potential subset of patients that may require a specifically compounded formulation. A contraindication to either of lysine or arginine is considered a contraindication to the use of </w:t>
      </w:r>
      <w:r w:rsidR="00CE3296">
        <w:t>Lutathera</w:t>
      </w:r>
      <w:r w:rsidRPr="00050628">
        <w:t xml:space="preserve">. </w:t>
      </w:r>
    </w:p>
    <w:p w14:paraId="7EE7AADE" w14:textId="4A480310" w:rsidR="00050628" w:rsidRPr="00050628" w:rsidRDefault="00050628" w:rsidP="00050628">
      <w:r w:rsidRPr="00050628">
        <w:rPr>
          <w:iCs/>
        </w:rPr>
        <w:t xml:space="preserve">Overall, the Delegate considers the safety of </w:t>
      </w:r>
      <w:r w:rsidR="00CE3296">
        <w:rPr>
          <w:iCs/>
        </w:rPr>
        <w:t>Lutathera</w:t>
      </w:r>
      <w:r w:rsidRPr="00050628">
        <w:rPr>
          <w:iCs/>
        </w:rPr>
        <w:t xml:space="preserve"> for the proposed use has been satisfactorily established.</w:t>
      </w:r>
    </w:p>
    <w:p w14:paraId="307F236C" w14:textId="7FD19BD3" w:rsidR="00C22214" w:rsidRPr="002E238E" w:rsidRDefault="0046285C" w:rsidP="00C22214">
      <w:pPr>
        <w:pStyle w:val="Heading2"/>
      </w:pPr>
      <w:bookmarkStart w:id="54" w:name="_Toc247691532"/>
      <w:bookmarkStart w:id="55" w:name="_Toc314842516"/>
      <w:bookmarkStart w:id="56" w:name="_Toc103679300"/>
      <w:bookmarkStart w:id="57" w:name="_Toc221611034"/>
      <w:r>
        <w:t>Assessment</w:t>
      </w:r>
      <w:r w:rsidR="00190853">
        <w:t xml:space="preserve"> </w:t>
      </w:r>
      <w:r>
        <w:t>o</w:t>
      </w:r>
      <w:r w:rsidR="00C22214">
        <w:t>utcome</w:t>
      </w:r>
      <w:bookmarkEnd w:id="54"/>
      <w:bookmarkEnd w:id="55"/>
      <w:bookmarkEnd w:id="56"/>
      <w:bookmarkEnd w:id="57"/>
    </w:p>
    <w:p w14:paraId="26EAD491" w14:textId="44894680" w:rsidR="00A93DC6" w:rsidRDefault="00C22214" w:rsidP="00B925A8">
      <w:r w:rsidRPr="0017005C">
        <w:t xml:space="preserve">Based on a review of quality, safety, and efficacy, the TGA </w:t>
      </w:r>
      <w:r w:rsidR="00B46DFB">
        <w:t>decided to</w:t>
      </w:r>
      <w:r w:rsidRPr="0017005C">
        <w:t xml:space="preserve"> regist</w:t>
      </w:r>
      <w:r w:rsidR="00B46DFB">
        <w:t>er</w:t>
      </w:r>
      <w:r w:rsidRPr="0017005C">
        <w:t xml:space="preserve"> </w:t>
      </w:r>
      <w:r w:rsidR="00CE3296">
        <w:t>Lutathera</w:t>
      </w:r>
      <w:r w:rsidR="00B925A8" w:rsidRPr="00B925A8">
        <w:t xml:space="preserve"> </w:t>
      </w:r>
      <w:r w:rsidR="00B925A8">
        <w:t>(</w:t>
      </w:r>
      <w:r w:rsidR="00B925A8" w:rsidRPr="00B925A8">
        <w:t xml:space="preserve">lutetium </w:t>
      </w:r>
      <w:r w:rsidR="004071C5">
        <w:t>(</w:t>
      </w:r>
      <w:proofErr w:type="gramStart"/>
      <w:r w:rsidR="00544537" w:rsidRPr="00544537">
        <w:rPr>
          <w:vertAlign w:val="superscript"/>
        </w:rPr>
        <w:t>177</w:t>
      </w:r>
      <w:r w:rsidR="004071C5">
        <w:t>)</w:t>
      </w:r>
      <w:r w:rsidR="00B925A8" w:rsidRPr="00B925A8">
        <w:t>Lu</w:t>
      </w:r>
      <w:proofErr w:type="gramEnd"/>
      <w:r w:rsidR="00B925A8" w:rsidRPr="00B925A8">
        <w:t xml:space="preserve"> oxodotreotide</w:t>
      </w:r>
      <w:r w:rsidR="001D04FF">
        <w:t>)</w:t>
      </w:r>
      <w:r w:rsidR="00B925A8" w:rsidRPr="00B925A8">
        <w:t xml:space="preserve"> 370 MBq/mL solution </w:t>
      </w:r>
      <w:r w:rsidRPr="0017005C">
        <w:t>for the following indication</w:t>
      </w:r>
      <w:r w:rsidR="00B925A8">
        <w:t>:</w:t>
      </w:r>
    </w:p>
    <w:p w14:paraId="4329F83C" w14:textId="2F98CFB5" w:rsidR="00B925A8" w:rsidRDefault="00CE3296" w:rsidP="00B83997">
      <w:pPr>
        <w:pStyle w:val="Indication"/>
      </w:pPr>
      <w:r>
        <w:t>Lutathera</w:t>
      </w:r>
      <w:r w:rsidR="00B83997" w:rsidRPr="00B83997">
        <w:t xml:space="preserve"> is indicated for the treatment of somatostatin receptor-positive gastroenteropancreatic neuroendocrine tumours (GEP-NETs), including foregut, midgut, and hindgut neuroendocrine tumours in adults</w:t>
      </w:r>
    </w:p>
    <w:p w14:paraId="0D732DA4" w14:textId="74882685" w:rsidR="00854D98" w:rsidRDefault="00854D98" w:rsidP="00E60E4A">
      <w:pPr>
        <w:pStyle w:val="Heading4"/>
      </w:pPr>
      <w:bookmarkStart w:id="58" w:name="_Toc221611035"/>
      <w:bookmarkStart w:id="59" w:name="_Toc103679301"/>
      <w:r w:rsidRPr="00D23139">
        <w:t>Specific conditions of registration</w:t>
      </w:r>
      <w:bookmarkEnd w:id="58"/>
      <w:r w:rsidRPr="00D23139">
        <w:t xml:space="preserve"> </w:t>
      </w:r>
      <w:bookmarkEnd w:id="59"/>
    </w:p>
    <w:p w14:paraId="2FDD2CE2" w14:textId="1A87EC17" w:rsidR="00E60E4A" w:rsidRDefault="00CE3296" w:rsidP="00E60E4A">
      <w:r>
        <w:t>Lutathera</w:t>
      </w:r>
      <w:r w:rsidR="00E60E4A">
        <w:t xml:space="preserve"> (</w:t>
      </w:r>
      <w:r w:rsidR="001D04FF">
        <w:t>l</w:t>
      </w:r>
      <w:r w:rsidR="00E60E4A">
        <w:t>utetium (</w:t>
      </w:r>
      <w:r w:rsidR="00544537" w:rsidRPr="00544537">
        <w:rPr>
          <w:vertAlign w:val="superscript"/>
        </w:rPr>
        <w:t>177</w:t>
      </w:r>
      <w:r w:rsidR="00E60E4A">
        <w:t xml:space="preserve">Lu) oxodotreotide) is to be included in the Black Triangle Scheme. The PI and CMI for </w:t>
      </w:r>
      <w:r>
        <w:t>Lutathera</w:t>
      </w:r>
      <w:r w:rsidR="00E60E4A">
        <w:t xml:space="preserve"> must include the black triangle symbol and mandatory accompanying text for five years, which starts from the date of first supply of the product.</w:t>
      </w:r>
    </w:p>
    <w:p w14:paraId="1A0CF208" w14:textId="1B3355B0" w:rsidR="00E60E4A" w:rsidRDefault="00E60E4A" w:rsidP="00E60E4A">
      <w:r>
        <w:t xml:space="preserve">The </w:t>
      </w:r>
      <w:r w:rsidR="00CE3296">
        <w:t>Lutathera</w:t>
      </w:r>
      <w:r>
        <w:t xml:space="preserve"> EU-RMP (version 2.0, dated 9 August 2021, data lock point 18 January 2021), with Australia-Specific Annex (ASA) (version 1.1, dated 7 March 2025), included with submission PM-2024-02583-1-6, and any subsequent revisions, as agreed with the TGA will be implemented in Australia.</w:t>
      </w:r>
    </w:p>
    <w:p w14:paraId="3F174D31" w14:textId="352DFE02" w:rsidR="00E60E4A" w:rsidRDefault="00E60E4A" w:rsidP="00E60E4A">
      <w:r>
        <w:t>An obligatory component of risk management plans is routine pharmacovigilance. Routine pharmacovigilance includes the submission of periodic safety update reports (PSURs).</w:t>
      </w:r>
    </w:p>
    <w:p w14:paraId="063B2BBA" w14:textId="5692A020" w:rsidR="00E60E4A" w:rsidRDefault="00E60E4A" w:rsidP="00E60E4A">
      <w:r>
        <w:lastRenderedPageBreak/>
        <w:t>Reports are to be provided in line with the current published list of EU reference dates and frequency of submission of PSURs until the period covered by such reports is not less than three years from the date of this approval letter. Each report must be submitted within ninety calendar days of the data lock point for that report.</w:t>
      </w:r>
    </w:p>
    <w:p w14:paraId="20551B67" w14:textId="244DFBFF" w:rsidR="00E60E4A" w:rsidRPr="00E60E4A" w:rsidRDefault="00E60E4A" w:rsidP="00E60E4A">
      <w:r>
        <w:t>The reports are to at least meet the requirements for PSURs as described in the European Medicines Agency’s Guideline on good pharmacovigilance practices (GVP) Module VII-periodic safety update report (Rev 1), Part VII.B Structures and processes. Note that submission of a PSUR does not constitute an application to vary the registration.</w:t>
      </w:r>
    </w:p>
    <w:p w14:paraId="0F9C1952" w14:textId="46BD475E" w:rsidR="00BA657C" w:rsidRPr="00BA657C" w:rsidRDefault="00BA657C" w:rsidP="00220736">
      <w:pPr>
        <w:pStyle w:val="Heading2"/>
      </w:pPr>
      <w:bookmarkStart w:id="60" w:name="_Toc221611036"/>
      <w:bookmarkStart w:id="61" w:name="_Toc196738290"/>
      <w:r w:rsidRPr="00BA657C">
        <w:t>Product Information and Consumer Medicine Information</w:t>
      </w:r>
      <w:bookmarkEnd w:id="60"/>
      <w:r w:rsidRPr="00BA657C">
        <w:t xml:space="preserve"> </w:t>
      </w:r>
      <w:bookmarkEnd w:id="61"/>
    </w:p>
    <w:p w14:paraId="5F276616" w14:textId="6667B73D" w:rsidR="004D0933" w:rsidRPr="004D0933" w:rsidRDefault="004D0933" w:rsidP="004D0933">
      <w:bookmarkStart w:id="62" w:name="_Hlk200021736"/>
      <w:r w:rsidRPr="004D0933">
        <w:t xml:space="preserve">For the most recent Product Information (PI) and Consumer Medicine Information (CMI), please refer to the TGA </w:t>
      </w:r>
      <w:hyperlink r:id="rId45" w:history="1">
        <w:r w:rsidRPr="004D0933">
          <w:rPr>
            <w:rStyle w:val="Hyperlink"/>
          </w:rPr>
          <w:t>PI/CMI search facility.</w:t>
        </w:r>
      </w:hyperlink>
    </w:p>
    <w:bookmarkEnd w:id="62"/>
    <w:p w14:paraId="40740B65" w14:textId="5819D664" w:rsidR="00C22214" w:rsidRPr="008B4DA3" w:rsidRDefault="00C22214" w:rsidP="00C22214">
      <w:pPr>
        <w:autoSpaceDE w:val="0"/>
        <w:autoSpaceDN w:val="0"/>
        <w:adjustRightInd w:val="0"/>
        <w:spacing w:after="0"/>
      </w:pPr>
    </w:p>
    <w:p w14:paraId="53357BF3" w14:textId="276457B5" w:rsidR="00C22214" w:rsidRDefault="00C22214" w:rsidP="00C22214">
      <w:pPr>
        <w:rPr>
          <w:lang w:eastAsia="ja-JP"/>
        </w:rPr>
        <w:sectPr w:rsidR="00C22214" w:rsidSect="007452E8">
          <w:headerReference w:type="default" r:id="rId46"/>
          <w:footerReference w:type="default" r:id="rId47"/>
          <w:pgSz w:w="11906" w:h="16838" w:code="9"/>
          <w:pgMar w:top="1134" w:right="1418" w:bottom="1361" w:left="1418" w:header="573" w:footer="567" w:gutter="0"/>
          <w:cols w:space="708"/>
          <w:docGrid w:linePitch="360"/>
        </w:sectPr>
      </w:pPr>
    </w:p>
    <w:tbl>
      <w:tblPr>
        <w:tblW w:w="9145" w:type="dxa"/>
        <w:jc w:val="center"/>
        <w:tblLayout w:type="fixed"/>
        <w:tblCellMar>
          <w:left w:w="0" w:type="dxa"/>
          <w:right w:w="0" w:type="dxa"/>
        </w:tblCellMar>
        <w:tblLook w:val="04A0" w:firstRow="1" w:lastRow="0" w:firstColumn="1" w:lastColumn="0" w:noHBand="0" w:noVBand="1"/>
      </w:tblPr>
      <w:tblGrid>
        <w:gridCol w:w="9145"/>
      </w:tblGrid>
      <w:tr w:rsidR="00F02AEC" w:rsidRPr="00215D48" w14:paraId="3C0C07BF" w14:textId="77777777" w:rsidTr="007452E8">
        <w:trPr>
          <w:trHeight w:hRule="exact" w:val="565"/>
          <w:jc w:val="center"/>
        </w:trPr>
        <w:tc>
          <w:tcPr>
            <w:tcW w:w="9145" w:type="dxa"/>
          </w:tcPr>
          <w:bookmarkEnd w:id="3"/>
          <w:bookmarkEnd w:id="4"/>
          <w:p w14:paraId="7E090B86" w14:textId="77777777" w:rsidR="00F02AEC" w:rsidRPr="00215D48" w:rsidRDefault="00F02AEC" w:rsidP="007452E8">
            <w:pPr>
              <w:pStyle w:val="TGASignoff"/>
            </w:pPr>
            <w:r w:rsidRPr="00215D48">
              <w:lastRenderedPageBreak/>
              <w:t>Therapeutic Goods Administration</w:t>
            </w:r>
          </w:p>
        </w:tc>
      </w:tr>
      <w:tr w:rsidR="00F02AEC" w:rsidRPr="00215D48" w14:paraId="70F47EA1" w14:textId="77777777" w:rsidTr="007452E8">
        <w:trPr>
          <w:trHeight w:val="963"/>
          <w:jc w:val="center"/>
        </w:trPr>
        <w:tc>
          <w:tcPr>
            <w:tcW w:w="9145" w:type="dxa"/>
            <w:tcMar>
              <w:top w:w="28" w:type="dxa"/>
            </w:tcMar>
          </w:tcPr>
          <w:p w14:paraId="3491EBCD" w14:textId="77777777" w:rsidR="00F02AEC" w:rsidRPr="00215D48" w:rsidRDefault="00F02AEC" w:rsidP="007452E8">
            <w:pPr>
              <w:pStyle w:val="Address"/>
              <w:jc w:val="center"/>
            </w:pPr>
            <w:r w:rsidRPr="00215D48">
              <w:t>PO Box 100 Woden ACT 2606 Australia</w:t>
            </w:r>
          </w:p>
          <w:p w14:paraId="5D0FE0E7" w14:textId="53CB9479" w:rsidR="00F02AEC" w:rsidRDefault="00F02AEC">
            <w:pPr>
              <w:pStyle w:val="Address"/>
              <w:jc w:val="center"/>
              <w:rPr>
                <w:sz w:val="22"/>
                <w:szCs w:val="22"/>
              </w:rPr>
            </w:pPr>
            <w:r w:rsidRPr="00215D48">
              <w:t xml:space="preserve">Email: </w:t>
            </w:r>
            <w:hyperlink r:id="rId48" w:history="1">
              <w:r w:rsidRPr="00215D48">
                <w:rPr>
                  <w:rStyle w:val="Hyperlink"/>
                </w:rPr>
                <w:t>info@tga.gov.au</w:t>
              </w:r>
            </w:hyperlink>
            <w:r w:rsidRPr="00215D48">
              <w:t xml:space="preserve">  Phone: 1800 020 </w:t>
            </w:r>
            <w:proofErr w:type="gramStart"/>
            <w:r w:rsidRPr="00215D48">
              <w:t>653  Fax</w:t>
            </w:r>
            <w:proofErr w:type="gramEnd"/>
            <w:r w:rsidRPr="00215D48">
              <w:t xml:space="preserve">: </w:t>
            </w:r>
            <w:r w:rsidRPr="00BA0DFC">
              <w:t>02 6203 1605</w:t>
            </w:r>
          </w:p>
          <w:p w14:paraId="4533D80F" w14:textId="1519D7A3" w:rsidR="00F02AEC" w:rsidRPr="00215D48" w:rsidRDefault="00F02AEC">
            <w:pPr>
              <w:pStyle w:val="Address"/>
              <w:jc w:val="center"/>
              <w:rPr>
                <w:rStyle w:val="Hyperlink"/>
                <w:b/>
                <w:color w:val="auto"/>
                <w:sz w:val="22"/>
              </w:rPr>
            </w:pPr>
            <w:hyperlink r:id="rId49" w:history="1">
              <w:r w:rsidRPr="00C4721A">
                <w:rPr>
                  <w:rStyle w:val="Hyperlink"/>
                  <w:b/>
                </w:rPr>
                <w:t>https://www.tga.gov.au</w:t>
              </w:r>
            </w:hyperlink>
          </w:p>
        </w:tc>
      </w:tr>
      <w:tr w:rsidR="00F02AEC" w:rsidRPr="00215D48" w14:paraId="2AD74347" w14:textId="77777777" w:rsidTr="007452E8">
        <w:trPr>
          <w:trHeight w:val="251"/>
          <w:jc w:val="center"/>
        </w:trPr>
        <w:tc>
          <w:tcPr>
            <w:tcW w:w="9145" w:type="dxa"/>
            <w:tcMar>
              <w:top w:w="28" w:type="dxa"/>
            </w:tcMar>
          </w:tcPr>
          <w:p w14:paraId="6EAAD5C1" w14:textId="77777777" w:rsidR="00F02AEC" w:rsidRPr="00215D48" w:rsidRDefault="00F02AEC" w:rsidP="007452E8">
            <w:pPr>
              <w:pStyle w:val="Address"/>
              <w:jc w:val="center"/>
            </w:pPr>
            <w:r w:rsidRPr="00215D48">
              <w:t>Reference/Publication #</w:t>
            </w:r>
          </w:p>
        </w:tc>
      </w:tr>
    </w:tbl>
    <w:p w14:paraId="788B80FD" w14:textId="77777777" w:rsidR="007452E8" w:rsidRDefault="007452E8"/>
    <w:sectPr w:rsidR="007452E8" w:rsidSect="007452E8">
      <w:headerReference w:type="first" r:id="rId50"/>
      <w:footerReference w:type="first" r:id="rId51"/>
      <w:pgSz w:w="11906" w:h="16838" w:code="9"/>
      <w:pgMar w:top="13571" w:right="1701" w:bottom="567" w:left="1701" w:header="1134" w:footer="78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411A00" w14:textId="77777777" w:rsidR="00C06B8C" w:rsidRDefault="00C06B8C" w:rsidP="00F02AEC">
      <w:pPr>
        <w:spacing w:after="0" w:line="240" w:lineRule="auto"/>
      </w:pPr>
      <w:r>
        <w:separator/>
      </w:r>
    </w:p>
  </w:endnote>
  <w:endnote w:type="continuationSeparator" w:id="0">
    <w:p w14:paraId="209CDCF4" w14:textId="77777777" w:rsidR="00C06B8C" w:rsidRDefault="00C06B8C" w:rsidP="00F02A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Wingdings 3">
    <w:panose1 w:val="050401020108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54AA2C" w14:textId="74E7BFFF" w:rsidR="00BF2B38" w:rsidRDefault="00BF2B38">
    <w:pPr>
      <w:pStyle w:val="Footer"/>
    </w:pPr>
    <w:r>
      <w:rPr>
        <w:noProof/>
      </w:rPr>
      <mc:AlternateContent>
        <mc:Choice Requires="wps">
          <w:drawing>
            <wp:anchor distT="0" distB="0" distL="0" distR="0" simplePos="0" relativeHeight="251667456" behindDoc="0" locked="0" layoutInCell="1" allowOverlap="1" wp14:anchorId="79BD957D" wp14:editId="72BCADDC">
              <wp:simplePos x="635" y="635"/>
              <wp:positionH relativeFrom="page">
                <wp:align>center</wp:align>
              </wp:positionH>
              <wp:positionV relativeFrom="page">
                <wp:align>bottom</wp:align>
              </wp:positionV>
              <wp:extent cx="622300" cy="391160"/>
              <wp:effectExtent l="0" t="0" r="6350" b="0"/>
              <wp:wrapNone/>
              <wp:docPr id="1494261850" name="Text Box 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91160"/>
                      </a:xfrm>
                      <a:prstGeom prst="rect">
                        <a:avLst/>
                      </a:prstGeom>
                      <a:noFill/>
                      <a:ln>
                        <a:noFill/>
                      </a:ln>
                    </wps:spPr>
                    <wps:txbx>
                      <w:txbxContent>
                        <w:p w14:paraId="664552E0" w14:textId="0C8936CA" w:rsidR="00BF2B38" w:rsidRPr="00BF2B38" w:rsidRDefault="00BF2B38" w:rsidP="00BF2B38">
                          <w:pPr>
                            <w:spacing w:after="0"/>
                            <w:rPr>
                              <w:rFonts w:ascii="Aptos" w:eastAsia="Aptos" w:hAnsi="Aptos" w:cs="Aptos"/>
                              <w:noProof/>
                              <w:color w:val="FF0000"/>
                              <w:sz w:val="24"/>
                              <w:szCs w:val="24"/>
                            </w:rPr>
                          </w:pPr>
                          <w:r w:rsidRPr="00BF2B38">
                            <w:rPr>
                              <w:rFonts w:ascii="Aptos" w:eastAsia="Aptos" w:hAnsi="Aptos" w:cs="Aptos"/>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9BD957D" id="_x0000_t202" coordsize="21600,21600" o:spt="202" path="m,l,21600r21600,l21600,xe">
              <v:stroke joinstyle="miter"/>
              <v:path gradientshapeok="t" o:connecttype="rect"/>
            </v:shapetype>
            <v:shape id="Text Box 7" o:spid="_x0000_s1028" type="#_x0000_t202" alt="OFFICIAL" style="position:absolute;margin-left:0;margin-top:0;width:49pt;height:30.8pt;z-index:25166745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" filled="f" stroked="f">
              <v:textbox style="mso-fit-shape-to-text:t" inset="0,0,0,15pt">
                <w:txbxContent>
                  <w:p w14:paraId="664552E0" w14:textId="0C8936CA" w:rsidR="00BF2B38" w:rsidRPr="00BF2B38" w:rsidRDefault="00BF2B38" w:rsidP="00BF2B38">
                    <w:pPr>
                      <w:spacing w:after="0"/>
                      <w:rPr>
                        <w:rFonts w:ascii="Aptos" w:eastAsia="Aptos" w:hAnsi="Aptos" w:cs="Aptos"/>
                        <w:noProof/>
                        <w:color w:val="FF0000"/>
                        <w:sz w:val="24"/>
                        <w:szCs w:val="24"/>
                      </w:rPr>
                    </w:pPr>
                    <w:r w:rsidRPr="00BF2B38">
                      <w:rPr>
                        <w:rFonts w:ascii="Aptos" w:eastAsia="Aptos" w:hAnsi="Aptos" w:cs="Aptos"/>
                        <w:noProof/>
                        <w:color w:val="FF0000"/>
                        <w:sz w:val="24"/>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0"/>
      <w:gridCol w:w="4360"/>
    </w:tblGrid>
    <w:tr w:rsidR="007452E8" w:rsidRPr="00257138" w14:paraId="162D69C2" w14:textId="77777777" w:rsidTr="007452E8">
      <w:trPr>
        <w:trHeight w:val="423"/>
      </w:trPr>
      <w:tc>
        <w:tcPr>
          <w:tcW w:w="4360" w:type="dxa"/>
          <w:tcBorders>
            <w:top w:val="single" w:sz="4" w:space="0" w:color="auto"/>
          </w:tcBorders>
        </w:tcPr>
        <w:p w14:paraId="32E1B782" w14:textId="3DF97DD8" w:rsidR="007452E8" w:rsidRDefault="00BF2B38" w:rsidP="007452E8">
          <w:pPr>
            <w:pStyle w:val="Footer"/>
          </w:pPr>
          <w:r>
            <w:rPr>
              <w:noProof/>
            </w:rPr>
            <mc:AlternateContent>
              <mc:Choice Requires="wps">
                <w:drawing>
                  <wp:anchor distT="0" distB="0" distL="0" distR="0" simplePos="0" relativeHeight="251668480" behindDoc="0" locked="0" layoutInCell="1" allowOverlap="1" wp14:anchorId="275D9E63" wp14:editId="2452A228">
                    <wp:simplePos x="635" y="635"/>
                    <wp:positionH relativeFrom="page">
                      <wp:align>center</wp:align>
                    </wp:positionH>
                    <wp:positionV relativeFrom="page">
                      <wp:align>bottom</wp:align>
                    </wp:positionV>
                    <wp:extent cx="622300" cy="391160"/>
                    <wp:effectExtent l="0" t="0" r="6350" b="0"/>
                    <wp:wrapNone/>
                    <wp:docPr id="1756492119" name="Text Box 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91160"/>
                            </a:xfrm>
                            <a:prstGeom prst="rect">
                              <a:avLst/>
                            </a:prstGeom>
                            <a:noFill/>
                            <a:ln>
                              <a:noFill/>
                            </a:ln>
                          </wps:spPr>
                          <wps:txbx>
                            <w:txbxContent>
                              <w:p w14:paraId="6883E23C" w14:textId="268AF9E1" w:rsidR="00BF2B38" w:rsidRPr="00BF2B38" w:rsidRDefault="00BF2B38" w:rsidP="00BF2B38">
                                <w:pPr>
                                  <w:spacing w:after="0"/>
                                  <w:rPr>
                                    <w:rFonts w:ascii="Aptos" w:eastAsia="Aptos" w:hAnsi="Aptos" w:cs="Aptos"/>
                                    <w:noProof/>
                                    <w:color w:val="FF0000"/>
                                    <w:sz w:val="24"/>
                                    <w:szCs w:val="24"/>
                                  </w:rPr>
                                </w:pPr>
                                <w:r w:rsidRPr="00BF2B38">
                                  <w:rPr>
                                    <w:rFonts w:ascii="Aptos" w:eastAsia="Aptos" w:hAnsi="Aptos" w:cs="Aptos"/>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75D9E63" id="_x0000_t202" coordsize="21600,21600" o:spt="202" path="m,l,21600r21600,l21600,xe">
                    <v:stroke joinstyle="miter"/>
                    <v:path gradientshapeok="t" o:connecttype="rect"/>
                  </v:shapetype>
                  <v:shape id="Text Box 8" o:spid="_x0000_s1029" type="#_x0000_t202" alt="OFFICIAL" style="position:absolute;margin-left:0;margin-top:0;width:49pt;height:30.8pt;z-index:25166848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" filled="f" stroked="f">
                    <v:textbox style="mso-fit-shape-to-text:t" inset="0,0,0,15pt">
                      <w:txbxContent>
                        <w:p w14:paraId="6883E23C" w14:textId="268AF9E1" w:rsidR="00BF2B38" w:rsidRPr="00BF2B38" w:rsidRDefault="00BF2B38" w:rsidP="00BF2B38">
                          <w:pPr>
                            <w:spacing w:after="0"/>
                            <w:rPr>
                              <w:rFonts w:ascii="Aptos" w:eastAsia="Aptos" w:hAnsi="Aptos" w:cs="Aptos"/>
                              <w:noProof/>
                              <w:color w:val="FF0000"/>
                              <w:sz w:val="24"/>
                              <w:szCs w:val="24"/>
                            </w:rPr>
                          </w:pPr>
                          <w:r w:rsidRPr="00BF2B38">
                            <w:rPr>
                              <w:rFonts w:ascii="Aptos" w:eastAsia="Aptos" w:hAnsi="Aptos" w:cs="Aptos"/>
                              <w:noProof/>
                              <w:color w:val="FF0000"/>
                              <w:sz w:val="24"/>
                              <w:szCs w:val="24"/>
                            </w:rPr>
                            <w:t>OFFICIAL</w:t>
                          </w:r>
                        </w:p>
                      </w:txbxContent>
                    </v:textbox>
                    <w10:wrap anchorx="page" anchory="page"/>
                  </v:shape>
                </w:pict>
              </mc:Fallback>
            </mc:AlternateContent>
          </w:r>
        </w:p>
        <w:p w14:paraId="1849C07C" w14:textId="77777777" w:rsidR="007452E8" w:rsidRPr="00257138" w:rsidRDefault="007452E8" w:rsidP="007452E8">
          <w:pPr>
            <w:pStyle w:val="Footer"/>
          </w:pPr>
          <w:r w:rsidRPr="00257138">
            <w:t>Document title</w:t>
          </w:r>
        </w:p>
      </w:tc>
      <w:tc>
        <w:tcPr>
          <w:tcW w:w="4360" w:type="dxa"/>
          <w:tcBorders>
            <w:top w:val="single" w:sz="4" w:space="0" w:color="auto"/>
          </w:tcBorders>
        </w:tcPr>
        <w:sdt>
          <w:sdtPr>
            <w:id w:val="1087729233"/>
            <w:docPartObj>
              <w:docPartGallery w:val="Page Numbers (Top of Page)"/>
              <w:docPartUnique/>
            </w:docPartObj>
          </w:sdtPr>
          <w:sdtEndPr/>
          <w:sdtContent>
            <w:p w14:paraId="606A08BF" w14:textId="77777777" w:rsidR="007452E8" w:rsidRDefault="007452E8" w:rsidP="007452E8">
              <w:pPr>
                <w:pStyle w:val="Footer"/>
                <w:jc w:val="right"/>
              </w:pPr>
            </w:p>
            <w:p w14:paraId="5EDE6DF6" w14:textId="77777777" w:rsidR="007452E8" w:rsidRPr="00257138" w:rsidRDefault="007452E8" w:rsidP="007452E8">
              <w:pPr>
                <w:pStyle w:val="Footer"/>
                <w:jc w:val="right"/>
              </w:pPr>
              <w:r w:rsidRPr="00257138">
                <w:t xml:space="preserve">Page </w:t>
              </w:r>
              <w:r>
                <w:fldChar w:fldCharType="begin"/>
              </w:r>
              <w:r>
                <w:instrText xml:space="preserve"> PAGE </w:instrText>
              </w:r>
              <w:r>
                <w:fldChar w:fldCharType="separate"/>
              </w:r>
              <w:r>
                <w:rPr>
                  <w:noProof/>
                </w:rPr>
                <w:t>2</w:t>
              </w:r>
              <w:r>
                <w:rPr>
                  <w:noProof/>
                </w:rPr>
                <w:fldChar w:fldCharType="end"/>
              </w:r>
              <w:r w:rsidRPr="00257138">
                <w:t xml:space="preserve"> of </w:t>
              </w:r>
              <w:r w:rsidR="007F1E37">
                <w:fldChar w:fldCharType="begin"/>
              </w:r>
              <w:r w:rsidR="007F1E37">
                <w:instrText xml:space="preserve"> NUMPAGES  </w:instrText>
              </w:r>
              <w:r w:rsidR="007F1E37">
                <w:fldChar w:fldCharType="separate"/>
              </w:r>
              <w:r>
                <w:rPr>
                  <w:noProof/>
                </w:rPr>
                <w:t>2</w:t>
              </w:r>
              <w:r w:rsidR="007F1E37">
                <w:rPr>
                  <w:noProof/>
                </w:rPr>
                <w:fldChar w:fldCharType="end"/>
              </w:r>
            </w:p>
          </w:sdtContent>
        </w:sdt>
      </w:tc>
    </w:tr>
    <w:tr w:rsidR="007452E8" w:rsidRPr="00257138" w14:paraId="280F09C8" w14:textId="77777777" w:rsidTr="007452E8">
      <w:trPr>
        <w:trHeight w:val="263"/>
      </w:trPr>
      <w:tc>
        <w:tcPr>
          <w:tcW w:w="4360" w:type="dxa"/>
        </w:tcPr>
        <w:p w14:paraId="673F06D3" w14:textId="77777777" w:rsidR="007452E8" w:rsidRPr="00257138" w:rsidRDefault="007452E8" w:rsidP="007452E8">
          <w:pPr>
            <w:pStyle w:val="Footer"/>
          </w:pPr>
          <w:r w:rsidRPr="00257138">
            <w:t xml:space="preserve">V1.0 </w:t>
          </w:r>
          <w:r>
            <w:t>Month</w:t>
          </w:r>
          <w:r w:rsidRPr="00257138">
            <w:t xml:space="preserve"> 201</w:t>
          </w:r>
          <w:r>
            <w:t>2</w:t>
          </w:r>
        </w:p>
      </w:tc>
      <w:tc>
        <w:tcPr>
          <w:tcW w:w="4360" w:type="dxa"/>
        </w:tcPr>
        <w:p w14:paraId="77F5B433" w14:textId="77777777" w:rsidR="007452E8" w:rsidRPr="00257138" w:rsidRDefault="007452E8" w:rsidP="007452E8">
          <w:pPr>
            <w:pStyle w:val="Footer"/>
            <w:jc w:val="right"/>
          </w:pPr>
        </w:p>
      </w:tc>
    </w:tr>
  </w:tbl>
  <w:p w14:paraId="63F6FDDE" w14:textId="77777777" w:rsidR="007452E8" w:rsidRPr="00826007" w:rsidRDefault="007452E8" w:rsidP="007452E8">
    <w:pPr>
      <w:pStyle w:val="Footer"/>
      <w:tabs>
        <w:tab w:val="left" w:pos="7620"/>
        <w:tab w:val="right" w:pos="8504"/>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DAA29C" w14:textId="048471A7" w:rsidR="007452E8" w:rsidRDefault="00BF2B38" w:rsidP="007452E8">
    <w:pPr>
      <w:pStyle w:val="Footer"/>
      <w:ind w:left="-1701"/>
    </w:pPr>
    <w:r>
      <w:rPr>
        <w:noProof/>
      </w:rPr>
      <mc:AlternateContent>
        <mc:Choice Requires="wps">
          <w:drawing>
            <wp:anchor distT="0" distB="0" distL="0" distR="0" simplePos="0" relativeHeight="251666432" behindDoc="0" locked="0" layoutInCell="1" allowOverlap="1" wp14:anchorId="6808CE8F" wp14:editId="322D43ED">
              <wp:simplePos x="635" y="635"/>
              <wp:positionH relativeFrom="page">
                <wp:align>center</wp:align>
              </wp:positionH>
              <wp:positionV relativeFrom="page">
                <wp:align>bottom</wp:align>
              </wp:positionV>
              <wp:extent cx="622300" cy="391160"/>
              <wp:effectExtent l="0" t="0" r="6350" b="0"/>
              <wp:wrapNone/>
              <wp:docPr id="1218672396"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91160"/>
                      </a:xfrm>
                      <a:prstGeom prst="rect">
                        <a:avLst/>
                      </a:prstGeom>
                      <a:noFill/>
                      <a:ln>
                        <a:noFill/>
                      </a:ln>
                    </wps:spPr>
                    <wps:txbx>
                      <w:txbxContent>
                        <w:p w14:paraId="5FF00B65" w14:textId="16F21083" w:rsidR="00BF2B38" w:rsidRPr="00BF2B38" w:rsidRDefault="00BF2B38" w:rsidP="00BF2B38">
                          <w:pPr>
                            <w:spacing w:after="0"/>
                            <w:rPr>
                              <w:rFonts w:ascii="Aptos" w:eastAsia="Aptos" w:hAnsi="Aptos" w:cs="Aptos"/>
                              <w:noProof/>
                              <w:color w:val="FF0000"/>
                              <w:sz w:val="24"/>
                              <w:szCs w:val="24"/>
                            </w:rPr>
                          </w:pPr>
                          <w:r w:rsidRPr="00BF2B38">
                            <w:rPr>
                              <w:rFonts w:ascii="Aptos" w:eastAsia="Aptos" w:hAnsi="Aptos" w:cs="Aptos"/>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808CE8F" id="_x0000_t202" coordsize="21600,21600" o:spt="202" path="m,l,21600r21600,l21600,xe">
              <v:stroke joinstyle="miter"/>
              <v:path gradientshapeok="t" o:connecttype="rect"/>
            </v:shapetype>
            <v:shape id="Text Box 6" o:spid="_x0000_s1031" type="#_x0000_t202" alt="OFFICIAL" style="position:absolute;left:0;text-align:left;margin-left:0;margin-top:0;width:49pt;height:30.8pt;z-index:25166643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" filled="f" stroked="f">
              <v:textbox style="mso-fit-shape-to-text:t" inset="0,0,0,15pt">
                <w:txbxContent>
                  <w:p w14:paraId="5FF00B65" w14:textId="16F21083" w:rsidR="00BF2B38" w:rsidRPr="00BF2B38" w:rsidRDefault="00BF2B38" w:rsidP="00BF2B38">
                    <w:pPr>
                      <w:spacing w:after="0"/>
                      <w:rPr>
                        <w:rFonts w:ascii="Aptos" w:eastAsia="Aptos" w:hAnsi="Aptos" w:cs="Aptos"/>
                        <w:noProof/>
                        <w:color w:val="FF0000"/>
                        <w:sz w:val="24"/>
                        <w:szCs w:val="24"/>
                      </w:rPr>
                    </w:pPr>
                    <w:r w:rsidRPr="00BF2B38">
                      <w:rPr>
                        <w:rFonts w:ascii="Aptos" w:eastAsia="Aptos" w:hAnsi="Aptos" w:cs="Aptos"/>
                        <w:noProof/>
                        <w:color w:val="FF0000"/>
                        <w:sz w:val="24"/>
                        <w:szCs w:val="24"/>
                      </w:rPr>
                      <w:t>OFFICIAL</w:t>
                    </w:r>
                  </w:p>
                </w:txbxContent>
              </v:textbox>
              <w10:wrap anchorx="page" anchory="page"/>
            </v:shape>
          </w:pict>
        </mc:Fallback>
      </mc:AlternateContent>
    </w:r>
    <w:r w:rsidR="007452E8" w:rsidRPr="002B29B2">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5" w:type="dxa"/>
      </w:tblCellMar>
      <w:tblLook w:val="04A0" w:firstRow="1" w:lastRow="0" w:firstColumn="1" w:lastColumn="0" w:noHBand="0" w:noVBand="1"/>
    </w:tblPr>
    <w:tblGrid>
      <w:gridCol w:w="7338"/>
      <w:gridCol w:w="1734"/>
    </w:tblGrid>
    <w:tr w:rsidR="007452E8" w:rsidRPr="004A3084" w14:paraId="6266BC33" w14:textId="77777777" w:rsidTr="007452E8">
      <w:trPr>
        <w:trHeight w:val="423"/>
      </w:trPr>
      <w:tc>
        <w:tcPr>
          <w:tcW w:w="7338" w:type="dxa"/>
          <w:tcBorders>
            <w:top w:val="single" w:sz="4" w:space="0" w:color="auto"/>
          </w:tcBorders>
        </w:tcPr>
        <w:p w14:paraId="3C421323" w14:textId="4E3A58B5" w:rsidR="007452E8" w:rsidRPr="004A3084" w:rsidRDefault="00BF2B38" w:rsidP="007452E8">
          <w:pPr>
            <w:pStyle w:val="Footer"/>
          </w:pPr>
          <w:r>
            <w:rPr>
              <w:noProof/>
            </w:rPr>
            <mc:AlternateContent>
              <mc:Choice Requires="wps">
                <w:drawing>
                  <wp:anchor distT="0" distB="0" distL="0" distR="0" simplePos="0" relativeHeight="251669504" behindDoc="0" locked="0" layoutInCell="1" allowOverlap="1" wp14:anchorId="4F21F58F" wp14:editId="1EBC8C4A">
                    <wp:simplePos x="0" y="0"/>
                    <wp:positionH relativeFrom="page">
                      <wp:posOffset>2556179</wp:posOffset>
                    </wp:positionH>
                    <wp:positionV relativeFrom="page">
                      <wp:posOffset>182880</wp:posOffset>
                    </wp:positionV>
                    <wp:extent cx="622300" cy="391160"/>
                    <wp:effectExtent l="0" t="0" r="6350" b="0"/>
                    <wp:wrapNone/>
                    <wp:docPr id="276135792" name="Text Box 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91160"/>
                            </a:xfrm>
                            <a:prstGeom prst="rect">
                              <a:avLst/>
                            </a:prstGeom>
                            <a:noFill/>
                            <a:ln>
                              <a:noFill/>
                            </a:ln>
                          </wps:spPr>
                          <wps:txbx>
                            <w:txbxContent>
                              <w:p w14:paraId="05BDF5FE" w14:textId="6392B1F1" w:rsidR="00BF2B38" w:rsidRPr="00BF2B38" w:rsidRDefault="00BF2B38" w:rsidP="00BF2B38">
                                <w:pPr>
                                  <w:spacing w:after="0"/>
                                  <w:rPr>
                                    <w:rFonts w:ascii="Aptos" w:eastAsia="Aptos" w:hAnsi="Aptos" w:cs="Aptos"/>
                                    <w:noProof/>
                                    <w:color w:val="FF0000"/>
                                    <w:sz w:val="24"/>
                                    <w:szCs w:val="24"/>
                                  </w:rPr>
                                </w:pPr>
                                <w:r w:rsidRPr="00BF2B38">
                                  <w:rPr>
                                    <w:rFonts w:ascii="Aptos" w:eastAsia="Aptos" w:hAnsi="Aptos" w:cs="Aptos"/>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F21F58F" id="_x0000_t202" coordsize="21600,21600" o:spt="202" path="m,l,21600r21600,l21600,xe">
                    <v:stroke joinstyle="miter"/>
                    <v:path gradientshapeok="t" o:connecttype="rect"/>
                  </v:shapetype>
                  <v:shape id="Text Box 9" o:spid="_x0000_s1033" type="#_x0000_t202" alt="OFFICIAL" style="position:absolute;margin-left:201.25pt;margin-top:14.4pt;width:49pt;height:30.8pt;z-index:251669504;visibility:visible;mso-wrap-style:none;mso-wrap-distance-left:0;mso-wrap-distance-top:0;mso-wrap-distance-right:0;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" filled="f" stroked="f">
                    <v:textbox style="mso-fit-shape-to-text:t" inset="0,0,0,15pt">
                      <w:txbxContent>
                        <w:p w14:paraId="05BDF5FE" w14:textId="6392B1F1" w:rsidR="00BF2B38" w:rsidRPr="00BF2B38" w:rsidRDefault="00BF2B38" w:rsidP="00BF2B38">
                          <w:pPr>
                            <w:spacing w:after="0"/>
                            <w:rPr>
                              <w:rFonts w:ascii="Aptos" w:eastAsia="Aptos" w:hAnsi="Aptos" w:cs="Aptos"/>
                              <w:noProof/>
                              <w:color w:val="FF0000"/>
                              <w:sz w:val="24"/>
                              <w:szCs w:val="24"/>
                            </w:rPr>
                          </w:pPr>
                          <w:r w:rsidRPr="00BF2B38">
                            <w:rPr>
                              <w:rFonts w:ascii="Aptos" w:eastAsia="Aptos" w:hAnsi="Aptos" w:cs="Aptos"/>
                              <w:noProof/>
                              <w:color w:val="FF0000"/>
                              <w:sz w:val="24"/>
                              <w:szCs w:val="24"/>
                            </w:rPr>
                            <w:t>OFFICIAL</w:t>
                          </w:r>
                        </w:p>
                      </w:txbxContent>
                    </v:textbox>
                    <w10:wrap anchorx="page" anchory="page"/>
                  </v:shape>
                </w:pict>
              </mc:Fallback>
            </mc:AlternateContent>
          </w:r>
          <w:r w:rsidR="007452E8" w:rsidRPr="00487162">
            <w:t>AusPA</w:t>
          </w:r>
          <w:r w:rsidR="007452E8">
            <w:t xml:space="preserve">R - </w:t>
          </w:r>
          <w:r w:rsidRPr="00BF2B38">
            <w:t xml:space="preserve">LUTATHERA </w:t>
          </w:r>
          <w:r w:rsidR="007452E8">
            <w:t>-</w:t>
          </w:r>
          <w:r w:rsidR="007452E8" w:rsidRPr="00460036">
            <w:t xml:space="preserve"> </w:t>
          </w:r>
          <w:r w:rsidRPr="00BF2B38">
            <w:t>lutetium (</w:t>
          </w:r>
          <w:r w:rsidR="00544537" w:rsidRPr="00544537">
            <w:rPr>
              <w:vertAlign w:val="superscript"/>
            </w:rPr>
            <w:t>177</w:t>
          </w:r>
          <w:r w:rsidRPr="00BF2B38">
            <w:t xml:space="preserve">Lu) oxodotreotide </w:t>
          </w:r>
          <w:r w:rsidR="008C754C">
            <w:t>-</w:t>
          </w:r>
          <w:r w:rsidR="007452E8">
            <w:t xml:space="preserve"> </w:t>
          </w:r>
          <w:r w:rsidRPr="00BF2B38">
            <w:t>Novartis Pharmaceuticals Australia Pty Ltd</w:t>
          </w:r>
          <w:r>
            <w:t xml:space="preserve"> </w:t>
          </w:r>
          <w:r w:rsidR="007452E8">
            <w:t xml:space="preserve">- </w:t>
          </w:r>
          <w:r w:rsidRPr="00BF2B38">
            <w:t>PM-2024-02583-1-6</w:t>
          </w:r>
          <w:r w:rsidR="007452E8">
            <w:br/>
          </w:r>
          <w:r w:rsidR="007452E8" w:rsidRPr="00544537">
            <w:t>Date of Finalisation</w:t>
          </w:r>
          <w:r w:rsidR="00544537" w:rsidRPr="00544537">
            <w:t xml:space="preserve"> 2 March 2026</w:t>
          </w:r>
        </w:p>
      </w:tc>
      <w:tc>
        <w:tcPr>
          <w:tcW w:w="1734" w:type="dxa"/>
          <w:tcBorders>
            <w:top w:val="single" w:sz="4" w:space="0" w:color="auto"/>
          </w:tcBorders>
        </w:tcPr>
        <w:sdt>
          <w:sdtPr>
            <w:id w:val="11571659"/>
            <w:docPartObj>
              <w:docPartGallery w:val="Page Numbers (Top of Page)"/>
              <w:docPartUnique/>
            </w:docPartObj>
          </w:sdtPr>
          <w:sdtEndPr/>
          <w:sdtContent>
            <w:p w14:paraId="4DE4ED0C" w14:textId="29F65FFD" w:rsidR="007452E8" w:rsidRPr="004A3084" w:rsidRDefault="007452E8" w:rsidP="007452E8">
              <w:pPr>
                <w:pStyle w:val="Footer"/>
                <w:jc w:val="right"/>
              </w:pPr>
              <w:r w:rsidRPr="004A3084">
                <w:t xml:space="preserve">Page </w:t>
              </w:r>
              <w:r>
                <w:fldChar w:fldCharType="begin"/>
              </w:r>
              <w:r>
                <w:instrText xml:space="preserve"> PAGE </w:instrText>
              </w:r>
              <w:r>
                <w:fldChar w:fldCharType="separate"/>
              </w:r>
              <w:r w:rsidR="006D6B44">
                <w:rPr>
                  <w:noProof/>
                </w:rPr>
                <w:t>13</w:t>
              </w:r>
              <w:r>
                <w:rPr>
                  <w:noProof/>
                </w:rPr>
                <w:fldChar w:fldCharType="end"/>
              </w:r>
              <w:r w:rsidRPr="004A3084">
                <w:t xml:space="preserve"> of </w:t>
              </w:r>
              <w:r w:rsidR="007F1E37">
                <w:fldChar w:fldCharType="begin"/>
              </w:r>
              <w:r w:rsidR="007F1E37">
                <w:instrText xml:space="preserve"> NUMPAGES  </w:instrText>
              </w:r>
              <w:r w:rsidR="007F1E37">
                <w:fldChar w:fldCharType="separate"/>
              </w:r>
              <w:r w:rsidR="006D6B44">
                <w:rPr>
                  <w:noProof/>
                </w:rPr>
                <w:t>17</w:t>
              </w:r>
              <w:r w:rsidR="007F1E37">
                <w:rPr>
                  <w:noProof/>
                </w:rPr>
                <w:fldChar w:fldCharType="end"/>
              </w:r>
            </w:p>
          </w:sdtContent>
        </w:sdt>
      </w:tc>
    </w:tr>
  </w:tbl>
  <w:p w14:paraId="1A4EDE60" w14:textId="77777777" w:rsidR="007452E8" w:rsidRPr="00826007" w:rsidRDefault="007452E8" w:rsidP="007452E8">
    <w:pPr>
      <w:pStyle w:val="Footer"/>
      <w:tabs>
        <w:tab w:val="left" w:pos="7620"/>
        <w:tab w:val="right" w:pos="8504"/>
      </w:tabs>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93F70A" w14:textId="154B9BD0" w:rsidR="007452E8" w:rsidRPr="008E3C43" w:rsidRDefault="00BF2B38" w:rsidP="007452E8">
    <w:pPr>
      <w:pStyle w:val="Footer"/>
    </w:pPr>
    <w:r>
      <w:rPr>
        <w:noProof/>
      </w:rPr>
      <mc:AlternateContent>
        <mc:Choice Requires="wps">
          <w:drawing>
            <wp:anchor distT="0" distB="0" distL="0" distR="0" simplePos="0" relativeHeight="251670528" behindDoc="0" locked="0" layoutInCell="1" allowOverlap="1" wp14:anchorId="10A53B4E" wp14:editId="09BAC67E">
              <wp:simplePos x="635" y="635"/>
              <wp:positionH relativeFrom="page">
                <wp:align>center</wp:align>
              </wp:positionH>
              <wp:positionV relativeFrom="page">
                <wp:align>bottom</wp:align>
              </wp:positionV>
              <wp:extent cx="622300" cy="391160"/>
              <wp:effectExtent l="0" t="0" r="6350" b="0"/>
              <wp:wrapNone/>
              <wp:docPr id="402282855" name="Text Box 1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91160"/>
                      </a:xfrm>
                      <a:prstGeom prst="rect">
                        <a:avLst/>
                      </a:prstGeom>
                      <a:noFill/>
                      <a:ln>
                        <a:noFill/>
                      </a:ln>
                    </wps:spPr>
                    <wps:txbx>
                      <w:txbxContent>
                        <w:p w14:paraId="676065AF" w14:textId="7829D32C" w:rsidR="00BF2B38" w:rsidRPr="00BF2B38" w:rsidRDefault="00BF2B38" w:rsidP="00BF2B38">
                          <w:pPr>
                            <w:spacing w:after="0"/>
                            <w:rPr>
                              <w:rFonts w:ascii="Aptos" w:eastAsia="Aptos" w:hAnsi="Aptos" w:cs="Aptos"/>
                              <w:noProof/>
                              <w:color w:val="FF0000"/>
                              <w:sz w:val="24"/>
                              <w:szCs w:val="24"/>
                            </w:rPr>
                          </w:pPr>
                          <w:r w:rsidRPr="00BF2B38">
                            <w:rPr>
                              <w:rFonts w:ascii="Aptos" w:eastAsia="Aptos" w:hAnsi="Aptos" w:cs="Aptos"/>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0A53B4E" id="_x0000_t202" coordsize="21600,21600" o:spt="202" path="m,l,21600r21600,l21600,xe">
              <v:stroke joinstyle="miter"/>
              <v:path gradientshapeok="t" o:connecttype="rect"/>
            </v:shapetype>
            <v:shape id="Text Box 10" o:spid="_x0000_s1035" type="#_x0000_t202" alt="OFFICIAL" style="position:absolute;margin-left:0;margin-top:0;width:49pt;height:30.8pt;z-index:25167052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" filled="f" stroked="f">
              <v:textbox style="mso-fit-shape-to-text:t" inset="0,0,0,15pt">
                <w:txbxContent>
                  <w:p w14:paraId="676065AF" w14:textId="7829D32C" w:rsidR="00BF2B38" w:rsidRPr="00BF2B38" w:rsidRDefault="00BF2B38" w:rsidP="00BF2B38">
                    <w:pPr>
                      <w:spacing w:after="0"/>
                      <w:rPr>
                        <w:rFonts w:ascii="Aptos" w:eastAsia="Aptos" w:hAnsi="Aptos" w:cs="Aptos"/>
                        <w:noProof/>
                        <w:color w:val="FF0000"/>
                        <w:sz w:val="24"/>
                        <w:szCs w:val="24"/>
                      </w:rPr>
                    </w:pPr>
                    <w:r w:rsidRPr="00BF2B38">
                      <w:rPr>
                        <w:rFonts w:ascii="Aptos" w:eastAsia="Aptos" w:hAnsi="Aptos" w:cs="Aptos"/>
                        <w:noProof/>
                        <w:color w:val="FF0000"/>
                        <w:sz w:val="24"/>
                        <w:szCs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1BF6D6" w14:textId="77777777" w:rsidR="00C06B8C" w:rsidRDefault="00C06B8C" w:rsidP="00F02AEC">
      <w:pPr>
        <w:spacing w:after="0" w:line="240" w:lineRule="auto"/>
      </w:pPr>
      <w:r>
        <w:separator/>
      </w:r>
    </w:p>
  </w:footnote>
  <w:footnote w:type="continuationSeparator" w:id="0">
    <w:p w14:paraId="3E44A6AA" w14:textId="77777777" w:rsidR="00C06B8C" w:rsidRDefault="00C06B8C" w:rsidP="00F02AEC">
      <w:pPr>
        <w:spacing w:after="0" w:line="240" w:lineRule="auto"/>
      </w:pPr>
      <w:r>
        <w:continuationSeparator/>
      </w:r>
    </w:p>
  </w:footnote>
  <w:footnote w:id="1">
    <w:p w14:paraId="68402A9B" w14:textId="42E6F8E0" w:rsidR="007452E8" w:rsidRPr="00A93DC6" w:rsidRDefault="007452E8">
      <w:pPr>
        <w:pStyle w:val="FootnoteText"/>
        <w:rPr>
          <w:lang w:val="en-GB"/>
        </w:rPr>
      </w:pPr>
      <w:r>
        <w:rPr>
          <w:rStyle w:val="FootnoteReference"/>
        </w:rPr>
        <w:footnoteRef/>
      </w:r>
      <w:r>
        <w:t xml:space="preserve"> </w:t>
      </w:r>
      <w:r w:rsidR="00FB236E">
        <w:t>This is the original indication proposed by the sponsor</w:t>
      </w:r>
      <w:r w:rsidR="00FB236E">
        <w:rPr>
          <w:lang w:val="en-GB"/>
        </w:rPr>
        <w:t xml:space="preserve"> when the TGA commenced the evaluation of this submission. It </w:t>
      </w:r>
      <w:r w:rsidRPr="007452E8">
        <w:rPr>
          <w:lang w:val="en-GB"/>
        </w:rPr>
        <w:t xml:space="preserve">may </w:t>
      </w:r>
      <w:r w:rsidR="00FB236E">
        <w:rPr>
          <w:lang w:val="en-GB"/>
        </w:rPr>
        <w:t>differ</w:t>
      </w:r>
      <w:r w:rsidRPr="007452E8">
        <w:rPr>
          <w:lang w:val="en-GB"/>
        </w:rPr>
        <w:t xml:space="preserve"> to the final indication approved by th</w:t>
      </w:r>
      <w:r w:rsidR="00FB236E">
        <w:rPr>
          <w:lang w:val="en-GB"/>
        </w:rPr>
        <w:t xml:space="preserve">e TGA and registered </w:t>
      </w:r>
      <w:r w:rsidR="005C4B46">
        <w:rPr>
          <w:lang w:val="en-GB"/>
        </w:rPr>
        <w:t xml:space="preserve">in </w:t>
      </w:r>
      <w:r w:rsidR="00FB236E">
        <w:rPr>
          <w:lang w:val="en-GB"/>
        </w:rPr>
        <w:t>the Australian Register of Therapeutic Goods.</w:t>
      </w:r>
    </w:p>
  </w:footnote>
  <w:footnote w:id="2">
    <w:p w14:paraId="2FD9EEFB" w14:textId="30CCBC12" w:rsidR="0085386A" w:rsidRDefault="0085386A">
      <w:pPr>
        <w:pStyle w:val="FootnoteText"/>
      </w:pPr>
      <w:r>
        <w:rPr>
          <w:rStyle w:val="FootnoteReference"/>
        </w:rPr>
        <w:footnoteRef/>
      </w:r>
      <w:r>
        <w:t xml:space="preserve"> </w:t>
      </w:r>
      <w:r w:rsidRPr="0085386A">
        <w:t>Sedlack AJH, Varghese DG, Naimian A, et al Update in the management of gastroenteropancreatic neuroendocrine tumours Cancer 2024: 130(18): 3090-3105</w:t>
      </w:r>
    </w:p>
  </w:footnote>
  <w:footnote w:id="3">
    <w:p w14:paraId="023303B8" w14:textId="54F04314" w:rsidR="00A87A41" w:rsidRDefault="00A87A41">
      <w:pPr>
        <w:pStyle w:val="FootnoteText"/>
      </w:pPr>
      <w:r>
        <w:rPr>
          <w:rStyle w:val="FootnoteReference"/>
        </w:rPr>
        <w:footnoteRef/>
      </w:r>
      <w:r>
        <w:t xml:space="preserve"> </w:t>
      </w:r>
      <w:r w:rsidRPr="00A87A41">
        <w:t>Díez M, Teulé A, Salazar R. Gastroenteropancreatic neuroendocrine tumors: diagnosis and treatment. Ann Gastroenterol. 2013;26(1):29-36. PMID: 24714698; PMCID: PMC3959515.</w:t>
      </w:r>
    </w:p>
  </w:footnote>
  <w:footnote w:id="4">
    <w:p w14:paraId="7B33804E" w14:textId="10E4C55B" w:rsidR="00842B30" w:rsidRDefault="00842B30">
      <w:pPr>
        <w:pStyle w:val="FootnoteText"/>
      </w:pPr>
      <w:r>
        <w:rPr>
          <w:rStyle w:val="FootnoteReference"/>
        </w:rPr>
        <w:footnoteRef/>
      </w:r>
      <w:r>
        <w:t xml:space="preserve"> </w:t>
      </w:r>
      <w:r w:rsidRPr="00842B30">
        <w:t>Pavel M, Oberg K, Falconi M, Krenning EP et al Gastroenteropancreatic neuroendocrine neoplasms: ESMO Clinical Practice Guidelines for diagnosis, treatment and follow-up Ann Oncol 2020; 31 (7):844-860</w:t>
      </w:r>
    </w:p>
  </w:footnote>
  <w:footnote w:id="5">
    <w:p w14:paraId="77CC4C42" w14:textId="3BD409F6" w:rsidR="005A66B6" w:rsidRDefault="005A66B6">
      <w:pPr>
        <w:pStyle w:val="FootnoteText"/>
      </w:pPr>
      <w:r>
        <w:rPr>
          <w:rStyle w:val="FootnoteReference"/>
        </w:rPr>
        <w:footnoteRef/>
      </w:r>
      <w:r>
        <w:t xml:space="preserve"> </w:t>
      </w:r>
      <w:r w:rsidRPr="005A66B6">
        <w:t xml:space="preserve">National Comprehensive Cancer Network Guidelines Version 2.2025 Neuroendocrine and Adrenal Tumors </w:t>
      </w:r>
      <w:hyperlink r:id="rId1" w:history="1">
        <w:r w:rsidRPr="005A66B6">
          <w:rPr>
            <w:rStyle w:val="Hyperlink"/>
          </w:rPr>
          <w:t>neuroendocrine.pdf</w:t>
        </w:r>
      </w:hyperlink>
      <w:r w:rsidRPr="005A66B6">
        <w:t>, last accessed 14 September 2025.</w:t>
      </w:r>
    </w:p>
  </w:footnote>
  <w:footnote w:id="6">
    <w:p w14:paraId="0741A2D1" w14:textId="0173B917" w:rsidR="008C3F98" w:rsidRDefault="008C3F98">
      <w:pPr>
        <w:pStyle w:val="FootnoteText"/>
      </w:pPr>
      <w:r>
        <w:rPr>
          <w:rStyle w:val="FootnoteReference"/>
        </w:rPr>
        <w:footnoteRef/>
      </w:r>
      <w:r>
        <w:t xml:space="preserve"> </w:t>
      </w:r>
      <w:r w:rsidRPr="008C3F98">
        <w:t>Del Rivero J, Perez K, Kennedy EB, Mittra ES et al Systemic Therapy for Tumour Control in Metastatic Well-Differentiated Gastroenteropancreatic Neuroendocrine Tumours: ASCO Guideline J Clin Oncol 2023; 41(32): 5049 - 5067</w:t>
      </w:r>
    </w:p>
  </w:footnote>
  <w:footnote w:id="7">
    <w:p w14:paraId="6556F597" w14:textId="74E34D72" w:rsidR="00C15BAD" w:rsidRDefault="00C15BAD">
      <w:pPr>
        <w:pStyle w:val="FootnoteText"/>
      </w:pPr>
      <w:r>
        <w:rPr>
          <w:rStyle w:val="FootnoteReference"/>
        </w:rPr>
        <w:footnoteRef/>
      </w:r>
      <w:r>
        <w:t xml:space="preserve"> </w:t>
      </w:r>
      <w:r w:rsidRPr="00C15BAD">
        <w:t xml:space="preserve">International Conference on Harmonisation of Technical Requirements for Registration of Pharmaceuticals for Human Use. </w:t>
      </w:r>
      <w:hyperlink r:id="rId2" w:history="1">
        <w:r w:rsidRPr="00C15BAD">
          <w:rPr>
            <w:rStyle w:val="Hyperlink"/>
          </w:rPr>
          <w:t xml:space="preserve">ICH S9 </w:t>
        </w:r>
        <w:r w:rsidRPr="00C15BAD">
          <w:rPr>
            <w:rStyle w:val="Hyperlink"/>
          </w:rPr>
          <w:t>Non-clinical evaluation for anticancer pharmaceuticals - Scientific guideline</w:t>
        </w:r>
      </w:hyperlink>
      <w:r w:rsidRPr="00C15BAD">
        <w:t>. 2013.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E528C2" w14:textId="63FE2C0A" w:rsidR="00BF2B38" w:rsidRDefault="00BF2B38">
    <w:pPr>
      <w:pStyle w:val="Header"/>
    </w:pPr>
    <w:r>
      <w:rPr>
        <w:noProof/>
      </w:rPr>
      <mc:AlternateContent>
        <mc:Choice Requires="wps">
          <w:drawing>
            <wp:anchor distT="0" distB="0" distL="0" distR="0" simplePos="0" relativeHeight="251662336" behindDoc="0" locked="0" layoutInCell="1" allowOverlap="1" wp14:anchorId="28EC5AB8" wp14:editId="4E3A29AC">
              <wp:simplePos x="635" y="635"/>
              <wp:positionH relativeFrom="page">
                <wp:align>center</wp:align>
              </wp:positionH>
              <wp:positionV relativeFrom="page">
                <wp:align>top</wp:align>
              </wp:positionV>
              <wp:extent cx="622300" cy="391160"/>
              <wp:effectExtent l="0" t="0" r="6350" b="8890"/>
              <wp:wrapNone/>
              <wp:docPr id="2044530432"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91160"/>
                      </a:xfrm>
                      <a:prstGeom prst="rect">
                        <a:avLst/>
                      </a:prstGeom>
                      <a:noFill/>
                      <a:ln>
                        <a:noFill/>
                      </a:ln>
                    </wps:spPr>
                    <wps:txbx>
                      <w:txbxContent>
                        <w:p w14:paraId="333FA66E" w14:textId="2BE09856" w:rsidR="00BF2B38" w:rsidRPr="00BF2B38" w:rsidRDefault="00BF2B38" w:rsidP="00BF2B38">
                          <w:pPr>
                            <w:spacing w:after="0"/>
                            <w:rPr>
                              <w:rFonts w:ascii="Aptos" w:eastAsia="Aptos" w:hAnsi="Aptos" w:cs="Aptos"/>
                              <w:noProof/>
                              <w:color w:val="FF0000"/>
                              <w:sz w:val="24"/>
                              <w:szCs w:val="24"/>
                            </w:rPr>
                          </w:pPr>
                          <w:r w:rsidRPr="00BF2B38">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8EC5AB8" id="_x0000_t202" coordsize="21600,21600" o:spt="202" path="m,l,21600r21600,l21600,xe">
              <v:stroke joinstyle="miter"/>
              <v:path gradientshapeok="t" o:connecttype="rect"/>
            </v:shapetype>
            <v:shape id="Text Box 2" o:spid="_x0000_s1026" type="#_x0000_t202" alt="OFFICIAL" style="position:absolute;left:0;text-align:left;margin-left:0;margin-top:0;width:49pt;height:30.8pt;z-index:25166233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" filled="f" stroked="f">
              <v:textbox style="mso-fit-shape-to-text:t" inset="0,15pt,0,0">
                <w:txbxContent>
                  <w:p w14:paraId="333FA66E" w14:textId="2BE09856" w:rsidR="00BF2B38" w:rsidRPr="00BF2B38" w:rsidRDefault="00BF2B38" w:rsidP="00BF2B38">
                    <w:pPr>
                      <w:spacing w:after="0"/>
                      <w:rPr>
                        <w:rFonts w:ascii="Aptos" w:eastAsia="Aptos" w:hAnsi="Aptos" w:cs="Aptos"/>
                        <w:noProof/>
                        <w:color w:val="FF0000"/>
                        <w:sz w:val="24"/>
                        <w:szCs w:val="24"/>
                      </w:rPr>
                    </w:pPr>
                    <w:r w:rsidRPr="00BF2B38">
                      <w:rPr>
                        <w:rFonts w:ascii="Aptos" w:eastAsia="Aptos" w:hAnsi="Aptos" w:cs="Aptos"/>
                        <w:noProof/>
                        <w:color w:val="FF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5E3517" w14:textId="2974146F" w:rsidR="007452E8" w:rsidRPr="00CB0550" w:rsidRDefault="00BF2B38" w:rsidP="00CB0550">
    <w:pPr>
      <w:pStyle w:val="Header"/>
      <w:jc w:val="left"/>
    </w:pPr>
    <w:r>
      <w:rPr>
        <w:noProof/>
      </w:rPr>
      <mc:AlternateContent>
        <mc:Choice Requires="wps">
          <w:drawing>
            <wp:anchor distT="0" distB="0" distL="0" distR="0" simplePos="0" relativeHeight="251663360" behindDoc="0" locked="0" layoutInCell="1" allowOverlap="1" wp14:anchorId="6540B658" wp14:editId="07039F7A">
              <wp:simplePos x="635" y="635"/>
              <wp:positionH relativeFrom="page">
                <wp:align>center</wp:align>
              </wp:positionH>
              <wp:positionV relativeFrom="page">
                <wp:align>top</wp:align>
              </wp:positionV>
              <wp:extent cx="622300" cy="391160"/>
              <wp:effectExtent l="0" t="0" r="6350" b="8890"/>
              <wp:wrapNone/>
              <wp:docPr id="1956735462"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91160"/>
                      </a:xfrm>
                      <a:prstGeom prst="rect">
                        <a:avLst/>
                      </a:prstGeom>
                      <a:noFill/>
                      <a:ln>
                        <a:noFill/>
                      </a:ln>
                    </wps:spPr>
                    <wps:txbx>
                      <w:txbxContent>
                        <w:p w14:paraId="1122C203" w14:textId="7D79A163" w:rsidR="00BF2B38" w:rsidRPr="00BF2B38" w:rsidRDefault="00BF2B38" w:rsidP="00BF2B38">
                          <w:pPr>
                            <w:spacing w:after="0"/>
                            <w:rPr>
                              <w:rFonts w:ascii="Aptos" w:eastAsia="Aptos" w:hAnsi="Aptos" w:cs="Aptos"/>
                              <w:noProof/>
                              <w:color w:val="FF0000"/>
                              <w:sz w:val="24"/>
                              <w:szCs w:val="24"/>
                            </w:rPr>
                          </w:pPr>
                          <w:r w:rsidRPr="00BF2B38">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540B658" id="_x0000_t202" coordsize="21600,21600" o:spt="202" path="m,l,21600r21600,l21600,xe">
              <v:stroke joinstyle="miter"/>
              <v:path gradientshapeok="t" o:connecttype="rect"/>
            </v:shapetype>
            <v:shape id="Text Box 3" o:spid="_x0000_s1027" type="#_x0000_t202" alt="OFFICIAL" style="position:absolute;margin-left:0;margin-top:0;width:49pt;height:30.8pt;z-index:25166336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" filled="f" stroked="f">
              <v:textbox style="mso-fit-shape-to-text:t" inset="0,15pt,0,0">
                <w:txbxContent>
                  <w:p w14:paraId="1122C203" w14:textId="7D79A163" w:rsidR="00BF2B38" w:rsidRPr="00BF2B38" w:rsidRDefault="00BF2B38" w:rsidP="00BF2B38">
                    <w:pPr>
                      <w:spacing w:after="0"/>
                      <w:rPr>
                        <w:rFonts w:ascii="Aptos" w:eastAsia="Aptos" w:hAnsi="Aptos" w:cs="Aptos"/>
                        <w:noProof/>
                        <w:color w:val="FF0000"/>
                        <w:sz w:val="24"/>
                        <w:szCs w:val="24"/>
                      </w:rPr>
                    </w:pPr>
                    <w:r w:rsidRPr="00BF2B38">
                      <w:rPr>
                        <w:rFonts w:ascii="Aptos" w:eastAsia="Aptos" w:hAnsi="Aptos" w:cs="Aptos"/>
                        <w:noProof/>
                        <w:color w:val="FF0000"/>
                        <w:sz w:val="24"/>
                        <w:szCs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pPr w:leftFromText="181" w:rightFromText="181" w:vertAnchor="page" w:horzAnchor="page" w:tblpX="1" w:tblpY="8999"/>
      <w:tblOverlap w:val="never"/>
      <w:tblW w:w="119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1964"/>
    </w:tblGrid>
    <w:tr w:rsidR="007452E8" w:rsidRPr="002B29B2" w14:paraId="3E15C3BC" w14:textId="77777777" w:rsidTr="007452E8">
      <w:trPr>
        <w:trHeight w:hRule="exact" w:val="8845"/>
      </w:trPr>
      <w:tc>
        <w:tcPr>
          <w:tcW w:w="11964" w:type="dxa"/>
          <w:vAlign w:val="center"/>
        </w:tcPr>
        <w:p w14:paraId="6FDE4BFB" w14:textId="29457E96" w:rsidR="007452E8" w:rsidRPr="002B29B2" w:rsidRDefault="00BF2B38" w:rsidP="007452E8">
          <w:pPr>
            <w:ind w:left="-57"/>
            <w:rPr>
              <w:noProof/>
            </w:rPr>
          </w:pPr>
          <w:r>
            <w:rPr>
              <w:noProof/>
            </w:rPr>
            <mc:AlternateContent>
              <mc:Choice Requires="wps">
                <w:drawing>
                  <wp:anchor distT="0" distB="0" distL="0" distR="0" simplePos="0" relativeHeight="251661312" behindDoc="0" locked="0" layoutInCell="1" allowOverlap="1" wp14:anchorId="6A160CFE" wp14:editId="502A47C5">
                    <wp:simplePos x="635" y="635"/>
                    <wp:positionH relativeFrom="page">
                      <wp:align>center</wp:align>
                    </wp:positionH>
                    <wp:positionV relativeFrom="page">
                      <wp:align>top</wp:align>
                    </wp:positionV>
                    <wp:extent cx="622300" cy="391160"/>
                    <wp:effectExtent l="0" t="0" r="6350" b="8890"/>
                    <wp:wrapNone/>
                    <wp:docPr id="2102363817"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91160"/>
                            </a:xfrm>
                            <a:prstGeom prst="rect">
                              <a:avLst/>
                            </a:prstGeom>
                            <a:noFill/>
                            <a:ln>
                              <a:noFill/>
                            </a:ln>
                          </wps:spPr>
                          <wps:txbx>
                            <w:txbxContent>
                              <w:p w14:paraId="122D633F" w14:textId="72452147" w:rsidR="00BF2B38" w:rsidRPr="00BF2B38" w:rsidRDefault="00BF2B38" w:rsidP="00BF2B38">
                                <w:pPr>
                                  <w:spacing w:after="0"/>
                                  <w:rPr>
                                    <w:rFonts w:ascii="Aptos" w:eastAsia="Aptos" w:hAnsi="Aptos" w:cs="Aptos"/>
                                    <w:noProof/>
                                    <w:color w:val="FF0000"/>
                                    <w:sz w:val="24"/>
                                    <w:szCs w:val="24"/>
                                  </w:rPr>
                                </w:pPr>
                                <w:r w:rsidRPr="00BF2B38">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A160CFE" id="_x0000_t202" coordsize="21600,21600" o:spt="202" path="m,l,21600r21600,l21600,xe">
                    <v:stroke joinstyle="miter"/>
                    <v:path gradientshapeok="t" o:connecttype="rect"/>
                  </v:shapetype>
                  <v:shape id="Text Box 1" o:spid="_x0000_s1030" type="#_x0000_t202" alt="OFFICIAL" style="position:absolute;left:0;text-align:left;margin-left:0;margin-top:0;width:49pt;height:30.8pt;z-index:25166131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" filled="f" stroked="f">
                    <v:textbox style="mso-fit-shape-to-text:t" inset="0,15pt,0,0">
                      <w:txbxContent>
                        <w:p w14:paraId="122D633F" w14:textId="72452147" w:rsidR="00BF2B38" w:rsidRPr="00BF2B38" w:rsidRDefault="00BF2B38" w:rsidP="00BF2B38">
                          <w:pPr>
                            <w:spacing w:after="0"/>
                            <w:rPr>
                              <w:rFonts w:ascii="Aptos" w:eastAsia="Aptos" w:hAnsi="Aptos" w:cs="Aptos"/>
                              <w:noProof/>
                              <w:color w:val="FF0000"/>
                              <w:sz w:val="24"/>
                              <w:szCs w:val="24"/>
                            </w:rPr>
                          </w:pPr>
                          <w:r w:rsidRPr="00BF2B38">
                            <w:rPr>
                              <w:rFonts w:ascii="Aptos" w:eastAsia="Aptos" w:hAnsi="Aptos" w:cs="Aptos"/>
                              <w:noProof/>
                              <w:color w:val="FF0000"/>
                              <w:sz w:val="24"/>
                              <w:szCs w:val="24"/>
                            </w:rPr>
                            <w:t>OFFICIAL</w:t>
                          </w:r>
                        </w:p>
                      </w:txbxContent>
                    </v:textbox>
                    <w10:wrap anchorx="page" anchory="page"/>
                  </v:shape>
                </w:pict>
              </mc:Fallback>
            </mc:AlternateContent>
          </w:r>
          <w:sdt>
            <w:sdtPr>
              <w:rPr>
                <w:noProof/>
              </w:rPr>
              <w:id w:val="1926993388"/>
              <w:showingPlcHdr/>
              <w:picture/>
            </w:sdtPr>
            <w:sdtEndPr/>
            <w:sdtContent>
              <w:r w:rsidR="007452E8" w:rsidRPr="00F71E1E">
                <w:rPr>
                  <w:noProof/>
                  <w:lang w:val="en-GB" w:eastAsia="en-GB"/>
                </w:rPr>
                <w:drawing>
                  <wp:inline distT="0" distB="0" distL="0" distR="0" wp14:anchorId="5C7F8AC9" wp14:editId="23FC1BBE">
                    <wp:extent cx="7631430" cy="5523865"/>
                    <wp:effectExtent l="0" t="0" r="762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1"/>
                            <pic:cNvPicPr>
                              <a:picLocks noChangeAspect="1" noChangeArrowheads="1"/>
                            </pic:cNvPicPr>
                          </pic:nvPicPr>
                          <pic:blipFill>
                            <a:blip r:embed="rId1" cstate="print"/>
                            <a:srcRect/>
                            <a:stretch>
                              <a:fillRect/>
                            </a:stretch>
                          </pic:blipFill>
                          <pic:spPr bwMode="auto">
                            <a:xfrm>
                              <a:off x="0" y="0"/>
                              <a:ext cx="7631430" cy="5523865"/>
                            </a:xfrm>
                            <a:prstGeom prst="rect">
                              <a:avLst/>
                            </a:prstGeom>
                            <a:noFill/>
                            <a:ln w="9525">
                              <a:noFill/>
                              <a:miter lim="800000"/>
                              <a:headEnd/>
                              <a:tailEnd/>
                            </a:ln>
                          </pic:spPr>
                        </pic:pic>
                      </a:graphicData>
                    </a:graphic>
                  </wp:inline>
                </w:drawing>
              </w:r>
            </w:sdtContent>
          </w:sdt>
        </w:p>
      </w:tc>
    </w:tr>
  </w:tbl>
  <w:p w14:paraId="6402DE55" w14:textId="38802056" w:rsidR="007452E8" w:rsidRDefault="0006693A" w:rsidP="007452E8">
    <w:pPr>
      <w:rPr>
        <w:noProof/>
      </w:rPr>
    </w:pPr>
    <w:r>
      <w:rPr>
        <w:noProof/>
      </w:rPr>
      <w:drawing>
        <wp:inline distT="0" distB="0" distL="0" distR="0" wp14:anchorId="26654E9F" wp14:editId="78E105AB">
          <wp:extent cx="3344545" cy="694055"/>
          <wp:effectExtent l="0" t="0" r="8255" b="0"/>
          <wp:docPr id="1596027861" name="Picture 2"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027861" name="Picture 2" descr="A black background with a black square&#10;&#10;AI-generated content may be incorrec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344545" cy="694055"/>
                  </a:xfrm>
                  <a:prstGeom prst="rect">
                    <a:avLst/>
                  </a:prstGeom>
                  <a:noFill/>
                  <a:ln>
                    <a:noFill/>
                  </a:ln>
                </pic:spPr>
              </pic:pic>
            </a:graphicData>
          </a:graphic>
        </wp:inline>
      </w:drawing>
    </w:r>
    <w:r w:rsidR="007452E8" w:rsidRPr="002B29B2">
      <w:rPr>
        <w:noProof/>
        <w:lang w:val="en-GB" w:eastAsia="en-GB"/>
      </w:rPr>
      <w:drawing>
        <wp:anchor distT="0" distB="0" distL="114300" distR="114300" simplePos="0" relativeHeight="251660288" behindDoc="0" locked="0" layoutInCell="0" allowOverlap="1" wp14:anchorId="14BBEAC1" wp14:editId="5D9F0498">
          <wp:simplePos x="0" y="0"/>
          <wp:positionH relativeFrom="page">
            <wp:align>left</wp:align>
          </wp:positionH>
          <wp:positionV relativeFrom="page">
            <wp:posOffset>3239495</wp:posOffset>
          </wp:positionV>
          <wp:extent cx="7663815" cy="4323091"/>
          <wp:effectExtent l="0" t="0" r="0" b="127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noChangeArrowheads="1"/>
                  </pic:cNvPicPr>
                </pic:nvPicPr>
                <pic:blipFill>
                  <a:blip r:embed="rId3">
                    <a:extLst>
                      <a:ext uri="{28A0092B-C50C-407E-A947-70E740481C1C}">
                        <a14:useLocalDpi xmlns:a14="http://schemas.microsoft.com/office/drawing/2010/main" val="0"/>
                      </a:ext>
                    </a:extLst>
                  </a:blip>
                  <a:stretch>
                    <a:fillRect/>
                  </a:stretch>
                </pic:blipFill>
                <pic:spPr bwMode="auto">
                  <a:xfrm>
                    <a:off x="0" y="0"/>
                    <a:ext cx="7663815" cy="432309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91632D" w14:textId="5F81976A" w:rsidR="007452E8" w:rsidRDefault="00BF2B38" w:rsidP="007452E8">
    <w:pPr>
      <w:pStyle w:val="Header"/>
    </w:pPr>
    <w:r>
      <w:rPr>
        <w:noProof/>
      </w:rPr>
      <mc:AlternateContent>
        <mc:Choice Requires="wps">
          <w:drawing>
            <wp:anchor distT="0" distB="0" distL="0" distR="0" simplePos="0" relativeHeight="251664384" behindDoc="0" locked="0" layoutInCell="1" allowOverlap="1" wp14:anchorId="099AB386" wp14:editId="19F793A7">
              <wp:simplePos x="898497" y="365760"/>
              <wp:positionH relativeFrom="page">
                <wp:align>center</wp:align>
              </wp:positionH>
              <wp:positionV relativeFrom="page">
                <wp:align>top</wp:align>
              </wp:positionV>
              <wp:extent cx="622300" cy="391160"/>
              <wp:effectExtent l="0" t="0" r="6350" b="8890"/>
              <wp:wrapNone/>
              <wp:docPr id="1550355951" name="Text Box 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91160"/>
                      </a:xfrm>
                      <a:prstGeom prst="rect">
                        <a:avLst/>
                      </a:prstGeom>
                      <a:noFill/>
                      <a:ln>
                        <a:noFill/>
                      </a:ln>
                    </wps:spPr>
                    <wps:txbx>
                      <w:txbxContent>
                        <w:p w14:paraId="0EE08495" w14:textId="564B0019" w:rsidR="00BF2B38" w:rsidRPr="00BF2B38" w:rsidRDefault="00BF2B38" w:rsidP="00BF2B38">
                          <w:pPr>
                            <w:spacing w:after="0"/>
                            <w:rPr>
                              <w:rFonts w:ascii="Aptos" w:eastAsia="Aptos" w:hAnsi="Aptos" w:cs="Aptos"/>
                              <w:noProof/>
                              <w:color w:val="FF0000"/>
                              <w:sz w:val="24"/>
                              <w:szCs w:val="24"/>
                            </w:rPr>
                          </w:pPr>
                          <w:r w:rsidRPr="00BF2B38">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99AB386" id="_x0000_t202" coordsize="21600,21600" o:spt="202" path="m,l,21600r21600,l21600,xe">
              <v:stroke joinstyle="miter"/>
              <v:path gradientshapeok="t" o:connecttype="rect"/>
            </v:shapetype>
            <v:shape id="Text Box 4" o:spid="_x0000_s1032" type="#_x0000_t202" alt="OFFICIAL" style="position:absolute;left:0;text-align:left;margin-left:0;margin-top:0;width:49pt;height:30.8pt;z-index:25166438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" filled="f" stroked="f">
              <v:textbox style="mso-fit-shape-to-text:t" inset="0,15pt,0,0">
                <w:txbxContent>
                  <w:p w14:paraId="0EE08495" w14:textId="564B0019" w:rsidR="00BF2B38" w:rsidRPr="00BF2B38" w:rsidRDefault="00BF2B38" w:rsidP="00BF2B38">
                    <w:pPr>
                      <w:spacing w:after="0"/>
                      <w:rPr>
                        <w:rFonts w:ascii="Aptos" w:eastAsia="Aptos" w:hAnsi="Aptos" w:cs="Aptos"/>
                        <w:noProof/>
                        <w:color w:val="FF0000"/>
                        <w:sz w:val="24"/>
                        <w:szCs w:val="24"/>
                      </w:rPr>
                    </w:pPr>
                    <w:r w:rsidRPr="00BF2B38">
                      <w:rPr>
                        <w:rFonts w:ascii="Aptos" w:eastAsia="Aptos" w:hAnsi="Aptos" w:cs="Aptos"/>
                        <w:noProof/>
                        <w:color w:val="FF0000"/>
                        <w:sz w:val="24"/>
                        <w:szCs w:val="24"/>
                      </w:rPr>
                      <w:t>OFFICIAL</w:t>
                    </w:r>
                  </w:p>
                </w:txbxContent>
              </v:textbox>
              <w10:wrap anchorx="page" anchory="page"/>
            </v:shape>
          </w:pict>
        </mc:Fallback>
      </mc:AlternateContent>
    </w:r>
    <w:r w:rsidR="007452E8" w:rsidRPr="000F5176">
      <w:t>Therapeutic Goods Administration</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AB477B" w14:textId="6B26A4C6" w:rsidR="007452E8" w:rsidRPr="00FE501F" w:rsidRDefault="00BF2B38" w:rsidP="007452E8">
    <w:pPr>
      <w:pStyle w:val="Headernoline"/>
    </w:pPr>
    <w:r>
      <w:rPr>
        <w:noProof/>
      </w:rPr>
      <mc:AlternateContent>
        <mc:Choice Requires="wps">
          <w:drawing>
            <wp:anchor distT="0" distB="0" distL="0" distR="0" simplePos="0" relativeHeight="251665408" behindDoc="0" locked="0" layoutInCell="1" allowOverlap="1" wp14:anchorId="448C23E2" wp14:editId="10EC04E7">
              <wp:simplePos x="635" y="635"/>
              <wp:positionH relativeFrom="page">
                <wp:align>center</wp:align>
              </wp:positionH>
              <wp:positionV relativeFrom="page">
                <wp:align>top</wp:align>
              </wp:positionV>
              <wp:extent cx="622300" cy="391160"/>
              <wp:effectExtent l="0" t="0" r="6350" b="8890"/>
              <wp:wrapNone/>
              <wp:docPr id="1798237201" name="Text Box 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91160"/>
                      </a:xfrm>
                      <a:prstGeom prst="rect">
                        <a:avLst/>
                      </a:prstGeom>
                      <a:noFill/>
                      <a:ln>
                        <a:noFill/>
                      </a:ln>
                    </wps:spPr>
                    <wps:txbx>
                      <w:txbxContent>
                        <w:p w14:paraId="3435C39B" w14:textId="0D9DCEC1" w:rsidR="00BF2B38" w:rsidRPr="00BF2B38" w:rsidRDefault="00BF2B38" w:rsidP="00BF2B38">
                          <w:pPr>
                            <w:spacing w:after="0"/>
                            <w:rPr>
                              <w:rFonts w:ascii="Aptos" w:eastAsia="Aptos" w:hAnsi="Aptos" w:cs="Aptos"/>
                              <w:noProof/>
                              <w:color w:val="FF0000"/>
                              <w:sz w:val="24"/>
                              <w:szCs w:val="24"/>
                            </w:rPr>
                          </w:pPr>
                          <w:r w:rsidRPr="00BF2B38">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48C23E2" id="_x0000_t202" coordsize="21600,21600" o:spt="202" path="m,l,21600r21600,l21600,xe">
              <v:stroke joinstyle="miter"/>
              <v:path gradientshapeok="t" o:connecttype="rect"/>
            </v:shapetype>
            <v:shape id="Text Box 5" o:spid="_x0000_s1034" type="#_x0000_t202" alt="OFFICIAL" style="position:absolute;left:0;text-align:left;margin-left:0;margin-top:0;width:49pt;height:30.8pt;z-index:25166540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" filled="f" stroked="f">
              <v:textbox style="mso-fit-shape-to-text:t" inset="0,15pt,0,0">
                <w:txbxContent>
                  <w:p w14:paraId="3435C39B" w14:textId="0D9DCEC1" w:rsidR="00BF2B38" w:rsidRPr="00BF2B38" w:rsidRDefault="00BF2B38" w:rsidP="00BF2B38">
                    <w:pPr>
                      <w:spacing w:after="0"/>
                      <w:rPr>
                        <w:rFonts w:ascii="Aptos" w:eastAsia="Aptos" w:hAnsi="Aptos" w:cs="Aptos"/>
                        <w:noProof/>
                        <w:color w:val="FF0000"/>
                        <w:sz w:val="24"/>
                        <w:szCs w:val="24"/>
                      </w:rPr>
                    </w:pPr>
                    <w:r w:rsidRPr="00BF2B38">
                      <w:rPr>
                        <w:rFonts w:ascii="Aptos" w:eastAsia="Aptos" w:hAnsi="Aptos" w:cs="Aptos"/>
                        <w:noProof/>
                        <w:color w:val="FF0000"/>
                        <w:sz w:val="24"/>
                        <w:szCs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B055E2"/>
    <w:multiLevelType w:val="hybridMultilevel"/>
    <w:tmpl w:val="F0B289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0053F11"/>
    <w:multiLevelType w:val="multilevel"/>
    <w:tmpl w:val="9B4A173E"/>
    <w:styleLink w:val="NumberBullet"/>
    <w:lvl w:ilvl="0">
      <w:start w:val="1"/>
      <w:numFmt w:val="decimal"/>
      <w:pStyle w:val="Numberbullet0"/>
      <w:lvlText w:val="%1."/>
      <w:lvlJc w:val="left"/>
      <w:pPr>
        <w:ind w:left="360" w:hanging="360"/>
      </w:pPr>
      <w:rPr>
        <w:rFonts w:ascii="Arial" w:hAnsi="Arial" w:hint="default"/>
      </w:rPr>
    </w:lvl>
    <w:lvl w:ilvl="1">
      <w:start w:val="1"/>
      <w:numFmt w:val="lowerLetter"/>
      <w:pStyle w:val="Numberbullet2"/>
      <w:lvlText w:val="%2."/>
      <w:lvlJc w:val="left"/>
      <w:pPr>
        <w:ind w:left="851" w:hanging="426"/>
      </w:pPr>
      <w:rPr>
        <w:rFonts w:hint="default"/>
      </w:rPr>
    </w:lvl>
    <w:lvl w:ilvl="2">
      <w:start w:val="1"/>
      <w:numFmt w:val="lowerRoman"/>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2" w15:restartNumberingAfterBreak="0">
    <w:nsid w:val="11954162"/>
    <w:multiLevelType w:val="hybridMultilevel"/>
    <w:tmpl w:val="21E0E150"/>
    <w:lvl w:ilvl="0" w:tplc="66A8C192">
      <w:start w:val="1"/>
      <w:numFmt w:val="bullet"/>
      <w:lvlText w:val=""/>
      <w:lvlJc w:val="left"/>
      <w:pPr>
        <w:ind w:left="720" w:hanging="360"/>
      </w:pPr>
      <w:rPr>
        <w:rFonts w:ascii="Symbol" w:hAnsi="Symbol"/>
      </w:rPr>
    </w:lvl>
    <w:lvl w:ilvl="1" w:tplc="816C6ABA">
      <w:start w:val="1"/>
      <w:numFmt w:val="bullet"/>
      <w:lvlText w:val=""/>
      <w:lvlJc w:val="left"/>
      <w:pPr>
        <w:ind w:left="720" w:hanging="360"/>
      </w:pPr>
      <w:rPr>
        <w:rFonts w:ascii="Symbol" w:hAnsi="Symbol"/>
      </w:rPr>
    </w:lvl>
    <w:lvl w:ilvl="2" w:tplc="FA228082">
      <w:start w:val="1"/>
      <w:numFmt w:val="bullet"/>
      <w:lvlText w:val=""/>
      <w:lvlJc w:val="left"/>
      <w:pPr>
        <w:ind w:left="720" w:hanging="360"/>
      </w:pPr>
      <w:rPr>
        <w:rFonts w:ascii="Symbol" w:hAnsi="Symbol"/>
      </w:rPr>
    </w:lvl>
    <w:lvl w:ilvl="3" w:tplc="5FFA528C">
      <w:start w:val="1"/>
      <w:numFmt w:val="bullet"/>
      <w:lvlText w:val=""/>
      <w:lvlJc w:val="left"/>
      <w:pPr>
        <w:ind w:left="720" w:hanging="360"/>
      </w:pPr>
      <w:rPr>
        <w:rFonts w:ascii="Symbol" w:hAnsi="Symbol"/>
      </w:rPr>
    </w:lvl>
    <w:lvl w:ilvl="4" w:tplc="1ADE0C1E">
      <w:start w:val="1"/>
      <w:numFmt w:val="bullet"/>
      <w:lvlText w:val=""/>
      <w:lvlJc w:val="left"/>
      <w:pPr>
        <w:ind w:left="720" w:hanging="360"/>
      </w:pPr>
      <w:rPr>
        <w:rFonts w:ascii="Symbol" w:hAnsi="Symbol"/>
      </w:rPr>
    </w:lvl>
    <w:lvl w:ilvl="5" w:tplc="1FC2A16A">
      <w:start w:val="1"/>
      <w:numFmt w:val="bullet"/>
      <w:lvlText w:val=""/>
      <w:lvlJc w:val="left"/>
      <w:pPr>
        <w:ind w:left="720" w:hanging="360"/>
      </w:pPr>
      <w:rPr>
        <w:rFonts w:ascii="Symbol" w:hAnsi="Symbol"/>
      </w:rPr>
    </w:lvl>
    <w:lvl w:ilvl="6" w:tplc="CC9273EE">
      <w:start w:val="1"/>
      <w:numFmt w:val="bullet"/>
      <w:lvlText w:val=""/>
      <w:lvlJc w:val="left"/>
      <w:pPr>
        <w:ind w:left="720" w:hanging="360"/>
      </w:pPr>
      <w:rPr>
        <w:rFonts w:ascii="Symbol" w:hAnsi="Symbol"/>
      </w:rPr>
    </w:lvl>
    <w:lvl w:ilvl="7" w:tplc="D0167D44">
      <w:start w:val="1"/>
      <w:numFmt w:val="bullet"/>
      <w:lvlText w:val=""/>
      <w:lvlJc w:val="left"/>
      <w:pPr>
        <w:ind w:left="720" w:hanging="360"/>
      </w:pPr>
      <w:rPr>
        <w:rFonts w:ascii="Symbol" w:hAnsi="Symbol"/>
      </w:rPr>
    </w:lvl>
    <w:lvl w:ilvl="8" w:tplc="19C639C8">
      <w:start w:val="1"/>
      <w:numFmt w:val="bullet"/>
      <w:lvlText w:val=""/>
      <w:lvlJc w:val="left"/>
      <w:pPr>
        <w:ind w:left="720" w:hanging="360"/>
      </w:pPr>
      <w:rPr>
        <w:rFonts w:ascii="Symbol" w:hAnsi="Symbol"/>
      </w:rPr>
    </w:lvl>
  </w:abstractNum>
  <w:abstractNum w:abstractNumId="3" w15:restartNumberingAfterBreak="0">
    <w:nsid w:val="163F187C"/>
    <w:multiLevelType w:val="hybridMultilevel"/>
    <w:tmpl w:val="20409048"/>
    <w:lvl w:ilvl="0" w:tplc="669A989C">
      <w:start w:val="4"/>
      <w:numFmt w:val="bullet"/>
      <w:pStyle w:val="ListBullet3"/>
      <w:lvlText w:val="▪"/>
      <w:lvlJc w:val="left"/>
      <w:pPr>
        <w:ind w:left="1571" w:hanging="360"/>
      </w:pPr>
      <w:rPr>
        <w:rFonts w:ascii="Arial" w:eastAsia="Cambria" w:hAnsi="Aria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4" w15:restartNumberingAfterBreak="0">
    <w:nsid w:val="168F13E9"/>
    <w:multiLevelType w:val="multilevel"/>
    <w:tmpl w:val="520883D8"/>
    <w:styleLink w:val="ListBullets"/>
    <w:lvl w:ilvl="0">
      <w:start w:val="4"/>
      <w:numFmt w:val="bullet"/>
      <w:pStyle w:val="ListBullet"/>
      <w:lvlText w:val="•"/>
      <w:lvlJc w:val="left"/>
      <w:pPr>
        <w:ind w:left="360" w:hanging="360"/>
      </w:pPr>
      <w:rPr>
        <w:rFonts w:ascii="Cambria" w:eastAsia="Cambria" w:hAnsi="Cambria" w:hint="default"/>
      </w:rPr>
    </w:lvl>
    <w:lvl w:ilvl="1">
      <w:start w:val="1"/>
      <w:numFmt w:val="bullet"/>
      <w:pStyle w:val="ListBullet2"/>
      <w:lvlText w:val="–"/>
      <w:lvlJc w:val="left"/>
      <w:pPr>
        <w:ind w:left="720" w:hanging="360"/>
      </w:pPr>
      <w:rPr>
        <w:rFonts w:ascii="Arial" w:hAnsi="Arial"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5" w15:restartNumberingAfterBreak="0">
    <w:nsid w:val="17A53F58"/>
    <w:multiLevelType w:val="hybridMultilevel"/>
    <w:tmpl w:val="9006CE9C"/>
    <w:lvl w:ilvl="0" w:tplc="CCE608D2">
      <w:start w:val="1"/>
      <w:numFmt w:val="bullet"/>
      <w:lvlText w:val=""/>
      <w:lvlJc w:val="left"/>
      <w:pPr>
        <w:ind w:left="720" w:hanging="360"/>
      </w:pPr>
      <w:rPr>
        <w:rFonts w:ascii="Symbol" w:hAnsi="Symbol"/>
      </w:rPr>
    </w:lvl>
    <w:lvl w:ilvl="1" w:tplc="DD000D32">
      <w:start w:val="1"/>
      <w:numFmt w:val="bullet"/>
      <w:lvlText w:val=""/>
      <w:lvlJc w:val="left"/>
      <w:pPr>
        <w:ind w:left="720" w:hanging="360"/>
      </w:pPr>
      <w:rPr>
        <w:rFonts w:ascii="Symbol" w:hAnsi="Symbol"/>
      </w:rPr>
    </w:lvl>
    <w:lvl w:ilvl="2" w:tplc="B9A68454">
      <w:start w:val="1"/>
      <w:numFmt w:val="bullet"/>
      <w:lvlText w:val=""/>
      <w:lvlJc w:val="left"/>
      <w:pPr>
        <w:ind w:left="720" w:hanging="360"/>
      </w:pPr>
      <w:rPr>
        <w:rFonts w:ascii="Symbol" w:hAnsi="Symbol"/>
      </w:rPr>
    </w:lvl>
    <w:lvl w:ilvl="3" w:tplc="0F56BB88">
      <w:start w:val="1"/>
      <w:numFmt w:val="bullet"/>
      <w:lvlText w:val=""/>
      <w:lvlJc w:val="left"/>
      <w:pPr>
        <w:ind w:left="720" w:hanging="360"/>
      </w:pPr>
      <w:rPr>
        <w:rFonts w:ascii="Symbol" w:hAnsi="Symbol"/>
      </w:rPr>
    </w:lvl>
    <w:lvl w:ilvl="4" w:tplc="CD46838A">
      <w:start w:val="1"/>
      <w:numFmt w:val="bullet"/>
      <w:lvlText w:val=""/>
      <w:lvlJc w:val="left"/>
      <w:pPr>
        <w:ind w:left="720" w:hanging="360"/>
      </w:pPr>
      <w:rPr>
        <w:rFonts w:ascii="Symbol" w:hAnsi="Symbol"/>
      </w:rPr>
    </w:lvl>
    <w:lvl w:ilvl="5" w:tplc="BBAA1BCC">
      <w:start w:val="1"/>
      <w:numFmt w:val="bullet"/>
      <w:lvlText w:val=""/>
      <w:lvlJc w:val="left"/>
      <w:pPr>
        <w:ind w:left="720" w:hanging="360"/>
      </w:pPr>
      <w:rPr>
        <w:rFonts w:ascii="Symbol" w:hAnsi="Symbol"/>
      </w:rPr>
    </w:lvl>
    <w:lvl w:ilvl="6" w:tplc="BF04908C">
      <w:start w:val="1"/>
      <w:numFmt w:val="bullet"/>
      <w:lvlText w:val=""/>
      <w:lvlJc w:val="left"/>
      <w:pPr>
        <w:ind w:left="720" w:hanging="360"/>
      </w:pPr>
      <w:rPr>
        <w:rFonts w:ascii="Symbol" w:hAnsi="Symbol"/>
      </w:rPr>
    </w:lvl>
    <w:lvl w:ilvl="7" w:tplc="E4DC650E">
      <w:start w:val="1"/>
      <w:numFmt w:val="bullet"/>
      <w:lvlText w:val=""/>
      <w:lvlJc w:val="left"/>
      <w:pPr>
        <w:ind w:left="720" w:hanging="360"/>
      </w:pPr>
      <w:rPr>
        <w:rFonts w:ascii="Symbol" w:hAnsi="Symbol"/>
      </w:rPr>
    </w:lvl>
    <w:lvl w:ilvl="8" w:tplc="2CE8444E">
      <w:start w:val="1"/>
      <w:numFmt w:val="bullet"/>
      <w:lvlText w:val=""/>
      <w:lvlJc w:val="left"/>
      <w:pPr>
        <w:ind w:left="720" w:hanging="360"/>
      </w:pPr>
      <w:rPr>
        <w:rFonts w:ascii="Symbol" w:hAnsi="Symbol"/>
      </w:rPr>
    </w:lvl>
  </w:abstractNum>
  <w:abstractNum w:abstractNumId="6" w15:restartNumberingAfterBreak="0">
    <w:nsid w:val="23FB1C56"/>
    <w:multiLevelType w:val="multilevel"/>
    <w:tmpl w:val="339EBC96"/>
    <w:lvl w:ilvl="0">
      <w:start w:val="1"/>
      <w:numFmt w:val="bullet"/>
      <w:pStyle w:val="ListBullet-dotick"/>
      <w:lvlText w:val=""/>
      <w:lvlJc w:val="left"/>
      <w:pPr>
        <w:ind w:left="360" w:hanging="360"/>
      </w:pPr>
      <w:rPr>
        <w:rFonts w:ascii="Wingdings" w:hAnsi="Wingdings" w:hint="default"/>
        <w:b/>
        <w:i w:val="0"/>
        <w:color w:val="00B050"/>
        <w:sz w:val="24"/>
      </w:rPr>
    </w:lvl>
    <w:lvl w:ilvl="1">
      <w:start w:val="1"/>
      <w:numFmt w:val="bullet"/>
      <w:lvlText w:val="–"/>
      <w:lvlJc w:val="left"/>
      <w:pPr>
        <w:ind w:left="720" w:hanging="360"/>
      </w:pPr>
      <w:rPr>
        <w:rFonts w:ascii="Arial" w:hAnsi="Arial" w:cs="Times New Roman"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lvl>
    <w:lvl w:ilvl="4">
      <w:start w:val="1"/>
      <w:numFmt w:val="none"/>
      <w:lvlText w:val=""/>
      <w:lvlJc w:val="left"/>
      <w:pPr>
        <w:ind w:left="1800" w:hanging="360"/>
      </w:pPr>
    </w:lvl>
    <w:lvl w:ilvl="5">
      <w:start w:val="1"/>
      <w:numFmt w:val="none"/>
      <w:lvlText w:val=""/>
      <w:lvlJc w:val="left"/>
      <w:pPr>
        <w:ind w:left="2160" w:hanging="360"/>
      </w:pPr>
    </w:lvl>
    <w:lvl w:ilvl="6">
      <w:start w:val="1"/>
      <w:numFmt w:val="none"/>
      <w:lvlText w:val="%7"/>
      <w:lvlJc w:val="left"/>
      <w:pPr>
        <w:ind w:left="2520" w:hanging="360"/>
      </w:pPr>
    </w:lvl>
    <w:lvl w:ilvl="7">
      <w:start w:val="1"/>
      <w:numFmt w:val="none"/>
      <w:lvlText w:val="%8"/>
      <w:lvlJc w:val="left"/>
      <w:pPr>
        <w:ind w:left="2880" w:hanging="360"/>
      </w:pPr>
    </w:lvl>
    <w:lvl w:ilvl="8">
      <w:start w:val="1"/>
      <w:numFmt w:val="none"/>
      <w:lvlText w:val="%9"/>
      <w:lvlJc w:val="left"/>
      <w:pPr>
        <w:ind w:left="3240" w:hanging="360"/>
      </w:pPr>
    </w:lvl>
  </w:abstractNum>
  <w:abstractNum w:abstractNumId="7" w15:restartNumberingAfterBreak="0">
    <w:nsid w:val="42410980"/>
    <w:multiLevelType w:val="hybridMultilevel"/>
    <w:tmpl w:val="57085D2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46836578"/>
    <w:multiLevelType w:val="hybridMultilevel"/>
    <w:tmpl w:val="F350D9EC"/>
    <w:lvl w:ilvl="0" w:tplc="B8AAF4A2">
      <w:start w:val="1"/>
      <w:numFmt w:val="bullet"/>
      <w:lvlText w:val=""/>
      <w:lvlJc w:val="left"/>
      <w:pPr>
        <w:ind w:left="720" w:hanging="360"/>
      </w:pPr>
      <w:rPr>
        <w:rFonts w:ascii="Symbol" w:hAnsi="Symbol"/>
      </w:rPr>
    </w:lvl>
    <w:lvl w:ilvl="1" w:tplc="B63ED5FC">
      <w:start w:val="1"/>
      <w:numFmt w:val="bullet"/>
      <w:lvlText w:val=""/>
      <w:lvlJc w:val="left"/>
      <w:pPr>
        <w:ind w:left="720" w:hanging="360"/>
      </w:pPr>
      <w:rPr>
        <w:rFonts w:ascii="Symbol" w:hAnsi="Symbol"/>
      </w:rPr>
    </w:lvl>
    <w:lvl w:ilvl="2" w:tplc="C9C41D84">
      <w:start w:val="1"/>
      <w:numFmt w:val="bullet"/>
      <w:lvlText w:val=""/>
      <w:lvlJc w:val="left"/>
      <w:pPr>
        <w:ind w:left="720" w:hanging="360"/>
      </w:pPr>
      <w:rPr>
        <w:rFonts w:ascii="Symbol" w:hAnsi="Symbol"/>
      </w:rPr>
    </w:lvl>
    <w:lvl w:ilvl="3" w:tplc="A9FCBD70">
      <w:start w:val="1"/>
      <w:numFmt w:val="bullet"/>
      <w:lvlText w:val=""/>
      <w:lvlJc w:val="left"/>
      <w:pPr>
        <w:ind w:left="720" w:hanging="360"/>
      </w:pPr>
      <w:rPr>
        <w:rFonts w:ascii="Symbol" w:hAnsi="Symbol"/>
      </w:rPr>
    </w:lvl>
    <w:lvl w:ilvl="4" w:tplc="28B4DAE8">
      <w:start w:val="1"/>
      <w:numFmt w:val="bullet"/>
      <w:lvlText w:val=""/>
      <w:lvlJc w:val="left"/>
      <w:pPr>
        <w:ind w:left="720" w:hanging="360"/>
      </w:pPr>
      <w:rPr>
        <w:rFonts w:ascii="Symbol" w:hAnsi="Symbol"/>
      </w:rPr>
    </w:lvl>
    <w:lvl w:ilvl="5" w:tplc="7C5A0216">
      <w:start w:val="1"/>
      <w:numFmt w:val="bullet"/>
      <w:lvlText w:val=""/>
      <w:lvlJc w:val="left"/>
      <w:pPr>
        <w:ind w:left="720" w:hanging="360"/>
      </w:pPr>
      <w:rPr>
        <w:rFonts w:ascii="Symbol" w:hAnsi="Symbol"/>
      </w:rPr>
    </w:lvl>
    <w:lvl w:ilvl="6" w:tplc="5D96E20E">
      <w:start w:val="1"/>
      <w:numFmt w:val="bullet"/>
      <w:lvlText w:val=""/>
      <w:lvlJc w:val="left"/>
      <w:pPr>
        <w:ind w:left="720" w:hanging="360"/>
      </w:pPr>
      <w:rPr>
        <w:rFonts w:ascii="Symbol" w:hAnsi="Symbol"/>
      </w:rPr>
    </w:lvl>
    <w:lvl w:ilvl="7" w:tplc="B96E25EA">
      <w:start w:val="1"/>
      <w:numFmt w:val="bullet"/>
      <w:lvlText w:val=""/>
      <w:lvlJc w:val="left"/>
      <w:pPr>
        <w:ind w:left="720" w:hanging="360"/>
      </w:pPr>
      <w:rPr>
        <w:rFonts w:ascii="Symbol" w:hAnsi="Symbol"/>
      </w:rPr>
    </w:lvl>
    <w:lvl w:ilvl="8" w:tplc="ECF04C6A">
      <w:start w:val="1"/>
      <w:numFmt w:val="bullet"/>
      <w:lvlText w:val=""/>
      <w:lvlJc w:val="left"/>
      <w:pPr>
        <w:ind w:left="720" w:hanging="360"/>
      </w:pPr>
      <w:rPr>
        <w:rFonts w:ascii="Symbol" w:hAnsi="Symbol"/>
      </w:rPr>
    </w:lvl>
  </w:abstractNum>
  <w:abstractNum w:abstractNumId="9" w15:restartNumberingAfterBreak="0">
    <w:nsid w:val="4F7912C9"/>
    <w:multiLevelType w:val="multilevel"/>
    <w:tmpl w:val="D6F4F1DE"/>
    <w:lvl w:ilvl="0">
      <w:start w:val="1"/>
      <w:numFmt w:val="bullet"/>
      <w:pStyle w:val="ListBullet-donotcross"/>
      <w:lvlText w:val=""/>
      <w:lvlJc w:val="left"/>
      <w:pPr>
        <w:ind w:left="785" w:hanging="360"/>
      </w:pPr>
      <w:rPr>
        <w:rFonts w:ascii="Wingdings" w:hAnsi="Wingdings" w:hint="default"/>
        <w:b/>
        <w:i w:val="0"/>
        <w:color w:val="800000"/>
        <w:sz w:val="26"/>
        <w:szCs w:val="22"/>
      </w:rPr>
    </w:lvl>
    <w:lvl w:ilvl="1">
      <w:start w:val="1"/>
      <w:numFmt w:val="bullet"/>
      <w:lvlText w:val="–"/>
      <w:lvlJc w:val="left"/>
      <w:pPr>
        <w:ind w:left="720" w:hanging="360"/>
      </w:pPr>
      <w:rPr>
        <w:rFonts w:ascii="Arial" w:hAnsi="Arial" w:cs="Times New Roman"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lvl>
    <w:lvl w:ilvl="4">
      <w:start w:val="1"/>
      <w:numFmt w:val="none"/>
      <w:lvlText w:val=""/>
      <w:lvlJc w:val="left"/>
      <w:pPr>
        <w:ind w:left="1800" w:hanging="360"/>
      </w:pPr>
    </w:lvl>
    <w:lvl w:ilvl="5">
      <w:start w:val="1"/>
      <w:numFmt w:val="none"/>
      <w:lvlText w:val=""/>
      <w:lvlJc w:val="left"/>
      <w:pPr>
        <w:ind w:left="2160" w:hanging="360"/>
      </w:pPr>
    </w:lvl>
    <w:lvl w:ilvl="6">
      <w:start w:val="1"/>
      <w:numFmt w:val="none"/>
      <w:lvlText w:val="%7"/>
      <w:lvlJc w:val="left"/>
      <w:pPr>
        <w:ind w:left="2520" w:hanging="360"/>
      </w:pPr>
    </w:lvl>
    <w:lvl w:ilvl="7">
      <w:start w:val="1"/>
      <w:numFmt w:val="none"/>
      <w:lvlText w:val="%8"/>
      <w:lvlJc w:val="left"/>
      <w:pPr>
        <w:ind w:left="2880" w:hanging="360"/>
      </w:pPr>
    </w:lvl>
    <w:lvl w:ilvl="8">
      <w:start w:val="1"/>
      <w:numFmt w:val="none"/>
      <w:lvlText w:val="%9"/>
      <w:lvlJc w:val="left"/>
      <w:pPr>
        <w:ind w:left="3240" w:hanging="360"/>
      </w:pPr>
    </w:lvl>
  </w:abstractNum>
  <w:abstractNum w:abstractNumId="10" w15:restartNumberingAfterBreak="0">
    <w:nsid w:val="4F8D23DB"/>
    <w:multiLevelType w:val="hybridMultilevel"/>
    <w:tmpl w:val="9A4A81D0"/>
    <w:lvl w:ilvl="0" w:tplc="898EA3AA">
      <w:start w:val="1"/>
      <w:numFmt w:val="bullet"/>
      <w:lvlText w:val=""/>
      <w:lvlJc w:val="left"/>
      <w:pPr>
        <w:ind w:left="720" w:hanging="360"/>
      </w:pPr>
      <w:rPr>
        <w:rFonts w:ascii="Symbol" w:hAnsi="Symbol"/>
      </w:rPr>
    </w:lvl>
    <w:lvl w:ilvl="1" w:tplc="403E12E2">
      <w:start w:val="1"/>
      <w:numFmt w:val="bullet"/>
      <w:lvlText w:val=""/>
      <w:lvlJc w:val="left"/>
      <w:pPr>
        <w:ind w:left="720" w:hanging="360"/>
      </w:pPr>
      <w:rPr>
        <w:rFonts w:ascii="Symbol" w:hAnsi="Symbol"/>
      </w:rPr>
    </w:lvl>
    <w:lvl w:ilvl="2" w:tplc="C678A248">
      <w:start w:val="1"/>
      <w:numFmt w:val="bullet"/>
      <w:lvlText w:val=""/>
      <w:lvlJc w:val="left"/>
      <w:pPr>
        <w:ind w:left="720" w:hanging="360"/>
      </w:pPr>
      <w:rPr>
        <w:rFonts w:ascii="Symbol" w:hAnsi="Symbol"/>
      </w:rPr>
    </w:lvl>
    <w:lvl w:ilvl="3" w:tplc="4EE4EEBA">
      <w:start w:val="1"/>
      <w:numFmt w:val="bullet"/>
      <w:lvlText w:val=""/>
      <w:lvlJc w:val="left"/>
      <w:pPr>
        <w:ind w:left="720" w:hanging="360"/>
      </w:pPr>
      <w:rPr>
        <w:rFonts w:ascii="Symbol" w:hAnsi="Symbol"/>
      </w:rPr>
    </w:lvl>
    <w:lvl w:ilvl="4" w:tplc="F31E8080">
      <w:start w:val="1"/>
      <w:numFmt w:val="bullet"/>
      <w:lvlText w:val=""/>
      <w:lvlJc w:val="left"/>
      <w:pPr>
        <w:ind w:left="720" w:hanging="360"/>
      </w:pPr>
      <w:rPr>
        <w:rFonts w:ascii="Symbol" w:hAnsi="Symbol"/>
      </w:rPr>
    </w:lvl>
    <w:lvl w:ilvl="5" w:tplc="261AFD6A">
      <w:start w:val="1"/>
      <w:numFmt w:val="bullet"/>
      <w:lvlText w:val=""/>
      <w:lvlJc w:val="left"/>
      <w:pPr>
        <w:ind w:left="720" w:hanging="360"/>
      </w:pPr>
      <w:rPr>
        <w:rFonts w:ascii="Symbol" w:hAnsi="Symbol"/>
      </w:rPr>
    </w:lvl>
    <w:lvl w:ilvl="6" w:tplc="94FC1AF8">
      <w:start w:val="1"/>
      <w:numFmt w:val="bullet"/>
      <w:lvlText w:val=""/>
      <w:lvlJc w:val="left"/>
      <w:pPr>
        <w:ind w:left="720" w:hanging="360"/>
      </w:pPr>
      <w:rPr>
        <w:rFonts w:ascii="Symbol" w:hAnsi="Symbol"/>
      </w:rPr>
    </w:lvl>
    <w:lvl w:ilvl="7" w:tplc="FF503C7C">
      <w:start w:val="1"/>
      <w:numFmt w:val="bullet"/>
      <w:lvlText w:val=""/>
      <w:lvlJc w:val="left"/>
      <w:pPr>
        <w:ind w:left="720" w:hanging="360"/>
      </w:pPr>
      <w:rPr>
        <w:rFonts w:ascii="Symbol" w:hAnsi="Symbol"/>
      </w:rPr>
    </w:lvl>
    <w:lvl w:ilvl="8" w:tplc="E8B4BDE6">
      <w:start w:val="1"/>
      <w:numFmt w:val="bullet"/>
      <w:lvlText w:val=""/>
      <w:lvlJc w:val="left"/>
      <w:pPr>
        <w:ind w:left="720" w:hanging="360"/>
      </w:pPr>
      <w:rPr>
        <w:rFonts w:ascii="Symbol" w:hAnsi="Symbol"/>
      </w:rPr>
    </w:lvl>
  </w:abstractNum>
  <w:abstractNum w:abstractNumId="11" w15:restartNumberingAfterBreak="0">
    <w:nsid w:val="50336B0D"/>
    <w:multiLevelType w:val="hybridMultilevel"/>
    <w:tmpl w:val="5D54CD1A"/>
    <w:lvl w:ilvl="0" w:tplc="4EDE096A">
      <w:start w:val="1"/>
      <w:numFmt w:val="lowerRoman"/>
      <w:pStyle w:val="Numberbullet3"/>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59D22096"/>
    <w:multiLevelType w:val="hybridMultilevel"/>
    <w:tmpl w:val="9DF2F518"/>
    <w:lvl w:ilvl="0" w:tplc="480AF4BC">
      <w:start w:val="1"/>
      <w:numFmt w:val="bullet"/>
      <w:lvlText w:val=""/>
      <w:lvlJc w:val="left"/>
      <w:pPr>
        <w:ind w:left="720" w:hanging="360"/>
      </w:pPr>
      <w:rPr>
        <w:rFonts w:ascii="Symbol" w:hAnsi="Symbol"/>
      </w:rPr>
    </w:lvl>
    <w:lvl w:ilvl="1" w:tplc="519064D0">
      <w:start w:val="1"/>
      <w:numFmt w:val="bullet"/>
      <w:lvlText w:val=""/>
      <w:lvlJc w:val="left"/>
      <w:pPr>
        <w:ind w:left="720" w:hanging="360"/>
      </w:pPr>
      <w:rPr>
        <w:rFonts w:ascii="Symbol" w:hAnsi="Symbol"/>
      </w:rPr>
    </w:lvl>
    <w:lvl w:ilvl="2" w:tplc="D5968F16">
      <w:start w:val="1"/>
      <w:numFmt w:val="bullet"/>
      <w:lvlText w:val=""/>
      <w:lvlJc w:val="left"/>
      <w:pPr>
        <w:ind w:left="720" w:hanging="360"/>
      </w:pPr>
      <w:rPr>
        <w:rFonts w:ascii="Symbol" w:hAnsi="Symbol"/>
      </w:rPr>
    </w:lvl>
    <w:lvl w:ilvl="3" w:tplc="E800FA06">
      <w:start w:val="1"/>
      <w:numFmt w:val="bullet"/>
      <w:lvlText w:val=""/>
      <w:lvlJc w:val="left"/>
      <w:pPr>
        <w:ind w:left="720" w:hanging="360"/>
      </w:pPr>
      <w:rPr>
        <w:rFonts w:ascii="Symbol" w:hAnsi="Symbol"/>
      </w:rPr>
    </w:lvl>
    <w:lvl w:ilvl="4" w:tplc="6BCA7B38">
      <w:start w:val="1"/>
      <w:numFmt w:val="bullet"/>
      <w:lvlText w:val=""/>
      <w:lvlJc w:val="left"/>
      <w:pPr>
        <w:ind w:left="720" w:hanging="360"/>
      </w:pPr>
      <w:rPr>
        <w:rFonts w:ascii="Symbol" w:hAnsi="Symbol"/>
      </w:rPr>
    </w:lvl>
    <w:lvl w:ilvl="5" w:tplc="AA40038E">
      <w:start w:val="1"/>
      <w:numFmt w:val="bullet"/>
      <w:lvlText w:val=""/>
      <w:lvlJc w:val="left"/>
      <w:pPr>
        <w:ind w:left="720" w:hanging="360"/>
      </w:pPr>
      <w:rPr>
        <w:rFonts w:ascii="Symbol" w:hAnsi="Symbol"/>
      </w:rPr>
    </w:lvl>
    <w:lvl w:ilvl="6" w:tplc="D34480EE">
      <w:start w:val="1"/>
      <w:numFmt w:val="bullet"/>
      <w:lvlText w:val=""/>
      <w:lvlJc w:val="left"/>
      <w:pPr>
        <w:ind w:left="720" w:hanging="360"/>
      </w:pPr>
      <w:rPr>
        <w:rFonts w:ascii="Symbol" w:hAnsi="Symbol"/>
      </w:rPr>
    </w:lvl>
    <w:lvl w:ilvl="7" w:tplc="BABE86B6">
      <w:start w:val="1"/>
      <w:numFmt w:val="bullet"/>
      <w:lvlText w:val=""/>
      <w:lvlJc w:val="left"/>
      <w:pPr>
        <w:ind w:left="720" w:hanging="360"/>
      </w:pPr>
      <w:rPr>
        <w:rFonts w:ascii="Symbol" w:hAnsi="Symbol"/>
      </w:rPr>
    </w:lvl>
    <w:lvl w:ilvl="8" w:tplc="5AD2833C">
      <w:start w:val="1"/>
      <w:numFmt w:val="bullet"/>
      <w:lvlText w:val=""/>
      <w:lvlJc w:val="left"/>
      <w:pPr>
        <w:ind w:left="720" w:hanging="360"/>
      </w:pPr>
      <w:rPr>
        <w:rFonts w:ascii="Symbol" w:hAnsi="Symbol"/>
      </w:rPr>
    </w:lvl>
  </w:abstractNum>
  <w:abstractNum w:abstractNumId="13" w15:restartNumberingAfterBreak="0">
    <w:nsid w:val="7A6379A9"/>
    <w:multiLevelType w:val="hybridMultilevel"/>
    <w:tmpl w:val="4FE8D072"/>
    <w:lvl w:ilvl="0" w:tplc="40AA1BA0">
      <w:start w:val="1"/>
      <w:numFmt w:val="bullet"/>
      <w:lvlText w:val=""/>
      <w:lvlJc w:val="left"/>
      <w:pPr>
        <w:ind w:left="720" w:hanging="360"/>
      </w:pPr>
      <w:rPr>
        <w:rFonts w:ascii="Symbol" w:hAnsi="Symbol"/>
      </w:rPr>
    </w:lvl>
    <w:lvl w:ilvl="1" w:tplc="15A0EAC8">
      <w:start w:val="1"/>
      <w:numFmt w:val="bullet"/>
      <w:lvlText w:val=""/>
      <w:lvlJc w:val="left"/>
      <w:pPr>
        <w:ind w:left="720" w:hanging="360"/>
      </w:pPr>
      <w:rPr>
        <w:rFonts w:ascii="Symbol" w:hAnsi="Symbol"/>
      </w:rPr>
    </w:lvl>
    <w:lvl w:ilvl="2" w:tplc="A2A06F8A">
      <w:start w:val="1"/>
      <w:numFmt w:val="bullet"/>
      <w:lvlText w:val=""/>
      <w:lvlJc w:val="left"/>
      <w:pPr>
        <w:ind w:left="720" w:hanging="360"/>
      </w:pPr>
      <w:rPr>
        <w:rFonts w:ascii="Symbol" w:hAnsi="Symbol"/>
      </w:rPr>
    </w:lvl>
    <w:lvl w:ilvl="3" w:tplc="638C4750">
      <w:start w:val="1"/>
      <w:numFmt w:val="bullet"/>
      <w:lvlText w:val=""/>
      <w:lvlJc w:val="left"/>
      <w:pPr>
        <w:ind w:left="720" w:hanging="360"/>
      </w:pPr>
      <w:rPr>
        <w:rFonts w:ascii="Symbol" w:hAnsi="Symbol"/>
      </w:rPr>
    </w:lvl>
    <w:lvl w:ilvl="4" w:tplc="593CA732">
      <w:start w:val="1"/>
      <w:numFmt w:val="bullet"/>
      <w:lvlText w:val=""/>
      <w:lvlJc w:val="left"/>
      <w:pPr>
        <w:ind w:left="720" w:hanging="360"/>
      </w:pPr>
      <w:rPr>
        <w:rFonts w:ascii="Symbol" w:hAnsi="Symbol"/>
      </w:rPr>
    </w:lvl>
    <w:lvl w:ilvl="5" w:tplc="A2B0A4B0">
      <w:start w:val="1"/>
      <w:numFmt w:val="bullet"/>
      <w:lvlText w:val=""/>
      <w:lvlJc w:val="left"/>
      <w:pPr>
        <w:ind w:left="720" w:hanging="360"/>
      </w:pPr>
      <w:rPr>
        <w:rFonts w:ascii="Symbol" w:hAnsi="Symbol"/>
      </w:rPr>
    </w:lvl>
    <w:lvl w:ilvl="6" w:tplc="60CE26AE">
      <w:start w:val="1"/>
      <w:numFmt w:val="bullet"/>
      <w:lvlText w:val=""/>
      <w:lvlJc w:val="left"/>
      <w:pPr>
        <w:ind w:left="720" w:hanging="360"/>
      </w:pPr>
      <w:rPr>
        <w:rFonts w:ascii="Symbol" w:hAnsi="Symbol"/>
      </w:rPr>
    </w:lvl>
    <w:lvl w:ilvl="7" w:tplc="488A39BE">
      <w:start w:val="1"/>
      <w:numFmt w:val="bullet"/>
      <w:lvlText w:val=""/>
      <w:lvlJc w:val="left"/>
      <w:pPr>
        <w:ind w:left="720" w:hanging="360"/>
      </w:pPr>
      <w:rPr>
        <w:rFonts w:ascii="Symbol" w:hAnsi="Symbol"/>
      </w:rPr>
    </w:lvl>
    <w:lvl w:ilvl="8" w:tplc="C188F4DC">
      <w:start w:val="1"/>
      <w:numFmt w:val="bullet"/>
      <w:lvlText w:val=""/>
      <w:lvlJc w:val="left"/>
      <w:pPr>
        <w:ind w:left="720" w:hanging="360"/>
      </w:pPr>
      <w:rPr>
        <w:rFonts w:ascii="Symbol" w:hAnsi="Symbol"/>
      </w:rPr>
    </w:lvl>
  </w:abstractNum>
  <w:num w:numId="1" w16cid:durableId="1032997172">
    <w:abstractNumId w:val="4"/>
  </w:num>
  <w:num w:numId="2" w16cid:durableId="1856573705">
    <w:abstractNumId w:val="1"/>
  </w:num>
  <w:num w:numId="3" w16cid:durableId="357703499">
    <w:abstractNumId w:val="3"/>
  </w:num>
  <w:num w:numId="4" w16cid:durableId="1869176708">
    <w:abstractNumId w:val="11"/>
  </w:num>
  <w:num w:numId="5" w16cid:durableId="1652950129">
    <w:abstractNumId w:val="6"/>
  </w:num>
  <w:num w:numId="6" w16cid:durableId="1053193207">
    <w:abstractNumId w:val="9"/>
  </w:num>
  <w:num w:numId="7" w16cid:durableId="201135927">
    <w:abstractNumId w:val="1"/>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8" w16cid:durableId="1604608059">
    <w:abstractNumId w:val="10"/>
  </w:num>
  <w:num w:numId="9" w16cid:durableId="173421270">
    <w:abstractNumId w:val="2"/>
  </w:num>
  <w:num w:numId="10" w16cid:durableId="2108043357">
    <w:abstractNumId w:val="5"/>
  </w:num>
  <w:num w:numId="11" w16cid:durableId="1725904230">
    <w:abstractNumId w:val="8"/>
  </w:num>
  <w:num w:numId="12" w16cid:durableId="141579354">
    <w:abstractNumId w:val="12"/>
  </w:num>
  <w:num w:numId="13" w16cid:durableId="283735081">
    <w:abstractNumId w:val="13"/>
  </w:num>
  <w:num w:numId="14" w16cid:durableId="1938521763">
    <w:abstractNumId w:val="0"/>
  </w:num>
  <w:num w:numId="15" w16cid:durableId="40861973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6EC2"/>
    <w:rsid w:val="00000E6E"/>
    <w:rsid w:val="00003E74"/>
    <w:rsid w:val="00004431"/>
    <w:rsid w:val="00005062"/>
    <w:rsid w:val="00005DFC"/>
    <w:rsid w:val="00006A3C"/>
    <w:rsid w:val="0001064C"/>
    <w:rsid w:val="0001384A"/>
    <w:rsid w:val="00013984"/>
    <w:rsid w:val="00020302"/>
    <w:rsid w:val="00021C13"/>
    <w:rsid w:val="0002687E"/>
    <w:rsid w:val="00032A0F"/>
    <w:rsid w:val="0003471D"/>
    <w:rsid w:val="00037A79"/>
    <w:rsid w:val="00040D8D"/>
    <w:rsid w:val="000451A3"/>
    <w:rsid w:val="00046423"/>
    <w:rsid w:val="00046562"/>
    <w:rsid w:val="000477F5"/>
    <w:rsid w:val="00050628"/>
    <w:rsid w:val="0005067C"/>
    <w:rsid w:val="0006104E"/>
    <w:rsid w:val="000640BD"/>
    <w:rsid w:val="00065839"/>
    <w:rsid w:val="00065FDF"/>
    <w:rsid w:val="0006693A"/>
    <w:rsid w:val="000743B3"/>
    <w:rsid w:val="00074F20"/>
    <w:rsid w:val="00077844"/>
    <w:rsid w:val="00083763"/>
    <w:rsid w:val="00087CBA"/>
    <w:rsid w:val="00090510"/>
    <w:rsid w:val="000917AE"/>
    <w:rsid w:val="00092B4A"/>
    <w:rsid w:val="00094B81"/>
    <w:rsid w:val="00095C6A"/>
    <w:rsid w:val="000975AA"/>
    <w:rsid w:val="000B49CB"/>
    <w:rsid w:val="000B6A62"/>
    <w:rsid w:val="000B6B15"/>
    <w:rsid w:val="000C1C15"/>
    <w:rsid w:val="000C25A7"/>
    <w:rsid w:val="000C56EC"/>
    <w:rsid w:val="000D538A"/>
    <w:rsid w:val="000D78EC"/>
    <w:rsid w:val="000D7934"/>
    <w:rsid w:val="000E2434"/>
    <w:rsid w:val="000E2597"/>
    <w:rsid w:val="000E504E"/>
    <w:rsid w:val="000E6746"/>
    <w:rsid w:val="000E74CF"/>
    <w:rsid w:val="000E77BE"/>
    <w:rsid w:val="000F7B51"/>
    <w:rsid w:val="00101BEE"/>
    <w:rsid w:val="00101CE6"/>
    <w:rsid w:val="00101FB1"/>
    <w:rsid w:val="0010558A"/>
    <w:rsid w:val="001101FF"/>
    <w:rsid w:val="00110A71"/>
    <w:rsid w:val="00111989"/>
    <w:rsid w:val="00113F9F"/>
    <w:rsid w:val="00114025"/>
    <w:rsid w:val="00115ACB"/>
    <w:rsid w:val="0012473C"/>
    <w:rsid w:val="00127A74"/>
    <w:rsid w:val="0013132F"/>
    <w:rsid w:val="00131B1B"/>
    <w:rsid w:val="0013306D"/>
    <w:rsid w:val="0013528C"/>
    <w:rsid w:val="001442A2"/>
    <w:rsid w:val="001468CA"/>
    <w:rsid w:val="001500A8"/>
    <w:rsid w:val="00155D85"/>
    <w:rsid w:val="00164083"/>
    <w:rsid w:val="00165D28"/>
    <w:rsid w:val="001676D2"/>
    <w:rsid w:val="00167B84"/>
    <w:rsid w:val="0017005C"/>
    <w:rsid w:val="00171038"/>
    <w:rsid w:val="00175CD8"/>
    <w:rsid w:val="00182BD8"/>
    <w:rsid w:val="00190853"/>
    <w:rsid w:val="00193631"/>
    <w:rsid w:val="00193E14"/>
    <w:rsid w:val="00197F72"/>
    <w:rsid w:val="001A328D"/>
    <w:rsid w:val="001A7294"/>
    <w:rsid w:val="001A76F9"/>
    <w:rsid w:val="001B06FF"/>
    <w:rsid w:val="001B1703"/>
    <w:rsid w:val="001B3D0C"/>
    <w:rsid w:val="001B6B7F"/>
    <w:rsid w:val="001C1C2E"/>
    <w:rsid w:val="001C31A1"/>
    <w:rsid w:val="001C3FA2"/>
    <w:rsid w:val="001C5AAE"/>
    <w:rsid w:val="001C5EE2"/>
    <w:rsid w:val="001D0077"/>
    <w:rsid w:val="001D04FF"/>
    <w:rsid w:val="001D1979"/>
    <w:rsid w:val="001E070D"/>
    <w:rsid w:val="001E407B"/>
    <w:rsid w:val="001E47D6"/>
    <w:rsid w:val="001E7FC6"/>
    <w:rsid w:val="001F2502"/>
    <w:rsid w:val="001F2C63"/>
    <w:rsid w:val="001F70A5"/>
    <w:rsid w:val="0020235D"/>
    <w:rsid w:val="0020369B"/>
    <w:rsid w:val="00207B4D"/>
    <w:rsid w:val="00210F9B"/>
    <w:rsid w:val="002117B1"/>
    <w:rsid w:val="00217CCE"/>
    <w:rsid w:val="002203B1"/>
    <w:rsid w:val="00220736"/>
    <w:rsid w:val="00226F39"/>
    <w:rsid w:val="002334AD"/>
    <w:rsid w:val="00234DB3"/>
    <w:rsid w:val="00234FA3"/>
    <w:rsid w:val="00241B60"/>
    <w:rsid w:val="002429D5"/>
    <w:rsid w:val="0024559B"/>
    <w:rsid w:val="00254B45"/>
    <w:rsid w:val="0025785B"/>
    <w:rsid w:val="00257969"/>
    <w:rsid w:val="00265CD1"/>
    <w:rsid w:val="00280048"/>
    <w:rsid w:val="0028489E"/>
    <w:rsid w:val="002848DE"/>
    <w:rsid w:val="0028794E"/>
    <w:rsid w:val="00296EBE"/>
    <w:rsid w:val="0029733B"/>
    <w:rsid w:val="002A2DD5"/>
    <w:rsid w:val="002A5841"/>
    <w:rsid w:val="002B1EDF"/>
    <w:rsid w:val="002B2061"/>
    <w:rsid w:val="002B33C3"/>
    <w:rsid w:val="002B5AEA"/>
    <w:rsid w:val="002C1232"/>
    <w:rsid w:val="002C1E44"/>
    <w:rsid w:val="002C5C92"/>
    <w:rsid w:val="002C5E29"/>
    <w:rsid w:val="002C74FB"/>
    <w:rsid w:val="002D0478"/>
    <w:rsid w:val="002D10A8"/>
    <w:rsid w:val="002D7127"/>
    <w:rsid w:val="002D7693"/>
    <w:rsid w:val="002E0AA8"/>
    <w:rsid w:val="002E1588"/>
    <w:rsid w:val="002E4672"/>
    <w:rsid w:val="002F1FA5"/>
    <w:rsid w:val="002F599E"/>
    <w:rsid w:val="002F5D22"/>
    <w:rsid w:val="002F67F7"/>
    <w:rsid w:val="00300048"/>
    <w:rsid w:val="003008D8"/>
    <w:rsid w:val="00301D9A"/>
    <w:rsid w:val="00303959"/>
    <w:rsid w:val="003057DB"/>
    <w:rsid w:val="00306E72"/>
    <w:rsid w:val="00312604"/>
    <w:rsid w:val="00312AC3"/>
    <w:rsid w:val="00314430"/>
    <w:rsid w:val="003145E0"/>
    <w:rsid w:val="003163BC"/>
    <w:rsid w:val="003212D9"/>
    <w:rsid w:val="00322BB0"/>
    <w:rsid w:val="00323133"/>
    <w:rsid w:val="0032351A"/>
    <w:rsid w:val="00324B33"/>
    <w:rsid w:val="00325921"/>
    <w:rsid w:val="00327488"/>
    <w:rsid w:val="00336FE1"/>
    <w:rsid w:val="00337BD8"/>
    <w:rsid w:val="00341638"/>
    <w:rsid w:val="00342D56"/>
    <w:rsid w:val="003456E7"/>
    <w:rsid w:val="00346EC2"/>
    <w:rsid w:val="003477F9"/>
    <w:rsid w:val="0035444D"/>
    <w:rsid w:val="00356D62"/>
    <w:rsid w:val="00363EE3"/>
    <w:rsid w:val="003735F3"/>
    <w:rsid w:val="00374729"/>
    <w:rsid w:val="00375096"/>
    <w:rsid w:val="00381D4E"/>
    <w:rsid w:val="00387298"/>
    <w:rsid w:val="00387984"/>
    <w:rsid w:val="00395140"/>
    <w:rsid w:val="003979DE"/>
    <w:rsid w:val="003A2422"/>
    <w:rsid w:val="003B149C"/>
    <w:rsid w:val="003C0FDB"/>
    <w:rsid w:val="003C1192"/>
    <w:rsid w:val="003C55E2"/>
    <w:rsid w:val="003C63D5"/>
    <w:rsid w:val="003C7AA8"/>
    <w:rsid w:val="003D40E1"/>
    <w:rsid w:val="003D71A1"/>
    <w:rsid w:val="003E4A1C"/>
    <w:rsid w:val="003E4B80"/>
    <w:rsid w:val="004071C5"/>
    <w:rsid w:val="0041012C"/>
    <w:rsid w:val="0041688F"/>
    <w:rsid w:val="00417CEE"/>
    <w:rsid w:val="00420563"/>
    <w:rsid w:val="0042302A"/>
    <w:rsid w:val="0042376F"/>
    <w:rsid w:val="004246B8"/>
    <w:rsid w:val="004248F1"/>
    <w:rsid w:val="00433318"/>
    <w:rsid w:val="00440AD8"/>
    <w:rsid w:val="004411D9"/>
    <w:rsid w:val="00442A56"/>
    <w:rsid w:val="004444B0"/>
    <w:rsid w:val="0045060B"/>
    <w:rsid w:val="004545C8"/>
    <w:rsid w:val="00454D4C"/>
    <w:rsid w:val="004626FF"/>
    <w:rsid w:val="0046285C"/>
    <w:rsid w:val="00470408"/>
    <w:rsid w:val="00470A52"/>
    <w:rsid w:val="00471BD5"/>
    <w:rsid w:val="00477C4E"/>
    <w:rsid w:val="00477F07"/>
    <w:rsid w:val="00481503"/>
    <w:rsid w:val="00481D12"/>
    <w:rsid w:val="00482D8E"/>
    <w:rsid w:val="004854A6"/>
    <w:rsid w:val="00491A55"/>
    <w:rsid w:val="00494C3E"/>
    <w:rsid w:val="00497DF1"/>
    <w:rsid w:val="004A318E"/>
    <w:rsid w:val="004A45D4"/>
    <w:rsid w:val="004A4B98"/>
    <w:rsid w:val="004A57E8"/>
    <w:rsid w:val="004B0854"/>
    <w:rsid w:val="004B3081"/>
    <w:rsid w:val="004B35A9"/>
    <w:rsid w:val="004B4381"/>
    <w:rsid w:val="004B4A09"/>
    <w:rsid w:val="004B65D5"/>
    <w:rsid w:val="004C41CE"/>
    <w:rsid w:val="004C631B"/>
    <w:rsid w:val="004C6A89"/>
    <w:rsid w:val="004D0933"/>
    <w:rsid w:val="004D23DF"/>
    <w:rsid w:val="004D2F00"/>
    <w:rsid w:val="004D31D8"/>
    <w:rsid w:val="004D35D1"/>
    <w:rsid w:val="004D4AD5"/>
    <w:rsid w:val="004D5388"/>
    <w:rsid w:val="004E6275"/>
    <w:rsid w:val="004E7F16"/>
    <w:rsid w:val="004F18EC"/>
    <w:rsid w:val="004F68DB"/>
    <w:rsid w:val="005005C6"/>
    <w:rsid w:val="00500D68"/>
    <w:rsid w:val="0051061A"/>
    <w:rsid w:val="00516471"/>
    <w:rsid w:val="00520997"/>
    <w:rsid w:val="00520A3A"/>
    <w:rsid w:val="0053377D"/>
    <w:rsid w:val="00535DFE"/>
    <w:rsid w:val="005373B5"/>
    <w:rsid w:val="00537AB7"/>
    <w:rsid w:val="00543139"/>
    <w:rsid w:val="00544537"/>
    <w:rsid w:val="0054669B"/>
    <w:rsid w:val="00554F55"/>
    <w:rsid w:val="005567C2"/>
    <w:rsid w:val="00556B31"/>
    <w:rsid w:val="00557684"/>
    <w:rsid w:val="00560EC1"/>
    <w:rsid w:val="005610D1"/>
    <w:rsid w:val="00562F42"/>
    <w:rsid w:val="00565739"/>
    <w:rsid w:val="0056766D"/>
    <w:rsid w:val="00574BA1"/>
    <w:rsid w:val="00575215"/>
    <w:rsid w:val="005775D0"/>
    <w:rsid w:val="00581138"/>
    <w:rsid w:val="00583EAE"/>
    <w:rsid w:val="00583F2C"/>
    <w:rsid w:val="0058575E"/>
    <w:rsid w:val="0058783C"/>
    <w:rsid w:val="005911AE"/>
    <w:rsid w:val="005926E2"/>
    <w:rsid w:val="0059313A"/>
    <w:rsid w:val="005A54EA"/>
    <w:rsid w:val="005A66B6"/>
    <w:rsid w:val="005B023F"/>
    <w:rsid w:val="005B02A2"/>
    <w:rsid w:val="005B0331"/>
    <w:rsid w:val="005B1417"/>
    <w:rsid w:val="005B69CF"/>
    <w:rsid w:val="005C031B"/>
    <w:rsid w:val="005C3F07"/>
    <w:rsid w:val="005C45D6"/>
    <w:rsid w:val="005C4B46"/>
    <w:rsid w:val="005C5DC5"/>
    <w:rsid w:val="005D05AD"/>
    <w:rsid w:val="005D0E1E"/>
    <w:rsid w:val="005D2089"/>
    <w:rsid w:val="005D6855"/>
    <w:rsid w:val="005D7514"/>
    <w:rsid w:val="005E0FC6"/>
    <w:rsid w:val="005E1A7B"/>
    <w:rsid w:val="005E231F"/>
    <w:rsid w:val="00602D6E"/>
    <w:rsid w:val="00605C05"/>
    <w:rsid w:val="00611351"/>
    <w:rsid w:val="0061217D"/>
    <w:rsid w:val="006129AE"/>
    <w:rsid w:val="00616871"/>
    <w:rsid w:val="00621C51"/>
    <w:rsid w:val="006263EE"/>
    <w:rsid w:val="006277A1"/>
    <w:rsid w:val="00630A66"/>
    <w:rsid w:val="00631CCB"/>
    <w:rsid w:val="00632BEA"/>
    <w:rsid w:val="00633BD7"/>
    <w:rsid w:val="00634580"/>
    <w:rsid w:val="00634884"/>
    <w:rsid w:val="006351D9"/>
    <w:rsid w:val="00637130"/>
    <w:rsid w:val="00637F0E"/>
    <w:rsid w:val="006423F2"/>
    <w:rsid w:val="006428C5"/>
    <w:rsid w:val="00650234"/>
    <w:rsid w:val="00650EDD"/>
    <w:rsid w:val="00652330"/>
    <w:rsid w:val="00653BCE"/>
    <w:rsid w:val="006563E4"/>
    <w:rsid w:val="0066044B"/>
    <w:rsid w:val="006630AA"/>
    <w:rsid w:val="00663544"/>
    <w:rsid w:val="00666539"/>
    <w:rsid w:val="00666911"/>
    <w:rsid w:val="00675F81"/>
    <w:rsid w:val="0068143E"/>
    <w:rsid w:val="00682696"/>
    <w:rsid w:val="0068507D"/>
    <w:rsid w:val="00687398"/>
    <w:rsid w:val="006878F6"/>
    <w:rsid w:val="00691AF2"/>
    <w:rsid w:val="00692B80"/>
    <w:rsid w:val="00692CCD"/>
    <w:rsid w:val="00692D51"/>
    <w:rsid w:val="00694DD7"/>
    <w:rsid w:val="0069636B"/>
    <w:rsid w:val="006A1762"/>
    <w:rsid w:val="006A19CE"/>
    <w:rsid w:val="006A1F0B"/>
    <w:rsid w:val="006A277A"/>
    <w:rsid w:val="006A5973"/>
    <w:rsid w:val="006A5D3B"/>
    <w:rsid w:val="006A75A2"/>
    <w:rsid w:val="006B04F3"/>
    <w:rsid w:val="006B5E64"/>
    <w:rsid w:val="006B7126"/>
    <w:rsid w:val="006C6B86"/>
    <w:rsid w:val="006D4553"/>
    <w:rsid w:val="006D4A35"/>
    <w:rsid w:val="006D6B44"/>
    <w:rsid w:val="006E0F71"/>
    <w:rsid w:val="006E27FE"/>
    <w:rsid w:val="006E7E49"/>
    <w:rsid w:val="006F2C0C"/>
    <w:rsid w:val="006F4084"/>
    <w:rsid w:val="006F6029"/>
    <w:rsid w:val="00701110"/>
    <w:rsid w:val="00702E91"/>
    <w:rsid w:val="0070330F"/>
    <w:rsid w:val="00703624"/>
    <w:rsid w:val="007046ED"/>
    <w:rsid w:val="0070541F"/>
    <w:rsid w:val="00705B24"/>
    <w:rsid w:val="007072A1"/>
    <w:rsid w:val="0071060C"/>
    <w:rsid w:val="00710BC5"/>
    <w:rsid w:val="007121CA"/>
    <w:rsid w:val="0072003B"/>
    <w:rsid w:val="00721059"/>
    <w:rsid w:val="007211E6"/>
    <w:rsid w:val="007220C4"/>
    <w:rsid w:val="007270ED"/>
    <w:rsid w:val="00727BA0"/>
    <w:rsid w:val="007305ED"/>
    <w:rsid w:val="007311B9"/>
    <w:rsid w:val="00732361"/>
    <w:rsid w:val="007357B9"/>
    <w:rsid w:val="00741AB9"/>
    <w:rsid w:val="00742D03"/>
    <w:rsid w:val="00744216"/>
    <w:rsid w:val="007452E8"/>
    <w:rsid w:val="00746990"/>
    <w:rsid w:val="00747093"/>
    <w:rsid w:val="00747D07"/>
    <w:rsid w:val="00750D70"/>
    <w:rsid w:val="007575D0"/>
    <w:rsid w:val="007662E0"/>
    <w:rsid w:val="00770037"/>
    <w:rsid w:val="00770325"/>
    <w:rsid w:val="00772820"/>
    <w:rsid w:val="007729B3"/>
    <w:rsid w:val="00776E9C"/>
    <w:rsid w:val="007816D8"/>
    <w:rsid w:val="00784150"/>
    <w:rsid w:val="00793272"/>
    <w:rsid w:val="0079499A"/>
    <w:rsid w:val="00794B64"/>
    <w:rsid w:val="007967C3"/>
    <w:rsid w:val="007A0A33"/>
    <w:rsid w:val="007B04DE"/>
    <w:rsid w:val="007B0AE6"/>
    <w:rsid w:val="007B482C"/>
    <w:rsid w:val="007C0AE2"/>
    <w:rsid w:val="007C0F0B"/>
    <w:rsid w:val="007C46B4"/>
    <w:rsid w:val="007C47CD"/>
    <w:rsid w:val="007C57BC"/>
    <w:rsid w:val="007C5A0E"/>
    <w:rsid w:val="007D04CA"/>
    <w:rsid w:val="007D0A2B"/>
    <w:rsid w:val="007D12A1"/>
    <w:rsid w:val="007D40E5"/>
    <w:rsid w:val="007D4138"/>
    <w:rsid w:val="007E090B"/>
    <w:rsid w:val="007E4178"/>
    <w:rsid w:val="007E6443"/>
    <w:rsid w:val="007F0A77"/>
    <w:rsid w:val="007F1E37"/>
    <w:rsid w:val="007F50D3"/>
    <w:rsid w:val="007F55E6"/>
    <w:rsid w:val="007F6B1F"/>
    <w:rsid w:val="008013F0"/>
    <w:rsid w:val="00803926"/>
    <w:rsid w:val="00804897"/>
    <w:rsid w:val="008077D0"/>
    <w:rsid w:val="00807A00"/>
    <w:rsid w:val="0081320B"/>
    <w:rsid w:val="00813211"/>
    <w:rsid w:val="00813E0D"/>
    <w:rsid w:val="00817703"/>
    <w:rsid w:val="008228F3"/>
    <w:rsid w:val="00823CA9"/>
    <w:rsid w:val="00823ECF"/>
    <w:rsid w:val="008309F7"/>
    <w:rsid w:val="00831967"/>
    <w:rsid w:val="008329DB"/>
    <w:rsid w:val="008361C5"/>
    <w:rsid w:val="0083628F"/>
    <w:rsid w:val="00837AB9"/>
    <w:rsid w:val="00842B30"/>
    <w:rsid w:val="00850637"/>
    <w:rsid w:val="00850A9D"/>
    <w:rsid w:val="0085386A"/>
    <w:rsid w:val="00854D98"/>
    <w:rsid w:val="00856876"/>
    <w:rsid w:val="0085751E"/>
    <w:rsid w:val="00860B29"/>
    <w:rsid w:val="008622E8"/>
    <w:rsid w:val="0086456F"/>
    <w:rsid w:val="008645EE"/>
    <w:rsid w:val="00866035"/>
    <w:rsid w:val="00870144"/>
    <w:rsid w:val="0087072C"/>
    <w:rsid w:val="00871312"/>
    <w:rsid w:val="00873D7A"/>
    <w:rsid w:val="008755C6"/>
    <w:rsid w:val="00876502"/>
    <w:rsid w:val="00877CB3"/>
    <w:rsid w:val="008804CF"/>
    <w:rsid w:val="00882D58"/>
    <w:rsid w:val="00882F19"/>
    <w:rsid w:val="00883D35"/>
    <w:rsid w:val="00884569"/>
    <w:rsid w:val="00887A51"/>
    <w:rsid w:val="0089038A"/>
    <w:rsid w:val="00890D9B"/>
    <w:rsid w:val="00891C6C"/>
    <w:rsid w:val="00893CCD"/>
    <w:rsid w:val="008964B3"/>
    <w:rsid w:val="00896B72"/>
    <w:rsid w:val="008A16E1"/>
    <w:rsid w:val="008A2ECD"/>
    <w:rsid w:val="008A4845"/>
    <w:rsid w:val="008A687D"/>
    <w:rsid w:val="008B1CB5"/>
    <w:rsid w:val="008B3643"/>
    <w:rsid w:val="008B7F02"/>
    <w:rsid w:val="008C2D69"/>
    <w:rsid w:val="008C3F98"/>
    <w:rsid w:val="008C4579"/>
    <w:rsid w:val="008C49C6"/>
    <w:rsid w:val="008C754C"/>
    <w:rsid w:val="008D22C7"/>
    <w:rsid w:val="008D56C9"/>
    <w:rsid w:val="008D56CA"/>
    <w:rsid w:val="008D6A54"/>
    <w:rsid w:val="008E2585"/>
    <w:rsid w:val="008E2D7A"/>
    <w:rsid w:val="008F3215"/>
    <w:rsid w:val="008F4A62"/>
    <w:rsid w:val="008F7256"/>
    <w:rsid w:val="0090424C"/>
    <w:rsid w:val="0090605E"/>
    <w:rsid w:val="00906C74"/>
    <w:rsid w:val="009108CE"/>
    <w:rsid w:val="0091138B"/>
    <w:rsid w:val="0091358F"/>
    <w:rsid w:val="0091467D"/>
    <w:rsid w:val="00915A9F"/>
    <w:rsid w:val="00927228"/>
    <w:rsid w:val="00930D58"/>
    <w:rsid w:val="00932F67"/>
    <w:rsid w:val="00935AAA"/>
    <w:rsid w:val="0094767A"/>
    <w:rsid w:val="0095031E"/>
    <w:rsid w:val="009507DB"/>
    <w:rsid w:val="00953B03"/>
    <w:rsid w:val="00954297"/>
    <w:rsid w:val="00960A56"/>
    <w:rsid w:val="009649D0"/>
    <w:rsid w:val="00966EF1"/>
    <w:rsid w:val="00967223"/>
    <w:rsid w:val="009751F7"/>
    <w:rsid w:val="00977B88"/>
    <w:rsid w:val="0098168B"/>
    <w:rsid w:val="00982D50"/>
    <w:rsid w:val="0098350E"/>
    <w:rsid w:val="00990C12"/>
    <w:rsid w:val="00992652"/>
    <w:rsid w:val="00993A28"/>
    <w:rsid w:val="0099404F"/>
    <w:rsid w:val="00996FA5"/>
    <w:rsid w:val="00997E92"/>
    <w:rsid w:val="009B518C"/>
    <w:rsid w:val="009B5662"/>
    <w:rsid w:val="009C1DD3"/>
    <w:rsid w:val="009C2211"/>
    <w:rsid w:val="009C40E8"/>
    <w:rsid w:val="009C45C5"/>
    <w:rsid w:val="009C516D"/>
    <w:rsid w:val="009C7E82"/>
    <w:rsid w:val="009D0786"/>
    <w:rsid w:val="009D1D88"/>
    <w:rsid w:val="009E1C1F"/>
    <w:rsid w:val="009E6858"/>
    <w:rsid w:val="009E6F8C"/>
    <w:rsid w:val="009F1EE7"/>
    <w:rsid w:val="009F405F"/>
    <w:rsid w:val="009F51D4"/>
    <w:rsid w:val="00A01C56"/>
    <w:rsid w:val="00A0423D"/>
    <w:rsid w:val="00A13A0E"/>
    <w:rsid w:val="00A16D2E"/>
    <w:rsid w:val="00A32C50"/>
    <w:rsid w:val="00A32F10"/>
    <w:rsid w:val="00A358E7"/>
    <w:rsid w:val="00A4228E"/>
    <w:rsid w:val="00A4380B"/>
    <w:rsid w:val="00A50026"/>
    <w:rsid w:val="00A511F9"/>
    <w:rsid w:val="00A51A2D"/>
    <w:rsid w:val="00A5596B"/>
    <w:rsid w:val="00A63C07"/>
    <w:rsid w:val="00A63D9B"/>
    <w:rsid w:val="00A66DBE"/>
    <w:rsid w:val="00A704DC"/>
    <w:rsid w:val="00A87A41"/>
    <w:rsid w:val="00A9356F"/>
    <w:rsid w:val="00A93DC6"/>
    <w:rsid w:val="00A9411A"/>
    <w:rsid w:val="00A94A9C"/>
    <w:rsid w:val="00A9537C"/>
    <w:rsid w:val="00A9606C"/>
    <w:rsid w:val="00A964D8"/>
    <w:rsid w:val="00A972B6"/>
    <w:rsid w:val="00AA026D"/>
    <w:rsid w:val="00AA1BA8"/>
    <w:rsid w:val="00AA44D4"/>
    <w:rsid w:val="00AA4A4B"/>
    <w:rsid w:val="00AA6682"/>
    <w:rsid w:val="00AB0613"/>
    <w:rsid w:val="00AB2E33"/>
    <w:rsid w:val="00AB3D9C"/>
    <w:rsid w:val="00AB74E8"/>
    <w:rsid w:val="00AB7C5C"/>
    <w:rsid w:val="00AB7CBF"/>
    <w:rsid w:val="00AC5708"/>
    <w:rsid w:val="00AD0111"/>
    <w:rsid w:val="00AD0133"/>
    <w:rsid w:val="00AD0B68"/>
    <w:rsid w:val="00AD40C3"/>
    <w:rsid w:val="00AD4C72"/>
    <w:rsid w:val="00AD5451"/>
    <w:rsid w:val="00AE1947"/>
    <w:rsid w:val="00AE7B29"/>
    <w:rsid w:val="00AF1C8B"/>
    <w:rsid w:val="00AF24B1"/>
    <w:rsid w:val="00AF299B"/>
    <w:rsid w:val="00AF6D3C"/>
    <w:rsid w:val="00AF7E43"/>
    <w:rsid w:val="00B00AE6"/>
    <w:rsid w:val="00B02373"/>
    <w:rsid w:val="00B02AE0"/>
    <w:rsid w:val="00B03F25"/>
    <w:rsid w:val="00B051F4"/>
    <w:rsid w:val="00B05326"/>
    <w:rsid w:val="00B07968"/>
    <w:rsid w:val="00B103DE"/>
    <w:rsid w:val="00B14545"/>
    <w:rsid w:val="00B14E60"/>
    <w:rsid w:val="00B159E3"/>
    <w:rsid w:val="00B17ADB"/>
    <w:rsid w:val="00B17BA2"/>
    <w:rsid w:val="00B223C2"/>
    <w:rsid w:val="00B26DC3"/>
    <w:rsid w:val="00B30B9D"/>
    <w:rsid w:val="00B34B75"/>
    <w:rsid w:val="00B4574D"/>
    <w:rsid w:val="00B468E1"/>
    <w:rsid w:val="00B46BC0"/>
    <w:rsid w:val="00B46DFB"/>
    <w:rsid w:val="00B5141B"/>
    <w:rsid w:val="00B54BA4"/>
    <w:rsid w:val="00B55681"/>
    <w:rsid w:val="00B57AAD"/>
    <w:rsid w:val="00B615CC"/>
    <w:rsid w:val="00B6374E"/>
    <w:rsid w:val="00B72B16"/>
    <w:rsid w:val="00B80408"/>
    <w:rsid w:val="00B80A32"/>
    <w:rsid w:val="00B80C20"/>
    <w:rsid w:val="00B81043"/>
    <w:rsid w:val="00B81397"/>
    <w:rsid w:val="00B83997"/>
    <w:rsid w:val="00B87D5E"/>
    <w:rsid w:val="00B925A8"/>
    <w:rsid w:val="00B925DB"/>
    <w:rsid w:val="00B967FF"/>
    <w:rsid w:val="00B96A53"/>
    <w:rsid w:val="00B974B9"/>
    <w:rsid w:val="00BA1811"/>
    <w:rsid w:val="00BA3F6D"/>
    <w:rsid w:val="00BA4097"/>
    <w:rsid w:val="00BA4BE6"/>
    <w:rsid w:val="00BA4FC0"/>
    <w:rsid w:val="00BA5534"/>
    <w:rsid w:val="00BA61E0"/>
    <w:rsid w:val="00BA657C"/>
    <w:rsid w:val="00BA7F7D"/>
    <w:rsid w:val="00BB1C14"/>
    <w:rsid w:val="00BB6847"/>
    <w:rsid w:val="00BB7F8F"/>
    <w:rsid w:val="00BC0D5E"/>
    <w:rsid w:val="00BC716A"/>
    <w:rsid w:val="00BC79CB"/>
    <w:rsid w:val="00BC7DFF"/>
    <w:rsid w:val="00BD07DF"/>
    <w:rsid w:val="00BD26F4"/>
    <w:rsid w:val="00BD5DBD"/>
    <w:rsid w:val="00BD5DF6"/>
    <w:rsid w:val="00BE0041"/>
    <w:rsid w:val="00BE24B4"/>
    <w:rsid w:val="00BE640F"/>
    <w:rsid w:val="00BE6785"/>
    <w:rsid w:val="00BE6D2A"/>
    <w:rsid w:val="00BF2B38"/>
    <w:rsid w:val="00BF2DCA"/>
    <w:rsid w:val="00BF339F"/>
    <w:rsid w:val="00BF4638"/>
    <w:rsid w:val="00BF5130"/>
    <w:rsid w:val="00C00844"/>
    <w:rsid w:val="00C059D0"/>
    <w:rsid w:val="00C06B8C"/>
    <w:rsid w:val="00C07551"/>
    <w:rsid w:val="00C1109F"/>
    <w:rsid w:val="00C12D65"/>
    <w:rsid w:val="00C133AB"/>
    <w:rsid w:val="00C14137"/>
    <w:rsid w:val="00C15BAD"/>
    <w:rsid w:val="00C20B56"/>
    <w:rsid w:val="00C21B32"/>
    <w:rsid w:val="00C22214"/>
    <w:rsid w:val="00C26F72"/>
    <w:rsid w:val="00C309A7"/>
    <w:rsid w:val="00C32319"/>
    <w:rsid w:val="00C335AB"/>
    <w:rsid w:val="00C36B65"/>
    <w:rsid w:val="00C407AB"/>
    <w:rsid w:val="00C412BE"/>
    <w:rsid w:val="00C52B7B"/>
    <w:rsid w:val="00C5355A"/>
    <w:rsid w:val="00C547CD"/>
    <w:rsid w:val="00C570FF"/>
    <w:rsid w:val="00C57CEA"/>
    <w:rsid w:val="00C60FEC"/>
    <w:rsid w:val="00C617FD"/>
    <w:rsid w:val="00C62B1C"/>
    <w:rsid w:val="00C6574E"/>
    <w:rsid w:val="00C65EB4"/>
    <w:rsid w:val="00C663D1"/>
    <w:rsid w:val="00C70696"/>
    <w:rsid w:val="00C707FD"/>
    <w:rsid w:val="00C76DEB"/>
    <w:rsid w:val="00C811D8"/>
    <w:rsid w:val="00C816C6"/>
    <w:rsid w:val="00C82195"/>
    <w:rsid w:val="00C860E3"/>
    <w:rsid w:val="00C863A7"/>
    <w:rsid w:val="00C912F4"/>
    <w:rsid w:val="00C9156F"/>
    <w:rsid w:val="00C9581A"/>
    <w:rsid w:val="00C97D29"/>
    <w:rsid w:val="00CA3CE7"/>
    <w:rsid w:val="00CB0550"/>
    <w:rsid w:val="00CB6813"/>
    <w:rsid w:val="00CC1472"/>
    <w:rsid w:val="00CC310F"/>
    <w:rsid w:val="00CE3296"/>
    <w:rsid w:val="00CE7645"/>
    <w:rsid w:val="00CF293D"/>
    <w:rsid w:val="00CF333E"/>
    <w:rsid w:val="00CF5292"/>
    <w:rsid w:val="00CF6A55"/>
    <w:rsid w:val="00CF6DC6"/>
    <w:rsid w:val="00CF6DCF"/>
    <w:rsid w:val="00D01DDB"/>
    <w:rsid w:val="00D03CFD"/>
    <w:rsid w:val="00D04155"/>
    <w:rsid w:val="00D078BE"/>
    <w:rsid w:val="00D12495"/>
    <w:rsid w:val="00D12604"/>
    <w:rsid w:val="00D13F8A"/>
    <w:rsid w:val="00D143F6"/>
    <w:rsid w:val="00D14A72"/>
    <w:rsid w:val="00D16F60"/>
    <w:rsid w:val="00D22981"/>
    <w:rsid w:val="00D31FC1"/>
    <w:rsid w:val="00D3349B"/>
    <w:rsid w:val="00D344DF"/>
    <w:rsid w:val="00D424A8"/>
    <w:rsid w:val="00D47C1D"/>
    <w:rsid w:val="00D51E9A"/>
    <w:rsid w:val="00D6036F"/>
    <w:rsid w:val="00D60B03"/>
    <w:rsid w:val="00D62877"/>
    <w:rsid w:val="00D63760"/>
    <w:rsid w:val="00D64703"/>
    <w:rsid w:val="00D6703F"/>
    <w:rsid w:val="00D734EB"/>
    <w:rsid w:val="00D7505F"/>
    <w:rsid w:val="00D82713"/>
    <w:rsid w:val="00D86F00"/>
    <w:rsid w:val="00D915C6"/>
    <w:rsid w:val="00D918D5"/>
    <w:rsid w:val="00D94C8E"/>
    <w:rsid w:val="00DA4C19"/>
    <w:rsid w:val="00DA73D7"/>
    <w:rsid w:val="00DB1372"/>
    <w:rsid w:val="00DB16A4"/>
    <w:rsid w:val="00DB192C"/>
    <w:rsid w:val="00DB1CF3"/>
    <w:rsid w:val="00DB5425"/>
    <w:rsid w:val="00DB72A6"/>
    <w:rsid w:val="00DC33AF"/>
    <w:rsid w:val="00DC6611"/>
    <w:rsid w:val="00DC7473"/>
    <w:rsid w:val="00DD5AFB"/>
    <w:rsid w:val="00DE1344"/>
    <w:rsid w:val="00DE7C2C"/>
    <w:rsid w:val="00DF1CFD"/>
    <w:rsid w:val="00DF5BFE"/>
    <w:rsid w:val="00DF7377"/>
    <w:rsid w:val="00E01CD2"/>
    <w:rsid w:val="00E0523F"/>
    <w:rsid w:val="00E07BA0"/>
    <w:rsid w:val="00E10E94"/>
    <w:rsid w:val="00E15CA3"/>
    <w:rsid w:val="00E17F13"/>
    <w:rsid w:val="00E23E50"/>
    <w:rsid w:val="00E26213"/>
    <w:rsid w:val="00E274DF"/>
    <w:rsid w:val="00E30357"/>
    <w:rsid w:val="00E32527"/>
    <w:rsid w:val="00E34AF6"/>
    <w:rsid w:val="00E34D66"/>
    <w:rsid w:val="00E362C4"/>
    <w:rsid w:val="00E46CC2"/>
    <w:rsid w:val="00E47E0C"/>
    <w:rsid w:val="00E5085D"/>
    <w:rsid w:val="00E51813"/>
    <w:rsid w:val="00E52C0B"/>
    <w:rsid w:val="00E53D3F"/>
    <w:rsid w:val="00E5579B"/>
    <w:rsid w:val="00E57FF4"/>
    <w:rsid w:val="00E60E4A"/>
    <w:rsid w:val="00E6542A"/>
    <w:rsid w:val="00E679D1"/>
    <w:rsid w:val="00E67C1C"/>
    <w:rsid w:val="00E762B9"/>
    <w:rsid w:val="00E91F11"/>
    <w:rsid w:val="00E9706D"/>
    <w:rsid w:val="00EA3AF4"/>
    <w:rsid w:val="00EA3C8D"/>
    <w:rsid w:val="00EA3F4E"/>
    <w:rsid w:val="00EB1C62"/>
    <w:rsid w:val="00EC527C"/>
    <w:rsid w:val="00ED0E79"/>
    <w:rsid w:val="00ED7F6B"/>
    <w:rsid w:val="00EE4B01"/>
    <w:rsid w:val="00EF3F0B"/>
    <w:rsid w:val="00EF5583"/>
    <w:rsid w:val="00F0289D"/>
    <w:rsid w:val="00F02AEC"/>
    <w:rsid w:val="00F07572"/>
    <w:rsid w:val="00F157FC"/>
    <w:rsid w:val="00F16E7C"/>
    <w:rsid w:val="00F30AF3"/>
    <w:rsid w:val="00F36A92"/>
    <w:rsid w:val="00F3735C"/>
    <w:rsid w:val="00F37A41"/>
    <w:rsid w:val="00F43CD1"/>
    <w:rsid w:val="00F45AE0"/>
    <w:rsid w:val="00F60CF2"/>
    <w:rsid w:val="00F61A2C"/>
    <w:rsid w:val="00F657B4"/>
    <w:rsid w:val="00F72725"/>
    <w:rsid w:val="00F74314"/>
    <w:rsid w:val="00F74ECA"/>
    <w:rsid w:val="00F7649F"/>
    <w:rsid w:val="00F8083B"/>
    <w:rsid w:val="00F82D1B"/>
    <w:rsid w:val="00F8568E"/>
    <w:rsid w:val="00F865A7"/>
    <w:rsid w:val="00F9594F"/>
    <w:rsid w:val="00FA0754"/>
    <w:rsid w:val="00FA1BC9"/>
    <w:rsid w:val="00FA49C3"/>
    <w:rsid w:val="00FB236E"/>
    <w:rsid w:val="00FB3F7B"/>
    <w:rsid w:val="00FB4C2A"/>
    <w:rsid w:val="00FB6E23"/>
    <w:rsid w:val="00FC2107"/>
    <w:rsid w:val="00FC48FE"/>
    <w:rsid w:val="00FC6F56"/>
    <w:rsid w:val="00FD148B"/>
    <w:rsid w:val="00FD4DC3"/>
    <w:rsid w:val="00FD739D"/>
    <w:rsid w:val="00FE087C"/>
    <w:rsid w:val="00FE79A0"/>
    <w:rsid w:val="00FF033F"/>
    <w:rsid w:val="00FF0939"/>
    <w:rsid w:val="00FF2DD6"/>
    <w:rsid w:val="00FF3B51"/>
    <w:rsid w:val="00FF57E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C4C024"/>
  <w15:chartTrackingRefBased/>
  <w15:docId w15:val="{3B7A0CE6-F5BB-4D40-8ED5-1531A62F0C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lang w:val="en-AU" w:eastAsia="en-US" w:bidi="ar-SA"/>
      </w:rPr>
    </w:rPrDefault>
    <w:pPrDefault>
      <w:pPr>
        <w:spacing w:after="12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2" w:unhideWhenUsed="1" w:qFormat="1"/>
    <w:lsdException w:name="List Bullet 3" w:semiHidden="1" w:uiPriority="2"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149C"/>
    <w:rPr>
      <w:rFonts w:ascii="Cambria" w:hAnsi="Cambria"/>
      <w:sz w:val="22"/>
    </w:rPr>
  </w:style>
  <w:style w:type="paragraph" w:styleId="Heading1">
    <w:name w:val="heading 1"/>
    <w:basedOn w:val="Normal"/>
    <w:next w:val="Normal"/>
    <w:link w:val="Heading1Char"/>
    <w:uiPriority w:val="9"/>
    <w:qFormat/>
    <w:rsid w:val="00254B4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qFormat/>
    <w:rsid w:val="00F02AEC"/>
    <w:pPr>
      <w:keepNext/>
      <w:keepLines/>
      <w:spacing w:before="480" w:line="240" w:lineRule="atLeast"/>
      <w:outlineLvl w:val="1"/>
    </w:pPr>
    <w:rPr>
      <w:rFonts w:ascii="Arial" w:eastAsia="Times New Roman" w:hAnsi="Arial" w:cs="Times New Roman"/>
      <w:b/>
      <w:bCs/>
      <w:color w:val="001871"/>
      <w:sz w:val="38"/>
      <w:szCs w:val="38"/>
    </w:rPr>
  </w:style>
  <w:style w:type="paragraph" w:styleId="Heading3">
    <w:name w:val="heading 3"/>
    <w:basedOn w:val="Normal"/>
    <w:next w:val="Normal"/>
    <w:link w:val="Heading3Char"/>
    <w:qFormat/>
    <w:rsid w:val="00F02AEC"/>
    <w:pPr>
      <w:keepNext/>
      <w:keepLines/>
      <w:spacing w:before="480" w:line="240" w:lineRule="atLeast"/>
      <w:outlineLvl w:val="2"/>
    </w:pPr>
    <w:rPr>
      <w:rFonts w:ascii="Arial" w:eastAsia="Times New Roman" w:hAnsi="Arial" w:cs="Times New Roman"/>
      <w:b/>
      <w:bCs/>
      <w:color w:val="001871"/>
      <w:sz w:val="32"/>
      <w:szCs w:val="32"/>
    </w:rPr>
  </w:style>
  <w:style w:type="paragraph" w:styleId="Heading4">
    <w:name w:val="heading 4"/>
    <w:basedOn w:val="Normal"/>
    <w:next w:val="Normal"/>
    <w:link w:val="Heading4Char"/>
    <w:qFormat/>
    <w:rsid w:val="00F02AEC"/>
    <w:pPr>
      <w:keepNext/>
      <w:keepLines/>
      <w:spacing w:before="360" w:line="240" w:lineRule="atLeast"/>
      <w:outlineLvl w:val="3"/>
    </w:pPr>
    <w:rPr>
      <w:rFonts w:ascii="Arial" w:eastAsia="Cambria" w:hAnsi="Arial" w:cs="Times New Roman"/>
      <w:b/>
      <w:bCs/>
      <w:color w:val="001871"/>
      <w:sz w:val="28"/>
      <w:szCs w:val="26"/>
    </w:rPr>
  </w:style>
  <w:style w:type="paragraph" w:styleId="Heading5">
    <w:name w:val="heading 5"/>
    <w:basedOn w:val="Normal"/>
    <w:next w:val="Normal"/>
    <w:link w:val="Heading5Char"/>
    <w:uiPriority w:val="9"/>
    <w:rsid w:val="00F02AEC"/>
    <w:pPr>
      <w:keepNext/>
      <w:keepLines/>
      <w:spacing w:before="240" w:line="240" w:lineRule="atLeast"/>
      <w:outlineLvl w:val="4"/>
    </w:pPr>
    <w:rPr>
      <w:rFonts w:ascii="Arial" w:eastAsia="Times New Roman" w:hAnsi="Arial" w:cs="Times New Roman"/>
      <w:b/>
      <w:bCs/>
      <w:i/>
      <w:color w:val="001871"/>
      <w:sz w:val="26"/>
      <w:szCs w:val="26"/>
    </w:rPr>
  </w:style>
  <w:style w:type="paragraph" w:styleId="Heading6">
    <w:name w:val="heading 6"/>
    <w:basedOn w:val="Normal"/>
    <w:next w:val="Normal"/>
    <w:link w:val="Heading6Char"/>
    <w:uiPriority w:val="9"/>
    <w:rsid w:val="00F02AEC"/>
    <w:pPr>
      <w:keepNext/>
      <w:keepLines/>
      <w:spacing w:before="240" w:line="240" w:lineRule="atLeast"/>
      <w:outlineLvl w:val="5"/>
    </w:pPr>
    <w:rPr>
      <w:rFonts w:ascii="Arial" w:eastAsia="Times New Roman" w:hAnsi="Arial" w:cs="Times New Roman"/>
      <w:b/>
      <w:bCs/>
      <w:i/>
      <w:color w:val="001871"/>
      <w:sz w:val="24"/>
      <w:szCs w:val="21"/>
    </w:rPr>
  </w:style>
  <w:style w:type="paragraph" w:styleId="Heading7">
    <w:name w:val="heading 7"/>
    <w:basedOn w:val="Normal"/>
    <w:next w:val="Normal"/>
    <w:link w:val="Heading7Char"/>
    <w:uiPriority w:val="9"/>
    <w:unhideWhenUsed/>
    <w:qFormat/>
    <w:rsid w:val="00046562"/>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unhideWhenUsed/>
    <w:qFormat/>
    <w:rsid w:val="00896B72"/>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TGAblue2023">
    <w:name w:val="Table TGA blue 2023"/>
    <w:basedOn w:val="TableNormal"/>
    <w:uiPriority w:val="99"/>
    <w:qFormat/>
    <w:rsid w:val="008329DB"/>
    <w:pPr>
      <w:spacing w:before="80" w:after="40" w:line="264" w:lineRule="auto"/>
      <w:ind w:left="113"/>
    </w:pPr>
    <w:rPr>
      <w:rFonts w:ascii="Arial" w:eastAsia="Cambria" w:hAnsi="Arial" w:cs="Times New Roman"/>
      <w:color w:val="000000"/>
      <w:sz w:val="18"/>
      <w:szCs w:val="21"/>
      <w:lang w:eastAsia="en-AU"/>
    </w:rPr>
    <w:tblPr>
      <w:tblBorders>
        <w:top w:val="single" w:sz="4" w:space="0" w:color="263287"/>
        <w:left w:val="single" w:sz="4" w:space="0" w:color="263287"/>
        <w:bottom w:val="single" w:sz="4" w:space="0" w:color="263287"/>
        <w:right w:val="single" w:sz="4" w:space="0" w:color="263287"/>
        <w:insideH w:val="single" w:sz="4" w:space="0" w:color="263287"/>
        <w:insideV w:val="single" w:sz="4" w:space="0" w:color="263287"/>
      </w:tblBorders>
    </w:tblPr>
    <w:trPr>
      <w:cantSplit/>
    </w:trPr>
    <w:tcPr>
      <w:shd w:val="clear" w:color="auto" w:fill="FFFFFF" w:themeFill="background1"/>
    </w:tcPr>
    <w:tblStylePr w:type="firstRow">
      <w:pPr>
        <w:keepNext/>
        <w:wordWrap/>
      </w:pPr>
      <w:rPr>
        <w:rFonts w:ascii="Arial" w:hAnsi="Arial"/>
        <w:b/>
        <w:color w:val="263287"/>
        <w:sz w:val="22"/>
      </w:rPr>
      <w:tblPr/>
      <w:trPr>
        <w:tblHeader/>
      </w:trPr>
      <w:tcPr>
        <w:shd w:val="clear" w:color="auto" w:fill="DEEAF6" w:themeFill="accent5" w:themeFillTint="33"/>
      </w:tcPr>
    </w:tblStylePr>
    <w:tblStylePr w:type="firstCol">
      <w:pPr>
        <w:keepNext w:val="0"/>
        <w:wordWrap/>
      </w:pPr>
    </w:tblStylePr>
  </w:style>
  <w:style w:type="character" w:customStyle="1" w:styleId="Heading2Char">
    <w:name w:val="Heading 2 Char"/>
    <w:basedOn w:val="DefaultParagraphFont"/>
    <w:link w:val="Heading2"/>
    <w:rsid w:val="00F02AEC"/>
    <w:rPr>
      <w:rFonts w:ascii="Arial" w:eastAsia="Times New Roman" w:hAnsi="Arial" w:cs="Times New Roman"/>
      <w:b/>
      <w:bCs/>
      <w:color w:val="001871"/>
      <w:sz w:val="38"/>
      <w:szCs w:val="38"/>
    </w:rPr>
  </w:style>
  <w:style w:type="character" w:customStyle="1" w:styleId="Heading3Char">
    <w:name w:val="Heading 3 Char"/>
    <w:basedOn w:val="DefaultParagraphFont"/>
    <w:link w:val="Heading3"/>
    <w:rsid w:val="00F02AEC"/>
    <w:rPr>
      <w:rFonts w:ascii="Arial" w:eastAsia="Times New Roman" w:hAnsi="Arial" w:cs="Times New Roman"/>
      <w:b/>
      <w:bCs/>
      <w:color w:val="001871"/>
      <w:sz w:val="32"/>
      <w:szCs w:val="32"/>
    </w:rPr>
  </w:style>
  <w:style w:type="character" w:customStyle="1" w:styleId="Heading4Char">
    <w:name w:val="Heading 4 Char"/>
    <w:basedOn w:val="DefaultParagraphFont"/>
    <w:link w:val="Heading4"/>
    <w:rsid w:val="00F02AEC"/>
    <w:rPr>
      <w:rFonts w:ascii="Arial" w:eastAsia="Cambria" w:hAnsi="Arial" w:cs="Times New Roman"/>
      <w:b/>
      <w:bCs/>
      <w:color w:val="001871"/>
      <w:sz w:val="28"/>
      <w:szCs w:val="26"/>
    </w:rPr>
  </w:style>
  <w:style w:type="character" w:customStyle="1" w:styleId="Heading5Char">
    <w:name w:val="Heading 5 Char"/>
    <w:basedOn w:val="DefaultParagraphFont"/>
    <w:link w:val="Heading5"/>
    <w:uiPriority w:val="9"/>
    <w:rsid w:val="00F02AEC"/>
    <w:rPr>
      <w:rFonts w:ascii="Arial" w:eastAsia="Times New Roman" w:hAnsi="Arial" w:cs="Times New Roman"/>
      <w:b/>
      <w:bCs/>
      <w:i/>
      <w:color w:val="001871"/>
      <w:sz w:val="26"/>
      <w:szCs w:val="26"/>
    </w:rPr>
  </w:style>
  <w:style w:type="character" w:customStyle="1" w:styleId="Heading6Char">
    <w:name w:val="Heading 6 Char"/>
    <w:basedOn w:val="DefaultParagraphFont"/>
    <w:link w:val="Heading6"/>
    <w:uiPriority w:val="9"/>
    <w:rsid w:val="00F02AEC"/>
    <w:rPr>
      <w:rFonts w:ascii="Arial" w:eastAsia="Times New Roman" w:hAnsi="Arial" w:cs="Times New Roman"/>
      <w:b/>
      <w:bCs/>
      <w:i/>
      <w:color w:val="001871"/>
      <w:sz w:val="24"/>
      <w:szCs w:val="21"/>
    </w:rPr>
  </w:style>
  <w:style w:type="paragraph" w:styleId="Date">
    <w:name w:val="Date"/>
    <w:basedOn w:val="Normal"/>
    <w:next w:val="Normal"/>
    <w:link w:val="DateChar"/>
    <w:uiPriority w:val="99"/>
    <w:rsid w:val="00F02AEC"/>
    <w:pPr>
      <w:spacing w:before="120" w:after="0" w:line="240" w:lineRule="atLeast"/>
    </w:pPr>
    <w:rPr>
      <w:rFonts w:ascii="Arial" w:eastAsia="Cambria" w:hAnsi="Arial" w:cs="Times New Roman"/>
      <w:color w:val="333F4A"/>
      <w:sz w:val="28"/>
    </w:rPr>
  </w:style>
  <w:style w:type="character" w:customStyle="1" w:styleId="DateChar">
    <w:name w:val="Date Char"/>
    <w:basedOn w:val="DefaultParagraphFont"/>
    <w:link w:val="Date"/>
    <w:uiPriority w:val="99"/>
    <w:rsid w:val="00F02AEC"/>
    <w:rPr>
      <w:rFonts w:ascii="Arial" w:eastAsia="Cambria" w:hAnsi="Arial" w:cs="Times New Roman"/>
      <w:color w:val="333F4A"/>
      <w:sz w:val="28"/>
      <w:szCs w:val="20"/>
    </w:rPr>
  </w:style>
  <w:style w:type="paragraph" w:styleId="Footer">
    <w:name w:val="footer"/>
    <w:basedOn w:val="Normal"/>
    <w:link w:val="FooterChar"/>
    <w:uiPriority w:val="99"/>
    <w:rsid w:val="0056766D"/>
    <w:pPr>
      <w:tabs>
        <w:tab w:val="center" w:pos="4513"/>
        <w:tab w:val="right" w:pos="9026"/>
      </w:tabs>
      <w:spacing w:after="0" w:line="240" w:lineRule="auto"/>
    </w:pPr>
    <w:rPr>
      <w:rFonts w:eastAsia="Cambria" w:cs="Times New Roman"/>
      <w:color w:val="333F4A"/>
      <w:sz w:val="17"/>
    </w:rPr>
  </w:style>
  <w:style w:type="character" w:customStyle="1" w:styleId="FooterChar">
    <w:name w:val="Footer Char"/>
    <w:basedOn w:val="DefaultParagraphFont"/>
    <w:link w:val="Footer"/>
    <w:uiPriority w:val="99"/>
    <w:rsid w:val="0056766D"/>
    <w:rPr>
      <w:rFonts w:ascii="Cambria" w:eastAsia="Cambria" w:hAnsi="Cambria" w:cs="Times New Roman"/>
      <w:color w:val="333F4A"/>
      <w:sz w:val="17"/>
    </w:rPr>
  </w:style>
  <w:style w:type="paragraph" w:styleId="Header">
    <w:name w:val="header"/>
    <w:basedOn w:val="Normal"/>
    <w:link w:val="HeaderChar"/>
    <w:uiPriority w:val="99"/>
    <w:rsid w:val="00F02AEC"/>
    <w:pPr>
      <w:pBdr>
        <w:bottom w:val="single" w:sz="4" w:space="3" w:color="auto"/>
      </w:pBdr>
      <w:tabs>
        <w:tab w:val="center" w:pos="4513"/>
        <w:tab w:val="right" w:pos="9026"/>
      </w:tabs>
      <w:spacing w:after="0" w:line="240" w:lineRule="auto"/>
      <w:jc w:val="right"/>
    </w:pPr>
    <w:rPr>
      <w:rFonts w:ascii="Arial" w:eastAsia="Cambria" w:hAnsi="Arial" w:cs="Times New Roman"/>
      <w:color w:val="333F4A"/>
      <w:sz w:val="17"/>
    </w:rPr>
  </w:style>
  <w:style w:type="character" w:customStyle="1" w:styleId="HeaderChar">
    <w:name w:val="Header Char"/>
    <w:basedOn w:val="DefaultParagraphFont"/>
    <w:link w:val="Header"/>
    <w:uiPriority w:val="99"/>
    <w:rsid w:val="00F02AEC"/>
    <w:rPr>
      <w:rFonts w:ascii="Arial" w:eastAsia="Cambria" w:hAnsi="Arial" w:cs="Times New Roman"/>
      <w:color w:val="333F4A"/>
      <w:sz w:val="17"/>
      <w:szCs w:val="20"/>
    </w:rPr>
  </w:style>
  <w:style w:type="character" w:styleId="Hyperlink">
    <w:name w:val="Hyperlink"/>
    <w:basedOn w:val="DefaultParagraphFont"/>
    <w:uiPriority w:val="99"/>
    <w:unhideWhenUsed/>
    <w:rsid w:val="0056766D"/>
    <w:rPr>
      <w:rFonts w:ascii="Cambria" w:hAnsi="Cambria"/>
      <w:color w:val="0000FF"/>
      <w:u w:val="single"/>
    </w:rPr>
  </w:style>
  <w:style w:type="paragraph" w:customStyle="1" w:styleId="LegalCopy">
    <w:name w:val="Legal Copy"/>
    <w:basedOn w:val="Footer"/>
    <w:rsid w:val="0056766D"/>
  </w:style>
  <w:style w:type="paragraph" w:customStyle="1" w:styleId="LegalSubheading">
    <w:name w:val="Legal Subheading"/>
    <w:basedOn w:val="Footer"/>
    <w:rsid w:val="0056766D"/>
    <w:pPr>
      <w:outlineLvl w:val="1"/>
    </w:pPr>
    <w:rPr>
      <w:b/>
    </w:rPr>
  </w:style>
  <w:style w:type="paragraph" w:styleId="ListBullet">
    <w:name w:val="List Bullet"/>
    <w:basedOn w:val="Normal"/>
    <w:uiPriority w:val="2"/>
    <w:qFormat/>
    <w:rsid w:val="00FC6F56"/>
    <w:pPr>
      <w:numPr>
        <w:numId w:val="1"/>
      </w:numPr>
      <w:spacing w:before="120" w:after="180" w:line="240" w:lineRule="atLeast"/>
    </w:pPr>
    <w:rPr>
      <w:rFonts w:eastAsia="Cambria" w:cs="Times New Roman"/>
      <w:color w:val="000000" w:themeColor="text1"/>
    </w:rPr>
  </w:style>
  <w:style w:type="paragraph" w:styleId="ListBullet2">
    <w:name w:val="List Bullet 2"/>
    <w:basedOn w:val="Normal"/>
    <w:uiPriority w:val="2"/>
    <w:qFormat/>
    <w:rsid w:val="00FC6F56"/>
    <w:pPr>
      <w:numPr>
        <w:ilvl w:val="1"/>
        <w:numId w:val="1"/>
      </w:numPr>
      <w:spacing w:before="120" w:after="180" w:line="240" w:lineRule="atLeast"/>
      <w:ind w:left="850" w:hanging="425"/>
    </w:pPr>
    <w:rPr>
      <w:rFonts w:eastAsia="Cambria" w:cs="Times New Roman"/>
      <w:color w:val="000000" w:themeColor="text1"/>
    </w:rPr>
  </w:style>
  <w:style w:type="paragraph" w:styleId="ListBullet3">
    <w:name w:val="List Bullet 3"/>
    <w:basedOn w:val="Normal"/>
    <w:uiPriority w:val="2"/>
    <w:qFormat/>
    <w:rsid w:val="00FC6F56"/>
    <w:pPr>
      <w:numPr>
        <w:numId w:val="3"/>
      </w:numPr>
      <w:spacing w:before="120" w:after="180" w:line="240" w:lineRule="atLeast"/>
      <w:ind w:left="1276" w:hanging="425"/>
    </w:pPr>
    <w:rPr>
      <w:rFonts w:eastAsia="Cambria" w:cs="Times New Roman"/>
    </w:rPr>
  </w:style>
  <w:style w:type="numbering" w:customStyle="1" w:styleId="ListBullets">
    <w:name w:val="ListBullets"/>
    <w:uiPriority w:val="99"/>
    <w:locked/>
    <w:rsid w:val="00F02AEC"/>
    <w:pPr>
      <w:numPr>
        <w:numId w:val="1"/>
      </w:numPr>
    </w:pPr>
  </w:style>
  <w:style w:type="paragraph" w:customStyle="1" w:styleId="Numberbullet0">
    <w:name w:val="Number bullet"/>
    <w:basedOn w:val="ListBullet"/>
    <w:uiPriority w:val="2"/>
    <w:qFormat/>
    <w:rsid w:val="00FC6F56"/>
    <w:pPr>
      <w:numPr>
        <w:numId w:val="2"/>
      </w:numPr>
    </w:pPr>
  </w:style>
  <w:style w:type="paragraph" w:customStyle="1" w:styleId="Numberbullet2">
    <w:name w:val="Number bullet 2"/>
    <w:basedOn w:val="ListBullet2"/>
    <w:uiPriority w:val="2"/>
    <w:qFormat/>
    <w:rsid w:val="00F02AEC"/>
    <w:pPr>
      <w:numPr>
        <w:numId w:val="2"/>
      </w:numPr>
      <w:ind w:left="850" w:hanging="425"/>
    </w:pPr>
  </w:style>
  <w:style w:type="paragraph" w:customStyle="1" w:styleId="Numberbullet3">
    <w:name w:val="Number bullet 3"/>
    <w:basedOn w:val="Normal"/>
    <w:uiPriority w:val="2"/>
    <w:qFormat/>
    <w:rsid w:val="00F02AEC"/>
    <w:pPr>
      <w:numPr>
        <w:numId w:val="4"/>
      </w:numPr>
      <w:spacing w:before="120" w:after="180" w:line="240" w:lineRule="atLeast"/>
      <w:ind w:left="1361" w:hanging="397"/>
    </w:pPr>
    <w:rPr>
      <w:rFonts w:ascii="Arial" w:eastAsia="Cambria" w:hAnsi="Arial" w:cs="Times New Roman"/>
      <w:color w:val="333F48"/>
    </w:rPr>
  </w:style>
  <w:style w:type="numbering" w:customStyle="1" w:styleId="NumberBullet">
    <w:name w:val="NumberBullet"/>
    <w:uiPriority w:val="99"/>
    <w:locked/>
    <w:rsid w:val="00F02AEC"/>
    <w:pPr>
      <w:numPr>
        <w:numId w:val="2"/>
      </w:numPr>
    </w:pPr>
  </w:style>
  <w:style w:type="paragraph" w:styleId="Subtitle">
    <w:name w:val="Subtitle"/>
    <w:basedOn w:val="Normal"/>
    <w:link w:val="SubtitleChar"/>
    <w:uiPriority w:val="11"/>
    <w:rsid w:val="00F02AEC"/>
    <w:pPr>
      <w:numPr>
        <w:ilvl w:val="1"/>
      </w:numPr>
      <w:spacing w:after="0" w:line="240" w:lineRule="atLeast"/>
      <w:ind w:left="170"/>
    </w:pPr>
    <w:rPr>
      <w:rFonts w:ascii="Arial" w:eastAsia="Times New Roman" w:hAnsi="Arial" w:cs="Times New Roman"/>
      <w:bCs/>
      <w:iCs/>
      <w:color w:val="006BA6"/>
      <w:sz w:val="40"/>
      <w:szCs w:val="24"/>
    </w:rPr>
  </w:style>
  <w:style w:type="character" w:customStyle="1" w:styleId="SubtitleChar">
    <w:name w:val="Subtitle Char"/>
    <w:basedOn w:val="DefaultParagraphFont"/>
    <w:link w:val="Subtitle"/>
    <w:uiPriority w:val="11"/>
    <w:rsid w:val="00F02AEC"/>
    <w:rPr>
      <w:rFonts w:ascii="Arial" w:eastAsia="Times New Roman" w:hAnsi="Arial" w:cs="Times New Roman"/>
      <w:bCs/>
      <w:iCs/>
      <w:color w:val="006BA6"/>
      <w:sz w:val="40"/>
      <w:szCs w:val="24"/>
    </w:rPr>
  </w:style>
  <w:style w:type="table" w:styleId="TableGrid">
    <w:name w:val="Table Grid"/>
    <w:basedOn w:val="TableNormal"/>
    <w:uiPriority w:val="59"/>
    <w:rsid w:val="00F02AEC"/>
    <w:pPr>
      <w:spacing w:after="0" w:line="240" w:lineRule="auto"/>
    </w:pPr>
    <w:rPr>
      <w:rFonts w:ascii="Cambria" w:eastAsia="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GASignoff">
    <w:name w:val="TGA Signoff"/>
    <w:basedOn w:val="Normal"/>
    <w:rsid w:val="00F02AEC"/>
    <w:pPr>
      <w:spacing w:before="120" w:after="360" w:line="240" w:lineRule="atLeast"/>
      <w:jc w:val="center"/>
    </w:pPr>
    <w:rPr>
      <w:rFonts w:ascii="Arial" w:eastAsia="Cambria" w:hAnsi="Arial" w:cs="Times New Roman"/>
      <w:b/>
      <w:color w:val="333F48"/>
      <w:sz w:val="28"/>
    </w:rPr>
  </w:style>
  <w:style w:type="paragraph" w:styleId="Title">
    <w:name w:val="Title"/>
    <w:link w:val="TitleChar"/>
    <w:uiPriority w:val="10"/>
    <w:rsid w:val="00F02AEC"/>
    <w:pPr>
      <w:spacing w:line="240" w:lineRule="auto"/>
      <w:contextualSpacing/>
      <w:outlineLvl w:val="0"/>
    </w:pPr>
    <w:rPr>
      <w:rFonts w:ascii="Arial" w:eastAsia="Times New Roman" w:hAnsi="Arial" w:cs="Times New Roman"/>
      <w:color w:val="001871"/>
      <w:spacing w:val="5"/>
      <w:kern w:val="28"/>
      <w:sz w:val="52"/>
      <w:szCs w:val="52"/>
    </w:rPr>
  </w:style>
  <w:style w:type="character" w:customStyle="1" w:styleId="TitleChar">
    <w:name w:val="Title Char"/>
    <w:basedOn w:val="DefaultParagraphFont"/>
    <w:link w:val="Title"/>
    <w:uiPriority w:val="10"/>
    <w:rsid w:val="00F02AEC"/>
    <w:rPr>
      <w:rFonts w:ascii="Arial" w:eastAsia="Times New Roman" w:hAnsi="Arial" w:cs="Times New Roman"/>
      <w:color w:val="001871"/>
      <w:spacing w:val="5"/>
      <w:kern w:val="28"/>
      <w:sz w:val="52"/>
      <w:szCs w:val="52"/>
    </w:rPr>
  </w:style>
  <w:style w:type="paragraph" w:styleId="TOC1">
    <w:name w:val="toc 1"/>
    <w:basedOn w:val="Normal"/>
    <w:next w:val="Normal"/>
    <w:uiPriority w:val="39"/>
    <w:unhideWhenUsed/>
    <w:rsid w:val="00F02AEC"/>
    <w:pPr>
      <w:keepNext/>
      <w:keepLines/>
      <w:tabs>
        <w:tab w:val="right" w:leader="underscore" w:pos="8505"/>
      </w:tabs>
      <w:spacing w:before="120" w:after="200" w:line="240" w:lineRule="atLeast"/>
    </w:pPr>
    <w:rPr>
      <w:rFonts w:ascii="Arial" w:eastAsia="Cambria" w:hAnsi="Arial" w:cs="Times New Roman"/>
      <w:b/>
      <w:color w:val="333F48"/>
      <w:sz w:val="32"/>
    </w:rPr>
  </w:style>
  <w:style w:type="paragraph" w:styleId="TOC2">
    <w:name w:val="toc 2"/>
    <w:basedOn w:val="Normal"/>
    <w:next w:val="Normal"/>
    <w:uiPriority w:val="39"/>
    <w:unhideWhenUsed/>
    <w:rsid w:val="00F02AEC"/>
    <w:pPr>
      <w:keepNext/>
      <w:keepLines/>
      <w:tabs>
        <w:tab w:val="right" w:leader="underscore" w:pos="8505"/>
      </w:tabs>
      <w:spacing w:before="120" w:after="100" w:line="240" w:lineRule="atLeast"/>
      <w:ind w:left="425"/>
    </w:pPr>
    <w:rPr>
      <w:rFonts w:ascii="Arial" w:eastAsia="Cambria" w:hAnsi="Arial" w:cs="Times New Roman"/>
      <w:b/>
      <w:color w:val="333F48"/>
      <w:sz w:val="25"/>
    </w:rPr>
  </w:style>
  <w:style w:type="paragraph" w:styleId="TOC3">
    <w:name w:val="toc 3"/>
    <w:basedOn w:val="Normal"/>
    <w:next w:val="Normal"/>
    <w:uiPriority w:val="39"/>
    <w:unhideWhenUsed/>
    <w:rsid w:val="00F02AEC"/>
    <w:pPr>
      <w:keepNext/>
      <w:keepLines/>
      <w:tabs>
        <w:tab w:val="right" w:leader="hyphen" w:pos="8505"/>
      </w:tabs>
      <w:spacing w:before="120" w:after="100" w:line="240" w:lineRule="atLeast"/>
      <w:ind w:left="851"/>
    </w:pPr>
    <w:rPr>
      <w:rFonts w:ascii="Arial" w:eastAsia="Cambria" w:hAnsi="Arial" w:cs="Times New Roman"/>
      <w:b/>
      <w:color w:val="333F48"/>
    </w:rPr>
  </w:style>
  <w:style w:type="paragraph" w:styleId="FootnoteText">
    <w:name w:val="footnote text"/>
    <w:basedOn w:val="Normal"/>
    <w:link w:val="FootnoteTextChar"/>
    <w:qFormat/>
    <w:rsid w:val="00FE087C"/>
    <w:pPr>
      <w:keepLines/>
      <w:spacing w:after="0" w:line="240" w:lineRule="atLeast"/>
    </w:pPr>
    <w:rPr>
      <w:rFonts w:eastAsia="Cambria" w:cs="Times New Roman"/>
      <w:color w:val="333F48"/>
      <w:sz w:val="17"/>
    </w:rPr>
  </w:style>
  <w:style w:type="character" w:customStyle="1" w:styleId="FootnoteTextChar">
    <w:name w:val="Footnote Text Char"/>
    <w:basedOn w:val="DefaultParagraphFont"/>
    <w:link w:val="FootnoteText"/>
    <w:rsid w:val="00FE087C"/>
    <w:rPr>
      <w:rFonts w:ascii="Cambria" w:eastAsia="Cambria" w:hAnsi="Cambria" w:cs="Times New Roman"/>
      <w:color w:val="333F48"/>
      <w:sz w:val="17"/>
    </w:rPr>
  </w:style>
  <w:style w:type="character" w:styleId="FootnoteReference">
    <w:name w:val="footnote reference"/>
    <w:basedOn w:val="DefaultParagraphFont"/>
    <w:uiPriority w:val="99"/>
    <w:semiHidden/>
    <w:unhideWhenUsed/>
    <w:rsid w:val="00F02AEC"/>
    <w:rPr>
      <w:vertAlign w:val="superscript"/>
    </w:rPr>
  </w:style>
  <w:style w:type="paragraph" w:customStyle="1" w:styleId="NonTOCheading2">
    <w:name w:val="Non TOC heading 2"/>
    <w:basedOn w:val="Normal"/>
    <w:next w:val="Normal"/>
    <w:rsid w:val="00F02AEC"/>
    <w:pPr>
      <w:keepNext/>
      <w:keepLines/>
      <w:pageBreakBefore/>
      <w:spacing w:after="180" w:line="240" w:lineRule="atLeast"/>
      <w:outlineLvl w:val="1"/>
    </w:pPr>
    <w:rPr>
      <w:rFonts w:ascii="Arial" w:eastAsia="Cambria" w:hAnsi="Arial" w:cs="Times New Roman"/>
      <w:b/>
      <w:color w:val="001871"/>
      <w:sz w:val="38"/>
    </w:rPr>
  </w:style>
  <w:style w:type="paragraph" w:customStyle="1" w:styleId="Headernoline">
    <w:name w:val="Header no line"/>
    <w:basedOn w:val="Header"/>
    <w:rsid w:val="00F02AEC"/>
    <w:pPr>
      <w:pBdr>
        <w:bottom w:val="none" w:sz="0" w:space="0" w:color="auto"/>
      </w:pBdr>
      <w:spacing w:line="240" w:lineRule="atLeast"/>
    </w:pPr>
  </w:style>
  <w:style w:type="paragraph" w:customStyle="1" w:styleId="Address">
    <w:name w:val="Address"/>
    <w:basedOn w:val="Normal"/>
    <w:rsid w:val="00F02AEC"/>
    <w:pPr>
      <w:spacing w:after="0" w:line="240" w:lineRule="auto"/>
    </w:pPr>
    <w:rPr>
      <w:rFonts w:ascii="Arial" w:eastAsia="Cambria" w:hAnsi="Arial" w:cs="Times New Roman"/>
      <w:color w:val="333F48"/>
      <w:sz w:val="21"/>
    </w:rPr>
  </w:style>
  <w:style w:type="paragraph" w:customStyle="1" w:styleId="ListBullet-dotick">
    <w:name w:val="List Bullet - do (tick)"/>
    <w:basedOn w:val="ListBullet"/>
    <w:autoRedefine/>
    <w:uiPriority w:val="1"/>
    <w:rsid w:val="00F02AEC"/>
    <w:pPr>
      <w:numPr>
        <w:numId w:val="5"/>
      </w:numPr>
      <w:tabs>
        <w:tab w:val="left" w:pos="425"/>
      </w:tabs>
    </w:pPr>
  </w:style>
  <w:style w:type="paragraph" w:customStyle="1" w:styleId="ListBullet-donotcross">
    <w:name w:val="List Bullet - do not (cross)"/>
    <w:basedOn w:val="ListBullet"/>
    <w:autoRedefine/>
    <w:uiPriority w:val="1"/>
    <w:rsid w:val="00F02AEC"/>
    <w:pPr>
      <w:numPr>
        <w:numId w:val="6"/>
      </w:numPr>
      <w:ind w:left="357" w:hanging="357"/>
    </w:pPr>
    <w:rPr>
      <w:rFonts w:eastAsiaTheme="minorHAnsi" w:cstheme="minorBidi"/>
      <w:szCs w:val="22"/>
    </w:rPr>
  </w:style>
  <w:style w:type="table" w:customStyle="1" w:styleId="TGABlack2023">
    <w:name w:val="TGA Black 2023"/>
    <w:basedOn w:val="TableTGAblue2023"/>
    <w:uiPriority w:val="99"/>
    <w:rsid w:val="00FA49C3"/>
    <w:pPr>
      <w:spacing w:line="240" w:lineRule="auto"/>
    </w:pPr>
    <w:tblPr>
      <w:tblBorders>
        <w:top w:val="single" w:sz="4" w:space="0" w:color="0D0D0D" w:themeColor="text1" w:themeTint="F2"/>
        <w:left w:val="single" w:sz="4" w:space="0" w:color="0D0D0D" w:themeColor="text1" w:themeTint="F2"/>
        <w:bottom w:val="single" w:sz="4" w:space="0" w:color="0D0D0D" w:themeColor="text1" w:themeTint="F2"/>
        <w:right w:val="single" w:sz="4" w:space="0" w:color="0D0D0D" w:themeColor="text1" w:themeTint="F2"/>
        <w:insideH w:val="single" w:sz="4" w:space="0" w:color="0D0D0D" w:themeColor="text1" w:themeTint="F2"/>
        <w:insideV w:val="single" w:sz="4" w:space="0" w:color="0D0D0D" w:themeColor="text1" w:themeTint="F2"/>
      </w:tblBorders>
    </w:tblPr>
    <w:tblStylePr w:type="firstRow">
      <w:pPr>
        <w:keepNext/>
        <w:wordWrap/>
      </w:pPr>
      <w:rPr>
        <w:rFonts w:ascii="Arial" w:hAnsi="Arial"/>
        <w:b/>
        <w:color w:val="FFFFFF" w:themeColor="background1"/>
        <w:sz w:val="22"/>
      </w:rPr>
      <w:tblPr/>
      <w:trPr>
        <w:tblHeader/>
      </w:trPr>
      <w:tcPr>
        <w:shd w:val="clear" w:color="auto" w:fill="171717" w:themeFill="background2" w:themeFillShade="1A"/>
      </w:tcPr>
    </w:tblStylePr>
    <w:tblStylePr w:type="firstCol">
      <w:pPr>
        <w:keepNext w:val="0"/>
        <w:wordWrap/>
      </w:pPr>
    </w:tblStylePr>
  </w:style>
  <w:style w:type="paragraph" w:customStyle="1" w:styleId="NonTOCHeading20">
    <w:name w:val="Non TOC Heading 2"/>
    <w:basedOn w:val="Normal"/>
    <w:rsid w:val="00346EC2"/>
    <w:pPr>
      <w:spacing w:before="240" w:line="240" w:lineRule="atLeast"/>
      <w:outlineLvl w:val="1"/>
    </w:pPr>
    <w:rPr>
      <w:rFonts w:ascii="Arial" w:eastAsia="Cambria" w:hAnsi="Arial" w:cs="Times New Roman"/>
      <w:b/>
      <w:sz w:val="32"/>
      <w:szCs w:val="22"/>
    </w:rPr>
  </w:style>
  <w:style w:type="table" w:customStyle="1" w:styleId="TableTGAblue">
    <w:name w:val="Table TGA blue"/>
    <w:basedOn w:val="TableNormal"/>
    <w:uiPriority w:val="99"/>
    <w:qFormat/>
    <w:rsid w:val="00324B33"/>
    <w:pPr>
      <w:spacing w:after="0" w:line="240" w:lineRule="auto"/>
      <w:ind w:left="170" w:right="170"/>
    </w:pPr>
    <w:rPr>
      <w:rFonts w:ascii="Cambria" w:hAnsi="Cambria" w:cs="Times New Roman"/>
      <w:color w:val="000000" w:themeColor="text1"/>
      <w:sz w:val="22"/>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paragraph" w:customStyle="1" w:styleId="Instructions">
    <w:name w:val="Instructions"/>
    <w:basedOn w:val="Normal"/>
    <w:next w:val="Normal"/>
    <w:uiPriority w:val="1"/>
    <w:qFormat/>
    <w:rsid w:val="00324B33"/>
    <w:pPr>
      <w:spacing w:before="120" w:line="240" w:lineRule="atLeast"/>
    </w:pPr>
    <w:rPr>
      <w:rFonts w:eastAsia="Cambria" w:cs="Times New Roman"/>
      <w:i/>
      <w:color w:val="007099"/>
      <w:szCs w:val="22"/>
    </w:rPr>
  </w:style>
  <w:style w:type="paragraph" w:customStyle="1" w:styleId="TableTitle">
    <w:name w:val="Table Title"/>
    <w:basedOn w:val="Normal"/>
    <w:rsid w:val="00324B33"/>
    <w:pPr>
      <w:keepNext/>
      <w:spacing w:before="120" w:line="240" w:lineRule="atLeast"/>
    </w:pPr>
    <w:rPr>
      <w:rFonts w:eastAsia="Cambria" w:cs="Times New Roman"/>
      <w:b/>
      <w:szCs w:val="22"/>
    </w:rPr>
  </w:style>
  <w:style w:type="paragraph" w:customStyle="1" w:styleId="TableDescription">
    <w:name w:val="Table Description"/>
    <w:basedOn w:val="Normal"/>
    <w:qFormat/>
    <w:rsid w:val="00854D98"/>
    <w:pPr>
      <w:spacing w:before="120" w:line="240" w:lineRule="auto"/>
    </w:pPr>
    <w:rPr>
      <w:rFonts w:eastAsia="Cambria" w:cs="Times New Roman"/>
      <w:sz w:val="18"/>
      <w:szCs w:val="19"/>
    </w:rPr>
  </w:style>
  <w:style w:type="character" w:styleId="CommentReference">
    <w:name w:val="annotation reference"/>
    <w:basedOn w:val="DefaultParagraphFont"/>
    <w:uiPriority w:val="99"/>
    <w:semiHidden/>
    <w:unhideWhenUsed/>
    <w:rsid w:val="00E47E0C"/>
    <w:rPr>
      <w:sz w:val="16"/>
      <w:szCs w:val="16"/>
    </w:rPr>
  </w:style>
  <w:style w:type="paragraph" w:styleId="CommentText">
    <w:name w:val="annotation text"/>
    <w:basedOn w:val="Normal"/>
    <w:link w:val="CommentTextChar"/>
    <w:uiPriority w:val="99"/>
    <w:unhideWhenUsed/>
    <w:rsid w:val="00E47E0C"/>
    <w:pPr>
      <w:spacing w:line="240" w:lineRule="auto"/>
    </w:pPr>
  </w:style>
  <w:style w:type="character" w:customStyle="1" w:styleId="CommentTextChar">
    <w:name w:val="Comment Text Char"/>
    <w:basedOn w:val="DefaultParagraphFont"/>
    <w:link w:val="CommentText"/>
    <w:uiPriority w:val="99"/>
    <w:rsid w:val="00E47E0C"/>
    <w:rPr>
      <w:rFonts w:ascii="Cambria" w:hAnsi="Cambria"/>
    </w:rPr>
  </w:style>
  <w:style w:type="paragraph" w:styleId="CommentSubject">
    <w:name w:val="annotation subject"/>
    <w:basedOn w:val="CommentText"/>
    <w:next w:val="CommentText"/>
    <w:link w:val="CommentSubjectChar"/>
    <w:uiPriority w:val="99"/>
    <w:semiHidden/>
    <w:unhideWhenUsed/>
    <w:rsid w:val="00E47E0C"/>
    <w:rPr>
      <w:b/>
      <w:bCs/>
    </w:rPr>
  </w:style>
  <w:style w:type="character" w:customStyle="1" w:styleId="CommentSubjectChar">
    <w:name w:val="Comment Subject Char"/>
    <w:basedOn w:val="CommentTextChar"/>
    <w:link w:val="CommentSubject"/>
    <w:uiPriority w:val="99"/>
    <w:semiHidden/>
    <w:rsid w:val="00E47E0C"/>
    <w:rPr>
      <w:rFonts w:ascii="Cambria" w:hAnsi="Cambria"/>
      <w:b/>
      <w:bCs/>
    </w:rPr>
  </w:style>
  <w:style w:type="paragraph" w:styleId="BalloonText">
    <w:name w:val="Balloon Text"/>
    <w:basedOn w:val="Normal"/>
    <w:link w:val="BalloonTextChar"/>
    <w:uiPriority w:val="99"/>
    <w:semiHidden/>
    <w:unhideWhenUsed/>
    <w:rsid w:val="00D6376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3760"/>
    <w:rPr>
      <w:rFonts w:ascii="Segoe UI" w:hAnsi="Segoe UI" w:cs="Segoe UI"/>
      <w:sz w:val="18"/>
      <w:szCs w:val="18"/>
    </w:rPr>
  </w:style>
  <w:style w:type="character" w:styleId="FollowedHyperlink">
    <w:name w:val="FollowedHyperlink"/>
    <w:basedOn w:val="DefaultParagraphFont"/>
    <w:uiPriority w:val="99"/>
    <w:semiHidden/>
    <w:unhideWhenUsed/>
    <w:rsid w:val="001C1C2E"/>
    <w:rPr>
      <w:color w:val="954F72" w:themeColor="followedHyperlink"/>
      <w:u w:val="single"/>
    </w:rPr>
  </w:style>
  <w:style w:type="paragraph" w:styleId="Revision">
    <w:name w:val="Revision"/>
    <w:hidden/>
    <w:uiPriority w:val="99"/>
    <w:semiHidden/>
    <w:rsid w:val="008964B3"/>
    <w:pPr>
      <w:spacing w:after="0" w:line="240" w:lineRule="auto"/>
    </w:pPr>
    <w:rPr>
      <w:rFonts w:ascii="Cambria" w:hAnsi="Cambria"/>
    </w:rPr>
  </w:style>
  <w:style w:type="character" w:styleId="UnresolvedMention">
    <w:name w:val="Unresolved Mention"/>
    <w:basedOn w:val="DefaultParagraphFont"/>
    <w:uiPriority w:val="99"/>
    <w:semiHidden/>
    <w:unhideWhenUsed/>
    <w:rsid w:val="00966EF1"/>
    <w:rPr>
      <w:color w:val="605E5C"/>
      <w:shd w:val="clear" w:color="auto" w:fill="E1DFDD"/>
    </w:rPr>
  </w:style>
  <w:style w:type="paragraph" w:customStyle="1" w:styleId="TableText">
    <w:name w:val="Table Text"/>
    <w:basedOn w:val="FootnoteText"/>
    <w:qFormat/>
    <w:rsid w:val="005B69CF"/>
    <w:rPr>
      <w:color w:val="000000" w:themeColor="text1"/>
      <w:sz w:val="22"/>
      <w:lang w:val="en-GB"/>
    </w:rPr>
  </w:style>
  <w:style w:type="paragraph" w:customStyle="1" w:styleId="FigureTitle">
    <w:name w:val="Figure Title"/>
    <w:basedOn w:val="Normal"/>
    <w:qFormat/>
    <w:rsid w:val="00AB0613"/>
    <w:pPr>
      <w:keepNext/>
    </w:pPr>
    <w:rPr>
      <w:b/>
    </w:rPr>
  </w:style>
  <w:style w:type="paragraph" w:styleId="Caption">
    <w:name w:val="caption"/>
    <w:basedOn w:val="Normal"/>
    <w:next w:val="Normal"/>
    <w:uiPriority w:val="35"/>
    <w:unhideWhenUsed/>
    <w:qFormat/>
    <w:rsid w:val="0098350E"/>
    <w:pPr>
      <w:spacing w:after="200" w:line="240" w:lineRule="auto"/>
    </w:pPr>
    <w:rPr>
      <w:i/>
      <w:iCs/>
      <w:color w:val="44546A" w:themeColor="text2"/>
      <w:sz w:val="18"/>
      <w:szCs w:val="18"/>
    </w:rPr>
  </w:style>
  <w:style w:type="paragraph" w:customStyle="1" w:styleId="FigureDescription">
    <w:name w:val="Figure Description"/>
    <w:basedOn w:val="FigureTitle"/>
    <w:qFormat/>
    <w:rsid w:val="0010558A"/>
    <w:pPr>
      <w:spacing w:before="120"/>
    </w:pPr>
    <w:rPr>
      <w:b w:val="0"/>
      <w:sz w:val="19"/>
    </w:rPr>
  </w:style>
  <w:style w:type="paragraph" w:styleId="ListParagraph">
    <w:name w:val="List Paragraph"/>
    <w:basedOn w:val="Normal"/>
    <w:link w:val="ListParagraphChar"/>
    <w:uiPriority w:val="34"/>
    <w:qFormat/>
    <w:rsid w:val="006B7126"/>
    <w:pPr>
      <w:spacing w:after="160"/>
      <w:ind w:left="720"/>
      <w:contextualSpacing/>
    </w:pPr>
    <w:rPr>
      <w:rFonts w:ascii="Times New Roman" w:hAnsi="Times New Roman" w:cs="Times New Roman"/>
      <w:sz w:val="24"/>
      <w:szCs w:val="24"/>
    </w:rPr>
  </w:style>
  <w:style w:type="character" w:customStyle="1" w:styleId="ListParagraphChar">
    <w:name w:val="List Paragraph Char"/>
    <w:basedOn w:val="DefaultParagraphFont"/>
    <w:link w:val="ListParagraph"/>
    <w:uiPriority w:val="34"/>
    <w:locked/>
    <w:rsid w:val="006B7126"/>
    <w:rPr>
      <w:rFonts w:ascii="Times New Roman" w:hAnsi="Times New Roman" w:cs="Times New Roman"/>
      <w:sz w:val="24"/>
      <w:szCs w:val="24"/>
    </w:rPr>
  </w:style>
  <w:style w:type="paragraph" w:customStyle="1" w:styleId="Indication">
    <w:name w:val="Indication"/>
    <w:basedOn w:val="Normal"/>
    <w:next w:val="Normal"/>
    <w:qFormat/>
    <w:rsid w:val="00BA3F6D"/>
    <w:pPr>
      <w:spacing w:before="120" w:line="240" w:lineRule="atLeast"/>
      <w:ind w:left="720"/>
      <w:contextualSpacing/>
    </w:pPr>
    <w:rPr>
      <w:i/>
      <w:color w:val="000000" w:themeColor="text1"/>
    </w:rPr>
  </w:style>
  <w:style w:type="paragraph" w:customStyle="1" w:styleId="DelegatesQuestions">
    <w:name w:val="Delegate's Questions"/>
    <w:basedOn w:val="Numberbullet0"/>
    <w:qFormat/>
    <w:rsid w:val="007575D0"/>
    <w:rPr>
      <w:b/>
      <w:bCs/>
      <w:i/>
      <w:iCs/>
    </w:rPr>
  </w:style>
  <w:style w:type="character" w:customStyle="1" w:styleId="Heading1Char">
    <w:name w:val="Heading 1 Char"/>
    <w:basedOn w:val="DefaultParagraphFont"/>
    <w:link w:val="Heading1"/>
    <w:uiPriority w:val="9"/>
    <w:rsid w:val="00254B45"/>
    <w:rPr>
      <w:rFonts w:asciiTheme="majorHAnsi" w:eastAsiaTheme="majorEastAsia" w:hAnsiTheme="majorHAnsi" w:cstheme="majorBidi"/>
      <w:color w:val="2F5496" w:themeColor="accent1" w:themeShade="BF"/>
      <w:sz w:val="32"/>
      <w:szCs w:val="32"/>
    </w:rPr>
  </w:style>
  <w:style w:type="paragraph" w:styleId="EndnoteText">
    <w:name w:val="endnote text"/>
    <w:basedOn w:val="Normal"/>
    <w:link w:val="EndnoteTextChar"/>
    <w:uiPriority w:val="99"/>
    <w:semiHidden/>
    <w:unhideWhenUsed/>
    <w:rsid w:val="00ED0E79"/>
    <w:pPr>
      <w:spacing w:after="0" w:line="240" w:lineRule="auto"/>
    </w:pPr>
    <w:rPr>
      <w:rFonts w:eastAsia="Cambria" w:cs="Times New Roman"/>
      <w:sz w:val="20"/>
    </w:rPr>
  </w:style>
  <w:style w:type="character" w:customStyle="1" w:styleId="EndnoteTextChar">
    <w:name w:val="Endnote Text Char"/>
    <w:basedOn w:val="DefaultParagraphFont"/>
    <w:link w:val="EndnoteText"/>
    <w:uiPriority w:val="99"/>
    <w:semiHidden/>
    <w:rsid w:val="00ED0E79"/>
    <w:rPr>
      <w:rFonts w:ascii="Cambria" w:eastAsia="Cambria" w:hAnsi="Cambria" w:cs="Times New Roman"/>
    </w:rPr>
  </w:style>
  <w:style w:type="character" w:styleId="EndnoteReference">
    <w:name w:val="endnote reference"/>
    <w:basedOn w:val="DefaultParagraphFont"/>
    <w:uiPriority w:val="99"/>
    <w:semiHidden/>
    <w:unhideWhenUsed/>
    <w:rsid w:val="00ED0E79"/>
    <w:rPr>
      <w:vertAlign w:val="superscript"/>
    </w:rPr>
  </w:style>
  <w:style w:type="character" w:customStyle="1" w:styleId="Heading7Char">
    <w:name w:val="Heading 7 Char"/>
    <w:basedOn w:val="DefaultParagraphFont"/>
    <w:link w:val="Heading7"/>
    <w:uiPriority w:val="9"/>
    <w:rsid w:val="00046562"/>
    <w:rPr>
      <w:rFonts w:asciiTheme="majorHAnsi" w:eastAsiaTheme="majorEastAsia" w:hAnsiTheme="majorHAnsi" w:cstheme="majorBidi"/>
      <w:i/>
      <w:iCs/>
      <w:color w:val="1F3763" w:themeColor="accent1" w:themeShade="7F"/>
      <w:sz w:val="22"/>
    </w:rPr>
  </w:style>
  <w:style w:type="character" w:customStyle="1" w:styleId="Heading8Char">
    <w:name w:val="Heading 8 Char"/>
    <w:basedOn w:val="DefaultParagraphFont"/>
    <w:link w:val="Heading8"/>
    <w:uiPriority w:val="9"/>
    <w:rsid w:val="00896B72"/>
    <w:rPr>
      <w:rFonts w:asciiTheme="majorHAnsi" w:eastAsiaTheme="majorEastAsia" w:hAnsiTheme="majorHAnsi" w:cstheme="majorBidi"/>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24115028">
      <w:bodyDiv w:val="1"/>
      <w:marLeft w:val="0"/>
      <w:marRight w:val="0"/>
      <w:marTop w:val="0"/>
      <w:marBottom w:val="0"/>
      <w:divBdr>
        <w:top w:val="none" w:sz="0" w:space="0" w:color="auto"/>
        <w:left w:val="none" w:sz="0" w:space="0" w:color="auto"/>
        <w:bottom w:val="none" w:sz="0" w:space="0" w:color="auto"/>
        <w:right w:val="none" w:sz="0" w:space="0" w:color="auto"/>
      </w:divBdr>
    </w:div>
    <w:div w:id="695735718">
      <w:bodyDiv w:val="1"/>
      <w:marLeft w:val="0"/>
      <w:marRight w:val="0"/>
      <w:marTop w:val="0"/>
      <w:marBottom w:val="0"/>
      <w:divBdr>
        <w:top w:val="none" w:sz="0" w:space="0" w:color="auto"/>
        <w:left w:val="none" w:sz="0" w:space="0" w:color="auto"/>
        <w:bottom w:val="none" w:sz="0" w:space="0" w:color="auto"/>
        <w:right w:val="none" w:sz="0" w:space="0" w:color="auto"/>
      </w:divBdr>
    </w:div>
    <w:div w:id="1293705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s://www.tga.gov.au/black-triangle-scheme" TargetMode="External"/><Relationship Id="rId26" Type="http://schemas.microsoft.com/office/2007/relationships/hdphoto" Target="media/hdphoto2.wdp"/><Relationship Id="rId39" Type="http://schemas.openxmlformats.org/officeDocument/2006/relationships/image" Target="media/image13.png"/><Relationship Id="rId21" Type="http://schemas.openxmlformats.org/officeDocument/2006/relationships/hyperlink" Target="https://www.tga.gov.au/how-we-regulate/supply-therapeutic-good-0/supply-prescription-medicine/application-process/prescription-medicines-registration-process" TargetMode="External"/><Relationship Id="rId34" Type="http://schemas.microsoft.com/office/2007/relationships/hdphoto" Target="media/hdphoto6.wdp"/><Relationship Id="rId42" Type="http://schemas.microsoft.com/office/2007/relationships/hdphoto" Target="media/hdphoto10.wdp"/><Relationship Id="rId47" Type="http://schemas.openxmlformats.org/officeDocument/2006/relationships/footer" Target="footer4.xml"/><Relationship Id="rId50" Type="http://schemas.openxmlformats.org/officeDocument/2006/relationships/header" Target="header5.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tga.copyright@tga.gov.au" TargetMode="External"/><Relationship Id="rId29" Type="http://schemas.openxmlformats.org/officeDocument/2006/relationships/image" Target="media/image8.png"/><Relationship Id="rId11" Type="http://schemas.openxmlformats.org/officeDocument/2006/relationships/footer" Target="footer2.xml"/><Relationship Id="rId24" Type="http://schemas.microsoft.com/office/2007/relationships/hdphoto" Target="media/hdphoto1.wdp"/><Relationship Id="rId32" Type="http://schemas.microsoft.com/office/2007/relationships/hdphoto" Target="media/hdphoto5.wdp"/><Relationship Id="rId37" Type="http://schemas.openxmlformats.org/officeDocument/2006/relationships/image" Target="media/image12.png"/><Relationship Id="rId40" Type="http://schemas.microsoft.com/office/2007/relationships/hdphoto" Target="media/hdphoto9.wdp"/><Relationship Id="rId45" Type="http://schemas.openxmlformats.org/officeDocument/2006/relationships/hyperlink" Target="https://www.ebs.tga.gov.au/" TargetMode="External"/><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oter" Target="footer1.xml"/><Relationship Id="rId19" Type="http://schemas.openxmlformats.org/officeDocument/2006/relationships/hyperlink" Target="https://www.tga.gov.au/products/medicines/find-information-about-medicine/prescribing-medicines-pregnancy-database" TargetMode="External"/><Relationship Id="rId31" Type="http://schemas.openxmlformats.org/officeDocument/2006/relationships/image" Target="media/image9.png"/><Relationship Id="rId44" Type="http://schemas.microsoft.com/office/2007/relationships/hdphoto" Target="media/hdphoto11.wdp"/><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www.tga.gov.au/" TargetMode="External"/><Relationship Id="rId22" Type="http://schemas.openxmlformats.org/officeDocument/2006/relationships/image" Target="media/image4.png"/><Relationship Id="rId27" Type="http://schemas.openxmlformats.org/officeDocument/2006/relationships/image" Target="media/image7.png"/><Relationship Id="rId30" Type="http://schemas.microsoft.com/office/2007/relationships/hdphoto" Target="media/hdphoto4.wdp"/><Relationship Id="rId35" Type="http://schemas.openxmlformats.org/officeDocument/2006/relationships/image" Target="media/image11.png"/><Relationship Id="rId43" Type="http://schemas.openxmlformats.org/officeDocument/2006/relationships/image" Target="media/image15.png"/><Relationship Id="rId48" Type="http://schemas.openxmlformats.org/officeDocument/2006/relationships/hyperlink" Target="mailto:info@tga.gov.au" TargetMode="External"/><Relationship Id="rId8" Type="http://schemas.openxmlformats.org/officeDocument/2006/relationships/header" Target="header1.xml"/><Relationship Id="rId51" Type="http://schemas.openxmlformats.org/officeDocument/2006/relationships/footer" Target="footer5.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yperlink" Target="https://www.tga.gov.au/resources/artg/455452" TargetMode="External"/><Relationship Id="rId25" Type="http://schemas.openxmlformats.org/officeDocument/2006/relationships/image" Target="media/image6.png"/><Relationship Id="rId33" Type="http://schemas.openxmlformats.org/officeDocument/2006/relationships/image" Target="media/image10.png"/><Relationship Id="rId38" Type="http://schemas.microsoft.com/office/2007/relationships/hdphoto" Target="media/hdphoto8.wdp"/><Relationship Id="rId46" Type="http://schemas.openxmlformats.org/officeDocument/2006/relationships/header" Target="header4.xml"/><Relationship Id="rId20" Type="http://schemas.openxmlformats.org/officeDocument/2006/relationships/hyperlink" Target="https://www.tga.gov.au/obstetric-drug-information-services" TargetMode="External"/><Relationship Id="rId41"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tga.gov.au/australian-public-assessment-report-auspar-guidance" TargetMode="External"/><Relationship Id="rId23" Type="http://schemas.openxmlformats.org/officeDocument/2006/relationships/image" Target="media/image5.png"/><Relationship Id="rId28" Type="http://schemas.microsoft.com/office/2007/relationships/hdphoto" Target="media/hdphoto3.wdp"/><Relationship Id="rId36" Type="http://schemas.microsoft.com/office/2007/relationships/hdphoto" Target="media/hdphoto7.wdp"/><Relationship Id="rId49" Type="http://schemas.openxmlformats.org/officeDocument/2006/relationships/hyperlink" Target="https://www.tga.gov.au"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www.ema.europa.eu/en/ich-s9-non-clinical-evaluation-anticancer-pharmaceuticals-scientific-guideline" TargetMode="External"/><Relationship Id="rId1" Type="http://schemas.openxmlformats.org/officeDocument/2006/relationships/hyperlink" Target="https://www.nccn.org/professionals/physician_gls/pdf/neuroendocrine.pdf" TargetMode="External"/></Relationships>
</file>

<file path=word/_rels/header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11AE68-6449-47E6-9F10-0220946BAF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60</TotalTime>
  <Pages>31</Pages>
  <Words>8848</Words>
  <Characters>50368</Characters>
  <Application>Microsoft Office Word</Application>
  <DocSecurity>0</DocSecurity>
  <Lines>1171</Lines>
  <Paragraphs>572</Paragraphs>
  <ScaleCrop>false</ScaleCrop>
  <HeadingPairs>
    <vt:vector size="2" baseType="variant">
      <vt:variant>
        <vt:lpstr>Title</vt:lpstr>
      </vt:variant>
      <vt:variant>
        <vt:i4>1</vt:i4>
      </vt:variant>
    </vt:vector>
  </HeadingPairs>
  <TitlesOfParts>
    <vt:vector size="1" baseType="lpstr">
      <vt:lpstr>Australian public assessment report for Lutathera</vt:lpstr>
    </vt:vector>
  </TitlesOfParts>
  <Company>Department of Health, Disability and Ageing</Company>
  <LinksUpToDate>false</LinksUpToDate>
  <CharactersWithSpaces>58724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Lutathera</dc:title>
  <dc:subject>Prescription medicines</dc:subject>
  <dc:creator>Therapeutic Goods Administration</dc:creator>
  <cp:keywords/>
  <dc:description/>
  <cp:lastModifiedBy>LACK, Janet</cp:lastModifiedBy>
  <cp:revision>4</cp:revision>
  <dcterms:created xsi:type="dcterms:W3CDTF">2026-03-04T22:48:00Z</dcterms:created>
  <dcterms:modified xsi:type="dcterms:W3CDTF">2026-03-04T23:49:00Z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7d4f86a9,79dd0f00,74a169e6,5c688def,6b2eec11</vt:lpwstr>
  </property>
  <property fmtid="{D5CDD505-2E9C-101B-9397-08002B2CF9AE}" pid="3" name="ClassificationContentMarkingHeaderFontProps">
    <vt:lpwstr>#ff0000,12,Aptos</vt:lpwstr>
  </property>
  <property fmtid="{D5CDD505-2E9C-101B-9397-08002B2CF9AE}" pid="4" name="ClassificationContentMarkingHeaderText">
    <vt:lpwstr>OFFICIAL</vt:lpwstr>
  </property>
  <property fmtid="{D5CDD505-2E9C-101B-9397-08002B2CF9AE}" pid="5" name="ClassificationContentMarkingFooterShapeIds">
    <vt:lpwstr>48a3770c,5910a05a,68b1f157,10757f70,17fa5967</vt:lpwstr>
  </property>
  <property fmtid="{D5CDD505-2E9C-101B-9397-08002B2CF9AE}" pid="6" name="ClassificationContentMarkingFooterFontProps">
    <vt:lpwstr>#ff0000,12,Aptos</vt:lpwstr>
  </property>
  <property fmtid="{D5CDD505-2E9C-101B-9397-08002B2CF9AE}" pid="7" name="ClassificationContentMarkingFooterText">
    <vt:lpwstr>OFFICIAL</vt:lpwstr>
  </property>
  <property fmtid="{D5CDD505-2E9C-101B-9397-08002B2CF9AE}" pid="8" name="MSIP_Label_7cd3e8b9-ffed-43a8-b7f4-cc2fa0382d36_Enabled">
    <vt:lpwstr>true</vt:lpwstr>
  </property>
  <property fmtid="{D5CDD505-2E9C-101B-9397-08002B2CF9AE}" pid="9" name="MSIP_Label_7cd3e8b9-ffed-43a8-b7f4-cc2fa0382d36_SetDate">
    <vt:lpwstr>2026-01-08T03:31:29Z</vt:lpwstr>
  </property>
  <property fmtid="{D5CDD505-2E9C-101B-9397-08002B2CF9AE}" pid="10" name="MSIP_Label_7cd3e8b9-ffed-43a8-b7f4-cc2fa0382d36_Method">
    <vt:lpwstr>Privileged</vt:lpwstr>
  </property>
  <property fmtid="{D5CDD505-2E9C-101B-9397-08002B2CF9AE}" pid="11" name="MSIP_Label_7cd3e8b9-ffed-43a8-b7f4-cc2fa0382d36_Name">
    <vt:lpwstr>O</vt:lpwstr>
  </property>
  <property fmtid="{D5CDD505-2E9C-101B-9397-08002B2CF9AE}" pid="12" name="MSIP_Label_7cd3e8b9-ffed-43a8-b7f4-cc2fa0382d36_SiteId">
    <vt:lpwstr>34a3929c-73cf-4954-abfe-147dc3517892</vt:lpwstr>
  </property>
  <property fmtid="{D5CDD505-2E9C-101B-9397-08002B2CF9AE}" pid="13" name="MSIP_Label_7cd3e8b9-ffed-43a8-b7f4-cc2fa0382d36_ActionId">
    <vt:lpwstr>37492d8c-da5c-4aae-81be-a09a021302cb</vt:lpwstr>
  </property>
  <property fmtid="{D5CDD505-2E9C-101B-9397-08002B2CF9AE}" pid="14" name="MSIP_Label_7cd3e8b9-ffed-43a8-b7f4-cc2fa0382d36_ContentBits">
    <vt:lpwstr>3</vt:lpwstr>
  </property>
  <property fmtid="{D5CDD505-2E9C-101B-9397-08002B2CF9AE}" pid="15" name="MSIP_Label_7cd3e8b9-ffed-43a8-b7f4-cc2fa0382d36_Tag">
    <vt:lpwstr>10, 0, 1, 1</vt:lpwstr>
  </property>
</Properties>
</file>