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2AC1D9F2" w:rsidR="00F02AEC" w:rsidRPr="00215D48" w:rsidRDefault="00346EC2" w:rsidP="007452E8">
            <w:pPr>
              <w:pStyle w:val="Title"/>
            </w:pPr>
            <w:r w:rsidRPr="00346EC2">
              <w:t xml:space="preserve">Australian Public Assessment Report for </w:t>
            </w:r>
            <w:r w:rsidR="00563776">
              <w:t>Ixifi</w:t>
            </w:r>
          </w:p>
        </w:tc>
      </w:tr>
      <w:tr w:rsidR="00F02AEC" w:rsidRPr="00215D48" w14:paraId="318A40A3" w14:textId="77777777" w:rsidTr="00346EC2">
        <w:trPr>
          <w:trHeight w:val="995"/>
        </w:trPr>
        <w:tc>
          <w:tcPr>
            <w:tcW w:w="8720" w:type="dxa"/>
          </w:tcPr>
          <w:p w14:paraId="1AA7C701" w14:textId="6E663FEB" w:rsidR="00F02AEC" w:rsidRPr="00215D48" w:rsidRDefault="00346EC2" w:rsidP="007452E8">
            <w:pPr>
              <w:pStyle w:val="Subtitle"/>
              <w:ind w:left="0"/>
            </w:pPr>
            <w:r w:rsidRPr="00346EC2">
              <w:t>Active ingredient</w:t>
            </w:r>
            <w:r w:rsidR="00B8425D">
              <w:t>: I</w:t>
            </w:r>
            <w:r w:rsidR="00B8425D" w:rsidRPr="00B8425D">
              <w:t>nfliximab</w:t>
            </w:r>
          </w:p>
        </w:tc>
      </w:tr>
      <w:tr w:rsidR="00346EC2" w:rsidRPr="00215D48" w14:paraId="362CCAE4" w14:textId="77777777" w:rsidTr="007452E8">
        <w:trPr>
          <w:trHeight w:val="1916"/>
        </w:trPr>
        <w:tc>
          <w:tcPr>
            <w:tcW w:w="8720" w:type="dxa"/>
          </w:tcPr>
          <w:p w14:paraId="709C45C0" w14:textId="6BF1A780" w:rsidR="00346EC2" w:rsidRPr="00215D48" w:rsidRDefault="00346EC2" w:rsidP="007452E8">
            <w:pPr>
              <w:pStyle w:val="Subtitle"/>
              <w:ind w:left="0"/>
            </w:pPr>
            <w:r w:rsidRPr="00346EC2">
              <w:t>Sponsor:</w:t>
            </w:r>
            <w:r w:rsidR="00247140">
              <w:t xml:space="preserve"> </w:t>
            </w:r>
            <w:r w:rsidR="00247140" w:rsidRPr="00247140">
              <w:t>Pfizer Australia Pty Ltd</w:t>
            </w:r>
          </w:p>
        </w:tc>
      </w:tr>
      <w:tr w:rsidR="00F02AEC" w:rsidRPr="00215D48" w14:paraId="37F2AA1F" w14:textId="77777777" w:rsidTr="007452E8">
        <w:tc>
          <w:tcPr>
            <w:tcW w:w="8720" w:type="dxa"/>
          </w:tcPr>
          <w:p w14:paraId="1FDE8DCD" w14:textId="41E0A7C5" w:rsidR="00F02AEC" w:rsidRPr="00215D48" w:rsidRDefault="005E68C1" w:rsidP="007452E8">
            <w:pPr>
              <w:pStyle w:val="Date"/>
            </w:pPr>
            <w:r>
              <w:t>March</w:t>
            </w:r>
            <w:r w:rsidR="00247140">
              <w:t xml:space="preserve"> 2026</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038D0DA4" w:rsidR="00346EC2" w:rsidRPr="00391B0C" w:rsidRDefault="00346EC2" w:rsidP="0056766D">
      <w:pPr>
        <w:pStyle w:val="ListBullet"/>
      </w:pPr>
      <w:r w:rsidRPr="00391B0C">
        <w:t xml:space="preserve">The Therapeutic Goods Administration (TGA) is part of the Australian Government </w:t>
      </w:r>
      <w:r w:rsidRPr="00C22214">
        <w:t>Department of Health</w:t>
      </w:r>
      <w:r w:rsidR="0006693A">
        <w:t>, Disability</w:t>
      </w:r>
      <w:r w:rsidRPr="00C22214">
        <w:t xml:space="preserve"> and Ag</w:t>
      </w:r>
      <w:r w:rsidR="0006693A">
        <w:t>eing</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441D93F0"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5" w:history="1">
        <w:r w:rsidRPr="00A63C07">
          <w:rPr>
            <w:rStyle w:val="Hyperlink"/>
          </w:rPr>
          <w:t>TGA website</w:t>
        </w:r>
      </w:hyperlink>
      <w:r w:rsidRPr="003C6D1F">
        <w:t>.</w:t>
      </w:r>
    </w:p>
    <w:p w14:paraId="737B7A99" w14:textId="77777777" w:rsidR="00346EC2" w:rsidRDefault="00346EC2" w:rsidP="00346EC2">
      <w:pPr>
        <w:pStyle w:val="NonTOCHeading20"/>
      </w:pPr>
      <w:r>
        <w:t xml:space="preserve">About </w:t>
      </w:r>
      <w:proofErr w:type="spellStart"/>
      <w:r>
        <w:t>AusPARs</w:t>
      </w:r>
      <w:proofErr w:type="spellEnd"/>
    </w:p>
    <w:p w14:paraId="631B2209" w14:textId="373EE559"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6"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proofErr w:type="spellStart"/>
      <w:r w:rsidRPr="003C6D1F">
        <w:t>AusPARs</w:t>
      </w:r>
      <w:proofErr w:type="spellEnd"/>
      <w:r w:rsidRPr="003C6D1F">
        <w:t xml:space="preserve"> are prepared and published by the TGA.</w:t>
      </w:r>
    </w:p>
    <w:p w14:paraId="451B8FD7" w14:textId="77777777" w:rsidR="00346EC2" w:rsidRPr="003C6D1F" w:rsidRDefault="00346EC2" w:rsidP="00346EC2">
      <w:pPr>
        <w:pStyle w:val="ListBullet"/>
      </w:pPr>
      <w:proofErr w:type="spellStart"/>
      <w:r w:rsidRPr="003C6D1F">
        <w:t>AusPAR</w:t>
      </w:r>
      <w:r>
        <w:t>s</w:t>
      </w:r>
      <w:proofErr w:type="spellEnd"/>
      <w:r>
        <w:t xml:space="preserve">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7E9D2402" w:rsidR="00175CD8" w:rsidRPr="00346EC2" w:rsidRDefault="00F02AEC" w:rsidP="00346EC2">
      <w:pPr>
        <w:pStyle w:val="LegalCopy"/>
        <w:rPr>
          <w:rFonts w:cs="Arial"/>
        </w:rPr>
      </w:pPr>
      <w:r w:rsidRPr="00215D48">
        <w:rPr>
          <w:rFonts w:cs="Arial"/>
        </w:rPr>
        <w:t>© Commonwealth of Australia 20</w:t>
      </w:r>
      <w:r>
        <w:rPr>
          <w:rFonts w:cs="Arial"/>
        </w:rPr>
        <w:t>2</w:t>
      </w:r>
      <w:r w:rsidR="005A6AF5">
        <w:rPr>
          <w:rFonts w:cs="Arial"/>
        </w:rPr>
        <w:t>6</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7" w:history="1">
        <w:r w:rsidRPr="00215D48">
          <w:rPr>
            <w:rStyle w:val="Hyperlink"/>
            <w:rFonts w:cs="Arial"/>
          </w:rPr>
          <w:t>tga.copyright@tga.gov.au</w:t>
        </w:r>
      </w:hyperlink>
      <w:r w:rsidRPr="00215D48">
        <w:rPr>
          <w:rFonts w:cs="Arial"/>
        </w:rPr>
        <w:t>&gt;.</w:t>
      </w:r>
    </w:p>
    <w:sdt>
      <w:sdtPr>
        <w:rPr>
          <w:rFonts w:ascii="Cambria" w:eastAsiaTheme="minorEastAsia" w:hAnsi="Cambria" w:cstheme="minorBidi"/>
          <w:b w:val="0"/>
          <w:color w:val="auto"/>
          <w:sz w:val="22"/>
          <w:szCs w:val="22"/>
        </w:rPr>
        <w:id w:val="21514769"/>
        <w:docPartObj>
          <w:docPartGallery w:val="Table of Contents"/>
          <w:docPartUnique/>
        </w:docPartObj>
      </w:sdtPr>
      <w:sdtEndPr/>
      <w:sdtContent>
        <w:p w14:paraId="0A6ADA2B" w14:textId="77777777" w:rsidR="00F02AEC" w:rsidRPr="00215D48" w:rsidRDefault="00F02AEC" w:rsidP="007452E8">
          <w:pPr>
            <w:pStyle w:val="NonTOCheading2"/>
          </w:pPr>
          <w:r w:rsidRPr="00215D48">
            <w:t>Contents</w:t>
          </w:r>
        </w:p>
        <w:p w14:paraId="203C4E7F" w14:textId="58D564E8" w:rsidR="001C6B41"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25166210" w:history="1">
            <w:r w:rsidR="001C6B41" w:rsidRPr="006C5D35">
              <w:rPr>
                <w:rStyle w:val="Hyperlink"/>
                <w:noProof/>
              </w:rPr>
              <w:t>List of abbreviations</w:t>
            </w:r>
            <w:r w:rsidR="001C6B41">
              <w:rPr>
                <w:noProof/>
                <w:webHidden/>
              </w:rPr>
              <w:tab/>
            </w:r>
            <w:r w:rsidR="001C6B41">
              <w:rPr>
                <w:noProof/>
                <w:webHidden/>
              </w:rPr>
              <w:fldChar w:fldCharType="begin"/>
            </w:r>
            <w:r w:rsidR="001C6B41">
              <w:rPr>
                <w:noProof/>
                <w:webHidden/>
              </w:rPr>
              <w:instrText xml:space="preserve"> PAGEREF _Toc225166210 \h </w:instrText>
            </w:r>
            <w:r w:rsidR="001C6B41">
              <w:rPr>
                <w:noProof/>
                <w:webHidden/>
              </w:rPr>
            </w:r>
            <w:r w:rsidR="001C6B41">
              <w:rPr>
                <w:noProof/>
                <w:webHidden/>
              </w:rPr>
              <w:fldChar w:fldCharType="separate"/>
            </w:r>
            <w:r w:rsidR="001C6B41">
              <w:rPr>
                <w:noProof/>
                <w:webHidden/>
              </w:rPr>
              <w:t>4</w:t>
            </w:r>
            <w:r w:rsidR="001C6B41">
              <w:rPr>
                <w:noProof/>
                <w:webHidden/>
              </w:rPr>
              <w:fldChar w:fldCharType="end"/>
            </w:r>
          </w:hyperlink>
        </w:p>
        <w:p w14:paraId="449C167C" w14:textId="75FA40DC" w:rsidR="001C6B41" w:rsidRDefault="001C6B4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25166211" w:history="1">
            <w:r w:rsidRPr="006C5D35">
              <w:rPr>
                <w:rStyle w:val="Hyperlink"/>
                <w:noProof/>
              </w:rPr>
              <w:t>Product submission</w:t>
            </w:r>
            <w:r>
              <w:rPr>
                <w:noProof/>
                <w:webHidden/>
              </w:rPr>
              <w:tab/>
            </w:r>
            <w:r>
              <w:rPr>
                <w:noProof/>
                <w:webHidden/>
              </w:rPr>
              <w:fldChar w:fldCharType="begin"/>
            </w:r>
            <w:r>
              <w:rPr>
                <w:noProof/>
                <w:webHidden/>
              </w:rPr>
              <w:instrText xml:space="preserve"> PAGEREF _Toc225166211 \h </w:instrText>
            </w:r>
            <w:r>
              <w:rPr>
                <w:noProof/>
                <w:webHidden/>
              </w:rPr>
            </w:r>
            <w:r>
              <w:rPr>
                <w:noProof/>
                <w:webHidden/>
              </w:rPr>
              <w:fldChar w:fldCharType="separate"/>
            </w:r>
            <w:r>
              <w:rPr>
                <w:noProof/>
                <w:webHidden/>
              </w:rPr>
              <w:t>6</w:t>
            </w:r>
            <w:r>
              <w:rPr>
                <w:noProof/>
                <w:webHidden/>
              </w:rPr>
              <w:fldChar w:fldCharType="end"/>
            </w:r>
          </w:hyperlink>
        </w:p>
        <w:p w14:paraId="33176BB0" w14:textId="6C90E090" w:rsidR="001C6B41" w:rsidRDefault="001C6B4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166212" w:history="1">
            <w:r w:rsidRPr="006C5D35">
              <w:rPr>
                <w:rStyle w:val="Hyperlink"/>
                <w:noProof/>
                <w:lang w:eastAsia="en-AU"/>
              </w:rPr>
              <w:t xml:space="preserve">Submission </w:t>
            </w:r>
            <w:r w:rsidRPr="006C5D35">
              <w:rPr>
                <w:rStyle w:val="Hyperlink"/>
                <w:noProof/>
              </w:rPr>
              <w:t>details</w:t>
            </w:r>
            <w:r>
              <w:rPr>
                <w:noProof/>
                <w:webHidden/>
              </w:rPr>
              <w:tab/>
            </w:r>
            <w:r>
              <w:rPr>
                <w:noProof/>
                <w:webHidden/>
              </w:rPr>
              <w:fldChar w:fldCharType="begin"/>
            </w:r>
            <w:r>
              <w:rPr>
                <w:noProof/>
                <w:webHidden/>
              </w:rPr>
              <w:instrText xml:space="preserve"> PAGEREF _Toc225166212 \h </w:instrText>
            </w:r>
            <w:r>
              <w:rPr>
                <w:noProof/>
                <w:webHidden/>
              </w:rPr>
            </w:r>
            <w:r>
              <w:rPr>
                <w:noProof/>
                <w:webHidden/>
              </w:rPr>
              <w:fldChar w:fldCharType="separate"/>
            </w:r>
            <w:r>
              <w:rPr>
                <w:noProof/>
                <w:webHidden/>
              </w:rPr>
              <w:t>6</w:t>
            </w:r>
            <w:r>
              <w:rPr>
                <w:noProof/>
                <w:webHidden/>
              </w:rPr>
              <w:fldChar w:fldCharType="end"/>
            </w:r>
          </w:hyperlink>
        </w:p>
        <w:p w14:paraId="248B1435" w14:textId="6C101A64" w:rsidR="001C6B41" w:rsidRDefault="001C6B4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166213" w:history="1">
            <w:r w:rsidRPr="006C5D35">
              <w:rPr>
                <w:rStyle w:val="Hyperlink"/>
                <w:noProof/>
              </w:rPr>
              <w:t>Product background</w:t>
            </w:r>
            <w:r>
              <w:rPr>
                <w:noProof/>
                <w:webHidden/>
              </w:rPr>
              <w:tab/>
            </w:r>
            <w:r>
              <w:rPr>
                <w:noProof/>
                <w:webHidden/>
              </w:rPr>
              <w:fldChar w:fldCharType="begin"/>
            </w:r>
            <w:r>
              <w:rPr>
                <w:noProof/>
                <w:webHidden/>
              </w:rPr>
              <w:instrText xml:space="preserve"> PAGEREF _Toc225166213 \h </w:instrText>
            </w:r>
            <w:r>
              <w:rPr>
                <w:noProof/>
                <w:webHidden/>
              </w:rPr>
            </w:r>
            <w:r>
              <w:rPr>
                <w:noProof/>
                <w:webHidden/>
              </w:rPr>
              <w:fldChar w:fldCharType="separate"/>
            </w:r>
            <w:r>
              <w:rPr>
                <w:noProof/>
                <w:webHidden/>
              </w:rPr>
              <w:t>8</w:t>
            </w:r>
            <w:r>
              <w:rPr>
                <w:noProof/>
                <w:webHidden/>
              </w:rPr>
              <w:fldChar w:fldCharType="end"/>
            </w:r>
          </w:hyperlink>
        </w:p>
        <w:p w14:paraId="069303DC" w14:textId="3987F766" w:rsidR="001C6B41" w:rsidRDefault="001C6B4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166214" w:history="1">
            <w:r w:rsidRPr="006C5D35">
              <w:rPr>
                <w:rStyle w:val="Hyperlink"/>
                <w:noProof/>
              </w:rPr>
              <w:t>Disease or condition</w:t>
            </w:r>
            <w:r>
              <w:rPr>
                <w:noProof/>
                <w:webHidden/>
              </w:rPr>
              <w:tab/>
            </w:r>
            <w:r>
              <w:rPr>
                <w:noProof/>
                <w:webHidden/>
              </w:rPr>
              <w:fldChar w:fldCharType="begin"/>
            </w:r>
            <w:r>
              <w:rPr>
                <w:noProof/>
                <w:webHidden/>
              </w:rPr>
              <w:instrText xml:space="preserve"> PAGEREF _Toc225166214 \h </w:instrText>
            </w:r>
            <w:r>
              <w:rPr>
                <w:noProof/>
                <w:webHidden/>
              </w:rPr>
            </w:r>
            <w:r>
              <w:rPr>
                <w:noProof/>
                <w:webHidden/>
              </w:rPr>
              <w:fldChar w:fldCharType="separate"/>
            </w:r>
            <w:r>
              <w:rPr>
                <w:noProof/>
                <w:webHidden/>
              </w:rPr>
              <w:t>9</w:t>
            </w:r>
            <w:r>
              <w:rPr>
                <w:noProof/>
                <w:webHidden/>
              </w:rPr>
              <w:fldChar w:fldCharType="end"/>
            </w:r>
          </w:hyperlink>
        </w:p>
        <w:p w14:paraId="5107B0CA" w14:textId="75D79FA6" w:rsidR="001C6B41" w:rsidRDefault="001C6B4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166215" w:history="1">
            <w:r w:rsidRPr="006C5D35">
              <w:rPr>
                <w:rStyle w:val="Hyperlink"/>
                <w:noProof/>
              </w:rPr>
              <w:t>Current treatment options</w:t>
            </w:r>
            <w:r>
              <w:rPr>
                <w:noProof/>
                <w:webHidden/>
              </w:rPr>
              <w:tab/>
            </w:r>
            <w:r>
              <w:rPr>
                <w:noProof/>
                <w:webHidden/>
              </w:rPr>
              <w:fldChar w:fldCharType="begin"/>
            </w:r>
            <w:r>
              <w:rPr>
                <w:noProof/>
                <w:webHidden/>
              </w:rPr>
              <w:instrText xml:space="preserve"> PAGEREF _Toc225166215 \h </w:instrText>
            </w:r>
            <w:r>
              <w:rPr>
                <w:noProof/>
                <w:webHidden/>
              </w:rPr>
            </w:r>
            <w:r>
              <w:rPr>
                <w:noProof/>
                <w:webHidden/>
              </w:rPr>
              <w:fldChar w:fldCharType="separate"/>
            </w:r>
            <w:r>
              <w:rPr>
                <w:noProof/>
                <w:webHidden/>
              </w:rPr>
              <w:t>9</w:t>
            </w:r>
            <w:r>
              <w:rPr>
                <w:noProof/>
                <w:webHidden/>
              </w:rPr>
              <w:fldChar w:fldCharType="end"/>
            </w:r>
          </w:hyperlink>
        </w:p>
        <w:p w14:paraId="2F16131F" w14:textId="6B818A0C" w:rsidR="001C6B41" w:rsidRDefault="001C6B4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166216" w:history="1">
            <w:r w:rsidRPr="006C5D35">
              <w:rPr>
                <w:rStyle w:val="Hyperlink"/>
                <w:noProof/>
              </w:rPr>
              <w:t>Clinical rationale</w:t>
            </w:r>
            <w:r>
              <w:rPr>
                <w:noProof/>
                <w:webHidden/>
              </w:rPr>
              <w:tab/>
            </w:r>
            <w:r>
              <w:rPr>
                <w:noProof/>
                <w:webHidden/>
              </w:rPr>
              <w:fldChar w:fldCharType="begin"/>
            </w:r>
            <w:r>
              <w:rPr>
                <w:noProof/>
                <w:webHidden/>
              </w:rPr>
              <w:instrText xml:space="preserve"> PAGEREF _Toc225166216 \h </w:instrText>
            </w:r>
            <w:r>
              <w:rPr>
                <w:noProof/>
                <w:webHidden/>
              </w:rPr>
            </w:r>
            <w:r>
              <w:rPr>
                <w:noProof/>
                <w:webHidden/>
              </w:rPr>
              <w:fldChar w:fldCharType="separate"/>
            </w:r>
            <w:r>
              <w:rPr>
                <w:noProof/>
                <w:webHidden/>
              </w:rPr>
              <w:t>9</w:t>
            </w:r>
            <w:r>
              <w:rPr>
                <w:noProof/>
                <w:webHidden/>
              </w:rPr>
              <w:fldChar w:fldCharType="end"/>
            </w:r>
          </w:hyperlink>
        </w:p>
        <w:p w14:paraId="7CE848A7" w14:textId="218A7145" w:rsidR="001C6B41" w:rsidRDefault="001C6B4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166217" w:history="1">
            <w:r w:rsidRPr="006C5D35">
              <w:rPr>
                <w:rStyle w:val="Hyperlink"/>
                <w:noProof/>
              </w:rPr>
              <w:t>Regulatory status</w:t>
            </w:r>
            <w:r>
              <w:rPr>
                <w:noProof/>
                <w:webHidden/>
              </w:rPr>
              <w:tab/>
            </w:r>
            <w:r>
              <w:rPr>
                <w:noProof/>
                <w:webHidden/>
              </w:rPr>
              <w:fldChar w:fldCharType="begin"/>
            </w:r>
            <w:r>
              <w:rPr>
                <w:noProof/>
                <w:webHidden/>
              </w:rPr>
              <w:instrText xml:space="preserve"> PAGEREF _Toc225166217 \h </w:instrText>
            </w:r>
            <w:r>
              <w:rPr>
                <w:noProof/>
                <w:webHidden/>
              </w:rPr>
            </w:r>
            <w:r>
              <w:rPr>
                <w:noProof/>
                <w:webHidden/>
              </w:rPr>
              <w:fldChar w:fldCharType="separate"/>
            </w:r>
            <w:r>
              <w:rPr>
                <w:noProof/>
                <w:webHidden/>
              </w:rPr>
              <w:t>10</w:t>
            </w:r>
            <w:r>
              <w:rPr>
                <w:noProof/>
                <w:webHidden/>
              </w:rPr>
              <w:fldChar w:fldCharType="end"/>
            </w:r>
          </w:hyperlink>
        </w:p>
        <w:p w14:paraId="763817F0" w14:textId="3CA26D0D" w:rsidR="001C6B41" w:rsidRDefault="001C6B4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166218" w:history="1">
            <w:r w:rsidRPr="006C5D35">
              <w:rPr>
                <w:rStyle w:val="Hyperlink"/>
                <w:noProof/>
              </w:rPr>
              <w:t>Australian regulatory status</w:t>
            </w:r>
            <w:r>
              <w:rPr>
                <w:noProof/>
                <w:webHidden/>
              </w:rPr>
              <w:tab/>
            </w:r>
            <w:r>
              <w:rPr>
                <w:noProof/>
                <w:webHidden/>
              </w:rPr>
              <w:fldChar w:fldCharType="begin"/>
            </w:r>
            <w:r>
              <w:rPr>
                <w:noProof/>
                <w:webHidden/>
              </w:rPr>
              <w:instrText xml:space="preserve"> PAGEREF _Toc225166218 \h </w:instrText>
            </w:r>
            <w:r>
              <w:rPr>
                <w:noProof/>
                <w:webHidden/>
              </w:rPr>
            </w:r>
            <w:r>
              <w:rPr>
                <w:noProof/>
                <w:webHidden/>
              </w:rPr>
              <w:fldChar w:fldCharType="separate"/>
            </w:r>
            <w:r>
              <w:rPr>
                <w:noProof/>
                <w:webHidden/>
              </w:rPr>
              <w:t>10</w:t>
            </w:r>
            <w:r>
              <w:rPr>
                <w:noProof/>
                <w:webHidden/>
              </w:rPr>
              <w:fldChar w:fldCharType="end"/>
            </w:r>
          </w:hyperlink>
        </w:p>
        <w:p w14:paraId="60FB5A55" w14:textId="790D8B07" w:rsidR="001C6B41" w:rsidRDefault="001C6B4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166219" w:history="1">
            <w:r w:rsidRPr="006C5D35">
              <w:rPr>
                <w:rStyle w:val="Hyperlink"/>
                <w:noProof/>
              </w:rPr>
              <w:t>International regulatory status</w:t>
            </w:r>
            <w:r>
              <w:rPr>
                <w:noProof/>
                <w:webHidden/>
              </w:rPr>
              <w:tab/>
            </w:r>
            <w:r>
              <w:rPr>
                <w:noProof/>
                <w:webHidden/>
              </w:rPr>
              <w:fldChar w:fldCharType="begin"/>
            </w:r>
            <w:r>
              <w:rPr>
                <w:noProof/>
                <w:webHidden/>
              </w:rPr>
              <w:instrText xml:space="preserve"> PAGEREF _Toc225166219 \h </w:instrText>
            </w:r>
            <w:r>
              <w:rPr>
                <w:noProof/>
                <w:webHidden/>
              </w:rPr>
            </w:r>
            <w:r>
              <w:rPr>
                <w:noProof/>
                <w:webHidden/>
              </w:rPr>
              <w:fldChar w:fldCharType="separate"/>
            </w:r>
            <w:r>
              <w:rPr>
                <w:noProof/>
                <w:webHidden/>
              </w:rPr>
              <w:t>10</w:t>
            </w:r>
            <w:r>
              <w:rPr>
                <w:noProof/>
                <w:webHidden/>
              </w:rPr>
              <w:fldChar w:fldCharType="end"/>
            </w:r>
          </w:hyperlink>
        </w:p>
        <w:p w14:paraId="25C54A5E" w14:textId="43392822" w:rsidR="001C6B41" w:rsidRDefault="001C6B4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25166220" w:history="1">
            <w:r w:rsidRPr="006C5D35">
              <w:rPr>
                <w:rStyle w:val="Hyperlink"/>
                <w:noProof/>
              </w:rPr>
              <w:t>Registration timeline</w:t>
            </w:r>
            <w:r>
              <w:rPr>
                <w:noProof/>
                <w:webHidden/>
              </w:rPr>
              <w:tab/>
            </w:r>
            <w:r>
              <w:rPr>
                <w:noProof/>
                <w:webHidden/>
              </w:rPr>
              <w:fldChar w:fldCharType="begin"/>
            </w:r>
            <w:r>
              <w:rPr>
                <w:noProof/>
                <w:webHidden/>
              </w:rPr>
              <w:instrText xml:space="preserve"> PAGEREF _Toc225166220 \h </w:instrText>
            </w:r>
            <w:r>
              <w:rPr>
                <w:noProof/>
                <w:webHidden/>
              </w:rPr>
            </w:r>
            <w:r>
              <w:rPr>
                <w:noProof/>
                <w:webHidden/>
              </w:rPr>
              <w:fldChar w:fldCharType="separate"/>
            </w:r>
            <w:r>
              <w:rPr>
                <w:noProof/>
                <w:webHidden/>
              </w:rPr>
              <w:t>10</w:t>
            </w:r>
            <w:r>
              <w:rPr>
                <w:noProof/>
                <w:webHidden/>
              </w:rPr>
              <w:fldChar w:fldCharType="end"/>
            </w:r>
          </w:hyperlink>
        </w:p>
        <w:p w14:paraId="1CC2C9AC" w14:textId="6E380C99" w:rsidR="001C6B41" w:rsidRDefault="001C6B4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25166221" w:history="1">
            <w:r w:rsidRPr="006C5D35">
              <w:rPr>
                <w:rStyle w:val="Hyperlink"/>
                <w:noProof/>
              </w:rPr>
              <w:t>Assessment overview</w:t>
            </w:r>
            <w:r>
              <w:rPr>
                <w:noProof/>
                <w:webHidden/>
              </w:rPr>
              <w:tab/>
            </w:r>
            <w:r>
              <w:rPr>
                <w:noProof/>
                <w:webHidden/>
              </w:rPr>
              <w:fldChar w:fldCharType="begin"/>
            </w:r>
            <w:r>
              <w:rPr>
                <w:noProof/>
                <w:webHidden/>
              </w:rPr>
              <w:instrText xml:space="preserve"> PAGEREF _Toc225166221 \h </w:instrText>
            </w:r>
            <w:r>
              <w:rPr>
                <w:noProof/>
                <w:webHidden/>
              </w:rPr>
            </w:r>
            <w:r>
              <w:rPr>
                <w:noProof/>
                <w:webHidden/>
              </w:rPr>
              <w:fldChar w:fldCharType="separate"/>
            </w:r>
            <w:r>
              <w:rPr>
                <w:noProof/>
                <w:webHidden/>
              </w:rPr>
              <w:t>10</w:t>
            </w:r>
            <w:r>
              <w:rPr>
                <w:noProof/>
                <w:webHidden/>
              </w:rPr>
              <w:fldChar w:fldCharType="end"/>
            </w:r>
          </w:hyperlink>
        </w:p>
        <w:p w14:paraId="77BF96EF" w14:textId="292A04F4" w:rsidR="001C6B41" w:rsidRDefault="001C6B4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166222" w:history="1">
            <w:r w:rsidRPr="006C5D35">
              <w:rPr>
                <w:rStyle w:val="Hyperlink"/>
                <w:noProof/>
              </w:rPr>
              <w:t>Quality evaluation summary</w:t>
            </w:r>
            <w:r>
              <w:rPr>
                <w:noProof/>
                <w:webHidden/>
              </w:rPr>
              <w:tab/>
            </w:r>
            <w:r>
              <w:rPr>
                <w:noProof/>
                <w:webHidden/>
              </w:rPr>
              <w:fldChar w:fldCharType="begin"/>
            </w:r>
            <w:r>
              <w:rPr>
                <w:noProof/>
                <w:webHidden/>
              </w:rPr>
              <w:instrText xml:space="preserve"> PAGEREF _Toc225166222 \h </w:instrText>
            </w:r>
            <w:r>
              <w:rPr>
                <w:noProof/>
                <w:webHidden/>
              </w:rPr>
            </w:r>
            <w:r>
              <w:rPr>
                <w:noProof/>
                <w:webHidden/>
              </w:rPr>
              <w:fldChar w:fldCharType="separate"/>
            </w:r>
            <w:r>
              <w:rPr>
                <w:noProof/>
                <w:webHidden/>
              </w:rPr>
              <w:t>11</w:t>
            </w:r>
            <w:r>
              <w:rPr>
                <w:noProof/>
                <w:webHidden/>
              </w:rPr>
              <w:fldChar w:fldCharType="end"/>
            </w:r>
          </w:hyperlink>
        </w:p>
        <w:p w14:paraId="0C0E4BA9" w14:textId="24E264CE" w:rsidR="001C6B41" w:rsidRDefault="001C6B4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166223" w:history="1">
            <w:r w:rsidRPr="006C5D35">
              <w:rPr>
                <w:rStyle w:val="Hyperlink"/>
                <w:noProof/>
              </w:rPr>
              <w:t>Nonclinical evaluation summary</w:t>
            </w:r>
            <w:r>
              <w:rPr>
                <w:noProof/>
                <w:webHidden/>
              </w:rPr>
              <w:tab/>
            </w:r>
            <w:r>
              <w:rPr>
                <w:noProof/>
                <w:webHidden/>
              </w:rPr>
              <w:fldChar w:fldCharType="begin"/>
            </w:r>
            <w:r>
              <w:rPr>
                <w:noProof/>
                <w:webHidden/>
              </w:rPr>
              <w:instrText xml:space="preserve"> PAGEREF _Toc225166223 \h </w:instrText>
            </w:r>
            <w:r>
              <w:rPr>
                <w:noProof/>
                <w:webHidden/>
              </w:rPr>
            </w:r>
            <w:r>
              <w:rPr>
                <w:noProof/>
                <w:webHidden/>
              </w:rPr>
              <w:fldChar w:fldCharType="separate"/>
            </w:r>
            <w:r>
              <w:rPr>
                <w:noProof/>
                <w:webHidden/>
              </w:rPr>
              <w:t>11</w:t>
            </w:r>
            <w:r>
              <w:rPr>
                <w:noProof/>
                <w:webHidden/>
              </w:rPr>
              <w:fldChar w:fldCharType="end"/>
            </w:r>
          </w:hyperlink>
        </w:p>
        <w:p w14:paraId="1B793730" w14:textId="2B326E70" w:rsidR="001C6B41" w:rsidRDefault="001C6B4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166224" w:history="1">
            <w:r w:rsidRPr="006C5D35">
              <w:rPr>
                <w:rStyle w:val="Hyperlink"/>
                <w:noProof/>
              </w:rPr>
              <w:t>Clinical evaluation summary</w:t>
            </w:r>
            <w:r>
              <w:rPr>
                <w:noProof/>
                <w:webHidden/>
              </w:rPr>
              <w:tab/>
            </w:r>
            <w:r>
              <w:rPr>
                <w:noProof/>
                <w:webHidden/>
              </w:rPr>
              <w:fldChar w:fldCharType="begin"/>
            </w:r>
            <w:r>
              <w:rPr>
                <w:noProof/>
                <w:webHidden/>
              </w:rPr>
              <w:instrText xml:space="preserve"> PAGEREF _Toc225166224 \h </w:instrText>
            </w:r>
            <w:r>
              <w:rPr>
                <w:noProof/>
                <w:webHidden/>
              </w:rPr>
            </w:r>
            <w:r>
              <w:rPr>
                <w:noProof/>
                <w:webHidden/>
              </w:rPr>
              <w:fldChar w:fldCharType="separate"/>
            </w:r>
            <w:r>
              <w:rPr>
                <w:noProof/>
                <w:webHidden/>
              </w:rPr>
              <w:t>12</w:t>
            </w:r>
            <w:r>
              <w:rPr>
                <w:noProof/>
                <w:webHidden/>
              </w:rPr>
              <w:fldChar w:fldCharType="end"/>
            </w:r>
          </w:hyperlink>
        </w:p>
        <w:p w14:paraId="1446E709" w14:textId="100D63C2" w:rsidR="001C6B41" w:rsidRDefault="001C6B4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166225" w:history="1">
            <w:r w:rsidRPr="006C5D35">
              <w:rPr>
                <w:rStyle w:val="Hyperlink"/>
                <w:noProof/>
              </w:rPr>
              <w:t>Summary of clinical studies</w:t>
            </w:r>
            <w:r>
              <w:rPr>
                <w:noProof/>
                <w:webHidden/>
              </w:rPr>
              <w:tab/>
            </w:r>
            <w:r>
              <w:rPr>
                <w:noProof/>
                <w:webHidden/>
              </w:rPr>
              <w:fldChar w:fldCharType="begin"/>
            </w:r>
            <w:r>
              <w:rPr>
                <w:noProof/>
                <w:webHidden/>
              </w:rPr>
              <w:instrText xml:space="preserve"> PAGEREF _Toc225166225 \h </w:instrText>
            </w:r>
            <w:r>
              <w:rPr>
                <w:noProof/>
                <w:webHidden/>
              </w:rPr>
            </w:r>
            <w:r>
              <w:rPr>
                <w:noProof/>
                <w:webHidden/>
              </w:rPr>
              <w:fldChar w:fldCharType="separate"/>
            </w:r>
            <w:r>
              <w:rPr>
                <w:noProof/>
                <w:webHidden/>
              </w:rPr>
              <w:t>12</w:t>
            </w:r>
            <w:r>
              <w:rPr>
                <w:noProof/>
                <w:webHidden/>
              </w:rPr>
              <w:fldChar w:fldCharType="end"/>
            </w:r>
          </w:hyperlink>
        </w:p>
        <w:p w14:paraId="7F19F964" w14:textId="04E27D94" w:rsidR="001C6B41" w:rsidRDefault="001C6B4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166226" w:history="1">
            <w:r w:rsidRPr="006C5D35">
              <w:rPr>
                <w:rStyle w:val="Hyperlink"/>
                <w:noProof/>
              </w:rPr>
              <w:t>Pharmacology</w:t>
            </w:r>
            <w:r>
              <w:rPr>
                <w:noProof/>
                <w:webHidden/>
              </w:rPr>
              <w:tab/>
            </w:r>
            <w:r>
              <w:rPr>
                <w:noProof/>
                <w:webHidden/>
              </w:rPr>
              <w:fldChar w:fldCharType="begin"/>
            </w:r>
            <w:r>
              <w:rPr>
                <w:noProof/>
                <w:webHidden/>
              </w:rPr>
              <w:instrText xml:space="preserve"> PAGEREF _Toc225166226 \h </w:instrText>
            </w:r>
            <w:r>
              <w:rPr>
                <w:noProof/>
                <w:webHidden/>
              </w:rPr>
            </w:r>
            <w:r>
              <w:rPr>
                <w:noProof/>
                <w:webHidden/>
              </w:rPr>
              <w:fldChar w:fldCharType="separate"/>
            </w:r>
            <w:r>
              <w:rPr>
                <w:noProof/>
                <w:webHidden/>
              </w:rPr>
              <w:t>12</w:t>
            </w:r>
            <w:r>
              <w:rPr>
                <w:noProof/>
                <w:webHidden/>
              </w:rPr>
              <w:fldChar w:fldCharType="end"/>
            </w:r>
          </w:hyperlink>
        </w:p>
        <w:p w14:paraId="22816937" w14:textId="71569470" w:rsidR="001C6B41" w:rsidRDefault="001C6B4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166227" w:history="1">
            <w:r w:rsidRPr="006C5D35">
              <w:rPr>
                <w:rStyle w:val="Hyperlink"/>
                <w:noProof/>
              </w:rPr>
              <w:t>Efficacy</w:t>
            </w:r>
            <w:r>
              <w:rPr>
                <w:noProof/>
                <w:webHidden/>
              </w:rPr>
              <w:tab/>
            </w:r>
            <w:r>
              <w:rPr>
                <w:noProof/>
                <w:webHidden/>
              </w:rPr>
              <w:fldChar w:fldCharType="begin"/>
            </w:r>
            <w:r>
              <w:rPr>
                <w:noProof/>
                <w:webHidden/>
              </w:rPr>
              <w:instrText xml:space="preserve"> PAGEREF _Toc225166227 \h </w:instrText>
            </w:r>
            <w:r>
              <w:rPr>
                <w:noProof/>
                <w:webHidden/>
              </w:rPr>
            </w:r>
            <w:r>
              <w:rPr>
                <w:noProof/>
                <w:webHidden/>
              </w:rPr>
              <w:fldChar w:fldCharType="separate"/>
            </w:r>
            <w:r>
              <w:rPr>
                <w:noProof/>
                <w:webHidden/>
              </w:rPr>
              <w:t>14</w:t>
            </w:r>
            <w:r>
              <w:rPr>
                <w:noProof/>
                <w:webHidden/>
              </w:rPr>
              <w:fldChar w:fldCharType="end"/>
            </w:r>
          </w:hyperlink>
        </w:p>
        <w:p w14:paraId="59AE2E6F" w14:textId="31E0FBC1" w:rsidR="001C6B41" w:rsidRDefault="001C6B4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166228" w:history="1">
            <w:r w:rsidRPr="006C5D35">
              <w:rPr>
                <w:rStyle w:val="Hyperlink"/>
                <w:noProof/>
              </w:rPr>
              <w:t>Safety</w:t>
            </w:r>
            <w:r>
              <w:rPr>
                <w:noProof/>
                <w:webHidden/>
              </w:rPr>
              <w:tab/>
            </w:r>
            <w:r>
              <w:rPr>
                <w:noProof/>
                <w:webHidden/>
              </w:rPr>
              <w:fldChar w:fldCharType="begin"/>
            </w:r>
            <w:r>
              <w:rPr>
                <w:noProof/>
                <w:webHidden/>
              </w:rPr>
              <w:instrText xml:space="preserve"> PAGEREF _Toc225166228 \h </w:instrText>
            </w:r>
            <w:r>
              <w:rPr>
                <w:noProof/>
                <w:webHidden/>
              </w:rPr>
            </w:r>
            <w:r>
              <w:rPr>
                <w:noProof/>
                <w:webHidden/>
              </w:rPr>
              <w:fldChar w:fldCharType="separate"/>
            </w:r>
            <w:r>
              <w:rPr>
                <w:noProof/>
                <w:webHidden/>
              </w:rPr>
              <w:t>22</w:t>
            </w:r>
            <w:r>
              <w:rPr>
                <w:noProof/>
                <w:webHidden/>
              </w:rPr>
              <w:fldChar w:fldCharType="end"/>
            </w:r>
          </w:hyperlink>
        </w:p>
        <w:p w14:paraId="0A382ECC" w14:textId="310C4ECB" w:rsidR="001C6B41" w:rsidRDefault="001C6B4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166229" w:history="1">
            <w:r w:rsidRPr="006C5D35">
              <w:rPr>
                <w:rStyle w:val="Hyperlink"/>
                <w:noProof/>
              </w:rPr>
              <w:t>Recommendation following the clinical evaluation</w:t>
            </w:r>
            <w:r>
              <w:rPr>
                <w:noProof/>
                <w:webHidden/>
              </w:rPr>
              <w:tab/>
            </w:r>
            <w:r>
              <w:rPr>
                <w:noProof/>
                <w:webHidden/>
              </w:rPr>
              <w:fldChar w:fldCharType="begin"/>
            </w:r>
            <w:r>
              <w:rPr>
                <w:noProof/>
                <w:webHidden/>
              </w:rPr>
              <w:instrText xml:space="preserve"> PAGEREF _Toc225166229 \h </w:instrText>
            </w:r>
            <w:r>
              <w:rPr>
                <w:noProof/>
                <w:webHidden/>
              </w:rPr>
            </w:r>
            <w:r>
              <w:rPr>
                <w:noProof/>
                <w:webHidden/>
              </w:rPr>
              <w:fldChar w:fldCharType="separate"/>
            </w:r>
            <w:r>
              <w:rPr>
                <w:noProof/>
                <w:webHidden/>
              </w:rPr>
              <w:t>24</w:t>
            </w:r>
            <w:r>
              <w:rPr>
                <w:noProof/>
                <w:webHidden/>
              </w:rPr>
              <w:fldChar w:fldCharType="end"/>
            </w:r>
          </w:hyperlink>
        </w:p>
        <w:p w14:paraId="2867ECC0" w14:textId="2E1C94E7" w:rsidR="001C6B41" w:rsidRDefault="001C6B4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166230" w:history="1">
            <w:r w:rsidRPr="006C5D35">
              <w:rPr>
                <w:rStyle w:val="Hyperlink"/>
                <w:noProof/>
                <w:lang w:eastAsia="en-AU"/>
              </w:rPr>
              <w:t xml:space="preserve">Risk </w:t>
            </w:r>
            <w:r w:rsidRPr="006C5D35">
              <w:rPr>
                <w:rStyle w:val="Hyperlink"/>
                <w:noProof/>
              </w:rPr>
              <w:t>management</w:t>
            </w:r>
            <w:r w:rsidRPr="006C5D35">
              <w:rPr>
                <w:rStyle w:val="Hyperlink"/>
                <w:noProof/>
                <w:lang w:eastAsia="en-AU"/>
              </w:rPr>
              <w:t xml:space="preserve"> plan</w:t>
            </w:r>
            <w:r>
              <w:rPr>
                <w:noProof/>
                <w:webHidden/>
              </w:rPr>
              <w:tab/>
            </w:r>
            <w:r>
              <w:rPr>
                <w:noProof/>
                <w:webHidden/>
              </w:rPr>
              <w:fldChar w:fldCharType="begin"/>
            </w:r>
            <w:r>
              <w:rPr>
                <w:noProof/>
                <w:webHidden/>
              </w:rPr>
              <w:instrText xml:space="preserve"> PAGEREF _Toc225166230 \h </w:instrText>
            </w:r>
            <w:r>
              <w:rPr>
                <w:noProof/>
                <w:webHidden/>
              </w:rPr>
            </w:r>
            <w:r>
              <w:rPr>
                <w:noProof/>
                <w:webHidden/>
              </w:rPr>
              <w:fldChar w:fldCharType="separate"/>
            </w:r>
            <w:r>
              <w:rPr>
                <w:noProof/>
                <w:webHidden/>
              </w:rPr>
              <w:t>24</w:t>
            </w:r>
            <w:r>
              <w:rPr>
                <w:noProof/>
                <w:webHidden/>
              </w:rPr>
              <w:fldChar w:fldCharType="end"/>
            </w:r>
          </w:hyperlink>
        </w:p>
        <w:p w14:paraId="35F254C6" w14:textId="3D201D2E" w:rsidR="001C6B41" w:rsidRDefault="001C6B4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166231" w:history="1">
            <w:r w:rsidRPr="006C5D35">
              <w:rPr>
                <w:rStyle w:val="Hyperlink"/>
                <w:noProof/>
              </w:rPr>
              <w:t>Risk-benefit analysis</w:t>
            </w:r>
            <w:r>
              <w:rPr>
                <w:noProof/>
                <w:webHidden/>
              </w:rPr>
              <w:tab/>
            </w:r>
            <w:r>
              <w:rPr>
                <w:noProof/>
                <w:webHidden/>
              </w:rPr>
              <w:fldChar w:fldCharType="begin"/>
            </w:r>
            <w:r>
              <w:rPr>
                <w:noProof/>
                <w:webHidden/>
              </w:rPr>
              <w:instrText xml:space="preserve"> PAGEREF _Toc225166231 \h </w:instrText>
            </w:r>
            <w:r>
              <w:rPr>
                <w:noProof/>
                <w:webHidden/>
              </w:rPr>
            </w:r>
            <w:r>
              <w:rPr>
                <w:noProof/>
                <w:webHidden/>
              </w:rPr>
              <w:fldChar w:fldCharType="separate"/>
            </w:r>
            <w:r>
              <w:rPr>
                <w:noProof/>
                <w:webHidden/>
              </w:rPr>
              <w:t>25</w:t>
            </w:r>
            <w:r>
              <w:rPr>
                <w:noProof/>
                <w:webHidden/>
              </w:rPr>
              <w:fldChar w:fldCharType="end"/>
            </w:r>
          </w:hyperlink>
        </w:p>
        <w:p w14:paraId="2CAAED4C" w14:textId="358F247E" w:rsidR="001C6B41" w:rsidRDefault="001C6B4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166232" w:history="1">
            <w:r w:rsidRPr="006C5D35">
              <w:rPr>
                <w:rStyle w:val="Hyperlink"/>
                <w:noProof/>
              </w:rPr>
              <w:t>Delegate’s considerations</w:t>
            </w:r>
            <w:r>
              <w:rPr>
                <w:noProof/>
                <w:webHidden/>
              </w:rPr>
              <w:tab/>
            </w:r>
            <w:r>
              <w:rPr>
                <w:noProof/>
                <w:webHidden/>
              </w:rPr>
              <w:fldChar w:fldCharType="begin"/>
            </w:r>
            <w:r>
              <w:rPr>
                <w:noProof/>
                <w:webHidden/>
              </w:rPr>
              <w:instrText xml:space="preserve"> PAGEREF _Toc225166232 \h </w:instrText>
            </w:r>
            <w:r>
              <w:rPr>
                <w:noProof/>
                <w:webHidden/>
              </w:rPr>
            </w:r>
            <w:r>
              <w:rPr>
                <w:noProof/>
                <w:webHidden/>
              </w:rPr>
              <w:fldChar w:fldCharType="separate"/>
            </w:r>
            <w:r>
              <w:rPr>
                <w:noProof/>
                <w:webHidden/>
              </w:rPr>
              <w:t>25</w:t>
            </w:r>
            <w:r>
              <w:rPr>
                <w:noProof/>
                <w:webHidden/>
              </w:rPr>
              <w:fldChar w:fldCharType="end"/>
            </w:r>
          </w:hyperlink>
        </w:p>
        <w:p w14:paraId="345E4D62" w14:textId="3F53CF03" w:rsidR="001C6B41" w:rsidRDefault="001C6B4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166233" w:history="1">
            <w:r w:rsidRPr="006C5D35">
              <w:rPr>
                <w:rStyle w:val="Hyperlink"/>
                <w:noProof/>
              </w:rPr>
              <w:t>Proposed action</w:t>
            </w:r>
            <w:r>
              <w:rPr>
                <w:noProof/>
                <w:webHidden/>
              </w:rPr>
              <w:tab/>
            </w:r>
            <w:r>
              <w:rPr>
                <w:noProof/>
                <w:webHidden/>
              </w:rPr>
              <w:fldChar w:fldCharType="begin"/>
            </w:r>
            <w:r>
              <w:rPr>
                <w:noProof/>
                <w:webHidden/>
              </w:rPr>
              <w:instrText xml:space="preserve"> PAGEREF _Toc225166233 \h </w:instrText>
            </w:r>
            <w:r>
              <w:rPr>
                <w:noProof/>
                <w:webHidden/>
              </w:rPr>
            </w:r>
            <w:r>
              <w:rPr>
                <w:noProof/>
                <w:webHidden/>
              </w:rPr>
              <w:fldChar w:fldCharType="separate"/>
            </w:r>
            <w:r>
              <w:rPr>
                <w:noProof/>
                <w:webHidden/>
              </w:rPr>
              <w:t>26</w:t>
            </w:r>
            <w:r>
              <w:rPr>
                <w:noProof/>
                <w:webHidden/>
              </w:rPr>
              <w:fldChar w:fldCharType="end"/>
            </w:r>
          </w:hyperlink>
        </w:p>
        <w:p w14:paraId="20CB7B1A" w14:textId="73BC6A4F" w:rsidR="001C6B41" w:rsidRDefault="001C6B4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25166234" w:history="1">
            <w:r w:rsidRPr="006C5D35">
              <w:rPr>
                <w:rStyle w:val="Hyperlink"/>
                <w:noProof/>
              </w:rPr>
              <w:t>Assessment outcome</w:t>
            </w:r>
            <w:r>
              <w:rPr>
                <w:noProof/>
                <w:webHidden/>
              </w:rPr>
              <w:tab/>
            </w:r>
            <w:r>
              <w:rPr>
                <w:noProof/>
                <w:webHidden/>
              </w:rPr>
              <w:fldChar w:fldCharType="begin"/>
            </w:r>
            <w:r>
              <w:rPr>
                <w:noProof/>
                <w:webHidden/>
              </w:rPr>
              <w:instrText xml:space="preserve"> PAGEREF _Toc225166234 \h </w:instrText>
            </w:r>
            <w:r>
              <w:rPr>
                <w:noProof/>
                <w:webHidden/>
              </w:rPr>
            </w:r>
            <w:r>
              <w:rPr>
                <w:noProof/>
                <w:webHidden/>
              </w:rPr>
              <w:fldChar w:fldCharType="separate"/>
            </w:r>
            <w:r>
              <w:rPr>
                <w:noProof/>
                <w:webHidden/>
              </w:rPr>
              <w:t>26</w:t>
            </w:r>
            <w:r>
              <w:rPr>
                <w:noProof/>
                <w:webHidden/>
              </w:rPr>
              <w:fldChar w:fldCharType="end"/>
            </w:r>
          </w:hyperlink>
        </w:p>
        <w:p w14:paraId="393E4766" w14:textId="30671C0C" w:rsidR="001C6B41" w:rsidRDefault="001C6B4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25166235" w:history="1">
            <w:r w:rsidRPr="006C5D35">
              <w:rPr>
                <w:rStyle w:val="Hyperlink"/>
                <w:noProof/>
              </w:rPr>
              <w:t>Specific conditions of registration</w:t>
            </w:r>
            <w:r>
              <w:rPr>
                <w:noProof/>
                <w:webHidden/>
              </w:rPr>
              <w:tab/>
            </w:r>
            <w:r>
              <w:rPr>
                <w:noProof/>
                <w:webHidden/>
              </w:rPr>
              <w:fldChar w:fldCharType="begin"/>
            </w:r>
            <w:r>
              <w:rPr>
                <w:noProof/>
                <w:webHidden/>
              </w:rPr>
              <w:instrText xml:space="preserve"> PAGEREF _Toc225166235 \h </w:instrText>
            </w:r>
            <w:r>
              <w:rPr>
                <w:noProof/>
                <w:webHidden/>
              </w:rPr>
            </w:r>
            <w:r>
              <w:rPr>
                <w:noProof/>
                <w:webHidden/>
              </w:rPr>
              <w:fldChar w:fldCharType="separate"/>
            </w:r>
            <w:r>
              <w:rPr>
                <w:noProof/>
                <w:webHidden/>
              </w:rPr>
              <w:t>27</w:t>
            </w:r>
            <w:r>
              <w:rPr>
                <w:noProof/>
                <w:webHidden/>
              </w:rPr>
              <w:fldChar w:fldCharType="end"/>
            </w:r>
          </w:hyperlink>
        </w:p>
        <w:p w14:paraId="2545DB50" w14:textId="1C2B1410" w:rsidR="001C6B41" w:rsidRDefault="001C6B4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166236" w:history="1">
            <w:r w:rsidRPr="006C5D35">
              <w:rPr>
                <w:rStyle w:val="Hyperlink"/>
                <w:noProof/>
              </w:rPr>
              <w:t>Product Information and Consumer Medicine Information</w:t>
            </w:r>
            <w:r>
              <w:rPr>
                <w:noProof/>
                <w:webHidden/>
              </w:rPr>
              <w:tab/>
            </w:r>
            <w:r>
              <w:rPr>
                <w:noProof/>
                <w:webHidden/>
              </w:rPr>
              <w:fldChar w:fldCharType="begin"/>
            </w:r>
            <w:r>
              <w:rPr>
                <w:noProof/>
                <w:webHidden/>
              </w:rPr>
              <w:instrText xml:space="preserve"> PAGEREF _Toc225166236 \h </w:instrText>
            </w:r>
            <w:r>
              <w:rPr>
                <w:noProof/>
                <w:webHidden/>
              </w:rPr>
            </w:r>
            <w:r>
              <w:rPr>
                <w:noProof/>
                <w:webHidden/>
              </w:rPr>
              <w:fldChar w:fldCharType="separate"/>
            </w:r>
            <w:r>
              <w:rPr>
                <w:noProof/>
                <w:webHidden/>
              </w:rPr>
              <w:t>27</w:t>
            </w:r>
            <w:r>
              <w:rPr>
                <w:noProof/>
                <w:webHidden/>
              </w:rPr>
              <w:fldChar w:fldCharType="end"/>
            </w:r>
          </w:hyperlink>
        </w:p>
        <w:p w14:paraId="77659F2D" w14:textId="03FB5BF1" w:rsidR="00F02AEC" w:rsidRPr="00215D48" w:rsidRDefault="00F02AEC" w:rsidP="007452E8">
          <w:r w:rsidRPr="00215D48">
            <w:fldChar w:fldCharType="end"/>
          </w:r>
        </w:p>
      </w:sdtContent>
    </w:sdt>
    <w:p w14:paraId="10987AE2" w14:textId="77777777" w:rsidR="00F02AEC" w:rsidRPr="00215D48" w:rsidRDefault="00F02AEC" w:rsidP="00C71A77">
      <w:r w:rsidRPr="00215D48">
        <w:br w:type="page"/>
      </w:r>
    </w:p>
    <w:p w14:paraId="1E73AB93" w14:textId="77777777" w:rsidR="00324B33" w:rsidRDefault="00324B33" w:rsidP="00C71A77">
      <w:pPr>
        <w:pStyle w:val="Heading2"/>
      </w:pPr>
      <w:bookmarkStart w:id="0" w:name="_Toc98931917"/>
      <w:bookmarkStart w:id="1" w:name="_Toc103679287"/>
      <w:bookmarkStart w:id="2" w:name="_Toc225166210"/>
      <w:bookmarkStart w:id="3" w:name="_Toc323739589"/>
      <w:bookmarkStart w:id="4" w:name="_Toc356305216"/>
      <w:r>
        <w:lastRenderedPageBreak/>
        <w:t xml:space="preserve">List of </w:t>
      </w:r>
      <w:r w:rsidRPr="00C71A77">
        <w:t>abbreviations</w:t>
      </w:r>
      <w:bookmarkEnd w:id="0"/>
      <w:bookmarkEnd w:id="1"/>
      <w:bookmarkEnd w:id="2"/>
    </w:p>
    <w:tbl>
      <w:tblPr>
        <w:tblStyle w:val="TableTGAblue2023"/>
        <w:tblW w:w="9430" w:type="dxa"/>
        <w:tblLook w:val="04A0" w:firstRow="1" w:lastRow="0" w:firstColumn="1" w:lastColumn="0" w:noHBand="0" w:noVBand="1"/>
      </w:tblPr>
      <w:tblGrid>
        <w:gridCol w:w="2263"/>
        <w:gridCol w:w="7167"/>
      </w:tblGrid>
      <w:tr w:rsidR="008602D6" w:rsidRPr="003D71A1" w14:paraId="378D933C" w14:textId="77777777">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2263" w:type="dxa"/>
            <w:shd w:val="clear" w:color="auto" w:fill="EAEDF1" w:themeFill="text2" w:themeFillTint="1A"/>
          </w:tcPr>
          <w:p w14:paraId="57FEAB1E" w14:textId="77777777" w:rsidR="008602D6" w:rsidRPr="00056A6B" w:rsidRDefault="008602D6">
            <w:bookmarkStart w:id="5" w:name="_Hlk133418605"/>
            <w:r w:rsidRPr="00056A6B">
              <w:t>Abbreviation</w:t>
            </w:r>
          </w:p>
        </w:tc>
        <w:tc>
          <w:tcPr>
            <w:tcW w:w="7167" w:type="dxa"/>
            <w:shd w:val="clear" w:color="auto" w:fill="EAEDF1" w:themeFill="text2" w:themeFillTint="1A"/>
          </w:tcPr>
          <w:p w14:paraId="5FF79149" w14:textId="77777777" w:rsidR="008602D6" w:rsidRPr="00056A6B" w:rsidRDefault="008602D6">
            <w:pPr>
              <w:cnfStyle w:val="100000000000" w:firstRow="1" w:lastRow="0" w:firstColumn="0" w:lastColumn="0" w:oddVBand="0" w:evenVBand="0" w:oddHBand="0" w:evenHBand="0" w:firstRowFirstColumn="0" w:firstRowLastColumn="0" w:lastRowFirstColumn="0" w:lastRowLastColumn="0"/>
            </w:pPr>
            <w:r w:rsidRPr="00056A6B">
              <w:t>Meaning</w:t>
            </w:r>
          </w:p>
        </w:tc>
      </w:tr>
      <w:tr w:rsidR="008602D6" w:rsidRPr="00503217" w14:paraId="6CE8FBD3"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D5625FC" w14:textId="77777777" w:rsidR="008602D6" w:rsidRPr="00056A6B" w:rsidRDefault="008602D6">
            <w:pPr>
              <w:rPr>
                <w:rFonts w:cstheme="minorHAnsi"/>
                <w:szCs w:val="22"/>
              </w:rPr>
            </w:pPr>
            <w:r w:rsidRPr="00056A6B">
              <w:rPr>
                <w:rFonts w:cstheme="minorHAnsi"/>
                <w:szCs w:val="22"/>
              </w:rPr>
              <w:t>ACR</w:t>
            </w:r>
          </w:p>
        </w:tc>
        <w:tc>
          <w:tcPr>
            <w:tcW w:w="7167" w:type="dxa"/>
          </w:tcPr>
          <w:p w14:paraId="7CFC0F6E"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rFonts w:cstheme="minorHAnsi"/>
                <w:szCs w:val="22"/>
              </w:rPr>
            </w:pPr>
            <w:r w:rsidRPr="00056A6B">
              <w:rPr>
                <w:szCs w:val="22"/>
              </w:rPr>
              <w:t>American College of Rheumatology</w:t>
            </w:r>
          </w:p>
        </w:tc>
      </w:tr>
      <w:tr w:rsidR="008602D6" w:rsidRPr="00503217" w14:paraId="3694898F"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111BA13" w14:textId="77777777" w:rsidR="008602D6" w:rsidRPr="00056A6B" w:rsidRDefault="008602D6">
            <w:pPr>
              <w:rPr>
                <w:rFonts w:cstheme="minorHAnsi"/>
                <w:szCs w:val="22"/>
              </w:rPr>
            </w:pPr>
            <w:r w:rsidRPr="00056A6B">
              <w:rPr>
                <w:rFonts w:cstheme="minorHAnsi"/>
                <w:szCs w:val="22"/>
              </w:rPr>
              <w:t>ADA</w:t>
            </w:r>
          </w:p>
        </w:tc>
        <w:tc>
          <w:tcPr>
            <w:tcW w:w="7167" w:type="dxa"/>
          </w:tcPr>
          <w:p w14:paraId="601C3E72"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rFonts w:cstheme="minorHAnsi"/>
                <w:szCs w:val="22"/>
              </w:rPr>
            </w:pPr>
            <w:r w:rsidRPr="00056A6B">
              <w:rPr>
                <w:rFonts w:cstheme="minorHAnsi"/>
                <w:szCs w:val="22"/>
              </w:rPr>
              <w:t>Anti-drug antibodies</w:t>
            </w:r>
          </w:p>
        </w:tc>
      </w:tr>
      <w:tr w:rsidR="008602D6" w:rsidRPr="00503217" w14:paraId="110A34D3"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B6E0D3C" w14:textId="77777777" w:rsidR="008602D6" w:rsidRPr="00056A6B" w:rsidRDefault="008602D6">
            <w:pPr>
              <w:rPr>
                <w:rFonts w:cstheme="minorHAnsi"/>
                <w:szCs w:val="22"/>
              </w:rPr>
            </w:pPr>
            <w:r w:rsidRPr="00056A6B">
              <w:rPr>
                <w:rFonts w:cstheme="minorHAnsi"/>
                <w:szCs w:val="22"/>
              </w:rPr>
              <w:t>AE(s)</w:t>
            </w:r>
          </w:p>
        </w:tc>
        <w:tc>
          <w:tcPr>
            <w:tcW w:w="7167" w:type="dxa"/>
          </w:tcPr>
          <w:p w14:paraId="47FEB247"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rFonts w:cstheme="minorHAnsi"/>
                <w:szCs w:val="22"/>
              </w:rPr>
            </w:pPr>
            <w:r w:rsidRPr="00056A6B">
              <w:rPr>
                <w:rFonts w:cstheme="minorHAnsi"/>
                <w:szCs w:val="22"/>
              </w:rPr>
              <w:t>Adverse event(s)</w:t>
            </w:r>
          </w:p>
        </w:tc>
      </w:tr>
      <w:tr w:rsidR="008602D6" w:rsidRPr="00503217" w14:paraId="2153B574"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F992CC3" w14:textId="77777777" w:rsidR="008602D6" w:rsidRPr="00056A6B" w:rsidRDefault="008602D6">
            <w:pPr>
              <w:rPr>
                <w:rFonts w:cstheme="minorHAnsi"/>
                <w:szCs w:val="22"/>
              </w:rPr>
            </w:pPr>
            <w:r w:rsidRPr="00056A6B">
              <w:rPr>
                <w:rFonts w:cstheme="minorHAnsi"/>
                <w:szCs w:val="22"/>
              </w:rPr>
              <w:t>ALT</w:t>
            </w:r>
          </w:p>
        </w:tc>
        <w:tc>
          <w:tcPr>
            <w:tcW w:w="7167" w:type="dxa"/>
          </w:tcPr>
          <w:p w14:paraId="425711D3"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szCs w:val="22"/>
              </w:rPr>
            </w:pPr>
            <w:r w:rsidRPr="00056A6B">
              <w:rPr>
                <w:szCs w:val="22"/>
              </w:rPr>
              <w:t>Alanine aminotransferase</w:t>
            </w:r>
          </w:p>
        </w:tc>
      </w:tr>
      <w:tr w:rsidR="008602D6" w:rsidRPr="00503217" w14:paraId="6372A240"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364E8E7" w14:textId="77777777" w:rsidR="008602D6" w:rsidRPr="00056A6B" w:rsidRDefault="008602D6">
            <w:pPr>
              <w:rPr>
                <w:rFonts w:cstheme="minorHAnsi"/>
                <w:szCs w:val="22"/>
              </w:rPr>
            </w:pPr>
            <w:r w:rsidRPr="00056A6B">
              <w:rPr>
                <w:rFonts w:cstheme="minorHAnsi"/>
                <w:szCs w:val="22"/>
              </w:rPr>
              <w:t>ARTG</w:t>
            </w:r>
          </w:p>
        </w:tc>
        <w:tc>
          <w:tcPr>
            <w:tcW w:w="7167" w:type="dxa"/>
          </w:tcPr>
          <w:p w14:paraId="71479D83"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rFonts w:cstheme="minorHAnsi"/>
                <w:szCs w:val="22"/>
              </w:rPr>
            </w:pPr>
            <w:r w:rsidRPr="00056A6B">
              <w:rPr>
                <w:rFonts w:cstheme="minorHAnsi"/>
                <w:szCs w:val="22"/>
              </w:rPr>
              <w:t>Australian Register of Therapeutic Goods</w:t>
            </w:r>
          </w:p>
        </w:tc>
      </w:tr>
      <w:tr w:rsidR="008602D6" w:rsidRPr="00503217" w14:paraId="1C74DC58"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FC74E3D" w14:textId="77777777" w:rsidR="008602D6" w:rsidRPr="00056A6B" w:rsidRDefault="008602D6">
            <w:pPr>
              <w:rPr>
                <w:szCs w:val="22"/>
              </w:rPr>
            </w:pPr>
            <w:r w:rsidRPr="00056A6B">
              <w:rPr>
                <w:szCs w:val="22"/>
              </w:rPr>
              <w:t>ASA</w:t>
            </w:r>
          </w:p>
        </w:tc>
        <w:tc>
          <w:tcPr>
            <w:tcW w:w="7167" w:type="dxa"/>
          </w:tcPr>
          <w:p w14:paraId="5C113D98"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szCs w:val="22"/>
              </w:rPr>
            </w:pPr>
            <w:r w:rsidRPr="00056A6B">
              <w:rPr>
                <w:szCs w:val="22"/>
              </w:rPr>
              <w:t>Australian-specific annex</w:t>
            </w:r>
          </w:p>
        </w:tc>
      </w:tr>
      <w:tr w:rsidR="008602D6" w:rsidRPr="00503217" w14:paraId="056A575F"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A35D391" w14:textId="77777777" w:rsidR="008602D6" w:rsidRPr="00056A6B" w:rsidRDefault="008602D6">
            <w:pPr>
              <w:rPr>
                <w:szCs w:val="22"/>
              </w:rPr>
            </w:pPr>
            <w:r w:rsidRPr="00056A6B">
              <w:rPr>
                <w:szCs w:val="22"/>
              </w:rPr>
              <w:t>AST</w:t>
            </w:r>
          </w:p>
        </w:tc>
        <w:tc>
          <w:tcPr>
            <w:tcW w:w="7167" w:type="dxa"/>
          </w:tcPr>
          <w:p w14:paraId="0E0232FA"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szCs w:val="22"/>
              </w:rPr>
            </w:pPr>
            <w:r w:rsidRPr="00056A6B">
              <w:rPr>
                <w:szCs w:val="22"/>
              </w:rPr>
              <w:t>Aspartate aminotransferase</w:t>
            </w:r>
          </w:p>
        </w:tc>
      </w:tr>
      <w:tr w:rsidR="008602D6" w:rsidRPr="00503217" w14:paraId="14F91967"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BA693FA" w14:textId="77777777" w:rsidR="008602D6" w:rsidRPr="00056A6B" w:rsidRDefault="008602D6">
            <w:pPr>
              <w:rPr>
                <w:szCs w:val="22"/>
              </w:rPr>
            </w:pPr>
            <w:r w:rsidRPr="00056A6B">
              <w:rPr>
                <w:szCs w:val="22"/>
              </w:rPr>
              <w:t>AUC</w:t>
            </w:r>
            <w:r w:rsidRPr="00056A6B">
              <w:rPr>
                <w:szCs w:val="22"/>
                <w:vertAlign w:val="subscript"/>
              </w:rPr>
              <w:t>0-inf</w:t>
            </w:r>
          </w:p>
        </w:tc>
        <w:tc>
          <w:tcPr>
            <w:tcW w:w="7167" w:type="dxa"/>
          </w:tcPr>
          <w:p w14:paraId="2087CE11"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szCs w:val="22"/>
                <w:lang w:val="en-GB"/>
              </w:rPr>
            </w:pPr>
            <w:r w:rsidRPr="00056A6B">
              <w:rPr>
                <w:szCs w:val="22"/>
              </w:rPr>
              <w:t>Area under the concentration time curve from 0 to infinity</w:t>
            </w:r>
          </w:p>
        </w:tc>
      </w:tr>
      <w:tr w:rsidR="008602D6" w:rsidRPr="00503217" w14:paraId="2981CA00"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35032E0" w14:textId="77777777" w:rsidR="008602D6" w:rsidRPr="00056A6B" w:rsidRDefault="008602D6">
            <w:pPr>
              <w:rPr>
                <w:szCs w:val="22"/>
              </w:rPr>
            </w:pPr>
            <w:r w:rsidRPr="00056A6B">
              <w:rPr>
                <w:szCs w:val="22"/>
              </w:rPr>
              <w:t>AUC</w:t>
            </w:r>
            <w:r w:rsidRPr="00056A6B">
              <w:rPr>
                <w:szCs w:val="22"/>
                <w:vertAlign w:val="subscript"/>
              </w:rPr>
              <w:t>0-last</w:t>
            </w:r>
          </w:p>
        </w:tc>
        <w:tc>
          <w:tcPr>
            <w:tcW w:w="7167" w:type="dxa"/>
          </w:tcPr>
          <w:p w14:paraId="26BC8688"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szCs w:val="22"/>
              </w:rPr>
            </w:pPr>
            <w:r w:rsidRPr="00056A6B">
              <w:rPr>
                <w:szCs w:val="22"/>
              </w:rPr>
              <w:t>Area under the concentration time curve from time zero to time of last quantifiable serum concentration</w:t>
            </w:r>
          </w:p>
        </w:tc>
      </w:tr>
      <w:tr w:rsidR="008602D6" w:rsidRPr="00503217" w14:paraId="778E5D46"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32F3D7C" w14:textId="77777777" w:rsidR="008602D6" w:rsidRPr="00056A6B" w:rsidRDefault="008602D6">
            <w:pPr>
              <w:rPr>
                <w:szCs w:val="22"/>
              </w:rPr>
            </w:pPr>
            <w:r w:rsidRPr="00056A6B">
              <w:rPr>
                <w:szCs w:val="22"/>
              </w:rPr>
              <w:t>AUC</w:t>
            </w:r>
            <w:r w:rsidRPr="00056A6B">
              <w:rPr>
                <w:szCs w:val="22"/>
                <w:vertAlign w:val="subscript"/>
              </w:rPr>
              <w:t>0-T</w:t>
            </w:r>
          </w:p>
        </w:tc>
        <w:tc>
          <w:tcPr>
            <w:tcW w:w="7167" w:type="dxa"/>
          </w:tcPr>
          <w:p w14:paraId="7656B5EE"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szCs w:val="22"/>
              </w:rPr>
            </w:pPr>
            <w:r w:rsidRPr="00056A6B">
              <w:rPr>
                <w:szCs w:val="22"/>
              </w:rPr>
              <w:t>Area under the concentration time curve from time 0 to the time of the last measurable concentration</w:t>
            </w:r>
          </w:p>
        </w:tc>
      </w:tr>
      <w:tr w:rsidR="008602D6" w:rsidRPr="00503217" w14:paraId="1A3D48C1"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B9D4356" w14:textId="77777777" w:rsidR="008602D6" w:rsidRPr="00056A6B" w:rsidRDefault="008602D6">
            <w:pPr>
              <w:rPr>
                <w:rFonts w:cstheme="minorHAnsi"/>
                <w:szCs w:val="22"/>
              </w:rPr>
            </w:pPr>
            <w:r w:rsidRPr="00056A6B">
              <w:rPr>
                <w:rFonts w:cstheme="minorHAnsi"/>
                <w:szCs w:val="22"/>
              </w:rPr>
              <w:t>CI</w:t>
            </w:r>
          </w:p>
        </w:tc>
        <w:tc>
          <w:tcPr>
            <w:tcW w:w="7167" w:type="dxa"/>
          </w:tcPr>
          <w:p w14:paraId="4B2D0C4A"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szCs w:val="22"/>
              </w:rPr>
            </w:pPr>
            <w:r w:rsidRPr="00056A6B">
              <w:rPr>
                <w:szCs w:val="22"/>
              </w:rPr>
              <w:t>Confidence interval</w:t>
            </w:r>
          </w:p>
        </w:tc>
      </w:tr>
      <w:tr w:rsidR="008602D6" w:rsidRPr="00503217" w14:paraId="76FEA877"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C1CCDBC" w14:textId="77777777" w:rsidR="008602D6" w:rsidRPr="00056A6B" w:rsidRDefault="008602D6">
            <w:pPr>
              <w:rPr>
                <w:rFonts w:cstheme="minorHAnsi"/>
                <w:szCs w:val="22"/>
              </w:rPr>
            </w:pPr>
            <w:r w:rsidRPr="00056A6B">
              <w:rPr>
                <w:szCs w:val="22"/>
              </w:rPr>
              <w:t>C</w:t>
            </w:r>
            <w:r w:rsidRPr="00056A6B">
              <w:rPr>
                <w:szCs w:val="22"/>
                <w:vertAlign w:val="subscript"/>
              </w:rPr>
              <w:t>max</w:t>
            </w:r>
          </w:p>
        </w:tc>
        <w:tc>
          <w:tcPr>
            <w:tcW w:w="7167" w:type="dxa"/>
          </w:tcPr>
          <w:p w14:paraId="380D72EC"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rFonts w:cstheme="minorHAnsi"/>
                <w:szCs w:val="22"/>
              </w:rPr>
            </w:pPr>
            <w:r w:rsidRPr="00056A6B">
              <w:rPr>
                <w:rFonts w:cstheme="minorHAnsi"/>
                <w:szCs w:val="22"/>
              </w:rPr>
              <w:t>Maximum concentration</w:t>
            </w:r>
          </w:p>
        </w:tc>
      </w:tr>
      <w:tr w:rsidR="008602D6" w:rsidRPr="00503217" w14:paraId="56FCCDDE"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291CA2E" w14:textId="77777777" w:rsidR="008602D6" w:rsidRPr="00056A6B" w:rsidRDefault="008602D6">
            <w:pPr>
              <w:rPr>
                <w:rFonts w:cstheme="minorHAnsi"/>
                <w:color w:val="auto"/>
                <w:szCs w:val="22"/>
              </w:rPr>
            </w:pPr>
            <w:r w:rsidRPr="00056A6B">
              <w:rPr>
                <w:rFonts w:cstheme="minorHAnsi"/>
                <w:color w:val="auto"/>
                <w:szCs w:val="22"/>
              </w:rPr>
              <w:t>CMI</w:t>
            </w:r>
          </w:p>
        </w:tc>
        <w:tc>
          <w:tcPr>
            <w:tcW w:w="7167" w:type="dxa"/>
          </w:tcPr>
          <w:p w14:paraId="4E05FE62"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rFonts w:cstheme="minorHAnsi"/>
                <w:color w:val="auto"/>
                <w:szCs w:val="22"/>
              </w:rPr>
            </w:pPr>
            <w:r w:rsidRPr="00056A6B">
              <w:rPr>
                <w:rFonts w:cstheme="minorHAnsi"/>
                <w:color w:val="auto"/>
                <w:szCs w:val="22"/>
              </w:rPr>
              <w:t>Consumer Medicines Information</w:t>
            </w:r>
          </w:p>
        </w:tc>
      </w:tr>
      <w:tr w:rsidR="008602D6" w:rsidRPr="00503217" w14:paraId="0C0DFC8D"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B729670" w14:textId="77777777" w:rsidR="008602D6" w:rsidRPr="00056A6B" w:rsidRDefault="008602D6">
            <w:pPr>
              <w:rPr>
                <w:rFonts w:cstheme="minorHAnsi"/>
                <w:szCs w:val="22"/>
              </w:rPr>
            </w:pPr>
            <w:proofErr w:type="spellStart"/>
            <w:r w:rsidRPr="00056A6B">
              <w:rPr>
                <w:rFonts w:cstheme="minorHAnsi"/>
                <w:szCs w:val="22"/>
              </w:rPr>
              <w:t>C</w:t>
            </w:r>
            <w:r w:rsidRPr="00056A6B">
              <w:rPr>
                <w:rFonts w:cstheme="minorHAnsi"/>
                <w:szCs w:val="22"/>
                <w:vertAlign w:val="subscript"/>
              </w:rPr>
              <w:t>trough</w:t>
            </w:r>
            <w:proofErr w:type="spellEnd"/>
          </w:p>
        </w:tc>
        <w:tc>
          <w:tcPr>
            <w:tcW w:w="7167" w:type="dxa"/>
          </w:tcPr>
          <w:p w14:paraId="360229E5"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szCs w:val="22"/>
              </w:rPr>
            </w:pPr>
            <w:r w:rsidRPr="00056A6B">
              <w:rPr>
                <w:szCs w:val="22"/>
              </w:rPr>
              <w:t>Trough concentration</w:t>
            </w:r>
          </w:p>
        </w:tc>
      </w:tr>
      <w:tr w:rsidR="008602D6" w:rsidRPr="00503217" w14:paraId="4C105709"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F9E7635" w14:textId="77777777" w:rsidR="008602D6" w:rsidRPr="00056A6B" w:rsidRDefault="008602D6">
            <w:pPr>
              <w:rPr>
                <w:rFonts w:cstheme="minorHAnsi"/>
                <w:szCs w:val="22"/>
              </w:rPr>
            </w:pPr>
            <w:r w:rsidRPr="00056A6B">
              <w:rPr>
                <w:rFonts w:cstheme="minorHAnsi"/>
                <w:szCs w:val="22"/>
              </w:rPr>
              <w:t>CV</w:t>
            </w:r>
          </w:p>
        </w:tc>
        <w:tc>
          <w:tcPr>
            <w:tcW w:w="7167" w:type="dxa"/>
          </w:tcPr>
          <w:p w14:paraId="4D297F95"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rFonts w:cstheme="minorHAnsi"/>
                <w:szCs w:val="22"/>
              </w:rPr>
            </w:pPr>
            <w:r w:rsidRPr="00056A6B">
              <w:rPr>
                <w:rFonts w:cstheme="minorHAnsi"/>
                <w:szCs w:val="22"/>
              </w:rPr>
              <w:t>Coefficient of variation</w:t>
            </w:r>
          </w:p>
        </w:tc>
      </w:tr>
      <w:tr w:rsidR="008602D6" w:rsidRPr="00503217" w14:paraId="794DF0DD"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9E7E14B" w14:textId="77777777" w:rsidR="008602D6" w:rsidRPr="00056A6B" w:rsidRDefault="008602D6">
            <w:pPr>
              <w:tabs>
                <w:tab w:val="left" w:pos="1116"/>
              </w:tabs>
              <w:rPr>
                <w:szCs w:val="22"/>
              </w:rPr>
            </w:pPr>
            <w:r w:rsidRPr="00056A6B">
              <w:rPr>
                <w:szCs w:val="22"/>
              </w:rPr>
              <w:t>DAS</w:t>
            </w:r>
          </w:p>
        </w:tc>
        <w:tc>
          <w:tcPr>
            <w:tcW w:w="7167" w:type="dxa"/>
          </w:tcPr>
          <w:p w14:paraId="3FBAB8BD"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szCs w:val="22"/>
              </w:rPr>
            </w:pPr>
            <w:r w:rsidRPr="00056A6B">
              <w:rPr>
                <w:szCs w:val="22"/>
              </w:rPr>
              <w:t>Disease activity score</w:t>
            </w:r>
          </w:p>
        </w:tc>
      </w:tr>
      <w:tr w:rsidR="008602D6" w:rsidRPr="00503217" w14:paraId="7D9D3CF9"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E1E560E" w14:textId="77777777" w:rsidR="008602D6" w:rsidRPr="00056A6B" w:rsidRDefault="008602D6">
            <w:pPr>
              <w:tabs>
                <w:tab w:val="left" w:pos="1116"/>
              </w:tabs>
              <w:rPr>
                <w:rFonts w:cstheme="minorHAnsi"/>
                <w:szCs w:val="22"/>
              </w:rPr>
            </w:pPr>
            <w:r w:rsidRPr="00056A6B">
              <w:rPr>
                <w:szCs w:val="22"/>
              </w:rPr>
              <w:t>DAS28-CRP</w:t>
            </w:r>
          </w:p>
        </w:tc>
        <w:tc>
          <w:tcPr>
            <w:tcW w:w="7167" w:type="dxa"/>
          </w:tcPr>
          <w:p w14:paraId="2CD83606"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szCs w:val="22"/>
                <w:lang w:val="en-GB"/>
              </w:rPr>
            </w:pPr>
            <w:r w:rsidRPr="00056A6B">
              <w:rPr>
                <w:szCs w:val="22"/>
              </w:rPr>
              <w:t xml:space="preserve">Disease Activity Score-28; 4 components based on </w:t>
            </w:r>
            <w:proofErr w:type="spellStart"/>
            <w:r w:rsidRPr="00056A6B">
              <w:rPr>
                <w:szCs w:val="22"/>
              </w:rPr>
              <w:t>hs</w:t>
            </w:r>
            <w:proofErr w:type="spellEnd"/>
            <w:r w:rsidRPr="00056A6B">
              <w:rPr>
                <w:szCs w:val="22"/>
              </w:rPr>
              <w:t>-CRP</w:t>
            </w:r>
          </w:p>
        </w:tc>
      </w:tr>
      <w:tr w:rsidR="008602D6" w:rsidRPr="00503217" w14:paraId="475FB026"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4391086" w14:textId="77777777" w:rsidR="008602D6" w:rsidRPr="00056A6B" w:rsidRDefault="008602D6">
            <w:pPr>
              <w:rPr>
                <w:rFonts w:cstheme="minorHAnsi"/>
                <w:szCs w:val="22"/>
              </w:rPr>
            </w:pPr>
            <w:r w:rsidRPr="00056A6B">
              <w:rPr>
                <w:rFonts w:cstheme="minorHAnsi"/>
                <w:szCs w:val="22"/>
              </w:rPr>
              <w:t>DLP</w:t>
            </w:r>
          </w:p>
        </w:tc>
        <w:tc>
          <w:tcPr>
            <w:tcW w:w="7167" w:type="dxa"/>
          </w:tcPr>
          <w:p w14:paraId="6C3BA617"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rFonts w:cstheme="minorHAnsi"/>
                <w:szCs w:val="22"/>
              </w:rPr>
            </w:pPr>
            <w:r w:rsidRPr="00056A6B">
              <w:rPr>
                <w:rFonts w:cstheme="minorHAnsi"/>
                <w:szCs w:val="22"/>
              </w:rPr>
              <w:t>Data lock point</w:t>
            </w:r>
          </w:p>
        </w:tc>
      </w:tr>
      <w:tr w:rsidR="008602D6" w:rsidRPr="00503217" w14:paraId="211019FD"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CF57BF2" w14:textId="77777777" w:rsidR="008602D6" w:rsidRPr="00056A6B" w:rsidRDefault="008602D6">
            <w:pPr>
              <w:tabs>
                <w:tab w:val="left" w:pos="1200"/>
              </w:tabs>
              <w:rPr>
                <w:rFonts w:cstheme="minorHAnsi"/>
                <w:szCs w:val="22"/>
              </w:rPr>
            </w:pPr>
            <w:r w:rsidRPr="00056A6B">
              <w:rPr>
                <w:rFonts w:cstheme="minorHAnsi"/>
                <w:szCs w:val="22"/>
              </w:rPr>
              <w:t>DMARDs</w:t>
            </w:r>
          </w:p>
        </w:tc>
        <w:tc>
          <w:tcPr>
            <w:tcW w:w="7167" w:type="dxa"/>
          </w:tcPr>
          <w:p w14:paraId="30A0BA19"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szCs w:val="22"/>
              </w:rPr>
            </w:pPr>
            <w:r w:rsidRPr="00056A6B">
              <w:rPr>
                <w:szCs w:val="22"/>
              </w:rPr>
              <w:t>Disease-modifying antirheumatic drugs</w:t>
            </w:r>
          </w:p>
        </w:tc>
      </w:tr>
      <w:tr w:rsidR="008602D6" w:rsidRPr="00503217" w14:paraId="242BA463"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1C1CEA3" w14:textId="77777777" w:rsidR="008602D6" w:rsidRPr="00056A6B" w:rsidRDefault="008602D6">
            <w:pPr>
              <w:rPr>
                <w:rFonts w:cstheme="minorHAnsi"/>
                <w:szCs w:val="22"/>
              </w:rPr>
            </w:pPr>
            <w:r w:rsidRPr="00056A6B">
              <w:rPr>
                <w:rFonts w:cstheme="minorHAnsi"/>
                <w:szCs w:val="22"/>
              </w:rPr>
              <w:t>ELISA</w:t>
            </w:r>
          </w:p>
        </w:tc>
        <w:tc>
          <w:tcPr>
            <w:tcW w:w="7167" w:type="dxa"/>
          </w:tcPr>
          <w:p w14:paraId="032100E3" w14:textId="77777777" w:rsidR="008602D6" w:rsidRPr="00056A6B" w:rsidRDefault="008602D6">
            <w:pPr>
              <w:tabs>
                <w:tab w:val="left" w:pos="2445"/>
              </w:tabs>
              <w:cnfStyle w:val="000000000000" w:firstRow="0" w:lastRow="0" w:firstColumn="0" w:lastColumn="0" w:oddVBand="0" w:evenVBand="0" w:oddHBand="0" w:evenHBand="0" w:firstRowFirstColumn="0" w:firstRowLastColumn="0" w:lastRowFirstColumn="0" w:lastRowLastColumn="0"/>
              <w:rPr>
                <w:szCs w:val="22"/>
              </w:rPr>
            </w:pPr>
            <w:r w:rsidRPr="00056A6B">
              <w:rPr>
                <w:szCs w:val="22"/>
              </w:rPr>
              <w:t>Enzyme-linked immunosorbent assay</w:t>
            </w:r>
          </w:p>
        </w:tc>
      </w:tr>
      <w:tr w:rsidR="008602D6" w:rsidRPr="00503217" w14:paraId="751D6239"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94E42FA" w14:textId="77777777" w:rsidR="008602D6" w:rsidRPr="00056A6B" w:rsidRDefault="008602D6">
            <w:pPr>
              <w:rPr>
                <w:rFonts w:cstheme="minorHAnsi"/>
                <w:szCs w:val="22"/>
              </w:rPr>
            </w:pPr>
            <w:r w:rsidRPr="00056A6B">
              <w:rPr>
                <w:rFonts w:cstheme="minorHAnsi"/>
                <w:szCs w:val="22"/>
              </w:rPr>
              <w:t>EMA</w:t>
            </w:r>
          </w:p>
        </w:tc>
        <w:tc>
          <w:tcPr>
            <w:tcW w:w="7167" w:type="dxa"/>
          </w:tcPr>
          <w:p w14:paraId="0A6C3AEE" w14:textId="77777777" w:rsidR="008602D6" w:rsidRPr="00056A6B" w:rsidRDefault="008602D6">
            <w:pPr>
              <w:tabs>
                <w:tab w:val="left" w:pos="2445"/>
              </w:tabs>
              <w:cnfStyle w:val="000000000000" w:firstRow="0" w:lastRow="0" w:firstColumn="0" w:lastColumn="0" w:oddVBand="0" w:evenVBand="0" w:oddHBand="0" w:evenHBand="0" w:firstRowFirstColumn="0" w:firstRowLastColumn="0" w:lastRowFirstColumn="0" w:lastRowLastColumn="0"/>
              <w:rPr>
                <w:szCs w:val="22"/>
              </w:rPr>
            </w:pPr>
            <w:r w:rsidRPr="00056A6B">
              <w:rPr>
                <w:szCs w:val="22"/>
              </w:rPr>
              <w:t>European Medicines Agency</w:t>
            </w:r>
          </w:p>
        </w:tc>
      </w:tr>
      <w:tr w:rsidR="008602D6" w:rsidRPr="00503217" w14:paraId="4679760E"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34E1388" w14:textId="77777777" w:rsidR="008602D6" w:rsidRPr="00056A6B" w:rsidRDefault="008602D6">
            <w:pPr>
              <w:rPr>
                <w:rFonts w:cstheme="minorHAnsi"/>
                <w:szCs w:val="22"/>
              </w:rPr>
            </w:pPr>
            <w:r w:rsidRPr="00056A6B">
              <w:rPr>
                <w:rFonts w:cstheme="minorHAnsi"/>
                <w:szCs w:val="22"/>
              </w:rPr>
              <w:t>EU</w:t>
            </w:r>
          </w:p>
        </w:tc>
        <w:tc>
          <w:tcPr>
            <w:tcW w:w="7167" w:type="dxa"/>
          </w:tcPr>
          <w:p w14:paraId="654FEE65" w14:textId="77777777" w:rsidR="008602D6" w:rsidRPr="00056A6B" w:rsidRDefault="008602D6">
            <w:pPr>
              <w:tabs>
                <w:tab w:val="left" w:pos="2445"/>
              </w:tabs>
              <w:cnfStyle w:val="000000000000" w:firstRow="0" w:lastRow="0" w:firstColumn="0" w:lastColumn="0" w:oddVBand="0" w:evenVBand="0" w:oddHBand="0" w:evenHBand="0" w:firstRowFirstColumn="0" w:firstRowLastColumn="0" w:lastRowFirstColumn="0" w:lastRowLastColumn="0"/>
              <w:rPr>
                <w:szCs w:val="22"/>
              </w:rPr>
            </w:pPr>
            <w:r w:rsidRPr="00056A6B">
              <w:rPr>
                <w:szCs w:val="22"/>
              </w:rPr>
              <w:t>European Union</w:t>
            </w:r>
          </w:p>
        </w:tc>
      </w:tr>
      <w:tr w:rsidR="008602D6" w:rsidRPr="00503217" w14:paraId="37926E39"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CB2CE01" w14:textId="77777777" w:rsidR="008602D6" w:rsidRPr="00056A6B" w:rsidRDefault="008602D6">
            <w:pPr>
              <w:tabs>
                <w:tab w:val="left" w:pos="912"/>
              </w:tabs>
              <w:rPr>
                <w:rFonts w:cstheme="minorHAnsi"/>
                <w:szCs w:val="22"/>
              </w:rPr>
            </w:pPr>
            <w:r w:rsidRPr="00056A6B">
              <w:rPr>
                <w:rFonts w:cstheme="minorHAnsi"/>
                <w:szCs w:val="22"/>
              </w:rPr>
              <w:t>EULAR</w:t>
            </w:r>
          </w:p>
        </w:tc>
        <w:tc>
          <w:tcPr>
            <w:tcW w:w="7167" w:type="dxa"/>
          </w:tcPr>
          <w:p w14:paraId="3295CAD0"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szCs w:val="22"/>
              </w:rPr>
            </w:pPr>
            <w:r w:rsidRPr="00056A6B">
              <w:rPr>
                <w:szCs w:val="22"/>
              </w:rPr>
              <w:t>European League Against Rheumatism</w:t>
            </w:r>
          </w:p>
        </w:tc>
      </w:tr>
      <w:tr w:rsidR="008602D6" w:rsidRPr="00503217" w14:paraId="06D73B11"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79B4053" w14:textId="77777777" w:rsidR="008602D6" w:rsidRPr="00056A6B" w:rsidRDefault="008602D6">
            <w:pPr>
              <w:tabs>
                <w:tab w:val="left" w:pos="912"/>
              </w:tabs>
              <w:rPr>
                <w:rFonts w:cstheme="minorHAnsi"/>
                <w:szCs w:val="22"/>
              </w:rPr>
            </w:pPr>
            <w:r w:rsidRPr="00056A6B">
              <w:rPr>
                <w:rFonts w:cstheme="minorHAnsi"/>
                <w:szCs w:val="22"/>
              </w:rPr>
              <w:t>FDA</w:t>
            </w:r>
          </w:p>
        </w:tc>
        <w:tc>
          <w:tcPr>
            <w:tcW w:w="7167" w:type="dxa"/>
          </w:tcPr>
          <w:p w14:paraId="69FF6BCB"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szCs w:val="22"/>
              </w:rPr>
            </w:pPr>
            <w:r w:rsidRPr="00056A6B">
              <w:rPr>
                <w:szCs w:val="22"/>
              </w:rPr>
              <w:t>United States Food and Drug Administration</w:t>
            </w:r>
          </w:p>
        </w:tc>
      </w:tr>
      <w:tr w:rsidR="008602D6" w:rsidRPr="00503217" w14:paraId="1A061F5D"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A01B95F" w14:textId="77777777" w:rsidR="008602D6" w:rsidRPr="00056A6B" w:rsidRDefault="008602D6">
            <w:pPr>
              <w:rPr>
                <w:rFonts w:cstheme="minorHAnsi"/>
                <w:szCs w:val="22"/>
              </w:rPr>
            </w:pPr>
            <w:r w:rsidRPr="00056A6B">
              <w:rPr>
                <w:szCs w:val="22"/>
              </w:rPr>
              <w:t>HAQ-DI</w:t>
            </w:r>
          </w:p>
        </w:tc>
        <w:tc>
          <w:tcPr>
            <w:tcW w:w="7167" w:type="dxa"/>
          </w:tcPr>
          <w:p w14:paraId="7F311BD8"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szCs w:val="22"/>
              </w:rPr>
            </w:pPr>
            <w:r w:rsidRPr="00056A6B">
              <w:rPr>
                <w:szCs w:val="22"/>
              </w:rPr>
              <w:t>Health Assessment Questionnaire Disability Index</w:t>
            </w:r>
          </w:p>
        </w:tc>
      </w:tr>
      <w:tr w:rsidR="008602D6" w:rsidRPr="00503217" w14:paraId="6ACEA961"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7EDE9DB" w14:textId="77777777" w:rsidR="008602D6" w:rsidRPr="00056A6B" w:rsidRDefault="008602D6">
            <w:pPr>
              <w:rPr>
                <w:rFonts w:cstheme="minorHAnsi"/>
                <w:szCs w:val="22"/>
              </w:rPr>
            </w:pPr>
            <w:proofErr w:type="spellStart"/>
            <w:r w:rsidRPr="00056A6B">
              <w:rPr>
                <w:rFonts w:cstheme="minorHAnsi"/>
                <w:szCs w:val="22"/>
              </w:rPr>
              <w:t>hs</w:t>
            </w:r>
            <w:proofErr w:type="spellEnd"/>
            <w:r w:rsidRPr="00056A6B">
              <w:rPr>
                <w:rFonts w:cstheme="minorHAnsi"/>
                <w:szCs w:val="22"/>
              </w:rPr>
              <w:t>-CRP</w:t>
            </w:r>
          </w:p>
        </w:tc>
        <w:tc>
          <w:tcPr>
            <w:tcW w:w="7167" w:type="dxa"/>
          </w:tcPr>
          <w:p w14:paraId="7D3163CD"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szCs w:val="22"/>
              </w:rPr>
            </w:pPr>
            <w:r w:rsidRPr="00056A6B">
              <w:rPr>
                <w:szCs w:val="22"/>
              </w:rPr>
              <w:t>High sensitivity C-reactive protein</w:t>
            </w:r>
          </w:p>
        </w:tc>
      </w:tr>
      <w:tr w:rsidR="008602D6" w:rsidRPr="00503217" w14:paraId="264BCAB6"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544DC76" w14:textId="77777777" w:rsidR="008602D6" w:rsidRPr="00056A6B" w:rsidRDefault="008602D6">
            <w:pPr>
              <w:rPr>
                <w:iCs/>
                <w:szCs w:val="22"/>
              </w:rPr>
            </w:pPr>
            <w:r w:rsidRPr="00056A6B">
              <w:rPr>
                <w:iCs/>
                <w:szCs w:val="22"/>
              </w:rPr>
              <w:t>ITT</w:t>
            </w:r>
          </w:p>
        </w:tc>
        <w:tc>
          <w:tcPr>
            <w:tcW w:w="7167" w:type="dxa"/>
          </w:tcPr>
          <w:p w14:paraId="0DCA55D7"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iCs/>
                <w:szCs w:val="22"/>
              </w:rPr>
            </w:pPr>
            <w:r w:rsidRPr="00056A6B">
              <w:rPr>
                <w:iCs/>
                <w:szCs w:val="22"/>
              </w:rPr>
              <w:t>Intent-to-treat</w:t>
            </w:r>
          </w:p>
        </w:tc>
      </w:tr>
      <w:tr w:rsidR="008602D6" w:rsidRPr="00503217" w14:paraId="15D7CD72"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4AC6509" w14:textId="77777777" w:rsidR="008602D6" w:rsidRPr="00056A6B" w:rsidRDefault="008602D6">
            <w:pPr>
              <w:rPr>
                <w:rFonts w:cstheme="minorHAnsi"/>
                <w:szCs w:val="22"/>
              </w:rPr>
            </w:pPr>
            <w:proofErr w:type="spellStart"/>
            <w:r w:rsidRPr="00056A6B">
              <w:rPr>
                <w:rFonts w:cstheme="minorHAnsi"/>
                <w:szCs w:val="22"/>
              </w:rPr>
              <w:t>NAb</w:t>
            </w:r>
            <w:proofErr w:type="spellEnd"/>
          </w:p>
        </w:tc>
        <w:tc>
          <w:tcPr>
            <w:tcW w:w="7167" w:type="dxa"/>
          </w:tcPr>
          <w:p w14:paraId="24ACD799"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rFonts w:cstheme="minorHAnsi"/>
                <w:szCs w:val="22"/>
              </w:rPr>
            </w:pPr>
            <w:r w:rsidRPr="00056A6B">
              <w:rPr>
                <w:rFonts w:cstheme="minorHAnsi"/>
                <w:szCs w:val="22"/>
              </w:rPr>
              <w:t>Neutralising antibodies</w:t>
            </w:r>
          </w:p>
        </w:tc>
      </w:tr>
      <w:tr w:rsidR="008602D6" w:rsidRPr="00503217" w14:paraId="7FD54EEE"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2F13F1F" w14:textId="77777777" w:rsidR="008602D6" w:rsidRPr="00056A6B" w:rsidRDefault="008602D6">
            <w:pPr>
              <w:rPr>
                <w:rFonts w:cstheme="minorHAnsi"/>
                <w:color w:val="auto"/>
                <w:szCs w:val="22"/>
              </w:rPr>
            </w:pPr>
            <w:r w:rsidRPr="00056A6B">
              <w:rPr>
                <w:rFonts w:cstheme="minorHAnsi"/>
                <w:color w:val="auto"/>
                <w:szCs w:val="22"/>
              </w:rPr>
              <w:t>PI</w:t>
            </w:r>
          </w:p>
        </w:tc>
        <w:tc>
          <w:tcPr>
            <w:tcW w:w="7167" w:type="dxa"/>
          </w:tcPr>
          <w:p w14:paraId="4C0F3E49"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rFonts w:cstheme="minorHAnsi"/>
                <w:color w:val="auto"/>
                <w:szCs w:val="22"/>
              </w:rPr>
            </w:pPr>
            <w:r w:rsidRPr="00056A6B">
              <w:rPr>
                <w:rFonts w:cstheme="minorHAnsi"/>
                <w:color w:val="auto"/>
                <w:szCs w:val="22"/>
              </w:rPr>
              <w:t>Product Information</w:t>
            </w:r>
          </w:p>
        </w:tc>
      </w:tr>
      <w:tr w:rsidR="008602D6" w:rsidRPr="00503217" w14:paraId="494C996A"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5420D8D" w14:textId="77777777" w:rsidR="008602D6" w:rsidRPr="00056A6B" w:rsidRDefault="008602D6">
            <w:pPr>
              <w:rPr>
                <w:rFonts w:cstheme="minorHAnsi"/>
                <w:szCs w:val="22"/>
              </w:rPr>
            </w:pPr>
            <w:r w:rsidRPr="00056A6B">
              <w:rPr>
                <w:rFonts w:cstheme="minorHAnsi"/>
                <w:szCs w:val="22"/>
              </w:rPr>
              <w:t>PK</w:t>
            </w:r>
          </w:p>
        </w:tc>
        <w:tc>
          <w:tcPr>
            <w:tcW w:w="7167" w:type="dxa"/>
          </w:tcPr>
          <w:p w14:paraId="420EB543"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rFonts w:cstheme="minorHAnsi"/>
                <w:szCs w:val="22"/>
              </w:rPr>
            </w:pPr>
            <w:r w:rsidRPr="00056A6B">
              <w:rPr>
                <w:rFonts w:cstheme="minorHAnsi"/>
                <w:szCs w:val="22"/>
              </w:rPr>
              <w:t>Pharmacokinetic(s)</w:t>
            </w:r>
          </w:p>
        </w:tc>
      </w:tr>
      <w:tr w:rsidR="008602D6" w:rsidRPr="00503217" w14:paraId="6CD535A9"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AA65BB1" w14:textId="77777777" w:rsidR="008602D6" w:rsidRPr="00056A6B" w:rsidRDefault="008602D6">
            <w:pPr>
              <w:rPr>
                <w:rFonts w:cstheme="minorHAnsi"/>
                <w:color w:val="auto"/>
                <w:szCs w:val="22"/>
              </w:rPr>
            </w:pPr>
            <w:r w:rsidRPr="00056A6B">
              <w:rPr>
                <w:rFonts w:cstheme="minorHAnsi"/>
                <w:color w:val="auto"/>
                <w:szCs w:val="22"/>
              </w:rPr>
              <w:lastRenderedPageBreak/>
              <w:t>RMP</w:t>
            </w:r>
          </w:p>
        </w:tc>
        <w:tc>
          <w:tcPr>
            <w:tcW w:w="7167" w:type="dxa"/>
          </w:tcPr>
          <w:p w14:paraId="7B184327" w14:textId="77777777" w:rsidR="008602D6" w:rsidRPr="00056A6B" w:rsidRDefault="008602D6">
            <w:pPr>
              <w:tabs>
                <w:tab w:val="center" w:pos="3532"/>
              </w:tabs>
              <w:cnfStyle w:val="000000000000" w:firstRow="0" w:lastRow="0" w:firstColumn="0" w:lastColumn="0" w:oddVBand="0" w:evenVBand="0" w:oddHBand="0" w:evenHBand="0" w:firstRowFirstColumn="0" w:firstRowLastColumn="0" w:lastRowFirstColumn="0" w:lastRowLastColumn="0"/>
              <w:rPr>
                <w:rFonts w:cstheme="minorHAnsi"/>
                <w:color w:val="auto"/>
                <w:szCs w:val="22"/>
              </w:rPr>
            </w:pPr>
            <w:r w:rsidRPr="00056A6B">
              <w:rPr>
                <w:rFonts w:cstheme="minorHAnsi"/>
                <w:color w:val="auto"/>
                <w:szCs w:val="22"/>
              </w:rPr>
              <w:t>Risk management plan</w:t>
            </w:r>
          </w:p>
        </w:tc>
      </w:tr>
      <w:tr w:rsidR="008602D6" w:rsidRPr="00503217" w14:paraId="05F9FB41"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A789665" w14:textId="77777777" w:rsidR="008602D6" w:rsidRPr="00056A6B" w:rsidRDefault="008602D6">
            <w:pPr>
              <w:rPr>
                <w:rFonts w:cstheme="minorHAnsi"/>
                <w:szCs w:val="22"/>
              </w:rPr>
            </w:pPr>
            <w:r w:rsidRPr="00056A6B">
              <w:rPr>
                <w:rFonts w:cstheme="minorHAnsi"/>
                <w:szCs w:val="22"/>
              </w:rPr>
              <w:t>TEAE(s)</w:t>
            </w:r>
          </w:p>
        </w:tc>
        <w:tc>
          <w:tcPr>
            <w:tcW w:w="7167" w:type="dxa"/>
          </w:tcPr>
          <w:p w14:paraId="0F2E803A"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rFonts w:cstheme="minorHAnsi"/>
                <w:szCs w:val="22"/>
              </w:rPr>
            </w:pPr>
            <w:r w:rsidRPr="00056A6B">
              <w:rPr>
                <w:szCs w:val="22"/>
                <w:lang w:eastAsia="ja-JP"/>
              </w:rPr>
              <w:t>Treatment emergent adverse event(s)</w:t>
            </w:r>
          </w:p>
        </w:tc>
      </w:tr>
      <w:tr w:rsidR="008602D6" w:rsidRPr="00503217" w14:paraId="0552FFC7"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62289958" w14:textId="77777777" w:rsidR="008602D6" w:rsidRPr="00056A6B" w:rsidRDefault="008602D6">
            <w:pPr>
              <w:rPr>
                <w:rFonts w:cstheme="minorHAnsi"/>
                <w:color w:val="auto"/>
                <w:szCs w:val="22"/>
              </w:rPr>
            </w:pPr>
            <w:r w:rsidRPr="00056A6B">
              <w:rPr>
                <w:rFonts w:cstheme="minorHAnsi"/>
                <w:color w:val="auto"/>
                <w:szCs w:val="22"/>
              </w:rPr>
              <w:t>TGA</w:t>
            </w:r>
          </w:p>
        </w:tc>
        <w:tc>
          <w:tcPr>
            <w:tcW w:w="7167" w:type="dxa"/>
          </w:tcPr>
          <w:p w14:paraId="4A8FAFAB"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rFonts w:cstheme="minorHAnsi"/>
                <w:color w:val="auto"/>
                <w:szCs w:val="22"/>
              </w:rPr>
            </w:pPr>
            <w:r w:rsidRPr="00056A6B">
              <w:rPr>
                <w:rFonts w:cstheme="minorHAnsi"/>
                <w:color w:val="auto"/>
                <w:szCs w:val="22"/>
              </w:rPr>
              <w:t>Therapeutic Goods Administration</w:t>
            </w:r>
          </w:p>
        </w:tc>
      </w:tr>
      <w:tr w:rsidR="008602D6" w:rsidRPr="00503217" w14:paraId="453788B8"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C2B21CD" w14:textId="77777777" w:rsidR="008602D6" w:rsidRPr="00056A6B" w:rsidRDefault="008602D6">
            <w:pPr>
              <w:rPr>
                <w:rFonts w:cstheme="minorHAnsi"/>
                <w:szCs w:val="22"/>
              </w:rPr>
            </w:pPr>
            <w:r w:rsidRPr="00056A6B">
              <w:rPr>
                <w:rFonts w:cstheme="minorHAnsi"/>
                <w:szCs w:val="22"/>
              </w:rPr>
              <w:t>TNF</w:t>
            </w:r>
          </w:p>
        </w:tc>
        <w:tc>
          <w:tcPr>
            <w:tcW w:w="7167" w:type="dxa"/>
          </w:tcPr>
          <w:p w14:paraId="7DBC8B43" w14:textId="4FA4F232" w:rsidR="008602D6" w:rsidRPr="00056A6B" w:rsidRDefault="008602D6">
            <w:pPr>
              <w:cnfStyle w:val="000000000000" w:firstRow="0" w:lastRow="0" w:firstColumn="0" w:lastColumn="0" w:oddVBand="0" w:evenVBand="0" w:oddHBand="0" w:evenHBand="0" w:firstRowFirstColumn="0" w:firstRowLastColumn="0" w:lastRowFirstColumn="0" w:lastRowLastColumn="0"/>
              <w:rPr>
                <w:szCs w:val="22"/>
              </w:rPr>
            </w:pPr>
            <w:r w:rsidRPr="00056A6B">
              <w:rPr>
                <w:szCs w:val="22"/>
              </w:rPr>
              <w:t xml:space="preserve">Tumour necrosis factor </w:t>
            </w:r>
          </w:p>
        </w:tc>
      </w:tr>
      <w:tr w:rsidR="008602D6" w:rsidRPr="00503217" w14:paraId="5101113C"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E84CC96" w14:textId="77777777" w:rsidR="008602D6" w:rsidRPr="00056A6B" w:rsidRDefault="008602D6">
            <w:pPr>
              <w:rPr>
                <w:rFonts w:cstheme="minorHAnsi"/>
                <w:szCs w:val="22"/>
              </w:rPr>
            </w:pPr>
            <w:r w:rsidRPr="00056A6B">
              <w:rPr>
                <w:rFonts w:cstheme="minorHAnsi"/>
                <w:szCs w:val="22"/>
              </w:rPr>
              <w:t>TNFα</w:t>
            </w:r>
          </w:p>
        </w:tc>
        <w:tc>
          <w:tcPr>
            <w:tcW w:w="7167" w:type="dxa"/>
          </w:tcPr>
          <w:p w14:paraId="47A99D37" w14:textId="4C1684C4" w:rsidR="008602D6" w:rsidRPr="00056A6B" w:rsidRDefault="008602D6">
            <w:pPr>
              <w:cnfStyle w:val="000000000000" w:firstRow="0" w:lastRow="0" w:firstColumn="0" w:lastColumn="0" w:oddVBand="0" w:evenVBand="0" w:oddHBand="0" w:evenHBand="0" w:firstRowFirstColumn="0" w:firstRowLastColumn="0" w:lastRowFirstColumn="0" w:lastRowLastColumn="0"/>
              <w:rPr>
                <w:szCs w:val="22"/>
              </w:rPr>
            </w:pPr>
            <w:r w:rsidRPr="00056A6B">
              <w:rPr>
                <w:szCs w:val="22"/>
              </w:rPr>
              <w:t>Tumour necrosis factor</w:t>
            </w:r>
            <w:r w:rsidR="00D26B76" w:rsidRPr="00056A6B">
              <w:rPr>
                <w:szCs w:val="22"/>
              </w:rPr>
              <w:t xml:space="preserve"> alpha</w:t>
            </w:r>
          </w:p>
        </w:tc>
      </w:tr>
      <w:tr w:rsidR="008602D6" w:rsidRPr="00503217" w14:paraId="03EBC588"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0FF04DD" w14:textId="77777777" w:rsidR="008602D6" w:rsidRPr="00056A6B" w:rsidRDefault="008602D6">
            <w:pPr>
              <w:rPr>
                <w:rFonts w:cstheme="minorHAnsi"/>
                <w:szCs w:val="22"/>
              </w:rPr>
            </w:pPr>
            <w:r w:rsidRPr="00056A6B">
              <w:rPr>
                <w:rFonts w:cstheme="minorHAnsi"/>
                <w:szCs w:val="22"/>
              </w:rPr>
              <w:t>US</w:t>
            </w:r>
          </w:p>
        </w:tc>
        <w:tc>
          <w:tcPr>
            <w:tcW w:w="7167" w:type="dxa"/>
          </w:tcPr>
          <w:p w14:paraId="426A5280" w14:textId="4ECD9F2C" w:rsidR="008602D6" w:rsidRPr="00056A6B" w:rsidRDefault="008602D6">
            <w:pPr>
              <w:cnfStyle w:val="000000000000" w:firstRow="0" w:lastRow="0" w:firstColumn="0" w:lastColumn="0" w:oddVBand="0" w:evenVBand="0" w:oddHBand="0" w:evenHBand="0" w:firstRowFirstColumn="0" w:firstRowLastColumn="0" w:lastRowFirstColumn="0" w:lastRowLastColumn="0"/>
              <w:rPr>
                <w:szCs w:val="22"/>
              </w:rPr>
            </w:pPr>
            <w:r w:rsidRPr="00056A6B">
              <w:rPr>
                <w:szCs w:val="22"/>
              </w:rPr>
              <w:t xml:space="preserve">United </w:t>
            </w:r>
            <w:r w:rsidR="00D26B76">
              <w:rPr>
                <w:szCs w:val="22"/>
              </w:rPr>
              <w:t>S</w:t>
            </w:r>
            <w:r w:rsidR="00D26B76" w:rsidRPr="00056A6B">
              <w:rPr>
                <w:szCs w:val="22"/>
              </w:rPr>
              <w:t xml:space="preserve">tates </w:t>
            </w:r>
            <w:r w:rsidRPr="00056A6B">
              <w:rPr>
                <w:szCs w:val="22"/>
              </w:rPr>
              <w:t>(of America)</w:t>
            </w:r>
          </w:p>
        </w:tc>
      </w:tr>
      <w:tr w:rsidR="008602D6" w:rsidRPr="00503217" w14:paraId="63D7BCA0" w14:textId="77777777">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7059B65" w14:textId="77777777" w:rsidR="008602D6" w:rsidRPr="00056A6B" w:rsidRDefault="008602D6">
            <w:pPr>
              <w:rPr>
                <w:rFonts w:cstheme="minorHAnsi"/>
                <w:szCs w:val="22"/>
              </w:rPr>
            </w:pPr>
            <w:r w:rsidRPr="00056A6B">
              <w:rPr>
                <w:rFonts w:cstheme="minorHAnsi"/>
                <w:szCs w:val="22"/>
              </w:rPr>
              <w:t>USA</w:t>
            </w:r>
          </w:p>
        </w:tc>
        <w:tc>
          <w:tcPr>
            <w:tcW w:w="7167" w:type="dxa"/>
          </w:tcPr>
          <w:p w14:paraId="7D2732E0" w14:textId="77777777" w:rsidR="008602D6" w:rsidRPr="00056A6B" w:rsidRDefault="008602D6">
            <w:pPr>
              <w:cnfStyle w:val="000000000000" w:firstRow="0" w:lastRow="0" w:firstColumn="0" w:lastColumn="0" w:oddVBand="0" w:evenVBand="0" w:oddHBand="0" w:evenHBand="0" w:firstRowFirstColumn="0" w:firstRowLastColumn="0" w:lastRowFirstColumn="0" w:lastRowLastColumn="0"/>
              <w:rPr>
                <w:szCs w:val="22"/>
              </w:rPr>
            </w:pPr>
            <w:r w:rsidRPr="00056A6B">
              <w:rPr>
                <w:szCs w:val="22"/>
              </w:rPr>
              <w:t>United States of America</w:t>
            </w:r>
          </w:p>
        </w:tc>
      </w:tr>
      <w:bookmarkEnd w:id="5"/>
    </w:tbl>
    <w:p w14:paraId="02FB1F38" w14:textId="77777777" w:rsidR="00324B33" w:rsidRPr="00FD119B" w:rsidRDefault="00324B33" w:rsidP="00C71A77">
      <w:r w:rsidRPr="00FD119B">
        <w:br w:type="page"/>
      </w:r>
    </w:p>
    <w:p w14:paraId="44C2A39C" w14:textId="77777777" w:rsidR="00324B33" w:rsidRDefault="00324B33" w:rsidP="00C71A77">
      <w:pPr>
        <w:pStyle w:val="Heading2"/>
      </w:pPr>
      <w:bookmarkStart w:id="6" w:name="_Toc103679288"/>
      <w:bookmarkStart w:id="7" w:name="_Toc225166211"/>
      <w:r>
        <w:lastRenderedPageBreak/>
        <w:t>Product submission</w:t>
      </w:r>
      <w:bookmarkEnd w:id="6"/>
      <w:bookmarkEnd w:id="7"/>
    </w:p>
    <w:p w14:paraId="21D559DF" w14:textId="77777777" w:rsidR="00324B33" w:rsidRDefault="00324B33" w:rsidP="00C71A77">
      <w:pPr>
        <w:pStyle w:val="Heading3"/>
        <w:rPr>
          <w:lang w:eastAsia="en-AU"/>
        </w:rPr>
      </w:pPr>
      <w:bookmarkStart w:id="8" w:name="_Toc247691502"/>
      <w:bookmarkStart w:id="9" w:name="_Toc314842483"/>
      <w:bookmarkStart w:id="10" w:name="_Toc103679289"/>
      <w:bookmarkStart w:id="11" w:name="_Toc225166212"/>
      <w:r>
        <w:rPr>
          <w:lang w:eastAsia="en-AU"/>
        </w:rPr>
        <w:t xml:space="preserve">Submission </w:t>
      </w:r>
      <w:r w:rsidRPr="00C71A77">
        <w:t>details</w:t>
      </w:r>
      <w:bookmarkEnd w:id="8"/>
      <w:bookmarkEnd w:id="9"/>
      <w:bookmarkEnd w:id="10"/>
      <w:bookmarkEnd w:id="11"/>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476C2CDA" w:rsidR="00324B33" w:rsidRPr="00BD5DBD" w:rsidRDefault="00324B33" w:rsidP="007452E8">
            <w:pPr>
              <w:rPr>
                <w:i/>
                <w:szCs w:val="22"/>
              </w:rPr>
            </w:pPr>
            <w:r w:rsidRPr="00BD5DBD">
              <w:rPr>
                <w:i/>
                <w:szCs w:val="22"/>
              </w:rPr>
              <w:t>Type of submission:</w:t>
            </w:r>
          </w:p>
        </w:tc>
        <w:tc>
          <w:tcPr>
            <w:tcW w:w="3423" w:type="pct"/>
          </w:tcPr>
          <w:p w14:paraId="4F07C303" w14:textId="6FE035AD" w:rsidR="00324B33" w:rsidRPr="00BD5DBD" w:rsidRDefault="00324B33" w:rsidP="007452E8">
            <w:pPr>
              <w:rPr>
                <w:szCs w:val="22"/>
              </w:rPr>
            </w:pPr>
            <w:r w:rsidRPr="00BD5DBD">
              <w:rPr>
                <w:szCs w:val="22"/>
              </w:rPr>
              <w:t xml:space="preserve">New </w:t>
            </w:r>
            <w:r w:rsidR="00EF6F0B">
              <w:rPr>
                <w:szCs w:val="22"/>
              </w:rPr>
              <w:t>bio</w:t>
            </w:r>
            <w:r w:rsidR="00661C41">
              <w:rPr>
                <w:szCs w:val="22"/>
              </w:rPr>
              <w:t>similar</w:t>
            </w:r>
          </w:p>
        </w:tc>
      </w:tr>
      <w:tr w:rsidR="00324B33" w:rsidRPr="00BD5DBD" w14:paraId="13482B61" w14:textId="77777777" w:rsidTr="00F865A7">
        <w:tc>
          <w:tcPr>
            <w:tcW w:w="1577" w:type="pct"/>
          </w:tcPr>
          <w:p w14:paraId="2C427FCF" w14:textId="1C5A8483" w:rsidR="00324B33" w:rsidRPr="00BD5DBD" w:rsidRDefault="00324B33" w:rsidP="007452E8">
            <w:pPr>
              <w:rPr>
                <w:i/>
                <w:szCs w:val="22"/>
              </w:rPr>
            </w:pPr>
            <w:r w:rsidRPr="00BD5DBD">
              <w:rPr>
                <w:i/>
                <w:szCs w:val="22"/>
              </w:rPr>
              <w:t>Product na</w:t>
            </w:r>
            <w:r w:rsidR="00283880">
              <w:rPr>
                <w:i/>
                <w:szCs w:val="22"/>
              </w:rPr>
              <w:t>me</w:t>
            </w:r>
            <w:r w:rsidRPr="00BD5DBD">
              <w:rPr>
                <w:i/>
                <w:szCs w:val="22"/>
              </w:rPr>
              <w:t>:</w:t>
            </w:r>
          </w:p>
        </w:tc>
        <w:tc>
          <w:tcPr>
            <w:tcW w:w="3423" w:type="pct"/>
          </w:tcPr>
          <w:p w14:paraId="0E2DEF76" w14:textId="6371B612" w:rsidR="00324B33" w:rsidRPr="00BD5DBD" w:rsidRDefault="00283880" w:rsidP="007452E8">
            <w:pPr>
              <w:rPr>
                <w:szCs w:val="22"/>
              </w:rPr>
            </w:pPr>
            <w:r>
              <w:rPr>
                <w:szCs w:val="22"/>
              </w:rPr>
              <w:t>Ixifi</w:t>
            </w:r>
          </w:p>
        </w:tc>
      </w:tr>
      <w:tr w:rsidR="00324B33" w:rsidRPr="00BD5DBD" w14:paraId="01255B5B" w14:textId="77777777" w:rsidTr="00F865A7">
        <w:tc>
          <w:tcPr>
            <w:tcW w:w="1577" w:type="pct"/>
          </w:tcPr>
          <w:p w14:paraId="52B4F3D7" w14:textId="1E0CB360" w:rsidR="00324B33" w:rsidRPr="00BD5DBD" w:rsidRDefault="00324B33" w:rsidP="007452E8">
            <w:pPr>
              <w:rPr>
                <w:i/>
                <w:szCs w:val="22"/>
              </w:rPr>
            </w:pPr>
            <w:r w:rsidRPr="00BD5DBD">
              <w:rPr>
                <w:i/>
                <w:szCs w:val="22"/>
              </w:rPr>
              <w:t>Active ingredient:</w:t>
            </w:r>
          </w:p>
        </w:tc>
        <w:tc>
          <w:tcPr>
            <w:tcW w:w="3423" w:type="pct"/>
          </w:tcPr>
          <w:p w14:paraId="02FB6383" w14:textId="5324FABB" w:rsidR="00324B33" w:rsidRPr="00BD5DBD" w:rsidRDefault="00283880" w:rsidP="007452E8">
            <w:pPr>
              <w:rPr>
                <w:szCs w:val="22"/>
              </w:rPr>
            </w:pPr>
            <w:r>
              <w:rPr>
                <w:szCs w:val="22"/>
              </w:rPr>
              <w:t>Infliximab</w:t>
            </w:r>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1DF790A3" w:rsidR="00324B33" w:rsidRPr="00BD5DBD" w:rsidRDefault="00324B33" w:rsidP="007452E8">
            <w:pPr>
              <w:rPr>
                <w:szCs w:val="22"/>
              </w:rPr>
            </w:pPr>
            <w:r w:rsidRPr="00BD5DBD">
              <w:rPr>
                <w:szCs w:val="22"/>
              </w:rPr>
              <w:t>Approved</w:t>
            </w:r>
          </w:p>
        </w:tc>
      </w:tr>
      <w:tr w:rsidR="00AE1947" w:rsidRPr="00BD5DBD" w14:paraId="32B72632" w14:textId="77777777" w:rsidTr="00F865A7">
        <w:tc>
          <w:tcPr>
            <w:tcW w:w="1577" w:type="pct"/>
          </w:tcPr>
          <w:p w14:paraId="332A5CD5" w14:textId="65682B5F" w:rsidR="00AE1947" w:rsidRPr="00BD5DBD" w:rsidRDefault="00AE1947" w:rsidP="007F1E37">
            <w:r w:rsidRPr="00BD5DBD">
              <w:rPr>
                <w:i/>
                <w:szCs w:val="22"/>
              </w:rPr>
              <w:t>Date of decision:</w:t>
            </w:r>
          </w:p>
        </w:tc>
        <w:tc>
          <w:tcPr>
            <w:tcW w:w="3423" w:type="pct"/>
          </w:tcPr>
          <w:p w14:paraId="7B381CD6" w14:textId="52F4716B" w:rsidR="00AE1947" w:rsidRPr="00BD5DBD" w:rsidRDefault="00EE4112">
            <w:pPr>
              <w:rPr>
                <w:szCs w:val="22"/>
              </w:rPr>
            </w:pPr>
            <w:r>
              <w:rPr>
                <w:szCs w:val="22"/>
              </w:rPr>
              <w:t>20 September 2024</w:t>
            </w:r>
          </w:p>
        </w:tc>
      </w:tr>
      <w:tr w:rsidR="00324B33" w:rsidRPr="00BD5DBD" w14:paraId="60A25F5A" w14:textId="77777777" w:rsidTr="00F865A7">
        <w:tc>
          <w:tcPr>
            <w:tcW w:w="1577" w:type="pct"/>
          </w:tcPr>
          <w:p w14:paraId="5C5E4CBA" w14:textId="77777777" w:rsidR="00324B33" w:rsidRPr="00BD5DBD" w:rsidRDefault="00324B33" w:rsidP="007452E8">
            <w:pPr>
              <w:rPr>
                <w:i/>
                <w:szCs w:val="22"/>
              </w:rPr>
            </w:pPr>
            <w:r w:rsidRPr="00BD5DBD">
              <w:rPr>
                <w:i/>
                <w:szCs w:val="22"/>
              </w:rPr>
              <w:t>Date of entry onto ARTG:</w:t>
            </w:r>
          </w:p>
        </w:tc>
        <w:tc>
          <w:tcPr>
            <w:tcW w:w="3423" w:type="pct"/>
          </w:tcPr>
          <w:p w14:paraId="28B270E9" w14:textId="16756D65" w:rsidR="00324B33" w:rsidRPr="00BD5DBD" w:rsidRDefault="00027F5C" w:rsidP="007452E8">
            <w:pPr>
              <w:rPr>
                <w:szCs w:val="22"/>
              </w:rPr>
            </w:pPr>
            <w:r>
              <w:rPr>
                <w:szCs w:val="22"/>
              </w:rPr>
              <w:t>27 September 2024</w:t>
            </w:r>
          </w:p>
        </w:tc>
      </w:tr>
      <w:tr w:rsidR="00324B33" w:rsidRPr="00BD5DBD" w14:paraId="547E08D7" w14:textId="77777777" w:rsidTr="00F865A7">
        <w:tc>
          <w:tcPr>
            <w:tcW w:w="1577" w:type="pct"/>
          </w:tcPr>
          <w:p w14:paraId="5030EF30" w14:textId="58A05523" w:rsidR="00324B33" w:rsidRPr="00BD5DBD" w:rsidRDefault="00324B33" w:rsidP="007452E8">
            <w:pPr>
              <w:rPr>
                <w:i/>
                <w:szCs w:val="22"/>
              </w:rPr>
            </w:pPr>
            <w:r w:rsidRPr="00BD5DBD">
              <w:rPr>
                <w:i/>
                <w:szCs w:val="22"/>
              </w:rPr>
              <w:t>ARTG number:</w:t>
            </w:r>
          </w:p>
        </w:tc>
        <w:tc>
          <w:tcPr>
            <w:tcW w:w="3423" w:type="pct"/>
          </w:tcPr>
          <w:p w14:paraId="0054E912" w14:textId="6EBED0B0" w:rsidR="00324B33" w:rsidRPr="00BD5DBD" w:rsidRDefault="00027F5C" w:rsidP="007452E8">
            <w:pPr>
              <w:rPr>
                <w:szCs w:val="22"/>
              </w:rPr>
            </w:pPr>
            <w:r w:rsidRPr="00027F5C">
              <w:rPr>
                <w:szCs w:val="22"/>
              </w:rPr>
              <w:t>422316</w:t>
            </w:r>
          </w:p>
        </w:tc>
      </w:tr>
      <w:tr w:rsidR="00324B33" w:rsidRPr="00BD5DBD" w14:paraId="7618393F" w14:textId="77777777" w:rsidTr="00F865A7">
        <w:tc>
          <w:tcPr>
            <w:tcW w:w="1577" w:type="pct"/>
          </w:tcPr>
          <w:p w14:paraId="6C24CEB6" w14:textId="05DAA14E" w:rsidR="00E47E0C" w:rsidRPr="00BD5DBD" w:rsidRDefault="00324B33" w:rsidP="007452E8">
            <w:pPr>
              <w:rPr>
                <w:rStyle w:val="Hyperlink"/>
                <w:i/>
                <w:szCs w:val="22"/>
              </w:rPr>
            </w:pPr>
            <w:r w:rsidRPr="00BD5DBD">
              <w:rPr>
                <w:rFonts w:ascii="Wingdings 3" w:hAnsi="Wingdings 3"/>
                <w:szCs w:val="22"/>
                <w:lang w:eastAsia="en-AU"/>
              </w:rPr>
              <w:t></w:t>
            </w:r>
            <w:hyperlink r:id="rId18" w:history="1">
              <w:r w:rsidRPr="00BD5DBD">
                <w:rPr>
                  <w:rStyle w:val="Hyperlink"/>
                  <w:i/>
                  <w:szCs w:val="22"/>
                </w:rPr>
                <w:t>Black Triangle Scheme</w:t>
              </w:r>
            </w:hyperlink>
          </w:p>
          <w:p w14:paraId="02260DE2" w14:textId="1FC334AE" w:rsidR="00324B33" w:rsidRPr="00BD5DBD" w:rsidRDefault="00E47E0C" w:rsidP="007452E8">
            <w:pPr>
              <w:rPr>
                <w:i/>
                <w:szCs w:val="22"/>
              </w:rPr>
            </w:pPr>
            <w:r w:rsidRPr="00BD5DBD">
              <w:rPr>
                <w:i/>
                <w:szCs w:val="22"/>
              </w:rPr>
              <w:t xml:space="preserve">for </w:t>
            </w:r>
            <w:r w:rsidR="007B04DE" w:rsidRPr="00BD5DBD">
              <w:rPr>
                <w:i/>
                <w:szCs w:val="22"/>
              </w:rPr>
              <w:t>the current</w:t>
            </w:r>
            <w:r w:rsidRPr="00BD5DBD">
              <w:rPr>
                <w:i/>
                <w:szCs w:val="22"/>
              </w:rPr>
              <w:t xml:space="preserve"> submission</w:t>
            </w:r>
            <w:r w:rsidR="00324B33" w:rsidRPr="00BD5DBD">
              <w:rPr>
                <w:i/>
                <w:szCs w:val="22"/>
              </w:rPr>
              <w:t>:</w:t>
            </w:r>
          </w:p>
        </w:tc>
        <w:tc>
          <w:tcPr>
            <w:tcW w:w="3423" w:type="pct"/>
          </w:tcPr>
          <w:p w14:paraId="6FF3C6A2" w14:textId="5C0504A2" w:rsidR="00324B33" w:rsidRPr="00BD5DBD" w:rsidRDefault="00324B33" w:rsidP="007452E8">
            <w:pPr>
              <w:rPr>
                <w:szCs w:val="22"/>
              </w:rPr>
            </w:pPr>
            <w:r w:rsidRPr="00BD5DBD">
              <w:rPr>
                <w:szCs w:val="22"/>
              </w:rPr>
              <w:t>No</w:t>
            </w:r>
          </w:p>
        </w:tc>
      </w:tr>
      <w:tr w:rsidR="00324B33" w:rsidRPr="00BD5DBD" w14:paraId="179E09FE" w14:textId="77777777" w:rsidTr="00F865A7">
        <w:tc>
          <w:tcPr>
            <w:tcW w:w="1577" w:type="pct"/>
          </w:tcPr>
          <w:p w14:paraId="1A592498" w14:textId="77777777" w:rsidR="00324B33" w:rsidRPr="00BD5DBD" w:rsidRDefault="00324B33" w:rsidP="007452E8">
            <w:pPr>
              <w:rPr>
                <w:i/>
                <w:szCs w:val="22"/>
              </w:rPr>
            </w:pPr>
            <w:r w:rsidRPr="00BD5DBD">
              <w:rPr>
                <w:i/>
                <w:szCs w:val="22"/>
              </w:rPr>
              <w:t>Sponsor’s name and address:</w:t>
            </w:r>
          </w:p>
        </w:tc>
        <w:tc>
          <w:tcPr>
            <w:tcW w:w="3423" w:type="pct"/>
          </w:tcPr>
          <w:p w14:paraId="6DB74EA3" w14:textId="77777777" w:rsidR="0042280A" w:rsidRPr="0042280A" w:rsidRDefault="0042280A" w:rsidP="0042280A">
            <w:pPr>
              <w:rPr>
                <w:szCs w:val="22"/>
              </w:rPr>
            </w:pPr>
            <w:r w:rsidRPr="0042280A">
              <w:rPr>
                <w:szCs w:val="22"/>
              </w:rPr>
              <w:t>Pfizer Australia Pty Ltd</w:t>
            </w:r>
          </w:p>
          <w:p w14:paraId="2C50AB24" w14:textId="77777777" w:rsidR="0042280A" w:rsidRPr="0042280A" w:rsidRDefault="0042280A" w:rsidP="0042280A">
            <w:pPr>
              <w:rPr>
                <w:szCs w:val="22"/>
              </w:rPr>
            </w:pPr>
            <w:r w:rsidRPr="0042280A">
              <w:rPr>
                <w:szCs w:val="22"/>
              </w:rPr>
              <w:t>Level 17, 151 Clarence Street</w:t>
            </w:r>
          </w:p>
          <w:p w14:paraId="68DD94B0" w14:textId="6F8CA96B" w:rsidR="00324B33" w:rsidRPr="00BD5DBD" w:rsidRDefault="0042280A" w:rsidP="0042280A">
            <w:pPr>
              <w:rPr>
                <w:szCs w:val="22"/>
              </w:rPr>
            </w:pPr>
            <w:r w:rsidRPr="0042280A">
              <w:rPr>
                <w:szCs w:val="22"/>
              </w:rPr>
              <w:t>Sydney NSW 2000</w:t>
            </w:r>
          </w:p>
        </w:tc>
      </w:tr>
      <w:tr w:rsidR="00324B33" w:rsidRPr="00BD5DBD" w14:paraId="5322B989" w14:textId="77777777" w:rsidTr="00F865A7">
        <w:tc>
          <w:tcPr>
            <w:tcW w:w="1577" w:type="pct"/>
          </w:tcPr>
          <w:p w14:paraId="24F217E3" w14:textId="32AE1946" w:rsidR="00324B33" w:rsidRPr="00BD5DBD" w:rsidRDefault="00324B33" w:rsidP="007452E8">
            <w:pPr>
              <w:rPr>
                <w:i/>
                <w:szCs w:val="22"/>
              </w:rPr>
            </w:pPr>
            <w:r w:rsidRPr="00BD5DBD">
              <w:rPr>
                <w:i/>
                <w:szCs w:val="22"/>
              </w:rPr>
              <w:t>Dose form:</w:t>
            </w:r>
          </w:p>
        </w:tc>
        <w:tc>
          <w:tcPr>
            <w:tcW w:w="3423" w:type="pct"/>
          </w:tcPr>
          <w:p w14:paraId="768B254C" w14:textId="6CB3B234" w:rsidR="00324B33" w:rsidRPr="00BD5DBD" w:rsidRDefault="00D05CCF" w:rsidP="007452E8">
            <w:pPr>
              <w:rPr>
                <w:szCs w:val="22"/>
              </w:rPr>
            </w:pPr>
            <w:r>
              <w:rPr>
                <w:szCs w:val="22"/>
              </w:rPr>
              <w:t>Powder for injection</w:t>
            </w:r>
          </w:p>
        </w:tc>
      </w:tr>
      <w:tr w:rsidR="00324B33" w:rsidRPr="00BD5DBD" w14:paraId="115243E6" w14:textId="77777777" w:rsidTr="00F865A7">
        <w:tc>
          <w:tcPr>
            <w:tcW w:w="1577" w:type="pct"/>
          </w:tcPr>
          <w:p w14:paraId="7634B062" w14:textId="7B57A578" w:rsidR="00324B33" w:rsidRPr="00BD5DBD" w:rsidRDefault="00324B33" w:rsidP="007452E8">
            <w:pPr>
              <w:rPr>
                <w:i/>
                <w:szCs w:val="22"/>
              </w:rPr>
            </w:pPr>
            <w:r w:rsidRPr="00BD5DBD">
              <w:rPr>
                <w:i/>
                <w:szCs w:val="22"/>
              </w:rPr>
              <w:t>Strength:</w:t>
            </w:r>
          </w:p>
        </w:tc>
        <w:tc>
          <w:tcPr>
            <w:tcW w:w="3423" w:type="pct"/>
          </w:tcPr>
          <w:p w14:paraId="5E5F83DB" w14:textId="6AB41204" w:rsidR="00324B33" w:rsidRPr="00BD5DBD" w:rsidRDefault="00A42030" w:rsidP="007452E8">
            <w:pPr>
              <w:rPr>
                <w:szCs w:val="22"/>
              </w:rPr>
            </w:pPr>
            <w:r>
              <w:rPr>
                <w:szCs w:val="22"/>
              </w:rPr>
              <w:t>100 mg</w:t>
            </w:r>
          </w:p>
        </w:tc>
      </w:tr>
      <w:tr w:rsidR="00324B33" w:rsidRPr="00BD5DBD" w14:paraId="34B07BA6" w14:textId="77777777" w:rsidTr="00F865A7">
        <w:tc>
          <w:tcPr>
            <w:tcW w:w="1577" w:type="pct"/>
          </w:tcPr>
          <w:p w14:paraId="1C039224" w14:textId="2C23B4CF" w:rsidR="00324B33" w:rsidRPr="00BD5DBD" w:rsidRDefault="00324B33" w:rsidP="007452E8">
            <w:pPr>
              <w:rPr>
                <w:i/>
                <w:szCs w:val="22"/>
              </w:rPr>
            </w:pPr>
            <w:r w:rsidRPr="00BD5DBD">
              <w:rPr>
                <w:i/>
                <w:szCs w:val="22"/>
              </w:rPr>
              <w:t>Container:</w:t>
            </w:r>
          </w:p>
        </w:tc>
        <w:tc>
          <w:tcPr>
            <w:tcW w:w="3423" w:type="pct"/>
          </w:tcPr>
          <w:p w14:paraId="500A42C6" w14:textId="603D3CFE" w:rsidR="00324B33" w:rsidRPr="00BD5DBD" w:rsidRDefault="00D05CCF" w:rsidP="007452E8">
            <w:pPr>
              <w:rPr>
                <w:szCs w:val="22"/>
              </w:rPr>
            </w:pPr>
            <w:r>
              <w:rPr>
                <w:szCs w:val="22"/>
              </w:rPr>
              <w:t>Vial</w:t>
            </w:r>
          </w:p>
        </w:tc>
      </w:tr>
      <w:tr w:rsidR="00324B33" w:rsidRPr="00BD5DBD" w14:paraId="176B6773" w14:textId="77777777" w:rsidTr="00F865A7">
        <w:tc>
          <w:tcPr>
            <w:tcW w:w="1577" w:type="pct"/>
          </w:tcPr>
          <w:p w14:paraId="71846159" w14:textId="153F5C57" w:rsidR="00324B33" w:rsidRPr="00BD5DBD" w:rsidRDefault="00324B33" w:rsidP="007452E8">
            <w:pPr>
              <w:rPr>
                <w:i/>
                <w:szCs w:val="22"/>
              </w:rPr>
            </w:pPr>
            <w:r w:rsidRPr="00BD5DBD">
              <w:rPr>
                <w:i/>
                <w:szCs w:val="22"/>
              </w:rPr>
              <w:t>Pack size:</w:t>
            </w:r>
          </w:p>
        </w:tc>
        <w:tc>
          <w:tcPr>
            <w:tcW w:w="3423" w:type="pct"/>
          </w:tcPr>
          <w:p w14:paraId="7E978F8F" w14:textId="4EF3E81A" w:rsidR="00324B33" w:rsidRPr="00BD5DBD" w:rsidRDefault="004A4307" w:rsidP="007452E8">
            <w:pPr>
              <w:rPr>
                <w:szCs w:val="22"/>
              </w:rPr>
            </w:pPr>
            <w:r>
              <w:rPr>
                <w:szCs w:val="22"/>
              </w:rPr>
              <w:t>One vial</w:t>
            </w:r>
          </w:p>
        </w:tc>
      </w:tr>
      <w:tr w:rsidR="00324B33" w:rsidRPr="00BD5DBD" w14:paraId="19A2544A" w14:textId="77777777" w:rsidTr="00F865A7">
        <w:tc>
          <w:tcPr>
            <w:tcW w:w="1577"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423" w:type="pct"/>
          </w:tcPr>
          <w:p w14:paraId="3BC047E5" w14:textId="77777777" w:rsidR="00F5766C" w:rsidRPr="00F5766C" w:rsidRDefault="00F5766C" w:rsidP="00F5766C">
            <w:pPr>
              <w:rPr>
                <w:b/>
                <w:bCs/>
                <w:szCs w:val="22"/>
              </w:rPr>
            </w:pPr>
            <w:r w:rsidRPr="00F5766C">
              <w:rPr>
                <w:b/>
                <w:bCs/>
                <w:szCs w:val="22"/>
              </w:rPr>
              <w:t>Rheumatoid Arthritis in adults</w:t>
            </w:r>
          </w:p>
          <w:p w14:paraId="4FE785C1" w14:textId="4F3A7555" w:rsidR="00F5766C" w:rsidRPr="00F5766C" w:rsidRDefault="00F5766C" w:rsidP="00F5766C">
            <w:pPr>
              <w:rPr>
                <w:szCs w:val="22"/>
              </w:rPr>
            </w:pPr>
            <w:r w:rsidRPr="00F5766C">
              <w:rPr>
                <w:szCs w:val="22"/>
              </w:rPr>
              <w:t>I</w:t>
            </w:r>
            <w:r w:rsidRPr="009C44FF">
              <w:rPr>
                <w:szCs w:val="22"/>
              </w:rPr>
              <w:t>xifi</w:t>
            </w:r>
            <w:r w:rsidRPr="00F5766C">
              <w:rPr>
                <w:szCs w:val="22"/>
              </w:rPr>
              <w:t>, in combination with methotrexate, is indicated for the reduction of signs and symptoms</w:t>
            </w:r>
            <w:r w:rsidR="00173074" w:rsidRPr="009C44FF">
              <w:rPr>
                <w:szCs w:val="22"/>
              </w:rPr>
              <w:t xml:space="preserve"> </w:t>
            </w:r>
            <w:r w:rsidRPr="00F5766C">
              <w:rPr>
                <w:szCs w:val="22"/>
              </w:rPr>
              <w:t>and prevention of structural joint damage (erosions and joint space narrowing) in:</w:t>
            </w:r>
          </w:p>
          <w:p w14:paraId="00031EE6" w14:textId="223C7334" w:rsidR="00F5766C" w:rsidRPr="00F5766C" w:rsidRDefault="00F5766C" w:rsidP="001657C7">
            <w:pPr>
              <w:pStyle w:val="ListBullet"/>
            </w:pPr>
            <w:r w:rsidRPr="00F5766C">
              <w:t>patients with active disease despite treatment with methotrexate</w:t>
            </w:r>
            <w:r w:rsidR="00722088">
              <w:t>.</w:t>
            </w:r>
          </w:p>
          <w:p w14:paraId="12C5129B" w14:textId="7A8B55E6" w:rsidR="00F5766C" w:rsidRPr="00F5766C" w:rsidRDefault="00F5766C" w:rsidP="001657C7">
            <w:pPr>
              <w:pStyle w:val="ListBullet"/>
            </w:pPr>
            <w:r w:rsidRPr="00F5766C">
              <w:t>patients with active disease who have not previously received methotrexate.</w:t>
            </w:r>
          </w:p>
          <w:p w14:paraId="78E091AE" w14:textId="086062AC" w:rsidR="00F5766C" w:rsidRPr="00F5766C" w:rsidRDefault="00F5766C" w:rsidP="00F5766C">
            <w:pPr>
              <w:rPr>
                <w:szCs w:val="22"/>
              </w:rPr>
            </w:pPr>
            <w:r w:rsidRPr="00F5766C">
              <w:rPr>
                <w:szCs w:val="22"/>
              </w:rPr>
              <w:t>I</w:t>
            </w:r>
            <w:r w:rsidR="00173074" w:rsidRPr="009C44FF">
              <w:rPr>
                <w:szCs w:val="22"/>
              </w:rPr>
              <w:t>xifi</w:t>
            </w:r>
            <w:r w:rsidRPr="00F5766C">
              <w:rPr>
                <w:szCs w:val="22"/>
              </w:rPr>
              <w:t xml:space="preserve"> should be given in combination with methotrexate. Efficacy and safety in Rheumatoid</w:t>
            </w:r>
            <w:r w:rsidR="002D2A1C" w:rsidRPr="009C44FF">
              <w:rPr>
                <w:szCs w:val="22"/>
              </w:rPr>
              <w:t xml:space="preserve"> </w:t>
            </w:r>
            <w:r w:rsidRPr="00F5766C">
              <w:rPr>
                <w:szCs w:val="22"/>
              </w:rPr>
              <w:t>Arthritis have been demonstrated only in combination with methotrexate.</w:t>
            </w:r>
          </w:p>
          <w:p w14:paraId="5A41BD27" w14:textId="77777777" w:rsidR="00F5766C" w:rsidRPr="00F5766C" w:rsidRDefault="00F5766C" w:rsidP="00F5766C">
            <w:pPr>
              <w:rPr>
                <w:b/>
                <w:bCs/>
                <w:szCs w:val="22"/>
              </w:rPr>
            </w:pPr>
            <w:r w:rsidRPr="00F5766C">
              <w:rPr>
                <w:b/>
                <w:bCs/>
                <w:szCs w:val="22"/>
              </w:rPr>
              <w:t>Ankylosing Spondylitis</w:t>
            </w:r>
          </w:p>
          <w:p w14:paraId="21FE82B1" w14:textId="70C90085" w:rsidR="00F5766C" w:rsidRPr="009C44FF" w:rsidRDefault="00F5766C" w:rsidP="00F5766C">
            <w:pPr>
              <w:rPr>
                <w:szCs w:val="22"/>
              </w:rPr>
            </w:pPr>
            <w:r w:rsidRPr="00F5766C">
              <w:rPr>
                <w:szCs w:val="22"/>
              </w:rPr>
              <w:t>I</w:t>
            </w:r>
            <w:r w:rsidR="009C44FF">
              <w:rPr>
                <w:szCs w:val="22"/>
              </w:rPr>
              <w:t>xifi</w:t>
            </w:r>
            <w:r w:rsidRPr="00F5766C">
              <w:rPr>
                <w:szCs w:val="22"/>
              </w:rPr>
              <w:t xml:space="preserve"> is indicated for the reduction of signs and symptoms and improvement in physical</w:t>
            </w:r>
            <w:r w:rsidR="009C44FF">
              <w:rPr>
                <w:szCs w:val="22"/>
              </w:rPr>
              <w:t xml:space="preserve"> </w:t>
            </w:r>
            <w:r w:rsidRPr="009C44FF">
              <w:rPr>
                <w:szCs w:val="22"/>
              </w:rPr>
              <w:t>function in patients with active disease.</w:t>
            </w:r>
          </w:p>
          <w:p w14:paraId="73C8EF9D" w14:textId="77777777" w:rsidR="009C44FF" w:rsidRPr="009C44FF" w:rsidRDefault="009C44FF" w:rsidP="009C44FF">
            <w:pPr>
              <w:rPr>
                <w:b/>
                <w:bCs/>
                <w:szCs w:val="22"/>
              </w:rPr>
            </w:pPr>
            <w:r w:rsidRPr="009C44FF">
              <w:rPr>
                <w:b/>
                <w:bCs/>
                <w:szCs w:val="22"/>
              </w:rPr>
              <w:t>Psoriatic arthritis</w:t>
            </w:r>
          </w:p>
          <w:p w14:paraId="7C409FC9" w14:textId="60E9E3F0" w:rsidR="009C44FF" w:rsidRPr="009C44FF" w:rsidRDefault="009C44FF" w:rsidP="009C44FF">
            <w:pPr>
              <w:rPr>
                <w:szCs w:val="22"/>
              </w:rPr>
            </w:pPr>
            <w:r w:rsidRPr="009C44FF">
              <w:rPr>
                <w:szCs w:val="22"/>
              </w:rPr>
              <w:t>I</w:t>
            </w:r>
            <w:r w:rsidR="00722088" w:rsidRPr="00722088">
              <w:rPr>
                <w:szCs w:val="22"/>
              </w:rPr>
              <w:t>xifi</w:t>
            </w:r>
            <w:r w:rsidRPr="009C44FF">
              <w:rPr>
                <w:szCs w:val="22"/>
              </w:rPr>
              <w:t xml:space="preserve"> is indicated for the treatment of the signs and symptoms, as well as for the</w:t>
            </w:r>
            <w:r w:rsidR="00722088" w:rsidRPr="00722088">
              <w:rPr>
                <w:szCs w:val="22"/>
              </w:rPr>
              <w:t xml:space="preserve"> </w:t>
            </w:r>
            <w:r w:rsidRPr="009C44FF">
              <w:rPr>
                <w:szCs w:val="22"/>
              </w:rPr>
              <w:t>improvement in physical function in adult patients with active and progressive psoriatic</w:t>
            </w:r>
            <w:r w:rsidR="00722088" w:rsidRPr="00722088">
              <w:rPr>
                <w:szCs w:val="22"/>
              </w:rPr>
              <w:t xml:space="preserve"> </w:t>
            </w:r>
            <w:r w:rsidRPr="009C44FF">
              <w:rPr>
                <w:szCs w:val="22"/>
              </w:rPr>
              <w:t xml:space="preserve">arthritis who </w:t>
            </w:r>
            <w:r w:rsidRPr="009C44FF">
              <w:rPr>
                <w:szCs w:val="22"/>
              </w:rPr>
              <w:lastRenderedPageBreak/>
              <w:t>have responded inadequately to disease-modifying anti</w:t>
            </w:r>
            <w:r w:rsidR="0028008E">
              <w:rPr>
                <w:szCs w:val="22"/>
              </w:rPr>
              <w:noBreakHyphen/>
            </w:r>
            <w:r w:rsidRPr="009C44FF">
              <w:rPr>
                <w:szCs w:val="22"/>
              </w:rPr>
              <w:t>rheumatic drug</w:t>
            </w:r>
            <w:r w:rsidR="00722088" w:rsidRPr="00722088">
              <w:rPr>
                <w:szCs w:val="22"/>
              </w:rPr>
              <w:t xml:space="preserve"> </w:t>
            </w:r>
            <w:r w:rsidRPr="009C44FF">
              <w:rPr>
                <w:szCs w:val="22"/>
              </w:rPr>
              <w:t>(DMARD) therapy.</w:t>
            </w:r>
          </w:p>
          <w:p w14:paraId="563ED243" w14:textId="5EB5BE25" w:rsidR="009C44FF" w:rsidRPr="009C44FF" w:rsidRDefault="009C44FF" w:rsidP="009C44FF">
            <w:pPr>
              <w:rPr>
                <w:szCs w:val="22"/>
              </w:rPr>
            </w:pPr>
            <w:r w:rsidRPr="009C44FF">
              <w:rPr>
                <w:szCs w:val="22"/>
              </w:rPr>
              <w:t>I</w:t>
            </w:r>
            <w:r w:rsidR="00722088" w:rsidRPr="00722088">
              <w:rPr>
                <w:szCs w:val="22"/>
              </w:rPr>
              <w:t>xifi</w:t>
            </w:r>
            <w:r w:rsidRPr="009C44FF">
              <w:rPr>
                <w:szCs w:val="22"/>
              </w:rPr>
              <w:t xml:space="preserve"> may be administered in combination with methotrexate.</w:t>
            </w:r>
          </w:p>
          <w:p w14:paraId="43153213" w14:textId="77777777" w:rsidR="009C44FF" w:rsidRPr="009C44FF" w:rsidRDefault="009C44FF" w:rsidP="009C44FF">
            <w:pPr>
              <w:rPr>
                <w:b/>
                <w:bCs/>
                <w:szCs w:val="22"/>
              </w:rPr>
            </w:pPr>
            <w:r w:rsidRPr="009C44FF">
              <w:rPr>
                <w:b/>
                <w:bCs/>
                <w:szCs w:val="22"/>
              </w:rPr>
              <w:t>Psoriasis</w:t>
            </w:r>
          </w:p>
          <w:p w14:paraId="15155D0C" w14:textId="7D3029EB" w:rsidR="009C44FF" w:rsidRPr="009C44FF" w:rsidRDefault="009C44FF" w:rsidP="009C44FF">
            <w:pPr>
              <w:rPr>
                <w:szCs w:val="22"/>
              </w:rPr>
            </w:pPr>
            <w:r w:rsidRPr="009C44FF">
              <w:rPr>
                <w:szCs w:val="22"/>
              </w:rPr>
              <w:t>I</w:t>
            </w:r>
            <w:r w:rsidR="0028008E" w:rsidRPr="00277C42">
              <w:rPr>
                <w:szCs w:val="22"/>
              </w:rPr>
              <w:t>xifi</w:t>
            </w:r>
            <w:r w:rsidRPr="009C44FF">
              <w:rPr>
                <w:szCs w:val="22"/>
              </w:rPr>
              <w:t xml:space="preserve"> is indicated for the treatment of adult patients with moderate to severe plaque psoriasis</w:t>
            </w:r>
            <w:r w:rsidR="0028008E" w:rsidRPr="00277C42">
              <w:rPr>
                <w:szCs w:val="22"/>
              </w:rPr>
              <w:t xml:space="preserve"> </w:t>
            </w:r>
            <w:r w:rsidRPr="009C44FF">
              <w:rPr>
                <w:szCs w:val="22"/>
              </w:rPr>
              <w:t>for whom phototherapy or conventional systemic treatments have been inadequate or are</w:t>
            </w:r>
            <w:r w:rsidR="00277C42" w:rsidRPr="00277C42">
              <w:rPr>
                <w:szCs w:val="22"/>
              </w:rPr>
              <w:t xml:space="preserve"> </w:t>
            </w:r>
            <w:r w:rsidRPr="009C44FF">
              <w:rPr>
                <w:szCs w:val="22"/>
              </w:rPr>
              <w:t>inappropriate. Safety and efficacy beyond 12 months have not been established.</w:t>
            </w:r>
          </w:p>
          <w:p w14:paraId="6F9F4370" w14:textId="567BF4AD" w:rsidR="009C44FF" w:rsidRPr="009C44FF" w:rsidRDefault="009C44FF" w:rsidP="009C44FF">
            <w:pPr>
              <w:rPr>
                <w:b/>
                <w:bCs/>
                <w:szCs w:val="22"/>
              </w:rPr>
            </w:pPr>
            <w:r w:rsidRPr="009C44FF">
              <w:rPr>
                <w:b/>
                <w:bCs/>
                <w:szCs w:val="22"/>
              </w:rPr>
              <w:t xml:space="preserve">Crohn’s Disease in </w:t>
            </w:r>
            <w:r w:rsidR="00A63C14">
              <w:rPr>
                <w:b/>
                <w:bCs/>
                <w:szCs w:val="22"/>
              </w:rPr>
              <w:t>a</w:t>
            </w:r>
            <w:r w:rsidRPr="009C44FF">
              <w:rPr>
                <w:b/>
                <w:bCs/>
                <w:szCs w:val="22"/>
              </w:rPr>
              <w:t xml:space="preserve">dults and in </w:t>
            </w:r>
            <w:r w:rsidR="00A63C14">
              <w:rPr>
                <w:b/>
                <w:bCs/>
                <w:szCs w:val="22"/>
              </w:rPr>
              <w:t>c</w:t>
            </w:r>
            <w:r w:rsidRPr="009C44FF">
              <w:rPr>
                <w:b/>
                <w:bCs/>
                <w:szCs w:val="22"/>
              </w:rPr>
              <w:t>hildren and adolescents (6 to 17 years)</w:t>
            </w:r>
          </w:p>
          <w:p w14:paraId="182208ED" w14:textId="18AE4581" w:rsidR="009C44FF" w:rsidRPr="009C44FF" w:rsidRDefault="009C44FF" w:rsidP="009C44FF">
            <w:pPr>
              <w:rPr>
                <w:szCs w:val="22"/>
              </w:rPr>
            </w:pPr>
            <w:r w:rsidRPr="009C44FF">
              <w:rPr>
                <w:szCs w:val="22"/>
              </w:rPr>
              <w:t>I</w:t>
            </w:r>
            <w:r w:rsidR="00277C42" w:rsidRPr="00D909CC">
              <w:rPr>
                <w:szCs w:val="22"/>
              </w:rPr>
              <w:t>xifi</w:t>
            </w:r>
            <w:r w:rsidRPr="009C44FF">
              <w:rPr>
                <w:szCs w:val="22"/>
              </w:rPr>
              <w:t xml:space="preserve"> is indicated for the treatment of moderate to severe Crohn’s disease, to reduce the signs</w:t>
            </w:r>
            <w:r w:rsidR="00277C42" w:rsidRPr="00D909CC">
              <w:rPr>
                <w:szCs w:val="22"/>
              </w:rPr>
              <w:t xml:space="preserve"> </w:t>
            </w:r>
            <w:r w:rsidRPr="009C44FF">
              <w:rPr>
                <w:szCs w:val="22"/>
              </w:rPr>
              <w:t>and symptoms and to induce and maintain clinical remission in patients who have an</w:t>
            </w:r>
            <w:r w:rsidR="00277C42" w:rsidRPr="00D909CC">
              <w:rPr>
                <w:szCs w:val="22"/>
              </w:rPr>
              <w:t xml:space="preserve"> </w:t>
            </w:r>
            <w:r w:rsidRPr="009C44FF">
              <w:rPr>
                <w:szCs w:val="22"/>
              </w:rPr>
              <w:t>inadequate response to conventional therapies.</w:t>
            </w:r>
          </w:p>
          <w:p w14:paraId="6CBD209F" w14:textId="77777777" w:rsidR="009C44FF" w:rsidRPr="009C44FF" w:rsidRDefault="009C44FF" w:rsidP="009C44FF">
            <w:pPr>
              <w:rPr>
                <w:b/>
                <w:bCs/>
                <w:szCs w:val="22"/>
              </w:rPr>
            </w:pPr>
            <w:r w:rsidRPr="009C44FF">
              <w:rPr>
                <w:b/>
                <w:bCs/>
                <w:szCs w:val="22"/>
              </w:rPr>
              <w:t>Refractory Fistulising Crohn’s Disease</w:t>
            </w:r>
          </w:p>
          <w:p w14:paraId="4C28A8C3" w14:textId="79A45D22" w:rsidR="009C44FF" w:rsidRPr="009C44FF" w:rsidRDefault="009C44FF" w:rsidP="009C44FF">
            <w:pPr>
              <w:rPr>
                <w:szCs w:val="22"/>
              </w:rPr>
            </w:pPr>
            <w:r w:rsidRPr="009C44FF">
              <w:rPr>
                <w:szCs w:val="22"/>
              </w:rPr>
              <w:t>I</w:t>
            </w:r>
            <w:r w:rsidR="00277C42" w:rsidRPr="00D909CC">
              <w:rPr>
                <w:szCs w:val="22"/>
              </w:rPr>
              <w:t>xifi</w:t>
            </w:r>
            <w:r w:rsidRPr="009C44FF">
              <w:rPr>
                <w:szCs w:val="22"/>
              </w:rPr>
              <w:t xml:space="preserve"> is indicated for reducing the number of draining enterocutaneous and rectovaginal</w:t>
            </w:r>
            <w:r w:rsidR="00277C42" w:rsidRPr="00D909CC">
              <w:rPr>
                <w:szCs w:val="22"/>
              </w:rPr>
              <w:t xml:space="preserve"> </w:t>
            </w:r>
            <w:r w:rsidRPr="009C44FF">
              <w:rPr>
                <w:szCs w:val="22"/>
              </w:rPr>
              <w:t>fistulas and maintaining fistula closure in adult patients.</w:t>
            </w:r>
          </w:p>
          <w:p w14:paraId="4EDF144F" w14:textId="5609636F" w:rsidR="009C44FF" w:rsidRPr="009C44FF" w:rsidRDefault="009C44FF" w:rsidP="009C44FF">
            <w:pPr>
              <w:rPr>
                <w:b/>
                <w:bCs/>
                <w:szCs w:val="22"/>
              </w:rPr>
            </w:pPr>
            <w:r w:rsidRPr="009C44FF">
              <w:rPr>
                <w:b/>
                <w:bCs/>
                <w:szCs w:val="22"/>
              </w:rPr>
              <w:t xml:space="preserve">Ulcerative colitis in </w:t>
            </w:r>
            <w:r w:rsidR="00A63C14">
              <w:rPr>
                <w:b/>
                <w:bCs/>
                <w:szCs w:val="22"/>
              </w:rPr>
              <w:t>a</w:t>
            </w:r>
            <w:r w:rsidRPr="009C44FF">
              <w:rPr>
                <w:b/>
                <w:bCs/>
                <w:szCs w:val="22"/>
              </w:rPr>
              <w:t xml:space="preserve">dults and in </w:t>
            </w:r>
            <w:r w:rsidR="00A63C14">
              <w:rPr>
                <w:b/>
                <w:bCs/>
                <w:szCs w:val="22"/>
              </w:rPr>
              <w:t>c</w:t>
            </w:r>
            <w:r w:rsidRPr="009C44FF">
              <w:rPr>
                <w:b/>
                <w:bCs/>
                <w:szCs w:val="22"/>
              </w:rPr>
              <w:t>hildren and adolescents (6 to 17 years)</w:t>
            </w:r>
          </w:p>
          <w:p w14:paraId="6E143E2E" w14:textId="1F8541A1" w:rsidR="00324B33" w:rsidRPr="00BD5DBD" w:rsidRDefault="009C44FF" w:rsidP="00F5766C">
            <w:pPr>
              <w:rPr>
                <w:szCs w:val="22"/>
              </w:rPr>
            </w:pPr>
            <w:r w:rsidRPr="009C44FF">
              <w:rPr>
                <w:szCs w:val="22"/>
              </w:rPr>
              <w:t>I</w:t>
            </w:r>
            <w:r w:rsidR="002917A1" w:rsidRPr="00D909CC">
              <w:rPr>
                <w:szCs w:val="22"/>
              </w:rPr>
              <w:t>xifi</w:t>
            </w:r>
            <w:r w:rsidRPr="009C44FF">
              <w:rPr>
                <w:szCs w:val="22"/>
              </w:rPr>
              <w:t xml:space="preserve"> is indicated for the treatment of moderately severe to severe active ulcerative colitis in</w:t>
            </w:r>
            <w:r w:rsidR="002917A1" w:rsidRPr="00D909CC">
              <w:rPr>
                <w:szCs w:val="22"/>
              </w:rPr>
              <w:t xml:space="preserve"> </w:t>
            </w:r>
            <w:r w:rsidRPr="00D909CC">
              <w:rPr>
                <w:szCs w:val="22"/>
              </w:rPr>
              <w:t>patients who have had an inadequate response to conventional therapy.</w:t>
            </w:r>
          </w:p>
        </w:tc>
      </w:tr>
      <w:tr w:rsidR="00324B33" w:rsidRPr="00BD5DBD" w14:paraId="5AFDEED3" w14:textId="77777777" w:rsidTr="00F865A7">
        <w:tc>
          <w:tcPr>
            <w:tcW w:w="1577" w:type="pct"/>
          </w:tcPr>
          <w:p w14:paraId="03884BD1" w14:textId="684A6564" w:rsidR="00324B33" w:rsidRPr="00BD5DBD" w:rsidRDefault="00324B33" w:rsidP="007452E8">
            <w:pPr>
              <w:rPr>
                <w:i/>
                <w:szCs w:val="22"/>
              </w:rPr>
            </w:pPr>
            <w:r w:rsidRPr="00BD5DBD">
              <w:rPr>
                <w:i/>
                <w:szCs w:val="22"/>
              </w:rPr>
              <w:lastRenderedPageBreak/>
              <w:t>Route of administration:</w:t>
            </w:r>
          </w:p>
        </w:tc>
        <w:tc>
          <w:tcPr>
            <w:tcW w:w="3423" w:type="pct"/>
          </w:tcPr>
          <w:p w14:paraId="1ED1357E" w14:textId="543A0655" w:rsidR="00324B33" w:rsidRPr="00BD5DBD" w:rsidRDefault="00A67F79" w:rsidP="007452E8">
            <w:pPr>
              <w:rPr>
                <w:szCs w:val="22"/>
              </w:rPr>
            </w:pPr>
            <w:r>
              <w:rPr>
                <w:szCs w:val="22"/>
              </w:rPr>
              <w:t>Intravenous</w:t>
            </w:r>
          </w:p>
        </w:tc>
      </w:tr>
      <w:tr w:rsidR="00324B33" w:rsidRPr="00BD5DBD" w14:paraId="70D7E9FA" w14:textId="77777777" w:rsidTr="00F865A7">
        <w:tc>
          <w:tcPr>
            <w:tcW w:w="1577" w:type="pct"/>
          </w:tcPr>
          <w:p w14:paraId="5ABFFC80" w14:textId="77777777" w:rsidR="00324B33" w:rsidRPr="00BD5DBD" w:rsidRDefault="00324B33" w:rsidP="007452E8">
            <w:pPr>
              <w:rPr>
                <w:i/>
                <w:szCs w:val="22"/>
              </w:rPr>
            </w:pPr>
            <w:r w:rsidRPr="00BD5DBD">
              <w:rPr>
                <w:i/>
                <w:szCs w:val="22"/>
              </w:rPr>
              <w:t>Dosage:</w:t>
            </w:r>
          </w:p>
        </w:tc>
        <w:tc>
          <w:tcPr>
            <w:tcW w:w="3423" w:type="pct"/>
          </w:tcPr>
          <w:p w14:paraId="64D67AB8" w14:textId="01B6C92D" w:rsidR="00405003" w:rsidRPr="00405003" w:rsidRDefault="00405003" w:rsidP="00405003">
            <w:pPr>
              <w:rPr>
                <w:szCs w:val="22"/>
              </w:rPr>
            </w:pPr>
            <w:r w:rsidRPr="00405003">
              <w:rPr>
                <w:szCs w:val="22"/>
              </w:rPr>
              <w:t>I</w:t>
            </w:r>
            <w:r w:rsidR="001041B3">
              <w:rPr>
                <w:szCs w:val="22"/>
              </w:rPr>
              <w:t>xifi</w:t>
            </w:r>
            <w:r w:rsidRPr="00405003">
              <w:rPr>
                <w:szCs w:val="22"/>
              </w:rPr>
              <w:t xml:space="preserve"> treatment is to be administered under the supervision of specialised physicians</w:t>
            </w:r>
            <w:r w:rsidR="001041B3">
              <w:rPr>
                <w:szCs w:val="22"/>
              </w:rPr>
              <w:t xml:space="preserve"> </w:t>
            </w:r>
            <w:r w:rsidRPr="00405003">
              <w:rPr>
                <w:szCs w:val="22"/>
              </w:rPr>
              <w:t>experienced in the diagnosis and treatment of rheumatoid arthritis, ankylosing spondylitis,</w:t>
            </w:r>
            <w:r w:rsidR="001041B3">
              <w:rPr>
                <w:szCs w:val="22"/>
              </w:rPr>
              <w:t xml:space="preserve"> </w:t>
            </w:r>
            <w:r w:rsidRPr="00405003">
              <w:rPr>
                <w:szCs w:val="22"/>
              </w:rPr>
              <w:t>inflammatory bowel diseases, psoriasis or psoriatic arthritis.</w:t>
            </w:r>
          </w:p>
          <w:p w14:paraId="7DA9B04E" w14:textId="77777777" w:rsidR="00300B0E" w:rsidRDefault="00405003" w:rsidP="00405003">
            <w:pPr>
              <w:rPr>
                <w:szCs w:val="22"/>
              </w:rPr>
            </w:pPr>
            <w:r w:rsidRPr="00405003">
              <w:rPr>
                <w:szCs w:val="22"/>
              </w:rPr>
              <w:t>For adult and paediatric patients, administer the infusion solution over a period of not less than</w:t>
            </w:r>
            <w:r w:rsidR="001041B3">
              <w:rPr>
                <w:szCs w:val="22"/>
              </w:rPr>
              <w:t xml:space="preserve"> </w:t>
            </w:r>
            <w:r w:rsidRPr="00405003">
              <w:rPr>
                <w:szCs w:val="22"/>
              </w:rPr>
              <w:t>2 hours</w:t>
            </w:r>
            <w:r w:rsidR="00300B0E">
              <w:rPr>
                <w:szCs w:val="22"/>
              </w:rPr>
              <w:t>.</w:t>
            </w:r>
          </w:p>
          <w:p w14:paraId="4BD4ECF7" w14:textId="0A874444" w:rsidR="00666911" w:rsidRDefault="001041B3" w:rsidP="001041B3">
            <w:pPr>
              <w:rPr>
                <w:szCs w:val="22"/>
              </w:rPr>
            </w:pPr>
            <w:r w:rsidRPr="001041B3">
              <w:rPr>
                <w:szCs w:val="22"/>
              </w:rPr>
              <w:t>All patients administered I</w:t>
            </w:r>
            <w:r>
              <w:rPr>
                <w:szCs w:val="22"/>
              </w:rPr>
              <w:t>xifi</w:t>
            </w:r>
            <w:r w:rsidRPr="001041B3">
              <w:rPr>
                <w:szCs w:val="22"/>
              </w:rPr>
              <w:t xml:space="preserve"> are to be observed for at least </w:t>
            </w:r>
            <w:r w:rsidR="005E68C1">
              <w:rPr>
                <w:szCs w:val="22"/>
              </w:rPr>
              <w:t>1</w:t>
            </w:r>
            <w:r>
              <w:rPr>
                <w:szCs w:val="22"/>
              </w:rPr>
              <w:t xml:space="preserve"> to </w:t>
            </w:r>
            <w:r w:rsidRPr="001041B3">
              <w:rPr>
                <w:szCs w:val="22"/>
              </w:rPr>
              <w:t>2 hours post infusion for side</w:t>
            </w:r>
            <w:r>
              <w:rPr>
                <w:szCs w:val="22"/>
              </w:rPr>
              <w:t xml:space="preserve"> </w:t>
            </w:r>
            <w:r w:rsidRPr="001041B3">
              <w:rPr>
                <w:szCs w:val="22"/>
              </w:rPr>
              <w:t>effects.</w:t>
            </w:r>
          </w:p>
          <w:p w14:paraId="3D0B2D5C" w14:textId="6E29920D" w:rsidR="00324B33" w:rsidRPr="00BD5DBD" w:rsidRDefault="00324B33" w:rsidP="007452E8">
            <w:pPr>
              <w:rPr>
                <w:szCs w:val="22"/>
              </w:rPr>
            </w:pPr>
            <w:r w:rsidRPr="00BD5DBD">
              <w:rPr>
                <w:szCs w:val="22"/>
              </w:rPr>
              <w:t xml:space="preserve">For further information regarding dosage, </w:t>
            </w:r>
            <w:r w:rsidR="006B7126">
              <w:rPr>
                <w:szCs w:val="22"/>
              </w:rPr>
              <w:t xml:space="preserve">such as dosage modifications to manage adverse reactions, </w:t>
            </w:r>
            <w:r w:rsidRPr="00BD5DBD">
              <w:rPr>
                <w:szCs w:val="22"/>
              </w:rPr>
              <w:t>refer to the Product Information.</w:t>
            </w:r>
          </w:p>
        </w:tc>
      </w:tr>
      <w:tr w:rsidR="0017005C" w:rsidRPr="00BD5DBD" w14:paraId="7B7BB6AE" w14:textId="77777777" w:rsidTr="00F865A7">
        <w:tc>
          <w:tcPr>
            <w:tcW w:w="1577" w:type="pct"/>
          </w:tcPr>
          <w:p w14:paraId="3A76AFF7" w14:textId="7C436DD9" w:rsidR="0017005C" w:rsidRPr="00F8083B" w:rsidRDefault="0070330F" w:rsidP="0017005C">
            <w:r w:rsidRPr="00BD5DBD">
              <w:rPr>
                <w:i/>
                <w:szCs w:val="22"/>
              </w:rPr>
              <w:t>Pregnancy category:</w:t>
            </w:r>
          </w:p>
        </w:tc>
        <w:tc>
          <w:tcPr>
            <w:tcW w:w="3423" w:type="pct"/>
          </w:tcPr>
          <w:p w14:paraId="0C785BF9" w14:textId="77777777" w:rsidR="0049720D" w:rsidRDefault="00AE5DD4" w:rsidP="007967C3">
            <w:r>
              <w:t>C</w:t>
            </w:r>
          </w:p>
          <w:p w14:paraId="078AC7F8" w14:textId="5A4FC1AC" w:rsidR="0049720D" w:rsidRDefault="0049720D" w:rsidP="007967C3">
            <w:r w:rsidRPr="0049720D">
              <w:t xml:space="preserve">Drugs which, owing to their pharmacological effects, have caused or may be suspected of causing, harmful effects on the human </w:t>
            </w:r>
            <w:proofErr w:type="spellStart"/>
            <w:r w:rsidRPr="0049720D">
              <w:t>fetus</w:t>
            </w:r>
            <w:proofErr w:type="spellEnd"/>
            <w:r w:rsidRPr="0049720D">
              <w:t xml:space="preserve"> or neonate without causing malformations. These effects may be reversible. Accompanying texts should be consulted for further details.</w:t>
            </w:r>
          </w:p>
          <w:p w14:paraId="76497789" w14:textId="3714B595" w:rsidR="0017005C" w:rsidRPr="00BD5DBD" w:rsidRDefault="0070330F" w:rsidP="00306E72">
            <w:pPr>
              <w:rPr>
                <w:szCs w:val="22"/>
              </w:rPr>
            </w:pPr>
            <w:r w:rsidRPr="00BD5DBD">
              <w:rPr>
                <w:szCs w:val="22"/>
              </w:rPr>
              <w:t xml:space="preserve">The use of any medicine during pregnancy requires careful consideration of both risks and benefits by the treating health </w:t>
            </w:r>
            <w:r w:rsidRPr="00BD5DBD">
              <w:rPr>
                <w:szCs w:val="22"/>
              </w:rPr>
              <w:lastRenderedPageBreak/>
              <w:t xml:space="preserve">professional. </w:t>
            </w:r>
            <w:r w:rsidR="00721059">
              <w:rPr>
                <w:szCs w:val="22"/>
              </w:rPr>
              <w:t xml:space="preserve">The </w:t>
            </w:r>
            <w:hyperlink r:id="rId19" w:history="1">
              <w:r w:rsidR="00721059" w:rsidRPr="00065FDF">
                <w:rPr>
                  <w:rStyle w:val="Hyperlink"/>
                  <w:szCs w:val="22"/>
                </w:rPr>
                <w:t>pregnancy database</w:t>
              </w:r>
            </w:hyperlink>
            <w:r w:rsidR="00387984">
              <w:t xml:space="preserve"> </w:t>
            </w:r>
            <w:r w:rsidRPr="00BD5DBD">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20" w:history="1">
              <w:r w:rsidRPr="00C059D0">
                <w:rPr>
                  <w:rStyle w:val="Hyperlink"/>
                  <w:szCs w:val="22"/>
                </w:rPr>
                <w:t>obstetric drug information services</w:t>
              </w:r>
            </w:hyperlink>
            <w:r w:rsidRPr="00BD5DBD">
              <w:rPr>
                <w:szCs w:val="22"/>
              </w:rPr>
              <w:t xml:space="preserve"> in your </w:t>
            </w:r>
            <w:r w:rsidR="00306E72">
              <w:rPr>
                <w:szCs w:val="22"/>
              </w:rPr>
              <w:t>s</w:t>
            </w:r>
            <w:r w:rsidRPr="00BD5DBD">
              <w:rPr>
                <w:szCs w:val="22"/>
              </w:rPr>
              <w:t xml:space="preserve">tate or </w:t>
            </w:r>
            <w:r w:rsidR="00306E72">
              <w:rPr>
                <w:szCs w:val="22"/>
              </w:rPr>
              <w:t>t</w:t>
            </w:r>
            <w:r w:rsidRPr="00BD5DBD">
              <w:rPr>
                <w:szCs w:val="22"/>
              </w:rPr>
              <w:t>erritory.</w:t>
            </w:r>
          </w:p>
        </w:tc>
      </w:tr>
    </w:tbl>
    <w:p w14:paraId="51F2479F" w14:textId="1E34B277" w:rsidR="00324B33" w:rsidRDefault="00324B33" w:rsidP="00324B33">
      <w:pPr>
        <w:pStyle w:val="Heading3"/>
      </w:pPr>
      <w:bookmarkStart w:id="12" w:name="_Toc247691503"/>
      <w:bookmarkStart w:id="13" w:name="_Toc314842484"/>
      <w:bookmarkStart w:id="14" w:name="_Toc103679290"/>
      <w:bookmarkStart w:id="15" w:name="_Toc225166213"/>
      <w:r>
        <w:lastRenderedPageBreak/>
        <w:t>Product background</w:t>
      </w:r>
      <w:bookmarkEnd w:id="12"/>
      <w:bookmarkEnd w:id="13"/>
      <w:bookmarkEnd w:id="14"/>
      <w:bookmarkEnd w:id="15"/>
    </w:p>
    <w:p w14:paraId="59BF31D1" w14:textId="0434B282" w:rsidR="001500A8" w:rsidRDefault="00324B33" w:rsidP="00C71A77">
      <w:r w:rsidRPr="00065839">
        <w:t>This AusPAR describes the submission by</w:t>
      </w:r>
      <w:r w:rsidR="0018554F" w:rsidRPr="0018554F">
        <w:t xml:space="preserve"> Pfizer Australia Pty Ltd</w:t>
      </w:r>
      <w:r w:rsidR="0018554F">
        <w:t xml:space="preserve"> </w:t>
      </w:r>
      <w:r w:rsidRPr="00065839">
        <w:t xml:space="preserve">(the sponsor) to register </w:t>
      </w:r>
      <w:r w:rsidR="0018554F">
        <w:t xml:space="preserve">Ixifi (infliximab) </w:t>
      </w:r>
      <w:r w:rsidR="00944CF4">
        <w:t>100 mg, powder for injection, vial</w:t>
      </w:r>
      <w:r w:rsidRPr="00065839">
        <w:t xml:space="preserve"> for the following proposed indication:</w:t>
      </w:r>
      <w:r w:rsidR="00D63760" w:rsidRPr="00065839">
        <w:rPr>
          <w:vertAlign w:val="superscript"/>
        </w:rPr>
        <w:footnoteReference w:id="1"/>
      </w:r>
    </w:p>
    <w:p w14:paraId="193DD406" w14:textId="77777777" w:rsidR="00E3373A" w:rsidRPr="009765F8" w:rsidRDefault="00E3373A" w:rsidP="00CF7812">
      <w:pPr>
        <w:ind w:left="720"/>
        <w:rPr>
          <w:b/>
          <w:bCs/>
          <w:i/>
          <w:iCs/>
        </w:rPr>
      </w:pPr>
      <w:r w:rsidRPr="009765F8">
        <w:rPr>
          <w:b/>
          <w:bCs/>
          <w:i/>
          <w:iCs/>
        </w:rPr>
        <w:t>Rheumatoid Arthritis in adults</w:t>
      </w:r>
    </w:p>
    <w:p w14:paraId="198DE8AB" w14:textId="52AAD450" w:rsidR="00E3373A" w:rsidRPr="00E3373A" w:rsidRDefault="00E3373A" w:rsidP="00CF7812">
      <w:pPr>
        <w:ind w:left="720"/>
        <w:rPr>
          <w:i/>
          <w:iCs/>
        </w:rPr>
      </w:pPr>
      <w:r w:rsidRPr="00E3373A">
        <w:rPr>
          <w:i/>
          <w:iCs/>
        </w:rPr>
        <w:t>I</w:t>
      </w:r>
      <w:r w:rsidRPr="00CF7812">
        <w:rPr>
          <w:i/>
          <w:iCs/>
        </w:rPr>
        <w:t>xifi</w:t>
      </w:r>
      <w:r w:rsidRPr="00E3373A">
        <w:rPr>
          <w:i/>
          <w:iCs/>
        </w:rPr>
        <w:t>, in combination with methotrexate, is indicated for the reduction of signs and symptoms</w:t>
      </w:r>
      <w:r w:rsidR="00422719" w:rsidRPr="00CF7812">
        <w:rPr>
          <w:i/>
          <w:iCs/>
        </w:rPr>
        <w:t xml:space="preserve"> </w:t>
      </w:r>
      <w:r w:rsidRPr="00E3373A">
        <w:rPr>
          <w:i/>
          <w:iCs/>
        </w:rPr>
        <w:t>and prevention of structural joint damage (erosions and joint space narrowing) in:</w:t>
      </w:r>
    </w:p>
    <w:p w14:paraId="7423A3B0" w14:textId="71BCE049" w:rsidR="00E3373A" w:rsidRPr="00CF7812" w:rsidRDefault="00E3373A" w:rsidP="00CF7812">
      <w:pPr>
        <w:pStyle w:val="ListBullet"/>
        <w:ind w:left="1080"/>
        <w:rPr>
          <w:i/>
          <w:iCs/>
        </w:rPr>
      </w:pPr>
      <w:r w:rsidRPr="00CF7812">
        <w:rPr>
          <w:i/>
          <w:iCs/>
        </w:rPr>
        <w:t>patients with active disease despite treatment with methotrexate</w:t>
      </w:r>
    </w:p>
    <w:p w14:paraId="164B804A" w14:textId="5E46650A" w:rsidR="00E3373A" w:rsidRPr="00CF7812" w:rsidRDefault="00E3373A" w:rsidP="00CF7812">
      <w:pPr>
        <w:pStyle w:val="ListBullet"/>
        <w:ind w:left="1080"/>
        <w:rPr>
          <w:i/>
          <w:iCs/>
        </w:rPr>
      </w:pPr>
      <w:r w:rsidRPr="00CF7812">
        <w:rPr>
          <w:i/>
          <w:iCs/>
        </w:rPr>
        <w:t>patients with active disease who have not previously received methotrexate.</w:t>
      </w:r>
    </w:p>
    <w:p w14:paraId="3BC1633B" w14:textId="3DCFD474" w:rsidR="00E3373A" w:rsidRPr="00E3373A" w:rsidRDefault="00E3373A" w:rsidP="00CF7812">
      <w:pPr>
        <w:ind w:left="720"/>
        <w:rPr>
          <w:i/>
          <w:iCs/>
        </w:rPr>
      </w:pPr>
      <w:r w:rsidRPr="00E3373A">
        <w:rPr>
          <w:i/>
          <w:iCs/>
        </w:rPr>
        <w:t>I</w:t>
      </w:r>
      <w:r w:rsidRPr="00CF7812">
        <w:rPr>
          <w:i/>
          <w:iCs/>
        </w:rPr>
        <w:t>xifi</w:t>
      </w:r>
      <w:r w:rsidRPr="00E3373A">
        <w:rPr>
          <w:i/>
          <w:iCs/>
        </w:rPr>
        <w:t xml:space="preserve"> should be given in combination with methotrexate. Efficacy and safety in Rheumatoid</w:t>
      </w:r>
      <w:r w:rsidR="00422719" w:rsidRPr="00CF7812">
        <w:rPr>
          <w:i/>
          <w:iCs/>
        </w:rPr>
        <w:t xml:space="preserve"> </w:t>
      </w:r>
      <w:r w:rsidRPr="00E3373A">
        <w:rPr>
          <w:i/>
          <w:iCs/>
        </w:rPr>
        <w:t>Arthritis have been demonstrated only in combination with methotrexate.</w:t>
      </w:r>
    </w:p>
    <w:p w14:paraId="0508953F" w14:textId="77777777" w:rsidR="00E3373A" w:rsidRPr="00F734B0" w:rsidRDefault="00E3373A" w:rsidP="00CF7812">
      <w:pPr>
        <w:ind w:left="720"/>
        <w:rPr>
          <w:b/>
          <w:bCs/>
          <w:i/>
          <w:iCs/>
        </w:rPr>
      </w:pPr>
      <w:r w:rsidRPr="00F734B0">
        <w:rPr>
          <w:b/>
          <w:bCs/>
          <w:i/>
          <w:iCs/>
        </w:rPr>
        <w:t>Ankylosing Spondylitis</w:t>
      </w:r>
    </w:p>
    <w:p w14:paraId="2E39499C" w14:textId="7A740B4E" w:rsidR="00E3373A" w:rsidRPr="00E3373A" w:rsidRDefault="00E3373A" w:rsidP="00CF7812">
      <w:pPr>
        <w:ind w:left="720"/>
        <w:rPr>
          <w:i/>
          <w:iCs/>
        </w:rPr>
      </w:pPr>
      <w:r w:rsidRPr="00E3373A">
        <w:rPr>
          <w:i/>
          <w:iCs/>
        </w:rPr>
        <w:t>I</w:t>
      </w:r>
      <w:r w:rsidR="00422719" w:rsidRPr="00CF7812">
        <w:rPr>
          <w:i/>
          <w:iCs/>
        </w:rPr>
        <w:t>xifi</w:t>
      </w:r>
      <w:r w:rsidRPr="00E3373A">
        <w:rPr>
          <w:i/>
          <w:iCs/>
        </w:rPr>
        <w:t xml:space="preserve"> is indicated for the reduction of signs and symptoms and improvement in physical</w:t>
      </w:r>
      <w:r w:rsidR="00422719" w:rsidRPr="00CF7812">
        <w:rPr>
          <w:i/>
          <w:iCs/>
        </w:rPr>
        <w:t xml:space="preserve"> </w:t>
      </w:r>
      <w:r w:rsidRPr="00E3373A">
        <w:rPr>
          <w:i/>
          <w:iCs/>
        </w:rPr>
        <w:t>function in patients with active disease.</w:t>
      </w:r>
    </w:p>
    <w:p w14:paraId="66C9A176" w14:textId="77777777" w:rsidR="00E3373A" w:rsidRPr="00F734B0" w:rsidRDefault="00E3373A" w:rsidP="00CF7812">
      <w:pPr>
        <w:ind w:left="720"/>
        <w:rPr>
          <w:b/>
          <w:bCs/>
          <w:i/>
          <w:iCs/>
        </w:rPr>
      </w:pPr>
      <w:r w:rsidRPr="00F734B0">
        <w:rPr>
          <w:b/>
          <w:bCs/>
          <w:i/>
          <w:iCs/>
        </w:rPr>
        <w:t>Psoriatic arthritis</w:t>
      </w:r>
    </w:p>
    <w:p w14:paraId="482BAFD9" w14:textId="6B98EB55" w:rsidR="00E3373A" w:rsidRPr="00E3373A" w:rsidRDefault="00E3373A" w:rsidP="00CF7812">
      <w:pPr>
        <w:ind w:left="720"/>
        <w:rPr>
          <w:i/>
          <w:iCs/>
        </w:rPr>
      </w:pPr>
      <w:r w:rsidRPr="00E3373A">
        <w:rPr>
          <w:i/>
          <w:iCs/>
        </w:rPr>
        <w:t>I</w:t>
      </w:r>
      <w:r w:rsidR="00422719" w:rsidRPr="00CF7812">
        <w:rPr>
          <w:i/>
          <w:iCs/>
        </w:rPr>
        <w:t>xifi</w:t>
      </w:r>
      <w:r w:rsidRPr="00E3373A">
        <w:rPr>
          <w:i/>
          <w:iCs/>
        </w:rPr>
        <w:t xml:space="preserve"> is indicated for the treatment of the signs and symptoms, as well as for the improvement</w:t>
      </w:r>
      <w:r w:rsidR="00422719" w:rsidRPr="00CF7812">
        <w:rPr>
          <w:i/>
          <w:iCs/>
        </w:rPr>
        <w:t xml:space="preserve"> </w:t>
      </w:r>
      <w:r w:rsidRPr="00E3373A">
        <w:rPr>
          <w:i/>
          <w:iCs/>
        </w:rPr>
        <w:t>in physical function in adult patients with active and progressive psoriatic arthritis who have</w:t>
      </w:r>
      <w:r w:rsidR="00422719" w:rsidRPr="00CF7812">
        <w:rPr>
          <w:i/>
          <w:iCs/>
        </w:rPr>
        <w:t xml:space="preserve"> </w:t>
      </w:r>
      <w:r w:rsidRPr="00E3373A">
        <w:rPr>
          <w:i/>
          <w:iCs/>
        </w:rPr>
        <w:t>responded inadequately to disease-modifying anti-rheumatic drug (DMARD) therapy.</w:t>
      </w:r>
    </w:p>
    <w:p w14:paraId="4F0602AE" w14:textId="43718A09" w:rsidR="00E3373A" w:rsidRPr="00E3373A" w:rsidRDefault="00E3373A" w:rsidP="00CF7812">
      <w:pPr>
        <w:ind w:left="720"/>
        <w:rPr>
          <w:i/>
          <w:iCs/>
        </w:rPr>
      </w:pPr>
      <w:r w:rsidRPr="00E3373A">
        <w:rPr>
          <w:i/>
          <w:iCs/>
        </w:rPr>
        <w:t>I</w:t>
      </w:r>
      <w:r w:rsidR="00422719" w:rsidRPr="00CF7812">
        <w:rPr>
          <w:i/>
          <w:iCs/>
        </w:rPr>
        <w:t>xifi</w:t>
      </w:r>
      <w:r w:rsidRPr="00E3373A">
        <w:rPr>
          <w:i/>
          <w:iCs/>
        </w:rPr>
        <w:t xml:space="preserve"> may be administered in combination with methotrexate.</w:t>
      </w:r>
    </w:p>
    <w:p w14:paraId="34A1A7CD" w14:textId="77777777" w:rsidR="00E3373A" w:rsidRPr="00F734B0" w:rsidRDefault="00E3373A" w:rsidP="00CF7812">
      <w:pPr>
        <w:ind w:left="720"/>
        <w:rPr>
          <w:b/>
          <w:bCs/>
          <w:i/>
          <w:iCs/>
        </w:rPr>
      </w:pPr>
      <w:r w:rsidRPr="00F734B0">
        <w:rPr>
          <w:b/>
          <w:bCs/>
          <w:i/>
          <w:iCs/>
        </w:rPr>
        <w:t>Psoriasis</w:t>
      </w:r>
    </w:p>
    <w:p w14:paraId="1489C8E2" w14:textId="798EEB84" w:rsidR="00E3373A" w:rsidRPr="00E3373A" w:rsidRDefault="00E3373A" w:rsidP="00CF7812">
      <w:pPr>
        <w:ind w:left="720"/>
        <w:rPr>
          <w:i/>
          <w:iCs/>
        </w:rPr>
      </w:pPr>
      <w:r w:rsidRPr="00E3373A">
        <w:rPr>
          <w:i/>
          <w:iCs/>
        </w:rPr>
        <w:t>I</w:t>
      </w:r>
      <w:r w:rsidR="00422719" w:rsidRPr="00CF7812">
        <w:rPr>
          <w:i/>
          <w:iCs/>
        </w:rPr>
        <w:t>xifi</w:t>
      </w:r>
      <w:r w:rsidRPr="00E3373A">
        <w:rPr>
          <w:i/>
          <w:iCs/>
        </w:rPr>
        <w:t xml:space="preserve"> is indicated for the treatment of adult patients with moderate to severe plaque psoriasis</w:t>
      </w:r>
      <w:r w:rsidR="00422719" w:rsidRPr="00CF7812">
        <w:rPr>
          <w:i/>
          <w:iCs/>
        </w:rPr>
        <w:t xml:space="preserve"> </w:t>
      </w:r>
      <w:r w:rsidRPr="00E3373A">
        <w:rPr>
          <w:i/>
          <w:iCs/>
        </w:rPr>
        <w:t>for whom phototherapy or conventional systemic treatments have been inadequate or are</w:t>
      </w:r>
      <w:r w:rsidR="00422719" w:rsidRPr="00CF7812">
        <w:rPr>
          <w:i/>
          <w:iCs/>
        </w:rPr>
        <w:t xml:space="preserve"> </w:t>
      </w:r>
      <w:r w:rsidRPr="00E3373A">
        <w:rPr>
          <w:i/>
          <w:iCs/>
        </w:rPr>
        <w:t>inappropriate. Safety and efficacy beyond 12 months have not been established.</w:t>
      </w:r>
    </w:p>
    <w:p w14:paraId="04EC5501" w14:textId="53AEDBA8" w:rsidR="00E3373A" w:rsidRPr="00F734B0" w:rsidRDefault="00E3373A" w:rsidP="00CF7812">
      <w:pPr>
        <w:ind w:left="720"/>
        <w:rPr>
          <w:b/>
          <w:bCs/>
          <w:i/>
          <w:iCs/>
        </w:rPr>
      </w:pPr>
      <w:r w:rsidRPr="00F734B0">
        <w:rPr>
          <w:b/>
          <w:bCs/>
          <w:i/>
          <w:iCs/>
        </w:rPr>
        <w:t xml:space="preserve">Crohn’s Disease in </w:t>
      </w:r>
      <w:r w:rsidR="00525F22">
        <w:rPr>
          <w:b/>
          <w:bCs/>
          <w:i/>
          <w:iCs/>
        </w:rPr>
        <w:t>a</w:t>
      </w:r>
      <w:r w:rsidRPr="00F734B0">
        <w:rPr>
          <w:b/>
          <w:bCs/>
          <w:i/>
          <w:iCs/>
        </w:rPr>
        <w:t xml:space="preserve">dults and in </w:t>
      </w:r>
      <w:r w:rsidR="00525F22">
        <w:rPr>
          <w:b/>
          <w:bCs/>
          <w:i/>
          <w:iCs/>
        </w:rPr>
        <w:t>c</w:t>
      </w:r>
      <w:r w:rsidRPr="00F734B0">
        <w:rPr>
          <w:b/>
          <w:bCs/>
          <w:i/>
          <w:iCs/>
        </w:rPr>
        <w:t>hildren and adolescents (6 to 17 years)</w:t>
      </w:r>
    </w:p>
    <w:p w14:paraId="17DCA5C8" w14:textId="2EC861D5" w:rsidR="00E3373A" w:rsidRPr="00E3373A" w:rsidRDefault="00E3373A" w:rsidP="00CF7812">
      <w:pPr>
        <w:ind w:left="720"/>
        <w:rPr>
          <w:i/>
          <w:iCs/>
        </w:rPr>
      </w:pPr>
      <w:r w:rsidRPr="00E3373A">
        <w:rPr>
          <w:i/>
          <w:iCs/>
        </w:rPr>
        <w:t>I</w:t>
      </w:r>
      <w:r w:rsidR="00422719" w:rsidRPr="00CF7812">
        <w:rPr>
          <w:i/>
          <w:iCs/>
        </w:rPr>
        <w:t>xifi</w:t>
      </w:r>
      <w:r w:rsidRPr="00E3373A">
        <w:rPr>
          <w:i/>
          <w:iCs/>
        </w:rPr>
        <w:t xml:space="preserve"> is indicated for the treatment of moderate to severe Crohn’s disease, to reduce the signs</w:t>
      </w:r>
      <w:r w:rsidR="00422719" w:rsidRPr="00CF7812">
        <w:rPr>
          <w:i/>
          <w:iCs/>
        </w:rPr>
        <w:t xml:space="preserve"> </w:t>
      </w:r>
      <w:r w:rsidRPr="00E3373A">
        <w:rPr>
          <w:i/>
          <w:iCs/>
        </w:rPr>
        <w:t>and symptoms and to induce and maintain clinical remission in patients who have an</w:t>
      </w:r>
      <w:r w:rsidR="00422719" w:rsidRPr="00CF7812">
        <w:rPr>
          <w:i/>
          <w:iCs/>
        </w:rPr>
        <w:t xml:space="preserve"> </w:t>
      </w:r>
      <w:r w:rsidRPr="00E3373A">
        <w:rPr>
          <w:i/>
          <w:iCs/>
        </w:rPr>
        <w:t>inadequate response to conventional therapies.</w:t>
      </w:r>
    </w:p>
    <w:p w14:paraId="06D0A574" w14:textId="77777777" w:rsidR="00E3373A" w:rsidRPr="00F734B0" w:rsidRDefault="00E3373A" w:rsidP="00CF7812">
      <w:pPr>
        <w:ind w:left="720"/>
        <w:rPr>
          <w:b/>
          <w:bCs/>
          <w:i/>
          <w:iCs/>
        </w:rPr>
      </w:pPr>
      <w:r w:rsidRPr="00F734B0">
        <w:rPr>
          <w:b/>
          <w:bCs/>
          <w:i/>
          <w:iCs/>
        </w:rPr>
        <w:t>Refractory Fistulising Crohn’s Disease</w:t>
      </w:r>
    </w:p>
    <w:p w14:paraId="6A87F06E" w14:textId="38F5570C" w:rsidR="00E3373A" w:rsidRPr="00E3373A" w:rsidRDefault="00E3373A" w:rsidP="00CF7812">
      <w:pPr>
        <w:ind w:left="720"/>
        <w:rPr>
          <w:i/>
          <w:iCs/>
        </w:rPr>
      </w:pPr>
      <w:r w:rsidRPr="00E3373A">
        <w:rPr>
          <w:i/>
          <w:iCs/>
        </w:rPr>
        <w:t>I</w:t>
      </w:r>
      <w:r w:rsidR="00422719" w:rsidRPr="00CF7812">
        <w:rPr>
          <w:i/>
          <w:iCs/>
        </w:rPr>
        <w:t>xifi</w:t>
      </w:r>
      <w:r w:rsidRPr="00E3373A">
        <w:rPr>
          <w:i/>
          <w:iCs/>
        </w:rPr>
        <w:t xml:space="preserve"> is indicated for reducing the number of draining enterocutaneous and rectovaginal</w:t>
      </w:r>
      <w:r w:rsidR="00422719" w:rsidRPr="00CF7812">
        <w:rPr>
          <w:i/>
          <w:iCs/>
        </w:rPr>
        <w:t xml:space="preserve"> </w:t>
      </w:r>
      <w:r w:rsidRPr="00E3373A">
        <w:rPr>
          <w:i/>
          <w:iCs/>
        </w:rPr>
        <w:t>fistulas and maintaining fistula closure in adult patients.</w:t>
      </w:r>
    </w:p>
    <w:p w14:paraId="7C1FA3C5" w14:textId="4DE6F137" w:rsidR="00E3373A" w:rsidRPr="00F734B0" w:rsidRDefault="00E3373A" w:rsidP="00CF7812">
      <w:pPr>
        <w:ind w:left="720"/>
        <w:rPr>
          <w:b/>
          <w:bCs/>
          <w:i/>
          <w:iCs/>
        </w:rPr>
      </w:pPr>
      <w:r w:rsidRPr="00F734B0">
        <w:rPr>
          <w:b/>
          <w:bCs/>
          <w:i/>
          <w:iCs/>
        </w:rPr>
        <w:lastRenderedPageBreak/>
        <w:t xml:space="preserve">Ulcerative colitis in </w:t>
      </w:r>
      <w:r w:rsidR="00525F22">
        <w:rPr>
          <w:b/>
          <w:bCs/>
          <w:i/>
          <w:iCs/>
        </w:rPr>
        <w:t>a</w:t>
      </w:r>
      <w:r w:rsidRPr="00F734B0">
        <w:rPr>
          <w:b/>
          <w:bCs/>
          <w:i/>
          <w:iCs/>
        </w:rPr>
        <w:t xml:space="preserve">dults and in </w:t>
      </w:r>
      <w:r w:rsidR="00525F22">
        <w:rPr>
          <w:b/>
          <w:bCs/>
          <w:i/>
          <w:iCs/>
        </w:rPr>
        <w:t>c</w:t>
      </w:r>
      <w:r w:rsidRPr="00F734B0">
        <w:rPr>
          <w:b/>
          <w:bCs/>
          <w:i/>
          <w:iCs/>
        </w:rPr>
        <w:t>hildren and adolescents (6 to 17 years)</w:t>
      </w:r>
    </w:p>
    <w:p w14:paraId="527BAA90" w14:textId="6F5EBC1E" w:rsidR="008D302D" w:rsidRDefault="00E3373A" w:rsidP="008D302D">
      <w:pPr>
        <w:ind w:left="720"/>
        <w:rPr>
          <w:i/>
          <w:iCs/>
        </w:rPr>
      </w:pPr>
      <w:r w:rsidRPr="00E3373A">
        <w:rPr>
          <w:i/>
          <w:iCs/>
        </w:rPr>
        <w:t>I</w:t>
      </w:r>
      <w:r w:rsidR="00697DC7" w:rsidRPr="00CF7812">
        <w:rPr>
          <w:i/>
          <w:iCs/>
        </w:rPr>
        <w:t>xifi</w:t>
      </w:r>
      <w:r w:rsidRPr="00E3373A">
        <w:rPr>
          <w:i/>
          <w:iCs/>
        </w:rPr>
        <w:t xml:space="preserve"> is indicated for the treatment of moderately severe to severe active ulcerative colitis in</w:t>
      </w:r>
      <w:r w:rsidR="00697DC7" w:rsidRPr="00CF7812">
        <w:rPr>
          <w:i/>
          <w:iCs/>
        </w:rPr>
        <w:t xml:space="preserve"> </w:t>
      </w:r>
      <w:r w:rsidRPr="00CF7812">
        <w:rPr>
          <w:i/>
          <w:iCs/>
        </w:rPr>
        <w:t>patients who have had an inadequate response to conventional therapy.</w:t>
      </w:r>
    </w:p>
    <w:p w14:paraId="1E63A2AE" w14:textId="5FCD6C6F" w:rsidR="00CB6813" w:rsidRDefault="00005DFC" w:rsidP="00CB6813">
      <w:pPr>
        <w:pStyle w:val="Heading4"/>
      </w:pPr>
      <w:bookmarkStart w:id="16" w:name="_Toc225166214"/>
      <w:bookmarkStart w:id="17" w:name="_Toc314842485"/>
      <w:bookmarkStart w:id="18" w:name="_Toc247691504"/>
      <w:r>
        <w:t>D</w:t>
      </w:r>
      <w:r w:rsidR="00CB6813" w:rsidRPr="00C12D65">
        <w:t>isease</w:t>
      </w:r>
      <w:r w:rsidR="006428C5">
        <w:t xml:space="preserve"> or condition</w:t>
      </w:r>
      <w:bookmarkEnd w:id="16"/>
    </w:p>
    <w:p w14:paraId="6CB58737" w14:textId="45DABAA2" w:rsidR="001A341D" w:rsidRPr="001B63A7" w:rsidRDefault="003D0CAF" w:rsidP="00C71A77">
      <w:pPr>
        <w:rPr>
          <w:lang w:eastAsia="ja-JP"/>
        </w:rPr>
      </w:pPr>
      <w:r>
        <w:rPr>
          <w:lang w:eastAsia="ja-JP"/>
        </w:rPr>
        <w:t>Rheumatoid arthritis, ankylosing spondylitis, psoriatic arthritis, psoriasis, Crohn’s disease and ulcerative colitis are chronic inflammatory conditions.</w:t>
      </w:r>
    </w:p>
    <w:p w14:paraId="255E083A" w14:textId="77777777" w:rsidR="00CB6813" w:rsidRDefault="00CB6813" w:rsidP="00CB6813">
      <w:pPr>
        <w:pStyle w:val="Heading4"/>
      </w:pPr>
      <w:bookmarkStart w:id="19" w:name="_Toc225166215"/>
      <w:r>
        <w:t>Current treatment options</w:t>
      </w:r>
      <w:bookmarkEnd w:id="19"/>
    </w:p>
    <w:p w14:paraId="1C0F2F3B" w14:textId="223E1A60" w:rsidR="00517E89" w:rsidRDefault="00517E89" w:rsidP="00517E89">
      <w:r>
        <w:t>The treatment of rheumatoid arthritis include</w:t>
      </w:r>
      <w:r w:rsidR="00650BC1">
        <w:t>s</w:t>
      </w:r>
      <w:r>
        <w:t xml:space="preserve"> glucocorticoids and disease-modifying antirheumatic </w:t>
      </w:r>
      <w:r w:rsidRPr="00B04E01">
        <w:t>drugs (DMARDs)</w:t>
      </w:r>
      <w:r>
        <w:t xml:space="preserve"> which include conventional synthetic DMARDs (</w:t>
      </w:r>
      <w:proofErr w:type="spellStart"/>
      <w:r>
        <w:t>hydroxycholoroquine</w:t>
      </w:r>
      <w:proofErr w:type="spellEnd"/>
      <w:r>
        <w:t xml:space="preserve">, sulfasalazine, methotrexate, </w:t>
      </w:r>
      <w:proofErr w:type="spellStart"/>
      <w:r>
        <w:t>leuflunomide</w:t>
      </w:r>
      <w:proofErr w:type="spellEnd"/>
      <w:r>
        <w:t>), biologic DMARDs, and targeted synthetic DMARDs.</w:t>
      </w:r>
      <w:r w:rsidR="00B236CE">
        <w:t xml:space="preserve"> </w:t>
      </w:r>
      <w:r>
        <w:t>Biological drugs are usually used in moderate to severe disease, where other treatments are not suitable.</w:t>
      </w:r>
    </w:p>
    <w:p w14:paraId="548A6967" w14:textId="17677B76" w:rsidR="0047396E" w:rsidRDefault="0047396E" w:rsidP="00C71A77">
      <w:pPr>
        <w:rPr>
          <w:lang w:eastAsia="ja-JP"/>
        </w:rPr>
      </w:pPr>
      <w:r w:rsidRPr="00073E00">
        <w:rPr>
          <w:lang w:eastAsia="ja-JP"/>
        </w:rPr>
        <w:t xml:space="preserve">Infliximab is one of </w:t>
      </w:r>
      <w:proofErr w:type="gramStart"/>
      <w:r w:rsidRPr="00073E00">
        <w:rPr>
          <w:lang w:eastAsia="ja-JP"/>
        </w:rPr>
        <w:t>a number of</w:t>
      </w:r>
      <w:proofErr w:type="gramEnd"/>
      <w:r w:rsidRPr="00073E00">
        <w:rPr>
          <w:lang w:eastAsia="ja-JP"/>
        </w:rPr>
        <w:t xml:space="preserve"> treatments that are used in the management of rheumatoid arthritis, ankylosing spondylitis, psoriatic arthritis, psoriasis, Crohn’s disease and ulcerative colitis.</w:t>
      </w:r>
    </w:p>
    <w:p w14:paraId="5CFA8A47" w14:textId="697A65DE" w:rsidR="0047396E" w:rsidRDefault="0047396E" w:rsidP="0047396E">
      <w:pPr>
        <w:rPr>
          <w:lang w:eastAsia="ja-JP"/>
        </w:rPr>
      </w:pPr>
      <w:r>
        <w:rPr>
          <w:lang w:eastAsia="ja-JP"/>
        </w:rPr>
        <w:t>R</w:t>
      </w:r>
      <w:r w:rsidR="00261AD4">
        <w:rPr>
          <w:lang w:eastAsia="ja-JP"/>
        </w:rPr>
        <w:t>emicade</w:t>
      </w:r>
      <w:r>
        <w:rPr>
          <w:lang w:eastAsia="ja-JP"/>
        </w:rPr>
        <w:t>,</w:t>
      </w:r>
      <w:bookmarkStart w:id="20" w:name="_Ref221633988"/>
      <w:r w:rsidR="00525F22">
        <w:rPr>
          <w:rStyle w:val="FootnoteReference"/>
          <w:lang w:eastAsia="ja-JP"/>
        </w:rPr>
        <w:footnoteReference w:id="2"/>
      </w:r>
      <w:bookmarkEnd w:id="20"/>
      <w:r>
        <w:rPr>
          <w:lang w:eastAsia="ja-JP"/>
        </w:rPr>
        <w:t xml:space="preserve"> the innovator infliximab product, and the biosimilar infliximab products, </w:t>
      </w:r>
      <w:proofErr w:type="spellStart"/>
      <w:r>
        <w:rPr>
          <w:lang w:eastAsia="ja-JP"/>
        </w:rPr>
        <w:t>R</w:t>
      </w:r>
      <w:r w:rsidR="00261AD4">
        <w:rPr>
          <w:lang w:eastAsia="ja-JP"/>
        </w:rPr>
        <w:t>emsima</w:t>
      </w:r>
      <w:proofErr w:type="spellEnd"/>
      <w:r>
        <w:rPr>
          <w:lang w:eastAsia="ja-JP"/>
        </w:rPr>
        <w:t xml:space="preserve">, </w:t>
      </w:r>
      <w:proofErr w:type="spellStart"/>
      <w:r>
        <w:rPr>
          <w:lang w:eastAsia="ja-JP"/>
        </w:rPr>
        <w:t>I</w:t>
      </w:r>
      <w:r w:rsidR="00261AD4">
        <w:rPr>
          <w:lang w:eastAsia="ja-JP"/>
        </w:rPr>
        <w:t>nflectra</w:t>
      </w:r>
      <w:proofErr w:type="spellEnd"/>
      <w:r>
        <w:rPr>
          <w:lang w:eastAsia="ja-JP"/>
        </w:rPr>
        <w:t xml:space="preserve"> and </w:t>
      </w:r>
      <w:proofErr w:type="spellStart"/>
      <w:r>
        <w:rPr>
          <w:lang w:eastAsia="ja-JP"/>
        </w:rPr>
        <w:t>R</w:t>
      </w:r>
      <w:r w:rsidR="00261AD4">
        <w:rPr>
          <w:lang w:eastAsia="ja-JP"/>
        </w:rPr>
        <w:t>enflexis</w:t>
      </w:r>
      <w:proofErr w:type="spellEnd"/>
      <w:r>
        <w:rPr>
          <w:lang w:eastAsia="ja-JP"/>
        </w:rPr>
        <w:t xml:space="preserve"> are approved for use in the indications proposed for I</w:t>
      </w:r>
      <w:r w:rsidR="00261AD4">
        <w:rPr>
          <w:lang w:eastAsia="ja-JP"/>
        </w:rPr>
        <w:t>xifi</w:t>
      </w:r>
      <w:r>
        <w:rPr>
          <w:lang w:eastAsia="ja-JP"/>
        </w:rPr>
        <w:t>.</w:t>
      </w:r>
    </w:p>
    <w:p w14:paraId="37C47E09" w14:textId="14D3762D" w:rsidR="00CB6813" w:rsidRDefault="00CB6813" w:rsidP="00C71A77">
      <w:pPr>
        <w:pStyle w:val="Heading4"/>
      </w:pPr>
      <w:bookmarkStart w:id="21" w:name="_Toc225166216"/>
      <w:r w:rsidRPr="00C71A77">
        <w:t>Clinical</w:t>
      </w:r>
      <w:r w:rsidRPr="00DE1344">
        <w:t xml:space="preserve"> rational</w:t>
      </w:r>
      <w:r w:rsidR="0025785B">
        <w:t>e</w:t>
      </w:r>
      <w:bookmarkEnd w:id="21"/>
    </w:p>
    <w:p w14:paraId="2FD0D6A5" w14:textId="6B264497" w:rsidR="00070BC7" w:rsidRPr="00D94742" w:rsidRDefault="00070BC7" w:rsidP="00070BC7">
      <w:r w:rsidRPr="00D94742">
        <w:t xml:space="preserve">Infliximab is a tumour necrosis factor alpha (TNFα) inhibitor and is a monoclonal antibody. </w:t>
      </w:r>
      <w:r w:rsidR="00286B2E" w:rsidRPr="00D94742">
        <w:t xml:space="preserve">Ixifi is considered a new </w:t>
      </w:r>
      <w:r w:rsidRPr="00D94742">
        <w:t xml:space="preserve">biosimilar medicine. The innovator infliximab is </w:t>
      </w:r>
      <w:proofErr w:type="spellStart"/>
      <w:r w:rsidRPr="00D94742">
        <w:t>R</w:t>
      </w:r>
      <w:r w:rsidR="0026138F" w:rsidRPr="00D94742">
        <w:t>emicade</w:t>
      </w:r>
      <w:r w:rsidR="00BF5C98" w:rsidRPr="00D94742">
        <w:t>.</w:t>
      </w:r>
      <w:r w:rsidR="00BF5C98" w:rsidRPr="00D94742">
        <w:fldChar w:fldCharType="begin"/>
      </w:r>
      <w:r w:rsidR="00BF5C98" w:rsidRPr="00D94742">
        <w:instrText xml:space="preserve"> NOTEREF _Ref221633988 \f \h </w:instrText>
      </w:r>
      <w:r w:rsidR="00D94742">
        <w:instrText xml:space="preserve"> \* MERGEFORMAT </w:instrText>
      </w:r>
      <w:r w:rsidR="00BF5C98" w:rsidRPr="00D94742">
        <w:fldChar w:fldCharType="separate"/>
      </w:r>
      <w:r w:rsidR="002257B0" w:rsidRPr="002257B0">
        <w:rPr>
          <w:rStyle w:val="FootnoteReference"/>
        </w:rPr>
        <w:t>2</w:t>
      </w:r>
      <w:proofErr w:type="spellEnd"/>
      <w:r w:rsidR="00BF5C98" w:rsidRPr="00D94742">
        <w:fldChar w:fldCharType="end"/>
      </w:r>
    </w:p>
    <w:p w14:paraId="79C73B99" w14:textId="1F3007F1" w:rsidR="00070BC7" w:rsidRPr="007F656B" w:rsidRDefault="00BF5C98" w:rsidP="00C71A77">
      <w:r w:rsidRPr="00D94742">
        <w:t>Tumour necrosis factor (</w:t>
      </w:r>
      <w:r w:rsidR="00070BC7" w:rsidRPr="00D94742">
        <w:t>TNF</w:t>
      </w:r>
      <w:r w:rsidRPr="00D94742">
        <w:t>)</w:t>
      </w:r>
      <w:r w:rsidR="00070BC7" w:rsidRPr="00D94742">
        <w:t xml:space="preserve"> signalling has been implicated in the pathogenesis of chronic inflammatory conditions, and elevated concentrations of TNF have been found in involved tissues and fluids of patients with</w:t>
      </w:r>
      <w:r w:rsidR="00070BC7" w:rsidRPr="007F656B">
        <w:t xml:space="preserve"> various autoimmune conditions</w:t>
      </w:r>
      <w:r w:rsidR="004114BD">
        <w:t>.</w:t>
      </w:r>
      <w:r w:rsidR="00070BC7" w:rsidRPr="007F656B">
        <w:t xml:space="preserve"> In these conditions, TNF expression is high, predominantly from immune cells. Infliximab has been shown to be efficacious in rheumatoid arthritis, ankylosing spondylitis, psoriatic arthritis, psoriasis, Crohn’s disease and ulcerative colitis.</w:t>
      </w:r>
    </w:p>
    <w:p w14:paraId="6B465D9B" w14:textId="4B0AB375" w:rsidR="00070BC7" w:rsidRPr="007F656B" w:rsidRDefault="00070BC7" w:rsidP="00070BC7">
      <w:r w:rsidRPr="007F656B">
        <w:t>The proposed dosage form of I</w:t>
      </w:r>
      <w:r w:rsidR="004114BD">
        <w:t>xifi</w:t>
      </w:r>
      <w:r w:rsidRPr="007F656B">
        <w:t xml:space="preserve"> (powder for injection), strength (100</w:t>
      </w:r>
      <w:r w:rsidR="004114BD">
        <w:t> </w:t>
      </w:r>
      <w:r w:rsidRPr="007F656B">
        <w:t>mg) and concentration after reconstitution (10</w:t>
      </w:r>
      <w:r w:rsidR="004114BD">
        <w:t> </w:t>
      </w:r>
      <w:r w:rsidRPr="007F656B">
        <w:t>mg/mL) are consistent with the dosage form, strength, and concentration after reconstitution of the innovator infliximab R</w:t>
      </w:r>
      <w:r w:rsidR="004114BD">
        <w:t>emicade</w:t>
      </w:r>
      <w:r w:rsidRPr="007F656B">
        <w:t>.</w:t>
      </w:r>
    </w:p>
    <w:p w14:paraId="0581FB6C" w14:textId="17AA6790" w:rsidR="00070BC7" w:rsidRDefault="00070BC7" w:rsidP="00070BC7">
      <w:r w:rsidRPr="007F656B">
        <w:t xml:space="preserve">There have been other biosimilars to infliximab that have been approved in Australia for marketing authorisation. These are </w:t>
      </w:r>
      <w:proofErr w:type="spellStart"/>
      <w:r w:rsidRPr="007F656B">
        <w:t>R</w:t>
      </w:r>
      <w:r w:rsidR="00962690">
        <w:t>emsima</w:t>
      </w:r>
      <w:proofErr w:type="spellEnd"/>
      <w:r w:rsidRPr="007F656B">
        <w:t xml:space="preserve">, </w:t>
      </w:r>
      <w:proofErr w:type="spellStart"/>
      <w:r w:rsidRPr="007F656B">
        <w:t>I</w:t>
      </w:r>
      <w:r w:rsidR="00962690">
        <w:t>nflectra</w:t>
      </w:r>
      <w:proofErr w:type="spellEnd"/>
      <w:r w:rsidRPr="007F656B">
        <w:t xml:space="preserve"> and </w:t>
      </w:r>
      <w:proofErr w:type="spellStart"/>
      <w:r w:rsidRPr="007F656B">
        <w:t>R</w:t>
      </w:r>
      <w:r w:rsidR="00962690">
        <w:t>enflexis</w:t>
      </w:r>
      <w:proofErr w:type="spellEnd"/>
      <w:r w:rsidRPr="007F656B">
        <w:t>.</w:t>
      </w:r>
    </w:p>
    <w:p w14:paraId="762C647D" w14:textId="0C8512A0" w:rsidR="00DC139B" w:rsidRPr="00C71A77" w:rsidRDefault="00861E8F" w:rsidP="00C71A77">
      <w:r w:rsidRPr="007072AD">
        <w:t xml:space="preserve">The availability of </w:t>
      </w:r>
      <w:proofErr w:type="gramStart"/>
      <w:r w:rsidRPr="007072AD">
        <w:t>a number of</w:t>
      </w:r>
      <w:proofErr w:type="gramEnd"/>
      <w:r w:rsidRPr="007072AD">
        <w:t xml:space="preserve"> </w:t>
      </w:r>
      <w:r w:rsidRPr="007072AD">
        <w:rPr>
          <w:lang w:eastAsia="ja-JP"/>
        </w:rPr>
        <w:t xml:space="preserve">infliximab products on the Australian Register of Therapeutic Goods </w:t>
      </w:r>
      <w:r w:rsidR="00F742BE">
        <w:rPr>
          <w:lang w:eastAsia="ja-JP"/>
        </w:rPr>
        <w:t>(</w:t>
      </w:r>
      <w:r w:rsidR="00F742BE" w:rsidRPr="00D94742">
        <w:rPr>
          <w:lang w:eastAsia="ja-JP"/>
        </w:rPr>
        <w:t>ARTG</w:t>
      </w:r>
      <w:r w:rsidR="00F742BE">
        <w:rPr>
          <w:lang w:eastAsia="ja-JP"/>
        </w:rPr>
        <w:t xml:space="preserve">) </w:t>
      </w:r>
      <w:r w:rsidRPr="007072AD">
        <w:rPr>
          <w:lang w:eastAsia="ja-JP"/>
        </w:rPr>
        <w:t>will enable ongoing access to treatment if the supply of one or more products is disrupted.</w:t>
      </w:r>
    </w:p>
    <w:p w14:paraId="0D615854" w14:textId="77777777" w:rsidR="00324B33" w:rsidRPr="003F31A2" w:rsidRDefault="00324B33" w:rsidP="00324B33">
      <w:pPr>
        <w:pStyle w:val="Heading3"/>
      </w:pPr>
      <w:bookmarkStart w:id="22" w:name="_Toc103679291"/>
      <w:bookmarkStart w:id="23" w:name="_Toc225166217"/>
      <w:r>
        <w:lastRenderedPageBreak/>
        <w:t>Regulatory status</w:t>
      </w:r>
      <w:bookmarkEnd w:id="17"/>
      <w:bookmarkEnd w:id="18"/>
      <w:bookmarkEnd w:id="22"/>
      <w:bookmarkEnd w:id="23"/>
    </w:p>
    <w:p w14:paraId="72C889D6" w14:textId="7E200950" w:rsidR="0017005C" w:rsidRPr="00BD5DBD" w:rsidRDefault="0017005C" w:rsidP="00741AB9">
      <w:pPr>
        <w:pStyle w:val="Heading4"/>
      </w:pPr>
      <w:bookmarkStart w:id="24" w:name="_Toc225166218"/>
      <w:r w:rsidRPr="00BD5DBD">
        <w:t>Australian regulatory</w:t>
      </w:r>
      <w:r>
        <w:t xml:space="preserve"> sta</w:t>
      </w:r>
      <w:r w:rsidR="0025785B">
        <w:t>t</w:t>
      </w:r>
      <w:r>
        <w:t>us</w:t>
      </w:r>
      <w:bookmarkEnd w:id="24"/>
    </w:p>
    <w:p w14:paraId="6A8633FA" w14:textId="20B60ABD" w:rsidR="00324B33" w:rsidRPr="00750CBA" w:rsidRDefault="00324B33" w:rsidP="003A4047">
      <w:pPr>
        <w:tabs>
          <w:tab w:val="right" w:pos="9070"/>
        </w:tabs>
      </w:pPr>
      <w:r w:rsidRPr="00750CBA">
        <w:t xml:space="preserve">This product is considered a </w:t>
      </w:r>
      <w:r w:rsidR="00F742BE" w:rsidRPr="00750CBA">
        <w:t xml:space="preserve">new </w:t>
      </w:r>
      <w:r w:rsidRPr="00750CBA">
        <w:t>biosimilar medicine for Australian regulatory purposes</w:t>
      </w:r>
      <w:r w:rsidR="003A4047">
        <w:t>.</w:t>
      </w:r>
    </w:p>
    <w:p w14:paraId="32667228" w14:textId="50FC0DF2" w:rsidR="002A5227" w:rsidRPr="00750CBA" w:rsidRDefault="002A5227" w:rsidP="00C71A77">
      <w:r w:rsidRPr="00750CBA">
        <w:t>The innovator infliximab product, R</w:t>
      </w:r>
      <w:r w:rsidR="00F742BE" w:rsidRPr="00750CBA">
        <w:t>emicade</w:t>
      </w:r>
      <w:r w:rsidRPr="00750CBA">
        <w:t>, was first approved in Australia on 2 August 2000. Currently approved indications pertain to rheumatoid arthritis, ankylosing spondylitis, psoriatic arthritis, psoriasis, Crohn’s disease and ulcerative colitis.</w:t>
      </w:r>
    </w:p>
    <w:p w14:paraId="1F364705" w14:textId="380DDDE8" w:rsidR="002A5227" w:rsidRPr="00750CBA" w:rsidRDefault="002A5227" w:rsidP="00750CBA">
      <w:r w:rsidRPr="00750CBA">
        <w:t>I</w:t>
      </w:r>
      <w:r w:rsidR="00E653F4" w:rsidRPr="00750CBA">
        <w:t>xifi</w:t>
      </w:r>
      <w:r w:rsidRPr="00750CBA">
        <w:t xml:space="preserve"> has not appeared in the ARTG previously.</w:t>
      </w:r>
    </w:p>
    <w:p w14:paraId="546C1031" w14:textId="4EF98FA1" w:rsidR="0017005C" w:rsidRDefault="00131B1B" w:rsidP="0017005C">
      <w:pPr>
        <w:pStyle w:val="Heading4"/>
      </w:pPr>
      <w:bookmarkStart w:id="25" w:name="_Toc225166219"/>
      <w:r>
        <w:t xml:space="preserve">International </w:t>
      </w:r>
      <w:r w:rsidR="0017005C" w:rsidRPr="00BD5DBD">
        <w:t>regulatory</w:t>
      </w:r>
      <w:r w:rsidR="0017005C">
        <w:t xml:space="preserve"> status</w:t>
      </w:r>
      <w:bookmarkEnd w:id="25"/>
    </w:p>
    <w:p w14:paraId="02E90E03" w14:textId="1319AD11" w:rsidR="008F4A62" w:rsidRPr="00C71A77" w:rsidRDefault="008F4A62" w:rsidP="00C71A77">
      <w:r w:rsidRPr="00BD5DBD">
        <w:t xml:space="preserve">At the time the TGA considered this submission, a similar submission had been approved in </w:t>
      </w:r>
      <w:r w:rsidR="001D77BA">
        <w:t>the United States of America (</w:t>
      </w:r>
      <w:r w:rsidR="001D77BA" w:rsidRPr="008F7871">
        <w:t>USA</w:t>
      </w:r>
      <w:r w:rsidR="001D77BA">
        <w:t>) o</w:t>
      </w:r>
      <w:r w:rsidRPr="00BD5DBD">
        <w:t xml:space="preserve">n </w:t>
      </w:r>
      <w:r w:rsidR="001D77BA">
        <w:t>13</w:t>
      </w:r>
      <w:r w:rsidR="007F00FA">
        <w:t> </w:t>
      </w:r>
      <w:r w:rsidR="001D77BA">
        <w:t>December</w:t>
      </w:r>
      <w:r w:rsidR="007F00FA">
        <w:t> </w:t>
      </w:r>
      <w:r w:rsidR="001D77BA">
        <w:t>2017</w:t>
      </w:r>
      <w:r w:rsidR="00750CBA">
        <w:t xml:space="preserve">, </w:t>
      </w:r>
      <w:r w:rsidR="001D77BA">
        <w:t xml:space="preserve">Canada on </w:t>
      </w:r>
      <w:r w:rsidR="00AD78EF">
        <w:t>21</w:t>
      </w:r>
      <w:r w:rsidR="007F00FA">
        <w:t> </w:t>
      </w:r>
      <w:r w:rsidR="00AD78EF">
        <w:t>December</w:t>
      </w:r>
      <w:r w:rsidR="007F00FA">
        <w:t> </w:t>
      </w:r>
      <w:r w:rsidR="00AD78EF">
        <w:t>2021, Japan on 2</w:t>
      </w:r>
      <w:r w:rsidR="007F00FA">
        <w:t> </w:t>
      </w:r>
      <w:r w:rsidR="00AD78EF">
        <w:t>July</w:t>
      </w:r>
      <w:r w:rsidR="007F00FA">
        <w:t> </w:t>
      </w:r>
      <w:r w:rsidR="00AD78EF">
        <w:t>2018 and Singapore on 3</w:t>
      </w:r>
      <w:r w:rsidR="007F00FA">
        <w:t> </w:t>
      </w:r>
      <w:r w:rsidR="00AD78EF">
        <w:t>June</w:t>
      </w:r>
      <w:r w:rsidR="007F00FA">
        <w:t> </w:t>
      </w:r>
      <w:r w:rsidR="00AD78EF">
        <w:t>2020</w:t>
      </w:r>
      <w:r w:rsidRPr="00BD5DBD">
        <w:t>.</w:t>
      </w:r>
    </w:p>
    <w:p w14:paraId="6D92589C" w14:textId="36BAB4BA" w:rsidR="00324B33" w:rsidRDefault="00324B33" w:rsidP="00C71A77">
      <w:pPr>
        <w:pStyle w:val="Heading2"/>
      </w:pPr>
      <w:bookmarkStart w:id="26" w:name="_Toc504480011"/>
      <w:bookmarkStart w:id="27" w:name="_Toc103679293"/>
      <w:bookmarkStart w:id="28" w:name="_Toc225166220"/>
      <w:r>
        <w:t>Registration timeline</w:t>
      </w:r>
      <w:bookmarkEnd w:id="26"/>
      <w:bookmarkEnd w:id="27"/>
      <w:bookmarkEnd w:id="28"/>
    </w:p>
    <w:p w14:paraId="225E3D87" w14:textId="1F3070CE" w:rsidR="00324B33" w:rsidRPr="00BD5DBD" w:rsidRDefault="00324B33" w:rsidP="00C71A77">
      <w:r w:rsidRPr="00BD5DBD">
        <w:t>The following table captures the key steps and dates for this submission.</w:t>
      </w:r>
    </w:p>
    <w:p w14:paraId="6BB76942" w14:textId="45881F17" w:rsidR="00477C4E" w:rsidRPr="00BD5DBD" w:rsidRDefault="00477C4E" w:rsidP="00324B33">
      <w:pPr>
        <w:rPr>
          <w:szCs w:val="22"/>
        </w:rPr>
      </w:pPr>
      <w:r w:rsidRPr="00BD5DBD">
        <w:rPr>
          <w:szCs w:val="22"/>
        </w:rPr>
        <w:t xml:space="preserve">This submission was evaluated under the </w:t>
      </w:r>
      <w:hyperlink r:id="rId21" w:history="1">
        <w:r w:rsidRPr="00BD5DBD">
          <w:rPr>
            <w:rStyle w:val="Hyperlink"/>
            <w:szCs w:val="22"/>
          </w:rPr>
          <w:t>standard prescription medicines registration process</w:t>
        </w:r>
      </w:hyperlink>
      <w:r w:rsidRPr="00BD5DBD">
        <w:rPr>
          <w:szCs w:val="22"/>
        </w:rPr>
        <w:t>.</w:t>
      </w:r>
    </w:p>
    <w:p w14:paraId="44628C5F" w14:textId="2108E7BF" w:rsidR="00324B33" w:rsidRDefault="00324B33" w:rsidP="00C71A77">
      <w:pPr>
        <w:pStyle w:val="TableTitle"/>
      </w:pPr>
      <w:r w:rsidRPr="002C1232">
        <w:t xml:space="preserve">Table </w:t>
      </w:r>
      <w:r w:rsidR="007F1E37">
        <w:fldChar w:fldCharType="begin"/>
      </w:r>
      <w:r w:rsidR="007F1E37">
        <w:instrText xml:space="preserve"> SEQ Table \* ARABIC </w:instrText>
      </w:r>
      <w:r w:rsidR="007F1E37">
        <w:fldChar w:fldCharType="separate"/>
      </w:r>
      <w:r w:rsidR="002257B0">
        <w:rPr>
          <w:noProof/>
        </w:rPr>
        <w:t>1</w:t>
      </w:r>
      <w:r w:rsidR="007F1E37">
        <w:fldChar w:fldCharType="end"/>
      </w:r>
      <w:r w:rsidRPr="002C1232">
        <w:t xml:space="preserve">: Timeline for </w:t>
      </w:r>
      <w:r w:rsidRPr="00C71A77">
        <w:t>Submission</w:t>
      </w:r>
      <w:r w:rsidRPr="002C1232">
        <w:t xml:space="preserve"> </w:t>
      </w:r>
      <w:r w:rsidR="00F8047F" w:rsidRPr="005B1A39">
        <w:t>PM-2023-04183-1-3</w:t>
      </w:r>
    </w:p>
    <w:tbl>
      <w:tblPr>
        <w:tblStyle w:val="TableTGAblue2023"/>
        <w:tblW w:w="8642" w:type="dxa"/>
        <w:tblLook w:val="04A0" w:firstRow="1" w:lastRow="0" w:firstColumn="1" w:lastColumn="0" w:noHBand="0" w:noVBand="1"/>
      </w:tblPr>
      <w:tblGrid>
        <w:gridCol w:w="5665"/>
        <w:gridCol w:w="2977"/>
      </w:tblGrid>
      <w:tr w:rsidR="00324B33" w:rsidRPr="00D01DDB" w14:paraId="6C59BE9C" w14:textId="77777777" w:rsidTr="000D7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6D80E78" w14:textId="3EC0CCAF" w:rsidR="00324B33" w:rsidRPr="00D01DDB" w:rsidRDefault="00324B33" w:rsidP="00324B33">
            <w:pPr>
              <w:rPr>
                <w:szCs w:val="22"/>
              </w:rPr>
            </w:pPr>
            <w:r w:rsidRPr="00D01DDB">
              <w:rPr>
                <w:szCs w:val="22"/>
              </w:rPr>
              <w:t>Description</w:t>
            </w:r>
          </w:p>
        </w:tc>
        <w:tc>
          <w:tcPr>
            <w:tcW w:w="2977"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23610C53"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59D2A12" w14:textId="0D705F83" w:rsidR="00324B33" w:rsidRPr="00E679D1" w:rsidRDefault="00324B33" w:rsidP="00E679D1">
            <w:r w:rsidRPr="00E679D1">
              <w:t>Submission dossier accepted and first round evaluation commenced</w:t>
            </w:r>
          </w:p>
        </w:tc>
        <w:tc>
          <w:tcPr>
            <w:tcW w:w="2977" w:type="dxa"/>
          </w:tcPr>
          <w:p w14:paraId="2963D9D8" w14:textId="586EE527" w:rsidR="00324B33" w:rsidRPr="00D01DDB" w:rsidRDefault="006667EA"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31 October 2023</w:t>
            </w:r>
          </w:p>
        </w:tc>
      </w:tr>
      <w:tr w:rsidR="00803926" w:rsidRPr="00D01DDB" w14:paraId="16D13F79"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6858B45A" w14:textId="47FE4E69" w:rsidR="00803926" w:rsidRPr="00E679D1" w:rsidDel="00C62B1C" w:rsidRDefault="00803926" w:rsidP="00E679D1">
            <w:r>
              <w:t>Evaluation completed</w:t>
            </w:r>
          </w:p>
        </w:tc>
        <w:tc>
          <w:tcPr>
            <w:tcW w:w="2977" w:type="dxa"/>
          </w:tcPr>
          <w:p w14:paraId="2E0BD403" w14:textId="25DFD3EA" w:rsidR="00803926" w:rsidRPr="00D01DDB" w:rsidRDefault="00B24CBB"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 August</w:t>
            </w:r>
            <w:r w:rsidR="009C60C3">
              <w:rPr>
                <w:szCs w:val="22"/>
              </w:rPr>
              <w:t> 2024</w:t>
            </w:r>
          </w:p>
        </w:tc>
      </w:tr>
      <w:tr w:rsidR="00324B33" w:rsidRPr="00D01DDB" w14:paraId="6E5D32FE"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4E95C44C" w14:textId="7A91C710" w:rsidR="00324B33" w:rsidRPr="00E679D1" w:rsidRDefault="00324B33" w:rsidP="00CD2E04">
            <w:r w:rsidRPr="00E679D1">
              <w:t>Registration decision (Outcome)</w:t>
            </w:r>
          </w:p>
        </w:tc>
        <w:tc>
          <w:tcPr>
            <w:tcW w:w="2977" w:type="dxa"/>
          </w:tcPr>
          <w:p w14:paraId="62987ABD" w14:textId="7FFBD71C" w:rsidR="00324B33" w:rsidRPr="00D01DDB" w:rsidRDefault="00AD5A8B"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20 September 2024</w:t>
            </w:r>
          </w:p>
        </w:tc>
      </w:tr>
      <w:tr w:rsidR="00324B33" w:rsidRPr="00D01DDB" w14:paraId="6DDCDDA4"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192FD19D" w14:textId="1FB97D66" w:rsidR="00324B33" w:rsidRPr="00E679D1" w:rsidRDefault="00C00844" w:rsidP="00CD2E04">
            <w:r>
              <w:t>R</w:t>
            </w:r>
            <w:r w:rsidR="0013132F" w:rsidRPr="00E679D1">
              <w:t xml:space="preserve">egistration </w:t>
            </w:r>
            <w:r w:rsidR="005C4B46" w:rsidRPr="00E679D1">
              <w:t xml:space="preserve">in </w:t>
            </w:r>
            <w:r w:rsidR="0013132F" w:rsidRPr="00E679D1">
              <w:t>the ARTG completed</w:t>
            </w:r>
          </w:p>
        </w:tc>
        <w:tc>
          <w:tcPr>
            <w:tcW w:w="2977" w:type="dxa"/>
          </w:tcPr>
          <w:p w14:paraId="5A8923FD" w14:textId="33752BFE" w:rsidR="00324B33" w:rsidRPr="00D01DDB" w:rsidRDefault="00AD5A8B"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27 September 2024</w:t>
            </w:r>
          </w:p>
        </w:tc>
      </w:tr>
      <w:tr w:rsidR="00324B33" w:rsidRPr="00D01DDB" w14:paraId="56D922E2"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87FD8DD" w14:textId="0E0CF97F" w:rsidR="00324B33" w:rsidRPr="00E679D1" w:rsidRDefault="00324B33" w:rsidP="00E679D1">
            <w:r w:rsidRPr="00E679D1">
              <w:t>Number of working days from submission dossier acceptance to registration decision*</w:t>
            </w:r>
          </w:p>
        </w:tc>
        <w:tc>
          <w:tcPr>
            <w:tcW w:w="2977" w:type="dxa"/>
          </w:tcPr>
          <w:p w14:paraId="5BAF9FA1" w14:textId="13323902" w:rsidR="00324B33" w:rsidRPr="00D01DDB" w:rsidRDefault="00BB2106"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153</w:t>
            </w:r>
          </w:p>
        </w:tc>
      </w:tr>
    </w:tbl>
    <w:p w14:paraId="7B02554C" w14:textId="77777777" w:rsidR="00433318" w:rsidRDefault="00433318" w:rsidP="00433318">
      <w:pPr>
        <w:pStyle w:val="TableDescription"/>
      </w:pPr>
      <w:r>
        <w:t>*</w:t>
      </w:r>
      <w:r w:rsidRPr="00BF3774">
        <w:t xml:space="preserve">Statutory </w:t>
      </w:r>
      <w:r>
        <w:t>timeframe for standard submissions is 255 working days</w:t>
      </w:r>
    </w:p>
    <w:p w14:paraId="220925F1" w14:textId="1F3233DE" w:rsidR="00C22214" w:rsidRPr="00792A32" w:rsidRDefault="00083763" w:rsidP="00C71A77">
      <w:pPr>
        <w:pStyle w:val="Heading2"/>
      </w:pPr>
      <w:bookmarkStart w:id="29" w:name="_Toc196046504"/>
      <w:bookmarkStart w:id="30" w:name="_Toc247691527"/>
      <w:bookmarkStart w:id="31" w:name="_Toc314842510"/>
      <w:bookmarkStart w:id="32" w:name="_Toc103679294"/>
      <w:bookmarkStart w:id="33" w:name="_Toc225166221"/>
      <w:r>
        <w:t xml:space="preserve">Assessment </w:t>
      </w:r>
      <w:r w:rsidR="00C22214" w:rsidRPr="00C71A77">
        <w:t>overview</w:t>
      </w:r>
      <w:bookmarkEnd w:id="29"/>
      <w:bookmarkEnd w:id="30"/>
      <w:bookmarkEnd w:id="31"/>
      <w:bookmarkEnd w:id="32"/>
      <w:bookmarkEnd w:id="33"/>
    </w:p>
    <w:p w14:paraId="540151FC" w14:textId="77777777" w:rsidR="00C22214" w:rsidRPr="00BD5DBD" w:rsidRDefault="00C22214" w:rsidP="00C71A77">
      <w:bookmarkStart w:id="34" w:name="_Toc247691528"/>
      <w:bookmarkStart w:id="35" w:name="_Toc314842511"/>
      <w:r w:rsidRPr="00BD5DBD">
        <w:t>A summary of the TGA’s assessment for this submission is provided below.</w:t>
      </w:r>
    </w:p>
    <w:p w14:paraId="668E3E84" w14:textId="5253D474" w:rsidR="007072A1" w:rsidRPr="00C71A77" w:rsidRDefault="007072A1" w:rsidP="00966EF1">
      <w:r w:rsidRPr="00BD5DBD">
        <w:rPr>
          <w:szCs w:val="22"/>
        </w:rPr>
        <w:t>Relevant guidelines or guidance documents referred to by the Delegate are listed below:</w:t>
      </w:r>
    </w:p>
    <w:p w14:paraId="2557B423" w14:textId="772735FB" w:rsidR="004B5BAF" w:rsidRDefault="004B5BAF" w:rsidP="004B5BAF">
      <w:pPr>
        <w:pStyle w:val="ListBullet"/>
      </w:pPr>
      <w:r>
        <w:t xml:space="preserve">TGA: </w:t>
      </w:r>
      <w:hyperlink r:id="rId22" w:history="1">
        <w:r w:rsidRPr="00B664E9">
          <w:rPr>
            <w:rStyle w:val="Hyperlink"/>
          </w:rPr>
          <w:t>Guideline on biosimilar medicines regulation by Australian Government Department of Health</w:t>
        </w:r>
      </w:hyperlink>
      <w:r>
        <w:t>, Version 2.2.</w:t>
      </w:r>
    </w:p>
    <w:p w14:paraId="30A678F5" w14:textId="04A3E34F" w:rsidR="004B5BAF" w:rsidRDefault="004B5BAF" w:rsidP="004B5BAF">
      <w:pPr>
        <w:pStyle w:val="ListBullet"/>
        <w:numPr>
          <w:ilvl w:val="0"/>
          <w:numId w:val="0"/>
        </w:numPr>
        <w:ind w:left="360"/>
      </w:pPr>
      <w:r>
        <w:t>Last updated April 2018</w:t>
      </w:r>
      <w:r w:rsidR="00BA2803">
        <w:t>.</w:t>
      </w:r>
    </w:p>
    <w:p w14:paraId="3C65CF41" w14:textId="07F32D88" w:rsidR="00E23E18" w:rsidRDefault="00E23E18" w:rsidP="00E23E18">
      <w:pPr>
        <w:pStyle w:val="ListBullet"/>
      </w:pPr>
      <w:r>
        <w:t xml:space="preserve">EMA: </w:t>
      </w:r>
      <w:hyperlink r:id="rId23" w:history="1">
        <w:r w:rsidRPr="00382669">
          <w:rPr>
            <w:rStyle w:val="Hyperlink"/>
          </w:rPr>
          <w:t>Guideline on similar biological medicinal products</w:t>
        </w:r>
      </w:hyperlink>
      <w:r>
        <w:t>. (CHMP/437/04 Rev. 1).</w:t>
      </w:r>
    </w:p>
    <w:p w14:paraId="28CCC429" w14:textId="4A10E166" w:rsidR="00E23E18" w:rsidRDefault="00E23E18" w:rsidP="00E23E18">
      <w:pPr>
        <w:pStyle w:val="ListBullet"/>
        <w:numPr>
          <w:ilvl w:val="0"/>
          <w:numId w:val="0"/>
        </w:numPr>
        <w:ind w:left="360"/>
      </w:pPr>
      <w:r>
        <w:t xml:space="preserve">TGA-adopted, effective </w:t>
      </w:r>
      <w:r w:rsidRPr="00382669">
        <w:t>date: 25 May 2015</w:t>
      </w:r>
      <w:r w:rsidR="00BA2803">
        <w:t>.</w:t>
      </w:r>
    </w:p>
    <w:p w14:paraId="45357CF6" w14:textId="35FF438B" w:rsidR="00300B0E" w:rsidRDefault="00414CF2" w:rsidP="00414CF2">
      <w:pPr>
        <w:pStyle w:val="ListBullet"/>
      </w:pPr>
      <w:r>
        <w:lastRenderedPageBreak/>
        <w:t xml:space="preserve">EMA: </w:t>
      </w:r>
      <w:hyperlink r:id="rId24" w:history="1">
        <w:r w:rsidRPr="00C040A9">
          <w:rPr>
            <w:rStyle w:val="Hyperlink"/>
          </w:rPr>
          <w:t>Guideline on similar biological medicinal products containing monoclonal antibodies - non-clinical and clinical issues</w:t>
        </w:r>
      </w:hyperlink>
      <w:r>
        <w:t xml:space="preserve"> (EMA/CHMP/BMWP/403543/2010)</w:t>
      </w:r>
      <w:r w:rsidR="00300B0E">
        <w:t>.</w:t>
      </w:r>
    </w:p>
    <w:p w14:paraId="033E186B" w14:textId="3B65A346" w:rsidR="00414CF2" w:rsidRDefault="00414CF2" w:rsidP="00414CF2">
      <w:pPr>
        <w:pStyle w:val="ListBullet"/>
        <w:numPr>
          <w:ilvl w:val="0"/>
          <w:numId w:val="0"/>
        </w:numPr>
        <w:ind w:left="360"/>
      </w:pPr>
      <w:r>
        <w:t xml:space="preserve">TGA-adopted, effective date: </w:t>
      </w:r>
      <w:r w:rsidRPr="00C040A9">
        <w:t>17 Aug</w:t>
      </w:r>
      <w:r>
        <w:t>ust</w:t>
      </w:r>
      <w:r w:rsidRPr="00C040A9">
        <w:t xml:space="preserve"> 2015</w:t>
      </w:r>
      <w:r w:rsidR="00BA2803">
        <w:t>.</w:t>
      </w:r>
    </w:p>
    <w:p w14:paraId="4FAF89EF" w14:textId="4E57170A" w:rsidR="0046460D" w:rsidRDefault="0046460D" w:rsidP="0046460D">
      <w:pPr>
        <w:pStyle w:val="ListBullet"/>
      </w:pPr>
      <w:r>
        <w:t xml:space="preserve">EMA: </w:t>
      </w:r>
      <w:hyperlink r:id="rId25" w:history="1">
        <w:r w:rsidRPr="006A7637">
          <w:rPr>
            <w:rStyle w:val="Hyperlink"/>
          </w:rPr>
          <w:t>Guideline on Clinical Investigation of Medicinal Products Indicated for the Treatment of Psoriasis</w:t>
        </w:r>
      </w:hyperlink>
      <w:r>
        <w:t xml:space="preserve"> (CHMP/EWP/2454/02 corr.)</w:t>
      </w:r>
    </w:p>
    <w:p w14:paraId="1C4B7656" w14:textId="77777777" w:rsidR="0046460D" w:rsidRDefault="0046460D" w:rsidP="0046460D">
      <w:pPr>
        <w:pStyle w:val="ListBullet"/>
        <w:numPr>
          <w:ilvl w:val="0"/>
          <w:numId w:val="0"/>
        </w:numPr>
        <w:ind w:left="360"/>
      </w:pPr>
      <w:r>
        <w:t>TGA-adopted, effective date: June 2005.</w:t>
      </w:r>
    </w:p>
    <w:p w14:paraId="37F5A1C0" w14:textId="5D3D5FE0" w:rsidR="00C22214" w:rsidRDefault="00095C6A" w:rsidP="00C71A77">
      <w:pPr>
        <w:pStyle w:val="Heading3"/>
      </w:pPr>
      <w:bookmarkStart w:id="36" w:name="_Toc103679295"/>
      <w:bookmarkStart w:id="37" w:name="_Toc225166222"/>
      <w:r>
        <w:t>Q</w:t>
      </w:r>
      <w:r w:rsidR="00C22214">
        <w:t>uality</w:t>
      </w:r>
      <w:bookmarkEnd w:id="34"/>
      <w:bookmarkEnd w:id="35"/>
      <w:bookmarkEnd w:id="36"/>
      <w:r w:rsidR="007E6443">
        <w:t xml:space="preserve"> evaluation</w:t>
      </w:r>
      <w:r>
        <w:t xml:space="preserve"> </w:t>
      </w:r>
      <w:r w:rsidRPr="00C71A77">
        <w:t>summary</w:t>
      </w:r>
      <w:bookmarkEnd w:id="37"/>
    </w:p>
    <w:p w14:paraId="28D6DE43" w14:textId="4867A914" w:rsidR="002866D0" w:rsidRPr="00920F56" w:rsidRDefault="002866D0" w:rsidP="00C71A77">
      <w:r w:rsidRPr="00920F56">
        <w:t>Inf</w:t>
      </w:r>
      <w:r w:rsidR="00BB6C29">
        <w:t>l</w:t>
      </w:r>
      <w:r w:rsidRPr="00920F56">
        <w:t xml:space="preserve">iximab </w:t>
      </w:r>
      <w:r>
        <w:t>(</w:t>
      </w:r>
      <w:r w:rsidRPr="00151B21">
        <w:t>PF-06438179</w:t>
      </w:r>
      <w:r>
        <w:t xml:space="preserve">) </w:t>
      </w:r>
      <w:r w:rsidRPr="00920F56">
        <w:t xml:space="preserve">is a chimeric human-murine </w:t>
      </w:r>
      <w:r w:rsidR="00ED07EB">
        <w:t xml:space="preserve">immunoglobulin </w:t>
      </w:r>
      <w:r w:rsidRPr="00920F56">
        <w:t>G1 monoclonal antibody that selectively binds to human TNF neutrali</w:t>
      </w:r>
      <w:r w:rsidR="0097537B">
        <w:t>s</w:t>
      </w:r>
      <w:r w:rsidRPr="00920F56">
        <w:t>ing its effects. The molecular weight is approximately 149</w:t>
      </w:r>
      <w:r w:rsidR="0097537B">
        <w:t> </w:t>
      </w:r>
      <w:proofErr w:type="spellStart"/>
      <w:r w:rsidRPr="00920F56">
        <w:t>kD</w:t>
      </w:r>
      <w:proofErr w:type="spellEnd"/>
      <w:r w:rsidRPr="00920F56">
        <w:t xml:space="preserve"> comprising two heavy chain molecules and two light chain molecules</w:t>
      </w:r>
      <w:r>
        <w:t>.</w:t>
      </w:r>
    </w:p>
    <w:p w14:paraId="56197220" w14:textId="37E4C84C" w:rsidR="002866D0" w:rsidRDefault="002866D0" w:rsidP="002866D0">
      <w:r>
        <w:t xml:space="preserve">The active ingredient was produced using recombinant DNA technology in </w:t>
      </w:r>
      <w:r w:rsidR="0097537B">
        <w:t>Chinese hamster ovary</w:t>
      </w:r>
      <w:r>
        <w:t xml:space="preserve"> cells.</w:t>
      </w:r>
    </w:p>
    <w:p w14:paraId="293C21E6" w14:textId="40B1782A" w:rsidR="002866D0" w:rsidRDefault="002866D0" w:rsidP="002866D0">
      <w:r w:rsidRPr="00C5602A">
        <w:t xml:space="preserve">Information about the manufacturing, storage and control facilities for the active substance </w:t>
      </w:r>
      <w:r w:rsidR="000A528C">
        <w:t>was</w:t>
      </w:r>
      <w:r w:rsidRPr="00C5602A">
        <w:t xml:space="preserve"> provided in the dossier. </w:t>
      </w:r>
      <w:r w:rsidR="000A528C">
        <w:t>Good Manufacturing Principles</w:t>
      </w:r>
      <w:r w:rsidRPr="00C5602A">
        <w:t xml:space="preserve"> compliance for the manufacturers has been demonstrated.</w:t>
      </w:r>
    </w:p>
    <w:p w14:paraId="04BA7407" w14:textId="77777777" w:rsidR="00FC3FC9" w:rsidRDefault="005958F7" w:rsidP="0470ECFA">
      <w:r>
        <w:t>The r</w:t>
      </w:r>
      <w:r w:rsidR="00C73D25">
        <w:t>ecommended shelf life</w:t>
      </w:r>
      <w:r>
        <w:t xml:space="preserve"> for Ixifi is </w:t>
      </w:r>
      <w:r w:rsidR="00C73D25">
        <w:t xml:space="preserve">60 months </w:t>
      </w:r>
      <w:r w:rsidR="003D40CB">
        <w:t xml:space="preserve">when stored at </w:t>
      </w:r>
      <w:r w:rsidR="00323A78">
        <w:t>2</w:t>
      </w:r>
      <w:r w:rsidR="005E68C1">
        <w:t> </w:t>
      </w:r>
      <w:r w:rsidR="00323A78">
        <w:t>°C to 8</w:t>
      </w:r>
      <w:r w:rsidR="005E68C1">
        <w:t> </w:t>
      </w:r>
      <w:r w:rsidR="00323A78">
        <w:t>°C</w:t>
      </w:r>
      <w:r w:rsidR="00FC3FC9">
        <w:t xml:space="preserve"> (refrigerate do not freeze)</w:t>
      </w:r>
      <w:r w:rsidR="00323A78">
        <w:t>. The following thermal excursions are allowed</w:t>
      </w:r>
      <w:r w:rsidR="1B06F91B">
        <w:t xml:space="preserve"> </w:t>
      </w:r>
      <w:r w:rsidR="00323A78">
        <w:t>within the shelf life</w:t>
      </w:r>
      <w:r w:rsidR="00FC3FC9">
        <w:t>:</w:t>
      </w:r>
    </w:p>
    <w:p w14:paraId="2FCAEF1D" w14:textId="77777777" w:rsidR="00FC3FC9" w:rsidRPr="00FC3FC9" w:rsidRDefault="00FC3FC9" w:rsidP="00FC3FC9">
      <w:pPr>
        <w:pStyle w:val="ListBullet"/>
        <w:rPr>
          <w:b/>
          <w:bCs/>
        </w:rPr>
      </w:pPr>
      <w:r>
        <w:t>s</w:t>
      </w:r>
      <w:r w:rsidR="00323A78">
        <w:t>torage at -20</w:t>
      </w:r>
      <w:r>
        <w:t xml:space="preserve"> ± </w:t>
      </w:r>
      <w:r w:rsidR="00323A78">
        <w:t>5</w:t>
      </w:r>
      <w:r>
        <w:t> °C</w:t>
      </w:r>
      <w:r w:rsidR="00323A78">
        <w:t xml:space="preserve"> </w:t>
      </w:r>
      <w:r>
        <w:t>f</w:t>
      </w:r>
      <w:r w:rsidR="00323A78">
        <w:t xml:space="preserve">or </w:t>
      </w:r>
      <w:r>
        <w:t>one</w:t>
      </w:r>
      <w:r w:rsidR="00323A78">
        <w:t xml:space="preserve"> month</w:t>
      </w:r>
      <w:r>
        <w:t>,</w:t>
      </w:r>
      <w:r w:rsidR="00323A78">
        <w:t xml:space="preserve"> or</w:t>
      </w:r>
    </w:p>
    <w:p w14:paraId="5D29B5C0" w14:textId="396E161D" w:rsidR="00C73D25" w:rsidRPr="00323A78" w:rsidRDefault="00FC3FC9" w:rsidP="00FC3FC9">
      <w:pPr>
        <w:pStyle w:val="ListBullet"/>
        <w:rPr>
          <w:b/>
          <w:bCs/>
        </w:rPr>
      </w:pPr>
      <w:r>
        <w:t>s</w:t>
      </w:r>
      <w:r w:rsidR="00323A78">
        <w:t>torage at 40</w:t>
      </w:r>
      <w:r>
        <w:t> ±</w:t>
      </w:r>
      <w:r w:rsidR="00323A78">
        <w:t xml:space="preserve"> 2</w:t>
      </w:r>
      <w:r w:rsidRPr="00FC3FC9">
        <w:t xml:space="preserve"> </w:t>
      </w:r>
      <w:r>
        <w:t>°C</w:t>
      </w:r>
      <w:r w:rsidR="002257B0">
        <w:t>/</w:t>
      </w:r>
      <w:r w:rsidR="00323A78">
        <w:t>75</w:t>
      </w:r>
      <w:r w:rsidR="002257B0">
        <w:t> </w:t>
      </w:r>
      <w:r>
        <w:t>±</w:t>
      </w:r>
      <w:r w:rsidR="00323A78">
        <w:t xml:space="preserve"> 5% </w:t>
      </w:r>
      <w:r w:rsidR="002257B0">
        <w:t xml:space="preserve">relative humidity </w:t>
      </w:r>
      <w:r w:rsidR="00323A78">
        <w:t xml:space="preserve">for </w:t>
      </w:r>
      <w:r>
        <w:t xml:space="preserve">one </w:t>
      </w:r>
      <w:r w:rsidR="00323A78">
        <w:t>month</w:t>
      </w:r>
      <w:r>
        <w:t>.</w:t>
      </w:r>
    </w:p>
    <w:p w14:paraId="5CDE5A5A" w14:textId="18744258" w:rsidR="000342DE" w:rsidRDefault="004E515D" w:rsidP="00C71A77">
      <w:pPr>
        <w:rPr>
          <w:szCs w:val="22"/>
        </w:rPr>
      </w:pPr>
      <w:r w:rsidRPr="003F448B">
        <w:t>The active substance of I</w:t>
      </w:r>
      <w:r w:rsidR="00BD1781">
        <w:t>xifi</w:t>
      </w:r>
      <w:r w:rsidRPr="003F448B">
        <w:t xml:space="preserve"> (</w:t>
      </w:r>
      <w:r w:rsidR="00BD1781">
        <w:t>i</w:t>
      </w:r>
      <w:r w:rsidRPr="003F448B">
        <w:t>nfliximab), has been developed as a similar biological medicinal product (biosimilar) to that of the currently registered reference product R</w:t>
      </w:r>
      <w:r w:rsidR="00BD1781">
        <w:t>emicade</w:t>
      </w:r>
      <w:r w:rsidRPr="003F448B">
        <w:t xml:space="preserve"> (infliximab)</w:t>
      </w:r>
      <w:r>
        <w:t>. T</w:t>
      </w:r>
      <w:r w:rsidRPr="003F448B">
        <w:t xml:space="preserve">he </w:t>
      </w:r>
      <w:r>
        <w:t>s</w:t>
      </w:r>
      <w:r w:rsidRPr="003F448B">
        <w:t>ponsor has demonstrated that I</w:t>
      </w:r>
      <w:r w:rsidR="00BD1781">
        <w:t>xifi</w:t>
      </w:r>
      <w:r w:rsidRPr="003F448B">
        <w:t xml:space="preserve"> infliximab is comparable to </w:t>
      </w:r>
      <w:r w:rsidR="005B52E7">
        <w:t xml:space="preserve">European </w:t>
      </w:r>
      <w:r w:rsidR="005B52E7" w:rsidRPr="004D4AE2">
        <w:t>Union (</w:t>
      </w:r>
      <w:r w:rsidRPr="004D4AE2">
        <w:t>EU</w:t>
      </w:r>
      <w:r w:rsidR="005B52E7" w:rsidRPr="004D4AE2">
        <w:t>)</w:t>
      </w:r>
      <w:r w:rsidRPr="004D4AE2">
        <w:t>/</w:t>
      </w:r>
      <w:r w:rsidR="004D4AE2" w:rsidRPr="004D4AE2">
        <w:t xml:space="preserve"> </w:t>
      </w:r>
      <w:r w:rsidR="005B52E7" w:rsidRPr="004D4AE2">
        <w:t>United States (</w:t>
      </w:r>
      <w:r w:rsidRPr="004D4AE2">
        <w:t>US</w:t>
      </w:r>
      <w:r w:rsidR="005B52E7" w:rsidRPr="004D4AE2">
        <w:t>)</w:t>
      </w:r>
      <w:r w:rsidRPr="004D4AE2">
        <w:t xml:space="preserve"> R</w:t>
      </w:r>
      <w:r w:rsidR="005B52E7" w:rsidRPr="004D4AE2">
        <w:t>emicade</w:t>
      </w:r>
      <w:r w:rsidRPr="004D4AE2">
        <w:t xml:space="preserve"> in terms of structure, species, function and degradation</w:t>
      </w:r>
      <w:r w:rsidRPr="003F448B">
        <w:t xml:space="preserve"> profile</w:t>
      </w:r>
      <w:r w:rsidR="00B00979">
        <w:t xml:space="preserve"> </w:t>
      </w:r>
      <w:r w:rsidR="00B00979" w:rsidRPr="000B14B7">
        <w:t>(</w:t>
      </w:r>
      <w:r w:rsidR="005B52E7">
        <w:t>that is,</w:t>
      </w:r>
      <w:r w:rsidR="00B00979" w:rsidRPr="000B14B7">
        <w:t xml:space="preserve"> physicochemically and biologically).</w:t>
      </w:r>
    </w:p>
    <w:p w14:paraId="7B66EFFE" w14:textId="74E9AC88" w:rsidR="000342DE" w:rsidRPr="00BD5DBD" w:rsidRDefault="000342DE" w:rsidP="00637F0E">
      <w:pPr>
        <w:rPr>
          <w:szCs w:val="22"/>
        </w:rPr>
      </w:pPr>
      <w:r w:rsidRPr="00F8511E">
        <w:t>There are no objections on quality grounds to the approval of I</w:t>
      </w:r>
      <w:r w:rsidR="00186719">
        <w:t>xifi i</w:t>
      </w:r>
      <w:r w:rsidRPr="00F8511E">
        <w:t>nfliximab 100</w:t>
      </w:r>
      <w:r w:rsidR="00DA72B2">
        <w:t> </w:t>
      </w:r>
      <w:r w:rsidRPr="00F8511E">
        <w:t xml:space="preserve">mg </w:t>
      </w:r>
      <w:r w:rsidR="00186719">
        <w:t>p</w:t>
      </w:r>
      <w:r w:rsidRPr="00F8511E">
        <w:t>owder for injection vial</w:t>
      </w:r>
      <w:r w:rsidR="00186719">
        <w:t>.</w:t>
      </w:r>
    </w:p>
    <w:p w14:paraId="2BE90AAE" w14:textId="35796FD3" w:rsidR="00C22214" w:rsidRDefault="00C22214" w:rsidP="00C22214">
      <w:pPr>
        <w:pStyle w:val="Heading3"/>
      </w:pPr>
      <w:bookmarkStart w:id="38" w:name="_Toc314842512"/>
      <w:bookmarkStart w:id="39" w:name="_Toc103679296"/>
      <w:bookmarkStart w:id="40" w:name="_Toc225166223"/>
      <w:r>
        <w:t>Nonclinical</w:t>
      </w:r>
      <w:bookmarkEnd w:id="38"/>
      <w:bookmarkEnd w:id="39"/>
      <w:r w:rsidR="007E6443">
        <w:t xml:space="preserve"> evaluation</w:t>
      </w:r>
      <w:r w:rsidR="00095C6A">
        <w:t xml:space="preserve"> summary</w:t>
      </w:r>
      <w:bookmarkEnd w:id="40"/>
    </w:p>
    <w:p w14:paraId="5CCDEBD2" w14:textId="7CCD4342" w:rsidR="002244F0" w:rsidRPr="00182074" w:rsidRDefault="002244F0" w:rsidP="00182074">
      <w:bookmarkStart w:id="41" w:name="_Toc247691530"/>
      <w:bookmarkStart w:id="42" w:name="_Toc314842513"/>
      <w:bookmarkStart w:id="43" w:name="_Toc103679297"/>
      <w:r w:rsidRPr="00182074">
        <w:t>The scope of the nonclinical program is adequate under the relevant EU guideline, the set of pharmacological assessments performed with Ixifi,</w:t>
      </w:r>
      <w:r w:rsidRPr="00182074" w:rsidDel="00040593">
        <w:t xml:space="preserve"> </w:t>
      </w:r>
      <w:r w:rsidRPr="00182074">
        <w:t xml:space="preserve">and EU- and US-sourced Remicade is considered acceptable to cover all proposed indications. No data were provided </w:t>
      </w:r>
      <w:r w:rsidR="00657302">
        <w:t>for nonclinical</w:t>
      </w:r>
      <w:r w:rsidRPr="00182074">
        <w:t xml:space="preserve"> </w:t>
      </w:r>
      <w:r w:rsidR="00675EAF">
        <w:t xml:space="preserve">evaluation </w:t>
      </w:r>
      <w:r w:rsidRPr="00182074">
        <w:t>to verify the comparability of the EU-sourced and Australian-sourced Remicade.</w:t>
      </w:r>
    </w:p>
    <w:p w14:paraId="5290E6E8" w14:textId="75360A58" w:rsidR="002244F0" w:rsidRPr="00102072" w:rsidRDefault="002244F0" w:rsidP="008804CF">
      <w:r w:rsidRPr="00182074">
        <w:t xml:space="preserve">No meaningful differences between Ixifi and Remicade were observed in the comparative pharmacology studies. Pharmacokinetic and toxicity studies were conducted in rats, but since infliximab is only active against human or chimpanzee TNFα, studies in a non-responsive species have limited utility. In line with the recommendation by the guidelines, </w:t>
      </w:r>
      <w:r w:rsidR="0000391C">
        <w:t>Ixifi</w:t>
      </w:r>
      <w:r w:rsidRPr="00182074">
        <w:t xml:space="preserve"> was not evaluated by </w:t>
      </w:r>
      <w:r w:rsidR="007F281B">
        <w:t>n</w:t>
      </w:r>
      <w:r w:rsidRPr="00182074">
        <w:t xml:space="preserve">onclinical </w:t>
      </w:r>
      <w:r w:rsidR="007F281B">
        <w:t>evaluation.</w:t>
      </w:r>
      <w:r w:rsidRPr="00182074">
        <w:t xml:space="preserve"> Therefore, adequate comparability and determination of biosimilarity will need to rely upon </w:t>
      </w:r>
      <w:r w:rsidR="00102072">
        <w:t xml:space="preserve">quality </w:t>
      </w:r>
      <w:r w:rsidRPr="00182074">
        <w:t xml:space="preserve">and </w:t>
      </w:r>
      <w:r w:rsidR="00102072">
        <w:t>clinical</w:t>
      </w:r>
      <w:r w:rsidRPr="00182074">
        <w:t xml:space="preserve"> evaluations.</w:t>
      </w:r>
    </w:p>
    <w:p w14:paraId="35B580A5" w14:textId="25AD8585" w:rsidR="00C22214" w:rsidRDefault="00C22214" w:rsidP="008804CF">
      <w:pPr>
        <w:pStyle w:val="Heading3"/>
      </w:pPr>
      <w:bookmarkStart w:id="44" w:name="_Toc225166224"/>
      <w:r>
        <w:lastRenderedPageBreak/>
        <w:t>Clinical</w:t>
      </w:r>
      <w:bookmarkEnd w:id="41"/>
      <w:bookmarkEnd w:id="42"/>
      <w:bookmarkEnd w:id="43"/>
      <w:r w:rsidR="00095C6A">
        <w:t xml:space="preserve"> evaluation summary</w:t>
      </w:r>
      <w:bookmarkEnd w:id="44"/>
    </w:p>
    <w:p w14:paraId="32B0DEDA" w14:textId="77777777" w:rsidR="00C22214" w:rsidRPr="00433318" w:rsidRDefault="00C22214" w:rsidP="00433318">
      <w:pPr>
        <w:pStyle w:val="Heading4"/>
      </w:pPr>
      <w:bookmarkStart w:id="45" w:name="_Toc98931928"/>
      <w:bookmarkStart w:id="46" w:name="_Toc225166225"/>
      <w:r>
        <w:t>Summary of clinical studies</w:t>
      </w:r>
      <w:bookmarkEnd w:id="45"/>
      <w:bookmarkEnd w:id="46"/>
    </w:p>
    <w:p w14:paraId="46622364" w14:textId="2C728F95" w:rsidR="00C22214" w:rsidRDefault="00C22214" w:rsidP="00C22214">
      <w:pPr>
        <w:rPr>
          <w:szCs w:val="22"/>
        </w:rPr>
      </w:pPr>
      <w:r w:rsidRPr="00BD5DBD">
        <w:rPr>
          <w:szCs w:val="22"/>
        </w:rPr>
        <w:t>The clinical dossier consisted of</w:t>
      </w:r>
      <w:r w:rsidR="007357B9" w:rsidRPr="00BD5DBD">
        <w:rPr>
          <w:szCs w:val="22"/>
        </w:rPr>
        <w:t>:</w:t>
      </w:r>
      <w:r w:rsidRPr="00BD5DBD">
        <w:rPr>
          <w:szCs w:val="22"/>
        </w:rPr>
        <w:t xml:space="preserve"> </w:t>
      </w:r>
    </w:p>
    <w:p w14:paraId="4C9CE85B" w14:textId="5C6E8AC4" w:rsidR="00222FA4" w:rsidRPr="00205305" w:rsidRDefault="00335E07" w:rsidP="00205305">
      <w:pPr>
        <w:pStyle w:val="ListBullet"/>
      </w:pPr>
      <w:r>
        <w:t xml:space="preserve">Study </w:t>
      </w:r>
      <w:r w:rsidR="00A6793D">
        <w:t>B5371001: a Phase I, single centre, double blind, randomised, parallel group, single dose, 3</w:t>
      </w:r>
      <w:r w:rsidR="000C13DE">
        <w:t xml:space="preserve"> </w:t>
      </w:r>
      <w:r w:rsidR="00303680">
        <w:t xml:space="preserve">arm, comparative pharmacokinetic study of </w:t>
      </w:r>
      <w:r w:rsidR="004C67F0">
        <w:t>PF-06438179 and infliximab sourced from US and EU administered to healthy volunteers.</w:t>
      </w:r>
    </w:p>
    <w:p w14:paraId="43163CAC" w14:textId="0AD8734E" w:rsidR="004C67F0" w:rsidRPr="00205305" w:rsidRDefault="006177A2" w:rsidP="00205305">
      <w:pPr>
        <w:pStyle w:val="ListBullet"/>
      </w:pPr>
      <w:r w:rsidRPr="00205305">
        <w:t xml:space="preserve">Study B5371002: a comparative </w:t>
      </w:r>
      <w:r w:rsidR="00900A2B" w:rsidRPr="00205305">
        <w:t>c</w:t>
      </w:r>
      <w:r w:rsidRPr="00205305">
        <w:t>linical</w:t>
      </w:r>
      <w:r w:rsidR="00802DA8" w:rsidRPr="00205305">
        <w:t xml:space="preserve"> </w:t>
      </w:r>
      <w:r w:rsidRPr="00205305">
        <w:t>trial</w:t>
      </w:r>
      <w:r w:rsidR="00C72FDA" w:rsidRPr="00205305">
        <w:t>, randomised (1:1)</w:t>
      </w:r>
      <w:r w:rsidR="00454041" w:rsidRPr="00205305">
        <w:t xml:space="preserve">, double blind study assessing the efficacy and safety of </w:t>
      </w:r>
      <w:r w:rsidR="00DD3C51" w:rsidRPr="00205305">
        <w:t xml:space="preserve">PF-06438179 and </w:t>
      </w:r>
      <w:r w:rsidR="00DD3C51" w:rsidRPr="00DD3C51">
        <w:t>infliximab-EU in</w:t>
      </w:r>
      <w:r w:rsidR="00DD3C51" w:rsidRPr="00205305">
        <w:t xml:space="preserve"> </w:t>
      </w:r>
      <w:r w:rsidR="00DD3C51" w:rsidRPr="00DD3C51">
        <w:t>combination with</w:t>
      </w:r>
      <w:r w:rsidR="00DD3C51" w:rsidRPr="00205305">
        <w:t xml:space="preserve"> </w:t>
      </w:r>
      <w:r w:rsidR="00DD3C51" w:rsidRPr="00DD3C51">
        <w:t>methotrexate in</w:t>
      </w:r>
      <w:r w:rsidR="00DD3C51" w:rsidRPr="00205305">
        <w:t xml:space="preserve"> </w:t>
      </w:r>
      <w:r w:rsidR="00DD3C51" w:rsidRPr="00DD3C51">
        <w:t>subjects with</w:t>
      </w:r>
      <w:r w:rsidR="00DD3C51" w:rsidRPr="00205305">
        <w:t xml:space="preserve"> </w:t>
      </w:r>
      <w:r w:rsidR="00DD3C51" w:rsidRPr="00DD3C51">
        <w:t>moderately to severely</w:t>
      </w:r>
      <w:r w:rsidR="00DD3C51" w:rsidRPr="00205305">
        <w:t xml:space="preserve"> </w:t>
      </w:r>
      <w:r w:rsidR="00DD3C51" w:rsidRPr="00DD3C51">
        <w:t xml:space="preserve">active </w:t>
      </w:r>
      <w:r w:rsidR="00DD3C51" w:rsidRPr="00205305">
        <w:t xml:space="preserve">rheumatoid arthritis </w:t>
      </w:r>
      <w:r w:rsidR="00DD3C51" w:rsidRPr="00DD3C51">
        <w:t>who have</w:t>
      </w:r>
      <w:r w:rsidR="00DD3C51" w:rsidRPr="00205305">
        <w:t xml:space="preserve"> h</w:t>
      </w:r>
      <w:r w:rsidR="00DD3C51" w:rsidRPr="00DD3C51">
        <w:t>ad an inadequate</w:t>
      </w:r>
      <w:r w:rsidR="004D4FFF" w:rsidRPr="00205305">
        <w:t xml:space="preserve"> </w:t>
      </w:r>
      <w:r w:rsidR="00DD3C51" w:rsidRPr="00205305">
        <w:t xml:space="preserve">response to </w:t>
      </w:r>
      <w:r w:rsidR="00E172B8" w:rsidRPr="00205305">
        <w:t>methotrexate</w:t>
      </w:r>
      <w:r w:rsidR="00DD3C51" w:rsidRPr="00205305">
        <w:t>.</w:t>
      </w:r>
    </w:p>
    <w:p w14:paraId="55A0E2F7" w14:textId="4F98F384" w:rsidR="004D5967" w:rsidRPr="00205305" w:rsidRDefault="004D5967" w:rsidP="00205305">
      <w:pPr>
        <w:pStyle w:val="ListBullet"/>
      </w:pPr>
      <w:r w:rsidRPr="00205305">
        <w:t>Study B5371004</w:t>
      </w:r>
      <w:r w:rsidR="008B05C0" w:rsidRPr="00205305">
        <w:t>: a P</w:t>
      </w:r>
      <w:r w:rsidRPr="00205305">
        <w:t>hase</w:t>
      </w:r>
      <w:r w:rsidR="008B05C0" w:rsidRPr="00205305">
        <w:t xml:space="preserve"> I, single centre, single dose, single arm, open label, </w:t>
      </w:r>
      <w:r w:rsidR="00D05CF9" w:rsidRPr="00205305">
        <w:t>pilot,</w:t>
      </w:r>
      <w:r w:rsidR="00205305" w:rsidRPr="00205305">
        <w:t xml:space="preserve"> pharmacokinetic</w:t>
      </w:r>
      <w:r w:rsidR="00D05CF9" w:rsidRPr="00205305">
        <w:t xml:space="preserve"> variability study of</w:t>
      </w:r>
      <w:r w:rsidR="00205305" w:rsidRPr="00205305">
        <w:t xml:space="preserve"> </w:t>
      </w:r>
      <w:r w:rsidR="00D05CF9" w:rsidRPr="00205305">
        <w:t>infliximab</w:t>
      </w:r>
      <w:r w:rsidR="00205305" w:rsidRPr="00205305">
        <w:t xml:space="preserve"> </w:t>
      </w:r>
      <w:r w:rsidR="00D05CF9" w:rsidRPr="00205305">
        <w:t>administered</w:t>
      </w:r>
      <w:r w:rsidR="00205305" w:rsidRPr="00205305">
        <w:t xml:space="preserve"> </w:t>
      </w:r>
      <w:r w:rsidR="00D05CF9" w:rsidRPr="00205305">
        <w:t>intravenously to</w:t>
      </w:r>
      <w:r w:rsidR="00205305" w:rsidRPr="00205305">
        <w:t xml:space="preserve"> </w:t>
      </w:r>
      <w:r w:rsidR="00D05CF9" w:rsidRPr="00205305">
        <w:t>healthy subjects.</w:t>
      </w:r>
    </w:p>
    <w:p w14:paraId="65719649" w14:textId="407EA586" w:rsidR="00D37C6F" w:rsidRPr="004D5967" w:rsidRDefault="00D37C6F" w:rsidP="00C71A77">
      <w:pPr>
        <w:rPr>
          <w:szCs w:val="22"/>
        </w:rPr>
      </w:pPr>
      <w:r w:rsidRPr="009F0D4F">
        <w:t xml:space="preserve">The pivotal </w:t>
      </w:r>
      <w:r w:rsidR="002A1DE3" w:rsidRPr="009F0D4F">
        <w:t>P</w:t>
      </w:r>
      <w:r w:rsidRPr="009F0D4F">
        <w:t xml:space="preserve">hase </w:t>
      </w:r>
      <w:r w:rsidR="002A1DE3" w:rsidRPr="009F0D4F">
        <w:t>III</w:t>
      </w:r>
      <w:r w:rsidRPr="009F0D4F">
        <w:t xml:space="preserve"> study included in the submission was in patients with moderate to severe rheumatoid arthritis. The </w:t>
      </w:r>
      <w:r w:rsidR="002A1DE3" w:rsidRPr="009F0D4F">
        <w:t>s</w:t>
      </w:r>
      <w:r w:rsidRPr="009F0D4F">
        <w:t>ponsor considered rheumatoid arthritis as the most appropriate indication to demonstrate clinical equivalence. The sponsor has provided a detailed rationale for the extrapolation of efficacy and safety pertaining to the rheumatoid arthritis indication from Study B5371002 to the other proposed indications based on the overall evidence of comparability provided from the comparability exercise.</w:t>
      </w:r>
    </w:p>
    <w:p w14:paraId="519F662E" w14:textId="616279B3" w:rsidR="00D37C6F" w:rsidRPr="009F0D4F" w:rsidRDefault="00D37C6F" w:rsidP="009F0D4F">
      <w:pPr>
        <w:ind w:left="720"/>
        <w:rPr>
          <w:i/>
          <w:iCs/>
        </w:rPr>
      </w:pPr>
      <w:r w:rsidRPr="009F0D4F">
        <w:rPr>
          <w:i/>
          <w:iCs/>
        </w:rPr>
        <w:t>The scientific justification for extrapolation is based on the argument that if PF-06438179 has been shown to be highly similar to Remicade through multiple lines of evidence (including through a clinical trial in one indication), then it is expected to have similar clinical activity as Remicade in all clinical adult and paediatric settings in which Remicade has been evaluated. Additionally, data established with Remicade in various subpopulations (such as those based on age, gender, ethnicity, comorbidities, concurrent therapies, etc) as well as data with the use of Remicade at different dosages and in combination regimens are also extrapolated from Remicade to PF-06438179.</w:t>
      </w:r>
    </w:p>
    <w:p w14:paraId="1F78D9F1" w14:textId="5611944B" w:rsidR="009804C7" w:rsidRPr="00C71A77" w:rsidRDefault="009804C7" w:rsidP="00C71A77">
      <w:pPr>
        <w:pStyle w:val="Heading4"/>
      </w:pPr>
      <w:bookmarkStart w:id="47" w:name="_Toc225166226"/>
      <w:r w:rsidRPr="00C71A77">
        <w:t>Pharmacology</w:t>
      </w:r>
      <w:bookmarkEnd w:id="47"/>
    </w:p>
    <w:p w14:paraId="114B9C2E" w14:textId="3673DB16" w:rsidR="009804C7" w:rsidRDefault="009804C7" w:rsidP="009804C7">
      <w:pPr>
        <w:pStyle w:val="Heading5"/>
      </w:pPr>
      <w:r w:rsidRPr="00AA53F4">
        <w:t>Pharmacokinetics</w:t>
      </w:r>
    </w:p>
    <w:p w14:paraId="1CB35DF7" w14:textId="447EF917" w:rsidR="009804C7" w:rsidRDefault="009804C7" w:rsidP="00D36606">
      <w:pPr>
        <w:pStyle w:val="Heading6"/>
        <w:tabs>
          <w:tab w:val="left" w:pos="2325"/>
        </w:tabs>
      </w:pPr>
      <w:r>
        <w:t>Study B5371001</w:t>
      </w:r>
    </w:p>
    <w:p w14:paraId="28288A9F" w14:textId="5EF01B2F" w:rsidR="009804C7" w:rsidRPr="00CC1508" w:rsidRDefault="009804C7" w:rsidP="00CC1508">
      <w:r w:rsidRPr="00CC1508">
        <w:t xml:space="preserve">Study B5371001 was the comparative </w:t>
      </w:r>
      <w:r w:rsidR="00401220" w:rsidRPr="00CC1508">
        <w:t>pharmacokinetic (</w:t>
      </w:r>
      <w:r w:rsidR="00401220" w:rsidRPr="008136B5">
        <w:t xml:space="preserve">PK) </w:t>
      </w:r>
      <w:r w:rsidRPr="008136B5">
        <w:t>study</w:t>
      </w:r>
      <w:r w:rsidRPr="00CC1508">
        <w:t xml:space="preserve"> and was a Phase </w:t>
      </w:r>
      <w:r w:rsidR="00401220" w:rsidRPr="00CC1508">
        <w:t>I</w:t>
      </w:r>
      <w:r w:rsidRPr="00CC1508">
        <w:t>, double</w:t>
      </w:r>
      <w:r w:rsidR="00401220" w:rsidRPr="00CC1508">
        <w:t xml:space="preserve"> </w:t>
      </w:r>
      <w:r w:rsidRPr="00CC1508">
        <w:t>blind (sponsor unblinded), randomised (1:1:1), parallel</w:t>
      </w:r>
      <w:r w:rsidR="00401220" w:rsidRPr="00CC1508">
        <w:t xml:space="preserve"> </w:t>
      </w:r>
      <w:r w:rsidRPr="00CC1508">
        <w:t>group, single</w:t>
      </w:r>
      <w:r w:rsidR="00401220" w:rsidRPr="00CC1508">
        <w:t xml:space="preserve"> </w:t>
      </w:r>
      <w:r w:rsidRPr="00CC1508">
        <w:t>dose, 3</w:t>
      </w:r>
      <w:r w:rsidR="0012669D">
        <w:noBreakHyphen/>
      </w:r>
      <w:r w:rsidRPr="00CC1508">
        <w:t>arm, comparative PK study of infliximab-Pfizer, infliximab-US and infliximab-EU administered intravenously to healthy volunteers.</w:t>
      </w:r>
    </w:p>
    <w:p w14:paraId="365AD0F3" w14:textId="58E4254F" w:rsidR="009804C7" w:rsidRPr="00CC1508" w:rsidRDefault="009804C7" w:rsidP="00C71A77">
      <w:r w:rsidRPr="00060139">
        <w:t>The PK similarity testing was based on</w:t>
      </w:r>
      <w:r w:rsidR="00CC1508" w:rsidRPr="00060139">
        <w:t xml:space="preserve"> maximum concentration (</w:t>
      </w:r>
      <w:r w:rsidRPr="00060139">
        <w:t>C</w:t>
      </w:r>
      <w:r w:rsidRPr="00060139">
        <w:rPr>
          <w:vertAlign w:val="subscript"/>
        </w:rPr>
        <w:t>max</w:t>
      </w:r>
      <w:r w:rsidR="00CC1508" w:rsidRPr="00060139">
        <w:t>)</w:t>
      </w:r>
      <w:r w:rsidRPr="00060139">
        <w:t xml:space="preserve">, </w:t>
      </w:r>
      <w:r w:rsidR="00360923" w:rsidRPr="00060139">
        <w:t xml:space="preserve">area under the concentration time </w:t>
      </w:r>
      <w:r w:rsidR="008002F6" w:rsidRPr="00060139">
        <w:t>curve</w:t>
      </w:r>
      <w:r w:rsidR="00360923" w:rsidRPr="00060139">
        <w:t xml:space="preserve"> from time 0 to the time of the last </w:t>
      </w:r>
      <w:r w:rsidR="00581DBF" w:rsidRPr="00060139">
        <w:t>measurable</w:t>
      </w:r>
      <w:r w:rsidR="00360923" w:rsidRPr="00060139">
        <w:t xml:space="preserve"> concentration </w:t>
      </w:r>
      <w:r w:rsidR="005D163D" w:rsidRPr="00060139">
        <w:t>(</w:t>
      </w:r>
      <w:r w:rsidRPr="00060139">
        <w:t>AUC</w:t>
      </w:r>
      <w:r w:rsidR="00CF50A9" w:rsidRPr="00060139">
        <w:rPr>
          <w:vertAlign w:val="subscript"/>
        </w:rPr>
        <w:t>0-</w:t>
      </w:r>
      <w:r w:rsidRPr="00060139">
        <w:rPr>
          <w:vertAlign w:val="subscript"/>
        </w:rPr>
        <w:t>T</w:t>
      </w:r>
      <w:r w:rsidR="005D163D" w:rsidRPr="00060139">
        <w:t>)</w:t>
      </w:r>
      <w:r w:rsidRPr="00060139">
        <w:t xml:space="preserve"> and </w:t>
      </w:r>
      <w:r w:rsidR="0096477C" w:rsidRPr="00060139">
        <w:t>area under the concentration time curve from time zero to infinity (</w:t>
      </w:r>
      <w:r w:rsidRPr="00060139">
        <w:t>AUC</w:t>
      </w:r>
      <w:r w:rsidR="00A20D1C" w:rsidRPr="00060139">
        <w:rPr>
          <w:vertAlign w:val="subscript"/>
        </w:rPr>
        <w:t>0-</w:t>
      </w:r>
      <w:r w:rsidRPr="00060139">
        <w:rPr>
          <w:vertAlign w:val="subscript"/>
        </w:rPr>
        <w:t>inf</w:t>
      </w:r>
      <w:r w:rsidR="0096477C" w:rsidRPr="00060139">
        <w:t>)</w:t>
      </w:r>
      <w:r w:rsidRPr="00060139">
        <w:t>. The acceptance interval was (80.00%</w:t>
      </w:r>
      <w:r w:rsidR="00F33893" w:rsidRPr="00060139">
        <w:t xml:space="preserve"> to</w:t>
      </w:r>
      <w:r w:rsidRPr="00060139">
        <w:t xml:space="preserve"> 125.00%).</w:t>
      </w:r>
    </w:p>
    <w:p w14:paraId="550ED64A" w14:textId="77777777" w:rsidR="009804C7" w:rsidRPr="00975AD8" w:rsidRDefault="009804C7" w:rsidP="00C71A77">
      <w:r w:rsidRPr="00975AD8">
        <w:t>The PK analysis was performed on the per-protocol analysis set, which was defined as all randomised subjects who received the full dose of the assigned study treatment and who did not have major protocol deviations.</w:t>
      </w:r>
    </w:p>
    <w:p w14:paraId="353FB0D2" w14:textId="0A473BF0" w:rsidR="009804C7" w:rsidRPr="00975AD8" w:rsidRDefault="009804C7" w:rsidP="00975AD8">
      <w:r w:rsidRPr="00975AD8">
        <w:lastRenderedPageBreak/>
        <w:t xml:space="preserve">Based on the per protocol analysis set, infliximab-Pfizer was demonstrated to be bioequivalent to infliximab-EU and infliximab-US, respectively. The 90% </w:t>
      </w:r>
      <w:r w:rsidRPr="0077414C">
        <w:t>confidence interval</w:t>
      </w:r>
      <w:r w:rsidR="00D36222" w:rsidRPr="0077414C">
        <w:t>s</w:t>
      </w:r>
      <w:r w:rsidR="00C27718" w:rsidRPr="0077414C">
        <w:t xml:space="preserve"> </w:t>
      </w:r>
      <w:r w:rsidRPr="0077414C">
        <w:t>(CI) around the ratios of the adjusted means (test/reference) for C</w:t>
      </w:r>
      <w:r w:rsidRPr="0077414C">
        <w:rPr>
          <w:vertAlign w:val="subscript"/>
        </w:rPr>
        <w:t>max</w:t>
      </w:r>
      <w:r w:rsidRPr="0077414C">
        <w:t>, AUC</w:t>
      </w:r>
      <w:r w:rsidR="00B75DAB" w:rsidRPr="0077414C">
        <w:rPr>
          <w:vertAlign w:val="subscript"/>
        </w:rPr>
        <w:t>0-</w:t>
      </w:r>
      <w:r w:rsidRPr="0077414C">
        <w:rPr>
          <w:vertAlign w:val="subscript"/>
        </w:rPr>
        <w:t xml:space="preserve">T </w:t>
      </w:r>
      <w:r w:rsidRPr="0077414C">
        <w:t>and AUC</w:t>
      </w:r>
      <w:r w:rsidR="00B75DAB" w:rsidRPr="0077414C">
        <w:rPr>
          <w:vertAlign w:val="subscript"/>
        </w:rPr>
        <w:t>0-</w:t>
      </w:r>
      <w:r w:rsidRPr="0077414C">
        <w:rPr>
          <w:vertAlign w:val="subscript"/>
        </w:rPr>
        <w:t>inf</w:t>
      </w:r>
      <w:r w:rsidRPr="0077414C">
        <w:t xml:space="preserve"> were within the</w:t>
      </w:r>
      <w:r w:rsidRPr="00975AD8">
        <w:t xml:space="preserve"> acceptance interval (80.00%</w:t>
      </w:r>
      <w:r w:rsidR="00F33893">
        <w:t xml:space="preserve"> to </w:t>
      </w:r>
      <w:r w:rsidRPr="00975AD8">
        <w:t>125.00%) for the comparisons of infliximab-Pfizer with infliximab-EU and infliximab-US, respectively. The infliximab-EU and infliximab-US were also demonstrated to be bioequivalent based on the pre-specified acceptance interval.</w:t>
      </w:r>
    </w:p>
    <w:p w14:paraId="676F3D41" w14:textId="2528449F" w:rsidR="009804C7" w:rsidRPr="00975AD8" w:rsidRDefault="009804C7" w:rsidP="00975AD8">
      <w:r w:rsidRPr="00975AD8">
        <w:t>The Australian innovator infliximab product, R</w:t>
      </w:r>
      <w:r w:rsidR="00F33893">
        <w:t>emicade</w:t>
      </w:r>
      <w:r w:rsidRPr="00975AD8">
        <w:t>, was not used in the comparative PK study. The sponsor has provided a justification for not providing appropriate biopharmaceutic studies to demonstrate that the Australian innovator infliximab product, R</w:t>
      </w:r>
      <w:r w:rsidR="002D1A10">
        <w:t>emicade</w:t>
      </w:r>
      <w:r w:rsidRPr="00975AD8">
        <w:t>, is biosimilar to:</w:t>
      </w:r>
    </w:p>
    <w:p w14:paraId="318DE611" w14:textId="77777777" w:rsidR="009804C7" w:rsidRPr="004C0F13" w:rsidRDefault="009804C7" w:rsidP="002D1A10">
      <w:pPr>
        <w:pStyle w:val="ListBullet"/>
      </w:pPr>
      <w:r>
        <w:t xml:space="preserve">the infliximab products used in the comparative PK study, Study B5371001, which were </w:t>
      </w:r>
      <w:r w:rsidRPr="00EA08C1">
        <w:rPr>
          <w:rFonts w:eastAsia="TimesNewRoman" w:cs="TimesNewRoman"/>
        </w:rPr>
        <w:t>infliximab-EU (Remicade) and infliximab-US (Remicade)</w:t>
      </w:r>
    </w:p>
    <w:p w14:paraId="2BBFF2E4" w14:textId="679C52D8" w:rsidR="009804C7" w:rsidRPr="005568DB" w:rsidRDefault="009804C7" w:rsidP="002D1A10">
      <w:pPr>
        <w:pStyle w:val="ListBullet"/>
      </w:pPr>
      <w:r>
        <w:t xml:space="preserve">the reference infliximab used in the comparative clinical study, Study B5371002, which was </w:t>
      </w:r>
      <w:r w:rsidRPr="00EA08C1">
        <w:rPr>
          <w:rFonts w:eastAsia="TimesNewRoman" w:cs="TimesNewRoman"/>
        </w:rPr>
        <w:t>infliximab-EU (Remicade)</w:t>
      </w:r>
      <w:r w:rsidR="00370F73">
        <w:rPr>
          <w:rFonts w:eastAsia="TimesNewRoman" w:cs="TimesNewRoman"/>
        </w:rPr>
        <w:t>.</w:t>
      </w:r>
    </w:p>
    <w:p w14:paraId="7DD5F110" w14:textId="77777777" w:rsidR="009804C7" w:rsidRDefault="009804C7" w:rsidP="009804C7">
      <w:pPr>
        <w:rPr>
          <w:lang w:eastAsia="ja-JP"/>
        </w:rPr>
      </w:pPr>
      <w:r>
        <w:rPr>
          <w:lang w:eastAsia="ja-JP"/>
        </w:rPr>
        <w:t>The sponsor highlights that bioavailability studies are not required for the proposed medicine as it is a biosimilar medicine and is administered intravenously.</w:t>
      </w:r>
    </w:p>
    <w:p w14:paraId="138DE3A8" w14:textId="5BE97B2A" w:rsidR="009804C7" w:rsidRPr="00A74679" w:rsidRDefault="009804C7" w:rsidP="009804C7">
      <w:pPr>
        <w:shd w:val="clear" w:color="auto" w:fill="FFFFFF"/>
        <w:rPr>
          <w:rFonts w:eastAsia="Times New Roman" w:cs="Segoe UI"/>
          <w:color w:val="313131"/>
          <w:lang w:eastAsia="en-AU"/>
        </w:rPr>
      </w:pPr>
      <w:r w:rsidRPr="00C4437F">
        <w:rPr>
          <w:lang w:eastAsia="ja-JP"/>
        </w:rPr>
        <w:t xml:space="preserve">Based on the TGA reference medicines requirements </w:t>
      </w:r>
      <w:r>
        <w:rPr>
          <w:lang w:eastAsia="ja-JP"/>
        </w:rPr>
        <w:t>in the guidance</w:t>
      </w:r>
      <w:r w:rsidR="00680017">
        <w:rPr>
          <w:lang w:eastAsia="ja-JP"/>
        </w:rPr>
        <w:t xml:space="preserve">, </w:t>
      </w:r>
      <w:r w:rsidRPr="00C4437F">
        <w:rPr>
          <w:lang w:eastAsia="ja-JP"/>
        </w:rPr>
        <w:t xml:space="preserve">where a reference medicine is used in a comparability study that has not been </w:t>
      </w:r>
      <w:r w:rsidRPr="00A74679">
        <w:rPr>
          <w:rFonts w:eastAsia="Times New Roman" w:cs="Segoe UI"/>
          <w:color w:val="313131"/>
          <w:lang w:eastAsia="en-AU"/>
        </w:rPr>
        <w:t>registered in Australia, the following requirements</w:t>
      </w:r>
      <w:r w:rsidRPr="00C4437F">
        <w:rPr>
          <w:rFonts w:eastAsia="Times New Roman" w:cs="Segoe UI"/>
          <w:color w:val="313131"/>
          <w:lang w:eastAsia="en-AU"/>
        </w:rPr>
        <w:t xml:space="preserve"> must be met</w:t>
      </w:r>
      <w:r w:rsidRPr="00A74679">
        <w:rPr>
          <w:rFonts w:eastAsia="Times New Roman" w:cs="Segoe UI"/>
          <w:color w:val="313131"/>
          <w:lang w:eastAsia="en-AU"/>
        </w:rPr>
        <w:t>:</w:t>
      </w:r>
    </w:p>
    <w:p w14:paraId="45636CC9" w14:textId="76C900EA" w:rsidR="009804C7" w:rsidRPr="00A74679" w:rsidRDefault="00C36A80" w:rsidP="004520CF">
      <w:pPr>
        <w:pStyle w:val="ListBullet"/>
        <w:rPr>
          <w:lang w:eastAsia="en-AU"/>
        </w:rPr>
      </w:pPr>
      <w:r w:rsidRPr="00A74679">
        <w:rPr>
          <w:lang w:eastAsia="en-AU"/>
        </w:rPr>
        <w:t>The</w:t>
      </w:r>
      <w:r w:rsidR="009804C7" w:rsidRPr="00A74679">
        <w:rPr>
          <w:lang w:eastAsia="en-AU"/>
        </w:rPr>
        <w:t xml:space="preserve"> reference medicine must be approved for general marketing by a regulatory authority with similar scientific and regulatory standards as TGA (for example, </w:t>
      </w:r>
      <w:r w:rsidR="004520CF">
        <w:rPr>
          <w:lang w:eastAsia="en-AU"/>
        </w:rPr>
        <w:t xml:space="preserve">European Medicines </w:t>
      </w:r>
      <w:r w:rsidR="004520CF" w:rsidRPr="00E303B0">
        <w:rPr>
          <w:lang w:eastAsia="en-AU"/>
        </w:rPr>
        <w:t>Agency (</w:t>
      </w:r>
      <w:r w:rsidR="009804C7" w:rsidRPr="00E303B0">
        <w:rPr>
          <w:lang w:eastAsia="en-AU"/>
        </w:rPr>
        <w:t>EMA</w:t>
      </w:r>
      <w:r w:rsidR="004520CF" w:rsidRPr="00E303B0">
        <w:rPr>
          <w:lang w:eastAsia="en-AU"/>
        </w:rPr>
        <w:t>)</w:t>
      </w:r>
      <w:r w:rsidR="009804C7" w:rsidRPr="00E303B0">
        <w:rPr>
          <w:lang w:eastAsia="en-AU"/>
        </w:rPr>
        <w:t xml:space="preserve"> or US </w:t>
      </w:r>
      <w:r w:rsidR="004520CF" w:rsidRPr="00E303B0">
        <w:rPr>
          <w:lang w:eastAsia="en-AU"/>
        </w:rPr>
        <w:t>Food and Drug Administration (</w:t>
      </w:r>
      <w:r w:rsidR="009804C7" w:rsidRPr="00E303B0">
        <w:rPr>
          <w:lang w:eastAsia="en-AU"/>
        </w:rPr>
        <w:t>FDA</w:t>
      </w:r>
      <w:r w:rsidR="004520CF" w:rsidRPr="00E303B0">
        <w:rPr>
          <w:lang w:eastAsia="en-AU"/>
        </w:rPr>
        <w:t>)</w:t>
      </w:r>
      <w:r w:rsidR="009804C7" w:rsidRPr="00E303B0">
        <w:rPr>
          <w:lang w:eastAsia="en-AU"/>
        </w:rPr>
        <w:t>)</w:t>
      </w:r>
    </w:p>
    <w:p w14:paraId="1251432C" w14:textId="77772BB7" w:rsidR="009804C7" w:rsidRPr="00C4437F" w:rsidRDefault="00C36A80" w:rsidP="004520CF">
      <w:pPr>
        <w:pStyle w:val="ListBullet"/>
        <w:rPr>
          <w:lang w:eastAsia="en-AU"/>
        </w:rPr>
      </w:pPr>
      <w:r>
        <w:rPr>
          <w:lang w:eastAsia="en-AU"/>
        </w:rPr>
        <w:t>A</w:t>
      </w:r>
      <w:r w:rsidR="009804C7" w:rsidRPr="00C4437F">
        <w:rPr>
          <w:lang w:eastAsia="en-AU"/>
        </w:rPr>
        <w:t xml:space="preserve"> bridging study must be provided to demonstrate that the comparability studies are relevant to the Australian reference medicine (this bridging study may be abridged or omitted if you include evidence that the medicine is manufactured in a single site for global distribution)</w:t>
      </w:r>
      <w:r w:rsidR="00670C78">
        <w:rPr>
          <w:lang w:eastAsia="en-AU"/>
        </w:rPr>
        <w:t>.</w:t>
      </w:r>
    </w:p>
    <w:p w14:paraId="5DE73A5C" w14:textId="1A72A151" w:rsidR="0025346C" w:rsidRPr="00392182" w:rsidRDefault="009804C7" w:rsidP="00392182">
      <w:r w:rsidRPr="00392182">
        <w:t>The sponsor state</w:t>
      </w:r>
      <w:r w:rsidR="00392182">
        <w:t>d</w:t>
      </w:r>
      <w:r w:rsidRPr="00392182">
        <w:t xml:space="preserve"> that</w:t>
      </w:r>
      <w:r w:rsidR="00392182">
        <w:t>:</w:t>
      </w:r>
    </w:p>
    <w:p w14:paraId="3024AAEA" w14:textId="185FB514" w:rsidR="00392182" w:rsidRPr="00392182" w:rsidRDefault="009804C7" w:rsidP="00392182">
      <w:pPr>
        <w:ind w:left="720"/>
        <w:rPr>
          <w:i/>
          <w:iCs/>
        </w:rPr>
      </w:pPr>
      <w:r w:rsidRPr="00392182">
        <w:rPr>
          <w:i/>
          <w:iCs/>
        </w:rPr>
        <w:t xml:space="preserve">A scientific </w:t>
      </w:r>
      <w:r w:rsidR="002A0D59" w:rsidRPr="00392182">
        <w:rPr>
          <w:i/>
          <w:iCs/>
        </w:rPr>
        <w:t>‘</w:t>
      </w:r>
      <w:r w:rsidRPr="00392182">
        <w:rPr>
          <w:i/>
          <w:iCs/>
        </w:rPr>
        <w:t>bridge</w:t>
      </w:r>
      <w:r w:rsidR="002A0D59" w:rsidRPr="00392182">
        <w:rPr>
          <w:i/>
          <w:iCs/>
        </w:rPr>
        <w:t>’</w:t>
      </w:r>
      <w:r w:rsidRPr="00392182">
        <w:rPr>
          <w:i/>
          <w:iCs/>
        </w:rPr>
        <w:t xml:space="preserve"> was established between Remicade-US and Remicade-EU in that the </w:t>
      </w:r>
      <w:r w:rsidR="002A0D59" w:rsidRPr="00392182">
        <w:rPr>
          <w:i/>
          <w:iCs/>
        </w:rPr>
        <w:t>2</w:t>
      </w:r>
      <w:r w:rsidRPr="00392182">
        <w:rPr>
          <w:i/>
          <w:iCs/>
        </w:rPr>
        <w:t xml:space="preserve"> products were demonstrated to be indistinguishable at the analytical and clinical PK data levels. This scientific </w:t>
      </w:r>
      <w:r w:rsidR="002A0D59" w:rsidRPr="00392182">
        <w:rPr>
          <w:i/>
          <w:iCs/>
        </w:rPr>
        <w:t>‘</w:t>
      </w:r>
      <w:r w:rsidRPr="00392182">
        <w:rPr>
          <w:i/>
          <w:iCs/>
        </w:rPr>
        <w:t>bridge</w:t>
      </w:r>
      <w:r w:rsidR="002A0D59" w:rsidRPr="00392182">
        <w:rPr>
          <w:i/>
          <w:iCs/>
        </w:rPr>
        <w:t>’</w:t>
      </w:r>
      <w:r w:rsidRPr="00392182">
        <w:rPr>
          <w:i/>
          <w:iCs/>
        </w:rPr>
        <w:t xml:space="preserve"> provides justification for the interchangeable use of Remicade</w:t>
      </w:r>
      <w:r w:rsidR="007F5ABA">
        <w:rPr>
          <w:i/>
          <w:iCs/>
        </w:rPr>
        <w:noBreakHyphen/>
      </w:r>
      <w:r w:rsidRPr="00392182">
        <w:rPr>
          <w:i/>
          <w:iCs/>
        </w:rPr>
        <w:t>US and Remicade-EU in the clinical development program.</w:t>
      </w:r>
    </w:p>
    <w:p w14:paraId="528AB4E4" w14:textId="0A50C69C" w:rsidR="009804C7" w:rsidRPr="000534B3" w:rsidRDefault="009804C7" w:rsidP="000534B3">
      <w:r w:rsidRPr="000534B3">
        <w:t>In Study B5371001, the comparative PK study, infliximab-EU and infliximab-US were demonstrated to be bioequivalent based on the pre-specified acceptance interval. The sponsor has presented information in relation to Remicade-EU, Remicade-US and Remicade-AU to demonstrate that they are the same product. This justification is based on similarities between Remicade-EU, Remicade-US and Remicade-AU in relation to trade name, sponsor, active ingredient quantity, excipients, product description, indications, manufacturer and manufacturing site. This justification was reasonable to the clinical evaluat</w:t>
      </w:r>
      <w:r w:rsidR="00895F2A" w:rsidRPr="000534B3">
        <w:t>ion.</w:t>
      </w:r>
    </w:p>
    <w:p w14:paraId="2E4A7ABA" w14:textId="77777777" w:rsidR="009804C7" w:rsidRDefault="009804C7" w:rsidP="00D36606">
      <w:pPr>
        <w:pStyle w:val="Heading6"/>
      </w:pPr>
      <w:r>
        <w:t>Study B5371004</w:t>
      </w:r>
    </w:p>
    <w:p w14:paraId="7A52FA9F" w14:textId="5086959C" w:rsidR="009804C7" w:rsidRPr="000534B3" w:rsidRDefault="009804C7" w:rsidP="000534B3">
      <w:r w:rsidRPr="000534B3">
        <w:t xml:space="preserve">Study B5371004 was a Phase </w:t>
      </w:r>
      <w:r w:rsidR="000534B3">
        <w:t>I</w:t>
      </w:r>
      <w:r w:rsidRPr="000534B3">
        <w:t>, single</w:t>
      </w:r>
      <w:r w:rsidR="000534B3">
        <w:t xml:space="preserve"> </w:t>
      </w:r>
      <w:r w:rsidRPr="000534B3">
        <w:t>arm, single</w:t>
      </w:r>
      <w:r w:rsidR="000534B3">
        <w:t xml:space="preserve"> </w:t>
      </w:r>
      <w:r w:rsidRPr="000534B3">
        <w:t>dose, open</w:t>
      </w:r>
      <w:r w:rsidR="000534B3">
        <w:t xml:space="preserve"> </w:t>
      </w:r>
      <w:r w:rsidRPr="000534B3">
        <w:t>label, pilot PK variability study. The primary objective of Study B5371004 was to assess the inter-subject variability in single dose PKs of infliximab in healthy subjects.</w:t>
      </w:r>
    </w:p>
    <w:p w14:paraId="5C65A9C9" w14:textId="77777777" w:rsidR="009804C7" w:rsidRDefault="009804C7" w:rsidP="00D36606">
      <w:pPr>
        <w:pStyle w:val="Heading6"/>
      </w:pPr>
      <w:r>
        <w:lastRenderedPageBreak/>
        <w:t>Study B5371002</w:t>
      </w:r>
    </w:p>
    <w:p w14:paraId="432F5FF5" w14:textId="77777777" w:rsidR="009804C7" w:rsidRPr="003C2445" w:rsidRDefault="009804C7" w:rsidP="003C2445">
      <w:r w:rsidRPr="003C2445">
        <w:t>Study B5371002 was the comparative clinical study. The PK endpoint was serum drug concentrations. It is indicated that this was a secondary endpoint of the study.</w:t>
      </w:r>
    </w:p>
    <w:p w14:paraId="0B810EFA" w14:textId="77777777" w:rsidR="009804C7" w:rsidRPr="003C2445" w:rsidRDefault="009804C7" w:rsidP="003C2445">
      <w:r w:rsidRPr="003C2445">
        <w:t>Blood samples were collected to measure drug concentrations of infliximab in serum. The blood samples were collected at the following time points: within 4 hours prior to dose administration at Weeks 0, 2, 6, 14, 22, 30, 38, 54, and 62, within 5 minutes prior to the end of the infusion at Weeks 0 and 14, and anytime during the study visits at Weeks 4 and 78.</w:t>
      </w:r>
    </w:p>
    <w:p w14:paraId="301AB693" w14:textId="1C9F6BC1" w:rsidR="009804C7" w:rsidRPr="0001301D" w:rsidRDefault="009804C7" w:rsidP="0001301D">
      <w:r w:rsidRPr="00243BC7">
        <w:t>Serum samples were assayed using an enzyme-linked immunosorbent assay (ELISA). It is reported that the ELISA used is validated.</w:t>
      </w:r>
      <w:r w:rsidR="005E68C1">
        <w:t xml:space="preserve"> </w:t>
      </w:r>
      <w:r w:rsidRPr="00243BC7">
        <w:t xml:space="preserve">In </w:t>
      </w:r>
      <w:r w:rsidR="000267EC" w:rsidRPr="00243BC7">
        <w:t>T</w:t>
      </w:r>
      <w:r w:rsidR="00AA36DF" w:rsidRPr="00243BC7">
        <w:t xml:space="preserve">reatment </w:t>
      </w:r>
      <w:r w:rsidR="000267EC" w:rsidRPr="00243BC7">
        <w:t>P</w:t>
      </w:r>
      <w:r w:rsidR="00AA36DF" w:rsidRPr="00243BC7">
        <w:t>eriod</w:t>
      </w:r>
      <w:r w:rsidR="00B56855" w:rsidRPr="00243BC7">
        <w:t> </w:t>
      </w:r>
      <w:r w:rsidRPr="00243BC7">
        <w:t>1, based on the PK population, the serum concentration-time profiles for PF</w:t>
      </w:r>
      <w:r w:rsidR="00AA36DF" w:rsidRPr="00243BC7">
        <w:noBreakHyphen/>
      </w:r>
      <w:r w:rsidRPr="00243BC7">
        <w:t>06438179</w:t>
      </w:r>
      <w:r w:rsidR="002631D6" w:rsidRPr="00243BC7">
        <w:t xml:space="preserve"> </w:t>
      </w:r>
      <w:r w:rsidRPr="00243BC7">
        <w:t xml:space="preserve">and infliximab-EU were similar. The median </w:t>
      </w:r>
      <w:r w:rsidR="009279E2" w:rsidRPr="00243BC7">
        <w:t>trough concentration (</w:t>
      </w:r>
      <w:proofErr w:type="spellStart"/>
      <w:r w:rsidRPr="00243BC7">
        <w:t>C</w:t>
      </w:r>
      <w:r w:rsidRPr="00243BC7">
        <w:rPr>
          <w:vertAlign w:val="subscript"/>
        </w:rPr>
        <w:t>trough</w:t>
      </w:r>
      <w:proofErr w:type="spellEnd"/>
      <w:r w:rsidR="009279E2" w:rsidRPr="00243BC7">
        <w:t>)</w:t>
      </w:r>
      <w:r w:rsidRPr="00243BC7">
        <w:t xml:space="preserve"> and </w:t>
      </w:r>
      <w:proofErr w:type="spellStart"/>
      <w:r w:rsidRPr="00243BC7">
        <w:t>C</w:t>
      </w:r>
      <w:r w:rsidRPr="00243BC7">
        <w:rPr>
          <w:vertAlign w:val="subscript"/>
        </w:rPr>
        <w:t>max</w:t>
      </w:r>
      <w:proofErr w:type="spellEnd"/>
      <w:r w:rsidRPr="00243BC7">
        <w:t xml:space="preserve"> values, and their respective ranges, were generally similar for each treatment group at each assessment time point as was the effect of the presence of </w:t>
      </w:r>
      <w:r w:rsidR="001538DD" w:rsidRPr="00243BC7">
        <w:t>antidrug antibodies (</w:t>
      </w:r>
      <w:r w:rsidRPr="00243BC7">
        <w:t>ADA</w:t>
      </w:r>
      <w:r w:rsidR="001538DD" w:rsidRPr="00243BC7">
        <w:t>)</w:t>
      </w:r>
      <w:r w:rsidRPr="00243BC7">
        <w:t>. In each</w:t>
      </w:r>
      <w:r w:rsidRPr="0001301D">
        <w:t xml:space="preserve"> treatment group, the median </w:t>
      </w:r>
      <w:proofErr w:type="spellStart"/>
      <w:r w:rsidRPr="0001301D">
        <w:t>C</w:t>
      </w:r>
      <w:r w:rsidRPr="001538DD">
        <w:rPr>
          <w:vertAlign w:val="subscript"/>
        </w:rPr>
        <w:t>trough</w:t>
      </w:r>
      <w:proofErr w:type="spellEnd"/>
      <w:r w:rsidRPr="0001301D">
        <w:t xml:space="preserve"> and </w:t>
      </w:r>
      <w:proofErr w:type="spellStart"/>
      <w:r w:rsidRPr="0001301D">
        <w:t>C</w:t>
      </w:r>
      <w:r w:rsidRPr="001538DD">
        <w:rPr>
          <w:vertAlign w:val="subscript"/>
        </w:rPr>
        <w:t>max</w:t>
      </w:r>
      <w:proofErr w:type="spellEnd"/>
      <w:r w:rsidRPr="0001301D">
        <w:t xml:space="preserve"> values at each assessment time point were lower in subjects who were ADA positive compared with the subjects who were ADA negative. Based on </w:t>
      </w:r>
      <w:r w:rsidR="000267EC">
        <w:t>T</w:t>
      </w:r>
      <w:r w:rsidR="00B56855">
        <w:t xml:space="preserve">reatment </w:t>
      </w:r>
      <w:r w:rsidR="000267EC">
        <w:t>P</w:t>
      </w:r>
      <w:r w:rsidR="00B56855">
        <w:t>eriod </w:t>
      </w:r>
      <w:r w:rsidRPr="0001301D">
        <w:t xml:space="preserve">2 PK population, and observed data, during </w:t>
      </w:r>
      <w:r w:rsidR="000267EC">
        <w:t>T</w:t>
      </w:r>
      <w:r w:rsidR="00B56855">
        <w:t xml:space="preserve">reatment </w:t>
      </w:r>
      <w:r w:rsidR="000267EC">
        <w:t>P</w:t>
      </w:r>
      <w:r w:rsidR="00B56855">
        <w:t>eriod 2</w:t>
      </w:r>
      <w:r w:rsidRPr="0001301D">
        <w:t xml:space="preserve">, between the treatment groups, there was variability in the median </w:t>
      </w:r>
      <w:proofErr w:type="spellStart"/>
      <w:r w:rsidRPr="0001301D">
        <w:t>C</w:t>
      </w:r>
      <w:r w:rsidRPr="00B56855">
        <w:rPr>
          <w:vertAlign w:val="subscript"/>
        </w:rPr>
        <w:t>trough</w:t>
      </w:r>
      <w:proofErr w:type="spellEnd"/>
      <w:r w:rsidRPr="0001301D">
        <w:t xml:space="preserve"> values at Week 38, Week 46 and Week 54. Based on all subjects in the </w:t>
      </w:r>
      <w:r w:rsidR="000267EC">
        <w:t>T</w:t>
      </w:r>
      <w:r w:rsidR="00B56855">
        <w:t xml:space="preserve">reatment </w:t>
      </w:r>
      <w:r w:rsidR="000267EC">
        <w:t>P</w:t>
      </w:r>
      <w:r w:rsidR="00B56855">
        <w:t>eriod </w:t>
      </w:r>
      <w:r w:rsidRPr="0001301D">
        <w:t xml:space="preserve">3 PK population, the median </w:t>
      </w:r>
      <w:proofErr w:type="spellStart"/>
      <w:r w:rsidRPr="0001301D">
        <w:t>C</w:t>
      </w:r>
      <w:r w:rsidRPr="00B56855">
        <w:rPr>
          <w:vertAlign w:val="subscript"/>
        </w:rPr>
        <w:t>trough</w:t>
      </w:r>
      <w:proofErr w:type="spellEnd"/>
      <w:r w:rsidRPr="0001301D">
        <w:t xml:space="preserve"> values were different between the treatment groups at Week 54, Week 62 and Week 78/</w:t>
      </w:r>
      <w:r w:rsidR="006A1706">
        <w:t>end of treatment</w:t>
      </w:r>
      <w:r w:rsidRPr="0001301D">
        <w:t>/</w:t>
      </w:r>
      <w:r w:rsidR="006A1706">
        <w:t>early termination</w:t>
      </w:r>
      <w:r w:rsidRPr="0001301D">
        <w:t>, respectively. The %CV values were high.</w:t>
      </w:r>
    </w:p>
    <w:p w14:paraId="0BDB01A5" w14:textId="27E9CF53" w:rsidR="009804C7" w:rsidRPr="0001301D" w:rsidRDefault="009804C7" w:rsidP="0001301D">
      <w:r w:rsidRPr="0001301D">
        <w:t>In subjects who received a dose escalation from 3</w:t>
      </w:r>
      <w:r w:rsidR="004D4C9E">
        <w:t> </w:t>
      </w:r>
      <w:r w:rsidRPr="0001301D">
        <w:t>mg/kg to 5</w:t>
      </w:r>
      <w:r w:rsidR="004D4C9E">
        <w:t> </w:t>
      </w:r>
      <w:r w:rsidRPr="0001301D">
        <w:t xml:space="preserve">mg/kg during </w:t>
      </w:r>
      <w:r w:rsidR="000267EC">
        <w:t>T</w:t>
      </w:r>
      <w:r w:rsidR="004D4C9E">
        <w:t xml:space="preserve">reatment </w:t>
      </w:r>
      <w:r w:rsidR="000267EC">
        <w:t>P</w:t>
      </w:r>
      <w:r w:rsidR="004D4C9E">
        <w:t>eriod </w:t>
      </w:r>
      <w:r w:rsidRPr="0001301D">
        <w:t>1, the median pre-dose serum concentrations in each treatment group were generally similar. In subjects who did not receive a dose escalation, the median pre-dose serum concentrations in each treatment group were also generally similar.</w:t>
      </w:r>
    </w:p>
    <w:p w14:paraId="4146F70E" w14:textId="3E253261" w:rsidR="009804C7" w:rsidRDefault="009804C7" w:rsidP="009804C7">
      <w:r w:rsidRPr="0001301D">
        <w:t xml:space="preserve">Based on the PK results for </w:t>
      </w:r>
      <w:r w:rsidR="000267EC">
        <w:t>T</w:t>
      </w:r>
      <w:r w:rsidR="002065C1">
        <w:t xml:space="preserve">reatment </w:t>
      </w:r>
      <w:r w:rsidR="000267EC">
        <w:t>P</w:t>
      </w:r>
      <w:r w:rsidR="002065C1">
        <w:t>eriod </w:t>
      </w:r>
      <w:r w:rsidRPr="0001301D">
        <w:t xml:space="preserve">1, small differences in the results for </w:t>
      </w:r>
      <w:proofErr w:type="spellStart"/>
      <w:r w:rsidRPr="0001301D">
        <w:t>C</w:t>
      </w:r>
      <w:r w:rsidRPr="002065C1">
        <w:rPr>
          <w:vertAlign w:val="subscript"/>
        </w:rPr>
        <w:t>trough</w:t>
      </w:r>
      <w:proofErr w:type="spellEnd"/>
      <w:r w:rsidRPr="0001301D">
        <w:t xml:space="preserve"> and </w:t>
      </w:r>
      <w:proofErr w:type="spellStart"/>
      <w:r w:rsidRPr="0001301D">
        <w:t>C</w:t>
      </w:r>
      <w:r w:rsidRPr="002065C1">
        <w:rPr>
          <w:vertAlign w:val="subscript"/>
        </w:rPr>
        <w:t>max</w:t>
      </w:r>
      <w:proofErr w:type="spellEnd"/>
      <w:r w:rsidRPr="0001301D">
        <w:t xml:space="preserve"> between the proposed biosimilar product PF-06438179</w:t>
      </w:r>
      <w:r w:rsidR="002631D6">
        <w:t xml:space="preserve"> </w:t>
      </w:r>
      <w:r w:rsidRPr="0001301D">
        <w:t xml:space="preserve">and infliximab-EU (Remicade) do not suggest potential safety and efficacy differences for any of the proposed indications. In </w:t>
      </w:r>
      <w:r w:rsidR="000267EC">
        <w:t>T</w:t>
      </w:r>
      <w:r w:rsidR="002065C1">
        <w:t xml:space="preserve">reatment </w:t>
      </w:r>
      <w:r w:rsidR="000267EC">
        <w:t>P</w:t>
      </w:r>
      <w:r w:rsidR="002065C1">
        <w:t>eriod </w:t>
      </w:r>
      <w:r w:rsidRPr="0001301D">
        <w:t xml:space="preserve">2 and </w:t>
      </w:r>
      <w:r w:rsidR="000267EC">
        <w:t>T</w:t>
      </w:r>
      <w:r w:rsidR="002065C1">
        <w:t xml:space="preserve">reatment </w:t>
      </w:r>
      <w:r w:rsidR="000267EC">
        <w:t>P</w:t>
      </w:r>
      <w:r w:rsidR="002065C1">
        <w:t>eriod </w:t>
      </w:r>
      <w:r w:rsidRPr="0001301D">
        <w:t xml:space="preserve">3, there was variability in the median </w:t>
      </w:r>
      <w:proofErr w:type="spellStart"/>
      <w:r w:rsidRPr="0001301D">
        <w:t>C</w:t>
      </w:r>
      <w:r w:rsidRPr="00270F3B">
        <w:rPr>
          <w:vertAlign w:val="subscript"/>
        </w:rPr>
        <w:t>trough</w:t>
      </w:r>
      <w:proofErr w:type="spellEnd"/>
      <w:r w:rsidRPr="00270F3B">
        <w:rPr>
          <w:vertAlign w:val="subscript"/>
        </w:rPr>
        <w:t xml:space="preserve"> </w:t>
      </w:r>
      <w:r w:rsidRPr="0001301D">
        <w:t>values and differences between the treatment groups. It is difficult to interpret whether these differences between the treatment groups suggest potential safety and efficacy differences associated with switching infliximab products compared with continuing treatment with the same product.</w:t>
      </w:r>
    </w:p>
    <w:p w14:paraId="5A80AE60" w14:textId="3D9DACAF" w:rsidR="009804C7" w:rsidRDefault="009804C7" w:rsidP="00D36606">
      <w:pPr>
        <w:pStyle w:val="Heading5"/>
      </w:pPr>
      <w:r w:rsidRPr="00AA53F4">
        <w:t>Pharmacodynamics</w:t>
      </w:r>
    </w:p>
    <w:p w14:paraId="15AE6DFF" w14:textId="44695CC8" w:rsidR="009804C7" w:rsidRPr="00270F3B" w:rsidRDefault="009804C7" w:rsidP="00270F3B">
      <w:r w:rsidRPr="00270F3B">
        <w:t>A secondary objective of Study B5371002 was to evaluate the pharmacodynamic response to PF-06438179 and infliximab-EU.</w:t>
      </w:r>
    </w:p>
    <w:p w14:paraId="2CB2AA72" w14:textId="32AEAE87" w:rsidR="009804C7" w:rsidRPr="00B3592B" w:rsidRDefault="009804C7" w:rsidP="009804C7">
      <w:r w:rsidRPr="00270F3B">
        <w:t xml:space="preserve">The pharmacodynamic endpoint was the serum </w:t>
      </w:r>
      <w:r w:rsidR="0009700A">
        <w:t>high sensit</w:t>
      </w:r>
      <w:r w:rsidR="006816E6">
        <w:t xml:space="preserve">ivity C-reactive </w:t>
      </w:r>
      <w:r w:rsidR="006816E6" w:rsidRPr="006E21D4">
        <w:t>protein (</w:t>
      </w:r>
      <w:proofErr w:type="spellStart"/>
      <w:r w:rsidRPr="006E21D4">
        <w:t>hs</w:t>
      </w:r>
      <w:proofErr w:type="spellEnd"/>
      <w:r w:rsidRPr="006E21D4">
        <w:t>-CRP</w:t>
      </w:r>
      <w:r w:rsidR="006816E6" w:rsidRPr="006E21D4">
        <w:t>)</w:t>
      </w:r>
      <w:r w:rsidRPr="00270F3B">
        <w:t xml:space="preserve"> concentration. At each assessment time point the median serum </w:t>
      </w:r>
      <w:proofErr w:type="spellStart"/>
      <w:r w:rsidRPr="00270F3B">
        <w:t>hs</w:t>
      </w:r>
      <w:proofErr w:type="spellEnd"/>
      <w:r w:rsidRPr="00270F3B">
        <w:t>-CRP concentration was similar for each treatment group. The median decrease from study baseline was also similar for each treatment group at each of the assessment time points. Overall</w:t>
      </w:r>
      <w:r w:rsidR="006816E6">
        <w:t>,</w:t>
      </w:r>
      <w:r w:rsidRPr="00270F3B">
        <w:t xml:space="preserve"> the evaluat</w:t>
      </w:r>
      <w:r w:rsidR="006816E6">
        <w:t xml:space="preserve">ion </w:t>
      </w:r>
      <w:r w:rsidRPr="00270F3B">
        <w:t xml:space="preserve">concluded that the effect of each study treatment on </w:t>
      </w:r>
      <w:proofErr w:type="spellStart"/>
      <w:r w:rsidRPr="00270F3B">
        <w:t>hs</w:t>
      </w:r>
      <w:proofErr w:type="spellEnd"/>
      <w:r w:rsidRPr="00270F3B">
        <w:t>-CRP concentrations was similar in each of the three treatment periods.</w:t>
      </w:r>
    </w:p>
    <w:p w14:paraId="5D41B466" w14:textId="77777777" w:rsidR="009804C7" w:rsidRDefault="009804C7" w:rsidP="009804C7">
      <w:pPr>
        <w:pStyle w:val="Heading4"/>
      </w:pPr>
      <w:bookmarkStart w:id="48" w:name="_Toc225166227"/>
      <w:r w:rsidRPr="00AA53F4">
        <w:t>Efficacy</w:t>
      </w:r>
      <w:bookmarkEnd w:id="48"/>
    </w:p>
    <w:p w14:paraId="2A521552" w14:textId="5C8CF4B5" w:rsidR="009804C7" w:rsidRPr="000D242A" w:rsidRDefault="009804C7" w:rsidP="000D242A">
      <w:r w:rsidRPr="000D242A">
        <w:t xml:space="preserve">Study B5371002 was the pivotal Phase </w:t>
      </w:r>
      <w:r w:rsidR="000D242A">
        <w:t>III</w:t>
      </w:r>
      <w:r w:rsidRPr="000D242A">
        <w:t>, randomised, double</w:t>
      </w:r>
      <w:r w:rsidR="009E2C17">
        <w:t xml:space="preserve"> </w:t>
      </w:r>
      <w:r w:rsidRPr="000D242A">
        <w:t>blind, 2-arm, parallel group study.</w:t>
      </w:r>
    </w:p>
    <w:p w14:paraId="2A08A263" w14:textId="7332D3BA" w:rsidR="009804C7" w:rsidRPr="000D242A" w:rsidRDefault="009804C7" w:rsidP="000D242A">
      <w:r w:rsidRPr="000D242A">
        <w:lastRenderedPageBreak/>
        <w:t>The primary objective of Study B5371002 was to compare the efficacy between</w:t>
      </w:r>
      <w:r w:rsidR="009F283A">
        <w:t xml:space="preserve"> </w:t>
      </w:r>
      <w:r w:rsidRPr="000D242A">
        <w:t>PF</w:t>
      </w:r>
      <w:r w:rsidR="00660EAD">
        <w:noBreakHyphen/>
      </w:r>
      <w:r w:rsidRPr="000D242A">
        <w:t>06438179 and infliximab-EU in subjects with moderately to severely active rheumatoid arthritis who are treated with infliximab in combination with methotrexate.</w:t>
      </w:r>
    </w:p>
    <w:p w14:paraId="284A8144" w14:textId="77777777" w:rsidR="009804C7" w:rsidRPr="00660EAD" w:rsidRDefault="009804C7" w:rsidP="00660EAD">
      <w:r w:rsidRPr="00660EAD">
        <w:t>The study had six secondary objectives:</w:t>
      </w:r>
    </w:p>
    <w:p w14:paraId="4D4DC440" w14:textId="698E7C45" w:rsidR="009804C7" w:rsidRDefault="009804C7" w:rsidP="00660EAD">
      <w:pPr>
        <w:pStyle w:val="ListBullet"/>
      </w:pPr>
      <w:r>
        <w:t>To evaluate the overall safety and tolerability of</w:t>
      </w:r>
      <w:r w:rsidR="002631D6">
        <w:t xml:space="preserve"> </w:t>
      </w:r>
      <w:r>
        <w:t>PF-06438179 and infliximab-EU.</w:t>
      </w:r>
    </w:p>
    <w:p w14:paraId="3B6EAE15" w14:textId="7839D46D" w:rsidR="009804C7" w:rsidRDefault="009804C7" w:rsidP="00660EAD">
      <w:pPr>
        <w:pStyle w:val="ListBullet"/>
      </w:pPr>
      <w:r>
        <w:t>To evaluate the immunogenicity of PF-06438179 and infliximab-EU.</w:t>
      </w:r>
    </w:p>
    <w:p w14:paraId="20192583" w14:textId="2C37037A" w:rsidR="009804C7" w:rsidRDefault="009804C7" w:rsidP="00660EAD">
      <w:pPr>
        <w:pStyle w:val="ListBullet"/>
      </w:pPr>
      <w:r>
        <w:t>To evaluate the overall safety, tolerability and immunogenicity of PF-06438179 after treatment transition from infliximab-EU to PF-06438179.</w:t>
      </w:r>
    </w:p>
    <w:p w14:paraId="7FC0C9CF" w14:textId="33AE1E9C" w:rsidR="009804C7" w:rsidRDefault="009804C7" w:rsidP="00660EAD">
      <w:pPr>
        <w:pStyle w:val="ListBullet"/>
      </w:pPr>
      <w:r>
        <w:t>To evaluate the population PK of PF-06438179and infliximab-EU.</w:t>
      </w:r>
    </w:p>
    <w:p w14:paraId="220B0562" w14:textId="49CA4660" w:rsidR="009804C7" w:rsidRDefault="009804C7" w:rsidP="00660EAD">
      <w:pPr>
        <w:pStyle w:val="ListBullet"/>
      </w:pPr>
      <w:r>
        <w:t>To evaluate the pharmacodynamic response to</w:t>
      </w:r>
      <w:r w:rsidR="00DF06F6">
        <w:t xml:space="preserve"> </w:t>
      </w:r>
      <w:r>
        <w:t>PF-06438179 and infliximab-EU.</w:t>
      </w:r>
    </w:p>
    <w:p w14:paraId="1BDA4BC2" w14:textId="70FBD3B5" w:rsidR="009804C7" w:rsidRDefault="009804C7" w:rsidP="00660EAD">
      <w:pPr>
        <w:pStyle w:val="ListBullet"/>
      </w:pPr>
      <w:r>
        <w:t>To evaluate the individual American College of Rheumatolo</w:t>
      </w:r>
      <w:r w:rsidRPr="003203AB">
        <w:t xml:space="preserve">gy </w:t>
      </w:r>
      <w:r w:rsidR="0034366A" w:rsidRPr="003203AB">
        <w:t>(ACR)</w:t>
      </w:r>
      <w:r w:rsidR="0034366A">
        <w:t xml:space="preserve"> </w:t>
      </w:r>
      <w:r>
        <w:t>criteria parameters of clinical response to PF-06438179 and infliximab-EU</w:t>
      </w:r>
      <w:r w:rsidR="00D739C8">
        <w:t>.</w:t>
      </w:r>
    </w:p>
    <w:p w14:paraId="20990C13" w14:textId="07AD14CE" w:rsidR="009804C7" w:rsidRPr="004D08D5" w:rsidRDefault="009804C7" w:rsidP="00C71A77">
      <w:r w:rsidRPr="004D08D5">
        <w:t xml:space="preserve">In </w:t>
      </w:r>
      <w:r w:rsidR="00B00ED8">
        <w:t>T</w:t>
      </w:r>
      <w:r w:rsidR="004D08D5">
        <w:t xml:space="preserve">reatment </w:t>
      </w:r>
      <w:r w:rsidR="00B00ED8">
        <w:t>P</w:t>
      </w:r>
      <w:r w:rsidR="004D08D5">
        <w:t>eriod </w:t>
      </w:r>
      <w:r w:rsidRPr="004D08D5">
        <w:t>2, a unique secondary objective was assessed, which was the blinded evaluation of treatment transition from infliximab-EU to PF-06438179 at Week 30 (infliximab</w:t>
      </w:r>
      <w:r w:rsidR="00334F22">
        <w:noBreakHyphen/>
      </w:r>
      <w:r w:rsidRPr="004D08D5">
        <w:t>EU/</w:t>
      </w:r>
      <w:r w:rsidR="00CF39CF">
        <w:t xml:space="preserve"> </w:t>
      </w:r>
      <w:r w:rsidRPr="004D08D5">
        <w:t>PF-06438179), as compared with continued treatment with infliximab-EU (infliximab-EU/infliximab-EU).</w:t>
      </w:r>
    </w:p>
    <w:p w14:paraId="2A70EA07" w14:textId="77777777" w:rsidR="009804C7" w:rsidRPr="007B4A32" w:rsidRDefault="009804C7" w:rsidP="007B4A32">
      <w:r w:rsidRPr="007B4A32">
        <w:t>There were three study periods:</w:t>
      </w:r>
    </w:p>
    <w:p w14:paraId="48CEE011" w14:textId="28D4002B" w:rsidR="009804C7" w:rsidRDefault="009804C7" w:rsidP="007B4A32">
      <w:pPr>
        <w:pStyle w:val="ListBullet"/>
      </w:pPr>
      <w:r>
        <w:t>Treatment Period 1: This period commenced with the first dose of study drug on Week 0 (Day 1). It ended with the completion of the Week 30 pre-dose assessments.</w:t>
      </w:r>
    </w:p>
    <w:p w14:paraId="4376B7A1" w14:textId="402CD67D" w:rsidR="009804C7" w:rsidRDefault="009804C7" w:rsidP="007B4A32">
      <w:pPr>
        <w:pStyle w:val="ListBullet"/>
      </w:pPr>
      <w:r>
        <w:t>Treatment Period 2: This period commenced with the dosing on Week 30. It ended with the completion of the Week 54 pre-dose assessments.</w:t>
      </w:r>
    </w:p>
    <w:p w14:paraId="3C6F71F5" w14:textId="7C4F53A3" w:rsidR="009804C7" w:rsidRDefault="009804C7" w:rsidP="007B4A32">
      <w:pPr>
        <w:pStyle w:val="ListBullet"/>
      </w:pPr>
      <w:r>
        <w:t>Treatment Period 3: This period commenced with the dosing on Week 54. The end of treatment visit was on Week 78.</w:t>
      </w:r>
    </w:p>
    <w:p w14:paraId="30F421AA" w14:textId="0D55FBBD" w:rsidR="00F4778D" w:rsidRPr="00F4778D" w:rsidRDefault="00ED4DBB" w:rsidP="00C71A77">
      <w:pPr>
        <w:pStyle w:val="FigureTitle"/>
      </w:pPr>
      <w:r>
        <w:lastRenderedPageBreak/>
        <w:t xml:space="preserve">Figure </w:t>
      </w:r>
      <w:r>
        <w:fldChar w:fldCharType="begin"/>
      </w:r>
      <w:r>
        <w:instrText xml:space="preserve"> SEQ Figure \* ARABIC </w:instrText>
      </w:r>
      <w:r>
        <w:fldChar w:fldCharType="separate"/>
      </w:r>
      <w:r w:rsidR="002257B0">
        <w:rPr>
          <w:noProof/>
        </w:rPr>
        <w:t>1</w:t>
      </w:r>
      <w:r>
        <w:fldChar w:fldCharType="end"/>
      </w:r>
      <w:r>
        <w:t xml:space="preserve">: </w:t>
      </w:r>
      <w:r>
        <w:rPr>
          <w:lang w:eastAsia="ja-JP"/>
        </w:rPr>
        <w:t xml:space="preserve">Study </w:t>
      </w:r>
      <w:proofErr w:type="spellStart"/>
      <w:r w:rsidRPr="00C71A77">
        <w:t>B5371002</w:t>
      </w:r>
      <w:proofErr w:type="spellEnd"/>
      <w:r>
        <w:rPr>
          <w:lang w:eastAsia="ja-JP"/>
        </w:rPr>
        <w:t xml:space="preserve"> design schematic</w:t>
      </w:r>
    </w:p>
    <w:p w14:paraId="1A738F02" w14:textId="100A099C" w:rsidR="009804C7" w:rsidRDefault="005C5F87" w:rsidP="00C71A77">
      <w:pPr>
        <w:rPr>
          <w:lang w:eastAsia="ja-JP"/>
        </w:rPr>
      </w:pPr>
      <w:r w:rsidRPr="005C5F87">
        <w:rPr>
          <w:noProof/>
          <w:lang w:eastAsia="ja-JP"/>
        </w:rPr>
        <w:drawing>
          <wp:inline distT="0" distB="0" distL="0" distR="0" wp14:anchorId="6C1F6835" wp14:editId="03CFEA38">
            <wp:extent cx="5759450" cy="3778885"/>
            <wp:effectExtent l="0" t="0" r="0" b="0"/>
            <wp:docPr id="1814700617" name="Picture 1" descr="Figure 1: Study B5371002 design sche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00617" name="Picture 1" descr="Figure 1: Study B5371002 design schematic"/>
                    <pic:cNvPicPr/>
                  </pic:nvPicPr>
                  <pic:blipFill>
                    <a:blip r:embed="rId26"/>
                    <a:stretch>
                      <a:fillRect/>
                    </a:stretch>
                  </pic:blipFill>
                  <pic:spPr>
                    <a:xfrm>
                      <a:off x="0" y="0"/>
                      <a:ext cx="5759450" cy="3778885"/>
                    </a:xfrm>
                    <a:prstGeom prst="rect">
                      <a:avLst/>
                    </a:prstGeom>
                  </pic:spPr>
                </pic:pic>
              </a:graphicData>
            </a:graphic>
          </wp:inline>
        </w:drawing>
      </w:r>
    </w:p>
    <w:p w14:paraId="7717DFA4" w14:textId="68BE336E" w:rsidR="005C5F87" w:rsidRDefault="005C5F87" w:rsidP="00C71A77">
      <w:pPr>
        <w:pStyle w:val="FigureDescription"/>
        <w:rPr>
          <w:lang w:eastAsia="ja-JP"/>
        </w:rPr>
      </w:pPr>
      <w:r>
        <w:rPr>
          <w:lang w:eastAsia="ja-JP"/>
        </w:rPr>
        <w:t>Abbreviations: EOT = end of treatment</w:t>
      </w:r>
      <w:r w:rsidR="00450A66">
        <w:rPr>
          <w:lang w:eastAsia="ja-JP"/>
        </w:rPr>
        <w:t>,</w:t>
      </w:r>
      <w:r>
        <w:rPr>
          <w:lang w:eastAsia="ja-JP"/>
        </w:rPr>
        <w:t xml:space="preserve"> FU = follow-up</w:t>
      </w:r>
      <w:r w:rsidR="00450A66">
        <w:rPr>
          <w:lang w:eastAsia="ja-JP"/>
        </w:rPr>
        <w:t>,</w:t>
      </w:r>
      <w:r>
        <w:rPr>
          <w:lang w:eastAsia="ja-JP"/>
        </w:rPr>
        <w:t xml:space="preserve"> N = number of subjects.</w:t>
      </w:r>
    </w:p>
    <w:p w14:paraId="45BA3FF9" w14:textId="3EFEC868" w:rsidR="005C5F87" w:rsidRDefault="005C5F87" w:rsidP="00C71A77">
      <w:pPr>
        <w:pStyle w:val="FigureDescription"/>
        <w:rPr>
          <w:lang w:eastAsia="ja-JP"/>
        </w:rPr>
      </w:pPr>
      <w:r>
        <w:rPr>
          <w:lang w:eastAsia="ja-JP"/>
        </w:rPr>
        <w:t xml:space="preserve">a. This study originally planned to </w:t>
      </w:r>
      <w:r w:rsidRPr="00C71A77">
        <w:t>enrol</w:t>
      </w:r>
      <w:r>
        <w:rPr>
          <w:lang w:eastAsia="ja-JP"/>
        </w:rPr>
        <w:t xml:space="preserve"> approximately 614 subjects; the actual number of subjects randomi</w:t>
      </w:r>
      <w:r w:rsidR="00C96B26">
        <w:rPr>
          <w:lang w:eastAsia="ja-JP"/>
        </w:rPr>
        <w:t>s</w:t>
      </w:r>
      <w:r>
        <w:rPr>
          <w:lang w:eastAsia="ja-JP"/>
        </w:rPr>
        <w:t>ed was 650</w:t>
      </w:r>
      <w:r w:rsidR="00450A66">
        <w:rPr>
          <w:lang w:eastAsia="ja-JP"/>
        </w:rPr>
        <w:t>.</w:t>
      </w:r>
    </w:p>
    <w:p w14:paraId="6407F67F" w14:textId="0C03BD74" w:rsidR="009804C7" w:rsidRPr="00FE60C9" w:rsidRDefault="009804C7" w:rsidP="00C71A77">
      <w:r w:rsidRPr="00FE60C9">
        <w:t xml:space="preserve">The inclusion criteria included subjects who were adults with moderately to severely active rheumatoid arthritis who were receiving a stable dose of methotrexate. Subjects were required to be on a stable dose of oral folic acid or folinic acid supplementation. There were inclusion criteria pertaining to prior, and concomitant, oral corticosteroid </w:t>
      </w:r>
      <w:proofErr w:type="gramStart"/>
      <w:r w:rsidRPr="00FE60C9">
        <w:t>use</w:t>
      </w:r>
      <w:proofErr w:type="gramEnd"/>
      <w:r w:rsidRPr="00FE60C9">
        <w:t xml:space="preserve"> and non-steroidal anti</w:t>
      </w:r>
      <w:r w:rsidR="00A869F8">
        <w:noBreakHyphen/>
      </w:r>
      <w:r w:rsidRPr="00FE60C9">
        <w:t>inflammatory drug/cyclooxygenase-2 inhibitor use. The exclusion criteria pertained primarily to current and past medical history and current or prior treatment with specified drugs. Women who were pregnant or breastfeeding were excluded from the study.</w:t>
      </w:r>
    </w:p>
    <w:p w14:paraId="208853C2" w14:textId="5ECE6EED" w:rsidR="009804C7" w:rsidRPr="00FE60C9" w:rsidRDefault="009804C7" w:rsidP="00FE60C9">
      <w:bookmarkStart w:id="49" w:name="_Hlk174903404"/>
      <w:r w:rsidRPr="00FE60C9">
        <w:t xml:space="preserve">The primary efficacy endpoint was the proportion of subjects achieving 20% or greater improvement in ACR clinical response (ACR20 response rate) at Week 14. </w:t>
      </w:r>
      <w:bookmarkEnd w:id="49"/>
      <w:r w:rsidRPr="00FE60C9">
        <w:t xml:space="preserve">The ACR definition for improvement in </w:t>
      </w:r>
      <w:r w:rsidR="001D5BB6">
        <w:t xml:space="preserve">rheumatoid arthritis </w:t>
      </w:r>
      <w:r w:rsidRPr="00FE60C9">
        <w:t xml:space="preserve">was calculated as a percent improvement from </w:t>
      </w:r>
      <w:r w:rsidR="001D5BB6">
        <w:t>B</w:t>
      </w:r>
      <w:r w:rsidRPr="00FE60C9">
        <w:t>aseline (Day</w:t>
      </w:r>
      <w:r w:rsidR="007D01BB">
        <w:t> </w:t>
      </w:r>
      <w:r w:rsidRPr="00FE60C9">
        <w:t>1) in the number of tender and swollen joints and percent improvement in 3 of the 5 other ACR-core set measures, specifically patient’s and physician’s global assessment of arthritis, patient’s assessment of arthritis pain, patient’s assessment of disability using the Health Assessment Questionnaire Disability Index</w:t>
      </w:r>
      <w:r w:rsidR="00B406EF">
        <w:t xml:space="preserve"> (</w:t>
      </w:r>
      <w:r w:rsidR="00B406EF" w:rsidRPr="00B406EF">
        <w:t>HAQ-DI</w:t>
      </w:r>
      <w:r w:rsidR="00B406EF">
        <w:t>)</w:t>
      </w:r>
      <w:r w:rsidRPr="00FE60C9">
        <w:t xml:space="preserve">, and an acute-phase reactant, </w:t>
      </w:r>
      <w:proofErr w:type="spellStart"/>
      <w:r w:rsidRPr="00FE60C9">
        <w:t>hs</w:t>
      </w:r>
      <w:proofErr w:type="spellEnd"/>
      <w:r w:rsidRPr="00FE60C9">
        <w:t xml:space="preserve">-CRP. Sixty-eight joints were assessed for tenderness or </w:t>
      </w:r>
      <w:r w:rsidR="00FF0734" w:rsidRPr="00FE60C9">
        <w:t>pain,</w:t>
      </w:r>
      <w:r w:rsidRPr="00FE60C9">
        <w:t xml:space="preserve"> and 66 joints were assessed for swelling.</w:t>
      </w:r>
    </w:p>
    <w:p w14:paraId="2902095A" w14:textId="175ED2A3" w:rsidR="009804C7" w:rsidRPr="002D3E45" w:rsidRDefault="009804C7" w:rsidP="002D3E45">
      <w:r w:rsidRPr="002D3E45">
        <w:t xml:space="preserve">For </w:t>
      </w:r>
      <w:r w:rsidR="00B00ED8">
        <w:t>T</w:t>
      </w:r>
      <w:r w:rsidR="002D3E45" w:rsidRPr="002D3E45">
        <w:t xml:space="preserve">reatment </w:t>
      </w:r>
      <w:r w:rsidR="00B00ED8">
        <w:t>P</w:t>
      </w:r>
      <w:r w:rsidR="002D3E45" w:rsidRPr="002D3E45">
        <w:t>eriod </w:t>
      </w:r>
      <w:r w:rsidRPr="002D3E45">
        <w:t>1, the secondary efficacy endpoints were:</w:t>
      </w:r>
    </w:p>
    <w:p w14:paraId="4E2D8D4C" w14:textId="3BAB81D2" w:rsidR="009804C7" w:rsidRDefault="009804C7" w:rsidP="002D3E45">
      <w:pPr>
        <w:pStyle w:val="ListBullet"/>
      </w:pPr>
      <w:r>
        <w:t>ACR20 response rates at time points of Weeks</w:t>
      </w:r>
      <w:r w:rsidR="001922F1">
        <w:t> </w:t>
      </w:r>
      <w:r>
        <w:t>2, 4, 6, 12, 22, and 30</w:t>
      </w:r>
      <w:r w:rsidR="007D0BBB">
        <w:t>.</w:t>
      </w:r>
    </w:p>
    <w:p w14:paraId="44928103" w14:textId="602B965F" w:rsidR="009804C7" w:rsidRDefault="009804C7" w:rsidP="002D3E45">
      <w:pPr>
        <w:pStyle w:val="ListBullet"/>
      </w:pPr>
      <w:r>
        <w:t>ACR50 and ACR70 response rates at Week</w:t>
      </w:r>
      <w:r w:rsidR="001922F1">
        <w:t> </w:t>
      </w:r>
      <w:r>
        <w:t>14 and other protocol-defined time points up to Week</w:t>
      </w:r>
      <w:r w:rsidR="007D01BB">
        <w:t> </w:t>
      </w:r>
      <w:r>
        <w:t>30</w:t>
      </w:r>
      <w:r w:rsidR="007D0BBB">
        <w:t>.</w:t>
      </w:r>
    </w:p>
    <w:p w14:paraId="436C3937" w14:textId="22204510" w:rsidR="009804C7" w:rsidRPr="00F17420" w:rsidRDefault="009804C7" w:rsidP="002D3E45">
      <w:pPr>
        <w:pStyle w:val="ListBullet"/>
      </w:pPr>
      <w:r>
        <w:t xml:space="preserve">Change from </w:t>
      </w:r>
      <w:r w:rsidR="007D0BBB">
        <w:t>B</w:t>
      </w:r>
      <w:r>
        <w:t xml:space="preserve">aseline in individual components of the ACR response criteria (including </w:t>
      </w:r>
      <w:r w:rsidRPr="00F17420">
        <w:t>HAQ-DI) at Week</w:t>
      </w:r>
      <w:r w:rsidR="007D01BB" w:rsidRPr="00F17420">
        <w:t> </w:t>
      </w:r>
      <w:r w:rsidRPr="00F17420">
        <w:t>14 and other protocol</w:t>
      </w:r>
      <w:r w:rsidR="00777315" w:rsidRPr="00F17420">
        <w:t xml:space="preserve"> </w:t>
      </w:r>
      <w:r w:rsidRPr="00F17420">
        <w:t>defined time points up to Week</w:t>
      </w:r>
      <w:r w:rsidR="007D01BB" w:rsidRPr="00F17420">
        <w:t> </w:t>
      </w:r>
      <w:r w:rsidRPr="00F17420">
        <w:t>30</w:t>
      </w:r>
      <w:r w:rsidR="007D0BBB" w:rsidRPr="00F17420">
        <w:t>.</w:t>
      </w:r>
    </w:p>
    <w:p w14:paraId="29DBC6C1" w14:textId="2258B700" w:rsidR="009804C7" w:rsidRDefault="009804C7" w:rsidP="002D3E45">
      <w:pPr>
        <w:pStyle w:val="ListBullet"/>
      </w:pPr>
      <w:r w:rsidRPr="00F17420">
        <w:lastRenderedPageBreak/>
        <w:t xml:space="preserve">Change from </w:t>
      </w:r>
      <w:r w:rsidR="007D0BBB" w:rsidRPr="00F17420">
        <w:t>B</w:t>
      </w:r>
      <w:r w:rsidRPr="00F17420">
        <w:t>aseline in disease activity measured by</w:t>
      </w:r>
      <w:r w:rsidR="0087304B" w:rsidRPr="00F17420">
        <w:t xml:space="preserve"> Disease Activity Score-28; 4 components based on </w:t>
      </w:r>
      <w:proofErr w:type="spellStart"/>
      <w:r w:rsidR="0087304B" w:rsidRPr="00F17420">
        <w:t>hs</w:t>
      </w:r>
      <w:proofErr w:type="spellEnd"/>
      <w:r w:rsidR="0087304B" w:rsidRPr="00F17420">
        <w:t>-CRP</w:t>
      </w:r>
      <w:r w:rsidRPr="00F17420">
        <w:t xml:space="preserve"> </w:t>
      </w:r>
      <w:r w:rsidR="0087304B" w:rsidRPr="00F17420">
        <w:t>(</w:t>
      </w:r>
      <w:proofErr w:type="spellStart"/>
      <w:r w:rsidRPr="00F17420">
        <w:t>DAS28</w:t>
      </w:r>
      <w:proofErr w:type="spellEnd"/>
      <w:r w:rsidRPr="00F17420">
        <w:t>-CRP</w:t>
      </w:r>
      <w:r w:rsidR="0087304B" w:rsidRPr="00F17420">
        <w:t>)</w:t>
      </w:r>
      <w:r>
        <w:t xml:space="preserve"> at Week</w:t>
      </w:r>
      <w:r w:rsidR="007D01BB">
        <w:t> </w:t>
      </w:r>
      <w:r>
        <w:t>14 and other protocol-defined time points up to Week</w:t>
      </w:r>
      <w:r w:rsidR="007D01BB">
        <w:t> </w:t>
      </w:r>
      <w:r>
        <w:t>30</w:t>
      </w:r>
      <w:r w:rsidR="0087304B">
        <w:t>.</w:t>
      </w:r>
    </w:p>
    <w:p w14:paraId="6F64906F" w14:textId="659EEC4B" w:rsidR="009804C7" w:rsidRPr="00AE4419" w:rsidRDefault="009804C7" w:rsidP="002D3E45">
      <w:pPr>
        <w:pStyle w:val="ListBullet"/>
      </w:pPr>
      <w:r>
        <w:t>Proportion of subjects with response (</w:t>
      </w:r>
      <w:r w:rsidRPr="00AE4419">
        <w:t xml:space="preserve">no, moderate or good response) defined according to the </w:t>
      </w:r>
      <w:r w:rsidR="00ED7CBA" w:rsidRPr="00AE4419">
        <w:t>European League Against Rheumatism (</w:t>
      </w:r>
      <w:r w:rsidRPr="00AE4419">
        <w:t>EULAR</w:t>
      </w:r>
      <w:r w:rsidR="00ED7CBA" w:rsidRPr="00AE4419">
        <w:t>)</w:t>
      </w:r>
      <w:r w:rsidRPr="00AE4419">
        <w:t xml:space="preserve"> response criteria, at Week</w:t>
      </w:r>
      <w:r w:rsidR="007D01BB" w:rsidRPr="00AE4419">
        <w:t> </w:t>
      </w:r>
      <w:r w:rsidRPr="00AE4419">
        <w:t>14 and other protocol defined</w:t>
      </w:r>
      <w:r w:rsidR="00ED7CBA" w:rsidRPr="00AE4419">
        <w:t xml:space="preserve"> </w:t>
      </w:r>
      <w:r w:rsidRPr="00AE4419">
        <w:t>time points up to Week</w:t>
      </w:r>
      <w:r w:rsidR="007D01BB" w:rsidRPr="00AE4419">
        <w:t> </w:t>
      </w:r>
      <w:r w:rsidRPr="00AE4419">
        <w:t>30</w:t>
      </w:r>
      <w:r w:rsidR="00777315" w:rsidRPr="00AE4419">
        <w:t>.</w:t>
      </w:r>
    </w:p>
    <w:p w14:paraId="0005E69E" w14:textId="0491BFC6" w:rsidR="009804C7" w:rsidRDefault="009804C7" w:rsidP="002D3E45">
      <w:pPr>
        <w:pStyle w:val="ListBullet"/>
      </w:pPr>
      <w:r w:rsidRPr="00AE4419">
        <w:t xml:space="preserve">Proportion of subjects with a </w:t>
      </w:r>
      <w:r w:rsidR="00777315" w:rsidRPr="00AE4419">
        <w:t>disease activity score (</w:t>
      </w:r>
      <w:r w:rsidRPr="00AE4419">
        <w:t>DAS</w:t>
      </w:r>
      <w:r w:rsidR="00777315" w:rsidRPr="00AE4419">
        <w:t>)</w:t>
      </w:r>
      <w:r w:rsidRPr="00AE4419">
        <w:t xml:space="preserve"> remission</w:t>
      </w:r>
      <w:r>
        <w:t xml:space="preserve"> (DAS &lt;</w:t>
      </w:r>
      <w:r w:rsidR="00777315">
        <w:t> </w:t>
      </w:r>
      <w:r>
        <w:t>2.6) at Week</w:t>
      </w:r>
      <w:r w:rsidR="007D01BB">
        <w:t> </w:t>
      </w:r>
      <w:r>
        <w:t>14 and other protocol</w:t>
      </w:r>
      <w:r w:rsidR="00152810">
        <w:t xml:space="preserve"> </w:t>
      </w:r>
      <w:r>
        <w:t>defined time points up to Week</w:t>
      </w:r>
      <w:r w:rsidR="007D01BB">
        <w:t> </w:t>
      </w:r>
      <w:r>
        <w:t>30</w:t>
      </w:r>
      <w:r w:rsidR="00152810">
        <w:t>.</w:t>
      </w:r>
    </w:p>
    <w:p w14:paraId="7D6CEB46" w14:textId="04DE4526" w:rsidR="009804C7" w:rsidRDefault="009804C7" w:rsidP="002D3E45">
      <w:pPr>
        <w:pStyle w:val="ListBullet"/>
      </w:pPr>
      <w:r>
        <w:t>Proportion of subjects with ACR/EULAR remission at Week</w:t>
      </w:r>
      <w:r w:rsidR="007D01BB">
        <w:t> </w:t>
      </w:r>
      <w:r>
        <w:t>14 and other protocol</w:t>
      </w:r>
      <w:r w:rsidR="00152810">
        <w:t xml:space="preserve"> </w:t>
      </w:r>
      <w:r>
        <w:t>defined time points up to Week</w:t>
      </w:r>
      <w:r w:rsidR="007D01BB">
        <w:t> </w:t>
      </w:r>
      <w:r>
        <w:t>30</w:t>
      </w:r>
      <w:r w:rsidR="00152810">
        <w:t>.</w:t>
      </w:r>
    </w:p>
    <w:p w14:paraId="568ADF41" w14:textId="416D0616" w:rsidR="009804C7" w:rsidRPr="00152810" w:rsidRDefault="009804C7" w:rsidP="00152810">
      <w:r w:rsidRPr="00152810">
        <w:t>The key secondary efficacy endpoints were ACR20 response rate and DAS28-CRP response at Week</w:t>
      </w:r>
      <w:r w:rsidR="007D01BB">
        <w:t> </w:t>
      </w:r>
      <w:r w:rsidRPr="00152810">
        <w:t>22 and Week</w:t>
      </w:r>
      <w:r w:rsidR="007D01BB">
        <w:t> </w:t>
      </w:r>
      <w:r w:rsidRPr="00152810">
        <w:t>30.</w:t>
      </w:r>
    </w:p>
    <w:p w14:paraId="28A3ADEF" w14:textId="410FCB4E" w:rsidR="009804C7" w:rsidRPr="00152810" w:rsidRDefault="009804C7" w:rsidP="00152810">
      <w:r w:rsidRPr="00152810">
        <w:t xml:space="preserve">For </w:t>
      </w:r>
      <w:r w:rsidR="00B00ED8">
        <w:t>T</w:t>
      </w:r>
      <w:r w:rsidR="00152810">
        <w:t xml:space="preserve">reatment </w:t>
      </w:r>
      <w:r w:rsidR="00B00ED8">
        <w:t>P</w:t>
      </w:r>
      <w:r w:rsidR="00152810">
        <w:t>eriod </w:t>
      </w:r>
      <w:r w:rsidRPr="00152810">
        <w:t>2, the secondary efficacy endpoints were as follows:</w:t>
      </w:r>
    </w:p>
    <w:p w14:paraId="2A548430" w14:textId="2D59F704" w:rsidR="009804C7" w:rsidRPr="00152810" w:rsidRDefault="009804C7" w:rsidP="00152810">
      <w:pPr>
        <w:pStyle w:val="ListBullet"/>
      </w:pPr>
      <w:r w:rsidRPr="00152810">
        <w:t>ACR20 response rate at Week</w:t>
      </w:r>
      <w:r w:rsidR="001922F1">
        <w:t> </w:t>
      </w:r>
      <w:r w:rsidRPr="00152810">
        <w:t>38, Week</w:t>
      </w:r>
      <w:r w:rsidR="001922F1">
        <w:t> </w:t>
      </w:r>
      <w:r w:rsidRPr="00152810">
        <w:t>46 and Week</w:t>
      </w:r>
      <w:r w:rsidR="001922F1">
        <w:t> </w:t>
      </w:r>
      <w:r w:rsidRPr="00152810">
        <w:t>54</w:t>
      </w:r>
      <w:r w:rsidR="002E4ED1">
        <w:t>.</w:t>
      </w:r>
    </w:p>
    <w:p w14:paraId="07600187" w14:textId="0D7A4827" w:rsidR="009804C7" w:rsidRPr="00152810" w:rsidRDefault="009804C7" w:rsidP="00152810">
      <w:pPr>
        <w:pStyle w:val="ListBullet"/>
      </w:pPr>
      <w:r w:rsidRPr="00152810">
        <w:t>ACR50 response rate at Week</w:t>
      </w:r>
      <w:r w:rsidR="001922F1">
        <w:t> </w:t>
      </w:r>
      <w:r w:rsidRPr="00152810">
        <w:t>38, Week</w:t>
      </w:r>
      <w:r w:rsidR="001922F1">
        <w:t> </w:t>
      </w:r>
      <w:r w:rsidRPr="00152810">
        <w:t>46 and Week</w:t>
      </w:r>
      <w:r w:rsidR="001922F1">
        <w:t> </w:t>
      </w:r>
      <w:r w:rsidRPr="00152810">
        <w:t>54</w:t>
      </w:r>
      <w:r w:rsidR="002E4ED1">
        <w:t>.</w:t>
      </w:r>
    </w:p>
    <w:p w14:paraId="09275497" w14:textId="73DF9C69" w:rsidR="009804C7" w:rsidRPr="00152810" w:rsidRDefault="009804C7" w:rsidP="00152810">
      <w:pPr>
        <w:pStyle w:val="ListBullet"/>
      </w:pPr>
      <w:r w:rsidRPr="00152810">
        <w:t>ACR70 response rate at Week</w:t>
      </w:r>
      <w:r w:rsidR="001922F1">
        <w:t> </w:t>
      </w:r>
      <w:r w:rsidRPr="00152810">
        <w:t>38, Week</w:t>
      </w:r>
      <w:r w:rsidR="001922F1">
        <w:t> </w:t>
      </w:r>
      <w:r w:rsidRPr="00152810">
        <w:t>46 and Week</w:t>
      </w:r>
      <w:r w:rsidR="001922F1">
        <w:t> </w:t>
      </w:r>
      <w:r w:rsidRPr="00152810">
        <w:t>54</w:t>
      </w:r>
      <w:r w:rsidR="002E4ED1">
        <w:t>.</w:t>
      </w:r>
    </w:p>
    <w:p w14:paraId="44E4CF57" w14:textId="2107DA41" w:rsidR="009804C7" w:rsidRPr="00152810" w:rsidRDefault="009804C7" w:rsidP="00152810">
      <w:pPr>
        <w:pStyle w:val="ListBullet"/>
      </w:pPr>
      <w:r w:rsidRPr="00152810">
        <w:t>DAS remission (&lt;</w:t>
      </w:r>
      <w:r w:rsidR="002E4ED1">
        <w:t> </w:t>
      </w:r>
      <w:r w:rsidRPr="00152810">
        <w:t>2.6) at Week</w:t>
      </w:r>
      <w:r w:rsidR="001922F1">
        <w:t> </w:t>
      </w:r>
      <w:r w:rsidRPr="00152810">
        <w:t>38, Week</w:t>
      </w:r>
      <w:r w:rsidR="001922F1">
        <w:t> </w:t>
      </w:r>
      <w:r w:rsidRPr="00152810">
        <w:t>46 and Week</w:t>
      </w:r>
      <w:r w:rsidR="001922F1">
        <w:t> </w:t>
      </w:r>
      <w:r w:rsidRPr="00152810">
        <w:t>54</w:t>
      </w:r>
      <w:r w:rsidR="002E4ED1">
        <w:t>.</w:t>
      </w:r>
    </w:p>
    <w:p w14:paraId="18F31613" w14:textId="2D1AE2FD" w:rsidR="009804C7" w:rsidRPr="00152810" w:rsidRDefault="009804C7" w:rsidP="00152810">
      <w:pPr>
        <w:pStyle w:val="ListBullet"/>
      </w:pPr>
      <w:r w:rsidRPr="00152810">
        <w:t>EULAR response at Week</w:t>
      </w:r>
      <w:r w:rsidR="001922F1">
        <w:t> </w:t>
      </w:r>
      <w:r w:rsidRPr="00152810">
        <w:t>38, Week</w:t>
      </w:r>
      <w:r w:rsidR="001922F1">
        <w:t> </w:t>
      </w:r>
      <w:r w:rsidRPr="00152810">
        <w:t>46 and Week</w:t>
      </w:r>
      <w:r w:rsidR="001922F1">
        <w:t> </w:t>
      </w:r>
      <w:r w:rsidRPr="00152810">
        <w:t>54</w:t>
      </w:r>
      <w:r w:rsidR="002E4ED1">
        <w:t>.</w:t>
      </w:r>
    </w:p>
    <w:p w14:paraId="40A285BC" w14:textId="3AA4318B" w:rsidR="009804C7" w:rsidRPr="00152810" w:rsidRDefault="009804C7" w:rsidP="00152810">
      <w:pPr>
        <w:pStyle w:val="ListBullet"/>
      </w:pPr>
      <w:r w:rsidRPr="00152810">
        <w:t>ACR/EULAR remission at Week</w:t>
      </w:r>
      <w:r w:rsidR="001922F1">
        <w:t> </w:t>
      </w:r>
      <w:r w:rsidRPr="00152810">
        <w:t>38, Week</w:t>
      </w:r>
      <w:r w:rsidR="001922F1">
        <w:t> </w:t>
      </w:r>
      <w:r w:rsidRPr="00152810">
        <w:t>46 and Week</w:t>
      </w:r>
      <w:r w:rsidR="001922F1">
        <w:t> </w:t>
      </w:r>
      <w:r w:rsidRPr="00152810">
        <w:t>54</w:t>
      </w:r>
      <w:r w:rsidR="002E4ED1">
        <w:t>.</w:t>
      </w:r>
    </w:p>
    <w:p w14:paraId="35F144EE" w14:textId="70AC7FB7" w:rsidR="009804C7" w:rsidRPr="00152810" w:rsidRDefault="009804C7" w:rsidP="00152810">
      <w:pPr>
        <w:pStyle w:val="ListBullet"/>
      </w:pPr>
      <w:r w:rsidRPr="00152810">
        <w:t xml:space="preserve">DAS28-CRP and its change from study </w:t>
      </w:r>
      <w:r w:rsidR="001922F1">
        <w:t>B</w:t>
      </w:r>
      <w:r w:rsidRPr="00152810">
        <w:t>aseline at Week</w:t>
      </w:r>
      <w:r w:rsidR="001922F1">
        <w:t> </w:t>
      </w:r>
      <w:r w:rsidRPr="00152810">
        <w:t>38, Week</w:t>
      </w:r>
      <w:r w:rsidR="001922F1">
        <w:t> 4</w:t>
      </w:r>
      <w:r w:rsidRPr="00152810">
        <w:t>6 and Week</w:t>
      </w:r>
      <w:r w:rsidR="001922F1">
        <w:t> </w:t>
      </w:r>
      <w:r w:rsidRPr="00152810">
        <w:t>54</w:t>
      </w:r>
      <w:r w:rsidR="001922F1">
        <w:t>.</w:t>
      </w:r>
    </w:p>
    <w:p w14:paraId="03EE2AD1" w14:textId="4E83FF3F" w:rsidR="009804C7" w:rsidRPr="00152810" w:rsidRDefault="009804C7" w:rsidP="00152810">
      <w:pPr>
        <w:pStyle w:val="ListBullet"/>
      </w:pPr>
      <w:r w:rsidRPr="00152810">
        <w:t xml:space="preserve">HAQ-DI and its change from study </w:t>
      </w:r>
      <w:r w:rsidR="001922F1">
        <w:t>B</w:t>
      </w:r>
      <w:r w:rsidRPr="00152810">
        <w:t>aseline at Week</w:t>
      </w:r>
      <w:r w:rsidR="001922F1">
        <w:t> </w:t>
      </w:r>
      <w:r w:rsidRPr="00152810">
        <w:t>38, Week</w:t>
      </w:r>
      <w:r w:rsidR="001922F1">
        <w:t> </w:t>
      </w:r>
      <w:r w:rsidRPr="00152810">
        <w:t>46 and Week</w:t>
      </w:r>
      <w:r w:rsidR="001922F1">
        <w:t> </w:t>
      </w:r>
      <w:r w:rsidRPr="00152810">
        <w:t>54</w:t>
      </w:r>
      <w:r w:rsidR="001922F1">
        <w:t>.</w:t>
      </w:r>
    </w:p>
    <w:p w14:paraId="62ED4AEC" w14:textId="55C4822B" w:rsidR="009804C7" w:rsidRPr="00152810" w:rsidRDefault="009804C7" w:rsidP="00152810">
      <w:pPr>
        <w:pStyle w:val="ListBullet"/>
      </w:pPr>
      <w:r w:rsidRPr="00152810">
        <w:t xml:space="preserve">Swollen joint count (66) and its change from study </w:t>
      </w:r>
      <w:r w:rsidR="001922F1">
        <w:t>B</w:t>
      </w:r>
      <w:r w:rsidRPr="00152810">
        <w:t>aseline at Week</w:t>
      </w:r>
      <w:r w:rsidR="001922F1">
        <w:t> </w:t>
      </w:r>
      <w:r w:rsidRPr="00152810">
        <w:t>38, Week</w:t>
      </w:r>
      <w:r w:rsidR="001922F1">
        <w:t> </w:t>
      </w:r>
      <w:r w:rsidRPr="00152810">
        <w:t>46 and Week</w:t>
      </w:r>
      <w:r w:rsidR="001922F1">
        <w:t> </w:t>
      </w:r>
      <w:r w:rsidRPr="00152810">
        <w:t>54</w:t>
      </w:r>
      <w:r w:rsidR="001922F1">
        <w:t>.</w:t>
      </w:r>
    </w:p>
    <w:p w14:paraId="44602603" w14:textId="34547A1B" w:rsidR="009804C7" w:rsidRPr="00152810" w:rsidRDefault="009804C7" w:rsidP="00152810">
      <w:pPr>
        <w:pStyle w:val="ListBullet"/>
      </w:pPr>
      <w:r w:rsidRPr="00152810">
        <w:t xml:space="preserve">Tender joint count (68) and its change from study </w:t>
      </w:r>
      <w:r w:rsidR="007D01BB">
        <w:t>B</w:t>
      </w:r>
      <w:r w:rsidRPr="00152810">
        <w:t>aseline at Week</w:t>
      </w:r>
      <w:r w:rsidR="007D01BB">
        <w:t> </w:t>
      </w:r>
      <w:r w:rsidRPr="00152810">
        <w:t>38, Week</w:t>
      </w:r>
      <w:r w:rsidR="007D01BB">
        <w:t> </w:t>
      </w:r>
      <w:r w:rsidRPr="00152810">
        <w:t>46 and Week</w:t>
      </w:r>
      <w:r w:rsidR="007D01BB">
        <w:t> </w:t>
      </w:r>
      <w:r w:rsidRPr="00152810">
        <w:t>54</w:t>
      </w:r>
      <w:r w:rsidR="00D913D0">
        <w:t>.</w:t>
      </w:r>
    </w:p>
    <w:p w14:paraId="379F189B" w14:textId="4366705B" w:rsidR="009804C7" w:rsidRPr="00152810" w:rsidRDefault="009804C7" w:rsidP="00152810">
      <w:pPr>
        <w:pStyle w:val="ListBullet"/>
      </w:pPr>
      <w:r w:rsidRPr="00152810">
        <w:t xml:space="preserve">Patient’s assessment of arthritis pain and its change from study </w:t>
      </w:r>
      <w:r w:rsidR="00D913D0">
        <w:t>B</w:t>
      </w:r>
      <w:r w:rsidRPr="00152810">
        <w:t>aseline at Week</w:t>
      </w:r>
      <w:r w:rsidR="00D913D0">
        <w:t xml:space="preserve"> </w:t>
      </w:r>
      <w:r w:rsidRPr="00152810">
        <w:t>38, Week</w:t>
      </w:r>
      <w:r w:rsidR="00D913D0">
        <w:t xml:space="preserve"> </w:t>
      </w:r>
      <w:r w:rsidRPr="00152810">
        <w:t>46 and Week</w:t>
      </w:r>
      <w:r w:rsidR="00D913D0">
        <w:t xml:space="preserve"> </w:t>
      </w:r>
      <w:r w:rsidRPr="00152810">
        <w:t>54</w:t>
      </w:r>
      <w:r w:rsidR="00D913D0">
        <w:t>.</w:t>
      </w:r>
    </w:p>
    <w:p w14:paraId="6D7FD224" w14:textId="253A00A2" w:rsidR="009804C7" w:rsidRPr="00152810" w:rsidRDefault="009804C7" w:rsidP="00152810">
      <w:pPr>
        <w:pStyle w:val="ListBullet"/>
      </w:pPr>
      <w:r w:rsidRPr="00152810">
        <w:t xml:space="preserve">Patient’s global assessment of arthritis and its change from study </w:t>
      </w:r>
      <w:r w:rsidR="00D913D0">
        <w:t>B</w:t>
      </w:r>
      <w:r w:rsidRPr="00152810">
        <w:t>aseline at Week</w:t>
      </w:r>
      <w:r w:rsidR="00D913D0">
        <w:t> </w:t>
      </w:r>
      <w:r w:rsidRPr="00152810">
        <w:t>38, Week</w:t>
      </w:r>
      <w:r w:rsidR="00D913D0">
        <w:t> </w:t>
      </w:r>
      <w:r w:rsidRPr="00152810">
        <w:t>46 and Week</w:t>
      </w:r>
      <w:r w:rsidR="00D913D0">
        <w:t> </w:t>
      </w:r>
      <w:r w:rsidRPr="00152810">
        <w:t>54</w:t>
      </w:r>
      <w:r w:rsidR="00D913D0">
        <w:t>.</w:t>
      </w:r>
    </w:p>
    <w:p w14:paraId="5BAD9521" w14:textId="7717F056" w:rsidR="009804C7" w:rsidRPr="00152810" w:rsidRDefault="009804C7" w:rsidP="00152810">
      <w:pPr>
        <w:pStyle w:val="ListBullet"/>
      </w:pPr>
      <w:r w:rsidRPr="00152810">
        <w:t xml:space="preserve">Physician’s global assessment of arthritis and its change from study </w:t>
      </w:r>
      <w:r w:rsidR="00D913D0">
        <w:t>B</w:t>
      </w:r>
      <w:r w:rsidRPr="00152810">
        <w:t>aseline at Week</w:t>
      </w:r>
      <w:r w:rsidR="00D913D0">
        <w:t> </w:t>
      </w:r>
      <w:r w:rsidRPr="00152810">
        <w:t>38, Week</w:t>
      </w:r>
      <w:r w:rsidR="00D913D0">
        <w:t> </w:t>
      </w:r>
      <w:r w:rsidRPr="00152810">
        <w:t>46 and Week</w:t>
      </w:r>
      <w:r w:rsidR="00D913D0">
        <w:t> </w:t>
      </w:r>
      <w:r w:rsidRPr="00152810">
        <w:t>54</w:t>
      </w:r>
      <w:r w:rsidR="00D913D0">
        <w:t>.</w:t>
      </w:r>
    </w:p>
    <w:p w14:paraId="2D3EFC1D" w14:textId="3C58F7BF" w:rsidR="009804C7" w:rsidRPr="00152810" w:rsidRDefault="009804C7" w:rsidP="00152810">
      <w:pPr>
        <w:pStyle w:val="ListBullet"/>
      </w:pPr>
      <w:proofErr w:type="spellStart"/>
      <w:r w:rsidRPr="00152810">
        <w:t>hs</w:t>
      </w:r>
      <w:proofErr w:type="spellEnd"/>
      <w:r w:rsidRPr="00152810">
        <w:t xml:space="preserve">-CRP and its change from study </w:t>
      </w:r>
      <w:r w:rsidR="00D913D0">
        <w:t>B</w:t>
      </w:r>
      <w:r w:rsidRPr="00152810">
        <w:t>aseline at Week</w:t>
      </w:r>
      <w:r w:rsidR="00D913D0">
        <w:t> </w:t>
      </w:r>
      <w:r w:rsidRPr="00152810">
        <w:t>38, Week</w:t>
      </w:r>
      <w:r w:rsidR="00D913D0">
        <w:t> </w:t>
      </w:r>
      <w:r w:rsidRPr="00152810">
        <w:t>46 and Week</w:t>
      </w:r>
      <w:r w:rsidR="00D913D0">
        <w:t> </w:t>
      </w:r>
      <w:r w:rsidRPr="00152810">
        <w:t>54</w:t>
      </w:r>
      <w:r w:rsidR="00D913D0">
        <w:t>.</w:t>
      </w:r>
    </w:p>
    <w:p w14:paraId="645AB84E" w14:textId="53E75801" w:rsidR="009804C7" w:rsidRPr="00C97DC8" w:rsidRDefault="009804C7" w:rsidP="00C71A77">
      <w:r w:rsidRPr="00C97DC8">
        <w:t xml:space="preserve">For </w:t>
      </w:r>
      <w:r w:rsidR="00B00ED8">
        <w:t>T</w:t>
      </w:r>
      <w:r w:rsidR="00C97DC8" w:rsidRPr="00C97DC8">
        <w:t xml:space="preserve">reatment </w:t>
      </w:r>
      <w:r w:rsidR="00B00ED8">
        <w:t>P</w:t>
      </w:r>
      <w:r w:rsidR="00C97DC8" w:rsidRPr="00C97DC8">
        <w:t>eriod </w:t>
      </w:r>
      <w:r w:rsidRPr="00C97DC8">
        <w:t>3, the secondary efficacy endpoints were as follows:</w:t>
      </w:r>
    </w:p>
    <w:p w14:paraId="075D6507" w14:textId="19693C37" w:rsidR="009804C7" w:rsidRDefault="009804C7" w:rsidP="00C97DC8">
      <w:pPr>
        <w:pStyle w:val="ListBullet"/>
      </w:pPr>
      <w:r>
        <w:t>ACR20 response rate at Week</w:t>
      </w:r>
      <w:r w:rsidR="00C97DC8">
        <w:t> </w:t>
      </w:r>
      <w:r>
        <w:t>62, Week</w:t>
      </w:r>
      <w:r w:rsidR="00C97DC8">
        <w:t> </w:t>
      </w:r>
      <w:r>
        <w:t>70 and Week</w:t>
      </w:r>
      <w:r w:rsidR="00C97DC8">
        <w:t> </w:t>
      </w:r>
      <w:r>
        <w:t>78</w:t>
      </w:r>
      <w:r w:rsidR="00C97DC8">
        <w:t>.</w:t>
      </w:r>
    </w:p>
    <w:p w14:paraId="24F9651B" w14:textId="3DD6FA48" w:rsidR="009804C7" w:rsidRDefault="009804C7" w:rsidP="00C97DC8">
      <w:pPr>
        <w:pStyle w:val="ListBullet"/>
      </w:pPr>
      <w:r>
        <w:t>ACR50 response rate at Week</w:t>
      </w:r>
      <w:r w:rsidR="0044455F">
        <w:t> </w:t>
      </w:r>
      <w:r>
        <w:t>62, Week</w:t>
      </w:r>
      <w:r w:rsidR="0044455F">
        <w:t> </w:t>
      </w:r>
      <w:r>
        <w:t>70 and Week</w:t>
      </w:r>
      <w:r w:rsidR="0044455F">
        <w:t> </w:t>
      </w:r>
      <w:r>
        <w:t>78</w:t>
      </w:r>
      <w:r w:rsidR="0044455F">
        <w:t>.</w:t>
      </w:r>
    </w:p>
    <w:p w14:paraId="0EA8930E" w14:textId="140A627D" w:rsidR="009804C7" w:rsidRDefault="009804C7" w:rsidP="00C97DC8">
      <w:pPr>
        <w:pStyle w:val="ListBullet"/>
      </w:pPr>
      <w:r>
        <w:t>ACR70 response rate at Week</w:t>
      </w:r>
      <w:r w:rsidR="00123CC1">
        <w:t> </w:t>
      </w:r>
      <w:r>
        <w:t>62, Week</w:t>
      </w:r>
      <w:r w:rsidR="00123CC1">
        <w:t> </w:t>
      </w:r>
      <w:r>
        <w:t>70 and Week</w:t>
      </w:r>
      <w:r w:rsidR="00123CC1">
        <w:t> </w:t>
      </w:r>
      <w:r>
        <w:t>78</w:t>
      </w:r>
      <w:r w:rsidR="00123CC1">
        <w:t>.</w:t>
      </w:r>
    </w:p>
    <w:p w14:paraId="741E362E" w14:textId="1F621B17" w:rsidR="009804C7" w:rsidRDefault="009804C7" w:rsidP="00C97DC8">
      <w:pPr>
        <w:pStyle w:val="ListBullet"/>
      </w:pPr>
      <w:r>
        <w:t>DAS remission (&lt;</w:t>
      </w:r>
      <w:r w:rsidR="00123CC1">
        <w:t> </w:t>
      </w:r>
      <w:r>
        <w:t>2.6) at Week</w:t>
      </w:r>
      <w:r w:rsidR="00123CC1">
        <w:t> </w:t>
      </w:r>
      <w:r>
        <w:t>62, Week</w:t>
      </w:r>
      <w:r w:rsidR="00123CC1">
        <w:t> </w:t>
      </w:r>
      <w:r>
        <w:t>70 and Week</w:t>
      </w:r>
      <w:r w:rsidR="00123CC1">
        <w:t> </w:t>
      </w:r>
      <w:r>
        <w:t>78</w:t>
      </w:r>
      <w:r w:rsidR="00123CC1">
        <w:t>.</w:t>
      </w:r>
    </w:p>
    <w:p w14:paraId="46118875" w14:textId="5878FF65" w:rsidR="009804C7" w:rsidRDefault="009804C7" w:rsidP="00C97DC8">
      <w:pPr>
        <w:pStyle w:val="ListBullet"/>
      </w:pPr>
      <w:r>
        <w:t>EULAR response at Week</w:t>
      </w:r>
      <w:r w:rsidR="00123CC1">
        <w:t> </w:t>
      </w:r>
      <w:r>
        <w:t>62, Week</w:t>
      </w:r>
      <w:r w:rsidR="00123CC1">
        <w:t> </w:t>
      </w:r>
      <w:r>
        <w:t>70 and Week</w:t>
      </w:r>
      <w:r w:rsidR="00123CC1">
        <w:t> </w:t>
      </w:r>
      <w:r>
        <w:t>78</w:t>
      </w:r>
      <w:r w:rsidR="00123CC1">
        <w:t>.</w:t>
      </w:r>
    </w:p>
    <w:p w14:paraId="29ACD330" w14:textId="1445DA01" w:rsidR="009804C7" w:rsidRDefault="009804C7" w:rsidP="00C97DC8">
      <w:pPr>
        <w:pStyle w:val="ListBullet"/>
      </w:pPr>
      <w:r>
        <w:lastRenderedPageBreak/>
        <w:t>ACR/EULAR remission at Week</w:t>
      </w:r>
      <w:r w:rsidR="00123CC1">
        <w:t> </w:t>
      </w:r>
      <w:r>
        <w:t>62, Week</w:t>
      </w:r>
      <w:r w:rsidR="00123CC1">
        <w:t> </w:t>
      </w:r>
      <w:r>
        <w:t>70 and Week</w:t>
      </w:r>
      <w:r w:rsidR="00123CC1">
        <w:t> </w:t>
      </w:r>
      <w:r>
        <w:t>78</w:t>
      </w:r>
      <w:r w:rsidR="00123CC1">
        <w:t>.</w:t>
      </w:r>
    </w:p>
    <w:p w14:paraId="662E9461" w14:textId="267A2EEB" w:rsidR="009804C7" w:rsidRDefault="009804C7" w:rsidP="00C97DC8">
      <w:pPr>
        <w:pStyle w:val="ListBullet"/>
      </w:pPr>
      <w:r>
        <w:t>DAS28-CRP and its change from study</w:t>
      </w:r>
      <w:r w:rsidR="00123CC1">
        <w:t xml:space="preserve"> B</w:t>
      </w:r>
      <w:r>
        <w:t>aseline and change from Week</w:t>
      </w:r>
      <w:r w:rsidR="00123CC1">
        <w:t> </w:t>
      </w:r>
      <w:r>
        <w:t>54</w:t>
      </w:r>
      <w:r w:rsidR="00123CC1">
        <w:t>.</w:t>
      </w:r>
    </w:p>
    <w:p w14:paraId="23FF3311" w14:textId="4163FB91" w:rsidR="009804C7" w:rsidRDefault="009804C7" w:rsidP="00C97DC8">
      <w:pPr>
        <w:pStyle w:val="ListBullet"/>
      </w:pPr>
      <w:r>
        <w:t xml:space="preserve">HAQ-DI and its change from study </w:t>
      </w:r>
      <w:r w:rsidR="00123CC1">
        <w:t>B</w:t>
      </w:r>
      <w:r>
        <w:t>aseline and change from Week</w:t>
      </w:r>
      <w:r w:rsidR="00123CC1">
        <w:t> </w:t>
      </w:r>
      <w:r>
        <w:t>54</w:t>
      </w:r>
      <w:r w:rsidR="00123CC1">
        <w:t>.</w:t>
      </w:r>
    </w:p>
    <w:p w14:paraId="1056E740" w14:textId="02242564" w:rsidR="009804C7" w:rsidRDefault="009804C7" w:rsidP="00C97DC8">
      <w:pPr>
        <w:pStyle w:val="ListBullet"/>
      </w:pPr>
      <w:r>
        <w:t xml:space="preserve">Swollen joint count (66) and its change from study </w:t>
      </w:r>
      <w:r w:rsidR="00123CC1">
        <w:t>B</w:t>
      </w:r>
      <w:r>
        <w:t>aseline and change from Week</w:t>
      </w:r>
      <w:r w:rsidR="00123CC1">
        <w:t> </w:t>
      </w:r>
      <w:r>
        <w:t>54</w:t>
      </w:r>
      <w:r w:rsidR="00123CC1">
        <w:t>.</w:t>
      </w:r>
    </w:p>
    <w:p w14:paraId="70F22E15" w14:textId="7D5DED54" w:rsidR="009804C7" w:rsidRDefault="009804C7" w:rsidP="00C97DC8">
      <w:pPr>
        <w:pStyle w:val="ListBullet"/>
      </w:pPr>
      <w:r>
        <w:t xml:space="preserve">Tender joint count (68) and its change from study </w:t>
      </w:r>
      <w:r w:rsidR="00123CC1">
        <w:t>B</w:t>
      </w:r>
      <w:r>
        <w:t>aseline and change from Week</w:t>
      </w:r>
      <w:r w:rsidR="00123CC1">
        <w:t> </w:t>
      </w:r>
      <w:r>
        <w:t>54</w:t>
      </w:r>
      <w:r w:rsidR="00123CC1">
        <w:t>.</w:t>
      </w:r>
    </w:p>
    <w:p w14:paraId="15DEBF70" w14:textId="230AB2ED" w:rsidR="009804C7" w:rsidRDefault="00C97DC8" w:rsidP="00C97DC8">
      <w:pPr>
        <w:pStyle w:val="ListBullet"/>
      </w:pPr>
      <w:r w:rsidRPr="00C97DC8">
        <w:t>Patient’s assessment of arthritis pain</w:t>
      </w:r>
      <w:r w:rsidR="009804C7">
        <w:t xml:space="preserve"> and its change from study </w:t>
      </w:r>
      <w:r w:rsidR="00123CC1">
        <w:t>B</w:t>
      </w:r>
      <w:r w:rsidR="009804C7">
        <w:t>aseline and change from Week</w:t>
      </w:r>
      <w:r w:rsidR="00123CC1">
        <w:t> </w:t>
      </w:r>
      <w:r w:rsidR="009804C7">
        <w:t>54</w:t>
      </w:r>
      <w:r w:rsidR="00123CC1">
        <w:t>.</w:t>
      </w:r>
    </w:p>
    <w:p w14:paraId="1D62DD11" w14:textId="548EC365" w:rsidR="009804C7" w:rsidRDefault="00C97DC8" w:rsidP="00C97DC8">
      <w:pPr>
        <w:pStyle w:val="ListBullet"/>
      </w:pPr>
      <w:r w:rsidRPr="00C97DC8">
        <w:t>Patient’s global assessment of arthritis</w:t>
      </w:r>
      <w:r w:rsidR="009804C7">
        <w:t xml:space="preserve"> and its change from study </w:t>
      </w:r>
      <w:r w:rsidR="00C2374E">
        <w:t>B</w:t>
      </w:r>
      <w:r w:rsidR="009804C7">
        <w:t>aseline and change from Week</w:t>
      </w:r>
      <w:r w:rsidR="00C2374E">
        <w:t> </w:t>
      </w:r>
      <w:r w:rsidR="009804C7">
        <w:t>54</w:t>
      </w:r>
      <w:r w:rsidR="00C2374E">
        <w:t>.</w:t>
      </w:r>
    </w:p>
    <w:p w14:paraId="74C7A38C" w14:textId="7AD23817" w:rsidR="009804C7" w:rsidRDefault="00C97DC8" w:rsidP="00C97DC8">
      <w:pPr>
        <w:pStyle w:val="ListBullet"/>
      </w:pPr>
      <w:r w:rsidRPr="00C97DC8">
        <w:t>Physician’s global assessment of arthritis</w:t>
      </w:r>
      <w:r w:rsidR="009804C7">
        <w:t xml:space="preserve"> and its change from study </w:t>
      </w:r>
      <w:r w:rsidR="00C2374E">
        <w:t>B</w:t>
      </w:r>
      <w:r w:rsidR="009804C7">
        <w:t>aseline and change from Week</w:t>
      </w:r>
      <w:r w:rsidR="00C2374E">
        <w:t> </w:t>
      </w:r>
      <w:r w:rsidR="009804C7">
        <w:t>54</w:t>
      </w:r>
      <w:r w:rsidR="00C2374E">
        <w:t>.</w:t>
      </w:r>
    </w:p>
    <w:p w14:paraId="29DA31EA" w14:textId="5CBFC19F" w:rsidR="009804C7" w:rsidRDefault="009804C7" w:rsidP="00C97DC8">
      <w:pPr>
        <w:pStyle w:val="ListBullet"/>
      </w:pPr>
      <w:proofErr w:type="spellStart"/>
      <w:r>
        <w:t>hs</w:t>
      </w:r>
      <w:proofErr w:type="spellEnd"/>
      <w:r>
        <w:t xml:space="preserve">-CRP and its change from study </w:t>
      </w:r>
      <w:r w:rsidR="00C2374E">
        <w:t>B</w:t>
      </w:r>
      <w:r>
        <w:t>aseline and change from Week</w:t>
      </w:r>
      <w:r w:rsidR="00C2374E">
        <w:t> </w:t>
      </w:r>
      <w:r>
        <w:t>54</w:t>
      </w:r>
      <w:r w:rsidR="00C2374E">
        <w:t>.</w:t>
      </w:r>
    </w:p>
    <w:p w14:paraId="1681B787" w14:textId="04407171" w:rsidR="009804C7" w:rsidRPr="00C2374E" w:rsidRDefault="009804C7" w:rsidP="00C71A77">
      <w:r w:rsidRPr="00C2374E">
        <w:t xml:space="preserve">The planned sample size for the </w:t>
      </w:r>
      <w:r w:rsidR="00C2374E">
        <w:t>intent</w:t>
      </w:r>
      <w:r w:rsidR="008C35D3">
        <w:noBreakHyphen/>
        <w:t>to</w:t>
      </w:r>
      <w:r w:rsidR="008C35D3">
        <w:noBreakHyphen/>
        <w:t>treat (</w:t>
      </w:r>
      <w:r w:rsidRPr="00C2374E">
        <w:t>ITT</w:t>
      </w:r>
      <w:r w:rsidR="008C35D3">
        <w:t>)</w:t>
      </w:r>
      <w:r w:rsidRPr="00C2374E">
        <w:t xml:space="preserve"> population was 614 subjects. The sample size was calculated using the difference in the ACR20 response rate between the two treatment arms.</w:t>
      </w:r>
    </w:p>
    <w:p w14:paraId="55A63F39" w14:textId="6E1FD8BE" w:rsidR="009804C7" w:rsidRDefault="009804C7" w:rsidP="009804C7">
      <w:r w:rsidRPr="00C2374E">
        <w:t>Therapeutic equivalence of PF-06438179 and infliximab-EU was based on the primary efficacy endpoint. Therapeutic equivalence was demonstrated based on two different pre</w:t>
      </w:r>
      <w:r w:rsidR="008C35D3">
        <w:noBreakHyphen/>
      </w:r>
      <w:r w:rsidRPr="00C2374E">
        <w:t>specified equivalence margins, which were specified by the EMA and US FDA, respectively. The results of analyses for the primary endpoint based on the ITT population, per-protocol population, and using different methods to handle missing data, respectively, were consistent.</w:t>
      </w:r>
    </w:p>
    <w:p w14:paraId="65D45F5F" w14:textId="77777777" w:rsidR="009804C7" w:rsidRPr="00307495" w:rsidRDefault="009804C7" w:rsidP="00C71A77">
      <w:pPr>
        <w:pStyle w:val="Heading5"/>
      </w:pPr>
      <w:r w:rsidRPr="00307495">
        <w:t>Results for the primary efficacy outcome</w:t>
      </w:r>
    </w:p>
    <w:p w14:paraId="1F5BAE68" w14:textId="6D14F210" w:rsidR="009804C7" w:rsidRPr="00F94CDF" w:rsidRDefault="009804C7" w:rsidP="00F94CDF">
      <w:r w:rsidRPr="00F94CDF">
        <w:t>All randomised subjects were included in the ITT population. Relative to the ITT population, the per-protocol population was comprised of 86.1% (279</w:t>
      </w:r>
      <w:r w:rsidR="00F94CDF">
        <w:t xml:space="preserve"> out of </w:t>
      </w:r>
      <w:r w:rsidRPr="00F94CDF">
        <w:t>324) of subjects in the PF</w:t>
      </w:r>
      <w:r w:rsidR="00F94CDF">
        <w:noBreakHyphen/>
      </w:r>
      <w:r w:rsidRPr="00F94CDF">
        <w:t>06438179 treatment group and 89.0% (290</w:t>
      </w:r>
      <w:r w:rsidR="00102D92">
        <w:t xml:space="preserve"> out of </w:t>
      </w:r>
      <w:r w:rsidRPr="00F94CDF">
        <w:t>326) of subjects in the infliximab-EU treatment group.</w:t>
      </w:r>
    </w:p>
    <w:p w14:paraId="1B3E9F07" w14:textId="0DB24C37" w:rsidR="009804C7" w:rsidRDefault="009804C7" w:rsidP="00C71A77">
      <w:r w:rsidRPr="00F94CDF">
        <w:t>Based on the subjects in the ITT population with non-missing ACR20 response data, the proportion of subjects in the PF-06438179 treatment group who achieved ACR20 response was 62.7% (203</w:t>
      </w:r>
      <w:r w:rsidR="00102D92">
        <w:t xml:space="preserve"> out of </w:t>
      </w:r>
      <w:r w:rsidRPr="00F94CDF">
        <w:t>324) compared with 64.1% (209</w:t>
      </w:r>
      <w:r w:rsidR="00102D92">
        <w:t xml:space="preserve"> out of </w:t>
      </w:r>
      <w:r w:rsidRPr="00F94CDF">
        <w:t>326) in the infliximab</w:t>
      </w:r>
      <w:r w:rsidR="0064755E">
        <w:noBreakHyphen/>
      </w:r>
      <w:r w:rsidRPr="00F94CDF">
        <w:t xml:space="preserve">EU treatment group. The difference in ACR20 response rate at </w:t>
      </w:r>
      <w:r w:rsidRPr="0064755E">
        <w:t>Week</w:t>
      </w:r>
      <w:r w:rsidR="0064755E">
        <w:t> </w:t>
      </w:r>
      <w:r w:rsidRPr="0064755E">
        <w:t>14</w:t>
      </w:r>
      <w:r w:rsidRPr="00F94CDF">
        <w:t xml:space="preserve"> (PF</w:t>
      </w:r>
      <w:r w:rsidR="00671DD9">
        <w:noBreakHyphen/>
      </w:r>
      <w:r w:rsidRPr="00F94CDF">
        <w:t>06438179</w:t>
      </w:r>
      <w:r w:rsidR="00671DD9">
        <w:t>-</w:t>
      </w:r>
      <w:r w:rsidRPr="00F94CDF">
        <w:t xml:space="preserve">infliximab-EU) was </w:t>
      </w:r>
      <w:r w:rsidR="006B1C08">
        <w:noBreakHyphen/>
      </w:r>
      <w:r w:rsidRPr="00F94CDF">
        <w:t>1.46%. The results based on the per-protocol population were supportive of the results in the ITT population. (</w:t>
      </w:r>
      <w:r w:rsidR="00671DD9">
        <w:fldChar w:fldCharType="begin"/>
      </w:r>
      <w:r w:rsidR="00671DD9">
        <w:instrText xml:space="preserve"> REF _Ref222411798 \h </w:instrText>
      </w:r>
      <w:r w:rsidR="00671DD9">
        <w:fldChar w:fldCharType="separate"/>
      </w:r>
      <w:r w:rsidR="002257B0">
        <w:t xml:space="preserve">Table </w:t>
      </w:r>
      <w:r w:rsidR="002257B0">
        <w:rPr>
          <w:noProof/>
        </w:rPr>
        <w:t>2</w:t>
      </w:r>
      <w:r w:rsidR="00671DD9">
        <w:fldChar w:fldCharType="end"/>
      </w:r>
      <w:r w:rsidRPr="00F94CDF">
        <w:t>).</w:t>
      </w:r>
    </w:p>
    <w:p w14:paraId="4C67A1D0" w14:textId="6FB41D3E" w:rsidR="009804C7" w:rsidRDefault="00671DD9" w:rsidP="00C71A77">
      <w:pPr>
        <w:pStyle w:val="TableTitle"/>
        <w:rPr>
          <w:lang w:eastAsia="ja-JP"/>
        </w:rPr>
      </w:pPr>
      <w:bookmarkStart w:id="50" w:name="_Ref222411798"/>
      <w:r>
        <w:lastRenderedPageBreak/>
        <w:t xml:space="preserve">Table </w:t>
      </w:r>
      <w:r>
        <w:fldChar w:fldCharType="begin"/>
      </w:r>
      <w:r>
        <w:instrText xml:space="preserve"> SEQ Table \* ARABIC </w:instrText>
      </w:r>
      <w:r>
        <w:fldChar w:fldCharType="separate"/>
      </w:r>
      <w:r w:rsidR="002257B0">
        <w:rPr>
          <w:noProof/>
        </w:rPr>
        <w:t>2</w:t>
      </w:r>
      <w:r>
        <w:fldChar w:fldCharType="end"/>
      </w:r>
      <w:bookmarkEnd w:id="50"/>
      <w:r>
        <w:t xml:space="preserve">: </w:t>
      </w:r>
      <w:r>
        <w:rPr>
          <w:lang w:eastAsia="ja-JP"/>
        </w:rPr>
        <w:t xml:space="preserve">Study </w:t>
      </w:r>
      <w:proofErr w:type="spellStart"/>
      <w:r w:rsidRPr="00C71A77">
        <w:t>B5371002</w:t>
      </w:r>
      <w:proofErr w:type="spellEnd"/>
      <w:r w:rsidR="00063A71">
        <w:rPr>
          <w:lang w:eastAsia="ja-JP"/>
        </w:rPr>
        <w:t>,</w:t>
      </w:r>
      <w:r>
        <w:rPr>
          <w:lang w:eastAsia="ja-JP"/>
        </w:rPr>
        <w:t xml:space="preserve"> </w:t>
      </w:r>
      <w:r w:rsidR="00063A71">
        <w:rPr>
          <w:lang w:eastAsia="ja-JP"/>
        </w:rPr>
        <w:t>d</w:t>
      </w:r>
      <w:r>
        <w:rPr>
          <w:lang w:eastAsia="ja-JP"/>
        </w:rPr>
        <w:t xml:space="preserve">escriptive summary of ACR20 response rate at Week 14, </w:t>
      </w:r>
      <w:r w:rsidR="008751B8">
        <w:rPr>
          <w:lang w:eastAsia="ja-JP"/>
        </w:rPr>
        <w:t>T</w:t>
      </w:r>
      <w:r>
        <w:rPr>
          <w:lang w:eastAsia="ja-JP"/>
        </w:rPr>
        <w:t xml:space="preserve">reatment </w:t>
      </w:r>
      <w:r w:rsidR="008751B8">
        <w:rPr>
          <w:lang w:eastAsia="ja-JP"/>
        </w:rPr>
        <w:t>P</w:t>
      </w:r>
      <w:r>
        <w:rPr>
          <w:lang w:eastAsia="ja-JP"/>
        </w:rPr>
        <w:t>eriod 1</w:t>
      </w:r>
    </w:p>
    <w:p w14:paraId="082F34B4" w14:textId="370CAD47" w:rsidR="00B56435" w:rsidRDefault="00B56435" w:rsidP="00C71A77">
      <w:r w:rsidRPr="00B56435">
        <w:rPr>
          <w:noProof/>
        </w:rPr>
        <w:drawing>
          <wp:inline distT="0" distB="0" distL="0" distR="0" wp14:anchorId="7C6040AD" wp14:editId="6365790A">
            <wp:extent cx="5759450" cy="2054225"/>
            <wp:effectExtent l="0" t="0" r="0" b="3175"/>
            <wp:docPr id="878709279" name="Picture 1" descr="Table 2: Study B5371002, descriptive summary of ACR20 response rate at Week 14, Treatment Perio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09279" name="Picture 1" descr="Table 2: Study B5371002, descriptive summary of ACR20 response rate at Week 14, Treatment Period 1"/>
                    <pic:cNvPicPr/>
                  </pic:nvPicPr>
                  <pic:blipFill>
                    <a:blip r:embed="rId27"/>
                    <a:stretch>
                      <a:fillRect/>
                    </a:stretch>
                  </pic:blipFill>
                  <pic:spPr>
                    <a:xfrm>
                      <a:off x="0" y="0"/>
                      <a:ext cx="5759450" cy="2054225"/>
                    </a:xfrm>
                    <a:prstGeom prst="rect">
                      <a:avLst/>
                    </a:prstGeom>
                  </pic:spPr>
                </pic:pic>
              </a:graphicData>
            </a:graphic>
          </wp:inline>
        </w:drawing>
      </w:r>
    </w:p>
    <w:p w14:paraId="3EB79356" w14:textId="48FAF89D" w:rsidR="009804C7" w:rsidRDefault="00490BDE" w:rsidP="00C71A77">
      <w:pPr>
        <w:pStyle w:val="TableDescription"/>
        <w:rPr>
          <w:lang w:eastAsia="ja-JP"/>
        </w:rPr>
      </w:pPr>
      <w:r>
        <w:rPr>
          <w:lang w:eastAsia="ja-JP"/>
        </w:rPr>
        <w:t xml:space="preserve">Abbreviations: EU = European Union, ITT = intent-to-treat, n = number of subjects, N = number of subjects randomised, TP1 = </w:t>
      </w:r>
      <w:r w:rsidR="008751B8">
        <w:rPr>
          <w:lang w:eastAsia="ja-JP"/>
        </w:rPr>
        <w:t>T</w:t>
      </w:r>
      <w:r>
        <w:rPr>
          <w:lang w:eastAsia="ja-JP"/>
        </w:rPr>
        <w:t xml:space="preserve">reatment </w:t>
      </w:r>
      <w:r w:rsidR="008751B8">
        <w:rPr>
          <w:lang w:eastAsia="ja-JP"/>
        </w:rPr>
        <w:t>P</w:t>
      </w:r>
      <w:r>
        <w:rPr>
          <w:lang w:eastAsia="ja-JP"/>
        </w:rPr>
        <w:t>eriod 1, PP = per-protocol.</w:t>
      </w:r>
    </w:p>
    <w:p w14:paraId="239C1DDD" w14:textId="32D755D1" w:rsidR="009804C7" w:rsidRPr="00490BDE" w:rsidRDefault="009804C7" w:rsidP="00C71A77">
      <w:r w:rsidRPr="00490BDE">
        <w:t xml:space="preserve">For the application to the EMA, a symmetric equivalence margin was used. Equivalence between the </w:t>
      </w:r>
      <w:r w:rsidR="00023D95">
        <w:t>two</w:t>
      </w:r>
      <w:r w:rsidRPr="00490BDE">
        <w:t xml:space="preserve"> treatment arms was to be declared if the 2-sided 95% CI for the observed difference in ACR20 response rates at Week</w:t>
      </w:r>
      <w:r w:rsidR="00023D95">
        <w:t> </w:t>
      </w:r>
      <w:r w:rsidRPr="00490BDE">
        <w:t>14 fell within the pre-specified equivalence margin of (-13.5%, 13.5%). For the application in the USA, a pre-specified asymmetric equivalence margin criterion of (-12%, 15%) with a 90% 2-sided CI was agreed on with the US FDA.</w:t>
      </w:r>
    </w:p>
    <w:p w14:paraId="37327609" w14:textId="2D0D1E19" w:rsidR="009804C7" w:rsidRPr="00490BDE" w:rsidRDefault="009804C7" w:rsidP="00490BDE">
      <w:r w:rsidRPr="00490BDE">
        <w:t xml:space="preserve">For the primary analysis of ACR20, missing data were imputed using a non-responder imputation method. Therapeutic equivalence between the test infliximab </w:t>
      </w:r>
      <w:r w:rsidR="006B1C08">
        <w:t>(</w:t>
      </w:r>
      <w:r w:rsidRPr="00490BDE">
        <w:t>PF-06438179) and reference infliximab (infliximab-EU) was demonstrated.</w:t>
      </w:r>
    </w:p>
    <w:p w14:paraId="25E70D70" w14:textId="122E3AF7" w:rsidR="009804C7" w:rsidRPr="00490BDE" w:rsidRDefault="009804C7" w:rsidP="00490BDE">
      <w:r w:rsidRPr="00490BDE">
        <w:t>Using the symmetric equivalence margin, the 2-sided 95% CI for the observed difference in ACR20 response rates at Week</w:t>
      </w:r>
      <w:r w:rsidR="005D3E5C">
        <w:t> </w:t>
      </w:r>
      <w:r w:rsidRPr="00490BDE">
        <w:t>14 fell within the equivalence margin of (-13.5%, 13.5%) (</w:t>
      </w:r>
      <w:r w:rsidR="00BA22D1">
        <w:fldChar w:fldCharType="begin"/>
      </w:r>
      <w:r w:rsidR="00BA22D1">
        <w:instrText xml:space="preserve"> REF _Ref222412162 \h </w:instrText>
      </w:r>
      <w:r w:rsidR="00BA22D1">
        <w:fldChar w:fldCharType="separate"/>
      </w:r>
      <w:r w:rsidR="002257B0">
        <w:t xml:space="preserve">Table </w:t>
      </w:r>
      <w:r w:rsidR="002257B0">
        <w:rPr>
          <w:noProof/>
        </w:rPr>
        <w:t>3</w:t>
      </w:r>
      <w:r w:rsidR="00BA22D1">
        <w:fldChar w:fldCharType="end"/>
      </w:r>
      <w:r w:rsidRPr="00490BDE">
        <w:t xml:space="preserve"> and </w:t>
      </w:r>
      <w:r w:rsidRPr="00490BDE">
        <w:fldChar w:fldCharType="begin"/>
      </w:r>
      <w:r w:rsidRPr="00490BDE">
        <w:instrText xml:space="preserve"> REF _Ref156313332 \h </w:instrText>
      </w:r>
      <w:r w:rsidR="00490BDE">
        <w:instrText xml:space="preserve"> \* MERGEFORMAT </w:instrText>
      </w:r>
      <w:r w:rsidRPr="00490BDE">
        <w:fldChar w:fldCharType="separate"/>
      </w:r>
      <w:r w:rsidR="002257B0">
        <w:t>Figure 2</w:t>
      </w:r>
      <w:r w:rsidRPr="00490BDE">
        <w:fldChar w:fldCharType="end"/>
      </w:r>
      <w:r w:rsidRPr="00490BDE">
        <w:t>). Using the asymmetric equivalence margin, the 90% 2-sided CI for the observed difference in ACR20 response rates at Week</w:t>
      </w:r>
      <w:r w:rsidR="00BA22D1">
        <w:t> </w:t>
      </w:r>
      <w:r w:rsidRPr="00490BDE">
        <w:t>14 fell within the equivalence margin of (</w:t>
      </w:r>
      <w:r w:rsidR="00052071">
        <w:noBreakHyphen/>
      </w:r>
      <w:r w:rsidRPr="00490BDE">
        <w:t xml:space="preserve">12%, 15%) </w:t>
      </w:r>
      <w:r w:rsidR="008E7C7A">
        <w:t>(</w:t>
      </w:r>
      <w:r w:rsidR="008E7C7A">
        <w:fldChar w:fldCharType="begin"/>
      </w:r>
      <w:r w:rsidR="008E7C7A">
        <w:instrText xml:space="preserve"> REF _Ref222412952 \h </w:instrText>
      </w:r>
      <w:r w:rsidR="008E7C7A">
        <w:fldChar w:fldCharType="separate"/>
      </w:r>
      <w:r w:rsidR="002257B0">
        <w:t xml:space="preserve">Table </w:t>
      </w:r>
      <w:r w:rsidR="002257B0">
        <w:rPr>
          <w:noProof/>
        </w:rPr>
        <w:t>4</w:t>
      </w:r>
      <w:r w:rsidR="008E7C7A">
        <w:fldChar w:fldCharType="end"/>
      </w:r>
      <w:r w:rsidR="008E7C7A">
        <w:t xml:space="preserve"> </w:t>
      </w:r>
      <w:r w:rsidRPr="00490BDE">
        <w:t xml:space="preserve">and </w:t>
      </w:r>
      <w:r w:rsidRPr="00490BDE">
        <w:fldChar w:fldCharType="begin"/>
      </w:r>
      <w:r w:rsidRPr="00490BDE">
        <w:instrText xml:space="preserve"> REF _Ref156313341 \h </w:instrText>
      </w:r>
      <w:r w:rsidR="00490BDE">
        <w:instrText xml:space="preserve"> \* MERGEFORMAT </w:instrText>
      </w:r>
      <w:r w:rsidRPr="00490BDE">
        <w:fldChar w:fldCharType="separate"/>
      </w:r>
      <w:r w:rsidR="002257B0">
        <w:t>Figure 3</w:t>
      </w:r>
      <w:r w:rsidRPr="00490BDE">
        <w:fldChar w:fldCharType="end"/>
      </w:r>
      <w:r w:rsidRPr="00490BDE">
        <w:t>).</w:t>
      </w:r>
    </w:p>
    <w:p w14:paraId="2BFB572F" w14:textId="6235EAEC" w:rsidR="009804C7" w:rsidRDefault="00BA22D1" w:rsidP="00C71A77">
      <w:pPr>
        <w:pStyle w:val="TableTitle"/>
        <w:rPr>
          <w:lang w:eastAsia="ja-JP"/>
        </w:rPr>
      </w:pPr>
      <w:bookmarkStart w:id="51" w:name="_Ref222412162"/>
      <w:r>
        <w:t xml:space="preserve">Table </w:t>
      </w:r>
      <w:r>
        <w:fldChar w:fldCharType="begin"/>
      </w:r>
      <w:r>
        <w:instrText xml:space="preserve"> SEQ Table \* ARABIC </w:instrText>
      </w:r>
      <w:r>
        <w:fldChar w:fldCharType="separate"/>
      </w:r>
      <w:r w:rsidR="002257B0">
        <w:rPr>
          <w:noProof/>
        </w:rPr>
        <w:t>3</w:t>
      </w:r>
      <w:r>
        <w:fldChar w:fldCharType="end"/>
      </w:r>
      <w:bookmarkEnd w:id="51"/>
      <w:r>
        <w:t xml:space="preserve">: </w:t>
      </w:r>
      <w:r>
        <w:rPr>
          <w:lang w:eastAsia="ja-JP"/>
        </w:rPr>
        <w:t>Study B5371002</w:t>
      </w:r>
      <w:r w:rsidR="0039188E">
        <w:rPr>
          <w:lang w:eastAsia="ja-JP"/>
        </w:rPr>
        <w:t>,</w:t>
      </w:r>
      <w:r>
        <w:rPr>
          <w:lang w:eastAsia="ja-JP"/>
        </w:rPr>
        <w:t xml:space="preserve"> </w:t>
      </w:r>
      <w:r w:rsidR="0039188E">
        <w:rPr>
          <w:lang w:eastAsia="ja-JP"/>
        </w:rPr>
        <w:t>e</w:t>
      </w:r>
      <w:r>
        <w:rPr>
          <w:lang w:eastAsia="ja-JP"/>
        </w:rPr>
        <w:t xml:space="preserve">xact binomial approach for ACR20 response rate at Week 14, </w:t>
      </w:r>
      <w:r w:rsidRPr="00C71A77">
        <w:t>using</w:t>
      </w:r>
      <w:r>
        <w:rPr>
          <w:lang w:eastAsia="ja-JP"/>
        </w:rPr>
        <w:t xml:space="preserve"> non-responder imputation for missing data</w:t>
      </w:r>
      <w:r w:rsidR="00A876E6">
        <w:rPr>
          <w:lang w:eastAsia="ja-JP"/>
        </w:rPr>
        <w:t xml:space="preserve">, </w:t>
      </w:r>
      <w:r w:rsidR="002C4441">
        <w:rPr>
          <w:lang w:eastAsia="ja-JP"/>
        </w:rPr>
        <w:t>T</w:t>
      </w:r>
      <w:r w:rsidR="00A876E6">
        <w:rPr>
          <w:lang w:eastAsia="ja-JP"/>
        </w:rPr>
        <w:t xml:space="preserve">reatment </w:t>
      </w:r>
      <w:r w:rsidR="002C4441">
        <w:rPr>
          <w:lang w:eastAsia="ja-JP"/>
        </w:rPr>
        <w:t>P</w:t>
      </w:r>
      <w:r w:rsidR="00A876E6">
        <w:rPr>
          <w:lang w:eastAsia="ja-JP"/>
        </w:rPr>
        <w:t xml:space="preserve">eriod 1 </w:t>
      </w:r>
      <w:r>
        <w:rPr>
          <w:lang w:eastAsia="ja-JP"/>
        </w:rPr>
        <w:t xml:space="preserve">(95% </w:t>
      </w:r>
      <w:proofErr w:type="spellStart"/>
      <w:r>
        <w:rPr>
          <w:lang w:eastAsia="ja-JP"/>
        </w:rPr>
        <w:t>CI</w:t>
      </w:r>
      <w:r w:rsidRPr="006F6771">
        <w:rPr>
          <w:vertAlign w:val="superscript"/>
          <w:lang w:eastAsia="ja-JP"/>
        </w:rPr>
        <w:t>a</w:t>
      </w:r>
      <w:proofErr w:type="spellEnd"/>
      <w:r>
        <w:rPr>
          <w:lang w:eastAsia="ja-JP"/>
        </w:rPr>
        <w:t>)</w:t>
      </w:r>
    </w:p>
    <w:p w14:paraId="147C02DC" w14:textId="5BA482C8" w:rsidR="00A876E6" w:rsidRDefault="00522151" w:rsidP="00C71A77">
      <w:pPr>
        <w:rPr>
          <w:lang w:eastAsia="ja-JP"/>
        </w:rPr>
      </w:pPr>
      <w:r w:rsidRPr="00522151">
        <w:rPr>
          <w:noProof/>
          <w:lang w:eastAsia="ja-JP"/>
        </w:rPr>
        <w:drawing>
          <wp:inline distT="0" distB="0" distL="0" distR="0" wp14:anchorId="513A22C0" wp14:editId="3D75CE44">
            <wp:extent cx="5759450" cy="1941195"/>
            <wp:effectExtent l="0" t="0" r="0" b="1905"/>
            <wp:docPr id="851520658" name="Picture 1" descr="Table 3: Study B5371002, exact binomial approach for ACR20 response rate at Week 14, using non-responder imputation for missing data, Treatment Period 1 (95% 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20658" name="Picture 1" descr="Table 3: Study B5371002, exact binomial approach for ACR20 response rate at Week 14, using non-responder imputation for missing data, Treatment Period 1 (95% CIa)"/>
                    <pic:cNvPicPr/>
                  </pic:nvPicPr>
                  <pic:blipFill>
                    <a:blip r:embed="rId28"/>
                    <a:stretch>
                      <a:fillRect/>
                    </a:stretch>
                  </pic:blipFill>
                  <pic:spPr>
                    <a:xfrm>
                      <a:off x="0" y="0"/>
                      <a:ext cx="5759450" cy="1941195"/>
                    </a:xfrm>
                    <a:prstGeom prst="rect">
                      <a:avLst/>
                    </a:prstGeom>
                  </pic:spPr>
                </pic:pic>
              </a:graphicData>
            </a:graphic>
          </wp:inline>
        </w:drawing>
      </w:r>
    </w:p>
    <w:p w14:paraId="72C4E5DA" w14:textId="4EB92780" w:rsidR="004450C2" w:rsidRPr="004450C2" w:rsidRDefault="004450C2" w:rsidP="00C71A77">
      <w:pPr>
        <w:pStyle w:val="TableDescription"/>
        <w:rPr>
          <w:noProof/>
          <w:lang w:eastAsia="ja-JP"/>
        </w:rPr>
      </w:pPr>
      <w:r w:rsidRPr="00C71A77">
        <w:t>Abbreviations</w:t>
      </w:r>
      <w:r w:rsidRPr="004450C2">
        <w:rPr>
          <w:noProof/>
          <w:lang w:eastAsia="ja-JP"/>
        </w:rPr>
        <w:t>: CI = confidence interval</w:t>
      </w:r>
      <w:r>
        <w:rPr>
          <w:noProof/>
          <w:lang w:eastAsia="ja-JP"/>
        </w:rPr>
        <w:t>,</w:t>
      </w:r>
      <w:r w:rsidRPr="004450C2">
        <w:rPr>
          <w:noProof/>
          <w:lang w:eastAsia="ja-JP"/>
        </w:rPr>
        <w:t xml:space="preserve"> EU = European Union</w:t>
      </w:r>
      <w:r>
        <w:rPr>
          <w:noProof/>
          <w:lang w:eastAsia="ja-JP"/>
        </w:rPr>
        <w:t>,</w:t>
      </w:r>
      <w:r w:rsidRPr="004450C2">
        <w:rPr>
          <w:noProof/>
          <w:lang w:eastAsia="ja-JP"/>
        </w:rPr>
        <w:t xml:space="preserve"> ITT = </w:t>
      </w:r>
      <w:r>
        <w:rPr>
          <w:noProof/>
          <w:lang w:eastAsia="ja-JP"/>
        </w:rPr>
        <w:t>i</w:t>
      </w:r>
      <w:r w:rsidRPr="004450C2">
        <w:rPr>
          <w:noProof/>
          <w:lang w:eastAsia="ja-JP"/>
        </w:rPr>
        <w:t>ntent-to-</w:t>
      </w:r>
      <w:r>
        <w:rPr>
          <w:noProof/>
          <w:lang w:eastAsia="ja-JP"/>
        </w:rPr>
        <w:t>t</w:t>
      </w:r>
      <w:r w:rsidRPr="004450C2">
        <w:rPr>
          <w:noProof/>
          <w:lang w:eastAsia="ja-JP"/>
        </w:rPr>
        <w:t>reat</w:t>
      </w:r>
      <w:r>
        <w:rPr>
          <w:noProof/>
          <w:lang w:eastAsia="ja-JP"/>
        </w:rPr>
        <w:t>,</w:t>
      </w:r>
      <w:r w:rsidRPr="004450C2">
        <w:rPr>
          <w:noProof/>
          <w:lang w:eastAsia="ja-JP"/>
        </w:rPr>
        <w:t xml:space="preserve"> n = number of subjects</w:t>
      </w:r>
      <w:r>
        <w:rPr>
          <w:noProof/>
          <w:lang w:eastAsia="ja-JP"/>
        </w:rPr>
        <w:t xml:space="preserve"> </w:t>
      </w:r>
      <w:r w:rsidRPr="004450C2">
        <w:rPr>
          <w:noProof/>
          <w:lang w:eastAsia="ja-JP"/>
        </w:rPr>
        <w:t>with ACR20 response</w:t>
      </w:r>
      <w:r>
        <w:rPr>
          <w:noProof/>
          <w:lang w:eastAsia="ja-JP"/>
        </w:rPr>
        <w:t>,</w:t>
      </w:r>
      <w:r w:rsidRPr="004450C2">
        <w:rPr>
          <w:noProof/>
          <w:lang w:eastAsia="ja-JP"/>
        </w:rPr>
        <w:t xml:space="preserve"> N = number of subjects with non-missing ACR20 response data</w:t>
      </w:r>
      <w:r>
        <w:rPr>
          <w:noProof/>
          <w:lang w:eastAsia="ja-JP"/>
        </w:rPr>
        <w:t>,</w:t>
      </w:r>
      <w:r w:rsidRPr="004450C2">
        <w:rPr>
          <w:noProof/>
          <w:lang w:eastAsia="ja-JP"/>
        </w:rPr>
        <w:t xml:space="preserve"> PP = </w:t>
      </w:r>
      <w:r>
        <w:rPr>
          <w:noProof/>
          <w:lang w:eastAsia="ja-JP"/>
        </w:rPr>
        <w:t>p</w:t>
      </w:r>
      <w:r w:rsidRPr="004450C2">
        <w:rPr>
          <w:noProof/>
          <w:lang w:eastAsia="ja-JP"/>
        </w:rPr>
        <w:t>er-</w:t>
      </w:r>
      <w:r>
        <w:rPr>
          <w:noProof/>
          <w:lang w:eastAsia="ja-JP"/>
        </w:rPr>
        <w:t>p</w:t>
      </w:r>
      <w:r w:rsidRPr="004450C2">
        <w:rPr>
          <w:noProof/>
          <w:lang w:eastAsia="ja-JP"/>
        </w:rPr>
        <w:t>rotocol</w:t>
      </w:r>
      <w:r>
        <w:rPr>
          <w:noProof/>
          <w:lang w:eastAsia="ja-JP"/>
        </w:rPr>
        <w:t xml:space="preserve">, </w:t>
      </w:r>
      <w:r w:rsidRPr="004450C2">
        <w:rPr>
          <w:noProof/>
          <w:lang w:eastAsia="ja-JP"/>
        </w:rPr>
        <w:t xml:space="preserve">TP1 = </w:t>
      </w:r>
      <w:r w:rsidR="002C4441">
        <w:rPr>
          <w:noProof/>
          <w:lang w:eastAsia="ja-JP"/>
        </w:rPr>
        <w:t>T</w:t>
      </w:r>
      <w:r w:rsidRPr="004450C2">
        <w:rPr>
          <w:noProof/>
          <w:lang w:eastAsia="ja-JP"/>
        </w:rPr>
        <w:t xml:space="preserve">reatment </w:t>
      </w:r>
      <w:r w:rsidR="002C4441">
        <w:rPr>
          <w:noProof/>
          <w:lang w:eastAsia="ja-JP"/>
        </w:rPr>
        <w:t>P</w:t>
      </w:r>
      <w:r w:rsidRPr="004450C2">
        <w:rPr>
          <w:noProof/>
          <w:lang w:eastAsia="ja-JP"/>
        </w:rPr>
        <w:t>eriod 1.</w:t>
      </w:r>
    </w:p>
    <w:p w14:paraId="06B2CED7" w14:textId="77777777" w:rsidR="004450C2" w:rsidRPr="004450C2" w:rsidRDefault="004450C2" w:rsidP="00C71A77">
      <w:pPr>
        <w:pStyle w:val="TableDescription"/>
        <w:rPr>
          <w:noProof/>
          <w:lang w:eastAsia="ja-JP"/>
        </w:rPr>
      </w:pPr>
      <w:r w:rsidRPr="004450C2">
        <w:rPr>
          <w:noProof/>
          <w:lang w:eastAsia="ja-JP"/>
        </w:rPr>
        <w:t>a. 95% CI is part of the symmetric margin criterion.</w:t>
      </w:r>
    </w:p>
    <w:p w14:paraId="61871736" w14:textId="14B5BE4A" w:rsidR="009804C7" w:rsidRDefault="004450C2" w:rsidP="00C71A77">
      <w:pPr>
        <w:pStyle w:val="TableDescription"/>
        <w:rPr>
          <w:noProof/>
          <w:lang w:eastAsia="ja-JP"/>
        </w:rPr>
      </w:pPr>
      <w:r w:rsidRPr="004450C2">
        <w:rPr>
          <w:noProof/>
          <w:lang w:eastAsia="ja-JP"/>
        </w:rPr>
        <w:t xml:space="preserve">b. Score statistic was the primary </w:t>
      </w:r>
      <w:r w:rsidRPr="00C71A77">
        <w:t>inference</w:t>
      </w:r>
      <w:r w:rsidRPr="004450C2">
        <w:rPr>
          <w:noProof/>
          <w:lang w:eastAsia="ja-JP"/>
        </w:rPr>
        <w:t xml:space="preserve"> for similarity.</w:t>
      </w:r>
    </w:p>
    <w:p w14:paraId="064C8D84" w14:textId="4B38018A" w:rsidR="009804C7" w:rsidRDefault="009804C7" w:rsidP="00C71A77">
      <w:pPr>
        <w:pStyle w:val="FigureTitle"/>
        <w:rPr>
          <w:lang w:eastAsia="ja-JP"/>
        </w:rPr>
      </w:pPr>
      <w:bookmarkStart w:id="52" w:name="_Ref156313332"/>
      <w:bookmarkStart w:id="53" w:name="_Toc160027179"/>
      <w:r>
        <w:lastRenderedPageBreak/>
        <w:t xml:space="preserve">Figure </w:t>
      </w:r>
      <w:r>
        <w:fldChar w:fldCharType="begin"/>
      </w:r>
      <w:r>
        <w:instrText xml:space="preserve"> SEQ Figure \* ARABIC </w:instrText>
      </w:r>
      <w:r>
        <w:fldChar w:fldCharType="separate"/>
      </w:r>
      <w:r w:rsidR="002257B0">
        <w:rPr>
          <w:noProof/>
        </w:rPr>
        <w:t>2</w:t>
      </w:r>
      <w:r>
        <w:rPr>
          <w:noProof/>
        </w:rPr>
        <w:fldChar w:fldCharType="end"/>
      </w:r>
      <w:bookmarkEnd w:id="52"/>
      <w:r w:rsidR="003A15C2">
        <w:rPr>
          <w:noProof/>
        </w:rPr>
        <w:t>:</w:t>
      </w:r>
      <w:r>
        <w:t xml:space="preserve"> </w:t>
      </w:r>
      <w:r>
        <w:rPr>
          <w:lang w:eastAsia="ja-JP"/>
        </w:rPr>
        <w:t xml:space="preserve">Study </w:t>
      </w:r>
      <w:proofErr w:type="spellStart"/>
      <w:r>
        <w:rPr>
          <w:lang w:eastAsia="ja-JP"/>
        </w:rPr>
        <w:t>B5371002</w:t>
      </w:r>
      <w:proofErr w:type="spellEnd"/>
      <w:r w:rsidR="0039188E">
        <w:rPr>
          <w:lang w:eastAsia="ja-JP"/>
        </w:rPr>
        <w:t xml:space="preserve">, </w:t>
      </w:r>
      <w:r w:rsidR="0039188E" w:rsidRPr="00C71A77">
        <w:t>t</w:t>
      </w:r>
      <w:r w:rsidRPr="00C71A77">
        <w:t>herapeutic</w:t>
      </w:r>
      <w:r>
        <w:rPr>
          <w:lang w:eastAsia="ja-JP"/>
        </w:rPr>
        <w:t xml:space="preserve"> equivalence of </w:t>
      </w:r>
      <w:proofErr w:type="spellStart"/>
      <w:r>
        <w:rPr>
          <w:lang w:eastAsia="ja-JP"/>
        </w:rPr>
        <w:t>ACR20</w:t>
      </w:r>
      <w:proofErr w:type="spellEnd"/>
      <w:r>
        <w:rPr>
          <w:lang w:eastAsia="ja-JP"/>
        </w:rPr>
        <w:t xml:space="preserve"> response rate at Week 14 established between P</w:t>
      </w:r>
      <w:r w:rsidR="008C5C67">
        <w:rPr>
          <w:lang w:eastAsia="ja-JP"/>
        </w:rPr>
        <w:t>F</w:t>
      </w:r>
      <w:r w:rsidR="003A15C2">
        <w:rPr>
          <w:lang w:eastAsia="ja-JP"/>
        </w:rPr>
        <w:noBreakHyphen/>
      </w:r>
      <w:r>
        <w:rPr>
          <w:lang w:eastAsia="ja-JP"/>
        </w:rPr>
        <w:t>06438179 and infliximab-EU, using non-responder imputation for missing data</w:t>
      </w:r>
      <w:r w:rsidR="003A15C2">
        <w:rPr>
          <w:lang w:eastAsia="ja-JP"/>
        </w:rPr>
        <w:t>,</w:t>
      </w:r>
      <w:r>
        <w:rPr>
          <w:lang w:eastAsia="ja-JP"/>
        </w:rPr>
        <w:t xml:space="preserve"> T</w:t>
      </w:r>
      <w:r w:rsidR="003A15C2">
        <w:rPr>
          <w:lang w:eastAsia="ja-JP"/>
        </w:rPr>
        <w:t xml:space="preserve">reatment </w:t>
      </w:r>
      <w:r>
        <w:rPr>
          <w:lang w:eastAsia="ja-JP"/>
        </w:rPr>
        <w:t>P</w:t>
      </w:r>
      <w:r w:rsidR="003A15C2">
        <w:rPr>
          <w:lang w:eastAsia="ja-JP"/>
        </w:rPr>
        <w:t xml:space="preserve">eriod </w:t>
      </w:r>
      <w:r>
        <w:rPr>
          <w:lang w:eastAsia="ja-JP"/>
        </w:rPr>
        <w:t>1 (95% CI and symmetric margin)</w:t>
      </w:r>
      <w:bookmarkEnd w:id="53"/>
    </w:p>
    <w:p w14:paraId="1DB1E672" w14:textId="5147AC93" w:rsidR="005952DA" w:rsidRDefault="005952DA" w:rsidP="00C71A77">
      <w:pPr>
        <w:rPr>
          <w:lang w:eastAsia="ja-JP"/>
        </w:rPr>
      </w:pPr>
      <w:r w:rsidRPr="005952DA">
        <w:rPr>
          <w:noProof/>
          <w:lang w:eastAsia="ja-JP"/>
        </w:rPr>
        <w:drawing>
          <wp:inline distT="0" distB="0" distL="0" distR="0" wp14:anchorId="45B473B8" wp14:editId="5F21063C">
            <wp:extent cx="5626100" cy="3392170"/>
            <wp:effectExtent l="0" t="0" r="0" b="0"/>
            <wp:docPr id="1487153098" name="Picture 1" descr="Figure 2: Study B5371002, therapeutic equivalence of ACR20 response rate at Week 14 established between PF 06438179 and infliximab-EU, using non-responder imputation for missing data, Treatment Period 1 (95% CI and symmetric mar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153098" name="Picture 1" descr="Figure 2: Study B5371002, therapeutic equivalence of ACR20 response rate at Week 14 established between PF 06438179 and infliximab-EU, using non-responder imputation for missing data, Treatment Period 1 (95% CI and symmetric margin)"/>
                    <pic:cNvPicPr/>
                  </pic:nvPicPr>
                  <pic:blipFill rotWithShape="1">
                    <a:blip r:embed="rId29"/>
                    <a:srcRect l="2315"/>
                    <a:stretch>
                      <a:fillRect/>
                    </a:stretch>
                  </pic:blipFill>
                  <pic:spPr bwMode="auto">
                    <a:xfrm>
                      <a:off x="0" y="0"/>
                      <a:ext cx="5626100" cy="3392170"/>
                    </a:xfrm>
                    <a:prstGeom prst="rect">
                      <a:avLst/>
                    </a:prstGeom>
                    <a:ln>
                      <a:noFill/>
                    </a:ln>
                    <a:extLst>
                      <a:ext uri="{53640926-AAD7-44D8-BBD7-CCE9431645EC}">
                        <a14:shadowObscured xmlns:a14="http://schemas.microsoft.com/office/drawing/2010/main"/>
                      </a:ext>
                    </a:extLst>
                  </pic:spPr>
                </pic:pic>
              </a:graphicData>
            </a:graphic>
          </wp:inline>
        </w:drawing>
      </w:r>
    </w:p>
    <w:p w14:paraId="57A32BD9" w14:textId="633D2431" w:rsidR="00AA794E" w:rsidRPr="001C6B41" w:rsidRDefault="00670525" w:rsidP="00C71A77">
      <w:pPr>
        <w:pStyle w:val="FigureDescription"/>
        <w:rPr>
          <w:lang w:eastAsia="ja-JP"/>
        </w:rPr>
      </w:pPr>
      <w:r w:rsidRPr="00670525">
        <w:rPr>
          <w:lang w:eastAsia="ja-JP"/>
        </w:rPr>
        <w:t xml:space="preserve">Abbreviations: CI = </w:t>
      </w:r>
      <w:r w:rsidRPr="00C71A77">
        <w:t>confidence</w:t>
      </w:r>
      <w:r w:rsidRPr="00670525">
        <w:rPr>
          <w:lang w:eastAsia="ja-JP"/>
        </w:rPr>
        <w:t xml:space="preserve"> interval</w:t>
      </w:r>
      <w:r>
        <w:rPr>
          <w:lang w:eastAsia="ja-JP"/>
        </w:rPr>
        <w:t>,</w:t>
      </w:r>
      <w:r w:rsidRPr="00670525">
        <w:rPr>
          <w:lang w:eastAsia="ja-JP"/>
        </w:rPr>
        <w:t xml:space="preserve"> EU = European Union</w:t>
      </w:r>
      <w:r>
        <w:rPr>
          <w:lang w:eastAsia="ja-JP"/>
        </w:rPr>
        <w:t xml:space="preserve">, </w:t>
      </w:r>
      <w:r w:rsidRPr="00670525">
        <w:rPr>
          <w:lang w:eastAsia="ja-JP"/>
        </w:rPr>
        <w:t xml:space="preserve">ITT = </w:t>
      </w:r>
      <w:r>
        <w:rPr>
          <w:lang w:eastAsia="ja-JP"/>
        </w:rPr>
        <w:t>i</w:t>
      </w:r>
      <w:r w:rsidRPr="00670525">
        <w:rPr>
          <w:lang w:eastAsia="ja-JP"/>
        </w:rPr>
        <w:t>ntent-to-</w:t>
      </w:r>
      <w:r>
        <w:rPr>
          <w:lang w:eastAsia="ja-JP"/>
        </w:rPr>
        <w:t>t</w:t>
      </w:r>
      <w:r w:rsidRPr="00670525">
        <w:rPr>
          <w:lang w:eastAsia="ja-JP"/>
        </w:rPr>
        <w:t>reat</w:t>
      </w:r>
      <w:r>
        <w:rPr>
          <w:lang w:eastAsia="ja-JP"/>
        </w:rPr>
        <w:t>,</w:t>
      </w:r>
      <w:r w:rsidRPr="00670525">
        <w:rPr>
          <w:lang w:eastAsia="ja-JP"/>
        </w:rPr>
        <w:t xml:space="preserve"> PP = </w:t>
      </w:r>
      <w:r w:rsidR="003B0799">
        <w:rPr>
          <w:lang w:eastAsia="ja-JP"/>
        </w:rPr>
        <w:t>p</w:t>
      </w:r>
      <w:r w:rsidRPr="00670525">
        <w:rPr>
          <w:lang w:eastAsia="ja-JP"/>
        </w:rPr>
        <w:t>er</w:t>
      </w:r>
      <w:r>
        <w:rPr>
          <w:lang w:eastAsia="ja-JP"/>
        </w:rPr>
        <w:noBreakHyphen/>
      </w:r>
      <w:r w:rsidR="003B0799">
        <w:rPr>
          <w:lang w:eastAsia="ja-JP"/>
        </w:rPr>
        <w:t>p</w:t>
      </w:r>
      <w:r w:rsidRPr="00670525">
        <w:rPr>
          <w:lang w:eastAsia="ja-JP"/>
        </w:rPr>
        <w:t>rotocol</w:t>
      </w:r>
      <w:r>
        <w:rPr>
          <w:lang w:eastAsia="ja-JP"/>
        </w:rPr>
        <w:t xml:space="preserve">, </w:t>
      </w:r>
      <w:r w:rsidRPr="001C6B41">
        <w:rPr>
          <w:lang w:eastAsia="ja-JP"/>
        </w:rPr>
        <w:t>TP1</w:t>
      </w:r>
      <w:r w:rsidR="003B0799" w:rsidRPr="001C6B41">
        <w:rPr>
          <w:lang w:eastAsia="ja-JP"/>
        </w:rPr>
        <w:t> </w:t>
      </w:r>
      <w:r w:rsidRPr="001C6B41">
        <w:rPr>
          <w:lang w:eastAsia="ja-JP"/>
        </w:rPr>
        <w:t>=</w:t>
      </w:r>
      <w:r w:rsidR="003B0799" w:rsidRPr="001C6B41">
        <w:rPr>
          <w:lang w:eastAsia="ja-JP"/>
        </w:rPr>
        <w:t> </w:t>
      </w:r>
      <w:r w:rsidRPr="001C6B41">
        <w:rPr>
          <w:lang w:eastAsia="ja-JP"/>
        </w:rPr>
        <w:t>Treatment Period 1.</w:t>
      </w:r>
    </w:p>
    <w:p w14:paraId="67C02AF0" w14:textId="643144D7" w:rsidR="009804C7" w:rsidRDefault="00C96B26" w:rsidP="001C6B41">
      <w:pPr>
        <w:pStyle w:val="TableTitle"/>
      </w:pPr>
      <w:bookmarkStart w:id="54" w:name="_Ref222412952"/>
      <w:bookmarkStart w:id="55" w:name="_Ref156313300"/>
      <w:bookmarkStart w:id="56" w:name="_Toc160027129"/>
      <w:r w:rsidRPr="001C6B41">
        <w:t xml:space="preserve">Table </w:t>
      </w:r>
      <w:r w:rsidRPr="001C6B41">
        <w:fldChar w:fldCharType="begin"/>
      </w:r>
      <w:r w:rsidRPr="001C6B41">
        <w:instrText xml:space="preserve"> SEQ Table \* ARABIC </w:instrText>
      </w:r>
      <w:r w:rsidRPr="001C6B41">
        <w:fldChar w:fldCharType="separate"/>
      </w:r>
      <w:r w:rsidR="002257B0" w:rsidRPr="001C6B41">
        <w:rPr>
          <w:noProof/>
        </w:rPr>
        <w:t>4</w:t>
      </w:r>
      <w:r w:rsidRPr="001C6B41">
        <w:fldChar w:fldCharType="end"/>
      </w:r>
      <w:bookmarkEnd w:id="54"/>
      <w:r w:rsidRPr="001C6B41">
        <w:t xml:space="preserve">: </w:t>
      </w:r>
      <w:r w:rsidRPr="001C6B41">
        <w:rPr>
          <w:lang w:eastAsia="ja-JP"/>
        </w:rPr>
        <w:t xml:space="preserve">Study </w:t>
      </w:r>
      <w:proofErr w:type="spellStart"/>
      <w:r w:rsidRPr="001C6B41">
        <w:t>B5371002</w:t>
      </w:r>
      <w:proofErr w:type="spellEnd"/>
      <w:r w:rsidR="00113BE6" w:rsidRPr="001C6B41">
        <w:rPr>
          <w:lang w:eastAsia="ja-JP"/>
        </w:rPr>
        <w:t>,</w:t>
      </w:r>
      <w:r w:rsidRPr="001C6B41">
        <w:t xml:space="preserve"> </w:t>
      </w:r>
      <w:r w:rsidR="00113BE6" w:rsidRPr="001C6B41">
        <w:t>e</w:t>
      </w:r>
      <w:r w:rsidRPr="001C6B41">
        <w:t xml:space="preserve">xact binomial approach for ACR20 response rate at Week 14, using non-responder imputation for missing data, Treatment Period 1 (90% </w:t>
      </w:r>
      <w:proofErr w:type="spellStart"/>
      <w:r w:rsidRPr="001C6B41">
        <w:t>CI</w:t>
      </w:r>
      <w:r w:rsidRPr="001C6B41">
        <w:rPr>
          <w:vertAlign w:val="superscript"/>
        </w:rPr>
        <w:t>a</w:t>
      </w:r>
      <w:proofErr w:type="spellEnd"/>
      <w:r w:rsidRPr="001C6B41">
        <w:t>)</w:t>
      </w:r>
      <w:bookmarkEnd w:id="55"/>
      <w:bookmarkEnd w:id="56"/>
    </w:p>
    <w:p w14:paraId="00D32B74" w14:textId="5C0C3AEA" w:rsidR="00C96B26" w:rsidRDefault="00A83516" w:rsidP="001C6B41">
      <w:r w:rsidRPr="00A83516">
        <w:rPr>
          <w:noProof/>
        </w:rPr>
        <w:drawing>
          <wp:inline distT="0" distB="0" distL="0" distR="0" wp14:anchorId="5C3D0A42" wp14:editId="751C76E2">
            <wp:extent cx="5759450" cy="1900555"/>
            <wp:effectExtent l="0" t="0" r="0" b="4445"/>
            <wp:docPr id="182276546" name="Picture 1" descr="Table 4: Study B5371002, exact binomial approach for ACR20 response rate at Week 14, using non-responder imputation for missing data, Treatment Period 1 (90% 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6546" name="Picture 1" descr="Table 4: Study B5371002, exact binomial approach for ACR20 response rate at Week 14, using non-responder imputation for missing data, Treatment Period 1 (90% CIa)"/>
                    <pic:cNvPicPr/>
                  </pic:nvPicPr>
                  <pic:blipFill>
                    <a:blip r:embed="rId30"/>
                    <a:stretch>
                      <a:fillRect/>
                    </a:stretch>
                  </pic:blipFill>
                  <pic:spPr>
                    <a:xfrm>
                      <a:off x="0" y="0"/>
                      <a:ext cx="5759450" cy="1900555"/>
                    </a:xfrm>
                    <a:prstGeom prst="rect">
                      <a:avLst/>
                    </a:prstGeom>
                  </pic:spPr>
                </pic:pic>
              </a:graphicData>
            </a:graphic>
          </wp:inline>
        </w:drawing>
      </w:r>
    </w:p>
    <w:p w14:paraId="03E4DA42" w14:textId="49B2590E" w:rsidR="00BC01AA" w:rsidRPr="008E7C7A" w:rsidRDefault="00BC01AA" w:rsidP="001C6B41">
      <w:pPr>
        <w:pStyle w:val="TableDescription"/>
      </w:pPr>
      <w:r w:rsidRPr="008E7C7A">
        <w:t xml:space="preserve">Abbreviations: CI = </w:t>
      </w:r>
      <w:r w:rsidRPr="001C6B41">
        <w:t>confidence</w:t>
      </w:r>
      <w:r w:rsidRPr="008E7C7A">
        <w:t xml:space="preserve"> interval</w:t>
      </w:r>
      <w:r w:rsidR="008E7C7A">
        <w:t>,</w:t>
      </w:r>
      <w:r w:rsidRPr="008E7C7A">
        <w:t xml:space="preserve"> EU = European Union</w:t>
      </w:r>
      <w:r w:rsidR="008E7C7A">
        <w:t>,</w:t>
      </w:r>
      <w:r w:rsidRPr="008E7C7A">
        <w:t xml:space="preserve"> ITT = </w:t>
      </w:r>
      <w:r w:rsidR="008E7C7A">
        <w:t>i</w:t>
      </w:r>
      <w:r w:rsidRPr="008E7C7A">
        <w:t>ntent-to-</w:t>
      </w:r>
      <w:r w:rsidR="008E7C7A">
        <w:t>t</w:t>
      </w:r>
      <w:r w:rsidRPr="008E7C7A">
        <w:t>reat</w:t>
      </w:r>
      <w:r w:rsidR="008E7C7A">
        <w:t>,</w:t>
      </w:r>
      <w:r w:rsidRPr="008E7C7A">
        <w:t xml:space="preserve"> n = number of subjects</w:t>
      </w:r>
      <w:r w:rsidR="008E7C7A">
        <w:t xml:space="preserve"> </w:t>
      </w:r>
      <w:r w:rsidRPr="008E7C7A">
        <w:t>with ACR20 response</w:t>
      </w:r>
      <w:r w:rsidR="008E7C7A">
        <w:t>,</w:t>
      </w:r>
      <w:r w:rsidRPr="008E7C7A">
        <w:t xml:space="preserve"> N = number of subjects with non-missing ACR20 response data</w:t>
      </w:r>
      <w:r w:rsidR="008E7C7A">
        <w:t>,</w:t>
      </w:r>
      <w:r w:rsidRPr="008E7C7A">
        <w:t xml:space="preserve"> PP = </w:t>
      </w:r>
      <w:r w:rsidR="008E7C7A">
        <w:t>p</w:t>
      </w:r>
      <w:r w:rsidRPr="008E7C7A">
        <w:t>er-</w:t>
      </w:r>
      <w:r w:rsidR="008E7C7A">
        <w:t>p</w:t>
      </w:r>
      <w:r w:rsidRPr="008E7C7A">
        <w:t>rotocol</w:t>
      </w:r>
      <w:r w:rsidR="008E7C7A">
        <w:t xml:space="preserve">, </w:t>
      </w:r>
      <w:r w:rsidRPr="008E7C7A">
        <w:t>TP1 = Treatment Period 1.</w:t>
      </w:r>
    </w:p>
    <w:p w14:paraId="7D95C15B" w14:textId="77777777" w:rsidR="00BC01AA" w:rsidRPr="008E7C7A" w:rsidRDefault="00BC01AA" w:rsidP="001C6B41">
      <w:pPr>
        <w:pStyle w:val="TableDescription"/>
      </w:pPr>
      <w:r w:rsidRPr="008E7C7A">
        <w:t xml:space="preserve">a. 90% CI is part </w:t>
      </w:r>
      <w:r w:rsidRPr="001C6B41">
        <w:t>of</w:t>
      </w:r>
      <w:r w:rsidRPr="008E7C7A">
        <w:t xml:space="preserve"> the asymmetric margin criterion.</w:t>
      </w:r>
    </w:p>
    <w:p w14:paraId="6A220C1F" w14:textId="7527C6C7" w:rsidR="00BC01AA" w:rsidRPr="008E7C7A" w:rsidRDefault="00BC01AA" w:rsidP="001C6B41">
      <w:pPr>
        <w:pStyle w:val="TableDescription"/>
      </w:pPr>
      <w:r w:rsidRPr="008E7C7A">
        <w:t>b. Score statistic was the primary inference for similarity.</w:t>
      </w:r>
    </w:p>
    <w:p w14:paraId="52AFA3A2" w14:textId="757BA07A" w:rsidR="009804C7" w:rsidRDefault="009804C7" w:rsidP="001C6B41">
      <w:pPr>
        <w:pStyle w:val="FigureTitle"/>
        <w:rPr>
          <w:lang w:eastAsia="ja-JP"/>
        </w:rPr>
      </w:pPr>
      <w:bookmarkStart w:id="57" w:name="_Ref156313341"/>
      <w:bookmarkStart w:id="58" w:name="_Toc160027180"/>
      <w:r>
        <w:lastRenderedPageBreak/>
        <w:t xml:space="preserve">Figure </w:t>
      </w:r>
      <w:r>
        <w:fldChar w:fldCharType="begin"/>
      </w:r>
      <w:r>
        <w:instrText xml:space="preserve"> SEQ Figure \* ARABIC </w:instrText>
      </w:r>
      <w:r>
        <w:fldChar w:fldCharType="separate"/>
      </w:r>
      <w:r w:rsidR="002257B0">
        <w:rPr>
          <w:noProof/>
        </w:rPr>
        <w:t>3</w:t>
      </w:r>
      <w:r>
        <w:rPr>
          <w:noProof/>
        </w:rPr>
        <w:fldChar w:fldCharType="end"/>
      </w:r>
      <w:bookmarkEnd w:id="57"/>
      <w:r w:rsidR="00F8649B">
        <w:rPr>
          <w:noProof/>
        </w:rPr>
        <w:t>:</w:t>
      </w:r>
      <w:r>
        <w:t xml:space="preserve"> </w:t>
      </w:r>
      <w:r>
        <w:rPr>
          <w:lang w:eastAsia="ja-JP"/>
        </w:rPr>
        <w:t>Study B5371002</w:t>
      </w:r>
      <w:r w:rsidR="00113BE6">
        <w:rPr>
          <w:lang w:eastAsia="ja-JP"/>
        </w:rPr>
        <w:t>, t</w:t>
      </w:r>
      <w:r>
        <w:rPr>
          <w:lang w:eastAsia="ja-JP"/>
        </w:rPr>
        <w:t>herapeutic equivalence of ACR20 response rate at Week 14 established between PF</w:t>
      </w:r>
      <w:r w:rsidR="00F8649B">
        <w:rPr>
          <w:lang w:eastAsia="ja-JP"/>
        </w:rPr>
        <w:noBreakHyphen/>
      </w:r>
      <w:r>
        <w:rPr>
          <w:lang w:eastAsia="ja-JP"/>
        </w:rPr>
        <w:t>06438179 and infliximab-EU, using non-responder imputation for missing data</w:t>
      </w:r>
      <w:r w:rsidR="00F8649B">
        <w:rPr>
          <w:lang w:eastAsia="ja-JP"/>
        </w:rPr>
        <w:t>,</w:t>
      </w:r>
      <w:r>
        <w:rPr>
          <w:lang w:eastAsia="ja-JP"/>
        </w:rPr>
        <w:t xml:space="preserve"> T</w:t>
      </w:r>
      <w:r w:rsidR="00F8649B">
        <w:rPr>
          <w:lang w:eastAsia="ja-JP"/>
        </w:rPr>
        <w:t xml:space="preserve">reatment </w:t>
      </w:r>
      <w:r>
        <w:rPr>
          <w:lang w:eastAsia="ja-JP"/>
        </w:rPr>
        <w:t>P</w:t>
      </w:r>
      <w:r w:rsidR="00F8649B">
        <w:rPr>
          <w:lang w:eastAsia="ja-JP"/>
        </w:rPr>
        <w:t xml:space="preserve">eriod </w:t>
      </w:r>
      <w:r>
        <w:rPr>
          <w:lang w:eastAsia="ja-JP"/>
        </w:rPr>
        <w:t>1 (90% CI and asymmetric margin)</w:t>
      </w:r>
      <w:bookmarkEnd w:id="58"/>
    </w:p>
    <w:p w14:paraId="40CBA763" w14:textId="5D174D53" w:rsidR="00F8649B" w:rsidRDefault="00A36BDD" w:rsidP="001C6B41">
      <w:pPr>
        <w:rPr>
          <w:lang w:eastAsia="ja-JP"/>
        </w:rPr>
      </w:pPr>
      <w:r w:rsidRPr="00A36BDD">
        <w:rPr>
          <w:noProof/>
          <w:lang w:eastAsia="ja-JP"/>
        </w:rPr>
        <w:drawing>
          <wp:inline distT="0" distB="0" distL="0" distR="0" wp14:anchorId="61FE592B" wp14:editId="27DD9C46">
            <wp:extent cx="5759450" cy="3321050"/>
            <wp:effectExtent l="0" t="0" r="0" b="0"/>
            <wp:docPr id="905260441" name="Picture 1" descr="Figure 3: Study B5371002, therapeutic equivalence of ACR20 response rate at Week 14 established between PF 06438179 and infliximab-EU, using non-responder imputation for missing data, Treatment Period 1 (90% CI and asymmetric mar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60441" name="Picture 1" descr="Figure 3: Study B5371002, therapeutic equivalence of ACR20 response rate at Week 14 established between PF 06438179 and infliximab-EU, using non-responder imputation for missing data, Treatment Period 1 (90% CI and asymmetric margin)"/>
                    <pic:cNvPicPr/>
                  </pic:nvPicPr>
                  <pic:blipFill>
                    <a:blip r:embed="rId31"/>
                    <a:stretch>
                      <a:fillRect/>
                    </a:stretch>
                  </pic:blipFill>
                  <pic:spPr>
                    <a:xfrm>
                      <a:off x="0" y="0"/>
                      <a:ext cx="5759450" cy="3321050"/>
                    </a:xfrm>
                    <a:prstGeom prst="rect">
                      <a:avLst/>
                    </a:prstGeom>
                  </pic:spPr>
                </pic:pic>
              </a:graphicData>
            </a:graphic>
          </wp:inline>
        </w:drawing>
      </w:r>
    </w:p>
    <w:p w14:paraId="372556DE" w14:textId="1126A91F" w:rsidR="009804C7" w:rsidRPr="0030516E" w:rsidRDefault="00F30626" w:rsidP="001C6B41">
      <w:pPr>
        <w:pStyle w:val="FigureDescription"/>
        <w:rPr>
          <w:lang w:eastAsia="ja-JP"/>
        </w:rPr>
      </w:pPr>
      <w:r w:rsidRPr="001C6B41">
        <w:t>Abbreviations</w:t>
      </w:r>
      <w:r w:rsidRPr="00F30626">
        <w:rPr>
          <w:lang w:eastAsia="ja-JP"/>
        </w:rPr>
        <w:t>: CI = confidence interval</w:t>
      </w:r>
      <w:r>
        <w:rPr>
          <w:lang w:eastAsia="ja-JP"/>
        </w:rPr>
        <w:t>,</w:t>
      </w:r>
      <w:r w:rsidRPr="00F30626">
        <w:rPr>
          <w:lang w:eastAsia="ja-JP"/>
        </w:rPr>
        <w:t xml:space="preserve"> EU = European Union</w:t>
      </w:r>
      <w:r>
        <w:rPr>
          <w:lang w:eastAsia="ja-JP"/>
        </w:rPr>
        <w:t>,</w:t>
      </w:r>
      <w:r w:rsidRPr="00F30626">
        <w:rPr>
          <w:lang w:eastAsia="ja-JP"/>
        </w:rPr>
        <w:t xml:space="preserve"> ITT = </w:t>
      </w:r>
      <w:r>
        <w:rPr>
          <w:lang w:eastAsia="ja-JP"/>
        </w:rPr>
        <w:t>i</w:t>
      </w:r>
      <w:r w:rsidRPr="00F30626">
        <w:rPr>
          <w:lang w:eastAsia="ja-JP"/>
        </w:rPr>
        <w:t>ntent-to-</w:t>
      </w:r>
      <w:r>
        <w:rPr>
          <w:lang w:eastAsia="ja-JP"/>
        </w:rPr>
        <w:t>t</w:t>
      </w:r>
      <w:r w:rsidRPr="00F30626">
        <w:rPr>
          <w:lang w:eastAsia="ja-JP"/>
        </w:rPr>
        <w:t>reat</w:t>
      </w:r>
      <w:r>
        <w:rPr>
          <w:lang w:eastAsia="ja-JP"/>
        </w:rPr>
        <w:t>,</w:t>
      </w:r>
      <w:r w:rsidRPr="00F30626">
        <w:rPr>
          <w:lang w:eastAsia="ja-JP"/>
        </w:rPr>
        <w:t xml:space="preserve"> PP = </w:t>
      </w:r>
      <w:r>
        <w:rPr>
          <w:lang w:eastAsia="ja-JP"/>
        </w:rPr>
        <w:t>p</w:t>
      </w:r>
      <w:r w:rsidRPr="00F30626">
        <w:rPr>
          <w:lang w:eastAsia="ja-JP"/>
        </w:rPr>
        <w:t>er</w:t>
      </w:r>
      <w:r>
        <w:rPr>
          <w:lang w:eastAsia="ja-JP"/>
        </w:rPr>
        <w:noBreakHyphen/>
        <w:t>p</w:t>
      </w:r>
      <w:r w:rsidRPr="00F30626">
        <w:rPr>
          <w:lang w:eastAsia="ja-JP"/>
        </w:rPr>
        <w:t>rotocol</w:t>
      </w:r>
      <w:r>
        <w:rPr>
          <w:lang w:eastAsia="ja-JP"/>
        </w:rPr>
        <w:t xml:space="preserve">, </w:t>
      </w:r>
      <w:r w:rsidRPr="00F30626">
        <w:rPr>
          <w:lang w:eastAsia="ja-JP"/>
        </w:rPr>
        <w:t>TP</w:t>
      </w:r>
      <w:r w:rsidR="00CD559A">
        <w:rPr>
          <w:lang w:eastAsia="ja-JP"/>
        </w:rPr>
        <w:t>1 </w:t>
      </w:r>
      <w:r w:rsidRPr="00F30626">
        <w:rPr>
          <w:lang w:eastAsia="ja-JP"/>
        </w:rPr>
        <w:t>=</w:t>
      </w:r>
      <w:r w:rsidR="00CD559A">
        <w:rPr>
          <w:lang w:eastAsia="ja-JP"/>
        </w:rPr>
        <w:t> </w:t>
      </w:r>
      <w:r w:rsidRPr="00F30626">
        <w:rPr>
          <w:lang w:eastAsia="ja-JP"/>
        </w:rPr>
        <w:t>Treatment Period 1.</w:t>
      </w:r>
    </w:p>
    <w:p w14:paraId="0505C7D5" w14:textId="77777777" w:rsidR="009804C7" w:rsidRPr="00983255" w:rsidRDefault="009804C7" w:rsidP="001C6B41">
      <w:pPr>
        <w:pStyle w:val="Heading5"/>
      </w:pPr>
      <w:r w:rsidRPr="0073081B">
        <w:t xml:space="preserve">Key secondary </w:t>
      </w:r>
      <w:r w:rsidRPr="001C6B41">
        <w:t>efficacy</w:t>
      </w:r>
      <w:r w:rsidRPr="0073081B">
        <w:t xml:space="preserve"> </w:t>
      </w:r>
      <w:r>
        <w:t>endpoints</w:t>
      </w:r>
    </w:p>
    <w:p w14:paraId="49CFDC24" w14:textId="56C1D454" w:rsidR="009804C7" w:rsidRPr="00601928" w:rsidRDefault="009804C7" w:rsidP="001C6B41">
      <w:r w:rsidRPr="00601928">
        <w:t>No equivalence testing was undertaken for the secondary efficacy endpoints. The results for the key secondary efficacy outcomes and other secondary efficacy endpoints in T</w:t>
      </w:r>
      <w:r w:rsidR="00601928">
        <w:t xml:space="preserve">reatment </w:t>
      </w:r>
      <w:r w:rsidRPr="00601928">
        <w:t>P</w:t>
      </w:r>
      <w:r w:rsidR="00601928">
        <w:t>eriod </w:t>
      </w:r>
      <w:r w:rsidRPr="00601928">
        <w:t>1 were generally supportive of the results for the primary efficacy endpoint. The key secondary efficacy endpoints were ACR20 response rate and DAS28-CRP response at Week</w:t>
      </w:r>
      <w:r w:rsidR="00601928">
        <w:t> </w:t>
      </w:r>
      <w:r w:rsidRPr="00601928">
        <w:t>22 and Week</w:t>
      </w:r>
      <w:r w:rsidR="00601928">
        <w:t> </w:t>
      </w:r>
      <w:r w:rsidRPr="00601928">
        <w:t>30.</w:t>
      </w:r>
    </w:p>
    <w:p w14:paraId="463D3FE6" w14:textId="442A6721" w:rsidR="009804C7" w:rsidRDefault="009804C7" w:rsidP="001C6B41">
      <w:pPr>
        <w:pStyle w:val="Heading6"/>
      </w:pPr>
      <w:proofErr w:type="spellStart"/>
      <w:r w:rsidRPr="00C6400C">
        <w:t>ACR20</w:t>
      </w:r>
      <w:proofErr w:type="spellEnd"/>
      <w:r w:rsidRPr="00C6400C">
        <w:t xml:space="preserve"> </w:t>
      </w:r>
      <w:r w:rsidRPr="001C6B41">
        <w:t>response</w:t>
      </w:r>
      <w:r w:rsidRPr="00C6400C">
        <w:t xml:space="preserve"> rate at Week</w:t>
      </w:r>
      <w:r w:rsidR="00601928">
        <w:t> </w:t>
      </w:r>
      <w:r w:rsidRPr="00C6400C">
        <w:t>22 and Week</w:t>
      </w:r>
      <w:r w:rsidR="00601928">
        <w:t> </w:t>
      </w:r>
      <w:r w:rsidRPr="00C6400C">
        <w:t>30</w:t>
      </w:r>
    </w:p>
    <w:p w14:paraId="36C926D5" w14:textId="2250F4D6" w:rsidR="009804C7" w:rsidRPr="00601928" w:rsidRDefault="009804C7" w:rsidP="001C6B41">
      <w:r w:rsidRPr="00601928">
        <w:t>At Week</w:t>
      </w:r>
      <w:r w:rsidR="00601928">
        <w:t> </w:t>
      </w:r>
      <w:r w:rsidRPr="00601928">
        <w:t>22, the difference in the ACR20 response rate between the two treatment groups (PF</w:t>
      </w:r>
      <w:r w:rsidR="006B1C08">
        <w:noBreakHyphen/>
      </w:r>
      <w:r w:rsidRPr="00601928">
        <w:t>06438179-infliximab-EU) was -2.07%. (</w:t>
      </w:r>
      <w:r w:rsidR="00601928">
        <w:fldChar w:fldCharType="begin"/>
      </w:r>
      <w:r w:rsidR="00601928">
        <w:instrText xml:space="preserve"> REF _Ref222413839 \h </w:instrText>
      </w:r>
      <w:r w:rsidR="00601928">
        <w:fldChar w:fldCharType="separate"/>
      </w:r>
      <w:r w:rsidR="002257B0">
        <w:t xml:space="preserve">Table </w:t>
      </w:r>
      <w:r w:rsidR="002257B0">
        <w:rPr>
          <w:noProof/>
        </w:rPr>
        <w:t>5</w:t>
      </w:r>
      <w:r w:rsidR="00601928">
        <w:fldChar w:fldCharType="end"/>
      </w:r>
      <w:r w:rsidRPr="00601928">
        <w:t>). At Week</w:t>
      </w:r>
      <w:r w:rsidR="00601928">
        <w:t> </w:t>
      </w:r>
      <w:r w:rsidRPr="00601928">
        <w:t xml:space="preserve">30, the difference in the ACR20 response rate between the two treatment groups (PF-06438179-infliximab-EU) was </w:t>
      </w:r>
      <w:r w:rsidR="00C16A31">
        <w:noBreakHyphen/>
      </w:r>
      <w:r w:rsidRPr="00601928">
        <w:t>3.31%. (Table 5). The proportion of subjects in each treatment group who achieved ACR20 response at Week</w:t>
      </w:r>
      <w:r w:rsidR="00C16A31">
        <w:t> </w:t>
      </w:r>
      <w:r w:rsidRPr="00601928">
        <w:t>22 and Week</w:t>
      </w:r>
      <w:r w:rsidR="00C16A31">
        <w:t> </w:t>
      </w:r>
      <w:r w:rsidRPr="00601928">
        <w:t>30, respectively, was similar irrespective of the dose received at Week</w:t>
      </w:r>
      <w:r w:rsidR="00C16A31">
        <w:t> </w:t>
      </w:r>
      <w:r w:rsidRPr="00601928">
        <w:t>14 (continuing 3</w:t>
      </w:r>
      <w:r w:rsidR="00C16A31">
        <w:t> </w:t>
      </w:r>
      <w:r w:rsidRPr="00601928">
        <w:t>mg/kg or dose escalation to 5</w:t>
      </w:r>
      <w:r w:rsidR="00C16A31">
        <w:t> </w:t>
      </w:r>
      <w:r w:rsidRPr="00601928">
        <w:t>mg/kg).</w:t>
      </w:r>
    </w:p>
    <w:p w14:paraId="7E0F62F6" w14:textId="49E77FD4" w:rsidR="009804C7" w:rsidRDefault="00601928" w:rsidP="001C6B41">
      <w:pPr>
        <w:pStyle w:val="TableTitle"/>
        <w:rPr>
          <w:lang w:eastAsia="ja-JP"/>
        </w:rPr>
      </w:pPr>
      <w:bookmarkStart w:id="59" w:name="_Ref222413839"/>
      <w:bookmarkStart w:id="60" w:name="_Ref156377970"/>
      <w:bookmarkStart w:id="61" w:name="_Toc160027130"/>
      <w:r>
        <w:lastRenderedPageBreak/>
        <w:t xml:space="preserve">Table </w:t>
      </w:r>
      <w:r>
        <w:fldChar w:fldCharType="begin"/>
      </w:r>
      <w:r>
        <w:instrText xml:space="preserve"> SEQ Table \* ARABIC </w:instrText>
      </w:r>
      <w:r>
        <w:fldChar w:fldCharType="separate"/>
      </w:r>
      <w:r w:rsidR="002257B0">
        <w:rPr>
          <w:noProof/>
        </w:rPr>
        <w:t>5</w:t>
      </w:r>
      <w:r>
        <w:fldChar w:fldCharType="end"/>
      </w:r>
      <w:bookmarkEnd w:id="59"/>
      <w:r>
        <w:t xml:space="preserve">: </w:t>
      </w:r>
      <w:r w:rsidR="00C16A31">
        <w:rPr>
          <w:lang w:eastAsia="ja-JP"/>
        </w:rPr>
        <w:t>Study B5371002</w:t>
      </w:r>
      <w:r w:rsidR="00BF44DC">
        <w:rPr>
          <w:lang w:eastAsia="ja-JP"/>
        </w:rPr>
        <w:t>, d</w:t>
      </w:r>
      <w:r w:rsidR="00C16A31">
        <w:rPr>
          <w:lang w:eastAsia="ja-JP"/>
        </w:rPr>
        <w:t xml:space="preserve">escriptive summary of </w:t>
      </w:r>
      <w:proofErr w:type="spellStart"/>
      <w:r w:rsidR="00C16A31" w:rsidRPr="001C6B41">
        <w:t>ACR20</w:t>
      </w:r>
      <w:proofErr w:type="spellEnd"/>
      <w:r w:rsidR="00C16A31">
        <w:rPr>
          <w:lang w:eastAsia="ja-JP"/>
        </w:rPr>
        <w:t xml:space="preserve"> response rate by visit up to Week 30, intent</w:t>
      </w:r>
      <w:r w:rsidR="00C16A31">
        <w:rPr>
          <w:lang w:eastAsia="ja-JP"/>
        </w:rPr>
        <w:noBreakHyphen/>
        <w:t>t</w:t>
      </w:r>
      <w:r w:rsidR="0038092F">
        <w:rPr>
          <w:lang w:eastAsia="ja-JP"/>
        </w:rPr>
        <w:t>o</w:t>
      </w:r>
      <w:r w:rsidR="0038092F">
        <w:rPr>
          <w:lang w:eastAsia="ja-JP"/>
        </w:rPr>
        <w:noBreakHyphen/>
        <w:t>treat</w:t>
      </w:r>
      <w:r w:rsidR="00C16A31">
        <w:rPr>
          <w:lang w:eastAsia="ja-JP"/>
        </w:rPr>
        <w:t xml:space="preserve"> population</w:t>
      </w:r>
      <w:r w:rsidR="0038092F">
        <w:rPr>
          <w:lang w:eastAsia="ja-JP"/>
        </w:rPr>
        <w:t xml:space="preserve">, Treatment Period </w:t>
      </w:r>
      <w:r w:rsidR="00C16A31">
        <w:rPr>
          <w:lang w:eastAsia="ja-JP"/>
        </w:rPr>
        <w:t>1</w:t>
      </w:r>
      <w:bookmarkEnd w:id="60"/>
      <w:bookmarkEnd w:id="61"/>
    </w:p>
    <w:p w14:paraId="7E74FCD6" w14:textId="2D8E097E" w:rsidR="00B75EAF" w:rsidRDefault="00B75EAF" w:rsidP="001C6B41">
      <w:r w:rsidRPr="00B75EAF">
        <w:rPr>
          <w:noProof/>
        </w:rPr>
        <w:drawing>
          <wp:inline distT="0" distB="0" distL="0" distR="0" wp14:anchorId="3D0EF333" wp14:editId="005A4054">
            <wp:extent cx="5759450" cy="3790950"/>
            <wp:effectExtent l="0" t="0" r="0" b="0"/>
            <wp:docPr id="1423150677" name="Picture 1" descr="Table 5: Study B5371002, descriptive summary of ACR20 response rate by visit up to Week 30, intent to treat population, Treatment Perio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150677" name="Picture 1" descr="Table 5: Study B5371002, descriptive summary of ACR20 response rate by visit up to Week 30, intent to treat population, Treatment Period 1"/>
                    <pic:cNvPicPr/>
                  </pic:nvPicPr>
                  <pic:blipFill>
                    <a:blip r:embed="rId32"/>
                    <a:stretch>
                      <a:fillRect/>
                    </a:stretch>
                  </pic:blipFill>
                  <pic:spPr>
                    <a:xfrm>
                      <a:off x="0" y="0"/>
                      <a:ext cx="5759450" cy="3790950"/>
                    </a:xfrm>
                    <a:prstGeom prst="rect">
                      <a:avLst/>
                    </a:prstGeom>
                  </pic:spPr>
                </pic:pic>
              </a:graphicData>
            </a:graphic>
          </wp:inline>
        </w:drawing>
      </w:r>
    </w:p>
    <w:p w14:paraId="2F5474E0" w14:textId="1E8FDF50" w:rsidR="009804C7" w:rsidRDefault="001E75DD" w:rsidP="001C6B41">
      <w:pPr>
        <w:pStyle w:val="TableDescription"/>
        <w:rPr>
          <w:lang w:eastAsia="ja-JP"/>
        </w:rPr>
      </w:pPr>
      <w:r w:rsidRPr="001E75DD">
        <w:rPr>
          <w:lang w:eastAsia="ja-JP"/>
        </w:rPr>
        <w:t xml:space="preserve">Abbreviations: EU = </w:t>
      </w:r>
      <w:r w:rsidRPr="001C6B41">
        <w:t>European</w:t>
      </w:r>
      <w:r w:rsidRPr="001E75DD">
        <w:rPr>
          <w:lang w:eastAsia="ja-JP"/>
        </w:rPr>
        <w:t xml:space="preserve"> Union</w:t>
      </w:r>
      <w:r w:rsidR="008001D9">
        <w:rPr>
          <w:lang w:eastAsia="ja-JP"/>
        </w:rPr>
        <w:t>,</w:t>
      </w:r>
      <w:r w:rsidRPr="001E75DD">
        <w:rPr>
          <w:lang w:eastAsia="ja-JP"/>
        </w:rPr>
        <w:t xml:space="preserve"> ITT = </w:t>
      </w:r>
      <w:r w:rsidR="008001D9">
        <w:rPr>
          <w:lang w:eastAsia="ja-JP"/>
        </w:rPr>
        <w:t>i</w:t>
      </w:r>
      <w:r w:rsidRPr="001E75DD">
        <w:rPr>
          <w:lang w:eastAsia="ja-JP"/>
        </w:rPr>
        <w:t>ntent-to-</w:t>
      </w:r>
      <w:r w:rsidR="008001D9">
        <w:rPr>
          <w:lang w:eastAsia="ja-JP"/>
        </w:rPr>
        <w:t>t</w:t>
      </w:r>
      <w:r w:rsidRPr="001E75DD">
        <w:rPr>
          <w:lang w:eastAsia="ja-JP"/>
        </w:rPr>
        <w:t>reat</w:t>
      </w:r>
      <w:r w:rsidR="008001D9">
        <w:rPr>
          <w:lang w:eastAsia="ja-JP"/>
        </w:rPr>
        <w:t>,</w:t>
      </w:r>
      <w:r w:rsidRPr="001E75DD">
        <w:rPr>
          <w:lang w:eastAsia="ja-JP"/>
        </w:rPr>
        <w:t xml:space="preserve"> n = number of subjects</w:t>
      </w:r>
      <w:r w:rsidR="008001D9">
        <w:rPr>
          <w:lang w:eastAsia="ja-JP"/>
        </w:rPr>
        <w:t>,</w:t>
      </w:r>
      <w:r w:rsidRPr="001E75DD">
        <w:rPr>
          <w:lang w:eastAsia="ja-JP"/>
        </w:rPr>
        <w:t xml:space="preserve"> N = number of subjects</w:t>
      </w:r>
      <w:r>
        <w:rPr>
          <w:lang w:eastAsia="ja-JP"/>
        </w:rPr>
        <w:t xml:space="preserve"> </w:t>
      </w:r>
      <w:r w:rsidRPr="001E75DD">
        <w:rPr>
          <w:lang w:eastAsia="ja-JP"/>
        </w:rPr>
        <w:t>randomi</w:t>
      </w:r>
      <w:r w:rsidR="008001D9">
        <w:rPr>
          <w:lang w:eastAsia="ja-JP"/>
        </w:rPr>
        <w:t>s</w:t>
      </w:r>
      <w:r w:rsidRPr="001E75DD">
        <w:rPr>
          <w:lang w:eastAsia="ja-JP"/>
        </w:rPr>
        <w:t>ed</w:t>
      </w:r>
      <w:r w:rsidR="008001D9">
        <w:rPr>
          <w:lang w:eastAsia="ja-JP"/>
        </w:rPr>
        <w:t>,</w:t>
      </w:r>
      <w:r w:rsidRPr="001E75DD">
        <w:rPr>
          <w:lang w:eastAsia="ja-JP"/>
        </w:rPr>
        <w:t xml:space="preserve"> TP1 = Treatment Period 1.</w:t>
      </w:r>
    </w:p>
    <w:p w14:paraId="69773450" w14:textId="3508277F" w:rsidR="009804C7" w:rsidRPr="009B57BD" w:rsidRDefault="009804C7" w:rsidP="001C6B41">
      <w:pPr>
        <w:pStyle w:val="Heading6"/>
      </w:pPr>
      <w:r w:rsidRPr="009B57BD">
        <w:t>DAS28-CRP response at Week</w:t>
      </w:r>
      <w:r w:rsidR="00CD559A">
        <w:t> </w:t>
      </w:r>
      <w:r w:rsidRPr="009B57BD">
        <w:t xml:space="preserve">22 and </w:t>
      </w:r>
      <w:r w:rsidRPr="001C6B41">
        <w:t>Week</w:t>
      </w:r>
      <w:r w:rsidR="00CD559A">
        <w:t> </w:t>
      </w:r>
      <w:r w:rsidRPr="009B57BD">
        <w:t>30</w:t>
      </w:r>
    </w:p>
    <w:p w14:paraId="1D1EC40C" w14:textId="206093D3" w:rsidR="009804C7" w:rsidRPr="00F659F8" w:rsidRDefault="009804C7" w:rsidP="001C6B41">
      <w:r w:rsidRPr="00F659F8">
        <w:t>Based on subjects in the ITT population contributing to the response, DAS28-CRP response at Week</w:t>
      </w:r>
      <w:r w:rsidR="00CD559A" w:rsidRPr="00F659F8">
        <w:t> </w:t>
      </w:r>
      <w:r w:rsidRPr="00F659F8">
        <w:t>22 and Week</w:t>
      </w:r>
      <w:r w:rsidR="00CD559A" w:rsidRPr="00F659F8">
        <w:t> </w:t>
      </w:r>
      <w:r w:rsidRPr="00F659F8">
        <w:t>30, respectively, was similar in each treatment group.</w:t>
      </w:r>
    </w:p>
    <w:p w14:paraId="4053B1D0" w14:textId="505C470D" w:rsidR="009804C7" w:rsidRPr="00F659F8" w:rsidRDefault="009804C7" w:rsidP="00F659F8">
      <w:r w:rsidRPr="00F659F8">
        <w:t>At Week</w:t>
      </w:r>
      <w:r w:rsidR="00CD559A" w:rsidRPr="00F659F8">
        <w:t> </w:t>
      </w:r>
      <w:r w:rsidRPr="00F659F8">
        <w:t>22, the median DAS28-CRP was 3.790 (range: 1.03 to 8.01) in the PF-06438179</w:t>
      </w:r>
      <w:r w:rsidR="006B1C08">
        <w:t xml:space="preserve"> </w:t>
      </w:r>
      <w:r w:rsidRPr="00F659F8">
        <w:t>treatment group (n</w:t>
      </w:r>
      <w:r w:rsidR="00CD559A" w:rsidRPr="00F659F8">
        <w:t xml:space="preserve"> </w:t>
      </w:r>
      <w:r w:rsidRPr="00F659F8">
        <w:t>=</w:t>
      </w:r>
      <w:r w:rsidR="00CD559A" w:rsidRPr="00F659F8">
        <w:t xml:space="preserve"> </w:t>
      </w:r>
      <w:r w:rsidRPr="00F659F8">
        <w:t>301) and 3.916 (range: 1.09 to 8.16) in the infliximab-EU treatment group (n</w:t>
      </w:r>
      <w:r w:rsidR="00CD559A" w:rsidRPr="00F659F8">
        <w:t xml:space="preserve"> </w:t>
      </w:r>
      <w:r w:rsidRPr="00F659F8">
        <w:t>=</w:t>
      </w:r>
      <w:r w:rsidR="00CD559A" w:rsidRPr="00F659F8">
        <w:t xml:space="preserve"> </w:t>
      </w:r>
      <w:r w:rsidRPr="00F659F8">
        <w:t>307).</w:t>
      </w:r>
    </w:p>
    <w:p w14:paraId="65D94DE7" w14:textId="6BCCE5FF" w:rsidR="009804C7" w:rsidRPr="00F659F8" w:rsidRDefault="009804C7" w:rsidP="00F659F8">
      <w:r w:rsidRPr="00F659F8">
        <w:t>At Week</w:t>
      </w:r>
      <w:r w:rsidR="00CD559A" w:rsidRPr="00F659F8">
        <w:t xml:space="preserve"> </w:t>
      </w:r>
      <w:r w:rsidRPr="00F659F8">
        <w:t>30, the median DAS28-CRP was 3.621 (range: 1.05 to 8.13) in the</w:t>
      </w:r>
      <w:r w:rsidR="00CD559A" w:rsidRPr="00F659F8">
        <w:t xml:space="preserve"> </w:t>
      </w:r>
      <w:r w:rsidRPr="00F659F8">
        <w:t>PF-06438179</w:t>
      </w:r>
      <w:r w:rsidR="006B1C08">
        <w:t xml:space="preserve"> </w:t>
      </w:r>
      <w:r w:rsidRPr="00F659F8">
        <w:t>treatment group (n</w:t>
      </w:r>
      <w:r w:rsidR="00CD559A" w:rsidRPr="00F659F8">
        <w:t xml:space="preserve"> </w:t>
      </w:r>
      <w:r w:rsidRPr="00F659F8">
        <w:t>=</w:t>
      </w:r>
      <w:r w:rsidR="00CD559A" w:rsidRPr="00F659F8">
        <w:t xml:space="preserve"> </w:t>
      </w:r>
      <w:r w:rsidRPr="00F659F8">
        <w:t>292) and 3.797 (range: 1.04 to 7.58) in the infliximab-EU treatment group (n</w:t>
      </w:r>
      <w:r w:rsidR="00CD559A" w:rsidRPr="00F659F8">
        <w:t xml:space="preserve"> </w:t>
      </w:r>
      <w:r w:rsidRPr="00F659F8">
        <w:t>=</w:t>
      </w:r>
      <w:r w:rsidR="00CD559A" w:rsidRPr="00F659F8">
        <w:t xml:space="preserve"> </w:t>
      </w:r>
      <w:r w:rsidRPr="00F659F8">
        <w:t>297).</w:t>
      </w:r>
    </w:p>
    <w:p w14:paraId="5C8E92D9" w14:textId="77777777" w:rsidR="009804C7" w:rsidRPr="00F659F8" w:rsidRDefault="009804C7" w:rsidP="00F659F8">
      <w:r w:rsidRPr="00F659F8">
        <w:t xml:space="preserve">The results based on the per-protocol population were </w:t>
      </w:r>
      <w:proofErr w:type="gramStart"/>
      <w:r w:rsidRPr="00F659F8">
        <w:t>similar to</w:t>
      </w:r>
      <w:proofErr w:type="gramEnd"/>
      <w:r w:rsidRPr="00F659F8">
        <w:t xml:space="preserve"> the results in the ITT population.</w:t>
      </w:r>
    </w:p>
    <w:p w14:paraId="64A4794E" w14:textId="59BD977F" w:rsidR="009804C7" w:rsidRPr="00F659F8" w:rsidRDefault="009804C7" w:rsidP="00F659F8">
      <w:r w:rsidRPr="00F659F8">
        <w:t>The efficacy results for T</w:t>
      </w:r>
      <w:r w:rsidR="00D401F7" w:rsidRPr="00F659F8">
        <w:t xml:space="preserve">reatment </w:t>
      </w:r>
      <w:r w:rsidRPr="00F659F8">
        <w:t>P</w:t>
      </w:r>
      <w:r w:rsidR="00D401F7" w:rsidRPr="00F659F8">
        <w:t xml:space="preserve">eriod </w:t>
      </w:r>
      <w:r w:rsidRPr="00F659F8">
        <w:t>2 suggest no loss of efficacy, based on the efficacy parameters assessed, with switching from infliximab-EU to PF-06438179.</w:t>
      </w:r>
    </w:p>
    <w:p w14:paraId="14CE8373" w14:textId="7E86EC4D" w:rsidR="009804C7" w:rsidRPr="00F659F8" w:rsidRDefault="009804C7" w:rsidP="00F659F8">
      <w:r w:rsidRPr="00F659F8">
        <w:t>The efficacy results for T</w:t>
      </w:r>
      <w:r w:rsidR="00D401F7" w:rsidRPr="00F659F8">
        <w:t xml:space="preserve">reatment </w:t>
      </w:r>
      <w:r w:rsidRPr="00F659F8">
        <w:t>P</w:t>
      </w:r>
      <w:r w:rsidR="00D401F7" w:rsidRPr="00F659F8">
        <w:t xml:space="preserve">eriod </w:t>
      </w:r>
      <w:r w:rsidRPr="00F659F8">
        <w:t>3 suggest that switching infliximab study treatments during the study did not affect the comparability of efficacy.</w:t>
      </w:r>
    </w:p>
    <w:p w14:paraId="711B33F9" w14:textId="77777777" w:rsidR="009804C7" w:rsidRDefault="009804C7" w:rsidP="001C6B41">
      <w:pPr>
        <w:pStyle w:val="Heading4"/>
      </w:pPr>
      <w:bookmarkStart w:id="62" w:name="_Toc225166228"/>
      <w:r w:rsidRPr="001C6B41">
        <w:t>Safety</w:t>
      </w:r>
      <w:bookmarkEnd w:id="62"/>
    </w:p>
    <w:p w14:paraId="3BA5BB0A" w14:textId="77777777" w:rsidR="009804C7" w:rsidRPr="001E3678" w:rsidRDefault="009804C7" w:rsidP="001E3678">
      <w:r w:rsidRPr="001E3678">
        <w:t>In Study B5371002, safety endpoints were secondary endpoints.</w:t>
      </w:r>
    </w:p>
    <w:p w14:paraId="424A8334" w14:textId="226DA2A4" w:rsidR="009804C7" w:rsidRPr="00911F03" w:rsidRDefault="009804C7" w:rsidP="001C6B41">
      <w:pPr>
        <w:pStyle w:val="Heading5"/>
      </w:pPr>
      <w:r>
        <w:lastRenderedPageBreak/>
        <w:t xml:space="preserve">Patient </w:t>
      </w:r>
      <w:r w:rsidRPr="001C6B41">
        <w:t>exposure</w:t>
      </w:r>
    </w:p>
    <w:p w14:paraId="4D694FEB" w14:textId="69A2C994" w:rsidR="009804C7" w:rsidRDefault="009804C7" w:rsidP="001C6B41">
      <w:pPr>
        <w:rPr>
          <w:lang w:eastAsia="ja-JP"/>
        </w:rPr>
      </w:pPr>
      <w:r>
        <w:rPr>
          <w:lang w:eastAsia="ja-JP"/>
        </w:rPr>
        <w:t>In T</w:t>
      </w:r>
      <w:r w:rsidR="001E3678">
        <w:rPr>
          <w:lang w:eastAsia="ja-JP"/>
        </w:rPr>
        <w:t xml:space="preserve">reatment </w:t>
      </w:r>
      <w:r>
        <w:rPr>
          <w:lang w:eastAsia="ja-JP"/>
        </w:rPr>
        <w:t>P</w:t>
      </w:r>
      <w:r w:rsidR="001E3678">
        <w:rPr>
          <w:lang w:eastAsia="ja-JP"/>
        </w:rPr>
        <w:t xml:space="preserve">eriod </w:t>
      </w:r>
      <w:r>
        <w:rPr>
          <w:lang w:eastAsia="ja-JP"/>
        </w:rPr>
        <w:t xml:space="preserve">1, based on the safety population, the median duration of treatment was the same in each treatment group (22.1 weeks). </w:t>
      </w:r>
      <w:proofErr w:type="gramStart"/>
      <w:r>
        <w:rPr>
          <w:lang w:eastAsia="ja-JP"/>
        </w:rPr>
        <w:t>The majority of</w:t>
      </w:r>
      <w:proofErr w:type="gramEnd"/>
      <w:r>
        <w:rPr>
          <w:lang w:eastAsia="ja-JP"/>
        </w:rPr>
        <w:t xml:space="preserve"> subjects in each treatment group received treatment for a duration of 99</w:t>
      </w:r>
      <w:r w:rsidR="001E3678">
        <w:rPr>
          <w:lang w:eastAsia="ja-JP"/>
        </w:rPr>
        <w:t xml:space="preserve"> to </w:t>
      </w:r>
      <w:r>
        <w:rPr>
          <w:lang w:eastAsia="ja-JP"/>
        </w:rPr>
        <w:t>210 days (PF-06438179: 92.3% (298</w:t>
      </w:r>
      <w:r w:rsidR="00094E3B">
        <w:rPr>
          <w:lang w:eastAsia="ja-JP"/>
        </w:rPr>
        <w:t xml:space="preserve"> out of </w:t>
      </w:r>
      <w:r>
        <w:rPr>
          <w:lang w:eastAsia="ja-JP"/>
        </w:rPr>
        <w:t>323); infliximab-EU: 96.0% (313</w:t>
      </w:r>
      <w:r w:rsidR="00094E3B">
        <w:rPr>
          <w:lang w:eastAsia="ja-JP"/>
        </w:rPr>
        <w:t xml:space="preserve"> out of </w:t>
      </w:r>
      <w:r>
        <w:rPr>
          <w:lang w:eastAsia="ja-JP"/>
        </w:rPr>
        <w:t>326)). The median total dose of study treatment received by subjects in each treatment group was generally comparable. The proportion of subjects who missed a dose was 4.3% (14</w:t>
      </w:r>
      <w:r w:rsidR="00094E3B">
        <w:rPr>
          <w:lang w:eastAsia="ja-JP"/>
        </w:rPr>
        <w:t xml:space="preserve"> out of </w:t>
      </w:r>
      <w:r>
        <w:rPr>
          <w:lang w:eastAsia="ja-JP"/>
        </w:rPr>
        <w:t xml:space="preserve">323) </w:t>
      </w:r>
      <w:r w:rsidR="00B27604">
        <w:rPr>
          <w:lang w:eastAsia="ja-JP"/>
        </w:rPr>
        <w:t xml:space="preserve">in </w:t>
      </w:r>
      <w:r>
        <w:rPr>
          <w:lang w:eastAsia="ja-JP"/>
        </w:rPr>
        <w:t>the PF-06438179</w:t>
      </w:r>
      <w:r w:rsidR="006B1C08">
        <w:rPr>
          <w:lang w:eastAsia="ja-JP"/>
        </w:rPr>
        <w:t xml:space="preserve"> </w:t>
      </w:r>
      <w:r>
        <w:rPr>
          <w:lang w:eastAsia="ja-JP"/>
        </w:rPr>
        <w:t>treatment group and 4.6% (15</w:t>
      </w:r>
      <w:r w:rsidR="00B27604">
        <w:rPr>
          <w:lang w:eastAsia="ja-JP"/>
        </w:rPr>
        <w:t xml:space="preserve"> out of </w:t>
      </w:r>
      <w:r>
        <w:rPr>
          <w:lang w:eastAsia="ja-JP"/>
        </w:rPr>
        <w:t xml:space="preserve">326) of subjects in the infliximab-EU treatment group. Based on the </w:t>
      </w:r>
      <w:r w:rsidR="00B27604">
        <w:rPr>
          <w:lang w:eastAsia="ja-JP"/>
        </w:rPr>
        <w:t xml:space="preserve">Treatment </w:t>
      </w:r>
      <w:r>
        <w:rPr>
          <w:lang w:eastAsia="ja-JP"/>
        </w:rPr>
        <w:t>P</w:t>
      </w:r>
      <w:r w:rsidR="00B27604">
        <w:rPr>
          <w:lang w:eastAsia="ja-JP"/>
        </w:rPr>
        <w:t>eriod </w:t>
      </w:r>
      <w:r>
        <w:rPr>
          <w:lang w:eastAsia="ja-JP"/>
        </w:rPr>
        <w:t>2 safety population, the median duration of treatment during T</w:t>
      </w:r>
      <w:r w:rsidR="00B27604">
        <w:rPr>
          <w:lang w:eastAsia="ja-JP"/>
        </w:rPr>
        <w:t xml:space="preserve">reatment </w:t>
      </w:r>
      <w:r>
        <w:rPr>
          <w:lang w:eastAsia="ja-JP"/>
        </w:rPr>
        <w:t>P</w:t>
      </w:r>
      <w:r w:rsidR="00B27604">
        <w:rPr>
          <w:lang w:eastAsia="ja-JP"/>
        </w:rPr>
        <w:t xml:space="preserve">eriod </w:t>
      </w:r>
      <w:r>
        <w:rPr>
          <w:lang w:eastAsia="ja-JP"/>
        </w:rPr>
        <w:t>2 was 16.1</w:t>
      </w:r>
      <w:r w:rsidR="00B27604">
        <w:rPr>
          <w:lang w:eastAsia="ja-JP"/>
        </w:rPr>
        <w:t> </w:t>
      </w:r>
      <w:r>
        <w:rPr>
          <w:lang w:eastAsia="ja-JP"/>
        </w:rPr>
        <w:t>weeks in each treatment group. Based on the T</w:t>
      </w:r>
      <w:r w:rsidR="00B27604">
        <w:rPr>
          <w:lang w:eastAsia="ja-JP"/>
        </w:rPr>
        <w:t xml:space="preserve">reatment </w:t>
      </w:r>
      <w:r>
        <w:rPr>
          <w:lang w:eastAsia="ja-JP"/>
        </w:rPr>
        <w:t>P</w:t>
      </w:r>
      <w:r w:rsidR="00B27604">
        <w:rPr>
          <w:lang w:eastAsia="ja-JP"/>
        </w:rPr>
        <w:t xml:space="preserve">eriod </w:t>
      </w:r>
      <w:r>
        <w:rPr>
          <w:lang w:eastAsia="ja-JP"/>
        </w:rPr>
        <w:t>3 safety population (</w:t>
      </w:r>
      <w:r w:rsidR="00B27604">
        <w:rPr>
          <w:lang w:eastAsia="ja-JP"/>
        </w:rPr>
        <w:t>n </w:t>
      </w:r>
      <w:r>
        <w:rPr>
          <w:lang w:eastAsia="ja-JP"/>
        </w:rPr>
        <w:t>=</w:t>
      </w:r>
      <w:r w:rsidR="00B27604">
        <w:rPr>
          <w:lang w:eastAsia="ja-JP"/>
        </w:rPr>
        <w:t> </w:t>
      </w:r>
      <w:r>
        <w:rPr>
          <w:lang w:eastAsia="ja-JP"/>
        </w:rPr>
        <w:t>505), the median duration of treatment during T</w:t>
      </w:r>
      <w:r w:rsidR="00B27604">
        <w:rPr>
          <w:lang w:eastAsia="ja-JP"/>
        </w:rPr>
        <w:t xml:space="preserve">reatment </w:t>
      </w:r>
      <w:r>
        <w:rPr>
          <w:lang w:eastAsia="ja-JP"/>
        </w:rPr>
        <w:t>P</w:t>
      </w:r>
      <w:r w:rsidR="00B27604">
        <w:rPr>
          <w:lang w:eastAsia="ja-JP"/>
        </w:rPr>
        <w:t xml:space="preserve">eriod </w:t>
      </w:r>
      <w:r>
        <w:rPr>
          <w:lang w:eastAsia="ja-JP"/>
        </w:rPr>
        <w:t>3 was 16.1</w:t>
      </w:r>
      <w:r w:rsidR="00B27604">
        <w:rPr>
          <w:lang w:eastAsia="ja-JP"/>
        </w:rPr>
        <w:t> </w:t>
      </w:r>
      <w:r>
        <w:rPr>
          <w:lang w:eastAsia="ja-JP"/>
        </w:rPr>
        <w:t>weeks in each treatment group.</w:t>
      </w:r>
    </w:p>
    <w:p w14:paraId="5C2BB992" w14:textId="1102A25B" w:rsidR="009804C7" w:rsidRPr="00FE2BDE" w:rsidRDefault="00B81568" w:rsidP="001C6B41">
      <w:pPr>
        <w:pStyle w:val="Heading5"/>
        <w:rPr>
          <w:lang w:eastAsia="ja-JP"/>
        </w:rPr>
      </w:pPr>
      <w:r w:rsidRPr="00FE2BDE">
        <w:rPr>
          <w:lang w:eastAsia="ja-JP"/>
        </w:rPr>
        <w:t xml:space="preserve">Treatment-emergent </w:t>
      </w:r>
      <w:r w:rsidRPr="001C6B41">
        <w:t>adverse</w:t>
      </w:r>
      <w:r w:rsidRPr="00FE2BDE">
        <w:rPr>
          <w:lang w:eastAsia="ja-JP"/>
        </w:rPr>
        <w:t xml:space="preserve"> events</w:t>
      </w:r>
    </w:p>
    <w:p w14:paraId="147AEFA8" w14:textId="39F7520F" w:rsidR="009804C7" w:rsidRPr="00B81568" w:rsidRDefault="009804C7" w:rsidP="001C6B41">
      <w:r w:rsidRPr="00FE2BDE">
        <w:t>For the treatment-emergent adverse event (TEAE) preferred terms reported in ≥</w:t>
      </w:r>
      <w:r w:rsidR="005A7773" w:rsidRPr="00FE2BDE">
        <w:t> </w:t>
      </w:r>
      <w:r w:rsidRPr="00FE2BDE">
        <w:t>3% in any treatment group, the two treatment groups were generally comparable. In T</w:t>
      </w:r>
      <w:r w:rsidR="005A7773" w:rsidRPr="00FE2BDE">
        <w:t xml:space="preserve">reatment </w:t>
      </w:r>
      <w:r w:rsidRPr="00FE2BDE">
        <w:t>P</w:t>
      </w:r>
      <w:r w:rsidR="005A7773" w:rsidRPr="00FE2BDE">
        <w:t xml:space="preserve">eriod </w:t>
      </w:r>
      <w:r w:rsidRPr="00FE2BDE">
        <w:t>1, T</w:t>
      </w:r>
      <w:r w:rsidR="005A7773" w:rsidRPr="00FE2BDE">
        <w:t xml:space="preserve">reatment </w:t>
      </w:r>
      <w:r w:rsidRPr="00FE2BDE">
        <w:t>P</w:t>
      </w:r>
      <w:r w:rsidR="005A7773" w:rsidRPr="00FE2BDE">
        <w:t xml:space="preserve">eriod </w:t>
      </w:r>
      <w:r w:rsidRPr="00FE2BDE">
        <w:t>2 and T</w:t>
      </w:r>
      <w:r w:rsidR="005A7773" w:rsidRPr="00FE2BDE">
        <w:t xml:space="preserve">reatment </w:t>
      </w:r>
      <w:r w:rsidRPr="00FE2BDE">
        <w:t>P</w:t>
      </w:r>
      <w:r w:rsidR="005A7773" w:rsidRPr="00FE2BDE">
        <w:t xml:space="preserve">eriod </w:t>
      </w:r>
      <w:r w:rsidRPr="00FE2BDE">
        <w:t>3 of Study B5371002, based on the safety population, a similar proportion of subjects in each treatment group were reported with adverse events (AEs):</w:t>
      </w:r>
    </w:p>
    <w:p w14:paraId="4B48BCCC" w14:textId="5C7EA14C" w:rsidR="009804C7" w:rsidRPr="00C25D29" w:rsidRDefault="009804C7" w:rsidP="001C6B41">
      <w:pPr>
        <w:pStyle w:val="ListBullet"/>
      </w:pPr>
      <w:r w:rsidRPr="00C25D29">
        <w:t>T</w:t>
      </w:r>
      <w:r w:rsidR="00C25D29">
        <w:t xml:space="preserve">reatment </w:t>
      </w:r>
      <w:r w:rsidRPr="00C25D29">
        <w:t>P</w:t>
      </w:r>
      <w:r w:rsidR="00C25D29">
        <w:t xml:space="preserve">eriod </w:t>
      </w:r>
      <w:r w:rsidRPr="00C25D29">
        <w:t>1:</w:t>
      </w:r>
      <w:r w:rsidR="00C25D29">
        <w:t xml:space="preserve"> </w:t>
      </w:r>
      <w:r w:rsidRPr="00C25D29">
        <w:t>PF-06438179: 57.3% (185</w:t>
      </w:r>
      <w:r w:rsidR="00C25D29">
        <w:t xml:space="preserve"> out of </w:t>
      </w:r>
      <w:r w:rsidRPr="00C25D29">
        <w:t>323); Infliximab-EU: 54.0% (176</w:t>
      </w:r>
      <w:r w:rsidR="00C25D29">
        <w:t xml:space="preserve"> out of </w:t>
      </w:r>
      <w:r w:rsidRPr="00C25D29">
        <w:t>326)</w:t>
      </w:r>
      <w:r w:rsidR="00C25D29">
        <w:t>.</w:t>
      </w:r>
    </w:p>
    <w:p w14:paraId="407FC3DD" w14:textId="2BA80C38" w:rsidR="009804C7" w:rsidRPr="00C25D29" w:rsidRDefault="009804C7" w:rsidP="00C25D29">
      <w:pPr>
        <w:pStyle w:val="ListBullet"/>
      </w:pPr>
      <w:r w:rsidRPr="00C25D29">
        <w:t>T</w:t>
      </w:r>
      <w:r w:rsidR="00C25D29">
        <w:t xml:space="preserve">reatment </w:t>
      </w:r>
      <w:r w:rsidRPr="00C25D29">
        <w:t>P</w:t>
      </w:r>
      <w:r w:rsidR="00C25D29">
        <w:t xml:space="preserve">eriod </w:t>
      </w:r>
      <w:r w:rsidRPr="00C25D29">
        <w:t>2: PF-06438179/</w:t>
      </w:r>
      <w:r w:rsidR="00381939">
        <w:t xml:space="preserve"> </w:t>
      </w:r>
      <w:r w:rsidRPr="00C25D29">
        <w:t>PF-06438179: 36.8% (103</w:t>
      </w:r>
      <w:r w:rsidR="00381939">
        <w:t xml:space="preserve"> out of </w:t>
      </w:r>
      <w:r w:rsidRPr="00C25D29">
        <w:t>280); infliximab</w:t>
      </w:r>
      <w:r w:rsidR="00381939">
        <w:noBreakHyphen/>
      </w:r>
      <w:r w:rsidRPr="00C25D29">
        <w:t>EU/infliximab-EU: 33.6% (48/143), infliximab-EU/PF-06438179: 37.8% (54</w:t>
      </w:r>
      <w:r w:rsidR="00025C58">
        <w:t xml:space="preserve"> out of </w:t>
      </w:r>
      <w:r w:rsidRPr="00C25D29">
        <w:t>143)</w:t>
      </w:r>
      <w:r w:rsidR="00817A26">
        <w:t>.</w:t>
      </w:r>
    </w:p>
    <w:p w14:paraId="0089C264" w14:textId="6DE2AA31" w:rsidR="009804C7" w:rsidRPr="00C25D29" w:rsidRDefault="009804C7" w:rsidP="00C25D29">
      <w:pPr>
        <w:pStyle w:val="ListBullet"/>
      </w:pPr>
      <w:r w:rsidRPr="00C25D29">
        <w:t>T</w:t>
      </w:r>
      <w:r w:rsidR="00025C58">
        <w:t xml:space="preserve">reatment </w:t>
      </w:r>
      <w:r w:rsidRPr="00C25D29">
        <w:t>P</w:t>
      </w:r>
      <w:r w:rsidR="00025C58">
        <w:t xml:space="preserve">eriod </w:t>
      </w:r>
      <w:r w:rsidRPr="00C25D29">
        <w:t>3: PF-06438179/PF-06438179/PF-06438179: 28.9% (73</w:t>
      </w:r>
      <w:r w:rsidR="00025C58">
        <w:t xml:space="preserve"> out of </w:t>
      </w:r>
      <w:r w:rsidRPr="00C25D29">
        <w:t>253); infliximab-EU/infliximab-EU/PF-06438179: 30.2% (38</w:t>
      </w:r>
      <w:r w:rsidR="00025C58">
        <w:t xml:space="preserve"> out of </w:t>
      </w:r>
      <w:r w:rsidRPr="00C25D29">
        <w:t>126); infliximab</w:t>
      </w:r>
      <w:r w:rsidR="00817A26">
        <w:noBreakHyphen/>
      </w:r>
      <w:r w:rsidRPr="00C25D29">
        <w:t>EU/</w:t>
      </w:r>
      <w:r w:rsidR="00817A26">
        <w:t xml:space="preserve"> </w:t>
      </w:r>
      <w:r w:rsidRPr="00C25D29">
        <w:t>PF</w:t>
      </w:r>
      <w:r w:rsidR="00817A26">
        <w:noBreakHyphen/>
      </w:r>
      <w:r w:rsidRPr="00C25D29">
        <w:t>06438179/PF-06438179: 29.4% (37</w:t>
      </w:r>
      <w:r w:rsidR="00817A26">
        <w:t xml:space="preserve"> out of </w:t>
      </w:r>
      <w:r w:rsidRPr="00C25D29">
        <w:t>126)</w:t>
      </w:r>
      <w:r w:rsidR="00817A26">
        <w:t>.</w:t>
      </w:r>
    </w:p>
    <w:p w14:paraId="6E107B96" w14:textId="228B2947" w:rsidR="009804C7" w:rsidRDefault="009804C7" w:rsidP="009804C7">
      <w:r w:rsidRPr="00817A26">
        <w:t xml:space="preserve">A single subject in the PF-06438179/PF-06438179/PF-06438179 treatment group had treatment-related neutropenia and 3 subjects in the infliximab-EU/PF-06438179/PF-06438179 treatment group had four treatment-related Grade 3 TEAEs falling under the </w:t>
      </w:r>
      <w:r w:rsidR="00817A26">
        <w:t>i</w:t>
      </w:r>
      <w:r w:rsidRPr="00817A26">
        <w:t xml:space="preserve">nfections and infestations </w:t>
      </w:r>
      <w:r w:rsidR="00A04293">
        <w:t>system organ class</w:t>
      </w:r>
      <w:r w:rsidRPr="00817A26">
        <w:t xml:space="preserve"> (cellulitis, chronic sinusitis, encephalitis and tuberculosis).</w:t>
      </w:r>
    </w:p>
    <w:p w14:paraId="09621039" w14:textId="035B967D" w:rsidR="009804C7" w:rsidRDefault="009804C7" w:rsidP="001C6B41">
      <w:pPr>
        <w:pStyle w:val="Heading5"/>
        <w:rPr>
          <w:lang w:eastAsia="en-AU"/>
        </w:rPr>
      </w:pPr>
      <w:r>
        <w:rPr>
          <w:lang w:eastAsia="ja-JP"/>
        </w:rPr>
        <w:t xml:space="preserve">Immunogenicity and </w:t>
      </w:r>
      <w:r w:rsidRPr="001C6B41">
        <w:t>immunological</w:t>
      </w:r>
      <w:r>
        <w:rPr>
          <w:lang w:eastAsia="ja-JP"/>
        </w:rPr>
        <w:t xml:space="preserve"> events</w:t>
      </w:r>
    </w:p>
    <w:p w14:paraId="12150F62" w14:textId="3B7D0EA8" w:rsidR="009804C7" w:rsidRPr="00941827" w:rsidRDefault="009804C7" w:rsidP="001C6B41">
      <w:r w:rsidRPr="00941827">
        <w:t xml:space="preserve">In Study B5371002, the immunogenicity endpoints were the number and proportion of subjects who had at least </w:t>
      </w:r>
      <w:r w:rsidR="00941827" w:rsidRPr="00941827">
        <w:t>one</w:t>
      </w:r>
      <w:r w:rsidRPr="00941827">
        <w:t xml:space="preserve"> sample that tested positive for ADA</w:t>
      </w:r>
      <w:r w:rsidR="004D5E70">
        <w:t>s</w:t>
      </w:r>
      <w:r w:rsidRPr="00941827">
        <w:t xml:space="preserve"> and, for ADA positive subjects, neutralising antibo</w:t>
      </w:r>
      <w:r w:rsidRPr="00135A8D">
        <w:t>dies (</w:t>
      </w:r>
      <w:proofErr w:type="spellStart"/>
      <w:r w:rsidRPr="00135A8D">
        <w:t>NAb</w:t>
      </w:r>
      <w:proofErr w:type="spellEnd"/>
      <w:r w:rsidRPr="00135A8D">
        <w:t>),</w:t>
      </w:r>
      <w:r w:rsidRPr="00941827">
        <w:t xml:space="preserve"> and the titres of ADA and </w:t>
      </w:r>
      <w:proofErr w:type="spellStart"/>
      <w:r w:rsidRPr="00941827">
        <w:t>NAb</w:t>
      </w:r>
      <w:proofErr w:type="spellEnd"/>
      <w:r w:rsidRPr="00941827">
        <w:t xml:space="preserve"> in response to PF-06438179 and infliximab-EU. It is indicated that these endpoints were secondary endpoints.</w:t>
      </w:r>
    </w:p>
    <w:p w14:paraId="4CFBF0AD" w14:textId="1F444156" w:rsidR="009804C7" w:rsidRPr="00941827" w:rsidRDefault="009804C7" w:rsidP="001C6B41">
      <w:r w:rsidRPr="00941827">
        <w:t>Based on the safety population, at each of the assessment time points during T</w:t>
      </w:r>
      <w:r w:rsidR="00941827">
        <w:t xml:space="preserve">reatment </w:t>
      </w:r>
      <w:r w:rsidRPr="00941827">
        <w:t>P</w:t>
      </w:r>
      <w:r w:rsidR="00941827">
        <w:t>eriod </w:t>
      </w:r>
      <w:r w:rsidRPr="00941827">
        <w:t>1 (Week 0 (Baseline), Week 2, Week 6, Week 14 and Week 30), the proportion of subjects who were ADA positive was similar in each treatment group. In each treatment group, the proportion of subjects who were ADA positive was highest at Week 30.</w:t>
      </w:r>
    </w:p>
    <w:p w14:paraId="784D0106" w14:textId="77777777" w:rsidR="009804C7" w:rsidRPr="00941827" w:rsidRDefault="009804C7" w:rsidP="00941827">
      <w:r w:rsidRPr="00941827">
        <w:t xml:space="preserve">Of those subjects who were ADA positive, the proportions of subjects who were </w:t>
      </w:r>
      <w:proofErr w:type="spellStart"/>
      <w:r w:rsidRPr="00941827">
        <w:t>NAb</w:t>
      </w:r>
      <w:proofErr w:type="spellEnd"/>
      <w:r w:rsidRPr="00941827">
        <w:t xml:space="preserve"> positive were higher in the Infliximab-EU treatment group, compared with the PF-06438179 treatment group, at these time points.</w:t>
      </w:r>
    </w:p>
    <w:p w14:paraId="3D2D3DC3" w14:textId="77777777" w:rsidR="009804C7" w:rsidRPr="004479A9" w:rsidRDefault="009804C7" w:rsidP="001C6B41">
      <w:pPr>
        <w:pStyle w:val="Heading5"/>
      </w:pPr>
      <w:r w:rsidRPr="004479A9">
        <w:lastRenderedPageBreak/>
        <w:t xml:space="preserve">Deaths and </w:t>
      </w:r>
      <w:r w:rsidRPr="001C6B41">
        <w:t>other</w:t>
      </w:r>
      <w:r w:rsidRPr="004479A9">
        <w:t xml:space="preserve"> serious adverse events</w:t>
      </w:r>
    </w:p>
    <w:p w14:paraId="0BA741FA" w14:textId="3B370642" w:rsidR="009804C7" w:rsidRPr="006B6898" w:rsidRDefault="009804C7" w:rsidP="006B6898">
      <w:r w:rsidRPr="006B6898">
        <w:t>The proportion of subjects between treatment groups with serious TEAEs were overall similar or were higher in the Infliximab-EU/Infliximab-EU treatment group compared to the PF</w:t>
      </w:r>
      <w:r w:rsidR="006B6898">
        <w:noBreakHyphen/>
      </w:r>
      <w:r w:rsidRPr="006B6898">
        <w:t>06438179/PF-06438179 group.</w:t>
      </w:r>
    </w:p>
    <w:p w14:paraId="0F1E9D4F" w14:textId="01AB9DD2" w:rsidR="009804C7" w:rsidRDefault="009804C7" w:rsidP="001C6B41">
      <w:r w:rsidRPr="006B6898">
        <w:t>There were three deaths in total in the PF-06438179 treatment group, with causes being acute myocardial infarction, unknown cause of death and sudden cardiac death. There was one subject in the Infliximab-EU treatment group who died from pulmonary embolism and acute perforated diverticulitis. The investigators did not consider these to be related to the study drug.</w:t>
      </w:r>
    </w:p>
    <w:p w14:paraId="2485A708" w14:textId="77777777" w:rsidR="009804C7" w:rsidRDefault="009804C7" w:rsidP="001C6B41">
      <w:pPr>
        <w:pStyle w:val="Heading5"/>
      </w:pPr>
      <w:r>
        <w:t>I</w:t>
      </w:r>
      <w:r w:rsidRPr="00A92A13">
        <w:t xml:space="preserve">ssues with possible regulatory </w:t>
      </w:r>
      <w:r w:rsidRPr="001C6B41">
        <w:t>impact</w:t>
      </w:r>
    </w:p>
    <w:p w14:paraId="3665B4C0" w14:textId="6671A14E" w:rsidR="009804C7" w:rsidRPr="006B6898" w:rsidRDefault="009804C7" w:rsidP="001C6B41">
      <w:r w:rsidRPr="006B6898">
        <w:t xml:space="preserve">The proportion of subjects </w:t>
      </w:r>
      <w:r w:rsidRPr="00300B0E">
        <w:t>with Grade 1</w:t>
      </w:r>
      <w:r w:rsidR="006B6898" w:rsidRPr="00300B0E">
        <w:t xml:space="preserve"> to </w:t>
      </w:r>
      <w:r w:rsidRPr="00300B0E">
        <w:t xml:space="preserve">2 TEAEs of </w:t>
      </w:r>
      <w:r w:rsidR="007817D0" w:rsidRPr="00300B0E">
        <w:t>alanine aminotransferase (</w:t>
      </w:r>
      <w:r w:rsidRPr="00300B0E">
        <w:t>ALT</w:t>
      </w:r>
      <w:r w:rsidR="007817D0" w:rsidRPr="00300B0E">
        <w:t>)</w:t>
      </w:r>
      <w:r w:rsidRPr="00300B0E">
        <w:t xml:space="preserve"> increased and </w:t>
      </w:r>
      <w:r w:rsidR="004122B9" w:rsidRPr="00300B0E">
        <w:t>aspartate aminotransferase (</w:t>
      </w:r>
      <w:r w:rsidRPr="00300B0E">
        <w:t>AST</w:t>
      </w:r>
      <w:r w:rsidR="004122B9" w:rsidRPr="00300B0E">
        <w:t>)</w:t>
      </w:r>
      <w:r w:rsidRPr="00300B0E">
        <w:t xml:space="preserve"> increased, respectively, was generally similar in each treatment group. In T</w:t>
      </w:r>
      <w:r w:rsidR="004122B9" w:rsidRPr="00300B0E">
        <w:t xml:space="preserve">reatment </w:t>
      </w:r>
      <w:r w:rsidRPr="00300B0E">
        <w:t>P</w:t>
      </w:r>
      <w:r w:rsidR="004122B9" w:rsidRPr="00300B0E">
        <w:t xml:space="preserve">eriod </w:t>
      </w:r>
      <w:r w:rsidRPr="00300B0E">
        <w:t>2 a subject</w:t>
      </w:r>
      <w:r w:rsidRPr="006B6898">
        <w:t xml:space="preserve"> in the infliximab-EU/infliximab-EU treatment group was reported with serious treatment-related AEs of ALT increased and AST increased and led to study drug discontinuation. In T</w:t>
      </w:r>
      <w:r w:rsidR="00A21927">
        <w:t xml:space="preserve">reatment </w:t>
      </w:r>
      <w:r w:rsidRPr="006B6898">
        <w:t>P</w:t>
      </w:r>
      <w:r w:rsidR="00A21927">
        <w:t xml:space="preserve">eriod </w:t>
      </w:r>
      <w:r w:rsidRPr="006B6898">
        <w:t>3, two subjects in the PF</w:t>
      </w:r>
      <w:r w:rsidR="004818DA">
        <w:noBreakHyphen/>
      </w:r>
      <w:r w:rsidRPr="006B6898">
        <w:t>06438179/PF</w:t>
      </w:r>
      <w:r w:rsidR="00A21927">
        <w:noBreakHyphen/>
      </w:r>
      <w:r w:rsidRPr="006B6898">
        <w:t>06438179/PF-06438179 treatment group and one subject in the infliximab</w:t>
      </w:r>
      <w:r w:rsidR="00A21927">
        <w:noBreakHyphen/>
      </w:r>
      <w:r w:rsidRPr="006B6898">
        <w:t>EU/PF-06438179/PF-06438179 were reported with Grade 3 TEAEs of ALT increased.</w:t>
      </w:r>
    </w:p>
    <w:p w14:paraId="76D3F13B" w14:textId="7E599A0C" w:rsidR="009804C7" w:rsidRDefault="009804C7" w:rsidP="001C6B41">
      <w:pPr>
        <w:pStyle w:val="Heading5"/>
        <w:rPr>
          <w:lang w:eastAsia="ja-JP"/>
        </w:rPr>
      </w:pPr>
      <w:r>
        <w:rPr>
          <w:lang w:eastAsia="ja-JP"/>
        </w:rPr>
        <w:t xml:space="preserve">Renal function and </w:t>
      </w:r>
      <w:r w:rsidRPr="001C6B41">
        <w:t>renal</w:t>
      </w:r>
      <w:r>
        <w:rPr>
          <w:lang w:eastAsia="ja-JP"/>
        </w:rPr>
        <w:t xml:space="preserve"> toxicity</w:t>
      </w:r>
    </w:p>
    <w:p w14:paraId="2996F66F" w14:textId="363A3256" w:rsidR="009804C7" w:rsidRPr="009804C7" w:rsidRDefault="009804C7" w:rsidP="009804C7">
      <w:r w:rsidRPr="00900589">
        <w:t>The proportion of subjects with Grade1</w:t>
      </w:r>
      <w:r w:rsidR="00900589">
        <w:t xml:space="preserve"> to </w:t>
      </w:r>
      <w:r w:rsidRPr="00900589">
        <w:t>2 creatinine increased was similar in each treatment group throughout each of the treatment periods.</w:t>
      </w:r>
    </w:p>
    <w:p w14:paraId="2F54408F" w14:textId="73258726" w:rsidR="00C22214" w:rsidRDefault="008C49C6" w:rsidP="001C6B41">
      <w:pPr>
        <w:pStyle w:val="Heading4"/>
      </w:pPr>
      <w:bookmarkStart w:id="63" w:name="_Toc225166229"/>
      <w:bookmarkStart w:id="64" w:name="_Toc314842514"/>
      <w:r>
        <w:t>R</w:t>
      </w:r>
      <w:r w:rsidR="00C22214" w:rsidRPr="007B6132">
        <w:t>ecommendation</w:t>
      </w:r>
      <w:r>
        <w:t xml:space="preserve"> following the clinical </w:t>
      </w:r>
      <w:r w:rsidRPr="001C6B41">
        <w:t>evaluation</w:t>
      </w:r>
      <w:bookmarkEnd w:id="63"/>
    </w:p>
    <w:p w14:paraId="3633B03C" w14:textId="07B7349F" w:rsidR="00F659F8" w:rsidRPr="0010685B" w:rsidRDefault="00F659F8" w:rsidP="001C6B41">
      <w:r w:rsidRPr="00900589">
        <w:t xml:space="preserve">The </w:t>
      </w:r>
      <w:r w:rsidR="00900589" w:rsidRPr="00900589">
        <w:t>clinical</w:t>
      </w:r>
      <w:r w:rsidRPr="00900589">
        <w:t xml:space="preserve"> </w:t>
      </w:r>
      <w:r w:rsidR="00900589" w:rsidRPr="00900589">
        <w:t>e</w:t>
      </w:r>
      <w:r w:rsidRPr="00900589">
        <w:t>valuat</w:t>
      </w:r>
      <w:r w:rsidR="00900589" w:rsidRPr="00900589">
        <w:t>ion</w:t>
      </w:r>
      <w:r w:rsidRPr="00900589">
        <w:t xml:space="preserve"> considered the overall benefit-risk balance of I</w:t>
      </w:r>
      <w:r w:rsidR="00900589" w:rsidRPr="00900589">
        <w:t>xifi</w:t>
      </w:r>
      <w:r w:rsidRPr="00900589">
        <w:t xml:space="preserve"> as favourable and supported its registration.</w:t>
      </w:r>
    </w:p>
    <w:p w14:paraId="2858B006" w14:textId="77777777" w:rsidR="00C22214" w:rsidRDefault="00C22214" w:rsidP="001C6B41">
      <w:pPr>
        <w:pStyle w:val="Heading3"/>
        <w:rPr>
          <w:lang w:eastAsia="en-AU"/>
        </w:rPr>
      </w:pPr>
      <w:bookmarkStart w:id="65" w:name="_Toc103679298"/>
      <w:bookmarkStart w:id="66" w:name="_Toc225166230"/>
      <w:r>
        <w:rPr>
          <w:lang w:eastAsia="en-AU"/>
        </w:rPr>
        <w:t xml:space="preserve">Risk </w:t>
      </w:r>
      <w:r w:rsidRPr="001C6B41">
        <w:t>management</w:t>
      </w:r>
      <w:r>
        <w:rPr>
          <w:lang w:eastAsia="en-AU"/>
        </w:rPr>
        <w:t xml:space="preserve"> plan</w:t>
      </w:r>
      <w:bookmarkEnd w:id="64"/>
      <w:bookmarkEnd w:id="65"/>
      <w:bookmarkEnd w:id="66"/>
    </w:p>
    <w:p w14:paraId="4216187A" w14:textId="208033C0" w:rsidR="00DC7223" w:rsidRPr="006E299D" w:rsidRDefault="00DC7223" w:rsidP="001C6B41">
      <w:bookmarkStart w:id="67" w:name="_Toc247691531"/>
      <w:bookmarkStart w:id="68" w:name="_Toc314842515"/>
      <w:r w:rsidRPr="006E299D">
        <w:t xml:space="preserve">The sponsor submitted </w:t>
      </w:r>
      <w:r>
        <w:t>g</w:t>
      </w:r>
      <w:r w:rsidRPr="006E299D">
        <w:t>lobal</w:t>
      </w:r>
      <w:r>
        <w:t xml:space="preserve"> risk management plan (</w:t>
      </w:r>
      <w:r w:rsidRPr="006E299D">
        <w:t>RMP</w:t>
      </w:r>
      <w:r>
        <w:t>)</w:t>
      </w:r>
      <w:r w:rsidRPr="006E299D">
        <w:t xml:space="preserve"> version 3.0; dated 27</w:t>
      </w:r>
      <w:r>
        <w:t> </w:t>
      </w:r>
      <w:r w:rsidRPr="006E299D">
        <w:t>July</w:t>
      </w:r>
      <w:r>
        <w:t> </w:t>
      </w:r>
      <w:r w:rsidRPr="006E299D">
        <w:t xml:space="preserve">2020; </w:t>
      </w:r>
      <w:r>
        <w:t>data lock point (</w:t>
      </w:r>
      <w:r w:rsidRPr="006E299D">
        <w:t>DLP</w:t>
      </w:r>
      <w:r>
        <w:t>)</w:t>
      </w:r>
      <w:r w:rsidRPr="006E299D">
        <w:t xml:space="preserve"> 6</w:t>
      </w:r>
      <w:r>
        <w:t> </w:t>
      </w:r>
      <w:r w:rsidRPr="006E299D">
        <w:t>July</w:t>
      </w:r>
      <w:r>
        <w:t> </w:t>
      </w:r>
      <w:r w:rsidRPr="006E299D">
        <w:t>2017 (clinical trial data) and 19</w:t>
      </w:r>
      <w:r>
        <w:t> </w:t>
      </w:r>
      <w:r w:rsidRPr="006E299D">
        <w:t>May</w:t>
      </w:r>
      <w:r>
        <w:t> </w:t>
      </w:r>
      <w:r w:rsidRPr="006E299D">
        <w:t xml:space="preserve">2020 (post-marketing data) and </w:t>
      </w:r>
      <w:r>
        <w:t>Australia</w:t>
      </w:r>
      <w:r w:rsidR="009637B2">
        <w:t>n</w:t>
      </w:r>
      <w:r>
        <w:t xml:space="preserve"> specific annex (</w:t>
      </w:r>
      <w:r w:rsidRPr="006E299D">
        <w:t>ASA</w:t>
      </w:r>
      <w:r>
        <w:t>)</w:t>
      </w:r>
      <w:r w:rsidRPr="006E299D">
        <w:t xml:space="preserve"> version 1.0 dated 18</w:t>
      </w:r>
      <w:r>
        <w:t> </w:t>
      </w:r>
      <w:r w:rsidRPr="006E299D">
        <w:t>July</w:t>
      </w:r>
      <w:r>
        <w:t> </w:t>
      </w:r>
      <w:r w:rsidRPr="006E299D">
        <w:t>2023 in support of this application.</w:t>
      </w:r>
    </w:p>
    <w:p w14:paraId="39F3CD1D" w14:textId="7AE7C3DC" w:rsidR="0072003B" w:rsidRDefault="00C22214" w:rsidP="00C22214">
      <w:pPr>
        <w:rPr>
          <w:szCs w:val="22"/>
        </w:rPr>
      </w:pPr>
      <w:r w:rsidRPr="00BD5DBD">
        <w:rPr>
          <w:szCs w:val="22"/>
        </w:rPr>
        <w:t>The summary of safety concerns and their associated risk monitoring and mitigation strategies are summarised in</w:t>
      </w:r>
      <w:r w:rsidR="00300B0E">
        <w:rPr>
          <w:szCs w:val="22"/>
        </w:rPr>
        <w:t xml:space="preserve"> </w:t>
      </w:r>
      <w:r w:rsidR="003B149C" w:rsidRPr="003B149C">
        <w:rPr>
          <w:szCs w:val="22"/>
        </w:rPr>
        <w:fldChar w:fldCharType="begin"/>
      </w:r>
      <w:r w:rsidR="003B149C" w:rsidRPr="003B149C">
        <w:rPr>
          <w:szCs w:val="22"/>
        </w:rPr>
        <w:instrText xml:space="preserve"> REF _Ref97629131 \h </w:instrText>
      </w:r>
      <w:r w:rsidR="003B149C">
        <w:rPr>
          <w:szCs w:val="22"/>
        </w:rPr>
        <w:instrText xml:space="preserve"> \* MERGEFORMAT </w:instrText>
      </w:r>
      <w:r w:rsidR="003B149C" w:rsidRPr="003B149C">
        <w:rPr>
          <w:szCs w:val="22"/>
        </w:rPr>
      </w:r>
      <w:r w:rsidR="003B149C" w:rsidRPr="003B149C">
        <w:rPr>
          <w:szCs w:val="22"/>
        </w:rPr>
        <w:fldChar w:fldCharType="separate"/>
      </w:r>
      <w:r w:rsidR="002257B0" w:rsidRPr="002257B0">
        <w:rPr>
          <w:szCs w:val="22"/>
        </w:rPr>
        <w:t xml:space="preserve">Table </w:t>
      </w:r>
      <w:r w:rsidR="002257B0">
        <w:t>6</w:t>
      </w:r>
      <w:r w:rsidR="003B149C" w:rsidRPr="003B149C">
        <w:rPr>
          <w:szCs w:val="22"/>
        </w:rPr>
        <w:fldChar w:fldCharType="end"/>
      </w:r>
      <w:r w:rsidR="008C49C6" w:rsidRPr="003B149C">
        <w:rPr>
          <w:szCs w:val="22"/>
        </w:rPr>
        <w:t>.</w:t>
      </w:r>
      <w:r w:rsidR="0072003B" w:rsidRPr="00BD5DBD">
        <w:rPr>
          <w:szCs w:val="22"/>
        </w:rPr>
        <w:t xml:space="preserve"> The TGA</w:t>
      </w:r>
      <w:r w:rsidR="00C07551" w:rsidRPr="00BD5DBD">
        <w:rPr>
          <w:szCs w:val="22"/>
        </w:rPr>
        <w:t xml:space="preserve"> may</w:t>
      </w:r>
      <w:r w:rsidR="0072003B" w:rsidRPr="00BD5DBD">
        <w:rPr>
          <w:szCs w:val="22"/>
        </w:rPr>
        <w:t xml:space="preserve"> request an updated RMP at any stage of a product's </w:t>
      </w:r>
      <w:proofErr w:type="gramStart"/>
      <w:r w:rsidR="0072003B" w:rsidRPr="00BD5DBD">
        <w:rPr>
          <w:szCs w:val="22"/>
        </w:rPr>
        <w:t>life-cycle</w:t>
      </w:r>
      <w:proofErr w:type="gramEnd"/>
      <w:r w:rsidR="0072003B" w:rsidRPr="00BD5DBD">
        <w:rPr>
          <w:szCs w:val="22"/>
        </w:rPr>
        <w:t>, during both the pre-approval and post-approval phases.</w:t>
      </w:r>
    </w:p>
    <w:p w14:paraId="16C11F68" w14:textId="7A65AF00" w:rsidR="006B2E38" w:rsidRPr="00E047A0" w:rsidRDefault="00026AD8" w:rsidP="001C6B41">
      <w:pPr>
        <w:pStyle w:val="TableTitle"/>
      </w:pPr>
      <w:bookmarkStart w:id="69" w:name="_Ref97629131"/>
      <w:r>
        <w:t xml:space="preserve">Table </w:t>
      </w:r>
      <w:r>
        <w:fldChar w:fldCharType="begin"/>
      </w:r>
      <w:r>
        <w:instrText xml:space="preserve"> SEQ Table \* ARABIC </w:instrText>
      </w:r>
      <w:r>
        <w:fldChar w:fldCharType="separate"/>
      </w:r>
      <w:r w:rsidR="002257B0">
        <w:rPr>
          <w:noProof/>
        </w:rPr>
        <w:t>6</w:t>
      </w:r>
      <w:r>
        <w:rPr>
          <w:noProof/>
        </w:rPr>
        <w:fldChar w:fldCharType="end"/>
      </w:r>
      <w:bookmarkEnd w:id="69"/>
      <w:r>
        <w:t xml:space="preserve">: </w:t>
      </w:r>
      <w:r w:rsidRPr="001C6B41">
        <w:t>Summary</w:t>
      </w:r>
      <w:r>
        <w:t xml:space="preserve"> of safety concerns</w:t>
      </w:r>
    </w:p>
    <w:tbl>
      <w:tblPr>
        <w:tblStyle w:val="TableTGAblue2023"/>
        <w:tblW w:w="0" w:type="auto"/>
        <w:tblLook w:val="04A0" w:firstRow="1" w:lastRow="0" w:firstColumn="1" w:lastColumn="0" w:noHBand="0" w:noVBand="1"/>
      </w:tblPr>
      <w:tblGrid>
        <w:gridCol w:w="1545"/>
        <w:gridCol w:w="3375"/>
        <w:gridCol w:w="935"/>
        <w:gridCol w:w="1135"/>
        <w:gridCol w:w="935"/>
        <w:gridCol w:w="1135"/>
      </w:tblGrid>
      <w:tr w:rsidR="006B2E38" w:rsidRPr="00BF52F4" w14:paraId="65102C9C" w14:textId="77777777" w:rsidTr="001C6B41">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0" w:type="auto"/>
            <w:gridSpan w:val="2"/>
            <w:vMerge w:val="restart"/>
          </w:tcPr>
          <w:p w14:paraId="09DEA549" w14:textId="77777777" w:rsidR="006B2E38" w:rsidRPr="00DF7059" w:rsidRDefault="006B2E38">
            <w:pPr>
              <w:pStyle w:val="Tabletext0"/>
              <w:rPr>
                <w:b w:val="0"/>
                <w:kern w:val="0"/>
                <w:sz w:val="18"/>
                <w:szCs w:val="18"/>
              </w:rPr>
            </w:pPr>
            <w:r w:rsidRPr="00DF7059">
              <w:rPr>
                <w:kern w:val="0"/>
                <w:sz w:val="18"/>
                <w:szCs w:val="18"/>
              </w:rPr>
              <w:t>Summary of safety concerns</w:t>
            </w:r>
          </w:p>
        </w:tc>
        <w:tc>
          <w:tcPr>
            <w:tcW w:w="0" w:type="auto"/>
            <w:gridSpan w:val="2"/>
          </w:tcPr>
          <w:p w14:paraId="3D77A674" w14:textId="77777777" w:rsidR="006B2E38" w:rsidRPr="00BF52F4" w:rsidRDefault="006B2E38">
            <w:pPr>
              <w:pStyle w:val="Tabletext0"/>
              <w:cnfStyle w:val="100000000000" w:firstRow="1" w:lastRow="0" w:firstColumn="0" w:lastColumn="0" w:oddVBand="0" w:evenVBand="0" w:oddHBand="0" w:evenHBand="0" w:firstRowFirstColumn="0" w:firstRowLastColumn="0" w:lastRowFirstColumn="0" w:lastRowLastColumn="0"/>
              <w:rPr>
                <w:b w:val="0"/>
                <w:kern w:val="0"/>
                <w:sz w:val="18"/>
              </w:rPr>
            </w:pPr>
            <w:r w:rsidRPr="00BF52F4">
              <w:rPr>
                <w:kern w:val="0"/>
                <w:sz w:val="18"/>
              </w:rPr>
              <w:t>Pharmacovigilance</w:t>
            </w:r>
          </w:p>
        </w:tc>
        <w:tc>
          <w:tcPr>
            <w:tcW w:w="0" w:type="auto"/>
            <w:gridSpan w:val="2"/>
          </w:tcPr>
          <w:p w14:paraId="32398E2D" w14:textId="77777777" w:rsidR="006B2E38" w:rsidRPr="00BF52F4" w:rsidRDefault="006B2E38">
            <w:pPr>
              <w:pStyle w:val="Tabletext0"/>
              <w:cnfStyle w:val="100000000000" w:firstRow="1" w:lastRow="0" w:firstColumn="0" w:lastColumn="0" w:oddVBand="0" w:evenVBand="0" w:oddHBand="0" w:evenHBand="0" w:firstRowFirstColumn="0" w:firstRowLastColumn="0" w:lastRowFirstColumn="0" w:lastRowLastColumn="0"/>
              <w:rPr>
                <w:b w:val="0"/>
                <w:kern w:val="0"/>
                <w:sz w:val="18"/>
              </w:rPr>
            </w:pPr>
            <w:r w:rsidRPr="00BF52F4">
              <w:rPr>
                <w:kern w:val="0"/>
                <w:sz w:val="18"/>
              </w:rPr>
              <w:t>Risk Minimisation</w:t>
            </w:r>
          </w:p>
        </w:tc>
      </w:tr>
      <w:tr w:rsidR="006B2E38" w:rsidRPr="00BF52F4" w14:paraId="44741187" w14:textId="77777777" w:rsidTr="001C6B41">
        <w:trPr>
          <w:trHeight w:val="150"/>
        </w:trPr>
        <w:tc>
          <w:tcPr>
            <w:cnfStyle w:val="001000000000" w:firstRow="0" w:lastRow="0" w:firstColumn="1" w:lastColumn="0" w:oddVBand="0" w:evenVBand="0" w:oddHBand="0" w:evenHBand="0" w:firstRowFirstColumn="0" w:firstRowLastColumn="0" w:lastRowFirstColumn="0" w:lastRowLastColumn="0"/>
            <w:tcW w:w="0" w:type="auto"/>
            <w:gridSpan w:val="2"/>
            <w:vMerge/>
          </w:tcPr>
          <w:p w14:paraId="388C5BD3" w14:textId="77777777" w:rsidR="006B2E38" w:rsidRPr="00DF7059" w:rsidRDefault="006B2E38">
            <w:pPr>
              <w:pStyle w:val="Tabletext0"/>
              <w:rPr>
                <w:b/>
                <w:kern w:val="0"/>
                <w:sz w:val="18"/>
                <w:szCs w:val="18"/>
              </w:rPr>
            </w:pPr>
          </w:p>
        </w:tc>
        <w:tc>
          <w:tcPr>
            <w:tcW w:w="0" w:type="auto"/>
          </w:tcPr>
          <w:p w14:paraId="7BAB90DB" w14:textId="77777777" w:rsidR="006B2E38" w:rsidRPr="00BF52F4" w:rsidRDefault="006B2E38">
            <w:pPr>
              <w:pStyle w:val="Tabletext0"/>
              <w:cnfStyle w:val="000000000000" w:firstRow="0" w:lastRow="0" w:firstColumn="0" w:lastColumn="0" w:oddVBand="0" w:evenVBand="0" w:oddHBand="0" w:evenHBand="0" w:firstRowFirstColumn="0" w:firstRowLastColumn="0" w:lastRowFirstColumn="0" w:lastRowLastColumn="0"/>
              <w:rPr>
                <w:kern w:val="0"/>
                <w:sz w:val="18"/>
              </w:rPr>
            </w:pPr>
            <w:r w:rsidRPr="00BF52F4">
              <w:rPr>
                <w:kern w:val="0"/>
                <w:sz w:val="18"/>
              </w:rPr>
              <w:t>Routine</w:t>
            </w:r>
          </w:p>
        </w:tc>
        <w:tc>
          <w:tcPr>
            <w:tcW w:w="0" w:type="auto"/>
          </w:tcPr>
          <w:p w14:paraId="7FE10E47" w14:textId="77777777" w:rsidR="006B2E38" w:rsidRPr="00BF52F4" w:rsidRDefault="006B2E38">
            <w:pPr>
              <w:pStyle w:val="Tabletext0"/>
              <w:cnfStyle w:val="000000000000" w:firstRow="0" w:lastRow="0" w:firstColumn="0" w:lastColumn="0" w:oddVBand="0" w:evenVBand="0" w:oddHBand="0" w:evenHBand="0" w:firstRowFirstColumn="0" w:firstRowLastColumn="0" w:lastRowFirstColumn="0" w:lastRowLastColumn="0"/>
              <w:rPr>
                <w:kern w:val="0"/>
                <w:sz w:val="18"/>
              </w:rPr>
            </w:pPr>
            <w:r w:rsidRPr="00BF52F4">
              <w:rPr>
                <w:kern w:val="0"/>
                <w:sz w:val="18"/>
              </w:rPr>
              <w:t>Additional</w:t>
            </w:r>
          </w:p>
        </w:tc>
        <w:tc>
          <w:tcPr>
            <w:tcW w:w="0" w:type="auto"/>
          </w:tcPr>
          <w:p w14:paraId="77EDA935" w14:textId="77777777" w:rsidR="006B2E38" w:rsidRPr="00BF52F4" w:rsidRDefault="006B2E38">
            <w:pPr>
              <w:pStyle w:val="Tabletext0"/>
              <w:cnfStyle w:val="000000000000" w:firstRow="0" w:lastRow="0" w:firstColumn="0" w:lastColumn="0" w:oddVBand="0" w:evenVBand="0" w:oddHBand="0" w:evenHBand="0" w:firstRowFirstColumn="0" w:firstRowLastColumn="0" w:lastRowFirstColumn="0" w:lastRowLastColumn="0"/>
              <w:rPr>
                <w:kern w:val="0"/>
                <w:sz w:val="18"/>
              </w:rPr>
            </w:pPr>
            <w:r w:rsidRPr="00BF52F4">
              <w:rPr>
                <w:kern w:val="0"/>
                <w:sz w:val="18"/>
              </w:rPr>
              <w:t>Routine</w:t>
            </w:r>
          </w:p>
        </w:tc>
        <w:tc>
          <w:tcPr>
            <w:tcW w:w="0" w:type="auto"/>
          </w:tcPr>
          <w:p w14:paraId="73815A5A" w14:textId="77777777" w:rsidR="006B2E38" w:rsidRPr="00BF52F4" w:rsidRDefault="006B2E38">
            <w:pPr>
              <w:pStyle w:val="Tabletext0"/>
              <w:cnfStyle w:val="000000000000" w:firstRow="0" w:lastRow="0" w:firstColumn="0" w:lastColumn="0" w:oddVBand="0" w:evenVBand="0" w:oddHBand="0" w:evenHBand="0" w:firstRowFirstColumn="0" w:firstRowLastColumn="0" w:lastRowFirstColumn="0" w:lastRowLastColumn="0"/>
              <w:rPr>
                <w:kern w:val="0"/>
                <w:sz w:val="18"/>
              </w:rPr>
            </w:pPr>
            <w:r w:rsidRPr="00BF52F4">
              <w:rPr>
                <w:kern w:val="0"/>
                <w:sz w:val="18"/>
              </w:rPr>
              <w:t>Additional</w:t>
            </w:r>
          </w:p>
        </w:tc>
      </w:tr>
      <w:tr w:rsidR="006B2E38" w:rsidRPr="00BF52F4" w14:paraId="295146DA" w14:textId="77777777" w:rsidTr="00B23FCD">
        <w:trPr>
          <w:trHeight w:val="137"/>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3D13200" w14:textId="77777777" w:rsidR="006B2E38" w:rsidRPr="00DF7059" w:rsidRDefault="006B2E38">
            <w:pPr>
              <w:pStyle w:val="Tabletext0"/>
              <w:rPr>
                <w:b/>
                <w:kern w:val="0"/>
                <w:sz w:val="18"/>
                <w:szCs w:val="18"/>
              </w:rPr>
            </w:pPr>
            <w:r w:rsidRPr="00DF7059">
              <w:rPr>
                <w:b/>
                <w:kern w:val="0"/>
                <w:sz w:val="18"/>
                <w:szCs w:val="18"/>
              </w:rPr>
              <w:t>Important identified risks</w:t>
            </w:r>
          </w:p>
        </w:tc>
        <w:tc>
          <w:tcPr>
            <w:tcW w:w="0" w:type="auto"/>
          </w:tcPr>
          <w:p w14:paraId="7B77E830" w14:textId="77777777" w:rsidR="006B2E38" w:rsidRPr="00DF7059" w:rsidRDefault="006B2E38">
            <w:pPr>
              <w:pStyle w:val="Tabletext0"/>
              <w:cnfStyle w:val="000000000000" w:firstRow="0" w:lastRow="0" w:firstColumn="0" w:lastColumn="0" w:oddVBand="0" w:evenVBand="0" w:oddHBand="0" w:evenHBand="0" w:firstRowFirstColumn="0" w:firstRowLastColumn="0" w:lastRowFirstColumn="0" w:lastRowLastColumn="0"/>
              <w:rPr>
                <w:kern w:val="0"/>
                <w:sz w:val="18"/>
                <w:szCs w:val="18"/>
              </w:rPr>
            </w:pPr>
            <w:r w:rsidRPr="00DF7059">
              <w:rPr>
                <w:sz w:val="18"/>
                <w:szCs w:val="18"/>
              </w:rPr>
              <w:t>Serious infection/sepsis</w:t>
            </w:r>
          </w:p>
        </w:tc>
        <w:tc>
          <w:tcPr>
            <w:tcW w:w="0" w:type="auto"/>
          </w:tcPr>
          <w:p w14:paraId="42137080"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395D9F">
              <w:rPr>
                <w:rFonts w:ascii="Wingdings" w:eastAsia="Wingdings" w:hAnsi="Wingdings" w:cs="Wingdings"/>
                <w:kern w:val="0"/>
              </w:rPr>
              <w:t>ü</w:t>
            </w:r>
          </w:p>
        </w:tc>
        <w:tc>
          <w:tcPr>
            <w:tcW w:w="0" w:type="auto"/>
          </w:tcPr>
          <w:p w14:paraId="7ECFAA19"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395D9F">
              <w:rPr>
                <w:kern w:val="0"/>
              </w:rPr>
              <w:t>–</w:t>
            </w:r>
          </w:p>
        </w:tc>
        <w:tc>
          <w:tcPr>
            <w:tcW w:w="0" w:type="auto"/>
          </w:tcPr>
          <w:p w14:paraId="7FBD8BD8"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395D9F">
              <w:rPr>
                <w:rFonts w:ascii="Wingdings" w:eastAsia="Wingdings" w:hAnsi="Wingdings" w:cs="Wingdings"/>
                <w:kern w:val="0"/>
              </w:rPr>
              <w:t>ü</w:t>
            </w:r>
          </w:p>
        </w:tc>
        <w:tc>
          <w:tcPr>
            <w:tcW w:w="0" w:type="auto"/>
          </w:tcPr>
          <w:p w14:paraId="25AAECF5"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395D9F">
              <w:rPr>
                <w:kern w:val="0"/>
              </w:rPr>
              <w:t>–</w:t>
            </w:r>
          </w:p>
        </w:tc>
      </w:tr>
      <w:tr w:rsidR="006B2E38" w:rsidRPr="00BF52F4" w14:paraId="636C1946" w14:textId="77777777" w:rsidTr="00B23FCD">
        <w:trPr>
          <w:trHeight w:val="94"/>
        </w:trPr>
        <w:tc>
          <w:tcPr>
            <w:cnfStyle w:val="001000000000" w:firstRow="0" w:lastRow="0" w:firstColumn="1" w:lastColumn="0" w:oddVBand="0" w:evenVBand="0" w:oddHBand="0" w:evenHBand="0" w:firstRowFirstColumn="0" w:firstRowLastColumn="0" w:lastRowFirstColumn="0" w:lastRowLastColumn="0"/>
            <w:tcW w:w="0" w:type="auto"/>
            <w:vMerge/>
          </w:tcPr>
          <w:p w14:paraId="2E17D67D" w14:textId="77777777" w:rsidR="006B2E38" w:rsidRPr="00DF7059" w:rsidRDefault="006B2E38">
            <w:pPr>
              <w:pStyle w:val="Tabletext0"/>
              <w:rPr>
                <w:b/>
                <w:kern w:val="0"/>
                <w:sz w:val="18"/>
                <w:szCs w:val="18"/>
              </w:rPr>
            </w:pPr>
          </w:p>
        </w:tc>
        <w:tc>
          <w:tcPr>
            <w:tcW w:w="0" w:type="auto"/>
          </w:tcPr>
          <w:p w14:paraId="638C4336" w14:textId="77777777" w:rsidR="006B2E38" w:rsidRPr="00DF7059" w:rsidRDefault="006B2E38">
            <w:pPr>
              <w:pStyle w:val="Tabletext0"/>
              <w:cnfStyle w:val="000000000000" w:firstRow="0" w:lastRow="0" w:firstColumn="0" w:lastColumn="0" w:oddVBand="0" w:evenVBand="0" w:oddHBand="0" w:evenHBand="0" w:firstRowFirstColumn="0" w:firstRowLastColumn="0" w:lastRowFirstColumn="0" w:lastRowLastColumn="0"/>
              <w:rPr>
                <w:kern w:val="0"/>
                <w:sz w:val="18"/>
                <w:szCs w:val="18"/>
              </w:rPr>
            </w:pPr>
            <w:r w:rsidRPr="00DF7059">
              <w:rPr>
                <w:kern w:val="0"/>
                <w:sz w:val="18"/>
                <w:szCs w:val="18"/>
              </w:rPr>
              <w:t>D</w:t>
            </w:r>
            <w:r w:rsidRPr="00DF7059">
              <w:rPr>
                <w:sz w:val="18"/>
                <w:szCs w:val="18"/>
              </w:rPr>
              <w:t>emyelinating disorders</w:t>
            </w:r>
          </w:p>
        </w:tc>
        <w:tc>
          <w:tcPr>
            <w:tcW w:w="0" w:type="auto"/>
          </w:tcPr>
          <w:p w14:paraId="16FB6B9A"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395D9F">
              <w:rPr>
                <w:rFonts w:ascii="Wingdings" w:eastAsia="Wingdings" w:hAnsi="Wingdings" w:cs="Wingdings"/>
                <w:kern w:val="0"/>
              </w:rPr>
              <w:t>ü</w:t>
            </w:r>
          </w:p>
        </w:tc>
        <w:tc>
          <w:tcPr>
            <w:tcW w:w="0" w:type="auto"/>
          </w:tcPr>
          <w:p w14:paraId="465BA586"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395D9F">
              <w:rPr>
                <w:kern w:val="0"/>
              </w:rPr>
              <w:t>–</w:t>
            </w:r>
          </w:p>
        </w:tc>
        <w:tc>
          <w:tcPr>
            <w:tcW w:w="0" w:type="auto"/>
          </w:tcPr>
          <w:p w14:paraId="44E9D075"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395D9F">
              <w:rPr>
                <w:rFonts w:ascii="Wingdings" w:eastAsia="Wingdings" w:hAnsi="Wingdings" w:cs="Wingdings"/>
                <w:kern w:val="0"/>
              </w:rPr>
              <w:t>ü</w:t>
            </w:r>
          </w:p>
        </w:tc>
        <w:tc>
          <w:tcPr>
            <w:tcW w:w="0" w:type="auto"/>
          </w:tcPr>
          <w:p w14:paraId="58EEFCFB"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395D9F">
              <w:rPr>
                <w:kern w:val="0"/>
              </w:rPr>
              <w:t>–</w:t>
            </w:r>
          </w:p>
        </w:tc>
      </w:tr>
      <w:tr w:rsidR="006B2E38" w:rsidRPr="00BF52F4" w14:paraId="68373543" w14:textId="77777777" w:rsidTr="00B23FCD">
        <w:trPr>
          <w:trHeight w:val="94"/>
        </w:trPr>
        <w:tc>
          <w:tcPr>
            <w:cnfStyle w:val="001000000000" w:firstRow="0" w:lastRow="0" w:firstColumn="1" w:lastColumn="0" w:oddVBand="0" w:evenVBand="0" w:oddHBand="0" w:evenHBand="0" w:firstRowFirstColumn="0" w:firstRowLastColumn="0" w:lastRowFirstColumn="0" w:lastRowLastColumn="0"/>
            <w:tcW w:w="0" w:type="auto"/>
            <w:vMerge/>
          </w:tcPr>
          <w:p w14:paraId="45128871" w14:textId="77777777" w:rsidR="006B2E38" w:rsidRPr="00DF7059" w:rsidRDefault="006B2E38">
            <w:pPr>
              <w:pStyle w:val="Tabletext0"/>
              <w:rPr>
                <w:b/>
                <w:kern w:val="0"/>
                <w:sz w:val="18"/>
                <w:szCs w:val="18"/>
              </w:rPr>
            </w:pPr>
          </w:p>
        </w:tc>
        <w:tc>
          <w:tcPr>
            <w:tcW w:w="0" w:type="auto"/>
          </w:tcPr>
          <w:p w14:paraId="7309341C" w14:textId="77777777" w:rsidR="006B2E38" w:rsidRPr="00DF7059" w:rsidRDefault="006B2E38">
            <w:pPr>
              <w:pStyle w:val="Tabletext0"/>
              <w:cnfStyle w:val="000000000000" w:firstRow="0" w:lastRow="0" w:firstColumn="0" w:lastColumn="0" w:oddVBand="0" w:evenVBand="0" w:oddHBand="0" w:evenHBand="0" w:firstRowFirstColumn="0" w:firstRowLastColumn="0" w:lastRowFirstColumn="0" w:lastRowLastColumn="0"/>
              <w:rPr>
                <w:kern w:val="0"/>
                <w:sz w:val="18"/>
                <w:szCs w:val="18"/>
              </w:rPr>
            </w:pPr>
            <w:r w:rsidRPr="00DF7059">
              <w:rPr>
                <w:sz w:val="18"/>
                <w:szCs w:val="18"/>
              </w:rPr>
              <w:t>Malignancy</w:t>
            </w:r>
          </w:p>
        </w:tc>
        <w:tc>
          <w:tcPr>
            <w:tcW w:w="0" w:type="auto"/>
          </w:tcPr>
          <w:p w14:paraId="432106F0"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rFonts w:eastAsia="Cambria"/>
                <w:kern w:val="0"/>
              </w:rPr>
            </w:pPr>
            <w:r w:rsidRPr="00395D9F">
              <w:rPr>
                <w:rFonts w:ascii="Wingdings" w:eastAsia="Wingdings" w:hAnsi="Wingdings" w:cs="Wingdings"/>
                <w:kern w:val="0"/>
              </w:rPr>
              <w:t>ü</w:t>
            </w:r>
          </w:p>
        </w:tc>
        <w:tc>
          <w:tcPr>
            <w:tcW w:w="0" w:type="auto"/>
          </w:tcPr>
          <w:p w14:paraId="65140D43"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rFonts w:eastAsia="Cambria"/>
                <w:kern w:val="0"/>
              </w:rPr>
            </w:pPr>
            <w:r w:rsidRPr="00395D9F">
              <w:rPr>
                <w:kern w:val="0"/>
              </w:rPr>
              <w:t>–</w:t>
            </w:r>
          </w:p>
        </w:tc>
        <w:tc>
          <w:tcPr>
            <w:tcW w:w="0" w:type="auto"/>
          </w:tcPr>
          <w:p w14:paraId="4D4DA8A4"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rFonts w:eastAsia="Cambria"/>
                <w:kern w:val="0"/>
              </w:rPr>
            </w:pPr>
          </w:p>
        </w:tc>
        <w:tc>
          <w:tcPr>
            <w:tcW w:w="0" w:type="auto"/>
          </w:tcPr>
          <w:p w14:paraId="374B8B99"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p>
        </w:tc>
      </w:tr>
      <w:tr w:rsidR="006B2E38" w:rsidRPr="00BF52F4" w14:paraId="557AE927" w14:textId="77777777" w:rsidTr="00B23FCD">
        <w:trPr>
          <w:trHeight w:val="187"/>
        </w:trPr>
        <w:tc>
          <w:tcPr>
            <w:cnfStyle w:val="001000000000" w:firstRow="0" w:lastRow="0" w:firstColumn="1" w:lastColumn="0" w:oddVBand="0" w:evenVBand="0" w:oddHBand="0" w:evenHBand="0" w:firstRowFirstColumn="0" w:firstRowLastColumn="0" w:lastRowFirstColumn="0" w:lastRowLastColumn="0"/>
            <w:tcW w:w="0" w:type="auto"/>
            <w:vMerge/>
          </w:tcPr>
          <w:p w14:paraId="29032C86" w14:textId="77777777" w:rsidR="006B2E38" w:rsidRPr="00DF7059" w:rsidRDefault="006B2E38">
            <w:pPr>
              <w:pStyle w:val="Tabletext0"/>
              <w:rPr>
                <w:b/>
                <w:kern w:val="0"/>
                <w:sz w:val="18"/>
                <w:szCs w:val="18"/>
              </w:rPr>
            </w:pPr>
          </w:p>
        </w:tc>
        <w:tc>
          <w:tcPr>
            <w:tcW w:w="0" w:type="auto"/>
          </w:tcPr>
          <w:p w14:paraId="79CFDAB5" w14:textId="77777777" w:rsidR="006B2E38" w:rsidRPr="00DF7059" w:rsidRDefault="006B2E38">
            <w:pPr>
              <w:pStyle w:val="Tabletext0"/>
              <w:cnfStyle w:val="000000000000" w:firstRow="0" w:lastRow="0" w:firstColumn="0" w:lastColumn="0" w:oddVBand="0" w:evenVBand="0" w:oddHBand="0" w:evenHBand="0" w:firstRowFirstColumn="0" w:firstRowLastColumn="0" w:lastRowFirstColumn="0" w:lastRowLastColumn="0"/>
              <w:rPr>
                <w:kern w:val="0"/>
                <w:sz w:val="18"/>
                <w:szCs w:val="18"/>
              </w:rPr>
            </w:pPr>
            <w:r w:rsidRPr="00DF7059">
              <w:rPr>
                <w:sz w:val="18"/>
                <w:szCs w:val="18"/>
              </w:rPr>
              <w:t>Bacillus Calmette-Guérin (BCG) breakthrough infection and agranulocytosis in infants within utero exposure to infliximab</w:t>
            </w:r>
          </w:p>
        </w:tc>
        <w:tc>
          <w:tcPr>
            <w:tcW w:w="0" w:type="auto"/>
          </w:tcPr>
          <w:p w14:paraId="36063D47"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395D9F">
              <w:rPr>
                <w:rFonts w:ascii="Wingdings" w:eastAsia="Wingdings" w:hAnsi="Wingdings" w:cs="Wingdings"/>
                <w:kern w:val="0"/>
              </w:rPr>
              <w:t>ü</w:t>
            </w:r>
          </w:p>
        </w:tc>
        <w:tc>
          <w:tcPr>
            <w:tcW w:w="0" w:type="auto"/>
          </w:tcPr>
          <w:p w14:paraId="28699972"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395D9F">
              <w:rPr>
                <w:kern w:val="0"/>
              </w:rPr>
              <w:t>–</w:t>
            </w:r>
          </w:p>
        </w:tc>
        <w:tc>
          <w:tcPr>
            <w:tcW w:w="0" w:type="auto"/>
          </w:tcPr>
          <w:p w14:paraId="76307D48"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395D9F">
              <w:rPr>
                <w:rFonts w:ascii="Wingdings" w:eastAsia="Wingdings" w:hAnsi="Wingdings" w:cs="Wingdings"/>
                <w:kern w:val="0"/>
              </w:rPr>
              <w:t>ü</w:t>
            </w:r>
          </w:p>
        </w:tc>
        <w:tc>
          <w:tcPr>
            <w:tcW w:w="0" w:type="auto"/>
          </w:tcPr>
          <w:p w14:paraId="3D432F50"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395D9F">
              <w:rPr>
                <w:kern w:val="0"/>
              </w:rPr>
              <w:t>–</w:t>
            </w:r>
          </w:p>
        </w:tc>
      </w:tr>
      <w:tr w:rsidR="006B2E38" w:rsidRPr="00BF52F4" w14:paraId="4F16E520" w14:textId="77777777" w:rsidTr="00B23FCD">
        <w:trPr>
          <w:trHeight w:val="554"/>
        </w:trPr>
        <w:tc>
          <w:tcPr>
            <w:cnfStyle w:val="001000000000" w:firstRow="0" w:lastRow="0" w:firstColumn="1" w:lastColumn="0" w:oddVBand="0" w:evenVBand="0" w:oddHBand="0" w:evenHBand="0" w:firstRowFirstColumn="0" w:firstRowLastColumn="0" w:lastRowFirstColumn="0" w:lastRowLastColumn="0"/>
            <w:tcW w:w="0" w:type="auto"/>
          </w:tcPr>
          <w:p w14:paraId="674F55E2" w14:textId="77777777" w:rsidR="006B2E38" w:rsidRPr="00DF7059" w:rsidRDefault="006B2E38">
            <w:pPr>
              <w:pStyle w:val="Tabletext0"/>
              <w:rPr>
                <w:b/>
                <w:kern w:val="0"/>
                <w:sz w:val="18"/>
                <w:szCs w:val="18"/>
              </w:rPr>
            </w:pPr>
            <w:r w:rsidRPr="00DF7059">
              <w:rPr>
                <w:b/>
                <w:kern w:val="0"/>
                <w:sz w:val="18"/>
                <w:szCs w:val="18"/>
              </w:rPr>
              <w:t>Important potential risks</w:t>
            </w:r>
          </w:p>
        </w:tc>
        <w:tc>
          <w:tcPr>
            <w:tcW w:w="0" w:type="auto"/>
          </w:tcPr>
          <w:p w14:paraId="699E9B56" w14:textId="77777777" w:rsidR="006B2E38" w:rsidRPr="00DF7059" w:rsidRDefault="006B2E38">
            <w:pPr>
              <w:pStyle w:val="Tabletext0"/>
              <w:cnfStyle w:val="000000000000" w:firstRow="0" w:lastRow="0" w:firstColumn="0" w:lastColumn="0" w:oddVBand="0" w:evenVBand="0" w:oddHBand="0" w:evenHBand="0" w:firstRowFirstColumn="0" w:firstRowLastColumn="0" w:lastRowFirstColumn="0" w:lastRowLastColumn="0"/>
              <w:rPr>
                <w:kern w:val="0"/>
                <w:sz w:val="18"/>
                <w:szCs w:val="18"/>
              </w:rPr>
            </w:pPr>
            <w:r w:rsidRPr="00DF7059">
              <w:rPr>
                <w:sz w:val="18"/>
                <w:szCs w:val="18"/>
              </w:rPr>
              <w:t>Colon carcinoma/dysplasia (in paediatric ulcerative colitis)</w:t>
            </w:r>
          </w:p>
        </w:tc>
        <w:tc>
          <w:tcPr>
            <w:tcW w:w="0" w:type="auto"/>
          </w:tcPr>
          <w:p w14:paraId="04BA2317"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395D9F">
              <w:rPr>
                <w:rFonts w:ascii="Wingdings" w:eastAsia="Wingdings" w:hAnsi="Wingdings" w:cs="Wingdings"/>
                <w:kern w:val="0"/>
              </w:rPr>
              <w:t>ü</w:t>
            </w:r>
          </w:p>
        </w:tc>
        <w:tc>
          <w:tcPr>
            <w:tcW w:w="0" w:type="auto"/>
          </w:tcPr>
          <w:p w14:paraId="73E0CB98"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395D9F">
              <w:rPr>
                <w:kern w:val="0"/>
              </w:rPr>
              <w:t>–</w:t>
            </w:r>
          </w:p>
        </w:tc>
        <w:tc>
          <w:tcPr>
            <w:tcW w:w="0" w:type="auto"/>
          </w:tcPr>
          <w:p w14:paraId="11EF86CD"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395D9F">
              <w:rPr>
                <w:rFonts w:ascii="Wingdings" w:eastAsia="Wingdings" w:hAnsi="Wingdings" w:cs="Wingdings"/>
                <w:kern w:val="0"/>
              </w:rPr>
              <w:t>ü</w:t>
            </w:r>
          </w:p>
        </w:tc>
        <w:tc>
          <w:tcPr>
            <w:tcW w:w="0" w:type="auto"/>
          </w:tcPr>
          <w:p w14:paraId="2D130E43"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395D9F">
              <w:rPr>
                <w:kern w:val="0"/>
              </w:rPr>
              <w:t>–</w:t>
            </w:r>
          </w:p>
        </w:tc>
      </w:tr>
      <w:tr w:rsidR="006B2E38" w:rsidRPr="00BF52F4" w14:paraId="7ED215C9" w14:textId="77777777" w:rsidTr="00B23FCD">
        <w:trPr>
          <w:trHeight w:val="451"/>
        </w:trPr>
        <w:tc>
          <w:tcPr>
            <w:cnfStyle w:val="001000000000" w:firstRow="0" w:lastRow="0" w:firstColumn="1" w:lastColumn="0" w:oddVBand="0" w:evenVBand="0" w:oddHBand="0" w:evenHBand="0" w:firstRowFirstColumn="0" w:firstRowLastColumn="0" w:lastRowFirstColumn="0" w:lastRowLastColumn="0"/>
            <w:tcW w:w="0" w:type="auto"/>
          </w:tcPr>
          <w:p w14:paraId="3C60CCB9" w14:textId="77777777" w:rsidR="006B2E38" w:rsidRPr="00DF7059" w:rsidRDefault="006B2E38">
            <w:pPr>
              <w:pStyle w:val="Tabletext0"/>
              <w:rPr>
                <w:b/>
                <w:kern w:val="0"/>
                <w:sz w:val="18"/>
                <w:szCs w:val="18"/>
              </w:rPr>
            </w:pPr>
            <w:r w:rsidRPr="00DF7059">
              <w:rPr>
                <w:b/>
                <w:kern w:val="0"/>
                <w:sz w:val="18"/>
                <w:szCs w:val="18"/>
              </w:rPr>
              <w:lastRenderedPageBreak/>
              <w:t>Missing information</w:t>
            </w:r>
          </w:p>
        </w:tc>
        <w:tc>
          <w:tcPr>
            <w:tcW w:w="0" w:type="auto"/>
          </w:tcPr>
          <w:p w14:paraId="689AB5B6" w14:textId="77777777" w:rsidR="006B2E38" w:rsidRPr="00DF7059"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DF7059">
              <w:rPr>
                <w:kern w:val="0"/>
                <w:sz w:val="18"/>
                <w:szCs w:val="18"/>
              </w:rPr>
              <w:t>None</w:t>
            </w:r>
          </w:p>
        </w:tc>
        <w:tc>
          <w:tcPr>
            <w:tcW w:w="0" w:type="auto"/>
          </w:tcPr>
          <w:p w14:paraId="123A0586"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395D9F">
              <w:rPr>
                <w:kern w:val="0"/>
              </w:rPr>
              <w:t>–</w:t>
            </w:r>
          </w:p>
        </w:tc>
        <w:tc>
          <w:tcPr>
            <w:tcW w:w="0" w:type="auto"/>
          </w:tcPr>
          <w:p w14:paraId="56F2A990"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395D9F">
              <w:rPr>
                <w:kern w:val="0"/>
              </w:rPr>
              <w:t>–</w:t>
            </w:r>
          </w:p>
        </w:tc>
        <w:tc>
          <w:tcPr>
            <w:tcW w:w="0" w:type="auto"/>
          </w:tcPr>
          <w:p w14:paraId="365FE8E2"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395D9F">
              <w:rPr>
                <w:kern w:val="0"/>
              </w:rPr>
              <w:t>–</w:t>
            </w:r>
          </w:p>
        </w:tc>
        <w:tc>
          <w:tcPr>
            <w:tcW w:w="0" w:type="auto"/>
          </w:tcPr>
          <w:p w14:paraId="1875EB57" w14:textId="77777777" w:rsidR="006B2E38" w:rsidRPr="00395D9F" w:rsidRDefault="006B2E38">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395D9F">
              <w:rPr>
                <w:kern w:val="0"/>
              </w:rPr>
              <w:t>–</w:t>
            </w:r>
          </w:p>
        </w:tc>
      </w:tr>
    </w:tbl>
    <w:p w14:paraId="35185BB2" w14:textId="77777777" w:rsidR="006B2E38" w:rsidRPr="00784EC1" w:rsidRDefault="006B2E38" w:rsidP="001C6B41">
      <w:pPr>
        <w:spacing w:before="240"/>
      </w:pPr>
      <w:r w:rsidRPr="00784EC1">
        <w:t>The summary of safety concerns aligns with the innovator and is considered acceptable.</w:t>
      </w:r>
    </w:p>
    <w:p w14:paraId="02829EB9" w14:textId="28219A35" w:rsidR="006B2E38" w:rsidRPr="00784EC1" w:rsidRDefault="006B2E38" w:rsidP="00784EC1">
      <w:r w:rsidRPr="00784EC1">
        <w:t>The sponsor has proposed routine pharmacovigilance activities for all safety concerns. The pharmacovigilance plan aligns with the innovator and is acceptable from an RMP perspective.</w:t>
      </w:r>
    </w:p>
    <w:p w14:paraId="680FD7A0" w14:textId="3B395CE8" w:rsidR="006B2E38" w:rsidRPr="00784EC1" w:rsidRDefault="006B2E38" w:rsidP="00784EC1">
      <w:r w:rsidRPr="00784EC1">
        <w:t>The sponsor has proposed routine risk minimisation activities for all safety concerns. The risk minimisation plan aligns with the innovator and is acceptable from an RMP perspective.</w:t>
      </w:r>
    </w:p>
    <w:p w14:paraId="42D00CB7" w14:textId="0C8D89B7" w:rsidR="006B2E38" w:rsidRPr="00784EC1" w:rsidRDefault="008B6557" w:rsidP="00784EC1">
      <w:r w:rsidRPr="00784EC1">
        <w:t>T</w:t>
      </w:r>
      <w:r w:rsidR="006B2E38" w:rsidRPr="00784EC1">
        <w:t>he sponsor</w:t>
      </w:r>
      <w:r w:rsidRPr="00784EC1">
        <w:t xml:space="preserve"> </w:t>
      </w:r>
      <w:r w:rsidR="006B2E38" w:rsidRPr="00784EC1">
        <w:t>amended the CMI as requeste</w:t>
      </w:r>
      <w:r w:rsidRPr="00784EC1">
        <w:t>d</w:t>
      </w:r>
      <w:r w:rsidR="006B2E38" w:rsidRPr="00784EC1">
        <w:t>. The sponsor</w:t>
      </w:r>
      <w:r w:rsidRPr="00784EC1">
        <w:t xml:space="preserve"> </w:t>
      </w:r>
      <w:r w:rsidR="006B2E38" w:rsidRPr="00784EC1">
        <w:t>also clarified that the package insert provided inside the medicine carton is an ‘Instruction of Use’ document.</w:t>
      </w:r>
    </w:p>
    <w:p w14:paraId="456C7934" w14:textId="570664F9" w:rsidR="00FA1BC9" w:rsidRDefault="00032A0F" w:rsidP="00DC6504">
      <w:pPr>
        <w:rPr>
          <w:szCs w:val="22"/>
        </w:rPr>
      </w:pPr>
      <w:r>
        <w:t>The RMP evaluation recommended conditions of registration relating to the versions of the risk management plan</w:t>
      </w:r>
      <w:bookmarkStart w:id="70" w:name="_Toc103679299"/>
      <w:r w:rsidR="00DC6504">
        <w:t>.</w:t>
      </w:r>
    </w:p>
    <w:p w14:paraId="74A4F87F" w14:textId="77777777" w:rsidR="00C22214" w:rsidRDefault="00C22214" w:rsidP="001C6B41">
      <w:pPr>
        <w:pStyle w:val="Heading3"/>
      </w:pPr>
      <w:bookmarkStart w:id="71" w:name="_Toc225166231"/>
      <w:r>
        <w:t xml:space="preserve">Risk-benefit </w:t>
      </w:r>
      <w:r w:rsidRPr="001C6B41">
        <w:t>analysis</w:t>
      </w:r>
      <w:bookmarkEnd w:id="67"/>
      <w:bookmarkEnd w:id="68"/>
      <w:bookmarkEnd w:id="70"/>
      <w:bookmarkEnd w:id="71"/>
    </w:p>
    <w:p w14:paraId="77DE2655" w14:textId="77777777" w:rsidR="00C22214" w:rsidRDefault="00C22214" w:rsidP="00C22214">
      <w:pPr>
        <w:pStyle w:val="Heading4"/>
      </w:pPr>
      <w:bookmarkStart w:id="72" w:name="_Toc98931932"/>
      <w:bookmarkStart w:id="73" w:name="_Toc225166232"/>
      <w:r>
        <w:t>Delegate’s considerations</w:t>
      </w:r>
      <w:bookmarkEnd w:id="72"/>
      <w:bookmarkEnd w:id="73"/>
    </w:p>
    <w:p w14:paraId="0ECD79D2" w14:textId="77777777" w:rsidR="00D55C5E" w:rsidRPr="00D55C5E" w:rsidRDefault="00D55C5E" w:rsidP="001C6B41">
      <w:pPr>
        <w:pStyle w:val="Heading5"/>
      </w:pPr>
      <w:r w:rsidRPr="00D55C5E">
        <w:t xml:space="preserve">Proposed </w:t>
      </w:r>
      <w:r w:rsidRPr="001C6B41">
        <w:t>indications</w:t>
      </w:r>
    </w:p>
    <w:p w14:paraId="7BC73870" w14:textId="19AFB919" w:rsidR="00D55C5E" w:rsidRPr="00D55C5E" w:rsidRDefault="00D55C5E" w:rsidP="001C6B41">
      <w:r w:rsidRPr="00D55C5E">
        <w:t>The proposed indications for I</w:t>
      </w:r>
      <w:r w:rsidR="00B405CC">
        <w:t>xifi</w:t>
      </w:r>
      <w:r w:rsidRPr="00D55C5E">
        <w:t xml:space="preserve"> are the same as those for R</w:t>
      </w:r>
      <w:r w:rsidR="00B405CC">
        <w:t>emicade</w:t>
      </w:r>
      <w:r w:rsidRPr="00D55C5E">
        <w:t>. This is appropriate for a biosimilar. The sponsor has justified extrapolation across the indications, primarily based on the structural and functional similarity between I</w:t>
      </w:r>
      <w:r w:rsidR="00456D15">
        <w:t>xifi</w:t>
      </w:r>
      <w:r w:rsidRPr="00D55C5E">
        <w:t xml:space="preserve"> to R</w:t>
      </w:r>
      <w:r w:rsidR="00456D15">
        <w:t>emicade</w:t>
      </w:r>
      <w:r w:rsidRPr="00D55C5E">
        <w:t>. The sponsor also justified the extrapolation to paediatric patients (Crohn’s disease and ulcerative colitis) on the basis that the pharmacokinetics of I</w:t>
      </w:r>
      <w:r w:rsidR="00456D15">
        <w:t>xifi</w:t>
      </w:r>
      <w:r w:rsidRPr="00D55C5E">
        <w:t xml:space="preserve"> and R</w:t>
      </w:r>
      <w:r w:rsidR="00456D15">
        <w:t>emicade</w:t>
      </w:r>
      <w:r w:rsidRPr="00D55C5E">
        <w:t xml:space="preserve"> are similar, and that the efficacy in rheumatoid arthritis and paediatric Crohn’s disease and paediatric ulcerative colitis are similar due to shared mechanism of action. These justifications are acceptable.</w:t>
      </w:r>
    </w:p>
    <w:p w14:paraId="24CD2803" w14:textId="00EAC7FE" w:rsidR="00D55C5E" w:rsidRPr="00D55C5E" w:rsidRDefault="00D55C5E" w:rsidP="001C6B41">
      <w:pPr>
        <w:pStyle w:val="Heading5"/>
      </w:pPr>
      <w:r w:rsidRPr="00D55C5E">
        <w:t>P</w:t>
      </w:r>
      <w:r w:rsidR="0089678B">
        <w:t>harmacokinetic</w:t>
      </w:r>
      <w:r w:rsidRPr="00D55C5E">
        <w:t xml:space="preserve"> </w:t>
      </w:r>
      <w:r w:rsidRPr="001C6B41">
        <w:t>equivalence</w:t>
      </w:r>
    </w:p>
    <w:p w14:paraId="6D84B05D" w14:textId="43AA6146" w:rsidR="00D55C5E" w:rsidRPr="0089678B" w:rsidRDefault="00D55C5E" w:rsidP="001C6B41">
      <w:r w:rsidRPr="0089678B">
        <w:t>Equivalence of I</w:t>
      </w:r>
      <w:r w:rsidR="0089678B">
        <w:t>xifi</w:t>
      </w:r>
      <w:r w:rsidRPr="0089678B">
        <w:t xml:space="preserve"> to R</w:t>
      </w:r>
      <w:r w:rsidR="0089678B">
        <w:t>emicade</w:t>
      </w:r>
      <w:r w:rsidRPr="0089678B">
        <w:t xml:space="preserve"> (US and EU products) was demonstrated in the </w:t>
      </w:r>
      <w:r w:rsidR="00C87F7C">
        <w:t>P</w:t>
      </w:r>
      <w:r w:rsidRPr="0089678B">
        <w:t xml:space="preserve">hase </w:t>
      </w:r>
      <w:r w:rsidR="00C87F7C">
        <w:t>I</w:t>
      </w:r>
      <w:r w:rsidRPr="0089678B">
        <w:t xml:space="preserve"> </w:t>
      </w:r>
      <w:r w:rsidR="00C87F7C">
        <w:t>S</w:t>
      </w:r>
      <w:r w:rsidRPr="0089678B">
        <w:t>tudy</w:t>
      </w:r>
      <w:r w:rsidR="005A7106">
        <w:t> </w:t>
      </w:r>
      <w:r w:rsidRPr="0089678B">
        <w:t>B5371001. The 90% confidence interval of the geometric mean ratios of the primary PK parameters (AUC</w:t>
      </w:r>
      <w:r w:rsidR="00C356E4" w:rsidRPr="00C356E4">
        <w:rPr>
          <w:vertAlign w:val="subscript"/>
        </w:rPr>
        <w:t>0-</w:t>
      </w:r>
      <w:r w:rsidRPr="00C356E4">
        <w:rPr>
          <w:vertAlign w:val="subscript"/>
        </w:rPr>
        <w:t xml:space="preserve">inf </w:t>
      </w:r>
      <w:r w:rsidRPr="0089678B">
        <w:t>and C</w:t>
      </w:r>
      <w:r w:rsidRPr="005A7106">
        <w:rPr>
          <w:vertAlign w:val="subscript"/>
        </w:rPr>
        <w:t>max</w:t>
      </w:r>
      <w:r w:rsidRPr="0089678B">
        <w:t>) were within the prespecified acceptance intervals (80.00%</w:t>
      </w:r>
      <w:r w:rsidR="005A7106">
        <w:t xml:space="preserve"> to </w:t>
      </w:r>
      <w:r w:rsidRPr="0089678B">
        <w:t>125.00%).</w:t>
      </w:r>
    </w:p>
    <w:p w14:paraId="166EBF3F" w14:textId="4088296A" w:rsidR="00D55C5E" w:rsidRPr="0089678B" w:rsidRDefault="00D55C5E" w:rsidP="001C6B41">
      <w:r w:rsidRPr="0089678B">
        <w:t xml:space="preserve">The PK obtained from the </w:t>
      </w:r>
      <w:r w:rsidR="005A7106">
        <w:t>P</w:t>
      </w:r>
      <w:r w:rsidRPr="0089678B">
        <w:t xml:space="preserve">hase </w:t>
      </w:r>
      <w:r w:rsidR="005A7106">
        <w:t>III</w:t>
      </w:r>
      <w:r w:rsidRPr="0089678B">
        <w:t xml:space="preserve"> comparative clinical </w:t>
      </w:r>
      <w:r w:rsidR="005A7106">
        <w:t>S</w:t>
      </w:r>
      <w:r w:rsidRPr="0089678B">
        <w:t>tudy B5371002 also demonstrated similar PK of I</w:t>
      </w:r>
      <w:r w:rsidR="005A7106">
        <w:t>xifi</w:t>
      </w:r>
      <w:r w:rsidRPr="0089678B">
        <w:t xml:space="preserve"> and R</w:t>
      </w:r>
      <w:r w:rsidR="005A7106">
        <w:t>emicade</w:t>
      </w:r>
      <w:r w:rsidRPr="0089678B">
        <w:t>-EU.</w:t>
      </w:r>
    </w:p>
    <w:p w14:paraId="31AB9740" w14:textId="77777777" w:rsidR="00D55C5E" w:rsidRPr="00D55C5E" w:rsidRDefault="00D55C5E" w:rsidP="001C6B41">
      <w:pPr>
        <w:pStyle w:val="Heading5"/>
      </w:pPr>
      <w:r w:rsidRPr="001C6B41">
        <w:t>Efficacy</w:t>
      </w:r>
    </w:p>
    <w:p w14:paraId="1ED6310B" w14:textId="7DC19D65" w:rsidR="00D55C5E" w:rsidRPr="005A7106" w:rsidRDefault="00D55C5E" w:rsidP="005A7106">
      <w:r w:rsidRPr="005A7106">
        <w:t>The efficacy of I</w:t>
      </w:r>
      <w:r w:rsidR="003602B8">
        <w:t>xifi</w:t>
      </w:r>
      <w:r w:rsidRPr="005A7106">
        <w:t xml:space="preserve"> in treating adults with moderate to severely active rheumatoid arthritis who were receiving a stable dose of methotrexate is demonstrated in </w:t>
      </w:r>
      <w:r w:rsidR="003602B8">
        <w:t>S</w:t>
      </w:r>
      <w:r w:rsidRPr="005A7106">
        <w:t xml:space="preserve">tudy B5371002. The study was of appropriate size and </w:t>
      </w:r>
      <w:r w:rsidR="003602B8" w:rsidRPr="005A7106">
        <w:t>duration,</w:t>
      </w:r>
      <w:r w:rsidRPr="005A7106">
        <w:t xml:space="preserve"> and the endpoints were acceptable and supported by the EU guideline. Therapeutic equivalence was demonstrated based on two different pre-specified equivalence margins, which were specified by the EMA and US FDA, respectively.</w:t>
      </w:r>
    </w:p>
    <w:p w14:paraId="1A242EB7" w14:textId="34354FEA" w:rsidR="00D55C5E" w:rsidRPr="005A7106" w:rsidRDefault="00D55C5E" w:rsidP="001C6B41">
      <w:r w:rsidRPr="005A7106">
        <w:t xml:space="preserve">The proposed rheumatoid arthritis indication refers to patients who have active disease despite treatment with methotrexate and to patients with active disease who have not previously received methotrexate. This was an appropriate choice for the single </w:t>
      </w:r>
      <w:r w:rsidR="00F1698D">
        <w:t>P</w:t>
      </w:r>
      <w:r w:rsidRPr="005A7106">
        <w:t xml:space="preserve">hase </w:t>
      </w:r>
      <w:r w:rsidR="00F1698D">
        <w:t>III</w:t>
      </w:r>
      <w:r w:rsidRPr="005A7106">
        <w:t xml:space="preserve"> study due to the expected robust treatment effect (</w:t>
      </w:r>
      <w:r w:rsidR="00F1698D">
        <w:t xml:space="preserve">that is, </w:t>
      </w:r>
      <w:r w:rsidRPr="005A7106">
        <w:t xml:space="preserve">better sensitivity to detect any difference) and fewer </w:t>
      </w:r>
      <w:r w:rsidRPr="005A7106">
        <w:lastRenderedPageBreak/>
        <w:t xml:space="preserve">patient comorbidities and concomitant immunosuppressant use. The study was designed according to EMA guidelines and adopted after consultation with the EMA and FDA. The selected efficacy endpoints are accepted validated measures that have been used in previous </w:t>
      </w:r>
      <w:r w:rsidR="00E12B31">
        <w:t xml:space="preserve">rheumatoid arthritis </w:t>
      </w:r>
      <w:r w:rsidRPr="005A7106">
        <w:t>studies and are consistent with the EU guideline. Overall, I</w:t>
      </w:r>
      <w:r w:rsidR="00E12B31">
        <w:t>xifi</w:t>
      </w:r>
      <w:r w:rsidRPr="005A7106">
        <w:t xml:space="preserve"> demonstrated comparable efficacy to EU R</w:t>
      </w:r>
      <w:r w:rsidR="00E12B31">
        <w:t>emicade</w:t>
      </w:r>
      <w:r w:rsidRPr="005A7106">
        <w:t xml:space="preserve"> for adult patients with rheumatoid arthritis.</w:t>
      </w:r>
    </w:p>
    <w:p w14:paraId="7920F366" w14:textId="4DAE92DC" w:rsidR="00D55C5E" w:rsidRPr="005A7106" w:rsidRDefault="00D55C5E" w:rsidP="001C6B41">
      <w:r w:rsidRPr="005A7106">
        <w:t>I</w:t>
      </w:r>
      <w:r w:rsidR="00E12B31">
        <w:t>xifi</w:t>
      </w:r>
      <w:r w:rsidRPr="005A7106">
        <w:t xml:space="preserve"> demonstrated equivalence to R</w:t>
      </w:r>
      <w:r w:rsidR="00E12B31">
        <w:t>emicade</w:t>
      </w:r>
      <w:r w:rsidRPr="005A7106">
        <w:t xml:space="preserve"> for the primary endpoint and was supported by several secondary endpoints, consistent with the EU guideline on rheumatoid arthritis. The pre</w:t>
      </w:r>
      <w:r w:rsidR="00046C13">
        <w:noBreakHyphen/>
      </w:r>
      <w:r w:rsidRPr="005A7106">
        <w:t>specified equivalence margins of ±</w:t>
      </w:r>
      <w:r w:rsidR="00046C13">
        <w:t> </w:t>
      </w:r>
      <w:r w:rsidRPr="005A7106">
        <w:t>13.5% for the symmetric equivalence margin criterion, and asymmetric equivalence margins of -12%, 15%, are considered clinically acceptable for the purpose of confirming equivalence of the proposed infliximab product with R</w:t>
      </w:r>
      <w:r w:rsidR="00DB556F">
        <w:t>emicade</w:t>
      </w:r>
      <w:r w:rsidRPr="005A7106">
        <w:t>. The equivalence margins of ±</w:t>
      </w:r>
      <w:r w:rsidR="00DB556F">
        <w:t> </w:t>
      </w:r>
      <w:r w:rsidRPr="005A7106">
        <w:t>13.5% was reported to be the equivalence margin accepted by the EMA and the asymmetric equivalence margin criterion of -12%, 15% was reported to be the equivalence margin agreed on with the US FDA.</w:t>
      </w:r>
    </w:p>
    <w:p w14:paraId="6375FA57" w14:textId="77777777" w:rsidR="00D55C5E" w:rsidRPr="00D55C5E" w:rsidRDefault="00D55C5E" w:rsidP="00DB556F">
      <w:pPr>
        <w:pStyle w:val="Heading5"/>
      </w:pPr>
      <w:r w:rsidRPr="00D55C5E">
        <w:t>Safety</w:t>
      </w:r>
    </w:p>
    <w:p w14:paraId="4011D0F2" w14:textId="28B7CAA6" w:rsidR="00D55C5E" w:rsidRPr="003E67E8" w:rsidRDefault="00D55C5E" w:rsidP="003E67E8">
      <w:r w:rsidRPr="003E67E8">
        <w:t>The safety data were comparable between I</w:t>
      </w:r>
      <w:r w:rsidR="003E67E8">
        <w:t>xifi</w:t>
      </w:r>
      <w:r w:rsidRPr="003E67E8">
        <w:t xml:space="preserve"> and R</w:t>
      </w:r>
      <w:r w:rsidR="003E67E8">
        <w:t>emicade</w:t>
      </w:r>
      <w:r w:rsidRPr="003E67E8">
        <w:t xml:space="preserve">. This includes no signal for differences in the most concerning adverse events such as infusion-related reactions, hypersensitivity, malignancy, serious and opportunistic infection and tuberculosis. There was a similar incidence of ADAs, and switching from the reference infliximab product to the proposed infliximab product did not suggest potential safety issues with switching. There are </w:t>
      </w:r>
      <w:proofErr w:type="gramStart"/>
      <w:r w:rsidRPr="003E67E8">
        <w:t>a number of</w:t>
      </w:r>
      <w:proofErr w:type="gramEnd"/>
      <w:r w:rsidRPr="003E67E8">
        <w:t xml:space="preserve"> infliximab products that are on the Australian Register of Therapeutic Goods. The safety profile of infliximab has already been established in each of the proposed indications and at the dosages proposed for I</w:t>
      </w:r>
      <w:r w:rsidR="004C6D6C">
        <w:t>xifi</w:t>
      </w:r>
      <w:r w:rsidRPr="003E67E8">
        <w:t>.</w:t>
      </w:r>
    </w:p>
    <w:p w14:paraId="69D8E26C" w14:textId="77777777" w:rsidR="00D55C5E" w:rsidRPr="00D55C5E" w:rsidRDefault="00D55C5E" w:rsidP="001C6B41">
      <w:pPr>
        <w:pStyle w:val="Heading5"/>
      </w:pPr>
      <w:r w:rsidRPr="00D55C5E">
        <w:t>Risk-benefit-uncertainty assessment</w:t>
      </w:r>
    </w:p>
    <w:p w14:paraId="40733C40" w14:textId="26A6A1B7" w:rsidR="00D55C5E" w:rsidRPr="00D55C5E" w:rsidRDefault="00D55C5E" w:rsidP="001C6B41">
      <w:r w:rsidRPr="00D55C5E">
        <w:t>The risk-benefit assessment is generally supportive of I</w:t>
      </w:r>
      <w:r w:rsidR="004C6D6C">
        <w:t>xifi</w:t>
      </w:r>
      <w:r w:rsidRPr="00D55C5E">
        <w:t xml:space="preserve"> as a R</w:t>
      </w:r>
      <w:r w:rsidR="004C6D6C">
        <w:t>emicade</w:t>
      </w:r>
      <w:r w:rsidRPr="00D55C5E">
        <w:t xml:space="preserve"> biosimilar.</w:t>
      </w:r>
    </w:p>
    <w:p w14:paraId="3916F296" w14:textId="77777777" w:rsidR="00C22214" w:rsidRDefault="00C22214" w:rsidP="00C22214">
      <w:pPr>
        <w:pStyle w:val="Heading4"/>
      </w:pPr>
      <w:bookmarkStart w:id="74" w:name="_Toc98931933"/>
      <w:bookmarkStart w:id="75" w:name="_Toc225166233"/>
      <w:r w:rsidRPr="00D23139">
        <w:t>Proposed action</w:t>
      </w:r>
      <w:bookmarkEnd w:id="74"/>
      <w:bookmarkEnd w:id="75"/>
    </w:p>
    <w:p w14:paraId="406541C7" w14:textId="48D3BA38" w:rsidR="00C22214" w:rsidRPr="00456765" w:rsidRDefault="00B85499" w:rsidP="00B85499">
      <w:r w:rsidRPr="00B85499">
        <w:t>Overall adequate evidence has been presented to support I</w:t>
      </w:r>
      <w:r w:rsidR="00A175C7">
        <w:t>xifi</w:t>
      </w:r>
      <w:r w:rsidRPr="00B85499">
        <w:t xml:space="preserve"> as a R</w:t>
      </w:r>
      <w:r w:rsidR="00A175C7">
        <w:t>emicade</w:t>
      </w:r>
      <w:r w:rsidRPr="00B85499">
        <w:t xml:space="preserve"> biosimilar for all indications.</w:t>
      </w:r>
    </w:p>
    <w:p w14:paraId="307F236C" w14:textId="7FD19BD3" w:rsidR="00C22214" w:rsidRPr="002E238E" w:rsidRDefault="0046285C" w:rsidP="001C6B41">
      <w:pPr>
        <w:pStyle w:val="Heading2"/>
      </w:pPr>
      <w:bookmarkStart w:id="76" w:name="_Toc247691532"/>
      <w:bookmarkStart w:id="77" w:name="_Toc314842516"/>
      <w:bookmarkStart w:id="78" w:name="_Toc103679300"/>
      <w:bookmarkStart w:id="79" w:name="_Toc225166234"/>
      <w:r w:rsidRPr="001C6B41">
        <w:t>Assessment</w:t>
      </w:r>
      <w:r w:rsidR="00190853">
        <w:t xml:space="preserve"> </w:t>
      </w:r>
      <w:r>
        <w:t>o</w:t>
      </w:r>
      <w:r w:rsidR="00C22214">
        <w:t>utcome</w:t>
      </w:r>
      <w:bookmarkEnd w:id="76"/>
      <w:bookmarkEnd w:id="77"/>
      <w:bookmarkEnd w:id="78"/>
      <w:bookmarkEnd w:id="79"/>
    </w:p>
    <w:p w14:paraId="4EF22939" w14:textId="4C2A2A15" w:rsidR="00C22214" w:rsidRDefault="00C22214" w:rsidP="0006104E">
      <w:r w:rsidRPr="0017005C">
        <w:t xml:space="preserve">Based on a review of quality, safety, and efficacy, the TGA </w:t>
      </w:r>
      <w:r w:rsidR="00B46DFB">
        <w:t>decided to</w:t>
      </w:r>
      <w:r w:rsidRPr="0017005C">
        <w:t xml:space="preserve"> regist</w:t>
      </w:r>
      <w:r w:rsidR="00B46DFB">
        <w:t>er</w:t>
      </w:r>
      <w:r w:rsidR="00CA7C62">
        <w:t xml:space="preserve"> Ixifi (infliximab) 100 mg, powder for injection, vial</w:t>
      </w:r>
      <w:r w:rsidRPr="0017005C">
        <w:t>, indicated for:</w:t>
      </w:r>
    </w:p>
    <w:p w14:paraId="111A26EB" w14:textId="77777777" w:rsidR="00476F2A" w:rsidRPr="00476F2A" w:rsidRDefault="00476F2A" w:rsidP="00476F2A">
      <w:pPr>
        <w:ind w:left="720"/>
        <w:rPr>
          <w:b/>
          <w:bCs/>
          <w:i/>
          <w:iCs/>
          <w:szCs w:val="22"/>
        </w:rPr>
      </w:pPr>
      <w:r w:rsidRPr="00476F2A">
        <w:rPr>
          <w:b/>
          <w:bCs/>
          <w:i/>
          <w:iCs/>
          <w:szCs w:val="22"/>
        </w:rPr>
        <w:t>Rheumatoid Arthritis in adults</w:t>
      </w:r>
    </w:p>
    <w:p w14:paraId="3353B15B" w14:textId="77777777" w:rsidR="00476F2A" w:rsidRPr="00476F2A" w:rsidRDefault="00476F2A" w:rsidP="00476F2A">
      <w:pPr>
        <w:ind w:left="720"/>
        <w:rPr>
          <w:i/>
          <w:iCs/>
          <w:szCs w:val="22"/>
        </w:rPr>
      </w:pPr>
      <w:r w:rsidRPr="00476F2A">
        <w:rPr>
          <w:i/>
          <w:iCs/>
          <w:szCs w:val="22"/>
        </w:rPr>
        <w:t>Ixifi, in combination with methotrexate, is indicated for the reduction of signs and symptoms and prevention of structural joint damage (erosions and joint space narrowing) in:</w:t>
      </w:r>
    </w:p>
    <w:p w14:paraId="2CC7BB70" w14:textId="77777777" w:rsidR="00476F2A" w:rsidRPr="00476F2A" w:rsidRDefault="00476F2A" w:rsidP="00476F2A">
      <w:pPr>
        <w:pStyle w:val="ListBullet"/>
        <w:ind w:left="1080"/>
        <w:rPr>
          <w:i/>
          <w:iCs/>
        </w:rPr>
      </w:pPr>
      <w:r w:rsidRPr="00476F2A">
        <w:rPr>
          <w:i/>
          <w:iCs/>
        </w:rPr>
        <w:t>patients with active disease despite treatment with methotrexate.</w:t>
      </w:r>
    </w:p>
    <w:p w14:paraId="056E8731" w14:textId="77777777" w:rsidR="00476F2A" w:rsidRPr="00476F2A" w:rsidRDefault="00476F2A" w:rsidP="00476F2A">
      <w:pPr>
        <w:pStyle w:val="ListBullet"/>
        <w:ind w:left="1080"/>
        <w:rPr>
          <w:i/>
          <w:iCs/>
        </w:rPr>
      </w:pPr>
      <w:r w:rsidRPr="00476F2A">
        <w:rPr>
          <w:i/>
          <w:iCs/>
        </w:rPr>
        <w:t>patients with active disease who have not previously received methotrexate.</w:t>
      </w:r>
    </w:p>
    <w:p w14:paraId="7C450B8F" w14:textId="77777777" w:rsidR="00476F2A" w:rsidRPr="00476F2A" w:rsidRDefault="00476F2A" w:rsidP="00476F2A">
      <w:pPr>
        <w:ind w:left="720"/>
        <w:rPr>
          <w:i/>
          <w:iCs/>
          <w:szCs w:val="22"/>
        </w:rPr>
      </w:pPr>
      <w:r w:rsidRPr="00476F2A">
        <w:rPr>
          <w:i/>
          <w:iCs/>
          <w:szCs w:val="22"/>
        </w:rPr>
        <w:t>Ixifi should be given in combination with methotrexate. Efficacy and safety in Rheumatoid Arthritis have been demonstrated only in combination with methotrexate.</w:t>
      </w:r>
    </w:p>
    <w:p w14:paraId="7FD965F4" w14:textId="77777777" w:rsidR="00476F2A" w:rsidRPr="00476F2A" w:rsidRDefault="00476F2A" w:rsidP="00476F2A">
      <w:pPr>
        <w:ind w:left="720"/>
        <w:rPr>
          <w:b/>
          <w:bCs/>
          <w:i/>
          <w:iCs/>
          <w:szCs w:val="22"/>
        </w:rPr>
      </w:pPr>
      <w:r w:rsidRPr="00476F2A">
        <w:rPr>
          <w:b/>
          <w:bCs/>
          <w:i/>
          <w:iCs/>
          <w:szCs w:val="22"/>
        </w:rPr>
        <w:t>Ankylosing Spondylitis</w:t>
      </w:r>
    </w:p>
    <w:p w14:paraId="52294F54" w14:textId="77777777" w:rsidR="00476F2A" w:rsidRPr="00476F2A" w:rsidRDefault="00476F2A" w:rsidP="00476F2A">
      <w:pPr>
        <w:ind w:left="720"/>
        <w:rPr>
          <w:i/>
          <w:iCs/>
          <w:szCs w:val="22"/>
        </w:rPr>
      </w:pPr>
      <w:r w:rsidRPr="00476F2A">
        <w:rPr>
          <w:i/>
          <w:iCs/>
          <w:szCs w:val="22"/>
        </w:rPr>
        <w:lastRenderedPageBreak/>
        <w:t>Ixifi is indicated for the reduction of signs and symptoms and improvement in physical function in patients with active disease.</w:t>
      </w:r>
    </w:p>
    <w:p w14:paraId="15D535F1" w14:textId="77777777" w:rsidR="00476F2A" w:rsidRPr="00476F2A" w:rsidRDefault="00476F2A" w:rsidP="00476F2A">
      <w:pPr>
        <w:ind w:left="720"/>
        <w:rPr>
          <w:b/>
          <w:bCs/>
          <w:i/>
          <w:iCs/>
          <w:szCs w:val="22"/>
        </w:rPr>
      </w:pPr>
      <w:r w:rsidRPr="00476F2A">
        <w:rPr>
          <w:b/>
          <w:bCs/>
          <w:i/>
          <w:iCs/>
          <w:szCs w:val="22"/>
        </w:rPr>
        <w:t>Psoriatic arthritis</w:t>
      </w:r>
    </w:p>
    <w:p w14:paraId="2F830BA9" w14:textId="77777777" w:rsidR="00476F2A" w:rsidRPr="00476F2A" w:rsidRDefault="00476F2A" w:rsidP="00476F2A">
      <w:pPr>
        <w:ind w:left="720"/>
        <w:rPr>
          <w:i/>
          <w:iCs/>
          <w:szCs w:val="22"/>
        </w:rPr>
      </w:pPr>
      <w:r w:rsidRPr="00476F2A">
        <w:rPr>
          <w:i/>
          <w:iCs/>
          <w:szCs w:val="22"/>
        </w:rPr>
        <w:t>Ixifi is indicated for the treatment of the signs and symptoms, as well as for the improvement in physical function in adult patients with active and progressive psoriatic arthritis who have responded inadequately to disease-modifying anti</w:t>
      </w:r>
      <w:r w:rsidRPr="00476F2A">
        <w:rPr>
          <w:i/>
          <w:iCs/>
          <w:szCs w:val="22"/>
        </w:rPr>
        <w:noBreakHyphen/>
        <w:t>rheumatic drug (DMARD) therapy.</w:t>
      </w:r>
    </w:p>
    <w:p w14:paraId="51631335" w14:textId="77777777" w:rsidR="00476F2A" w:rsidRPr="00476F2A" w:rsidRDefault="00476F2A" w:rsidP="00476F2A">
      <w:pPr>
        <w:ind w:left="720"/>
        <w:rPr>
          <w:i/>
          <w:iCs/>
          <w:szCs w:val="22"/>
        </w:rPr>
      </w:pPr>
      <w:r w:rsidRPr="00476F2A">
        <w:rPr>
          <w:i/>
          <w:iCs/>
          <w:szCs w:val="22"/>
        </w:rPr>
        <w:t>Ixifi may be administered in combination with methotrexate.</w:t>
      </w:r>
    </w:p>
    <w:p w14:paraId="60E4B6A9" w14:textId="77777777" w:rsidR="00476F2A" w:rsidRPr="00476F2A" w:rsidRDefault="00476F2A" w:rsidP="00476F2A">
      <w:pPr>
        <w:ind w:left="720"/>
        <w:rPr>
          <w:b/>
          <w:bCs/>
          <w:i/>
          <w:iCs/>
          <w:szCs w:val="22"/>
        </w:rPr>
      </w:pPr>
      <w:r w:rsidRPr="00476F2A">
        <w:rPr>
          <w:b/>
          <w:bCs/>
          <w:i/>
          <w:iCs/>
          <w:szCs w:val="22"/>
        </w:rPr>
        <w:t>Psoriasis</w:t>
      </w:r>
    </w:p>
    <w:p w14:paraId="41406C81" w14:textId="77777777" w:rsidR="00476F2A" w:rsidRPr="00476F2A" w:rsidRDefault="00476F2A" w:rsidP="00476F2A">
      <w:pPr>
        <w:ind w:left="720"/>
        <w:rPr>
          <w:i/>
          <w:iCs/>
          <w:szCs w:val="22"/>
        </w:rPr>
      </w:pPr>
      <w:r w:rsidRPr="00476F2A">
        <w:rPr>
          <w:i/>
          <w:iCs/>
          <w:szCs w:val="22"/>
        </w:rPr>
        <w:t>Ixifi is indicated for the treatment of adult patients with moderate to severe plaque psoriasis for whom phototherapy or conventional systemic treatments have been inadequate or are inappropriate. Safety and efficacy beyond 12 months have not been established.</w:t>
      </w:r>
    </w:p>
    <w:p w14:paraId="5F8F550C" w14:textId="77777777" w:rsidR="00476F2A" w:rsidRPr="00476F2A" w:rsidRDefault="00476F2A" w:rsidP="00476F2A">
      <w:pPr>
        <w:ind w:left="720"/>
        <w:rPr>
          <w:b/>
          <w:bCs/>
          <w:i/>
          <w:iCs/>
          <w:szCs w:val="22"/>
        </w:rPr>
      </w:pPr>
      <w:r w:rsidRPr="00476F2A">
        <w:rPr>
          <w:b/>
          <w:bCs/>
          <w:i/>
          <w:iCs/>
          <w:szCs w:val="22"/>
        </w:rPr>
        <w:t>Crohn’s Disease in adults and in children and adolescents (6 to 17 years)</w:t>
      </w:r>
    </w:p>
    <w:p w14:paraId="18BE9271" w14:textId="77777777" w:rsidR="00476F2A" w:rsidRPr="00476F2A" w:rsidRDefault="00476F2A" w:rsidP="00476F2A">
      <w:pPr>
        <w:ind w:left="720"/>
        <w:rPr>
          <w:i/>
          <w:iCs/>
          <w:szCs w:val="22"/>
        </w:rPr>
      </w:pPr>
      <w:r w:rsidRPr="00476F2A">
        <w:rPr>
          <w:i/>
          <w:iCs/>
          <w:szCs w:val="22"/>
        </w:rPr>
        <w:t>Ixifi is indicated for the treatment of moderate to severe Crohn’s disease, to reduce the signs and symptoms and to induce and maintain clinical remission in patients who have an inadequate response to conventional therapies.</w:t>
      </w:r>
    </w:p>
    <w:p w14:paraId="6204ADCC" w14:textId="77777777" w:rsidR="00476F2A" w:rsidRPr="00476F2A" w:rsidRDefault="00476F2A" w:rsidP="00476F2A">
      <w:pPr>
        <w:ind w:left="720"/>
        <w:rPr>
          <w:b/>
          <w:bCs/>
          <w:i/>
          <w:iCs/>
          <w:szCs w:val="22"/>
        </w:rPr>
      </w:pPr>
      <w:r w:rsidRPr="00476F2A">
        <w:rPr>
          <w:b/>
          <w:bCs/>
          <w:i/>
          <w:iCs/>
          <w:szCs w:val="22"/>
        </w:rPr>
        <w:t>Refractory Fistulising Crohn’s Disease</w:t>
      </w:r>
    </w:p>
    <w:p w14:paraId="688C6684" w14:textId="77777777" w:rsidR="00476F2A" w:rsidRPr="00476F2A" w:rsidRDefault="00476F2A" w:rsidP="00476F2A">
      <w:pPr>
        <w:ind w:left="720"/>
        <w:rPr>
          <w:i/>
          <w:iCs/>
          <w:szCs w:val="22"/>
        </w:rPr>
      </w:pPr>
      <w:r w:rsidRPr="00476F2A">
        <w:rPr>
          <w:i/>
          <w:iCs/>
          <w:szCs w:val="22"/>
        </w:rPr>
        <w:t>Ixifi is indicated for reducing the number of draining enterocutaneous and rectovaginal fistulas and maintaining fistula closure in adult patients.</w:t>
      </w:r>
    </w:p>
    <w:p w14:paraId="6D45B602" w14:textId="77777777" w:rsidR="00476F2A" w:rsidRPr="00476F2A" w:rsidRDefault="00476F2A" w:rsidP="00476F2A">
      <w:pPr>
        <w:ind w:left="720"/>
        <w:rPr>
          <w:b/>
          <w:bCs/>
          <w:i/>
          <w:iCs/>
          <w:szCs w:val="22"/>
        </w:rPr>
      </w:pPr>
      <w:r w:rsidRPr="00476F2A">
        <w:rPr>
          <w:b/>
          <w:bCs/>
          <w:i/>
          <w:iCs/>
          <w:szCs w:val="22"/>
        </w:rPr>
        <w:t>Ulcerative colitis in adults and in children and adolescents (6 to 17 years)</w:t>
      </w:r>
    </w:p>
    <w:p w14:paraId="11D20F86" w14:textId="5B3FBDF2" w:rsidR="00CA7C62" w:rsidRPr="0017005C" w:rsidRDefault="00476F2A" w:rsidP="00476F2A">
      <w:pPr>
        <w:ind w:left="720"/>
      </w:pPr>
      <w:r w:rsidRPr="00476F2A">
        <w:rPr>
          <w:i/>
          <w:iCs/>
          <w:szCs w:val="22"/>
        </w:rPr>
        <w:t>Ixifi is indicated for the treatment of moderately severe to severe active ulcerative colitis in patients who have had an inadequate response to conventional therapy.</w:t>
      </w:r>
    </w:p>
    <w:p w14:paraId="0D732DA4" w14:textId="0CF886EB" w:rsidR="00854D98" w:rsidRDefault="00854D98" w:rsidP="001C6B41">
      <w:pPr>
        <w:pStyle w:val="Heading2"/>
      </w:pPr>
      <w:bookmarkStart w:id="80" w:name="_Toc103679301"/>
      <w:bookmarkStart w:id="81" w:name="_Toc225166235"/>
      <w:r w:rsidRPr="00D23139">
        <w:t xml:space="preserve">Specific conditions of </w:t>
      </w:r>
      <w:r w:rsidRPr="001C6B41">
        <w:t>registration</w:t>
      </w:r>
      <w:bookmarkEnd w:id="80"/>
      <w:bookmarkEnd w:id="81"/>
    </w:p>
    <w:p w14:paraId="35A79DD1" w14:textId="27CCA926" w:rsidR="00F0264B" w:rsidRPr="00F0264B" w:rsidRDefault="00F0264B" w:rsidP="00B83697">
      <w:pPr>
        <w:pStyle w:val="ListBullet"/>
      </w:pPr>
      <w:r w:rsidRPr="00F0264B">
        <w:t>The I</w:t>
      </w:r>
      <w:r>
        <w:t>xifi</w:t>
      </w:r>
      <w:r w:rsidRPr="00F0264B">
        <w:t xml:space="preserve"> Global-Risk Management Plan (RMP) (version 3.0, dated 27</w:t>
      </w:r>
      <w:r w:rsidR="00B83697">
        <w:t> </w:t>
      </w:r>
      <w:r w:rsidRPr="00F0264B">
        <w:t>July</w:t>
      </w:r>
      <w:r w:rsidR="00B83697">
        <w:t> </w:t>
      </w:r>
      <w:r w:rsidRPr="00F0264B">
        <w:t>2020, data</w:t>
      </w:r>
      <w:r>
        <w:t xml:space="preserve"> </w:t>
      </w:r>
      <w:r w:rsidRPr="00F0264B">
        <w:t>lock point 6</w:t>
      </w:r>
      <w:r w:rsidR="00B83697">
        <w:t> </w:t>
      </w:r>
      <w:r w:rsidRPr="00F0264B">
        <w:t>July</w:t>
      </w:r>
      <w:r w:rsidR="00B83697">
        <w:t> </w:t>
      </w:r>
      <w:r w:rsidRPr="00F0264B">
        <w:t>2017 (clinical trial data) and 19</w:t>
      </w:r>
      <w:r w:rsidR="00B83697">
        <w:t> </w:t>
      </w:r>
      <w:r w:rsidRPr="00F0264B">
        <w:t>May</w:t>
      </w:r>
      <w:r w:rsidR="00B83697">
        <w:t> </w:t>
      </w:r>
      <w:r w:rsidRPr="00F0264B">
        <w:t>2020 (post-marketing data),</w:t>
      </w:r>
      <w:r>
        <w:t xml:space="preserve"> </w:t>
      </w:r>
      <w:r w:rsidRPr="00F0264B">
        <w:t>with Australian Specific Annex (version 1.0, dated 18</w:t>
      </w:r>
      <w:r w:rsidR="00B83697">
        <w:t> </w:t>
      </w:r>
      <w:r w:rsidRPr="00F0264B">
        <w:t>July</w:t>
      </w:r>
      <w:r w:rsidR="00B83697">
        <w:t> </w:t>
      </w:r>
      <w:r w:rsidRPr="00F0264B">
        <w:t>2023), included with</w:t>
      </w:r>
      <w:r>
        <w:t xml:space="preserve"> </w:t>
      </w:r>
      <w:r w:rsidRPr="00F0264B">
        <w:t>submission PM</w:t>
      </w:r>
      <w:r w:rsidR="00AE2988">
        <w:noBreakHyphen/>
      </w:r>
      <w:r w:rsidRPr="00F0264B">
        <w:t>2023-04183-1-3, and any subsequent revisions, as agreed with the TGA</w:t>
      </w:r>
      <w:r>
        <w:t xml:space="preserve"> </w:t>
      </w:r>
      <w:r w:rsidRPr="00F0264B">
        <w:t>will be implemented in Australia.</w:t>
      </w:r>
    </w:p>
    <w:p w14:paraId="0F9C1952" w14:textId="355CA25D" w:rsidR="00BA657C" w:rsidRPr="00BA657C" w:rsidRDefault="00BA657C" w:rsidP="004D4AD5">
      <w:pPr>
        <w:pStyle w:val="Heading3"/>
      </w:pPr>
      <w:bookmarkStart w:id="82" w:name="_Toc196738290"/>
      <w:bookmarkStart w:id="83" w:name="_Toc225166236"/>
      <w:r w:rsidRPr="00BA657C">
        <w:t>Product Information and Consumer Medicine Information</w:t>
      </w:r>
      <w:bookmarkEnd w:id="82"/>
      <w:bookmarkEnd w:id="83"/>
    </w:p>
    <w:p w14:paraId="53357BF3" w14:textId="66AEC2EB" w:rsidR="00C22214" w:rsidRDefault="004D0933" w:rsidP="00C22214">
      <w:pPr>
        <w:sectPr w:rsidR="00C22214" w:rsidSect="007452E8">
          <w:headerReference w:type="default" r:id="rId33"/>
          <w:footerReference w:type="default" r:id="rId34"/>
          <w:pgSz w:w="11906" w:h="16838" w:code="9"/>
          <w:pgMar w:top="1134" w:right="1418" w:bottom="1361" w:left="1418" w:header="573" w:footer="567" w:gutter="0"/>
          <w:cols w:space="708"/>
          <w:docGrid w:linePitch="360"/>
        </w:sectPr>
      </w:pPr>
      <w:bookmarkStart w:id="84" w:name="_Hlk200021736"/>
      <w:r w:rsidRPr="004D0933">
        <w:t xml:space="preserve">For the most recent Product Information (PI) and Consumer Medicine Information (CMI), please refer to the TGA </w:t>
      </w:r>
      <w:hyperlink r:id="rId35" w:history="1">
        <w:r w:rsidRPr="004D0933">
          <w:rPr>
            <w:rStyle w:val="Hyperlink"/>
          </w:rPr>
          <w:t>PI/CMI search facility.</w:t>
        </w:r>
      </w:hyperlink>
      <w:bookmarkEnd w:id="84"/>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567E98BC">
        <w:trPr>
          <w:trHeight w:hRule="exact" w:val="565"/>
          <w:jc w:val="center"/>
        </w:trPr>
        <w:tc>
          <w:tcPr>
            <w:tcW w:w="9145" w:type="dxa"/>
          </w:tcPr>
          <w:bookmarkEnd w:id="3"/>
          <w:bookmarkEnd w:id="4"/>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567E98BC">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7D658842" w:rsidR="00F02AEC" w:rsidRDefault="00F02AEC">
            <w:pPr>
              <w:pStyle w:val="Address"/>
              <w:jc w:val="center"/>
              <w:rPr>
                <w:sz w:val="22"/>
                <w:szCs w:val="22"/>
              </w:rPr>
            </w:pPr>
            <w:r w:rsidRPr="00215D48">
              <w:t xml:space="preserve">Email: </w:t>
            </w:r>
            <w:hyperlink r:id="rId36" w:history="1">
              <w:r w:rsidRPr="00215D48">
                <w:rPr>
                  <w:rStyle w:val="Hyperlink"/>
                </w:rPr>
                <w:t>info@tga.gov.au</w:t>
              </w:r>
            </w:hyperlink>
            <w:r w:rsidR="00300B0E">
              <w:t xml:space="preserve"> </w:t>
            </w:r>
            <w:r w:rsidRPr="00215D48">
              <w:t>Phone: 1800 020 653</w:t>
            </w:r>
            <w:r w:rsidR="00300B0E">
              <w:t xml:space="preserve"> </w:t>
            </w:r>
            <w:r w:rsidRPr="00215D48">
              <w:t xml:space="preserve">Fax: </w:t>
            </w:r>
            <w:r w:rsidRPr="00BA0DFC">
              <w:t>02 6203 1605</w:t>
            </w:r>
          </w:p>
          <w:p w14:paraId="4533D80F" w14:textId="3B075ACD" w:rsidR="00F02AEC" w:rsidRPr="00215D48" w:rsidRDefault="00F02AEC">
            <w:pPr>
              <w:pStyle w:val="Address"/>
              <w:jc w:val="center"/>
              <w:rPr>
                <w:rStyle w:val="Hyperlink"/>
                <w:b/>
                <w:color w:val="auto"/>
                <w:sz w:val="22"/>
              </w:rPr>
            </w:pPr>
            <w:hyperlink r:id="rId37" w:history="1">
              <w:r w:rsidRPr="00C4721A">
                <w:rPr>
                  <w:rStyle w:val="Hyperlink"/>
                  <w:b/>
                </w:rPr>
                <w:t>https://www.tga.gov.au</w:t>
              </w:r>
            </w:hyperlink>
          </w:p>
        </w:tc>
      </w:tr>
    </w:tbl>
    <w:p w14:paraId="788B80FD" w14:textId="77777777" w:rsidR="007452E8" w:rsidRDefault="007452E8"/>
    <w:sectPr w:rsidR="007452E8" w:rsidSect="007452E8">
      <w:headerReference w:type="first" r:id="rId38"/>
      <w:footerReference w:type="first" r:id="rId39"/>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622A" w14:textId="77777777" w:rsidR="00C23D1D" w:rsidRDefault="00C23D1D" w:rsidP="00F02AEC">
      <w:pPr>
        <w:spacing w:after="0" w:line="240" w:lineRule="auto"/>
      </w:pPr>
      <w:r>
        <w:separator/>
      </w:r>
    </w:p>
  </w:endnote>
  <w:endnote w:type="continuationSeparator" w:id="0">
    <w:p w14:paraId="5BB46BF0" w14:textId="77777777" w:rsidR="00C23D1D" w:rsidRDefault="00C23D1D"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NUMPAGES</w:instrText>
              </w:r>
              <w:r>
                <w:fldChar w:fldCharType="separate"/>
              </w:r>
              <w:r>
                <w:rPr>
                  <w:noProof/>
                </w:rPr>
                <w:t>2</w:t>
              </w:r>
              <w: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proofErr w:type="spellStart"/>
          <w:r w:rsidRPr="00257138">
            <w:t>V1.0</w:t>
          </w:r>
          <w:proofErr w:type="spellEnd"/>
          <w:r w:rsidRPr="00257138">
            <w:t xml:space="preserve">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3C421323" w14:textId="12C1CAE6" w:rsidR="007452E8" w:rsidRPr="004A3084" w:rsidRDefault="007452E8" w:rsidP="007452E8">
          <w:pPr>
            <w:pStyle w:val="Footer"/>
          </w:pPr>
          <w:proofErr w:type="spellStart"/>
          <w:r w:rsidRPr="00487162">
            <w:t>AusPA</w:t>
          </w:r>
          <w:r>
            <w:t>R</w:t>
          </w:r>
          <w:proofErr w:type="spellEnd"/>
          <w:r>
            <w:t xml:space="preserve"> - </w:t>
          </w:r>
          <w:proofErr w:type="spellStart"/>
          <w:r w:rsidR="005B1A39" w:rsidRPr="005B1A39">
            <w:t>Ixifi</w:t>
          </w:r>
          <w:proofErr w:type="spellEnd"/>
          <w:r w:rsidR="005B1A39" w:rsidRPr="005B1A39">
            <w:t xml:space="preserve"> </w:t>
          </w:r>
          <w:r w:rsidR="005B1A39">
            <w:t>-</w:t>
          </w:r>
          <w:r w:rsidR="005B1A39" w:rsidRPr="005B1A39">
            <w:t xml:space="preserve"> infliximab - Pfizer Australia Pty Ltd - PM-2023-04183-1-3</w:t>
          </w:r>
          <w:r>
            <w:br/>
          </w:r>
          <w:r w:rsidR="00C71A77" w:rsidRPr="00C71A77">
            <w:t>Date of finalisation: 12 March 2026</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fldChar w:fldCharType="begin"/>
              </w:r>
              <w:r>
                <w:instrText>NUMPAGES</w:instrText>
              </w:r>
              <w:r>
                <w:fldChar w:fldCharType="separate"/>
              </w:r>
              <w:r w:rsidR="006D6B44">
                <w:rPr>
                  <w:noProof/>
                </w:rPr>
                <w:t>17</w:t>
              </w:r>
              <w: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05D76" w14:textId="77777777" w:rsidR="00C23D1D" w:rsidRDefault="00C23D1D" w:rsidP="00F02AEC">
      <w:pPr>
        <w:spacing w:after="0" w:line="240" w:lineRule="auto"/>
      </w:pPr>
      <w:r>
        <w:separator/>
      </w:r>
    </w:p>
  </w:footnote>
  <w:footnote w:type="continuationSeparator" w:id="0">
    <w:p w14:paraId="4BCE5932" w14:textId="77777777" w:rsidR="00C23D1D" w:rsidRDefault="00C23D1D" w:rsidP="00F02AEC">
      <w:pPr>
        <w:spacing w:after="0" w:line="240" w:lineRule="auto"/>
      </w:pPr>
      <w:r>
        <w:continuationSeparator/>
      </w:r>
    </w:p>
  </w:footnote>
  <w:footnote w:id="1">
    <w:p w14:paraId="68402A9B" w14:textId="42E6F8E0" w:rsidR="007452E8" w:rsidRPr="00A93DC6" w:rsidRDefault="007452E8">
      <w:pPr>
        <w:pStyle w:val="FootnoteText"/>
        <w:rPr>
          <w:lang w:val="en-GB"/>
        </w:rPr>
      </w:pPr>
      <w:r>
        <w:rPr>
          <w:rStyle w:val="FootnoteReference"/>
        </w:rPr>
        <w:footnoteRef/>
      </w:r>
      <w:r>
        <w:t xml:space="preserve"> </w:t>
      </w:r>
      <w:r w:rsidR="00FB236E">
        <w:t>This is the original indication proposed by the sponsor</w:t>
      </w:r>
      <w:r w:rsidR="00FB236E">
        <w:rPr>
          <w:lang w:val="en-GB"/>
        </w:rPr>
        <w:t xml:space="preserve"> when the TGA commenced the evaluation of this submission. It </w:t>
      </w:r>
      <w:r w:rsidRPr="007452E8">
        <w:rPr>
          <w:lang w:val="en-GB"/>
        </w:rPr>
        <w:t xml:space="preserve">may </w:t>
      </w:r>
      <w:r w:rsidR="00FB236E">
        <w:rPr>
          <w:lang w:val="en-GB"/>
        </w:rPr>
        <w:t>differ</w:t>
      </w:r>
      <w:r w:rsidRPr="007452E8">
        <w:rPr>
          <w:lang w:val="en-GB"/>
        </w:rPr>
        <w:t xml:space="preserve"> to the final indication approved by th</w:t>
      </w:r>
      <w:r w:rsidR="00FB236E">
        <w:rPr>
          <w:lang w:val="en-GB"/>
        </w:rPr>
        <w:t xml:space="preserve">e TGA and registered </w:t>
      </w:r>
      <w:r w:rsidR="005C4B46">
        <w:rPr>
          <w:lang w:val="en-GB"/>
        </w:rPr>
        <w:t xml:space="preserve">in </w:t>
      </w:r>
      <w:r w:rsidR="00FB236E">
        <w:rPr>
          <w:lang w:val="en-GB"/>
        </w:rPr>
        <w:t>the Australian Register of Therapeutic Goods.</w:t>
      </w:r>
    </w:p>
  </w:footnote>
  <w:footnote w:id="2">
    <w:p w14:paraId="76E2B150" w14:textId="77777777" w:rsidR="00525F22" w:rsidRDefault="00525F22" w:rsidP="00525F22">
      <w:pPr>
        <w:pStyle w:val="FootnoteText"/>
      </w:pPr>
      <w:r>
        <w:rPr>
          <w:rStyle w:val="FootnoteReference"/>
        </w:rPr>
        <w:footnoteRef/>
      </w:r>
      <w:r>
        <w:t xml:space="preserve"> Remicade was first registered in Australia on 2 August 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276C03"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38802056" w:rsidR="007452E8" w:rsidRDefault="0006693A" w:rsidP="007452E8">
    <w:pPr>
      <w:rPr>
        <w:noProof/>
      </w:rPr>
    </w:pPr>
    <w:r>
      <w:rPr>
        <w:noProof/>
      </w:rPr>
      <w:drawing>
        <wp:inline distT="0" distB="0" distL="0" distR="0" wp14:anchorId="26654E9F" wp14:editId="78E105AB">
          <wp:extent cx="3344545" cy="694055"/>
          <wp:effectExtent l="0" t="0" r="8255" b="0"/>
          <wp:docPr id="159602786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61"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7452E8" w:rsidRPr="002B29B2">
      <w:rPr>
        <w:noProof/>
        <w:lang w:val="en-GB" w:eastAsia="en-GB"/>
      </w:rPr>
      <w:drawing>
        <wp:anchor distT="0" distB="0" distL="114300" distR="114300" simplePos="0" relativeHeight="251658240" behindDoc="0" locked="0" layoutInCell="0" allowOverlap="1" wp14:anchorId="14BBEAC1" wp14:editId="5D9F0498">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108CD"/>
    <w:multiLevelType w:val="hybridMultilevel"/>
    <w:tmpl w:val="CB400C12"/>
    <w:lvl w:ilvl="0" w:tplc="83A616D0">
      <w:start w:val="1"/>
      <w:numFmt w:val="bullet"/>
      <w:pStyle w:val="Bulletlis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3" w15:restartNumberingAfterBreak="0">
    <w:nsid w:val="150B7BC6"/>
    <w:multiLevelType w:val="hybridMultilevel"/>
    <w:tmpl w:val="81040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7" w15:restartNumberingAfterBreak="0">
    <w:nsid w:val="18466487"/>
    <w:multiLevelType w:val="hybridMultilevel"/>
    <w:tmpl w:val="C3A63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315D66CC"/>
    <w:multiLevelType w:val="hybridMultilevel"/>
    <w:tmpl w:val="F50A392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0" w15:restartNumberingAfterBreak="0">
    <w:nsid w:val="37003FCA"/>
    <w:multiLevelType w:val="hybridMultilevel"/>
    <w:tmpl w:val="0A360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721008"/>
    <w:multiLevelType w:val="hybridMultilevel"/>
    <w:tmpl w:val="86E2E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7B72D5"/>
    <w:multiLevelType w:val="hybridMultilevel"/>
    <w:tmpl w:val="3878B570"/>
    <w:lvl w:ilvl="0" w:tplc="3FAAE4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14"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912D5C"/>
    <w:multiLevelType w:val="hybridMultilevel"/>
    <w:tmpl w:val="BD76F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09253A"/>
    <w:multiLevelType w:val="hybridMultilevel"/>
    <w:tmpl w:val="C15EB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5A1964"/>
    <w:multiLevelType w:val="hybridMultilevel"/>
    <w:tmpl w:val="F6E2BD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9"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20"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22" w15:restartNumberingAfterBreak="0">
    <w:nsid w:val="69535FFD"/>
    <w:multiLevelType w:val="hybridMultilevel"/>
    <w:tmpl w:val="BC8CF038"/>
    <w:lvl w:ilvl="0" w:tplc="2EAE4FFA">
      <w:start w:val="1"/>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350A9E"/>
    <w:multiLevelType w:val="multilevel"/>
    <w:tmpl w:val="C892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6D147C"/>
    <w:multiLevelType w:val="hybridMultilevel"/>
    <w:tmpl w:val="54966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5"/>
  </w:num>
  <w:num w:numId="2" w16cid:durableId="1856573705">
    <w:abstractNumId w:val="1"/>
  </w:num>
  <w:num w:numId="3" w16cid:durableId="357703499">
    <w:abstractNumId w:val="4"/>
  </w:num>
  <w:num w:numId="4" w16cid:durableId="1869176708">
    <w:abstractNumId w:val="20"/>
  </w:num>
  <w:num w:numId="5" w16cid:durableId="1652950129">
    <w:abstractNumId w:val="8"/>
  </w:num>
  <w:num w:numId="6" w16cid:durableId="1053193207">
    <w:abstractNumId w:val="18"/>
  </w:num>
  <w:num w:numId="7" w16cid:durableId="201135927">
    <w:abstractNumId w:val="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19"/>
  </w:num>
  <w:num w:numId="9" w16cid:durableId="173421270">
    <w:abstractNumId w:val="2"/>
  </w:num>
  <w:num w:numId="10" w16cid:durableId="2108043357">
    <w:abstractNumId w:val="6"/>
  </w:num>
  <w:num w:numId="11" w16cid:durableId="1725904230">
    <w:abstractNumId w:val="13"/>
  </w:num>
  <w:num w:numId="12" w16cid:durableId="141579354">
    <w:abstractNumId w:val="21"/>
  </w:num>
  <w:num w:numId="13" w16cid:durableId="283735081">
    <w:abstractNumId w:val="25"/>
  </w:num>
  <w:num w:numId="14" w16cid:durableId="515003978">
    <w:abstractNumId w:val="22"/>
  </w:num>
  <w:num w:numId="15" w16cid:durableId="1259218440">
    <w:abstractNumId w:val="12"/>
  </w:num>
  <w:num w:numId="16" w16cid:durableId="77598697">
    <w:abstractNumId w:val="17"/>
  </w:num>
  <w:num w:numId="17" w16cid:durableId="634414240">
    <w:abstractNumId w:val="14"/>
  </w:num>
  <w:num w:numId="18" w16cid:durableId="114718398">
    <w:abstractNumId w:val="7"/>
  </w:num>
  <w:num w:numId="19" w16cid:durableId="1569153181">
    <w:abstractNumId w:val="9"/>
  </w:num>
  <w:num w:numId="20" w16cid:durableId="865748848">
    <w:abstractNumId w:val="23"/>
  </w:num>
  <w:num w:numId="21" w16cid:durableId="2046829434">
    <w:abstractNumId w:val="3"/>
  </w:num>
  <w:num w:numId="22" w16cid:durableId="23295173">
    <w:abstractNumId w:val="16"/>
  </w:num>
  <w:num w:numId="23" w16cid:durableId="625890150">
    <w:abstractNumId w:val="10"/>
  </w:num>
  <w:num w:numId="24" w16cid:durableId="1124807964">
    <w:abstractNumId w:val="15"/>
  </w:num>
  <w:num w:numId="25" w16cid:durableId="996231676">
    <w:abstractNumId w:val="24"/>
  </w:num>
  <w:num w:numId="26" w16cid:durableId="502431495">
    <w:abstractNumId w:val="11"/>
  </w:num>
  <w:num w:numId="27" w16cid:durableId="272564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391C"/>
    <w:rsid w:val="00004431"/>
    <w:rsid w:val="00005062"/>
    <w:rsid w:val="00005DFC"/>
    <w:rsid w:val="00007CB8"/>
    <w:rsid w:val="0001064C"/>
    <w:rsid w:val="0001301D"/>
    <w:rsid w:val="0001384A"/>
    <w:rsid w:val="00014AE4"/>
    <w:rsid w:val="00021C13"/>
    <w:rsid w:val="00023D95"/>
    <w:rsid w:val="00025C58"/>
    <w:rsid w:val="000267EC"/>
    <w:rsid w:val="00026AD8"/>
    <w:rsid w:val="00027F5C"/>
    <w:rsid w:val="00032A0F"/>
    <w:rsid w:val="000342DE"/>
    <w:rsid w:val="00040D8D"/>
    <w:rsid w:val="00046423"/>
    <w:rsid w:val="00046C13"/>
    <w:rsid w:val="000477F5"/>
    <w:rsid w:val="0005067C"/>
    <w:rsid w:val="00052071"/>
    <w:rsid w:val="00052A18"/>
    <w:rsid w:val="000534B3"/>
    <w:rsid w:val="00055620"/>
    <w:rsid w:val="00060139"/>
    <w:rsid w:val="000606C7"/>
    <w:rsid w:val="0006104E"/>
    <w:rsid w:val="00063A71"/>
    <w:rsid w:val="000640BD"/>
    <w:rsid w:val="00065839"/>
    <w:rsid w:val="00065FDF"/>
    <w:rsid w:val="00066721"/>
    <w:rsid w:val="0006693A"/>
    <w:rsid w:val="00070BC7"/>
    <w:rsid w:val="00075B60"/>
    <w:rsid w:val="00077844"/>
    <w:rsid w:val="00083763"/>
    <w:rsid w:val="00083CD1"/>
    <w:rsid w:val="00090510"/>
    <w:rsid w:val="000917AE"/>
    <w:rsid w:val="00094B81"/>
    <w:rsid w:val="00094E3B"/>
    <w:rsid w:val="000950F5"/>
    <w:rsid w:val="00095213"/>
    <w:rsid w:val="00095C6A"/>
    <w:rsid w:val="0009700A"/>
    <w:rsid w:val="000975AA"/>
    <w:rsid w:val="000A090E"/>
    <w:rsid w:val="000A279B"/>
    <w:rsid w:val="000A4E77"/>
    <w:rsid w:val="000A528C"/>
    <w:rsid w:val="000B446F"/>
    <w:rsid w:val="000B4C45"/>
    <w:rsid w:val="000B6B15"/>
    <w:rsid w:val="000C00C4"/>
    <w:rsid w:val="000C13DE"/>
    <w:rsid w:val="000C25A7"/>
    <w:rsid w:val="000C7935"/>
    <w:rsid w:val="000D242A"/>
    <w:rsid w:val="000D78EC"/>
    <w:rsid w:val="000D7934"/>
    <w:rsid w:val="000E2434"/>
    <w:rsid w:val="000E2597"/>
    <w:rsid w:val="000E504E"/>
    <w:rsid w:val="000E6746"/>
    <w:rsid w:val="000F56C5"/>
    <w:rsid w:val="000F7B51"/>
    <w:rsid w:val="00101BEE"/>
    <w:rsid w:val="00101CE6"/>
    <w:rsid w:val="00101FB1"/>
    <w:rsid w:val="00102072"/>
    <w:rsid w:val="00102D92"/>
    <w:rsid w:val="0010328A"/>
    <w:rsid w:val="001041B3"/>
    <w:rsid w:val="00104DF8"/>
    <w:rsid w:val="0010558A"/>
    <w:rsid w:val="00106E32"/>
    <w:rsid w:val="001101FF"/>
    <w:rsid w:val="00111989"/>
    <w:rsid w:val="00113BE6"/>
    <w:rsid w:val="00113F9F"/>
    <w:rsid w:val="00114025"/>
    <w:rsid w:val="00122A48"/>
    <w:rsid w:val="00123CC1"/>
    <w:rsid w:val="00124049"/>
    <w:rsid w:val="0012473C"/>
    <w:rsid w:val="0012669D"/>
    <w:rsid w:val="00127A74"/>
    <w:rsid w:val="0013132F"/>
    <w:rsid w:val="00131B1B"/>
    <w:rsid w:val="0013306D"/>
    <w:rsid w:val="00133D56"/>
    <w:rsid w:val="0013528C"/>
    <w:rsid w:val="00135A8D"/>
    <w:rsid w:val="001442A2"/>
    <w:rsid w:val="0014565F"/>
    <w:rsid w:val="001468CA"/>
    <w:rsid w:val="001473E0"/>
    <w:rsid w:val="00147ACE"/>
    <w:rsid w:val="001500A8"/>
    <w:rsid w:val="00150853"/>
    <w:rsid w:val="00152810"/>
    <w:rsid w:val="001538DD"/>
    <w:rsid w:val="00155D85"/>
    <w:rsid w:val="00165113"/>
    <w:rsid w:val="001657C7"/>
    <w:rsid w:val="00165D28"/>
    <w:rsid w:val="0017005C"/>
    <w:rsid w:val="00173074"/>
    <w:rsid w:val="001731A9"/>
    <w:rsid w:val="001752CE"/>
    <w:rsid w:val="00175497"/>
    <w:rsid w:val="001758C3"/>
    <w:rsid w:val="00175CD8"/>
    <w:rsid w:val="00175ED1"/>
    <w:rsid w:val="001816E6"/>
    <w:rsid w:val="00182074"/>
    <w:rsid w:val="00182BD8"/>
    <w:rsid w:val="00183B88"/>
    <w:rsid w:val="0018554F"/>
    <w:rsid w:val="00186719"/>
    <w:rsid w:val="00190853"/>
    <w:rsid w:val="001922F1"/>
    <w:rsid w:val="001A341D"/>
    <w:rsid w:val="001A76F9"/>
    <w:rsid w:val="001B06FF"/>
    <w:rsid w:val="001B1703"/>
    <w:rsid w:val="001B54E8"/>
    <w:rsid w:val="001B63A7"/>
    <w:rsid w:val="001C1C2E"/>
    <w:rsid w:val="001C220E"/>
    <w:rsid w:val="001C31A1"/>
    <w:rsid w:val="001C3FA2"/>
    <w:rsid w:val="001C5EE2"/>
    <w:rsid w:val="001C6B41"/>
    <w:rsid w:val="001D0077"/>
    <w:rsid w:val="001D5BB6"/>
    <w:rsid w:val="001D77BA"/>
    <w:rsid w:val="001E3678"/>
    <w:rsid w:val="001E407B"/>
    <w:rsid w:val="001E5853"/>
    <w:rsid w:val="001E75DD"/>
    <w:rsid w:val="001E7FC6"/>
    <w:rsid w:val="001F2502"/>
    <w:rsid w:val="001F2B83"/>
    <w:rsid w:val="001F70A5"/>
    <w:rsid w:val="00202154"/>
    <w:rsid w:val="0020235D"/>
    <w:rsid w:val="0020369B"/>
    <w:rsid w:val="00205305"/>
    <w:rsid w:val="002065C1"/>
    <w:rsid w:val="002079D1"/>
    <w:rsid w:val="00207B4D"/>
    <w:rsid w:val="00210F9B"/>
    <w:rsid w:val="002117B1"/>
    <w:rsid w:val="00215C39"/>
    <w:rsid w:val="00216110"/>
    <w:rsid w:val="00217CCE"/>
    <w:rsid w:val="002203B1"/>
    <w:rsid w:val="00221A90"/>
    <w:rsid w:val="00222FA4"/>
    <w:rsid w:val="002244F0"/>
    <w:rsid w:val="002248A4"/>
    <w:rsid w:val="002257B0"/>
    <w:rsid w:val="00226F39"/>
    <w:rsid w:val="002334AD"/>
    <w:rsid w:val="00235350"/>
    <w:rsid w:val="00240A7A"/>
    <w:rsid w:val="00240AEA"/>
    <w:rsid w:val="00241B60"/>
    <w:rsid w:val="00243BC7"/>
    <w:rsid w:val="00247140"/>
    <w:rsid w:val="0025346C"/>
    <w:rsid w:val="0025785B"/>
    <w:rsid w:val="00257969"/>
    <w:rsid w:val="0026138F"/>
    <w:rsid w:val="00261AD4"/>
    <w:rsid w:val="002631D6"/>
    <w:rsid w:val="00265CD1"/>
    <w:rsid w:val="002708AD"/>
    <w:rsid w:val="00270F3B"/>
    <w:rsid w:val="00276C03"/>
    <w:rsid w:val="00277C42"/>
    <w:rsid w:val="00280048"/>
    <w:rsid w:val="0028008E"/>
    <w:rsid w:val="002806FB"/>
    <w:rsid w:val="00280A50"/>
    <w:rsid w:val="00282A8F"/>
    <w:rsid w:val="00283880"/>
    <w:rsid w:val="0028489E"/>
    <w:rsid w:val="002848DE"/>
    <w:rsid w:val="002866D0"/>
    <w:rsid w:val="00286B2E"/>
    <w:rsid w:val="0028794E"/>
    <w:rsid w:val="002917A1"/>
    <w:rsid w:val="002961E2"/>
    <w:rsid w:val="0029733B"/>
    <w:rsid w:val="002979A8"/>
    <w:rsid w:val="002A0D59"/>
    <w:rsid w:val="002A1DE3"/>
    <w:rsid w:val="002A33C3"/>
    <w:rsid w:val="002A5227"/>
    <w:rsid w:val="002A5841"/>
    <w:rsid w:val="002B0E50"/>
    <w:rsid w:val="002B1EDF"/>
    <w:rsid w:val="002B2061"/>
    <w:rsid w:val="002B33C3"/>
    <w:rsid w:val="002C1232"/>
    <w:rsid w:val="002C1E44"/>
    <w:rsid w:val="002C4441"/>
    <w:rsid w:val="002C5C92"/>
    <w:rsid w:val="002C5E29"/>
    <w:rsid w:val="002D0478"/>
    <w:rsid w:val="002D1A10"/>
    <w:rsid w:val="002D2A1C"/>
    <w:rsid w:val="002D3E45"/>
    <w:rsid w:val="002D41B6"/>
    <w:rsid w:val="002D6B98"/>
    <w:rsid w:val="002D7127"/>
    <w:rsid w:val="002E4ED1"/>
    <w:rsid w:val="002E7560"/>
    <w:rsid w:val="002F599E"/>
    <w:rsid w:val="003008D8"/>
    <w:rsid w:val="00300B0E"/>
    <w:rsid w:val="00301D9A"/>
    <w:rsid w:val="00303680"/>
    <w:rsid w:val="00303959"/>
    <w:rsid w:val="00305B19"/>
    <w:rsid w:val="00306E72"/>
    <w:rsid w:val="00312AC3"/>
    <w:rsid w:val="00314430"/>
    <w:rsid w:val="003163BC"/>
    <w:rsid w:val="003203AB"/>
    <w:rsid w:val="003212D9"/>
    <w:rsid w:val="0032351A"/>
    <w:rsid w:val="00323A78"/>
    <w:rsid w:val="00324B33"/>
    <w:rsid w:val="00324C1F"/>
    <w:rsid w:val="00327488"/>
    <w:rsid w:val="003320AB"/>
    <w:rsid w:val="00334F22"/>
    <w:rsid w:val="00335E07"/>
    <w:rsid w:val="00336FE1"/>
    <w:rsid w:val="00337BD8"/>
    <w:rsid w:val="00341D1E"/>
    <w:rsid w:val="00342D56"/>
    <w:rsid w:val="0034366A"/>
    <w:rsid w:val="003456E7"/>
    <w:rsid w:val="00345E66"/>
    <w:rsid w:val="00346EC2"/>
    <w:rsid w:val="003477F9"/>
    <w:rsid w:val="0035239B"/>
    <w:rsid w:val="0035444D"/>
    <w:rsid w:val="00356D62"/>
    <w:rsid w:val="003602B8"/>
    <w:rsid w:val="00360923"/>
    <w:rsid w:val="00363EE3"/>
    <w:rsid w:val="00370F73"/>
    <w:rsid w:val="003735F3"/>
    <w:rsid w:val="00374729"/>
    <w:rsid w:val="0038092F"/>
    <w:rsid w:val="00381939"/>
    <w:rsid w:val="00387298"/>
    <w:rsid w:val="00387984"/>
    <w:rsid w:val="0039188E"/>
    <w:rsid w:val="00392182"/>
    <w:rsid w:val="00395140"/>
    <w:rsid w:val="003A15C2"/>
    <w:rsid w:val="003A2422"/>
    <w:rsid w:val="003A4047"/>
    <w:rsid w:val="003B0799"/>
    <w:rsid w:val="003B149C"/>
    <w:rsid w:val="003C0FDB"/>
    <w:rsid w:val="003C1192"/>
    <w:rsid w:val="003C2445"/>
    <w:rsid w:val="003C55E2"/>
    <w:rsid w:val="003C63D5"/>
    <w:rsid w:val="003C7AA8"/>
    <w:rsid w:val="003D0CAF"/>
    <w:rsid w:val="003D40CB"/>
    <w:rsid w:val="003D6108"/>
    <w:rsid w:val="003D71A1"/>
    <w:rsid w:val="003D7C4D"/>
    <w:rsid w:val="003E67E8"/>
    <w:rsid w:val="003F333F"/>
    <w:rsid w:val="00401220"/>
    <w:rsid w:val="00405003"/>
    <w:rsid w:val="004114BD"/>
    <w:rsid w:val="004122B9"/>
    <w:rsid w:val="00414CF2"/>
    <w:rsid w:val="0041688F"/>
    <w:rsid w:val="00417EB5"/>
    <w:rsid w:val="00422719"/>
    <w:rsid w:val="0042280A"/>
    <w:rsid w:val="0042376F"/>
    <w:rsid w:val="004246B8"/>
    <w:rsid w:val="004248F1"/>
    <w:rsid w:val="00433318"/>
    <w:rsid w:val="00433709"/>
    <w:rsid w:val="004411D9"/>
    <w:rsid w:val="00442A56"/>
    <w:rsid w:val="004444B0"/>
    <w:rsid w:val="0044455F"/>
    <w:rsid w:val="004450C2"/>
    <w:rsid w:val="0044553D"/>
    <w:rsid w:val="0045060B"/>
    <w:rsid w:val="00450A66"/>
    <w:rsid w:val="004520CF"/>
    <w:rsid w:val="00454041"/>
    <w:rsid w:val="00456D15"/>
    <w:rsid w:val="004626FF"/>
    <w:rsid w:val="0046285C"/>
    <w:rsid w:val="0046460D"/>
    <w:rsid w:val="00470A52"/>
    <w:rsid w:val="00470C24"/>
    <w:rsid w:val="00471BD5"/>
    <w:rsid w:val="004735CC"/>
    <w:rsid w:val="0047396E"/>
    <w:rsid w:val="00476F2A"/>
    <w:rsid w:val="00477C4E"/>
    <w:rsid w:val="00477F07"/>
    <w:rsid w:val="00481503"/>
    <w:rsid w:val="004818DA"/>
    <w:rsid w:val="00481D12"/>
    <w:rsid w:val="004854A6"/>
    <w:rsid w:val="00487C12"/>
    <w:rsid w:val="00490BDE"/>
    <w:rsid w:val="00491A55"/>
    <w:rsid w:val="00494C3E"/>
    <w:rsid w:val="0049720D"/>
    <w:rsid w:val="00497DF1"/>
    <w:rsid w:val="004A318E"/>
    <w:rsid w:val="004A4307"/>
    <w:rsid w:val="004A45D4"/>
    <w:rsid w:val="004A57E8"/>
    <w:rsid w:val="004B0FDF"/>
    <w:rsid w:val="004B3081"/>
    <w:rsid w:val="004B4A09"/>
    <w:rsid w:val="004B5BAF"/>
    <w:rsid w:val="004B5D80"/>
    <w:rsid w:val="004C41CE"/>
    <w:rsid w:val="004C631B"/>
    <w:rsid w:val="004C6786"/>
    <w:rsid w:val="004C67F0"/>
    <w:rsid w:val="004C6D6C"/>
    <w:rsid w:val="004D08D5"/>
    <w:rsid w:val="004D0933"/>
    <w:rsid w:val="004D2F00"/>
    <w:rsid w:val="004D31D8"/>
    <w:rsid w:val="004D35D1"/>
    <w:rsid w:val="004D4AD5"/>
    <w:rsid w:val="004D4AE2"/>
    <w:rsid w:val="004D4C9E"/>
    <w:rsid w:val="004D4FFF"/>
    <w:rsid w:val="004D5388"/>
    <w:rsid w:val="004D5967"/>
    <w:rsid w:val="004D5E70"/>
    <w:rsid w:val="004E3D88"/>
    <w:rsid w:val="004E49D5"/>
    <w:rsid w:val="004E515D"/>
    <w:rsid w:val="004E7D9F"/>
    <w:rsid w:val="004E7F16"/>
    <w:rsid w:val="004F0BD6"/>
    <w:rsid w:val="004F18EC"/>
    <w:rsid w:val="004F7352"/>
    <w:rsid w:val="00500D68"/>
    <w:rsid w:val="00517E2E"/>
    <w:rsid w:val="00517E89"/>
    <w:rsid w:val="00522151"/>
    <w:rsid w:val="00525F22"/>
    <w:rsid w:val="0053377D"/>
    <w:rsid w:val="00535DFE"/>
    <w:rsid w:val="005373B5"/>
    <w:rsid w:val="00537AB7"/>
    <w:rsid w:val="0054669B"/>
    <w:rsid w:val="00557684"/>
    <w:rsid w:val="00560EC1"/>
    <w:rsid w:val="005610D1"/>
    <w:rsid w:val="00562F42"/>
    <w:rsid w:val="00563776"/>
    <w:rsid w:val="00565739"/>
    <w:rsid w:val="00565C8F"/>
    <w:rsid w:val="0056766D"/>
    <w:rsid w:val="0057460E"/>
    <w:rsid w:val="00575215"/>
    <w:rsid w:val="005775D0"/>
    <w:rsid w:val="00581138"/>
    <w:rsid w:val="00581DBF"/>
    <w:rsid w:val="00582313"/>
    <w:rsid w:val="0058575E"/>
    <w:rsid w:val="0058783C"/>
    <w:rsid w:val="005911AE"/>
    <w:rsid w:val="005926E2"/>
    <w:rsid w:val="0059313A"/>
    <w:rsid w:val="005952DA"/>
    <w:rsid w:val="005958F7"/>
    <w:rsid w:val="005A54EA"/>
    <w:rsid w:val="005A6AF5"/>
    <w:rsid w:val="005A7106"/>
    <w:rsid w:val="005A7773"/>
    <w:rsid w:val="005B023F"/>
    <w:rsid w:val="005B02A2"/>
    <w:rsid w:val="005B1417"/>
    <w:rsid w:val="005B1A39"/>
    <w:rsid w:val="005B52E7"/>
    <w:rsid w:val="005B69CF"/>
    <w:rsid w:val="005C3F07"/>
    <w:rsid w:val="005C4B46"/>
    <w:rsid w:val="005C5DC5"/>
    <w:rsid w:val="005C5F87"/>
    <w:rsid w:val="005D0E1E"/>
    <w:rsid w:val="005D163D"/>
    <w:rsid w:val="005D2089"/>
    <w:rsid w:val="005D3E5C"/>
    <w:rsid w:val="005D7514"/>
    <w:rsid w:val="005E0FC6"/>
    <w:rsid w:val="005E1A7B"/>
    <w:rsid w:val="005E231F"/>
    <w:rsid w:val="005E68C1"/>
    <w:rsid w:val="005F237B"/>
    <w:rsid w:val="00601928"/>
    <w:rsid w:val="00602D6E"/>
    <w:rsid w:val="00603D97"/>
    <w:rsid w:val="00605C05"/>
    <w:rsid w:val="00611351"/>
    <w:rsid w:val="0061217D"/>
    <w:rsid w:val="006129AE"/>
    <w:rsid w:val="006177A2"/>
    <w:rsid w:val="006277A1"/>
    <w:rsid w:val="006310DF"/>
    <w:rsid w:val="00633BD7"/>
    <w:rsid w:val="00633D5F"/>
    <w:rsid w:val="00634580"/>
    <w:rsid w:val="00634884"/>
    <w:rsid w:val="006351D9"/>
    <w:rsid w:val="00635D35"/>
    <w:rsid w:val="00637130"/>
    <w:rsid w:val="00637F0E"/>
    <w:rsid w:val="006423F2"/>
    <w:rsid w:val="006428C5"/>
    <w:rsid w:val="0064755E"/>
    <w:rsid w:val="00650234"/>
    <w:rsid w:val="00650BC1"/>
    <w:rsid w:val="00657302"/>
    <w:rsid w:val="0066044B"/>
    <w:rsid w:val="00660EAD"/>
    <w:rsid w:val="00661C41"/>
    <w:rsid w:val="006630AA"/>
    <w:rsid w:val="00663544"/>
    <w:rsid w:val="00663D9C"/>
    <w:rsid w:val="00666539"/>
    <w:rsid w:val="006667EA"/>
    <w:rsid w:val="00666911"/>
    <w:rsid w:val="00670525"/>
    <w:rsid w:val="00670C78"/>
    <w:rsid w:val="00671DD9"/>
    <w:rsid w:val="00674B03"/>
    <w:rsid w:val="00675EAF"/>
    <w:rsid w:val="00675F81"/>
    <w:rsid w:val="00680017"/>
    <w:rsid w:val="0068143E"/>
    <w:rsid w:val="006816E6"/>
    <w:rsid w:val="0068507D"/>
    <w:rsid w:val="00690A34"/>
    <w:rsid w:val="00691AF2"/>
    <w:rsid w:val="00692B80"/>
    <w:rsid w:val="00692CCD"/>
    <w:rsid w:val="00692D51"/>
    <w:rsid w:val="00694DD7"/>
    <w:rsid w:val="0069636B"/>
    <w:rsid w:val="00697DC7"/>
    <w:rsid w:val="006A1706"/>
    <w:rsid w:val="006A1762"/>
    <w:rsid w:val="006A19CE"/>
    <w:rsid w:val="006A1F0B"/>
    <w:rsid w:val="006A277A"/>
    <w:rsid w:val="006A5973"/>
    <w:rsid w:val="006B04F3"/>
    <w:rsid w:val="006B1C08"/>
    <w:rsid w:val="006B2E38"/>
    <w:rsid w:val="006B5E64"/>
    <w:rsid w:val="006B6898"/>
    <w:rsid w:val="006B7126"/>
    <w:rsid w:val="006C6B86"/>
    <w:rsid w:val="006C760F"/>
    <w:rsid w:val="006D4553"/>
    <w:rsid w:val="006D4A35"/>
    <w:rsid w:val="006D6B44"/>
    <w:rsid w:val="006E0F71"/>
    <w:rsid w:val="006E21D4"/>
    <w:rsid w:val="006E27FE"/>
    <w:rsid w:val="006E299D"/>
    <w:rsid w:val="006F4FF0"/>
    <w:rsid w:val="00701110"/>
    <w:rsid w:val="00702E91"/>
    <w:rsid w:val="0070330F"/>
    <w:rsid w:val="00703624"/>
    <w:rsid w:val="007046ED"/>
    <w:rsid w:val="0070541F"/>
    <w:rsid w:val="007072A1"/>
    <w:rsid w:val="0071060C"/>
    <w:rsid w:val="00710BC5"/>
    <w:rsid w:val="007121CA"/>
    <w:rsid w:val="00715551"/>
    <w:rsid w:val="0072003B"/>
    <w:rsid w:val="00720251"/>
    <w:rsid w:val="00721059"/>
    <w:rsid w:val="007211E6"/>
    <w:rsid w:val="00721515"/>
    <w:rsid w:val="00722088"/>
    <w:rsid w:val="007220C4"/>
    <w:rsid w:val="007305ED"/>
    <w:rsid w:val="007311B9"/>
    <w:rsid w:val="00732361"/>
    <w:rsid w:val="007357B9"/>
    <w:rsid w:val="007410A5"/>
    <w:rsid w:val="00741AB9"/>
    <w:rsid w:val="00742D03"/>
    <w:rsid w:val="00744216"/>
    <w:rsid w:val="00744B02"/>
    <w:rsid w:val="007452E8"/>
    <w:rsid w:val="0074681C"/>
    <w:rsid w:val="00746990"/>
    <w:rsid w:val="00747093"/>
    <w:rsid w:val="00750CBA"/>
    <w:rsid w:val="00750D70"/>
    <w:rsid w:val="00754460"/>
    <w:rsid w:val="007552F8"/>
    <w:rsid w:val="00756A7D"/>
    <w:rsid w:val="007575D0"/>
    <w:rsid w:val="007662E0"/>
    <w:rsid w:val="0077414C"/>
    <w:rsid w:val="00776E9C"/>
    <w:rsid w:val="00777315"/>
    <w:rsid w:val="007816D8"/>
    <w:rsid w:val="007817D0"/>
    <w:rsid w:val="0078352A"/>
    <w:rsid w:val="00783785"/>
    <w:rsid w:val="00784150"/>
    <w:rsid w:val="00784EC1"/>
    <w:rsid w:val="00793272"/>
    <w:rsid w:val="0079499A"/>
    <w:rsid w:val="00794B64"/>
    <w:rsid w:val="007967C3"/>
    <w:rsid w:val="007A0A33"/>
    <w:rsid w:val="007A27DB"/>
    <w:rsid w:val="007B04DE"/>
    <w:rsid w:val="007B0AE6"/>
    <w:rsid w:val="007B4A32"/>
    <w:rsid w:val="007B6013"/>
    <w:rsid w:val="007C0F0B"/>
    <w:rsid w:val="007C3095"/>
    <w:rsid w:val="007C384E"/>
    <w:rsid w:val="007C4D10"/>
    <w:rsid w:val="007C57BC"/>
    <w:rsid w:val="007C5EF7"/>
    <w:rsid w:val="007D01BB"/>
    <w:rsid w:val="007D04CA"/>
    <w:rsid w:val="007D0A2B"/>
    <w:rsid w:val="007D0BBB"/>
    <w:rsid w:val="007D12A1"/>
    <w:rsid w:val="007D3B27"/>
    <w:rsid w:val="007D40E5"/>
    <w:rsid w:val="007D4138"/>
    <w:rsid w:val="007E4178"/>
    <w:rsid w:val="007E6443"/>
    <w:rsid w:val="007F00FA"/>
    <w:rsid w:val="007F0A77"/>
    <w:rsid w:val="007F1B1C"/>
    <w:rsid w:val="007F1E37"/>
    <w:rsid w:val="007F281B"/>
    <w:rsid w:val="007F323C"/>
    <w:rsid w:val="007F50D3"/>
    <w:rsid w:val="007F5ABA"/>
    <w:rsid w:val="007F656B"/>
    <w:rsid w:val="007F6B1F"/>
    <w:rsid w:val="008001D9"/>
    <w:rsid w:val="008002F6"/>
    <w:rsid w:val="008013F0"/>
    <w:rsid w:val="00802DA8"/>
    <w:rsid w:val="00803926"/>
    <w:rsid w:val="00804897"/>
    <w:rsid w:val="008136B5"/>
    <w:rsid w:val="00817A26"/>
    <w:rsid w:val="00822F78"/>
    <w:rsid w:val="008258A3"/>
    <w:rsid w:val="008329DB"/>
    <w:rsid w:val="008361C5"/>
    <w:rsid w:val="0083628F"/>
    <w:rsid w:val="00837AB9"/>
    <w:rsid w:val="00845C0D"/>
    <w:rsid w:val="00850637"/>
    <w:rsid w:val="0085350C"/>
    <w:rsid w:val="00854D98"/>
    <w:rsid w:val="0085751E"/>
    <w:rsid w:val="008602D6"/>
    <w:rsid w:val="00860B29"/>
    <w:rsid w:val="00861E8F"/>
    <w:rsid w:val="008622E8"/>
    <w:rsid w:val="008645EE"/>
    <w:rsid w:val="00870144"/>
    <w:rsid w:val="0087072C"/>
    <w:rsid w:val="00871312"/>
    <w:rsid w:val="0087304B"/>
    <w:rsid w:val="00873D7A"/>
    <w:rsid w:val="008751B8"/>
    <w:rsid w:val="00877A9E"/>
    <w:rsid w:val="00877CB3"/>
    <w:rsid w:val="008804CF"/>
    <w:rsid w:val="00882D58"/>
    <w:rsid w:val="00882F19"/>
    <w:rsid w:val="00883D35"/>
    <w:rsid w:val="00884569"/>
    <w:rsid w:val="00887A51"/>
    <w:rsid w:val="0089038A"/>
    <w:rsid w:val="00890D9B"/>
    <w:rsid w:val="008916BD"/>
    <w:rsid w:val="00891C6C"/>
    <w:rsid w:val="00893CCD"/>
    <w:rsid w:val="00895F2A"/>
    <w:rsid w:val="008964B3"/>
    <w:rsid w:val="0089678B"/>
    <w:rsid w:val="008A6171"/>
    <w:rsid w:val="008B05C0"/>
    <w:rsid w:val="008B0F94"/>
    <w:rsid w:val="008B1C90"/>
    <w:rsid w:val="008B1CB5"/>
    <w:rsid w:val="008B1DE4"/>
    <w:rsid w:val="008B6557"/>
    <w:rsid w:val="008C0C95"/>
    <w:rsid w:val="008C2D69"/>
    <w:rsid w:val="008C35D3"/>
    <w:rsid w:val="008C4579"/>
    <w:rsid w:val="008C49C6"/>
    <w:rsid w:val="008C5C67"/>
    <w:rsid w:val="008C754C"/>
    <w:rsid w:val="008D302D"/>
    <w:rsid w:val="008D56C9"/>
    <w:rsid w:val="008D56CA"/>
    <w:rsid w:val="008D6A54"/>
    <w:rsid w:val="008E2287"/>
    <w:rsid w:val="008E2585"/>
    <w:rsid w:val="008E2D7A"/>
    <w:rsid w:val="008E7C7A"/>
    <w:rsid w:val="008F3215"/>
    <w:rsid w:val="008F4A62"/>
    <w:rsid w:val="008F7256"/>
    <w:rsid w:val="008F7871"/>
    <w:rsid w:val="00900589"/>
    <w:rsid w:val="00900A2B"/>
    <w:rsid w:val="0090424C"/>
    <w:rsid w:val="0090605E"/>
    <w:rsid w:val="00906C74"/>
    <w:rsid w:val="009108CE"/>
    <w:rsid w:val="00910B73"/>
    <w:rsid w:val="00915A9F"/>
    <w:rsid w:val="00923B82"/>
    <w:rsid w:val="009279E2"/>
    <w:rsid w:val="00930D58"/>
    <w:rsid w:val="009312C2"/>
    <w:rsid w:val="00935AAA"/>
    <w:rsid w:val="00941827"/>
    <w:rsid w:val="00944CF4"/>
    <w:rsid w:val="0095031E"/>
    <w:rsid w:val="00950C72"/>
    <w:rsid w:val="00954297"/>
    <w:rsid w:val="00954560"/>
    <w:rsid w:val="00960A56"/>
    <w:rsid w:val="00961CE0"/>
    <w:rsid w:val="00962690"/>
    <w:rsid w:val="009637B2"/>
    <w:rsid w:val="0096477C"/>
    <w:rsid w:val="00966EF1"/>
    <w:rsid w:val="00967223"/>
    <w:rsid w:val="00974743"/>
    <w:rsid w:val="009751F7"/>
    <w:rsid w:val="0097537B"/>
    <w:rsid w:val="00975798"/>
    <w:rsid w:val="00975AD8"/>
    <w:rsid w:val="009765F8"/>
    <w:rsid w:val="009804C7"/>
    <w:rsid w:val="0098168B"/>
    <w:rsid w:val="0098350E"/>
    <w:rsid w:val="00990C12"/>
    <w:rsid w:val="0099404F"/>
    <w:rsid w:val="00996FA5"/>
    <w:rsid w:val="009A25DD"/>
    <w:rsid w:val="009A7713"/>
    <w:rsid w:val="009B0474"/>
    <w:rsid w:val="009B5662"/>
    <w:rsid w:val="009C2211"/>
    <w:rsid w:val="009C2F64"/>
    <w:rsid w:val="009C40E8"/>
    <w:rsid w:val="009C44FF"/>
    <w:rsid w:val="009C45C5"/>
    <w:rsid w:val="009C60C3"/>
    <w:rsid w:val="009C6E22"/>
    <w:rsid w:val="009D0A68"/>
    <w:rsid w:val="009E2646"/>
    <w:rsid w:val="009E2C17"/>
    <w:rsid w:val="009E6858"/>
    <w:rsid w:val="009E6F8C"/>
    <w:rsid w:val="009F0D4F"/>
    <w:rsid w:val="009F283A"/>
    <w:rsid w:val="009F405F"/>
    <w:rsid w:val="00A01C56"/>
    <w:rsid w:val="00A04293"/>
    <w:rsid w:val="00A175C7"/>
    <w:rsid w:val="00A20AC2"/>
    <w:rsid w:val="00A20BC9"/>
    <w:rsid w:val="00A20D1C"/>
    <w:rsid w:val="00A21927"/>
    <w:rsid w:val="00A32C50"/>
    <w:rsid w:val="00A358E7"/>
    <w:rsid w:val="00A36BDD"/>
    <w:rsid w:val="00A40B34"/>
    <w:rsid w:val="00A42030"/>
    <w:rsid w:val="00A4380B"/>
    <w:rsid w:val="00A51A2D"/>
    <w:rsid w:val="00A5596B"/>
    <w:rsid w:val="00A622BC"/>
    <w:rsid w:val="00A63C07"/>
    <w:rsid w:val="00A63C14"/>
    <w:rsid w:val="00A63D9B"/>
    <w:rsid w:val="00A6793D"/>
    <w:rsid w:val="00A67F79"/>
    <w:rsid w:val="00A704DC"/>
    <w:rsid w:val="00A83516"/>
    <w:rsid w:val="00A869F8"/>
    <w:rsid w:val="00A876E6"/>
    <w:rsid w:val="00A91A9D"/>
    <w:rsid w:val="00A93DC6"/>
    <w:rsid w:val="00A9411A"/>
    <w:rsid w:val="00AA36DF"/>
    <w:rsid w:val="00AA4A4B"/>
    <w:rsid w:val="00AA6682"/>
    <w:rsid w:val="00AA6A1F"/>
    <w:rsid w:val="00AA6DED"/>
    <w:rsid w:val="00AA794E"/>
    <w:rsid w:val="00AB0613"/>
    <w:rsid w:val="00AB7C5C"/>
    <w:rsid w:val="00AB7CBF"/>
    <w:rsid w:val="00AC7517"/>
    <w:rsid w:val="00AD0111"/>
    <w:rsid w:val="00AD0B68"/>
    <w:rsid w:val="00AD40C3"/>
    <w:rsid w:val="00AD4C72"/>
    <w:rsid w:val="00AD5451"/>
    <w:rsid w:val="00AD5A8B"/>
    <w:rsid w:val="00AD78EF"/>
    <w:rsid w:val="00AE1947"/>
    <w:rsid w:val="00AE2988"/>
    <w:rsid w:val="00AE4419"/>
    <w:rsid w:val="00AE5DD4"/>
    <w:rsid w:val="00AE7677"/>
    <w:rsid w:val="00AF1C8B"/>
    <w:rsid w:val="00AF299B"/>
    <w:rsid w:val="00AF719C"/>
    <w:rsid w:val="00AF7E43"/>
    <w:rsid w:val="00B00979"/>
    <w:rsid w:val="00B00ED8"/>
    <w:rsid w:val="00B017C9"/>
    <w:rsid w:val="00B02AE0"/>
    <w:rsid w:val="00B03F25"/>
    <w:rsid w:val="00B04E01"/>
    <w:rsid w:val="00B05326"/>
    <w:rsid w:val="00B13248"/>
    <w:rsid w:val="00B14545"/>
    <w:rsid w:val="00B14E60"/>
    <w:rsid w:val="00B17BA2"/>
    <w:rsid w:val="00B236CE"/>
    <w:rsid w:val="00B23FCD"/>
    <w:rsid w:val="00B24CBB"/>
    <w:rsid w:val="00B24F00"/>
    <w:rsid w:val="00B26DC3"/>
    <w:rsid w:val="00B27604"/>
    <w:rsid w:val="00B30B9D"/>
    <w:rsid w:val="00B3298A"/>
    <w:rsid w:val="00B3509C"/>
    <w:rsid w:val="00B405CC"/>
    <w:rsid w:val="00B406EF"/>
    <w:rsid w:val="00B4574D"/>
    <w:rsid w:val="00B468E1"/>
    <w:rsid w:val="00B46BC0"/>
    <w:rsid w:val="00B46DFB"/>
    <w:rsid w:val="00B47179"/>
    <w:rsid w:val="00B4725E"/>
    <w:rsid w:val="00B5141B"/>
    <w:rsid w:val="00B52B39"/>
    <w:rsid w:val="00B54BA4"/>
    <w:rsid w:val="00B55681"/>
    <w:rsid w:val="00B56435"/>
    <w:rsid w:val="00B56855"/>
    <w:rsid w:val="00B57AAD"/>
    <w:rsid w:val="00B6374E"/>
    <w:rsid w:val="00B64257"/>
    <w:rsid w:val="00B66DEC"/>
    <w:rsid w:val="00B72B16"/>
    <w:rsid w:val="00B75DAB"/>
    <w:rsid w:val="00B75EAF"/>
    <w:rsid w:val="00B80408"/>
    <w:rsid w:val="00B81397"/>
    <w:rsid w:val="00B81568"/>
    <w:rsid w:val="00B83697"/>
    <w:rsid w:val="00B8425D"/>
    <w:rsid w:val="00B85499"/>
    <w:rsid w:val="00B85F1D"/>
    <w:rsid w:val="00B925DB"/>
    <w:rsid w:val="00B967FF"/>
    <w:rsid w:val="00B974B9"/>
    <w:rsid w:val="00BA1570"/>
    <w:rsid w:val="00BA22D1"/>
    <w:rsid w:val="00BA2803"/>
    <w:rsid w:val="00BA3F6D"/>
    <w:rsid w:val="00BA4BE6"/>
    <w:rsid w:val="00BA4FC0"/>
    <w:rsid w:val="00BA61E0"/>
    <w:rsid w:val="00BA657C"/>
    <w:rsid w:val="00BA7F7D"/>
    <w:rsid w:val="00BB1C14"/>
    <w:rsid w:val="00BB2106"/>
    <w:rsid w:val="00BB6847"/>
    <w:rsid w:val="00BB6C29"/>
    <w:rsid w:val="00BB7F8F"/>
    <w:rsid w:val="00BC01AA"/>
    <w:rsid w:val="00BC5339"/>
    <w:rsid w:val="00BC716A"/>
    <w:rsid w:val="00BD07DF"/>
    <w:rsid w:val="00BD1781"/>
    <w:rsid w:val="00BD26F4"/>
    <w:rsid w:val="00BD5DBD"/>
    <w:rsid w:val="00BD5DF6"/>
    <w:rsid w:val="00BE0041"/>
    <w:rsid w:val="00BE1DFE"/>
    <w:rsid w:val="00BE4630"/>
    <w:rsid w:val="00BE640F"/>
    <w:rsid w:val="00BE6D2A"/>
    <w:rsid w:val="00BE6E5C"/>
    <w:rsid w:val="00BF44DC"/>
    <w:rsid w:val="00BF4638"/>
    <w:rsid w:val="00BF5130"/>
    <w:rsid w:val="00BF5652"/>
    <w:rsid w:val="00BF5C98"/>
    <w:rsid w:val="00BF7A97"/>
    <w:rsid w:val="00C00844"/>
    <w:rsid w:val="00C059D0"/>
    <w:rsid w:val="00C07551"/>
    <w:rsid w:val="00C1109F"/>
    <w:rsid w:val="00C12D65"/>
    <w:rsid w:val="00C133AB"/>
    <w:rsid w:val="00C16A31"/>
    <w:rsid w:val="00C20B56"/>
    <w:rsid w:val="00C22214"/>
    <w:rsid w:val="00C2374E"/>
    <w:rsid w:val="00C23D1D"/>
    <w:rsid w:val="00C25D29"/>
    <w:rsid w:val="00C26F72"/>
    <w:rsid w:val="00C27718"/>
    <w:rsid w:val="00C309A7"/>
    <w:rsid w:val="00C335AB"/>
    <w:rsid w:val="00C33992"/>
    <w:rsid w:val="00C356E4"/>
    <w:rsid w:val="00C36A80"/>
    <w:rsid w:val="00C407AB"/>
    <w:rsid w:val="00C42F69"/>
    <w:rsid w:val="00C52B7B"/>
    <w:rsid w:val="00C547CD"/>
    <w:rsid w:val="00C570FF"/>
    <w:rsid w:val="00C57CEA"/>
    <w:rsid w:val="00C60FEC"/>
    <w:rsid w:val="00C62B1C"/>
    <w:rsid w:val="00C6574E"/>
    <w:rsid w:val="00C663D1"/>
    <w:rsid w:val="00C707FD"/>
    <w:rsid w:val="00C71A77"/>
    <w:rsid w:val="00C72FDA"/>
    <w:rsid w:val="00C73D25"/>
    <w:rsid w:val="00C7410C"/>
    <w:rsid w:val="00C76DEB"/>
    <w:rsid w:val="00C805E4"/>
    <w:rsid w:val="00C811D8"/>
    <w:rsid w:val="00C816C6"/>
    <w:rsid w:val="00C81E04"/>
    <w:rsid w:val="00C863A7"/>
    <w:rsid w:val="00C87F7C"/>
    <w:rsid w:val="00C912F4"/>
    <w:rsid w:val="00C9156F"/>
    <w:rsid w:val="00C9581A"/>
    <w:rsid w:val="00C95CCF"/>
    <w:rsid w:val="00C96B26"/>
    <w:rsid w:val="00C97D29"/>
    <w:rsid w:val="00C97DC8"/>
    <w:rsid w:val="00CA1C10"/>
    <w:rsid w:val="00CA7B0F"/>
    <w:rsid w:val="00CA7C62"/>
    <w:rsid w:val="00CB0550"/>
    <w:rsid w:val="00CB07C4"/>
    <w:rsid w:val="00CB2B8F"/>
    <w:rsid w:val="00CB6813"/>
    <w:rsid w:val="00CC1508"/>
    <w:rsid w:val="00CC55AA"/>
    <w:rsid w:val="00CD2E04"/>
    <w:rsid w:val="00CD559A"/>
    <w:rsid w:val="00CF39CF"/>
    <w:rsid w:val="00CF50A9"/>
    <w:rsid w:val="00CF6A55"/>
    <w:rsid w:val="00CF6DC6"/>
    <w:rsid w:val="00CF6DCF"/>
    <w:rsid w:val="00CF7812"/>
    <w:rsid w:val="00D01DDB"/>
    <w:rsid w:val="00D05CCF"/>
    <w:rsid w:val="00D05CF9"/>
    <w:rsid w:val="00D0692E"/>
    <w:rsid w:val="00D078BE"/>
    <w:rsid w:val="00D13F8A"/>
    <w:rsid w:val="00D16F60"/>
    <w:rsid w:val="00D22981"/>
    <w:rsid w:val="00D26B76"/>
    <w:rsid w:val="00D278D1"/>
    <w:rsid w:val="00D3349B"/>
    <w:rsid w:val="00D36222"/>
    <w:rsid w:val="00D36606"/>
    <w:rsid w:val="00D37C6F"/>
    <w:rsid w:val="00D401F7"/>
    <w:rsid w:val="00D424A8"/>
    <w:rsid w:val="00D556B0"/>
    <w:rsid w:val="00D55C5E"/>
    <w:rsid w:val="00D56425"/>
    <w:rsid w:val="00D6036F"/>
    <w:rsid w:val="00D62877"/>
    <w:rsid w:val="00D63760"/>
    <w:rsid w:val="00D6703F"/>
    <w:rsid w:val="00D734EB"/>
    <w:rsid w:val="00D739C8"/>
    <w:rsid w:val="00D7627B"/>
    <w:rsid w:val="00D82713"/>
    <w:rsid w:val="00D85EDB"/>
    <w:rsid w:val="00D86F00"/>
    <w:rsid w:val="00D909CC"/>
    <w:rsid w:val="00D913D0"/>
    <w:rsid w:val="00D918D5"/>
    <w:rsid w:val="00D94742"/>
    <w:rsid w:val="00D94C8E"/>
    <w:rsid w:val="00DA72B2"/>
    <w:rsid w:val="00DB1372"/>
    <w:rsid w:val="00DB192C"/>
    <w:rsid w:val="00DB1CF3"/>
    <w:rsid w:val="00DB2D89"/>
    <w:rsid w:val="00DB43D2"/>
    <w:rsid w:val="00DB5425"/>
    <w:rsid w:val="00DB556F"/>
    <w:rsid w:val="00DB72A6"/>
    <w:rsid w:val="00DC139B"/>
    <w:rsid w:val="00DC33AF"/>
    <w:rsid w:val="00DC3DB4"/>
    <w:rsid w:val="00DC6504"/>
    <w:rsid w:val="00DC6611"/>
    <w:rsid w:val="00DC7223"/>
    <w:rsid w:val="00DD3C51"/>
    <w:rsid w:val="00DD5AFB"/>
    <w:rsid w:val="00DE1344"/>
    <w:rsid w:val="00DE261D"/>
    <w:rsid w:val="00DF06F6"/>
    <w:rsid w:val="00DF1CFD"/>
    <w:rsid w:val="00DF5BFE"/>
    <w:rsid w:val="00DF7059"/>
    <w:rsid w:val="00E047A0"/>
    <w:rsid w:val="00E0523F"/>
    <w:rsid w:val="00E12B31"/>
    <w:rsid w:val="00E1413D"/>
    <w:rsid w:val="00E172B8"/>
    <w:rsid w:val="00E2266F"/>
    <w:rsid w:val="00E23E18"/>
    <w:rsid w:val="00E23E50"/>
    <w:rsid w:val="00E26213"/>
    <w:rsid w:val="00E274DF"/>
    <w:rsid w:val="00E27AE5"/>
    <w:rsid w:val="00E303B0"/>
    <w:rsid w:val="00E3184F"/>
    <w:rsid w:val="00E3373A"/>
    <w:rsid w:val="00E34D66"/>
    <w:rsid w:val="00E362C4"/>
    <w:rsid w:val="00E4568C"/>
    <w:rsid w:val="00E46CC2"/>
    <w:rsid w:val="00E47E0C"/>
    <w:rsid w:val="00E51813"/>
    <w:rsid w:val="00E51E30"/>
    <w:rsid w:val="00E52C0B"/>
    <w:rsid w:val="00E53D3F"/>
    <w:rsid w:val="00E5579B"/>
    <w:rsid w:val="00E57FF4"/>
    <w:rsid w:val="00E607F2"/>
    <w:rsid w:val="00E60F20"/>
    <w:rsid w:val="00E6512A"/>
    <w:rsid w:val="00E653F4"/>
    <w:rsid w:val="00E679D1"/>
    <w:rsid w:val="00E67C1C"/>
    <w:rsid w:val="00E67C4E"/>
    <w:rsid w:val="00E72C6B"/>
    <w:rsid w:val="00E82AD5"/>
    <w:rsid w:val="00E84802"/>
    <w:rsid w:val="00E91F11"/>
    <w:rsid w:val="00E92979"/>
    <w:rsid w:val="00E9706D"/>
    <w:rsid w:val="00EA1262"/>
    <w:rsid w:val="00EA3AF4"/>
    <w:rsid w:val="00EC45EF"/>
    <w:rsid w:val="00ED07EB"/>
    <w:rsid w:val="00ED4DBB"/>
    <w:rsid w:val="00ED7CBA"/>
    <w:rsid w:val="00EE4112"/>
    <w:rsid w:val="00EE4B01"/>
    <w:rsid w:val="00EF3F0B"/>
    <w:rsid w:val="00EF5583"/>
    <w:rsid w:val="00EF6F0B"/>
    <w:rsid w:val="00F0264B"/>
    <w:rsid w:val="00F0289D"/>
    <w:rsid w:val="00F02AEC"/>
    <w:rsid w:val="00F07320"/>
    <w:rsid w:val="00F07572"/>
    <w:rsid w:val="00F157FC"/>
    <w:rsid w:val="00F1698D"/>
    <w:rsid w:val="00F17420"/>
    <w:rsid w:val="00F17529"/>
    <w:rsid w:val="00F17E07"/>
    <w:rsid w:val="00F25003"/>
    <w:rsid w:val="00F30626"/>
    <w:rsid w:val="00F30AF3"/>
    <w:rsid w:val="00F33893"/>
    <w:rsid w:val="00F42FCE"/>
    <w:rsid w:val="00F43CD1"/>
    <w:rsid w:val="00F45AE0"/>
    <w:rsid w:val="00F4778D"/>
    <w:rsid w:val="00F51E22"/>
    <w:rsid w:val="00F5766C"/>
    <w:rsid w:val="00F60CF2"/>
    <w:rsid w:val="00F657B4"/>
    <w:rsid w:val="00F659F8"/>
    <w:rsid w:val="00F65C70"/>
    <w:rsid w:val="00F71434"/>
    <w:rsid w:val="00F72725"/>
    <w:rsid w:val="00F734B0"/>
    <w:rsid w:val="00F742BE"/>
    <w:rsid w:val="00F7649F"/>
    <w:rsid w:val="00F8047F"/>
    <w:rsid w:val="00F8083B"/>
    <w:rsid w:val="00F82D1B"/>
    <w:rsid w:val="00F8568E"/>
    <w:rsid w:val="00F8649B"/>
    <w:rsid w:val="00F865A7"/>
    <w:rsid w:val="00F94CDF"/>
    <w:rsid w:val="00F9672F"/>
    <w:rsid w:val="00FA0754"/>
    <w:rsid w:val="00FA1BC9"/>
    <w:rsid w:val="00FA49C3"/>
    <w:rsid w:val="00FA4C5C"/>
    <w:rsid w:val="00FB20B4"/>
    <w:rsid w:val="00FB236E"/>
    <w:rsid w:val="00FB3F7B"/>
    <w:rsid w:val="00FB4C2A"/>
    <w:rsid w:val="00FC2107"/>
    <w:rsid w:val="00FC3FC9"/>
    <w:rsid w:val="00FC48FE"/>
    <w:rsid w:val="00FC6F56"/>
    <w:rsid w:val="00FD2D58"/>
    <w:rsid w:val="00FE087C"/>
    <w:rsid w:val="00FE1DF0"/>
    <w:rsid w:val="00FE2BDE"/>
    <w:rsid w:val="00FE60C9"/>
    <w:rsid w:val="00FE79A0"/>
    <w:rsid w:val="00FF0734"/>
    <w:rsid w:val="00FF0939"/>
    <w:rsid w:val="00FF0BA5"/>
    <w:rsid w:val="0470ECFA"/>
    <w:rsid w:val="0E651A79"/>
    <w:rsid w:val="0F6E267E"/>
    <w:rsid w:val="1B06F91B"/>
    <w:rsid w:val="2822A784"/>
    <w:rsid w:val="28BA3BB8"/>
    <w:rsid w:val="32D2AFFB"/>
    <w:rsid w:val="370A8360"/>
    <w:rsid w:val="38F2FD38"/>
    <w:rsid w:val="3A0F9C1D"/>
    <w:rsid w:val="47FA7562"/>
    <w:rsid w:val="4A42077A"/>
    <w:rsid w:val="4F3E93DF"/>
    <w:rsid w:val="567E98BC"/>
    <w:rsid w:val="602B3070"/>
    <w:rsid w:val="73FFC167"/>
    <w:rsid w:val="770E3DDE"/>
    <w:rsid w:val="7CBD2B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C0880993-5DEF-45C5-8903-DF1BD4A8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B41"/>
    <w:rPr>
      <w:rFonts w:ascii="Cambria" w:hAnsi="Cambria"/>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Bahnschrift SemiBold SemiConden" w:hAnsi="Bahnschrift SemiBold SemiConden"/>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paragraph" w:customStyle="1" w:styleId="Bulletpoint">
    <w:name w:val="Bullet point"/>
    <w:basedOn w:val="Normal"/>
    <w:rsid w:val="002244F0"/>
    <w:pPr>
      <w:numPr>
        <w:numId w:val="17"/>
      </w:numPr>
      <w:tabs>
        <w:tab w:val="clear" w:pos="369"/>
        <w:tab w:val="left" w:pos="397"/>
        <w:tab w:val="num" w:pos="511"/>
      </w:tabs>
      <w:spacing w:after="180" w:line="252" w:lineRule="auto"/>
      <w:ind w:left="0" w:firstLine="0"/>
    </w:pPr>
    <w:rPr>
      <w:rFonts w:eastAsia="Times New Roman" w:cs="Times New Roman"/>
      <w:snapToGrid w:val="0"/>
      <w:kern w:val="16"/>
      <w:szCs w:val="24"/>
    </w:rPr>
  </w:style>
  <w:style w:type="paragraph" w:customStyle="1" w:styleId="Standard">
    <w:name w:val="Standard"/>
    <w:basedOn w:val="Normal"/>
    <w:link w:val="StandardChar"/>
    <w:qFormat/>
    <w:rsid w:val="006B2E38"/>
    <w:pPr>
      <w:spacing w:after="220" w:line="252" w:lineRule="auto"/>
    </w:pPr>
    <w:rPr>
      <w:rFonts w:eastAsia="Times New Roman" w:cs="Times New Roman"/>
      <w:snapToGrid w:val="0"/>
      <w:kern w:val="16"/>
      <w:sz w:val="23"/>
      <w:szCs w:val="24"/>
    </w:rPr>
  </w:style>
  <w:style w:type="character" w:customStyle="1" w:styleId="StandardChar">
    <w:name w:val="Standard Char"/>
    <w:basedOn w:val="DefaultParagraphFont"/>
    <w:link w:val="Standard"/>
    <w:rsid w:val="006B2E38"/>
    <w:rPr>
      <w:rFonts w:ascii="Cambria" w:eastAsia="Times New Roman" w:hAnsi="Cambria" w:cs="Times New Roman"/>
      <w:snapToGrid w:val="0"/>
      <w:kern w:val="16"/>
      <w:sz w:val="23"/>
      <w:szCs w:val="24"/>
    </w:rPr>
  </w:style>
  <w:style w:type="paragraph" w:customStyle="1" w:styleId="Tabletext0">
    <w:name w:val="Table text"/>
    <w:basedOn w:val="Standard"/>
    <w:link w:val="TabletextChar"/>
    <w:qFormat/>
    <w:rsid w:val="006B2E38"/>
    <w:pPr>
      <w:spacing w:before="20" w:after="20"/>
    </w:pPr>
  </w:style>
  <w:style w:type="paragraph" w:customStyle="1" w:styleId="Bulletlist">
    <w:name w:val="Bullet list"/>
    <w:basedOn w:val="Standard"/>
    <w:link w:val="BulletlistChar"/>
    <w:qFormat/>
    <w:rsid w:val="006B2E38"/>
    <w:pPr>
      <w:numPr>
        <w:numId w:val="27"/>
      </w:numPr>
      <w:spacing w:after="180"/>
      <w:ind w:left="426" w:hanging="284"/>
    </w:pPr>
    <w:rPr>
      <w:kern w:val="2"/>
      <w:szCs w:val="22"/>
    </w:rPr>
  </w:style>
  <w:style w:type="character" w:customStyle="1" w:styleId="TabletextChar">
    <w:name w:val="Table text Char"/>
    <w:basedOn w:val="StandardChar"/>
    <w:link w:val="Tabletext0"/>
    <w:rsid w:val="006B2E38"/>
    <w:rPr>
      <w:rFonts w:ascii="Cambria" w:eastAsia="Times New Roman" w:hAnsi="Cambria" w:cs="Times New Roman"/>
      <w:snapToGrid w:val="0"/>
      <w:kern w:val="16"/>
      <w:sz w:val="23"/>
      <w:szCs w:val="24"/>
    </w:rPr>
  </w:style>
  <w:style w:type="character" w:customStyle="1" w:styleId="BulletlistChar">
    <w:name w:val="Bullet list Char"/>
    <w:basedOn w:val="StandardChar"/>
    <w:link w:val="Bulletlist"/>
    <w:rsid w:val="006B2E38"/>
    <w:rPr>
      <w:rFonts w:ascii="Cambria" w:eastAsia="Times New Roman" w:hAnsi="Cambria" w:cs="Times New Roman"/>
      <w:snapToGrid w:val="0"/>
      <w:kern w:val="2"/>
      <w:sz w:val="23"/>
      <w:szCs w:val="22"/>
    </w:rPr>
  </w:style>
  <w:style w:type="character" w:styleId="Mention">
    <w:name w:val="Mention"/>
    <w:basedOn w:val="DefaultParagraphFont"/>
    <w:uiPriority w:val="99"/>
    <w:unhideWhenUsed/>
    <w:rsid w:val="00E848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tga.gov.au/black-triangle-scheme" TargetMode="External"/><Relationship Id="rId26" Type="http://schemas.openxmlformats.org/officeDocument/2006/relationships/image" Target="media/image4.png"/><Relationship Id="rId39" Type="http://schemas.openxmlformats.org/officeDocument/2006/relationships/footer" Target="footer4.xml"/><Relationship Id="rId21" Type="http://schemas.openxmlformats.org/officeDocument/2006/relationships/hyperlink" Target="https://www.tga.gov.au/how-we-regulate/supply-therapeutic-good-0/supply-prescription-medicine/application-process/prescription-medicines-registration-process" TargetMode="External"/><Relationship Id="rId34"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ga.gov.au/australian-public-assessment-report-auspar-guidance" TargetMode="External"/><Relationship Id="rId20" Type="http://schemas.openxmlformats.org/officeDocument/2006/relationships/hyperlink" Target="https://www.tga.gov.au/obstetric-drug-information-services" TargetMode="External"/><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ga.gov.au/resources/resource/international-scientific-guidelines/international-scientific-guideline-guideline-similar-biological-medicinal-products-containing-monoclonal-antibodies-non-clinical-and-clinical-issues" TargetMode="External"/><Relationship Id="rId32" Type="http://schemas.openxmlformats.org/officeDocument/2006/relationships/image" Target="media/image10.png"/><Relationship Id="rId37" Type="http://schemas.openxmlformats.org/officeDocument/2006/relationships/hyperlink" Target="https://www.tga.gov.a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ga.gov.au/" TargetMode="External"/><Relationship Id="rId23" Type="http://schemas.openxmlformats.org/officeDocument/2006/relationships/hyperlink" Target="https://www.tga.gov.au/resources/resource/international-scientific-guidelines/international-scientific-guidelines-guideline-similar-biological-medicinal-products" TargetMode="External"/><Relationship Id="rId28" Type="http://schemas.openxmlformats.org/officeDocument/2006/relationships/image" Target="media/image6.png"/><Relationship Id="rId36" Type="http://schemas.openxmlformats.org/officeDocument/2006/relationships/hyperlink" Target="mailto:info@tga.gov.au" TargetMode="External"/><Relationship Id="rId10" Type="http://schemas.openxmlformats.org/officeDocument/2006/relationships/endnotes" Target="endnotes.xml"/><Relationship Id="rId19" Type="http://schemas.openxmlformats.org/officeDocument/2006/relationships/hyperlink" Target="https://www.tga.gov.au/products/medicines/find-information-about-medicine/prescribing-medicines-pregnancy-database"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ga.gov.au/resources/resource/guidance/biosimilar-medicines-regulation"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hyperlink" Target="https://www.ebs.tga.gov.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tga.copyright@tga.gov.au" TargetMode="External"/><Relationship Id="rId25" Type="http://schemas.openxmlformats.org/officeDocument/2006/relationships/hyperlink" Target="https://www.tga.gov.au/sites/default/files/2024-06/guideline-clinical-investigation-medicinal-products-indicated-treatment-psoriasis-ema.pdf" TargetMode="External"/><Relationship Id="rId33" Type="http://schemas.openxmlformats.org/officeDocument/2006/relationships/header" Target="header3.xml"/><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99704C394FDD47A3E76ED9B52E3637" ma:contentTypeVersion="6" ma:contentTypeDescription="Create a new document." ma:contentTypeScope="" ma:versionID="95e48286a9588e308a44e8a1e473b978">
  <xsd:schema xmlns:xsd="http://www.w3.org/2001/XMLSchema" xmlns:xs="http://www.w3.org/2001/XMLSchema" xmlns:p="http://schemas.microsoft.com/office/2006/metadata/properties" xmlns:ns2="001c25a4-b078-44f2-91b2-1ad15b0ab387" xmlns:ns3="c0e255b9-a55a-4d68-a17b-54c3cbf63d54" targetNamespace="http://schemas.microsoft.com/office/2006/metadata/properties" ma:root="true" ma:fieldsID="5a496a71960496d99382e5a869bcf4dc" ns2:_="" ns3:_="">
    <xsd:import namespace="001c25a4-b078-44f2-91b2-1ad15b0ab387"/>
    <xsd:import namespace="c0e255b9-a55a-4d68-a17b-54c3cbf63d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c25a4-b078-44f2-91b2-1ad15b0ab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e255b9-a55a-4d68-a17b-54c3cbf63d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customXml/itemProps2.xml><?xml version="1.0" encoding="utf-8"?>
<ds:datastoreItem xmlns:ds="http://schemas.openxmlformats.org/officeDocument/2006/customXml" ds:itemID="{F032A6B7-3BE4-4E1B-8484-A3FF864AD4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7EFFC8-81DA-4422-A4D1-B46A7021A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c25a4-b078-44f2-91b2-1ad15b0ab387"/>
    <ds:schemaRef ds:uri="c0e255b9-a55a-4d68-a17b-54c3cbf63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BEEF3-CF11-418E-BD51-46888700D9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28</Pages>
  <Words>7949</Words>
  <Characters>46223</Characters>
  <Application>Microsoft Office Word</Application>
  <DocSecurity>0</DocSecurity>
  <Lines>959</Lines>
  <Paragraphs>494</Paragraphs>
  <ScaleCrop>false</ScaleCrop>
  <HeadingPairs>
    <vt:vector size="2" baseType="variant">
      <vt:variant>
        <vt:lpstr>Title</vt:lpstr>
      </vt:variant>
      <vt:variant>
        <vt:i4>1</vt:i4>
      </vt:variant>
    </vt:vector>
  </HeadingPairs>
  <TitlesOfParts>
    <vt:vector size="1" baseType="lpstr">
      <vt:lpstr>Australian Public Assessment Report for Ixifi</vt:lpstr>
    </vt:vector>
  </TitlesOfParts>
  <Company>Department of Health, Disability and Ageing</Company>
  <LinksUpToDate>false</LinksUpToDate>
  <CharactersWithSpaces>53754</CharactersWithSpaces>
  <SharedDoc>false</SharedDoc>
  <HLinks>
    <vt:vector size="318" baseType="variant">
      <vt:variant>
        <vt:i4>3473445</vt:i4>
      </vt:variant>
      <vt:variant>
        <vt:i4>255</vt:i4>
      </vt:variant>
      <vt:variant>
        <vt:i4>0</vt:i4>
      </vt:variant>
      <vt:variant>
        <vt:i4>5</vt:i4>
      </vt:variant>
      <vt:variant>
        <vt:lpwstr>https://www.tga.gov.au/</vt:lpwstr>
      </vt:variant>
      <vt:variant>
        <vt:lpwstr/>
      </vt:variant>
      <vt:variant>
        <vt:i4>5242926</vt:i4>
      </vt:variant>
      <vt:variant>
        <vt:i4>252</vt:i4>
      </vt:variant>
      <vt:variant>
        <vt:i4>0</vt:i4>
      </vt:variant>
      <vt:variant>
        <vt:i4>5</vt:i4>
      </vt:variant>
      <vt:variant>
        <vt:lpwstr>mailto:info@tga.gov.au</vt:lpwstr>
      </vt:variant>
      <vt:variant>
        <vt:lpwstr/>
      </vt:variant>
      <vt:variant>
        <vt:i4>7929907</vt:i4>
      </vt:variant>
      <vt:variant>
        <vt:i4>249</vt:i4>
      </vt:variant>
      <vt:variant>
        <vt:i4>0</vt:i4>
      </vt:variant>
      <vt:variant>
        <vt:i4>5</vt:i4>
      </vt:variant>
      <vt:variant>
        <vt:lpwstr>https://www.ebs.tga.gov.au/</vt:lpwstr>
      </vt:variant>
      <vt:variant>
        <vt:lpwstr/>
      </vt:variant>
      <vt:variant>
        <vt:i4>458829</vt:i4>
      </vt:variant>
      <vt:variant>
        <vt:i4>201</vt:i4>
      </vt:variant>
      <vt:variant>
        <vt:i4>0</vt:i4>
      </vt:variant>
      <vt:variant>
        <vt:i4>5</vt:i4>
      </vt:variant>
      <vt:variant>
        <vt:lpwstr>https://www.tga.gov.au/sites/default/files/2024-06/guideline-clinical-investigation-medicinal-products-indicated-treatment-psoriasis-ema.pdf</vt:lpwstr>
      </vt:variant>
      <vt:variant>
        <vt:lpwstr/>
      </vt:variant>
      <vt:variant>
        <vt:i4>2949228</vt:i4>
      </vt:variant>
      <vt:variant>
        <vt:i4>198</vt:i4>
      </vt:variant>
      <vt:variant>
        <vt:i4>0</vt:i4>
      </vt:variant>
      <vt:variant>
        <vt:i4>5</vt:i4>
      </vt:variant>
      <vt:variant>
        <vt:lpwstr>https://www.tga.gov.au/resources/resource/international-scientific-guidelines/international-scientific-guideline-guideline-similar-biological-medicinal-products-containing-monoclonal-antibodies-non-clinical-and-clinical-issues</vt:lpwstr>
      </vt:variant>
      <vt:variant>
        <vt:lpwstr/>
      </vt:variant>
      <vt:variant>
        <vt:i4>131161</vt:i4>
      </vt:variant>
      <vt:variant>
        <vt:i4>195</vt:i4>
      </vt:variant>
      <vt:variant>
        <vt:i4>0</vt:i4>
      </vt:variant>
      <vt:variant>
        <vt:i4>5</vt:i4>
      </vt:variant>
      <vt:variant>
        <vt:lpwstr>https://www.tga.gov.au/resources/resource/international-scientific-guidelines/international-scientific-guidelines-guideline-similar-biological-medicinal-products</vt:lpwstr>
      </vt:variant>
      <vt:variant>
        <vt:lpwstr/>
      </vt:variant>
      <vt:variant>
        <vt:i4>6881402</vt:i4>
      </vt:variant>
      <vt:variant>
        <vt:i4>192</vt:i4>
      </vt:variant>
      <vt:variant>
        <vt:i4>0</vt:i4>
      </vt:variant>
      <vt:variant>
        <vt:i4>5</vt:i4>
      </vt:variant>
      <vt:variant>
        <vt:lpwstr>https://www.tga.gov.au/resources/resource/guidance/biosimilar-medicines-regulation</vt:lpwstr>
      </vt:variant>
      <vt:variant>
        <vt:lpwstr/>
      </vt:variant>
      <vt:variant>
        <vt:i4>1835097</vt:i4>
      </vt:variant>
      <vt:variant>
        <vt:i4>186</vt:i4>
      </vt:variant>
      <vt:variant>
        <vt:i4>0</vt:i4>
      </vt:variant>
      <vt:variant>
        <vt:i4>5</vt:i4>
      </vt:variant>
      <vt:variant>
        <vt:lpwstr>https://www.tga.gov.au/how-we-regulate/supply-therapeutic-good-0/supply-prescription-medicine/application-process/prescription-medicines-registration-process</vt:lpwstr>
      </vt:variant>
      <vt:variant>
        <vt:lpwstr/>
      </vt:variant>
      <vt:variant>
        <vt:i4>3670063</vt:i4>
      </vt:variant>
      <vt:variant>
        <vt:i4>180</vt:i4>
      </vt:variant>
      <vt:variant>
        <vt:i4>0</vt:i4>
      </vt:variant>
      <vt:variant>
        <vt:i4>5</vt:i4>
      </vt:variant>
      <vt:variant>
        <vt:lpwstr>https://www.tga.gov.au/obstetric-drug-information-services</vt:lpwstr>
      </vt:variant>
      <vt:variant>
        <vt:lpwstr/>
      </vt:variant>
      <vt:variant>
        <vt:i4>2949173</vt:i4>
      </vt:variant>
      <vt:variant>
        <vt:i4>177</vt:i4>
      </vt:variant>
      <vt:variant>
        <vt:i4>0</vt:i4>
      </vt:variant>
      <vt:variant>
        <vt:i4>5</vt:i4>
      </vt:variant>
      <vt:variant>
        <vt:lpwstr>https://www.tga.gov.au/products/medicines/find-information-about-medicine/prescribing-medicines-pregnancy-database</vt:lpwstr>
      </vt:variant>
      <vt:variant>
        <vt:lpwstr/>
      </vt:variant>
      <vt:variant>
        <vt:i4>786511</vt:i4>
      </vt:variant>
      <vt:variant>
        <vt:i4>174</vt:i4>
      </vt:variant>
      <vt:variant>
        <vt:i4>0</vt:i4>
      </vt:variant>
      <vt:variant>
        <vt:i4>5</vt:i4>
      </vt:variant>
      <vt:variant>
        <vt:lpwstr>https://www.tga.gov.au/black-triangle-scheme</vt:lpwstr>
      </vt:variant>
      <vt:variant>
        <vt:lpwstr/>
      </vt:variant>
      <vt:variant>
        <vt:i4>1114160</vt:i4>
      </vt:variant>
      <vt:variant>
        <vt:i4>167</vt:i4>
      </vt:variant>
      <vt:variant>
        <vt:i4>0</vt:i4>
      </vt:variant>
      <vt:variant>
        <vt:i4>5</vt:i4>
      </vt:variant>
      <vt:variant>
        <vt:lpwstr/>
      </vt:variant>
      <vt:variant>
        <vt:lpwstr>_Toc222757546</vt:lpwstr>
      </vt:variant>
      <vt:variant>
        <vt:i4>1114160</vt:i4>
      </vt:variant>
      <vt:variant>
        <vt:i4>161</vt:i4>
      </vt:variant>
      <vt:variant>
        <vt:i4>0</vt:i4>
      </vt:variant>
      <vt:variant>
        <vt:i4>5</vt:i4>
      </vt:variant>
      <vt:variant>
        <vt:lpwstr/>
      </vt:variant>
      <vt:variant>
        <vt:lpwstr>_Toc222757545</vt:lpwstr>
      </vt:variant>
      <vt:variant>
        <vt:i4>1114160</vt:i4>
      </vt:variant>
      <vt:variant>
        <vt:i4>155</vt:i4>
      </vt:variant>
      <vt:variant>
        <vt:i4>0</vt:i4>
      </vt:variant>
      <vt:variant>
        <vt:i4>5</vt:i4>
      </vt:variant>
      <vt:variant>
        <vt:lpwstr/>
      </vt:variant>
      <vt:variant>
        <vt:lpwstr>_Toc222757544</vt:lpwstr>
      </vt:variant>
      <vt:variant>
        <vt:i4>1114160</vt:i4>
      </vt:variant>
      <vt:variant>
        <vt:i4>149</vt:i4>
      </vt:variant>
      <vt:variant>
        <vt:i4>0</vt:i4>
      </vt:variant>
      <vt:variant>
        <vt:i4>5</vt:i4>
      </vt:variant>
      <vt:variant>
        <vt:lpwstr/>
      </vt:variant>
      <vt:variant>
        <vt:lpwstr>_Toc222757543</vt:lpwstr>
      </vt:variant>
      <vt:variant>
        <vt:i4>1114160</vt:i4>
      </vt:variant>
      <vt:variant>
        <vt:i4>143</vt:i4>
      </vt:variant>
      <vt:variant>
        <vt:i4>0</vt:i4>
      </vt:variant>
      <vt:variant>
        <vt:i4>5</vt:i4>
      </vt:variant>
      <vt:variant>
        <vt:lpwstr/>
      </vt:variant>
      <vt:variant>
        <vt:lpwstr>_Toc222757542</vt:lpwstr>
      </vt:variant>
      <vt:variant>
        <vt:i4>1114160</vt:i4>
      </vt:variant>
      <vt:variant>
        <vt:i4>137</vt:i4>
      </vt:variant>
      <vt:variant>
        <vt:i4>0</vt:i4>
      </vt:variant>
      <vt:variant>
        <vt:i4>5</vt:i4>
      </vt:variant>
      <vt:variant>
        <vt:lpwstr/>
      </vt:variant>
      <vt:variant>
        <vt:lpwstr>_Toc222757541</vt:lpwstr>
      </vt:variant>
      <vt:variant>
        <vt:i4>1114160</vt:i4>
      </vt:variant>
      <vt:variant>
        <vt:i4>131</vt:i4>
      </vt:variant>
      <vt:variant>
        <vt:i4>0</vt:i4>
      </vt:variant>
      <vt:variant>
        <vt:i4>5</vt:i4>
      </vt:variant>
      <vt:variant>
        <vt:lpwstr/>
      </vt:variant>
      <vt:variant>
        <vt:lpwstr>_Toc222757540</vt:lpwstr>
      </vt:variant>
      <vt:variant>
        <vt:i4>1441840</vt:i4>
      </vt:variant>
      <vt:variant>
        <vt:i4>125</vt:i4>
      </vt:variant>
      <vt:variant>
        <vt:i4>0</vt:i4>
      </vt:variant>
      <vt:variant>
        <vt:i4>5</vt:i4>
      </vt:variant>
      <vt:variant>
        <vt:lpwstr/>
      </vt:variant>
      <vt:variant>
        <vt:lpwstr>_Toc222757539</vt:lpwstr>
      </vt:variant>
      <vt:variant>
        <vt:i4>1441840</vt:i4>
      </vt:variant>
      <vt:variant>
        <vt:i4>119</vt:i4>
      </vt:variant>
      <vt:variant>
        <vt:i4>0</vt:i4>
      </vt:variant>
      <vt:variant>
        <vt:i4>5</vt:i4>
      </vt:variant>
      <vt:variant>
        <vt:lpwstr/>
      </vt:variant>
      <vt:variant>
        <vt:lpwstr>_Toc222757538</vt:lpwstr>
      </vt:variant>
      <vt:variant>
        <vt:i4>1441840</vt:i4>
      </vt:variant>
      <vt:variant>
        <vt:i4>113</vt:i4>
      </vt:variant>
      <vt:variant>
        <vt:i4>0</vt:i4>
      </vt:variant>
      <vt:variant>
        <vt:i4>5</vt:i4>
      </vt:variant>
      <vt:variant>
        <vt:lpwstr/>
      </vt:variant>
      <vt:variant>
        <vt:lpwstr>_Toc222757537</vt:lpwstr>
      </vt:variant>
      <vt:variant>
        <vt:i4>1441840</vt:i4>
      </vt:variant>
      <vt:variant>
        <vt:i4>107</vt:i4>
      </vt:variant>
      <vt:variant>
        <vt:i4>0</vt:i4>
      </vt:variant>
      <vt:variant>
        <vt:i4>5</vt:i4>
      </vt:variant>
      <vt:variant>
        <vt:lpwstr/>
      </vt:variant>
      <vt:variant>
        <vt:lpwstr>_Toc222757536</vt:lpwstr>
      </vt:variant>
      <vt:variant>
        <vt:i4>1441840</vt:i4>
      </vt:variant>
      <vt:variant>
        <vt:i4>101</vt:i4>
      </vt:variant>
      <vt:variant>
        <vt:i4>0</vt:i4>
      </vt:variant>
      <vt:variant>
        <vt:i4>5</vt:i4>
      </vt:variant>
      <vt:variant>
        <vt:lpwstr/>
      </vt:variant>
      <vt:variant>
        <vt:lpwstr>_Toc222757535</vt:lpwstr>
      </vt:variant>
      <vt:variant>
        <vt:i4>1441840</vt:i4>
      </vt:variant>
      <vt:variant>
        <vt:i4>95</vt:i4>
      </vt:variant>
      <vt:variant>
        <vt:i4>0</vt:i4>
      </vt:variant>
      <vt:variant>
        <vt:i4>5</vt:i4>
      </vt:variant>
      <vt:variant>
        <vt:lpwstr/>
      </vt:variant>
      <vt:variant>
        <vt:lpwstr>_Toc222757534</vt:lpwstr>
      </vt:variant>
      <vt:variant>
        <vt:i4>1441840</vt:i4>
      </vt:variant>
      <vt:variant>
        <vt:i4>89</vt:i4>
      </vt:variant>
      <vt:variant>
        <vt:i4>0</vt:i4>
      </vt:variant>
      <vt:variant>
        <vt:i4>5</vt:i4>
      </vt:variant>
      <vt:variant>
        <vt:lpwstr/>
      </vt:variant>
      <vt:variant>
        <vt:lpwstr>_Toc222757533</vt:lpwstr>
      </vt:variant>
      <vt:variant>
        <vt:i4>1441840</vt:i4>
      </vt:variant>
      <vt:variant>
        <vt:i4>83</vt:i4>
      </vt:variant>
      <vt:variant>
        <vt:i4>0</vt:i4>
      </vt:variant>
      <vt:variant>
        <vt:i4>5</vt:i4>
      </vt:variant>
      <vt:variant>
        <vt:lpwstr/>
      </vt:variant>
      <vt:variant>
        <vt:lpwstr>_Toc222757532</vt:lpwstr>
      </vt:variant>
      <vt:variant>
        <vt:i4>1441840</vt:i4>
      </vt:variant>
      <vt:variant>
        <vt:i4>77</vt:i4>
      </vt:variant>
      <vt:variant>
        <vt:i4>0</vt:i4>
      </vt:variant>
      <vt:variant>
        <vt:i4>5</vt:i4>
      </vt:variant>
      <vt:variant>
        <vt:lpwstr/>
      </vt:variant>
      <vt:variant>
        <vt:lpwstr>_Toc222757531</vt:lpwstr>
      </vt:variant>
      <vt:variant>
        <vt:i4>1441840</vt:i4>
      </vt:variant>
      <vt:variant>
        <vt:i4>71</vt:i4>
      </vt:variant>
      <vt:variant>
        <vt:i4>0</vt:i4>
      </vt:variant>
      <vt:variant>
        <vt:i4>5</vt:i4>
      </vt:variant>
      <vt:variant>
        <vt:lpwstr/>
      </vt:variant>
      <vt:variant>
        <vt:lpwstr>_Toc222757530</vt:lpwstr>
      </vt:variant>
      <vt:variant>
        <vt:i4>1507376</vt:i4>
      </vt:variant>
      <vt:variant>
        <vt:i4>65</vt:i4>
      </vt:variant>
      <vt:variant>
        <vt:i4>0</vt:i4>
      </vt:variant>
      <vt:variant>
        <vt:i4>5</vt:i4>
      </vt:variant>
      <vt:variant>
        <vt:lpwstr/>
      </vt:variant>
      <vt:variant>
        <vt:lpwstr>_Toc222757529</vt:lpwstr>
      </vt:variant>
      <vt:variant>
        <vt:i4>1507376</vt:i4>
      </vt:variant>
      <vt:variant>
        <vt:i4>59</vt:i4>
      </vt:variant>
      <vt:variant>
        <vt:i4>0</vt:i4>
      </vt:variant>
      <vt:variant>
        <vt:i4>5</vt:i4>
      </vt:variant>
      <vt:variant>
        <vt:lpwstr/>
      </vt:variant>
      <vt:variant>
        <vt:lpwstr>_Toc222757528</vt:lpwstr>
      </vt:variant>
      <vt:variant>
        <vt:i4>1507376</vt:i4>
      </vt:variant>
      <vt:variant>
        <vt:i4>53</vt:i4>
      </vt:variant>
      <vt:variant>
        <vt:i4>0</vt:i4>
      </vt:variant>
      <vt:variant>
        <vt:i4>5</vt:i4>
      </vt:variant>
      <vt:variant>
        <vt:lpwstr/>
      </vt:variant>
      <vt:variant>
        <vt:lpwstr>_Toc222757527</vt:lpwstr>
      </vt:variant>
      <vt:variant>
        <vt:i4>1507376</vt:i4>
      </vt:variant>
      <vt:variant>
        <vt:i4>47</vt:i4>
      </vt:variant>
      <vt:variant>
        <vt:i4>0</vt:i4>
      </vt:variant>
      <vt:variant>
        <vt:i4>5</vt:i4>
      </vt:variant>
      <vt:variant>
        <vt:lpwstr/>
      </vt:variant>
      <vt:variant>
        <vt:lpwstr>_Toc222757526</vt:lpwstr>
      </vt:variant>
      <vt:variant>
        <vt:i4>1507376</vt:i4>
      </vt:variant>
      <vt:variant>
        <vt:i4>41</vt:i4>
      </vt:variant>
      <vt:variant>
        <vt:i4>0</vt:i4>
      </vt:variant>
      <vt:variant>
        <vt:i4>5</vt:i4>
      </vt:variant>
      <vt:variant>
        <vt:lpwstr/>
      </vt:variant>
      <vt:variant>
        <vt:lpwstr>_Toc222757525</vt:lpwstr>
      </vt:variant>
      <vt:variant>
        <vt:i4>1507376</vt:i4>
      </vt:variant>
      <vt:variant>
        <vt:i4>35</vt:i4>
      </vt:variant>
      <vt:variant>
        <vt:i4>0</vt:i4>
      </vt:variant>
      <vt:variant>
        <vt:i4>5</vt:i4>
      </vt:variant>
      <vt:variant>
        <vt:lpwstr/>
      </vt:variant>
      <vt:variant>
        <vt:lpwstr>_Toc222757524</vt:lpwstr>
      </vt:variant>
      <vt:variant>
        <vt:i4>1507376</vt:i4>
      </vt:variant>
      <vt:variant>
        <vt:i4>29</vt:i4>
      </vt:variant>
      <vt:variant>
        <vt:i4>0</vt:i4>
      </vt:variant>
      <vt:variant>
        <vt:i4>5</vt:i4>
      </vt:variant>
      <vt:variant>
        <vt:lpwstr/>
      </vt:variant>
      <vt:variant>
        <vt:lpwstr>_Toc222757523</vt:lpwstr>
      </vt:variant>
      <vt:variant>
        <vt:i4>1507376</vt:i4>
      </vt:variant>
      <vt:variant>
        <vt:i4>23</vt:i4>
      </vt:variant>
      <vt:variant>
        <vt:i4>0</vt:i4>
      </vt:variant>
      <vt:variant>
        <vt:i4>5</vt:i4>
      </vt:variant>
      <vt:variant>
        <vt:lpwstr/>
      </vt:variant>
      <vt:variant>
        <vt:lpwstr>_Toc222757522</vt:lpwstr>
      </vt:variant>
      <vt:variant>
        <vt:i4>1507376</vt:i4>
      </vt:variant>
      <vt:variant>
        <vt:i4>17</vt:i4>
      </vt:variant>
      <vt:variant>
        <vt:i4>0</vt:i4>
      </vt:variant>
      <vt:variant>
        <vt:i4>5</vt:i4>
      </vt:variant>
      <vt:variant>
        <vt:lpwstr/>
      </vt:variant>
      <vt:variant>
        <vt:lpwstr>_Toc222757521</vt:lpwstr>
      </vt:variant>
      <vt:variant>
        <vt:i4>1507376</vt:i4>
      </vt:variant>
      <vt:variant>
        <vt:i4>11</vt:i4>
      </vt:variant>
      <vt:variant>
        <vt:i4>0</vt:i4>
      </vt:variant>
      <vt:variant>
        <vt:i4>5</vt:i4>
      </vt:variant>
      <vt:variant>
        <vt:lpwstr/>
      </vt:variant>
      <vt:variant>
        <vt:lpwstr>_Toc222757520</vt:lpwstr>
      </vt:variant>
      <vt:variant>
        <vt:i4>6291548</vt:i4>
      </vt:variant>
      <vt:variant>
        <vt:i4>6</vt:i4>
      </vt:variant>
      <vt:variant>
        <vt:i4>0</vt:i4>
      </vt:variant>
      <vt:variant>
        <vt:i4>5</vt:i4>
      </vt:variant>
      <vt:variant>
        <vt:lpwstr>mailto:tga.copyright@tga.gov.au</vt:lpwstr>
      </vt:variant>
      <vt:variant>
        <vt:lpwstr/>
      </vt:variant>
      <vt:variant>
        <vt:i4>7995497</vt:i4>
      </vt:variant>
      <vt:variant>
        <vt:i4>3</vt:i4>
      </vt:variant>
      <vt:variant>
        <vt:i4>0</vt:i4>
      </vt:variant>
      <vt:variant>
        <vt:i4>5</vt:i4>
      </vt:variant>
      <vt:variant>
        <vt:lpwstr>https://www.tga.gov.au/australian-public-assessment-report-auspar-guidance</vt:lpwstr>
      </vt:variant>
      <vt:variant>
        <vt:lpwstr/>
      </vt:variant>
      <vt:variant>
        <vt:i4>3473445</vt:i4>
      </vt:variant>
      <vt:variant>
        <vt:i4>0</vt:i4>
      </vt:variant>
      <vt:variant>
        <vt:i4>0</vt:i4>
      </vt:variant>
      <vt:variant>
        <vt:i4>5</vt:i4>
      </vt:variant>
      <vt:variant>
        <vt:lpwstr>https://www.tga.gov.au/</vt:lpwstr>
      </vt:variant>
      <vt:variant>
        <vt:lpwstr/>
      </vt:variant>
      <vt:variant>
        <vt:i4>7209079</vt:i4>
      </vt:variant>
      <vt:variant>
        <vt:i4>33</vt:i4>
      </vt:variant>
      <vt:variant>
        <vt:i4>0</vt:i4>
      </vt:variant>
      <vt:variant>
        <vt:i4>5</vt:i4>
      </vt:variant>
      <vt:variant>
        <vt:lpwstr>http://gdms.pfizer.com/gdms/index.jsp</vt:lpwstr>
      </vt:variant>
      <vt:variant>
        <vt:lpwstr>gdms[GDMS%20Regulatory%20Archive]/090177e1a14590b4</vt:lpwstr>
      </vt:variant>
      <vt:variant>
        <vt:i4>3801207</vt:i4>
      </vt:variant>
      <vt:variant>
        <vt:i4>30</vt:i4>
      </vt:variant>
      <vt:variant>
        <vt:i4>0</vt:i4>
      </vt:variant>
      <vt:variant>
        <vt:i4>5</vt:i4>
      </vt:variant>
      <vt:variant>
        <vt:lpwstr>http://gdms.pfizer.com/gdms/index.jsp</vt:lpwstr>
      </vt:variant>
      <vt:variant>
        <vt:lpwstr>gdms[GDMS%20Regulatory%20Archive]/090177e1a0e5852d</vt:lpwstr>
      </vt:variant>
      <vt:variant>
        <vt:i4>3735597</vt:i4>
      </vt:variant>
      <vt:variant>
        <vt:i4>27</vt:i4>
      </vt:variant>
      <vt:variant>
        <vt:i4>0</vt:i4>
      </vt:variant>
      <vt:variant>
        <vt:i4>5</vt:i4>
      </vt:variant>
      <vt:variant>
        <vt:lpwstr>http://gdms.pfizer.com/gdms/index.jsp</vt:lpwstr>
      </vt:variant>
      <vt:variant>
        <vt:lpwstr>gdms[GDMS%20Regulatory%20Archive]/090177e19e9f66bb</vt:lpwstr>
      </vt:variant>
      <vt:variant>
        <vt:i4>589879</vt:i4>
      </vt:variant>
      <vt:variant>
        <vt:i4>24</vt:i4>
      </vt:variant>
      <vt:variant>
        <vt:i4>0</vt:i4>
      </vt:variant>
      <vt:variant>
        <vt:i4>5</vt:i4>
      </vt:variant>
      <vt:variant>
        <vt:lpwstr>mailto:SHAPIA09@pfizer.com</vt:lpwstr>
      </vt:variant>
      <vt:variant>
        <vt:lpwstr/>
      </vt:variant>
      <vt:variant>
        <vt:i4>4259939</vt:i4>
      </vt:variant>
      <vt:variant>
        <vt:i4>21</vt:i4>
      </vt:variant>
      <vt:variant>
        <vt:i4>0</vt:i4>
      </vt:variant>
      <vt:variant>
        <vt:i4>5</vt:i4>
      </vt:variant>
      <vt:variant>
        <vt:lpwstr>mailto:MVNB@pfizer.com</vt:lpwstr>
      </vt:variant>
      <vt:variant>
        <vt:lpwstr/>
      </vt:variant>
      <vt:variant>
        <vt:i4>54</vt:i4>
      </vt:variant>
      <vt:variant>
        <vt:i4>18</vt:i4>
      </vt:variant>
      <vt:variant>
        <vt:i4>0</vt:i4>
      </vt:variant>
      <vt:variant>
        <vt:i4>5</vt:i4>
      </vt:variant>
      <vt:variant>
        <vt:lpwstr>mailto:REIDS07@pfizer.com</vt:lpwstr>
      </vt:variant>
      <vt:variant>
        <vt:lpwstr/>
      </vt:variant>
      <vt:variant>
        <vt:i4>4259939</vt:i4>
      </vt:variant>
      <vt:variant>
        <vt:i4>15</vt:i4>
      </vt:variant>
      <vt:variant>
        <vt:i4>0</vt:i4>
      </vt:variant>
      <vt:variant>
        <vt:i4>5</vt:i4>
      </vt:variant>
      <vt:variant>
        <vt:lpwstr>mailto:MVNB@pfizer.com</vt:lpwstr>
      </vt:variant>
      <vt:variant>
        <vt:lpwstr/>
      </vt:variant>
      <vt:variant>
        <vt:i4>655458</vt:i4>
      </vt:variant>
      <vt:variant>
        <vt:i4>12</vt:i4>
      </vt:variant>
      <vt:variant>
        <vt:i4>0</vt:i4>
      </vt:variant>
      <vt:variant>
        <vt:i4>5</vt:i4>
      </vt:variant>
      <vt:variant>
        <vt:lpwstr>mailto:MARTD131@pfizer.com</vt:lpwstr>
      </vt:variant>
      <vt:variant>
        <vt:lpwstr/>
      </vt:variant>
      <vt:variant>
        <vt:i4>4259939</vt:i4>
      </vt:variant>
      <vt:variant>
        <vt:i4>9</vt:i4>
      </vt:variant>
      <vt:variant>
        <vt:i4>0</vt:i4>
      </vt:variant>
      <vt:variant>
        <vt:i4>5</vt:i4>
      </vt:variant>
      <vt:variant>
        <vt:lpwstr>mailto:MVNB@pfizer.com</vt:lpwstr>
      </vt:variant>
      <vt:variant>
        <vt:lpwstr/>
      </vt:variant>
      <vt:variant>
        <vt:i4>655458</vt:i4>
      </vt:variant>
      <vt:variant>
        <vt:i4>6</vt:i4>
      </vt:variant>
      <vt:variant>
        <vt:i4>0</vt:i4>
      </vt:variant>
      <vt:variant>
        <vt:i4>5</vt:i4>
      </vt:variant>
      <vt:variant>
        <vt:lpwstr>mailto:MARTD131@pfizer.com</vt:lpwstr>
      </vt:variant>
      <vt:variant>
        <vt:lpwstr/>
      </vt:variant>
      <vt:variant>
        <vt:i4>2883606</vt:i4>
      </vt:variant>
      <vt:variant>
        <vt:i4>3</vt:i4>
      </vt:variant>
      <vt:variant>
        <vt:i4>0</vt:i4>
      </vt:variant>
      <vt:variant>
        <vt:i4>5</vt:i4>
      </vt:variant>
      <vt:variant>
        <vt:lpwstr>mailto:PAPANA@pfizer.com</vt:lpwstr>
      </vt:variant>
      <vt:variant>
        <vt:lpwstr/>
      </vt:variant>
      <vt:variant>
        <vt:i4>8126529</vt:i4>
      </vt:variant>
      <vt:variant>
        <vt:i4>0</vt:i4>
      </vt:variant>
      <vt:variant>
        <vt:i4>0</vt:i4>
      </vt:variant>
      <vt:variant>
        <vt:i4>5</vt:i4>
      </vt:variant>
      <vt:variant>
        <vt:lpwstr>mailto:YUK31@pfizer.com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Ixifi</dc:title>
  <dc:subject>Prescription medicines</dc:subject>
  <dc:creator>Therapeutic Goods Administration</dc:creator>
  <cp:keywords/>
  <dc:description/>
  <dcterms:created xsi:type="dcterms:W3CDTF">2026-03-23T00:15:00Z</dcterms:created>
  <dcterms:modified xsi:type="dcterms:W3CDTF">2026-03-23T03:22:00Z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2026-02-05T03:58:03Z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a7f28992-bbca-4171-9000-7e6d1a7d001b</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y fmtid="{D5CDD505-2E9C-101B-9397-08002B2CF9AE}" pid="10" name="MSIP_Label_4791b42f-c435-42ca-9531-75a3f42aae3d_Enabled">
    <vt:lpwstr>true</vt:lpwstr>
  </property>
  <property fmtid="{D5CDD505-2E9C-101B-9397-08002B2CF9AE}" pid="11" name="MSIP_Label_4791b42f-c435-42ca-9531-75a3f42aae3d_SetDate">
    <vt:lpwstr>2026-02-24T02:39:50Z</vt:lpwstr>
  </property>
  <property fmtid="{D5CDD505-2E9C-101B-9397-08002B2CF9AE}" pid="12" name="MSIP_Label_4791b42f-c435-42ca-9531-75a3f42aae3d_Method">
    <vt:lpwstr>Privileged</vt:lpwstr>
  </property>
  <property fmtid="{D5CDD505-2E9C-101B-9397-08002B2CF9AE}" pid="13" name="MSIP_Label_4791b42f-c435-42ca-9531-75a3f42aae3d_Name">
    <vt:lpwstr>4791b42f-c435-42ca-9531-75a3f42aae3d</vt:lpwstr>
  </property>
  <property fmtid="{D5CDD505-2E9C-101B-9397-08002B2CF9AE}" pid="14" name="MSIP_Label_4791b42f-c435-42ca-9531-75a3f42aae3d_SiteId">
    <vt:lpwstr>7a916015-20ae-4ad1-9170-eefd915e9272</vt:lpwstr>
  </property>
  <property fmtid="{D5CDD505-2E9C-101B-9397-08002B2CF9AE}" pid="15" name="MSIP_Label_4791b42f-c435-42ca-9531-75a3f42aae3d_ActionId">
    <vt:lpwstr>9796445d-8f79-4224-baf2-7a04f76e89b7</vt:lpwstr>
  </property>
  <property fmtid="{D5CDD505-2E9C-101B-9397-08002B2CF9AE}" pid="16" name="MSIP_Label_4791b42f-c435-42ca-9531-75a3f42aae3d_ContentBits">
    <vt:lpwstr>0</vt:lpwstr>
  </property>
  <property fmtid="{D5CDD505-2E9C-101B-9397-08002B2CF9AE}" pid="17" name="MSIP_Label_4791b42f-c435-42ca-9531-75a3f42aae3d_Tag">
    <vt:lpwstr>10, 0, 1, 1</vt:lpwstr>
  </property>
  <property fmtid="{D5CDD505-2E9C-101B-9397-08002B2CF9AE}" pid="18" name="ContentTypeId">
    <vt:lpwstr>0x0101002C99704C394FDD47A3E76ED9B52E3637</vt:lpwstr>
  </property>
  <property fmtid="{D5CDD505-2E9C-101B-9397-08002B2CF9AE}" pid="19" name="docLang">
    <vt:lpwstr>en</vt:lpwstr>
  </property>
</Properties>
</file>