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72C05028" w:rsidR="00F02AEC" w:rsidRPr="00215D48" w:rsidRDefault="00346EC2" w:rsidP="007452E8">
            <w:pPr>
              <w:pStyle w:val="Title"/>
            </w:pPr>
            <w:r w:rsidRPr="00346EC2">
              <w:t xml:space="preserve">Australian Public Assessment Report for </w:t>
            </w:r>
            <w:r w:rsidR="00E97FD8" w:rsidRPr="00E97FD8">
              <w:t>EPYZTEK</w:t>
            </w:r>
          </w:p>
        </w:tc>
      </w:tr>
      <w:tr w:rsidR="00F02AEC" w:rsidRPr="00215D48" w14:paraId="318A40A3" w14:textId="77777777" w:rsidTr="00346EC2">
        <w:trPr>
          <w:trHeight w:val="995"/>
        </w:trPr>
        <w:tc>
          <w:tcPr>
            <w:tcW w:w="8720" w:type="dxa"/>
          </w:tcPr>
          <w:p w14:paraId="1AA7C701" w14:textId="2E28BEBC" w:rsidR="00F02AEC" w:rsidRPr="00215D48" w:rsidRDefault="00346EC2" w:rsidP="007452E8">
            <w:pPr>
              <w:pStyle w:val="Subtitle"/>
              <w:ind w:left="0"/>
            </w:pPr>
            <w:r w:rsidRPr="00346EC2">
              <w:t xml:space="preserve">Active ingredient: </w:t>
            </w:r>
            <w:r w:rsidR="00254060">
              <w:t>U</w:t>
            </w:r>
            <w:r w:rsidR="00254060" w:rsidRPr="00254060">
              <w:t>stekinumab</w:t>
            </w:r>
          </w:p>
        </w:tc>
      </w:tr>
      <w:tr w:rsidR="00346EC2" w:rsidRPr="00215D48" w14:paraId="362CCAE4" w14:textId="77777777" w:rsidTr="007452E8">
        <w:trPr>
          <w:trHeight w:val="1916"/>
        </w:trPr>
        <w:tc>
          <w:tcPr>
            <w:tcW w:w="8720" w:type="dxa"/>
          </w:tcPr>
          <w:p w14:paraId="709C45C0" w14:textId="6B9BE82D" w:rsidR="00346EC2" w:rsidRPr="00215D48" w:rsidRDefault="00346EC2" w:rsidP="007452E8">
            <w:pPr>
              <w:pStyle w:val="Subtitle"/>
              <w:ind w:left="0"/>
            </w:pPr>
            <w:r w:rsidRPr="00346EC2">
              <w:t>Sponsor:</w:t>
            </w:r>
            <w:r w:rsidR="003276F5">
              <w:t xml:space="preserve"> </w:t>
            </w:r>
            <w:r w:rsidR="003276F5" w:rsidRPr="003276F5">
              <w:t>Samsung Bioepis AU Pty Ltd</w:t>
            </w:r>
          </w:p>
        </w:tc>
      </w:tr>
      <w:tr w:rsidR="00F02AEC" w:rsidRPr="00215D48" w14:paraId="37F2AA1F" w14:textId="77777777" w:rsidTr="007452E8">
        <w:tc>
          <w:tcPr>
            <w:tcW w:w="8720" w:type="dxa"/>
          </w:tcPr>
          <w:p w14:paraId="1FDE8DCD" w14:textId="5BE1298F" w:rsidR="00F02AEC" w:rsidRPr="00215D48" w:rsidRDefault="00A21D11" w:rsidP="007452E8">
            <w:pPr>
              <w:pStyle w:val="Date"/>
            </w:pPr>
            <w:r>
              <w:t>March</w:t>
            </w:r>
            <w:r w:rsidR="003276F5">
              <w:t xml:space="preserve"> 2026</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88D460A"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5CA6EFD4"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685CAEB" w:rsidR="00F02AEC" w:rsidRPr="00E1198B" w:rsidRDefault="004B33FE" w:rsidP="00FE087C">
      <w:pPr>
        <w:pStyle w:val="LegalSubheading"/>
        <w:spacing w:before="3600"/>
      </w:pPr>
      <w:r>
        <w:t xml:space="preserve">   </w:t>
      </w:r>
      <w:r w:rsidR="00F02AEC" w:rsidRPr="00BA0DFC">
        <w:t>Copyright</w:t>
      </w:r>
    </w:p>
    <w:p w14:paraId="170A8A5D" w14:textId="69F3DDDD" w:rsidR="00175CD8" w:rsidRPr="00346EC2" w:rsidRDefault="00F02AEC" w:rsidP="00346EC2">
      <w:pPr>
        <w:pStyle w:val="LegalCopy"/>
        <w:rPr>
          <w:rFonts w:cs="Arial"/>
        </w:rPr>
      </w:pPr>
      <w:r w:rsidRPr="00215D48">
        <w:rPr>
          <w:rFonts w:cs="Arial"/>
        </w:rPr>
        <w:t>© Commonwealth of Australia 20</w:t>
      </w:r>
      <w:r>
        <w:rPr>
          <w:rFonts w:cs="Arial"/>
        </w:rPr>
        <w:t>2</w:t>
      </w:r>
      <w:r w:rsidR="00596A84">
        <w:rPr>
          <w:rFonts w:cs="Arial"/>
        </w:rPr>
        <w:t>6</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eastAsia="Batang"/>
          <w:szCs w:val="20"/>
        </w:rPr>
      </w:sdtEndPr>
      <w:sdtContent>
        <w:p w14:paraId="0A6ADA2B" w14:textId="77777777" w:rsidR="00F02AEC" w:rsidRPr="00215D48" w:rsidRDefault="00F02AEC" w:rsidP="007452E8">
          <w:pPr>
            <w:pStyle w:val="NonTOCheading2"/>
          </w:pPr>
          <w:r w:rsidRPr="00215D48">
            <w:t>Contents</w:t>
          </w:r>
        </w:p>
        <w:p w14:paraId="1276B506" w14:textId="419B7FBF" w:rsidR="004B33FE"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25257699" w:history="1">
            <w:r w:rsidR="004B33FE" w:rsidRPr="00032C69">
              <w:rPr>
                <w:rStyle w:val="Hyperlink"/>
                <w:noProof/>
              </w:rPr>
              <w:t>List of abbreviations</w:t>
            </w:r>
            <w:r w:rsidR="004B33FE">
              <w:rPr>
                <w:noProof/>
                <w:webHidden/>
              </w:rPr>
              <w:tab/>
            </w:r>
            <w:r w:rsidR="004B33FE">
              <w:rPr>
                <w:noProof/>
                <w:webHidden/>
              </w:rPr>
              <w:fldChar w:fldCharType="begin"/>
            </w:r>
            <w:r w:rsidR="004B33FE">
              <w:rPr>
                <w:noProof/>
                <w:webHidden/>
              </w:rPr>
              <w:instrText xml:space="preserve"> PAGEREF _Toc225257699 \h </w:instrText>
            </w:r>
            <w:r w:rsidR="004B33FE">
              <w:rPr>
                <w:noProof/>
                <w:webHidden/>
              </w:rPr>
            </w:r>
            <w:r w:rsidR="004B33FE">
              <w:rPr>
                <w:noProof/>
                <w:webHidden/>
              </w:rPr>
              <w:fldChar w:fldCharType="separate"/>
            </w:r>
            <w:r w:rsidR="004B33FE">
              <w:rPr>
                <w:noProof/>
                <w:webHidden/>
              </w:rPr>
              <w:t>4</w:t>
            </w:r>
            <w:r w:rsidR="004B33FE">
              <w:rPr>
                <w:noProof/>
                <w:webHidden/>
              </w:rPr>
              <w:fldChar w:fldCharType="end"/>
            </w:r>
          </w:hyperlink>
        </w:p>
        <w:p w14:paraId="6F0B6DFC" w14:textId="346032F0" w:rsidR="004B33FE" w:rsidRDefault="004B33F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257700" w:history="1">
            <w:r w:rsidRPr="00032C69">
              <w:rPr>
                <w:rStyle w:val="Hyperlink"/>
                <w:noProof/>
              </w:rPr>
              <w:t>Product submission</w:t>
            </w:r>
            <w:r>
              <w:rPr>
                <w:noProof/>
                <w:webHidden/>
              </w:rPr>
              <w:tab/>
            </w:r>
            <w:r>
              <w:rPr>
                <w:noProof/>
                <w:webHidden/>
              </w:rPr>
              <w:fldChar w:fldCharType="begin"/>
            </w:r>
            <w:r>
              <w:rPr>
                <w:noProof/>
                <w:webHidden/>
              </w:rPr>
              <w:instrText xml:space="preserve"> PAGEREF _Toc225257700 \h </w:instrText>
            </w:r>
            <w:r>
              <w:rPr>
                <w:noProof/>
                <w:webHidden/>
              </w:rPr>
            </w:r>
            <w:r>
              <w:rPr>
                <w:noProof/>
                <w:webHidden/>
              </w:rPr>
              <w:fldChar w:fldCharType="separate"/>
            </w:r>
            <w:r>
              <w:rPr>
                <w:noProof/>
                <w:webHidden/>
              </w:rPr>
              <w:t>5</w:t>
            </w:r>
            <w:r>
              <w:rPr>
                <w:noProof/>
                <w:webHidden/>
              </w:rPr>
              <w:fldChar w:fldCharType="end"/>
            </w:r>
          </w:hyperlink>
        </w:p>
        <w:p w14:paraId="24874F57" w14:textId="2CA2F454" w:rsidR="004B33FE" w:rsidRDefault="004B33FE">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257701" w:history="1">
            <w:r w:rsidRPr="00032C69">
              <w:rPr>
                <w:rStyle w:val="Hyperlink"/>
                <w:noProof/>
                <w:lang w:eastAsia="en-AU"/>
              </w:rPr>
              <w:t>Submission details</w:t>
            </w:r>
            <w:r>
              <w:rPr>
                <w:noProof/>
                <w:webHidden/>
              </w:rPr>
              <w:tab/>
            </w:r>
            <w:r>
              <w:rPr>
                <w:noProof/>
                <w:webHidden/>
              </w:rPr>
              <w:fldChar w:fldCharType="begin"/>
            </w:r>
            <w:r>
              <w:rPr>
                <w:noProof/>
                <w:webHidden/>
              </w:rPr>
              <w:instrText xml:space="preserve"> PAGEREF _Toc225257701 \h </w:instrText>
            </w:r>
            <w:r>
              <w:rPr>
                <w:noProof/>
                <w:webHidden/>
              </w:rPr>
            </w:r>
            <w:r>
              <w:rPr>
                <w:noProof/>
                <w:webHidden/>
              </w:rPr>
              <w:fldChar w:fldCharType="separate"/>
            </w:r>
            <w:r>
              <w:rPr>
                <w:noProof/>
                <w:webHidden/>
              </w:rPr>
              <w:t>5</w:t>
            </w:r>
            <w:r>
              <w:rPr>
                <w:noProof/>
                <w:webHidden/>
              </w:rPr>
              <w:fldChar w:fldCharType="end"/>
            </w:r>
          </w:hyperlink>
        </w:p>
        <w:p w14:paraId="75FB7A91" w14:textId="1F755F96" w:rsidR="004B33FE" w:rsidRDefault="004B33FE">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257702" w:history="1">
            <w:r w:rsidRPr="00032C69">
              <w:rPr>
                <w:rStyle w:val="Hyperlink"/>
                <w:noProof/>
              </w:rPr>
              <w:t>Product background</w:t>
            </w:r>
            <w:r>
              <w:rPr>
                <w:noProof/>
                <w:webHidden/>
              </w:rPr>
              <w:tab/>
            </w:r>
            <w:r>
              <w:rPr>
                <w:noProof/>
                <w:webHidden/>
              </w:rPr>
              <w:fldChar w:fldCharType="begin"/>
            </w:r>
            <w:r>
              <w:rPr>
                <w:noProof/>
                <w:webHidden/>
              </w:rPr>
              <w:instrText xml:space="preserve"> PAGEREF _Toc225257702 \h </w:instrText>
            </w:r>
            <w:r>
              <w:rPr>
                <w:noProof/>
                <w:webHidden/>
              </w:rPr>
            </w:r>
            <w:r>
              <w:rPr>
                <w:noProof/>
                <w:webHidden/>
              </w:rPr>
              <w:fldChar w:fldCharType="separate"/>
            </w:r>
            <w:r>
              <w:rPr>
                <w:noProof/>
                <w:webHidden/>
              </w:rPr>
              <w:t>7</w:t>
            </w:r>
            <w:r>
              <w:rPr>
                <w:noProof/>
                <w:webHidden/>
              </w:rPr>
              <w:fldChar w:fldCharType="end"/>
            </w:r>
          </w:hyperlink>
        </w:p>
        <w:p w14:paraId="4B9A1532" w14:textId="6EDD35A2"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03" w:history="1">
            <w:r w:rsidRPr="00032C69">
              <w:rPr>
                <w:rStyle w:val="Hyperlink"/>
                <w:noProof/>
              </w:rPr>
              <w:t>Disease or condition</w:t>
            </w:r>
            <w:r>
              <w:rPr>
                <w:noProof/>
                <w:webHidden/>
              </w:rPr>
              <w:tab/>
            </w:r>
            <w:r>
              <w:rPr>
                <w:noProof/>
                <w:webHidden/>
              </w:rPr>
              <w:fldChar w:fldCharType="begin"/>
            </w:r>
            <w:r>
              <w:rPr>
                <w:noProof/>
                <w:webHidden/>
              </w:rPr>
              <w:instrText xml:space="preserve"> PAGEREF _Toc225257703 \h </w:instrText>
            </w:r>
            <w:r>
              <w:rPr>
                <w:noProof/>
                <w:webHidden/>
              </w:rPr>
            </w:r>
            <w:r>
              <w:rPr>
                <w:noProof/>
                <w:webHidden/>
              </w:rPr>
              <w:fldChar w:fldCharType="separate"/>
            </w:r>
            <w:r>
              <w:rPr>
                <w:noProof/>
                <w:webHidden/>
              </w:rPr>
              <w:t>8</w:t>
            </w:r>
            <w:r>
              <w:rPr>
                <w:noProof/>
                <w:webHidden/>
              </w:rPr>
              <w:fldChar w:fldCharType="end"/>
            </w:r>
          </w:hyperlink>
        </w:p>
        <w:p w14:paraId="712BF734" w14:textId="62BA8375"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04" w:history="1">
            <w:r w:rsidRPr="00032C69">
              <w:rPr>
                <w:rStyle w:val="Hyperlink"/>
                <w:noProof/>
              </w:rPr>
              <w:t>Current treatment options</w:t>
            </w:r>
            <w:r>
              <w:rPr>
                <w:noProof/>
                <w:webHidden/>
              </w:rPr>
              <w:tab/>
            </w:r>
            <w:r>
              <w:rPr>
                <w:noProof/>
                <w:webHidden/>
              </w:rPr>
              <w:fldChar w:fldCharType="begin"/>
            </w:r>
            <w:r>
              <w:rPr>
                <w:noProof/>
                <w:webHidden/>
              </w:rPr>
              <w:instrText xml:space="preserve"> PAGEREF _Toc225257704 \h </w:instrText>
            </w:r>
            <w:r>
              <w:rPr>
                <w:noProof/>
                <w:webHidden/>
              </w:rPr>
            </w:r>
            <w:r>
              <w:rPr>
                <w:noProof/>
                <w:webHidden/>
              </w:rPr>
              <w:fldChar w:fldCharType="separate"/>
            </w:r>
            <w:r>
              <w:rPr>
                <w:noProof/>
                <w:webHidden/>
              </w:rPr>
              <w:t>8</w:t>
            </w:r>
            <w:r>
              <w:rPr>
                <w:noProof/>
                <w:webHidden/>
              </w:rPr>
              <w:fldChar w:fldCharType="end"/>
            </w:r>
          </w:hyperlink>
        </w:p>
        <w:p w14:paraId="3EB77024" w14:textId="6F107186"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05" w:history="1">
            <w:r w:rsidRPr="00032C69">
              <w:rPr>
                <w:rStyle w:val="Hyperlink"/>
                <w:noProof/>
              </w:rPr>
              <w:t>Clinical rationale</w:t>
            </w:r>
            <w:r>
              <w:rPr>
                <w:noProof/>
                <w:webHidden/>
              </w:rPr>
              <w:tab/>
            </w:r>
            <w:r>
              <w:rPr>
                <w:noProof/>
                <w:webHidden/>
              </w:rPr>
              <w:fldChar w:fldCharType="begin"/>
            </w:r>
            <w:r>
              <w:rPr>
                <w:noProof/>
                <w:webHidden/>
              </w:rPr>
              <w:instrText xml:space="preserve"> PAGEREF _Toc225257705 \h </w:instrText>
            </w:r>
            <w:r>
              <w:rPr>
                <w:noProof/>
                <w:webHidden/>
              </w:rPr>
            </w:r>
            <w:r>
              <w:rPr>
                <w:noProof/>
                <w:webHidden/>
              </w:rPr>
              <w:fldChar w:fldCharType="separate"/>
            </w:r>
            <w:r>
              <w:rPr>
                <w:noProof/>
                <w:webHidden/>
              </w:rPr>
              <w:t>8</w:t>
            </w:r>
            <w:r>
              <w:rPr>
                <w:noProof/>
                <w:webHidden/>
              </w:rPr>
              <w:fldChar w:fldCharType="end"/>
            </w:r>
          </w:hyperlink>
        </w:p>
        <w:p w14:paraId="1E55DE6F" w14:textId="00A9C484" w:rsidR="004B33FE" w:rsidRDefault="004B33FE">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257706" w:history="1">
            <w:r w:rsidRPr="00032C69">
              <w:rPr>
                <w:rStyle w:val="Hyperlink"/>
                <w:noProof/>
              </w:rPr>
              <w:t>Regulatory status</w:t>
            </w:r>
            <w:r>
              <w:rPr>
                <w:noProof/>
                <w:webHidden/>
              </w:rPr>
              <w:tab/>
            </w:r>
            <w:r>
              <w:rPr>
                <w:noProof/>
                <w:webHidden/>
              </w:rPr>
              <w:fldChar w:fldCharType="begin"/>
            </w:r>
            <w:r>
              <w:rPr>
                <w:noProof/>
                <w:webHidden/>
              </w:rPr>
              <w:instrText xml:space="preserve"> PAGEREF _Toc225257706 \h </w:instrText>
            </w:r>
            <w:r>
              <w:rPr>
                <w:noProof/>
                <w:webHidden/>
              </w:rPr>
            </w:r>
            <w:r>
              <w:rPr>
                <w:noProof/>
                <w:webHidden/>
              </w:rPr>
              <w:fldChar w:fldCharType="separate"/>
            </w:r>
            <w:r>
              <w:rPr>
                <w:noProof/>
                <w:webHidden/>
              </w:rPr>
              <w:t>8</w:t>
            </w:r>
            <w:r>
              <w:rPr>
                <w:noProof/>
                <w:webHidden/>
              </w:rPr>
              <w:fldChar w:fldCharType="end"/>
            </w:r>
          </w:hyperlink>
        </w:p>
        <w:p w14:paraId="5F431B7E" w14:textId="60D16D9F"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07" w:history="1">
            <w:r w:rsidRPr="00032C69">
              <w:rPr>
                <w:rStyle w:val="Hyperlink"/>
                <w:noProof/>
              </w:rPr>
              <w:t>Australian regulatory status</w:t>
            </w:r>
            <w:r>
              <w:rPr>
                <w:noProof/>
                <w:webHidden/>
              </w:rPr>
              <w:tab/>
            </w:r>
            <w:r>
              <w:rPr>
                <w:noProof/>
                <w:webHidden/>
              </w:rPr>
              <w:fldChar w:fldCharType="begin"/>
            </w:r>
            <w:r>
              <w:rPr>
                <w:noProof/>
                <w:webHidden/>
              </w:rPr>
              <w:instrText xml:space="preserve"> PAGEREF _Toc225257707 \h </w:instrText>
            </w:r>
            <w:r>
              <w:rPr>
                <w:noProof/>
                <w:webHidden/>
              </w:rPr>
            </w:r>
            <w:r>
              <w:rPr>
                <w:noProof/>
                <w:webHidden/>
              </w:rPr>
              <w:fldChar w:fldCharType="separate"/>
            </w:r>
            <w:r>
              <w:rPr>
                <w:noProof/>
                <w:webHidden/>
              </w:rPr>
              <w:t>8</w:t>
            </w:r>
            <w:r>
              <w:rPr>
                <w:noProof/>
                <w:webHidden/>
              </w:rPr>
              <w:fldChar w:fldCharType="end"/>
            </w:r>
          </w:hyperlink>
        </w:p>
        <w:p w14:paraId="2C82A271" w14:textId="60E7E2AA"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08" w:history="1">
            <w:r w:rsidRPr="00032C69">
              <w:rPr>
                <w:rStyle w:val="Hyperlink"/>
                <w:noProof/>
              </w:rPr>
              <w:t>International regulatory status</w:t>
            </w:r>
            <w:r>
              <w:rPr>
                <w:noProof/>
                <w:webHidden/>
              </w:rPr>
              <w:tab/>
            </w:r>
            <w:r>
              <w:rPr>
                <w:noProof/>
                <w:webHidden/>
              </w:rPr>
              <w:fldChar w:fldCharType="begin"/>
            </w:r>
            <w:r>
              <w:rPr>
                <w:noProof/>
                <w:webHidden/>
              </w:rPr>
              <w:instrText xml:space="preserve"> PAGEREF _Toc225257708 \h </w:instrText>
            </w:r>
            <w:r>
              <w:rPr>
                <w:noProof/>
                <w:webHidden/>
              </w:rPr>
            </w:r>
            <w:r>
              <w:rPr>
                <w:noProof/>
                <w:webHidden/>
              </w:rPr>
              <w:fldChar w:fldCharType="separate"/>
            </w:r>
            <w:r>
              <w:rPr>
                <w:noProof/>
                <w:webHidden/>
              </w:rPr>
              <w:t>8</w:t>
            </w:r>
            <w:r>
              <w:rPr>
                <w:noProof/>
                <w:webHidden/>
              </w:rPr>
              <w:fldChar w:fldCharType="end"/>
            </w:r>
          </w:hyperlink>
        </w:p>
        <w:p w14:paraId="2A9E9195" w14:textId="11827345" w:rsidR="004B33FE" w:rsidRDefault="004B33F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257709" w:history="1">
            <w:r w:rsidRPr="00032C69">
              <w:rPr>
                <w:rStyle w:val="Hyperlink"/>
                <w:noProof/>
              </w:rPr>
              <w:t>Registration timeline</w:t>
            </w:r>
            <w:r>
              <w:rPr>
                <w:noProof/>
                <w:webHidden/>
              </w:rPr>
              <w:tab/>
            </w:r>
            <w:r>
              <w:rPr>
                <w:noProof/>
                <w:webHidden/>
              </w:rPr>
              <w:fldChar w:fldCharType="begin"/>
            </w:r>
            <w:r>
              <w:rPr>
                <w:noProof/>
                <w:webHidden/>
              </w:rPr>
              <w:instrText xml:space="preserve"> PAGEREF _Toc225257709 \h </w:instrText>
            </w:r>
            <w:r>
              <w:rPr>
                <w:noProof/>
                <w:webHidden/>
              </w:rPr>
            </w:r>
            <w:r>
              <w:rPr>
                <w:noProof/>
                <w:webHidden/>
              </w:rPr>
              <w:fldChar w:fldCharType="separate"/>
            </w:r>
            <w:r>
              <w:rPr>
                <w:noProof/>
                <w:webHidden/>
              </w:rPr>
              <w:t>9</w:t>
            </w:r>
            <w:r>
              <w:rPr>
                <w:noProof/>
                <w:webHidden/>
              </w:rPr>
              <w:fldChar w:fldCharType="end"/>
            </w:r>
          </w:hyperlink>
        </w:p>
        <w:p w14:paraId="2043D460" w14:textId="3AD68195" w:rsidR="004B33FE" w:rsidRDefault="004B33F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257710" w:history="1">
            <w:r w:rsidRPr="00032C69">
              <w:rPr>
                <w:rStyle w:val="Hyperlink"/>
                <w:noProof/>
              </w:rPr>
              <w:t>Assessment overview</w:t>
            </w:r>
            <w:r>
              <w:rPr>
                <w:noProof/>
                <w:webHidden/>
              </w:rPr>
              <w:tab/>
            </w:r>
            <w:r>
              <w:rPr>
                <w:noProof/>
                <w:webHidden/>
              </w:rPr>
              <w:fldChar w:fldCharType="begin"/>
            </w:r>
            <w:r>
              <w:rPr>
                <w:noProof/>
                <w:webHidden/>
              </w:rPr>
              <w:instrText xml:space="preserve"> PAGEREF _Toc225257710 \h </w:instrText>
            </w:r>
            <w:r>
              <w:rPr>
                <w:noProof/>
                <w:webHidden/>
              </w:rPr>
            </w:r>
            <w:r>
              <w:rPr>
                <w:noProof/>
                <w:webHidden/>
              </w:rPr>
              <w:fldChar w:fldCharType="separate"/>
            </w:r>
            <w:r>
              <w:rPr>
                <w:noProof/>
                <w:webHidden/>
              </w:rPr>
              <w:t>9</w:t>
            </w:r>
            <w:r>
              <w:rPr>
                <w:noProof/>
                <w:webHidden/>
              </w:rPr>
              <w:fldChar w:fldCharType="end"/>
            </w:r>
          </w:hyperlink>
        </w:p>
        <w:p w14:paraId="65373925" w14:textId="7ABD86E3" w:rsidR="004B33FE" w:rsidRDefault="004B33FE">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257711" w:history="1">
            <w:r w:rsidRPr="00032C69">
              <w:rPr>
                <w:rStyle w:val="Hyperlink"/>
                <w:noProof/>
              </w:rPr>
              <w:t>Quality evaluation summary</w:t>
            </w:r>
            <w:r>
              <w:rPr>
                <w:noProof/>
                <w:webHidden/>
              </w:rPr>
              <w:tab/>
            </w:r>
            <w:r>
              <w:rPr>
                <w:noProof/>
                <w:webHidden/>
              </w:rPr>
              <w:fldChar w:fldCharType="begin"/>
            </w:r>
            <w:r>
              <w:rPr>
                <w:noProof/>
                <w:webHidden/>
              </w:rPr>
              <w:instrText xml:space="preserve"> PAGEREF _Toc225257711 \h </w:instrText>
            </w:r>
            <w:r>
              <w:rPr>
                <w:noProof/>
                <w:webHidden/>
              </w:rPr>
            </w:r>
            <w:r>
              <w:rPr>
                <w:noProof/>
                <w:webHidden/>
              </w:rPr>
              <w:fldChar w:fldCharType="separate"/>
            </w:r>
            <w:r>
              <w:rPr>
                <w:noProof/>
                <w:webHidden/>
              </w:rPr>
              <w:t>10</w:t>
            </w:r>
            <w:r>
              <w:rPr>
                <w:noProof/>
                <w:webHidden/>
              </w:rPr>
              <w:fldChar w:fldCharType="end"/>
            </w:r>
          </w:hyperlink>
        </w:p>
        <w:p w14:paraId="12982B38" w14:textId="3B69920A" w:rsidR="004B33FE" w:rsidRDefault="004B33FE">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257712" w:history="1">
            <w:r w:rsidRPr="00032C69">
              <w:rPr>
                <w:rStyle w:val="Hyperlink"/>
                <w:noProof/>
              </w:rPr>
              <w:t>Nonclinical evaluation summary</w:t>
            </w:r>
            <w:r>
              <w:rPr>
                <w:noProof/>
                <w:webHidden/>
              </w:rPr>
              <w:tab/>
            </w:r>
            <w:r>
              <w:rPr>
                <w:noProof/>
                <w:webHidden/>
              </w:rPr>
              <w:fldChar w:fldCharType="begin"/>
            </w:r>
            <w:r>
              <w:rPr>
                <w:noProof/>
                <w:webHidden/>
              </w:rPr>
              <w:instrText xml:space="preserve"> PAGEREF _Toc225257712 \h </w:instrText>
            </w:r>
            <w:r>
              <w:rPr>
                <w:noProof/>
                <w:webHidden/>
              </w:rPr>
            </w:r>
            <w:r>
              <w:rPr>
                <w:noProof/>
                <w:webHidden/>
              </w:rPr>
              <w:fldChar w:fldCharType="separate"/>
            </w:r>
            <w:r>
              <w:rPr>
                <w:noProof/>
                <w:webHidden/>
              </w:rPr>
              <w:t>11</w:t>
            </w:r>
            <w:r>
              <w:rPr>
                <w:noProof/>
                <w:webHidden/>
              </w:rPr>
              <w:fldChar w:fldCharType="end"/>
            </w:r>
          </w:hyperlink>
        </w:p>
        <w:p w14:paraId="72BEB099" w14:textId="15418A3E" w:rsidR="004B33FE" w:rsidRDefault="004B33FE">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257713" w:history="1">
            <w:r w:rsidRPr="00032C69">
              <w:rPr>
                <w:rStyle w:val="Hyperlink"/>
                <w:noProof/>
              </w:rPr>
              <w:t>Clinical evaluation summary</w:t>
            </w:r>
            <w:r>
              <w:rPr>
                <w:noProof/>
                <w:webHidden/>
              </w:rPr>
              <w:tab/>
            </w:r>
            <w:r>
              <w:rPr>
                <w:noProof/>
                <w:webHidden/>
              </w:rPr>
              <w:fldChar w:fldCharType="begin"/>
            </w:r>
            <w:r>
              <w:rPr>
                <w:noProof/>
                <w:webHidden/>
              </w:rPr>
              <w:instrText xml:space="preserve"> PAGEREF _Toc225257713 \h </w:instrText>
            </w:r>
            <w:r>
              <w:rPr>
                <w:noProof/>
                <w:webHidden/>
              </w:rPr>
            </w:r>
            <w:r>
              <w:rPr>
                <w:noProof/>
                <w:webHidden/>
              </w:rPr>
              <w:fldChar w:fldCharType="separate"/>
            </w:r>
            <w:r>
              <w:rPr>
                <w:noProof/>
                <w:webHidden/>
              </w:rPr>
              <w:t>11</w:t>
            </w:r>
            <w:r>
              <w:rPr>
                <w:noProof/>
                <w:webHidden/>
              </w:rPr>
              <w:fldChar w:fldCharType="end"/>
            </w:r>
          </w:hyperlink>
        </w:p>
        <w:p w14:paraId="1889D2B3" w14:textId="42E9A592"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14" w:history="1">
            <w:r w:rsidRPr="00032C69">
              <w:rPr>
                <w:rStyle w:val="Hyperlink"/>
                <w:noProof/>
              </w:rPr>
              <w:t>Summary of clinical studies</w:t>
            </w:r>
            <w:r>
              <w:rPr>
                <w:noProof/>
                <w:webHidden/>
              </w:rPr>
              <w:tab/>
            </w:r>
            <w:r>
              <w:rPr>
                <w:noProof/>
                <w:webHidden/>
              </w:rPr>
              <w:fldChar w:fldCharType="begin"/>
            </w:r>
            <w:r>
              <w:rPr>
                <w:noProof/>
                <w:webHidden/>
              </w:rPr>
              <w:instrText xml:space="preserve"> PAGEREF _Toc225257714 \h </w:instrText>
            </w:r>
            <w:r>
              <w:rPr>
                <w:noProof/>
                <w:webHidden/>
              </w:rPr>
            </w:r>
            <w:r>
              <w:rPr>
                <w:noProof/>
                <w:webHidden/>
              </w:rPr>
              <w:fldChar w:fldCharType="separate"/>
            </w:r>
            <w:r>
              <w:rPr>
                <w:noProof/>
                <w:webHidden/>
              </w:rPr>
              <w:t>11</w:t>
            </w:r>
            <w:r>
              <w:rPr>
                <w:noProof/>
                <w:webHidden/>
              </w:rPr>
              <w:fldChar w:fldCharType="end"/>
            </w:r>
          </w:hyperlink>
        </w:p>
        <w:p w14:paraId="7A64CCE7" w14:textId="43B9B0BE"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15" w:history="1">
            <w:r w:rsidRPr="00032C69">
              <w:rPr>
                <w:rStyle w:val="Hyperlink"/>
                <w:noProof/>
              </w:rPr>
              <w:t>Pharmacology</w:t>
            </w:r>
            <w:r>
              <w:rPr>
                <w:noProof/>
                <w:webHidden/>
              </w:rPr>
              <w:tab/>
            </w:r>
            <w:r>
              <w:rPr>
                <w:noProof/>
                <w:webHidden/>
              </w:rPr>
              <w:fldChar w:fldCharType="begin"/>
            </w:r>
            <w:r>
              <w:rPr>
                <w:noProof/>
                <w:webHidden/>
              </w:rPr>
              <w:instrText xml:space="preserve"> PAGEREF _Toc225257715 \h </w:instrText>
            </w:r>
            <w:r>
              <w:rPr>
                <w:noProof/>
                <w:webHidden/>
              </w:rPr>
            </w:r>
            <w:r>
              <w:rPr>
                <w:noProof/>
                <w:webHidden/>
              </w:rPr>
              <w:fldChar w:fldCharType="separate"/>
            </w:r>
            <w:r>
              <w:rPr>
                <w:noProof/>
                <w:webHidden/>
              </w:rPr>
              <w:t>12</w:t>
            </w:r>
            <w:r>
              <w:rPr>
                <w:noProof/>
                <w:webHidden/>
              </w:rPr>
              <w:fldChar w:fldCharType="end"/>
            </w:r>
          </w:hyperlink>
        </w:p>
        <w:p w14:paraId="0815BCBF" w14:textId="30FDB41A"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16" w:history="1">
            <w:r w:rsidRPr="00032C69">
              <w:rPr>
                <w:rStyle w:val="Hyperlink"/>
                <w:noProof/>
              </w:rPr>
              <w:t>Efficacy</w:t>
            </w:r>
            <w:r>
              <w:rPr>
                <w:noProof/>
                <w:webHidden/>
              </w:rPr>
              <w:tab/>
            </w:r>
            <w:r>
              <w:rPr>
                <w:noProof/>
                <w:webHidden/>
              </w:rPr>
              <w:fldChar w:fldCharType="begin"/>
            </w:r>
            <w:r>
              <w:rPr>
                <w:noProof/>
                <w:webHidden/>
              </w:rPr>
              <w:instrText xml:space="preserve"> PAGEREF _Toc225257716 \h </w:instrText>
            </w:r>
            <w:r>
              <w:rPr>
                <w:noProof/>
                <w:webHidden/>
              </w:rPr>
            </w:r>
            <w:r>
              <w:rPr>
                <w:noProof/>
                <w:webHidden/>
              </w:rPr>
              <w:fldChar w:fldCharType="separate"/>
            </w:r>
            <w:r>
              <w:rPr>
                <w:noProof/>
                <w:webHidden/>
              </w:rPr>
              <w:t>13</w:t>
            </w:r>
            <w:r>
              <w:rPr>
                <w:noProof/>
                <w:webHidden/>
              </w:rPr>
              <w:fldChar w:fldCharType="end"/>
            </w:r>
          </w:hyperlink>
        </w:p>
        <w:p w14:paraId="44F6A48F" w14:textId="7CA9242E"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17" w:history="1">
            <w:r w:rsidRPr="00032C69">
              <w:rPr>
                <w:rStyle w:val="Hyperlink"/>
                <w:noProof/>
              </w:rPr>
              <w:t>Safety</w:t>
            </w:r>
            <w:r>
              <w:rPr>
                <w:noProof/>
                <w:webHidden/>
              </w:rPr>
              <w:tab/>
            </w:r>
            <w:r>
              <w:rPr>
                <w:noProof/>
                <w:webHidden/>
              </w:rPr>
              <w:fldChar w:fldCharType="begin"/>
            </w:r>
            <w:r>
              <w:rPr>
                <w:noProof/>
                <w:webHidden/>
              </w:rPr>
              <w:instrText xml:space="preserve"> PAGEREF _Toc225257717 \h </w:instrText>
            </w:r>
            <w:r>
              <w:rPr>
                <w:noProof/>
                <w:webHidden/>
              </w:rPr>
            </w:r>
            <w:r>
              <w:rPr>
                <w:noProof/>
                <w:webHidden/>
              </w:rPr>
              <w:fldChar w:fldCharType="separate"/>
            </w:r>
            <w:r>
              <w:rPr>
                <w:noProof/>
                <w:webHidden/>
              </w:rPr>
              <w:t>14</w:t>
            </w:r>
            <w:r>
              <w:rPr>
                <w:noProof/>
                <w:webHidden/>
              </w:rPr>
              <w:fldChar w:fldCharType="end"/>
            </w:r>
          </w:hyperlink>
        </w:p>
        <w:p w14:paraId="4513CC21" w14:textId="025252CB"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18" w:history="1">
            <w:r w:rsidRPr="00032C69">
              <w:rPr>
                <w:rStyle w:val="Hyperlink"/>
                <w:noProof/>
              </w:rPr>
              <w:t>Extrapolation to other indications and patient groups</w:t>
            </w:r>
            <w:r>
              <w:rPr>
                <w:noProof/>
                <w:webHidden/>
              </w:rPr>
              <w:tab/>
            </w:r>
            <w:r>
              <w:rPr>
                <w:noProof/>
                <w:webHidden/>
              </w:rPr>
              <w:fldChar w:fldCharType="begin"/>
            </w:r>
            <w:r>
              <w:rPr>
                <w:noProof/>
                <w:webHidden/>
              </w:rPr>
              <w:instrText xml:space="preserve"> PAGEREF _Toc225257718 \h </w:instrText>
            </w:r>
            <w:r>
              <w:rPr>
                <w:noProof/>
                <w:webHidden/>
              </w:rPr>
            </w:r>
            <w:r>
              <w:rPr>
                <w:noProof/>
                <w:webHidden/>
              </w:rPr>
              <w:fldChar w:fldCharType="separate"/>
            </w:r>
            <w:r>
              <w:rPr>
                <w:noProof/>
                <w:webHidden/>
              </w:rPr>
              <w:t>15</w:t>
            </w:r>
            <w:r>
              <w:rPr>
                <w:noProof/>
                <w:webHidden/>
              </w:rPr>
              <w:fldChar w:fldCharType="end"/>
            </w:r>
          </w:hyperlink>
        </w:p>
        <w:p w14:paraId="238AE116" w14:textId="2A09E46A"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19" w:history="1">
            <w:r w:rsidRPr="00032C69">
              <w:rPr>
                <w:rStyle w:val="Hyperlink"/>
                <w:noProof/>
              </w:rPr>
              <w:t>Recommendation following the clinical evaluation</w:t>
            </w:r>
            <w:r>
              <w:rPr>
                <w:noProof/>
                <w:webHidden/>
              </w:rPr>
              <w:tab/>
            </w:r>
            <w:r>
              <w:rPr>
                <w:noProof/>
                <w:webHidden/>
              </w:rPr>
              <w:fldChar w:fldCharType="begin"/>
            </w:r>
            <w:r>
              <w:rPr>
                <w:noProof/>
                <w:webHidden/>
              </w:rPr>
              <w:instrText xml:space="preserve"> PAGEREF _Toc225257719 \h </w:instrText>
            </w:r>
            <w:r>
              <w:rPr>
                <w:noProof/>
                <w:webHidden/>
              </w:rPr>
            </w:r>
            <w:r>
              <w:rPr>
                <w:noProof/>
                <w:webHidden/>
              </w:rPr>
              <w:fldChar w:fldCharType="separate"/>
            </w:r>
            <w:r>
              <w:rPr>
                <w:noProof/>
                <w:webHidden/>
              </w:rPr>
              <w:t>16</w:t>
            </w:r>
            <w:r>
              <w:rPr>
                <w:noProof/>
                <w:webHidden/>
              </w:rPr>
              <w:fldChar w:fldCharType="end"/>
            </w:r>
          </w:hyperlink>
        </w:p>
        <w:p w14:paraId="21E9CD54" w14:textId="20CFF76F" w:rsidR="004B33FE" w:rsidRDefault="004B33FE">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257720" w:history="1">
            <w:r w:rsidRPr="00032C69">
              <w:rPr>
                <w:rStyle w:val="Hyperlink"/>
                <w:noProof/>
                <w:lang w:eastAsia="en-AU"/>
              </w:rPr>
              <w:t>Risk management plan</w:t>
            </w:r>
            <w:r>
              <w:rPr>
                <w:noProof/>
                <w:webHidden/>
              </w:rPr>
              <w:tab/>
            </w:r>
            <w:r>
              <w:rPr>
                <w:noProof/>
                <w:webHidden/>
              </w:rPr>
              <w:fldChar w:fldCharType="begin"/>
            </w:r>
            <w:r>
              <w:rPr>
                <w:noProof/>
                <w:webHidden/>
              </w:rPr>
              <w:instrText xml:space="preserve"> PAGEREF _Toc225257720 \h </w:instrText>
            </w:r>
            <w:r>
              <w:rPr>
                <w:noProof/>
                <w:webHidden/>
              </w:rPr>
            </w:r>
            <w:r>
              <w:rPr>
                <w:noProof/>
                <w:webHidden/>
              </w:rPr>
              <w:fldChar w:fldCharType="separate"/>
            </w:r>
            <w:r>
              <w:rPr>
                <w:noProof/>
                <w:webHidden/>
              </w:rPr>
              <w:t>16</w:t>
            </w:r>
            <w:r>
              <w:rPr>
                <w:noProof/>
                <w:webHidden/>
              </w:rPr>
              <w:fldChar w:fldCharType="end"/>
            </w:r>
          </w:hyperlink>
        </w:p>
        <w:p w14:paraId="2176DC2B" w14:textId="659C7410" w:rsidR="004B33FE" w:rsidRDefault="004B33FE">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257721" w:history="1">
            <w:r w:rsidRPr="00032C69">
              <w:rPr>
                <w:rStyle w:val="Hyperlink"/>
                <w:noProof/>
              </w:rPr>
              <w:t>Risk-benefit analysis</w:t>
            </w:r>
            <w:r>
              <w:rPr>
                <w:noProof/>
                <w:webHidden/>
              </w:rPr>
              <w:tab/>
            </w:r>
            <w:r>
              <w:rPr>
                <w:noProof/>
                <w:webHidden/>
              </w:rPr>
              <w:fldChar w:fldCharType="begin"/>
            </w:r>
            <w:r>
              <w:rPr>
                <w:noProof/>
                <w:webHidden/>
              </w:rPr>
              <w:instrText xml:space="preserve"> PAGEREF _Toc225257721 \h </w:instrText>
            </w:r>
            <w:r>
              <w:rPr>
                <w:noProof/>
                <w:webHidden/>
              </w:rPr>
            </w:r>
            <w:r>
              <w:rPr>
                <w:noProof/>
                <w:webHidden/>
              </w:rPr>
              <w:fldChar w:fldCharType="separate"/>
            </w:r>
            <w:r>
              <w:rPr>
                <w:noProof/>
                <w:webHidden/>
              </w:rPr>
              <w:t>16</w:t>
            </w:r>
            <w:r>
              <w:rPr>
                <w:noProof/>
                <w:webHidden/>
              </w:rPr>
              <w:fldChar w:fldCharType="end"/>
            </w:r>
          </w:hyperlink>
        </w:p>
        <w:p w14:paraId="67E9307D" w14:textId="0DEB7123"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22" w:history="1">
            <w:r w:rsidRPr="00032C69">
              <w:rPr>
                <w:rStyle w:val="Hyperlink"/>
                <w:noProof/>
              </w:rPr>
              <w:t>Delegate’s considerations</w:t>
            </w:r>
            <w:r>
              <w:rPr>
                <w:noProof/>
                <w:webHidden/>
              </w:rPr>
              <w:tab/>
            </w:r>
            <w:r>
              <w:rPr>
                <w:noProof/>
                <w:webHidden/>
              </w:rPr>
              <w:fldChar w:fldCharType="begin"/>
            </w:r>
            <w:r>
              <w:rPr>
                <w:noProof/>
                <w:webHidden/>
              </w:rPr>
              <w:instrText xml:space="preserve"> PAGEREF _Toc225257722 \h </w:instrText>
            </w:r>
            <w:r>
              <w:rPr>
                <w:noProof/>
                <w:webHidden/>
              </w:rPr>
            </w:r>
            <w:r>
              <w:rPr>
                <w:noProof/>
                <w:webHidden/>
              </w:rPr>
              <w:fldChar w:fldCharType="separate"/>
            </w:r>
            <w:r>
              <w:rPr>
                <w:noProof/>
                <w:webHidden/>
              </w:rPr>
              <w:t>16</w:t>
            </w:r>
            <w:r>
              <w:rPr>
                <w:noProof/>
                <w:webHidden/>
              </w:rPr>
              <w:fldChar w:fldCharType="end"/>
            </w:r>
          </w:hyperlink>
        </w:p>
        <w:p w14:paraId="77F62790" w14:textId="2BA25765" w:rsidR="004B33FE" w:rsidRDefault="004B33FE">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257723" w:history="1">
            <w:r w:rsidRPr="00032C69">
              <w:rPr>
                <w:rStyle w:val="Hyperlink"/>
                <w:noProof/>
              </w:rPr>
              <w:t>Proposed action</w:t>
            </w:r>
            <w:r>
              <w:rPr>
                <w:noProof/>
                <w:webHidden/>
              </w:rPr>
              <w:tab/>
            </w:r>
            <w:r>
              <w:rPr>
                <w:noProof/>
                <w:webHidden/>
              </w:rPr>
              <w:fldChar w:fldCharType="begin"/>
            </w:r>
            <w:r>
              <w:rPr>
                <w:noProof/>
                <w:webHidden/>
              </w:rPr>
              <w:instrText xml:space="preserve"> PAGEREF _Toc225257723 \h </w:instrText>
            </w:r>
            <w:r>
              <w:rPr>
                <w:noProof/>
                <w:webHidden/>
              </w:rPr>
            </w:r>
            <w:r>
              <w:rPr>
                <w:noProof/>
                <w:webHidden/>
              </w:rPr>
              <w:fldChar w:fldCharType="separate"/>
            </w:r>
            <w:r>
              <w:rPr>
                <w:noProof/>
                <w:webHidden/>
              </w:rPr>
              <w:t>17</w:t>
            </w:r>
            <w:r>
              <w:rPr>
                <w:noProof/>
                <w:webHidden/>
              </w:rPr>
              <w:fldChar w:fldCharType="end"/>
            </w:r>
          </w:hyperlink>
        </w:p>
        <w:p w14:paraId="3958BEB1" w14:textId="1E65909C" w:rsidR="004B33FE" w:rsidRDefault="004B33F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257724" w:history="1">
            <w:r w:rsidRPr="00032C69">
              <w:rPr>
                <w:rStyle w:val="Hyperlink"/>
                <w:noProof/>
              </w:rPr>
              <w:t>Assessment outcome</w:t>
            </w:r>
            <w:r>
              <w:rPr>
                <w:noProof/>
                <w:webHidden/>
              </w:rPr>
              <w:tab/>
            </w:r>
            <w:r>
              <w:rPr>
                <w:noProof/>
                <w:webHidden/>
              </w:rPr>
              <w:fldChar w:fldCharType="begin"/>
            </w:r>
            <w:r>
              <w:rPr>
                <w:noProof/>
                <w:webHidden/>
              </w:rPr>
              <w:instrText xml:space="preserve"> PAGEREF _Toc225257724 \h </w:instrText>
            </w:r>
            <w:r>
              <w:rPr>
                <w:noProof/>
                <w:webHidden/>
              </w:rPr>
            </w:r>
            <w:r>
              <w:rPr>
                <w:noProof/>
                <w:webHidden/>
              </w:rPr>
              <w:fldChar w:fldCharType="separate"/>
            </w:r>
            <w:r>
              <w:rPr>
                <w:noProof/>
                <w:webHidden/>
              </w:rPr>
              <w:t>17</w:t>
            </w:r>
            <w:r>
              <w:rPr>
                <w:noProof/>
                <w:webHidden/>
              </w:rPr>
              <w:fldChar w:fldCharType="end"/>
            </w:r>
          </w:hyperlink>
        </w:p>
        <w:p w14:paraId="1C985E0D" w14:textId="1F0DCB1F" w:rsidR="004B33FE" w:rsidRDefault="004B33F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257725" w:history="1">
            <w:r w:rsidRPr="00032C69">
              <w:rPr>
                <w:rStyle w:val="Hyperlink"/>
                <w:noProof/>
              </w:rPr>
              <w:t>Specific conditions of registration</w:t>
            </w:r>
            <w:r>
              <w:rPr>
                <w:noProof/>
                <w:webHidden/>
              </w:rPr>
              <w:tab/>
            </w:r>
            <w:r>
              <w:rPr>
                <w:noProof/>
                <w:webHidden/>
              </w:rPr>
              <w:fldChar w:fldCharType="begin"/>
            </w:r>
            <w:r>
              <w:rPr>
                <w:noProof/>
                <w:webHidden/>
              </w:rPr>
              <w:instrText xml:space="preserve"> PAGEREF _Toc225257725 \h </w:instrText>
            </w:r>
            <w:r>
              <w:rPr>
                <w:noProof/>
                <w:webHidden/>
              </w:rPr>
            </w:r>
            <w:r>
              <w:rPr>
                <w:noProof/>
                <w:webHidden/>
              </w:rPr>
              <w:fldChar w:fldCharType="separate"/>
            </w:r>
            <w:r>
              <w:rPr>
                <w:noProof/>
                <w:webHidden/>
              </w:rPr>
              <w:t>18</w:t>
            </w:r>
            <w:r>
              <w:rPr>
                <w:noProof/>
                <w:webHidden/>
              </w:rPr>
              <w:fldChar w:fldCharType="end"/>
            </w:r>
          </w:hyperlink>
        </w:p>
        <w:p w14:paraId="1C5CD2B8" w14:textId="0A0B55E5" w:rsidR="004B33FE" w:rsidRDefault="004B33FE">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257726" w:history="1">
            <w:r w:rsidRPr="00032C69">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_Toc225257726 \h </w:instrText>
            </w:r>
            <w:r>
              <w:rPr>
                <w:noProof/>
                <w:webHidden/>
              </w:rPr>
            </w:r>
            <w:r>
              <w:rPr>
                <w:noProof/>
                <w:webHidden/>
              </w:rPr>
              <w:fldChar w:fldCharType="separate"/>
            </w:r>
            <w:r>
              <w:rPr>
                <w:noProof/>
                <w:webHidden/>
              </w:rPr>
              <w:t>19</w:t>
            </w:r>
            <w:r>
              <w:rPr>
                <w:noProof/>
                <w:webHidden/>
              </w:rPr>
              <w:fldChar w:fldCharType="end"/>
            </w:r>
          </w:hyperlink>
        </w:p>
        <w:p w14:paraId="77659F2D" w14:textId="300CA6F3"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225257699"/>
      <w:bookmarkStart w:id="3" w:name="_Toc323739589"/>
      <w:bookmarkStart w:id="4" w:name="_Toc356305216"/>
      <w:r>
        <w:lastRenderedPageBreak/>
        <w:t>List of abbreviations</w:t>
      </w:r>
      <w:bookmarkEnd w:id="0"/>
      <w:bookmarkEnd w:id="1"/>
      <w:bookmarkEnd w:id="2"/>
    </w:p>
    <w:tbl>
      <w:tblPr>
        <w:tblStyle w:val="TableTGAblue2023"/>
        <w:tblW w:w="9430" w:type="dxa"/>
        <w:tblLook w:val="04A0" w:firstRow="1" w:lastRow="0" w:firstColumn="1" w:lastColumn="0" w:noHBand="0" w:noVBand="1"/>
      </w:tblPr>
      <w:tblGrid>
        <w:gridCol w:w="2263"/>
        <w:gridCol w:w="7167"/>
      </w:tblGrid>
      <w:tr w:rsidR="00E67958" w:rsidRPr="003D71A1" w14:paraId="096759CA" w14:textId="77777777" w:rsidTr="00917711">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263" w:type="dxa"/>
            <w:shd w:val="clear" w:color="auto" w:fill="EAEDF1" w:themeFill="text2" w:themeFillTint="1A"/>
          </w:tcPr>
          <w:p w14:paraId="0B9018AB" w14:textId="77777777" w:rsidR="00E67958" w:rsidRPr="007C71D5" w:rsidRDefault="00E67958" w:rsidP="00917711">
            <w:bookmarkStart w:id="5" w:name="_Hlk133418605"/>
            <w:r w:rsidRPr="007C71D5">
              <w:t>Abbreviation</w:t>
            </w:r>
          </w:p>
        </w:tc>
        <w:tc>
          <w:tcPr>
            <w:tcW w:w="7167" w:type="dxa"/>
            <w:shd w:val="clear" w:color="auto" w:fill="EAEDF1" w:themeFill="text2" w:themeFillTint="1A"/>
          </w:tcPr>
          <w:p w14:paraId="320F20BA" w14:textId="77777777" w:rsidR="00E67958" w:rsidRPr="007C71D5" w:rsidRDefault="00E67958" w:rsidP="00917711">
            <w:pPr>
              <w:cnfStyle w:val="100000000000" w:firstRow="1" w:lastRow="0" w:firstColumn="0" w:lastColumn="0" w:oddVBand="0" w:evenVBand="0" w:oddHBand="0" w:evenHBand="0" w:firstRowFirstColumn="0" w:firstRowLastColumn="0" w:lastRowFirstColumn="0" w:lastRowLastColumn="0"/>
            </w:pPr>
            <w:r w:rsidRPr="007C71D5">
              <w:t>Meaning</w:t>
            </w:r>
          </w:p>
        </w:tc>
      </w:tr>
      <w:tr w:rsidR="00E67958" w:rsidRPr="00503217" w14:paraId="711493A9"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CEC422B" w14:textId="77777777" w:rsidR="00E67958" w:rsidRPr="00555419" w:rsidRDefault="00E67958" w:rsidP="00917711">
            <w:pPr>
              <w:rPr>
                <w:rFonts w:cstheme="minorHAnsi"/>
                <w:szCs w:val="22"/>
              </w:rPr>
            </w:pPr>
            <w:r w:rsidRPr="00555419">
              <w:rPr>
                <w:rFonts w:cstheme="minorHAnsi"/>
                <w:szCs w:val="22"/>
              </w:rPr>
              <w:t>ADA</w:t>
            </w:r>
          </w:p>
        </w:tc>
        <w:tc>
          <w:tcPr>
            <w:tcW w:w="7167" w:type="dxa"/>
          </w:tcPr>
          <w:p w14:paraId="6EB356C4"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rFonts w:cstheme="minorHAnsi"/>
                <w:szCs w:val="22"/>
              </w:rPr>
            </w:pPr>
            <w:r w:rsidRPr="00555419">
              <w:rPr>
                <w:rFonts w:cstheme="minorHAnsi"/>
                <w:szCs w:val="22"/>
              </w:rPr>
              <w:t>Anti-drug antibody</w:t>
            </w:r>
          </w:p>
        </w:tc>
      </w:tr>
      <w:tr w:rsidR="00E67958" w:rsidRPr="00503217" w14:paraId="04CE1E09"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D71C157" w14:textId="77777777" w:rsidR="00E67958" w:rsidRPr="00555419" w:rsidRDefault="00E67958" w:rsidP="00917711">
            <w:pPr>
              <w:rPr>
                <w:rFonts w:cstheme="minorHAnsi"/>
                <w:szCs w:val="22"/>
              </w:rPr>
            </w:pPr>
            <w:r w:rsidRPr="00555419">
              <w:rPr>
                <w:rFonts w:cstheme="minorHAnsi"/>
                <w:szCs w:val="22"/>
              </w:rPr>
              <w:t>ARTG</w:t>
            </w:r>
          </w:p>
        </w:tc>
        <w:tc>
          <w:tcPr>
            <w:tcW w:w="7167" w:type="dxa"/>
          </w:tcPr>
          <w:p w14:paraId="501305B0"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rFonts w:cstheme="minorHAnsi"/>
                <w:szCs w:val="22"/>
              </w:rPr>
            </w:pPr>
            <w:r w:rsidRPr="00555419">
              <w:rPr>
                <w:rFonts w:cstheme="minorHAnsi"/>
                <w:szCs w:val="22"/>
              </w:rPr>
              <w:t>Australian Register of Therapeutic Goods</w:t>
            </w:r>
          </w:p>
        </w:tc>
      </w:tr>
      <w:tr w:rsidR="00E67958" w:rsidRPr="00503217" w14:paraId="6C406DBF"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26304BA" w14:textId="77777777" w:rsidR="00E67958" w:rsidRPr="00555419" w:rsidRDefault="00E67958" w:rsidP="00917711">
            <w:pPr>
              <w:rPr>
                <w:szCs w:val="22"/>
              </w:rPr>
            </w:pPr>
            <w:r w:rsidRPr="00555419">
              <w:rPr>
                <w:szCs w:val="22"/>
              </w:rPr>
              <w:t>AU</w:t>
            </w:r>
          </w:p>
        </w:tc>
        <w:tc>
          <w:tcPr>
            <w:tcW w:w="7167" w:type="dxa"/>
          </w:tcPr>
          <w:p w14:paraId="5BB93C05"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rPr>
            </w:pPr>
            <w:r w:rsidRPr="00555419">
              <w:rPr>
                <w:szCs w:val="22"/>
              </w:rPr>
              <w:t>Australian</w:t>
            </w:r>
          </w:p>
        </w:tc>
      </w:tr>
      <w:tr w:rsidR="00E67958" w:rsidRPr="00503217" w14:paraId="508A0D99"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EBF21BB" w14:textId="77777777" w:rsidR="00E67958" w:rsidRPr="00555419" w:rsidRDefault="00E67958" w:rsidP="00917711">
            <w:pPr>
              <w:rPr>
                <w:szCs w:val="22"/>
              </w:rPr>
            </w:pPr>
            <w:r w:rsidRPr="00555419">
              <w:rPr>
                <w:szCs w:val="22"/>
              </w:rPr>
              <w:t>AUC</w:t>
            </w:r>
            <w:r w:rsidRPr="00555419">
              <w:rPr>
                <w:szCs w:val="22"/>
                <w:vertAlign w:val="subscript"/>
              </w:rPr>
              <w:t>0-inf</w:t>
            </w:r>
          </w:p>
        </w:tc>
        <w:tc>
          <w:tcPr>
            <w:tcW w:w="7167" w:type="dxa"/>
          </w:tcPr>
          <w:p w14:paraId="057E1220"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lang w:val="en-GB"/>
              </w:rPr>
            </w:pPr>
            <w:r w:rsidRPr="00555419">
              <w:rPr>
                <w:szCs w:val="22"/>
              </w:rPr>
              <w:t>Area under the concentration time curve from 0 to infinity</w:t>
            </w:r>
          </w:p>
        </w:tc>
      </w:tr>
      <w:tr w:rsidR="00E67958" w:rsidRPr="00503217" w14:paraId="3E4C8546"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B38745B" w14:textId="77777777" w:rsidR="00E67958" w:rsidRPr="00555419" w:rsidRDefault="00E67958" w:rsidP="00917711">
            <w:pPr>
              <w:rPr>
                <w:rFonts w:cstheme="minorHAnsi"/>
                <w:szCs w:val="22"/>
              </w:rPr>
            </w:pPr>
            <w:r w:rsidRPr="00555419">
              <w:rPr>
                <w:rFonts w:cstheme="minorHAnsi"/>
                <w:szCs w:val="22"/>
              </w:rPr>
              <w:t>CI</w:t>
            </w:r>
          </w:p>
        </w:tc>
        <w:tc>
          <w:tcPr>
            <w:tcW w:w="7167" w:type="dxa"/>
          </w:tcPr>
          <w:p w14:paraId="1FD4B5BB"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rPr>
            </w:pPr>
            <w:r w:rsidRPr="00555419">
              <w:rPr>
                <w:szCs w:val="22"/>
              </w:rPr>
              <w:t>Confidence interval</w:t>
            </w:r>
          </w:p>
        </w:tc>
      </w:tr>
      <w:tr w:rsidR="00E67958" w:rsidRPr="00503217" w14:paraId="7C12150C"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8A1AD11" w14:textId="77777777" w:rsidR="00E67958" w:rsidRPr="00555419" w:rsidRDefault="00E67958" w:rsidP="00917711">
            <w:pPr>
              <w:rPr>
                <w:rFonts w:cstheme="minorHAnsi"/>
                <w:szCs w:val="22"/>
              </w:rPr>
            </w:pPr>
            <w:r w:rsidRPr="00555419">
              <w:rPr>
                <w:szCs w:val="22"/>
              </w:rPr>
              <w:t>C</w:t>
            </w:r>
            <w:r w:rsidRPr="00555419">
              <w:rPr>
                <w:szCs w:val="22"/>
                <w:vertAlign w:val="subscript"/>
              </w:rPr>
              <w:t>max</w:t>
            </w:r>
          </w:p>
        </w:tc>
        <w:tc>
          <w:tcPr>
            <w:tcW w:w="7167" w:type="dxa"/>
          </w:tcPr>
          <w:p w14:paraId="0D792877"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rFonts w:cstheme="minorHAnsi"/>
                <w:szCs w:val="22"/>
              </w:rPr>
            </w:pPr>
            <w:r w:rsidRPr="00555419">
              <w:rPr>
                <w:rFonts w:cstheme="minorHAnsi"/>
                <w:szCs w:val="22"/>
              </w:rPr>
              <w:t>Maximum concentration</w:t>
            </w:r>
          </w:p>
        </w:tc>
      </w:tr>
      <w:tr w:rsidR="00E67958" w:rsidRPr="00503217" w14:paraId="600E22E5"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CBE79EC" w14:textId="77777777" w:rsidR="00E67958" w:rsidRPr="00555419" w:rsidRDefault="00E67958" w:rsidP="00917711">
            <w:pPr>
              <w:rPr>
                <w:rFonts w:cstheme="minorHAnsi"/>
                <w:color w:val="auto"/>
                <w:szCs w:val="22"/>
              </w:rPr>
            </w:pPr>
            <w:r w:rsidRPr="00555419">
              <w:rPr>
                <w:rFonts w:cstheme="minorHAnsi"/>
                <w:color w:val="auto"/>
                <w:szCs w:val="22"/>
              </w:rPr>
              <w:t>CMI</w:t>
            </w:r>
          </w:p>
        </w:tc>
        <w:tc>
          <w:tcPr>
            <w:tcW w:w="7167" w:type="dxa"/>
          </w:tcPr>
          <w:p w14:paraId="125849A6"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555419">
              <w:rPr>
                <w:rFonts w:cstheme="minorHAnsi"/>
                <w:color w:val="auto"/>
                <w:szCs w:val="22"/>
              </w:rPr>
              <w:t>Consumer Medicines Information</w:t>
            </w:r>
          </w:p>
        </w:tc>
      </w:tr>
      <w:tr w:rsidR="00E67958" w:rsidRPr="00503217" w14:paraId="43E642E1"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95D90DF" w14:textId="77777777" w:rsidR="00E67958" w:rsidRPr="00555419" w:rsidRDefault="00E67958" w:rsidP="00917711">
            <w:pPr>
              <w:rPr>
                <w:rFonts w:cstheme="minorHAnsi"/>
                <w:szCs w:val="22"/>
              </w:rPr>
            </w:pPr>
            <w:r w:rsidRPr="00555419">
              <w:rPr>
                <w:rFonts w:cstheme="minorHAnsi"/>
                <w:szCs w:val="22"/>
              </w:rPr>
              <w:t>COVID-19</w:t>
            </w:r>
          </w:p>
        </w:tc>
        <w:tc>
          <w:tcPr>
            <w:tcW w:w="7167" w:type="dxa"/>
          </w:tcPr>
          <w:p w14:paraId="358B8125"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rFonts w:cstheme="minorHAnsi"/>
                <w:szCs w:val="22"/>
              </w:rPr>
            </w:pPr>
            <w:r w:rsidRPr="00555419">
              <w:rPr>
                <w:rFonts w:cstheme="minorHAnsi"/>
                <w:szCs w:val="22"/>
              </w:rPr>
              <w:t>Coronavirus disease 2019</w:t>
            </w:r>
          </w:p>
        </w:tc>
      </w:tr>
      <w:tr w:rsidR="00E67958" w:rsidRPr="00503217" w14:paraId="292F48B5"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3A094CA" w14:textId="77777777" w:rsidR="00E67958" w:rsidRPr="00555419" w:rsidRDefault="00E67958" w:rsidP="00917711">
            <w:pPr>
              <w:tabs>
                <w:tab w:val="left" w:pos="1200"/>
              </w:tabs>
              <w:rPr>
                <w:rFonts w:cstheme="minorHAnsi"/>
                <w:szCs w:val="22"/>
              </w:rPr>
            </w:pPr>
            <w:r w:rsidRPr="00555419">
              <w:rPr>
                <w:rFonts w:cstheme="minorHAnsi"/>
                <w:szCs w:val="22"/>
              </w:rPr>
              <w:t>DP</w:t>
            </w:r>
          </w:p>
        </w:tc>
        <w:tc>
          <w:tcPr>
            <w:tcW w:w="7167" w:type="dxa"/>
          </w:tcPr>
          <w:p w14:paraId="72790E87"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lang w:val="en-GB"/>
              </w:rPr>
            </w:pPr>
            <w:r w:rsidRPr="00555419">
              <w:rPr>
                <w:szCs w:val="22"/>
                <w:lang w:val="en-GB"/>
              </w:rPr>
              <w:t>Drug product</w:t>
            </w:r>
          </w:p>
        </w:tc>
      </w:tr>
      <w:tr w:rsidR="00E67958" w:rsidRPr="00503217" w14:paraId="7CCABC9A"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604FE61" w14:textId="77777777" w:rsidR="00E67958" w:rsidRPr="00555419" w:rsidRDefault="00E67958" w:rsidP="00917711">
            <w:pPr>
              <w:tabs>
                <w:tab w:val="left" w:pos="1200"/>
              </w:tabs>
              <w:rPr>
                <w:rFonts w:cstheme="minorHAnsi"/>
                <w:szCs w:val="22"/>
              </w:rPr>
            </w:pPr>
            <w:r w:rsidRPr="00555419">
              <w:rPr>
                <w:rFonts w:cstheme="minorHAnsi"/>
                <w:szCs w:val="22"/>
              </w:rPr>
              <w:t>DS</w:t>
            </w:r>
          </w:p>
        </w:tc>
        <w:tc>
          <w:tcPr>
            <w:tcW w:w="7167" w:type="dxa"/>
          </w:tcPr>
          <w:p w14:paraId="589F92AC"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lang w:val="en-GB"/>
              </w:rPr>
            </w:pPr>
            <w:r w:rsidRPr="00555419">
              <w:rPr>
                <w:szCs w:val="22"/>
                <w:lang w:val="en-GB"/>
              </w:rPr>
              <w:t>Drug substance</w:t>
            </w:r>
          </w:p>
        </w:tc>
      </w:tr>
      <w:tr w:rsidR="00E67958" w:rsidRPr="00503217" w14:paraId="065E9871"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8B26446" w14:textId="77777777" w:rsidR="00E67958" w:rsidRPr="00555419" w:rsidRDefault="00E67958" w:rsidP="00917711">
            <w:pPr>
              <w:rPr>
                <w:rFonts w:cstheme="minorHAnsi"/>
                <w:szCs w:val="22"/>
              </w:rPr>
            </w:pPr>
            <w:r w:rsidRPr="00555419">
              <w:rPr>
                <w:rFonts w:cstheme="minorHAnsi"/>
                <w:szCs w:val="22"/>
              </w:rPr>
              <w:t>EMA</w:t>
            </w:r>
          </w:p>
        </w:tc>
        <w:tc>
          <w:tcPr>
            <w:tcW w:w="7167" w:type="dxa"/>
          </w:tcPr>
          <w:p w14:paraId="3EBD7C84" w14:textId="77777777" w:rsidR="00E67958" w:rsidRPr="00555419" w:rsidRDefault="00E67958" w:rsidP="00917711">
            <w:pPr>
              <w:tabs>
                <w:tab w:val="left" w:pos="2445"/>
              </w:tabs>
              <w:cnfStyle w:val="000000000000" w:firstRow="0" w:lastRow="0" w:firstColumn="0" w:lastColumn="0" w:oddVBand="0" w:evenVBand="0" w:oddHBand="0" w:evenHBand="0" w:firstRowFirstColumn="0" w:firstRowLastColumn="0" w:lastRowFirstColumn="0" w:lastRowLastColumn="0"/>
              <w:rPr>
                <w:szCs w:val="22"/>
              </w:rPr>
            </w:pPr>
            <w:r w:rsidRPr="00555419">
              <w:rPr>
                <w:szCs w:val="22"/>
              </w:rPr>
              <w:t>European Medicines Agency</w:t>
            </w:r>
          </w:p>
        </w:tc>
      </w:tr>
      <w:tr w:rsidR="00E67958" w:rsidRPr="00503217" w14:paraId="0428EEC8"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60ADB46" w14:textId="77777777" w:rsidR="00E67958" w:rsidRPr="00555419" w:rsidRDefault="00E67958" w:rsidP="00917711">
            <w:pPr>
              <w:rPr>
                <w:rFonts w:cstheme="minorHAnsi"/>
                <w:szCs w:val="22"/>
              </w:rPr>
            </w:pPr>
            <w:r w:rsidRPr="00555419">
              <w:rPr>
                <w:rFonts w:cstheme="minorHAnsi"/>
                <w:szCs w:val="22"/>
              </w:rPr>
              <w:t>EU</w:t>
            </w:r>
          </w:p>
        </w:tc>
        <w:tc>
          <w:tcPr>
            <w:tcW w:w="7167" w:type="dxa"/>
          </w:tcPr>
          <w:p w14:paraId="198AFD6D" w14:textId="77777777" w:rsidR="00E67958" w:rsidRPr="00555419" w:rsidRDefault="00E67958" w:rsidP="00917711">
            <w:pPr>
              <w:tabs>
                <w:tab w:val="left" w:pos="2445"/>
              </w:tabs>
              <w:cnfStyle w:val="000000000000" w:firstRow="0" w:lastRow="0" w:firstColumn="0" w:lastColumn="0" w:oddVBand="0" w:evenVBand="0" w:oddHBand="0" w:evenHBand="0" w:firstRowFirstColumn="0" w:firstRowLastColumn="0" w:lastRowFirstColumn="0" w:lastRowLastColumn="0"/>
              <w:rPr>
                <w:szCs w:val="22"/>
              </w:rPr>
            </w:pPr>
            <w:r w:rsidRPr="00555419">
              <w:rPr>
                <w:szCs w:val="22"/>
              </w:rPr>
              <w:t>European Union</w:t>
            </w:r>
          </w:p>
        </w:tc>
      </w:tr>
      <w:tr w:rsidR="00E67958" w:rsidRPr="00503217" w14:paraId="40A4050D"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15D1A44" w14:textId="77777777" w:rsidR="00E67958" w:rsidRPr="00555419" w:rsidRDefault="00E67958" w:rsidP="00917711">
            <w:pPr>
              <w:rPr>
                <w:iCs/>
                <w:szCs w:val="22"/>
              </w:rPr>
            </w:pPr>
            <w:r w:rsidRPr="00555419">
              <w:rPr>
                <w:iCs/>
                <w:szCs w:val="22"/>
              </w:rPr>
              <w:t>IL</w:t>
            </w:r>
          </w:p>
        </w:tc>
        <w:tc>
          <w:tcPr>
            <w:tcW w:w="7167" w:type="dxa"/>
          </w:tcPr>
          <w:p w14:paraId="5BC5719A"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iCs/>
                <w:szCs w:val="22"/>
              </w:rPr>
            </w:pPr>
            <w:r w:rsidRPr="00555419">
              <w:rPr>
                <w:iCs/>
                <w:szCs w:val="22"/>
              </w:rPr>
              <w:t>Interleukin</w:t>
            </w:r>
          </w:p>
        </w:tc>
      </w:tr>
      <w:tr w:rsidR="00E67958" w:rsidRPr="00503217" w14:paraId="18D01575"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F6290F9" w14:textId="77777777" w:rsidR="00E67958" w:rsidRPr="00555419" w:rsidRDefault="00E67958" w:rsidP="00917711">
            <w:pPr>
              <w:rPr>
                <w:iCs/>
                <w:szCs w:val="22"/>
              </w:rPr>
            </w:pPr>
            <w:r w:rsidRPr="00555419">
              <w:rPr>
                <w:iCs/>
                <w:szCs w:val="22"/>
              </w:rPr>
              <w:t>LSM</w:t>
            </w:r>
          </w:p>
        </w:tc>
        <w:tc>
          <w:tcPr>
            <w:tcW w:w="7167" w:type="dxa"/>
          </w:tcPr>
          <w:p w14:paraId="336084B6"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iCs/>
                <w:szCs w:val="22"/>
              </w:rPr>
            </w:pPr>
            <w:r w:rsidRPr="00555419">
              <w:rPr>
                <w:iCs/>
                <w:szCs w:val="22"/>
              </w:rPr>
              <w:t>Least square means</w:t>
            </w:r>
          </w:p>
        </w:tc>
      </w:tr>
      <w:tr w:rsidR="00E67958" w:rsidRPr="002730CA" w14:paraId="12BA4B72"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1D3ED18" w14:textId="77777777" w:rsidR="00E67958" w:rsidRPr="00555419" w:rsidRDefault="00E67958" w:rsidP="00917711">
            <w:pPr>
              <w:rPr>
                <w:rFonts w:cstheme="minorHAnsi"/>
                <w:szCs w:val="22"/>
              </w:rPr>
            </w:pPr>
            <w:r w:rsidRPr="00555419">
              <w:rPr>
                <w:rFonts w:cstheme="minorHAnsi"/>
                <w:szCs w:val="22"/>
              </w:rPr>
              <w:t>PASI</w:t>
            </w:r>
          </w:p>
        </w:tc>
        <w:tc>
          <w:tcPr>
            <w:tcW w:w="7167" w:type="dxa"/>
          </w:tcPr>
          <w:p w14:paraId="3A3B5F0D"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rPr>
            </w:pPr>
            <w:r w:rsidRPr="00555419">
              <w:rPr>
                <w:szCs w:val="22"/>
              </w:rPr>
              <w:t>Psoriasis Area and Severity Index</w:t>
            </w:r>
          </w:p>
        </w:tc>
      </w:tr>
      <w:tr w:rsidR="00E67958" w:rsidRPr="00503217" w14:paraId="1EB50AB2"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FED171A" w14:textId="77777777" w:rsidR="00E67958" w:rsidRPr="00555419" w:rsidRDefault="00E67958" w:rsidP="00917711">
            <w:pPr>
              <w:rPr>
                <w:rFonts w:cstheme="minorHAnsi"/>
                <w:szCs w:val="22"/>
              </w:rPr>
            </w:pPr>
            <w:r w:rsidRPr="00555419">
              <w:rPr>
                <w:rFonts w:cstheme="minorHAnsi"/>
                <w:szCs w:val="22"/>
              </w:rPr>
              <w:t>PFS</w:t>
            </w:r>
          </w:p>
        </w:tc>
        <w:tc>
          <w:tcPr>
            <w:tcW w:w="7167" w:type="dxa"/>
          </w:tcPr>
          <w:p w14:paraId="159C0D40"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rPr>
            </w:pPr>
            <w:r w:rsidRPr="00555419">
              <w:rPr>
                <w:szCs w:val="22"/>
              </w:rPr>
              <w:t>Pre-filled syringe</w:t>
            </w:r>
          </w:p>
        </w:tc>
      </w:tr>
      <w:tr w:rsidR="00E67958" w:rsidRPr="00503217" w14:paraId="57A6C117"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2681C38" w14:textId="77777777" w:rsidR="00E67958" w:rsidRPr="00555419" w:rsidRDefault="00E67958" w:rsidP="00917711">
            <w:pPr>
              <w:rPr>
                <w:rFonts w:cstheme="minorHAnsi"/>
                <w:color w:val="auto"/>
                <w:szCs w:val="22"/>
              </w:rPr>
            </w:pPr>
            <w:r w:rsidRPr="00555419">
              <w:rPr>
                <w:rFonts w:cstheme="minorHAnsi"/>
                <w:color w:val="auto"/>
                <w:szCs w:val="22"/>
              </w:rPr>
              <w:t>PI</w:t>
            </w:r>
          </w:p>
        </w:tc>
        <w:tc>
          <w:tcPr>
            <w:tcW w:w="7167" w:type="dxa"/>
          </w:tcPr>
          <w:p w14:paraId="0F0F43BF"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555419">
              <w:rPr>
                <w:rFonts w:cstheme="minorHAnsi"/>
                <w:color w:val="auto"/>
                <w:szCs w:val="22"/>
              </w:rPr>
              <w:t>Product Information</w:t>
            </w:r>
          </w:p>
        </w:tc>
      </w:tr>
      <w:tr w:rsidR="00E67958" w:rsidRPr="00503217" w14:paraId="1CB353C7"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34A6CDE" w14:textId="77777777" w:rsidR="00E67958" w:rsidRPr="00555419" w:rsidRDefault="00E67958" w:rsidP="00917711">
            <w:pPr>
              <w:rPr>
                <w:rFonts w:cstheme="minorHAnsi"/>
                <w:szCs w:val="22"/>
              </w:rPr>
            </w:pPr>
            <w:r w:rsidRPr="00555419">
              <w:rPr>
                <w:rFonts w:cstheme="minorHAnsi"/>
                <w:szCs w:val="22"/>
              </w:rPr>
              <w:t>PK</w:t>
            </w:r>
          </w:p>
        </w:tc>
        <w:tc>
          <w:tcPr>
            <w:tcW w:w="7167" w:type="dxa"/>
          </w:tcPr>
          <w:p w14:paraId="493F4E80"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rFonts w:cstheme="minorHAnsi"/>
                <w:szCs w:val="22"/>
              </w:rPr>
            </w:pPr>
            <w:r w:rsidRPr="00555419">
              <w:rPr>
                <w:rFonts w:cstheme="minorHAnsi"/>
                <w:szCs w:val="22"/>
              </w:rPr>
              <w:t>Pharmacokinetic(s)</w:t>
            </w:r>
          </w:p>
        </w:tc>
      </w:tr>
      <w:tr w:rsidR="00E67958" w:rsidRPr="00503217" w14:paraId="0C0EDEB6"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6A1B384" w14:textId="77777777" w:rsidR="00E67958" w:rsidRPr="00555419" w:rsidRDefault="00E67958" w:rsidP="00917711">
            <w:pPr>
              <w:rPr>
                <w:rFonts w:cstheme="minorHAnsi"/>
                <w:szCs w:val="22"/>
              </w:rPr>
            </w:pPr>
            <w:r w:rsidRPr="00555419">
              <w:rPr>
                <w:rFonts w:cstheme="minorHAnsi"/>
                <w:szCs w:val="22"/>
              </w:rPr>
              <w:t>PPS</w:t>
            </w:r>
          </w:p>
        </w:tc>
        <w:tc>
          <w:tcPr>
            <w:tcW w:w="7167" w:type="dxa"/>
          </w:tcPr>
          <w:p w14:paraId="2470879A" w14:textId="77777777" w:rsidR="00E67958" w:rsidRPr="00555419" w:rsidRDefault="00E67958" w:rsidP="00917711">
            <w:pPr>
              <w:tabs>
                <w:tab w:val="center" w:pos="3532"/>
              </w:tabs>
              <w:cnfStyle w:val="000000000000" w:firstRow="0" w:lastRow="0" w:firstColumn="0" w:lastColumn="0" w:oddVBand="0" w:evenVBand="0" w:oddHBand="0" w:evenHBand="0" w:firstRowFirstColumn="0" w:firstRowLastColumn="0" w:lastRowFirstColumn="0" w:lastRowLastColumn="0"/>
              <w:rPr>
                <w:szCs w:val="22"/>
                <w:lang w:eastAsia="ja-JP"/>
              </w:rPr>
            </w:pPr>
            <w:r w:rsidRPr="00555419">
              <w:rPr>
                <w:szCs w:val="22"/>
                <w:lang w:eastAsia="ja-JP"/>
              </w:rPr>
              <w:t>Per-protocol set</w:t>
            </w:r>
          </w:p>
        </w:tc>
      </w:tr>
      <w:tr w:rsidR="00E67958" w:rsidRPr="00503217" w14:paraId="42C318F7"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182B5B3" w14:textId="77777777" w:rsidR="00E67958" w:rsidRPr="00555419" w:rsidRDefault="00E67958" w:rsidP="00917711">
            <w:pPr>
              <w:rPr>
                <w:rFonts w:cstheme="minorHAnsi"/>
                <w:color w:val="auto"/>
                <w:szCs w:val="22"/>
              </w:rPr>
            </w:pPr>
            <w:r w:rsidRPr="00555419">
              <w:rPr>
                <w:rFonts w:cstheme="minorHAnsi"/>
                <w:color w:val="auto"/>
                <w:szCs w:val="22"/>
              </w:rPr>
              <w:t>RMP</w:t>
            </w:r>
          </w:p>
        </w:tc>
        <w:tc>
          <w:tcPr>
            <w:tcW w:w="7167" w:type="dxa"/>
          </w:tcPr>
          <w:p w14:paraId="7E8155BC" w14:textId="77777777" w:rsidR="00E67958" w:rsidRPr="00555419" w:rsidRDefault="00E67958" w:rsidP="00917711">
            <w:pPr>
              <w:tabs>
                <w:tab w:val="center" w:pos="3532"/>
              </w:tabs>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555419">
              <w:rPr>
                <w:rFonts w:cstheme="minorHAnsi"/>
                <w:color w:val="auto"/>
                <w:szCs w:val="22"/>
              </w:rPr>
              <w:t>Risk management plan</w:t>
            </w:r>
          </w:p>
        </w:tc>
      </w:tr>
      <w:tr w:rsidR="00E67958" w:rsidRPr="00503217" w14:paraId="1FA46E20"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1A18562" w14:textId="77777777" w:rsidR="00E67958" w:rsidRPr="00555419" w:rsidRDefault="00E67958" w:rsidP="00917711">
            <w:pPr>
              <w:rPr>
                <w:szCs w:val="22"/>
              </w:rPr>
            </w:pPr>
            <w:r w:rsidRPr="00555419">
              <w:rPr>
                <w:szCs w:val="22"/>
              </w:rPr>
              <w:t>SAE(s)</w:t>
            </w:r>
          </w:p>
        </w:tc>
        <w:tc>
          <w:tcPr>
            <w:tcW w:w="7167" w:type="dxa"/>
          </w:tcPr>
          <w:p w14:paraId="3C86EFA5"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rPr>
            </w:pPr>
            <w:r w:rsidRPr="00555419">
              <w:rPr>
                <w:szCs w:val="22"/>
              </w:rPr>
              <w:t>Serious adverse event(s)</w:t>
            </w:r>
          </w:p>
        </w:tc>
      </w:tr>
      <w:tr w:rsidR="00E67958" w:rsidRPr="00503217" w14:paraId="3EBE3161"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2218BA9" w14:textId="77777777" w:rsidR="00E67958" w:rsidRPr="00555419" w:rsidRDefault="00E67958" w:rsidP="00917711">
            <w:pPr>
              <w:rPr>
                <w:szCs w:val="22"/>
              </w:rPr>
            </w:pPr>
            <w:r w:rsidRPr="00555419">
              <w:rPr>
                <w:szCs w:val="22"/>
              </w:rPr>
              <w:t>SB17</w:t>
            </w:r>
          </w:p>
        </w:tc>
        <w:tc>
          <w:tcPr>
            <w:tcW w:w="7167" w:type="dxa"/>
          </w:tcPr>
          <w:p w14:paraId="5BF77130"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rPr>
            </w:pPr>
            <w:r w:rsidRPr="00555419">
              <w:rPr>
                <w:szCs w:val="22"/>
              </w:rPr>
              <w:t>Ustekinumab</w:t>
            </w:r>
          </w:p>
        </w:tc>
      </w:tr>
      <w:tr w:rsidR="00E67958" w:rsidRPr="00503217" w14:paraId="78AE1D58"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1793925" w14:textId="77777777" w:rsidR="00E67958" w:rsidRPr="00555419" w:rsidRDefault="00E67958" w:rsidP="00917711">
            <w:pPr>
              <w:rPr>
                <w:szCs w:val="22"/>
              </w:rPr>
            </w:pPr>
            <w:r w:rsidRPr="00555419">
              <w:rPr>
                <w:szCs w:val="22"/>
              </w:rPr>
              <w:t>SD</w:t>
            </w:r>
          </w:p>
        </w:tc>
        <w:tc>
          <w:tcPr>
            <w:tcW w:w="7167" w:type="dxa"/>
          </w:tcPr>
          <w:p w14:paraId="4292114A"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rPr>
            </w:pPr>
            <w:r w:rsidRPr="00555419">
              <w:rPr>
                <w:szCs w:val="22"/>
              </w:rPr>
              <w:t>Standard deviation</w:t>
            </w:r>
          </w:p>
        </w:tc>
      </w:tr>
      <w:tr w:rsidR="00E67958" w:rsidRPr="00503217" w14:paraId="53CCA712"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AA8B486" w14:textId="77777777" w:rsidR="00E67958" w:rsidRPr="00555419" w:rsidRDefault="00E67958" w:rsidP="00917711">
            <w:pPr>
              <w:rPr>
                <w:rFonts w:cstheme="minorHAnsi"/>
                <w:szCs w:val="22"/>
              </w:rPr>
            </w:pPr>
            <w:r w:rsidRPr="00555419">
              <w:rPr>
                <w:rFonts w:cstheme="minorHAnsi"/>
                <w:szCs w:val="22"/>
              </w:rPr>
              <w:t>TEAE(s)</w:t>
            </w:r>
          </w:p>
        </w:tc>
        <w:tc>
          <w:tcPr>
            <w:tcW w:w="7167" w:type="dxa"/>
          </w:tcPr>
          <w:p w14:paraId="452266C0"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rFonts w:cstheme="minorHAnsi"/>
                <w:szCs w:val="22"/>
              </w:rPr>
            </w:pPr>
            <w:r w:rsidRPr="00555419">
              <w:rPr>
                <w:szCs w:val="22"/>
                <w:lang w:eastAsia="ja-JP"/>
              </w:rPr>
              <w:t>Treatment emergent adverse event(s)</w:t>
            </w:r>
          </w:p>
        </w:tc>
      </w:tr>
      <w:tr w:rsidR="00E67958" w:rsidRPr="00503217" w14:paraId="6950560E"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D3236C7" w14:textId="77777777" w:rsidR="00E67958" w:rsidRPr="00555419" w:rsidRDefault="00E67958" w:rsidP="00917711">
            <w:pPr>
              <w:rPr>
                <w:rFonts w:cstheme="minorHAnsi"/>
                <w:color w:val="auto"/>
                <w:szCs w:val="22"/>
              </w:rPr>
            </w:pPr>
            <w:r w:rsidRPr="00555419">
              <w:rPr>
                <w:rFonts w:cstheme="minorHAnsi"/>
                <w:color w:val="auto"/>
                <w:szCs w:val="22"/>
              </w:rPr>
              <w:t>TGA</w:t>
            </w:r>
          </w:p>
        </w:tc>
        <w:tc>
          <w:tcPr>
            <w:tcW w:w="7167" w:type="dxa"/>
          </w:tcPr>
          <w:p w14:paraId="3A6C56F2"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555419">
              <w:rPr>
                <w:rFonts w:cstheme="minorHAnsi"/>
                <w:color w:val="auto"/>
                <w:szCs w:val="22"/>
              </w:rPr>
              <w:t>Therapeutic Goods Administration</w:t>
            </w:r>
          </w:p>
        </w:tc>
      </w:tr>
      <w:tr w:rsidR="00E67958" w:rsidRPr="00503217" w14:paraId="5DD8FEF5" w14:textId="77777777" w:rsidTr="00917711">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A02569D" w14:textId="77777777" w:rsidR="00E67958" w:rsidRPr="00555419" w:rsidRDefault="00E67958" w:rsidP="00917711">
            <w:pPr>
              <w:rPr>
                <w:rFonts w:cstheme="minorHAnsi"/>
                <w:szCs w:val="22"/>
              </w:rPr>
            </w:pPr>
            <w:r w:rsidRPr="00555419">
              <w:rPr>
                <w:rFonts w:cstheme="minorHAnsi"/>
                <w:szCs w:val="22"/>
              </w:rPr>
              <w:t>US</w:t>
            </w:r>
          </w:p>
        </w:tc>
        <w:tc>
          <w:tcPr>
            <w:tcW w:w="7167" w:type="dxa"/>
          </w:tcPr>
          <w:p w14:paraId="56C1A4B8" w14:textId="77777777" w:rsidR="00E67958" w:rsidRPr="00555419" w:rsidRDefault="00E67958" w:rsidP="00917711">
            <w:pPr>
              <w:cnfStyle w:val="000000000000" w:firstRow="0" w:lastRow="0" w:firstColumn="0" w:lastColumn="0" w:oddVBand="0" w:evenVBand="0" w:oddHBand="0" w:evenHBand="0" w:firstRowFirstColumn="0" w:firstRowLastColumn="0" w:lastRowFirstColumn="0" w:lastRowLastColumn="0"/>
              <w:rPr>
                <w:szCs w:val="22"/>
              </w:rPr>
            </w:pPr>
            <w:r w:rsidRPr="00555419">
              <w:rPr>
                <w:szCs w:val="22"/>
              </w:rPr>
              <w:t>United states (of America)</w:t>
            </w:r>
          </w:p>
        </w:tc>
      </w:tr>
      <w:bookmarkEnd w:id="5"/>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6" w:name="_Toc103679288"/>
      <w:bookmarkStart w:id="7" w:name="_Toc225257700"/>
      <w:r>
        <w:lastRenderedPageBreak/>
        <w:t>Product submission</w:t>
      </w:r>
      <w:bookmarkEnd w:id="6"/>
      <w:bookmarkEnd w:id="7"/>
    </w:p>
    <w:p w14:paraId="21D559DF" w14:textId="77777777" w:rsidR="00324B33" w:rsidRDefault="00324B33" w:rsidP="00324B33">
      <w:pPr>
        <w:pStyle w:val="Heading3"/>
        <w:rPr>
          <w:lang w:eastAsia="en-AU"/>
        </w:rPr>
      </w:pPr>
      <w:bookmarkStart w:id="8" w:name="_Toc247691502"/>
      <w:bookmarkStart w:id="9" w:name="_Toc314842483"/>
      <w:bookmarkStart w:id="10" w:name="_Toc103679289"/>
      <w:bookmarkStart w:id="11" w:name="_Toc225257701"/>
      <w:r>
        <w:rPr>
          <w:lang w:eastAsia="en-AU"/>
        </w:rPr>
        <w:t>Submission details</w:t>
      </w:r>
      <w:bookmarkEnd w:id="8"/>
      <w:bookmarkEnd w:id="9"/>
      <w:bookmarkEnd w:id="10"/>
      <w:bookmarkEnd w:id="11"/>
    </w:p>
    <w:tbl>
      <w:tblPr>
        <w:tblW w:w="5000" w:type="pct"/>
        <w:tblLook w:val="01E0" w:firstRow="1" w:lastRow="1" w:firstColumn="1" w:lastColumn="1" w:noHBand="0" w:noVBand="0"/>
      </w:tblPr>
      <w:tblGrid>
        <w:gridCol w:w="3684"/>
        <w:gridCol w:w="5386"/>
      </w:tblGrid>
      <w:tr w:rsidR="00324B33" w:rsidRPr="00BD5DBD" w14:paraId="77D11C95" w14:textId="77777777" w:rsidTr="001D6705">
        <w:tc>
          <w:tcPr>
            <w:tcW w:w="2031" w:type="pct"/>
          </w:tcPr>
          <w:p w14:paraId="10E57D62" w14:textId="2BF3125B" w:rsidR="00324B33" w:rsidRPr="00BD5DBD" w:rsidRDefault="00324B33" w:rsidP="007452E8">
            <w:pPr>
              <w:rPr>
                <w:i/>
                <w:szCs w:val="22"/>
              </w:rPr>
            </w:pPr>
            <w:r w:rsidRPr="00BD5DBD">
              <w:rPr>
                <w:i/>
                <w:szCs w:val="22"/>
              </w:rPr>
              <w:t>Typ</w:t>
            </w:r>
            <w:r w:rsidR="00011F79">
              <w:rPr>
                <w:i/>
                <w:szCs w:val="22"/>
              </w:rPr>
              <w:t>e</w:t>
            </w:r>
            <w:r w:rsidRPr="00BD5DBD">
              <w:rPr>
                <w:i/>
                <w:szCs w:val="22"/>
              </w:rPr>
              <w:t xml:space="preserve"> of submission:</w:t>
            </w:r>
          </w:p>
        </w:tc>
        <w:tc>
          <w:tcPr>
            <w:tcW w:w="2969" w:type="pct"/>
          </w:tcPr>
          <w:p w14:paraId="4F07C303" w14:textId="369A4DBC" w:rsidR="00324B33" w:rsidRPr="00BD5DBD" w:rsidRDefault="00324B33" w:rsidP="007452E8">
            <w:pPr>
              <w:rPr>
                <w:szCs w:val="22"/>
              </w:rPr>
            </w:pPr>
            <w:r w:rsidRPr="00BD5DBD">
              <w:rPr>
                <w:szCs w:val="22"/>
              </w:rPr>
              <w:t xml:space="preserve">New </w:t>
            </w:r>
            <w:r w:rsidR="00011F79">
              <w:rPr>
                <w:szCs w:val="22"/>
              </w:rPr>
              <w:t>biosimilar</w:t>
            </w:r>
            <w:r w:rsidR="001F1FC2">
              <w:rPr>
                <w:szCs w:val="22"/>
              </w:rPr>
              <w:t xml:space="preserve"> medicine</w:t>
            </w:r>
          </w:p>
        </w:tc>
      </w:tr>
      <w:tr w:rsidR="00324B33" w:rsidRPr="00BD5DBD" w14:paraId="13482B61" w14:textId="77777777" w:rsidTr="001D6705">
        <w:tc>
          <w:tcPr>
            <w:tcW w:w="2031" w:type="pct"/>
          </w:tcPr>
          <w:p w14:paraId="2C427FCF" w14:textId="6EBA8F18" w:rsidR="00324B33" w:rsidRPr="00BD5DBD" w:rsidRDefault="00324B33" w:rsidP="007452E8">
            <w:pPr>
              <w:rPr>
                <w:i/>
                <w:szCs w:val="22"/>
              </w:rPr>
            </w:pPr>
            <w:r w:rsidRPr="00BD5DBD">
              <w:rPr>
                <w:i/>
                <w:szCs w:val="22"/>
              </w:rPr>
              <w:t>Product name:</w:t>
            </w:r>
          </w:p>
        </w:tc>
        <w:tc>
          <w:tcPr>
            <w:tcW w:w="2969" w:type="pct"/>
          </w:tcPr>
          <w:p w14:paraId="0E2DEF76" w14:textId="06BECEFD" w:rsidR="00324B33" w:rsidRPr="00BD5DBD" w:rsidRDefault="003C5EBB" w:rsidP="007452E8">
            <w:pPr>
              <w:rPr>
                <w:szCs w:val="22"/>
              </w:rPr>
            </w:pPr>
            <w:r w:rsidRPr="003C5EBB">
              <w:rPr>
                <w:szCs w:val="22"/>
              </w:rPr>
              <w:t>E</w:t>
            </w:r>
            <w:r>
              <w:rPr>
                <w:szCs w:val="22"/>
              </w:rPr>
              <w:t>pyztek</w:t>
            </w:r>
          </w:p>
        </w:tc>
      </w:tr>
      <w:tr w:rsidR="00324B33" w:rsidRPr="00BD5DBD" w14:paraId="01255B5B" w14:textId="77777777" w:rsidTr="001D6705">
        <w:tc>
          <w:tcPr>
            <w:tcW w:w="2031" w:type="pct"/>
          </w:tcPr>
          <w:p w14:paraId="52B4F3D7" w14:textId="43EAF61E" w:rsidR="00324B33" w:rsidRPr="00BD5DBD" w:rsidRDefault="00324B33" w:rsidP="007452E8">
            <w:pPr>
              <w:rPr>
                <w:i/>
                <w:szCs w:val="22"/>
              </w:rPr>
            </w:pPr>
            <w:r w:rsidRPr="00BD5DBD">
              <w:rPr>
                <w:i/>
                <w:szCs w:val="22"/>
              </w:rPr>
              <w:t>Active ingredien</w:t>
            </w:r>
            <w:r w:rsidR="00D529AF">
              <w:rPr>
                <w:i/>
                <w:szCs w:val="22"/>
              </w:rPr>
              <w:t>t</w:t>
            </w:r>
            <w:r w:rsidRPr="00BD5DBD">
              <w:rPr>
                <w:i/>
                <w:szCs w:val="22"/>
              </w:rPr>
              <w:t>:</w:t>
            </w:r>
          </w:p>
        </w:tc>
        <w:tc>
          <w:tcPr>
            <w:tcW w:w="2969" w:type="pct"/>
          </w:tcPr>
          <w:p w14:paraId="02FB6383" w14:textId="72A3D0CC" w:rsidR="00324B33" w:rsidRPr="00BD5DBD" w:rsidRDefault="00D529AF" w:rsidP="007452E8">
            <w:pPr>
              <w:rPr>
                <w:szCs w:val="22"/>
              </w:rPr>
            </w:pPr>
            <w:r>
              <w:rPr>
                <w:szCs w:val="22"/>
              </w:rPr>
              <w:t>U</w:t>
            </w:r>
            <w:r w:rsidRPr="00D529AF">
              <w:rPr>
                <w:szCs w:val="22"/>
              </w:rPr>
              <w:t>stekinumab</w:t>
            </w:r>
          </w:p>
        </w:tc>
      </w:tr>
      <w:tr w:rsidR="00324B33" w:rsidRPr="00BD5DBD" w14:paraId="219A281B" w14:textId="77777777" w:rsidTr="001D6705">
        <w:tc>
          <w:tcPr>
            <w:tcW w:w="2031" w:type="pct"/>
          </w:tcPr>
          <w:p w14:paraId="112E5F78" w14:textId="77777777" w:rsidR="00324B33" w:rsidRPr="00BD5DBD" w:rsidRDefault="00324B33" w:rsidP="007452E8">
            <w:pPr>
              <w:rPr>
                <w:i/>
                <w:szCs w:val="22"/>
              </w:rPr>
            </w:pPr>
            <w:r w:rsidRPr="00BD5DBD">
              <w:rPr>
                <w:i/>
                <w:szCs w:val="22"/>
              </w:rPr>
              <w:t>Decision:</w:t>
            </w:r>
          </w:p>
        </w:tc>
        <w:tc>
          <w:tcPr>
            <w:tcW w:w="2969" w:type="pct"/>
          </w:tcPr>
          <w:p w14:paraId="3B114BEA" w14:textId="72543280" w:rsidR="00324B33" w:rsidRPr="00BD5DBD" w:rsidRDefault="00324B33" w:rsidP="007452E8">
            <w:pPr>
              <w:rPr>
                <w:szCs w:val="22"/>
              </w:rPr>
            </w:pPr>
            <w:r w:rsidRPr="00BD5DBD">
              <w:rPr>
                <w:szCs w:val="22"/>
              </w:rPr>
              <w:t>Approved</w:t>
            </w:r>
          </w:p>
        </w:tc>
      </w:tr>
      <w:tr w:rsidR="00AE1947" w:rsidRPr="00BD5DBD" w14:paraId="32B72632" w14:textId="77777777" w:rsidTr="001D6705">
        <w:tc>
          <w:tcPr>
            <w:tcW w:w="2031" w:type="pct"/>
          </w:tcPr>
          <w:p w14:paraId="332A5CD5" w14:textId="65682B5F" w:rsidR="00AE1947" w:rsidRPr="00BD5DBD" w:rsidRDefault="00AE1947" w:rsidP="007F1E37">
            <w:r w:rsidRPr="00BD5DBD">
              <w:rPr>
                <w:i/>
                <w:szCs w:val="22"/>
              </w:rPr>
              <w:t>Date of decision:</w:t>
            </w:r>
          </w:p>
        </w:tc>
        <w:tc>
          <w:tcPr>
            <w:tcW w:w="2969" w:type="pct"/>
          </w:tcPr>
          <w:p w14:paraId="7B381CD6" w14:textId="6F5E28E7" w:rsidR="00AE1947" w:rsidRPr="00BD5DBD" w:rsidRDefault="0044596D" w:rsidP="00602658">
            <w:pPr>
              <w:rPr>
                <w:szCs w:val="22"/>
              </w:rPr>
            </w:pPr>
            <w:r>
              <w:rPr>
                <w:szCs w:val="22"/>
              </w:rPr>
              <w:t xml:space="preserve">26 September </w:t>
            </w:r>
            <w:r w:rsidR="00682F3D">
              <w:rPr>
                <w:szCs w:val="22"/>
              </w:rPr>
              <w:t>2024</w:t>
            </w:r>
          </w:p>
        </w:tc>
      </w:tr>
      <w:tr w:rsidR="00324B33" w:rsidRPr="00BD5DBD" w14:paraId="60A25F5A" w14:textId="77777777" w:rsidTr="001D6705">
        <w:tc>
          <w:tcPr>
            <w:tcW w:w="2031" w:type="pct"/>
          </w:tcPr>
          <w:p w14:paraId="5C5E4CBA" w14:textId="77777777" w:rsidR="00324B33" w:rsidRPr="00BD5DBD" w:rsidRDefault="00324B33" w:rsidP="007452E8">
            <w:pPr>
              <w:rPr>
                <w:i/>
                <w:szCs w:val="22"/>
              </w:rPr>
            </w:pPr>
            <w:r w:rsidRPr="00BD5DBD">
              <w:rPr>
                <w:i/>
                <w:szCs w:val="22"/>
              </w:rPr>
              <w:t>Date of entry onto ARTG:</w:t>
            </w:r>
          </w:p>
        </w:tc>
        <w:tc>
          <w:tcPr>
            <w:tcW w:w="2969" w:type="pct"/>
          </w:tcPr>
          <w:p w14:paraId="28B270E9" w14:textId="39AE5E07" w:rsidR="00324B33" w:rsidRPr="00BD5DBD" w:rsidRDefault="00682F3D" w:rsidP="007452E8">
            <w:pPr>
              <w:rPr>
                <w:szCs w:val="22"/>
              </w:rPr>
            </w:pPr>
            <w:r>
              <w:rPr>
                <w:szCs w:val="22"/>
              </w:rPr>
              <w:t>21 October 2024</w:t>
            </w:r>
          </w:p>
        </w:tc>
      </w:tr>
      <w:tr w:rsidR="00324B33" w:rsidRPr="00BD5DBD" w14:paraId="547E08D7" w14:textId="77777777" w:rsidTr="001D6705">
        <w:tc>
          <w:tcPr>
            <w:tcW w:w="2031" w:type="pct"/>
          </w:tcPr>
          <w:p w14:paraId="5030EF30" w14:textId="27A5313F" w:rsidR="00324B33" w:rsidRPr="00BD5DBD" w:rsidRDefault="00324B33" w:rsidP="007452E8">
            <w:pPr>
              <w:rPr>
                <w:i/>
                <w:szCs w:val="22"/>
              </w:rPr>
            </w:pPr>
            <w:r w:rsidRPr="00BD5DBD">
              <w:rPr>
                <w:i/>
                <w:szCs w:val="22"/>
              </w:rPr>
              <w:t>ARTG numbers:</w:t>
            </w:r>
          </w:p>
        </w:tc>
        <w:tc>
          <w:tcPr>
            <w:tcW w:w="2969" w:type="pct"/>
          </w:tcPr>
          <w:p w14:paraId="0054E912" w14:textId="3F5AFA1F" w:rsidR="00324B33" w:rsidRPr="00BD5DBD" w:rsidRDefault="008E1040" w:rsidP="007452E8">
            <w:pPr>
              <w:rPr>
                <w:szCs w:val="22"/>
              </w:rPr>
            </w:pPr>
            <w:r w:rsidRPr="008E1040">
              <w:rPr>
                <w:szCs w:val="22"/>
              </w:rPr>
              <w:t>423022</w:t>
            </w:r>
            <w:r>
              <w:rPr>
                <w:szCs w:val="22"/>
              </w:rPr>
              <w:t xml:space="preserve">, </w:t>
            </w:r>
            <w:r w:rsidRPr="008E1040">
              <w:rPr>
                <w:szCs w:val="22"/>
              </w:rPr>
              <w:t xml:space="preserve">423023 </w:t>
            </w:r>
            <w:r>
              <w:rPr>
                <w:szCs w:val="22"/>
              </w:rPr>
              <w:t xml:space="preserve">and </w:t>
            </w:r>
            <w:r w:rsidR="00EC12E1" w:rsidRPr="00EC12E1">
              <w:rPr>
                <w:szCs w:val="22"/>
              </w:rPr>
              <w:t>423024</w:t>
            </w:r>
          </w:p>
        </w:tc>
      </w:tr>
      <w:tr w:rsidR="00324B33" w:rsidRPr="00BD5DBD" w14:paraId="7618393F" w14:textId="77777777" w:rsidTr="001D6705">
        <w:tc>
          <w:tcPr>
            <w:tcW w:w="2031" w:type="pct"/>
          </w:tcPr>
          <w:p w14:paraId="6C24CEB6" w14:textId="225418F7" w:rsidR="00E47E0C" w:rsidRPr="00BD5DBD" w:rsidRDefault="00324B33" w:rsidP="007452E8">
            <w:pPr>
              <w:rPr>
                <w:rStyle w:val="Hyperlink"/>
                <w:i/>
                <w:szCs w:val="22"/>
              </w:rPr>
            </w:pPr>
            <w:r w:rsidRPr="00BD5DBD">
              <w:rPr>
                <w:rFonts w:ascii="Wingdings 3" w:hAnsi="Wingdings 3"/>
                <w:szCs w:val="22"/>
                <w:lang w:eastAsia="en-AU"/>
              </w:rPr>
              <w:t></w:t>
            </w:r>
            <w:hyperlink r:id="rId15"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2969" w:type="pct"/>
          </w:tcPr>
          <w:p w14:paraId="6FF3C6A2" w14:textId="41EBFFA8" w:rsidR="00324B33" w:rsidRPr="00BD5DBD" w:rsidRDefault="00324B33" w:rsidP="007452E8">
            <w:pPr>
              <w:rPr>
                <w:szCs w:val="22"/>
              </w:rPr>
            </w:pPr>
            <w:r w:rsidRPr="00BD5DBD">
              <w:rPr>
                <w:szCs w:val="22"/>
              </w:rPr>
              <w:t>Yes</w:t>
            </w:r>
          </w:p>
        </w:tc>
      </w:tr>
      <w:tr w:rsidR="00324B33" w:rsidRPr="00BD5DBD" w14:paraId="179E09FE" w14:textId="77777777" w:rsidTr="001D6705">
        <w:tc>
          <w:tcPr>
            <w:tcW w:w="2031" w:type="pct"/>
          </w:tcPr>
          <w:p w14:paraId="1A592498" w14:textId="77777777" w:rsidR="00324B33" w:rsidRPr="00BD5DBD" w:rsidRDefault="00324B33" w:rsidP="007452E8">
            <w:pPr>
              <w:rPr>
                <w:i/>
                <w:szCs w:val="22"/>
              </w:rPr>
            </w:pPr>
            <w:r w:rsidRPr="00BD5DBD">
              <w:rPr>
                <w:i/>
                <w:szCs w:val="22"/>
              </w:rPr>
              <w:t>Sponsor’s name and address:</w:t>
            </w:r>
          </w:p>
        </w:tc>
        <w:tc>
          <w:tcPr>
            <w:tcW w:w="2969" w:type="pct"/>
          </w:tcPr>
          <w:p w14:paraId="0E889D13" w14:textId="77777777" w:rsidR="001D6705" w:rsidRDefault="000C5C13" w:rsidP="001D6705">
            <w:pPr>
              <w:rPr>
                <w:szCs w:val="22"/>
              </w:rPr>
            </w:pPr>
            <w:r w:rsidRPr="000C5C13">
              <w:rPr>
                <w:szCs w:val="22"/>
              </w:rPr>
              <w:t>Samsung Bioepis AU Pty Ltd</w:t>
            </w:r>
          </w:p>
          <w:p w14:paraId="29A0DA49" w14:textId="77777777" w:rsidR="001D6705" w:rsidRDefault="004B33FE" w:rsidP="001D6705">
            <w:pPr>
              <w:rPr>
                <w:szCs w:val="22"/>
              </w:rPr>
            </w:pPr>
            <w:r w:rsidRPr="004B33FE">
              <w:rPr>
                <w:szCs w:val="22"/>
              </w:rPr>
              <w:t>Suite 1, Level 11, 66 Goulburn Street</w:t>
            </w:r>
          </w:p>
          <w:p w14:paraId="64896F7A" w14:textId="77777777" w:rsidR="001D6705" w:rsidRDefault="004B33FE" w:rsidP="001D6705">
            <w:pPr>
              <w:rPr>
                <w:szCs w:val="22"/>
              </w:rPr>
            </w:pPr>
            <w:r w:rsidRPr="004B33FE">
              <w:rPr>
                <w:szCs w:val="22"/>
              </w:rPr>
              <w:t>Sydney NSW 2000</w:t>
            </w:r>
          </w:p>
          <w:p w14:paraId="68DD94B0" w14:textId="074105D5" w:rsidR="00324B33" w:rsidRPr="00BD5DBD" w:rsidRDefault="004B33FE" w:rsidP="001D6705">
            <w:pPr>
              <w:rPr>
                <w:szCs w:val="22"/>
              </w:rPr>
            </w:pPr>
            <w:r w:rsidRPr="004B33FE">
              <w:rPr>
                <w:szCs w:val="22"/>
              </w:rPr>
              <w:t>Australia</w:t>
            </w:r>
          </w:p>
        </w:tc>
      </w:tr>
      <w:tr w:rsidR="00324B33" w:rsidRPr="00BD5DBD" w14:paraId="5322B989" w14:textId="77777777" w:rsidTr="001D6705">
        <w:tc>
          <w:tcPr>
            <w:tcW w:w="2031" w:type="pct"/>
          </w:tcPr>
          <w:p w14:paraId="24F217E3" w14:textId="1420B064" w:rsidR="00324B33" w:rsidRPr="00BD5DBD" w:rsidRDefault="00324B33" w:rsidP="007452E8">
            <w:pPr>
              <w:rPr>
                <w:i/>
                <w:szCs w:val="22"/>
              </w:rPr>
            </w:pPr>
            <w:r w:rsidRPr="00BD5DBD">
              <w:rPr>
                <w:i/>
                <w:szCs w:val="22"/>
              </w:rPr>
              <w:t>Dose forms:</w:t>
            </w:r>
          </w:p>
        </w:tc>
        <w:tc>
          <w:tcPr>
            <w:tcW w:w="2969" w:type="pct"/>
          </w:tcPr>
          <w:p w14:paraId="768B254C" w14:textId="1AEA6F4D" w:rsidR="00324B33" w:rsidRPr="00BD5DBD" w:rsidRDefault="00112FDD" w:rsidP="007452E8">
            <w:pPr>
              <w:rPr>
                <w:szCs w:val="22"/>
              </w:rPr>
            </w:pPr>
            <w:r>
              <w:rPr>
                <w:szCs w:val="22"/>
              </w:rPr>
              <w:t>Solution for injection and solution for infusion</w:t>
            </w:r>
          </w:p>
        </w:tc>
      </w:tr>
      <w:tr w:rsidR="00324B33" w:rsidRPr="00BD5DBD" w14:paraId="115243E6" w14:textId="77777777" w:rsidTr="001D6705">
        <w:tc>
          <w:tcPr>
            <w:tcW w:w="2031" w:type="pct"/>
          </w:tcPr>
          <w:p w14:paraId="7634B062" w14:textId="509A8A53" w:rsidR="00324B33" w:rsidRPr="00BD5DBD" w:rsidRDefault="00324B33" w:rsidP="007452E8">
            <w:pPr>
              <w:rPr>
                <w:i/>
                <w:szCs w:val="22"/>
              </w:rPr>
            </w:pPr>
            <w:r w:rsidRPr="00BD5DBD">
              <w:rPr>
                <w:i/>
                <w:szCs w:val="22"/>
              </w:rPr>
              <w:t>Strengths:</w:t>
            </w:r>
          </w:p>
        </w:tc>
        <w:tc>
          <w:tcPr>
            <w:tcW w:w="2969" w:type="pct"/>
          </w:tcPr>
          <w:p w14:paraId="5E5F83DB" w14:textId="143AD2FA" w:rsidR="00324B33" w:rsidRPr="00BD5DBD" w:rsidRDefault="00C525C5" w:rsidP="007452E8">
            <w:pPr>
              <w:rPr>
                <w:szCs w:val="22"/>
              </w:rPr>
            </w:pPr>
            <w:r>
              <w:rPr>
                <w:szCs w:val="22"/>
              </w:rPr>
              <w:t xml:space="preserve">45 mg/0.5 mL, </w:t>
            </w:r>
            <w:r w:rsidR="00285F17">
              <w:rPr>
                <w:szCs w:val="22"/>
              </w:rPr>
              <w:t>5 mg/1 mL</w:t>
            </w:r>
            <w:r>
              <w:rPr>
                <w:szCs w:val="22"/>
              </w:rPr>
              <w:t xml:space="preserve"> and 90 mg/1 mL</w:t>
            </w:r>
          </w:p>
        </w:tc>
      </w:tr>
      <w:tr w:rsidR="00324B33" w:rsidRPr="00BD5DBD" w14:paraId="34B07BA6" w14:textId="77777777" w:rsidTr="001D6705">
        <w:tc>
          <w:tcPr>
            <w:tcW w:w="2031" w:type="pct"/>
          </w:tcPr>
          <w:p w14:paraId="1C039224" w14:textId="71540867" w:rsidR="00324B33" w:rsidRPr="00BD5DBD" w:rsidRDefault="00324B33" w:rsidP="007452E8">
            <w:pPr>
              <w:rPr>
                <w:i/>
                <w:szCs w:val="22"/>
              </w:rPr>
            </w:pPr>
            <w:r w:rsidRPr="00BD5DBD">
              <w:rPr>
                <w:i/>
                <w:szCs w:val="22"/>
              </w:rPr>
              <w:t>Containers:</w:t>
            </w:r>
          </w:p>
        </w:tc>
        <w:tc>
          <w:tcPr>
            <w:tcW w:w="2969" w:type="pct"/>
          </w:tcPr>
          <w:p w14:paraId="500A42C6" w14:textId="12E6FC88" w:rsidR="00324B33" w:rsidRPr="00BD5DBD" w:rsidRDefault="0098243F" w:rsidP="007452E8">
            <w:pPr>
              <w:rPr>
                <w:szCs w:val="22"/>
              </w:rPr>
            </w:pPr>
            <w:r>
              <w:rPr>
                <w:szCs w:val="22"/>
              </w:rPr>
              <w:t>Syringe and vial</w:t>
            </w:r>
          </w:p>
        </w:tc>
      </w:tr>
      <w:tr w:rsidR="00324B33" w:rsidRPr="00BD5DBD" w14:paraId="176B6773" w14:textId="77777777" w:rsidTr="001D6705">
        <w:tc>
          <w:tcPr>
            <w:tcW w:w="2031" w:type="pct"/>
          </w:tcPr>
          <w:p w14:paraId="71846159" w14:textId="58EA7295" w:rsidR="00324B33" w:rsidRPr="00BD5DBD" w:rsidRDefault="00324B33" w:rsidP="007452E8">
            <w:pPr>
              <w:rPr>
                <w:i/>
                <w:szCs w:val="22"/>
              </w:rPr>
            </w:pPr>
            <w:r w:rsidRPr="00BD5DBD">
              <w:rPr>
                <w:i/>
                <w:szCs w:val="22"/>
              </w:rPr>
              <w:t>Pack size:</w:t>
            </w:r>
          </w:p>
        </w:tc>
        <w:tc>
          <w:tcPr>
            <w:tcW w:w="2969" w:type="pct"/>
          </w:tcPr>
          <w:p w14:paraId="7E978F8F" w14:textId="6CE85BE2" w:rsidR="00324B33" w:rsidRPr="00BD5DBD" w:rsidRDefault="00DF237B" w:rsidP="007452E8">
            <w:pPr>
              <w:rPr>
                <w:szCs w:val="22"/>
              </w:rPr>
            </w:pPr>
            <w:r>
              <w:rPr>
                <w:szCs w:val="22"/>
              </w:rPr>
              <w:t>One</w:t>
            </w:r>
          </w:p>
        </w:tc>
      </w:tr>
      <w:tr w:rsidR="00324B33" w:rsidRPr="00BD5DBD" w14:paraId="19A2544A" w14:textId="77777777" w:rsidTr="001D6705">
        <w:tc>
          <w:tcPr>
            <w:tcW w:w="2031"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2969" w:type="pct"/>
          </w:tcPr>
          <w:p w14:paraId="160C54FC" w14:textId="77777777" w:rsidR="000B1B9D" w:rsidRPr="005F2353" w:rsidRDefault="000B1B9D" w:rsidP="006B4598">
            <w:pPr>
              <w:rPr>
                <w:b/>
                <w:bCs/>
              </w:rPr>
            </w:pPr>
            <w:r w:rsidRPr="005F2353">
              <w:rPr>
                <w:b/>
                <w:bCs/>
              </w:rPr>
              <w:t>Plaque Psoriasis</w:t>
            </w:r>
          </w:p>
          <w:p w14:paraId="722509C8" w14:textId="77777777" w:rsidR="000B1B9D" w:rsidRPr="000C17E0" w:rsidRDefault="000B1B9D" w:rsidP="006B4598">
            <w:pPr>
              <w:rPr>
                <w:i/>
                <w:iCs/>
              </w:rPr>
            </w:pPr>
            <w:r w:rsidRPr="000C17E0">
              <w:rPr>
                <w:i/>
                <w:iCs/>
              </w:rPr>
              <w:t>Adults</w:t>
            </w:r>
          </w:p>
          <w:p w14:paraId="2CB16A89" w14:textId="3F32BFF5" w:rsidR="000B1B9D" w:rsidRPr="006B4598" w:rsidRDefault="000B1B9D" w:rsidP="006B4598">
            <w:r w:rsidRPr="006B4598">
              <w:t>E</w:t>
            </w:r>
            <w:r w:rsidR="005F2353">
              <w:t>pyztek</w:t>
            </w:r>
            <w:r w:rsidRPr="006B4598">
              <w:t xml:space="preserve"> is indicated for the treatment of adult patients (18</w:t>
            </w:r>
            <w:r w:rsidR="00035D36">
              <w:t> </w:t>
            </w:r>
            <w:r w:rsidRPr="006B4598">
              <w:t>years or older) with</w:t>
            </w:r>
            <w:r w:rsidR="007C34AA">
              <w:t xml:space="preserve"> </w:t>
            </w:r>
            <w:r w:rsidRPr="006B4598">
              <w:t>moderate to severe plaque psoriasis who are candidates for phototherapy or systemic</w:t>
            </w:r>
            <w:r w:rsidR="007C34AA">
              <w:t xml:space="preserve"> </w:t>
            </w:r>
            <w:r w:rsidRPr="006B4598">
              <w:t>therapy.</w:t>
            </w:r>
          </w:p>
          <w:p w14:paraId="2D50CE2E" w14:textId="77777777" w:rsidR="000B1B9D" w:rsidRPr="000C17E0" w:rsidRDefault="000B1B9D" w:rsidP="006B4598">
            <w:pPr>
              <w:rPr>
                <w:i/>
                <w:iCs/>
              </w:rPr>
            </w:pPr>
            <w:r w:rsidRPr="000C17E0">
              <w:rPr>
                <w:i/>
                <w:iCs/>
              </w:rPr>
              <w:t>Paediatric population, 6 years and older</w:t>
            </w:r>
          </w:p>
          <w:p w14:paraId="75AB08E2" w14:textId="2E620FCE" w:rsidR="000B1B9D" w:rsidRPr="006B4598" w:rsidRDefault="000B1B9D" w:rsidP="006B4598">
            <w:r w:rsidRPr="006B4598">
              <w:t>E</w:t>
            </w:r>
            <w:r w:rsidR="007C34AA">
              <w:t>pyztek</w:t>
            </w:r>
            <w:r w:rsidRPr="006B4598">
              <w:t xml:space="preserve"> is indicated for the treatment of moderate to severe plaque psoriasis in</w:t>
            </w:r>
            <w:r w:rsidR="007C34AA">
              <w:t xml:space="preserve"> </w:t>
            </w:r>
            <w:r w:rsidRPr="006B4598">
              <w:t>children and adolescent patients from 6</w:t>
            </w:r>
            <w:r w:rsidR="00201933">
              <w:t> </w:t>
            </w:r>
            <w:r w:rsidRPr="006B4598">
              <w:t>years of age who are inadequately controlled</w:t>
            </w:r>
            <w:r w:rsidR="007C34AA">
              <w:t xml:space="preserve"> </w:t>
            </w:r>
            <w:r w:rsidRPr="006B4598">
              <w:t>by, or are intolerant to, other systemic therapies or phototherapies.</w:t>
            </w:r>
          </w:p>
          <w:p w14:paraId="23DE3166" w14:textId="77777777" w:rsidR="000B1B9D" w:rsidRPr="000B1B9D" w:rsidRDefault="000B1B9D" w:rsidP="006B4598">
            <w:pPr>
              <w:rPr>
                <w:b/>
                <w:bCs/>
              </w:rPr>
            </w:pPr>
            <w:r w:rsidRPr="000B1B9D">
              <w:rPr>
                <w:b/>
                <w:bCs/>
              </w:rPr>
              <w:t>Psoriatic Arthritis (PsA)</w:t>
            </w:r>
          </w:p>
          <w:p w14:paraId="19793667" w14:textId="659144A3" w:rsidR="000B1B9D" w:rsidRPr="000B1B9D" w:rsidRDefault="000B1B9D" w:rsidP="006B4598">
            <w:r w:rsidRPr="000B1B9D">
              <w:t>E</w:t>
            </w:r>
            <w:r w:rsidR="00476427">
              <w:t>pyztek</w:t>
            </w:r>
            <w:r w:rsidRPr="000B1B9D">
              <w:t>, alone or in combination with methotrexate, is indicated for the treatment of</w:t>
            </w:r>
            <w:r w:rsidR="00476427">
              <w:t xml:space="preserve"> </w:t>
            </w:r>
            <w:r w:rsidRPr="000B1B9D">
              <w:t>signs and symptoms of active psoriatic arthritis in adult patients (18</w:t>
            </w:r>
            <w:r w:rsidR="00B61E4B">
              <w:t> </w:t>
            </w:r>
            <w:r w:rsidRPr="000B1B9D">
              <w:t>years and older)</w:t>
            </w:r>
            <w:r w:rsidR="00476427">
              <w:t xml:space="preserve"> </w:t>
            </w:r>
            <w:r w:rsidRPr="000B1B9D">
              <w:t>where response to previous non-biological DMARD therapy has been inadequate.</w:t>
            </w:r>
          </w:p>
          <w:p w14:paraId="5A28D712" w14:textId="77777777" w:rsidR="000B1B9D" w:rsidRPr="000B1B9D" w:rsidRDefault="000B1B9D" w:rsidP="006B4598">
            <w:pPr>
              <w:rPr>
                <w:b/>
                <w:bCs/>
              </w:rPr>
            </w:pPr>
            <w:r w:rsidRPr="000B1B9D">
              <w:rPr>
                <w:b/>
                <w:bCs/>
              </w:rPr>
              <w:lastRenderedPageBreak/>
              <w:t>Crohn’s Disease</w:t>
            </w:r>
          </w:p>
          <w:p w14:paraId="5251D1BF" w14:textId="11BCEACD" w:rsidR="000B1B9D" w:rsidRPr="000B1B9D" w:rsidRDefault="000B1B9D" w:rsidP="006B4598">
            <w:r w:rsidRPr="000B1B9D">
              <w:t>E</w:t>
            </w:r>
            <w:r w:rsidR="00476427">
              <w:t>pyztek</w:t>
            </w:r>
            <w:r w:rsidRPr="000B1B9D">
              <w:t xml:space="preserve"> is indicated for the treatment of adult patients with moderately to severely</w:t>
            </w:r>
            <w:r w:rsidR="00476427">
              <w:t xml:space="preserve"> </w:t>
            </w:r>
            <w:r w:rsidRPr="000B1B9D">
              <w:t>active Crohn’s disease who have had an inadequate response, lost response, or were</w:t>
            </w:r>
            <w:r w:rsidR="00476427">
              <w:t xml:space="preserve"> </w:t>
            </w:r>
            <w:r w:rsidRPr="000B1B9D">
              <w:t>intolerant to either conventional therapy or a TNFα antagonist or have medical</w:t>
            </w:r>
            <w:r w:rsidR="00476427">
              <w:t xml:space="preserve"> </w:t>
            </w:r>
            <w:r w:rsidRPr="000B1B9D">
              <w:t>contraindications to such therapies.</w:t>
            </w:r>
          </w:p>
          <w:p w14:paraId="27E87B35" w14:textId="77777777" w:rsidR="000B1B9D" w:rsidRPr="000B1B9D" w:rsidRDefault="000B1B9D" w:rsidP="006B4598">
            <w:pPr>
              <w:rPr>
                <w:b/>
                <w:bCs/>
              </w:rPr>
            </w:pPr>
            <w:r w:rsidRPr="000B1B9D">
              <w:rPr>
                <w:b/>
                <w:bCs/>
              </w:rPr>
              <w:t>Ulcerative Colitis</w:t>
            </w:r>
          </w:p>
          <w:p w14:paraId="6E143E2E" w14:textId="2C56A7C0" w:rsidR="00324B33" w:rsidRPr="006B4598" w:rsidRDefault="000B1B9D" w:rsidP="006B4598">
            <w:r w:rsidRPr="000B1B9D">
              <w:t>E</w:t>
            </w:r>
            <w:r w:rsidR="00476427">
              <w:t>pyztek</w:t>
            </w:r>
            <w:r w:rsidRPr="000B1B9D">
              <w:t xml:space="preserve"> is indicated for the treatment of adult patients with moderately to severely</w:t>
            </w:r>
            <w:r w:rsidR="00476427">
              <w:t xml:space="preserve"> </w:t>
            </w:r>
            <w:r w:rsidRPr="006B4598">
              <w:t>active ulcerative colitis.</w:t>
            </w:r>
          </w:p>
        </w:tc>
      </w:tr>
      <w:tr w:rsidR="00324B33" w:rsidRPr="00BD5DBD" w14:paraId="5AFDEED3" w14:textId="77777777" w:rsidTr="001D6705">
        <w:tc>
          <w:tcPr>
            <w:tcW w:w="2031" w:type="pct"/>
          </w:tcPr>
          <w:p w14:paraId="03884BD1" w14:textId="7D6534F0" w:rsidR="00324B33" w:rsidRPr="00BD5DBD" w:rsidRDefault="00324B33" w:rsidP="007452E8">
            <w:pPr>
              <w:rPr>
                <w:i/>
                <w:szCs w:val="22"/>
              </w:rPr>
            </w:pPr>
            <w:r w:rsidRPr="00BD5DBD">
              <w:rPr>
                <w:i/>
                <w:szCs w:val="22"/>
              </w:rPr>
              <w:lastRenderedPageBreak/>
              <w:t>Rout</w:t>
            </w:r>
            <w:r w:rsidR="00527A07">
              <w:rPr>
                <w:i/>
                <w:szCs w:val="22"/>
              </w:rPr>
              <w:t>e</w:t>
            </w:r>
            <w:r w:rsidRPr="00BD5DBD">
              <w:rPr>
                <w:i/>
                <w:szCs w:val="22"/>
              </w:rPr>
              <w:t>s of administration:</w:t>
            </w:r>
          </w:p>
        </w:tc>
        <w:tc>
          <w:tcPr>
            <w:tcW w:w="2969" w:type="pct"/>
          </w:tcPr>
          <w:p w14:paraId="1ED1357E" w14:textId="7E9F4219" w:rsidR="00324B33" w:rsidRPr="00BD5DBD" w:rsidRDefault="00527A07" w:rsidP="007452E8">
            <w:pPr>
              <w:rPr>
                <w:szCs w:val="22"/>
              </w:rPr>
            </w:pPr>
            <w:r>
              <w:rPr>
                <w:szCs w:val="22"/>
              </w:rPr>
              <w:t>Subcutaneous and intravenous</w:t>
            </w:r>
          </w:p>
        </w:tc>
      </w:tr>
      <w:tr w:rsidR="00324B33" w:rsidRPr="00BD5DBD" w14:paraId="70D7E9FA" w14:textId="77777777" w:rsidTr="001D6705">
        <w:tc>
          <w:tcPr>
            <w:tcW w:w="2031" w:type="pct"/>
          </w:tcPr>
          <w:p w14:paraId="5ABFFC80" w14:textId="77777777" w:rsidR="00324B33" w:rsidRPr="00BD5DBD" w:rsidRDefault="00324B33" w:rsidP="007452E8">
            <w:pPr>
              <w:rPr>
                <w:i/>
                <w:szCs w:val="22"/>
              </w:rPr>
            </w:pPr>
            <w:r w:rsidRPr="00BD5DBD">
              <w:rPr>
                <w:i/>
                <w:szCs w:val="22"/>
              </w:rPr>
              <w:t>Dosage:</w:t>
            </w:r>
          </w:p>
        </w:tc>
        <w:tc>
          <w:tcPr>
            <w:tcW w:w="2969" w:type="pct"/>
          </w:tcPr>
          <w:p w14:paraId="18AB0297" w14:textId="77777777" w:rsidR="00184027" w:rsidRPr="00EA6A9E" w:rsidRDefault="00184027" w:rsidP="00184027">
            <w:pPr>
              <w:rPr>
                <w:b/>
                <w:bCs/>
                <w:szCs w:val="22"/>
              </w:rPr>
            </w:pPr>
            <w:r w:rsidRPr="00EA6A9E">
              <w:rPr>
                <w:b/>
                <w:bCs/>
                <w:szCs w:val="22"/>
              </w:rPr>
              <w:t>Plaque Psoriasis</w:t>
            </w:r>
          </w:p>
          <w:p w14:paraId="738F12E6" w14:textId="77777777" w:rsidR="00184027" w:rsidRPr="00EA6A9E" w:rsidRDefault="00184027" w:rsidP="00184027">
            <w:pPr>
              <w:rPr>
                <w:i/>
                <w:iCs/>
                <w:szCs w:val="22"/>
              </w:rPr>
            </w:pPr>
            <w:r w:rsidRPr="00EA6A9E">
              <w:rPr>
                <w:i/>
                <w:iCs/>
                <w:szCs w:val="22"/>
              </w:rPr>
              <w:t>Adults</w:t>
            </w:r>
          </w:p>
          <w:p w14:paraId="3C8215B1" w14:textId="38CBCE61" w:rsidR="00184027" w:rsidRPr="00EA6A9E" w:rsidRDefault="00184027" w:rsidP="00EA6A9E">
            <w:r w:rsidRPr="00EA6A9E">
              <w:t>For the treatment of plaque psoriasis, E</w:t>
            </w:r>
            <w:r w:rsidR="00EA6A9E" w:rsidRPr="00EA6A9E">
              <w:t>pyztek</w:t>
            </w:r>
            <w:r w:rsidRPr="00EA6A9E">
              <w:t xml:space="preserve"> is administered by subcutaneous injection. The</w:t>
            </w:r>
            <w:r w:rsidR="00EA6A9E" w:rsidRPr="00EA6A9E">
              <w:t xml:space="preserve"> </w:t>
            </w:r>
            <w:r w:rsidRPr="00EA6A9E">
              <w:t>recommended dose of E</w:t>
            </w:r>
            <w:r w:rsidR="00EA6A9E" w:rsidRPr="00EA6A9E">
              <w:t>pyztek</w:t>
            </w:r>
            <w:r w:rsidRPr="00EA6A9E">
              <w:t xml:space="preserve"> is 45</w:t>
            </w:r>
            <w:r w:rsidR="00BB0620">
              <w:t> </w:t>
            </w:r>
            <w:r w:rsidRPr="00EA6A9E">
              <w:t>mg administered at Weeks 0 and 4, then every 12 weeks</w:t>
            </w:r>
            <w:r w:rsidR="00EA6A9E" w:rsidRPr="00EA6A9E">
              <w:t xml:space="preserve"> </w:t>
            </w:r>
            <w:r w:rsidRPr="00EA6A9E">
              <w:t>thereafter. Alternatively, 90</w:t>
            </w:r>
            <w:r w:rsidR="00BB0620">
              <w:t> </w:t>
            </w:r>
            <w:r w:rsidRPr="00EA6A9E">
              <w:t>mg administered over Weeks 0 and 4, then every 12 weeks thereafter</w:t>
            </w:r>
            <w:r w:rsidR="00EA6A9E" w:rsidRPr="00EA6A9E">
              <w:t xml:space="preserve"> </w:t>
            </w:r>
            <w:r w:rsidRPr="00EA6A9E">
              <w:t>may be used in patients with a body weight greater than 100</w:t>
            </w:r>
            <w:r w:rsidR="00BB0620">
              <w:t> </w:t>
            </w:r>
            <w:r w:rsidRPr="00EA6A9E">
              <w:t>kg.</w:t>
            </w:r>
          </w:p>
          <w:p w14:paraId="13F8D9E1" w14:textId="77777777" w:rsidR="0036254B" w:rsidRPr="0036254B" w:rsidRDefault="0036254B" w:rsidP="0036254B">
            <w:pPr>
              <w:rPr>
                <w:i/>
                <w:iCs/>
                <w:szCs w:val="22"/>
              </w:rPr>
            </w:pPr>
            <w:r w:rsidRPr="0036254B">
              <w:rPr>
                <w:i/>
                <w:iCs/>
                <w:szCs w:val="22"/>
              </w:rPr>
              <w:t>Paediatric population, 6 years and older</w:t>
            </w:r>
          </w:p>
          <w:p w14:paraId="0B54188C" w14:textId="2C8C4585" w:rsidR="0036254B" w:rsidRDefault="0036254B" w:rsidP="0036254B">
            <w:pPr>
              <w:rPr>
                <w:szCs w:val="22"/>
              </w:rPr>
            </w:pPr>
            <w:r w:rsidRPr="0036254B">
              <w:rPr>
                <w:szCs w:val="22"/>
              </w:rPr>
              <w:t>For the treatment of plaque psoriasis, E</w:t>
            </w:r>
            <w:r w:rsidR="00BB0620">
              <w:rPr>
                <w:szCs w:val="22"/>
              </w:rPr>
              <w:t>pyztek</w:t>
            </w:r>
            <w:r w:rsidRPr="0036254B">
              <w:rPr>
                <w:szCs w:val="22"/>
              </w:rPr>
              <w:t xml:space="preserve"> should be administered by subcutaneous injection.</w:t>
            </w:r>
            <w:r w:rsidR="00BB0620">
              <w:rPr>
                <w:szCs w:val="22"/>
              </w:rPr>
              <w:t xml:space="preserve"> </w:t>
            </w:r>
            <w:r w:rsidRPr="0036254B">
              <w:rPr>
                <w:szCs w:val="22"/>
              </w:rPr>
              <w:t>The recommended dose of E</w:t>
            </w:r>
            <w:r w:rsidR="00BB0620">
              <w:rPr>
                <w:szCs w:val="22"/>
              </w:rPr>
              <w:t>pyztek is</w:t>
            </w:r>
            <w:r w:rsidRPr="0036254B">
              <w:rPr>
                <w:szCs w:val="22"/>
              </w:rPr>
              <w:t xml:space="preserve"> based on body weight</w:t>
            </w:r>
            <w:r w:rsidR="00BB0620">
              <w:rPr>
                <w:szCs w:val="22"/>
              </w:rPr>
              <w:t xml:space="preserve">. </w:t>
            </w:r>
            <w:r w:rsidRPr="0036254B">
              <w:rPr>
                <w:szCs w:val="22"/>
              </w:rPr>
              <w:t>E</w:t>
            </w:r>
            <w:r w:rsidR="00BB0620">
              <w:rPr>
                <w:szCs w:val="22"/>
              </w:rPr>
              <w:t xml:space="preserve">pyztek </w:t>
            </w:r>
            <w:r w:rsidRPr="0036254B">
              <w:rPr>
                <w:szCs w:val="22"/>
              </w:rPr>
              <w:t>should be administered at Weeks 0 and 4, then every 12 weeks thereafter.</w:t>
            </w:r>
          </w:p>
          <w:p w14:paraId="7A29E17C" w14:textId="77777777" w:rsidR="003B716E" w:rsidRPr="003B716E" w:rsidRDefault="003B716E" w:rsidP="003B716E">
            <w:pPr>
              <w:rPr>
                <w:b/>
                <w:bCs/>
                <w:i/>
                <w:iCs/>
                <w:szCs w:val="22"/>
              </w:rPr>
            </w:pPr>
            <w:r w:rsidRPr="003B716E">
              <w:rPr>
                <w:b/>
                <w:bCs/>
                <w:i/>
                <w:iCs/>
                <w:szCs w:val="22"/>
              </w:rPr>
              <w:t>Psoriatic Arthritis</w:t>
            </w:r>
          </w:p>
          <w:p w14:paraId="2A4A3085" w14:textId="342170B5" w:rsidR="003B716E" w:rsidRPr="003B716E" w:rsidRDefault="003B716E" w:rsidP="003B716E">
            <w:pPr>
              <w:rPr>
                <w:szCs w:val="22"/>
              </w:rPr>
            </w:pPr>
            <w:r w:rsidRPr="003B716E">
              <w:rPr>
                <w:szCs w:val="22"/>
              </w:rPr>
              <w:t>For the treatment of psoriatic arthritis, E</w:t>
            </w:r>
            <w:r w:rsidR="00BB0620">
              <w:rPr>
                <w:szCs w:val="22"/>
              </w:rPr>
              <w:t>pyztek</w:t>
            </w:r>
            <w:r w:rsidRPr="003B716E">
              <w:rPr>
                <w:szCs w:val="22"/>
              </w:rPr>
              <w:t xml:space="preserve"> is administered by subcutaneous injection. The</w:t>
            </w:r>
            <w:r w:rsidR="00BB0620">
              <w:rPr>
                <w:szCs w:val="22"/>
              </w:rPr>
              <w:t xml:space="preserve"> </w:t>
            </w:r>
            <w:r w:rsidRPr="003B716E">
              <w:rPr>
                <w:szCs w:val="22"/>
              </w:rPr>
              <w:t>recommended dose of E</w:t>
            </w:r>
            <w:r w:rsidR="00BB0620">
              <w:rPr>
                <w:szCs w:val="22"/>
              </w:rPr>
              <w:t xml:space="preserve">pyztek </w:t>
            </w:r>
            <w:r w:rsidRPr="003B716E">
              <w:rPr>
                <w:szCs w:val="22"/>
              </w:rPr>
              <w:t>is 45</w:t>
            </w:r>
            <w:r w:rsidR="00BB0620">
              <w:rPr>
                <w:szCs w:val="22"/>
              </w:rPr>
              <w:t> </w:t>
            </w:r>
            <w:r w:rsidRPr="003B716E">
              <w:rPr>
                <w:szCs w:val="22"/>
              </w:rPr>
              <w:t>mg administered at Weeks 0 and 4, then every 12 weeks</w:t>
            </w:r>
            <w:r w:rsidR="00BB0620">
              <w:rPr>
                <w:szCs w:val="22"/>
              </w:rPr>
              <w:t xml:space="preserve"> </w:t>
            </w:r>
            <w:r w:rsidRPr="003B716E">
              <w:rPr>
                <w:szCs w:val="22"/>
              </w:rPr>
              <w:t>thereafter. Some patients with a body weight greater than 100</w:t>
            </w:r>
            <w:r w:rsidR="00BB0620">
              <w:rPr>
                <w:szCs w:val="22"/>
              </w:rPr>
              <w:t> </w:t>
            </w:r>
            <w:r w:rsidRPr="003B716E">
              <w:rPr>
                <w:szCs w:val="22"/>
              </w:rPr>
              <w:t>kg received a 90</w:t>
            </w:r>
            <w:r w:rsidR="00BB0620">
              <w:rPr>
                <w:szCs w:val="22"/>
              </w:rPr>
              <w:t> </w:t>
            </w:r>
            <w:r w:rsidRPr="003B716E">
              <w:rPr>
                <w:szCs w:val="22"/>
              </w:rPr>
              <w:t>mg dose in clinical</w:t>
            </w:r>
            <w:r w:rsidR="00BB0620">
              <w:rPr>
                <w:szCs w:val="22"/>
              </w:rPr>
              <w:t xml:space="preserve"> </w:t>
            </w:r>
            <w:r w:rsidRPr="003B716E">
              <w:rPr>
                <w:szCs w:val="22"/>
              </w:rPr>
              <w:t>trials and observed a clinical benefit.</w:t>
            </w:r>
          </w:p>
          <w:p w14:paraId="1D47091C" w14:textId="47AC6F8C" w:rsidR="003B716E" w:rsidRPr="003B716E" w:rsidRDefault="003B716E" w:rsidP="003B716E">
            <w:pPr>
              <w:rPr>
                <w:szCs w:val="22"/>
              </w:rPr>
            </w:pPr>
            <w:r w:rsidRPr="003B716E">
              <w:rPr>
                <w:szCs w:val="22"/>
              </w:rPr>
              <w:t>Treatment should be discontinued in patients who have shown no response after 28 weeks of</w:t>
            </w:r>
            <w:r w:rsidR="00BB0620">
              <w:rPr>
                <w:szCs w:val="22"/>
              </w:rPr>
              <w:t xml:space="preserve"> </w:t>
            </w:r>
            <w:r w:rsidRPr="003B716E">
              <w:rPr>
                <w:szCs w:val="22"/>
              </w:rPr>
              <w:t>treatment.</w:t>
            </w:r>
          </w:p>
          <w:p w14:paraId="4935471F" w14:textId="77777777" w:rsidR="003B716E" w:rsidRPr="003B716E" w:rsidRDefault="003B716E" w:rsidP="003B716E">
            <w:pPr>
              <w:rPr>
                <w:b/>
                <w:bCs/>
                <w:i/>
                <w:iCs/>
                <w:szCs w:val="22"/>
              </w:rPr>
            </w:pPr>
            <w:r w:rsidRPr="003B716E">
              <w:rPr>
                <w:b/>
                <w:bCs/>
                <w:i/>
                <w:iCs/>
                <w:szCs w:val="22"/>
              </w:rPr>
              <w:t>Crohn’s Disease and Ulcerative Colitis</w:t>
            </w:r>
          </w:p>
          <w:p w14:paraId="4BD4ECF7" w14:textId="6F525B9C" w:rsidR="00666911" w:rsidRDefault="003B716E" w:rsidP="00184027">
            <w:pPr>
              <w:rPr>
                <w:szCs w:val="22"/>
              </w:rPr>
            </w:pPr>
            <w:r w:rsidRPr="003B716E">
              <w:rPr>
                <w:szCs w:val="22"/>
              </w:rPr>
              <w:t>For the treatment of Crohn’s disease and ulcerative colitis, the recommended treatment regimen is</w:t>
            </w:r>
            <w:r w:rsidR="00BB0620">
              <w:rPr>
                <w:szCs w:val="22"/>
              </w:rPr>
              <w:t xml:space="preserve"> </w:t>
            </w:r>
            <w:r w:rsidRPr="003B716E">
              <w:rPr>
                <w:szCs w:val="22"/>
              </w:rPr>
              <w:t>to initiate E</w:t>
            </w:r>
            <w:r w:rsidR="00BB0620">
              <w:rPr>
                <w:szCs w:val="22"/>
              </w:rPr>
              <w:t xml:space="preserve">pyztek </w:t>
            </w:r>
            <w:r w:rsidRPr="003B716E">
              <w:rPr>
                <w:szCs w:val="22"/>
              </w:rPr>
              <w:t>with a single intravenous tiered dose based on body weight</w:t>
            </w:r>
            <w:r w:rsidR="00BB0620">
              <w:rPr>
                <w:szCs w:val="22"/>
              </w:rPr>
              <w:t>.</w:t>
            </w:r>
          </w:p>
          <w:p w14:paraId="3D0B2D5C" w14:textId="6E29920D" w:rsidR="00324B33" w:rsidRPr="00BD5DBD" w:rsidRDefault="00324B33" w:rsidP="007452E8">
            <w:pPr>
              <w:rPr>
                <w:szCs w:val="22"/>
              </w:rPr>
            </w:pPr>
            <w:r w:rsidRPr="00BD5DBD">
              <w:rPr>
                <w:szCs w:val="22"/>
              </w:rPr>
              <w:t xml:space="preserve">For further information regarding dosage, </w:t>
            </w:r>
            <w:r w:rsidR="006B7126">
              <w:rPr>
                <w:szCs w:val="22"/>
              </w:rPr>
              <w:t xml:space="preserve">such as dosage modifications to manage adverse reactions, </w:t>
            </w:r>
            <w:r w:rsidRPr="00BD5DBD">
              <w:rPr>
                <w:szCs w:val="22"/>
              </w:rPr>
              <w:t>refer to the Product Information.</w:t>
            </w:r>
          </w:p>
        </w:tc>
      </w:tr>
      <w:tr w:rsidR="0017005C" w:rsidRPr="00BD5DBD" w14:paraId="7B7BB6AE" w14:textId="77777777" w:rsidTr="001D6705">
        <w:tc>
          <w:tcPr>
            <w:tcW w:w="2031" w:type="pct"/>
          </w:tcPr>
          <w:p w14:paraId="3A76AFF7" w14:textId="7C436DD9" w:rsidR="0017005C" w:rsidRPr="00F8083B" w:rsidRDefault="0070330F" w:rsidP="0017005C">
            <w:r w:rsidRPr="00BD5DBD">
              <w:rPr>
                <w:i/>
                <w:szCs w:val="22"/>
              </w:rPr>
              <w:lastRenderedPageBreak/>
              <w:t>Pregnancy category:</w:t>
            </w:r>
          </w:p>
        </w:tc>
        <w:tc>
          <w:tcPr>
            <w:tcW w:w="2969" w:type="pct"/>
          </w:tcPr>
          <w:p w14:paraId="7E89FA31" w14:textId="77777777" w:rsidR="001B6BF1" w:rsidRDefault="001B6BF1" w:rsidP="007967C3">
            <w:r>
              <w:t>B1</w:t>
            </w:r>
          </w:p>
          <w:p w14:paraId="72F35D54" w14:textId="2C8EF748" w:rsidR="000D1448" w:rsidRDefault="000D1448" w:rsidP="007967C3">
            <w:r w:rsidRPr="000D1448">
              <w:t xml:space="preserve">Drugs which have been taken by only a limited number of pregnant women and women of childbearing age, without an increase in the frequency of malformation or other direct or indirect harmful effects on the human </w:t>
            </w:r>
            <w:proofErr w:type="spellStart"/>
            <w:r w:rsidRPr="000D1448">
              <w:t>fetus</w:t>
            </w:r>
            <w:proofErr w:type="spellEnd"/>
            <w:r w:rsidRPr="000D1448">
              <w:t xml:space="preserve"> having been observed.</w:t>
            </w:r>
            <w:r w:rsidR="00923112">
              <w:t xml:space="preserve"> </w:t>
            </w:r>
            <w:r w:rsidRPr="000D1448">
              <w:t>Studies in animals have not shown evidence of an increased occurrence of fetal damage.</w:t>
            </w:r>
          </w:p>
          <w:p w14:paraId="76497789" w14:textId="04AAA59D" w:rsidR="0017005C" w:rsidRPr="00BD5DBD" w:rsidRDefault="0070330F" w:rsidP="00306E72">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16"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7"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2" w:name="_Toc247691503"/>
      <w:bookmarkStart w:id="13" w:name="_Toc314842484"/>
      <w:bookmarkStart w:id="14" w:name="_Toc103679290"/>
      <w:bookmarkStart w:id="15" w:name="_Toc225257702"/>
      <w:r>
        <w:t>Product background</w:t>
      </w:r>
      <w:bookmarkEnd w:id="12"/>
      <w:bookmarkEnd w:id="13"/>
      <w:bookmarkEnd w:id="14"/>
      <w:bookmarkEnd w:id="15"/>
    </w:p>
    <w:p w14:paraId="59BF31D1" w14:textId="211D332D" w:rsidR="001500A8" w:rsidRDefault="00324B33" w:rsidP="00860539">
      <w:r w:rsidRPr="00065839">
        <w:t xml:space="preserve">This AusPAR describes the submission by </w:t>
      </w:r>
      <w:r w:rsidR="000D1448" w:rsidRPr="000D1448">
        <w:t xml:space="preserve">Samsung Bioepis AU Pty Ltd </w:t>
      </w:r>
      <w:r w:rsidRPr="00065839">
        <w:t xml:space="preserve">(the sponsor) to register </w:t>
      </w:r>
      <w:r w:rsidR="000D1448">
        <w:t>Epy</w:t>
      </w:r>
      <w:r w:rsidR="007B2752">
        <w:t>ztek</w:t>
      </w:r>
      <w:r w:rsidRPr="00065839">
        <w:t xml:space="preserve"> (</w:t>
      </w:r>
      <w:r w:rsidR="007B2752">
        <w:rPr>
          <w:szCs w:val="22"/>
        </w:rPr>
        <w:t>u</w:t>
      </w:r>
      <w:r w:rsidR="007B2752" w:rsidRPr="00D529AF">
        <w:rPr>
          <w:szCs w:val="22"/>
        </w:rPr>
        <w:t>stekinumab</w:t>
      </w:r>
      <w:r w:rsidRPr="00065839">
        <w:t>)</w:t>
      </w:r>
      <w:r w:rsidR="007364D0">
        <w:t xml:space="preserve"> </w:t>
      </w:r>
      <w:r w:rsidR="007364D0" w:rsidRPr="007364D0">
        <w:t>45</w:t>
      </w:r>
      <w:r w:rsidR="00860539">
        <w:t> </w:t>
      </w:r>
      <w:r w:rsidR="007364D0" w:rsidRPr="007364D0">
        <w:t>mg/0.5</w:t>
      </w:r>
      <w:r w:rsidR="00860539">
        <w:t> </w:t>
      </w:r>
      <w:r w:rsidR="007364D0" w:rsidRPr="007364D0">
        <w:t>mL solution for injection pre-filled</w:t>
      </w:r>
      <w:r w:rsidR="007364D0">
        <w:t xml:space="preserve"> </w:t>
      </w:r>
      <w:r w:rsidR="007364D0" w:rsidRPr="007364D0">
        <w:t>syringe</w:t>
      </w:r>
      <w:r w:rsidR="007364D0">
        <w:t xml:space="preserve">, </w:t>
      </w:r>
      <w:r w:rsidR="00860539">
        <w:t xml:space="preserve">5 mg/1 mL solution for intravenous infusion injection vial, and </w:t>
      </w:r>
      <w:r w:rsidR="00860539" w:rsidRPr="00860539">
        <w:t>90</w:t>
      </w:r>
      <w:r w:rsidR="00860539">
        <w:t> </w:t>
      </w:r>
      <w:r w:rsidR="00860539" w:rsidRPr="00860539">
        <w:t>mg/1</w:t>
      </w:r>
      <w:r w:rsidR="00860539">
        <w:t> </w:t>
      </w:r>
      <w:r w:rsidR="00860539" w:rsidRPr="00860539">
        <w:t>mL solution for injection pre-filled syringe</w:t>
      </w:r>
      <w:r w:rsidR="00860539">
        <w:t xml:space="preserve"> </w:t>
      </w:r>
      <w:r w:rsidRPr="00065839">
        <w:t>for the following proposed indication:</w:t>
      </w:r>
      <w:r w:rsidR="00D63760" w:rsidRPr="00065839">
        <w:rPr>
          <w:vertAlign w:val="superscript"/>
        </w:rPr>
        <w:footnoteReference w:id="1"/>
      </w:r>
    </w:p>
    <w:p w14:paraId="112329D5" w14:textId="33452235" w:rsidR="00EE07AD" w:rsidRPr="00EE07AD" w:rsidRDefault="00A91191" w:rsidP="00EE07AD">
      <w:pPr>
        <w:ind w:left="720"/>
        <w:rPr>
          <w:i/>
          <w:iCs/>
        </w:rPr>
      </w:pPr>
      <w:r w:rsidRPr="00EE07AD">
        <w:rPr>
          <w:i/>
          <w:iCs/>
        </w:rPr>
        <w:t>Epyztek</w:t>
      </w:r>
      <w:r w:rsidR="00EE07AD" w:rsidRPr="00EE07AD">
        <w:rPr>
          <w:i/>
          <w:iCs/>
        </w:rPr>
        <w:t xml:space="preserve"> is proposed as a biosimilar to the reference product Stelara, for the same indications that are currently approved in Australia for Stelara, as follows:</w:t>
      </w:r>
    </w:p>
    <w:p w14:paraId="0D088941" w14:textId="77777777" w:rsidR="00EE07AD" w:rsidRPr="00EE07AD" w:rsidRDefault="00EE07AD" w:rsidP="00EE07AD">
      <w:pPr>
        <w:ind w:left="720"/>
        <w:rPr>
          <w:i/>
          <w:iCs/>
        </w:rPr>
      </w:pPr>
      <w:r w:rsidRPr="00EE07AD">
        <w:rPr>
          <w:i/>
          <w:iCs/>
        </w:rPr>
        <w:t>- treatment of moderate to severe plaque psoriasis</w:t>
      </w:r>
    </w:p>
    <w:p w14:paraId="1B8630EC" w14:textId="77777777" w:rsidR="00EE07AD" w:rsidRPr="00EE07AD" w:rsidRDefault="00EE07AD" w:rsidP="00EE07AD">
      <w:pPr>
        <w:ind w:left="720"/>
        <w:rPr>
          <w:i/>
          <w:iCs/>
        </w:rPr>
      </w:pPr>
      <w:r w:rsidRPr="00EE07AD">
        <w:rPr>
          <w:i/>
          <w:iCs/>
        </w:rPr>
        <w:t>- treatment of signs and symptoms of active psoriatic arthritis</w:t>
      </w:r>
    </w:p>
    <w:p w14:paraId="060F8AF4" w14:textId="77777777" w:rsidR="00EE07AD" w:rsidRPr="00EE07AD" w:rsidRDefault="00EE07AD" w:rsidP="00EE07AD">
      <w:pPr>
        <w:ind w:left="720"/>
        <w:rPr>
          <w:i/>
          <w:iCs/>
        </w:rPr>
      </w:pPr>
      <w:r w:rsidRPr="00EE07AD">
        <w:rPr>
          <w:i/>
          <w:iCs/>
        </w:rPr>
        <w:t>- treatment of moderately to severely active Crohn's disease</w:t>
      </w:r>
    </w:p>
    <w:p w14:paraId="32583E08" w14:textId="359A83BF" w:rsidR="00EE07AD" w:rsidRDefault="00EE07AD" w:rsidP="00EE07AD">
      <w:pPr>
        <w:ind w:left="720"/>
        <w:rPr>
          <w:i/>
          <w:iCs/>
        </w:rPr>
      </w:pPr>
      <w:r w:rsidRPr="00EE07AD">
        <w:rPr>
          <w:i/>
          <w:iCs/>
        </w:rPr>
        <w:t>- treatment of moderately to severely active ulcerative colitis</w:t>
      </w:r>
      <w:r w:rsidR="003B3B21">
        <w:rPr>
          <w:i/>
          <w:iCs/>
        </w:rPr>
        <w:t>.</w:t>
      </w:r>
    </w:p>
    <w:p w14:paraId="03BD06A4" w14:textId="5C27D29F" w:rsidR="003B3B21" w:rsidRPr="00455EA5" w:rsidRDefault="003B3B21" w:rsidP="00455EA5">
      <w:r w:rsidRPr="00455EA5">
        <w:t xml:space="preserve">Ustekinumab is a fully human </w:t>
      </w:r>
      <w:r w:rsidR="00EA333D" w:rsidRPr="00455EA5">
        <w:t xml:space="preserve">immunoglobulin </w:t>
      </w:r>
      <w:r w:rsidRPr="00455EA5">
        <w:t xml:space="preserve">G1κ monoclonal antibody that specifically binds to the shared p40 protein subunit of the human cytokines </w:t>
      </w:r>
      <w:r w:rsidRPr="002B7693">
        <w:t>interleukin (IL)-12</w:t>
      </w:r>
      <w:r w:rsidRPr="00455EA5">
        <w:t xml:space="preserve"> and IL-23. Ustekinumab inhibits the bioactivity of human IL-12 and IL-23 by preventing p40 from binding to the IL-12Rβ1 receptor protein expressed on the surface of immune cells. By binding the shared p40 subunit of IL-12 and IL-23, ustekinumab may exert its clinical effects in psoriasis, psoriatic arthritis, Crohn’s disease and ulcerative colitis through interruption of the Th1 and Th17 cytokine pathways, which are central to the pathology of these diseases.</w:t>
      </w:r>
    </w:p>
    <w:p w14:paraId="05B4634D" w14:textId="0EEF087F" w:rsidR="003B3B21" w:rsidRPr="00455EA5" w:rsidRDefault="003B3B21" w:rsidP="00455EA5">
      <w:r w:rsidRPr="00455EA5">
        <w:t>E</w:t>
      </w:r>
      <w:r w:rsidR="00154B94">
        <w:t xml:space="preserve">pyztek </w:t>
      </w:r>
      <w:r w:rsidRPr="00455EA5">
        <w:t>(designated as SB17 during development) is a biosimilar to the ustekinumab innovator S</w:t>
      </w:r>
      <w:r w:rsidR="00A32561">
        <w:t>telara</w:t>
      </w:r>
      <w:r w:rsidRPr="00455EA5">
        <w:t xml:space="preserve"> (Janssen-Cilag Pty Ltd). E</w:t>
      </w:r>
      <w:r w:rsidR="00A32561">
        <w:t>pyztek</w:t>
      </w:r>
      <w:r w:rsidRPr="00455EA5">
        <w:t xml:space="preserve"> is a recombinant protein with the same primary amino acid sequence as S</w:t>
      </w:r>
      <w:r w:rsidR="00A32561">
        <w:t>telara</w:t>
      </w:r>
      <w:r w:rsidRPr="00455EA5">
        <w:t>, produced in a Chinese hamster ovary cell system (S</w:t>
      </w:r>
      <w:r w:rsidR="00A32561">
        <w:t>telara</w:t>
      </w:r>
      <w:r w:rsidRPr="00455EA5">
        <w:t xml:space="preserve"> utilises a murine cell line).</w:t>
      </w:r>
    </w:p>
    <w:p w14:paraId="1BF8C27E" w14:textId="77777777" w:rsidR="001D6705" w:rsidRDefault="003B3B21" w:rsidP="00455EA5">
      <w:r w:rsidRPr="00455EA5">
        <w:t>The three proposed presentations of E</w:t>
      </w:r>
      <w:r w:rsidR="00A32561">
        <w:t>pyztek</w:t>
      </w:r>
      <w:r w:rsidRPr="00455EA5">
        <w:t xml:space="preserve"> correspond to approved presentations of S</w:t>
      </w:r>
      <w:r w:rsidR="00A32561">
        <w:t>telara</w:t>
      </w:r>
      <w:r w:rsidRPr="00455EA5">
        <w:t xml:space="preserve">, and the </w:t>
      </w:r>
      <w:r w:rsidR="00A32561">
        <w:t>s</w:t>
      </w:r>
      <w:r w:rsidRPr="00455EA5">
        <w:t>ponsor is seeking identical indications for their biosimilar.</w:t>
      </w:r>
    </w:p>
    <w:p w14:paraId="74522A68" w14:textId="314A0E6D" w:rsidR="003B3B21" w:rsidRPr="00455EA5" w:rsidRDefault="003B3B21" w:rsidP="00455EA5">
      <w:r w:rsidRPr="00455EA5">
        <w:lastRenderedPageBreak/>
        <w:t>However, as E</w:t>
      </w:r>
      <w:r w:rsidR="00A32561">
        <w:t>pyztek</w:t>
      </w:r>
      <w:r w:rsidRPr="00455EA5">
        <w:t xml:space="preserve"> will not have a presentation suitable for administering doses less than 45</w:t>
      </w:r>
      <w:r w:rsidR="00A32561">
        <w:t> </w:t>
      </w:r>
      <w:r w:rsidRPr="00455EA5">
        <w:t xml:space="preserve">mg, the </w:t>
      </w:r>
      <w:r w:rsidR="00A32561">
        <w:t>s</w:t>
      </w:r>
      <w:r w:rsidRPr="00455EA5">
        <w:t>ponsor proposes to restrict the use of E</w:t>
      </w:r>
      <w:r w:rsidR="00A32561">
        <w:t xml:space="preserve">pyztek </w:t>
      </w:r>
      <w:r w:rsidRPr="00455EA5">
        <w:t>in paediatric patients with psoriasis to those with body weight of 60</w:t>
      </w:r>
      <w:r w:rsidR="00A32561">
        <w:t> </w:t>
      </w:r>
      <w:r w:rsidRPr="00455EA5">
        <w:t>kg or more.</w:t>
      </w:r>
    </w:p>
    <w:p w14:paraId="0F31C2C8" w14:textId="7F9A90CF" w:rsidR="003B3B21" w:rsidRPr="00455EA5" w:rsidRDefault="003B3B21" w:rsidP="00455EA5">
      <w:r w:rsidRPr="00455EA5">
        <w:t>There are currently two ustekinumab biosimilars registered in Australia (</w:t>
      </w:r>
      <w:proofErr w:type="spellStart"/>
      <w:r w:rsidRPr="00455EA5">
        <w:t>W</w:t>
      </w:r>
      <w:r w:rsidR="00A32561">
        <w:t>ezlana</w:t>
      </w:r>
      <w:proofErr w:type="spellEnd"/>
      <w:r w:rsidRPr="00455EA5">
        <w:t xml:space="preserve"> and </w:t>
      </w:r>
      <w:proofErr w:type="spellStart"/>
      <w:r w:rsidRPr="00455EA5">
        <w:t>A</w:t>
      </w:r>
      <w:r w:rsidR="00A32561">
        <w:t>jemnye</w:t>
      </w:r>
      <w:proofErr w:type="spellEnd"/>
      <w:r w:rsidRPr="00455EA5">
        <w:t>, Amgen Australia Pty Ltd).</w:t>
      </w:r>
    </w:p>
    <w:p w14:paraId="1E63A2AE" w14:textId="5FCD6C6F" w:rsidR="00CB6813" w:rsidRDefault="00005DFC" w:rsidP="00CB6813">
      <w:pPr>
        <w:pStyle w:val="Heading4"/>
      </w:pPr>
      <w:bookmarkStart w:id="16" w:name="_Toc225257703"/>
      <w:bookmarkStart w:id="17" w:name="_Toc314842485"/>
      <w:bookmarkStart w:id="18" w:name="_Toc247691504"/>
      <w:r>
        <w:t>D</w:t>
      </w:r>
      <w:r w:rsidR="00CB6813" w:rsidRPr="00C12D65">
        <w:t>isease</w:t>
      </w:r>
      <w:r w:rsidR="006428C5">
        <w:t xml:space="preserve"> or condition</w:t>
      </w:r>
      <w:bookmarkEnd w:id="16"/>
    </w:p>
    <w:p w14:paraId="12BA35FB" w14:textId="586CF94E" w:rsidR="001A7D01" w:rsidRPr="00FB7B34" w:rsidRDefault="001A7D01" w:rsidP="00FB7B34">
      <w:r w:rsidRPr="00FB7B34">
        <w:t xml:space="preserve">The pivotal </w:t>
      </w:r>
      <w:r w:rsidR="00FB7B34">
        <w:t>P</w:t>
      </w:r>
      <w:r w:rsidRPr="00FB7B34">
        <w:t xml:space="preserve">hase </w:t>
      </w:r>
      <w:r w:rsidR="00FB7B34">
        <w:t>III</w:t>
      </w:r>
      <w:r w:rsidRPr="00FB7B34">
        <w:t xml:space="preserve"> study included in the submission was in psoriasis. The </w:t>
      </w:r>
      <w:r w:rsidR="00FB7B34">
        <w:t>s</w:t>
      </w:r>
      <w:r w:rsidRPr="00FB7B34">
        <w:t>ponsor considered psoriasis the most appropriate indication to demonstrate clinical equivalence with the</w:t>
      </w:r>
      <w:r w:rsidR="00E54A5E">
        <w:t xml:space="preserve"> </w:t>
      </w:r>
      <w:r w:rsidRPr="00FB7B34">
        <w:t>innovator. Psoriasis outcomes would be the most sensitive for detecting any differences between E</w:t>
      </w:r>
      <w:r w:rsidR="00E54A5E">
        <w:t>pyztek</w:t>
      </w:r>
      <w:r w:rsidRPr="00FB7B34">
        <w:t xml:space="preserve"> and S</w:t>
      </w:r>
      <w:r w:rsidR="00E54A5E">
        <w:t>telara</w:t>
      </w:r>
      <w:r w:rsidRPr="00FB7B34">
        <w:t>.</w:t>
      </w:r>
    </w:p>
    <w:p w14:paraId="0CB593FC" w14:textId="2D39105D" w:rsidR="001A7D01" w:rsidRPr="00FB7B34" w:rsidRDefault="001A7D01" w:rsidP="00FB7B34">
      <w:r w:rsidRPr="00FB7B34">
        <w:t>Psoriasis is a common chronic inflammatory skin disease. The most common subtype is plaque psoriasis, which is characterised by scaly erythematous plaques. Other subtypes include guttate psoriasis, pustular psoriasis and erythrodermic psoriasis. Psoriasis can also affect tissues other than the skin, including joints (</w:t>
      </w:r>
      <w:r w:rsidR="006F20F9">
        <w:t>that is,</w:t>
      </w:r>
      <w:r w:rsidRPr="00FB7B34">
        <w:t xml:space="preserve"> psoriatic arthritis).</w:t>
      </w:r>
    </w:p>
    <w:p w14:paraId="255E083A" w14:textId="77777777" w:rsidR="00CB6813" w:rsidRDefault="00CB6813" w:rsidP="00CB6813">
      <w:pPr>
        <w:pStyle w:val="Heading4"/>
      </w:pPr>
      <w:bookmarkStart w:id="19" w:name="_Toc225257704"/>
      <w:r>
        <w:t>Current treatment options</w:t>
      </w:r>
      <w:bookmarkEnd w:id="19"/>
    </w:p>
    <w:p w14:paraId="26E299CE" w14:textId="01359BF3" w:rsidR="00A01423" w:rsidRPr="006F20F9" w:rsidRDefault="00A01423" w:rsidP="006F20F9">
      <w:r w:rsidRPr="006F20F9">
        <w:t>Ustekinumab is a human monoclonal antibody that has been widely used in clinical practice for the treatment of patients with psoriasis, psoriatic arthritis, Crohn’s disease and ulcerative colitis.</w:t>
      </w:r>
    </w:p>
    <w:p w14:paraId="75996AE7" w14:textId="7FFB9EF1" w:rsidR="00A01423" w:rsidRPr="006F20F9" w:rsidRDefault="00A01423" w:rsidP="006F20F9">
      <w:r w:rsidRPr="006F20F9">
        <w:t>Stelara, the Australian registered innovator product, is approved for use in all the proposed indications for Epyztek. Stelara has been widely used in clinical practice since its approval, with a well</w:t>
      </w:r>
      <w:r w:rsidR="005A0C41">
        <w:t xml:space="preserve"> </w:t>
      </w:r>
      <w:r w:rsidRPr="006F20F9">
        <w:t>characteri</w:t>
      </w:r>
      <w:r w:rsidR="006F20F9">
        <w:t>s</w:t>
      </w:r>
      <w:r w:rsidRPr="006F20F9">
        <w:t>ed pharmacological, efficacy, and safety profile.</w:t>
      </w:r>
    </w:p>
    <w:p w14:paraId="37C47E09" w14:textId="7E18349D" w:rsidR="00CB6813" w:rsidRDefault="00CB6813" w:rsidP="00CB6813">
      <w:pPr>
        <w:pStyle w:val="Heading4"/>
      </w:pPr>
      <w:bookmarkStart w:id="20" w:name="_Toc225257705"/>
      <w:r>
        <w:t>C</w:t>
      </w:r>
      <w:r w:rsidRPr="00DE1344">
        <w:t>linical rational</w:t>
      </w:r>
      <w:r w:rsidR="0025785B">
        <w:t>e</w:t>
      </w:r>
      <w:bookmarkEnd w:id="20"/>
    </w:p>
    <w:p w14:paraId="764AE29F" w14:textId="53824AF8" w:rsidR="003E204E" w:rsidRPr="006F20F9" w:rsidRDefault="003E204E" w:rsidP="006F20F9">
      <w:r w:rsidRPr="006F20F9">
        <w:t>The clinical development of Epyztek is aimed at comparing the pharmacokinetics (</w:t>
      </w:r>
      <w:r w:rsidRPr="00205A1E">
        <w:t>PK),</w:t>
      </w:r>
      <w:r w:rsidRPr="006F20F9">
        <w:t xml:space="preserve"> efficacy, safety, and immunogenicity of Epyztek against the reference product, Stelara. The comparative clinical studies for Epyztek were designed to demonstrate similarity between Epyztek and Stelara in terms of clinical efficacy and safety, and not to establish patient benefit per se as this has previously been established for the reference product.</w:t>
      </w:r>
    </w:p>
    <w:p w14:paraId="4F5C9326" w14:textId="618ED307" w:rsidR="003E204E" w:rsidRPr="006F20F9" w:rsidRDefault="003E204E" w:rsidP="006F20F9">
      <w:r w:rsidRPr="004D0903">
        <w:t>Throughout the development program, European Union (EU) sourced Stelara was used in lieu of Australian</w:t>
      </w:r>
      <w:r w:rsidR="00067D21" w:rsidRPr="004D0903">
        <w:t xml:space="preserve"> (AU)</w:t>
      </w:r>
      <w:r w:rsidRPr="004D0903">
        <w:t xml:space="preserve"> sourced Stelara as the main comparator in clinical studies. The </w:t>
      </w:r>
      <w:r w:rsidR="001F1FC2" w:rsidRPr="004D0903">
        <w:t>s</w:t>
      </w:r>
      <w:r w:rsidRPr="004D0903">
        <w:t>ponsor has provided justification for this by providing additional bridging comparability study results between AU</w:t>
      </w:r>
      <w:r w:rsidR="00067D21" w:rsidRPr="004D0903">
        <w:noBreakHyphen/>
      </w:r>
      <w:r w:rsidRPr="004D0903">
        <w:t>sourced Stelara and EU</w:t>
      </w:r>
      <w:r w:rsidR="00067D21" w:rsidRPr="004D0903">
        <w:noBreakHyphen/>
      </w:r>
      <w:r w:rsidRPr="004D0903">
        <w:t>sourced Stelara in the 130</w:t>
      </w:r>
      <w:r w:rsidR="00B8755B" w:rsidRPr="004D0903">
        <w:t> </w:t>
      </w:r>
      <w:r w:rsidRPr="004D0903">
        <w:t>mg/26</w:t>
      </w:r>
      <w:r w:rsidR="00B8755B" w:rsidRPr="004D0903">
        <w:t> </w:t>
      </w:r>
      <w:r w:rsidRPr="004D0903">
        <w:t>mL intravenous vial drug product only. At the time of the bridging comparability study, no pre-filled syringe (PFS) drug product was available in</w:t>
      </w:r>
      <w:r w:rsidRPr="006F20F9">
        <w:t xml:space="preserve"> the Australian market, and subsequently no bridging comparability studies were performed using these drug product presentations.</w:t>
      </w:r>
    </w:p>
    <w:p w14:paraId="0D615854" w14:textId="77777777" w:rsidR="00324B33" w:rsidRPr="003F31A2" w:rsidRDefault="00324B33" w:rsidP="00324B33">
      <w:pPr>
        <w:pStyle w:val="Heading3"/>
      </w:pPr>
      <w:bookmarkStart w:id="21" w:name="_Toc103679291"/>
      <w:bookmarkStart w:id="22" w:name="_Toc225257706"/>
      <w:r>
        <w:t>Regulatory status</w:t>
      </w:r>
      <w:bookmarkEnd w:id="17"/>
      <w:bookmarkEnd w:id="18"/>
      <w:bookmarkEnd w:id="21"/>
      <w:bookmarkEnd w:id="22"/>
    </w:p>
    <w:p w14:paraId="72C889D6" w14:textId="7E200950" w:rsidR="0017005C" w:rsidRPr="00BD5DBD" w:rsidRDefault="0017005C" w:rsidP="00741AB9">
      <w:pPr>
        <w:pStyle w:val="Heading4"/>
      </w:pPr>
      <w:bookmarkStart w:id="23" w:name="_Toc225257707"/>
      <w:r w:rsidRPr="00BD5DBD">
        <w:t>Australian regulatory</w:t>
      </w:r>
      <w:r>
        <w:t xml:space="preserve"> sta</w:t>
      </w:r>
      <w:r w:rsidR="0025785B">
        <w:t>t</w:t>
      </w:r>
      <w:r>
        <w:t>us</w:t>
      </w:r>
      <w:bookmarkEnd w:id="23"/>
    </w:p>
    <w:p w14:paraId="6A8633FA" w14:textId="5C5CFB6B" w:rsidR="00324B33" w:rsidRDefault="00324B33" w:rsidP="00324B33">
      <w:pPr>
        <w:rPr>
          <w:szCs w:val="22"/>
        </w:rPr>
      </w:pPr>
      <w:r w:rsidRPr="00BD5DBD">
        <w:rPr>
          <w:szCs w:val="22"/>
        </w:rPr>
        <w:t xml:space="preserve">This product is considered a </w:t>
      </w:r>
      <w:r w:rsidR="008C754C" w:rsidRPr="00BD5DBD">
        <w:rPr>
          <w:szCs w:val="22"/>
        </w:rPr>
        <w:t xml:space="preserve">new </w:t>
      </w:r>
      <w:r w:rsidRPr="00BD5DBD">
        <w:rPr>
          <w:szCs w:val="22"/>
        </w:rPr>
        <w:t>biosimilar medicine for Australian regulatory purposes.</w:t>
      </w:r>
    </w:p>
    <w:p w14:paraId="546C1031" w14:textId="4EF98FA1" w:rsidR="0017005C" w:rsidRDefault="00131B1B" w:rsidP="0017005C">
      <w:pPr>
        <w:pStyle w:val="Heading4"/>
      </w:pPr>
      <w:bookmarkStart w:id="24" w:name="_Toc225257708"/>
      <w:r>
        <w:lastRenderedPageBreak/>
        <w:t xml:space="preserve">International </w:t>
      </w:r>
      <w:r w:rsidR="0017005C" w:rsidRPr="00BD5DBD">
        <w:t>regulatory</w:t>
      </w:r>
      <w:r w:rsidR="0017005C">
        <w:t xml:space="preserve"> status</w:t>
      </w:r>
      <w:bookmarkEnd w:id="24"/>
    </w:p>
    <w:p w14:paraId="02E90E03" w14:textId="494B3350" w:rsidR="008F4A62" w:rsidRDefault="008F4A62" w:rsidP="008F4A62">
      <w:pPr>
        <w:rPr>
          <w:rFonts w:eastAsia="Cambria" w:cs="Times New Roman"/>
          <w:i/>
          <w:color w:val="007099"/>
          <w:szCs w:val="22"/>
        </w:rPr>
      </w:pPr>
      <w:r w:rsidRPr="00BD5DBD">
        <w:rPr>
          <w:szCs w:val="22"/>
        </w:rPr>
        <w:t xml:space="preserve">At the time the TGA considered this submission, a similar submission had been approved in </w:t>
      </w:r>
      <w:r w:rsidR="00221F6B">
        <w:rPr>
          <w:szCs w:val="22"/>
        </w:rPr>
        <w:t xml:space="preserve">the United States of America </w:t>
      </w:r>
      <w:r w:rsidR="00963CA1">
        <w:rPr>
          <w:szCs w:val="22"/>
        </w:rPr>
        <w:t>in June</w:t>
      </w:r>
      <w:r w:rsidR="007A31E6">
        <w:rPr>
          <w:szCs w:val="22"/>
        </w:rPr>
        <w:t> </w:t>
      </w:r>
      <w:r w:rsidR="00963CA1">
        <w:rPr>
          <w:szCs w:val="22"/>
        </w:rPr>
        <w:t>2024,</w:t>
      </w:r>
      <w:r w:rsidR="004B33FE">
        <w:rPr>
          <w:szCs w:val="22"/>
        </w:rPr>
        <w:t xml:space="preserve"> Republic of Korea in April 2024,</w:t>
      </w:r>
      <w:r w:rsidR="00963CA1">
        <w:rPr>
          <w:szCs w:val="22"/>
        </w:rPr>
        <w:t xml:space="preserve"> the Euro</w:t>
      </w:r>
      <w:r w:rsidR="00963CA1" w:rsidRPr="007A31E6">
        <w:rPr>
          <w:szCs w:val="22"/>
        </w:rPr>
        <w:t xml:space="preserve">pean Union </w:t>
      </w:r>
      <w:r w:rsidR="00A805BF" w:rsidRPr="007A31E6">
        <w:rPr>
          <w:szCs w:val="22"/>
        </w:rPr>
        <w:t xml:space="preserve">(EU) </w:t>
      </w:r>
      <w:r w:rsidR="006A1EA8" w:rsidRPr="007A31E6">
        <w:rPr>
          <w:szCs w:val="22"/>
        </w:rPr>
        <w:t>in</w:t>
      </w:r>
      <w:r w:rsidR="006A1EA8">
        <w:rPr>
          <w:szCs w:val="22"/>
        </w:rPr>
        <w:t xml:space="preserve"> April</w:t>
      </w:r>
      <w:r w:rsidR="007A31E6">
        <w:rPr>
          <w:szCs w:val="22"/>
        </w:rPr>
        <w:t> </w:t>
      </w:r>
      <w:r w:rsidR="006A1EA8">
        <w:rPr>
          <w:szCs w:val="22"/>
        </w:rPr>
        <w:t>2024, Canada in August</w:t>
      </w:r>
      <w:r w:rsidR="007A31E6">
        <w:rPr>
          <w:szCs w:val="22"/>
        </w:rPr>
        <w:t> </w:t>
      </w:r>
      <w:r w:rsidR="006A1EA8">
        <w:rPr>
          <w:szCs w:val="22"/>
        </w:rPr>
        <w:t>2024, and the United Kingdom in May</w:t>
      </w:r>
      <w:r w:rsidR="007A31E6">
        <w:rPr>
          <w:szCs w:val="22"/>
        </w:rPr>
        <w:t> </w:t>
      </w:r>
      <w:r w:rsidR="00A805BF">
        <w:rPr>
          <w:szCs w:val="22"/>
        </w:rPr>
        <w:t xml:space="preserve">2024. </w:t>
      </w:r>
      <w:r w:rsidRPr="00BD5DBD">
        <w:rPr>
          <w:szCs w:val="22"/>
        </w:rPr>
        <w:t xml:space="preserve">A similar submission was under consideration in </w:t>
      </w:r>
      <w:r w:rsidR="002C55A4">
        <w:rPr>
          <w:szCs w:val="22"/>
        </w:rPr>
        <w:t xml:space="preserve">Switzerland </w:t>
      </w:r>
      <w:r w:rsidRPr="00BD5DBD">
        <w:rPr>
          <w:szCs w:val="22"/>
        </w:rPr>
        <w:t>(submitted on</w:t>
      </w:r>
      <w:r w:rsidR="009C73FB">
        <w:rPr>
          <w:szCs w:val="22"/>
        </w:rPr>
        <w:t xml:space="preserve"> 12 </w:t>
      </w:r>
      <w:r w:rsidR="00852D77">
        <w:rPr>
          <w:szCs w:val="22"/>
        </w:rPr>
        <w:t>Jul</w:t>
      </w:r>
      <w:r w:rsidR="009C73FB">
        <w:rPr>
          <w:szCs w:val="22"/>
        </w:rPr>
        <w:t>y</w:t>
      </w:r>
      <w:r w:rsidR="007A31E6">
        <w:rPr>
          <w:szCs w:val="22"/>
        </w:rPr>
        <w:t> </w:t>
      </w:r>
      <w:r w:rsidR="00852D77">
        <w:rPr>
          <w:szCs w:val="22"/>
        </w:rPr>
        <w:t>2024</w:t>
      </w:r>
      <w:r w:rsidRPr="00BD5DBD">
        <w:rPr>
          <w:szCs w:val="22"/>
        </w:rPr>
        <w:t>).</w:t>
      </w:r>
    </w:p>
    <w:p w14:paraId="6D92589C" w14:textId="09786CEF" w:rsidR="00324B33" w:rsidRDefault="00324B33" w:rsidP="00324B33">
      <w:pPr>
        <w:pStyle w:val="Heading2"/>
      </w:pPr>
      <w:bookmarkStart w:id="25" w:name="_Toc504480011"/>
      <w:bookmarkStart w:id="26" w:name="_Toc103679293"/>
      <w:bookmarkStart w:id="27" w:name="_Toc225257709"/>
      <w:r>
        <w:t>Registration timeline</w:t>
      </w:r>
      <w:bookmarkEnd w:id="25"/>
      <w:bookmarkEnd w:id="26"/>
      <w:bookmarkEnd w:id="27"/>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3FA1EFB2" w14:textId="1708A568" w:rsidR="00270ED9" w:rsidRDefault="00477C4E" w:rsidP="00324B33">
      <w:pPr>
        <w:rPr>
          <w:szCs w:val="22"/>
        </w:rPr>
      </w:pPr>
      <w:r w:rsidRPr="00BD5DBD">
        <w:rPr>
          <w:szCs w:val="22"/>
        </w:rPr>
        <w:t xml:space="preserve">This submission was evaluated under the </w:t>
      </w:r>
      <w:hyperlink r:id="rId18" w:history="1">
        <w:r w:rsidRPr="00BD5DBD">
          <w:rPr>
            <w:rStyle w:val="Hyperlink"/>
            <w:szCs w:val="22"/>
          </w:rPr>
          <w:t>standard prescription medicines registration process</w:t>
        </w:r>
      </w:hyperlink>
      <w:r w:rsidR="00270ED9">
        <w:rPr>
          <w:szCs w:val="22"/>
        </w:rPr>
        <w:t>.</w:t>
      </w:r>
    </w:p>
    <w:p w14:paraId="44628C5F" w14:textId="1983C322" w:rsidR="00324B33" w:rsidRDefault="00324B33" w:rsidP="002C1232">
      <w:pPr>
        <w:pStyle w:val="TableTitle"/>
      </w:pPr>
      <w:r w:rsidRPr="002C1232">
        <w:t xml:space="preserve">Table </w:t>
      </w:r>
      <w:r w:rsidR="00B23C4A">
        <w:fldChar w:fldCharType="begin"/>
      </w:r>
      <w:r w:rsidR="00B23C4A">
        <w:instrText xml:space="preserve"> SEQ Table \* ARABIC </w:instrText>
      </w:r>
      <w:r w:rsidR="00B23C4A">
        <w:fldChar w:fldCharType="separate"/>
      </w:r>
      <w:r w:rsidR="004B33FE">
        <w:rPr>
          <w:noProof/>
        </w:rPr>
        <w:t>1</w:t>
      </w:r>
      <w:r w:rsidR="00B23C4A">
        <w:rPr>
          <w:noProof/>
        </w:rPr>
        <w:fldChar w:fldCharType="end"/>
      </w:r>
      <w:r w:rsidRPr="002C1232">
        <w:t xml:space="preserve">: Timeline for Submission </w:t>
      </w:r>
      <w:r w:rsidR="009C73FB" w:rsidRPr="009C73FB">
        <w:t>PM-2023-04204-1-1</w:t>
      </w:r>
    </w:p>
    <w:tbl>
      <w:tblPr>
        <w:tblStyle w:val="TableTGAblue2023"/>
        <w:tblW w:w="8642" w:type="dxa"/>
        <w:tblLook w:val="04A0" w:firstRow="1" w:lastRow="0" w:firstColumn="1" w:lastColumn="0" w:noHBand="0" w:noVBand="1"/>
      </w:tblPr>
      <w:tblGrid>
        <w:gridCol w:w="6374"/>
        <w:gridCol w:w="2268"/>
      </w:tblGrid>
      <w:tr w:rsidR="00324B33" w:rsidRPr="00D01DDB" w14:paraId="6C59BE9C" w14:textId="77777777" w:rsidTr="001D6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16D80E78" w14:textId="3EC0CCAF" w:rsidR="00324B33" w:rsidRPr="00D01DDB" w:rsidRDefault="00324B33" w:rsidP="00324B33">
            <w:pPr>
              <w:rPr>
                <w:szCs w:val="22"/>
              </w:rPr>
            </w:pPr>
            <w:r w:rsidRPr="00D01DDB">
              <w:rPr>
                <w:szCs w:val="22"/>
              </w:rPr>
              <w:t>Description</w:t>
            </w:r>
          </w:p>
        </w:tc>
        <w:tc>
          <w:tcPr>
            <w:tcW w:w="2268"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1D6705">
        <w:tc>
          <w:tcPr>
            <w:cnfStyle w:val="001000000000" w:firstRow="0" w:lastRow="0" w:firstColumn="1" w:lastColumn="0" w:oddVBand="0" w:evenVBand="0" w:oddHBand="0" w:evenHBand="0" w:firstRowFirstColumn="0" w:firstRowLastColumn="0" w:lastRowFirstColumn="0" w:lastRowLastColumn="0"/>
            <w:tcW w:w="6374" w:type="dxa"/>
          </w:tcPr>
          <w:p w14:paraId="759D2A12" w14:textId="0D705F83" w:rsidR="00324B33" w:rsidRPr="00E679D1" w:rsidRDefault="00324B33" w:rsidP="00E679D1">
            <w:r w:rsidRPr="00E679D1">
              <w:t>Submission dossier accepted and first round evaluation commenced</w:t>
            </w:r>
          </w:p>
        </w:tc>
        <w:tc>
          <w:tcPr>
            <w:tcW w:w="2268" w:type="dxa"/>
          </w:tcPr>
          <w:p w14:paraId="2963D9D8" w14:textId="425B99F2" w:rsidR="00324B33" w:rsidRPr="00D01DDB" w:rsidRDefault="004624E8"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October 2023</w:t>
            </w:r>
          </w:p>
        </w:tc>
      </w:tr>
      <w:tr w:rsidR="00803926" w:rsidRPr="00D01DDB" w14:paraId="16D13F79" w14:textId="77777777" w:rsidTr="001D6705">
        <w:tc>
          <w:tcPr>
            <w:cnfStyle w:val="001000000000" w:firstRow="0" w:lastRow="0" w:firstColumn="1" w:lastColumn="0" w:oddVBand="0" w:evenVBand="0" w:oddHBand="0" w:evenHBand="0" w:firstRowFirstColumn="0" w:firstRowLastColumn="0" w:lastRowFirstColumn="0" w:lastRowLastColumn="0"/>
            <w:tcW w:w="6374" w:type="dxa"/>
          </w:tcPr>
          <w:p w14:paraId="6858B45A" w14:textId="6F9FCA1F" w:rsidR="00803926" w:rsidRPr="00E679D1" w:rsidDel="00C62B1C" w:rsidRDefault="00803926" w:rsidP="00E679D1">
            <w:r>
              <w:t>Evaluation completed</w:t>
            </w:r>
          </w:p>
        </w:tc>
        <w:tc>
          <w:tcPr>
            <w:tcW w:w="2268" w:type="dxa"/>
          </w:tcPr>
          <w:p w14:paraId="2E0BD403" w14:textId="15021682" w:rsidR="00803926" w:rsidRPr="00D01DDB" w:rsidRDefault="00E35DD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11 July 2024</w:t>
            </w:r>
          </w:p>
        </w:tc>
      </w:tr>
      <w:tr w:rsidR="005139AF" w:rsidRPr="00D01DDB" w14:paraId="6E5D32FE" w14:textId="77777777" w:rsidTr="001D6705">
        <w:tc>
          <w:tcPr>
            <w:cnfStyle w:val="001000000000" w:firstRow="0" w:lastRow="0" w:firstColumn="1" w:lastColumn="0" w:oddVBand="0" w:evenVBand="0" w:oddHBand="0" w:evenHBand="0" w:firstRowFirstColumn="0" w:firstRowLastColumn="0" w:lastRowFirstColumn="0" w:lastRowLastColumn="0"/>
            <w:tcW w:w="6374" w:type="dxa"/>
          </w:tcPr>
          <w:p w14:paraId="4E95C44C" w14:textId="7A91C710" w:rsidR="005139AF" w:rsidRPr="00E679D1" w:rsidRDefault="005139AF" w:rsidP="005139AF">
            <w:r w:rsidRPr="00E679D1">
              <w:t>Registration decision (Outcome)</w:t>
            </w:r>
          </w:p>
        </w:tc>
        <w:tc>
          <w:tcPr>
            <w:tcW w:w="2268" w:type="dxa"/>
          </w:tcPr>
          <w:p w14:paraId="62987ABD" w14:textId="3D584E40" w:rsidR="005139AF" w:rsidRPr="00D01DDB" w:rsidRDefault="005139AF" w:rsidP="005139AF">
            <w:pPr>
              <w:cnfStyle w:val="000000000000" w:firstRow="0" w:lastRow="0" w:firstColumn="0" w:lastColumn="0" w:oddVBand="0" w:evenVBand="0" w:oddHBand="0" w:evenHBand="0" w:firstRowFirstColumn="0" w:firstRowLastColumn="0" w:lastRowFirstColumn="0" w:lastRowLastColumn="0"/>
              <w:rPr>
                <w:szCs w:val="22"/>
              </w:rPr>
            </w:pPr>
            <w:r w:rsidRPr="006550A4">
              <w:t>26 September 2024</w:t>
            </w:r>
          </w:p>
        </w:tc>
      </w:tr>
      <w:tr w:rsidR="005139AF" w:rsidRPr="00D01DDB" w14:paraId="6DDCDDA4" w14:textId="77777777" w:rsidTr="001D6705">
        <w:tc>
          <w:tcPr>
            <w:cnfStyle w:val="001000000000" w:firstRow="0" w:lastRow="0" w:firstColumn="1" w:lastColumn="0" w:oddVBand="0" w:evenVBand="0" w:oddHBand="0" w:evenHBand="0" w:firstRowFirstColumn="0" w:firstRowLastColumn="0" w:lastRowFirstColumn="0" w:lastRowLastColumn="0"/>
            <w:tcW w:w="6374" w:type="dxa"/>
          </w:tcPr>
          <w:p w14:paraId="192FD19D" w14:textId="3381A701" w:rsidR="005139AF" w:rsidRPr="00E679D1" w:rsidRDefault="005139AF" w:rsidP="005139AF">
            <w:r>
              <w:t>R</w:t>
            </w:r>
            <w:r w:rsidRPr="00E679D1">
              <w:t>egistration in the ARTG completed</w:t>
            </w:r>
          </w:p>
        </w:tc>
        <w:tc>
          <w:tcPr>
            <w:tcW w:w="2268" w:type="dxa"/>
          </w:tcPr>
          <w:p w14:paraId="5A8923FD" w14:textId="7FBECAC2" w:rsidR="005139AF" w:rsidRPr="00D01DDB" w:rsidRDefault="005139AF" w:rsidP="005139AF">
            <w:pPr>
              <w:cnfStyle w:val="000000000000" w:firstRow="0" w:lastRow="0" w:firstColumn="0" w:lastColumn="0" w:oddVBand="0" w:evenVBand="0" w:oddHBand="0" w:evenHBand="0" w:firstRowFirstColumn="0" w:firstRowLastColumn="0" w:lastRowFirstColumn="0" w:lastRowLastColumn="0"/>
              <w:rPr>
                <w:szCs w:val="22"/>
              </w:rPr>
            </w:pPr>
            <w:r w:rsidRPr="006550A4">
              <w:t>21 October 2024</w:t>
            </w:r>
          </w:p>
        </w:tc>
      </w:tr>
      <w:tr w:rsidR="00324B33" w:rsidRPr="00D01DDB" w14:paraId="56D922E2" w14:textId="77777777" w:rsidTr="001D6705">
        <w:tc>
          <w:tcPr>
            <w:cnfStyle w:val="001000000000" w:firstRow="0" w:lastRow="0" w:firstColumn="1" w:lastColumn="0" w:oddVBand="0" w:evenVBand="0" w:oddHBand="0" w:evenHBand="0" w:firstRowFirstColumn="0" w:firstRowLastColumn="0" w:lastRowFirstColumn="0" w:lastRowLastColumn="0"/>
            <w:tcW w:w="6374" w:type="dxa"/>
          </w:tcPr>
          <w:p w14:paraId="787FD8DD" w14:textId="0E0CF97F" w:rsidR="00324B33" w:rsidRPr="00E679D1" w:rsidRDefault="00324B33" w:rsidP="00E679D1">
            <w:r w:rsidRPr="00E679D1">
              <w:t>Number of working days from submission dossier acceptance to registration decision*</w:t>
            </w:r>
          </w:p>
        </w:tc>
        <w:tc>
          <w:tcPr>
            <w:tcW w:w="2268" w:type="dxa"/>
          </w:tcPr>
          <w:p w14:paraId="5BAF9FA1" w14:textId="5DB18254" w:rsidR="00324B33" w:rsidRPr="00D01DDB" w:rsidRDefault="00692D53"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160</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75C7430A" w:rsidR="00C22214" w:rsidRPr="00792A32" w:rsidRDefault="00083763" w:rsidP="00C22214">
      <w:pPr>
        <w:pStyle w:val="Heading2"/>
      </w:pPr>
      <w:bookmarkStart w:id="28" w:name="_Toc225257710"/>
      <w:bookmarkStart w:id="29" w:name="_Toc196046504"/>
      <w:bookmarkStart w:id="30" w:name="_Toc247691527"/>
      <w:bookmarkStart w:id="31" w:name="_Toc314842510"/>
      <w:bookmarkStart w:id="32" w:name="_Toc103679294"/>
      <w:r w:rsidRPr="00E77C47">
        <w:t xml:space="preserve">Assessment </w:t>
      </w:r>
      <w:r w:rsidR="00C22214" w:rsidRPr="00E77C47">
        <w:t>overview</w:t>
      </w:r>
      <w:bookmarkEnd w:id="28"/>
      <w:r w:rsidR="00C22214" w:rsidRPr="00006FAB">
        <w:t xml:space="preserve"> </w:t>
      </w:r>
      <w:bookmarkEnd w:id="29"/>
      <w:bookmarkEnd w:id="30"/>
      <w:bookmarkEnd w:id="31"/>
      <w:bookmarkEnd w:id="32"/>
    </w:p>
    <w:p w14:paraId="540151FC" w14:textId="77777777" w:rsidR="00C22214" w:rsidRPr="00BD5DBD" w:rsidRDefault="00C22214" w:rsidP="00BD5DBD">
      <w:pPr>
        <w:rPr>
          <w:szCs w:val="22"/>
        </w:rPr>
      </w:pPr>
      <w:bookmarkStart w:id="33" w:name="_Toc247691528"/>
      <w:bookmarkStart w:id="34" w:name="_Toc314842511"/>
      <w:r w:rsidRPr="00BD5DBD">
        <w:rPr>
          <w:szCs w:val="22"/>
        </w:rPr>
        <w:t>A summary of the TGA’s assessment for this submission is provided below.</w:t>
      </w:r>
    </w:p>
    <w:p w14:paraId="65E3CA39" w14:textId="77777777" w:rsidR="00E77C47" w:rsidRDefault="007072A1" w:rsidP="00966EF1">
      <w:pPr>
        <w:rPr>
          <w:szCs w:val="22"/>
        </w:rPr>
      </w:pPr>
      <w:r w:rsidRPr="00BD5DBD">
        <w:rPr>
          <w:szCs w:val="22"/>
        </w:rPr>
        <w:t xml:space="preserve">Relevant guidelines or guidance documents referred to by the Delegate are listed below: </w:t>
      </w:r>
    </w:p>
    <w:p w14:paraId="33E7C61B" w14:textId="60F13388" w:rsidR="00EC5F48" w:rsidRDefault="00EC5F48" w:rsidP="00EC5F48">
      <w:pPr>
        <w:pStyle w:val="ListBullet"/>
      </w:pPr>
      <w:bookmarkStart w:id="35" w:name="_Hlk221635799"/>
      <w:r>
        <w:t xml:space="preserve">TGA: </w:t>
      </w:r>
      <w:hyperlink r:id="rId19" w:history="1">
        <w:r w:rsidRPr="00B664E9">
          <w:rPr>
            <w:rStyle w:val="Hyperlink"/>
          </w:rPr>
          <w:t>Guideline on biosimilar medicines regulation by Australian Government Department of Health</w:t>
        </w:r>
      </w:hyperlink>
      <w:r>
        <w:t>, Version 2.2.</w:t>
      </w:r>
    </w:p>
    <w:p w14:paraId="5DA7BA9F" w14:textId="77777777" w:rsidR="00EC5F48" w:rsidRDefault="00EC5F48" w:rsidP="00EC5F48">
      <w:pPr>
        <w:pStyle w:val="ListBullet"/>
        <w:numPr>
          <w:ilvl w:val="0"/>
          <w:numId w:val="0"/>
        </w:numPr>
        <w:ind w:left="360"/>
      </w:pPr>
      <w:r>
        <w:t>Last updated April 2018</w:t>
      </w:r>
    </w:p>
    <w:p w14:paraId="0A61188D" w14:textId="23F82548" w:rsidR="00301E42" w:rsidRDefault="00301E42" w:rsidP="00301E42">
      <w:pPr>
        <w:pStyle w:val="ListBullet"/>
      </w:pPr>
      <w:bookmarkStart w:id="36" w:name="_Hlk221635859"/>
      <w:bookmarkEnd w:id="35"/>
      <w:r>
        <w:t xml:space="preserve">European Medicines </w:t>
      </w:r>
      <w:r w:rsidRPr="002969E7">
        <w:t>Agency (EMA):</w:t>
      </w:r>
      <w:r>
        <w:t xml:space="preserve"> </w:t>
      </w:r>
      <w:hyperlink r:id="rId20" w:history="1">
        <w:r w:rsidRPr="00382669">
          <w:rPr>
            <w:rStyle w:val="Hyperlink"/>
          </w:rPr>
          <w:t>Guideline on similar biological medicinal products</w:t>
        </w:r>
      </w:hyperlink>
      <w:r>
        <w:t>. (CHMP/437/04 Rev. 1).</w:t>
      </w:r>
    </w:p>
    <w:p w14:paraId="49F79D1B" w14:textId="77777777" w:rsidR="00301E42" w:rsidRDefault="00301E42" w:rsidP="00301E42">
      <w:pPr>
        <w:pStyle w:val="ListBullet"/>
        <w:numPr>
          <w:ilvl w:val="0"/>
          <w:numId w:val="0"/>
        </w:numPr>
        <w:ind w:left="360"/>
      </w:pPr>
      <w:r>
        <w:t xml:space="preserve">TGA-adopted, effective </w:t>
      </w:r>
      <w:r w:rsidRPr="00382669">
        <w:t>date: 25 May 2015</w:t>
      </w:r>
      <w:r>
        <w:t>.</w:t>
      </w:r>
    </w:p>
    <w:p w14:paraId="0F598A63" w14:textId="7F21A353" w:rsidR="00270ED9" w:rsidRDefault="00E22AE9" w:rsidP="00E22AE9">
      <w:pPr>
        <w:pStyle w:val="ListBullet"/>
      </w:pPr>
      <w:bookmarkStart w:id="37" w:name="_Hlk221635896"/>
      <w:bookmarkEnd w:id="36"/>
      <w:r>
        <w:t xml:space="preserve">EMA: </w:t>
      </w:r>
      <w:hyperlink r:id="rId21" w:history="1">
        <w:r w:rsidRPr="00C040A9">
          <w:rPr>
            <w:rStyle w:val="Hyperlink"/>
          </w:rPr>
          <w:t>Guideline on similar biological medicinal products containing monoclonal antibodies - non-clinical and clinical issues</w:t>
        </w:r>
      </w:hyperlink>
      <w:r>
        <w:t xml:space="preserve"> (EMA/CHMP/BMWP/403543/2010)</w:t>
      </w:r>
      <w:r w:rsidR="00270ED9">
        <w:t>.</w:t>
      </w:r>
    </w:p>
    <w:p w14:paraId="4DB59B0C" w14:textId="65BC997F" w:rsidR="00E22AE9" w:rsidRDefault="00E22AE9" w:rsidP="00E22AE9">
      <w:pPr>
        <w:pStyle w:val="ListBullet"/>
        <w:numPr>
          <w:ilvl w:val="0"/>
          <w:numId w:val="0"/>
        </w:numPr>
        <w:ind w:left="360"/>
      </w:pPr>
      <w:r>
        <w:t xml:space="preserve">TGA-adopted, effective date: </w:t>
      </w:r>
      <w:r w:rsidRPr="00C040A9">
        <w:t>17 Aug</w:t>
      </w:r>
      <w:r>
        <w:t>ust</w:t>
      </w:r>
      <w:r w:rsidRPr="00C040A9">
        <w:t xml:space="preserve"> 2015</w:t>
      </w:r>
    </w:p>
    <w:bookmarkEnd w:id="37"/>
    <w:p w14:paraId="0FF18BAC" w14:textId="7E592F7D" w:rsidR="006766C4" w:rsidRDefault="006766C4" w:rsidP="006766C4">
      <w:pPr>
        <w:pStyle w:val="ListBullet"/>
      </w:pPr>
      <w:r>
        <w:t xml:space="preserve">EMA: </w:t>
      </w:r>
      <w:hyperlink r:id="rId22" w:history="1">
        <w:r w:rsidRPr="00A5577F">
          <w:rPr>
            <w:rStyle w:val="Hyperlink"/>
          </w:rPr>
          <w:t>Guideline on similar biological medicinal products containing biotechnology-derived proteins as active substance: non-clinical and clinical issues</w:t>
        </w:r>
      </w:hyperlink>
      <w:r>
        <w:t xml:space="preserve"> (EMEA/CHMP/BMWP/42832/2005 Rev. 1).</w:t>
      </w:r>
    </w:p>
    <w:p w14:paraId="40880E77" w14:textId="77777777" w:rsidR="006766C4" w:rsidRDefault="006766C4" w:rsidP="006766C4">
      <w:pPr>
        <w:pStyle w:val="ListBullet"/>
        <w:numPr>
          <w:ilvl w:val="0"/>
          <w:numId w:val="0"/>
        </w:numPr>
        <w:ind w:left="360"/>
      </w:pPr>
      <w:r>
        <w:t>TGA-adopted, effective date: 1 July 2015.</w:t>
      </w:r>
    </w:p>
    <w:p w14:paraId="15C782C6" w14:textId="46A2202A" w:rsidR="001D5EB3" w:rsidRDefault="001D5EB3" w:rsidP="001D5EB3">
      <w:pPr>
        <w:pStyle w:val="ListBullet"/>
        <w:numPr>
          <w:ilvl w:val="0"/>
          <w:numId w:val="15"/>
        </w:numPr>
        <w:spacing w:after="120"/>
        <w:ind w:left="357" w:hanging="357"/>
      </w:pPr>
      <w:r>
        <w:t xml:space="preserve">EMA: </w:t>
      </w:r>
      <w:hyperlink r:id="rId23" w:history="1">
        <w:r w:rsidRPr="001325DE">
          <w:rPr>
            <w:rStyle w:val="Hyperlink"/>
          </w:rPr>
          <w:t xml:space="preserve">Guideline on </w:t>
        </w:r>
        <w:r w:rsidR="00490F7F">
          <w:rPr>
            <w:rStyle w:val="Hyperlink"/>
          </w:rPr>
          <w:t>s</w:t>
        </w:r>
        <w:r w:rsidRPr="001325DE">
          <w:rPr>
            <w:rStyle w:val="Hyperlink"/>
          </w:rPr>
          <w:t xml:space="preserve">imilar </w:t>
        </w:r>
        <w:r w:rsidR="00490F7F">
          <w:rPr>
            <w:rStyle w:val="Hyperlink"/>
          </w:rPr>
          <w:t>b</w:t>
        </w:r>
        <w:r w:rsidRPr="001325DE">
          <w:rPr>
            <w:rStyle w:val="Hyperlink"/>
          </w:rPr>
          <w:t xml:space="preserve">iological </w:t>
        </w:r>
        <w:r w:rsidR="00490F7F">
          <w:rPr>
            <w:rStyle w:val="Hyperlink"/>
          </w:rPr>
          <w:t>m</w:t>
        </w:r>
        <w:r w:rsidRPr="001325DE">
          <w:rPr>
            <w:rStyle w:val="Hyperlink"/>
          </w:rPr>
          <w:t xml:space="preserve">edicinal </w:t>
        </w:r>
        <w:r w:rsidR="00490F7F">
          <w:rPr>
            <w:rStyle w:val="Hyperlink"/>
          </w:rPr>
          <w:t>p</w:t>
        </w:r>
        <w:r w:rsidRPr="001325DE">
          <w:rPr>
            <w:rStyle w:val="Hyperlink"/>
          </w:rPr>
          <w:t xml:space="preserve">roducts </w:t>
        </w:r>
        <w:r w:rsidR="00490F7F">
          <w:rPr>
            <w:rStyle w:val="Hyperlink"/>
          </w:rPr>
          <w:t>c</w:t>
        </w:r>
        <w:r w:rsidRPr="001325DE">
          <w:rPr>
            <w:rStyle w:val="Hyperlink"/>
          </w:rPr>
          <w:t xml:space="preserve">ontaining </w:t>
        </w:r>
        <w:r w:rsidR="00490F7F">
          <w:rPr>
            <w:rStyle w:val="Hyperlink"/>
          </w:rPr>
          <w:t>b</w:t>
        </w:r>
        <w:r w:rsidRPr="001325DE">
          <w:rPr>
            <w:rStyle w:val="Hyperlink"/>
          </w:rPr>
          <w:t xml:space="preserve">iotechnology-derived </w:t>
        </w:r>
        <w:r w:rsidR="00490F7F">
          <w:rPr>
            <w:rStyle w:val="Hyperlink"/>
          </w:rPr>
          <w:t>p</w:t>
        </w:r>
        <w:r w:rsidRPr="001325DE">
          <w:rPr>
            <w:rStyle w:val="Hyperlink"/>
          </w:rPr>
          <w:t xml:space="preserve">roteins as </w:t>
        </w:r>
        <w:r w:rsidR="00490F7F">
          <w:rPr>
            <w:rStyle w:val="Hyperlink"/>
          </w:rPr>
          <w:t>a</w:t>
        </w:r>
        <w:r w:rsidRPr="001325DE">
          <w:rPr>
            <w:rStyle w:val="Hyperlink"/>
          </w:rPr>
          <w:t xml:space="preserve">ctive </w:t>
        </w:r>
        <w:r w:rsidR="00490F7F">
          <w:rPr>
            <w:rStyle w:val="Hyperlink"/>
          </w:rPr>
          <w:t>s</w:t>
        </w:r>
        <w:r w:rsidRPr="001325DE">
          <w:rPr>
            <w:rStyle w:val="Hyperlink"/>
          </w:rPr>
          <w:t xml:space="preserve">ubstance: </w:t>
        </w:r>
        <w:r w:rsidR="00972FB2">
          <w:rPr>
            <w:rStyle w:val="Hyperlink"/>
          </w:rPr>
          <w:t>q</w:t>
        </w:r>
        <w:r w:rsidRPr="001325DE">
          <w:rPr>
            <w:rStyle w:val="Hyperlink"/>
          </w:rPr>
          <w:t xml:space="preserve">uality </w:t>
        </w:r>
        <w:r w:rsidR="00972FB2">
          <w:rPr>
            <w:rStyle w:val="Hyperlink"/>
          </w:rPr>
          <w:t>i</w:t>
        </w:r>
        <w:r w:rsidRPr="001325DE">
          <w:rPr>
            <w:rStyle w:val="Hyperlink"/>
          </w:rPr>
          <w:t>ssues (</w:t>
        </w:r>
        <w:r w:rsidR="00972FB2">
          <w:rPr>
            <w:rStyle w:val="Hyperlink"/>
          </w:rPr>
          <w:t>r</w:t>
        </w:r>
        <w:r w:rsidRPr="001325DE">
          <w:rPr>
            <w:rStyle w:val="Hyperlink"/>
          </w:rPr>
          <w:t>evision 1)</w:t>
        </w:r>
      </w:hyperlink>
      <w:r>
        <w:t xml:space="preserve"> (EMA/CHMP/</w:t>
      </w:r>
      <w:r w:rsidRPr="004C340E">
        <w:t>BWP/247713/2012</w:t>
      </w:r>
      <w:r>
        <w:t>)</w:t>
      </w:r>
    </w:p>
    <w:p w14:paraId="21F09CB4" w14:textId="77777777" w:rsidR="001D5EB3" w:rsidRDefault="001D5EB3" w:rsidP="001D5EB3">
      <w:pPr>
        <w:pStyle w:val="ListBullet"/>
        <w:numPr>
          <w:ilvl w:val="0"/>
          <w:numId w:val="0"/>
        </w:numPr>
        <w:ind w:left="357"/>
      </w:pPr>
      <w:r>
        <w:lastRenderedPageBreak/>
        <w:t>TGA-adopted, effective date: 1 December 2014</w:t>
      </w:r>
    </w:p>
    <w:p w14:paraId="321DA020" w14:textId="523FA14B" w:rsidR="00FF4FC5" w:rsidRDefault="00FF4FC5" w:rsidP="00FF4FC5">
      <w:pPr>
        <w:pStyle w:val="ListBullet"/>
      </w:pPr>
      <w:r>
        <w:t xml:space="preserve">EMA: </w:t>
      </w:r>
      <w:hyperlink r:id="rId24" w:history="1">
        <w:r w:rsidRPr="00A5577F">
          <w:rPr>
            <w:rStyle w:val="Hyperlink"/>
          </w:rPr>
          <w:t>Clinical Investigation of the Pharmacokinetics of Therapeutic Proteins</w:t>
        </w:r>
      </w:hyperlink>
      <w:r>
        <w:t xml:space="preserve"> (CHMP/EWP/89249/2004).</w:t>
      </w:r>
    </w:p>
    <w:p w14:paraId="3594CB89" w14:textId="77777777" w:rsidR="00FF4FC5" w:rsidRDefault="00FF4FC5" w:rsidP="00FF4FC5">
      <w:pPr>
        <w:pStyle w:val="ListBullet"/>
        <w:numPr>
          <w:ilvl w:val="0"/>
          <w:numId w:val="0"/>
        </w:numPr>
        <w:ind w:left="360"/>
      </w:pPr>
      <w:r>
        <w:t>TGA-adopted, effective date: 6 January 2006.</w:t>
      </w:r>
    </w:p>
    <w:p w14:paraId="2836EB5F" w14:textId="33323FFC" w:rsidR="00270ED9" w:rsidRDefault="00EF5A67" w:rsidP="00EF5A67">
      <w:pPr>
        <w:pStyle w:val="ListBullet"/>
      </w:pPr>
      <w:r>
        <w:t xml:space="preserve">EMA: </w:t>
      </w:r>
      <w:hyperlink r:id="rId25" w:history="1">
        <w:r w:rsidRPr="00C040A9">
          <w:rPr>
            <w:rStyle w:val="Hyperlink"/>
          </w:rPr>
          <w:t>Guideline on immunogenicity assessment of biotechnology-derived therapeutic proteins</w:t>
        </w:r>
      </w:hyperlink>
      <w:r>
        <w:t xml:space="preserve"> (EMEA/CHMP/BMWP/14327/2006)</w:t>
      </w:r>
      <w:r w:rsidR="00270ED9">
        <w:t>.</w:t>
      </w:r>
    </w:p>
    <w:p w14:paraId="680E0AC4" w14:textId="26230300" w:rsidR="00EF5A67" w:rsidRDefault="00EF5A67" w:rsidP="00EF5A67">
      <w:pPr>
        <w:pStyle w:val="ListBullet"/>
        <w:numPr>
          <w:ilvl w:val="0"/>
          <w:numId w:val="0"/>
        </w:numPr>
        <w:ind w:left="360"/>
      </w:pPr>
      <w:r>
        <w:t>TGA-adopted, effective date: 22 June 2009</w:t>
      </w:r>
    </w:p>
    <w:p w14:paraId="6E2899C4" w14:textId="496D4289" w:rsidR="00991F52" w:rsidRDefault="00991F52" w:rsidP="00991F52">
      <w:pPr>
        <w:pStyle w:val="ListBullet"/>
        <w:keepNext/>
        <w:numPr>
          <w:ilvl w:val="0"/>
          <w:numId w:val="15"/>
        </w:numPr>
        <w:spacing w:after="120"/>
        <w:ind w:left="357" w:hanging="357"/>
      </w:pPr>
      <w:r>
        <w:t xml:space="preserve">EMA: </w:t>
      </w:r>
      <w:hyperlink r:id="rId26" w:history="1">
        <w:r w:rsidRPr="00C72B42">
          <w:rPr>
            <w:rStyle w:val="Hyperlink"/>
          </w:rPr>
          <w:t>Guideline on immunogenicity assessment of monoclonal antibodies intended for in vivo clinical use</w:t>
        </w:r>
      </w:hyperlink>
      <w:r>
        <w:t xml:space="preserve"> (</w:t>
      </w:r>
      <w:r w:rsidRPr="00756A81">
        <w:t>EMA/CHMP/BMWP/86289/2010</w:t>
      </w:r>
      <w:r>
        <w:t>)</w:t>
      </w:r>
    </w:p>
    <w:p w14:paraId="269FF934" w14:textId="77777777" w:rsidR="00991F52" w:rsidRDefault="00991F52" w:rsidP="00991F52">
      <w:pPr>
        <w:pStyle w:val="ListBullet"/>
        <w:numPr>
          <w:ilvl w:val="0"/>
          <w:numId w:val="0"/>
        </w:numPr>
        <w:ind w:left="357"/>
      </w:pPr>
      <w:r>
        <w:t>TGA-adopted, effective date: 1 December 2012</w:t>
      </w:r>
    </w:p>
    <w:p w14:paraId="5DE4CEAE" w14:textId="7B15EB5B" w:rsidR="00330B9B" w:rsidRDefault="00330B9B" w:rsidP="00330B9B">
      <w:pPr>
        <w:pStyle w:val="ListParagraph"/>
        <w:numPr>
          <w:ilvl w:val="0"/>
          <w:numId w:val="15"/>
        </w:numPr>
        <w:spacing w:before="120" w:after="120" w:line="240" w:lineRule="atLeast"/>
        <w:ind w:left="357" w:hanging="357"/>
      </w:pPr>
      <w:bookmarkStart w:id="38" w:name="_Hlk140567202"/>
      <w:r>
        <w:t xml:space="preserve">EMA: </w:t>
      </w:r>
      <w:hyperlink r:id="rId27" w:history="1">
        <w:r w:rsidRPr="00B55965">
          <w:rPr>
            <w:rStyle w:val="Hyperlink"/>
          </w:rPr>
          <w:t>Note for Guidance on Statistical Principles for Clinical Trials</w:t>
        </w:r>
      </w:hyperlink>
      <w:r>
        <w:t xml:space="preserve"> (CPMP/ICH/363/96)</w:t>
      </w:r>
    </w:p>
    <w:p w14:paraId="2DD9E093" w14:textId="77777777" w:rsidR="00330B9B" w:rsidRDefault="00330B9B" w:rsidP="00330B9B">
      <w:pPr>
        <w:ind w:left="357"/>
      </w:pPr>
      <w:r>
        <w:t>TGA-adopted, effective date: 1 October 1999</w:t>
      </w:r>
      <w:bookmarkEnd w:id="38"/>
    </w:p>
    <w:p w14:paraId="1FB1D207" w14:textId="0E182832" w:rsidR="00DE7EE8" w:rsidRDefault="00DE7EE8" w:rsidP="00DE7EE8">
      <w:pPr>
        <w:pStyle w:val="ListBullet"/>
      </w:pPr>
      <w:r>
        <w:t xml:space="preserve">EMA: </w:t>
      </w:r>
      <w:hyperlink r:id="rId28" w:history="1">
        <w:r w:rsidRPr="006A7637">
          <w:rPr>
            <w:rStyle w:val="Hyperlink"/>
          </w:rPr>
          <w:t>Guideline on Clinical Investigation of Medicinal Products Indicated for the Treatment of Psoriasis</w:t>
        </w:r>
      </w:hyperlink>
      <w:r>
        <w:t xml:space="preserve"> (CHMP/EWP/2454/02 corr.)</w:t>
      </w:r>
    </w:p>
    <w:p w14:paraId="789B0556" w14:textId="60B00A66" w:rsidR="00991F52" w:rsidRDefault="00DE7EE8" w:rsidP="00DE7EE8">
      <w:pPr>
        <w:pStyle w:val="ListBullet"/>
        <w:numPr>
          <w:ilvl w:val="0"/>
          <w:numId w:val="0"/>
        </w:numPr>
        <w:ind w:left="360"/>
      </w:pPr>
      <w:r>
        <w:t>TGA-adopted, effective date: June 2005.</w:t>
      </w:r>
    </w:p>
    <w:p w14:paraId="37F5A1C0" w14:textId="5D3D5FE0" w:rsidR="00C22214" w:rsidRDefault="00095C6A" w:rsidP="00C22214">
      <w:pPr>
        <w:pStyle w:val="Heading3"/>
      </w:pPr>
      <w:bookmarkStart w:id="39" w:name="_Toc103679295"/>
      <w:bookmarkStart w:id="40" w:name="_Toc225257711"/>
      <w:r>
        <w:t>Q</w:t>
      </w:r>
      <w:r w:rsidR="00C22214">
        <w:t>uality</w:t>
      </w:r>
      <w:bookmarkEnd w:id="33"/>
      <w:bookmarkEnd w:id="34"/>
      <w:bookmarkEnd w:id="39"/>
      <w:r w:rsidR="007E6443">
        <w:t xml:space="preserve"> evaluation</w:t>
      </w:r>
      <w:r>
        <w:t xml:space="preserve"> summary</w:t>
      </w:r>
      <w:bookmarkEnd w:id="40"/>
    </w:p>
    <w:p w14:paraId="2ACDD8F8" w14:textId="01A92B09" w:rsidR="00A7538D" w:rsidRPr="00963FD2" w:rsidRDefault="00A7538D" w:rsidP="0070239E">
      <w:r w:rsidRPr="0070239E">
        <w:t xml:space="preserve">The application and the supporting data relating to the composition, development, manufacture, quality control, stability and bioavailability of the product were assessed and checked for compliance, as applicable, with Australian legislation and requirements for new medicines and in </w:t>
      </w:r>
      <w:r w:rsidRPr="00963FD2">
        <w:t xml:space="preserve">accordance with </w:t>
      </w:r>
      <w:r w:rsidR="00F87322" w:rsidRPr="00963FD2">
        <w:t>pharmacopeial</w:t>
      </w:r>
      <w:r w:rsidRPr="00963FD2">
        <w:t xml:space="preserve"> standards and the technical guidelines adopted by the TGA.</w:t>
      </w:r>
    </w:p>
    <w:p w14:paraId="360966F4" w14:textId="01247C83" w:rsidR="00A7538D" w:rsidRPr="00963FD2" w:rsidRDefault="00A7538D" w:rsidP="0070239E">
      <w:r w:rsidRPr="00963FD2">
        <w:t>The ustekinumab (SB17) drug product (DP) for subcutaneous injection is a clear, colourless to light yellow, sterile and preservative-free solution. Both SB17 45</w:t>
      </w:r>
      <w:r w:rsidR="005838E2" w:rsidRPr="00963FD2">
        <w:t> </w:t>
      </w:r>
      <w:r w:rsidRPr="00963FD2">
        <w:t>mg DP and 90</w:t>
      </w:r>
      <w:r w:rsidR="005838E2" w:rsidRPr="00963FD2">
        <w:t> </w:t>
      </w:r>
      <w:r w:rsidRPr="00963FD2">
        <w:t>mg DP have the same composition as the SB17 drug substance (DS: 90</w:t>
      </w:r>
      <w:r w:rsidR="005838E2" w:rsidRPr="00963FD2">
        <w:t> </w:t>
      </w:r>
      <w:r w:rsidRPr="00963FD2">
        <w:t>mg/mL ustekinumab,</w:t>
      </w:r>
      <w:r w:rsidR="00E52E38" w:rsidRPr="00963FD2">
        <w:t xml:space="preserve"> </w:t>
      </w:r>
      <w:r w:rsidRPr="00963FD2">
        <w:t>histidine, sucrose, and polysorbate 80). The same formulation has been used throughout product development.</w:t>
      </w:r>
    </w:p>
    <w:p w14:paraId="21BF75B6" w14:textId="452FD024" w:rsidR="00A7538D" w:rsidRPr="0070239E" w:rsidRDefault="00A7538D" w:rsidP="0070239E">
      <w:r w:rsidRPr="00963FD2">
        <w:t>The container closure system (pre-filled syringe</w:t>
      </w:r>
      <w:r w:rsidR="00410747" w:rsidRPr="00963FD2">
        <w:t xml:space="preserve"> (PFS)</w:t>
      </w:r>
      <w:r w:rsidRPr="00963FD2">
        <w:t>) of</w:t>
      </w:r>
      <w:r w:rsidRPr="0070239E">
        <w:t xml:space="preserve"> SB17 DP for subcutaneous use consists of a clear glass syringe with staked needle, rigid needle shield, and a plunger stopper. The PFS is assembled into the secondary packaging components which include a safety shield and plunger rod.</w:t>
      </w:r>
    </w:p>
    <w:p w14:paraId="49137D24" w14:textId="0C3CBEAC" w:rsidR="00A7538D" w:rsidRPr="0070239E" w:rsidRDefault="006B3341" w:rsidP="0070239E">
      <w:r w:rsidRPr="0070239E">
        <w:t>Ustekinumab (</w:t>
      </w:r>
      <w:r w:rsidR="00A7538D" w:rsidRPr="0070239E">
        <w:t>SB17</w:t>
      </w:r>
      <w:r w:rsidRPr="0070239E">
        <w:t>)</w:t>
      </w:r>
      <w:r w:rsidR="00A7538D" w:rsidRPr="0070239E">
        <w:t xml:space="preserve"> DP for intravenous use is a clear, colourless to light yellow solution. The formulation of the DP contains 5</w:t>
      </w:r>
      <w:r w:rsidR="009B1FC7" w:rsidRPr="0070239E">
        <w:t> </w:t>
      </w:r>
      <w:r w:rsidR="00A7538D" w:rsidRPr="0070239E">
        <w:t>mg/mL ustekinumab in</w:t>
      </w:r>
      <w:r w:rsidR="009B1FC7" w:rsidRPr="0070239E">
        <w:t xml:space="preserve"> </w:t>
      </w:r>
      <w:r w:rsidR="00A7538D" w:rsidRPr="0070239E">
        <w:t>histidine, methionine, disodium edetate, sucrose, and polysorbate 80. The 130</w:t>
      </w:r>
      <w:r w:rsidR="009B1FC7" w:rsidRPr="0070239E">
        <w:t> </w:t>
      </w:r>
      <w:r w:rsidR="00A7538D" w:rsidRPr="0070239E">
        <w:t>mg/26</w:t>
      </w:r>
      <w:r w:rsidR="009B1FC7" w:rsidRPr="0070239E">
        <w:t> </w:t>
      </w:r>
      <w:r w:rsidR="00A7538D" w:rsidRPr="0070239E">
        <w:t>mL presentation is packaged in a 30</w:t>
      </w:r>
      <w:r w:rsidR="009B1FC7" w:rsidRPr="0070239E">
        <w:t> </w:t>
      </w:r>
      <w:r w:rsidR="00A7538D" w:rsidRPr="0070239E">
        <w:t>mL Type I clear glass vial, with a 20</w:t>
      </w:r>
      <w:r w:rsidR="009B1FC7" w:rsidRPr="0070239E">
        <w:t> </w:t>
      </w:r>
      <w:r w:rsidR="00A7538D" w:rsidRPr="0070239E">
        <w:t>mm rubber stopper and aluminium flip-off cap.</w:t>
      </w:r>
    </w:p>
    <w:p w14:paraId="0BB4A67F" w14:textId="59262181" w:rsidR="00A7538D" w:rsidRPr="0070239E" w:rsidRDefault="00A7538D" w:rsidP="0070239E">
      <w:r w:rsidRPr="0070239E">
        <w:t>The manufacturing process and process controls for both DS and DP have been sufficiently addressed. The steps, methods, equipment, reagents, critical process parameters and non</w:t>
      </w:r>
      <w:r w:rsidR="008E5C9A">
        <w:noBreakHyphen/>
      </w:r>
      <w:r w:rsidRPr="0070239E">
        <w:t>critical process parameters selected are typical of monoclonal manufacturing.</w:t>
      </w:r>
    </w:p>
    <w:p w14:paraId="2C641680" w14:textId="1CAE79CF" w:rsidR="00A7538D" w:rsidRPr="0070239E" w:rsidRDefault="00A7538D" w:rsidP="0070239E">
      <w:r w:rsidRPr="0070239E">
        <w:t xml:space="preserve">Characterisation studies were performed in accordance with ICH Guideline Q6B. The characterisation studies examined the structures (primary, post-translational modification, glycan profile, and </w:t>
      </w:r>
      <w:r w:rsidR="002B60E1" w:rsidRPr="0070239E">
        <w:t>higher</w:t>
      </w:r>
      <w:r w:rsidR="009A3BDD" w:rsidRPr="0070239E">
        <w:t>-</w:t>
      </w:r>
      <w:r w:rsidR="002B60E1" w:rsidRPr="0070239E">
        <w:t>order</w:t>
      </w:r>
      <w:r w:rsidRPr="0070239E">
        <w:t>) of SB17, purity/impurities, charge heterogeneity, quantity, cellular potency, and binding activity.</w:t>
      </w:r>
    </w:p>
    <w:p w14:paraId="16C00777" w14:textId="158FCCBB" w:rsidR="00A7538D" w:rsidRPr="0070239E" w:rsidRDefault="00A7538D" w:rsidP="0070239E">
      <w:r w:rsidRPr="0070239E">
        <w:lastRenderedPageBreak/>
        <w:t xml:space="preserve">The quality attributes, including </w:t>
      </w:r>
      <w:r w:rsidR="000D2471" w:rsidRPr="0070239E">
        <w:t>c</w:t>
      </w:r>
      <w:r w:rsidRPr="0070239E">
        <w:t xml:space="preserve">ritical </w:t>
      </w:r>
      <w:r w:rsidR="000D2471" w:rsidRPr="0070239E">
        <w:t>q</w:t>
      </w:r>
      <w:r w:rsidRPr="0070239E">
        <w:t xml:space="preserve">uality </w:t>
      </w:r>
      <w:r w:rsidR="000D2471" w:rsidRPr="0070239E">
        <w:t>a</w:t>
      </w:r>
      <w:r w:rsidRPr="0070239E">
        <w:t xml:space="preserve">ttributes and </w:t>
      </w:r>
      <w:r w:rsidR="000D2471" w:rsidRPr="0070239E">
        <w:t>n</w:t>
      </w:r>
      <w:r w:rsidRPr="0070239E">
        <w:t>on</w:t>
      </w:r>
      <w:r w:rsidR="004913D4">
        <w:noBreakHyphen/>
      </w:r>
      <w:r w:rsidR="000D2471" w:rsidRPr="0070239E">
        <w:t>c</w:t>
      </w:r>
      <w:r w:rsidRPr="0070239E">
        <w:t xml:space="preserve">ritical </w:t>
      </w:r>
      <w:r w:rsidR="000D2471" w:rsidRPr="0070239E">
        <w:t>q</w:t>
      </w:r>
      <w:r w:rsidRPr="0070239E">
        <w:t xml:space="preserve">uality </w:t>
      </w:r>
      <w:r w:rsidR="000D2471" w:rsidRPr="0070239E">
        <w:t>a</w:t>
      </w:r>
      <w:r w:rsidRPr="0070239E">
        <w:t>ttributes</w:t>
      </w:r>
      <w:r w:rsidR="004913D4">
        <w:t xml:space="preserve"> </w:t>
      </w:r>
      <w:r w:rsidRPr="0070239E">
        <w:t>were determined as per the ICH Guideline Q8 (R2) based on a risk assessment plan.</w:t>
      </w:r>
    </w:p>
    <w:p w14:paraId="5FEB2756" w14:textId="73BD5668" w:rsidR="00A7538D" w:rsidRPr="0070239E" w:rsidRDefault="00A7538D" w:rsidP="0070239E">
      <w:r w:rsidRPr="0070239E">
        <w:t>The sponsor provided two separate data sets to support the biosimilarity of PFS (45</w:t>
      </w:r>
      <w:r w:rsidR="002A2C13" w:rsidRPr="0070239E">
        <w:t> </w:t>
      </w:r>
      <w:r w:rsidRPr="0070239E">
        <w:t>mg/0.5</w:t>
      </w:r>
      <w:r w:rsidR="002A2C13" w:rsidRPr="0070239E">
        <w:t> </w:t>
      </w:r>
      <w:r w:rsidRPr="0070239E">
        <w:t>mL and 90</w:t>
      </w:r>
      <w:r w:rsidR="002A2C13" w:rsidRPr="0070239E">
        <w:t> </w:t>
      </w:r>
      <w:r w:rsidRPr="0070239E">
        <w:t>mg</w:t>
      </w:r>
      <w:r w:rsidR="00E47669">
        <w:t>/</w:t>
      </w:r>
      <w:r w:rsidR="00704083">
        <w:t>1</w:t>
      </w:r>
      <w:r w:rsidR="00E47669">
        <w:t> </w:t>
      </w:r>
      <w:r w:rsidRPr="0070239E">
        <w:t>mL) and vial (130</w:t>
      </w:r>
      <w:r w:rsidR="002A2C13" w:rsidRPr="0070239E">
        <w:t> </w:t>
      </w:r>
      <w:r w:rsidRPr="0070239E">
        <w:t>mg/26</w:t>
      </w:r>
      <w:r w:rsidR="002A2C13" w:rsidRPr="0070239E">
        <w:t> </w:t>
      </w:r>
      <w:r w:rsidRPr="0070239E">
        <w:t>mL) presentations of SB17 to EU-sourced S</w:t>
      </w:r>
      <w:r w:rsidR="002A2C13" w:rsidRPr="0070239E">
        <w:t>telara</w:t>
      </w:r>
      <w:r w:rsidRPr="0070239E">
        <w:t>. The characterisation for the similarity assessment involved the determination of physicochemical and biological properties of SB17 and S</w:t>
      </w:r>
      <w:r w:rsidR="00D14E2B" w:rsidRPr="0070239E">
        <w:t>telara</w:t>
      </w:r>
      <w:r w:rsidRPr="0070239E">
        <w:t>. The primary structure and post-translational modifications of the two molecules were identical or substantially similar</w:t>
      </w:r>
      <w:r w:rsidR="004B33FE">
        <w:t xml:space="preserve">. </w:t>
      </w:r>
      <w:r w:rsidRPr="0070239E">
        <w:t>The evaluat</w:t>
      </w:r>
      <w:r w:rsidR="005058C2">
        <w:t>ion</w:t>
      </w:r>
      <w:r w:rsidRPr="0070239E">
        <w:t xml:space="preserve"> agreed that this difference is unlikely to be significant in terms of immunogenicity, pharmacokinetics, and biological activity of the two molecules. Purity was examined using multiple processes including chromatography and the two molecules were considered similar. Multiple assessments of higher-order structure (folding, secondary and tertiary structure, conformational changes etc</w:t>
      </w:r>
      <w:r w:rsidR="009A3BDD" w:rsidRPr="0070239E">
        <w:t>etera</w:t>
      </w:r>
      <w:r w:rsidRPr="0070239E">
        <w:t>) concluded similarity between the two molecules. Protein concentration results of all SB17 batches were within range. Biological properties including IL-12 and IL-23 neutrali</w:t>
      </w:r>
      <w:r w:rsidR="009A3BDD" w:rsidRPr="0070239E">
        <w:t>sa</w:t>
      </w:r>
      <w:r w:rsidRPr="0070239E">
        <w:t>tion, IL-12 and IL-23 binding, and various FC receptor binding were comparable.</w:t>
      </w:r>
    </w:p>
    <w:p w14:paraId="5B50F68B" w14:textId="15BFEDB2" w:rsidR="00A7538D" w:rsidRPr="0070239E" w:rsidRDefault="00A7538D" w:rsidP="0070239E">
      <w:r w:rsidRPr="0070239E">
        <w:t>The evaluat</w:t>
      </w:r>
      <w:r w:rsidR="00655C1E" w:rsidRPr="0070239E">
        <w:t>ion</w:t>
      </w:r>
      <w:r w:rsidRPr="0070239E">
        <w:t xml:space="preserve"> noted that similar findings were reported for the vial presentation of SB17, except FC receptor-n binding. This was not considered relevant, as this has minimal effect on biological activity.</w:t>
      </w:r>
    </w:p>
    <w:p w14:paraId="4C0F0657" w14:textId="569D7100" w:rsidR="00A7538D" w:rsidRPr="0070239E" w:rsidRDefault="00A7538D" w:rsidP="0070239E">
      <w:r w:rsidRPr="0070239E">
        <w:t>Comparative stability studies (forced degradation studies) were performed under heat stress condition, basic stress condition, acidic stress condition, oxidative stress condition, and photo</w:t>
      </w:r>
      <w:r w:rsidR="009C1052" w:rsidRPr="0070239E">
        <w:t xml:space="preserve"> </w:t>
      </w:r>
      <w:r w:rsidRPr="0070239E">
        <w:t>stress condition. Results of all comparative stability studies showed similar degradation profiles supporting similarity between SB17 and Stelara.</w:t>
      </w:r>
    </w:p>
    <w:p w14:paraId="77731B42" w14:textId="61C8649E" w:rsidR="00A7538D" w:rsidRPr="0070239E" w:rsidRDefault="00A7538D" w:rsidP="0070239E">
      <w:r w:rsidRPr="0070239E">
        <w:t>A bridging study comparing vial formulations of AU-sourced S</w:t>
      </w:r>
      <w:r w:rsidR="009C1052" w:rsidRPr="0070239E">
        <w:t>telara</w:t>
      </w:r>
      <w:r w:rsidRPr="0070239E">
        <w:t xml:space="preserve"> with EU-sourced S</w:t>
      </w:r>
      <w:r w:rsidR="009C1052" w:rsidRPr="0070239E">
        <w:t>telara</w:t>
      </w:r>
      <w:r w:rsidRPr="0070239E">
        <w:t xml:space="preserve"> was also provided to support the use of the overseas reference product in clinical studies. The sponsor stated that at the time of the bridging study PFS formulations of S</w:t>
      </w:r>
      <w:r w:rsidR="0070239E" w:rsidRPr="0070239E">
        <w:t>telara</w:t>
      </w:r>
      <w:r w:rsidRPr="0070239E">
        <w:t xml:space="preserve"> were not available in Australia. A</w:t>
      </w:r>
      <w:r w:rsidR="00755F1A">
        <w:t>ustralian</w:t>
      </w:r>
      <w:r w:rsidRPr="0070239E">
        <w:t>-</w:t>
      </w:r>
      <w:r w:rsidR="00465D4F">
        <w:t xml:space="preserve">sourced </w:t>
      </w:r>
      <w:r w:rsidRPr="0070239E">
        <w:t>S</w:t>
      </w:r>
      <w:r w:rsidR="0070239E" w:rsidRPr="0070239E">
        <w:t>telara</w:t>
      </w:r>
      <w:r w:rsidRPr="0070239E">
        <w:t xml:space="preserve"> and EU-</w:t>
      </w:r>
      <w:r w:rsidR="00465D4F">
        <w:t xml:space="preserve">sourced </w:t>
      </w:r>
      <w:r w:rsidRPr="0070239E">
        <w:t>S</w:t>
      </w:r>
      <w:r w:rsidR="0070239E" w:rsidRPr="0070239E">
        <w:t>telara</w:t>
      </w:r>
      <w:r w:rsidRPr="0070239E">
        <w:t xml:space="preserve"> were found to be comparable in all aspects examined, except for minor differences in the N-glycan profile of one AU-sourced batch, and micro-flow imaging (for visuali</w:t>
      </w:r>
      <w:r w:rsidR="0070239E" w:rsidRPr="0070239E">
        <w:t>s</w:t>
      </w:r>
      <w:r w:rsidRPr="0070239E">
        <w:t>ation of subvisible particles). These minor differences were justified by the sponsor and accepted.</w:t>
      </w:r>
    </w:p>
    <w:p w14:paraId="2BE90AAE" w14:textId="35796FD3" w:rsidR="00C22214" w:rsidRDefault="00C22214" w:rsidP="00C22214">
      <w:pPr>
        <w:pStyle w:val="Heading3"/>
      </w:pPr>
      <w:bookmarkStart w:id="41" w:name="_Toc314842512"/>
      <w:bookmarkStart w:id="42" w:name="_Toc103679296"/>
      <w:bookmarkStart w:id="43" w:name="_Toc225257712"/>
      <w:r>
        <w:t>Nonclinical</w:t>
      </w:r>
      <w:bookmarkEnd w:id="41"/>
      <w:bookmarkEnd w:id="42"/>
      <w:r w:rsidR="007E6443">
        <w:t xml:space="preserve"> evaluation</w:t>
      </w:r>
      <w:r w:rsidR="00095C6A">
        <w:t xml:space="preserve"> summary</w:t>
      </w:r>
      <w:bookmarkEnd w:id="43"/>
    </w:p>
    <w:p w14:paraId="6C80D8FA" w14:textId="6BC2EE1E" w:rsidR="00F97DFB" w:rsidRPr="00F97DFB" w:rsidRDefault="00F97DFB" w:rsidP="00F97DFB">
      <w:r w:rsidRPr="00F97DFB">
        <w:t>The nonclinical evaluation had no objection to registration of E</w:t>
      </w:r>
      <w:r>
        <w:t>pyztek</w:t>
      </w:r>
      <w:r w:rsidRPr="00F97DFB">
        <w:t>, noting the following</w:t>
      </w:r>
      <w:r>
        <w:t>:</w:t>
      </w:r>
    </w:p>
    <w:p w14:paraId="2610D6AC" w14:textId="28ADCBA4" w:rsidR="00F97DFB" w:rsidRPr="00F97DFB" w:rsidRDefault="00F97DFB" w:rsidP="00F97DFB">
      <w:pPr>
        <w:pStyle w:val="ListBullet"/>
      </w:pPr>
      <w:r w:rsidRPr="00F97DFB">
        <w:t xml:space="preserve">The scope of the nonclinical program is adequate under the relevant EU </w:t>
      </w:r>
      <w:r w:rsidR="00F4794A" w:rsidRPr="00F97DFB">
        <w:t>guideline</w:t>
      </w:r>
      <w:r w:rsidR="0012598C">
        <w:t>. T</w:t>
      </w:r>
      <w:r w:rsidRPr="00F97DFB">
        <w:t>he set of pharmacological assessments performed across</w:t>
      </w:r>
      <w:r w:rsidR="00F4794A">
        <w:t xml:space="preserve"> the quality data</w:t>
      </w:r>
      <w:r w:rsidRPr="00F97DFB">
        <w:t xml:space="preserve"> with Epyztek</w:t>
      </w:r>
      <w:r w:rsidRPr="00F97DFB" w:rsidDel="00040593">
        <w:t xml:space="preserve"> </w:t>
      </w:r>
      <w:r w:rsidRPr="00F97DFB">
        <w:t xml:space="preserve">and EU- and </w:t>
      </w:r>
      <w:r w:rsidR="00C87AA3">
        <w:t>United States (</w:t>
      </w:r>
      <w:r w:rsidRPr="00F97DFB">
        <w:t>US</w:t>
      </w:r>
      <w:r w:rsidR="00C87AA3">
        <w:t>)</w:t>
      </w:r>
      <w:r w:rsidR="00CB1491">
        <w:noBreakHyphen/>
      </w:r>
      <w:r w:rsidRPr="00F97DFB">
        <w:t>sourced S</w:t>
      </w:r>
      <w:r w:rsidR="00F4794A">
        <w:t>telara</w:t>
      </w:r>
      <w:r w:rsidRPr="00F97DFB">
        <w:t xml:space="preserve"> is considered acceptable to cover all proposed indications. A slight glycosylation difference between the EU</w:t>
      </w:r>
      <w:r w:rsidR="00CB1491">
        <w:noBreakHyphen/>
      </w:r>
      <w:r w:rsidRPr="00F97DFB">
        <w:t>sourced S</w:t>
      </w:r>
      <w:r w:rsidR="00F4794A">
        <w:t>telara</w:t>
      </w:r>
      <w:r w:rsidRPr="00F97DFB">
        <w:t xml:space="preserve"> and Epyztek was identified, however, no meaningful differences were observed in the comparative pharmacology. No </w:t>
      </w:r>
      <w:r w:rsidR="0012598C">
        <w:t xml:space="preserve">nonclinical </w:t>
      </w:r>
      <w:r w:rsidRPr="00F97DFB">
        <w:t>data were provided to verify the comparability of the EU</w:t>
      </w:r>
      <w:r w:rsidR="00CB1491">
        <w:noBreakHyphen/>
      </w:r>
      <w:r w:rsidRPr="00F97DFB">
        <w:t>sourced and A</w:t>
      </w:r>
      <w:r w:rsidR="00CB1491">
        <w:t>U</w:t>
      </w:r>
      <w:r w:rsidR="00CB1491">
        <w:noBreakHyphen/>
      </w:r>
      <w:r w:rsidRPr="00F97DFB">
        <w:t>sourced S</w:t>
      </w:r>
      <w:r w:rsidR="00CB1491">
        <w:t>telara</w:t>
      </w:r>
      <w:r w:rsidRPr="00F97DFB">
        <w:t>.</w:t>
      </w:r>
    </w:p>
    <w:p w14:paraId="6F085508" w14:textId="1032359A" w:rsidR="00F97DFB" w:rsidRPr="00F97DFB" w:rsidRDefault="00F97DFB" w:rsidP="00CB1491">
      <w:pPr>
        <w:pStyle w:val="ListBullet"/>
      </w:pPr>
      <w:r w:rsidRPr="00F97DFB">
        <w:t>No</w:t>
      </w:r>
      <w:r w:rsidR="00CB1491">
        <w:t xml:space="preserve"> nonclinical s</w:t>
      </w:r>
      <w:r w:rsidRPr="00F97DFB">
        <w:t xml:space="preserve">tudies were submitted. Therefore, adequate comparability and determination of biosimilarity will need to rely upon </w:t>
      </w:r>
      <w:r w:rsidR="00CB1491">
        <w:t xml:space="preserve">quality and clinical </w:t>
      </w:r>
      <w:r w:rsidRPr="00F97DFB">
        <w:t>evaluations.</w:t>
      </w:r>
    </w:p>
    <w:p w14:paraId="35B580A5" w14:textId="40B226DC" w:rsidR="00C22214" w:rsidRDefault="00C22214" w:rsidP="008804CF">
      <w:pPr>
        <w:pStyle w:val="Heading3"/>
      </w:pPr>
      <w:bookmarkStart w:id="44" w:name="_Toc247691530"/>
      <w:bookmarkStart w:id="45" w:name="_Toc314842513"/>
      <w:bookmarkStart w:id="46" w:name="_Toc103679297"/>
      <w:bookmarkStart w:id="47" w:name="_Toc225257713"/>
      <w:r>
        <w:t>Clinical</w:t>
      </w:r>
      <w:bookmarkEnd w:id="44"/>
      <w:bookmarkEnd w:id="45"/>
      <w:bookmarkEnd w:id="46"/>
      <w:r w:rsidR="00095C6A">
        <w:t xml:space="preserve"> evaluation summary</w:t>
      </w:r>
      <w:bookmarkEnd w:id="47"/>
    </w:p>
    <w:p w14:paraId="32B0DEDA" w14:textId="77777777" w:rsidR="00C22214" w:rsidRPr="00433318" w:rsidRDefault="00C22214" w:rsidP="00433318">
      <w:pPr>
        <w:pStyle w:val="Heading4"/>
      </w:pPr>
      <w:bookmarkStart w:id="48" w:name="_Toc98931928"/>
      <w:bookmarkStart w:id="49" w:name="_Toc225257714"/>
      <w:r>
        <w:t>Summary of clinical studies</w:t>
      </w:r>
      <w:bookmarkEnd w:id="48"/>
      <w:bookmarkEnd w:id="49"/>
    </w:p>
    <w:p w14:paraId="0A397977" w14:textId="50BB3047" w:rsidR="000F36AF" w:rsidRPr="000F36AF" w:rsidRDefault="000F36AF" w:rsidP="000F36AF">
      <w:r w:rsidRPr="000F36AF">
        <w:t xml:space="preserve">The clinical dossier included two studies to demonstrate similar </w:t>
      </w:r>
      <w:r w:rsidRPr="001969CE">
        <w:t>pharmacokinetics (PK),</w:t>
      </w:r>
      <w:r w:rsidRPr="000F36AF">
        <w:t xml:space="preserve"> efficacy, safety and immunogenicity of SB17 to the reference product S</w:t>
      </w:r>
      <w:r>
        <w:t>telara</w:t>
      </w:r>
      <w:r w:rsidRPr="000F36AF">
        <w:t>.</w:t>
      </w:r>
    </w:p>
    <w:p w14:paraId="59F57324" w14:textId="085063F9" w:rsidR="000F36AF" w:rsidRPr="000F36AF" w:rsidRDefault="00EA0DC7" w:rsidP="000F36AF">
      <w:r>
        <w:lastRenderedPageBreak/>
        <w:t>Study </w:t>
      </w:r>
      <w:r w:rsidR="000F36AF" w:rsidRPr="000F36AF">
        <w:t>SB17-1001 was a randomised, double</w:t>
      </w:r>
      <w:r>
        <w:t xml:space="preserve"> </w:t>
      </w:r>
      <w:r w:rsidR="000F36AF" w:rsidRPr="000F36AF">
        <w:t>blind, three</w:t>
      </w:r>
      <w:r>
        <w:t xml:space="preserve"> </w:t>
      </w:r>
      <w:r w:rsidR="000F36AF" w:rsidRPr="000F36AF">
        <w:t>arm, parallel group, single</w:t>
      </w:r>
      <w:r>
        <w:t xml:space="preserve"> </w:t>
      </w:r>
      <w:r w:rsidR="000F36AF" w:rsidRPr="000F36AF">
        <w:t>dose study which compared the pharmacokinetics, safety, tolerability, and immunogenicity of ustekinumab (SB17</w:t>
      </w:r>
      <w:r w:rsidR="005D29CD">
        <w:t>)</w:t>
      </w:r>
      <w:r w:rsidR="000F36AF" w:rsidRPr="000F36AF">
        <w:t>, EU</w:t>
      </w:r>
      <w:r>
        <w:noBreakHyphen/>
      </w:r>
      <w:r w:rsidR="000F36AF" w:rsidRPr="000F36AF">
        <w:t>sourced S</w:t>
      </w:r>
      <w:r>
        <w:t>telara</w:t>
      </w:r>
      <w:r w:rsidR="000F36AF" w:rsidRPr="000F36AF">
        <w:t>, and US</w:t>
      </w:r>
      <w:r>
        <w:noBreakHyphen/>
      </w:r>
      <w:r w:rsidR="000F36AF" w:rsidRPr="000F36AF">
        <w:t>sourced S</w:t>
      </w:r>
      <w:r>
        <w:t>telara</w:t>
      </w:r>
      <w:r w:rsidR="000F36AF" w:rsidRPr="000F36AF">
        <w:t xml:space="preserve"> in healthy participants.</w:t>
      </w:r>
    </w:p>
    <w:p w14:paraId="384F0CA9" w14:textId="16A63B2A" w:rsidR="000F36AF" w:rsidRPr="000F36AF" w:rsidRDefault="00EA0DC7" w:rsidP="000F36AF">
      <w:r>
        <w:t>Study </w:t>
      </w:r>
      <w:r w:rsidR="000F36AF" w:rsidRPr="000F36AF">
        <w:t>SB17-3001 was a Phase III, randomised, double</w:t>
      </w:r>
      <w:r>
        <w:t xml:space="preserve"> </w:t>
      </w:r>
      <w:r w:rsidR="000F36AF" w:rsidRPr="000F36AF">
        <w:t>blind, multi</w:t>
      </w:r>
      <w:r>
        <w:t>-</w:t>
      </w:r>
      <w:r w:rsidR="000F36AF" w:rsidRPr="000F36AF">
        <w:t>centre clinical study which evaluated the efficacy, safety, tolerability, immunogenicity, and pharmacokinetics of SB17 compared to EU</w:t>
      </w:r>
      <w:r w:rsidR="008E136D">
        <w:noBreakHyphen/>
      </w:r>
      <w:r w:rsidR="000F36AF" w:rsidRPr="000F36AF">
        <w:t>sourced S</w:t>
      </w:r>
      <w:r w:rsidR="008E136D">
        <w:t xml:space="preserve">telara </w:t>
      </w:r>
      <w:r w:rsidR="000F36AF" w:rsidRPr="000F36AF">
        <w:t>in participants with moderate to severe plaque psoriasis.</w:t>
      </w:r>
    </w:p>
    <w:p w14:paraId="4BA58E67" w14:textId="77777777" w:rsidR="000F36AF" w:rsidRPr="00901283" w:rsidRDefault="000F36AF" w:rsidP="000F36AF">
      <w:pPr>
        <w:pStyle w:val="Heading4"/>
        <w:rPr>
          <w:rFonts w:eastAsia="Times New Roman"/>
          <w:b w:val="0"/>
          <w:i/>
          <w:color w:val="7295D2" w:themeColor="accent1" w:themeTint="BF"/>
        </w:rPr>
      </w:pPr>
      <w:bookmarkStart w:id="50" w:name="_Toc225257715"/>
      <w:r w:rsidRPr="00AA53F4">
        <w:t>Pharmacolog</w:t>
      </w:r>
      <w:r>
        <w:t>y</w:t>
      </w:r>
      <w:bookmarkEnd w:id="50"/>
    </w:p>
    <w:p w14:paraId="2954EB8C" w14:textId="692177A1" w:rsidR="000F36AF" w:rsidRDefault="000F36AF" w:rsidP="000F36AF">
      <w:pPr>
        <w:pStyle w:val="Heading5"/>
      </w:pPr>
      <w:r w:rsidRPr="00AA53F4">
        <w:t>Pharmacokinetics</w:t>
      </w:r>
    </w:p>
    <w:p w14:paraId="39DD2371" w14:textId="40CE05BB" w:rsidR="000F36AF" w:rsidRPr="00437A7C" w:rsidRDefault="000F36AF" w:rsidP="00437A7C">
      <w:r w:rsidRPr="00437A7C">
        <w:t xml:space="preserve">In </w:t>
      </w:r>
      <w:r w:rsidR="00B25A86">
        <w:t>Study </w:t>
      </w:r>
      <w:r w:rsidRPr="00437A7C">
        <w:t>SB17-1001</w:t>
      </w:r>
      <w:r w:rsidR="002745DE">
        <w:t>,</w:t>
      </w:r>
      <w:r w:rsidRPr="00437A7C">
        <w:t xml:space="preserve"> 201 healthy volunteers were randomised in a 1:1:1 ratio to receive a single subcutaneous dose of SB17 45</w:t>
      </w:r>
      <w:r w:rsidR="00B25A86">
        <w:t> </w:t>
      </w:r>
      <w:r w:rsidRPr="00437A7C">
        <w:t>mg, EU</w:t>
      </w:r>
      <w:r w:rsidR="00B25A86">
        <w:noBreakHyphen/>
      </w:r>
      <w:r w:rsidRPr="00437A7C">
        <w:t>sourced S</w:t>
      </w:r>
      <w:r w:rsidR="00B25A86">
        <w:t xml:space="preserve">telara </w:t>
      </w:r>
      <w:r w:rsidRPr="00437A7C">
        <w:t>45</w:t>
      </w:r>
      <w:r w:rsidR="00B25A86">
        <w:t> </w:t>
      </w:r>
      <w:r w:rsidRPr="00437A7C">
        <w:t>mg, or US</w:t>
      </w:r>
      <w:r w:rsidR="00B25A86">
        <w:noBreakHyphen/>
      </w:r>
      <w:r w:rsidRPr="00437A7C">
        <w:t>sourced S</w:t>
      </w:r>
      <w:r w:rsidR="00B25A86">
        <w:t>telara</w:t>
      </w:r>
      <w:r w:rsidRPr="00437A7C">
        <w:t xml:space="preserve"> 45</w:t>
      </w:r>
      <w:r w:rsidR="00B25A86">
        <w:t> </w:t>
      </w:r>
      <w:r w:rsidRPr="00437A7C">
        <w:t>mg following an 8 hour fast. Blood for PK analysis was sampled at a range of timepoints from Day</w:t>
      </w:r>
      <w:r w:rsidR="00B25A86">
        <w:t> </w:t>
      </w:r>
      <w:r w:rsidRPr="00437A7C">
        <w:t>1 (0 hours) up to Day</w:t>
      </w:r>
      <w:r w:rsidR="00B25A86">
        <w:t> </w:t>
      </w:r>
      <w:r w:rsidRPr="00437A7C">
        <w:t>99 (2352 hours) post dose.</w:t>
      </w:r>
    </w:p>
    <w:p w14:paraId="73A567C3" w14:textId="4F7335F2" w:rsidR="000F36AF" w:rsidRPr="00437A7C" w:rsidRDefault="000F36AF" w:rsidP="00437A7C">
      <w:r w:rsidRPr="00BE6A85">
        <w:t xml:space="preserve">The primary PK endpoints were </w:t>
      </w:r>
      <w:r w:rsidR="00B5610C" w:rsidRPr="00BE6A85">
        <w:t xml:space="preserve">area under the concentration time curve from 0 to infinity </w:t>
      </w:r>
      <w:r w:rsidR="00B25A86" w:rsidRPr="00BE6A85">
        <w:t>(</w:t>
      </w:r>
      <w:r w:rsidRPr="00BE6A85">
        <w:t>AUC</w:t>
      </w:r>
      <w:r w:rsidR="00B25A86" w:rsidRPr="00BE6A85">
        <w:rPr>
          <w:vertAlign w:val="subscript"/>
        </w:rPr>
        <w:t>0-</w:t>
      </w:r>
      <w:r w:rsidRPr="00BE6A85">
        <w:rPr>
          <w:vertAlign w:val="subscript"/>
        </w:rPr>
        <w:t>inf</w:t>
      </w:r>
      <w:r w:rsidR="00B25A86" w:rsidRPr="00BE6A85">
        <w:t>)</w:t>
      </w:r>
      <w:r w:rsidRPr="00BE6A85">
        <w:rPr>
          <w:vertAlign w:val="subscript"/>
        </w:rPr>
        <w:t xml:space="preserve"> </w:t>
      </w:r>
      <w:r w:rsidRPr="00BE6A85">
        <w:t xml:space="preserve">and </w:t>
      </w:r>
      <w:r w:rsidR="00B5610C" w:rsidRPr="00BE6A85">
        <w:t xml:space="preserve">maximum concentration </w:t>
      </w:r>
      <w:r w:rsidR="00B25A86" w:rsidRPr="00BE6A85">
        <w:t>(</w:t>
      </w:r>
      <w:r w:rsidRPr="00BE6A85">
        <w:t>C</w:t>
      </w:r>
      <w:r w:rsidRPr="00BE6A85">
        <w:rPr>
          <w:vertAlign w:val="subscript"/>
        </w:rPr>
        <w:t>max</w:t>
      </w:r>
      <w:r w:rsidR="00B25A86" w:rsidRPr="00BE6A85">
        <w:t>)</w:t>
      </w:r>
      <w:r w:rsidRPr="00BE6A85">
        <w:t>. The difference in least square means (LSM) and the corresponding 90% confidence intervals (CI) between each of the treatment groups were estimated. The arithmetic mean values for each of the PK parameters for SB17, EU</w:t>
      </w:r>
      <w:r w:rsidR="00261E5B" w:rsidRPr="00BE6A85">
        <w:noBreakHyphen/>
      </w:r>
      <w:r w:rsidRPr="00BE6A85">
        <w:t>sourced S</w:t>
      </w:r>
      <w:r w:rsidR="00261E5B" w:rsidRPr="00BE6A85">
        <w:t>telara</w:t>
      </w:r>
      <w:r w:rsidRPr="00BE6A85">
        <w:t xml:space="preserve"> and US</w:t>
      </w:r>
      <w:r w:rsidR="00261E5B" w:rsidRPr="00BE6A85">
        <w:noBreakHyphen/>
      </w:r>
      <w:r w:rsidRPr="00BE6A85">
        <w:t>sourced S</w:t>
      </w:r>
      <w:r w:rsidR="00261E5B" w:rsidRPr="00BE6A85">
        <w:t>telara</w:t>
      </w:r>
      <w:r w:rsidRPr="00BE6A85">
        <w:t xml:space="preserve"> were generally comparable</w:t>
      </w:r>
      <w:r w:rsidRPr="00437A7C">
        <w:t>. Mean AUC</w:t>
      </w:r>
      <w:r w:rsidR="00261E5B" w:rsidRPr="00261E5B">
        <w:rPr>
          <w:vertAlign w:val="subscript"/>
        </w:rPr>
        <w:t>0-</w:t>
      </w:r>
      <w:r w:rsidRPr="00656CDC">
        <w:rPr>
          <w:vertAlign w:val="subscript"/>
        </w:rPr>
        <w:t>inf</w:t>
      </w:r>
      <w:r w:rsidR="00656CDC">
        <w:t xml:space="preserve"> </w:t>
      </w:r>
      <w:r w:rsidRPr="00656CDC">
        <w:t>values</w:t>
      </w:r>
      <w:r w:rsidRPr="00437A7C">
        <w:t xml:space="preserve"> were 5143600</w:t>
      </w:r>
      <w:r w:rsidR="00656CDC">
        <w:t> </w:t>
      </w:r>
      <w:proofErr w:type="spellStart"/>
      <w:r w:rsidRPr="00437A7C">
        <w:t>ng·h</w:t>
      </w:r>
      <w:proofErr w:type="spellEnd"/>
      <w:r w:rsidRPr="00437A7C">
        <w:t>/mL, 5273000</w:t>
      </w:r>
      <w:r w:rsidR="00656CDC">
        <w:t> </w:t>
      </w:r>
      <w:proofErr w:type="spellStart"/>
      <w:r w:rsidRPr="00437A7C">
        <w:t>ng·h</w:t>
      </w:r>
      <w:proofErr w:type="spellEnd"/>
      <w:r w:rsidRPr="00437A7C">
        <w:t>/mL, and 5116600</w:t>
      </w:r>
      <w:r w:rsidR="00656CDC">
        <w:t> </w:t>
      </w:r>
      <w:proofErr w:type="spellStart"/>
      <w:r w:rsidRPr="00437A7C">
        <w:t>ng·h</w:t>
      </w:r>
      <w:proofErr w:type="spellEnd"/>
      <w:r w:rsidRPr="00437A7C">
        <w:t>/mL for SB17, EU</w:t>
      </w:r>
      <w:r w:rsidR="00656CDC">
        <w:noBreakHyphen/>
      </w:r>
      <w:r w:rsidRPr="00437A7C">
        <w:t>sourced Stelara, and US</w:t>
      </w:r>
      <w:r w:rsidR="00656CDC">
        <w:noBreakHyphen/>
      </w:r>
      <w:r w:rsidRPr="00437A7C">
        <w:t>sourced Stelara, respectively. Mean C</w:t>
      </w:r>
      <w:r w:rsidRPr="00656CDC">
        <w:rPr>
          <w:vertAlign w:val="subscript"/>
        </w:rPr>
        <w:t>max</w:t>
      </w:r>
      <w:r w:rsidRPr="00437A7C">
        <w:t xml:space="preserve"> were 5095</w:t>
      </w:r>
      <w:r w:rsidR="00656CDC">
        <w:t> </w:t>
      </w:r>
      <w:r w:rsidRPr="00437A7C">
        <w:t>ng/mL, 5689</w:t>
      </w:r>
      <w:r w:rsidR="00656CDC">
        <w:t> </w:t>
      </w:r>
      <w:r w:rsidRPr="00437A7C">
        <w:t>ng/mL, and 5420</w:t>
      </w:r>
      <w:r w:rsidR="00656CDC">
        <w:t> </w:t>
      </w:r>
      <w:r w:rsidRPr="00437A7C">
        <w:t>ng/mL for SB17, EU</w:t>
      </w:r>
      <w:r w:rsidR="00656CDC">
        <w:noBreakHyphen/>
      </w:r>
      <w:r w:rsidRPr="00437A7C">
        <w:t>sourced Stelara, and US</w:t>
      </w:r>
      <w:r w:rsidR="00656CDC">
        <w:noBreakHyphen/>
      </w:r>
      <w:r w:rsidRPr="00437A7C">
        <w:t xml:space="preserve">sourced Stelara, respectively. Secondary PK parameters were comparable across all treatment groups. Additionally, </w:t>
      </w:r>
      <w:r w:rsidRPr="00656CDC">
        <w:t>concentration</w:t>
      </w:r>
      <w:r w:rsidRPr="00437A7C">
        <w:t>-time curves for each of the pairwise comparisons were essentially superimposable on both linear and semi-logarithmic scales.</w:t>
      </w:r>
    </w:p>
    <w:p w14:paraId="2B8A8925" w14:textId="5AB0809D" w:rsidR="000F36AF" w:rsidRPr="00437A7C" w:rsidRDefault="000F36AF" w:rsidP="00437A7C">
      <w:r w:rsidRPr="00437A7C">
        <w:t>The geometric LSM ratio (90% CI) for the comparison of SB17 and EU</w:t>
      </w:r>
      <w:r w:rsidR="00FF1BF7">
        <w:noBreakHyphen/>
      </w:r>
      <w:r w:rsidRPr="00437A7C">
        <w:t>sourced S</w:t>
      </w:r>
      <w:r w:rsidR="00FF1BF7">
        <w:t>telara</w:t>
      </w:r>
      <w:r w:rsidRPr="00437A7C">
        <w:t xml:space="preserve"> for AUC</w:t>
      </w:r>
      <w:r w:rsidR="00FF1BF7" w:rsidRPr="00FF1BF7">
        <w:rPr>
          <w:vertAlign w:val="subscript"/>
        </w:rPr>
        <w:t>0</w:t>
      </w:r>
      <w:r w:rsidR="00FF1BF7" w:rsidRPr="00FF1BF7">
        <w:rPr>
          <w:vertAlign w:val="subscript"/>
        </w:rPr>
        <w:noBreakHyphen/>
      </w:r>
      <w:r w:rsidRPr="00FF1BF7">
        <w:rPr>
          <w:vertAlign w:val="subscript"/>
        </w:rPr>
        <w:t>inf</w:t>
      </w:r>
      <w:r w:rsidRPr="00437A7C">
        <w:t xml:space="preserve"> and C</w:t>
      </w:r>
      <w:r w:rsidRPr="00FF1BF7">
        <w:rPr>
          <w:vertAlign w:val="subscript"/>
        </w:rPr>
        <w:t>max</w:t>
      </w:r>
      <w:r w:rsidRPr="00437A7C">
        <w:t xml:space="preserve"> were 0.99 (0.90 to 1.08) and 0.90 (0.82 to 0.98), respectively. As the 90% CI for each of the PK parameters was within the pre-defined equivalence margin of 0.8 to 1.25, this indicated equivalence between the two treatments.</w:t>
      </w:r>
    </w:p>
    <w:p w14:paraId="7CBC1A18" w14:textId="64FAA079" w:rsidR="000F36AF" w:rsidRPr="00437A7C" w:rsidRDefault="000F36AF" w:rsidP="00437A7C">
      <w:r w:rsidRPr="00437A7C">
        <w:t>The geometric LSM ratio (90% CI) for the comparison of SB17 and US</w:t>
      </w:r>
      <w:r w:rsidR="00FF1BF7">
        <w:noBreakHyphen/>
      </w:r>
      <w:r w:rsidRPr="00437A7C">
        <w:t>sourced S</w:t>
      </w:r>
      <w:r w:rsidR="00FF1BF7">
        <w:t xml:space="preserve">telara </w:t>
      </w:r>
      <w:r w:rsidRPr="00437A7C">
        <w:t>in AUC</w:t>
      </w:r>
      <w:r w:rsidR="00FF1BF7" w:rsidRPr="00FF1BF7">
        <w:rPr>
          <w:vertAlign w:val="subscript"/>
        </w:rPr>
        <w:t>0</w:t>
      </w:r>
      <w:r w:rsidR="00FF1BF7" w:rsidRPr="00FF1BF7">
        <w:rPr>
          <w:vertAlign w:val="subscript"/>
        </w:rPr>
        <w:noBreakHyphen/>
      </w:r>
      <w:r w:rsidRPr="00FF1BF7">
        <w:rPr>
          <w:vertAlign w:val="subscript"/>
        </w:rPr>
        <w:t xml:space="preserve">inf </w:t>
      </w:r>
      <w:r w:rsidRPr="00437A7C">
        <w:t>and C</w:t>
      </w:r>
      <w:r w:rsidRPr="002745DE">
        <w:rPr>
          <w:vertAlign w:val="subscript"/>
        </w:rPr>
        <w:t>max</w:t>
      </w:r>
      <w:r w:rsidRPr="00437A7C">
        <w:t xml:space="preserve"> were 1.01 (0.93 to 1.10) and 0.94 (0.86 to 1.04), respectively. As the 90% CI for each of the PK parameters was within the pre-defined equivalence margin of 0.8 to 1.25, this indicated equivalence between the two treatments.</w:t>
      </w:r>
    </w:p>
    <w:p w14:paraId="5741F9C3" w14:textId="29C619A3" w:rsidR="000F36AF" w:rsidRPr="00437A7C" w:rsidRDefault="000F36AF" w:rsidP="00437A7C">
      <w:r w:rsidRPr="00437A7C">
        <w:t xml:space="preserve">In </w:t>
      </w:r>
      <w:r w:rsidR="002745DE">
        <w:t>Study </w:t>
      </w:r>
      <w:r w:rsidRPr="00437A7C">
        <w:t>SB17-3001</w:t>
      </w:r>
      <w:r w:rsidR="002745DE">
        <w:t>,</w:t>
      </w:r>
      <w:r w:rsidRPr="00437A7C">
        <w:t xml:space="preserve"> 503 adults with moderate-severe plaque psoriasis were randomised in a 1:1 ratio to receive either SB17 or EU</w:t>
      </w:r>
      <w:r w:rsidR="00420F0C">
        <w:noBreakHyphen/>
      </w:r>
      <w:r w:rsidRPr="00437A7C">
        <w:t>sourced S</w:t>
      </w:r>
      <w:r w:rsidR="00420F0C">
        <w:t xml:space="preserve">telara </w:t>
      </w:r>
      <w:r w:rsidRPr="00437A7C">
        <w:t xml:space="preserve">(249 participants in the SB17 treatment group and 254 in the </w:t>
      </w:r>
      <w:r w:rsidR="00A12897" w:rsidRPr="00A12897">
        <w:t>EU</w:t>
      </w:r>
      <w:r w:rsidR="00A12897">
        <w:noBreakHyphen/>
      </w:r>
      <w:r w:rsidR="00A12897" w:rsidRPr="00A12897">
        <w:t xml:space="preserve">sourced </w:t>
      </w:r>
      <w:r w:rsidRPr="00437A7C">
        <w:t>S</w:t>
      </w:r>
      <w:r w:rsidR="00420F0C">
        <w:t>telara</w:t>
      </w:r>
      <w:r w:rsidRPr="00437A7C">
        <w:t xml:space="preserve"> treatment group) for 28 weeks before reaching a transition period.</w:t>
      </w:r>
    </w:p>
    <w:p w14:paraId="19178F2D" w14:textId="5347DC81" w:rsidR="000F36AF" w:rsidRPr="00437A7C" w:rsidRDefault="000F36AF" w:rsidP="00437A7C">
      <w:r w:rsidRPr="00437A7C">
        <w:t xml:space="preserve">The evaluation of the PK of SB17 compared to </w:t>
      </w:r>
      <w:r w:rsidR="00132C89" w:rsidRPr="00437A7C">
        <w:t>EU</w:t>
      </w:r>
      <w:r w:rsidR="00132C89">
        <w:noBreakHyphen/>
      </w:r>
      <w:r w:rsidR="00132C89" w:rsidRPr="00437A7C">
        <w:t xml:space="preserve">sourced </w:t>
      </w:r>
      <w:r w:rsidRPr="00437A7C">
        <w:t>S</w:t>
      </w:r>
      <w:r w:rsidR="00A12897">
        <w:t xml:space="preserve">telara </w:t>
      </w:r>
      <w:r w:rsidRPr="00437A7C">
        <w:t xml:space="preserve">in the first 28 weeks was a secondary objective of the study. Serum ustekinumab concentrations for 142 participants (71 in each of the SB17 and </w:t>
      </w:r>
      <w:r w:rsidR="00132C89" w:rsidRPr="00437A7C">
        <w:t>EU</w:t>
      </w:r>
      <w:r w:rsidR="00132C89">
        <w:noBreakHyphen/>
      </w:r>
      <w:r w:rsidR="00132C89" w:rsidRPr="00437A7C">
        <w:t xml:space="preserve">sourced </w:t>
      </w:r>
      <w:r w:rsidRPr="00437A7C">
        <w:t>S</w:t>
      </w:r>
      <w:r w:rsidR="005D1370">
        <w:t>telara</w:t>
      </w:r>
      <w:r w:rsidRPr="00437A7C">
        <w:t xml:space="preserve"> treatment groups) were measured at Week 0, 2, 4, 8, 12, 16, and 28. At </w:t>
      </w:r>
      <w:r w:rsidR="00132C89">
        <w:t>B</w:t>
      </w:r>
      <w:r w:rsidRPr="00437A7C">
        <w:t xml:space="preserve">aseline, (pre-dose) ustekinumab concentrations were below the lower limit of quantitation for all but three participants (one in the SB17 group </w:t>
      </w:r>
      <w:r w:rsidR="00132C89">
        <w:t>(</w:t>
      </w:r>
      <w:r w:rsidRPr="00437A7C">
        <w:t>concentration of 2919.4</w:t>
      </w:r>
      <w:r w:rsidR="00132C89">
        <w:t> </w:t>
      </w:r>
      <w:r w:rsidRPr="00437A7C">
        <w:t>ng/mL</w:t>
      </w:r>
      <w:r w:rsidR="005D1370">
        <w:t>)</w:t>
      </w:r>
      <w:r w:rsidRPr="00437A7C">
        <w:t xml:space="preserve"> and two in the </w:t>
      </w:r>
      <w:r w:rsidR="005D1370" w:rsidRPr="00437A7C">
        <w:t>EU</w:t>
      </w:r>
      <w:r w:rsidR="005D1370">
        <w:noBreakHyphen/>
      </w:r>
      <w:r w:rsidR="005D1370" w:rsidRPr="00437A7C">
        <w:t xml:space="preserve">sourced </w:t>
      </w:r>
      <w:r w:rsidRPr="00437A7C">
        <w:t>S</w:t>
      </w:r>
      <w:r w:rsidR="005D1370">
        <w:t>telara</w:t>
      </w:r>
      <w:r w:rsidRPr="00437A7C">
        <w:t xml:space="preserve"> group </w:t>
      </w:r>
      <w:r w:rsidR="005D1370">
        <w:t>(</w:t>
      </w:r>
      <w:r w:rsidRPr="00437A7C">
        <w:t xml:space="preserve">concentrations of </w:t>
      </w:r>
      <w:r w:rsidRPr="005D1370">
        <w:t>2626</w:t>
      </w:r>
      <w:r w:rsidR="005D1370">
        <w:t> </w:t>
      </w:r>
      <w:r w:rsidRPr="005D1370">
        <w:t>ng</w:t>
      </w:r>
      <w:r w:rsidRPr="00437A7C">
        <w:t>/mL and 158.5</w:t>
      </w:r>
      <w:r w:rsidR="005D1370">
        <w:t> </w:t>
      </w:r>
      <w:r w:rsidRPr="00437A7C">
        <w:t>ng/mL). Although the irregular results were thought to have been caused by contamination, the values were included in the PK analysis.</w:t>
      </w:r>
    </w:p>
    <w:p w14:paraId="37DC62F3" w14:textId="4407D100" w:rsidR="000F36AF" w:rsidRPr="00437A7C" w:rsidRDefault="000F36AF" w:rsidP="00437A7C">
      <w:r w:rsidRPr="00437A7C">
        <w:t xml:space="preserve">Mean serum concentrations of ustekinumab from Week 8 to 28 were generally comparable between the SB17 group and the </w:t>
      </w:r>
      <w:r w:rsidR="00EC3560" w:rsidRPr="00437A7C">
        <w:t>EU</w:t>
      </w:r>
      <w:r w:rsidR="00EC3560">
        <w:noBreakHyphen/>
      </w:r>
      <w:r w:rsidR="00EC3560" w:rsidRPr="00437A7C">
        <w:t xml:space="preserve">sourced </w:t>
      </w:r>
      <w:r w:rsidRPr="00437A7C">
        <w:t>S</w:t>
      </w:r>
      <w:r w:rsidR="00EC3560">
        <w:t>telara</w:t>
      </w:r>
      <w:r w:rsidRPr="00437A7C">
        <w:t xml:space="preserve"> group, but consistently higher in the SB17 </w:t>
      </w:r>
      <w:r w:rsidRPr="00437A7C">
        <w:lastRenderedPageBreak/>
        <w:t xml:space="preserve">group. Subgroup analysis was undertaken on the PK of ustekinumab by visit, treatment group, and </w:t>
      </w:r>
      <w:r w:rsidRPr="00D8165F">
        <w:t>overall anti-drug antibody (ADA) status</w:t>
      </w:r>
      <w:r w:rsidRPr="00437A7C">
        <w:t xml:space="preserve"> up to 28 weeks. At Week 0, the mean serum ustekinumab concentration was above 0 in the SB17, ADA positive subgroup (mean</w:t>
      </w:r>
      <w:r w:rsidR="00B17BB0">
        <w:t> = </w:t>
      </w:r>
      <w:r w:rsidRPr="00437A7C">
        <w:t>364.9</w:t>
      </w:r>
      <w:r w:rsidR="00B43AD6">
        <w:t> </w:t>
      </w:r>
      <w:r w:rsidRPr="00437A7C">
        <w:t xml:space="preserve">ng/mL) and in the </w:t>
      </w:r>
      <w:r w:rsidR="00B43AD6" w:rsidRPr="00437A7C">
        <w:t>EU</w:t>
      </w:r>
      <w:r w:rsidR="00B43AD6">
        <w:noBreakHyphen/>
      </w:r>
      <w:r w:rsidR="00B43AD6" w:rsidRPr="00437A7C">
        <w:t xml:space="preserve">sourced </w:t>
      </w:r>
      <w:r w:rsidRPr="00437A7C">
        <w:t>S</w:t>
      </w:r>
      <w:r w:rsidR="00B43AD6">
        <w:t>telara</w:t>
      </w:r>
      <w:r w:rsidRPr="00437A7C">
        <w:t>, ADA negative subgroup (mean</w:t>
      </w:r>
      <w:r w:rsidR="00B17BB0">
        <w:t> </w:t>
      </w:r>
      <w:r w:rsidRPr="00437A7C">
        <w:t>=</w:t>
      </w:r>
      <w:r w:rsidR="00B17BB0">
        <w:t> </w:t>
      </w:r>
      <w:r w:rsidRPr="00437A7C">
        <w:t>75.3</w:t>
      </w:r>
      <w:r w:rsidR="00B43AD6">
        <w:t> </w:t>
      </w:r>
      <w:r w:rsidRPr="00437A7C">
        <w:t xml:space="preserve">ng/mL). The mean serum ustekinumab concentrations in the SB17, ADA negative subgroup and </w:t>
      </w:r>
      <w:r w:rsidR="00B43AD6" w:rsidRPr="00437A7C">
        <w:t>EU</w:t>
      </w:r>
      <w:r w:rsidR="00B43AD6">
        <w:noBreakHyphen/>
      </w:r>
      <w:r w:rsidR="00B43AD6" w:rsidRPr="00437A7C">
        <w:t xml:space="preserve">sourced </w:t>
      </w:r>
      <w:r w:rsidR="00B43AD6">
        <w:t>Stelara</w:t>
      </w:r>
      <w:r w:rsidRPr="00437A7C">
        <w:t>, ADA positive subgroup were both zero.</w:t>
      </w:r>
    </w:p>
    <w:p w14:paraId="1CCCE78F" w14:textId="00FA8029" w:rsidR="000F36AF" w:rsidRPr="00437A7C" w:rsidRDefault="000F36AF" w:rsidP="00437A7C">
      <w:r w:rsidRPr="00437A7C">
        <w:t xml:space="preserve">The mean ustekinumab concentrations for participants with an overall ADA negative status were comparable in the SB17 and </w:t>
      </w:r>
      <w:r w:rsidR="008D26B7" w:rsidRPr="00437A7C">
        <w:t>EU</w:t>
      </w:r>
      <w:r w:rsidR="008D26B7">
        <w:noBreakHyphen/>
      </w:r>
      <w:r w:rsidR="008D26B7" w:rsidRPr="00437A7C">
        <w:t xml:space="preserve">sourced </w:t>
      </w:r>
      <w:r w:rsidRPr="00437A7C">
        <w:t>S</w:t>
      </w:r>
      <w:r w:rsidR="008D26B7">
        <w:t>telara</w:t>
      </w:r>
      <w:r w:rsidRPr="00437A7C">
        <w:t xml:space="preserve"> groups up to 28 weeks. For ADA positive participants the mean ustekinumab concentrations from </w:t>
      </w:r>
      <w:r w:rsidR="008D26B7">
        <w:t>W</w:t>
      </w:r>
      <w:r w:rsidRPr="00437A7C">
        <w:t xml:space="preserve">eek 8 onwards were generally higher in the SB17 group compared to the </w:t>
      </w:r>
      <w:r w:rsidR="008D26B7" w:rsidRPr="00437A7C">
        <w:t>EU</w:t>
      </w:r>
      <w:r w:rsidR="008D26B7">
        <w:noBreakHyphen/>
      </w:r>
      <w:r w:rsidR="008D26B7" w:rsidRPr="00437A7C">
        <w:t xml:space="preserve">sourced </w:t>
      </w:r>
      <w:r w:rsidRPr="00437A7C">
        <w:t>S</w:t>
      </w:r>
      <w:r w:rsidR="008D26B7">
        <w:t>telara</w:t>
      </w:r>
      <w:r w:rsidRPr="00437A7C">
        <w:t xml:space="preserve"> group.</w:t>
      </w:r>
    </w:p>
    <w:p w14:paraId="7BDC2646" w14:textId="77777777" w:rsidR="000F36AF" w:rsidRDefault="000F36AF" w:rsidP="000F36AF">
      <w:pPr>
        <w:pStyle w:val="Heading4"/>
      </w:pPr>
      <w:bookmarkStart w:id="51" w:name="_Toc225257716"/>
      <w:r w:rsidRPr="00AA53F4">
        <w:t>Efficacy</w:t>
      </w:r>
      <w:bookmarkEnd w:id="51"/>
    </w:p>
    <w:p w14:paraId="47B536A7" w14:textId="0B043657" w:rsidR="000F36AF" w:rsidRPr="00215AAF" w:rsidRDefault="00215AAF" w:rsidP="00215AAF">
      <w:r w:rsidRPr="00215AAF">
        <w:t>Study </w:t>
      </w:r>
      <w:r w:rsidR="000F36AF" w:rsidRPr="00215AAF">
        <w:t>SB17-3001 used a randomised, double-blind, multicentre study design.</w:t>
      </w:r>
    </w:p>
    <w:p w14:paraId="0DFE7BD0" w14:textId="79BF0691" w:rsidR="000F36AF" w:rsidRPr="00215AAF" w:rsidRDefault="000F36AF" w:rsidP="00215AAF">
      <w:r w:rsidRPr="00215AAF">
        <w:t>The primary objective of the study was to demonstrate the equivalence of SB17 to EU</w:t>
      </w:r>
      <w:r w:rsidR="00215AAF">
        <w:noBreakHyphen/>
      </w:r>
      <w:r w:rsidRPr="00215AAF">
        <w:t>sourced S</w:t>
      </w:r>
      <w:r w:rsidR="00215AAF">
        <w:t>telara</w:t>
      </w:r>
      <w:r w:rsidRPr="00215AAF">
        <w:t xml:space="preserve">, in terms of the percent change from </w:t>
      </w:r>
      <w:r w:rsidR="00747872">
        <w:t>B</w:t>
      </w:r>
      <w:r w:rsidRPr="00215AAF">
        <w:t>aseline in Psoriasis Area and S</w:t>
      </w:r>
      <w:r w:rsidRPr="00A35A03">
        <w:t>everity Index (PASI)</w:t>
      </w:r>
      <w:r w:rsidRPr="00215AAF">
        <w:t xml:space="preserve"> at Week 12 in adults with moderate to severe plaque psoriasis. Both investigational products were presented as 45</w:t>
      </w:r>
      <w:r w:rsidR="00747872">
        <w:t> </w:t>
      </w:r>
      <w:r w:rsidRPr="00215AAF">
        <w:t>mg/0.5</w:t>
      </w:r>
      <w:r w:rsidR="00747872">
        <w:t> </w:t>
      </w:r>
      <w:r w:rsidRPr="00215AAF">
        <w:t>mL solution of ustekinumab in a PFS and administered as a subcutaneous injection. Several secondary objectives, including pharmacokinetic and immunogenicity outcomes, were also identified. Inclusion and exclusion criteria were appropriate and applied equally to both treatment groups.</w:t>
      </w:r>
    </w:p>
    <w:p w14:paraId="76E0978D" w14:textId="67FD3948" w:rsidR="000F36AF" w:rsidRPr="00215AAF" w:rsidRDefault="00876F10" w:rsidP="00215AAF">
      <w:r>
        <w:t xml:space="preserve">A dose of </w:t>
      </w:r>
      <w:r w:rsidR="000F36AF" w:rsidRPr="00215AAF">
        <w:t>45</w:t>
      </w:r>
      <w:r>
        <w:t> </w:t>
      </w:r>
      <w:r w:rsidR="000F36AF" w:rsidRPr="00215AAF">
        <w:t xml:space="preserve">mg of SB17 or </w:t>
      </w:r>
      <w:r w:rsidR="008B35EA">
        <w:t>E</w:t>
      </w:r>
      <w:r w:rsidR="007451A1">
        <w:t>U</w:t>
      </w:r>
      <w:r w:rsidR="008B35EA">
        <w:noBreakHyphen/>
        <w:t xml:space="preserve">sourced </w:t>
      </w:r>
      <w:r w:rsidR="000F36AF" w:rsidRPr="00215AAF">
        <w:t>S</w:t>
      </w:r>
      <w:r w:rsidR="008B35EA">
        <w:t>telara</w:t>
      </w:r>
      <w:r w:rsidR="000F36AF" w:rsidRPr="00215AAF">
        <w:t xml:space="preserve"> were administered at Week 0, 4, and then every 12 weeks up to Week 40. Participants who exceeded 100</w:t>
      </w:r>
      <w:r w:rsidR="008B35EA">
        <w:t> </w:t>
      </w:r>
      <w:r w:rsidR="000F36AF" w:rsidRPr="00215AAF">
        <w:t>kg body weight during the study were given a 90</w:t>
      </w:r>
      <w:r w:rsidR="008B35EA">
        <w:t> </w:t>
      </w:r>
      <w:r w:rsidR="000F36AF" w:rsidRPr="00215AAF">
        <w:t>mg dose in subsequent visits. At Week 28 of the study, participants who achieved a PASI50 response were considered eligible to enter the transition period. In the transition period, participants who received</w:t>
      </w:r>
      <w:r w:rsidR="007451A1">
        <w:t xml:space="preserve"> EU</w:t>
      </w:r>
      <w:r w:rsidR="007451A1">
        <w:noBreakHyphen/>
        <w:t>sourced</w:t>
      </w:r>
      <w:r w:rsidR="000F36AF" w:rsidRPr="00215AAF">
        <w:t xml:space="preserve"> S</w:t>
      </w:r>
      <w:r w:rsidR="007451A1">
        <w:t>telara</w:t>
      </w:r>
      <w:r w:rsidR="000F36AF" w:rsidRPr="00215AAF">
        <w:t xml:space="preserve"> were re-randomised in a 1:1 ratio to continue </w:t>
      </w:r>
      <w:r w:rsidR="007451A1">
        <w:t>EU</w:t>
      </w:r>
      <w:r w:rsidR="007451A1">
        <w:noBreakHyphen/>
        <w:t xml:space="preserve">sourced </w:t>
      </w:r>
      <w:r w:rsidR="000F36AF" w:rsidRPr="00215AAF">
        <w:t>S</w:t>
      </w:r>
      <w:r w:rsidR="007451A1">
        <w:t>telara</w:t>
      </w:r>
      <w:r w:rsidR="000F36AF" w:rsidRPr="00215AAF">
        <w:t xml:space="preserve"> or to switch to SB17 until Week 40. Participants who were already on SB17 continued to receive SB17 until Week 40.</w:t>
      </w:r>
    </w:p>
    <w:p w14:paraId="2122F6E2" w14:textId="3A4D8E1E" w:rsidR="000F36AF" w:rsidRPr="00215AAF" w:rsidRDefault="000F36AF" w:rsidP="00215AAF">
      <w:r w:rsidRPr="00611498">
        <w:t xml:space="preserve">The primary efficacy endpoint was the percent change from </w:t>
      </w:r>
      <w:r w:rsidR="007451A1" w:rsidRPr="00611498">
        <w:t>B</w:t>
      </w:r>
      <w:r w:rsidRPr="00611498">
        <w:t xml:space="preserve">aseline in PASI at Week 12. Primary efficacy analysis was undertaken on the per-protocol </w:t>
      </w:r>
      <w:r w:rsidR="00506BBC" w:rsidRPr="00611498">
        <w:t>set</w:t>
      </w:r>
      <w:r w:rsidRPr="00611498">
        <w:t xml:space="preserve"> (PPS) using Analysis of Covariance (ANCOVA) with</w:t>
      </w:r>
      <w:r w:rsidRPr="00215AAF">
        <w:t xml:space="preserve"> the baseline value of PASI as a covariate and pooled centres (countries) and treatment group as factors.</w:t>
      </w:r>
    </w:p>
    <w:p w14:paraId="5565FCEA" w14:textId="3DBC46C1" w:rsidR="000F36AF" w:rsidRPr="00215AAF" w:rsidRDefault="000F36AF" w:rsidP="00215AAF">
      <w:r w:rsidRPr="00215AAF">
        <w:t xml:space="preserve">Of the randomised participants, a total of 481 (95.6%) participants completed 28 weeks of the </w:t>
      </w:r>
      <w:r w:rsidR="0055576B" w:rsidRPr="00215AAF">
        <w:t>study,</w:t>
      </w:r>
      <w:r w:rsidRPr="00215AAF">
        <w:t xml:space="preserve"> and 466 (96.9%) participants completed 52 weeks of the study. Ten participants (five participants in each of the treatment arms) had major protocol deviations that resulted in exclusion from the PPS for analysis. The reasons for exclusion were comparable between both treatment arms. The demographic characteristics were generally comparable across the different treatment groups. Mean age was 44.2 years (</w:t>
      </w:r>
      <w:r w:rsidR="00DD169E">
        <w:t>standard devi</w:t>
      </w:r>
      <w:r w:rsidR="00DD169E" w:rsidRPr="007050D3">
        <w:t>ation (</w:t>
      </w:r>
      <w:r w:rsidRPr="007050D3">
        <w:t>SD</w:t>
      </w:r>
      <w:r w:rsidR="00DD169E" w:rsidRPr="007050D3">
        <w:t>)</w:t>
      </w:r>
      <w:r w:rsidRPr="007050D3">
        <w:t>, 12</w:t>
      </w:r>
      <w:r w:rsidRPr="00215AAF">
        <w:t>.8) with more than half of the participants being male (312</w:t>
      </w:r>
      <w:r w:rsidR="00DD169E">
        <w:t xml:space="preserve"> out of </w:t>
      </w:r>
      <w:r w:rsidRPr="00215AAF">
        <w:t>503, 62.0%). The mean weight was 80.3</w:t>
      </w:r>
      <w:r w:rsidR="00DD169E">
        <w:t> </w:t>
      </w:r>
      <w:r w:rsidRPr="00215AAF">
        <w:t>kg (SD, 11.9</w:t>
      </w:r>
      <w:r w:rsidR="00DD169E">
        <w:t> </w:t>
      </w:r>
      <w:r w:rsidRPr="00215AAF">
        <w:t>kg). Participants were predominately from Central-Eastern Europe, with most participants coming from Poland (243</w:t>
      </w:r>
      <w:r w:rsidR="0095111C">
        <w:t xml:space="preserve"> out of </w:t>
      </w:r>
      <w:r w:rsidRPr="00215AAF">
        <w:t>503, 48.3%), Ukraine (146</w:t>
      </w:r>
      <w:r w:rsidR="0095111C">
        <w:t xml:space="preserve"> out of </w:t>
      </w:r>
      <w:r w:rsidRPr="00215AAF">
        <w:t>503, 29.0%), and the Czech Republic (51</w:t>
      </w:r>
      <w:r w:rsidR="0095111C">
        <w:t xml:space="preserve"> out of </w:t>
      </w:r>
      <w:r w:rsidRPr="00215AAF">
        <w:t>503, 10.1%). The baseline disease characteristics were also generally comparable across the different treatment groups. The mean (SD) PASI score at baseline was 22.29 (7.7), mean total psoriasis</w:t>
      </w:r>
      <w:r w:rsidR="00583C79">
        <w:t xml:space="preserve"> body surface area</w:t>
      </w:r>
      <w:r w:rsidRPr="00215AAF">
        <w:t xml:space="preserve"> involvement was 26.98 (13.6%) and the mean duration of psoriasis was 15.59 years. Almost all participants had used prior psoriasis topical treatment (466</w:t>
      </w:r>
      <w:r w:rsidR="00583C79">
        <w:t xml:space="preserve"> out of </w:t>
      </w:r>
      <w:r w:rsidRPr="00215AAF">
        <w:t>503, 92.6%), whilst there was a more balanced proportion of participants who had used prior conventional systemic treatment for psoriasis (250</w:t>
      </w:r>
      <w:r w:rsidR="00583C79">
        <w:t xml:space="preserve"> out of </w:t>
      </w:r>
      <w:r w:rsidRPr="00215AAF">
        <w:t>503, 49.7%) or who had used prior phototherapy (242</w:t>
      </w:r>
      <w:r w:rsidR="00583C79">
        <w:t xml:space="preserve"> out of </w:t>
      </w:r>
      <w:r w:rsidRPr="00215AAF">
        <w:t>503, 48.1%). A small proportion of participants reported use of prior biologic treatment (36</w:t>
      </w:r>
      <w:r w:rsidR="005F55C8">
        <w:t xml:space="preserve"> out of </w:t>
      </w:r>
      <w:r w:rsidRPr="00215AAF">
        <w:t xml:space="preserve">503, 7.2%). </w:t>
      </w:r>
      <w:r w:rsidRPr="00215AAF">
        <w:lastRenderedPageBreak/>
        <w:t xml:space="preserve">Clobetasol propionate was the most common reported prior medication by preferred term (SB17: 109 </w:t>
      </w:r>
      <w:r w:rsidR="005F55C8">
        <w:t>(</w:t>
      </w:r>
      <w:r w:rsidRPr="00215AAF">
        <w:t>43.8%</w:t>
      </w:r>
      <w:r w:rsidR="005F55C8">
        <w:t xml:space="preserve">) </w:t>
      </w:r>
      <w:r w:rsidRPr="00215AAF">
        <w:t xml:space="preserve">participants and </w:t>
      </w:r>
      <w:r w:rsidR="005F55C8">
        <w:t>EU</w:t>
      </w:r>
      <w:r w:rsidR="005F55C8">
        <w:noBreakHyphen/>
        <w:t xml:space="preserve">sourced </w:t>
      </w:r>
      <w:r w:rsidRPr="00215AAF">
        <w:t>S</w:t>
      </w:r>
      <w:r w:rsidR="005F55C8">
        <w:t>telara</w:t>
      </w:r>
      <w:r w:rsidRPr="00215AAF">
        <w:t xml:space="preserve"> </w:t>
      </w:r>
      <w:r w:rsidR="0016393B">
        <w:t>o</w:t>
      </w:r>
      <w:r w:rsidRPr="00215AAF">
        <w:t xml:space="preserve">verall: 109 </w:t>
      </w:r>
      <w:r w:rsidR="0016393B">
        <w:t>(</w:t>
      </w:r>
      <w:r w:rsidRPr="00215AAF">
        <w:t>42.9%</w:t>
      </w:r>
      <w:r w:rsidR="0016393B">
        <w:t>)</w:t>
      </w:r>
      <w:r w:rsidRPr="00215AAF">
        <w:t xml:space="preserve"> participants).</w:t>
      </w:r>
    </w:p>
    <w:p w14:paraId="44A47B6B" w14:textId="6D0DDF74" w:rsidR="000F36AF" w:rsidRPr="00215AAF" w:rsidRDefault="000F36AF" w:rsidP="00215AAF">
      <w:r w:rsidRPr="00215AAF">
        <w:t>Equivalence between SB17 and</w:t>
      </w:r>
      <w:r w:rsidR="0016393B">
        <w:t xml:space="preserve"> EU</w:t>
      </w:r>
      <w:r w:rsidR="0016393B">
        <w:noBreakHyphen/>
        <w:t>sourced</w:t>
      </w:r>
      <w:r w:rsidRPr="00215AAF">
        <w:t xml:space="preserve"> S</w:t>
      </w:r>
      <w:r w:rsidR="0016393B">
        <w:t>telara</w:t>
      </w:r>
      <w:r w:rsidRPr="00215AAF">
        <w:t xml:space="preserve"> was established. The results were supported by pre-specified secondary outcomes, sensitivity analyses, and subgroup analyses.</w:t>
      </w:r>
    </w:p>
    <w:p w14:paraId="751F8C9D" w14:textId="593C8180" w:rsidR="000F36AF" w:rsidRDefault="0016393B" w:rsidP="00EB0E72">
      <w:pPr>
        <w:pStyle w:val="TableTitle"/>
      </w:pPr>
      <w:r>
        <w:t xml:space="preserve">Table </w:t>
      </w:r>
      <w:r w:rsidR="00B23C4A">
        <w:fldChar w:fldCharType="begin"/>
      </w:r>
      <w:r w:rsidR="00B23C4A">
        <w:instrText xml:space="preserve"> SEQ Table \* ARABIC </w:instrText>
      </w:r>
      <w:r w:rsidR="00B23C4A">
        <w:fldChar w:fldCharType="separate"/>
      </w:r>
      <w:r w:rsidR="004B33FE">
        <w:rPr>
          <w:noProof/>
        </w:rPr>
        <w:t>2</w:t>
      </w:r>
      <w:r w:rsidR="00B23C4A">
        <w:rPr>
          <w:noProof/>
        </w:rPr>
        <w:fldChar w:fldCharType="end"/>
      </w:r>
      <w:r>
        <w:t xml:space="preserve">: Study SB17-3001, </w:t>
      </w:r>
      <w:r w:rsidR="00EB0E72">
        <w:t>p</w:t>
      </w:r>
      <w:r w:rsidR="000F36AF">
        <w:t>rimary efficacy analysis of percent change from baseline in PASI at Week 12</w:t>
      </w:r>
      <w:r w:rsidR="00EB0E72">
        <w:t xml:space="preserve">, </w:t>
      </w:r>
      <w:r>
        <w:t>per-protocol set</w:t>
      </w:r>
    </w:p>
    <w:p w14:paraId="56624D95" w14:textId="44CBF04C" w:rsidR="000F36AF" w:rsidRDefault="002A1F3B" w:rsidP="000F36AF">
      <w:pPr>
        <w:rPr>
          <w:lang w:eastAsia="ja-JP"/>
        </w:rPr>
      </w:pPr>
      <w:r>
        <w:rPr>
          <w:noProof/>
          <w:lang w:eastAsia="ja-JP"/>
        </w:rPr>
        <w:drawing>
          <wp:inline distT="0" distB="0" distL="0" distR="0" wp14:anchorId="064D6F73" wp14:editId="48627568">
            <wp:extent cx="5730875" cy="1743710"/>
            <wp:effectExtent l="0" t="0" r="3175" b="8890"/>
            <wp:docPr id="528188564" name="Picture 2" descr="Table 2: Study SB17-3001, primary efficacy analysis of percent change from baseline in PASI at Week 12, per-protocol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88564" name="Picture 2" descr="Table 2: Study SB17-3001, primary efficacy analysis of percent change from baseline in PASI at Week 12, per-protocol se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0875" cy="1743710"/>
                    </a:xfrm>
                    <a:prstGeom prst="rect">
                      <a:avLst/>
                    </a:prstGeom>
                    <a:noFill/>
                  </pic:spPr>
                </pic:pic>
              </a:graphicData>
            </a:graphic>
          </wp:inline>
        </w:drawing>
      </w:r>
    </w:p>
    <w:p w14:paraId="2E4E1CFA" w14:textId="6DB4A655" w:rsidR="000F36AF" w:rsidRDefault="00E31371" w:rsidP="00E31371">
      <w:pPr>
        <w:pStyle w:val="TableTitle"/>
      </w:pPr>
      <w:r>
        <w:t xml:space="preserve">Table </w:t>
      </w:r>
      <w:r w:rsidR="00B23C4A">
        <w:fldChar w:fldCharType="begin"/>
      </w:r>
      <w:r w:rsidR="00B23C4A">
        <w:instrText xml:space="preserve"> SEQ Table \* ARABIC </w:instrText>
      </w:r>
      <w:r w:rsidR="00B23C4A">
        <w:fldChar w:fldCharType="separate"/>
      </w:r>
      <w:r w:rsidR="004B33FE">
        <w:rPr>
          <w:noProof/>
        </w:rPr>
        <w:t>3</w:t>
      </w:r>
      <w:r w:rsidR="00B23C4A">
        <w:rPr>
          <w:noProof/>
        </w:rPr>
        <w:fldChar w:fldCharType="end"/>
      </w:r>
      <w:r>
        <w:t xml:space="preserve">: </w:t>
      </w:r>
      <w:r w:rsidRPr="00660A2D">
        <w:t>Study SB17-3001</w:t>
      </w:r>
      <w:r>
        <w:t>, p</w:t>
      </w:r>
      <w:r w:rsidR="000F36AF" w:rsidRPr="00660A2D">
        <w:t>rimary efficacy analysis of percent change from baseline in PASI at Week 12</w:t>
      </w:r>
      <w:r>
        <w:t>, full analysis set</w:t>
      </w:r>
    </w:p>
    <w:p w14:paraId="3CF1A645" w14:textId="524FFC7E" w:rsidR="002A1F3B" w:rsidRPr="00E31371" w:rsidRDefault="002A1F3B" w:rsidP="001D6705">
      <w:pPr>
        <w:rPr>
          <w:lang w:eastAsia="ja-JP"/>
        </w:rPr>
      </w:pPr>
      <w:r>
        <w:rPr>
          <w:noProof/>
          <w:lang w:eastAsia="ja-JP"/>
        </w:rPr>
        <w:drawing>
          <wp:inline distT="0" distB="0" distL="0" distR="0" wp14:anchorId="358AF146" wp14:editId="41375421">
            <wp:extent cx="5730875" cy="1749425"/>
            <wp:effectExtent l="0" t="0" r="3175" b="3175"/>
            <wp:docPr id="507616664" name="Picture 1" descr="Table 3: Study SB17-3001, primary efficacy analysis of percent change from baseline in PASI at Week 12,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16664" name="Picture 1" descr="Table 3: Study SB17-3001, primary efficacy analysis of percent change from baseline in PASI at Week 12, full analysis se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0875" cy="1749425"/>
                    </a:xfrm>
                    <a:prstGeom prst="rect">
                      <a:avLst/>
                    </a:prstGeom>
                    <a:noFill/>
                  </pic:spPr>
                </pic:pic>
              </a:graphicData>
            </a:graphic>
          </wp:inline>
        </w:drawing>
      </w:r>
    </w:p>
    <w:p w14:paraId="05BA5D45" w14:textId="42AF4900" w:rsidR="000F36AF" w:rsidRPr="002A1F3B" w:rsidRDefault="000F36AF" w:rsidP="002A1F3B">
      <w:r w:rsidRPr="002A1F3B">
        <w:t>The immunogenicity of SB17 appeared to be lower (</w:t>
      </w:r>
      <w:r w:rsidR="002A1F3B">
        <w:t xml:space="preserve">that is, </w:t>
      </w:r>
      <w:r w:rsidRPr="002A1F3B">
        <w:t xml:space="preserve">lower ADA) compared to </w:t>
      </w:r>
      <w:r w:rsidR="002A1F3B">
        <w:t>EU</w:t>
      </w:r>
      <w:r w:rsidR="002A1F3B">
        <w:noBreakHyphen/>
        <w:t xml:space="preserve">sourced </w:t>
      </w:r>
      <w:r w:rsidRPr="002A1F3B">
        <w:t>S</w:t>
      </w:r>
      <w:r w:rsidR="002A1F3B">
        <w:t xml:space="preserve">telara </w:t>
      </w:r>
      <w:r w:rsidRPr="002A1F3B">
        <w:t xml:space="preserve">overall and at each timepoint up to Week 52. However, in subgroup analysis of the primary efficacy endpoint by overall ADA status up to Week 52, there was no significant or clinically meaningful difference in efficacy between SB17 and </w:t>
      </w:r>
      <w:r w:rsidR="002A1F3B">
        <w:t>EU</w:t>
      </w:r>
      <w:r w:rsidR="00E062E6">
        <w:noBreakHyphen/>
        <w:t xml:space="preserve">sourced </w:t>
      </w:r>
      <w:r w:rsidRPr="002A1F3B">
        <w:t>S</w:t>
      </w:r>
      <w:r w:rsidR="00E062E6">
        <w:t>telara</w:t>
      </w:r>
      <w:r w:rsidRPr="002A1F3B">
        <w:t xml:space="preserve"> for both ADA positive and negative subgroups, with the LSM difference and corresponding 95% CIs falling entirely within pre-defined equivalence margins.</w:t>
      </w:r>
    </w:p>
    <w:p w14:paraId="5998C741" w14:textId="482F2B7A" w:rsidR="000F36AF" w:rsidRPr="002A1F3B" w:rsidRDefault="000F36AF" w:rsidP="002A1F3B">
      <w:r w:rsidRPr="002A1F3B">
        <w:t>The overall conclusion is that despite small differences in measurable concentrations of ustekinumab in patients treated with SB17 and</w:t>
      </w:r>
      <w:r w:rsidR="00E062E6">
        <w:t xml:space="preserve"> EU</w:t>
      </w:r>
      <w:r w:rsidR="00E062E6">
        <w:noBreakHyphen/>
        <w:t>sourced</w:t>
      </w:r>
      <w:r w:rsidRPr="002A1F3B">
        <w:t xml:space="preserve"> S</w:t>
      </w:r>
      <w:r w:rsidR="00E062E6">
        <w:t>telara</w:t>
      </w:r>
      <w:r w:rsidRPr="002A1F3B">
        <w:t>, equivalent efficacy was demonstrated.</w:t>
      </w:r>
    </w:p>
    <w:p w14:paraId="5520E260" w14:textId="77777777" w:rsidR="000F36AF" w:rsidRDefault="000F36AF" w:rsidP="000F36AF">
      <w:pPr>
        <w:pStyle w:val="Heading4"/>
      </w:pPr>
      <w:bookmarkStart w:id="52" w:name="_Toc225257717"/>
      <w:r w:rsidRPr="00AA53F4">
        <w:t>Safety</w:t>
      </w:r>
      <w:bookmarkEnd w:id="52"/>
    </w:p>
    <w:p w14:paraId="1C963E36" w14:textId="77777777" w:rsidR="001D6705" w:rsidRDefault="000F36AF" w:rsidP="00765CAB">
      <w:r w:rsidRPr="00765CAB">
        <w:t>The safety data for this application arise only from the two clinical studies. In Study SB17-1001, 67 (33.3%) healthy participants were exposed to a single 45</w:t>
      </w:r>
      <w:r w:rsidR="006E7A50">
        <w:t> </w:t>
      </w:r>
      <w:r w:rsidRPr="00765CAB">
        <w:t>mg dose of SB17, administered subcutaneously. The remaining study population (n</w:t>
      </w:r>
      <w:r w:rsidR="006E7A50">
        <w:t> </w:t>
      </w:r>
      <w:r w:rsidRPr="00765CAB">
        <w:t>=</w:t>
      </w:r>
      <w:r w:rsidR="006E7A50">
        <w:t> </w:t>
      </w:r>
      <w:r w:rsidRPr="00765CAB">
        <w:t>138) was exposed to single doses of either EU</w:t>
      </w:r>
      <w:r w:rsidR="006E7A50">
        <w:t>-</w:t>
      </w:r>
      <w:r w:rsidRPr="00765CAB">
        <w:t>sourced S</w:t>
      </w:r>
      <w:r w:rsidR="006E7A50">
        <w:t>telara</w:t>
      </w:r>
      <w:r w:rsidRPr="00765CAB">
        <w:t xml:space="preserve"> or US</w:t>
      </w:r>
      <w:r w:rsidR="006E7A50">
        <w:noBreakHyphen/>
      </w:r>
      <w:r w:rsidRPr="00765CAB">
        <w:t>sourced S</w:t>
      </w:r>
      <w:r w:rsidR="006E7A50">
        <w:t>telara</w:t>
      </w:r>
      <w:r w:rsidRPr="00765CAB">
        <w:t>. Reports of any adverse events were common in all three groups (ranging from 109 reports from 46 patients in the SB17 group to 80 reports from 39 patients in the EU-</w:t>
      </w:r>
      <w:r w:rsidR="009E6160">
        <w:t xml:space="preserve">sourced </w:t>
      </w:r>
      <w:r w:rsidRPr="00765CAB">
        <w:t>S</w:t>
      </w:r>
      <w:r w:rsidR="009E6160">
        <w:t>telara</w:t>
      </w:r>
      <w:r w:rsidRPr="00765CAB">
        <w:t xml:space="preserve"> group), most were not considered treatment related. In the SB17 group 46.3% (31</w:t>
      </w:r>
      <w:r w:rsidR="009E6160">
        <w:t xml:space="preserve"> out of </w:t>
      </w:r>
      <w:r w:rsidRPr="00765CAB">
        <w:t xml:space="preserve">67) were considered to have experienced moderate severity </w:t>
      </w:r>
      <w:r w:rsidR="002976DF">
        <w:t>adverse events</w:t>
      </w:r>
      <w:r w:rsidRPr="00765CAB">
        <w:t>, compared to 37.3% (25</w:t>
      </w:r>
      <w:r w:rsidR="002976DF">
        <w:t xml:space="preserve"> out of </w:t>
      </w:r>
      <w:r w:rsidRPr="00765CAB">
        <w:t>67) in the EU-</w:t>
      </w:r>
      <w:r w:rsidR="002976DF">
        <w:t xml:space="preserve">sourced </w:t>
      </w:r>
      <w:r w:rsidRPr="00765CAB">
        <w:t>S</w:t>
      </w:r>
      <w:r w:rsidR="002976DF">
        <w:t>telara</w:t>
      </w:r>
      <w:r w:rsidRPr="00765CAB">
        <w:t xml:space="preserve"> group and 22.4% (15</w:t>
      </w:r>
      <w:r w:rsidR="002976DF">
        <w:t xml:space="preserve"> out of </w:t>
      </w:r>
      <w:r w:rsidRPr="00765CAB">
        <w:t>67) in the US-</w:t>
      </w:r>
      <w:r w:rsidR="002976DF">
        <w:t xml:space="preserve">sourced </w:t>
      </w:r>
      <w:r w:rsidRPr="00765CAB">
        <w:t>S</w:t>
      </w:r>
      <w:r w:rsidR="002976DF">
        <w:t>telara</w:t>
      </w:r>
      <w:r w:rsidRPr="00765CAB">
        <w:t xml:space="preserve"> group. </w:t>
      </w:r>
    </w:p>
    <w:p w14:paraId="69996DF1" w14:textId="44A8D8E9" w:rsidR="000F36AF" w:rsidRPr="00765CAB" w:rsidRDefault="000F36AF" w:rsidP="00765CAB">
      <w:r w:rsidRPr="00765CAB">
        <w:lastRenderedPageBreak/>
        <w:t xml:space="preserve">There were no deaths, severe </w:t>
      </w:r>
      <w:r w:rsidR="002976DF">
        <w:t>treatment</w:t>
      </w:r>
      <w:r w:rsidR="001900E2">
        <w:noBreakHyphen/>
      </w:r>
      <w:r w:rsidR="002976DF">
        <w:t>emerg</w:t>
      </w:r>
      <w:r w:rsidR="002976DF" w:rsidRPr="002566C1">
        <w:t xml:space="preserve">ent adverse events </w:t>
      </w:r>
      <w:r w:rsidR="001900E2" w:rsidRPr="002566C1">
        <w:t>(</w:t>
      </w:r>
      <w:r w:rsidRPr="002566C1">
        <w:t>TEAE</w:t>
      </w:r>
      <w:r w:rsidR="001900E2" w:rsidRPr="002566C1">
        <w:t>)</w:t>
      </w:r>
      <w:r w:rsidRPr="002566C1">
        <w:t xml:space="preserve"> or</w:t>
      </w:r>
      <w:r w:rsidRPr="00765CAB">
        <w:t xml:space="preserve"> serious TEAE reported in any group. Almost all discontinuations were associated with COVID-19 diagnoses (discontinuations per protocol). When grouped by preferred term, the most frequent TEAEs were headache (46 events total in 36 participants), nasopharyngitis (27 events total in 25 participants) and COVID-19 (14 events total in 14 participants). This reflects the known adverse event profile of ustekinumab.</w:t>
      </w:r>
    </w:p>
    <w:p w14:paraId="3E1B9410" w14:textId="473375C1" w:rsidR="000F36AF" w:rsidRPr="00765CAB" w:rsidRDefault="000F36AF" w:rsidP="00765CAB">
      <w:r w:rsidRPr="00765CAB">
        <w:t>In Study</w:t>
      </w:r>
      <w:r w:rsidR="00EF38C1">
        <w:t> </w:t>
      </w:r>
      <w:r w:rsidRPr="00765CAB">
        <w:t xml:space="preserve">SB17-3001, 249 (49.5%) participants received approximately five subcutaneous injections of SB17 during the duration of the study. A further 122 participants initially treated with </w:t>
      </w:r>
      <w:r w:rsidR="00EF38C1">
        <w:t xml:space="preserve">EU-sourced </w:t>
      </w:r>
      <w:r w:rsidRPr="00765CAB">
        <w:t>S</w:t>
      </w:r>
      <w:r w:rsidR="00EF38C1">
        <w:t>telara</w:t>
      </w:r>
      <w:r w:rsidRPr="00765CAB">
        <w:t xml:space="preserve"> for 28 weeks were re-randomi</w:t>
      </w:r>
      <w:r w:rsidR="005B43E9">
        <w:t>s</w:t>
      </w:r>
      <w:r w:rsidRPr="00765CAB">
        <w:t xml:space="preserve">ed to receive five subcutaneous injections of SB17 up until the end of the study. Total exposure to ustekinumab (SB17 or </w:t>
      </w:r>
      <w:r w:rsidR="005B43E9">
        <w:t>EU</w:t>
      </w:r>
      <w:r w:rsidR="005B43E9">
        <w:noBreakHyphen/>
        <w:t xml:space="preserve">sourced </w:t>
      </w:r>
      <w:r w:rsidRPr="00765CAB">
        <w:t>S</w:t>
      </w:r>
      <w:r w:rsidR="005B43E9">
        <w:t>telara</w:t>
      </w:r>
      <w:r w:rsidRPr="00765CAB">
        <w:t>) was comparable in both treatment groups.</w:t>
      </w:r>
    </w:p>
    <w:p w14:paraId="430BF7AA" w14:textId="7101DA3A" w:rsidR="000F36AF" w:rsidRPr="00765CAB" w:rsidRDefault="000F36AF" w:rsidP="00765CAB">
      <w:r w:rsidRPr="00765CAB">
        <w:t>While adverse events during the main treatment period (0</w:t>
      </w:r>
      <w:r w:rsidR="005B43E9">
        <w:t xml:space="preserve"> to </w:t>
      </w:r>
      <w:r w:rsidRPr="00765CAB">
        <w:t xml:space="preserve">28 weeks) were reported by around half of all participants in this study, reports were similar for each of the three treatment groups. Most were mild or moderate and considered unrelated to study treatment. Infections were the most frequently reported </w:t>
      </w:r>
      <w:r w:rsidR="007B4060">
        <w:t xml:space="preserve">TEAEs </w:t>
      </w:r>
      <w:r w:rsidRPr="00765CAB">
        <w:t>(28.1</w:t>
      </w:r>
      <w:r w:rsidR="007B4060">
        <w:t xml:space="preserve"> to </w:t>
      </w:r>
      <w:r w:rsidRPr="00765CAB">
        <w:t>29.5% of reports). This pattern was also reflected in the summary of adverse events in the transition period and in the overall study period (0</w:t>
      </w:r>
      <w:r w:rsidR="00F51D19">
        <w:t xml:space="preserve"> to </w:t>
      </w:r>
      <w:r w:rsidRPr="00765CAB">
        <w:t>52 weeks). There were no deaths reported during the trial period, and reports of serious adverse events were low, none were considered related to investigational product.</w:t>
      </w:r>
    </w:p>
    <w:p w14:paraId="3D290408" w14:textId="6206A443" w:rsidR="000F36AF" w:rsidRPr="00765CAB" w:rsidRDefault="000F36AF" w:rsidP="00765CAB">
      <w:r w:rsidRPr="00765CAB">
        <w:t xml:space="preserve">During the overall study period, there were a total of 13 participants (2.6%) who reported 14 treatment-emergent </w:t>
      </w:r>
      <w:r w:rsidR="00F51D19">
        <w:t>serious adverse even</w:t>
      </w:r>
      <w:r w:rsidR="00F51D19" w:rsidRPr="00873959">
        <w:t>ts (</w:t>
      </w:r>
      <w:r w:rsidRPr="00873959">
        <w:t>SAEs</w:t>
      </w:r>
      <w:r w:rsidR="00F51D19" w:rsidRPr="00873959">
        <w:t>)</w:t>
      </w:r>
      <w:r w:rsidRPr="00873959">
        <w:t>. This</w:t>
      </w:r>
      <w:r w:rsidRPr="00765CAB">
        <w:t xml:space="preserve"> comprised 7 (2.8%) participants in the SB17 and 6 (2.4%) participants in the </w:t>
      </w:r>
      <w:r w:rsidR="0092286B">
        <w:t xml:space="preserve">EU-sourced </w:t>
      </w:r>
      <w:r w:rsidRPr="00765CAB">
        <w:t xml:space="preserve">Stelara </w:t>
      </w:r>
      <w:r w:rsidR="0092286B">
        <w:t>o</w:t>
      </w:r>
      <w:r w:rsidRPr="00765CAB">
        <w:t xml:space="preserve">verall group. In the SB17 group, one participant each reported the following preferred terms for SAEs: acute myocardial infarction, fibula fracture, joint dislocation, meniscus injury, musculoskeletal chest pain, ischaemic stroke and prerenal failure. In the </w:t>
      </w:r>
      <w:r w:rsidR="00913E41">
        <w:t>EU</w:t>
      </w:r>
      <w:r w:rsidR="00913E41">
        <w:noBreakHyphen/>
        <w:t xml:space="preserve">Sourced </w:t>
      </w:r>
      <w:r w:rsidRPr="00765CAB">
        <w:t xml:space="preserve">Stelara </w:t>
      </w:r>
      <w:r w:rsidR="00913E41">
        <w:t>o</w:t>
      </w:r>
      <w:r w:rsidRPr="00765CAB">
        <w:t>verall group, one participant each reported the following preferred terms for SAEs: atrial fibrillation, salivary gland calculus, pneumonia, tibia fracture, prostate cancer, and ovary cyst torsion and pelvic adhesions.</w:t>
      </w:r>
    </w:p>
    <w:p w14:paraId="698C877D" w14:textId="7A7E3CDF" w:rsidR="000F36AF" w:rsidRPr="00765CAB" w:rsidRDefault="000F36AF" w:rsidP="00765CAB">
      <w:r w:rsidRPr="00765CAB">
        <w:t xml:space="preserve">Systemic hypersensitivity, infections, pulmonary events, and injection site reaction were considered adverse events of special interest. Regarding infections, 79 (31.7%) participants in the SB17 group and 83 (32.7%) participants in the </w:t>
      </w:r>
      <w:r w:rsidR="00666220">
        <w:t xml:space="preserve">EU-sourced </w:t>
      </w:r>
      <w:r w:rsidRPr="00765CAB">
        <w:t xml:space="preserve">Stelara </w:t>
      </w:r>
      <w:r w:rsidR="00666220">
        <w:t>o</w:t>
      </w:r>
      <w:r w:rsidRPr="00765CAB">
        <w:t xml:space="preserve">verall group reported infections during the overall study period, whereas no participant in any group reported pulmonary events. Systemic hypersensitivity and injection site reactions were reported by two participants in the </w:t>
      </w:r>
      <w:r w:rsidR="00666220">
        <w:t xml:space="preserve">EU-sourced </w:t>
      </w:r>
      <w:r w:rsidR="00666220" w:rsidRPr="00765CAB">
        <w:t>S</w:t>
      </w:r>
      <w:r w:rsidR="00666220">
        <w:t>telara</w:t>
      </w:r>
      <w:r w:rsidRPr="00765CAB">
        <w:t xml:space="preserve"> groups and none in the group only exposed to SB17.</w:t>
      </w:r>
    </w:p>
    <w:p w14:paraId="4F36A56B" w14:textId="2BC2E14B" w:rsidR="000F36AF" w:rsidRPr="00765CAB" w:rsidRDefault="000F36AF" w:rsidP="00765CAB">
      <w:r w:rsidRPr="00765CAB">
        <w:t>In both clinical studies, participants exposed to SB17 had lower rates of developing ADAs and neutrali</w:t>
      </w:r>
      <w:r w:rsidR="00990253">
        <w:t>s</w:t>
      </w:r>
      <w:r w:rsidRPr="00765CAB">
        <w:t xml:space="preserve">ing antibodies than those exposed to </w:t>
      </w:r>
      <w:r w:rsidR="00A1289D">
        <w:t xml:space="preserve">EU-sourced </w:t>
      </w:r>
      <w:r w:rsidRPr="00765CAB">
        <w:t>Stelara alone or</w:t>
      </w:r>
      <w:r w:rsidR="00A1289D">
        <w:t xml:space="preserve"> EU-sourced</w:t>
      </w:r>
      <w:r w:rsidRPr="00765CAB">
        <w:t xml:space="preserve"> Stelara and SB17.</w:t>
      </w:r>
    </w:p>
    <w:p w14:paraId="7E74DFFF" w14:textId="57C44B59" w:rsidR="000F36AF" w:rsidRPr="00765CAB" w:rsidRDefault="000F36AF" w:rsidP="00765CAB">
      <w:r w:rsidRPr="00765CAB">
        <w:t xml:space="preserve">The overall conclusion was that the safety profile of SB17 appears to be similar to that of </w:t>
      </w:r>
      <w:r w:rsidR="00A1289D">
        <w:t>EU</w:t>
      </w:r>
      <w:r w:rsidR="00A1289D">
        <w:noBreakHyphen/>
        <w:t xml:space="preserve">sourced </w:t>
      </w:r>
      <w:r w:rsidRPr="00765CAB">
        <w:t>Stelara. There were no new safety issues with SB17 based on the two clinical studies provided with the submission.</w:t>
      </w:r>
    </w:p>
    <w:p w14:paraId="64C22994" w14:textId="40ED6E05" w:rsidR="000F36AF" w:rsidRDefault="00D85A13" w:rsidP="00D85A13">
      <w:pPr>
        <w:pStyle w:val="Heading4"/>
      </w:pPr>
      <w:bookmarkStart w:id="53" w:name="_Toc225257718"/>
      <w:r>
        <w:t>E</w:t>
      </w:r>
      <w:r w:rsidR="000F36AF">
        <w:t xml:space="preserve">xtrapolation </w:t>
      </w:r>
      <w:r w:rsidR="000F36AF" w:rsidRPr="00EA0433">
        <w:t>to</w:t>
      </w:r>
      <w:r w:rsidR="000F36AF">
        <w:t xml:space="preserve"> other indications and patient groups</w:t>
      </w:r>
      <w:bookmarkEnd w:id="53"/>
    </w:p>
    <w:p w14:paraId="07C1FAFF" w14:textId="420A1E3D" w:rsidR="000F36AF" w:rsidRPr="00D85A13" w:rsidRDefault="000F36AF" w:rsidP="00D85A13">
      <w:r w:rsidRPr="00D85A13">
        <w:t xml:space="preserve">In alignment with published guidance, the sponsor of a biosimilar medicine is not required to perform clinical trials in each of the populations for which the innovator medicine has been approved, subject to providing an acceptable justification for extrapolation. The </w:t>
      </w:r>
      <w:r w:rsidR="00E37D49">
        <w:t>s</w:t>
      </w:r>
      <w:r w:rsidRPr="00D85A13">
        <w:t>ponsor for E</w:t>
      </w:r>
      <w:r w:rsidR="00E37D49">
        <w:t>pyztek</w:t>
      </w:r>
      <w:r w:rsidRPr="00D85A13">
        <w:t xml:space="preserve"> provided the following evidence in support of extrapolation:</w:t>
      </w:r>
    </w:p>
    <w:p w14:paraId="37C6AF27" w14:textId="77777777" w:rsidR="000F36AF" w:rsidRPr="002158B3" w:rsidRDefault="000F36AF" w:rsidP="002158B3">
      <w:pPr>
        <w:pStyle w:val="ListBullet"/>
      </w:pPr>
      <w:r w:rsidRPr="002158B3">
        <w:t>The mechanism of action of ustekinumab is the same across the approved indications of psoriasis, psoriatic arthritis, Crohn’s disease and ulcerative colitis.</w:t>
      </w:r>
    </w:p>
    <w:p w14:paraId="5C3A2C94" w14:textId="35FE3B35" w:rsidR="000F36AF" w:rsidRPr="002158B3" w:rsidRDefault="000F36AF" w:rsidP="002158B3">
      <w:pPr>
        <w:pStyle w:val="ListBullet"/>
      </w:pPr>
      <w:r w:rsidRPr="002158B3">
        <w:lastRenderedPageBreak/>
        <w:t>The role of IL-23/IL-12 mediated inflammation in these diseases is supported by the data summarised in the S</w:t>
      </w:r>
      <w:r w:rsidR="007E69D8">
        <w:t>telara Product Information (</w:t>
      </w:r>
      <w:r w:rsidRPr="002158B3">
        <w:t>PI</w:t>
      </w:r>
      <w:r w:rsidR="007E69D8">
        <w:t>)</w:t>
      </w:r>
      <w:r w:rsidRPr="002158B3">
        <w:t xml:space="preserve"> and published scientific literature.</w:t>
      </w:r>
    </w:p>
    <w:p w14:paraId="3ECD198F" w14:textId="5143ED95" w:rsidR="000F36AF" w:rsidRPr="002158B3" w:rsidRDefault="000F36AF" w:rsidP="002158B3">
      <w:pPr>
        <w:pStyle w:val="ListBullet"/>
      </w:pPr>
      <w:r w:rsidRPr="002158B3">
        <w:t>The various structural assessments of SB17 undertaken demonstrate its similarity to S</w:t>
      </w:r>
      <w:r w:rsidR="007E69D8">
        <w:t>telara</w:t>
      </w:r>
      <w:r w:rsidRPr="002158B3">
        <w:t>.</w:t>
      </w:r>
    </w:p>
    <w:p w14:paraId="5D5A5D16" w14:textId="63BB7D1F" w:rsidR="000F36AF" w:rsidRPr="002158B3" w:rsidRDefault="000F36AF" w:rsidP="002158B3">
      <w:pPr>
        <w:pStyle w:val="ListBullet"/>
      </w:pPr>
      <w:r w:rsidRPr="002158B3">
        <w:t>PK similarity between SB17 and S</w:t>
      </w:r>
      <w:r w:rsidR="007E69D8">
        <w:t>telara</w:t>
      </w:r>
      <w:r w:rsidRPr="002158B3">
        <w:t xml:space="preserve"> has been demonstrated in a </w:t>
      </w:r>
      <w:r w:rsidR="007E69D8">
        <w:t>P</w:t>
      </w:r>
      <w:r w:rsidRPr="002158B3">
        <w:t xml:space="preserve">hase </w:t>
      </w:r>
      <w:r w:rsidR="007E69D8">
        <w:t>I</w:t>
      </w:r>
      <w:r w:rsidRPr="002158B3">
        <w:t xml:space="preserve"> study which showed the 90% confidence intervals for the geometric mean ratios of AUC</w:t>
      </w:r>
      <w:r w:rsidR="007E69D8" w:rsidRPr="007E69D8">
        <w:rPr>
          <w:vertAlign w:val="subscript"/>
        </w:rPr>
        <w:t>0-</w:t>
      </w:r>
      <w:r w:rsidRPr="007E69D8">
        <w:rPr>
          <w:vertAlign w:val="subscript"/>
        </w:rPr>
        <w:t>inf</w:t>
      </w:r>
      <w:r w:rsidR="007E69D8" w:rsidRPr="007E69D8">
        <w:t xml:space="preserve"> </w:t>
      </w:r>
      <w:r w:rsidRPr="002158B3">
        <w:t>and C</w:t>
      </w:r>
      <w:r w:rsidRPr="007E69D8">
        <w:rPr>
          <w:vertAlign w:val="subscript"/>
        </w:rPr>
        <w:t>max</w:t>
      </w:r>
      <w:r w:rsidRPr="002158B3">
        <w:t xml:space="preserve"> to be within the prespecified range of 0.8 </w:t>
      </w:r>
      <w:r w:rsidR="007E69D8">
        <w:t>to</w:t>
      </w:r>
      <w:r w:rsidRPr="002158B3">
        <w:t xml:space="preserve"> 1.25.</w:t>
      </w:r>
    </w:p>
    <w:p w14:paraId="6EB20289" w14:textId="3D917EC1" w:rsidR="000F36AF" w:rsidRPr="002158B3" w:rsidRDefault="000F36AF" w:rsidP="002158B3">
      <w:pPr>
        <w:pStyle w:val="ListBullet"/>
      </w:pPr>
      <w:r w:rsidRPr="002158B3">
        <w:t>S</w:t>
      </w:r>
      <w:r w:rsidR="007E69D8">
        <w:t>telara</w:t>
      </w:r>
      <w:r w:rsidRPr="002158B3">
        <w:t xml:space="preserve"> is known to show similar PK characteristics across its different indications, thus supporting extrapolation for SB17.</w:t>
      </w:r>
    </w:p>
    <w:p w14:paraId="3E18310A" w14:textId="1BB5561B" w:rsidR="000F36AF" w:rsidRPr="002158B3" w:rsidRDefault="000F36AF" w:rsidP="002158B3">
      <w:pPr>
        <w:pStyle w:val="ListBullet"/>
      </w:pPr>
      <w:r w:rsidRPr="002158B3">
        <w:t>The safety profile of SB17 was found to be comparable to S</w:t>
      </w:r>
      <w:r w:rsidR="00873119">
        <w:t>telara</w:t>
      </w:r>
      <w:r w:rsidRPr="002158B3">
        <w:t>, further supporting an extrapolation across indications.</w:t>
      </w:r>
    </w:p>
    <w:p w14:paraId="411E1C6F" w14:textId="0FE9A432" w:rsidR="000F36AF" w:rsidRPr="00873119" w:rsidRDefault="000F36AF" w:rsidP="00873119">
      <w:r w:rsidRPr="00873119">
        <w:t>The differences in incidence of both binding and neutralising ADAs between SB17 and S</w:t>
      </w:r>
      <w:r w:rsidR="00873119">
        <w:t>telara</w:t>
      </w:r>
      <w:r w:rsidRPr="00873119">
        <w:t xml:space="preserve"> have been described. It is not possible to confidently extrapolate what may be expected (</w:t>
      </w:r>
      <w:r w:rsidR="00A155A3">
        <w:t xml:space="preserve">for example </w:t>
      </w:r>
      <w:r w:rsidRPr="00873119">
        <w:t>incidence and clinical/safety effects) with ADAs in non-psoriasis indications for SB17. This uncertainty is noted and should be addressed in the post market space.</w:t>
      </w:r>
    </w:p>
    <w:p w14:paraId="3B3592F6" w14:textId="77777777" w:rsidR="000F36AF" w:rsidRPr="00873119" w:rsidRDefault="000F36AF" w:rsidP="00873119">
      <w:r w:rsidRPr="00873119">
        <w:t>The use of psoriasis as the population in which to demonstrate comparable efficacy is appropriate given the expected robust treatment effects. Furthermore, the lack of comorbidities and other immunosuppressant use compared with the other indications, makes the psoriasis population sensitive for detecting safety signals and immunogenicity.</w:t>
      </w:r>
    </w:p>
    <w:p w14:paraId="1153A988" w14:textId="77777777" w:rsidR="000F36AF" w:rsidRPr="00873119" w:rsidRDefault="000F36AF" w:rsidP="00873119">
      <w:r w:rsidRPr="00873119">
        <w:t>Real world data were not included in this submission.</w:t>
      </w:r>
    </w:p>
    <w:p w14:paraId="2F54408F" w14:textId="73258726" w:rsidR="00C22214" w:rsidRDefault="008C49C6" w:rsidP="00C22214">
      <w:pPr>
        <w:pStyle w:val="Heading4"/>
      </w:pPr>
      <w:bookmarkStart w:id="54" w:name="_Toc225257719"/>
      <w:bookmarkStart w:id="55" w:name="_Toc314842514"/>
      <w:r>
        <w:t>R</w:t>
      </w:r>
      <w:r w:rsidR="00C22214" w:rsidRPr="007B6132">
        <w:t>ecommendation</w:t>
      </w:r>
      <w:r>
        <w:t xml:space="preserve"> following the clinical evaluation</w:t>
      </w:r>
      <w:bookmarkEnd w:id="54"/>
    </w:p>
    <w:p w14:paraId="64ADD4B8" w14:textId="0D0922DD" w:rsidR="00E372FB" w:rsidRPr="00E372FB" w:rsidRDefault="00E372FB" w:rsidP="00E372FB">
      <w:r w:rsidRPr="00E372FB">
        <w:t>The clinical evaluation recommended approval of all three presentations of the biosimilar ustekinumab E</w:t>
      </w:r>
      <w:r w:rsidR="008246B5">
        <w:t>pyztek</w:t>
      </w:r>
      <w:r w:rsidRPr="00E372FB">
        <w:t xml:space="preserve"> for injection for the same indications approved for the innovator in psoriasis (including only children ≥</w:t>
      </w:r>
      <w:r w:rsidR="008246B5">
        <w:t> </w:t>
      </w:r>
      <w:r w:rsidRPr="00E372FB">
        <w:t>6 years, weighing</w:t>
      </w:r>
      <w:r w:rsidR="008246B5">
        <w:t xml:space="preserve"> </w:t>
      </w:r>
      <w:r w:rsidRPr="00E372FB">
        <w:t>≥</w:t>
      </w:r>
      <w:r w:rsidR="008246B5">
        <w:t> </w:t>
      </w:r>
      <w:r w:rsidRPr="00E372FB">
        <w:t>60kg), psoriatic arthritis, Crohn’s disease and ulcerative colitis. The evaluat</w:t>
      </w:r>
      <w:r w:rsidR="008246B5">
        <w:t>ion</w:t>
      </w:r>
      <w:r w:rsidRPr="00E372FB">
        <w:t xml:space="preserve"> noted that in the absence of an appropriate presentation, E</w:t>
      </w:r>
      <w:r w:rsidR="008246B5">
        <w:t>pyztek</w:t>
      </w:r>
      <w:r w:rsidRPr="00E372FB">
        <w:t xml:space="preserve"> would not be suitable for smaller paediatric patients.</w:t>
      </w:r>
    </w:p>
    <w:p w14:paraId="2858B006" w14:textId="1CDDF414" w:rsidR="00C22214" w:rsidRDefault="00C22214" w:rsidP="00C22214">
      <w:pPr>
        <w:pStyle w:val="Heading3"/>
        <w:rPr>
          <w:lang w:eastAsia="en-AU"/>
        </w:rPr>
      </w:pPr>
      <w:bookmarkStart w:id="56" w:name="_Toc103679298"/>
      <w:bookmarkStart w:id="57" w:name="_Toc225257720"/>
      <w:r>
        <w:rPr>
          <w:lang w:eastAsia="en-AU"/>
        </w:rPr>
        <w:t>Risk management plan</w:t>
      </w:r>
      <w:bookmarkEnd w:id="55"/>
      <w:bookmarkEnd w:id="56"/>
      <w:bookmarkEnd w:id="57"/>
    </w:p>
    <w:p w14:paraId="2174E861" w14:textId="3DF738E3" w:rsidR="00017B3F" w:rsidRDefault="00017B3F" w:rsidP="00017B3F">
      <w:bookmarkStart w:id="58" w:name="_Toc247691531"/>
      <w:bookmarkStart w:id="59" w:name="_Toc314842515"/>
      <w:r>
        <w:t xml:space="preserve">The sponsor submitted an EU </w:t>
      </w:r>
      <w:r w:rsidR="00A14518">
        <w:t>r</w:t>
      </w:r>
      <w:r>
        <w:t xml:space="preserve">isk </w:t>
      </w:r>
      <w:r w:rsidR="00A14518">
        <w:t>m</w:t>
      </w:r>
      <w:r>
        <w:t xml:space="preserve">anagement </w:t>
      </w:r>
      <w:r w:rsidR="00A14518">
        <w:t>p</w:t>
      </w:r>
      <w:r>
        <w:t>lan</w:t>
      </w:r>
      <w:r w:rsidR="00191B5C">
        <w:t xml:space="preserve"> (RMP)</w:t>
      </w:r>
      <w:r>
        <w:t xml:space="preserve">, Version 1.0, data lock point </w:t>
      </w:r>
      <w:r w:rsidR="00463003">
        <w:t>22 March </w:t>
      </w:r>
      <w:r>
        <w:t xml:space="preserve">2023, and an Australian Specific Annex, Version 1.0, dated </w:t>
      </w:r>
      <w:r w:rsidR="00463003">
        <w:t>8 September </w:t>
      </w:r>
      <w:r>
        <w:t>2023. These documents did not require evaluation but may be reviewed at a later date if indicated.</w:t>
      </w:r>
    </w:p>
    <w:p w14:paraId="1D03A576" w14:textId="04744B43" w:rsidR="00017B3F" w:rsidRPr="00EA00D2" w:rsidRDefault="00017B3F" w:rsidP="00017B3F">
      <w:r>
        <w:t>The clinical evaluat</w:t>
      </w:r>
      <w:r w:rsidR="00463003">
        <w:t>ion</w:t>
      </w:r>
      <w:r>
        <w:t xml:space="preserve"> did not raise any issues with the summary of safety concerns based on the innovator.</w:t>
      </w:r>
    </w:p>
    <w:p w14:paraId="0908AE06" w14:textId="697913D1" w:rsidR="00FA1BC9" w:rsidRPr="00BD5DBD" w:rsidRDefault="00FA1BC9" w:rsidP="00FA1BC9">
      <w:pPr>
        <w:rPr>
          <w:szCs w:val="22"/>
        </w:rPr>
      </w:pPr>
      <w:bookmarkStart w:id="60" w:name="_Toc103679299"/>
      <w:r w:rsidRPr="00BD5DBD">
        <w:rPr>
          <w:szCs w:val="22"/>
        </w:rPr>
        <w:t>The sponsor is required to comply with product vigilance and risk minimisation requirements.</w:t>
      </w:r>
    </w:p>
    <w:p w14:paraId="456C7934" w14:textId="124669AB" w:rsidR="00FA1BC9" w:rsidRDefault="00FA1BC9" w:rsidP="00FA1BC9">
      <w:pPr>
        <w:rPr>
          <w:szCs w:val="22"/>
        </w:rPr>
      </w:pPr>
      <w:r w:rsidRPr="00BD5DBD">
        <w:rPr>
          <w:szCs w:val="22"/>
        </w:rPr>
        <w:t xml:space="preserve">The TGA may request an updated RMP at any stage of a product's life-cycle, during both the pre-approval and post-approval phases. Further information regarding the TGA’s risk management approach can be found in </w:t>
      </w:r>
      <w:hyperlink r:id="rId31" w:history="1">
        <w:r w:rsidRPr="00BD5DBD">
          <w:rPr>
            <w:rStyle w:val="Hyperlink"/>
            <w:szCs w:val="22"/>
          </w:rPr>
          <w:t>risk management plans for medicines and biologicals</w:t>
        </w:r>
      </w:hyperlink>
      <w:r w:rsidRPr="00BD5DBD">
        <w:rPr>
          <w:szCs w:val="22"/>
        </w:rPr>
        <w:t xml:space="preserve"> and </w:t>
      </w:r>
      <w:hyperlink r:id="rId32" w:history="1">
        <w:r w:rsidRPr="00BD5DBD">
          <w:rPr>
            <w:rStyle w:val="Hyperlink"/>
            <w:szCs w:val="22"/>
          </w:rPr>
          <w:t>the TGA's risk management approach</w:t>
        </w:r>
      </w:hyperlink>
      <w:r w:rsidRPr="00BD5DBD">
        <w:rPr>
          <w:szCs w:val="22"/>
        </w:rPr>
        <w:t xml:space="preserve">. Information on the </w:t>
      </w:r>
      <w:hyperlink r:id="rId33" w:history="1">
        <w:r w:rsidRPr="00BD5DBD">
          <w:rPr>
            <w:rStyle w:val="Hyperlink"/>
            <w:szCs w:val="22"/>
          </w:rPr>
          <w:t>Australia</w:t>
        </w:r>
        <w:r w:rsidR="00C57CEA">
          <w:rPr>
            <w:rStyle w:val="Hyperlink"/>
            <w:szCs w:val="22"/>
          </w:rPr>
          <w:t>-</w:t>
        </w:r>
        <w:r w:rsidRPr="00BD5DBD">
          <w:rPr>
            <w:rStyle w:val="Hyperlink"/>
            <w:szCs w:val="22"/>
          </w:rPr>
          <w:t>specific annex</w:t>
        </w:r>
      </w:hyperlink>
      <w:r w:rsidRPr="00BD5DBD">
        <w:rPr>
          <w:szCs w:val="22"/>
        </w:rPr>
        <w:t xml:space="preserve"> (</w:t>
      </w:r>
      <w:hyperlink r:id="rId34" w:history="1">
        <w:r w:rsidRPr="00BD5DBD">
          <w:rPr>
            <w:rStyle w:val="Hyperlink"/>
            <w:szCs w:val="22"/>
          </w:rPr>
          <w:t>ASA</w:t>
        </w:r>
      </w:hyperlink>
      <w:r w:rsidRPr="00BD5DBD">
        <w:rPr>
          <w:szCs w:val="22"/>
        </w:rPr>
        <w:t>) can be found on the TGA website.</w:t>
      </w:r>
    </w:p>
    <w:p w14:paraId="74A4F87F" w14:textId="77777777" w:rsidR="00C22214" w:rsidRDefault="00C22214" w:rsidP="00C22214">
      <w:pPr>
        <w:pStyle w:val="Heading3"/>
      </w:pPr>
      <w:bookmarkStart w:id="61" w:name="_Toc225257721"/>
      <w:r>
        <w:lastRenderedPageBreak/>
        <w:t>Risk-benefit analysis</w:t>
      </w:r>
      <w:bookmarkEnd w:id="58"/>
      <w:bookmarkEnd w:id="59"/>
      <w:bookmarkEnd w:id="60"/>
      <w:bookmarkEnd w:id="61"/>
    </w:p>
    <w:p w14:paraId="77DE2655" w14:textId="77777777" w:rsidR="00C22214" w:rsidRDefault="00C22214" w:rsidP="00C22214">
      <w:pPr>
        <w:pStyle w:val="Heading4"/>
      </w:pPr>
      <w:bookmarkStart w:id="62" w:name="_Toc98931932"/>
      <w:bookmarkStart w:id="63" w:name="_Toc225257722"/>
      <w:r>
        <w:t>Delegate’s considerations</w:t>
      </w:r>
      <w:bookmarkEnd w:id="62"/>
      <w:bookmarkEnd w:id="63"/>
    </w:p>
    <w:p w14:paraId="57749937" w14:textId="0326E796" w:rsidR="00FF6962" w:rsidRPr="00FF6962" w:rsidRDefault="00FF6962" w:rsidP="00FF6962">
      <w:r w:rsidRPr="00FF6962">
        <w:t xml:space="preserve">The application </w:t>
      </w:r>
      <w:r w:rsidR="00BF6E3F">
        <w:t>for</w:t>
      </w:r>
      <w:r w:rsidRPr="00FF6962">
        <w:t xml:space="preserve"> E</w:t>
      </w:r>
      <w:r w:rsidR="00BF6E3F">
        <w:t xml:space="preserve">pyztek </w:t>
      </w:r>
      <w:r w:rsidRPr="00FF6962">
        <w:t>5</w:t>
      </w:r>
      <w:r w:rsidR="00BF6E3F">
        <w:t> </w:t>
      </w:r>
      <w:r w:rsidRPr="00FF6962">
        <w:t>mg/1</w:t>
      </w:r>
      <w:r w:rsidR="00BF6E3F">
        <w:t> </w:t>
      </w:r>
      <w:r w:rsidRPr="00FF6962">
        <w:t>mL (130</w:t>
      </w:r>
      <w:r w:rsidR="00BF6E3F">
        <w:t> </w:t>
      </w:r>
      <w:r w:rsidRPr="00FF6962">
        <w:t>mg/26</w:t>
      </w:r>
      <w:r w:rsidR="00BF6E3F">
        <w:t> </w:t>
      </w:r>
      <w:r w:rsidRPr="00FF6962">
        <w:t>mL) ustekinumab concentrate for solutions for intravenous infusion in a vial, and for 90</w:t>
      </w:r>
      <w:r w:rsidR="00BF6E3F">
        <w:t> </w:t>
      </w:r>
      <w:r w:rsidRPr="00FF6962">
        <w:t>mg/1</w:t>
      </w:r>
      <w:r w:rsidR="00BF6E3F">
        <w:t> </w:t>
      </w:r>
      <w:r w:rsidRPr="00FF6962">
        <w:t>mL and 45</w:t>
      </w:r>
      <w:r w:rsidR="00BF6E3F">
        <w:t> </w:t>
      </w:r>
      <w:r w:rsidRPr="00FF6962">
        <w:t>mg/0.5</w:t>
      </w:r>
      <w:r w:rsidR="00BF6E3F">
        <w:t> </w:t>
      </w:r>
      <w:r w:rsidRPr="00FF6962">
        <w:t xml:space="preserve">mL ustekinumab solution for subcutaneous injection in a pre-filled syringe is supported by the submitted data. Based on the Phase </w:t>
      </w:r>
      <w:r w:rsidR="00BF6E3F">
        <w:t>I</w:t>
      </w:r>
      <w:r w:rsidRPr="00FF6962">
        <w:t xml:space="preserve"> PK </w:t>
      </w:r>
      <w:r w:rsidR="00B46B0F">
        <w:t>S</w:t>
      </w:r>
      <w:r w:rsidRPr="00FF6962">
        <w:t>tudy</w:t>
      </w:r>
      <w:r w:rsidR="00B46B0F">
        <w:t> </w:t>
      </w:r>
      <w:r w:rsidRPr="00FF6962">
        <w:t>SB17-1001, E</w:t>
      </w:r>
      <w:r w:rsidR="00B46B0F">
        <w:t>pyztek</w:t>
      </w:r>
      <w:r w:rsidRPr="00FF6962">
        <w:t xml:space="preserve"> and EU</w:t>
      </w:r>
      <w:r w:rsidR="00B46B0F">
        <w:noBreakHyphen/>
      </w:r>
      <w:r w:rsidRPr="00FF6962">
        <w:t>sourced S</w:t>
      </w:r>
      <w:r w:rsidR="00B46B0F">
        <w:t>telara</w:t>
      </w:r>
      <w:r w:rsidRPr="00FF6962">
        <w:t xml:space="preserve"> were considered to have similar PK profiles. Based on the Phase </w:t>
      </w:r>
      <w:r w:rsidR="00B46B0F">
        <w:t>III</w:t>
      </w:r>
      <w:r w:rsidRPr="00FF6962">
        <w:t xml:space="preserve"> clinical equivalence efficacy </w:t>
      </w:r>
      <w:r w:rsidR="00B46B0F">
        <w:t>S</w:t>
      </w:r>
      <w:r w:rsidRPr="00FF6962">
        <w:t>tudy</w:t>
      </w:r>
      <w:r w:rsidR="00B46B0F">
        <w:t xml:space="preserve"> </w:t>
      </w:r>
      <w:r w:rsidRPr="00FF6962">
        <w:t>SB17-3001, E</w:t>
      </w:r>
      <w:r w:rsidR="00B46B0F">
        <w:t>pyztek</w:t>
      </w:r>
      <w:r w:rsidRPr="00FF6962">
        <w:t xml:space="preserve"> and EU</w:t>
      </w:r>
      <w:r w:rsidR="004065E5">
        <w:noBreakHyphen/>
      </w:r>
      <w:r w:rsidRPr="00FF6962">
        <w:t>sourced S</w:t>
      </w:r>
      <w:r w:rsidR="004065E5">
        <w:t>telara</w:t>
      </w:r>
      <w:r w:rsidRPr="00FF6962">
        <w:t xml:space="preserve"> were considered equivalent based on pre-defined equivalence margins. The safety profile of E</w:t>
      </w:r>
      <w:r w:rsidR="004065E5">
        <w:t>pyztek</w:t>
      </w:r>
      <w:r w:rsidRPr="00FF6962">
        <w:t xml:space="preserve"> is similar to that of the reference product, S</w:t>
      </w:r>
      <w:r w:rsidR="004065E5">
        <w:t>telara</w:t>
      </w:r>
      <w:r w:rsidRPr="00FF6962">
        <w:t xml:space="preserve">. No new safety concerns were raised in the studies submitted. A </w:t>
      </w:r>
      <w:r w:rsidR="00A14518">
        <w:t>risk management plan</w:t>
      </w:r>
      <w:r w:rsidRPr="00FF6962">
        <w:t xml:space="preserve"> will be implemented for the product.</w:t>
      </w:r>
    </w:p>
    <w:p w14:paraId="2F26A6C0" w14:textId="77777777" w:rsidR="00FF6962" w:rsidRPr="00FF6962" w:rsidRDefault="00FF6962" w:rsidP="00FF6962">
      <w:r w:rsidRPr="00FF6962">
        <w:t>Justification for extrapolation to indications other than psoriasis in adults has been provided and is based on a combination of quality, nonclinical, historical and current clinical data.</w:t>
      </w:r>
    </w:p>
    <w:p w14:paraId="20717102" w14:textId="6649B979" w:rsidR="00C22214" w:rsidRPr="009612AC" w:rsidRDefault="00FF6962" w:rsidP="009612AC">
      <w:r w:rsidRPr="00FF6962">
        <w:t xml:space="preserve">The </w:t>
      </w:r>
      <w:r w:rsidR="0036390E">
        <w:t>s</w:t>
      </w:r>
      <w:r w:rsidRPr="00FF6962">
        <w:t>ponsor has provided a bridging study report for the comparability of the Australian reference product S</w:t>
      </w:r>
      <w:r w:rsidR="0036390E">
        <w:t>telara</w:t>
      </w:r>
      <w:r w:rsidRPr="00FF6962">
        <w:t xml:space="preserve"> to EU</w:t>
      </w:r>
      <w:r w:rsidR="0036390E">
        <w:noBreakHyphen/>
      </w:r>
      <w:r w:rsidRPr="00FF6962">
        <w:t>sourced S</w:t>
      </w:r>
      <w:r w:rsidR="0036390E">
        <w:t>telara</w:t>
      </w:r>
      <w:r w:rsidRPr="00FF6962">
        <w:t xml:space="preserve">. The suitability of using the vial presentation for the bridging study is based on extrapolation of evidence provided by the </w:t>
      </w:r>
      <w:r w:rsidR="007556DB">
        <w:t>s</w:t>
      </w:r>
      <w:r w:rsidRPr="00FF6962">
        <w:t>ponsor to demonstrate comparability between the vial and PFS presentation of E</w:t>
      </w:r>
      <w:r w:rsidR="007556DB">
        <w:t>pyztek</w:t>
      </w:r>
      <w:r w:rsidRPr="00FF6962">
        <w:t>, as well as between E</w:t>
      </w:r>
      <w:r w:rsidR="007556DB">
        <w:t>pyztek</w:t>
      </w:r>
      <w:r w:rsidRPr="00FF6962">
        <w:t xml:space="preserve"> and EU</w:t>
      </w:r>
      <w:r w:rsidR="007556DB">
        <w:noBreakHyphen/>
        <w:t xml:space="preserve">sourced </w:t>
      </w:r>
      <w:r w:rsidRPr="00FF6962">
        <w:t>S</w:t>
      </w:r>
      <w:r w:rsidR="007556DB">
        <w:t>telara</w:t>
      </w:r>
      <w:r w:rsidRPr="00FF6962">
        <w:t xml:space="preserve"> for each presentation.</w:t>
      </w:r>
    </w:p>
    <w:p w14:paraId="3916F296" w14:textId="77777777" w:rsidR="00C22214" w:rsidRDefault="00C22214" w:rsidP="00C22214">
      <w:pPr>
        <w:pStyle w:val="Heading4"/>
      </w:pPr>
      <w:bookmarkStart w:id="64" w:name="_Toc98931933"/>
      <w:bookmarkStart w:id="65" w:name="_Toc225257723"/>
      <w:r w:rsidRPr="00D23139">
        <w:t>Proposed action</w:t>
      </w:r>
      <w:bookmarkEnd w:id="64"/>
      <w:bookmarkEnd w:id="65"/>
    </w:p>
    <w:p w14:paraId="3B2D6886" w14:textId="2C362AB4" w:rsidR="002F6803" w:rsidRPr="00201858" w:rsidRDefault="002F6803" w:rsidP="00201858">
      <w:r w:rsidRPr="00201858">
        <w:t>The benefit-risk profile of Epyztek (ustekinumab) in the proposed indication is considered favourable. The Delegate propose</w:t>
      </w:r>
      <w:r w:rsidR="00F84A92" w:rsidRPr="00201858">
        <w:t>d</w:t>
      </w:r>
      <w:r w:rsidRPr="00201858">
        <w:t xml:space="preserve"> to approve E</w:t>
      </w:r>
      <w:r w:rsidR="00F84A92" w:rsidRPr="00201858">
        <w:t>pyztek</w:t>
      </w:r>
      <w:r w:rsidRPr="00201858">
        <w:t xml:space="preserve"> for the indications:</w:t>
      </w:r>
    </w:p>
    <w:p w14:paraId="580FA236" w14:textId="77777777" w:rsidR="002F6803" w:rsidRPr="00201858" w:rsidRDefault="002F6803" w:rsidP="00201858">
      <w:pPr>
        <w:rPr>
          <w:b/>
          <w:bCs/>
        </w:rPr>
      </w:pPr>
      <w:r w:rsidRPr="00201858">
        <w:rPr>
          <w:b/>
          <w:bCs/>
        </w:rPr>
        <w:t xml:space="preserve">Plaque Psoriasis </w:t>
      </w:r>
    </w:p>
    <w:p w14:paraId="6ACEE109" w14:textId="77777777" w:rsidR="002F6803" w:rsidRPr="00201858" w:rsidRDefault="002F6803" w:rsidP="00201858">
      <w:pPr>
        <w:rPr>
          <w:i/>
          <w:iCs/>
        </w:rPr>
      </w:pPr>
      <w:r w:rsidRPr="00201858">
        <w:rPr>
          <w:i/>
          <w:iCs/>
        </w:rPr>
        <w:t xml:space="preserve">Adults </w:t>
      </w:r>
    </w:p>
    <w:p w14:paraId="5A98054A" w14:textId="77777777" w:rsidR="00270ED9" w:rsidRDefault="00F84A92" w:rsidP="00201858">
      <w:r w:rsidRPr="00201858">
        <w:t>Epyztek</w:t>
      </w:r>
      <w:r w:rsidR="002F6803" w:rsidRPr="00201858">
        <w:t xml:space="preserve"> is indicated for the treatment of adult patients (18 years or older) with moderate to severe plaque psoriasis who are candidates for phototherapy or systemic therapy</w:t>
      </w:r>
      <w:r w:rsidR="00270ED9">
        <w:t>.</w:t>
      </w:r>
    </w:p>
    <w:p w14:paraId="02E9CD67" w14:textId="2FDA0900" w:rsidR="002F6803" w:rsidRPr="00201858" w:rsidRDefault="002F6803" w:rsidP="00201858">
      <w:pPr>
        <w:rPr>
          <w:i/>
          <w:iCs/>
        </w:rPr>
      </w:pPr>
      <w:r w:rsidRPr="00201858">
        <w:rPr>
          <w:i/>
          <w:iCs/>
        </w:rPr>
        <w:t xml:space="preserve">Paediatric population, 6 years and older </w:t>
      </w:r>
    </w:p>
    <w:p w14:paraId="650F1C65" w14:textId="77777777" w:rsidR="00270ED9" w:rsidRDefault="00201858" w:rsidP="00201858">
      <w:r>
        <w:t>Epyztek</w:t>
      </w:r>
      <w:r w:rsidR="002F6803" w:rsidRPr="00201858">
        <w:t xml:space="preserve"> is indicated for the treatment of moderate to severe plaque psoriasis in children and adolescent patients from 6 years of age who are inadequately controlled by, or are intolerant to, other systemic therapies or phototherapies</w:t>
      </w:r>
      <w:r w:rsidR="00270ED9">
        <w:t>.</w:t>
      </w:r>
    </w:p>
    <w:p w14:paraId="79A39A45" w14:textId="0DCBF8A9" w:rsidR="002F6803" w:rsidRPr="00201858" w:rsidRDefault="002F6803" w:rsidP="00201858">
      <w:pPr>
        <w:rPr>
          <w:b/>
          <w:bCs/>
        </w:rPr>
      </w:pPr>
      <w:r w:rsidRPr="00201858">
        <w:rPr>
          <w:b/>
          <w:bCs/>
        </w:rPr>
        <w:t xml:space="preserve">Psoriatic Arthritis (PsA) </w:t>
      </w:r>
    </w:p>
    <w:p w14:paraId="0FBC7895" w14:textId="77777777" w:rsidR="00270ED9" w:rsidRDefault="00201858" w:rsidP="00201858">
      <w:r>
        <w:t>Epyztek</w:t>
      </w:r>
      <w:r w:rsidR="002F6803" w:rsidRPr="00201858">
        <w:t>, alone or in combination with methotrexate, is indicated for the treatment of signs and symptoms of active psoriatic arthritis in adult patients (18 years and older) where response to previous non-biological DMARD therapy has been inadequate</w:t>
      </w:r>
      <w:r w:rsidR="00270ED9">
        <w:t>.</w:t>
      </w:r>
    </w:p>
    <w:p w14:paraId="17294A45" w14:textId="188DB744" w:rsidR="002F6803" w:rsidRPr="00201858" w:rsidRDefault="002F6803" w:rsidP="00201858">
      <w:pPr>
        <w:rPr>
          <w:b/>
          <w:bCs/>
        </w:rPr>
      </w:pPr>
      <w:r w:rsidRPr="00201858">
        <w:rPr>
          <w:b/>
          <w:bCs/>
        </w:rPr>
        <w:t xml:space="preserve">Crohn’s Disease </w:t>
      </w:r>
    </w:p>
    <w:p w14:paraId="5726B757" w14:textId="77777777" w:rsidR="00270ED9" w:rsidRDefault="00201858" w:rsidP="00201858">
      <w:r>
        <w:t>Epyztek</w:t>
      </w:r>
      <w:r w:rsidR="002F6803" w:rsidRPr="00201858">
        <w:t xml:space="preserve"> is indicated for the treatment of adult patients with moderately to severely active Crohn’s disease who have had an inadequate response, lost response, or were intolerant to either conventional therapy or a TNFα antagonist or have medical contraindications to such therapies</w:t>
      </w:r>
      <w:r w:rsidR="00270ED9">
        <w:t>.</w:t>
      </w:r>
    </w:p>
    <w:p w14:paraId="3DE70F3B" w14:textId="482F3C3C" w:rsidR="002F6803" w:rsidRPr="00201858" w:rsidRDefault="002F6803" w:rsidP="00201858">
      <w:pPr>
        <w:rPr>
          <w:b/>
          <w:bCs/>
        </w:rPr>
      </w:pPr>
      <w:r w:rsidRPr="00201858">
        <w:rPr>
          <w:b/>
          <w:bCs/>
        </w:rPr>
        <w:t xml:space="preserve">Ulcerative Colitis </w:t>
      </w:r>
    </w:p>
    <w:p w14:paraId="64401E0D" w14:textId="0F72C069" w:rsidR="002F6803" w:rsidRPr="00201858" w:rsidRDefault="00201858" w:rsidP="00201858">
      <w:r>
        <w:t>Epy</w:t>
      </w:r>
      <w:r w:rsidR="00F502AF">
        <w:t xml:space="preserve">ztek </w:t>
      </w:r>
      <w:r w:rsidR="002F6803" w:rsidRPr="00201858">
        <w:t>is indicated for the treatment of adult patients with moderately to severely active ulcerative colitis.</w:t>
      </w:r>
    </w:p>
    <w:p w14:paraId="307F236C" w14:textId="7FD19BD3" w:rsidR="00C22214" w:rsidRPr="002E238E" w:rsidRDefault="0046285C" w:rsidP="00C22214">
      <w:pPr>
        <w:pStyle w:val="Heading2"/>
      </w:pPr>
      <w:bookmarkStart w:id="66" w:name="_Toc247691532"/>
      <w:bookmarkStart w:id="67" w:name="_Toc314842516"/>
      <w:bookmarkStart w:id="68" w:name="_Toc103679300"/>
      <w:bookmarkStart w:id="69" w:name="_Toc225257724"/>
      <w:r>
        <w:lastRenderedPageBreak/>
        <w:t>Assessment</w:t>
      </w:r>
      <w:r w:rsidR="00190853">
        <w:t xml:space="preserve"> </w:t>
      </w:r>
      <w:r>
        <w:t>o</w:t>
      </w:r>
      <w:r w:rsidR="00C22214">
        <w:t>utcome</w:t>
      </w:r>
      <w:bookmarkEnd w:id="66"/>
      <w:bookmarkEnd w:id="67"/>
      <w:bookmarkEnd w:id="68"/>
      <w:bookmarkEnd w:id="69"/>
    </w:p>
    <w:p w14:paraId="4EF22939" w14:textId="14D6A496" w:rsidR="00C22214"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D14320">
        <w:t>Epyztek</w:t>
      </w:r>
      <w:r w:rsidR="00D14320" w:rsidRPr="00065839">
        <w:t xml:space="preserve"> (</w:t>
      </w:r>
      <w:r w:rsidR="00D14320">
        <w:rPr>
          <w:szCs w:val="22"/>
        </w:rPr>
        <w:t>u</w:t>
      </w:r>
      <w:r w:rsidR="00D14320" w:rsidRPr="00D529AF">
        <w:rPr>
          <w:szCs w:val="22"/>
        </w:rPr>
        <w:t>stekinumab</w:t>
      </w:r>
      <w:r w:rsidR="00D14320" w:rsidRPr="00065839">
        <w:t>)</w:t>
      </w:r>
      <w:r w:rsidR="00D14320">
        <w:t xml:space="preserve"> </w:t>
      </w:r>
      <w:r w:rsidR="00D14320" w:rsidRPr="007364D0">
        <w:t>45</w:t>
      </w:r>
      <w:r w:rsidR="00D14320">
        <w:t> </w:t>
      </w:r>
      <w:r w:rsidR="00D14320" w:rsidRPr="007364D0">
        <w:t>mg/0.5</w:t>
      </w:r>
      <w:r w:rsidR="00D14320">
        <w:t> </w:t>
      </w:r>
      <w:r w:rsidR="00D14320" w:rsidRPr="007364D0">
        <w:t>mL solution for injection pre-filled</w:t>
      </w:r>
      <w:r w:rsidR="00D14320">
        <w:t xml:space="preserve"> </w:t>
      </w:r>
      <w:r w:rsidR="00D14320" w:rsidRPr="007364D0">
        <w:t>syringe</w:t>
      </w:r>
      <w:r w:rsidR="00D14320">
        <w:t xml:space="preserve">, 5 mg/1 mL solution for intravenous infusion injection vial, and </w:t>
      </w:r>
      <w:r w:rsidR="00D14320" w:rsidRPr="00860539">
        <w:t>90</w:t>
      </w:r>
      <w:r w:rsidR="00D14320">
        <w:t> </w:t>
      </w:r>
      <w:r w:rsidR="00D14320" w:rsidRPr="00860539">
        <w:t>mg/1</w:t>
      </w:r>
      <w:r w:rsidR="00D14320">
        <w:t> </w:t>
      </w:r>
      <w:r w:rsidR="00D14320" w:rsidRPr="00860539">
        <w:t>mL solution for injection pre-filled syringe</w:t>
      </w:r>
      <w:r w:rsidR="00D14320" w:rsidRPr="0017005C">
        <w:t xml:space="preserve"> </w:t>
      </w:r>
      <w:r w:rsidRPr="0017005C">
        <w:t>indicated for:</w:t>
      </w:r>
    </w:p>
    <w:p w14:paraId="0540A14F" w14:textId="77777777" w:rsidR="000F3D02" w:rsidRPr="000F3D02" w:rsidRDefault="000F3D02" w:rsidP="000F3D02">
      <w:pPr>
        <w:ind w:left="720"/>
        <w:rPr>
          <w:b/>
          <w:bCs/>
          <w:i/>
          <w:iCs/>
        </w:rPr>
      </w:pPr>
      <w:r w:rsidRPr="000F3D02">
        <w:rPr>
          <w:b/>
          <w:bCs/>
          <w:i/>
          <w:iCs/>
        </w:rPr>
        <w:t>Plaque Psoriasis</w:t>
      </w:r>
    </w:p>
    <w:p w14:paraId="1B78F7D1" w14:textId="77777777" w:rsidR="000F3D02" w:rsidRPr="000F3D02" w:rsidRDefault="000F3D02" w:rsidP="000F3D02">
      <w:pPr>
        <w:ind w:left="720"/>
        <w:rPr>
          <w:i/>
          <w:iCs/>
        </w:rPr>
      </w:pPr>
      <w:r w:rsidRPr="000F3D02">
        <w:rPr>
          <w:i/>
          <w:iCs/>
        </w:rPr>
        <w:t>Adults</w:t>
      </w:r>
    </w:p>
    <w:p w14:paraId="0AC7D589" w14:textId="77777777" w:rsidR="000F3D02" w:rsidRPr="000F3D02" w:rsidRDefault="000F3D02" w:rsidP="000F3D02">
      <w:pPr>
        <w:ind w:left="720"/>
        <w:rPr>
          <w:i/>
          <w:iCs/>
        </w:rPr>
      </w:pPr>
      <w:r w:rsidRPr="000F3D02">
        <w:rPr>
          <w:i/>
          <w:iCs/>
        </w:rPr>
        <w:t>Epyztek is indicated for the treatment of adult patients (18 years or older) with moderate to severe plaque psoriasis who are candidates for phototherapy or systemic therapy.</w:t>
      </w:r>
    </w:p>
    <w:p w14:paraId="2F579C9F" w14:textId="77777777" w:rsidR="000F3D02" w:rsidRPr="000F3D02" w:rsidRDefault="000F3D02" w:rsidP="000F3D02">
      <w:pPr>
        <w:ind w:left="720"/>
        <w:rPr>
          <w:i/>
          <w:iCs/>
        </w:rPr>
      </w:pPr>
      <w:r w:rsidRPr="000F3D02">
        <w:rPr>
          <w:i/>
          <w:iCs/>
        </w:rPr>
        <w:t>Paediatric population, 6 years and older</w:t>
      </w:r>
    </w:p>
    <w:p w14:paraId="4F204DE9" w14:textId="77777777" w:rsidR="000F3D02" w:rsidRPr="000F3D02" w:rsidRDefault="000F3D02" w:rsidP="000F3D02">
      <w:pPr>
        <w:ind w:left="720"/>
        <w:rPr>
          <w:i/>
          <w:iCs/>
        </w:rPr>
      </w:pPr>
      <w:r w:rsidRPr="000F3D02">
        <w:rPr>
          <w:i/>
          <w:iCs/>
        </w:rPr>
        <w:t>Epyztek is indicated for the treatment of moderate to severe plaque psoriasis in children and adolescent patients from 6 years of age who are inadequately controlled by, or are intolerant to, other systemic therapies or phototherapies.</w:t>
      </w:r>
    </w:p>
    <w:p w14:paraId="2559CECB" w14:textId="77777777" w:rsidR="000F3D02" w:rsidRPr="000F3D02" w:rsidRDefault="000F3D02" w:rsidP="000F3D02">
      <w:pPr>
        <w:ind w:left="720"/>
        <w:rPr>
          <w:b/>
          <w:bCs/>
          <w:i/>
          <w:iCs/>
        </w:rPr>
      </w:pPr>
      <w:r w:rsidRPr="000F3D02">
        <w:rPr>
          <w:b/>
          <w:bCs/>
          <w:i/>
          <w:iCs/>
        </w:rPr>
        <w:t>Psoriatic Arthritis (PsA)</w:t>
      </w:r>
    </w:p>
    <w:p w14:paraId="015F11D9" w14:textId="77777777" w:rsidR="000F3D02" w:rsidRPr="000F3D02" w:rsidRDefault="000F3D02" w:rsidP="000F3D02">
      <w:pPr>
        <w:ind w:left="720"/>
        <w:rPr>
          <w:i/>
          <w:iCs/>
        </w:rPr>
      </w:pPr>
      <w:r w:rsidRPr="000F3D02">
        <w:rPr>
          <w:i/>
          <w:iCs/>
        </w:rPr>
        <w:t>Epyztek, alone or in combination with methotrexate, is indicated for the treatment of signs and symptoms of active psoriatic arthritis in adult patients (18 years and older) where response to previous non-biological DMARD therapy has been inadequate.</w:t>
      </w:r>
    </w:p>
    <w:p w14:paraId="373C6BFA" w14:textId="77777777" w:rsidR="000F3D02" w:rsidRPr="000F3D02" w:rsidRDefault="000F3D02" w:rsidP="000F3D02">
      <w:pPr>
        <w:ind w:left="720"/>
        <w:rPr>
          <w:b/>
          <w:bCs/>
          <w:i/>
          <w:iCs/>
        </w:rPr>
      </w:pPr>
      <w:r w:rsidRPr="000F3D02">
        <w:rPr>
          <w:b/>
          <w:bCs/>
          <w:i/>
          <w:iCs/>
        </w:rPr>
        <w:t>Crohn’s Disease</w:t>
      </w:r>
    </w:p>
    <w:p w14:paraId="24072DDD" w14:textId="77777777" w:rsidR="000F3D02" w:rsidRPr="000F3D02" w:rsidRDefault="000F3D02" w:rsidP="000F3D02">
      <w:pPr>
        <w:ind w:left="720"/>
        <w:rPr>
          <w:i/>
          <w:iCs/>
        </w:rPr>
      </w:pPr>
      <w:r w:rsidRPr="000F3D02">
        <w:rPr>
          <w:i/>
          <w:iCs/>
        </w:rPr>
        <w:t>Epyztek is indicated for the treatment of adult patients with moderately to severely active Crohn’s disease who have had an inadequate response, lost response, or were intolerant to either conventional therapy or a TNFα antagonist or have medical contraindications to such therapies.</w:t>
      </w:r>
    </w:p>
    <w:p w14:paraId="427746A2" w14:textId="77777777" w:rsidR="000F3D02" w:rsidRPr="000F3D02" w:rsidRDefault="000F3D02" w:rsidP="000F3D02">
      <w:pPr>
        <w:ind w:left="720"/>
        <w:rPr>
          <w:b/>
          <w:bCs/>
          <w:i/>
          <w:iCs/>
        </w:rPr>
      </w:pPr>
      <w:r w:rsidRPr="000F3D02">
        <w:rPr>
          <w:b/>
          <w:bCs/>
          <w:i/>
          <w:iCs/>
        </w:rPr>
        <w:t>Ulcerative Colitis</w:t>
      </w:r>
    </w:p>
    <w:p w14:paraId="609DE91E" w14:textId="796E821B" w:rsidR="00D14320" w:rsidRPr="0017005C" w:rsidRDefault="000F3D02" w:rsidP="000F3D02">
      <w:pPr>
        <w:ind w:left="720"/>
      </w:pPr>
      <w:r w:rsidRPr="000F3D02">
        <w:rPr>
          <w:i/>
          <w:iCs/>
        </w:rPr>
        <w:t>Epyztek is indicated for the treatment of adult patients with moderately to severely active ulcerative colitis.</w:t>
      </w:r>
    </w:p>
    <w:p w14:paraId="0D732DA4" w14:textId="74882685" w:rsidR="00854D98" w:rsidRPr="00D23139" w:rsidRDefault="00854D98" w:rsidP="00906C74">
      <w:pPr>
        <w:pStyle w:val="Heading2"/>
      </w:pPr>
      <w:bookmarkStart w:id="70" w:name="_Toc225257725"/>
      <w:bookmarkStart w:id="71" w:name="_Toc103679301"/>
      <w:r w:rsidRPr="00D23139">
        <w:t>Specific conditions of registration</w:t>
      </w:r>
      <w:bookmarkEnd w:id="70"/>
      <w:r w:rsidRPr="00D23139">
        <w:t xml:space="preserve"> </w:t>
      </w:r>
      <w:bookmarkEnd w:id="71"/>
    </w:p>
    <w:p w14:paraId="4E5AA258" w14:textId="5B1EE813" w:rsidR="005D491E" w:rsidRPr="005D491E" w:rsidRDefault="005D491E" w:rsidP="000769C4">
      <w:pPr>
        <w:pStyle w:val="ListBullet"/>
      </w:pPr>
      <w:r w:rsidRPr="005D491E">
        <w:t>E</w:t>
      </w:r>
      <w:r>
        <w:t>pyztek</w:t>
      </w:r>
      <w:r w:rsidRPr="005D491E">
        <w:t xml:space="preserve"> (ustekinumab) is to be included in the Black Triangle Scheme. The PI and CMI</w:t>
      </w:r>
      <w:r>
        <w:t xml:space="preserve"> [Consumer Medicines Information] </w:t>
      </w:r>
      <w:r w:rsidRPr="005D491E">
        <w:t>for E</w:t>
      </w:r>
      <w:r>
        <w:t>pyztek</w:t>
      </w:r>
      <w:r w:rsidRPr="005D491E">
        <w:t xml:space="preserve"> must include the black triangle symbol and mandatory accompanying text</w:t>
      </w:r>
      <w:r>
        <w:t xml:space="preserve"> </w:t>
      </w:r>
      <w:r w:rsidRPr="005D491E">
        <w:t>for five years, which starts from the date that the sponsor notifies the TGA of supply of</w:t>
      </w:r>
      <w:r>
        <w:t xml:space="preserve"> </w:t>
      </w:r>
      <w:r w:rsidRPr="005D491E">
        <w:t>the product.</w:t>
      </w:r>
    </w:p>
    <w:p w14:paraId="1E8C246F" w14:textId="2CA840F9" w:rsidR="005D491E" w:rsidRPr="005D491E" w:rsidRDefault="005D491E" w:rsidP="000769C4">
      <w:pPr>
        <w:pStyle w:val="ListBullet"/>
      </w:pPr>
      <w:r w:rsidRPr="005D491E">
        <w:t>Laboratory testing &amp; compliance with Certified Product Details (CPD)</w:t>
      </w:r>
    </w:p>
    <w:p w14:paraId="5CA5FDA1" w14:textId="177CFB13" w:rsidR="005D491E" w:rsidRPr="005D491E" w:rsidRDefault="005D491E" w:rsidP="003968A3">
      <w:pPr>
        <w:pStyle w:val="ListBullet2"/>
      </w:pPr>
      <w:r w:rsidRPr="005D491E">
        <w:t>All batches of E</w:t>
      </w:r>
      <w:r w:rsidR="00E97ECC">
        <w:t>pyztek</w:t>
      </w:r>
      <w:r w:rsidRPr="005D491E">
        <w:t xml:space="preserve"> ustekinumab supplied in Australia must comply with the</w:t>
      </w:r>
      <w:r w:rsidR="00497333">
        <w:t xml:space="preserve"> </w:t>
      </w:r>
      <w:r w:rsidRPr="005D491E">
        <w:t>product details and specifications approved during evaluation and detailed in the</w:t>
      </w:r>
      <w:r w:rsidR="00497333">
        <w:t xml:space="preserve"> </w:t>
      </w:r>
      <w:r w:rsidRPr="005D491E">
        <w:t>Certified Product Details (CPD).</w:t>
      </w:r>
    </w:p>
    <w:p w14:paraId="5B8D6C9F" w14:textId="652630FE" w:rsidR="00274B90" w:rsidRDefault="005D491E" w:rsidP="006D61FA">
      <w:pPr>
        <w:pStyle w:val="ListBullet2"/>
      </w:pPr>
      <w:r w:rsidRPr="005D491E">
        <w:t xml:space="preserve">When requested by the TGA, the </w:t>
      </w:r>
      <w:r w:rsidR="000A4228">
        <w:t>s</w:t>
      </w:r>
      <w:r w:rsidRPr="005D491E">
        <w:t>ponsor should be prepared to provide product</w:t>
      </w:r>
      <w:r w:rsidR="00497333">
        <w:t xml:space="preserve"> </w:t>
      </w:r>
      <w:r w:rsidRPr="005D491E">
        <w:t>samples, specified reference materials and documentary evidence to enable the TGA</w:t>
      </w:r>
      <w:r w:rsidR="00497333">
        <w:t xml:space="preserve"> </w:t>
      </w:r>
      <w:r w:rsidRPr="005D491E">
        <w:t xml:space="preserve">to conduct laboratory testing on the </w:t>
      </w:r>
      <w:r w:rsidR="000A4228">
        <w:t>p</w:t>
      </w:r>
      <w:r w:rsidRPr="005D491E">
        <w:t xml:space="preserve">roduct. </w:t>
      </w:r>
      <w:r w:rsidR="00AC0FE7" w:rsidRPr="00AC0FE7">
        <w:t>Please note that outcomes of laboratory testing may be published on the TGA website.</w:t>
      </w:r>
    </w:p>
    <w:p w14:paraId="35FB4993" w14:textId="77777777" w:rsidR="00A351C4" w:rsidRPr="00A351C4" w:rsidRDefault="00A351C4" w:rsidP="000769C4">
      <w:pPr>
        <w:pStyle w:val="ListBullet"/>
      </w:pPr>
      <w:r w:rsidRPr="00A351C4">
        <w:t>Certified Product Details</w:t>
      </w:r>
    </w:p>
    <w:p w14:paraId="2FD3D4D2" w14:textId="3801F551" w:rsidR="00270ED9" w:rsidRDefault="00A351C4" w:rsidP="0052211F">
      <w:pPr>
        <w:pStyle w:val="ListBullet"/>
        <w:numPr>
          <w:ilvl w:val="0"/>
          <w:numId w:val="0"/>
        </w:numPr>
        <w:ind w:left="360"/>
      </w:pPr>
      <w:r w:rsidRPr="00A351C4">
        <w:lastRenderedPageBreak/>
        <w:t>The Certified Product Details (CPD), as described in Guidance 7: Certified Product</w:t>
      </w:r>
      <w:r>
        <w:t xml:space="preserve"> </w:t>
      </w:r>
      <w:r w:rsidRPr="00A351C4">
        <w:t>Details of the Australian Regulatory Guidelines for Prescription Medicines (ARGPM), in</w:t>
      </w:r>
      <w:r>
        <w:t xml:space="preserve"> </w:t>
      </w:r>
      <w:r w:rsidRPr="00A351C4">
        <w:t>PDF format, for the above products should be provided upon registration of these</w:t>
      </w:r>
      <w:r>
        <w:t xml:space="preserve"> </w:t>
      </w:r>
      <w:r w:rsidRPr="00A351C4">
        <w:t>therapeutic goods. In addition, an updated CPD should be provided when changes to</w:t>
      </w:r>
      <w:r>
        <w:t xml:space="preserve"> </w:t>
      </w:r>
      <w:r w:rsidRPr="00A351C4">
        <w:t>finished product specifications and test methods are approved in a Category 3</w:t>
      </w:r>
      <w:r>
        <w:t xml:space="preserve"> </w:t>
      </w:r>
      <w:r w:rsidRPr="00A351C4">
        <w:t>application or notified through a self-assessable change.</w:t>
      </w:r>
      <w:r>
        <w:t xml:space="preserve"> </w:t>
      </w:r>
      <w:r w:rsidRPr="00A351C4">
        <w:t>A template for preparation of CPD for biological prescription medicines can be obtained</w:t>
      </w:r>
      <w:r>
        <w:t xml:space="preserve"> </w:t>
      </w:r>
      <w:r w:rsidRPr="00A351C4">
        <w:t xml:space="preserve">from the TGA website [for the form] </w:t>
      </w:r>
      <w:hyperlink r:id="rId35" w:history="1">
        <w:r w:rsidRPr="00A351C4">
          <w:rPr>
            <w:rStyle w:val="Hyperlink"/>
          </w:rPr>
          <w:t>https://www.tga.gov.au/form/certified-productdetails-cpd-biological-prescription-medicines</w:t>
        </w:r>
      </w:hyperlink>
      <w:r w:rsidR="00270ED9">
        <w:t xml:space="preserve"> </w:t>
      </w:r>
      <w:r w:rsidRPr="00A351C4">
        <w:t xml:space="preserve">[for the CPD guidance] </w:t>
      </w:r>
      <w:hyperlink r:id="rId36" w:history="1">
        <w:r w:rsidRPr="00774FCC">
          <w:rPr>
            <w:rStyle w:val="Hyperlink"/>
          </w:rPr>
          <w:t>https://www.tga.gov.au/guidance-7-certified-product-details</w:t>
        </w:r>
      </w:hyperlink>
      <w:r w:rsidR="00270ED9">
        <w:t>.</w:t>
      </w:r>
    </w:p>
    <w:p w14:paraId="0F9C1952" w14:textId="20852B1E" w:rsidR="00BA657C" w:rsidRPr="00A35A03" w:rsidRDefault="00BA657C" w:rsidP="001D6705">
      <w:pPr>
        <w:pStyle w:val="Heading2"/>
      </w:pPr>
      <w:bookmarkStart w:id="72" w:name="_Toc225257726"/>
      <w:bookmarkStart w:id="73" w:name="_Toc196738290"/>
      <w:r w:rsidRPr="00BA657C">
        <w:t xml:space="preserve">Product </w:t>
      </w:r>
      <w:r w:rsidRPr="00A35A03">
        <w:t>Information and Consumer Medicine Information</w:t>
      </w:r>
      <w:bookmarkEnd w:id="72"/>
      <w:r w:rsidRPr="00A35A03">
        <w:t xml:space="preserve"> </w:t>
      </w:r>
      <w:bookmarkEnd w:id="73"/>
    </w:p>
    <w:p w14:paraId="53357BF3" w14:textId="5FB8C1A6" w:rsidR="00C22214" w:rsidRDefault="004D0933" w:rsidP="00C22214">
      <w:pPr>
        <w:sectPr w:rsidR="00C22214" w:rsidSect="007452E8">
          <w:headerReference w:type="default" r:id="rId37"/>
          <w:footerReference w:type="default" r:id="rId38"/>
          <w:pgSz w:w="11906" w:h="16838" w:code="9"/>
          <w:pgMar w:top="1134" w:right="1418" w:bottom="1361" w:left="1418" w:header="573" w:footer="567" w:gutter="0"/>
          <w:cols w:space="708"/>
          <w:docGrid w:linePitch="360"/>
        </w:sectPr>
      </w:pPr>
      <w:bookmarkStart w:id="74" w:name="_Hlk200021736"/>
      <w:r w:rsidRPr="00A35A03">
        <w:t xml:space="preserve">For the most recent Product Information (PI) and Consumer Medicine Information (CMI), please refer to the TGA </w:t>
      </w:r>
      <w:hyperlink r:id="rId39" w:history="1">
        <w:r w:rsidRPr="00A35A03">
          <w:rPr>
            <w:rStyle w:val="Hyperlink"/>
          </w:rPr>
          <w:t>PI/CMI search facility.</w:t>
        </w:r>
      </w:hyperlink>
      <w:bookmarkEnd w:id="74"/>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0298C32E" w:rsidR="00F02AEC" w:rsidRDefault="00F02AEC">
            <w:pPr>
              <w:pStyle w:val="Address"/>
              <w:jc w:val="center"/>
              <w:rPr>
                <w:sz w:val="22"/>
                <w:szCs w:val="22"/>
              </w:rPr>
            </w:pPr>
            <w:r w:rsidRPr="00215D48">
              <w:t xml:space="preserve">Email: </w:t>
            </w:r>
            <w:hyperlink r:id="rId40" w:history="1">
              <w:r w:rsidRPr="00215D48">
                <w:rPr>
                  <w:rStyle w:val="Hyperlink"/>
                </w:rPr>
                <w:t>info@tga.gov.au</w:t>
              </w:r>
            </w:hyperlink>
            <w:r w:rsidR="00270ED9">
              <w:t xml:space="preserve"> </w:t>
            </w:r>
            <w:r w:rsidRPr="00215D48">
              <w:t>Phone: 1800 020 653</w:t>
            </w:r>
            <w:r w:rsidR="00270ED9">
              <w:t xml:space="preserve"> </w:t>
            </w:r>
            <w:r w:rsidRPr="00215D48">
              <w:t xml:space="preserve">Fax: </w:t>
            </w:r>
            <w:r w:rsidRPr="00BA0DFC">
              <w:t>02 6203 1605</w:t>
            </w:r>
          </w:p>
          <w:p w14:paraId="4533D80F" w14:textId="2706A8FF" w:rsidR="00F02AEC" w:rsidRPr="00215D48" w:rsidRDefault="00F02AEC">
            <w:pPr>
              <w:pStyle w:val="Address"/>
              <w:jc w:val="center"/>
              <w:rPr>
                <w:rStyle w:val="Hyperlink"/>
                <w:b/>
                <w:color w:val="auto"/>
                <w:sz w:val="22"/>
              </w:rPr>
            </w:pPr>
            <w:hyperlink r:id="rId41" w:history="1">
              <w:r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42"/>
      <w:footerReference w:type="first" r:id="rId4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4633" w14:textId="77777777" w:rsidR="001E12CB" w:rsidRDefault="001E12CB" w:rsidP="00F02AEC">
      <w:pPr>
        <w:spacing w:after="0" w:line="240" w:lineRule="auto"/>
      </w:pPr>
      <w:r>
        <w:separator/>
      </w:r>
    </w:p>
  </w:endnote>
  <w:endnote w:type="continuationSeparator" w:id="0">
    <w:p w14:paraId="4B7EE0EB" w14:textId="77777777" w:rsidR="001E12CB" w:rsidRDefault="001E12CB"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B23C4A">
                <w:fldChar w:fldCharType="begin"/>
              </w:r>
              <w:r w:rsidR="00B23C4A">
                <w:instrText xml:space="preserve"> NUMPAGES  </w:instrText>
              </w:r>
              <w:r w:rsidR="00B23C4A">
                <w:fldChar w:fldCharType="separate"/>
              </w:r>
              <w:r>
                <w:rPr>
                  <w:noProof/>
                </w:rPr>
                <w:t>2</w:t>
              </w:r>
              <w:r w:rsidR="00B23C4A">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5DDA9807" w:rsidR="007452E8" w:rsidRPr="004A3084" w:rsidRDefault="007452E8" w:rsidP="007452E8">
          <w:pPr>
            <w:pStyle w:val="Footer"/>
          </w:pPr>
          <w:r w:rsidRPr="00487162">
            <w:t>AusPA</w:t>
          </w:r>
          <w:r>
            <w:t xml:space="preserve">R - </w:t>
          </w:r>
          <w:r w:rsidR="00730D52" w:rsidRPr="0031275E">
            <w:rPr>
              <w:rFonts w:cstheme="minorHAnsi"/>
            </w:rPr>
            <w:t>E</w:t>
          </w:r>
          <w:r w:rsidR="00730D52">
            <w:rPr>
              <w:rFonts w:cstheme="minorHAnsi"/>
            </w:rPr>
            <w:t xml:space="preserve">pyztek - </w:t>
          </w:r>
          <w:r w:rsidR="00730D52" w:rsidRPr="005C7105">
            <w:rPr>
              <w:rFonts w:cstheme="minorHAnsi"/>
            </w:rPr>
            <w:t>ustekinumab</w:t>
          </w:r>
          <w:r w:rsidR="00730D52">
            <w:rPr>
              <w:rFonts w:cstheme="minorHAnsi"/>
            </w:rPr>
            <w:t xml:space="preserve"> - </w:t>
          </w:r>
          <w:r w:rsidR="00730D52" w:rsidRPr="00C328CE">
            <w:rPr>
              <w:rFonts w:cstheme="minorHAnsi"/>
            </w:rPr>
            <w:t>Samsung Bioepis AU Pty Ltd</w:t>
          </w:r>
          <w:r w:rsidR="00730D52">
            <w:rPr>
              <w:rFonts w:cstheme="minorHAnsi"/>
            </w:rPr>
            <w:t xml:space="preserve"> - </w:t>
          </w:r>
          <w:r w:rsidR="00730D52" w:rsidRPr="00DF1470">
            <w:rPr>
              <w:rFonts w:cstheme="minorHAnsi"/>
            </w:rPr>
            <w:t>PM-2023-04204-1-1</w:t>
          </w:r>
          <w:r>
            <w:br/>
          </w:r>
          <w:r w:rsidR="004B33FE">
            <w:t>Final</w:t>
          </w:r>
          <w:r w:rsidRPr="00487162">
            <w:t xml:space="preserve"> </w:t>
          </w:r>
          <w:r w:rsidR="004B33FE">
            <w:t>24</w:t>
          </w:r>
          <w:r w:rsidR="007C3E78">
            <w:t xml:space="preserve"> March 2026</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B23C4A">
                <w:fldChar w:fldCharType="begin"/>
              </w:r>
              <w:r w:rsidR="00B23C4A">
                <w:instrText xml:space="preserve"> NUMPAGES  </w:instrText>
              </w:r>
              <w:r w:rsidR="00B23C4A">
                <w:fldChar w:fldCharType="separate"/>
              </w:r>
              <w:r w:rsidR="006D6B44">
                <w:rPr>
                  <w:noProof/>
                </w:rPr>
                <w:t>17</w:t>
              </w:r>
              <w:r w:rsidR="00B23C4A">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9D28" w14:textId="77777777" w:rsidR="001E12CB" w:rsidRDefault="001E12CB" w:rsidP="00F02AEC">
      <w:pPr>
        <w:spacing w:after="0" w:line="240" w:lineRule="auto"/>
      </w:pPr>
      <w:r>
        <w:separator/>
      </w:r>
    </w:p>
  </w:footnote>
  <w:footnote w:type="continuationSeparator" w:id="0">
    <w:p w14:paraId="67986DE6" w14:textId="77777777" w:rsidR="001E12CB" w:rsidRDefault="001E12CB" w:rsidP="00F02AEC">
      <w:pPr>
        <w:spacing w:after="0" w:line="240" w:lineRule="auto"/>
      </w:pPr>
      <w:r>
        <w:continuationSeparator/>
      </w:r>
    </w:p>
  </w:footnote>
  <w:footnote w:id="1">
    <w:p w14:paraId="68402A9B" w14:textId="42E6F8E0"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1111C5"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58240"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C3D"/>
    <w:multiLevelType w:val="multilevel"/>
    <w:tmpl w:val="AFB084EC"/>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00C0938"/>
    <w:multiLevelType w:val="hybridMultilevel"/>
    <w:tmpl w:val="B2061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9" w15:restartNumberingAfterBreak="0">
    <w:nsid w:val="489B15D7"/>
    <w:multiLevelType w:val="hybridMultilevel"/>
    <w:tmpl w:val="3D2E60CC"/>
    <w:lvl w:ilvl="0" w:tplc="04CEB5FC">
      <w:start w:val="1"/>
      <w:numFmt w:val="bullet"/>
      <w:pStyle w:val="Bulletpoint"/>
      <w:lvlText w:val=""/>
      <w:lvlJc w:val="left"/>
      <w:pPr>
        <w:tabs>
          <w:tab w:val="num" w:pos="85"/>
        </w:tabs>
        <w:ind w:left="85" w:hanging="227"/>
      </w:pPr>
      <w:rPr>
        <w:rFonts w:ascii="Symbol" w:hAnsi="Symbol" w:hint="default"/>
        <w:position w:val="0"/>
        <w:sz w:val="22"/>
        <w:szCs w:val="22"/>
      </w:rPr>
    </w:lvl>
    <w:lvl w:ilvl="1" w:tplc="0C090003" w:tentative="1">
      <w:start w:val="1"/>
      <w:numFmt w:val="bullet"/>
      <w:lvlText w:val="o"/>
      <w:lvlJc w:val="left"/>
      <w:pPr>
        <w:tabs>
          <w:tab w:val="num" w:pos="1156"/>
        </w:tabs>
        <w:ind w:left="1156" w:hanging="360"/>
      </w:pPr>
      <w:rPr>
        <w:rFonts w:ascii="Courier New" w:hAnsi="Courier New" w:cs="Symbol"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Symbol"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Symbol"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4" w15:restartNumberingAfterBreak="0">
    <w:nsid w:val="71337267"/>
    <w:multiLevelType w:val="hybridMultilevel"/>
    <w:tmpl w:val="4FEED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211770941">
    <w:abstractNumId w:val="4"/>
  </w:num>
  <w:num w:numId="2" w16cid:durableId="2013213148">
    <w:abstractNumId w:val="1"/>
  </w:num>
  <w:num w:numId="3" w16cid:durableId="599146796">
    <w:abstractNumId w:val="3"/>
  </w:num>
  <w:num w:numId="4" w16cid:durableId="1541547513">
    <w:abstractNumId w:val="12"/>
  </w:num>
  <w:num w:numId="5" w16cid:durableId="118650685">
    <w:abstractNumId w:val="6"/>
  </w:num>
  <w:num w:numId="6" w16cid:durableId="1699239486">
    <w:abstractNumId w:val="10"/>
  </w:num>
  <w:num w:numId="7" w16cid:durableId="816266240">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926813964">
    <w:abstractNumId w:val="11"/>
  </w:num>
  <w:num w:numId="9" w16cid:durableId="197402044">
    <w:abstractNumId w:val="2"/>
  </w:num>
  <w:num w:numId="10" w16cid:durableId="53630162">
    <w:abstractNumId w:val="5"/>
  </w:num>
  <w:num w:numId="11" w16cid:durableId="612053865">
    <w:abstractNumId w:val="8"/>
  </w:num>
  <w:num w:numId="12" w16cid:durableId="64300294">
    <w:abstractNumId w:val="13"/>
  </w:num>
  <w:num w:numId="13" w16cid:durableId="1708140086">
    <w:abstractNumId w:val="15"/>
  </w:num>
  <w:num w:numId="14" w16cid:durableId="1566524110">
    <w:abstractNumId w:val="0"/>
  </w:num>
  <w:num w:numId="15" w16cid:durableId="1365979097">
    <w:abstractNumId w:val="7"/>
  </w:num>
  <w:num w:numId="16" w16cid:durableId="970745297">
    <w:abstractNumId w:val="9"/>
  </w:num>
  <w:num w:numId="17" w16cid:durableId="3683412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05DFC"/>
    <w:rsid w:val="0001064C"/>
    <w:rsid w:val="00011F79"/>
    <w:rsid w:val="0001384A"/>
    <w:rsid w:val="00017B3F"/>
    <w:rsid w:val="00021C13"/>
    <w:rsid w:val="00032A0F"/>
    <w:rsid w:val="0003348D"/>
    <w:rsid w:val="00035D36"/>
    <w:rsid w:val="0003765A"/>
    <w:rsid w:val="00040D8D"/>
    <w:rsid w:val="00046423"/>
    <w:rsid w:val="000477F5"/>
    <w:rsid w:val="0005067C"/>
    <w:rsid w:val="0006104E"/>
    <w:rsid w:val="000640BD"/>
    <w:rsid w:val="00065839"/>
    <w:rsid w:val="00065FDF"/>
    <w:rsid w:val="0006693A"/>
    <w:rsid w:val="00067D21"/>
    <w:rsid w:val="000769C4"/>
    <w:rsid w:val="00077844"/>
    <w:rsid w:val="00083763"/>
    <w:rsid w:val="000846A4"/>
    <w:rsid w:val="00090510"/>
    <w:rsid w:val="000917AE"/>
    <w:rsid w:val="00094B81"/>
    <w:rsid w:val="00095C6A"/>
    <w:rsid w:val="000975AA"/>
    <w:rsid w:val="000A4228"/>
    <w:rsid w:val="000B1B9D"/>
    <w:rsid w:val="000B6B15"/>
    <w:rsid w:val="000C17E0"/>
    <w:rsid w:val="000C25A7"/>
    <w:rsid w:val="000C5C13"/>
    <w:rsid w:val="000D1448"/>
    <w:rsid w:val="000D2471"/>
    <w:rsid w:val="000D78EC"/>
    <w:rsid w:val="000D7934"/>
    <w:rsid w:val="000E16AF"/>
    <w:rsid w:val="000E2434"/>
    <w:rsid w:val="000E2597"/>
    <w:rsid w:val="000E4B41"/>
    <w:rsid w:val="000E504E"/>
    <w:rsid w:val="000E6746"/>
    <w:rsid w:val="000F36AF"/>
    <w:rsid w:val="000F3D02"/>
    <w:rsid w:val="000F7B51"/>
    <w:rsid w:val="00101BEE"/>
    <w:rsid w:val="00101CE6"/>
    <w:rsid w:val="00101FB1"/>
    <w:rsid w:val="00104DA2"/>
    <w:rsid w:val="0010558A"/>
    <w:rsid w:val="001101FF"/>
    <w:rsid w:val="001111C5"/>
    <w:rsid w:val="00111989"/>
    <w:rsid w:val="00112FDD"/>
    <w:rsid w:val="00113F9F"/>
    <w:rsid w:val="00114025"/>
    <w:rsid w:val="0012473C"/>
    <w:rsid w:val="0012598C"/>
    <w:rsid w:val="00127A74"/>
    <w:rsid w:val="0013132F"/>
    <w:rsid w:val="00131B1B"/>
    <w:rsid w:val="00132C89"/>
    <w:rsid w:val="0013306D"/>
    <w:rsid w:val="0013528C"/>
    <w:rsid w:val="001403D6"/>
    <w:rsid w:val="001442A2"/>
    <w:rsid w:val="001468CA"/>
    <w:rsid w:val="001500A8"/>
    <w:rsid w:val="00154B94"/>
    <w:rsid w:val="00155D85"/>
    <w:rsid w:val="0016393B"/>
    <w:rsid w:val="00165D28"/>
    <w:rsid w:val="0017005C"/>
    <w:rsid w:val="00175CD8"/>
    <w:rsid w:val="00180A73"/>
    <w:rsid w:val="00182BD8"/>
    <w:rsid w:val="00184027"/>
    <w:rsid w:val="001900E2"/>
    <w:rsid w:val="00190853"/>
    <w:rsid w:val="00191B5C"/>
    <w:rsid w:val="00191F4D"/>
    <w:rsid w:val="001969CE"/>
    <w:rsid w:val="001A76F9"/>
    <w:rsid w:val="001A7D01"/>
    <w:rsid w:val="001B06FF"/>
    <w:rsid w:val="001B1703"/>
    <w:rsid w:val="001B6BF1"/>
    <w:rsid w:val="001C1C2E"/>
    <w:rsid w:val="001C31A1"/>
    <w:rsid w:val="001C3FA2"/>
    <w:rsid w:val="001C5EE2"/>
    <w:rsid w:val="001D0077"/>
    <w:rsid w:val="001D5EB3"/>
    <w:rsid w:val="001D6705"/>
    <w:rsid w:val="001E12CB"/>
    <w:rsid w:val="001E407B"/>
    <w:rsid w:val="001E6708"/>
    <w:rsid w:val="001E7FC6"/>
    <w:rsid w:val="001F1FC2"/>
    <w:rsid w:val="001F2502"/>
    <w:rsid w:val="001F3BA5"/>
    <w:rsid w:val="001F70A5"/>
    <w:rsid w:val="00201858"/>
    <w:rsid w:val="00201933"/>
    <w:rsid w:val="0020235D"/>
    <w:rsid w:val="0020369B"/>
    <w:rsid w:val="00205A1E"/>
    <w:rsid w:val="00207B4D"/>
    <w:rsid w:val="00210F9B"/>
    <w:rsid w:val="002117B1"/>
    <w:rsid w:val="00214082"/>
    <w:rsid w:val="002142E1"/>
    <w:rsid w:val="00214B57"/>
    <w:rsid w:val="002158B3"/>
    <w:rsid w:val="00215AAF"/>
    <w:rsid w:val="00217CCE"/>
    <w:rsid w:val="002203B1"/>
    <w:rsid w:val="00221F6B"/>
    <w:rsid w:val="00226F39"/>
    <w:rsid w:val="002334AD"/>
    <w:rsid w:val="00241B60"/>
    <w:rsid w:val="00243404"/>
    <w:rsid w:val="00254060"/>
    <w:rsid w:val="002566C1"/>
    <w:rsid w:val="0025785B"/>
    <w:rsid w:val="00257969"/>
    <w:rsid w:val="00261E5B"/>
    <w:rsid w:val="00264F57"/>
    <w:rsid w:val="00265CD1"/>
    <w:rsid w:val="00270ED9"/>
    <w:rsid w:val="002745DE"/>
    <w:rsid w:val="00274B90"/>
    <w:rsid w:val="00276A54"/>
    <w:rsid w:val="00280048"/>
    <w:rsid w:val="0028280C"/>
    <w:rsid w:val="0028489E"/>
    <w:rsid w:val="002848DE"/>
    <w:rsid w:val="00285F17"/>
    <w:rsid w:val="0028794E"/>
    <w:rsid w:val="002969E7"/>
    <w:rsid w:val="0029733B"/>
    <w:rsid w:val="002976DF"/>
    <w:rsid w:val="002A1F3B"/>
    <w:rsid w:val="002A2C13"/>
    <w:rsid w:val="002A5841"/>
    <w:rsid w:val="002A6433"/>
    <w:rsid w:val="002B1EDF"/>
    <w:rsid w:val="002B2061"/>
    <w:rsid w:val="002B33C3"/>
    <w:rsid w:val="002B60E1"/>
    <w:rsid w:val="002B7693"/>
    <w:rsid w:val="002C1232"/>
    <w:rsid w:val="002C1E44"/>
    <w:rsid w:val="002C55A4"/>
    <w:rsid w:val="002C5C92"/>
    <w:rsid w:val="002C5E29"/>
    <w:rsid w:val="002D0478"/>
    <w:rsid w:val="002D7127"/>
    <w:rsid w:val="002D7EAE"/>
    <w:rsid w:val="002F599E"/>
    <w:rsid w:val="002F6803"/>
    <w:rsid w:val="003008D8"/>
    <w:rsid w:val="00301D9A"/>
    <w:rsid w:val="00301E42"/>
    <w:rsid w:val="00303959"/>
    <w:rsid w:val="00305B19"/>
    <w:rsid w:val="00306E72"/>
    <w:rsid w:val="00312AC3"/>
    <w:rsid w:val="00314430"/>
    <w:rsid w:val="003163BC"/>
    <w:rsid w:val="003212D9"/>
    <w:rsid w:val="0032351A"/>
    <w:rsid w:val="00324B33"/>
    <w:rsid w:val="00327488"/>
    <w:rsid w:val="003276F5"/>
    <w:rsid w:val="00330B9B"/>
    <w:rsid w:val="00336FE1"/>
    <w:rsid w:val="003372CB"/>
    <w:rsid w:val="00337BD8"/>
    <w:rsid w:val="00342D56"/>
    <w:rsid w:val="003456E7"/>
    <w:rsid w:val="00346EC2"/>
    <w:rsid w:val="003477F9"/>
    <w:rsid w:val="00347AED"/>
    <w:rsid w:val="0035444D"/>
    <w:rsid w:val="00356D62"/>
    <w:rsid w:val="0036254B"/>
    <w:rsid w:val="0036390E"/>
    <w:rsid w:val="00363EE3"/>
    <w:rsid w:val="003735F3"/>
    <w:rsid w:val="00374729"/>
    <w:rsid w:val="00387298"/>
    <w:rsid w:val="00387984"/>
    <w:rsid w:val="00395140"/>
    <w:rsid w:val="003A2422"/>
    <w:rsid w:val="003B149C"/>
    <w:rsid w:val="003B3B21"/>
    <w:rsid w:val="003B716E"/>
    <w:rsid w:val="003C0FDB"/>
    <w:rsid w:val="003C1192"/>
    <w:rsid w:val="003C31BF"/>
    <w:rsid w:val="003C55E2"/>
    <w:rsid w:val="003C5EBB"/>
    <w:rsid w:val="003C63D5"/>
    <w:rsid w:val="003C7AA8"/>
    <w:rsid w:val="003D71A1"/>
    <w:rsid w:val="003E204E"/>
    <w:rsid w:val="004065E5"/>
    <w:rsid w:val="00410747"/>
    <w:rsid w:val="0041688F"/>
    <w:rsid w:val="00420F0C"/>
    <w:rsid w:val="0042376F"/>
    <w:rsid w:val="004246B8"/>
    <w:rsid w:val="004248F1"/>
    <w:rsid w:val="0042528B"/>
    <w:rsid w:val="00433318"/>
    <w:rsid w:val="00437A7C"/>
    <w:rsid w:val="0044012E"/>
    <w:rsid w:val="004411D9"/>
    <w:rsid w:val="00442A56"/>
    <w:rsid w:val="004444B0"/>
    <w:rsid w:val="0044596D"/>
    <w:rsid w:val="0045060B"/>
    <w:rsid w:val="00455EA5"/>
    <w:rsid w:val="004624E8"/>
    <w:rsid w:val="004626FF"/>
    <w:rsid w:val="0046285C"/>
    <w:rsid w:val="00463003"/>
    <w:rsid w:val="00465D4F"/>
    <w:rsid w:val="00470A52"/>
    <w:rsid w:val="00471BD5"/>
    <w:rsid w:val="00476427"/>
    <w:rsid w:val="00477C4E"/>
    <w:rsid w:val="00477F07"/>
    <w:rsid w:val="00481503"/>
    <w:rsid w:val="00481D12"/>
    <w:rsid w:val="00484BFB"/>
    <w:rsid w:val="004854A6"/>
    <w:rsid w:val="00490F7F"/>
    <w:rsid w:val="004913D4"/>
    <w:rsid w:val="00491A55"/>
    <w:rsid w:val="00494C3E"/>
    <w:rsid w:val="00497333"/>
    <w:rsid w:val="00497DF1"/>
    <w:rsid w:val="004A318E"/>
    <w:rsid w:val="004A45D4"/>
    <w:rsid w:val="004A57E8"/>
    <w:rsid w:val="004B1DD1"/>
    <w:rsid w:val="004B3081"/>
    <w:rsid w:val="004B33FE"/>
    <w:rsid w:val="004B383E"/>
    <w:rsid w:val="004B4A09"/>
    <w:rsid w:val="004C12F5"/>
    <w:rsid w:val="004C41CE"/>
    <w:rsid w:val="004C631B"/>
    <w:rsid w:val="004D0903"/>
    <w:rsid w:val="004D0933"/>
    <w:rsid w:val="004D2F00"/>
    <w:rsid w:val="004D31D8"/>
    <w:rsid w:val="004D35D1"/>
    <w:rsid w:val="004D4AD5"/>
    <w:rsid w:val="004D5388"/>
    <w:rsid w:val="004E7F16"/>
    <w:rsid w:val="004F18EC"/>
    <w:rsid w:val="00500D68"/>
    <w:rsid w:val="005058C2"/>
    <w:rsid w:val="00506BBC"/>
    <w:rsid w:val="005139AF"/>
    <w:rsid w:val="0052211F"/>
    <w:rsid w:val="00527A07"/>
    <w:rsid w:val="0053377D"/>
    <w:rsid w:val="00535DFE"/>
    <w:rsid w:val="005373B5"/>
    <w:rsid w:val="00537AB7"/>
    <w:rsid w:val="00545698"/>
    <w:rsid w:val="0054669B"/>
    <w:rsid w:val="0055576B"/>
    <w:rsid w:val="00557684"/>
    <w:rsid w:val="00560EC1"/>
    <w:rsid w:val="005610D1"/>
    <w:rsid w:val="005611FD"/>
    <w:rsid w:val="00562F42"/>
    <w:rsid w:val="00565739"/>
    <w:rsid w:val="0056766D"/>
    <w:rsid w:val="00574EA6"/>
    <w:rsid w:val="00575215"/>
    <w:rsid w:val="005775D0"/>
    <w:rsid w:val="00581138"/>
    <w:rsid w:val="005838E2"/>
    <w:rsid w:val="00583C79"/>
    <w:rsid w:val="0058575E"/>
    <w:rsid w:val="0058783C"/>
    <w:rsid w:val="005911AE"/>
    <w:rsid w:val="005926E2"/>
    <w:rsid w:val="0059313A"/>
    <w:rsid w:val="00596A84"/>
    <w:rsid w:val="005A0C41"/>
    <w:rsid w:val="005A54EA"/>
    <w:rsid w:val="005B023F"/>
    <w:rsid w:val="005B02A2"/>
    <w:rsid w:val="005B1417"/>
    <w:rsid w:val="005B19FF"/>
    <w:rsid w:val="005B43E9"/>
    <w:rsid w:val="005B69CF"/>
    <w:rsid w:val="005C3F07"/>
    <w:rsid w:val="005C4B46"/>
    <w:rsid w:val="005C5DC5"/>
    <w:rsid w:val="005C6865"/>
    <w:rsid w:val="005D0E1E"/>
    <w:rsid w:val="005D1370"/>
    <w:rsid w:val="005D2089"/>
    <w:rsid w:val="005D29CD"/>
    <w:rsid w:val="005D491E"/>
    <w:rsid w:val="005D7514"/>
    <w:rsid w:val="005E0FC6"/>
    <w:rsid w:val="005E1A7B"/>
    <w:rsid w:val="005E231F"/>
    <w:rsid w:val="005F13B4"/>
    <w:rsid w:val="005F1B24"/>
    <w:rsid w:val="005F2353"/>
    <w:rsid w:val="005F55C8"/>
    <w:rsid w:val="00602D6E"/>
    <w:rsid w:val="00605C05"/>
    <w:rsid w:val="00611351"/>
    <w:rsid w:val="00611498"/>
    <w:rsid w:val="0061217D"/>
    <w:rsid w:val="006129AE"/>
    <w:rsid w:val="00623B09"/>
    <w:rsid w:val="006277A1"/>
    <w:rsid w:val="00633BD7"/>
    <w:rsid w:val="00634580"/>
    <w:rsid w:val="00634884"/>
    <w:rsid w:val="006351D9"/>
    <w:rsid w:val="00637130"/>
    <w:rsid w:val="00637F0E"/>
    <w:rsid w:val="006423F2"/>
    <w:rsid w:val="006428C5"/>
    <w:rsid w:val="00650234"/>
    <w:rsid w:val="00655C1E"/>
    <w:rsid w:val="00656CDC"/>
    <w:rsid w:val="0066044B"/>
    <w:rsid w:val="006630AA"/>
    <w:rsid w:val="00663544"/>
    <w:rsid w:val="00666220"/>
    <w:rsid w:val="00666539"/>
    <w:rsid w:val="00666911"/>
    <w:rsid w:val="00673D96"/>
    <w:rsid w:val="00675F81"/>
    <w:rsid w:val="006766C4"/>
    <w:rsid w:val="00677D5F"/>
    <w:rsid w:val="0068143E"/>
    <w:rsid w:val="00682F3D"/>
    <w:rsid w:val="0068507D"/>
    <w:rsid w:val="00691AF2"/>
    <w:rsid w:val="00692B80"/>
    <w:rsid w:val="00692CCD"/>
    <w:rsid w:val="00692D51"/>
    <w:rsid w:val="00692D53"/>
    <w:rsid w:val="00694DD7"/>
    <w:rsid w:val="0069636B"/>
    <w:rsid w:val="006A1762"/>
    <w:rsid w:val="006A19CE"/>
    <w:rsid w:val="006A1EA8"/>
    <w:rsid w:val="006A1F0B"/>
    <w:rsid w:val="006A277A"/>
    <w:rsid w:val="006A5973"/>
    <w:rsid w:val="006B04F3"/>
    <w:rsid w:val="006B3341"/>
    <w:rsid w:val="006B4598"/>
    <w:rsid w:val="006B5E64"/>
    <w:rsid w:val="006B7126"/>
    <w:rsid w:val="006C600F"/>
    <w:rsid w:val="006C6B86"/>
    <w:rsid w:val="006D4553"/>
    <w:rsid w:val="006D4A35"/>
    <w:rsid w:val="006D6B44"/>
    <w:rsid w:val="006D7AC0"/>
    <w:rsid w:val="006E0F71"/>
    <w:rsid w:val="006E27FE"/>
    <w:rsid w:val="006E7A50"/>
    <w:rsid w:val="006F20F9"/>
    <w:rsid w:val="00701110"/>
    <w:rsid w:val="0070239E"/>
    <w:rsid w:val="00702E91"/>
    <w:rsid w:val="0070330F"/>
    <w:rsid w:val="00703624"/>
    <w:rsid w:val="00704083"/>
    <w:rsid w:val="007046ED"/>
    <w:rsid w:val="007050D3"/>
    <w:rsid w:val="0070541F"/>
    <w:rsid w:val="007072A1"/>
    <w:rsid w:val="0071060C"/>
    <w:rsid w:val="00710BC5"/>
    <w:rsid w:val="00711095"/>
    <w:rsid w:val="007121CA"/>
    <w:rsid w:val="0072003B"/>
    <w:rsid w:val="00721059"/>
    <w:rsid w:val="007211E6"/>
    <w:rsid w:val="007220C4"/>
    <w:rsid w:val="007305ED"/>
    <w:rsid w:val="00730D52"/>
    <w:rsid w:val="007311B9"/>
    <w:rsid w:val="00732361"/>
    <w:rsid w:val="007357B9"/>
    <w:rsid w:val="007364D0"/>
    <w:rsid w:val="00741AB9"/>
    <w:rsid w:val="00742D03"/>
    <w:rsid w:val="00744216"/>
    <w:rsid w:val="007451A1"/>
    <w:rsid w:val="007452E8"/>
    <w:rsid w:val="00746990"/>
    <w:rsid w:val="00747093"/>
    <w:rsid w:val="00747872"/>
    <w:rsid w:val="00750D70"/>
    <w:rsid w:val="007556DB"/>
    <w:rsid w:val="00755F1A"/>
    <w:rsid w:val="007575D0"/>
    <w:rsid w:val="00765CAB"/>
    <w:rsid w:val="007662E0"/>
    <w:rsid w:val="00776E9C"/>
    <w:rsid w:val="007816D8"/>
    <w:rsid w:val="00784150"/>
    <w:rsid w:val="00793272"/>
    <w:rsid w:val="0079499A"/>
    <w:rsid w:val="00794B64"/>
    <w:rsid w:val="007967C3"/>
    <w:rsid w:val="007A0A33"/>
    <w:rsid w:val="007A31E6"/>
    <w:rsid w:val="007B04DE"/>
    <w:rsid w:val="007B0AE6"/>
    <w:rsid w:val="007B2752"/>
    <w:rsid w:val="007B4060"/>
    <w:rsid w:val="007B6C0F"/>
    <w:rsid w:val="007C0F0B"/>
    <w:rsid w:val="007C34AA"/>
    <w:rsid w:val="007C3E78"/>
    <w:rsid w:val="007C57BC"/>
    <w:rsid w:val="007D04CA"/>
    <w:rsid w:val="007D0A2B"/>
    <w:rsid w:val="007D12A1"/>
    <w:rsid w:val="007D40E5"/>
    <w:rsid w:val="007D4138"/>
    <w:rsid w:val="007E4178"/>
    <w:rsid w:val="007E6443"/>
    <w:rsid w:val="007E69D8"/>
    <w:rsid w:val="007F0A77"/>
    <w:rsid w:val="007F1E37"/>
    <w:rsid w:val="007F50D3"/>
    <w:rsid w:val="007F6B1F"/>
    <w:rsid w:val="008013F0"/>
    <w:rsid w:val="00803926"/>
    <w:rsid w:val="00804897"/>
    <w:rsid w:val="008246B5"/>
    <w:rsid w:val="008329DB"/>
    <w:rsid w:val="008361C5"/>
    <w:rsid w:val="0083628F"/>
    <w:rsid w:val="00837AB9"/>
    <w:rsid w:val="0085027A"/>
    <w:rsid w:val="00850637"/>
    <w:rsid w:val="00852D77"/>
    <w:rsid w:val="00854D98"/>
    <w:rsid w:val="0085751E"/>
    <w:rsid w:val="00860539"/>
    <w:rsid w:val="00860B29"/>
    <w:rsid w:val="008622E8"/>
    <w:rsid w:val="008645EE"/>
    <w:rsid w:val="00870144"/>
    <w:rsid w:val="0087072C"/>
    <w:rsid w:val="00871312"/>
    <w:rsid w:val="00873119"/>
    <w:rsid w:val="00873959"/>
    <w:rsid w:val="00873D7A"/>
    <w:rsid w:val="00876F10"/>
    <w:rsid w:val="00877CB3"/>
    <w:rsid w:val="008804CF"/>
    <w:rsid w:val="00882D58"/>
    <w:rsid w:val="00882F19"/>
    <w:rsid w:val="00883D35"/>
    <w:rsid w:val="00884569"/>
    <w:rsid w:val="00887A51"/>
    <w:rsid w:val="0089038A"/>
    <w:rsid w:val="00890D9B"/>
    <w:rsid w:val="00891C6C"/>
    <w:rsid w:val="00893CCD"/>
    <w:rsid w:val="008964B3"/>
    <w:rsid w:val="008B1CB5"/>
    <w:rsid w:val="008B35EA"/>
    <w:rsid w:val="008C2D69"/>
    <w:rsid w:val="008C414B"/>
    <w:rsid w:val="008C4579"/>
    <w:rsid w:val="008C49C6"/>
    <w:rsid w:val="008C754C"/>
    <w:rsid w:val="008D119E"/>
    <w:rsid w:val="008D26B7"/>
    <w:rsid w:val="008D56C9"/>
    <w:rsid w:val="008D56CA"/>
    <w:rsid w:val="008D6A54"/>
    <w:rsid w:val="008E1040"/>
    <w:rsid w:val="008E136D"/>
    <w:rsid w:val="008E2585"/>
    <w:rsid w:val="008E2D7A"/>
    <w:rsid w:val="008E5C9A"/>
    <w:rsid w:val="008F3215"/>
    <w:rsid w:val="008F4A62"/>
    <w:rsid w:val="008F7256"/>
    <w:rsid w:val="00900AF0"/>
    <w:rsid w:val="0090424C"/>
    <w:rsid w:val="0090605E"/>
    <w:rsid w:val="00906C74"/>
    <w:rsid w:val="009108CE"/>
    <w:rsid w:val="00913E41"/>
    <w:rsid w:val="00915A9F"/>
    <w:rsid w:val="0092286B"/>
    <w:rsid w:val="00923112"/>
    <w:rsid w:val="00930D58"/>
    <w:rsid w:val="00935AAA"/>
    <w:rsid w:val="0095031E"/>
    <w:rsid w:val="0095111C"/>
    <w:rsid w:val="00954297"/>
    <w:rsid w:val="00956528"/>
    <w:rsid w:val="00960A56"/>
    <w:rsid w:val="009612AC"/>
    <w:rsid w:val="00963CA1"/>
    <w:rsid w:val="00963FD2"/>
    <w:rsid w:val="00966EF1"/>
    <w:rsid w:val="00967223"/>
    <w:rsid w:val="00972FB2"/>
    <w:rsid w:val="009751F7"/>
    <w:rsid w:val="0098168B"/>
    <w:rsid w:val="0098243F"/>
    <w:rsid w:val="0098350E"/>
    <w:rsid w:val="00990253"/>
    <w:rsid w:val="00990C12"/>
    <w:rsid w:val="00991F52"/>
    <w:rsid w:val="0099404F"/>
    <w:rsid w:val="00996FA5"/>
    <w:rsid w:val="009A3BDD"/>
    <w:rsid w:val="009B1FC7"/>
    <w:rsid w:val="009B5662"/>
    <w:rsid w:val="009C1052"/>
    <w:rsid w:val="009C2211"/>
    <w:rsid w:val="009C40E8"/>
    <w:rsid w:val="009C45C5"/>
    <w:rsid w:val="009C73FB"/>
    <w:rsid w:val="009D00B7"/>
    <w:rsid w:val="009E6160"/>
    <w:rsid w:val="009E6858"/>
    <w:rsid w:val="009E6F8C"/>
    <w:rsid w:val="009F405F"/>
    <w:rsid w:val="00A01423"/>
    <w:rsid w:val="00A01C56"/>
    <w:rsid w:val="00A11048"/>
    <w:rsid w:val="00A12897"/>
    <w:rsid w:val="00A1289D"/>
    <w:rsid w:val="00A14518"/>
    <w:rsid w:val="00A155A3"/>
    <w:rsid w:val="00A160BB"/>
    <w:rsid w:val="00A21D11"/>
    <w:rsid w:val="00A32561"/>
    <w:rsid w:val="00A32C50"/>
    <w:rsid w:val="00A351C4"/>
    <w:rsid w:val="00A358E7"/>
    <w:rsid w:val="00A35A03"/>
    <w:rsid w:val="00A4380B"/>
    <w:rsid w:val="00A4791D"/>
    <w:rsid w:val="00A51A2D"/>
    <w:rsid w:val="00A5596B"/>
    <w:rsid w:val="00A63C07"/>
    <w:rsid w:val="00A63D9B"/>
    <w:rsid w:val="00A704DC"/>
    <w:rsid w:val="00A7538D"/>
    <w:rsid w:val="00A805BF"/>
    <w:rsid w:val="00A81079"/>
    <w:rsid w:val="00A91191"/>
    <w:rsid w:val="00A93DC6"/>
    <w:rsid w:val="00A9411A"/>
    <w:rsid w:val="00AA4A4B"/>
    <w:rsid w:val="00AA6682"/>
    <w:rsid w:val="00AB0613"/>
    <w:rsid w:val="00AB7C5C"/>
    <w:rsid w:val="00AB7CBF"/>
    <w:rsid w:val="00AC0FE7"/>
    <w:rsid w:val="00AD0111"/>
    <w:rsid w:val="00AD0B68"/>
    <w:rsid w:val="00AD40C3"/>
    <w:rsid w:val="00AD4C72"/>
    <w:rsid w:val="00AD5451"/>
    <w:rsid w:val="00AE1947"/>
    <w:rsid w:val="00AF1C8B"/>
    <w:rsid w:val="00AF299B"/>
    <w:rsid w:val="00AF7E43"/>
    <w:rsid w:val="00B02AE0"/>
    <w:rsid w:val="00B03F25"/>
    <w:rsid w:val="00B05326"/>
    <w:rsid w:val="00B14545"/>
    <w:rsid w:val="00B14E60"/>
    <w:rsid w:val="00B17BA2"/>
    <w:rsid w:val="00B17BB0"/>
    <w:rsid w:val="00B23C4A"/>
    <w:rsid w:val="00B25A86"/>
    <w:rsid w:val="00B26DC3"/>
    <w:rsid w:val="00B30B9D"/>
    <w:rsid w:val="00B43AD6"/>
    <w:rsid w:val="00B4574D"/>
    <w:rsid w:val="00B468E1"/>
    <w:rsid w:val="00B46B0F"/>
    <w:rsid w:val="00B46BC0"/>
    <w:rsid w:val="00B46DFB"/>
    <w:rsid w:val="00B5141B"/>
    <w:rsid w:val="00B54BA4"/>
    <w:rsid w:val="00B55681"/>
    <w:rsid w:val="00B5610C"/>
    <w:rsid w:val="00B57AAD"/>
    <w:rsid w:val="00B60974"/>
    <w:rsid w:val="00B61E4B"/>
    <w:rsid w:val="00B6374E"/>
    <w:rsid w:val="00B72B16"/>
    <w:rsid w:val="00B80408"/>
    <w:rsid w:val="00B81397"/>
    <w:rsid w:val="00B8755B"/>
    <w:rsid w:val="00B925DB"/>
    <w:rsid w:val="00B967FF"/>
    <w:rsid w:val="00B974B9"/>
    <w:rsid w:val="00BA34C6"/>
    <w:rsid w:val="00BA3F6D"/>
    <w:rsid w:val="00BA4BE6"/>
    <w:rsid w:val="00BA4FC0"/>
    <w:rsid w:val="00BA61E0"/>
    <w:rsid w:val="00BA657C"/>
    <w:rsid w:val="00BA7F7D"/>
    <w:rsid w:val="00BB0620"/>
    <w:rsid w:val="00BB1C14"/>
    <w:rsid w:val="00BB6847"/>
    <w:rsid w:val="00BB7F8F"/>
    <w:rsid w:val="00BC716A"/>
    <w:rsid w:val="00BD07DF"/>
    <w:rsid w:val="00BD26F4"/>
    <w:rsid w:val="00BD3BD5"/>
    <w:rsid w:val="00BD5DBD"/>
    <w:rsid w:val="00BD5DF6"/>
    <w:rsid w:val="00BE0041"/>
    <w:rsid w:val="00BE640F"/>
    <w:rsid w:val="00BE6A85"/>
    <w:rsid w:val="00BE6D2A"/>
    <w:rsid w:val="00BF4638"/>
    <w:rsid w:val="00BF5130"/>
    <w:rsid w:val="00BF6E3F"/>
    <w:rsid w:val="00C00844"/>
    <w:rsid w:val="00C059D0"/>
    <w:rsid w:val="00C07551"/>
    <w:rsid w:val="00C07AFA"/>
    <w:rsid w:val="00C1109F"/>
    <w:rsid w:val="00C12D65"/>
    <w:rsid w:val="00C133AB"/>
    <w:rsid w:val="00C20B56"/>
    <w:rsid w:val="00C22214"/>
    <w:rsid w:val="00C26F72"/>
    <w:rsid w:val="00C309A7"/>
    <w:rsid w:val="00C335AB"/>
    <w:rsid w:val="00C407AB"/>
    <w:rsid w:val="00C525C5"/>
    <w:rsid w:val="00C52B7B"/>
    <w:rsid w:val="00C547CD"/>
    <w:rsid w:val="00C570FF"/>
    <w:rsid w:val="00C57CEA"/>
    <w:rsid w:val="00C60FEC"/>
    <w:rsid w:val="00C62B1C"/>
    <w:rsid w:val="00C6574E"/>
    <w:rsid w:val="00C663D1"/>
    <w:rsid w:val="00C707FD"/>
    <w:rsid w:val="00C76DEB"/>
    <w:rsid w:val="00C811D8"/>
    <w:rsid w:val="00C816C6"/>
    <w:rsid w:val="00C863A7"/>
    <w:rsid w:val="00C87AA3"/>
    <w:rsid w:val="00C912F4"/>
    <w:rsid w:val="00C9156F"/>
    <w:rsid w:val="00C9581A"/>
    <w:rsid w:val="00C97D29"/>
    <w:rsid w:val="00CB0550"/>
    <w:rsid w:val="00CB1491"/>
    <w:rsid w:val="00CB6813"/>
    <w:rsid w:val="00CB72A6"/>
    <w:rsid w:val="00CD5B9F"/>
    <w:rsid w:val="00CF6A55"/>
    <w:rsid w:val="00CF6DC6"/>
    <w:rsid w:val="00CF6DCF"/>
    <w:rsid w:val="00D01DDB"/>
    <w:rsid w:val="00D0502C"/>
    <w:rsid w:val="00D078BE"/>
    <w:rsid w:val="00D13F8A"/>
    <w:rsid w:val="00D14320"/>
    <w:rsid w:val="00D14E2B"/>
    <w:rsid w:val="00D16F60"/>
    <w:rsid w:val="00D22981"/>
    <w:rsid w:val="00D3349B"/>
    <w:rsid w:val="00D341C9"/>
    <w:rsid w:val="00D424A8"/>
    <w:rsid w:val="00D529AF"/>
    <w:rsid w:val="00D6036F"/>
    <w:rsid w:val="00D61FFC"/>
    <w:rsid w:val="00D62877"/>
    <w:rsid w:val="00D63760"/>
    <w:rsid w:val="00D6703F"/>
    <w:rsid w:val="00D734EB"/>
    <w:rsid w:val="00D8165F"/>
    <w:rsid w:val="00D82713"/>
    <w:rsid w:val="00D85A13"/>
    <w:rsid w:val="00D86F00"/>
    <w:rsid w:val="00D918D5"/>
    <w:rsid w:val="00D92AC6"/>
    <w:rsid w:val="00D94C8E"/>
    <w:rsid w:val="00DA36B9"/>
    <w:rsid w:val="00DB1372"/>
    <w:rsid w:val="00DB192C"/>
    <w:rsid w:val="00DB1CF3"/>
    <w:rsid w:val="00DB5425"/>
    <w:rsid w:val="00DB72A6"/>
    <w:rsid w:val="00DC33AF"/>
    <w:rsid w:val="00DC6611"/>
    <w:rsid w:val="00DD169E"/>
    <w:rsid w:val="00DD5AFB"/>
    <w:rsid w:val="00DE1344"/>
    <w:rsid w:val="00DE7EE8"/>
    <w:rsid w:val="00DF1CFD"/>
    <w:rsid w:val="00DF237B"/>
    <w:rsid w:val="00DF5BFE"/>
    <w:rsid w:val="00E0523F"/>
    <w:rsid w:val="00E062E6"/>
    <w:rsid w:val="00E07500"/>
    <w:rsid w:val="00E201FB"/>
    <w:rsid w:val="00E22AE9"/>
    <w:rsid w:val="00E23E50"/>
    <w:rsid w:val="00E26213"/>
    <w:rsid w:val="00E274DF"/>
    <w:rsid w:val="00E31371"/>
    <w:rsid w:val="00E344D7"/>
    <w:rsid w:val="00E34D66"/>
    <w:rsid w:val="00E35DD7"/>
    <w:rsid w:val="00E362C4"/>
    <w:rsid w:val="00E372FB"/>
    <w:rsid w:val="00E37D49"/>
    <w:rsid w:val="00E46CC2"/>
    <w:rsid w:val="00E47669"/>
    <w:rsid w:val="00E47E0C"/>
    <w:rsid w:val="00E51813"/>
    <w:rsid w:val="00E52C0B"/>
    <w:rsid w:val="00E52E38"/>
    <w:rsid w:val="00E53D3F"/>
    <w:rsid w:val="00E54A5E"/>
    <w:rsid w:val="00E5579B"/>
    <w:rsid w:val="00E57FF4"/>
    <w:rsid w:val="00E67958"/>
    <w:rsid w:val="00E679D1"/>
    <w:rsid w:val="00E67C1C"/>
    <w:rsid w:val="00E7064C"/>
    <w:rsid w:val="00E77AA0"/>
    <w:rsid w:val="00E77C47"/>
    <w:rsid w:val="00E91F11"/>
    <w:rsid w:val="00E921B4"/>
    <w:rsid w:val="00E94E3A"/>
    <w:rsid w:val="00E9706D"/>
    <w:rsid w:val="00E97ECC"/>
    <w:rsid w:val="00E97FD8"/>
    <w:rsid w:val="00EA0433"/>
    <w:rsid w:val="00EA0DC7"/>
    <w:rsid w:val="00EA333D"/>
    <w:rsid w:val="00EA3AF4"/>
    <w:rsid w:val="00EA6A9E"/>
    <w:rsid w:val="00EB0E72"/>
    <w:rsid w:val="00EB17D5"/>
    <w:rsid w:val="00EC12E1"/>
    <w:rsid w:val="00EC3560"/>
    <w:rsid w:val="00EC5F48"/>
    <w:rsid w:val="00ED14BD"/>
    <w:rsid w:val="00EE07AD"/>
    <w:rsid w:val="00EE3A91"/>
    <w:rsid w:val="00EE4B01"/>
    <w:rsid w:val="00EF0E6A"/>
    <w:rsid w:val="00EF18E2"/>
    <w:rsid w:val="00EF27A5"/>
    <w:rsid w:val="00EF38C1"/>
    <w:rsid w:val="00EF3F0B"/>
    <w:rsid w:val="00EF3F5D"/>
    <w:rsid w:val="00EF5583"/>
    <w:rsid w:val="00EF5A67"/>
    <w:rsid w:val="00F0289D"/>
    <w:rsid w:val="00F02AEC"/>
    <w:rsid w:val="00F07572"/>
    <w:rsid w:val="00F157FC"/>
    <w:rsid w:val="00F30AF3"/>
    <w:rsid w:val="00F431D9"/>
    <w:rsid w:val="00F43CD1"/>
    <w:rsid w:val="00F45AE0"/>
    <w:rsid w:val="00F4794A"/>
    <w:rsid w:val="00F502AF"/>
    <w:rsid w:val="00F51496"/>
    <w:rsid w:val="00F51D19"/>
    <w:rsid w:val="00F573BC"/>
    <w:rsid w:val="00F60CF2"/>
    <w:rsid w:val="00F657B4"/>
    <w:rsid w:val="00F72725"/>
    <w:rsid w:val="00F7649F"/>
    <w:rsid w:val="00F8083B"/>
    <w:rsid w:val="00F82D1B"/>
    <w:rsid w:val="00F84A92"/>
    <w:rsid w:val="00F8568E"/>
    <w:rsid w:val="00F865A7"/>
    <w:rsid w:val="00F87322"/>
    <w:rsid w:val="00F97DFB"/>
    <w:rsid w:val="00FA0754"/>
    <w:rsid w:val="00FA1BC9"/>
    <w:rsid w:val="00FA49C3"/>
    <w:rsid w:val="00FB236E"/>
    <w:rsid w:val="00FB3F7B"/>
    <w:rsid w:val="00FB4C2A"/>
    <w:rsid w:val="00FB7B34"/>
    <w:rsid w:val="00FC1878"/>
    <w:rsid w:val="00FC2107"/>
    <w:rsid w:val="00FC21CB"/>
    <w:rsid w:val="00FC48FE"/>
    <w:rsid w:val="00FC5937"/>
    <w:rsid w:val="00FC6F56"/>
    <w:rsid w:val="00FE087C"/>
    <w:rsid w:val="00FE79A0"/>
    <w:rsid w:val="00FF0939"/>
    <w:rsid w:val="00FF1BF7"/>
    <w:rsid w:val="00FF4FC5"/>
    <w:rsid w:val="00FF696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D02"/>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aliases w:val="List normal"/>
    <w:basedOn w:val="Normal"/>
    <w:link w:val="ListParagraphChar"/>
    <w:uiPriority w:val="1"/>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aliases w:val="List normal Char"/>
    <w:basedOn w:val="DefaultParagraphFont"/>
    <w:link w:val="ListParagraph"/>
    <w:uiPriority w:val="1"/>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Bulletpoint">
    <w:name w:val="Bullet point"/>
    <w:basedOn w:val="Normal"/>
    <w:rsid w:val="00F97DFB"/>
    <w:pPr>
      <w:numPr>
        <w:numId w:val="16"/>
      </w:numPr>
      <w:tabs>
        <w:tab w:val="left" w:pos="397"/>
        <w:tab w:val="num" w:pos="511"/>
      </w:tabs>
      <w:spacing w:after="180" w:line="252" w:lineRule="auto"/>
      <w:ind w:left="0" w:firstLine="0"/>
    </w:pPr>
    <w:rPr>
      <w:rFonts w:eastAsia="Times New Roman" w:cs="Times New Roman"/>
      <w:snapToGrid w:val="0"/>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how-we-regulate/supply-therapeutic-good-0/supply-prescription-medicine/application-process/prescription-medicines-registration-process" TargetMode="External"/><Relationship Id="rId26" Type="http://schemas.openxmlformats.org/officeDocument/2006/relationships/hyperlink" Target="https://www.tga.gov.au/sites/default/files/2024-06/guideline-immunogenicity-assessment-monoclonal-antibodies-intended-in-vivo-clinical-use-ema.pdf" TargetMode="External"/><Relationship Id="rId39" Type="http://schemas.openxmlformats.org/officeDocument/2006/relationships/hyperlink" Target="https://www.ebs.tga.gov.au/" TargetMode="External"/><Relationship Id="rId21" Type="http://schemas.openxmlformats.org/officeDocument/2006/relationships/hyperlink" Target="https://www.tga.gov.au/resources/resource/international-scientific-guidelines/international-scientific-guideline-guideline-similar-biological-medicinal-products-containing-monoclonal-antibodies-non-clinical-and-clinical-issues" TargetMode="External"/><Relationship Id="rId34" Type="http://schemas.openxmlformats.org/officeDocument/2006/relationships/hyperlink" Target="https://www.tga.gov.au/resources/resource/guidance/risk-management-plans-medicines-and-biologicals/australia-specific-annex-eu-rmp" TargetMode="Externa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products/medicines/find-information-about-medicine/prescribing-medicines-pregnancy-database"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resources/resource/international-scientific-guidelines/international-scientific-guideline-guideline-clinical-investigation-pharmacokinetics-therapeutic-proteins" TargetMode="External"/><Relationship Id="rId32" Type="http://schemas.openxmlformats.org/officeDocument/2006/relationships/hyperlink" Target="https://www.tga.gov.au/tgas-risk-management-approach" TargetMode="External"/><Relationship Id="rId37" Type="http://schemas.openxmlformats.org/officeDocument/2006/relationships/header" Target="header3.xml"/><Relationship Id="rId40" Type="http://schemas.openxmlformats.org/officeDocument/2006/relationships/hyperlink" Target="mailto:info@tga.gov.a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hyperlink" Target="https://www.tga.gov.au/sites/default/files/2024-07/guideline_on_containing_biotechnology_derived_proteins_as_active_substance_quality_issues_rev_.pdf" TargetMode="External"/><Relationship Id="rId28" Type="http://schemas.openxmlformats.org/officeDocument/2006/relationships/hyperlink" Target="https://www.tga.gov.au/sites/default/files/2024-06/guideline-clinical-investigation-medicinal-products-indicated-treatment-psoriasis-ema.pdf" TargetMode="External"/><Relationship Id="rId36" Type="http://schemas.openxmlformats.org/officeDocument/2006/relationships/hyperlink" Target="https://www.tga.gov.au/guidance-7-certified-product-details" TargetMode="External"/><Relationship Id="rId10" Type="http://schemas.openxmlformats.org/officeDocument/2006/relationships/header" Target="header2.xml"/><Relationship Id="rId19" Type="http://schemas.openxmlformats.org/officeDocument/2006/relationships/hyperlink" Target="https://www.tga.gov.au/resources/resource/guidance/biosimilar-medicines-regulation" TargetMode="External"/><Relationship Id="rId31" Type="http://schemas.openxmlformats.org/officeDocument/2006/relationships/hyperlink" Target="https://www.tga.gov.au/publication/risk-management-plans-medicines-and-biological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yperlink" Target="https://www.tga.gov.au/resources/resource/international-scientific-guidelines/international-scientific-guideline-guideline-similar-biological-medicinal-products-containing-biotechnology-derived-proteins-active-substance-non-clinical-and-clinical-issues" TargetMode="External"/><Relationship Id="rId27" Type="http://schemas.openxmlformats.org/officeDocument/2006/relationships/hyperlink" Target="https://www.ema.europa.eu/en/documents/scientific-guideline/ich-e-9-statistical-principles-clinical-trials-step-5_en.pdf" TargetMode="External"/><Relationship Id="rId30" Type="http://schemas.openxmlformats.org/officeDocument/2006/relationships/image" Target="media/image5.png"/><Relationship Id="rId35" Type="http://schemas.openxmlformats.org/officeDocument/2006/relationships/hyperlink" Target="https://www.tga.gov.au/form/certified-productdetails-cpd-biological-prescription-medicines"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tga.gov.au/" TargetMode="External"/><Relationship Id="rId17" Type="http://schemas.openxmlformats.org/officeDocument/2006/relationships/hyperlink" Target="https://www.tga.gov.au/obstetric-drug-information-services" TargetMode="External"/><Relationship Id="rId25" Type="http://schemas.openxmlformats.org/officeDocument/2006/relationships/hyperlink" Target="https://www.tga.gov.au/resources/resource/international-scientific-guidelines/international-scientific-guideline-guideline-immunogenicity-assessment-biotechnology-derived-therapeutic-proteins" TargetMode="External"/><Relationship Id="rId33" Type="http://schemas.openxmlformats.org/officeDocument/2006/relationships/hyperlink" Target="https://www.tga.gov.au/resources/resource/guidance/risk-management-plans-medicines-and-biologicals/australia-specific-annex-eu-rmp" TargetMode="External"/><Relationship Id="rId38" Type="http://schemas.openxmlformats.org/officeDocument/2006/relationships/footer" Target="footer3.xml"/><Relationship Id="rId20" Type="http://schemas.openxmlformats.org/officeDocument/2006/relationships/hyperlink" Target="https://www.tga.gov.au/resources/resource/international-scientific-guidelines/international-scientific-guidelines-guideline-similar-biological-medicinal-products" TargetMode="External"/><Relationship Id="rId41"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8408</Words>
  <Characters>40863</Characters>
  <Application>Microsoft Office Word</Application>
  <DocSecurity>0</DocSecurity>
  <Lines>1362</Lines>
  <Paragraphs>835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Australian public assessment report for Epyztek</vt:lpstr>
      <vt:lpstr>Australian public assessment report for</vt:lpstr>
    </vt:vector>
  </TitlesOfParts>
  <Company>Department of Health, Disability and Ageing</Company>
  <LinksUpToDate>false</LinksUpToDate>
  <CharactersWithSpaces>48436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Epyztek</dc:title>
  <dc:subject>Prescription medicines</dc:subject>
  <dc:creator>Therapeutic Goods Administration</dc:creator>
  <cp:keywords/>
  <dc:description/>
  <cp:lastModifiedBy>LACK, Janet</cp:lastModifiedBy>
  <cp:revision>4</cp:revision>
  <dcterms:created xsi:type="dcterms:W3CDTF">2026-03-25T02:31:00Z</dcterms:created>
  <dcterms:modified xsi:type="dcterms:W3CDTF">2026-03-25T03:23:00Z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2026-02-24T05:08:10Z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7426a603-fe31-413d-ac26-0267087422cd</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