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2A88E87A" w:rsidR="00F02AEC" w:rsidRPr="00215D48" w:rsidRDefault="00346EC2" w:rsidP="007452E8">
            <w:pPr>
              <w:pStyle w:val="Title"/>
            </w:pPr>
            <w:r w:rsidRPr="00346EC2">
              <w:t xml:space="preserve">Australian Public Assessment Report for </w:t>
            </w:r>
            <w:proofErr w:type="spellStart"/>
            <w:r w:rsidR="00282990">
              <w:t>Andriga</w:t>
            </w:r>
            <w:proofErr w:type="spellEnd"/>
          </w:p>
        </w:tc>
      </w:tr>
      <w:tr w:rsidR="00F02AEC" w:rsidRPr="00215D48" w14:paraId="318A40A3" w14:textId="77777777" w:rsidTr="00346EC2">
        <w:trPr>
          <w:trHeight w:val="995"/>
        </w:trPr>
        <w:tc>
          <w:tcPr>
            <w:tcW w:w="8720" w:type="dxa"/>
          </w:tcPr>
          <w:p w14:paraId="1AA7C701" w14:textId="09F8F8D6" w:rsidR="00F02AEC" w:rsidRPr="00215D48" w:rsidRDefault="00346EC2" w:rsidP="007452E8">
            <w:pPr>
              <w:pStyle w:val="Subtitle"/>
              <w:ind w:left="0"/>
            </w:pPr>
            <w:r w:rsidRPr="00346EC2">
              <w:t>Active ingredient</w:t>
            </w:r>
            <w:r w:rsidR="00903461">
              <w:t>s</w:t>
            </w:r>
            <w:r w:rsidRPr="00346EC2">
              <w:t xml:space="preserve">: </w:t>
            </w:r>
            <w:r w:rsidR="00CB5937">
              <w:t>a</w:t>
            </w:r>
            <w:r w:rsidR="00903461" w:rsidRPr="00903461">
              <w:t>biraterone</w:t>
            </w:r>
            <w:r w:rsidR="00254831">
              <w:t xml:space="preserve">, </w:t>
            </w:r>
            <w:r w:rsidR="00CB5937">
              <w:t>p</w:t>
            </w:r>
            <w:r w:rsidR="00903461" w:rsidRPr="00903461">
              <w:t>rednisolone</w:t>
            </w:r>
          </w:p>
        </w:tc>
      </w:tr>
      <w:tr w:rsidR="00346EC2" w:rsidRPr="00215D48" w14:paraId="362CCAE4" w14:textId="77777777" w:rsidTr="007452E8">
        <w:trPr>
          <w:trHeight w:val="1916"/>
        </w:trPr>
        <w:tc>
          <w:tcPr>
            <w:tcW w:w="8720" w:type="dxa"/>
          </w:tcPr>
          <w:p w14:paraId="709C45C0" w14:textId="2B77BE2D" w:rsidR="00346EC2" w:rsidRPr="00215D48" w:rsidRDefault="00346EC2" w:rsidP="007452E8">
            <w:pPr>
              <w:pStyle w:val="Subtitle"/>
              <w:ind w:left="0"/>
            </w:pPr>
            <w:r w:rsidRPr="00346EC2">
              <w:t xml:space="preserve">Sponsor: </w:t>
            </w:r>
            <w:r w:rsidR="00903461" w:rsidRPr="00903461">
              <w:t>Actor Pharmaceuticals Pty Ltd</w:t>
            </w:r>
          </w:p>
        </w:tc>
      </w:tr>
      <w:tr w:rsidR="00F02AEC" w:rsidRPr="00215D48" w14:paraId="37F2AA1F" w14:textId="77777777" w:rsidTr="007452E8">
        <w:tc>
          <w:tcPr>
            <w:tcW w:w="8720" w:type="dxa"/>
          </w:tcPr>
          <w:p w14:paraId="1FDE8DCD" w14:textId="169FB685" w:rsidR="00F02AEC" w:rsidRPr="00215D48" w:rsidRDefault="00D77A31" w:rsidP="007452E8">
            <w:pPr>
              <w:pStyle w:val="Date"/>
            </w:pPr>
            <w:r>
              <w:t>March</w:t>
            </w:r>
            <w:r w:rsidR="00F02AEC" w:rsidRPr="00215D48">
              <w:t xml:space="preserve"> </w:t>
            </w:r>
            <w:r>
              <w:t>2026</w:t>
            </w:r>
          </w:p>
        </w:tc>
      </w:tr>
    </w:tbl>
    <w:p w14:paraId="73752706" w14:textId="77777777" w:rsidR="00F02AEC" w:rsidRPr="00215D48" w:rsidRDefault="00F02AEC" w:rsidP="007452E8">
      <w:pPr>
        <w:pStyle w:val="ListBullet"/>
        <w:numPr>
          <w:ilvl w:val="0"/>
          <w:numId w:val="0"/>
        </w:numPr>
        <w:sectPr w:rsidR="00F02AEC" w:rsidRPr="00215D48" w:rsidSect="00CB055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038D0DA4" w:rsidR="00346EC2" w:rsidRPr="00391B0C" w:rsidRDefault="00346EC2" w:rsidP="0056766D">
      <w:pPr>
        <w:pStyle w:val="ListBullet"/>
      </w:pPr>
      <w:r w:rsidRPr="00391B0C">
        <w:t xml:space="preserve">The Therapeutic Goods Administration (TGA) is part of the Australian Government </w:t>
      </w:r>
      <w:r w:rsidRPr="00C22214">
        <w:t>Department of Health</w:t>
      </w:r>
      <w:r w:rsidR="0006693A">
        <w:t>, Disability</w:t>
      </w:r>
      <w:r w:rsidRPr="00C22214">
        <w:t xml:space="preserve"> and Ag</w:t>
      </w:r>
      <w:r w:rsidR="0006693A">
        <w:t>eing</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C976CB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7" w:history="1">
        <w:r w:rsidRPr="00A63C07">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010FE2EE" w:rsidR="00346EC2" w:rsidRPr="003C6D1F" w:rsidRDefault="00346EC2" w:rsidP="00346EC2">
      <w:pPr>
        <w:pStyle w:val="ListBullet"/>
      </w:pPr>
      <w:r>
        <w:t>The</w:t>
      </w:r>
      <w:r w:rsidRPr="003C6D1F">
        <w:t xml:space="preserve"> Australian Public Assessment Report (</w:t>
      </w:r>
      <w:proofErr w:type="spellStart"/>
      <w:r w:rsidRPr="003C6D1F">
        <w:t>AusPAR</w:t>
      </w:r>
      <w:proofErr w:type="spellEnd"/>
      <w:r w:rsidRPr="003C6D1F">
        <w:t>) provides information about the evaluation of a prescription medicine and the considerations that led the TGA to approve or not approve a prescription medicine submission.</w:t>
      </w:r>
      <w:r>
        <w:t xml:space="preserve"> Further information can be found in </w:t>
      </w:r>
      <w:hyperlink r:id="rId18" w:history="1">
        <w:r w:rsidRPr="005A2EB8">
          <w:rPr>
            <w:rStyle w:val="Hyperlink"/>
          </w:rPr>
          <w:t>Australian Public Assessment Report (</w:t>
        </w:r>
        <w:proofErr w:type="spellStart"/>
        <w:r w:rsidRPr="005A2EB8">
          <w:rPr>
            <w:rStyle w:val="Hyperlink"/>
          </w:rPr>
          <w:t>AusPAR</w:t>
        </w:r>
        <w:proofErr w:type="spellEnd"/>
        <w:r w:rsidRPr="005A2EB8">
          <w:rPr>
            <w:rStyle w:val="Hyperlink"/>
          </w:rPr>
          <w:t>)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w:t>
      </w:r>
      <w:proofErr w:type="spellStart"/>
      <w:r>
        <w:t>AusPAR</w:t>
      </w:r>
      <w:proofErr w:type="spellEnd"/>
      <w:r>
        <w:t xml:space="preserve"> is an important part of the transparency of the TGA’s decision-making process.</w:t>
      </w:r>
    </w:p>
    <w:p w14:paraId="4D69F5CF" w14:textId="77777777" w:rsidR="00346EC2" w:rsidRPr="003C6D1F" w:rsidRDefault="00346EC2" w:rsidP="00346EC2">
      <w:pPr>
        <w:pStyle w:val="ListBullet"/>
      </w:pPr>
      <w:r w:rsidRPr="003C6D1F">
        <w:t xml:space="preserve">A new </w:t>
      </w:r>
      <w:proofErr w:type="spellStart"/>
      <w:r w:rsidRPr="003C6D1F">
        <w:t>AusPAR</w:t>
      </w:r>
      <w:proofErr w:type="spellEnd"/>
      <w:r w:rsidRPr="003C6D1F">
        <w:t xml:space="preserve">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70D16D24" w:rsidR="00175CD8" w:rsidRPr="00346EC2" w:rsidRDefault="00F02AEC" w:rsidP="00346EC2">
      <w:pPr>
        <w:pStyle w:val="LegalCopy"/>
        <w:rPr>
          <w:rFonts w:cs="Arial"/>
        </w:rPr>
      </w:pPr>
      <w:r w:rsidRPr="00215D48">
        <w:rPr>
          <w:rFonts w:cs="Arial"/>
        </w:rPr>
        <w:t>© Commonwealth of Australia 20</w:t>
      </w:r>
      <w:r>
        <w:rPr>
          <w:rFonts w:cs="Arial"/>
        </w:rPr>
        <w:t>2</w:t>
      </w:r>
      <w:r w:rsidR="0009023D">
        <w:rPr>
          <w:rFonts w:cs="Arial"/>
        </w:rPr>
        <w:t>6</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9"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4708C435" w14:textId="540E0503" w:rsidR="00E26651"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25515970" w:history="1">
            <w:r w:rsidR="00E26651" w:rsidRPr="00B159F3">
              <w:rPr>
                <w:rStyle w:val="Hyperlink"/>
                <w:noProof/>
              </w:rPr>
              <w:t>List of abbreviations</w:t>
            </w:r>
            <w:r w:rsidR="00E26651">
              <w:rPr>
                <w:noProof/>
                <w:webHidden/>
              </w:rPr>
              <w:tab/>
            </w:r>
            <w:r w:rsidR="00E26651">
              <w:rPr>
                <w:noProof/>
                <w:webHidden/>
              </w:rPr>
              <w:fldChar w:fldCharType="begin"/>
            </w:r>
            <w:r w:rsidR="00E26651">
              <w:rPr>
                <w:noProof/>
                <w:webHidden/>
              </w:rPr>
              <w:instrText xml:space="preserve"> PAGEREF _Toc225515970 \h </w:instrText>
            </w:r>
            <w:r w:rsidR="00E26651">
              <w:rPr>
                <w:noProof/>
                <w:webHidden/>
              </w:rPr>
            </w:r>
            <w:r w:rsidR="00E26651">
              <w:rPr>
                <w:noProof/>
                <w:webHidden/>
              </w:rPr>
              <w:fldChar w:fldCharType="separate"/>
            </w:r>
            <w:r w:rsidR="00E26651">
              <w:rPr>
                <w:noProof/>
                <w:webHidden/>
              </w:rPr>
              <w:t>4</w:t>
            </w:r>
            <w:r w:rsidR="00E26651">
              <w:rPr>
                <w:noProof/>
                <w:webHidden/>
              </w:rPr>
              <w:fldChar w:fldCharType="end"/>
            </w:r>
          </w:hyperlink>
        </w:p>
        <w:p w14:paraId="365BFA99" w14:textId="7E0B2D98" w:rsidR="00E26651" w:rsidRDefault="00E2665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515971" w:history="1">
            <w:r w:rsidRPr="00B159F3">
              <w:rPr>
                <w:rStyle w:val="Hyperlink"/>
                <w:noProof/>
              </w:rPr>
              <w:t>Product submission</w:t>
            </w:r>
            <w:r>
              <w:rPr>
                <w:noProof/>
                <w:webHidden/>
              </w:rPr>
              <w:tab/>
            </w:r>
            <w:r>
              <w:rPr>
                <w:noProof/>
                <w:webHidden/>
              </w:rPr>
              <w:fldChar w:fldCharType="begin"/>
            </w:r>
            <w:r>
              <w:rPr>
                <w:noProof/>
                <w:webHidden/>
              </w:rPr>
              <w:instrText xml:space="preserve"> PAGEREF _Toc225515971 \h </w:instrText>
            </w:r>
            <w:r>
              <w:rPr>
                <w:noProof/>
                <w:webHidden/>
              </w:rPr>
            </w:r>
            <w:r>
              <w:rPr>
                <w:noProof/>
                <w:webHidden/>
              </w:rPr>
              <w:fldChar w:fldCharType="separate"/>
            </w:r>
            <w:r>
              <w:rPr>
                <w:noProof/>
                <w:webHidden/>
              </w:rPr>
              <w:t>5</w:t>
            </w:r>
            <w:r>
              <w:rPr>
                <w:noProof/>
                <w:webHidden/>
              </w:rPr>
              <w:fldChar w:fldCharType="end"/>
            </w:r>
          </w:hyperlink>
        </w:p>
        <w:p w14:paraId="01A99527" w14:textId="0D69C63B" w:rsidR="00E26651" w:rsidRDefault="00E266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515972" w:history="1">
            <w:r w:rsidRPr="00B159F3">
              <w:rPr>
                <w:rStyle w:val="Hyperlink"/>
                <w:noProof/>
                <w:lang w:eastAsia="en-AU"/>
              </w:rPr>
              <w:t>Submission details</w:t>
            </w:r>
            <w:r>
              <w:rPr>
                <w:noProof/>
                <w:webHidden/>
              </w:rPr>
              <w:tab/>
            </w:r>
            <w:r>
              <w:rPr>
                <w:noProof/>
                <w:webHidden/>
              </w:rPr>
              <w:fldChar w:fldCharType="begin"/>
            </w:r>
            <w:r>
              <w:rPr>
                <w:noProof/>
                <w:webHidden/>
              </w:rPr>
              <w:instrText xml:space="preserve"> PAGEREF _Toc225515972 \h </w:instrText>
            </w:r>
            <w:r>
              <w:rPr>
                <w:noProof/>
                <w:webHidden/>
              </w:rPr>
            </w:r>
            <w:r>
              <w:rPr>
                <w:noProof/>
                <w:webHidden/>
              </w:rPr>
              <w:fldChar w:fldCharType="separate"/>
            </w:r>
            <w:r>
              <w:rPr>
                <w:noProof/>
                <w:webHidden/>
              </w:rPr>
              <w:t>5</w:t>
            </w:r>
            <w:r>
              <w:rPr>
                <w:noProof/>
                <w:webHidden/>
              </w:rPr>
              <w:fldChar w:fldCharType="end"/>
            </w:r>
          </w:hyperlink>
        </w:p>
        <w:p w14:paraId="61CBBD47" w14:textId="7E576D33" w:rsidR="00E26651" w:rsidRDefault="00E266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515973" w:history="1">
            <w:r w:rsidRPr="00B159F3">
              <w:rPr>
                <w:rStyle w:val="Hyperlink"/>
                <w:noProof/>
              </w:rPr>
              <w:t>Product background</w:t>
            </w:r>
            <w:r>
              <w:rPr>
                <w:noProof/>
                <w:webHidden/>
              </w:rPr>
              <w:tab/>
            </w:r>
            <w:r>
              <w:rPr>
                <w:noProof/>
                <w:webHidden/>
              </w:rPr>
              <w:fldChar w:fldCharType="begin"/>
            </w:r>
            <w:r>
              <w:rPr>
                <w:noProof/>
                <w:webHidden/>
              </w:rPr>
              <w:instrText xml:space="preserve"> PAGEREF _Toc225515973 \h </w:instrText>
            </w:r>
            <w:r>
              <w:rPr>
                <w:noProof/>
                <w:webHidden/>
              </w:rPr>
            </w:r>
            <w:r>
              <w:rPr>
                <w:noProof/>
                <w:webHidden/>
              </w:rPr>
              <w:fldChar w:fldCharType="separate"/>
            </w:r>
            <w:r>
              <w:rPr>
                <w:noProof/>
                <w:webHidden/>
              </w:rPr>
              <w:t>6</w:t>
            </w:r>
            <w:r>
              <w:rPr>
                <w:noProof/>
                <w:webHidden/>
              </w:rPr>
              <w:fldChar w:fldCharType="end"/>
            </w:r>
          </w:hyperlink>
        </w:p>
        <w:p w14:paraId="60292AE7" w14:textId="1393DB4E" w:rsidR="00E26651" w:rsidRDefault="00E266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515974" w:history="1">
            <w:r w:rsidRPr="00B159F3">
              <w:rPr>
                <w:rStyle w:val="Hyperlink"/>
                <w:noProof/>
              </w:rPr>
              <w:t>Disease or condition</w:t>
            </w:r>
            <w:r>
              <w:rPr>
                <w:noProof/>
                <w:webHidden/>
              </w:rPr>
              <w:tab/>
            </w:r>
            <w:r>
              <w:rPr>
                <w:noProof/>
                <w:webHidden/>
              </w:rPr>
              <w:fldChar w:fldCharType="begin"/>
            </w:r>
            <w:r>
              <w:rPr>
                <w:noProof/>
                <w:webHidden/>
              </w:rPr>
              <w:instrText xml:space="preserve"> PAGEREF _Toc225515974 \h </w:instrText>
            </w:r>
            <w:r>
              <w:rPr>
                <w:noProof/>
                <w:webHidden/>
              </w:rPr>
            </w:r>
            <w:r>
              <w:rPr>
                <w:noProof/>
                <w:webHidden/>
              </w:rPr>
              <w:fldChar w:fldCharType="separate"/>
            </w:r>
            <w:r>
              <w:rPr>
                <w:noProof/>
                <w:webHidden/>
              </w:rPr>
              <w:t>7</w:t>
            </w:r>
            <w:r>
              <w:rPr>
                <w:noProof/>
                <w:webHidden/>
              </w:rPr>
              <w:fldChar w:fldCharType="end"/>
            </w:r>
          </w:hyperlink>
        </w:p>
        <w:p w14:paraId="265FCA9E" w14:textId="01DE4071" w:rsidR="00E26651" w:rsidRDefault="00E266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515975" w:history="1">
            <w:r w:rsidRPr="00B159F3">
              <w:rPr>
                <w:rStyle w:val="Hyperlink"/>
                <w:noProof/>
              </w:rPr>
              <w:t>Current treatment options</w:t>
            </w:r>
            <w:r>
              <w:rPr>
                <w:noProof/>
                <w:webHidden/>
              </w:rPr>
              <w:tab/>
            </w:r>
            <w:r>
              <w:rPr>
                <w:noProof/>
                <w:webHidden/>
              </w:rPr>
              <w:fldChar w:fldCharType="begin"/>
            </w:r>
            <w:r>
              <w:rPr>
                <w:noProof/>
                <w:webHidden/>
              </w:rPr>
              <w:instrText xml:space="preserve"> PAGEREF _Toc225515975 \h </w:instrText>
            </w:r>
            <w:r>
              <w:rPr>
                <w:noProof/>
                <w:webHidden/>
              </w:rPr>
            </w:r>
            <w:r>
              <w:rPr>
                <w:noProof/>
                <w:webHidden/>
              </w:rPr>
              <w:fldChar w:fldCharType="separate"/>
            </w:r>
            <w:r>
              <w:rPr>
                <w:noProof/>
                <w:webHidden/>
              </w:rPr>
              <w:t>9</w:t>
            </w:r>
            <w:r>
              <w:rPr>
                <w:noProof/>
                <w:webHidden/>
              </w:rPr>
              <w:fldChar w:fldCharType="end"/>
            </w:r>
          </w:hyperlink>
        </w:p>
        <w:p w14:paraId="43ECDC0D" w14:textId="2652767F" w:rsidR="00E26651" w:rsidRDefault="00E266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515976" w:history="1">
            <w:r w:rsidRPr="00B159F3">
              <w:rPr>
                <w:rStyle w:val="Hyperlink"/>
                <w:noProof/>
              </w:rPr>
              <w:t>Clinical rationale</w:t>
            </w:r>
            <w:r>
              <w:rPr>
                <w:noProof/>
                <w:webHidden/>
              </w:rPr>
              <w:tab/>
            </w:r>
            <w:r>
              <w:rPr>
                <w:noProof/>
                <w:webHidden/>
              </w:rPr>
              <w:fldChar w:fldCharType="begin"/>
            </w:r>
            <w:r>
              <w:rPr>
                <w:noProof/>
                <w:webHidden/>
              </w:rPr>
              <w:instrText xml:space="preserve"> PAGEREF _Toc225515976 \h </w:instrText>
            </w:r>
            <w:r>
              <w:rPr>
                <w:noProof/>
                <w:webHidden/>
              </w:rPr>
            </w:r>
            <w:r>
              <w:rPr>
                <w:noProof/>
                <w:webHidden/>
              </w:rPr>
              <w:fldChar w:fldCharType="separate"/>
            </w:r>
            <w:r>
              <w:rPr>
                <w:noProof/>
                <w:webHidden/>
              </w:rPr>
              <w:t>11</w:t>
            </w:r>
            <w:r>
              <w:rPr>
                <w:noProof/>
                <w:webHidden/>
              </w:rPr>
              <w:fldChar w:fldCharType="end"/>
            </w:r>
          </w:hyperlink>
        </w:p>
        <w:p w14:paraId="70C2B197" w14:textId="31465FCC" w:rsidR="00E26651" w:rsidRDefault="00E266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515977" w:history="1">
            <w:r w:rsidRPr="00B159F3">
              <w:rPr>
                <w:rStyle w:val="Hyperlink"/>
                <w:noProof/>
              </w:rPr>
              <w:t>Regulatory status</w:t>
            </w:r>
            <w:r>
              <w:rPr>
                <w:noProof/>
                <w:webHidden/>
              </w:rPr>
              <w:tab/>
            </w:r>
            <w:r>
              <w:rPr>
                <w:noProof/>
                <w:webHidden/>
              </w:rPr>
              <w:fldChar w:fldCharType="begin"/>
            </w:r>
            <w:r>
              <w:rPr>
                <w:noProof/>
                <w:webHidden/>
              </w:rPr>
              <w:instrText xml:space="preserve"> PAGEREF _Toc225515977 \h </w:instrText>
            </w:r>
            <w:r>
              <w:rPr>
                <w:noProof/>
                <w:webHidden/>
              </w:rPr>
            </w:r>
            <w:r>
              <w:rPr>
                <w:noProof/>
                <w:webHidden/>
              </w:rPr>
              <w:fldChar w:fldCharType="separate"/>
            </w:r>
            <w:r>
              <w:rPr>
                <w:noProof/>
                <w:webHidden/>
              </w:rPr>
              <w:t>11</w:t>
            </w:r>
            <w:r>
              <w:rPr>
                <w:noProof/>
                <w:webHidden/>
              </w:rPr>
              <w:fldChar w:fldCharType="end"/>
            </w:r>
          </w:hyperlink>
        </w:p>
        <w:p w14:paraId="7823EA02" w14:textId="70651BA5" w:rsidR="00E26651" w:rsidRDefault="00E266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515978" w:history="1">
            <w:r w:rsidRPr="00B159F3">
              <w:rPr>
                <w:rStyle w:val="Hyperlink"/>
                <w:noProof/>
              </w:rPr>
              <w:t>Australian regulatory status</w:t>
            </w:r>
            <w:r>
              <w:rPr>
                <w:noProof/>
                <w:webHidden/>
              </w:rPr>
              <w:tab/>
            </w:r>
            <w:r>
              <w:rPr>
                <w:noProof/>
                <w:webHidden/>
              </w:rPr>
              <w:fldChar w:fldCharType="begin"/>
            </w:r>
            <w:r>
              <w:rPr>
                <w:noProof/>
                <w:webHidden/>
              </w:rPr>
              <w:instrText xml:space="preserve"> PAGEREF _Toc225515978 \h </w:instrText>
            </w:r>
            <w:r>
              <w:rPr>
                <w:noProof/>
                <w:webHidden/>
              </w:rPr>
            </w:r>
            <w:r>
              <w:rPr>
                <w:noProof/>
                <w:webHidden/>
              </w:rPr>
              <w:fldChar w:fldCharType="separate"/>
            </w:r>
            <w:r>
              <w:rPr>
                <w:noProof/>
                <w:webHidden/>
              </w:rPr>
              <w:t>11</w:t>
            </w:r>
            <w:r>
              <w:rPr>
                <w:noProof/>
                <w:webHidden/>
              </w:rPr>
              <w:fldChar w:fldCharType="end"/>
            </w:r>
          </w:hyperlink>
        </w:p>
        <w:p w14:paraId="14D54E2F" w14:textId="1AF91F16" w:rsidR="00E26651" w:rsidRDefault="00E26651">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225515979" w:history="1">
            <w:r w:rsidRPr="00B159F3">
              <w:rPr>
                <w:rStyle w:val="Hyperlink"/>
                <w:noProof/>
              </w:rPr>
              <w:t>International regulatory status</w:t>
            </w:r>
            <w:r>
              <w:rPr>
                <w:noProof/>
                <w:webHidden/>
              </w:rPr>
              <w:tab/>
            </w:r>
            <w:r>
              <w:rPr>
                <w:noProof/>
                <w:webHidden/>
              </w:rPr>
              <w:fldChar w:fldCharType="begin"/>
            </w:r>
            <w:r>
              <w:rPr>
                <w:noProof/>
                <w:webHidden/>
              </w:rPr>
              <w:instrText xml:space="preserve"> PAGEREF _Toc225515979 \h </w:instrText>
            </w:r>
            <w:r>
              <w:rPr>
                <w:noProof/>
                <w:webHidden/>
              </w:rPr>
            </w:r>
            <w:r>
              <w:rPr>
                <w:noProof/>
                <w:webHidden/>
              </w:rPr>
              <w:fldChar w:fldCharType="separate"/>
            </w:r>
            <w:r>
              <w:rPr>
                <w:noProof/>
                <w:webHidden/>
              </w:rPr>
              <w:t>11</w:t>
            </w:r>
            <w:r>
              <w:rPr>
                <w:noProof/>
                <w:webHidden/>
              </w:rPr>
              <w:fldChar w:fldCharType="end"/>
            </w:r>
          </w:hyperlink>
        </w:p>
        <w:p w14:paraId="56251380" w14:textId="0DAE9FF4" w:rsidR="00E26651" w:rsidRDefault="00E2665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515980" w:history="1">
            <w:r w:rsidRPr="00B159F3">
              <w:rPr>
                <w:rStyle w:val="Hyperlink"/>
                <w:noProof/>
              </w:rPr>
              <w:t>Registration timeline</w:t>
            </w:r>
            <w:r>
              <w:rPr>
                <w:noProof/>
                <w:webHidden/>
              </w:rPr>
              <w:tab/>
            </w:r>
            <w:r>
              <w:rPr>
                <w:noProof/>
                <w:webHidden/>
              </w:rPr>
              <w:fldChar w:fldCharType="begin"/>
            </w:r>
            <w:r>
              <w:rPr>
                <w:noProof/>
                <w:webHidden/>
              </w:rPr>
              <w:instrText xml:space="preserve"> PAGEREF _Toc225515980 \h </w:instrText>
            </w:r>
            <w:r>
              <w:rPr>
                <w:noProof/>
                <w:webHidden/>
              </w:rPr>
            </w:r>
            <w:r>
              <w:rPr>
                <w:noProof/>
                <w:webHidden/>
              </w:rPr>
              <w:fldChar w:fldCharType="separate"/>
            </w:r>
            <w:r>
              <w:rPr>
                <w:noProof/>
                <w:webHidden/>
              </w:rPr>
              <w:t>11</w:t>
            </w:r>
            <w:r>
              <w:rPr>
                <w:noProof/>
                <w:webHidden/>
              </w:rPr>
              <w:fldChar w:fldCharType="end"/>
            </w:r>
          </w:hyperlink>
        </w:p>
        <w:p w14:paraId="6769F8B4" w14:textId="18758596" w:rsidR="00E26651" w:rsidRDefault="00E2665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515981" w:history="1">
            <w:r w:rsidRPr="00B159F3">
              <w:rPr>
                <w:rStyle w:val="Hyperlink"/>
                <w:noProof/>
              </w:rPr>
              <w:t>Assessment overview</w:t>
            </w:r>
            <w:r>
              <w:rPr>
                <w:noProof/>
                <w:webHidden/>
              </w:rPr>
              <w:tab/>
            </w:r>
            <w:r>
              <w:rPr>
                <w:noProof/>
                <w:webHidden/>
              </w:rPr>
              <w:fldChar w:fldCharType="begin"/>
            </w:r>
            <w:r>
              <w:rPr>
                <w:noProof/>
                <w:webHidden/>
              </w:rPr>
              <w:instrText xml:space="preserve"> PAGEREF _Toc225515981 \h </w:instrText>
            </w:r>
            <w:r>
              <w:rPr>
                <w:noProof/>
                <w:webHidden/>
              </w:rPr>
            </w:r>
            <w:r>
              <w:rPr>
                <w:noProof/>
                <w:webHidden/>
              </w:rPr>
              <w:fldChar w:fldCharType="separate"/>
            </w:r>
            <w:r>
              <w:rPr>
                <w:noProof/>
                <w:webHidden/>
              </w:rPr>
              <w:t>12</w:t>
            </w:r>
            <w:r>
              <w:rPr>
                <w:noProof/>
                <w:webHidden/>
              </w:rPr>
              <w:fldChar w:fldCharType="end"/>
            </w:r>
          </w:hyperlink>
        </w:p>
        <w:p w14:paraId="6776FE1C" w14:textId="664B11A8" w:rsidR="00E26651" w:rsidRDefault="00E266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515982" w:history="1">
            <w:r w:rsidRPr="00B159F3">
              <w:rPr>
                <w:rStyle w:val="Hyperlink"/>
                <w:noProof/>
              </w:rPr>
              <w:t>Quality evaluation summary</w:t>
            </w:r>
            <w:r>
              <w:rPr>
                <w:noProof/>
                <w:webHidden/>
              </w:rPr>
              <w:tab/>
            </w:r>
            <w:r>
              <w:rPr>
                <w:noProof/>
                <w:webHidden/>
              </w:rPr>
              <w:fldChar w:fldCharType="begin"/>
            </w:r>
            <w:r>
              <w:rPr>
                <w:noProof/>
                <w:webHidden/>
              </w:rPr>
              <w:instrText xml:space="preserve"> PAGEREF _Toc225515982 \h </w:instrText>
            </w:r>
            <w:r>
              <w:rPr>
                <w:noProof/>
                <w:webHidden/>
              </w:rPr>
            </w:r>
            <w:r>
              <w:rPr>
                <w:noProof/>
                <w:webHidden/>
              </w:rPr>
              <w:fldChar w:fldCharType="separate"/>
            </w:r>
            <w:r>
              <w:rPr>
                <w:noProof/>
                <w:webHidden/>
              </w:rPr>
              <w:t>12</w:t>
            </w:r>
            <w:r>
              <w:rPr>
                <w:noProof/>
                <w:webHidden/>
              </w:rPr>
              <w:fldChar w:fldCharType="end"/>
            </w:r>
          </w:hyperlink>
        </w:p>
        <w:p w14:paraId="5AFF6784" w14:textId="088DC19E" w:rsidR="00E26651" w:rsidRDefault="00E266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515983" w:history="1">
            <w:r w:rsidRPr="00B159F3">
              <w:rPr>
                <w:rStyle w:val="Hyperlink"/>
                <w:noProof/>
              </w:rPr>
              <w:t>Nonclinical evaluation summary</w:t>
            </w:r>
            <w:r>
              <w:rPr>
                <w:noProof/>
                <w:webHidden/>
              </w:rPr>
              <w:tab/>
            </w:r>
            <w:r>
              <w:rPr>
                <w:noProof/>
                <w:webHidden/>
              </w:rPr>
              <w:fldChar w:fldCharType="begin"/>
            </w:r>
            <w:r>
              <w:rPr>
                <w:noProof/>
                <w:webHidden/>
              </w:rPr>
              <w:instrText xml:space="preserve"> PAGEREF _Toc225515983 \h </w:instrText>
            </w:r>
            <w:r>
              <w:rPr>
                <w:noProof/>
                <w:webHidden/>
              </w:rPr>
            </w:r>
            <w:r>
              <w:rPr>
                <w:noProof/>
                <w:webHidden/>
              </w:rPr>
              <w:fldChar w:fldCharType="separate"/>
            </w:r>
            <w:r>
              <w:rPr>
                <w:noProof/>
                <w:webHidden/>
              </w:rPr>
              <w:t>13</w:t>
            </w:r>
            <w:r>
              <w:rPr>
                <w:noProof/>
                <w:webHidden/>
              </w:rPr>
              <w:fldChar w:fldCharType="end"/>
            </w:r>
          </w:hyperlink>
        </w:p>
        <w:p w14:paraId="133309A6" w14:textId="3CFB7A33" w:rsidR="00E26651" w:rsidRDefault="00E266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515984" w:history="1">
            <w:r w:rsidRPr="00B159F3">
              <w:rPr>
                <w:rStyle w:val="Hyperlink"/>
                <w:noProof/>
              </w:rPr>
              <w:t>Clinical evaluation summary</w:t>
            </w:r>
            <w:r>
              <w:rPr>
                <w:noProof/>
                <w:webHidden/>
              </w:rPr>
              <w:tab/>
            </w:r>
            <w:r>
              <w:rPr>
                <w:noProof/>
                <w:webHidden/>
              </w:rPr>
              <w:fldChar w:fldCharType="begin"/>
            </w:r>
            <w:r>
              <w:rPr>
                <w:noProof/>
                <w:webHidden/>
              </w:rPr>
              <w:instrText xml:space="preserve"> PAGEREF _Toc225515984 \h </w:instrText>
            </w:r>
            <w:r>
              <w:rPr>
                <w:noProof/>
                <w:webHidden/>
              </w:rPr>
            </w:r>
            <w:r>
              <w:rPr>
                <w:noProof/>
                <w:webHidden/>
              </w:rPr>
              <w:fldChar w:fldCharType="separate"/>
            </w:r>
            <w:r>
              <w:rPr>
                <w:noProof/>
                <w:webHidden/>
              </w:rPr>
              <w:t>13</w:t>
            </w:r>
            <w:r>
              <w:rPr>
                <w:noProof/>
                <w:webHidden/>
              </w:rPr>
              <w:fldChar w:fldCharType="end"/>
            </w:r>
          </w:hyperlink>
        </w:p>
        <w:p w14:paraId="2805DEDA" w14:textId="0DB6ECF6" w:rsidR="00E26651" w:rsidRDefault="00E266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515985" w:history="1">
            <w:r w:rsidRPr="00B159F3">
              <w:rPr>
                <w:rStyle w:val="Hyperlink"/>
                <w:noProof/>
                <w:lang w:eastAsia="en-AU"/>
              </w:rPr>
              <w:t xml:space="preserve">Risk management </w:t>
            </w:r>
            <w:r w:rsidRPr="00B159F3">
              <w:rPr>
                <w:rStyle w:val="Hyperlink"/>
                <w:noProof/>
              </w:rPr>
              <w:t>plan</w:t>
            </w:r>
            <w:r>
              <w:rPr>
                <w:noProof/>
                <w:webHidden/>
              </w:rPr>
              <w:tab/>
            </w:r>
            <w:r>
              <w:rPr>
                <w:noProof/>
                <w:webHidden/>
              </w:rPr>
              <w:fldChar w:fldCharType="begin"/>
            </w:r>
            <w:r>
              <w:rPr>
                <w:noProof/>
                <w:webHidden/>
              </w:rPr>
              <w:instrText xml:space="preserve"> PAGEREF _Toc225515985 \h </w:instrText>
            </w:r>
            <w:r>
              <w:rPr>
                <w:noProof/>
                <w:webHidden/>
              </w:rPr>
            </w:r>
            <w:r>
              <w:rPr>
                <w:noProof/>
                <w:webHidden/>
              </w:rPr>
              <w:fldChar w:fldCharType="separate"/>
            </w:r>
            <w:r>
              <w:rPr>
                <w:noProof/>
                <w:webHidden/>
              </w:rPr>
              <w:t>15</w:t>
            </w:r>
            <w:r>
              <w:rPr>
                <w:noProof/>
                <w:webHidden/>
              </w:rPr>
              <w:fldChar w:fldCharType="end"/>
            </w:r>
          </w:hyperlink>
        </w:p>
        <w:p w14:paraId="044317DB" w14:textId="3C360E78" w:rsidR="00E26651" w:rsidRDefault="00E266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515986" w:history="1">
            <w:r w:rsidRPr="00B159F3">
              <w:rPr>
                <w:rStyle w:val="Hyperlink"/>
                <w:noProof/>
              </w:rPr>
              <w:t>Risk-benefit analysis</w:t>
            </w:r>
            <w:r>
              <w:rPr>
                <w:noProof/>
                <w:webHidden/>
              </w:rPr>
              <w:tab/>
            </w:r>
            <w:r>
              <w:rPr>
                <w:noProof/>
                <w:webHidden/>
              </w:rPr>
              <w:fldChar w:fldCharType="begin"/>
            </w:r>
            <w:r>
              <w:rPr>
                <w:noProof/>
                <w:webHidden/>
              </w:rPr>
              <w:instrText xml:space="preserve"> PAGEREF _Toc225515986 \h </w:instrText>
            </w:r>
            <w:r>
              <w:rPr>
                <w:noProof/>
                <w:webHidden/>
              </w:rPr>
            </w:r>
            <w:r>
              <w:rPr>
                <w:noProof/>
                <w:webHidden/>
              </w:rPr>
              <w:fldChar w:fldCharType="separate"/>
            </w:r>
            <w:r>
              <w:rPr>
                <w:noProof/>
                <w:webHidden/>
              </w:rPr>
              <w:t>15</w:t>
            </w:r>
            <w:r>
              <w:rPr>
                <w:noProof/>
                <w:webHidden/>
              </w:rPr>
              <w:fldChar w:fldCharType="end"/>
            </w:r>
          </w:hyperlink>
        </w:p>
        <w:p w14:paraId="1CF6EB0D" w14:textId="2942D82C" w:rsidR="00E26651" w:rsidRDefault="00E26651">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25515987" w:history="1">
            <w:r w:rsidRPr="00B159F3">
              <w:rPr>
                <w:rStyle w:val="Hyperlink"/>
                <w:noProof/>
              </w:rPr>
              <w:t>Assessment outcome</w:t>
            </w:r>
            <w:r>
              <w:rPr>
                <w:noProof/>
                <w:webHidden/>
              </w:rPr>
              <w:tab/>
            </w:r>
            <w:r>
              <w:rPr>
                <w:noProof/>
                <w:webHidden/>
              </w:rPr>
              <w:fldChar w:fldCharType="begin"/>
            </w:r>
            <w:r>
              <w:rPr>
                <w:noProof/>
                <w:webHidden/>
              </w:rPr>
              <w:instrText xml:space="preserve"> PAGEREF _Toc225515987 \h </w:instrText>
            </w:r>
            <w:r>
              <w:rPr>
                <w:noProof/>
                <w:webHidden/>
              </w:rPr>
            </w:r>
            <w:r>
              <w:rPr>
                <w:noProof/>
                <w:webHidden/>
              </w:rPr>
              <w:fldChar w:fldCharType="separate"/>
            </w:r>
            <w:r>
              <w:rPr>
                <w:noProof/>
                <w:webHidden/>
              </w:rPr>
              <w:t>16</w:t>
            </w:r>
            <w:r>
              <w:rPr>
                <w:noProof/>
                <w:webHidden/>
              </w:rPr>
              <w:fldChar w:fldCharType="end"/>
            </w:r>
          </w:hyperlink>
        </w:p>
        <w:p w14:paraId="47A417EE" w14:textId="36DA1029" w:rsidR="00E26651" w:rsidRDefault="00E26651">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225515988" w:history="1">
            <w:r w:rsidRPr="00B159F3">
              <w:rPr>
                <w:rStyle w:val="Hyperlink"/>
                <w:noProof/>
              </w:rPr>
              <w:t>Product Information and Consumer Medicine Information</w:t>
            </w:r>
            <w:r>
              <w:rPr>
                <w:noProof/>
                <w:webHidden/>
              </w:rPr>
              <w:tab/>
            </w:r>
            <w:r>
              <w:rPr>
                <w:noProof/>
                <w:webHidden/>
              </w:rPr>
              <w:fldChar w:fldCharType="begin"/>
            </w:r>
            <w:r>
              <w:rPr>
                <w:noProof/>
                <w:webHidden/>
              </w:rPr>
              <w:instrText xml:space="preserve"> PAGEREF _Toc225515988 \h </w:instrText>
            </w:r>
            <w:r>
              <w:rPr>
                <w:noProof/>
                <w:webHidden/>
              </w:rPr>
            </w:r>
            <w:r>
              <w:rPr>
                <w:noProof/>
                <w:webHidden/>
              </w:rPr>
              <w:fldChar w:fldCharType="separate"/>
            </w:r>
            <w:r>
              <w:rPr>
                <w:noProof/>
                <w:webHidden/>
              </w:rPr>
              <w:t>16</w:t>
            </w:r>
            <w:r>
              <w:rPr>
                <w:noProof/>
                <w:webHidden/>
              </w:rPr>
              <w:fldChar w:fldCharType="end"/>
            </w:r>
          </w:hyperlink>
        </w:p>
        <w:p w14:paraId="77659F2D" w14:textId="7D36E6DD" w:rsidR="00F02AEC" w:rsidRPr="00215D48" w:rsidRDefault="00F02AEC" w:rsidP="007452E8">
          <w:r w:rsidRPr="00215D48">
            <w:fldChar w:fldCharType="end"/>
          </w:r>
        </w:p>
      </w:sdtContent>
    </w:sdt>
    <w:p w14:paraId="451A965A" w14:textId="77777777" w:rsidR="00D808C4" w:rsidRDefault="00D808C4" w:rsidP="00E26651">
      <w:bookmarkStart w:id="0" w:name="_Toc98931917"/>
      <w:bookmarkStart w:id="1" w:name="_Toc103679287"/>
      <w:bookmarkStart w:id="2" w:name="_Toc323739589"/>
      <w:bookmarkStart w:id="3" w:name="_Toc356305216"/>
      <w:r>
        <w:br w:type="page"/>
      </w:r>
    </w:p>
    <w:p w14:paraId="1E73AB93" w14:textId="61EFBC60" w:rsidR="00324B33" w:rsidRDefault="00324B33" w:rsidP="00E26651">
      <w:pPr>
        <w:pStyle w:val="Heading2"/>
      </w:pPr>
      <w:bookmarkStart w:id="4" w:name="_Toc225515970"/>
      <w:r>
        <w:lastRenderedPageBreak/>
        <w:t xml:space="preserve">List of </w:t>
      </w:r>
      <w:r w:rsidRPr="00E26651">
        <w:t>abbreviations</w:t>
      </w:r>
      <w:bookmarkEnd w:id="0"/>
      <w:bookmarkEnd w:id="1"/>
      <w:bookmarkEnd w:id="4"/>
    </w:p>
    <w:tbl>
      <w:tblPr>
        <w:tblStyle w:val="TableTGAblue2023"/>
        <w:tblW w:w="5000" w:type="pct"/>
        <w:tblLook w:val="04A0" w:firstRow="1" w:lastRow="0" w:firstColumn="1" w:lastColumn="0" w:noHBand="0" w:noVBand="1"/>
      </w:tblPr>
      <w:tblGrid>
        <w:gridCol w:w="2174"/>
        <w:gridCol w:w="6886"/>
      </w:tblGrid>
      <w:tr w:rsidR="009F4D94" w:rsidRPr="009F4D94" w14:paraId="16F84087" w14:textId="77777777" w:rsidTr="002D3C20">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4CE6AC21" w14:textId="30CD23CE" w:rsidR="009F4D94" w:rsidRPr="00E26651" w:rsidRDefault="009F4D94" w:rsidP="00E26651">
            <w:pPr>
              <w:rPr>
                <w:rFonts w:cs="Segoe UI"/>
                <w:b w:val="0"/>
                <w:szCs w:val="22"/>
              </w:rPr>
            </w:pPr>
            <w:r w:rsidRPr="009F4D94">
              <w:rPr>
                <w:rFonts w:cs="Segoe UI"/>
                <w:szCs w:val="22"/>
              </w:rPr>
              <w:t>Abbreviation</w:t>
            </w:r>
          </w:p>
        </w:tc>
        <w:tc>
          <w:tcPr>
            <w:tcW w:w="3800" w:type="pct"/>
          </w:tcPr>
          <w:p w14:paraId="48664880" w14:textId="77777777" w:rsidR="009F4D94" w:rsidRPr="009F4D94" w:rsidRDefault="009F4D94" w:rsidP="002D3C20">
            <w:pPr>
              <w:cnfStyle w:val="100000000000" w:firstRow="1"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Meaning</w:t>
            </w:r>
          </w:p>
        </w:tc>
      </w:tr>
      <w:tr w:rsidR="009F4D94" w:rsidRPr="009F4D94" w14:paraId="62E2D118"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CD02F58" w14:textId="77777777" w:rsidR="009F4D94" w:rsidRPr="009F4D94" w:rsidRDefault="009F4D94" w:rsidP="002D3C20">
            <w:pPr>
              <w:rPr>
                <w:rFonts w:cs="Segoe UI"/>
                <w:szCs w:val="22"/>
              </w:rPr>
            </w:pPr>
            <w:r w:rsidRPr="009F4D94">
              <w:rPr>
                <w:rFonts w:cs="Segoe UI"/>
                <w:szCs w:val="22"/>
              </w:rPr>
              <w:t>ADT</w:t>
            </w:r>
          </w:p>
        </w:tc>
        <w:tc>
          <w:tcPr>
            <w:tcW w:w="3800" w:type="pct"/>
          </w:tcPr>
          <w:p w14:paraId="69B51490"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Androgen deprivation therapy</w:t>
            </w:r>
          </w:p>
        </w:tc>
      </w:tr>
      <w:tr w:rsidR="009F4D94" w:rsidRPr="009F4D94" w14:paraId="5C0B921A"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27C7E6E" w14:textId="77777777" w:rsidR="009F4D94" w:rsidRPr="009F4D94" w:rsidRDefault="009F4D94" w:rsidP="002D3C20">
            <w:pPr>
              <w:rPr>
                <w:rFonts w:cs="Segoe UI"/>
                <w:szCs w:val="22"/>
              </w:rPr>
            </w:pPr>
            <w:proofErr w:type="spellStart"/>
            <w:r w:rsidRPr="009F4D94">
              <w:rPr>
                <w:rFonts w:cs="Segoe UI"/>
                <w:szCs w:val="22"/>
              </w:rPr>
              <w:t>ARTG</w:t>
            </w:r>
            <w:proofErr w:type="spellEnd"/>
          </w:p>
        </w:tc>
        <w:tc>
          <w:tcPr>
            <w:tcW w:w="3800" w:type="pct"/>
          </w:tcPr>
          <w:p w14:paraId="6D0B0D56"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Australian Register of Therapeutic Goods</w:t>
            </w:r>
          </w:p>
        </w:tc>
      </w:tr>
      <w:tr w:rsidR="009F4D94" w:rsidRPr="009F4D94" w14:paraId="25B987BD"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2F0E502" w14:textId="48E3675C" w:rsidR="009F4D94" w:rsidRPr="009F4D94" w:rsidRDefault="009F4D94" w:rsidP="002D3C20">
            <w:pPr>
              <w:rPr>
                <w:rFonts w:cs="Segoe UI"/>
                <w:szCs w:val="22"/>
              </w:rPr>
            </w:pPr>
            <w:r w:rsidRPr="009F4D94">
              <w:rPr>
                <w:rFonts w:cs="Segoe UI"/>
                <w:szCs w:val="22"/>
                <w:lang w:val="en-US"/>
              </w:rPr>
              <w:t>AUC</w:t>
            </w:r>
            <w:r w:rsidRPr="009F4D94">
              <w:rPr>
                <w:rFonts w:cs="Segoe UI"/>
                <w:szCs w:val="22"/>
                <w:vertAlign w:val="subscript"/>
                <w:lang w:val="en-US"/>
              </w:rPr>
              <w:t>(0-t)</w:t>
            </w:r>
          </w:p>
        </w:tc>
        <w:tc>
          <w:tcPr>
            <w:tcW w:w="3800" w:type="pct"/>
          </w:tcPr>
          <w:p w14:paraId="2E8E5758"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lang w:val="en-US"/>
              </w:rPr>
              <w:t>Area under the plasma concentration-time curve from the first time point [t=0] to the time point of the last measured concentration [t(last)]</w:t>
            </w:r>
          </w:p>
        </w:tc>
      </w:tr>
      <w:tr w:rsidR="009F4D94" w:rsidRPr="009F4D94" w14:paraId="26829CF9"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9991D0C" w14:textId="77777777" w:rsidR="009F4D94" w:rsidRPr="009F4D94" w:rsidRDefault="009F4D94" w:rsidP="002D3C20">
            <w:pPr>
              <w:rPr>
                <w:rFonts w:cs="Segoe UI"/>
                <w:szCs w:val="22"/>
                <w:lang w:val="en-US"/>
              </w:rPr>
            </w:pPr>
            <w:proofErr w:type="gramStart"/>
            <w:r w:rsidRPr="009F4D94">
              <w:rPr>
                <w:rFonts w:cs="Segoe UI"/>
                <w:szCs w:val="22"/>
                <w:lang w:val="en-US"/>
              </w:rPr>
              <w:t>AUC</w:t>
            </w:r>
            <w:r w:rsidRPr="009F4D94">
              <w:rPr>
                <w:rFonts w:cs="Segoe UI"/>
                <w:szCs w:val="22"/>
                <w:vertAlign w:val="subscript"/>
                <w:lang w:val="en-US"/>
              </w:rPr>
              <w:t>(</w:t>
            </w:r>
            <w:proofErr w:type="gramEnd"/>
            <w:r w:rsidRPr="009F4D94">
              <w:rPr>
                <w:rFonts w:cs="Segoe UI"/>
                <w:szCs w:val="22"/>
                <w:vertAlign w:val="subscript"/>
                <w:lang w:val="en-US"/>
              </w:rPr>
              <w:t>0-∞)</w:t>
            </w:r>
          </w:p>
        </w:tc>
        <w:tc>
          <w:tcPr>
            <w:tcW w:w="3800" w:type="pct"/>
          </w:tcPr>
          <w:p w14:paraId="61FC48D2"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lang w:val="en-US"/>
              </w:rPr>
            </w:pPr>
            <w:r w:rsidRPr="009F4D94">
              <w:rPr>
                <w:rFonts w:cs="Segoe UI"/>
                <w:szCs w:val="22"/>
                <w:lang w:val="en-US"/>
              </w:rPr>
              <w:t>Area under the plasma concentration-time curve from the first time point [t=0] to infinity [∞]</w:t>
            </w:r>
          </w:p>
        </w:tc>
      </w:tr>
      <w:tr w:rsidR="009F4D94" w:rsidRPr="009F4D94" w14:paraId="38F414AF"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BCCB985" w14:textId="77777777" w:rsidR="009F4D94" w:rsidRPr="009F4D94" w:rsidRDefault="009F4D94" w:rsidP="002D3C20">
            <w:pPr>
              <w:rPr>
                <w:rFonts w:cs="Segoe UI"/>
                <w:szCs w:val="22"/>
                <w:lang w:val="en-US"/>
              </w:rPr>
            </w:pPr>
            <w:r w:rsidRPr="009F4D94">
              <w:rPr>
                <w:rFonts w:cs="Segoe UI"/>
                <w:szCs w:val="22"/>
                <w:lang w:val="en-US"/>
              </w:rPr>
              <w:t>AUC</w:t>
            </w:r>
            <w:r w:rsidRPr="009F4D94">
              <w:rPr>
                <w:rFonts w:cs="Segoe UI"/>
                <w:szCs w:val="22"/>
                <w:vertAlign w:val="subscript"/>
                <w:lang w:val="en-US"/>
              </w:rPr>
              <w:t>(t-∞)</w:t>
            </w:r>
          </w:p>
        </w:tc>
        <w:tc>
          <w:tcPr>
            <w:tcW w:w="3800" w:type="pct"/>
          </w:tcPr>
          <w:p w14:paraId="77F624F0"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lang w:val="en-US"/>
              </w:rPr>
            </w:pPr>
            <w:r w:rsidRPr="009F4D94">
              <w:rPr>
                <w:rFonts w:cs="Segoe UI"/>
                <w:szCs w:val="22"/>
                <w:lang w:val="en-US"/>
              </w:rPr>
              <w:t xml:space="preserve">Residual area, extrapolated area expressed as fraction of </w:t>
            </w:r>
            <w:proofErr w:type="gramStart"/>
            <w:r w:rsidRPr="009F4D94">
              <w:rPr>
                <w:rFonts w:cs="Segoe UI"/>
                <w:szCs w:val="22"/>
                <w:lang w:val="en-US"/>
              </w:rPr>
              <w:t>AUC</w:t>
            </w:r>
            <w:r w:rsidRPr="009F4D94">
              <w:rPr>
                <w:rFonts w:cs="Segoe UI"/>
                <w:szCs w:val="22"/>
                <w:vertAlign w:val="subscript"/>
                <w:lang w:val="en-US"/>
              </w:rPr>
              <w:t>(</w:t>
            </w:r>
            <w:proofErr w:type="gramEnd"/>
            <w:r w:rsidRPr="009F4D94">
              <w:rPr>
                <w:rFonts w:cs="Segoe UI"/>
                <w:szCs w:val="22"/>
                <w:vertAlign w:val="subscript"/>
                <w:lang w:val="en-US"/>
              </w:rPr>
              <w:t>0-∞)</w:t>
            </w:r>
          </w:p>
        </w:tc>
      </w:tr>
      <w:tr w:rsidR="009F4D94" w:rsidRPr="009F4D94" w14:paraId="3680D796"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6CA3D0B" w14:textId="5C650AD7" w:rsidR="009F4D94" w:rsidRPr="009F4D94" w:rsidRDefault="009F4D94" w:rsidP="002D3C20">
            <w:pPr>
              <w:rPr>
                <w:rFonts w:cs="Segoe UI"/>
                <w:szCs w:val="22"/>
                <w:lang w:val="en-US"/>
              </w:rPr>
            </w:pPr>
            <w:proofErr w:type="spellStart"/>
            <w:r w:rsidRPr="009F4D94">
              <w:rPr>
                <w:rFonts w:cs="Segoe UI"/>
                <w:szCs w:val="22"/>
                <w:lang w:val="en-US"/>
              </w:rPr>
              <w:t>C</w:t>
            </w:r>
            <w:r w:rsidRPr="009F4D94">
              <w:rPr>
                <w:rFonts w:cs="Segoe UI"/>
                <w:szCs w:val="22"/>
                <w:vertAlign w:val="subscript"/>
                <w:lang w:val="en-US"/>
              </w:rPr>
              <w:t>max</w:t>
            </w:r>
            <w:proofErr w:type="spellEnd"/>
          </w:p>
        </w:tc>
        <w:tc>
          <w:tcPr>
            <w:tcW w:w="3800" w:type="pct"/>
          </w:tcPr>
          <w:p w14:paraId="17947CB5"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lang w:val="en-US"/>
              </w:rPr>
            </w:pPr>
            <w:r w:rsidRPr="009F4D94">
              <w:rPr>
                <w:rFonts w:cs="Segoe UI"/>
                <w:szCs w:val="22"/>
                <w:lang w:val="en-US"/>
              </w:rPr>
              <w:t>Maximum plasma concentration</w:t>
            </w:r>
          </w:p>
        </w:tc>
      </w:tr>
      <w:tr w:rsidR="009F4D94" w:rsidRPr="009F4D94" w14:paraId="0650BB13"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7DB794D" w14:textId="77777777" w:rsidR="009F4D94" w:rsidRPr="009F4D94" w:rsidRDefault="009F4D94" w:rsidP="002D3C20">
            <w:pPr>
              <w:rPr>
                <w:rFonts w:cs="Segoe UI"/>
                <w:szCs w:val="22"/>
              </w:rPr>
            </w:pPr>
            <w:r w:rsidRPr="009F4D94">
              <w:rPr>
                <w:rFonts w:cs="Segoe UI"/>
                <w:szCs w:val="22"/>
              </w:rPr>
              <w:t>CMI</w:t>
            </w:r>
          </w:p>
        </w:tc>
        <w:tc>
          <w:tcPr>
            <w:tcW w:w="3800" w:type="pct"/>
          </w:tcPr>
          <w:p w14:paraId="09C9305B"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Consumer Medicines Information</w:t>
            </w:r>
          </w:p>
        </w:tc>
      </w:tr>
      <w:tr w:rsidR="009F4D94" w:rsidRPr="009F4D94" w14:paraId="272B3541"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2257B3A" w14:textId="77777777" w:rsidR="009F4D94" w:rsidRPr="009F4D94" w:rsidRDefault="009F4D94" w:rsidP="002D3C20">
            <w:pPr>
              <w:rPr>
                <w:rFonts w:cs="Segoe UI"/>
                <w:szCs w:val="22"/>
              </w:rPr>
            </w:pPr>
            <w:r w:rsidRPr="009F4D94">
              <w:rPr>
                <w:rFonts w:cs="Segoe UI"/>
                <w:szCs w:val="22"/>
                <w:lang w:val="en-US"/>
              </w:rPr>
              <w:t>CSPC</w:t>
            </w:r>
          </w:p>
        </w:tc>
        <w:tc>
          <w:tcPr>
            <w:tcW w:w="3800" w:type="pct"/>
          </w:tcPr>
          <w:p w14:paraId="52F54A2B"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lang w:val="en-US"/>
              </w:rPr>
              <w:t>metastatic castration sensitive disease</w:t>
            </w:r>
          </w:p>
        </w:tc>
      </w:tr>
      <w:tr w:rsidR="009F4D94" w:rsidRPr="009F4D94" w14:paraId="2CCBE3FE"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FA6CC17" w14:textId="77777777" w:rsidR="009F4D94" w:rsidRPr="009F4D94" w:rsidRDefault="009F4D94" w:rsidP="002D3C20">
            <w:pPr>
              <w:rPr>
                <w:rFonts w:cs="Segoe UI"/>
                <w:szCs w:val="22"/>
              </w:rPr>
            </w:pPr>
            <w:proofErr w:type="spellStart"/>
            <w:r w:rsidRPr="009F4D94">
              <w:rPr>
                <w:rFonts w:cs="Segoe UI"/>
                <w:szCs w:val="22"/>
              </w:rPr>
              <w:t>mCRPC</w:t>
            </w:r>
            <w:proofErr w:type="spellEnd"/>
          </w:p>
        </w:tc>
        <w:tc>
          <w:tcPr>
            <w:tcW w:w="3800" w:type="pct"/>
          </w:tcPr>
          <w:p w14:paraId="7CF06126"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castration resistant prostate cancer</w:t>
            </w:r>
          </w:p>
        </w:tc>
      </w:tr>
      <w:tr w:rsidR="009F4D94" w:rsidRPr="009F4D94" w14:paraId="3AB668D5"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4F66469" w14:textId="77777777" w:rsidR="009F4D94" w:rsidRPr="009F4D94" w:rsidRDefault="009F4D94" w:rsidP="002D3C20">
            <w:pPr>
              <w:rPr>
                <w:rFonts w:cs="Segoe UI"/>
                <w:szCs w:val="22"/>
              </w:rPr>
            </w:pPr>
            <w:proofErr w:type="spellStart"/>
            <w:r w:rsidRPr="009F4D94">
              <w:rPr>
                <w:rFonts w:cs="Segoe UI"/>
                <w:szCs w:val="22"/>
              </w:rPr>
              <w:t>mHSPC</w:t>
            </w:r>
            <w:proofErr w:type="spellEnd"/>
          </w:p>
        </w:tc>
        <w:tc>
          <w:tcPr>
            <w:tcW w:w="3800" w:type="pct"/>
          </w:tcPr>
          <w:p w14:paraId="1B76E185"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Hormone sensitive prostate cancer</w:t>
            </w:r>
          </w:p>
        </w:tc>
      </w:tr>
      <w:tr w:rsidR="009F4D94" w:rsidRPr="009F4D94" w14:paraId="550EA8BD"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2E09218" w14:textId="77777777" w:rsidR="009F4D94" w:rsidRPr="009F4D94" w:rsidRDefault="009F4D94" w:rsidP="002D3C20">
            <w:pPr>
              <w:rPr>
                <w:rFonts w:cs="Segoe UI"/>
                <w:szCs w:val="22"/>
              </w:rPr>
            </w:pPr>
            <w:proofErr w:type="spellStart"/>
            <w:r w:rsidRPr="00FB7FED">
              <w:rPr>
                <w:rFonts w:cs="Segoe UI"/>
                <w:szCs w:val="22"/>
              </w:rPr>
              <w:t>NMT</w:t>
            </w:r>
            <w:proofErr w:type="spellEnd"/>
            <w:r w:rsidRPr="00FB7FED">
              <w:rPr>
                <w:rFonts w:cs="Segoe UI"/>
                <w:szCs w:val="22"/>
              </w:rPr>
              <w:t xml:space="preserve"> </w:t>
            </w:r>
          </w:p>
        </w:tc>
        <w:tc>
          <w:tcPr>
            <w:tcW w:w="3800" w:type="pct"/>
          </w:tcPr>
          <w:p w14:paraId="7C51469B"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FB7FED">
              <w:rPr>
                <w:rFonts w:cs="Segoe UI"/>
                <w:szCs w:val="22"/>
              </w:rPr>
              <w:t>N</w:t>
            </w:r>
            <w:r w:rsidRPr="009F4D94">
              <w:rPr>
                <w:rFonts w:cs="Segoe UI"/>
                <w:szCs w:val="22"/>
              </w:rPr>
              <w:t>o more than</w:t>
            </w:r>
          </w:p>
        </w:tc>
      </w:tr>
      <w:tr w:rsidR="009F4D94" w:rsidRPr="009F4D94" w14:paraId="31B23518"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E6C31F4" w14:textId="77777777" w:rsidR="009F4D94" w:rsidRPr="009F4D94" w:rsidRDefault="009F4D94" w:rsidP="002D3C20">
            <w:pPr>
              <w:rPr>
                <w:rFonts w:cs="Segoe UI"/>
                <w:szCs w:val="22"/>
              </w:rPr>
            </w:pPr>
            <w:r w:rsidRPr="009F4D94">
              <w:rPr>
                <w:rFonts w:cs="Segoe UI"/>
                <w:szCs w:val="22"/>
              </w:rPr>
              <w:t>PI</w:t>
            </w:r>
          </w:p>
        </w:tc>
        <w:tc>
          <w:tcPr>
            <w:tcW w:w="3800" w:type="pct"/>
          </w:tcPr>
          <w:p w14:paraId="07C52893"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Product Information</w:t>
            </w:r>
          </w:p>
        </w:tc>
      </w:tr>
      <w:tr w:rsidR="009F4D94" w:rsidRPr="009F4D94" w14:paraId="5F81ACAF"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CAB9B35" w14:textId="2B5DCB79" w:rsidR="009F4D94" w:rsidRPr="009F4D94" w:rsidRDefault="009F4D94" w:rsidP="002D3C20">
            <w:pPr>
              <w:rPr>
                <w:rFonts w:cs="Segoe UI"/>
                <w:szCs w:val="22"/>
              </w:rPr>
            </w:pPr>
            <w:r w:rsidRPr="009F4D94">
              <w:rPr>
                <w:rFonts w:cs="Segoe UI"/>
                <w:szCs w:val="22"/>
                <w:lang w:val="en-US"/>
              </w:rPr>
              <w:t>PSA</w:t>
            </w:r>
          </w:p>
        </w:tc>
        <w:tc>
          <w:tcPr>
            <w:tcW w:w="3800" w:type="pct"/>
          </w:tcPr>
          <w:p w14:paraId="7E6E10A6" w14:textId="5700FFE0"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lang w:val="en-US"/>
              </w:rPr>
              <w:t>PSA</w:t>
            </w:r>
          </w:p>
        </w:tc>
      </w:tr>
      <w:tr w:rsidR="009F4D94" w:rsidRPr="009F4D94" w14:paraId="708D43CC"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CCAA37F" w14:textId="77777777" w:rsidR="009F4D94" w:rsidRPr="009F4D94" w:rsidRDefault="009F4D94" w:rsidP="002D3C20">
            <w:pPr>
              <w:rPr>
                <w:rFonts w:cs="Segoe UI"/>
                <w:szCs w:val="22"/>
              </w:rPr>
            </w:pPr>
            <w:proofErr w:type="spellStart"/>
            <w:r w:rsidRPr="009F4D94">
              <w:rPr>
                <w:rFonts w:cs="Segoe UI"/>
                <w:szCs w:val="22"/>
              </w:rPr>
              <w:t>PSUR</w:t>
            </w:r>
            <w:proofErr w:type="spellEnd"/>
          </w:p>
        </w:tc>
        <w:tc>
          <w:tcPr>
            <w:tcW w:w="3800" w:type="pct"/>
          </w:tcPr>
          <w:p w14:paraId="54EF0485"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Periodic safety update report</w:t>
            </w:r>
          </w:p>
        </w:tc>
      </w:tr>
      <w:tr w:rsidR="009F4D94" w:rsidRPr="009F4D94" w14:paraId="254E9D24"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66ECF02" w14:textId="77777777" w:rsidR="009F4D94" w:rsidRPr="009F4D94" w:rsidRDefault="009F4D94" w:rsidP="002D3C20">
            <w:pPr>
              <w:rPr>
                <w:rFonts w:cs="Segoe UI"/>
                <w:szCs w:val="22"/>
              </w:rPr>
            </w:pPr>
            <w:r w:rsidRPr="009F4D94">
              <w:rPr>
                <w:rFonts w:cs="Segoe UI"/>
                <w:szCs w:val="22"/>
              </w:rPr>
              <w:t>RMP</w:t>
            </w:r>
          </w:p>
        </w:tc>
        <w:tc>
          <w:tcPr>
            <w:tcW w:w="3800" w:type="pct"/>
          </w:tcPr>
          <w:p w14:paraId="14088121"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Risk management plan</w:t>
            </w:r>
          </w:p>
        </w:tc>
      </w:tr>
      <w:tr w:rsidR="009F4D94" w:rsidRPr="009F4D94" w14:paraId="18D7481D"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3EF32DD" w14:textId="77777777" w:rsidR="009F4D94" w:rsidRPr="009F4D94" w:rsidRDefault="009F4D94" w:rsidP="002D3C20">
            <w:pPr>
              <w:rPr>
                <w:rFonts w:cs="Segoe UI"/>
                <w:szCs w:val="22"/>
              </w:rPr>
            </w:pPr>
            <w:r w:rsidRPr="009F4D94">
              <w:rPr>
                <w:rFonts w:cs="Segoe UI"/>
                <w:szCs w:val="22"/>
              </w:rPr>
              <w:t>TGA</w:t>
            </w:r>
          </w:p>
        </w:tc>
        <w:tc>
          <w:tcPr>
            <w:tcW w:w="3800" w:type="pct"/>
          </w:tcPr>
          <w:p w14:paraId="1A7F1863"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rPr>
              <w:t>Therapeutic Goods Administration</w:t>
            </w:r>
          </w:p>
        </w:tc>
      </w:tr>
      <w:tr w:rsidR="009F4D94" w:rsidRPr="009F4D94" w14:paraId="5F2CACDA"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5F63237" w14:textId="77777777" w:rsidR="009F4D94" w:rsidRPr="009F4D94" w:rsidRDefault="009F4D94" w:rsidP="002D3C20">
            <w:pPr>
              <w:rPr>
                <w:rFonts w:cs="Segoe UI"/>
                <w:szCs w:val="22"/>
              </w:rPr>
            </w:pPr>
            <w:proofErr w:type="spellStart"/>
            <w:r w:rsidRPr="009F4D94">
              <w:rPr>
                <w:rFonts w:cs="Segoe UI"/>
                <w:szCs w:val="22"/>
                <w:lang w:val="en-US"/>
              </w:rPr>
              <w:t>T</w:t>
            </w:r>
            <w:r w:rsidRPr="009F4D94">
              <w:rPr>
                <w:rFonts w:cs="Segoe UI"/>
                <w:szCs w:val="22"/>
                <w:vertAlign w:val="subscript"/>
                <w:lang w:val="en-US"/>
              </w:rPr>
              <w:t>max</w:t>
            </w:r>
            <w:proofErr w:type="spellEnd"/>
          </w:p>
        </w:tc>
        <w:tc>
          <w:tcPr>
            <w:tcW w:w="3800" w:type="pct"/>
          </w:tcPr>
          <w:p w14:paraId="20F12BDE"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lang w:val="en-US"/>
              </w:rPr>
              <w:t>Time of maximum plasma concentration</w:t>
            </w:r>
          </w:p>
        </w:tc>
      </w:tr>
      <w:tr w:rsidR="009F4D94" w:rsidRPr="009F4D94" w14:paraId="53F00A07" w14:textId="77777777" w:rsidTr="002D3C20">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FF012CB" w14:textId="77777777" w:rsidR="009F4D94" w:rsidRPr="009F4D94" w:rsidRDefault="009F4D94" w:rsidP="002D3C20">
            <w:pPr>
              <w:rPr>
                <w:rFonts w:cs="Segoe UI"/>
                <w:szCs w:val="22"/>
              </w:rPr>
            </w:pPr>
            <w:proofErr w:type="spellStart"/>
            <w:r w:rsidRPr="009F4D94">
              <w:rPr>
                <w:rFonts w:cs="Segoe UI"/>
                <w:szCs w:val="22"/>
                <w:lang w:val="en-US"/>
              </w:rPr>
              <w:t>λz</w:t>
            </w:r>
            <w:proofErr w:type="spellEnd"/>
          </w:p>
        </w:tc>
        <w:tc>
          <w:tcPr>
            <w:tcW w:w="3800" w:type="pct"/>
          </w:tcPr>
          <w:p w14:paraId="480DC94A" w14:textId="77777777" w:rsidR="009F4D94" w:rsidRPr="009F4D94" w:rsidRDefault="009F4D94" w:rsidP="002D3C20">
            <w:pPr>
              <w:cnfStyle w:val="000000000000" w:firstRow="0" w:lastRow="0" w:firstColumn="0" w:lastColumn="0" w:oddVBand="0" w:evenVBand="0" w:oddHBand="0" w:evenHBand="0" w:firstRowFirstColumn="0" w:firstRowLastColumn="0" w:lastRowFirstColumn="0" w:lastRowLastColumn="0"/>
              <w:rPr>
                <w:rFonts w:cs="Segoe UI"/>
                <w:szCs w:val="22"/>
              </w:rPr>
            </w:pPr>
            <w:r w:rsidRPr="009F4D94">
              <w:rPr>
                <w:rFonts w:cs="Segoe UI"/>
                <w:szCs w:val="22"/>
                <w:lang w:val="en-US"/>
              </w:rPr>
              <w:t>Elimination rate constant</w:t>
            </w:r>
          </w:p>
        </w:tc>
      </w:tr>
    </w:tbl>
    <w:p w14:paraId="02FB1F38" w14:textId="77777777" w:rsidR="00324B33" w:rsidRPr="00FD119B" w:rsidRDefault="00324B33" w:rsidP="00E26651">
      <w:r w:rsidRPr="00FD119B">
        <w:br w:type="page"/>
      </w:r>
    </w:p>
    <w:p w14:paraId="44C2A39C" w14:textId="77777777" w:rsidR="00324B33" w:rsidRDefault="00324B33" w:rsidP="00E26651">
      <w:pPr>
        <w:pStyle w:val="Heading2"/>
      </w:pPr>
      <w:bookmarkStart w:id="5" w:name="_Toc103679288"/>
      <w:bookmarkStart w:id="6" w:name="_Toc225515971"/>
      <w:r>
        <w:lastRenderedPageBreak/>
        <w:t xml:space="preserve">Product </w:t>
      </w:r>
      <w:r w:rsidRPr="00E26651">
        <w:t>submission</w:t>
      </w:r>
      <w:bookmarkEnd w:id="5"/>
      <w:bookmarkEnd w:id="6"/>
    </w:p>
    <w:p w14:paraId="21D559DF" w14:textId="77777777" w:rsidR="00324B33" w:rsidRDefault="00324B33" w:rsidP="00E26651">
      <w:pPr>
        <w:pStyle w:val="Heading3"/>
        <w:rPr>
          <w:lang w:eastAsia="en-AU"/>
        </w:rPr>
      </w:pPr>
      <w:bookmarkStart w:id="7" w:name="_Toc247691502"/>
      <w:bookmarkStart w:id="8" w:name="_Toc314842483"/>
      <w:bookmarkStart w:id="9" w:name="_Toc103679289"/>
      <w:bookmarkStart w:id="10" w:name="_Toc225515972"/>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13728BD6" w:rsidR="00324B33" w:rsidRPr="00BD5DBD" w:rsidRDefault="00324B33" w:rsidP="007452E8">
            <w:pPr>
              <w:rPr>
                <w:i/>
                <w:szCs w:val="22"/>
              </w:rPr>
            </w:pPr>
            <w:r w:rsidRPr="00BD5DBD">
              <w:rPr>
                <w:i/>
                <w:szCs w:val="22"/>
              </w:rPr>
              <w:t>Type of submission:</w:t>
            </w:r>
          </w:p>
        </w:tc>
        <w:tc>
          <w:tcPr>
            <w:tcW w:w="3423" w:type="pct"/>
          </w:tcPr>
          <w:p w14:paraId="4F07C303" w14:textId="66E85581" w:rsidR="00324B33" w:rsidRPr="00BD5DBD" w:rsidRDefault="00903461" w:rsidP="007452E8">
            <w:pPr>
              <w:rPr>
                <w:szCs w:val="22"/>
              </w:rPr>
            </w:pPr>
            <w:r>
              <w:rPr>
                <w:szCs w:val="22"/>
              </w:rPr>
              <w:t>New combination</w:t>
            </w:r>
            <w:r w:rsidR="005819B6">
              <w:rPr>
                <w:szCs w:val="22"/>
              </w:rPr>
              <w:t xml:space="preserve"> (</w:t>
            </w:r>
            <w:r w:rsidR="005819B6" w:rsidRPr="005819B6">
              <w:rPr>
                <w:szCs w:val="22"/>
              </w:rPr>
              <w:t>of previously approved active ingredients</w:t>
            </w:r>
            <w:r w:rsidR="005819B6">
              <w:rPr>
                <w:szCs w:val="22"/>
              </w:rPr>
              <w:t>)</w:t>
            </w:r>
          </w:p>
        </w:tc>
      </w:tr>
      <w:tr w:rsidR="00324B33" w:rsidRPr="00903461" w14:paraId="13482B61" w14:textId="77777777" w:rsidTr="00F865A7">
        <w:tc>
          <w:tcPr>
            <w:tcW w:w="1577" w:type="pct"/>
          </w:tcPr>
          <w:p w14:paraId="2C427FCF" w14:textId="2A68756F" w:rsidR="00324B33" w:rsidRPr="00BD5DBD" w:rsidRDefault="00324B33" w:rsidP="007452E8">
            <w:pPr>
              <w:rPr>
                <w:i/>
                <w:szCs w:val="22"/>
              </w:rPr>
            </w:pPr>
            <w:r w:rsidRPr="00BD5DBD">
              <w:rPr>
                <w:i/>
                <w:szCs w:val="22"/>
              </w:rPr>
              <w:t>Product names:</w:t>
            </w:r>
          </w:p>
        </w:tc>
        <w:tc>
          <w:tcPr>
            <w:tcW w:w="3423" w:type="pct"/>
          </w:tcPr>
          <w:p w14:paraId="0E2DEF76" w14:textId="5A5F07E6" w:rsidR="00324B33" w:rsidRPr="00903461" w:rsidRDefault="00282990" w:rsidP="007452E8">
            <w:pPr>
              <w:rPr>
                <w:szCs w:val="22"/>
                <w:lang w:val="it-IT"/>
              </w:rPr>
            </w:pPr>
            <w:r>
              <w:rPr>
                <w:szCs w:val="22"/>
                <w:lang w:val="it-IT"/>
              </w:rPr>
              <w:t>Andriga</w:t>
            </w:r>
            <w:r w:rsidR="00903461" w:rsidRPr="00903461">
              <w:rPr>
                <w:szCs w:val="22"/>
                <w:lang w:val="it-IT"/>
              </w:rPr>
              <w:t>-5</w:t>
            </w:r>
            <w:r w:rsidR="00903461">
              <w:rPr>
                <w:szCs w:val="22"/>
                <w:lang w:val="it-IT"/>
              </w:rPr>
              <w:t xml:space="preserve">, </w:t>
            </w:r>
            <w:r>
              <w:rPr>
                <w:szCs w:val="22"/>
                <w:lang w:val="it-IT"/>
              </w:rPr>
              <w:t>Andriga</w:t>
            </w:r>
            <w:r w:rsidR="00903461" w:rsidRPr="00903461">
              <w:rPr>
                <w:szCs w:val="22"/>
                <w:lang w:val="it-IT"/>
              </w:rPr>
              <w:t>-10</w:t>
            </w:r>
          </w:p>
        </w:tc>
      </w:tr>
      <w:tr w:rsidR="00324B33" w:rsidRPr="00BD5DBD" w14:paraId="01255B5B" w14:textId="77777777" w:rsidTr="00F865A7">
        <w:tc>
          <w:tcPr>
            <w:tcW w:w="1577" w:type="pct"/>
          </w:tcPr>
          <w:p w14:paraId="52B4F3D7" w14:textId="3F7DAA91" w:rsidR="00324B33" w:rsidRPr="00BD5DBD" w:rsidRDefault="00324B33" w:rsidP="007452E8">
            <w:pPr>
              <w:rPr>
                <w:i/>
                <w:szCs w:val="22"/>
              </w:rPr>
            </w:pPr>
            <w:r w:rsidRPr="00BD5DBD">
              <w:rPr>
                <w:i/>
                <w:szCs w:val="22"/>
              </w:rPr>
              <w:t>Active ingredient:</w:t>
            </w:r>
          </w:p>
        </w:tc>
        <w:tc>
          <w:tcPr>
            <w:tcW w:w="3423" w:type="pct"/>
          </w:tcPr>
          <w:p w14:paraId="02FB6383" w14:textId="0753EA9D" w:rsidR="00324B33" w:rsidRPr="00BD5DBD" w:rsidRDefault="00903461" w:rsidP="007452E8">
            <w:pPr>
              <w:rPr>
                <w:szCs w:val="22"/>
              </w:rPr>
            </w:pPr>
            <w:r w:rsidRPr="00903461">
              <w:rPr>
                <w:szCs w:val="22"/>
              </w:rPr>
              <w:t>Abiraterone</w:t>
            </w:r>
            <w:r w:rsidR="00495CAC">
              <w:rPr>
                <w:szCs w:val="22"/>
              </w:rPr>
              <w:t xml:space="preserve"> acetate</w:t>
            </w:r>
            <w:r w:rsidRPr="00903461">
              <w:rPr>
                <w:szCs w:val="22"/>
              </w:rPr>
              <w:t xml:space="preserve"> and prednisolone</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745EA943"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65682B5F" w:rsidR="00AE1947" w:rsidRPr="00BD5DBD" w:rsidRDefault="00AE1947" w:rsidP="007F1E37">
            <w:r w:rsidRPr="00BD5DBD">
              <w:rPr>
                <w:i/>
                <w:szCs w:val="22"/>
              </w:rPr>
              <w:t>Date of decision:</w:t>
            </w:r>
          </w:p>
        </w:tc>
        <w:tc>
          <w:tcPr>
            <w:tcW w:w="3423" w:type="pct"/>
          </w:tcPr>
          <w:p w14:paraId="7B381CD6" w14:textId="17E9693B" w:rsidR="00AE1947" w:rsidRPr="00BD5DBD" w:rsidRDefault="00903461" w:rsidP="00602658">
            <w:pPr>
              <w:rPr>
                <w:szCs w:val="22"/>
              </w:rPr>
            </w:pPr>
            <w:r w:rsidRPr="00903461">
              <w:rPr>
                <w:szCs w:val="22"/>
              </w:rPr>
              <w:t>29 January 2025</w:t>
            </w:r>
          </w:p>
        </w:tc>
      </w:tr>
      <w:tr w:rsidR="004A20BC" w:rsidRPr="00BD5DBD" w14:paraId="1BD35D08" w14:textId="77777777" w:rsidTr="00F865A7">
        <w:tc>
          <w:tcPr>
            <w:tcW w:w="1577" w:type="pct"/>
          </w:tcPr>
          <w:p w14:paraId="33570637" w14:textId="296FA222" w:rsidR="004A20BC" w:rsidRPr="00BD5DBD" w:rsidRDefault="004A20BC" w:rsidP="007F1E37">
            <w:pPr>
              <w:rPr>
                <w:i/>
                <w:szCs w:val="22"/>
              </w:rPr>
            </w:pPr>
            <w:r w:rsidRPr="004A20BC">
              <w:rPr>
                <w:i/>
                <w:szCs w:val="22"/>
              </w:rPr>
              <w:t>Approved therapeutic use for the current submission:</w:t>
            </w:r>
          </w:p>
        </w:tc>
        <w:tc>
          <w:tcPr>
            <w:tcW w:w="3423" w:type="pct"/>
          </w:tcPr>
          <w:p w14:paraId="6A76A3E5" w14:textId="592AC891" w:rsidR="00903461" w:rsidRPr="00903461" w:rsidRDefault="00282990" w:rsidP="00903461">
            <w:pPr>
              <w:rPr>
                <w:szCs w:val="22"/>
              </w:rPr>
            </w:pPr>
            <w:proofErr w:type="spellStart"/>
            <w:r>
              <w:rPr>
                <w:szCs w:val="22"/>
              </w:rPr>
              <w:t>Andriga</w:t>
            </w:r>
            <w:proofErr w:type="spellEnd"/>
            <w:r w:rsidR="00903461" w:rsidRPr="00903461">
              <w:rPr>
                <w:szCs w:val="22"/>
              </w:rPr>
              <w:t>-5 is indicated for the treatment of</w:t>
            </w:r>
            <w:r w:rsidR="00903461">
              <w:rPr>
                <w:szCs w:val="22"/>
              </w:rPr>
              <w:t xml:space="preserve"> </w:t>
            </w:r>
            <w:r w:rsidR="00903461" w:rsidRPr="00903461">
              <w:rPr>
                <w:szCs w:val="22"/>
              </w:rPr>
              <w:t>newly diagnosed high-risk metastatic hormone sensitive prostate cancer (</w:t>
            </w:r>
            <w:proofErr w:type="spellStart"/>
            <w:r w:rsidR="00903461" w:rsidRPr="00903461">
              <w:rPr>
                <w:szCs w:val="22"/>
              </w:rPr>
              <w:t>mHSPC</w:t>
            </w:r>
            <w:proofErr w:type="spellEnd"/>
            <w:r w:rsidR="00903461" w:rsidRPr="00903461">
              <w:rPr>
                <w:szCs w:val="22"/>
              </w:rPr>
              <w:t>) in combination with androgen deprivation therapy (ADT).</w:t>
            </w:r>
          </w:p>
          <w:p w14:paraId="46F2B45C" w14:textId="6A2F16E1" w:rsidR="00903461" w:rsidRPr="00903461" w:rsidRDefault="00282990" w:rsidP="00903461">
            <w:pPr>
              <w:rPr>
                <w:szCs w:val="22"/>
              </w:rPr>
            </w:pPr>
            <w:proofErr w:type="spellStart"/>
            <w:r>
              <w:rPr>
                <w:szCs w:val="22"/>
              </w:rPr>
              <w:t>Andriga</w:t>
            </w:r>
            <w:proofErr w:type="spellEnd"/>
            <w:r w:rsidR="00903461" w:rsidRPr="00903461">
              <w:rPr>
                <w:szCs w:val="22"/>
              </w:rPr>
              <w:t>-10 is indicated for the treatment of:</w:t>
            </w:r>
          </w:p>
          <w:p w14:paraId="67FE1A84" w14:textId="79E07E7E" w:rsidR="00903461" w:rsidRPr="00903461" w:rsidRDefault="00903461" w:rsidP="00903461">
            <w:pPr>
              <w:pStyle w:val="ListBullet"/>
            </w:pPr>
            <w:r w:rsidRPr="00903461">
              <w:t xml:space="preserve">patients with metastatic advanced prostate cancer (castration resistant prostate cancer, </w:t>
            </w:r>
            <w:proofErr w:type="spellStart"/>
            <w:r w:rsidRPr="00903461">
              <w:t>mCRPC</w:t>
            </w:r>
            <w:proofErr w:type="spellEnd"/>
            <w:r w:rsidRPr="00903461">
              <w:t>) who are asymptomatic or mildly symptomatic after failure of androgen deprivation therapy (ADT) or</w:t>
            </w:r>
          </w:p>
          <w:p w14:paraId="2C96449F" w14:textId="207BDEBF" w:rsidR="004A20BC" w:rsidRPr="00BD5DBD" w:rsidRDefault="00903461" w:rsidP="00903461">
            <w:pPr>
              <w:pStyle w:val="ListBullet"/>
            </w:pPr>
            <w:r w:rsidRPr="00903461">
              <w:t xml:space="preserve">patients with </w:t>
            </w:r>
            <w:proofErr w:type="spellStart"/>
            <w:r w:rsidRPr="00903461">
              <w:t>mCRPC</w:t>
            </w:r>
            <w:proofErr w:type="spellEnd"/>
            <w:r w:rsidRPr="00903461">
              <w:t xml:space="preserve"> who have received prior chemotherapy containing a taxane.</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 xml:space="preserve">Date of entry onto </w:t>
            </w:r>
            <w:proofErr w:type="spellStart"/>
            <w:r w:rsidRPr="00BD5DBD">
              <w:rPr>
                <w:i/>
                <w:szCs w:val="22"/>
              </w:rPr>
              <w:t>ARTG</w:t>
            </w:r>
            <w:proofErr w:type="spellEnd"/>
            <w:r w:rsidRPr="00BD5DBD">
              <w:rPr>
                <w:i/>
                <w:szCs w:val="22"/>
              </w:rPr>
              <w:t>:</w:t>
            </w:r>
          </w:p>
        </w:tc>
        <w:tc>
          <w:tcPr>
            <w:tcW w:w="3423" w:type="pct"/>
          </w:tcPr>
          <w:p w14:paraId="28B270E9" w14:textId="7C2E7605" w:rsidR="00324B33" w:rsidRPr="00BD5DBD" w:rsidRDefault="00903461" w:rsidP="007452E8">
            <w:pPr>
              <w:rPr>
                <w:szCs w:val="22"/>
              </w:rPr>
            </w:pPr>
            <w:r w:rsidRPr="00903461">
              <w:rPr>
                <w:szCs w:val="22"/>
              </w:rPr>
              <w:t>7 July 2025</w:t>
            </w:r>
          </w:p>
        </w:tc>
      </w:tr>
      <w:tr w:rsidR="00324B33" w:rsidRPr="00BD5DBD" w14:paraId="547E08D7" w14:textId="77777777" w:rsidTr="00F865A7">
        <w:tc>
          <w:tcPr>
            <w:tcW w:w="1577" w:type="pct"/>
          </w:tcPr>
          <w:p w14:paraId="5030EF30" w14:textId="1D728F7C" w:rsidR="00324B33" w:rsidRPr="00BD5DBD" w:rsidRDefault="00324B33" w:rsidP="007452E8">
            <w:pPr>
              <w:rPr>
                <w:i/>
                <w:szCs w:val="22"/>
              </w:rPr>
            </w:pPr>
            <w:proofErr w:type="spellStart"/>
            <w:r w:rsidRPr="00BD5DBD">
              <w:rPr>
                <w:i/>
                <w:szCs w:val="22"/>
              </w:rPr>
              <w:t>ARTG</w:t>
            </w:r>
            <w:proofErr w:type="spellEnd"/>
            <w:r w:rsidRPr="00BD5DBD">
              <w:rPr>
                <w:i/>
                <w:szCs w:val="22"/>
              </w:rPr>
              <w:t xml:space="preserve"> number</w:t>
            </w:r>
            <w:r w:rsidR="00903461">
              <w:rPr>
                <w:i/>
                <w:szCs w:val="22"/>
              </w:rPr>
              <w:t>s</w:t>
            </w:r>
            <w:r w:rsidRPr="00BD5DBD">
              <w:rPr>
                <w:i/>
                <w:szCs w:val="22"/>
              </w:rPr>
              <w:t>:</w:t>
            </w:r>
          </w:p>
        </w:tc>
        <w:tc>
          <w:tcPr>
            <w:tcW w:w="3423" w:type="pct"/>
          </w:tcPr>
          <w:p w14:paraId="17A4B929" w14:textId="750E414A" w:rsidR="004547AC" w:rsidRDefault="00282990" w:rsidP="007452E8">
            <w:pPr>
              <w:rPr>
                <w:szCs w:val="22"/>
              </w:rPr>
            </w:pPr>
            <w:proofErr w:type="spellStart"/>
            <w:r>
              <w:rPr>
                <w:szCs w:val="22"/>
              </w:rPr>
              <w:t>Andriga</w:t>
            </w:r>
            <w:proofErr w:type="spellEnd"/>
            <w:r w:rsidR="00903461" w:rsidRPr="00903461">
              <w:rPr>
                <w:szCs w:val="22"/>
              </w:rPr>
              <w:t>-5 (</w:t>
            </w:r>
            <w:hyperlink r:id="rId20" w:history="1">
              <w:r w:rsidR="00903461" w:rsidRPr="004547AC">
                <w:rPr>
                  <w:rStyle w:val="Hyperlink"/>
                  <w:szCs w:val="22"/>
                </w:rPr>
                <w:t>437512</w:t>
              </w:r>
            </w:hyperlink>
            <w:r w:rsidR="00903461" w:rsidRPr="00903461">
              <w:rPr>
                <w:szCs w:val="22"/>
              </w:rPr>
              <w:t>)</w:t>
            </w:r>
          </w:p>
          <w:p w14:paraId="0054E912" w14:textId="745FB69D" w:rsidR="00324B33" w:rsidRPr="00BD5DBD" w:rsidRDefault="00282990" w:rsidP="004547AC">
            <w:pPr>
              <w:rPr>
                <w:szCs w:val="22"/>
              </w:rPr>
            </w:pPr>
            <w:proofErr w:type="spellStart"/>
            <w:r>
              <w:rPr>
                <w:szCs w:val="22"/>
              </w:rPr>
              <w:t>Andriga</w:t>
            </w:r>
            <w:proofErr w:type="spellEnd"/>
            <w:r w:rsidR="004547AC" w:rsidRPr="004547AC">
              <w:rPr>
                <w:szCs w:val="22"/>
              </w:rPr>
              <w:t>-10 (</w:t>
            </w:r>
            <w:hyperlink r:id="rId21" w:history="1">
              <w:r w:rsidR="004547AC" w:rsidRPr="004547AC">
                <w:rPr>
                  <w:rStyle w:val="Hyperlink"/>
                  <w:szCs w:val="22"/>
                </w:rPr>
                <w:t>437511</w:t>
              </w:r>
            </w:hyperlink>
            <w:r w:rsidR="004547AC" w:rsidRPr="004547AC">
              <w:rPr>
                <w:szCs w:val="22"/>
              </w:rPr>
              <w:t>)</w:t>
            </w:r>
          </w:p>
        </w:tc>
      </w:tr>
      <w:tr w:rsidR="00324B33" w:rsidRPr="00BD5DBD" w14:paraId="7618393F" w14:textId="77777777" w:rsidTr="00F865A7">
        <w:tc>
          <w:tcPr>
            <w:tcW w:w="1577" w:type="pct"/>
          </w:tcPr>
          <w:p w14:paraId="02260DE2" w14:textId="193007BD" w:rsidR="00324B33" w:rsidRPr="00BD5DBD" w:rsidRDefault="00324B33" w:rsidP="007E4FF8">
            <w:pPr>
              <w:rPr>
                <w:i/>
                <w:szCs w:val="22"/>
              </w:rPr>
            </w:pPr>
            <w:r w:rsidRPr="00BD5DBD">
              <w:rPr>
                <w:rFonts w:ascii="Wingdings 3" w:hAnsi="Wingdings 3"/>
                <w:szCs w:val="22"/>
                <w:lang w:eastAsia="en-AU"/>
              </w:rPr>
              <w:t></w:t>
            </w:r>
            <w:hyperlink r:id="rId22" w:history="1">
              <w:r w:rsidRPr="00BD5DBD">
                <w:rPr>
                  <w:rStyle w:val="Hyperlink"/>
                  <w:i/>
                  <w:szCs w:val="22"/>
                </w:rPr>
                <w:t>Black Triangle Scheme</w:t>
              </w:r>
            </w:hyperlink>
          </w:p>
        </w:tc>
        <w:tc>
          <w:tcPr>
            <w:tcW w:w="3423" w:type="pct"/>
          </w:tcPr>
          <w:p w14:paraId="6FF3C6A2" w14:textId="7B9F2870" w:rsidR="00324B33" w:rsidRPr="00BD5DBD" w:rsidRDefault="00324B33" w:rsidP="007452E8">
            <w:pPr>
              <w:rPr>
                <w:szCs w:val="22"/>
              </w:rPr>
            </w:pPr>
            <w:r w:rsidRPr="00BD5DBD">
              <w:rPr>
                <w:szCs w:val="22"/>
              </w:rPr>
              <w:t>No</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68DD94B0" w14:textId="4CE69349" w:rsidR="00324B33" w:rsidRPr="00BD5DBD" w:rsidRDefault="004547AC" w:rsidP="004547AC">
            <w:pPr>
              <w:rPr>
                <w:szCs w:val="22"/>
              </w:rPr>
            </w:pPr>
            <w:r w:rsidRPr="004547AC">
              <w:rPr>
                <w:szCs w:val="22"/>
              </w:rPr>
              <w:t>Actor Pharmaceuticals Pty Ltd</w:t>
            </w:r>
            <w:r>
              <w:rPr>
                <w:szCs w:val="22"/>
              </w:rPr>
              <w:t xml:space="preserve">, </w:t>
            </w:r>
            <w:r w:rsidRPr="004547AC">
              <w:rPr>
                <w:szCs w:val="22"/>
              </w:rPr>
              <w:t>Level 6, 50 Berry Street</w:t>
            </w:r>
            <w:r>
              <w:rPr>
                <w:szCs w:val="22"/>
              </w:rPr>
              <w:t xml:space="preserve">, </w:t>
            </w:r>
            <w:r w:rsidRPr="004547AC">
              <w:rPr>
                <w:szCs w:val="22"/>
              </w:rPr>
              <w:t>North Sydney NSW 2060, Australia</w:t>
            </w:r>
          </w:p>
        </w:tc>
      </w:tr>
      <w:tr w:rsidR="00324B33" w:rsidRPr="00BD5DBD" w14:paraId="5322B989" w14:textId="77777777" w:rsidTr="00F865A7">
        <w:tc>
          <w:tcPr>
            <w:tcW w:w="1577" w:type="pct"/>
          </w:tcPr>
          <w:p w14:paraId="24F217E3" w14:textId="4AF09732" w:rsidR="00324B33" w:rsidRPr="00BD5DBD" w:rsidRDefault="00324B33" w:rsidP="007452E8">
            <w:pPr>
              <w:rPr>
                <w:i/>
                <w:szCs w:val="22"/>
              </w:rPr>
            </w:pPr>
            <w:r w:rsidRPr="00BD5DBD">
              <w:rPr>
                <w:i/>
                <w:szCs w:val="22"/>
              </w:rPr>
              <w:t>Dose form:</w:t>
            </w:r>
          </w:p>
        </w:tc>
        <w:tc>
          <w:tcPr>
            <w:tcW w:w="3423" w:type="pct"/>
          </w:tcPr>
          <w:p w14:paraId="392D3701" w14:textId="01A06631" w:rsidR="00324B33" w:rsidRDefault="00916E77" w:rsidP="007452E8">
            <w:pPr>
              <w:rPr>
                <w:szCs w:val="22"/>
              </w:rPr>
            </w:pPr>
            <w:r>
              <w:rPr>
                <w:szCs w:val="22"/>
              </w:rPr>
              <w:t>Abiraterone</w:t>
            </w:r>
            <w:r w:rsidR="0079324D">
              <w:rPr>
                <w:szCs w:val="22"/>
              </w:rPr>
              <w:t>:</w:t>
            </w:r>
            <w:r>
              <w:rPr>
                <w:szCs w:val="22"/>
              </w:rPr>
              <w:t xml:space="preserve"> </w:t>
            </w:r>
            <w:r w:rsidR="004547AC">
              <w:rPr>
                <w:szCs w:val="22"/>
              </w:rPr>
              <w:t>T</w:t>
            </w:r>
            <w:r w:rsidR="004547AC" w:rsidRPr="004547AC">
              <w:rPr>
                <w:szCs w:val="22"/>
              </w:rPr>
              <w:t>ablet</w:t>
            </w:r>
            <w:r>
              <w:rPr>
                <w:szCs w:val="22"/>
              </w:rPr>
              <w:t>, film coated</w:t>
            </w:r>
          </w:p>
          <w:p w14:paraId="768B254C" w14:textId="59E01E02" w:rsidR="00916E77" w:rsidRPr="00BD5DBD" w:rsidRDefault="00916E77" w:rsidP="007452E8">
            <w:pPr>
              <w:rPr>
                <w:szCs w:val="22"/>
              </w:rPr>
            </w:pPr>
            <w:r>
              <w:rPr>
                <w:szCs w:val="22"/>
              </w:rPr>
              <w:t>Prednisolone</w:t>
            </w:r>
            <w:r w:rsidR="0079324D">
              <w:rPr>
                <w:szCs w:val="22"/>
              </w:rPr>
              <w:t>:</w:t>
            </w:r>
            <w:r>
              <w:rPr>
                <w:szCs w:val="22"/>
              </w:rPr>
              <w:t xml:space="preserve"> Tablet</w:t>
            </w:r>
          </w:p>
        </w:tc>
      </w:tr>
      <w:tr w:rsidR="00324B33" w:rsidRPr="00BD5DBD" w14:paraId="115243E6" w14:textId="77777777" w:rsidTr="00F865A7">
        <w:tc>
          <w:tcPr>
            <w:tcW w:w="1577" w:type="pct"/>
          </w:tcPr>
          <w:p w14:paraId="7634B062" w14:textId="0AE54404" w:rsidR="00324B33" w:rsidRPr="00BD5DBD" w:rsidRDefault="00324B33" w:rsidP="007452E8">
            <w:pPr>
              <w:rPr>
                <w:i/>
                <w:szCs w:val="22"/>
              </w:rPr>
            </w:pPr>
            <w:r w:rsidRPr="00BD5DBD">
              <w:rPr>
                <w:i/>
                <w:szCs w:val="22"/>
              </w:rPr>
              <w:t>Strength:</w:t>
            </w:r>
          </w:p>
        </w:tc>
        <w:tc>
          <w:tcPr>
            <w:tcW w:w="3423" w:type="pct"/>
          </w:tcPr>
          <w:p w14:paraId="2BAB5932" w14:textId="77777777" w:rsidR="00324B33" w:rsidRDefault="004547AC" w:rsidP="007452E8">
            <w:pPr>
              <w:rPr>
                <w:szCs w:val="22"/>
              </w:rPr>
            </w:pPr>
            <w:r w:rsidRPr="004547AC">
              <w:rPr>
                <w:szCs w:val="22"/>
              </w:rPr>
              <w:t>Each abiraterone film-coated tablet contains 500 mg abiraterone acetate</w:t>
            </w:r>
            <w:r>
              <w:rPr>
                <w:szCs w:val="22"/>
              </w:rPr>
              <w:t xml:space="preserve">. </w:t>
            </w:r>
          </w:p>
          <w:p w14:paraId="5E5F83DB" w14:textId="599C2B87" w:rsidR="004547AC" w:rsidRPr="00BD5DBD" w:rsidRDefault="004547AC" w:rsidP="007452E8">
            <w:pPr>
              <w:rPr>
                <w:szCs w:val="22"/>
              </w:rPr>
            </w:pPr>
            <w:r w:rsidRPr="004547AC">
              <w:rPr>
                <w:szCs w:val="22"/>
              </w:rPr>
              <w:t>Each prednisolone tablet contains 5 mg prednisolone</w:t>
            </w:r>
          </w:p>
        </w:tc>
      </w:tr>
      <w:tr w:rsidR="00324B33" w:rsidRPr="00BD5DBD" w14:paraId="34B07BA6" w14:textId="77777777" w:rsidTr="00F865A7">
        <w:tc>
          <w:tcPr>
            <w:tcW w:w="1577" w:type="pct"/>
          </w:tcPr>
          <w:p w14:paraId="1C039224" w14:textId="186F01AE" w:rsidR="00324B33" w:rsidRPr="00BD5DBD" w:rsidRDefault="00324B33" w:rsidP="007452E8">
            <w:pPr>
              <w:rPr>
                <w:i/>
                <w:szCs w:val="22"/>
              </w:rPr>
            </w:pPr>
            <w:r w:rsidRPr="00BD5DBD">
              <w:rPr>
                <w:i/>
                <w:szCs w:val="22"/>
              </w:rPr>
              <w:t>Container:</w:t>
            </w:r>
          </w:p>
        </w:tc>
        <w:tc>
          <w:tcPr>
            <w:tcW w:w="3423" w:type="pct"/>
          </w:tcPr>
          <w:p w14:paraId="500A42C6" w14:textId="0BC126B3" w:rsidR="00324B33" w:rsidRPr="00BD5DBD" w:rsidRDefault="00282990" w:rsidP="007452E8">
            <w:pPr>
              <w:rPr>
                <w:szCs w:val="22"/>
              </w:rPr>
            </w:pPr>
            <w:proofErr w:type="spellStart"/>
            <w:r>
              <w:rPr>
                <w:szCs w:val="22"/>
              </w:rPr>
              <w:t>Andriga</w:t>
            </w:r>
            <w:proofErr w:type="spellEnd"/>
            <w:r w:rsidR="004547AC" w:rsidRPr="004547AC">
              <w:rPr>
                <w:szCs w:val="22"/>
              </w:rPr>
              <w:t xml:space="preserve">-5 </w:t>
            </w:r>
            <w:r w:rsidR="004547AC">
              <w:rPr>
                <w:szCs w:val="22"/>
              </w:rPr>
              <w:t xml:space="preserve">and </w:t>
            </w:r>
            <w:proofErr w:type="spellStart"/>
            <w:r>
              <w:rPr>
                <w:szCs w:val="22"/>
              </w:rPr>
              <w:t>Andriga</w:t>
            </w:r>
            <w:proofErr w:type="spellEnd"/>
            <w:r w:rsidR="004547AC" w:rsidRPr="004547AC">
              <w:rPr>
                <w:szCs w:val="22"/>
              </w:rPr>
              <w:t>-10</w:t>
            </w:r>
            <w:r w:rsidR="004547AC">
              <w:rPr>
                <w:szCs w:val="22"/>
              </w:rPr>
              <w:t xml:space="preserve"> are </w:t>
            </w:r>
            <w:r w:rsidR="004547AC" w:rsidRPr="004547AC">
              <w:rPr>
                <w:szCs w:val="22"/>
              </w:rPr>
              <w:t xml:space="preserve">supplied in a </w:t>
            </w:r>
            <w:r w:rsidR="004547AC">
              <w:rPr>
                <w:szCs w:val="22"/>
              </w:rPr>
              <w:t>p</w:t>
            </w:r>
            <w:r w:rsidR="004547AC" w:rsidRPr="004547AC">
              <w:rPr>
                <w:szCs w:val="22"/>
              </w:rPr>
              <w:t xml:space="preserve">olyvinyl </w:t>
            </w:r>
            <w:r w:rsidR="004547AC">
              <w:rPr>
                <w:szCs w:val="22"/>
              </w:rPr>
              <w:t>c</w:t>
            </w:r>
            <w:r w:rsidR="004547AC" w:rsidRPr="004547AC">
              <w:rPr>
                <w:szCs w:val="22"/>
              </w:rPr>
              <w:t>hloride/</w:t>
            </w:r>
            <w:r w:rsidR="004547AC">
              <w:t>p</w:t>
            </w:r>
            <w:r w:rsidR="004547AC" w:rsidRPr="004547AC">
              <w:rPr>
                <w:szCs w:val="22"/>
              </w:rPr>
              <w:t xml:space="preserve">olyvinylidene </w:t>
            </w:r>
            <w:r w:rsidR="004547AC">
              <w:rPr>
                <w:szCs w:val="22"/>
              </w:rPr>
              <w:t>c</w:t>
            </w:r>
            <w:r w:rsidR="004547AC" w:rsidRPr="004547AC">
              <w:rPr>
                <w:szCs w:val="22"/>
              </w:rPr>
              <w:t>hloride -aluminium combination blister packed in a carton</w:t>
            </w:r>
            <w:r w:rsidR="004547AC">
              <w:rPr>
                <w:szCs w:val="22"/>
              </w:rPr>
              <w:t>.</w:t>
            </w:r>
          </w:p>
        </w:tc>
      </w:tr>
      <w:tr w:rsidR="00324B33" w:rsidRPr="00BD5DBD" w14:paraId="176B6773" w14:textId="77777777" w:rsidTr="00F865A7">
        <w:tc>
          <w:tcPr>
            <w:tcW w:w="1577" w:type="pct"/>
          </w:tcPr>
          <w:p w14:paraId="71846159" w14:textId="75A03AD6" w:rsidR="00324B33" w:rsidRPr="00BD5DBD" w:rsidRDefault="00324B33" w:rsidP="007452E8">
            <w:pPr>
              <w:rPr>
                <w:i/>
                <w:szCs w:val="22"/>
              </w:rPr>
            </w:pPr>
            <w:r w:rsidRPr="00BD5DBD">
              <w:rPr>
                <w:i/>
                <w:szCs w:val="22"/>
              </w:rPr>
              <w:t>Pack size:</w:t>
            </w:r>
          </w:p>
        </w:tc>
        <w:tc>
          <w:tcPr>
            <w:tcW w:w="3423" w:type="pct"/>
          </w:tcPr>
          <w:p w14:paraId="07E9BE8F" w14:textId="033194C2" w:rsidR="004547AC" w:rsidRDefault="00282990" w:rsidP="004547AC">
            <w:pPr>
              <w:rPr>
                <w:szCs w:val="22"/>
              </w:rPr>
            </w:pPr>
            <w:proofErr w:type="spellStart"/>
            <w:r>
              <w:rPr>
                <w:szCs w:val="22"/>
              </w:rPr>
              <w:t>Andriga</w:t>
            </w:r>
            <w:proofErr w:type="spellEnd"/>
            <w:r w:rsidR="004547AC" w:rsidRPr="004547AC">
              <w:rPr>
                <w:szCs w:val="22"/>
              </w:rPr>
              <w:t>-5 is a composite blister pack containing 2 medicinal products:</w:t>
            </w:r>
          </w:p>
          <w:p w14:paraId="11AB2CF8" w14:textId="00934427" w:rsidR="00324B33" w:rsidRDefault="00282990" w:rsidP="004547AC">
            <w:pPr>
              <w:pStyle w:val="ListBullet"/>
            </w:pPr>
            <w:r>
              <w:t>a</w:t>
            </w:r>
            <w:r w:rsidR="004547AC" w:rsidRPr="004547AC">
              <w:t xml:space="preserve">biraterone acetate 1000 mg (as two 500 mg film-coated tablets) and </w:t>
            </w:r>
            <w:r>
              <w:t>p</w:t>
            </w:r>
            <w:r w:rsidR="004547AC" w:rsidRPr="004547AC">
              <w:t>rednisolone 5 mg (as one 5 mg tablet).</w:t>
            </w:r>
          </w:p>
          <w:p w14:paraId="63E1A635" w14:textId="31C7EA1B" w:rsidR="004547AC" w:rsidRPr="004547AC" w:rsidRDefault="00282990" w:rsidP="004547AC">
            <w:pPr>
              <w:rPr>
                <w:szCs w:val="22"/>
              </w:rPr>
            </w:pPr>
            <w:proofErr w:type="spellStart"/>
            <w:r>
              <w:rPr>
                <w:szCs w:val="22"/>
              </w:rPr>
              <w:t>Andriga</w:t>
            </w:r>
            <w:proofErr w:type="spellEnd"/>
            <w:r w:rsidR="004547AC" w:rsidRPr="004547AC">
              <w:rPr>
                <w:szCs w:val="22"/>
              </w:rPr>
              <w:t>-10 is a composite blister pack containing 2 medicinal products:</w:t>
            </w:r>
          </w:p>
          <w:p w14:paraId="7E978F8F" w14:textId="1964199C" w:rsidR="004547AC" w:rsidRPr="00BD5DBD" w:rsidRDefault="00282990" w:rsidP="004547AC">
            <w:pPr>
              <w:pStyle w:val="ListBullet"/>
            </w:pPr>
            <w:r>
              <w:lastRenderedPageBreak/>
              <w:t>a</w:t>
            </w:r>
            <w:r w:rsidR="004547AC" w:rsidRPr="004547AC">
              <w:t xml:space="preserve">biraterone acetate 1000 mg (as two 500 mg film-coated tablets) and </w:t>
            </w:r>
            <w:r>
              <w:t>p</w:t>
            </w:r>
            <w:r w:rsidR="004547AC" w:rsidRPr="004547AC">
              <w:t>rednisolone 10 mg (as two 5 mg tablets).</w:t>
            </w:r>
          </w:p>
        </w:tc>
      </w:tr>
      <w:tr w:rsidR="00324B33" w:rsidRPr="00BD5DBD" w14:paraId="5AFDEED3" w14:textId="77777777" w:rsidTr="00F865A7">
        <w:tc>
          <w:tcPr>
            <w:tcW w:w="1577" w:type="pct"/>
          </w:tcPr>
          <w:p w14:paraId="03884BD1" w14:textId="635F1C90" w:rsidR="00324B33" w:rsidRPr="00BD5DBD" w:rsidRDefault="00324B33" w:rsidP="007452E8">
            <w:pPr>
              <w:rPr>
                <w:i/>
                <w:szCs w:val="22"/>
              </w:rPr>
            </w:pPr>
            <w:r w:rsidRPr="00BD5DBD">
              <w:rPr>
                <w:i/>
                <w:szCs w:val="22"/>
              </w:rPr>
              <w:lastRenderedPageBreak/>
              <w:t>Route of administration:</w:t>
            </w:r>
          </w:p>
        </w:tc>
        <w:tc>
          <w:tcPr>
            <w:tcW w:w="3423" w:type="pct"/>
          </w:tcPr>
          <w:p w14:paraId="1ED1357E" w14:textId="7E4EDF4F" w:rsidR="00324B33" w:rsidRPr="00BD5DBD" w:rsidRDefault="004547AC" w:rsidP="007452E8">
            <w:pPr>
              <w:rPr>
                <w:szCs w:val="22"/>
              </w:rPr>
            </w:pPr>
            <w:r>
              <w:rPr>
                <w:szCs w:val="22"/>
              </w:rPr>
              <w:t>Oral</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3D0B2D5C" w14:textId="2E951869" w:rsidR="00324B33" w:rsidRPr="00BD5DBD" w:rsidRDefault="00324B33" w:rsidP="007452E8">
            <w:pPr>
              <w:rPr>
                <w:szCs w:val="22"/>
              </w:rPr>
            </w:pPr>
            <w:r w:rsidRPr="00BD5DBD">
              <w:rPr>
                <w:szCs w:val="22"/>
              </w:rPr>
              <w:t>For information regarding dosage, refer to the Product Information.</w:t>
            </w:r>
          </w:p>
        </w:tc>
      </w:tr>
      <w:tr w:rsidR="0017005C" w:rsidRPr="00BD5DBD" w14:paraId="7B7BB6AE" w14:textId="77777777" w:rsidTr="00F865A7">
        <w:tc>
          <w:tcPr>
            <w:tcW w:w="1577" w:type="pct"/>
          </w:tcPr>
          <w:p w14:paraId="3A76AFF7" w14:textId="7C436DD9" w:rsidR="0017005C" w:rsidRPr="00F8083B" w:rsidRDefault="0070330F" w:rsidP="0017005C">
            <w:r w:rsidRPr="00BD5DBD">
              <w:rPr>
                <w:i/>
                <w:szCs w:val="22"/>
              </w:rPr>
              <w:t>Pregnancy category:</w:t>
            </w:r>
          </w:p>
        </w:tc>
        <w:tc>
          <w:tcPr>
            <w:tcW w:w="3423" w:type="pct"/>
          </w:tcPr>
          <w:p w14:paraId="35E401AF" w14:textId="77777777" w:rsidR="007E4FF8" w:rsidRPr="007E4FF8" w:rsidRDefault="007E4FF8" w:rsidP="007E4FF8">
            <w:pPr>
              <w:rPr>
                <w:b/>
                <w:bCs/>
              </w:rPr>
            </w:pPr>
            <w:r w:rsidRPr="007E4FF8">
              <w:rPr>
                <w:b/>
                <w:bCs/>
              </w:rPr>
              <w:t>Category D</w:t>
            </w:r>
          </w:p>
          <w:p w14:paraId="07217151" w14:textId="77777777" w:rsidR="007E4FF8" w:rsidRPr="007E4FF8" w:rsidRDefault="007E4FF8" w:rsidP="007E4FF8">
            <w:r w:rsidRPr="007E4FF8">
              <w:t xml:space="preserve">Drugs which have caused, are suspected to have caused or may be expected to cause, an increased incidence of human </w:t>
            </w:r>
            <w:proofErr w:type="spellStart"/>
            <w:r w:rsidRPr="007E4FF8">
              <w:t>fetal</w:t>
            </w:r>
            <w:proofErr w:type="spellEnd"/>
            <w:r w:rsidRPr="007E4FF8">
              <w:t xml:space="preserve"> malformations or irreversible damage. These drugs may also have adverse pharmacological effects. Accompanying texts should be consulted for further details.</w:t>
            </w:r>
          </w:p>
          <w:p w14:paraId="76497789" w14:textId="634DC28C" w:rsidR="0017005C" w:rsidRPr="00BD5DBD" w:rsidRDefault="0070330F" w:rsidP="00306E72">
            <w:pPr>
              <w:rPr>
                <w:szCs w:val="22"/>
              </w:rPr>
            </w:pPr>
            <w:r w:rsidRPr="00BD5DBD">
              <w:rPr>
                <w:szCs w:val="22"/>
              </w:rPr>
              <w:t xml:space="preserve">The use of any medicine during pregnancy requires careful consideration of both risks and benefits by the treating health professional. </w:t>
            </w:r>
            <w:r w:rsidR="00721059">
              <w:rPr>
                <w:szCs w:val="22"/>
              </w:rPr>
              <w:t xml:space="preserve">The </w:t>
            </w:r>
            <w:hyperlink r:id="rId23" w:history="1">
              <w:r w:rsidR="00721059" w:rsidRPr="00065FDF">
                <w:rPr>
                  <w:rStyle w:val="Hyperlink"/>
                  <w:szCs w:val="22"/>
                </w:rPr>
                <w:t>pregnancy database</w:t>
              </w:r>
            </w:hyperlink>
            <w:r w:rsidR="00387984">
              <w:t xml:space="preserve"> </w:t>
            </w:r>
            <w:r w:rsidRPr="00BD5DBD">
              <w:rPr>
                <w:szCs w:val="22"/>
              </w:rPr>
              <w:t xml:space="preserve">must not be used as the sole basis of decision making in the use of medicines during pregnancy. The TGA does not provide advice on the use of medicines in pregnancy for specific cases. More information is available from </w:t>
            </w:r>
            <w:hyperlink r:id="rId24" w:history="1">
              <w:r w:rsidRPr="00C059D0">
                <w:rPr>
                  <w:rStyle w:val="Hyperlink"/>
                  <w:szCs w:val="22"/>
                </w:rPr>
                <w:t>obstetric drug information services</w:t>
              </w:r>
            </w:hyperlink>
            <w:r w:rsidRPr="00BD5DBD">
              <w:rPr>
                <w:szCs w:val="22"/>
              </w:rPr>
              <w:t xml:space="preserve"> in your </w:t>
            </w:r>
            <w:r w:rsidR="00306E72">
              <w:rPr>
                <w:szCs w:val="22"/>
              </w:rPr>
              <w:t>s</w:t>
            </w:r>
            <w:r w:rsidRPr="00BD5DBD">
              <w:rPr>
                <w:szCs w:val="22"/>
              </w:rPr>
              <w:t xml:space="preserve">tate or </w:t>
            </w:r>
            <w:r w:rsidR="00306E72">
              <w:rPr>
                <w:szCs w:val="22"/>
              </w:rPr>
              <w:t>t</w:t>
            </w:r>
            <w:r w:rsidRPr="00BD5DBD">
              <w:rPr>
                <w:szCs w:val="22"/>
              </w:rPr>
              <w:t>erritory.</w:t>
            </w:r>
          </w:p>
        </w:tc>
      </w:tr>
    </w:tbl>
    <w:p w14:paraId="51F2479F" w14:textId="1E34B277" w:rsidR="00324B33" w:rsidRDefault="00324B33" w:rsidP="00E26651">
      <w:pPr>
        <w:pStyle w:val="Heading3"/>
      </w:pPr>
      <w:bookmarkStart w:id="11" w:name="_Toc247691503"/>
      <w:bookmarkStart w:id="12" w:name="_Toc314842484"/>
      <w:bookmarkStart w:id="13" w:name="_Toc103679290"/>
      <w:bookmarkStart w:id="14" w:name="_Toc225515973"/>
      <w:r>
        <w:t xml:space="preserve">Product </w:t>
      </w:r>
      <w:r w:rsidRPr="00E26651">
        <w:t>background</w:t>
      </w:r>
      <w:bookmarkEnd w:id="11"/>
      <w:bookmarkEnd w:id="12"/>
      <w:bookmarkEnd w:id="13"/>
      <w:bookmarkEnd w:id="14"/>
    </w:p>
    <w:p w14:paraId="59BF31D1" w14:textId="1FD0CF86" w:rsidR="001500A8" w:rsidRDefault="00324B33" w:rsidP="00E26651">
      <w:r w:rsidRPr="00065839">
        <w:t xml:space="preserve">This </w:t>
      </w:r>
      <w:proofErr w:type="spellStart"/>
      <w:r w:rsidRPr="00065839">
        <w:t>AusPAR</w:t>
      </w:r>
      <w:proofErr w:type="spellEnd"/>
      <w:r w:rsidRPr="00065839">
        <w:t xml:space="preserve"> describes the submission by </w:t>
      </w:r>
      <w:r w:rsidR="00CD4A04" w:rsidRPr="00CD4A04">
        <w:t xml:space="preserve">Actor Pharmaceuticals Pty Ltd </w:t>
      </w:r>
      <w:r w:rsidRPr="00065839">
        <w:t xml:space="preserve">(the sponsor) to register </w:t>
      </w:r>
      <w:proofErr w:type="spellStart"/>
      <w:r w:rsidR="00282990">
        <w:t>Andriga</w:t>
      </w:r>
      <w:proofErr w:type="spellEnd"/>
      <w:r w:rsidR="00CD4A04" w:rsidRPr="00CD4A04">
        <w:t>-5</w:t>
      </w:r>
      <w:r w:rsidR="00CD4A04">
        <w:t xml:space="preserve"> (generic a</w:t>
      </w:r>
      <w:r w:rsidR="00CD4A04" w:rsidRPr="00CD4A04">
        <w:t xml:space="preserve">biraterone acetate 1000 mg and </w:t>
      </w:r>
      <w:r w:rsidR="00CD4A04">
        <w:t>generic p</w:t>
      </w:r>
      <w:r w:rsidR="00CD4A04" w:rsidRPr="00CD4A04">
        <w:t>rednisolone 5 mg</w:t>
      </w:r>
      <w:r w:rsidR="00CD4A04">
        <w:t xml:space="preserve">) and </w:t>
      </w:r>
      <w:proofErr w:type="spellStart"/>
      <w:r w:rsidR="00282990">
        <w:t>Andriga</w:t>
      </w:r>
      <w:proofErr w:type="spellEnd"/>
      <w:r w:rsidR="00CD4A04" w:rsidRPr="00CD4A04">
        <w:t>-10</w:t>
      </w:r>
      <w:r w:rsidRPr="00065839">
        <w:t xml:space="preserve"> (</w:t>
      </w:r>
      <w:r w:rsidR="00CD4A04" w:rsidRPr="00CD4A04">
        <w:t xml:space="preserve">generic </w:t>
      </w:r>
      <w:r w:rsidR="00CD4A04">
        <w:t>a</w:t>
      </w:r>
      <w:r w:rsidR="00CD4A04" w:rsidRPr="00CD4A04">
        <w:t>biraterone acetate 1000 mg</w:t>
      </w:r>
      <w:r w:rsidR="00CD4A04">
        <w:t xml:space="preserve"> and </w:t>
      </w:r>
      <w:r w:rsidR="00CD4A04" w:rsidRPr="00CD4A04">
        <w:t xml:space="preserve">generic </w:t>
      </w:r>
      <w:r w:rsidR="00CD4A04">
        <w:t>p</w:t>
      </w:r>
      <w:r w:rsidR="00CD4A04" w:rsidRPr="00CD4A04">
        <w:t>rednisolone 10 mg</w:t>
      </w:r>
      <w:r w:rsidRPr="00065839">
        <w:t>)</w:t>
      </w:r>
      <w:r w:rsidR="00CD4A04">
        <w:t xml:space="preserve">. The reference medicine for the abiraterone acetate 500 mg film-coated tablet is </w:t>
      </w:r>
      <w:r w:rsidR="00282990">
        <w:t>Zytiga</w:t>
      </w:r>
      <w:r w:rsidR="00CD4A04">
        <w:t xml:space="preserve"> 500 mg film-coated tablets (</w:t>
      </w:r>
      <w:proofErr w:type="spellStart"/>
      <w:r w:rsidR="00CD4A04">
        <w:t>ARTG</w:t>
      </w:r>
      <w:proofErr w:type="spellEnd"/>
      <w:r w:rsidR="00CD4A04">
        <w:t xml:space="preserve"> no. </w:t>
      </w:r>
      <w:hyperlink r:id="rId25" w:history="1">
        <w:r w:rsidR="00CD4A04" w:rsidRPr="00DE47EA">
          <w:rPr>
            <w:rStyle w:val="Hyperlink"/>
          </w:rPr>
          <w:t>275372</w:t>
        </w:r>
      </w:hyperlink>
      <w:r w:rsidR="00CD4A04">
        <w:t xml:space="preserve">), currently registered by Janssen-Cilag Pty Ltd. The prednisolone 5 mg tablets are proposed as a generic to the reference medicine, </w:t>
      </w:r>
      <w:proofErr w:type="spellStart"/>
      <w:r w:rsidR="007A5AB5">
        <w:t>Panafcortelone</w:t>
      </w:r>
      <w:proofErr w:type="spellEnd"/>
      <w:r w:rsidR="00CD4A04">
        <w:t xml:space="preserve"> 5</w:t>
      </w:r>
      <w:r w:rsidR="00E26651">
        <w:t> </w:t>
      </w:r>
      <w:r w:rsidR="00CD4A04">
        <w:t>mg tablets (</w:t>
      </w:r>
      <w:proofErr w:type="spellStart"/>
      <w:r w:rsidR="00CD4A04">
        <w:t>ARTG</w:t>
      </w:r>
      <w:proofErr w:type="spellEnd"/>
      <w:r w:rsidR="00CD4A04">
        <w:t xml:space="preserve"> no. </w:t>
      </w:r>
      <w:hyperlink r:id="rId26" w:history="1">
        <w:r w:rsidR="00CD4A04" w:rsidRPr="00EF0016">
          <w:rPr>
            <w:rStyle w:val="Hyperlink"/>
          </w:rPr>
          <w:t>27962</w:t>
        </w:r>
      </w:hyperlink>
      <w:r w:rsidR="00CD4A04">
        <w:t>) currently registered by Aspen Pharmacare Australia Pty Ltd.</w:t>
      </w:r>
      <w:r w:rsidRPr="00065839">
        <w:t xml:space="preserve"> </w:t>
      </w:r>
      <w:r w:rsidR="00CD4A04" w:rsidRPr="00CD4A04">
        <w:t>The proposed indications</w:t>
      </w:r>
      <w:r w:rsidR="00CD4A04">
        <w:t xml:space="preserve"> are</w:t>
      </w:r>
      <w:r w:rsidRPr="00065839">
        <w:t>:</w:t>
      </w:r>
      <w:r w:rsidR="00D63760" w:rsidRPr="00065839">
        <w:rPr>
          <w:vertAlign w:val="superscript"/>
        </w:rPr>
        <w:footnoteReference w:id="1"/>
      </w:r>
    </w:p>
    <w:p w14:paraId="3579A4BD" w14:textId="0E5A0220" w:rsidR="00CD4A04" w:rsidRPr="00E26651" w:rsidRDefault="00282990" w:rsidP="00E26651">
      <w:pPr>
        <w:ind w:left="720"/>
        <w:rPr>
          <w:i/>
          <w:iCs/>
        </w:rPr>
      </w:pPr>
      <w:proofErr w:type="spellStart"/>
      <w:r w:rsidRPr="00E26651">
        <w:rPr>
          <w:i/>
          <w:iCs/>
        </w:rPr>
        <w:t>Andriga</w:t>
      </w:r>
      <w:proofErr w:type="spellEnd"/>
      <w:r w:rsidR="00CD4A04" w:rsidRPr="00E26651">
        <w:rPr>
          <w:i/>
          <w:iCs/>
        </w:rPr>
        <w:t>-5 is indicated for the treatment of</w:t>
      </w:r>
      <w:r w:rsidR="007D7D25" w:rsidRPr="00E26651">
        <w:rPr>
          <w:i/>
          <w:iCs/>
        </w:rPr>
        <w:t xml:space="preserve"> </w:t>
      </w:r>
      <w:r w:rsidR="00CD4A04" w:rsidRPr="00E26651">
        <w:rPr>
          <w:i/>
          <w:iCs/>
        </w:rPr>
        <w:t>newly diagnosed high-risk metastatic hormone sensitive prostate cancer (</w:t>
      </w:r>
      <w:proofErr w:type="spellStart"/>
      <w:r w:rsidR="00CD4A04" w:rsidRPr="00E26651">
        <w:rPr>
          <w:i/>
          <w:iCs/>
        </w:rPr>
        <w:t>mHSPC</w:t>
      </w:r>
      <w:proofErr w:type="spellEnd"/>
      <w:r w:rsidR="00CD4A04" w:rsidRPr="00E26651">
        <w:rPr>
          <w:i/>
          <w:iCs/>
        </w:rPr>
        <w:t>) in combination with androgen deprivation therapy (ADT).</w:t>
      </w:r>
    </w:p>
    <w:p w14:paraId="3A2A7795" w14:textId="41DE0FED" w:rsidR="00CD4A04" w:rsidRPr="00E26651" w:rsidRDefault="00282990" w:rsidP="00E26651">
      <w:pPr>
        <w:ind w:left="720"/>
        <w:rPr>
          <w:i/>
          <w:iCs/>
        </w:rPr>
      </w:pPr>
      <w:proofErr w:type="spellStart"/>
      <w:r w:rsidRPr="00E26651">
        <w:rPr>
          <w:i/>
          <w:iCs/>
        </w:rPr>
        <w:t>Andriga</w:t>
      </w:r>
      <w:proofErr w:type="spellEnd"/>
      <w:r w:rsidR="00CD4A04" w:rsidRPr="00E26651">
        <w:rPr>
          <w:i/>
          <w:iCs/>
        </w:rPr>
        <w:t>-10 is indicated for the treatment of:</w:t>
      </w:r>
    </w:p>
    <w:p w14:paraId="0825E8D4" w14:textId="734D34C2" w:rsidR="007D7D25" w:rsidRPr="00E26651" w:rsidRDefault="006B1655" w:rsidP="00E26651">
      <w:pPr>
        <w:ind w:left="720"/>
        <w:rPr>
          <w:i/>
          <w:iCs/>
        </w:rPr>
      </w:pPr>
      <w:r w:rsidRPr="00E26651">
        <w:rPr>
          <w:i/>
          <w:iCs/>
        </w:rPr>
        <w:t>-</w:t>
      </w:r>
      <w:r w:rsidR="00CD4A04" w:rsidRPr="00E26651">
        <w:rPr>
          <w:i/>
          <w:iCs/>
        </w:rPr>
        <w:t xml:space="preserve">patients with metastatic advanced prostate cancer (castration resistant prostate cancer, </w:t>
      </w:r>
      <w:proofErr w:type="spellStart"/>
      <w:r w:rsidR="00CD4A04" w:rsidRPr="00E26651">
        <w:rPr>
          <w:i/>
          <w:iCs/>
        </w:rPr>
        <w:t>mCRPC</w:t>
      </w:r>
      <w:proofErr w:type="spellEnd"/>
      <w:r w:rsidR="00CD4A04" w:rsidRPr="00E26651">
        <w:rPr>
          <w:i/>
          <w:iCs/>
        </w:rPr>
        <w:t>) who are asymptomatic or mildly symptomatic after failure of androgen deprivation therapy (ADT) or</w:t>
      </w:r>
    </w:p>
    <w:p w14:paraId="34C07A33" w14:textId="73EDE36B" w:rsidR="00CD4A04" w:rsidRPr="00E26651" w:rsidRDefault="006B1655" w:rsidP="00E26651">
      <w:pPr>
        <w:ind w:left="720"/>
        <w:rPr>
          <w:i/>
          <w:iCs/>
        </w:rPr>
      </w:pPr>
      <w:r w:rsidRPr="00E26651">
        <w:rPr>
          <w:i/>
          <w:iCs/>
        </w:rPr>
        <w:t>-</w:t>
      </w:r>
      <w:r w:rsidR="00CD4A04" w:rsidRPr="00E26651">
        <w:rPr>
          <w:i/>
          <w:iCs/>
        </w:rPr>
        <w:t xml:space="preserve">patients with </w:t>
      </w:r>
      <w:proofErr w:type="spellStart"/>
      <w:r w:rsidR="00CD4A04" w:rsidRPr="00E26651">
        <w:rPr>
          <w:i/>
          <w:iCs/>
        </w:rPr>
        <w:t>mCRPC</w:t>
      </w:r>
      <w:proofErr w:type="spellEnd"/>
      <w:r w:rsidR="00CD4A04" w:rsidRPr="00E26651">
        <w:rPr>
          <w:i/>
          <w:iCs/>
        </w:rPr>
        <w:t xml:space="preserve"> who have received prior chemotherapy containing a taxane.</w:t>
      </w:r>
    </w:p>
    <w:p w14:paraId="1E63A2AE" w14:textId="5FCD6C6F" w:rsidR="00CB6813" w:rsidRDefault="00005DFC" w:rsidP="00E26651">
      <w:pPr>
        <w:pStyle w:val="Heading4"/>
      </w:pPr>
      <w:bookmarkStart w:id="15" w:name="_Toc225515974"/>
      <w:bookmarkStart w:id="16" w:name="_Toc314842485"/>
      <w:bookmarkStart w:id="17" w:name="_Toc247691504"/>
      <w:r>
        <w:lastRenderedPageBreak/>
        <w:t>D</w:t>
      </w:r>
      <w:r w:rsidR="00CB6813" w:rsidRPr="00C12D65">
        <w:t>isease</w:t>
      </w:r>
      <w:r w:rsidR="006428C5">
        <w:t xml:space="preserve"> or </w:t>
      </w:r>
      <w:r w:rsidR="006428C5" w:rsidRPr="00E26651">
        <w:t>condition</w:t>
      </w:r>
      <w:bookmarkEnd w:id="15"/>
    </w:p>
    <w:p w14:paraId="1127CFB5" w14:textId="77777777" w:rsidR="007804A3" w:rsidRPr="007804A3" w:rsidRDefault="007804A3" w:rsidP="00E26651">
      <w:pPr>
        <w:pStyle w:val="Heading5"/>
        <w:rPr>
          <w:lang w:val="en-US"/>
        </w:rPr>
      </w:pPr>
      <w:r w:rsidRPr="00E26651">
        <w:t>Epidemiology</w:t>
      </w:r>
    </w:p>
    <w:p w14:paraId="3F5817B0" w14:textId="39D8EAB5" w:rsidR="007804A3" w:rsidRPr="007804A3" w:rsidRDefault="007804A3" w:rsidP="007804A3">
      <w:pPr>
        <w:rPr>
          <w:lang w:val="en-US"/>
        </w:rPr>
      </w:pPr>
      <w:r w:rsidRPr="007804A3">
        <w:rPr>
          <w:lang w:val="en-US"/>
        </w:rPr>
        <w:t>Prostate cancer is the commonest cancer in males worldwide. It is estimated that there are 1.6 million cases of prostate cancer and 366,000 deaths per year.</w:t>
      </w:r>
      <w:r w:rsidR="0018088F">
        <w:rPr>
          <w:rStyle w:val="FootnoteReference"/>
          <w:lang w:val="en-US"/>
        </w:rPr>
        <w:footnoteReference w:id="2"/>
      </w:r>
    </w:p>
    <w:p w14:paraId="319198F9" w14:textId="2E3E6424" w:rsidR="007804A3" w:rsidRPr="007804A3" w:rsidRDefault="007804A3" w:rsidP="00E26651">
      <w:pPr>
        <w:rPr>
          <w:lang w:val="en-US"/>
        </w:rPr>
      </w:pPr>
      <w:r w:rsidRPr="007804A3">
        <w:rPr>
          <w:lang w:val="en-US"/>
        </w:rPr>
        <w:t xml:space="preserve">Prostate cancer is the third most common cause of cancer death in Australia. In Australia, around 24,000 new cases are diagnosed per year, constituting around 27% of all cancers in males. Around 3500 </w:t>
      </w:r>
      <w:r w:rsidR="00AA369F">
        <w:rPr>
          <w:lang w:val="en-US"/>
        </w:rPr>
        <w:t xml:space="preserve">people </w:t>
      </w:r>
      <w:r w:rsidRPr="007804A3">
        <w:rPr>
          <w:lang w:val="en-US"/>
        </w:rPr>
        <w:t>die from prostate cancer per year, constituting around 13% of cancer deaths in males.</w:t>
      </w:r>
    </w:p>
    <w:p w14:paraId="39A660B9" w14:textId="27DF9D08" w:rsidR="007804A3" w:rsidRPr="007804A3" w:rsidRDefault="007804A3" w:rsidP="00E26651">
      <w:pPr>
        <w:rPr>
          <w:lang w:val="en-US"/>
        </w:rPr>
      </w:pPr>
      <w:r w:rsidRPr="007804A3">
        <w:rPr>
          <w:lang w:val="en-US"/>
        </w:rPr>
        <w:t>The overall prevalence of prostate cancer in Australia is around 20,000.</w:t>
      </w:r>
      <w:r w:rsidR="005D764C">
        <w:rPr>
          <w:rStyle w:val="FootnoteReference"/>
          <w:lang w:val="en-US"/>
        </w:rPr>
        <w:footnoteReference w:id="3"/>
      </w:r>
      <w:r w:rsidRPr="007804A3">
        <w:rPr>
          <w:lang w:val="en-US"/>
        </w:rPr>
        <w:t xml:space="preserve"> The </w:t>
      </w:r>
      <w:proofErr w:type="spellStart"/>
      <w:r w:rsidRPr="007804A3">
        <w:rPr>
          <w:lang w:val="en-US"/>
        </w:rPr>
        <w:t>standardised</w:t>
      </w:r>
      <w:proofErr w:type="spellEnd"/>
      <w:r w:rsidRPr="007804A3">
        <w:rPr>
          <w:lang w:val="en-US"/>
        </w:rPr>
        <w:t xml:space="preserve"> incidence rate is around 150 cases per 100,000 males per year</w:t>
      </w:r>
      <w:r w:rsidR="0087682E">
        <w:rPr>
          <w:lang w:val="en-US"/>
        </w:rPr>
        <w:t>.</w:t>
      </w:r>
      <w:r w:rsidR="008B0FED">
        <w:rPr>
          <w:rStyle w:val="FootnoteReference"/>
          <w:lang w:val="en-US"/>
        </w:rPr>
        <w:footnoteReference w:id="4"/>
      </w:r>
      <w:r w:rsidRPr="007804A3">
        <w:rPr>
          <w:lang w:val="en-US"/>
        </w:rPr>
        <w:t xml:space="preserve"> The age </w:t>
      </w:r>
      <w:proofErr w:type="spellStart"/>
      <w:r w:rsidRPr="007804A3">
        <w:rPr>
          <w:lang w:val="en-US"/>
        </w:rPr>
        <w:t>standardised</w:t>
      </w:r>
      <w:proofErr w:type="spellEnd"/>
      <w:r w:rsidRPr="007804A3">
        <w:rPr>
          <w:lang w:val="en-US"/>
        </w:rPr>
        <w:t xml:space="preserve"> mortality is 22 cases per 100,000 men per year.</w:t>
      </w:r>
      <w:r w:rsidR="009B5DB8">
        <w:rPr>
          <w:rStyle w:val="FootnoteReference"/>
          <w:lang w:val="en-US"/>
        </w:rPr>
        <w:footnoteReference w:id="5"/>
      </w:r>
      <w:r w:rsidRPr="007804A3">
        <w:rPr>
          <w:lang w:val="en-US"/>
        </w:rPr>
        <w:t xml:space="preserve"> </w:t>
      </w:r>
      <w:r w:rsidR="005D64D6" w:rsidRPr="005D64D6">
        <w:rPr>
          <w:lang w:val="en-US"/>
        </w:rPr>
        <w:t>Approximately 12.8% of men will be diagnosed with prostate cancer during their lifetime</w:t>
      </w:r>
      <w:r w:rsidR="00745B24">
        <w:rPr>
          <w:lang w:val="en-US"/>
        </w:rPr>
        <w:t>.</w:t>
      </w:r>
      <w:r w:rsidR="00745B24">
        <w:rPr>
          <w:rStyle w:val="FootnoteReference"/>
          <w:lang w:val="en-US"/>
        </w:rPr>
        <w:footnoteReference w:id="6"/>
      </w:r>
    </w:p>
    <w:p w14:paraId="3ED971FF" w14:textId="44A68D7E" w:rsidR="007804A3" w:rsidRPr="007804A3" w:rsidRDefault="007804A3" w:rsidP="007804A3">
      <w:pPr>
        <w:rPr>
          <w:lang w:val="en-US"/>
        </w:rPr>
      </w:pPr>
      <w:r w:rsidRPr="007804A3">
        <w:rPr>
          <w:lang w:val="en-US"/>
        </w:rPr>
        <w:t xml:space="preserve">Contemporary diagnosis and treatment have significantly improved the outlook for patients with prostate cancer. The 5-year </w:t>
      </w:r>
      <w:proofErr w:type="gramStart"/>
      <w:r w:rsidRPr="007804A3">
        <w:rPr>
          <w:lang w:val="en-US"/>
        </w:rPr>
        <w:t>survival</w:t>
      </w:r>
      <w:proofErr w:type="gramEnd"/>
      <w:r w:rsidRPr="007804A3">
        <w:rPr>
          <w:lang w:val="en-US"/>
        </w:rPr>
        <w:t xml:space="preserve"> from prostate cancer </w:t>
      </w:r>
      <w:r w:rsidR="001D449F">
        <w:rPr>
          <w:lang w:val="en-US"/>
        </w:rPr>
        <w:t>increase from</w:t>
      </w:r>
      <w:r w:rsidR="00D43EFA">
        <w:rPr>
          <w:lang w:val="en-US"/>
        </w:rPr>
        <w:t xml:space="preserve"> 6</w:t>
      </w:r>
      <w:r w:rsidR="001211BE">
        <w:rPr>
          <w:lang w:val="en-US"/>
        </w:rPr>
        <w:t>3</w:t>
      </w:r>
      <w:r w:rsidR="00D43EFA">
        <w:rPr>
          <w:lang w:val="en-US"/>
        </w:rPr>
        <w:t>%</w:t>
      </w:r>
      <w:r w:rsidR="00767988">
        <w:rPr>
          <w:lang w:val="en-US"/>
        </w:rPr>
        <w:t xml:space="preserve"> </w:t>
      </w:r>
      <w:r w:rsidR="001D449F">
        <w:rPr>
          <w:lang w:val="en-US"/>
        </w:rPr>
        <w:t>(</w:t>
      </w:r>
      <w:r w:rsidRPr="007804A3">
        <w:rPr>
          <w:lang w:val="en-US"/>
        </w:rPr>
        <w:t>198</w:t>
      </w:r>
      <w:r w:rsidR="0065768A">
        <w:rPr>
          <w:lang w:val="en-US"/>
        </w:rPr>
        <w:t>9</w:t>
      </w:r>
      <w:r w:rsidRPr="007804A3">
        <w:rPr>
          <w:lang w:val="en-US"/>
        </w:rPr>
        <w:t>-199</w:t>
      </w:r>
      <w:r w:rsidR="0065768A">
        <w:rPr>
          <w:lang w:val="en-US"/>
        </w:rPr>
        <w:t>3</w:t>
      </w:r>
      <w:r w:rsidR="001D449F">
        <w:rPr>
          <w:lang w:val="en-US"/>
        </w:rPr>
        <w:t xml:space="preserve">) to </w:t>
      </w:r>
      <w:r w:rsidR="001C02A3">
        <w:rPr>
          <w:lang w:val="en-US"/>
        </w:rPr>
        <w:t>9</w:t>
      </w:r>
      <w:r w:rsidR="0065768A">
        <w:rPr>
          <w:lang w:val="en-US"/>
        </w:rPr>
        <w:t>7</w:t>
      </w:r>
      <w:r w:rsidR="001C02A3">
        <w:rPr>
          <w:lang w:val="en-US"/>
        </w:rPr>
        <w:t xml:space="preserve">.5% </w:t>
      </w:r>
      <w:r w:rsidR="001D449F">
        <w:rPr>
          <w:lang w:val="en-US"/>
        </w:rPr>
        <w:t>(</w:t>
      </w:r>
      <w:r w:rsidR="001C02A3">
        <w:rPr>
          <w:lang w:val="en-US"/>
        </w:rPr>
        <w:t>201</w:t>
      </w:r>
      <w:r w:rsidR="0065768A">
        <w:rPr>
          <w:lang w:val="en-US"/>
        </w:rPr>
        <w:t>4</w:t>
      </w:r>
      <w:r w:rsidR="001C02A3">
        <w:rPr>
          <w:lang w:val="en-US"/>
        </w:rPr>
        <w:t>-20</w:t>
      </w:r>
      <w:r w:rsidR="0065768A">
        <w:rPr>
          <w:lang w:val="en-US"/>
        </w:rPr>
        <w:t>20</w:t>
      </w:r>
      <w:r w:rsidR="001D449F">
        <w:rPr>
          <w:lang w:val="en-US"/>
        </w:rPr>
        <w:t>)</w:t>
      </w:r>
      <w:r w:rsidR="00E7320C">
        <w:rPr>
          <w:lang w:val="en-US"/>
        </w:rPr>
        <w:t>.</w:t>
      </w:r>
      <w:r w:rsidR="00F53690">
        <w:rPr>
          <w:rStyle w:val="FootnoteReference"/>
          <w:lang w:val="en-US"/>
        </w:rPr>
        <w:footnoteReference w:id="7"/>
      </w:r>
    </w:p>
    <w:p w14:paraId="36F726D8" w14:textId="190A3AF4" w:rsidR="007804A3" w:rsidRPr="007804A3" w:rsidRDefault="007804A3" w:rsidP="00E26651">
      <w:pPr>
        <w:rPr>
          <w:lang w:val="en-US"/>
        </w:rPr>
      </w:pPr>
      <w:r w:rsidRPr="007804A3">
        <w:rPr>
          <w:lang w:val="en-US"/>
        </w:rPr>
        <w:t xml:space="preserve">Prostate cancer is frequently asymptomatic at </w:t>
      </w:r>
      <w:proofErr w:type="gramStart"/>
      <w:r w:rsidRPr="007804A3">
        <w:rPr>
          <w:lang w:val="en-US"/>
        </w:rPr>
        <w:t>presentation</w:t>
      </w:r>
      <w:proofErr w:type="gramEnd"/>
      <w:r w:rsidRPr="007804A3">
        <w:rPr>
          <w:lang w:val="en-US"/>
        </w:rPr>
        <w:t>. The commonest method of early detection is via an elevated prostate specific antigen (PSA) level in the blood. Normal range for PSA varies with age and is affected by confounding factors such as perineal trauma, intercurrent prostatitis or certain medications. Digital rectal examination alone (DRE) fails to detect a significant number of cancers. The decision to undertake biopsy depends on PSA, DRE, imaging results (MRI or PET scan) and expected life span.</w:t>
      </w:r>
      <w:r w:rsidR="00176FDE">
        <w:rPr>
          <w:rStyle w:val="FootnoteReference"/>
          <w:lang w:val="en-US"/>
        </w:rPr>
        <w:footnoteReference w:id="8"/>
      </w:r>
    </w:p>
    <w:p w14:paraId="4299F2D4" w14:textId="0FC91B6E" w:rsidR="007804A3" w:rsidRPr="007804A3" w:rsidRDefault="007804A3" w:rsidP="007804A3">
      <w:pPr>
        <w:rPr>
          <w:lang w:val="en-US"/>
        </w:rPr>
      </w:pPr>
      <w:r w:rsidRPr="007804A3">
        <w:rPr>
          <w:lang w:val="en-US"/>
        </w:rPr>
        <w:t xml:space="preserve">At the time of diagnosis, 79.5% of patients have </w:t>
      </w:r>
      <w:proofErr w:type="spellStart"/>
      <w:r w:rsidRPr="007804A3">
        <w:rPr>
          <w:lang w:val="en-US"/>
        </w:rPr>
        <w:t>localised</w:t>
      </w:r>
      <w:proofErr w:type="spellEnd"/>
      <w:r w:rsidRPr="007804A3">
        <w:rPr>
          <w:lang w:val="en-US"/>
        </w:rPr>
        <w:t xml:space="preserve"> cancer, 15% have regional lymph node involvement and 10.8% have distant metastases.</w:t>
      </w:r>
      <w:r w:rsidR="008044CC">
        <w:rPr>
          <w:rStyle w:val="FootnoteReference"/>
          <w:lang w:val="en-US"/>
        </w:rPr>
        <w:footnoteReference w:id="9"/>
      </w:r>
    </w:p>
    <w:p w14:paraId="270577FF" w14:textId="03E75787" w:rsidR="007804A3" w:rsidRPr="00E26651" w:rsidRDefault="007804A3" w:rsidP="00E26651">
      <w:pPr>
        <w:pStyle w:val="Heading5"/>
      </w:pPr>
      <w:r w:rsidRPr="007804A3">
        <w:rPr>
          <w:lang w:val="en-US"/>
        </w:rPr>
        <w:t>Diagnosis – non metastatic disease</w:t>
      </w:r>
    </w:p>
    <w:p w14:paraId="17D94855" w14:textId="77777777" w:rsidR="007804A3" w:rsidRPr="007804A3" w:rsidRDefault="007804A3" w:rsidP="007804A3">
      <w:pPr>
        <w:rPr>
          <w:lang w:val="en-US"/>
        </w:rPr>
      </w:pPr>
      <w:r w:rsidRPr="007804A3">
        <w:rPr>
          <w:lang w:val="en-US"/>
        </w:rPr>
        <w:t>The diagnosis of non-metastatic prostate cancer requires histologic examination of tissue obtained on prostate biopsy.</w:t>
      </w:r>
    </w:p>
    <w:p w14:paraId="05B89E6D" w14:textId="77777777" w:rsidR="007804A3" w:rsidRPr="007804A3" w:rsidRDefault="007804A3" w:rsidP="001E1B8C">
      <w:pPr>
        <w:pStyle w:val="Heading5"/>
        <w:rPr>
          <w:lang w:val="en-US"/>
        </w:rPr>
      </w:pPr>
      <w:r w:rsidRPr="007804A3">
        <w:rPr>
          <w:lang w:val="en-US"/>
        </w:rPr>
        <w:t>Histology</w:t>
      </w:r>
    </w:p>
    <w:p w14:paraId="16A28242" w14:textId="29AAD49F" w:rsidR="007804A3" w:rsidRPr="007804A3" w:rsidRDefault="00EE7A18" w:rsidP="00E26651">
      <w:pPr>
        <w:rPr>
          <w:lang w:val="en-US"/>
        </w:rPr>
      </w:pPr>
      <w:r w:rsidRPr="007804A3">
        <w:rPr>
          <w:lang w:val="en-US"/>
        </w:rPr>
        <w:t>Ninety-five</w:t>
      </w:r>
      <w:r w:rsidR="007804A3" w:rsidRPr="007804A3">
        <w:rPr>
          <w:lang w:val="en-US"/>
        </w:rPr>
        <w:t xml:space="preserve"> percent of prostate cancers are adenocarcinomas. The Gleason </w:t>
      </w:r>
      <w:r w:rsidR="007804A3" w:rsidRPr="00AA369F">
        <w:rPr>
          <w:iCs/>
          <w:lang w:val="en-US"/>
        </w:rPr>
        <w:t>grade</w:t>
      </w:r>
      <w:r w:rsidR="007804A3" w:rsidRPr="007804A3">
        <w:rPr>
          <w:i/>
          <w:lang w:val="en-US"/>
        </w:rPr>
        <w:t xml:space="preserve"> </w:t>
      </w:r>
      <w:r w:rsidR="007804A3" w:rsidRPr="007804A3">
        <w:rPr>
          <w:lang w:val="en-US"/>
        </w:rPr>
        <w:t xml:space="preserve">is based solely on the architectural features of prostate cancer cells and closely correlates with clinical </w:t>
      </w:r>
      <w:proofErr w:type="spellStart"/>
      <w:r w:rsidR="007804A3" w:rsidRPr="007804A3">
        <w:rPr>
          <w:lang w:val="en-US"/>
        </w:rPr>
        <w:t>behaviour</w:t>
      </w:r>
      <w:proofErr w:type="spellEnd"/>
      <w:r w:rsidR="007804A3" w:rsidRPr="007804A3">
        <w:rPr>
          <w:lang w:val="en-US"/>
        </w:rPr>
        <w:t xml:space="preserve">. A higher score indicates a higher likelihood of non-organ confined disease, and worse outcomes after treatment. The Gleason </w:t>
      </w:r>
      <w:r w:rsidR="007804A3" w:rsidRPr="00AA369F">
        <w:rPr>
          <w:iCs/>
          <w:lang w:val="en-US"/>
        </w:rPr>
        <w:t>score</w:t>
      </w:r>
      <w:r w:rsidR="007804A3" w:rsidRPr="007804A3">
        <w:rPr>
          <w:i/>
          <w:lang w:val="en-US"/>
        </w:rPr>
        <w:t xml:space="preserve"> </w:t>
      </w:r>
      <w:r w:rsidR="007804A3" w:rsidRPr="007804A3">
        <w:rPr>
          <w:lang w:val="en-US"/>
        </w:rPr>
        <w:t xml:space="preserve">is derived by adding together the Gleason grade for the two most prominent architectures. Pathologists will not diagnose prostate cancer on tissue from needle biopsy where the Gleason </w:t>
      </w:r>
      <w:r w:rsidR="007804A3" w:rsidRPr="007804A3">
        <w:rPr>
          <w:i/>
          <w:lang w:val="en-US"/>
        </w:rPr>
        <w:t xml:space="preserve">score </w:t>
      </w:r>
      <w:r w:rsidR="007804A3" w:rsidRPr="007804A3">
        <w:rPr>
          <w:lang w:val="en-US"/>
        </w:rPr>
        <w:t xml:space="preserve">is 2-5. Hence the Gleason </w:t>
      </w:r>
      <w:r w:rsidR="007804A3" w:rsidRPr="00AA369F">
        <w:rPr>
          <w:iCs/>
          <w:lang w:val="en-US"/>
        </w:rPr>
        <w:t>score</w:t>
      </w:r>
      <w:r w:rsidR="007804A3" w:rsidRPr="007804A3">
        <w:rPr>
          <w:i/>
          <w:lang w:val="en-US"/>
        </w:rPr>
        <w:t xml:space="preserve"> </w:t>
      </w:r>
      <w:r w:rsidR="007804A3" w:rsidRPr="007804A3">
        <w:rPr>
          <w:lang w:val="en-US"/>
        </w:rPr>
        <w:t xml:space="preserve">range for prostate </w:t>
      </w:r>
      <w:r w:rsidR="007804A3" w:rsidRPr="007804A3">
        <w:rPr>
          <w:lang w:val="en-US"/>
        </w:rPr>
        <w:lastRenderedPageBreak/>
        <w:t xml:space="preserve">cancer is 6-10. The Gleason score is combined with the </w:t>
      </w:r>
      <w:proofErr w:type="spellStart"/>
      <w:r w:rsidR="007804A3" w:rsidRPr="007804A3">
        <w:rPr>
          <w:lang w:val="en-US"/>
        </w:rPr>
        <w:t>Tumour</w:t>
      </w:r>
      <w:proofErr w:type="spellEnd"/>
      <w:r w:rsidR="007804A3" w:rsidRPr="007804A3">
        <w:rPr>
          <w:lang w:val="en-US"/>
        </w:rPr>
        <w:t xml:space="preserve"> Node Metastasis (TNM) score to derive a histological grade group and predict prognosis.</w:t>
      </w:r>
      <w:r w:rsidR="00F7105D">
        <w:rPr>
          <w:rStyle w:val="FootnoteReference"/>
          <w:lang w:val="en-US"/>
        </w:rPr>
        <w:footnoteReference w:id="10"/>
      </w:r>
    </w:p>
    <w:p w14:paraId="736BDC77" w14:textId="1B2AF916" w:rsidR="007804A3" w:rsidRPr="007804A3" w:rsidRDefault="007804A3" w:rsidP="007804A3">
      <w:pPr>
        <w:rPr>
          <w:lang w:val="en-US"/>
        </w:rPr>
      </w:pPr>
      <w:r w:rsidRPr="007804A3">
        <w:rPr>
          <w:lang w:val="en-US"/>
        </w:rPr>
        <w:t>In a validation study of the histological grade grouping the following increasing mortality was observed:</w:t>
      </w:r>
      <w:r w:rsidR="00D91C52">
        <w:rPr>
          <w:rStyle w:val="FootnoteReference"/>
          <w:lang w:val="en-US"/>
        </w:rPr>
        <w:footnoteReference w:id="11"/>
      </w:r>
    </w:p>
    <w:p w14:paraId="0BF5ADCE" w14:textId="77777777" w:rsidR="007804A3" w:rsidRPr="007804A3" w:rsidRDefault="007804A3" w:rsidP="00E26651">
      <w:pPr>
        <w:pStyle w:val="ListBullet"/>
        <w:rPr>
          <w:lang w:val="en-US"/>
        </w:rPr>
      </w:pPr>
      <w:r w:rsidRPr="007804A3">
        <w:rPr>
          <w:lang w:val="en-US"/>
        </w:rPr>
        <w:t>Grade group 1: Gleason score ≤6</w:t>
      </w:r>
    </w:p>
    <w:p w14:paraId="6B1972F4" w14:textId="77777777" w:rsidR="007804A3" w:rsidRPr="007804A3" w:rsidRDefault="007804A3" w:rsidP="00CD093B">
      <w:pPr>
        <w:pStyle w:val="ListBullet"/>
        <w:rPr>
          <w:lang w:val="en-US"/>
        </w:rPr>
      </w:pPr>
      <w:r w:rsidRPr="007804A3">
        <w:rPr>
          <w:lang w:val="en-US"/>
        </w:rPr>
        <w:t>Grade group 2: Gleason score 3+4 = 7 (hazard ratio [HR] for death 2.8 relative to grade group 1)</w:t>
      </w:r>
    </w:p>
    <w:p w14:paraId="77F7D1D4" w14:textId="4A5BE08B" w:rsidR="007804A3" w:rsidRDefault="007804A3" w:rsidP="00CD093B">
      <w:pPr>
        <w:pStyle w:val="ListBullet"/>
        <w:rPr>
          <w:lang w:val="en-US"/>
        </w:rPr>
      </w:pPr>
      <w:r w:rsidRPr="007804A3">
        <w:rPr>
          <w:lang w:val="en-US"/>
        </w:rPr>
        <w:t>Grade group 3: Gleason score 4+3 = 7 (HR 6.0 relative to grade group 1)</w:t>
      </w:r>
    </w:p>
    <w:p w14:paraId="3D96A129" w14:textId="77777777" w:rsidR="009A39F5" w:rsidRPr="009A39F5" w:rsidRDefault="009A39F5" w:rsidP="00E26651">
      <w:pPr>
        <w:pStyle w:val="ListBullet"/>
        <w:rPr>
          <w:lang w:val="en-US"/>
        </w:rPr>
      </w:pPr>
      <w:r w:rsidRPr="009A39F5">
        <w:rPr>
          <w:lang w:val="en-US"/>
        </w:rPr>
        <w:t xml:space="preserve">Grade group 4: Gleason score = 8 (including 4+4 = 8, 3+5 = 8, or 5+3 = 8; HR 7.1 relative to grade </w:t>
      </w:r>
      <w:r w:rsidRPr="00E26651">
        <w:t>group</w:t>
      </w:r>
      <w:r w:rsidRPr="009A39F5">
        <w:rPr>
          <w:lang w:val="en-US"/>
        </w:rPr>
        <w:t xml:space="preserve"> 1)</w:t>
      </w:r>
    </w:p>
    <w:p w14:paraId="727FE5FB" w14:textId="12B314FE" w:rsidR="009A39F5" w:rsidRPr="009A39F5" w:rsidRDefault="009A39F5" w:rsidP="00CD093B">
      <w:pPr>
        <w:pStyle w:val="ListBullet"/>
        <w:rPr>
          <w:lang w:val="en-US"/>
        </w:rPr>
      </w:pPr>
      <w:r w:rsidRPr="009A39F5">
        <w:rPr>
          <w:lang w:val="en-US"/>
        </w:rPr>
        <w:t>Grade group 5: Gleason scores 9 to 10 (4+5, 5+4, or 5+5; HR 12.7 relative to grade group</w:t>
      </w:r>
      <w:r w:rsidR="00CD093B">
        <w:rPr>
          <w:lang w:val="en-US"/>
        </w:rPr>
        <w:t xml:space="preserve"> </w:t>
      </w:r>
      <w:r w:rsidRPr="009A39F5">
        <w:rPr>
          <w:lang w:val="en-US"/>
        </w:rPr>
        <w:t>1)</w:t>
      </w:r>
    </w:p>
    <w:p w14:paraId="2E5C714C" w14:textId="186134EB" w:rsidR="009A39F5" w:rsidRPr="009A39F5" w:rsidRDefault="009A39F5" w:rsidP="00E26651">
      <w:pPr>
        <w:rPr>
          <w:lang w:val="en-US"/>
        </w:rPr>
      </w:pPr>
      <w:r w:rsidRPr="009A39F5">
        <w:rPr>
          <w:lang w:val="en-US"/>
        </w:rPr>
        <w:t>The five-year recurrence-free survival rates were 95, 83, 65, 63, and 35 percent, respectively,</w:t>
      </w:r>
      <w:r w:rsidR="00CD093B">
        <w:rPr>
          <w:lang w:val="en-US"/>
        </w:rPr>
        <w:t xml:space="preserve"> </w:t>
      </w:r>
      <w:r w:rsidRPr="009A39F5">
        <w:rPr>
          <w:lang w:val="en-US"/>
        </w:rPr>
        <w:t xml:space="preserve">for grade </w:t>
      </w:r>
      <w:proofErr w:type="gramStart"/>
      <w:r w:rsidRPr="009A39F5">
        <w:rPr>
          <w:lang w:val="en-US"/>
        </w:rPr>
        <w:t>group</w:t>
      </w:r>
      <w:proofErr w:type="gramEnd"/>
      <w:r w:rsidRPr="009A39F5">
        <w:rPr>
          <w:lang w:val="en-US"/>
        </w:rPr>
        <w:t xml:space="preserve"> 1, 2, 3, 4, and 5.</w:t>
      </w:r>
      <w:r w:rsidR="002F13D4">
        <w:rPr>
          <w:rStyle w:val="FootnoteReference"/>
          <w:lang w:val="en-US"/>
        </w:rPr>
        <w:footnoteReference w:id="12"/>
      </w:r>
    </w:p>
    <w:p w14:paraId="2B7344FB" w14:textId="77777777" w:rsidR="009A39F5" w:rsidRPr="009A39F5" w:rsidRDefault="009A39F5" w:rsidP="00E26651">
      <w:pPr>
        <w:pStyle w:val="Heading5"/>
        <w:rPr>
          <w:lang w:val="en-US"/>
        </w:rPr>
      </w:pPr>
      <w:r w:rsidRPr="009A39F5">
        <w:rPr>
          <w:lang w:val="en-US"/>
        </w:rPr>
        <w:t>Clinically insignificant prostate cancer</w:t>
      </w:r>
    </w:p>
    <w:p w14:paraId="1104791D" w14:textId="05D853A0" w:rsidR="00266F1C" w:rsidRDefault="009A39F5" w:rsidP="00E26651">
      <w:pPr>
        <w:rPr>
          <w:lang w:val="en-US"/>
        </w:rPr>
      </w:pPr>
      <w:r w:rsidRPr="009A39F5">
        <w:rPr>
          <w:lang w:val="en-US"/>
        </w:rPr>
        <w:t xml:space="preserve">Autopsy studies initially noted that there was a disproportionate number of prostate cancers that never caused any symptoms, and subsequent randomized trials confirmed that a great proportion of cancers diagnosed through prostate-specific antigen (PSA) screening were "clinically insignificant" (i.e., very low risk) … The identification of those males who have clinically insignificant prostate cancer has been the </w:t>
      </w:r>
      <w:proofErr w:type="spellStart"/>
      <w:r w:rsidRPr="009A39F5">
        <w:rPr>
          <w:lang w:val="en-US"/>
        </w:rPr>
        <w:t>centre</w:t>
      </w:r>
      <w:proofErr w:type="spellEnd"/>
      <w:r w:rsidRPr="009A39F5">
        <w:rPr>
          <w:lang w:val="en-US"/>
        </w:rPr>
        <w:t xml:space="preserve"> of prostate cancer research for decades.</w:t>
      </w:r>
    </w:p>
    <w:p w14:paraId="002A18E5" w14:textId="4A47F8D1" w:rsidR="009A39F5" w:rsidRPr="009A39F5" w:rsidRDefault="009A39F5" w:rsidP="00E26651">
      <w:pPr>
        <w:rPr>
          <w:lang w:val="en-US"/>
        </w:rPr>
      </w:pPr>
      <w:r w:rsidRPr="009A39F5">
        <w:rPr>
          <w:lang w:val="en-US"/>
        </w:rPr>
        <w:t xml:space="preserve">Although debated, current definitions of insignificant cancer based on pathologic findings at needle biopsy include grade group 1 cancer, &lt;3 cores with cancer, and ≤50 percent of core involved by cancer. These patients can choose to be followed on an active surveillance program, although significant percentages of cases will progress to higher-grade and higher-volume </w:t>
      </w:r>
      <w:proofErr w:type="spellStart"/>
      <w:r w:rsidRPr="009A39F5">
        <w:rPr>
          <w:lang w:val="en-US"/>
        </w:rPr>
        <w:t>tumour</w:t>
      </w:r>
      <w:proofErr w:type="spellEnd"/>
      <w:r w:rsidRPr="009A39F5">
        <w:rPr>
          <w:lang w:val="en-US"/>
        </w:rPr>
        <w:t xml:space="preserve"> if not treated; the latent period of progression is uncertain. Because of this, close follow-up with serum PSA, repeat biopsy, and/or magnetic resonance imaging is necessary to detect early progression…Grade group 1 prostatic adenocarcinoma of a small volume can thus be considered an early phase of prostate cancer, which can be clinically insignificant.</w:t>
      </w:r>
      <w:bookmarkStart w:id="18" w:name="_Ref225261122"/>
      <w:r w:rsidR="002F13D4">
        <w:rPr>
          <w:rStyle w:val="FootnoteReference"/>
          <w:lang w:val="en-US"/>
        </w:rPr>
        <w:footnoteReference w:id="13"/>
      </w:r>
      <w:bookmarkEnd w:id="18"/>
    </w:p>
    <w:p w14:paraId="6A09B625" w14:textId="7E341A32" w:rsidR="009A39F5" w:rsidRPr="009A39F5" w:rsidRDefault="009A39F5" w:rsidP="00E26651">
      <w:pPr>
        <w:pStyle w:val="Heading5"/>
        <w:rPr>
          <w:lang w:val="en-US"/>
        </w:rPr>
      </w:pPr>
      <w:r w:rsidRPr="009A39F5">
        <w:rPr>
          <w:lang w:val="en-US"/>
        </w:rPr>
        <w:t xml:space="preserve">Perineural invasion and </w:t>
      </w:r>
      <w:proofErr w:type="spellStart"/>
      <w:r w:rsidRPr="009A39F5">
        <w:rPr>
          <w:lang w:val="en-US"/>
        </w:rPr>
        <w:t>extraprostatic</w:t>
      </w:r>
      <w:proofErr w:type="spellEnd"/>
      <w:r w:rsidRPr="009A39F5">
        <w:rPr>
          <w:lang w:val="en-US"/>
        </w:rPr>
        <w:t xml:space="preserve"> </w:t>
      </w:r>
      <w:r w:rsidRPr="00E26651">
        <w:t>extension</w:t>
      </w:r>
    </w:p>
    <w:p w14:paraId="119DA90D" w14:textId="70071277" w:rsidR="009A39F5" w:rsidRPr="009A39F5" w:rsidRDefault="00266F1C" w:rsidP="00E26651">
      <w:pPr>
        <w:rPr>
          <w:lang w:val="en-US"/>
        </w:rPr>
      </w:pPr>
      <w:r w:rsidRPr="00266F1C">
        <w:rPr>
          <w:lang w:val="en-US"/>
        </w:rPr>
        <w:t xml:space="preserve">Perineural invasion </w:t>
      </w:r>
      <w:r>
        <w:rPr>
          <w:lang w:val="en-US"/>
        </w:rPr>
        <w:t>(</w:t>
      </w:r>
      <w:proofErr w:type="spellStart"/>
      <w:r>
        <w:rPr>
          <w:lang w:val="en-US"/>
        </w:rPr>
        <w:t>PNI</w:t>
      </w:r>
      <w:proofErr w:type="spellEnd"/>
      <w:r>
        <w:rPr>
          <w:lang w:val="en-US"/>
        </w:rPr>
        <w:t xml:space="preserve">) </w:t>
      </w:r>
      <w:r w:rsidR="009A39F5" w:rsidRPr="009A39F5">
        <w:rPr>
          <w:lang w:val="en-US"/>
        </w:rPr>
        <w:t xml:space="preserve">in a core biopsy is an important predictor of pathologic stage, with most, but not all studies finding a correlation between </w:t>
      </w:r>
      <w:proofErr w:type="spellStart"/>
      <w:r w:rsidR="009A39F5" w:rsidRPr="009A39F5">
        <w:rPr>
          <w:lang w:val="en-US"/>
        </w:rPr>
        <w:t>PNI</w:t>
      </w:r>
      <w:proofErr w:type="spellEnd"/>
      <w:r w:rsidR="009A39F5" w:rsidRPr="009A39F5">
        <w:rPr>
          <w:lang w:val="en-US"/>
        </w:rPr>
        <w:t xml:space="preserve"> on biopsy and </w:t>
      </w:r>
      <w:proofErr w:type="spellStart"/>
      <w:r w:rsidR="009A39F5" w:rsidRPr="009A39F5">
        <w:rPr>
          <w:lang w:val="en-US"/>
        </w:rPr>
        <w:t>extraprostatic</w:t>
      </w:r>
      <w:proofErr w:type="spellEnd"/>
      <w:r w:rsidR="009A39F5" w:rsidRPr="009A39F5">
        <w:rPr>
          <w:lang w:val="en-US"/>
        </w:rPr>
        <w:t xml:space="preserve"> extension at the time of prostatectomy. </w:t>
      </w:r>
      <w:proofErr w:type="spellStart"/>
      <w:r w:rsidR="009A39F5" w:rsidRPr="009A39F5">
        <w:rPr>
          <w:lang w:val="en-US"/>
        </w:rPr>
        <w:t>Extraprostatic</w:t>
      </w:r>
      <w:proofErr w:type="spellEnd"/>
      <w:r w:rsidR="009A39F5" w:rsidRPr="009A39F5">
        <w:rPr>
          <w:lang w:val="en-US"/>
        </w:rPr>
        <w:t xml:space="preserve"> extension is usually documented only at the time of radical prostatectomy, but direct extension of </w:t>
      </w:r>
      <w:proofErr w:type="spellStart"/>
      <w:r w:rsidR="009A39F5" w:rsidRPr="009A39F5">
        <w:rPr>
          <w:lang w:val="en-US"/>
        </w:rPr>
        <w:t>tumour</w:t>
      </w:r>
      <w:proofErr w:type="spellEnd"/>
      <w:r w:rsidR="009A39F5" w:rsidRPr="009A39F5">
        <w:rPr>
          <w:lang w:val="en-US"/>
        </w:rPr>
        <w:t xml:space="preserve"> cells beyond the confines of </w:t>
      </w:r>
      <w:r w:rsidR="009A39F5" w:rsidRPr="009A39F5">
        <w:rPr>
          <w:lang w:val="en-US"/>
        </w:rPr>
        <w:lastRenderedPageBreak/>
        <w:t xml:space="preserve">the prostatic capsule into periprostatic adipose tissue can occasionally be observed in needle biopsy specimens. The presence of </w:t>
      </w:r>
      <w:proofErr w:type="spellStart"/>
      <w:r w:rsidR="009A39F5" w:rsidRPr="009A39F5">
        <w:rPr>
          <w:lang w:val="en-US"/>
        </w:rPr>
        <w:t>extraprostatic</w:t>
      </w:r>
      <w:proofErr w:type="spellEnd"/>
      <w:r w:rsidR="009A39F5" w:rsidRPr="009A39F5">
        <w:rPr>
          <w:lang w:val="en-US"/>
        </w:rPr>
        <w:t xml:space="preserve"> extension is clinically significant because it changes the </w:t>
      </w:r>
      <w:proofErr w:type="spellStart"/>
      <w:r w:rsidR="009A39F5" w:rsidRPr="009A39F5">
        <w:rPr>
          <w:lang w:val="en-US"/>
        </w:rPr>
        <w:t>tumour</w:t>
      </w:r>
      <w:proofErr w:type="spellEnd"/>
      <w:r w:rsidR="009A39F5" w:rsidRPr="009A39F5">
        <w:rPr>
          <w:lang w:val="en-US"/>
        </w:rPr>
        <w:t xml:space="preserve"> stage to a clinical </w:t>
      </w:r>
      <w:proofErr w:type="spellStart"/>
      <w:r w:rsidR="009A39F5" w:rsidRPr="009A39F5">
        <w:rPr>
          <w:lang w:val="en-US"/>
        </w:rPr>
        <w:t>T3</w:t>
      </w:r>
      <w:proofErr w:type="spellEnd"/>
      <w:r w:rsidR="009A39F5" w:rsidRPr="009A39F5">
        <w:rPr>
          <w:lang w:val="en-US"/>
        </w:rPr>
        <w:t xml:space="preserve"> lesion, which constitutes locally advanced disease.’</w:t>
      </w:r>
      <w:r w:rsidR="00530AF8">
        <w:rPr>
          <w:lang w:val="en-US"/>
        </w:rPr>
        <w:fldChar w:fldCharType="begin"/>
      </w:r>
      <w:r w:rsidR="00530AF8">
        <w:rPr>
          <w:lang w:val="en-US"/>
        </w:rPr>
        <w:instrText xml:space="preserve"> NOTEREF _Ref225261122 \f \h </w:instrText>
      </w:r>
      <w:r w:rsidR="00530AF8">
        <w:rPr>
          <w:lang w:val="en-US"/>
        </w:rPr>
      </w:r>
      <w:r w:rsidR="00530AF8">
        <w:rPr>
          <w:lang w:val="en-US"/>
        </w:rPr>
        <w:fldChar w:fldCharType="separate"/>
      </w:r>
      <w:r w:rsidR="00530AF8" w:rsidRPr="00530AF8">
        <w:rPr>
          <w:rStyle w:val="FootnoteReference"/>
        </w:rPr>
        <w:t>13</w:t>
      </w:r>
      <w:r w:rsidR="00530AF8">
        <w:rPr>
          <w:lang w:val="en-US"/>
        </w:rPr>
        <w:fldChar w:fldCharType="end"/>
      </w:r>
    </w:p>
    <w:p w14:paraId="686B0008" w14:textId="77777777" w:rsidR="009A39F5" w:rsidRPr="009A39F5" w:rsidRDefault="009A39F5" w:rsidP="00E26651">
      <w:pPr>
        <w:pStyle w:val="Heading5"/>
        <w:rPr>
          <w:lang w:val="en-US"/>
        </w:rPr>
      </w:pPr>
      <w:r w:rsidRPr="009A39F5">
        <w:rPr>
          <w:lang w:val="en-US"/>
        </w:rPr>
        <w:t xml:space="preserve">Diagnosis – metastatic </w:t>
      </w:r>
      <w:r w:rsidRPr="00E26651">
        <w:t>disease</w:t>
      </w:r>
    </w:p>
    <w:p w14:paraId="6BED2877" w14:textId="77777777" w:rsidR="009A39F5" w:rsidRPr="009A39F5" w:rsidRDefault="009A39F5" w:rsidP="00E26651">
      <w:pPr>
        <w:rPr>
          <w:lang w:val="en-US"/>
        </w:rPr>
      </w:pPr>
      <w:r w:rsidRPr="009A39F5">
        <w:rPr>
          <w:lang w:val="en-US"/>
        </w:rPr>
        <w:t xml:space="preserve">‘Individuals who </w:t>
      </w:r>
      <w:proofErr w:type="gramStart"/>
      <w:r w:rsidRPr="009A39F5">
        <w:rPr>
          <w:lang w:val="en-US"/>
        </w:rPr>
        <w:t>present with</w:t>
      </w:r>
      <w:proofErr w:type="gramEnd"/>
      <w:r w:rsidRPr="009A39F5">
        <w:rPr>
          <w:lang w:val="en-US"/>
        </w:rPr>
        <w:t xml:space="preserve"> symptomatic metastatic disease with a metastatic pattern typical for prostate cancer (i.e., bone metastases) and an elevated PSA usually do not need </w:t>
      </w:r>
      <w:proofErr w:type="gramStart"/>
      <w:r w:rsidRPr="009A39F5">
        <w:rPr>
          <w:lang w:val="en-US"/>
        </w:rPr>
        <w:t>a prostate</w:t>
      </w:r>
      <w:proofErr w:type="gramEnd"/>
      <w:r w:rsidRPr="009A39F5">
        <w:rPr>
          <w:lang w:val="en-US"/>
        </w:rPr>
        <w:t xml:space="preserve"> biopsy. For patients presenting with de novo metastatic disease, if confirmation of the diagnosis is clinically indicated, this can generally be obtained from histologic examination of a biopsy specimen from a metastatic focus, which is less invasive than a prostate biopsy.’</w:t>
      </w:r>
    </w:p>
    <w:p w14:paraId="04365D36" w14:textId="77777777" w:rsidR="009A39F5" w:rsidRPr="009A39F5" w:rsidRDefault="009A39F5" w:rsidP="00E26651">
      <w:pPr>
        <w:pStyle w:val="Heading5"/>
        <w:rPr>
          <w:lang w:val="en-US"/>
        </w:rPr>
      </w:pPr>
      <w:r w:rsidRPr="009A39F5">
        <w:rPr>
          <w:lang w:val="en-US"/>
        </w:rPr>
        <w:t xml:space="preserve">Germline </w:t>
      </w:r>
      <w:r w:rsidRPr="00E26651">
        <w:t>testing</w:t>
      </w:r>
    </w:p>
    <w:p w14:paraId="34A29D63" w14:textId="7D633D87" w:rsidR="009A39F5" w:rsidRPr="009A39F5" w:rsidRDefault="009A39F5" w:rsidP="00E26651">
      <w:pPr>
        <w:rPr>
          <w:lang w:val="en-US"/>
        </w:rPr>
      </w:pPr>
      <w:r w:rsidRPr="009A39F5">
        <w:rPr>
          <w:lang w:val="en-US"/>
        </w:rPr>
        <w:t xml:space="preserve">According to the </w:t>
      </w:r>
      <w:r w:rsidR="00D94B1D" w:rsidRPr="00D94B1D">
        <w:rPr>
          <w:lang w:val="en-US"/>
        </w:rPr>
        <w:t xml:space="preserve">National Comprehensive Cancer Network </w:t>
      </w:r>
      <w:r w:rsidRPr="009A39F5">
        <w:rPr>
          <w:lang w:val="en-US"/>
        </w:rPr>
        <w:t>guidelines, germline testing for alterations in homologous recombination DNA repair genes (</w:t>
      </w:r>
      <w:r w:rsidR="002F0A8F" w:rsidRPr="009A39F5">
        <w:rPr>
          <w:lang w:val="en-US"/>
        </w:rPr>
        <w:t>e.g.</w:t>
      </w:r>
      <w:r w:rsidRPr="009A39F5">
        <w:rPr>
          <w:lang w:val="en-US"/>
        </w:rPr>
        <w:t xml:space="preserve">, </w:t>
      </w:r>
      <w:proofErr w:type="spellStart"/>
      <w:r w:rsidRPr="009A39F5">
        <w:rPr>
          <w:i/>
          <w:lang w:val="en-US"/>
        </w:rPr>
        <w:t>BRCA1</w:t>
      </w:r>
      <w:proofErr w:type="spellEnd"/>
      <w:r w:rsidRPr="009A39F5">
        <w:rPr>
          <w:lang w:val="en-US"/>
        </w:rPr>
        <w:t xml:space="preserve">, </w:t>
      </w:r>
      <w:proofErr w:type="spellStart"/>
      <w:r w:rsidRPr="009A39F5">
        <w:rPr>
          <w:i/>
          <w:lang w:val="en-US"/>
        </w:rPr>
        <w:t>BRCA2</w:t>
      </w:r>
      <w:proofErr w:type="spellEnd"/>
      <w:r w:rsidRPr="009A39F5">
        <w:rPr>
          <w:lang w:val="en-US"/>
        </w:rPr>
        <w:t xml:space="preserve">, </w:t>
      </w:r>
      <w:r w:rsidRPr="009A39F5">
        <w:rPr>
          <w:i/>
          <w:lang w:val="en-US"/>
        </w:rPr>
        <w:t>ATM</w:t>
      </w:r>
      <w:r w:rsidRPr="009A39F5">
        <w:rPr>
          <w:lang w:val="en-US"/>
        </w:rPr>
        <w:t xml:space="preserve">, </w:t>
      </w:r>
      <w:proofErr w:type="spellStart"/>
      <w:r w:rsidRPr="009A39F5">
        <w:rPr>
          <w:i/>
          <w:lang w:val="en-US"/>
        </w:rPr>
        <w:t>CHEK2</w:t>
      </w:r>
      <w:proofErr w:type="spellEnd"/>
      <w:r w:rsidRPr="009A39F5">
        <w:rPr>
          <w:lang w:val="en-US"/>
        </w:rPr>
        <w:t xml:space="preserve">) is suggested for males with very low-risk, low-risk, and intermediate-risk disease if family history is positive for an inherited cancer predisposition syndrome or if the prostate </w:t>
      </w:r>
      <w:proofErr w:type="spellStart"/>
      <w:r w:rsidRPr="009A39F5">
        <w:rPr>
          <w:lang w:val="en-US"/>
        </w:rPr>
        <w:t>tumour</w:t>
      </w:r>
      <w:proofErr w:type="spellEnd"/>
      <w:r w:rsidRPr="009A39F5">
        <w:rPr>
          <w:lang w:val="en-US"/>
        </w:rPr>
        <w:t xml:space="preserve"> shows intraductal histology. Intraductal histology is enriched for mutations in homologous recombination DNA repair genes (</w:t>
      </w:r>
      <w:r w:rsidR="002F0A8F" w:rsidRPr="009A39F5">
        <w:rPr>
          <w:lang w:val="en-US"/>
        </w:rPr>
        <w:t>e.g.</w:t>
      </w:r>
      <w:r w:rsidRPr="009A39F5">
        <w:rPr>
          <w:lang w:val="en-US"/>
        </w:rPr>
        <w:t xml:space="preserve">, </w:t>
      </w:r>
      <w:proofErr w:type="spellStart"/>
      <w:r w:rsidRPr="009A39F5">
        <w:rPr>
          <w:i/>
          <w:lang w:val="en-US"/>
        </w:rPr>
        <w:t>BRCA2</w:t>
      </w:r>
      <w:proofErr w:type="spellEnd"/>
      <w:r w:rsidRPr="009A39F5">
        <w:rPr>
          <w:lang w:val="en-US"/>
        </w:rPr>
        <w:t>). Genetic results may influence the management of males with early-stage prostate cancer:</w:t>
      </w:r>
    </w:p>
    <w:p w14:paraId="5D7C9E5A" w14:textId="77777777" w:rsidR="009A39F5" w:rsidRPr="009A39F5" w:rsidRDefault="009A39F5" w:rsidP="00E26651">
      <w:pPr>
        <w:pStyle w:val="ListBullet"/>
        <w:rPr>
          <w:lang w:val="en-US"/>
        </w:rPr>
      </w:pPr>
      <w:r w:rsidRPr="009A39F5">
        <w:rPr>
          <w:lang w:val="en-US"/>
        </w:rPr>
        <w:t xml:space="preserve">Germline mutations in </w:t>
      </w:r>
      <w:proofErr w:type="spellStart"/>
      <w:r w:rsidRPr="009A39F5">
        <w:rPr>
          <w:i/>
          <w:lang w:val="en-US"/>
        </w:rPr>
        <w:t>BRCA1</w:t>
      </w:r>
      <w:proofErr w:type="spellEnd"/>
      <w:r w:rsidRPr="009A39F5">
        <w:rPr>
          <w:i/>
          <w:lang w:val="en-US"/>
        </w:rPr>
        <w:t xml:space="preserve">, </w:t>
      </w:r>
      <w:proofErr w:type="spellStart"/>
      <w:r w:rsidRPr="009A39F5">
        <w:rPr>
          <w:i/>
          <w:lang w:val="en-US"/>
        </w:rPr>
        <w:t>BRCA2</w:t>
      </w:r>
      <w:proofErr w:type="spellEnd"/>
      <w:r w:rsidRPr="009A39F5">
        <w:rPr>
          <w:i/>
          <w:lang w:val="en-US"/>
        </w:rPr>
        <w:t xml:space="preserve">, ATM </w:t>
      </w:r>
      <w:r w:rsidRPr="009A39F5">
        <w:rPr>
          <w:lang w:val="en-US"/>
        </w:rPr>
        <w:t xml:space="preserve">and </w:t>
      </w:r>
      <w:proofErr w:type="spellStart"/>
      <w:r w:rsidRPr="009A39F5">
        <w:rPr>
          <w:i/>
          <w:lang w:val="en-US"/>
        </w:rPr>
        <w:t>CHEK2</w:t>
      </w:r>
      <w:proofErr w:type="spellEnd"/>
      <w:r w:rsidRPr="009A39F5">
        <w:rPr>
          <w:i/>
          <w:lang w:val="en-US"/>
        </w:rPr>
        <w:t xml:space="preserve"> </w:t>
      </w:r>
      <w:r w:rsidRPr="009A39F5">
        <w:rPr>
          <w:lang w:val="en-US"/>
        </w:rPr>
        <w:t>have been associated with lethal prostate cancer.</w:t>
      </w:r>
    </w:p>
    <w:p w14:paraId="10D3D62A" w14:textId="77777777" w:rsidR="009A39F5" w:rsidRPr="009A39F5" w:rsidRDefault="009A39F5" w:rsidP="00E26651">
      <w:pPr>
        <w:pStyle w:val="ListBullet"/>
        <w:rPr>
          <w:lang w:val="en-US"/>
        </w:rPr>
      </w:pPr>
      <w:r w:rsidRPr="009A39F5">
        <w:rPr>
          <w:lang w:val="en-US"/>
        </w:rPr>
        <w:t xml:space="preserve">Males found to have </w:t>
      </w:r>
      <w:r w:rsidRPr="009A39F5">
        <w:rPr>
          <w:i/>
          <w:lang w:val="en-US"/>
        </w:rPr>
        <w:t xml:space="preserve">BRCA </w:t>
      </w:r>
      <w:r w:rsidRPr="009A39F5">
        <w:rPr>
          <w:lang w:val="en-US"/>
        </w:rPr>
        <w:t xml:space="preserve">or </w:t>
      </w:r>
      <w:r w:rsidRPr="009A39F5">
        <w:rPr>
          <w:i/>
          <w:lang w:val="en-US"/>
        </w:rPr>
        <w:t xml:space="preserve">ATM </w:t>
      </w:r>
      <w:r w:rsidRPr="00E26651">
        <w:t>mutations</w:t>
      </w:r>
      <w:r w:rsidRPr="009A39F5">
        <w:rPr>
          <w:lang w:val="en-US"/>
        </w:rPr>
        <w:t xml:space="preserve"> have a higher risk of grade reclassification among males undergoing active surveillance’</w:t>
      </w:r>
    </w:p>
    <w:p w14:paraId="29CBB937" w14:textId="77777777" w:rsidR="009A39F5" w:rsidRPr="009A39F5" w:rsidRDefault="009A39F5" w:rsidP="00E26651">
      <w:pPr>
        <w:pStyle w:val="Heading5"/>
        <w:rPr>
          <w:lang w:val="en-US"/>
        </w:rPr>
      </w:pPr>
      <w:r w:rsidRPr="009A39F5">
        <w:rPr>
          <w:lang w:val="en-US"/>
        </w:rPr>
        <w:t xml:space="preserve">Clinical versus </w:t>
      </w:r>
      <w:r w:rsidRPr="00E26651">
        <w:t>pathologic</w:t>
      </w:r>
      <w:r w:rsidRPr="009A39F5">
        <w:rPr>
          <w:lang w:val="en-US"/>
        </w:rPr>
        <w:t xml:space="preserve"> staging</w:t>
      </w:r>
    </w:p>
    <w:p w14:paraId="27B3F3A4" w14:textId="004FBB70" w:rsidR="009A39F5" w:rsidRDefault="009A39F5" w:rsidP="00E26651">
      <w:pPr>
        <w:rPr>
          <w:lang w:val="en-US"/>
        </w:rPr>
      </w:pPr>
      <w:r w:rsidRPr="009A39F5">
        <w:rPr>
          <w:lang w:val="en-US"/>
        </w:rPr>
        <w:t xml:space="preserve">For patients who undergo radical prostatectomy, additional information about the extent of disease is obtained from the surgical specimen, and this forms the basis for </w:t>
      </w:r>
      <w:proofErr w:type="gramStart"/>
      <w:r w:rsidRPr="009A39F5">
        <w:rPr>
          <w:lang w:val="en-US"/>
        </w:rPr>
        <w:t>pathologic</w:t>
      </w:r>
      <w:proofErr w:type="gramEnd"/>
      <w:r w:rsidRPr="009A39F5">
        <w:rPr>
          <w:lang w:val="en-US"/>
        </w:rPr>
        <w:t xml:space="preserve"> staging.</w:t>
      </w:r>
      <w:r w:rsidR="00836FDC" w:rsidRPr="00836FDC">
        <w:t xml:space="preserve"> </w:t>
      </w:r>
      <w:r w:rsidR="00836FDC" w:rsidRPr="00836FDC">
        <w:rPr>
          <w:lang w:val="en-US"/>
        </w:rPr>
        <w:t xml:space="preserve">When this reveals poor prognostic features (Gleason grade higher than the original biopsy, </w:t>
      </w:r>
      <w:proofErr w:type="spellStart"/>
      <w:r w:rsidR="00836FDC" w:rsidRPr="00836FDC">
        <w:rPr>
          <w:lang w:val="en-US"/>
        </w:rPr>
        <w:t>extraprostatic</w:t>
      </w:r>
      <w:proofErr w:type="spellEnd"/>
      <w:r w:rsidR="00836FDC" w:rsidRPr="00836FDC">
        <w:rPr>
          <w:lang w:val="en-US"/>
        </w:rPr>
        <w:t xml:space="preserve"> extension, seminal vesicle involvement, or lymph node involvement), additional therapy may be recommended following prostatectomy.</w:t>
      </w:r>
    </w:p>
    <w:p w14:paraId="255E083A" w14:textId="77777777" w:rsidR="00CB6813" w:rsidRDefault="00CB6813" w:rsidP="00E26651">
      <w:pPr>
        <w:pStyle w:val="Heading4"/>
      </w:pPr>
      <w:bookmarkStart w:id="19" w:name="_Toc225515975"/>
      <w:r>
        <w:t xml:space="preserve">Current </w:t>
      </w:r>
      <w:r w:rsidRPr="00E26651">
        <w:t>treatment</w:t>
      </w:r>
      <w:r>
        <w:t xml:space="preserve"> options</w:t>
      </w:r>
      <w:bookmarkEnd w:id="19"/>
    </w:p>
    <w:p w14:paraId="5AD35D04" w14:textId="35119CE1" w:rsidR="00B02D6A" w:rsidRDefault="00B02D6A" w:rsidP="00B02D6A">
      <w:pPr>
        <w:pStyle w:val="Heading5"/>
      </w:pPr>
      <w:r>
        <w:t>Locali</w:t>
      </w:r>
      <w:r w:rsidR="007329EF">
        <w:t>s</w:t>
      </w:r>
      <w:r>
        <w:t>ed disease</w:t>
      </w:r>
    </w:p>
    <w:p w14:paraId="7DE11928" w14:textId="51DF06F3" w:rsidR="00B02D6A" w:rsidRDefault="00B02D6A" w:rsidP="00E26651">
      <w:r>
        <w:t>The choice of treatment for an individual patient with a non-high-grade localized prostatic adenocarcinoma are external beam radiation therapy (RT) with or without brachytherapy, brachytherapy alone, radical prostatectomy, or active surveillance.</w:t>
      </w:r>
    </w:p>
    <w:p w14:paraId="42F043F5" w14:textId="77777777" w:rsidR="007B3297" w:rsidRPr="007B3297" w:rsidRDefault="007B3297" w:rsidP="00E26651">
      <w:pPr>
        <w:pStyle w:val="Heading5"/>
        <w:rPr>
          <w:lang w:val="en-US"/>
        </w:rPr>
      </w:pPr>
      <w:r w:rsidRPr="007B3297">
        <w:rPr>
          <w:lang w:val="en-US"/>
        </w:rPr>
        <w:t xml:space="preserve">Recurrent or </w:t>
      </w:r>
      <w:r w:rsidRPr="00E26651">
        <w:t>metastatic</w:t>
      </w:r>
      <w:r w:rsidRPr="007B3297">
        <w:rPr>
          <w:lang w:val="en-US"/>
        </w:rPr>
        <w:t xml:space="preserve"> prostate cancer</w:t>
      </w:r>
    </w:p>
    <w:p w14:paraId="166BD796" w14:textId="027508E6" w:rsidR="007B3297" w:rsidRPr="007B3297" w:rsidRDefault="007B3297" w:rsidP="00E26651">
      <w:pPr>
        <w:rPr>
          <w:lang w:val="en-US"/>
        </w:rPr>
      </w:pPr>
      <w:r w:rsidRPr="007B3297">
        <w:rPr>
          <w:lang w:val="en-US"/>
        </w:rPr>
        <w:t>The role of androgens in stimulating prostate cancer was identified more than 60 years ago.</w:t>
      </w:r>
      <w:r w:rsidR="00DF6646">
        <w:rPr>
          <w:rStyle w:val="FootnoteReference"/>
          <w:lang w:val="en-US"/>
        </w:rPr>
        <w:footnoteReference w:id="14"/>
      </w:r>
      <w:r w:rsidRPr="007B3297">
        <w:rPr>
          <w:lang w:val="en-US"/>
        </w:rPr>
        <w:t xml:space="preserve"> These findings led to the development of ADT as a treatment for patients with advanced prostate cancer. Although ADT is palliative, it can normalize serum levels of prostate-specific antigen (PSA) in over 90 percent of patients and can produce objective </w:t>
      </w:r>
      <w:proofErr w:type="spellStart"/>
      <w:r w:rsidRPr="007B3297">
        <w:rPr>
          <w:lang w:val="en-US"/>
        </w:rPr>
        <w:t>tumour</w:t>
      </w:r>
      <w:proofErr w:type="spellEnd"/>
      <w:r w:rsidRPr="007B3297">
        <w:rPr>
          <w:lang w:val="en-US"/>
        </w:rPr>
        <w:t xml:space="preserve"> responses in 80 to 90 </w:t>
      </w:r>
      <w:r w:rsidRPr="007B3297">
        <w:rPr>
          <w:lang w:val="en-US"/>
        </w:rPr>
        <w:lastRenderedPageBreak/>
        <w:t xml:space="preserve">percent. This </w:t>
      </w:r>
      <w:proofErr w:type="gramStart"/>
      <w:r w:rsidRPr="007B3297">
        <w:rPr>
          <w:lang w:val="en-US"/>
        </w:rPr>
        <w:t>antitumor activity</w:t>
      </w:r>
      <w:proofErr w:type="gramEnd"/>
      <w:r w:rsidRPr="007B3297">
        <w:rPr>
          <w:lang w:val="en-US"/>
        </w:rPr>
        <w:t xml:space="preserve"> can improve quality of life by reducing bone pain as well as the rates of complications (e.g., pathologic fracture, spinal cord compression, ureteral obstruction).</w:t>
      </w:r>
      <w:r w:rsidR="002A48DD">
        <w:rPr>
          <w:rStyle w:val="FootnoteReference"/>
          <w:lang w:val="en-US"/>
        </w:rPr>
        <w:footnoteReference w:id="15"/>
      </w:r>
    </w:p>
    <w:p w14:paraId="423A5734" w14:textId="1A25AB0A" w:rsidR="007B3297" w:rsidRPr="007B3297" w:rsidRDefault="007B3297" w:rsidP="00E26651">
      <w:pPr>
        <w:rPr>
          <w:lang w:val="en-US"/>
        </w:rPr>
      </w:pPr>
      <w:r w:rsidRPr="007B3297">
        <w:rPr>
          <w:lang w:val="en-US"/>
        </w:rPr>
        <w:t xml:space="preserve">Some males with advanced prostate cancer have evidence of metastatic disease at presentation, while others develop metastatic disease after definitive treatment of localized disease; in some cases, this may be manifested only by an elevation in the serum level of PSA, termed an isolated biochemical recurrence. </w:t>
      </w:r>
      <w:proofErr w:type="gramStart"/>
      <w:r w:rsidRPr="007B3297">
        <w:rPr>
          <w:lang w:val="en-US"/>
        </w:rPr>
        <w:t>The majority of</w:t>
      </w:r>
      <w:proofErr w:type="gramEnd"/>
      <w:r w:rsidRPr="007B3297">
        <w:rPr>
          <w:lang w:val="en-US"/>
        </w:rPr>
        <w:t xml:space="preserve"> males in all three groups have not been receiving long-term ADT, and serum testosterone levels are typically &gt;50 ng/dL. These males are considered to have castration-sensitive prostate cancer (CSPC).</w:t>
      </w:r>
    </w:p>
    <w:p w14:paraId="53304B31" w14:textId="79F3876E" w:rsidR="007B3297" w:rsidRPr="007B3297" w:rsidRDefault="007B3297" w:rsidP="007B3297">
      <w:pPr>
        <w:rPr>
          <w:lang w:val="en-US"/>
        </w:rPr>
      </w:pPr>
      <w:r w:rsidRPr="007B3297">
        <w:rPr>
          <w:lang w:val="en-US"/>
        </w:rPr>
        <w:t>By contrast, males who relapse or recur while receiving ADT are considered to have castration-resistant prostate cancer (CRPC), although they may still respond to some forms of hormone therapy.</w:t>
      </w:r>
    </w:p>
    <w:p w14:paraId="7EC186D1" w14:textId="7BB460B7" w:rsidR="007B3297" w:rsidRPr="007B3297" w:rsidRDefault="007B3297" w:rsidP="00E26651">
      <w:pPr>
        <w:rPr>
          <w:lang w:val="en-US"/>
        </w:rPr>
      </w:pPr>
      <w:r w:rsidRPr="007B3297">
        <w:rPr>
          <w:lang w:val="en-US"/>
        </w:rPr>
        <w:t>Contemporary research has led to the development of multiple combined modality approaches for males with advanced CSPC that are associated with better outcomes than can be achieved with ADT alone. The goals of systemic therapy are to prolong survival, minimize complications, and maintain quality of life. In addition to systemic therapy, there are some patients who might benefit from local therapy to the prostate or to individual metastases to prolong survival.</w:t>
      </w:r>
    </w:p>
    <w:p w14:paraId="615DEEF8" w14:textId="495787A7" w:rsidR="007B3297" w:rsidRPr="007B3297" w:rsidRDefault="007B3297" w:rsidP="00E26651">
      <w:pPr>
        <w:pStyle w:val="Heading5"/>
        <w:rPr>
          <w:lang w:val="en-US"/>
        </w:rPr>
      </w:pPr>
      <w:r w:rsidRPr="007B3297">
        <w:rPr>
          <w:lang w:val="en-US"/>
        </w:rPr>
        <w:t xml:space="preserve">Combination therapy with </w:t>
      </w:r>
      <w:r w:rsidR="00D675C3" w:rsidRPr="00D675C3">
        <w:rPr>
          <w:lang w:val="en-US"/>
        </w:rPr>
        <w:t xml:space="preserve">androgen deprivation </w:t>
      </w:r>
      <w:r w:rsidR="00D675C3" w:rsidRPr="00E26651">
        <w:t>therapy</w:t>
      </w:r>
    </w:p>
    <w:p w14:paraId="6BA5816C" w14:textId="1B1DAC39" w:rsidR="007B3297" w:rsidRPr="007B3297" w:rsidRDefault="007B3297" w:rsidP="00E26651">
      <w:pPr>
        <w:pStyle w:val="ListBullet"/>
        <w:rPr>
          <w:lang w:val="en-US"/>
        </w:rPr>
      </w:pPr>
      <w:r w:rsidRPr="007B3297">
        <w:rPr>
          <w:lang w:val="en-US"/>
        </w:rPr>
        <w:t xml:space="preserve">ADT plus </w:t>
      </w:r>
      <w:r w:rsidR="00346099" w:rsidRPr="00E26651">
        <w:t>a</w:t>
      </w:r>
      <w:r w:rsidRPr="00E26651">
        <w:t>biraterone</w:t>
      </w:r>
      <w:r w:rsidRPr="007B3297">
        <w:rPr>
          <w:lang w:val="en-US"/>
        </w:rPr>
        <w:t>/prednisone</w:t>
      </w:r>
    </w:p>
    <w:p w14:paraId="47630A90" w14:textId="2412D787" w:rsidR="007B3297" w:rsidRPr="007B3297" w:rsidRDefault="00346099" w:rsidP="00E26651">
      <w:pPr>
        <w:pStyle w:val="ListBullet2"/>
        <w:rPr>
          <w:lang w:val="en-US"/>
        </w:rPr>
      </w:pPr>
      <w:r>
        <w:rPr>
          <w:lang w:val="en-US"/>
        </w:rPr>
        <w:t>a</w:t>
      </w:r>
      <w:r w:rsidR="007B3297" w:rsidRPr="007B3297">
        <w:rPr>
          <w:lang w:val="en-US"/>
        </w:rPr>
        <w:t xml:space="preserve">biraterone blocks intracellular </w:t>
      </w:r>
      <w:r w:rsidR="007B3297" w:rsidRPr="00E26651">
        <w:t>conversion</w:t>
      </w:r>
      <w:r w:rsidR="007B3297" w:rsidRPr="007B3297">
        <w:rPr>
          <w:lang w:val="en-US"/>
        </w:rPr>
        <w:t xml:space="preserve"> of androgen precursors</w:t>
      </w:r>
    </w:p>
    <w:p w14:paraId="3D9919BE" w14:textId="77777777" w:rsidR="007B3297" w:rsidRPr="007B3297" w:rsidRDefault="007B3297" w:rsidP="00780FE3">
      <w:pPr>
        <w:pStyle w:val="ListBullet2"/>
        <w:rPr>
          <w:lang w:val="en-US"/>
        </w:rPr>
      </w:pPr>
      <w:r w:rsidRPr="007B3297">
        <w:rPr>
          <w:lang w:val="en-US"/>
        </w:rPr>
        <w:t>Initially shown to prolong survival in castration resistant disease (CRPC)</w:t>
      </w:r>
    </w:p>
    <w:p w14:paraId="357D6949" w14:textId="078AC3A5" w:rsidR="007B3297" w:rsidRDefault="00346099" w:rsidP="00E26651">
      <w:pPr>
        <w:pStyle w:val="ListBullet2"/>
        <w:rPr>
          <w:lang w:val="en-US"/>
        </w:rPr>
      </w:pPr>
      <w:proofErr w:type="spellStart"/>
      <w:r>
        <w:rPr>
          <w:lang w:val="en-US"/>
        </w:rPr>
        <w:t>Randomised</w:t>
      </w:r>
      <w:proofErr w:type="spellEnd"/>
      <w:r>
        <w:rPr>
          <w:lang w:val="en-US"/>
        </w:rPr>
        <w:t xml:space="preserve"> controlled trials </w:t>
      </w:r>
      <w:r w:rsidR="0021234F">
        <w:rPr>
          <w:lang w:val="en-US"/>
        </w:rPr>
        <w:t>(</w:t>
      </w:r>
      <w:proofErr w:type="spellStart"/>
      <w:r w:rsidR="0021234F">
        <w:rPr>
          <w:lang w:val="en-US"/>
        </w:rPr>
        <w:t>RCT</w:t>
      </w:r>
      <w:proofErr w:type="spellEnd"/>
      <w:r w:rsidR="0021234F">
        <w:rPr>
          <w:lang w:val="en-US"/>
        </w:rPr>
        <w:t xml:space="preserve">) </w:t>
      </w:r>
      <w:r w:rsidR="007B3297" w:rsidRPr="007B3297">
        <w:rPr>
          <w:lang w:val="en-US"/>
        </w:rPr>
        <w:t>show prolong</w:t>
      </w:r>
      <w:r>
        <w:rPr>
          <w:lang w:val="en-US"/>
        </w:rPr>
        <w:t>ed</w:t>
      </w:r>
      <w:r w:rsidR="007B3297" w:rsidRPr="007B3297">
        <w:rPr>
          <w:lang w:val="en-US"/>
        </w:rPr>
        <w:t xml:space="preserve"> survival in patients </w:t>
      </w:r>
      <w:r w:rsidR="007B3297" w:rsidRPr="00E26651">
        <w:t>with</w:t>
      </w:r>
      <w:r w:rsidR="007B3297" w:rsidRPr="007B3297">
        <w:rPr>
          <w:lang w:val="en-US"/>
        </w:rPr>
        <w:t xml:space="preserve"> high risk localized disease and metastatic castration sensitive disease (CSPC) compared to ADT alone.</w:t>
      </w:r>
    </w:p>
    <w:p w14:paraId="54E0B263" w14:textId="77D19611" w:rsidR="00780FE3" w:rsidRPr="00780FE3" w:rsidRDefault="00780FE3" w:rsidP="00E26651">
      <w:pPr>
        <w:pStyle w:val="ListBullet"/>
        <w:rPr>
          <w:lang w:val="en-US"/>
        </w:rPr>
      </w:pPr>
      <w:r w:rsidRPr="00780FE3">
        <w:rPr>
          <w:lang w:val="en-US"/>
        </w:rPr>
        <w:t>ADT plus enzalutamide or apalutamide</w:t>
      </w:r>
    </w:p>
    <w:p w14:paraId="4B285CE0" w14:textId="4B80505C" w:rsidR="00780FE3" w:rsidRPr="00780FE3" w:rsidRDefault="00780FE3" w:rsidP="00780FE3">
      <w:pPr>
        <w:pStyle w:val="ListBullet2"/>
        <w:rPr>
          <w:lang w:val="en-US"/>
        </w:rPr>
      </w:pPr>
      <w:r w:rsidRPr="00780FE3">
        <w:rPr>
          <w:lang w:val="en-US"/>
        </w:rPr>
        <w:t>Bind</w:t>
      </w:r>
      <w:r w:rsidR="0021234F">
        <w:rPr>
          <w:lang w:val="en-US"/>
        </w:rPr>
        <w:t>s</w:t>
      </w:r>
      <w:r w:rsidRPr="00780FE3">
        <w:rPr>
          <w:lang w:val="en-US"/>
        </w:rPr>
        <w:t xml:space="preserve"> to androgen binding site on androgen receptor and act as inhibitor</w:t>
      </w:r>
    </w:p>
    <w:p w14:paraId="667FE034" w14:textId="0EC8E8FE" w:rsidR="00780FE3" w:rsidRPr="00780FE3" w:rsidRDefault="00780FE3" w:rsidP="00E26651">
      <w:pPr>
        <w:pStyle w:val="ListBullet2"/>
        <w:rPr>
          <w:lang w:val="en-US"/>
        </w:rPr>
      </w:pPr>
      <w:r w:rsidRPr="00780FE3">
        <w:rPr>
          <w:lang w:val="en-US"/>
        </w:rPr>
        <w:t xml:space="preserve">3 </w:t>
      </w:r>
      <w:proofErr w:type="spellStart"/>
      <w:r w:rsidRPr="00780FE3">
        <w:rPr>
          <w:lang w:val="en-US"/>
        </w:rPr>
        <w:t>RCT</w:t>
      </w:r>
      <w:proofErr w:type="spellEnd"/>
      <w:r w:rsidRPr="00780FE3">
        <w:rPr>
          <w:lang w:val="en-US"/>
        </w:rPr>
        <w:t xml:space="preserve"> </w:t>
      </w:r>
      <w:proofErr w:type="gramStart"/>
      <w:r w:rsidRPr="00780FE3">
        <w:rPr>
          <w:lang w:val="en-US"/>
        </w:rPr>
        <w:t>show</w:t>
      </w:r>
      <w:proofErr w:type="gramEnd"/>
      <w:r w:rsidRPr="00780FE3">
        <w:rPr>
          <w:lang w:val="en-US"/>
        </w:rPr>
        <w:t xml:space="preserve"> benefit over ADT </w:t>
      </w:r>
      <w:r w:rsidRPr="00E26651">
        <w:t>alone</w:t>
      </w:r>
      <w:r w:rsidRPr="00780FE3">
        <w:rPr>
          <w:lang w:val="en-US"/>
        </w:rPr>
        <w:t xml:space="preserve"> for CSPC</w:t>
      </w:r>
      <w:r w:rsidR="00784C30">
        <w:rPr>
          <w:lang w:val="en-US"/>
        </w:rPr>
        <w:t>.</w:t>
      </w:r>
    </w:p>
    <w:p w14:paraId="52C91B22" w14:textId="320DD939" w:rsidR="00780FE3" w:rsidRPr="00780FE3" w:rsidRDefault="00780FE3" w:rsidP="00533902">
      <w:pPr>
        <w:pStyle w:val="ListBullet"/>
        <w:rPr>
          <w:lang w:val="en-US"/>
        </w:rPr>
      </w:pPr>
      <w:r w:rsidRPr="00780FE3">
        <w:rPr>
          <w:lang w:val="en-US"/>
        </w:rPr>
        <w:t>ADT plus docetaxel</w:t>
      </w:r>
    </w:p>
    <w:p w14:paraId="0822C4F1" w14:textId="0CAB17D6" w:rsidR="00780FE3" w:rsidRPr="00780FE3" w:rsidRDefault="00780FE3" w:rsidP="00533902">
      <w:pPr>
        <w:pStyle w:val="ListBullet2"/>
        <w:rPr>
          <w:lang w:val="en-US"/>
        </w:rPr>
      </w:pPr>
      <w:r w:rsidRPr="00780FE3">
        <w:rPr>
          <w:lang w:val="en-US"/>
        </w:rPr>
        <w:t xml:space="preserve">Docetaxel prolongs survival in </w:t>
      </w:r>
      <w:proofErr w:type="spellStart"/>
      <w:r w:rsidRPr="00780FE3">
        <w:rPr>
          <w:lang w:val="en-US"/>
        </w:rPr>
        <w:t>mCRPC</w:t>
      </w:r>
      <w:proofErr w:type="spellEnd"/>
      <w:r w:rsidRPr="00780FE3">
        <w:rPr>
          <w:lang w:val="en-US"/>
        </w:rPr>
        <w:t>.</w:t>
      </w:r>
    </w:p>
    <w:p w14:paraId="38EA0002" w14:textId="0A823A8C" w:rsidR="00780FE3" w:rsidRPr="00780FE3" w:rsidRDefault="00780FE3" w:rsidP="00533902">
      <w:pPr>
        <w:pStyle w:val="ListBullet2"/>
        <w:rPr>
          <w:lang w:val="en-US"/>
        </w:rPr>
      </w:pPr>
      <w:r w:rsidRPr="00780FE3">
        <w:rPr>
          <w:lang w:val="en-US"/>
        </w:rPr>
        <w:t>Combination with ADT provides further survival benefit.</w:t>
      </w:r>
    </w:p>
    <w:p w14:paraId="040F17E2" w14:textId="1FC8A599" w:rsidR="00780FE3" w:rsidRPr="00780FE3" w:rsidRDefault="00780FE3" w:rsidP="00E26651">
      <w:pPr>
        <w:pStyle w:val="ListBullet"/>
        <w:rPr>
          <w:lang w:val="en-US"/>
        </w:rPr>
      </w:pPr>
      <w:r w:rsidRPr="00780FE3">
        <w:rPr>
          <w:lang w:val="en-US"/>
        </w:rPr>
        <w:t xml:space="preserve">Triplet </w:t>
      </w:r>
      <w:r w:rsidRPr="00E26651">
        <w:t>therapy</w:t>
      </w:r>
    </w:p>
    <w:p w14:paraId="5213F3B2" w14:textId="5DFDD2A1" w:rsidR="00780FE3" w:rsidRPr="00780FE3" w:rsidRDefault="00780FE3" w:rsidP="00533902">
      <w:pPr>
        <w:pStyle w:val="ListBullet2"/>
        <w:rPr>
          <w:lang w:val="en-US"/>
        </w:rPr>
      </w:pPr>
      <w:r w:rsidRPr="00780FE3">
        <w:rPr>
          <w:lang w:val="en-US"/>
        </w:rPr>
        <w:t xml:space="preserve">Docetaxel plus ADT plus third systemic agent </w:t>
      </w:r>
      <w:r w:rsidR="00636223" w:rsidRPr="00780FE3">
        <w:rPr>
          <w:lang w:val="en-US"/>
        </w:rPr>
        <w:t>e.g.</w:t>
      </w:r>
      <w:r w:rsidRPr="00780FE3">
        <w:rPr>
          <w:lang w:val="en-US"/>
        </w:rPr>
        <w:t xml:space="preserve"> abiraterone</w:t>
      </w:r>
    </w:p>
    <w:p w14:paraId="3F5B8111" w14:textId="4508FD8A" w:rsidR="00780FE3" w:rsidRDefault="00780FE3" w:rsidP="00533902">
      <w:pPr>
        <w:pStyle w:val="ListBullet2"/>
        <w:rPr>
          <w:lang w:val="en-US"/>
        </w:rPr>
      </w:pPr>
      <w:r w:rsidRPr="00780FE3">
        <w:rPr>
          <w:lang w:val="en-US"/>
        </w:rPr>
        <w:t>Improves survival over ADT plus docetaxel</w:t>
      </w:r>
      <w:r w:rsidR="00784C30">
        <w:rPr>
          <w:lang w:val="en-US"/>
        </w:rPr>
        <w:t>.</w:t>
      </w:r>
    </w:p>
    <w:p w14:paraId="2277C953" w14:textId="580CF99C" w:rsidR="001021B1" w:rsidRPr="00636223" w:rsidRDefault="001021B1" w:rsidP="00E26651">
      <w:r w:rsidRPr="00636223">
        <w:t xml:space="preserve">If doublet therapy is chosen, there are only limited clinical trial data comparing the combination of ADT plus </w:t>
      </w:r>
      <w:r w:rsidRPr="00636223">
        <w:rPr>
          <w:u w:color="0000FF"/>
        </w:rPr>
        <w:t>abiraterone</w:t>
      </w:r>
      <w:r w:rsidRPr="00636223">
        <w:t xml:space="preserve"> versus ADT plus </w:t>
      </w:r>
      <w:r w:rsidRPr="00636223">
        <w:rPr>
          <w:u w:color="0000FF"/>
        </w:rPr>
        <w:t>docetaxel</w:t>
      </w:r>
      <w:r w:rsidRPr="00636223">
        <w:t>, and there are no data comparing</w:t>
      </w:r>
      <w:r w:rsidRPr="00636223">
        <w:rPr>
          <w:spacing w:val="-1"/>
        </w:rPr>
        <w:t xml:space="preserve"> </w:t>
      </w:r>
      <w:r w:rsidRPr="00636223">
        <w:t>either</w:t>
      </w:r>
      <w:r w:rsidRPr="00636223">
        <w:rPr>
          <w:spacing w:val="-5"/>
        </w:rPr>
        <w:t xml:space="preserve"> </w:t>
      </w:r>
      <w:r w:rsidRPr="00636223">
        <w:t>of</w:t>
      </w:r>
      <w:r w:rsidRPr="00636223">
        <w:rPr>
          <w:spacing w:val="-5"/>
        </w:rPr>
        <w:t xml:space="preserve"> </w:t>
      </w:r>
      <w:r w:rsidRPr="00636223">
        <w:t>these</w:t>
      </w:r>
      <w:r w:rsidRPr="00636223">
        <w:rPr>
          <w:spacing w:val="-5"/>
        </w:rPr>
        <w:t xml:space="preserve"> </w:t>
      </w:r>
      <w:r w:rsidRPr="00636223">
        <w:t>approaches</w:t>
      </w:r>
      <w:r w:rsidRPr="00636223">
        <w:rPr>
          <w:spacing w:val="-2"/>
        </w:rPr>
        <w:t xml:space="preserve"> </w:t>
      </w:r>
      <w:r w:rsidRPr="00636223">
        <w:t>with</w:t>
      </w:r>
      <w:r w:rsidRPr="00636223">
        <w:rPr>
          <w:spacing w:val="-2"/>
        </w:rPr>
        <w:t xml:space="preserve"> </w:t>
      </w:r>
      <w:r w:rsidRPr="00636223">
        <w:t>ADT</w:t>
      </w:r>
      <w:r w:rsidRPr="00636223">
        <w:rPr>
          <w:spacing w:val="-2"/>
        </w:rPr>
        <w:t xml:space="preserve"> </w:t>
      </w:r>
      <w:r w:rsidRPr="00636223">
        <w:t>plus</w:t>
      </w:r>
      <w:r w:rsidRPr="00636223">
        <w:rPr>
          <w:spacing w:val="-2"/>
        </w:rPr>
        <w:t xml:space="preserve"> </w:t>
      </w:r>
      <w:r w:rsidRPr="00636223">
        <w:t>either</w:t>
      </w:r>
      <w:r w:rsidRPr="00636223">
        <w:rPr>
          <w:spacing w:val="-3"/>
        </w:rPr>
        <w:t xml:space="preserve"> </w:t>
      </w:r>
      <w:r w:rsidRPr="00636223">
        <w:rPr>
          <w:u w:color="0000FF"/>
        </w:rPr>
        <w:t>apalutamide</w:t>
      </w:r>
      <w:r w:rsidRPr="00636223">
        <w:rPr>
          <w:spacing w:val="-4"/>
        </w:rPr>
        <w:t xml:space="preserve"> </w:t>
      </w:r>
      <w:r w:rsidRPr="00636223">
        <w:t>or</w:t>
      </w:r>
      <w:r w:rsidRPr="00636223">
        <w:rPr>
          <w:spacing w:val="-3"/>
        </w:rPr>
        <w:t xml:space="preserve"> </w:t>
      </w:r>
      <w:r w:rsidRPr="00636223">
        <w:rPr>
          <w:u w:color="0000FF"/>
        </w:rPr>
        <w:t>enzalutamide</w:t>
      </w:r>
      <w:r w:rsidRPr="00636223">
        <w:t>.</w:t>
      </w:r>
    </w:p>
    <w:p w14:paraId="01A5F4ED" w14:textId="7390EB44" w:rsidR="00043F4C" w:rsidRPr="00636223" w:rsidRDefault="001021B1" w:rsidP="001021B1">
      <w:pPr>
        <w:rPr>
          <w:color w:val="000000" w:themeColor="text1"/>
          <w:lang w:val="en-US"/>
        </w:rPr>
      </w:pPr>
      <w:r w:rsidRPr="00636223">
        <w:rPr>
          <w:color w:val="000000" w:themeColor="text1"/>
        </w:rPr>
        <w:t>Given</w:t>
      </w:r>
      <w:r w:rsidRPr="00636223">
        <w:rPr>
          <w:color w:val="000000" w:themeColor="text1"/>
          <w:spacing w:val="-1"/>
        </w:rPr>
        <w:t xml:space="preserve"> </w:t>
      </w:r>
      <w:r w:rsidRPr="00636223">
        <w:rPr>
          <w:color w:val="000000" w:themeColor="text1"/>
        </w:rPr>
        <w:t>the lack</w:t>
      </w:r>
      <w:r w:rsidRPr="00636223">
        <w:rPr>
          <w:color w:val="000000" w:themeColor="text1"/>
          <w:spacing w:val="-2"/>
        </w:rPr>
        <w:t xml:space="preserve"> </w:t>
      </w:r>
      <w:r w:rsidRPr="00636223">
        <w:rPr>
          <w:color w:val="000000" w:themeColor="text1"/>
        </w:rPr>
        <w:t>of comparative data supporting one</w:t>
      </w:r>
      <w:r w:rsidRPr="00636223">
        <w:rPr>
          <w:color w:val="000000" w:themeColor="text1"/>
          <w:spacing w:val="-1"/>
        </w:rPr>
        <w:t xml:space="preserve"> </w:t>
      </w:r>
      <w:r w:rsidRPr="00636223">
        <w:rPr>
          <w:color w:val="000000" w:themeColor="text1"/>
        </w:rPr>
        <w:t>approach over any</w:t>
      </w:r>
      <w:r w:rsidRPr="00636223">
        <w:rPr>
          <w:color w:val="000000" w:themeColor="text1"/>
          <w:spacing w:val="-2"/>
        </w:rPr>
        <w:t xml:space="preserve"> </w:t>
      </w:r>
      <w:r w:rsidRPr="00636223">
        <w:rPr>
          <w:color w:val="000000" w:themeColor="text1"/>
        </w:rPr>
        <w:t>other, the choice</w:t>
      </w:r>
      <w:r w:rsidRPr="00636223">
        <w:rPr>
          <w:color w:val="000000" w:themeColor="text1"/>
          <w:spacing w:val="-1"/>
        </w:rPr>
        <w:t xml:space="preserve"> </w:t>
      </w:r>
      <w:r w:rsidRPr="00636223">
        <w:rPr>
          <w:color w:val="000000" w:themeColor="text1"/>
        </w:rPr>
        <w:t xml:space="preserve">of the specific regimen is usually based on disease extent, and a discussion with the patient about </w:t>
      </w:r>
      <w:r w:rsidRPr="00636223">
        <w:rPr>
          <w:color w:val="000000" w:themeColor="text1"/>
        </w:rPr>
        <w:lastRenderedPageBreak/>
        <w:t>potential</w:t>
      </w:r>
      <w:r w:rsidRPr="00636223">
        <w:rPr>
          <w:color w:val="000000" w:themeColor="text1"/>
          <w:spacing w:val="-4"/>
        </w:rPr>
        <w:t xml:space="preserve"> </w:t>
      </w:r>
      <w:r w:rsidRPr="00636223">
        <w:rPr>
          <w:color w:val="000000" w:themeColor="text1"/>
        </w:rPr>
        <w:t>toxicities</w:t>
      </w:r>
      <w:r w:rsidRPr="00636223">
        <w:rPr>
          <w:color w:val="000000" w:themeColor="text1"/>
          <w:spacing w:val="-2"/>
        </w:rPr>
        <w:t xml:space="preserve"> </w:t>
      </w:r>
      <w:r w:rsidRPr="00636223">
        <w:rPr>
          <w:color w:val="000000" w:themeColor="text1"/>
        </w:rPr>
        <w:t>associated</w:t>
      </w:r>
      <w:r w:rsidRPr="00636223">
        <w:rPr>
          <w:color w:val="000000" w:themeColor="text1"/>
          <w:spacing w:val="-3"/>
        </w:rPr>
        <w:t xml:space="preserve"> </w:t>
      </w:r>
      <w:r w:rsidRPr="00636223">
        <w:rPr>
          <w:color w:val="000000" w:themeColor="text1"/>
        </w:rPr>
        <w:t>with</w:t>
      </w:r>
      <w:r w:rsidRPr="00636223">
        <w:rPr>
          <w:color w:val="000000" w:themeColor="text1"/>
          <w:spacing w:val="-4"/>
        </w:rPr>
        <w:t xml:space="preserve"> </w:t>
      </w:r>
      <w:r w:rsidRPr="00636223">
        <w:rPr>
          <w:color w:val="000000" w:themeColor="text1"/>
          <w:u w:color="0000FF"/>
        </w:rPr>
        <w:t>abiraterone</w:t>
      </w:r>
      <w:r w:rsidRPr="00636223">
        <w:rPr>
          <w:color w:val="000000" w:themeColor="text1"/>
        </w:rPr>
        <w:t>,</w:t>
      </w:r>
      <w:r w:rsidRPr="00636223">
        <w:rPr>
          <w:color w:val="000000" w:themeColor="text1"/>
          <w:spacing w:val="-4"/>
        </w:rPr>
        <w:t xml:space="preserve"> </w:t>
      </w:r>
      <w:r w:rsidRPr="00636223">
        <w:rPr>
          <w:color w:val="000000" w:themeColor="text1"/>
          <w:u w:color="0000FF"/>
        </w:rPr>
        <w:t>docetaxel</w:t>
      </w:r>
      <w:r w:rsidRPr="00636223">
        <w:rPr>
          <w:color w:val="000000" w:themeColor="text1"/>
        </w:rPr>
        <w:t>,</w:t>
      </w:r>
      <w:r w:rsidRPr="00636223">
        <w:rPr>
          <w:color w:val="000000" w:themeColor="text1"/>
          <w:spacing w:val="-4"/>
        </w:rPr>
        <w:t xml:space="preserve"> </w:t>
      </w:r>
      <w:r w:rsidRPr="00636223">
        <w:rPr>
          <w:color w:val="000000" w:themeColor="text1"/>
          <w:u w:color="0000FF"/>
        </w:rPr>
        <w:t>apalutamide</w:t>
      </w:r>
      <w:r w:rsidRPr="00636223">
        <w:rPr>
          <w:color w:val="000000" w:themeColor="text1"/>
        </w:rPr>
        <w:t>,</w:t>
      </w:r>
      <w:r w:rsidRPr="00636223">
        <w:rPr>
          <w:color w:val="000000" w:themeColor="text1"/>
          <w:spacing w:val="-3"/>
        </w:rPr>
        <w:t xml:space="preserve"> </w:t>
      </w:r>
      <w:r w:rsidRPr="00636223">
        <w:rPr>
          <w:color w:val="000000" w:themeColor="text1"/>
        </w:rPr>
        <w:t>and</w:t>
      </w:r>
      <w:r w:rsidRPr="00636223">
        <w:rPr>
          <w:color w:val="000000" w:themeColor="text1"/>
          <w:spacing w:val="-6"/>
        </w:rPr>
        <w:t xml:space="preserve"> </w:t>
      </w:r>
      <w:r w:rsidRPr="00636223">
        <w:rPr>
          <w:color w:val="000000" w:themeColor="text1"/>
          <w:u w:color="0000FF"/>
        </w:rPr>
        <w:t>enzalutamide</w:t>
      </w:r>
      <w:r w:rsidRPr="00636223">
        <w:rPr>
          <w:color w:val="000000" w:themeColor="text1"/>
        </w:rPr>
        <w:t>,</w:t>
      </w:r>
      <w:r w:rsidRPr="00636223">
        <w:rPr>
          <w:color w:val="000000" w:themeColor="text1"/>
          <w:spacing w:val="-3"/>
        </w:rPr>
        <w:t xml:space="preserve"> </w:t>
      </w:r>
      <w:r w:rsidRPr="00636223">
        <w:rPr>
          <w:color w:val="000000" w:themeColor="text1"/>
        </w:rPr>
        <w:t>as well as the expected duration and cost of treatment</w:t>
      </w:r>
      <w:r w:rsidR="00086EE1">
        <w:rPr>
          <w:color w:val="000000" w:themeColor="text1"/>
        </w:rPr>
        <w:t>.</w:t>
      </w:r>
    </w:p>
    <w:p w14:paraId="37C47E09" w14:textId="14D3762D" w:rsidR="00CB6813" w:rsidRDefault="00CB6813" w:rsidP="00E26651">
      <w:pPr>
        <w:pStyle w:val="Heading4"/>
      </w:pPr>
      <w:bookmarkStart w:id="20" w:name="_Toc225515976"/>
      <w:r>
        <w:t>C</w:t>
      </w:r>
      <w:r w:rsidRPr="00DE1344">
        <w:t xml:space="preserve">linical </w:t>
      </w:r>
      <w:r w:rsidRPr="00E26651">
        <w:t>rational</w:t>
      </w:r>
      <w:r w:rsidR="0025785B" w:rsidRPr="00E26651">
        <w:t>e</w:t>
      </w:r>
      <w:bookmarkEnd w:id="20"/>
    </w:p>
    <w:p w14:paraId="476BEC62" w14:textId="11791E6C" w:rsidR="007A7B5E" w:rsidRDefault="003849FF" w:rsidP="00E26651">
      <w:r>
        <w:t xml:space="preserve">The use of abiraterone for the treatment of </w:t>
      </w:r>
      <w:proofErr w:type="spellStart"/>
      <w:r w:rsidR="002E23AB">
        <w:t>m</w:t>
      </w:r>
      <w:r>
        <w:t>CRPC</w:t>
      </w:r>
      <w:proofErr w:type="spellEnd"/>
      <w:r>
        <w:t xml:space="preserve"> and </w:t>
      </w:r>
      <w:proofErr w:type="spellStart"/>
      <w:r>
        <w:t>mHSPC</w:t>
      </w:r>
      <w:proofErr w:type="spellEnd"/>
      <w:r>
        <w:t xml:space="preserve"> is recommended</w:t>
      </w:r>
      <w:r w:rsidR="00404698">
        <w:t xml:space="preserve"> </w:t>
      </w:r>
      <w:r w:rsidR="00590108" w:rsidRPr="00590108">
        <w:t xml:space="preserve">worldwide </w:t>
      </w:r>
      <w:r>
        <w:t xml:space="preserve">in combination with a glucocorticoid </w:t>
      </w:r>
      <w:r w:rsidR="00E74572">
        <w:t xml:space="preserve">(such as </w:t>
      </w:r>
      <w:r w:rsidR="00E74572" w:rsidRPr="00E74572">
        <w:t>prednisolone</w:t>
      </w:r>
      <w:r w:rsidR="00E74572">
        <w:t>)</w:t>
      </w:r>
      <w:r>
        <w:t>. This is based on the clinical action of abiraterone,</w:t>
      </w:r>
      <w:r w:rsidR="00404698">
        <w:t xml:space="preserve"> </w:t>
      </w:r>
      <w:r>
        <w:t xml:space="preserve">which leads to </w:t>
      </w:r>
      <w:r w:rsidR="00404698">
        <w:t>u</w:t>
      </w:r>
      <w:r>
        <w:t>nacceptable adverse events</w:t>
      </w:r>
      <w:r w:rsidR="00E74572">
        <w:t xml:space="preserve"> </w:t>
      </w:r>
      <w:r>
        <w:t>in most patients when</w:t>
      </w:r>
      <w:r w:rsidR="00E74572">
        <w:t xml:space="preserve"> </w:t>
      </w:r>
      <w:r>
        <w:t xml:space="preserve">given alone. </w:t>
      </w:r>
      <w:r w:rsidR="005967DD">
        <w:t xml:space="preserve">Since the </w:t>
      </w:r>
      <w:r>
        <w:t>demonstrat</w:t>
      </w:r>
      <w:r w:rsidR="005967DD">
        <w:t>ion</w:t>
      </w:r>
      <w:r>
        <w:t xml:space="preserve"> that addition of glucocorticoids </w:t>
      </w:r>
      <w:proofErr w:type="gramStart"/>
      <w:r>
        <w:t>mitigate</w:t>
      </w:r>
      <w:proofErr w:type="gramEnd"/>
      <w:r>
        <w:t xml:space="preserve"> </w:t>
      </w:r>
      <w:r w:rsidR="005967DD">
        <w:t>the</w:t>
      </w:r>
      <w:r>
        <w:t xml:space="preserve"> adverse effect</w:t>
      </w:r>
      <w:r w:rsidR="007A7B5E">
        <w:t>s</w:t>
      </w:r>
      <w:r w:rsidR="00E74572">
        <w:t xml:space="preserve"> </w:t>
      </w:r>
      <w:r>
        <w:t>of abiraterone, th</w:t>
      </w:r>
      <w:r w:rsidR="00E74572">
        <w:t>is</w:t>
      </w:r>
      <w:r>
        <w:t xml:space="preserve"> combination therapy of</w:t>
      </w:r>
      <w:r w:rsidR="00E74572">
        <w:t xml:space="preserve"> </w:t>
      </w:r>
      <w:r>
        <w:t xml:space="preserve">abiraterone plus glucocorticoid </w:t>
      </w:r>
      <w:r w:rsidR="00E74572">
        <w:t xml:space="preserve">was </w:t>
      </w:r>
      <w:r w:rsidR="0024537D">
        <w:t xml:space="preserve">established </w:t>
      </w:r>
      <w:r>
        <w:t xml:space="preserve">as the treatment of first choice for the treatment of </w:t>
      </w:r>
      <w:proofErr w:type="spellStart"/>
      <w:r>
        <w:t>mCRPC</w:t>
      </w:r>
      <w:proofErr w:type="spellEnd"/>
      <w:r w:rsidR="00E74572">
        <w:t xml:space="preserve"> </w:t>
      </w:r>
      <w:r>
        <w:t xml:space="preserve">and </w:t>
      </w:r>
      <w:proofErr w:type="spellStart"/>
      <w:r>
        <w:t>mHSPC</w:t>
      </w:r>
      <w:proofErr w:type="spellEnd"/>
      <w:r>
        <w:t>.</w:t>
      </w:r>
    </w:p>
    <w:p w14:paraId="08C29C24" w14:textId="0FD0EDE5" w:rsidR="00B8078E" w:rsidRDefault="007A7B5E" w:rsidP="00E26651">
      <w:r>
        <w:t>G</w:t>
      </w:r>
      <w:r w:rsidR="003849FF">
        <w:t xml:space="preserve">lucocorticoids </w:t>
      </w:r>
      <w:r>
        <w:t xml:space="preserve">also </w:t>
      </w:r>
      <w:r w:rsidR="003849FF">
        <w:t>show an additive decreasing effect on</w:t>
      </w:r>
      <w:r w:rsidR="00E74572">
        <w:t xml:space="preserve"> </w:t>
      </w:r>
      <w:r w:rsidR="003849FF">
        <w:t>testosterone levels when added to abiraterone monotherapy, leading to a higher efficacy of</w:t>
      </w:r>
      <w:r w:rsidR="0024537D">
        <w:t xml:space="preserve"> </w:t>
      </w:r>
      <w:r w:rsidR="003849FF">
        <w:t xml:space="preserve">the combination when compared to abiraterone alone. </w:t>
      </w:r>
      <w:r w:rsidR="004E5AF0">
        <w:t>P</w:t>
      </w:r>
      <w:r w:rsidR="004E5AF0" w:rsidRPr="004E5AF0">
        <w:t>rednisolone</w:t>
      </w:r>
      <w:r w:rsidR="00BF7AC5">
        <w:t xml:space="preserve"> causes fewer</w:t>
      </w:r>
      <w:r w:rsidR="003849FF">
        <w:t xml:space="preserve"> adverse</w:t>
      </w:r>
      <w:r w:rsidR="0024537D">
        <w:t xml:space="preserve"> </w:t>
      </w:r>
      <w:r w:rsidR="003849FF">
        <w:t xml:space="preserve">metabolic effects </w:t>
      </w:r>
      <w:r w:rsidR="007346ED">
        <w:t xml:space="preserve">and is the </w:t>
      </w:r>
      <w:r w:rsidR="003849FF">
        <w:t>glucocorticoid</w:t>
      </w:r>
      <w:r w:rsidR="007346ED">
        <w:t xml:space="preserve"> of </w:t>
      </w:r>
      <w:r w:rsidR="003849FF">
        <w:t>choice</w:t>
      </w:r>
      <w:r w:rsidR="007346ED">
        <w:t xml:space="preserve"> in this combination product</w:t>
      </w:r>
      <w:r w:rsidR="003849FF">
        <w:t>.</w:t>
      </w:r>
    </w:p>
    <w:p w14:paraId="7188DFB7" w14:textId="3A4C005C" w:rsidR="003849FF" w:rsidRPr="003849FF" w:rsidRDefault="003849FF" w:rsidP="00E26651">
      <w:r>
        <w:t>An additional adva</w:t>
      </w:r>
      <w:r w:rsidR="00B8078E">
        <w:t>ntage</w:t>
      </w:r>
      <w:r>
        <w:t xml:space="preserve"> of the combination package is the </w:t>
      </w:r>
      <w:r w:rsidR="00B8078E">
        <w:t xml:space="preserve">increased likelihood of </w:t>
      </w:r>
      <w:r>
        <w:t xml:space="preserve">compliance </w:t>
      </w:r>
      <w:r w:rsidR="00295520">
        <w:t>by</w:t>
      </w:r>
      <w:r>
        <w:t xml:space="preserve"> patients. In this case, a combination</w:t>
      </w:r>
      <w:r w:rsidR="00295520">
        <w:t xml:space="preserve"> </w:t>
      </w:r>
      <w:r>
        <w:t>medicinal product is not possible</w:t>
      </w:r>
      <w:r w:rsidR="00FE576D">
        <w:t>, t</w:t>
      </w:r>
      <w:r>
        <w:t xml:space="preserve">herefore, a combination blister package </w:t>
      </w:r>
      <w:r w:rsidR="00AE7526">
        <w:t>was</w:t>
      </w:r>
      <w:r>
        <w:t xml:space="preserve"> the optimal </w:t>
      </w:r>
      <w:r w:rsidR="004E5AF0">
        <w:t xml:space="preserve">means by which </w:t>
      </w:r>
      <w:r>
        <w:t>to increase compliance and patient convenience.</w:t>
      </w:r>
    </w:p>
    <w:p w14:paraId="0D615854" w14:textId="77777777" w:rsidR="00324B33" w:rsidRPr="003F31A2" w:rsidRDefault="00324B33" w:rsidP="00E26651">
      <w:pPr>
        <w:pStyle w:val="Heading3"/>
      </w:pPr>
      <w:bookmarkStart w:id="21" w:name="_Toc103679291"/>
      <w:bookmarkStart w:id="22" w:name="_Toc225515977"/>
      <w:r>
        <w:t xml:space="preserve">Regulatory </w:t>
      </w:r>
      <w:r w:rsidRPr="00E26651">
        <w:t>status</w:t>
      </w:r>
      <w:bookmarkEnd w:id="16"/>
      <w:bookmarkEnd w:id="17"/>
      <w:bookmarkEnd w:id="21"/>
      <w:bookmarkEnd w:id="22"/>
    </w:p>
    <w:p w14:paraId="72C889D6" w14:textId="7E200950" w:rsidR="0017005C" w:rsidRPr="00BD5DBD" w:rsidRDefault="0017005C" w:rsidP="00E26651">
      <w:pPr>
        <w:pStyle w:val="Heading4"/>
      </w:pPr>
      <w:bookmarkStart w:id="23" w:name="_Toc225515978"/>
      <w:r w:rsidRPr="00BD5DBD">
        <w:t>Australian regulatory</w:t>
      </w:r>
      <w:r>
        <w:t xml:space="preserve"> </w:t>
      </w:r>
      <w:r w:rsidRPr="00E26651">
        <w:t>sta</w:t>
      </w:r>
      <w:r w:rsidR="0025785B" w:rsidRPr="00E26651">
        <w:t>t</w:t>
      </w:r>
      <w:r w:rsidRPr="00E26651">
        <w:t>us</w:t>
      </w:r>
      <w:bookmarkEnd w:id="23"/>
    </w:p>
    <w:p w14:paraId="6A8633FA" w14:textId="5356FFD9" w:rsidR="00324B33" w:rsidRDefault="00324B33" w:rsidP="00324B33">
      <w:pPr>
        <w:rPr>
          <w:szCs w:val="22"/>
        </w:rPr>
      </w:pPr>
      <w:r w:rsidRPr="00BD5DBD">
        <w:rPr>
          <w:szCs w:val="22"/>
        </w:rPr>
        <w:t xml:space="preserve">This product is considered a new </w:t>
      </w:r>
      <w:r w:rsidR="007346ED">
        <w:rPr>
          <w:szCs w:val="22"/>
        </w:rPr>
        <w:t>combination</w:t>
      </w:r>
      <w:r w:rsidRPr="00BD5DBD">
        <w:rPr>
          <w:szCs w:val="22"/>
        </w:rPr>
        <w:t xml:space="preserve"> medicine for Australian regulatory purposes.</w:t>
      </w:r>
    </w:p>
    <w:p w14:paraId="546C1031" w14:textId="4EF98FA1" w:rsidR="0017005C" w:rsidRDefault="00131B1B" w:rsidP="00E26651">
      <w:pPr>
        <w:pStyle w:val="Heading4"/>
      </w:pPr>
      <w:bookmarkStart w:id="24" w:name="_Toc225515979"/>
      <w:r>
        <w:t xml:space="preserve">International </w:t>
      </w:r>
      <w:r w:rsidR="0017005C" w:rsidRPr="00BD5DBD">
        <w:t>regulatory</w:t>
      </w:r>
      <w:r w:rsidR="0017005C">
        <w:t xml:space="preserve"> </w:t>
      </w:r>
      <w:r w:rsidR="0017005C" w:rsidRPr="00E26651">
        <w:t>status</w:t>
      </w:r>
      <w:bookmarkEnd w:id="24"/>
    </w:p>
    <w:p w14:paraId="7FDF4A0B" w14:textId="6D36E602" w:rsidR="008F4A62" w:rsidRPr="0017005C" w:rsidRDefault="008F4A62" w:rsidP="00E26651">
      <w:r w:rsidRPr="00BD5DBD">
        <w:t xml:space="preserve">At the time the TGA considered this submission, a similar submission had been approved in </w:t>
      </w:r>
      <w:r w:rsidR="006F095A">
        <w:t>Germany</w:t>
      </w:r>
      <w:r w:rsidR="00F63CB9">
        <w:t xml:space="preserve">. The sponsor </w:t>
      </w:r>
      <w:r w:rsidR="00BF31FB">
        <w:t xml:space="preserve">had </w:t>
      </w:r>
      <w:proofErr w:type="gramStart"/>
      <w:r w:rsidR="00BF31FB">
        <w:t>submitted an application</w:t>
      </w:r>
      <w:proofErr w:type="gramEnd"/>
      <w:r w:rsidR="00BF31FB">
        <w:t xml:space="preserve"> with </w:t>
      </w:r>
      <w:r w:rsidR="00F63CB9" w:rsidRPr="00F63CB9">
        <w:t>Germany act</w:t>
      </w:r>
      <w:r w:rsidR="00BF31FB">
        <w:t>ing</w:t>
      </w:r>
      <w:r w:rsidR="00F63CB9" w:rsidRPr="00F63CB9">
        <w:t xml:space="preserve"> as the Reference Member State (RMS) leading </w:t>
      </w:r>
      <w:r w:rsidR="00D77A31">
        <w:t xml:space="preserve">the </w:t>
      </w:r>
      <w:r w:rsidR="00F63CB9" w:rsidRPr="00F63CB9">
        <w:t>Decentralised Procedure</w:t>
      </w:r>
      <w:r w:rsidRPr="00BD5DBD">
        <w:t>.</w:t>
      </w:r>
      <w:r w:rsidR="00AF530C">
        <w:t xml:space="preserve"> </w:t>
      </w:r>
      <w:r w:rsidR="00AF530C" w:rsidRPr="00AF530C">
        <w:t xml:space="preserve">The drug is only approved in Germany and </w:t>
      </w:r>
      <w:r w:rsidR="00371DD4">
        <w:t xml:space="preserve">not in any </w:t>
      </w:r>
      <w:r w:rsidR="00AF530C" w:rsidRPr="00AF530C">
        <w:t>specific Concerned Member States</w:t>
      </w:r>
      <w:r w:rsidR="00371DD4">
        <w:t>.</w:t>
      </w:r>
    </w:p>
    <w:p w14:paraId="6D92589C" w14:textId="42ED927C" w:rsidR="00324B33" w:rsidRDefault="00324B33" w:rsidP="00E26651">
      <w:pPr>
        <w:pStyle w:val="Heading2"/>
      </w:pPr>
      <w:bookmarkStart w:id="25" w:name="_Toc504480011"/>
      <w:bookmarkStart w:id="26" w:name="_Toc103679293"/>
      <w:bookmarkStart w:id="27" w:name="_Toc225515980"/>
      <w:r>
        <w:t xml:space="preserve">Registration </w:t>
      </w:r>
      <w:r w:rsidRPr="00E26651">
        <w:t>timeline</w:t>
      </w:r>
      <w:bookmarkEnd w:id="25"/>
      <w:bookmarkEnd w:id="26"/>
      <w:bookmarkEnd w:id="27"/>
    </w:p>
    <w:p w14:paraId="225E3D87" w14:textId="622FB64B" w:rsidR="00324B33" w:rsidRPr="00BD5DBD" w:rsidRDefault="009B1EBB" w:rsidP="00324B33">
      <w:pPr>
        <w:rPr>
          <w:szCs w:val="22"/>
        </w:rPr>
      </w:pPr>
      <w:r>
        <w:rPr>
          <w:szCs w:val="22"/>
        </w:rPr>
        <w:t xml:space="preserve">Table </w:t>
      </w:r>
      <w:r w:rsidR="006A1C19">
        <w:rPr>
          <w:szCs w:val="22"/>
        </w:rPr>
        <w:t>1</w:t>
      </w:r>
      <w:r w:rsidR="00324B33" w:rsidRPr="00BD5DBD">
        <w:rPr>
          <w:szCs w:val="22"/>
        </w:rPr>
        <w:t xml:space="preserve"> captures the key steps and dates for this submission.</w:t>
      </w:r>
    </w:p>
    <w:p w14:paraId="6BB76942" w14:textId="49C62989" w:rsidR="00477C4E" w:rsidRPr="00BD5DBD" w:rsidRDefault="00477C4E" w:rsidP="00324B33">
      <w:pPr>
        <w:rPr>
          <w:szCs w:val="22"/>
        </w:rPr>
      </w:pPr>
      <w:r w:rsidRPr="00BD5DBD">
        <w:rPr>
          <w:szCs w:val="22"/>
        </w:rPr>
        <w:t xml:space="preserve">This submission was evaluated under the </w:t>
      </w:r>
      <w:hyperlink r:id="rId27" w:history="1">
        <w:r w:rsidRPr="00BD5DBD">
          <w:rPr>
            <w:rStyle w:val="Hyperlink"/>
            <w:szCs w:val="22"/>
          </w:rPr>
          <w:t>standard prescription medicines registration process</w:t>
        </w:r>
      </w:hyperlink>
      <w:r w:rsidRPr="00BD5DBD">
        <w:rPr>
          <w:szCs w:val="22"/>
        </w:rPr>
        <w:t>.</w:t>
      </w:r>
    </w:p>
    <w:p w14:paraId="44628C5F" w14:textId="740A8553" w:rsidR="00324B33" w:rsidRDefault="00324B33" w:rsidP="00E26651">
      <w:pPr>
        <w:pStyle w:val="TableTitle"/>
      </w:pPr>
      <w:r w:rsidRPr="002C1232">
        <w:t xml:space="preserve">Table </w:t>
      </w:r>
      <w:r w:rsidR="006A1C19">
        <w:t>1.</w:t>
      </w:r>
      <w:r w:rsidRPr="002C1232">
        <w:t xml:space="preserve"> </w:t>
      </w:r>
      <w:r w:rsidRPr="00E26651">
        <w:t>Timeline</w:t>
      </w:r>
      <w:r w:rsidRPr="002C1232">
        <w:t xml:space="preserve"> for </w:t>
      </w:r>
      <w:proofErr w:type="spellStart"/>
      <w:r w:rsidR="00282990">
        <w:t>Andriga</w:t>
      </w:r>
      <w:proofErr w:type="spellEnd"/>
      <w:r w:rsidR="00C020D0" w:rsidRPr="00C020D0">
        <w:t xml:space="preserve"> </w:t>
      </w:r>
      <w:r w:rsidR="00C020D0">
        <w:t>(</w:t>
      </w:r>
      <w:r w:rsidR="00C020D0" w:rsidRPr="00C020D0">
        <w:t>abiraterone and prednisolone</w:t>
      </w:r>
      <w:r w:rsidR="00C020D0">
        <w:t>)</w:t>
      </w:r>
      <w:r w:rsidR="00DA69DF">
        <w:t>,</w:t>
      </w:r>
      <w:r w:rsidR="00DA69DF" w:rsidRPr="00DA69DF">
        <w:t xml:space="preserve"> Submission</w:t>
      </w:r>
      <w:r w:rsidR="00C020D0" w:rsidRPr="00C020D0">
        <w:t xml:space="preserve"> PM-2024-00131-1-4</w:t>
      </w:r>
    </w:p>
    <w:tbl>
      <w:tblPr>
        <w:tblStyle w:val="TableTGAblue2023"/>
        <w:tblW w:w="8642" w:type="dxa"/>
        <w:tblLook w:val="04A0" w:firstRow="1" w:lastRow="0" w:firstColumn="1" w:lastColumn="0" w:noHBand="0" w:noVBand="1"/>
      </w:tblPr>
      <w:tblGrid>
        <w:gridCol w:w="5665"/>
        <w:gridCol w:w="2977"/>
      </w:tblGrid>
      <w:tr w:rsidR="00324B33" w:rsidRPr="00D01DDB" w14:paraId="6C59BE9C" w14:textId="77777777" w:rsidTr="00E26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6D80E78" w14:textId="3EC0CCAF" w:rsidR="00324B33" w:rsidRPr="00D01DDB" w:rsidRDefault="00324B33" w:rsidP="00E26651">
            <w:r w:rsidRPr="00D01DDB">
              <w:t>Description</w:t>
            </w:r>
          </w:p>
        </w:tc>
        <w:tc>
          <w:tcPr>
            <w:tcW w:w="2977" w:type="dxa"/>
          </w:tcPr>
          <w:p w14:paraId="79AFDC4B" w14:textId="05792035" w:rsidR="00324B33" w:rsidRPr="00D01DDB" w:rsidRDefault="00324B33" w:rsidP="00E26651">
            <w:pPr>
              <w:cnfStyle w:val="100000000000" w:firstRow="1" w:lastRow="0" w:firstColumn="0" w:lastColumn="0" w:oddVBand="0" w:evenVBand="0" w:oddHBand="0" w:evenHBand="0" w:firstRowFirstColumn="0" w:firstRowLastColumn="0" w:lastRowFirstColumn="0" w:lastRowLastColumn="0"/>
            </w:pPr>
            <w:r w:rsidRPr="00D01DDB">
              <w:t>Date</w:t>
            </w:r>
          </w:p>
        </w:tc>
      </w:tr>
      <w:tr w:rsidR="00324B33" w:rsidRPr="00D01DDB" w14:paraId="23610C53" w14:textId="77777777" w:rsidTr="00E26651">
        <w:tc>
          <w:tcPr>
            <w:cnfStyle w:val="001000000000" w:firstRow="0" w:lastRow="0" w:firstColumn="1" w:lastColumn="0" w:oddVBand="0" w:evenVBand="0" w:oddHBand="0" w:evenHBand="0" w:firstRowFirstColumn="0" w:firstRowLastColumn="0" w:lastRowFirstColumn="0" w:lastRowLastColumn="0"/>
            <w:tcW w:w="5665" w:type="dxa"/>
          </w:tcPr>
          <w:p w14:paraId="759D2A12" w14:textId="0D705F83" w:rsidR="00324B33" w:rsidRPr="00E679D1" w:rsidRDefault="00324B33" w:rsidP="00E26651">
            <w:r w:rsidRPr="00E679D1">
              <w:t>Submission dossier accepted and first round evaluation commenced</w:t>
            </w:r>
          </w:p>
        </w:tc>
        <w:tc>
          <w:tcPr>
            <w:tcW w:w="2977" w:type="dxa"/>
          </w:tcPr>
          <w:p w14:paraId="2963D9D8" w14:textId="1840EBE2" w:rsidR="00324B33" w:rsidRPr="00D01DDB" w:rsidRDefault="00341BF7" w:rsidP="00E26651">
            <w:pPr>
              <w:cnfStyle w:val="000000000000" w:firstRow="0" w:lastRow="0" w:firstColumn="0" w:lastColumn="0" w:oddVBand="0" w:evenVBand="0" w:oddHBand="0" w:evenHBand="0" w:firstRowFirstColumn="0" w:firstRowLastColumn="0" w:lastRowFirstColumn="0" w:lastRowLastColumn="0"/>
            </w:pPr>
            <w:r>
              <w:t>29 February 2024</w:t>
            </w:r>
          </w:p>
        </w:tc>
      </w:tr>
      <w:tr w:rsidR="00803926" w:rsidRPr="00D01DDB" w14:paraId="16D13F79" w14:textId="77777777" w:rsidTr="00E26651">
        <w:tc>
          <w:tcPr>
            <w:cnfStyle w:val="001000000000" w:firstRow="0" w:lastRow="0" w:firstColumn="1" w:lastColumn="0" w:oddVBand="0" w:evenVBand="0" w:oddHBand="0" w:evenHBand="0" w:firstRowFirstColumn="0" w:firstRowLastColumn="0" w:lastRowFirstColumn="0" w:lastRowLastColumn="0"/>
            <w:tcW w:w="5665" w:type="dxa"/>
          </w:tcPr>
          <w:p w14:paraId="6858B45A" w14:textId="3F7DCA79" w:rsidR="00803926" w:rsidRPr="00E679D1" w:rsidDel="00C62B1C" w:rsidRDefault="00803926" w:rsidP="00E26651">
            <w:r>
              <w:t>Evaluation complete</w:t>
            </w:r>
            <w:r w:rsidR="00341BF7">
              <w:t>d</w:t>
            </w:r>
          </w:p>
        </w:tc>
        <w:tc>
          <w:tcPr>
            <w:tcW w:w="2977" w:type="dxa"/>
          </w:tcPr>
          <w:p w14:paraId="2E0BD403" w14:textId="705D53E5" w:rsidR="00803926" w:rsidRPr="00D01DDB" w:rsidRDefault="00D4224B" w:rsidP="00E26651">
            <w:pPr>
              <w:cnfStyle w:val="000000000000" w:firstRow="0" w:lastRow="0" w:firstColumn="0" w:lastColumn="0" w:oddVBand="0" w:evenVBand="0" w:oddHBand="0" w:evenHBand="0" w:firstRowFirstColumn="0" w:firstRowLastColumn="0" w:lastRowFirstColumn="0" w:lastRowLastColumn="0"/>
            </w:pPr>
            <w:r>
              <w:t>11 November 2024</w:t>
            </w:r>
          </w:p>
        </w:tc>
      </w:tr>
      <w:tr w:rsidR="00324B33" w:rsidRPr="00D01DDB" w14:paraId="6E5D32FE" w14:textId="77777777" w:rsidTr="00E26651">
        <w:tc>
          <w:tcPr>
            <w:cnfStyle w:val="001000000000" w:firstRow="0" w:lastRow="0" w:firstColumn="1" w:lastColumn="0" w:oddVBand="0" w:evenVBand="0" w:oddHBand="0" w:evenHBand="0" w:firstRowFirstColumn="0" w:firstRowLastColumn="0" w:lastRowFirstColumn="0" w:lastRowLastColumn="0"/>
            <w:tcW w:w="5665" w:type="dxa"/>
          </w:tcPr>
          <w:p w14:paraId="4E95C44C" w14:textId="7A91C710" w:rsidR="00324B33" w:rsidRPr="00E679D1" w:rsidRDefault="00324B33" w:rsidP="00E26651">
            <w:r w:rsidRPr="00E679D1">
              <w:t>Registration decision (Outcome)</w:t>
            </w:r>
          </w:p>
        </w:tc>
        <w:tc>
          <w:tcPr>
            <w:tcW w:w="2977" w:type="dxa"/>
          </w:tcPr>
          <w:p w14:paraId="62987ABD" w14:textId="68E3E0EF" w:rsidR="00324B33" w:rsidRPr="00D01DDB" w:rsidRDefault="00D5577D" w:rsidP="00E26651">
            <w:pPr>
              <w:cnfStyle w:val="000000000000" w:firstRow="0" w:lastRow="0" w:firstColumn="0" w:lastColumn="0" w:oddVBand="0" w:evenVBand="0" w:oddHBand="0" w:evenHBand="0" w:firstRowFirstColumn="0" w:firstRowLastColumn="0" w:lastRowFirstColumn="0" w:lastRowLastColumn="0"/>
            </w:pPr>
            <w:r>
              <w:t>29 January 2025</w:t>
            </w:r>
          </w:p>
        </w:tc>
      </w:tr>
      <w:tr w:rsidR="00324B33" w:rsidRPr="00D01DDB" w14:paraId="6DDCDDA4" w14:textId="77777777" w:rsidTr="00E26651">
        <w:tc>
          <w:tcPr>
            <w:cnfStyle w:val="001000000000" w:firstRow="0" w:lastRow="0" w:firstColumn="1" w:lastColumn="0" w:oddVBand="0" w:evenVBand="0" w:oddHBand="0" w:evenHBand="0" w:firstRowFirstColumn="0" w:firstRowLastColumn="0" w:lastRowFirstColumn="0" w:lastRowLastColumn="0"/>
            <w:tcW w:w="5665" w:type="dxa"/>
          </w:tcPr>
          <w:p w14:paraId="192FD19D" w14:textId="04C43460" w:rsidR="00324B33" w:rsidRPr="00E679D1" w:rsidRDefault="00C00844" w:rsidP="00E26651">
            <w:r>
              <w:t>R</w:t>
            </w:r>
            <w:r w:rsidR="0013132F" w:rsidRPr="00E679D1">
              <w:t xml:space="preserve">egistration </w:t>
            </w:r>
            <w:r w:rsidR="005C4B46" w:rsidRPr="00E679D1">
              <w:t xml:space="preserve">in </w:t>
            </w:r>
            <w:r w:rsidR="0013132F" w:rsidRPr="00E679D1">
              <w:t xml:space="preserve">the </w:t>
            </w:r>
            <w:proofErr w:type="spellStart"/>
            <w:r w:rsidR="0013132F" w:rsidRPr="00E679D1">
              <w:t>ARTG</w:t>
            </w:r>
            <w:proofErr w:type="spellEnd"/>
            <w:r w:rsidR="0013132F" w:rsidRPr="00E679D1">
              <w:t xml:space="preserve"> completed</w:t>
            </w:r>
          </w:p>
        </w:tc>
        <w:tc>
          <w:tcPr>
            <w:tcW w:w="2977" w:type="dxa"/>
          </w:tcPr>
          <w:p w14:paraId="5A8923FD" w14:textId="2473414E" w:rsidR="00324B33" w:rsidRPr="00D01DDB" w:rsidRDefault="00D5577D" w:rsidP="00E26651">
            <w:pPr>
              <w:cnfStyle w:val="000000000000" w:firstRow="0" w:lastRow="0" w:firstColumn="0" w:lastColumn="0" w:oddVBand="0" w:evenVBand="0" w:oddHBand="0" w:evenHBand="0" w:firstRowFirstColumn="0" w:firstRowLastColumn="0" w:lastRowFirstColumn="0" w:lastRowLastColumn="0"/>
            </w:pPr>
            <w:r>
              <w:t>7 July 2025</w:t>
            </w:r>
          </w:p>
        </w:tc>
      </w:tr>
      <w:tr w:rsidR="00324B33" w:rsidRPr="00D01DDB" w14:paraId="56D922E2" w14:textId="77777777" w:rsidTr="00E26651">
        <w:tc>
          <w:tcPr>
            <w:cnfStyle w:val="001000000000" w:firstRow="0" w:lastRow="0" w:firstColumn="1" w:lastColumn="0" w:oddVBand="0" w:evenVBand="0" w:oddHBand="0" w:evenHBand="0" w:firstRowFirstColumn="0" w:firstRowLastColumn="0" w:lastRowFirstColumn="0" w:lastRowLastColumn="0"/>
            <w:tcW w:w="5665" w:type="dxa"/>
          </w:tcPr>
          <w:p w14:paraId="787FD8DD" w14:textId="0E0CF97F" w:rsidR="00324B33" w:rsidRPr="00E679D1" w:rsidRDefault="00324B33" w:rsidP="00E26651">
            <w:r w:rsidRPr="00E679D1">
              <w:lastRenderedPageBreak/>
              <w:t>Number of working days from submission dossier acceptance to registration decision*</w:t>
            </w:r>
          </w:p>
        </w:tc>
        <w:tc>
          <w:tcPr>
            <w:tcW w:w="2977" w:type="dxa"/>
          </w:tcPr>
          <w:p w14:paraId="5BAF9FA1" w14:textId="0B1F7566" w:rsidR="00324B33" w:rsidRPr="00D01DDB" w:rsidRDefault="00732A28" w:rsidP="00E26651">
            <w:pPr>
              <w:cnfStyle w:val="000000000000" w:firstRow="0" w:lastRow="0" w:firstColumn="0" w:lastColumn="0" w:oddVBand="0" w:evenVBand="0" w:oddHBand="0" w:evenHBand="0" w:firstRowFirstColumn="0" w:firstRowLastColumn="0" w:lastRowFirstColumn="0" w:lastRowLastColumn="0"/>
            </w:pPr>
            <w:r>
              <w:t>151</w:t>
            </w:r>
          </w:p>
        </w:tc>
      </w:tr>
    </w:tbl>
    <w:p w14:paraId="7B02554C" w14:textId="77777777" w:rsidR="00433318" w:rsidRDefault="00433318" w:rsidP="00E26651">
      <w:pPr>
        <w:pStyle w:val="TableDescription"/>
      </w:pPr>
      <w:r>
        <w:t>*</w:t>
      </w:r>
      <w:r w:rsidRPr="00BF3774">
        <w:t xml:space="preserve">Statutory </w:t>
      </w:r>
      <w:r>
        <w:t xml:space="preserve">timeframe for standard </w:t>
      </w:r>
      <w:r w:rsidRPr="00E26651">
        <w:t>submissions</w:t>
      </w:r>
      <w:r>
        <w:t xml:space="preserve"> is 255 working days</w:t>
      </w:r>
    </w:p>
    <w:p w14:paraId="220925F1" w14:textId="28B3DA6A" w:rsidR="00C22214" w:rsidRPr="00792A32" w:rsidRDefault="00083763" w:rsidP="00E26651">
      <w:pPr>
        <w:pStyle w:val="Heading2"/>
      </w:pPr>
      <w:bookmarkStart w:id="28" w:name="_Toc196046504"/>
      <w:bookmarkStart w:id="29" w:name="_Toc247691527"/>
      <w:bookmarkStart w:id="30" w:name="_Toc314842510"/>
      <w:bookmarkStart w:id="31" w:name="_Toc103679294"/>
      <w:bookmarkStart w:id="32" w:name="_Toc225515981"/>
      <w:r>
        <w:t xml:space="preserve">Assessment </w:t>
      </w:r>
      <w:r w:rsidR="00C22214" w:rsidRPr="00E26651">
        <w:t>overview</w:t>
      </w:r>
      <w:bookmarkEnd w:id="28"/>
      <w:bookmarkEnd w:id="29"/>
      <w:bookmarkEnd w:id="30"/>
      <w:bookmarkEnd w:id="31"/>
      <w:bookmarkEnd w:id="32"/>
    </w:p>
    <w:p w14:paraId="540151FC" w14:textId="06E096BD" w:rsidR="00C22214" w:rsidRPr="00BD5DBD" w:rsidRDefault="00C22214" w:rsidP="00E26651">
      <w:bookmarkStart w:id="33" w:name="_Toc247691528"/>
      <w:bookmarkStart w:id="34" w:name="_Toc314842511"/>
      <w:r w:rsidRPr="00BD5DBD">
        <w:t>A summary of the TGA’s assessment for this submission is provided below.</w:t>
      </w:r>
    </w:p>
    <w:p w14:paraId="37F5A1C0" w14:textId="5D3D5FE0" w:rsidR="00C22214" w:rsidRDefault="00095C6A" w:rsidP="00E26651">
      <w:pPr>
        <w:pStyle w:val="Heading3"/>
      </w:pPr>
      <w:bookmarkStart w:id="35" w:name="_Toc103679295"/>
      <w:bookmarkStart w:id="36" w:name="_Toc225515982"/>
      <w:r>
        <w:t>Q</w:t>
      </w:r>
      <w:r w:rsidR="00C22214">
        <w:t>uality</w:t>
      </w:r>
      <w:bookmarkEnd w:id="33"/>
      <w:bookmarkEnd w:id="34"/>
      <w:bookmarkEnd w:id="35"/>
      <w:r w:rsidR="007E6443">
        <w:t xml:space="preserve"> evaluation</w:t>
      </w:r>
      <w:r>
        <w:t xml:space="preserve"> </w:t>
      </w:r>
      <w:r w:rsidRPr="00E26651">
        <w:t>summary</w:t>
      </w:r>
      <w:bookmarkEnd w:id="36"/>
    </w:p>
    <w:p w14:paraId="087166C7" w14:textId="77777777" w:rsidR="00FB7FED" w:rsidRPr="00FB7FED" w:rsidRDefault="00FB7FED" w:rsidP="00E26651">
      <w:r w:rsidRPr="00FB7FED">
        <w:t xml:space="preserve">Abiraterone drug substance is sourced from </w:t>
      </w:r>
      <w:proofErr w:type="spellStart"/>
      <w:r w:rsidRPr="00FB7FED">
        <w:t>Aurisco</w:t>
      </w:r>
      <w:proofErr w:type="spellEnd"/>
      <w:r w:rsidRPr="00FB7FED">
        <w:t xml:space="preserve"> Pharmaceutical Co., Ltd in China and is supported by an acceptable Active Substance Master File/Drug Master File. The default Australian standard is the USP monograph. The drug substance was shown to be consistently manufactured as polymorphic Form A (the most stable crystalline form of abiraterone acetate), with acceptable control of impurities, residual solvents and particle size distribution. Minor issues were noted during assessment, but none were considered to have an impact on drug substance quality. Overall, the abiraterone acetate drug substance was considered acceptable at the time of review.</w:t>
      </w:r>
    </w:p>
    <w:p w14:paraId="01809BA4" w14:textId="515FEA4D" w:rsidR="00FB7FED" w:rsidRPr="00FB7FED" w:rsidRDefault="00FB7FED" w:rsidP="00E26651">
      <w:r w:rsidRPr="00FB7FED">
        <w:t xml:space="preserve">Prednisolone drug substance is sourced from Tianjin </w:t>
      </w:r>
      <w:proofErr w:type="spellStart"/>
      <w:r w:rsidRPr="00FB7FED">
        <w:t>Tianyao</w:t>
      </w:r>
      <w:proofErr w:type="spellEnd"/>
      <w:r w:rsidRPr="00FB7FED">
        <w:t xml:space="preserve"> Pharmaceuticals Co., Ltd and is supported by a Certificate of Suitability issued by the European Directorate for the Quality of Medicines &amp; HealthCare. The Ph. Eur. monograph applies as the default Australian standard. The overall quality of the prednisolone drug substance was considered acceptable with some minor issues identified. Consequently, revised specifications were submitted and accepted, including changes to impurity controls and updates reflecting an improved manufacturing process that mitigates nitrosamine risk. Particle size distribution limits were removed based on prednisolone’s BCS Class I classification and evidence that PSD does not impact dissolution or bioavailability.</w:t>
      </w:r>
    </w:p>
    <w:p w14:paraId="58176627" w14:textId="5CB11A1B" w:rsidR="00FB7FED" w:rsidRDefault="00FB7FED" w:rsidP="00E26651">
      <w:r w:rsidRPr="00FB7FED">
        <w:t>The abiraterone acetate 500 mg tablets are manufactured as conventional wet</w:t>
      </w:r>
      <w:r w:rsidRPr="00FB7FED">
        <w:noBreakHyphen/>
        <w:t>granulated, film</w:t>
      </w:r>
      <w:r w:rsidRPr="00FB7FED">
        <w:noBreakHyphen/>
        <w:t xml:space="preserve">coated tablets by Haupt Pharma Münster GmbH in Germany. The formulation is closely aligned with that of the </w:t>
      </w:r>
      <w:r w:rsidR="00282990">
        <w:t>Zytiga</w:t>
      </w:r>
      <w:r w:rsidRPr="00FB7FED">
        <w:t xml:space="preserve"> reference product. A pivotal fasted bioequivalence study comparing the test product to EU</w:t>
      </w:r>
      <w:r w:rsidRPr="00FB7FED">
        <w:noBreakHyphen/>
        <w:t xml:space="preserve">sourced </w:t>
      </w:r>
      <w:r w:rsidR="00282990">
        <w:t>Zytiga</w:t>
      </w:r>
      <w:r w:rsidRPr="00FB7FED">
        <w:t xml:space="preserve"> demonstrated bioequivalence, with </w:t>
      </w:r>
      <w:proofErr w:type="spellStart"/>
      <w:r w:rsidRPr="00FB7FED">
        <w:t>C</w:t>
      </w:r>
      <w:r w:rsidRPr="00FB7FED">
        <w:rPr>
          <w:vertAlign w:val="subscript"/>
        </w:rPr>
        <w:t>max</w:t>
      </w:r>
      <w:proofErr w:type="spellEnd"/>
      <w:r w:rsidRPr="00FB7FED">
        <w:t xml:space="preserve"> and AUC values falling within the accepted 80–125% range.</w:t>
      </w:r>
    </w:p>
    <w:p w14:paraId="32CDF734" w14:textId="1B3EED04" w:rsidR="00FB7FED" w:rsidRPr="00FB7FED" w:rsidRDefault="00FB7FED" w:rsidP="00E26651">
      <w:r w:rsidRPr="00FB7FED">
        <w:t xml:space="preserve">The abiraterone acetate drug product is supported by validated in house analytical methods for assay and related substances, which differ from the USP monograph methods but were shown to be robust, specific, and capable of resolving all relevant impurities. Forced degradation and mass balance data were assessed, with no further action required despite a noted mass balance discrepancy under heat stress conditions. Process validation commitments were provided, including validation for the first three batches of any new batch size. Stability data support a </w:t>
      </w:r>
      <w:proofErr w:type="gramStart"/>
      <w:r w:rsidRPr="00FB7FED">
        <w:t>36 month</w:t>
      </w:r>
      <w:proofErr w:type="gramEnd"/>
      <w:r w:rsidRPr="00FB7FED">
        <w:t xml:space="preserve"> shelf life, with no significant increase in water content observed, and water content is not included in the finished product specification, consistent with the USP monograph.</w:t>
      </w:r>
    </w:p>
    <w:p w14:paraId="2291577D" w14:textId="77777777" w:rsidR="00FB7FED" w:rsidRPr="00FB7FED" w:rsidRDefault="00FB7FED" w:rsidP="00E26651">
      <w:r w:rsidRPr="00FB7FED">
        <w:t>The prednisolone 5 mg tablets are immediate</w:t>
      </w:r>
      <w:r w:rsidRPr="00FB7FED">
        <w:noBreakHyphen/>
        <w:t>release tablets that differ in excipient composition from the Australian reference product. A biowaiver based on the Biopharmaceutics Classification System was requested and accepted, as prednisolone was demonstrated to be a BCS Class I drug substance with high solubility and high permeability, and comparative dissolution studies showed equivalent release profiles.</w:t>
      </w:r>
    </w:p>
    <w:p w14:paraId="3CD628D5" w14:textId="77777777" w:rsidR="00FB7FED" w:rsidRDefault="00FB7FED" w:rsidP="00E26651">
      <w:r w:rsidRPr="00FB7FED">
        <w:lastRenderedPageBreak/>
        <w:t xml:space="preserve">For the prednisolone 5 mg tablets, the sponsor proposed to increase the </w:t>
      </w:r>
      <w:proofErr w:type="gramStart"/>
      <w:r w:rsidRPr="00FB7FED">
        <w:t>shelf life</w:t>
      </w:r>
      <w:proofErr w:type="gramEnd"/>
      <w:r w:rsidRPr="00FB7FED">
        <w:t xml:space="preserve"> acceptance limit for “Impurity 1” from </w:t>
      </w:r>
      <w:proofErr w:type="spellStart"/>
      <w:r w:rsidRPr="00FB7FED">
        <w:t>NMT</w:t>
      </w:r>
      <w:proofErr w:type="spellEnd"/>
      <w:r w:rsidRPr="00FB7FED">
        <w:t xml:space="preserve"> 0.5% to </w:t>
      </w:r>
      <w:proofErr w:type="spellStart"/>
      <w:r w:rsidRPr="00FB7FED">
        <w:t>NMT</w:t>
      </w:r>
      <w:proofErr w:type="spellEnd"/>
      <w:r w:rsidRPr="00FB7FED">
        <w:t xml:space="preserve"> 1.0%, aligning with a pending EU variation. The sponsor subsequently supplied an EU report in which the limit for Impurity 1 at </w:t>
      </w:r>
      <w:proofErr w:type="spellStart"/>
      <w:r w:rsidRPr="00FB7FED">
        <w:t>NMT</w:t>
      </w:r>
      <w:proofErr w:type="spellEnd"/>
      <w:r w:rsidRPr="00FB7FED">
        <w:t xml:space="preserve"> 1.0% was considered acceptable and approved. Based on the TGA toxicology Section advise that a positive recommendation by the EU can be appropriate grounds to accept the higher limit (</w:t>
      </w:r>
      <w:proofErr w:type="spellStart"/>
      <w:r w:rsidRPr="00FB7FED">
        <w:t>NMT</w:t>
      </w:r>
      <w:proofErr w:type="spellEnd"/>
      <w:r w:rsidRPr="00FB7FED">
        <w:t xml:space="preserve"> 1.0%), the TGA accepted the revised limit (</w:t>
      </w:r>
      <w:proofErr w:type="spellStart"/>
      <w:r w:rsidRPr="00FB7FED">
        <w:t>NMT</w:t>
      </w:r>
      <w:proofErr w:type="spellEnd"/>
      <w:r w:rsidRPr="00FB7FED">
        <w:t xml:space="preserve"> 1.0% for Impurity 1).</w:t>
      </w:r>
    </w:p>
    <w:p w14:paraId="780CE018" w14:textId="1413725F" w:rsidR="00C84E9B" w:rsidRPr="00FB7FED" w:rsidRDefault="00C84E9B" w:rsidP="00FB7FED">
      <w:r w:rsidRPr="00C84E9B">
        <w:t xml:space="preserve">Comprehensive nitrosamine risk assessments were submitted for both drug substances and the combination product, </w:t>
      </w:r>
      <w:proofErr w:type="gramStart"/>
      <w:r w:rsidRPr="00C84E9B">
        <w:t>taking into account</w:t>
      </w:r>
      <w:proofErr w:type="gramEnd"/>
      <w:r w:rsidRPr="00C84E9B">
        <w:t xml:space="preserve"> ICH, EMA, and FDA guidance. Multiple batches were tested, with nitrosamines reported as below the limit of detection. No significant nitrosamine risk was identified.</w:t>
      </w:r>
    </w:p>
    <w:p w14:paraId="7EE945B9" w14:textId="56C013D2" w:rsidR="00FB7FED" w:rsidRPr="00FB7FED" w:rsidRDefault="00FB7FED" w:rsidP="00E26651">
      <w:r w:rsidRPr="00FB7FED">
        <w:t>The combination product consists solely of co</w:t>
      </w:r>
      <w:r w:rsidRPr="00FB7FED">
        <w:noBreakHyphen/>
        <w:t>packaging the abiraterone acetate and prednisolone tablets into PVC/</w:t>
      </w:r>
      <w:proofErr w:type="spellStart"/>
      <w:r w:rsidRPr="00FB7FED">
        <w:t>PVdC</w:t>
      </w:r>
      <w:proofErr w:type="spellEnd"/>
      <w:r w:rsidRPr="00FB7FED">
        <w:noBreakHyphen/>
        <w:t xml:space="preserve">aluminium blister packs. The packaging materials and container closure systems were considered acceptable. However, the shelf life of the combination product is limited by the component with the shortest supported shelf life. As a result, the recommended shelf life for the combination product is </w:t>
      </w:r>
      <w:r w:rsidR="004634C3">
        <w:t>24</w:t>
      </w:r>
      <w:r w:rsidRPr="00FB7FED">
        <w:t xml:space="preserve"> months when stored below </w:t>
      </w:r>
      <w:proofErr w:type="spellStart"/>
      <w:r w:rsidRPr="00FB7FED">
        <w:t>25°C</w:t>
      </w:r>
      <w:proofErr w:type="spellEnd"/>
      <w:r w:rsidRPr="00FB7FED">
        <w:t>.</w:t>
      </w:r>
    </w:p>
    <w:p w14:paraId="5624BBF2" w14:textId="7F150E27" w:rsidR="00FB7FED" w:rsidRPr="00FB7FED" w:rsidRDefault="00FB7FED" w:rsidP="00FB7FED">
      <w:r w:rsidRPr="00FB7FED">
        <w:t>Evaluations covering sterility, endotoxin, viral safety, and container safety identified no outstanding issues.</w:t>
      </w:r>
    </w:p>
    <w:p w14:paraId="5A4B28ED" w14:textId="6AA90A66" w:rsidR="00FB7FED" w:rsidRPr="00FB7FED" w:rsidRDefault="00FB7FED" w:rsidP="00E26651">
      <w:r w:rsidRPr="00FB7FED">
        <w:t xml:space="preserve">There are no objections on quality grounds to the approval of </w:t>
      </w:r>
      <w:proofErr w:type="spellStart"/>
      <w:r w:rsidR="00282990">
        <w:t>Andriga</w:t>
      </w:r>
      <w:proofErr w:type="spellEnd"/>
      <w:r w:rsidRPr="00FB7FED">
        <w:t xml:space="preserve">-5 and </w:t>
      </w:r>
      <w:proofErr w:type="spellStart"/>
      <w:r w:rsidR="00282990">
        <w:t>Andriga</w:t>
      </w:r>
      <w:proofErr w:type="spellEnd"/>
      <w:r w:rsidRPr="00FB7FED">
        <w:t>-10</w:t>
      </w:r>
      <w:r w:rsidR="00364F64">
        <w:t>.</w:t>
      </w:r>
    </w:p>
    <w:p w14:paraId="2BE90AAE" w14:textId="35796FD3" w:rsidR="00C22214" w:rsidRDefault="00C22214" w:rsidP="00E26651">
      <w:pPr>
        <w:pStyle w:val="Heading3"/>
      </w:pPr>
      <w:bookmarkStart w:id="37" w:name="_Toc314842512"/>
      <w:bookmarkStart w:id="38" w:name="_Toc103679296"/>
      <w:bookmarkStart w:id="39" w:name="_Toc225515983"/>
      <w:r>
        <w:t>Nonclinical</w:t>
      </w:r>
      <w:bookmarkEnd w:id="37"/>
      <w:bookmarkEnd w:id="38"/>
      <w:r w:rsidR="007E6443">
        <w:t xml:space="preserve"> </w:t>
      </w:r>
      <w:r w:rsidR="007E6443" w:rsidRPr="00E26651">
        <w:t>evaluation</w:t>
      </w:r>
      <w:r w:rsidR="00095C6A">
        <w:t xml:space="preserve"> summary</w:t>
      </w:r>
      <w:bookmarkEnd w:id="39"/>
    </w:p>
    <w:p w14:paraId="15C51A23" w14:textId="42FB4358" w:rsidR="008804CF" w:rsidRPr="00BD5DBD" w:rsidRDefault="008804CF" w:rsidP="00E26651">
      <w:pPr>
        <w:rPr>
          <w:b/>
          <w:bCs/>
        </w:rPr>
      </w:pPr>
      <w:bookmarkStart w:id="40" w:name="_Toc247691530"/>
      <w:bookmarkStart w:id="41" w:name="_Toc314842513"/>
      <w:bookmarkStart w:id="42" w:name="_Toc103679297"/>
      <w:r w:rsidRPr="00BD5DBD">
        <w:t>No new nonclinical data or further nonclinical evaluation were required for this submission.</w:t>
      </w:r>
      <w:r w:rsidR="008C754C" w:rsidRPr="00BD5DBD">
        <w:t xml:space="preserve"> </w:t>
      </w:r>
      <w:r w:rsidRPr="00BD5DBD">
        <w:t>The TGA considers that previously submitted and evaluated data satisfactorily address nonclinical aspects of safety/efficacy relating to this submission</w:t>
      </w:r>
      <w:r w:rsidR="00F865A7" w:rsidRPr="00BD5DBD">
        <w:t>.</w:t>
      </w:r>
      <w:r w:rsidR="00301D9A">
        <w:rPr>
          <w:rStyle w:val="FootnoteReference"/>
          <w:szCs w:val="22"/>
        </w:rPr>
        <w:footnoteReference w:id="16"/>
      </w:r>
      <w:r w:rsidR="007D705D" w:rsidRPr="005F354C">
        <w:rPr>
          <w:vertAlign w:val="superscript"/>
        </w:rPr>
        <w:t>,</w:t>
      </w:r>
      <w:r w:rsidR="007D705D">
        <w:rPr>
          <w:rStyle w:val="FootnoteReference"/>
          <w:szCs w:val="22"/>
        </w:rPr>
        <w:footnoteReference w:id="17"/>
      </w:r>
    </w:p>
    <w:p w14:paraId="35B580A5" w14:textId="40B226DC" w:rsidR="00C22214" w:rsidRDefault="00C22214" w:rsidP="00E26651">
      <w:pPr>
        <w:pStyle w:val="Heading3"/>
      </w:pPr>
      <w:bookmarkStart w:id="43" w:name="_Toc225515984"/>
      <w:r>
        <w:t>Clinical</w:t>
      </w:r>
      <w:bookmarkEnd w:id="40"/>
      <w:bookmarkEnd w:id="41"/>
      <w:bookmarkEnd w:id="42"/>
      <w:r w:rsidR="00095C6A">
        <w:t xml:space="preserve"> evaluation summary</w:t>
      </w:r>
      <w:bookmarkEnd w:id="43"/>
    </w:p>
    <w:p w14:paraId="1C396EB1" w14:textId="1D57D2E1" w:rsidR="0074565C" w:rsidRPr="0074565C" w:rsidRDefault="0074565C" w:rsidP="00E26651">
      <w:pPr>
        <w:rPr>
          <w:lang w:val="en-US"/>
        </w:rPr>
      </w:pPr>
      <w:r w:rsidRPr="0074565C">
        <w:rPr>
          <w:lang w:val="en-US"/>
        </w:rPr>
        <w:t xml:space="preserve">One clinical study report was </w:t>
      </w:r>
      <w:proofErr w:type="gramStart"/>
      <w:r w:rsidRPr="0074565C">
        <w:rPr>
          <w:lang w:val="en-US"/>
        </w:rPr>
        <w:t>submitted</w:t>
      </w:r>
      <w:r w:rsidR="0018210D">
        <w:rPr>
          <w:lang w:val="en-US"/>
        </w:rPr>
        <w:t xml:space="preserve">  (</w:t>
      </w:r>
      <w:proofErr w:type="gramEnd"/>
      <w:r w:rsidR="0018210D" w:rsidRPr="0018210D">
        <w:rPr>
          <w:lang w:val="en-US"/>
        </w:rPr>
        <w:t xml:space="preserve">Study </w:t>
      </w:r>
      <w:proofErr w:type="spellStart"/>
      <w:r w:rsidR="0018210D" w:rsidRPr="0018210D">
        <w:rPr>
          <w:lang w:val="en-US"/>
        </w:rPr>
        <w:t>051B18</w:t>
      </w:r>
      <w:proofErr w:type="spellEnd"/>
      <w:r w:rsidR="0018210D">
        <w:rPr>
          <w:lang w:val="en-US"/>
        </w:rPr>
        <w:t>)</w:t>
      </w:r>
      <w:r w:rsidRPr="0074565C">
        <w:rPr>
          <w:lang w:val="en-US"/>
        </w:rPr>
        <w:t xml:space="preserve">. The purpose of this study was to compare bioequivalence of abiraterone after single dose administration (fasting conditions) of Abiraterone acetate 500 mg film-coated tablets – test product - (Alfred E. </w:t>
      </w:r>
      <w:proofErr w:type="spellStart"/>
      <w:r w:rsidRPr="0074565C">
        <w:rPr>
          <w:lang w:val="en-US"/>
        </w:rPr>
        <w:t>Tiefenbacher</w:t>
      </w:r>
      <w:proofErr w:type="spellEnd"/>
      <w:r w:rsidRPr="0074565C">
        <w:rPr>
          <w:lang w:val="en-US"/>
        </w:rPr>
        <w:t xml:space="preserve"> (GmbH &amp; Co. KG)) with </w:t>
      </w:r>
      <w:r w:rsidR="00282990">
        <w:rPr>
          <w:lang w:val="en-US"/>
        </w:rPr>
        <w:t>Zytiga</w:t>
      </w:r>
      <w:r w:rsidRPr="0074565C">
        <w:rPr>
          <w:lang w:val="en-US"/>
        </w:rPr>
        <w:t xml:space="preserve">® 500 mg </w:t>
      </w:r>
      <w:proofErr w:type="spellStart"/>
      <w:r w:rsidRPr="0074565C">
        <w:rPr>
          <w:lang w:val="en-US"/>
        </w:rPr>
        <w:t>Filmtabletten</w:t>
      </w:r>
      <w:proofErr w:type="spellEnd"/>
      <w:r w:rsidRPr="0074565C">
        <w:rPr>
          <w:lang w:val="en-US"/>
        </w:rPr>
        <w:t xml:space="preserve"> – reference product (Janssen-Cilag International NV) in 58 healthy subjects.</w:t>
      </w:r>
    </w:p>
    <w:p w14:paraId="6E331FAF" w14:textId="77777777" w:rsidR="0074565C" w:rsidRPr="0074565C" w:rsidRDefault="0074565C" w:rsidP="0074565C">
      <w:pPr>
        <w:rPr>
          <w:lang w:val="en-US"/>
        </w:rPr>
      </w:pPr>
      <w:r w:rsidRPr="0074565C">
        <w:rPr>
          <w:lang w:val="en-US"/>
        </w:rPr>
        <w:t xml:space="preserve">The study design was single dose, </w:t>
      </w:r>
      <w:proofErr w:type="spellStart"/>
      <w:r w:rsidRPr="0074565C">
        <w:rPr>
          <w:lang w:val="en-US"/>
        </w:rPr>
        <w:t>randomised</w:t>
      </w:r>
      <w:proofErr w:type="spellEnd"/>
      <w:r w:rsidRPr="0074565C">
        <w:rPr>
          <w:lang w:val="en-US"/>
        </w:rPr>
        <w:t>, open label, two-treatment, four-period, two-sequence, crossover, replicate for test and reference product at one study site. The subjects were 58 healthy male Caucasians age 18-55 years, BMI 18.5 – 30.0 kg/</w:t>
      </w:r>
      <w:proofErr w:type="spellStart"/>
      <w:r w:rsidRPr="0074565C">
        <w:rPr>
          <w:lang w:val="en-US"/>
        </w:rPr>
        <w:t>m</w:t>
      </w:r>
      <w:r w:rsidRPr="0074565C">
        <w:rPr>
          <w:vertAlign w:val="superscript"/>
          <w:lang w:val="en-US"/>
        </w:rPr>
        <w:t>2</w:t>
      </w:r>
      <w:proofErr w:type="spellEnd"/>
      <w:r w:rsidRPr="0074565C">
        <w:rPr>
          <w:lang w:val="en-US"/>
        </w:rPr>
        <w:t>.</w:t>
      </w:r>
    </w:p>
    <w:p w14:paraId="2DE70710" w14:textId="77777777" w:rsidR="0074565C" w:rsidRPr="0074565C" w:rsidRDefault="0074565C" w:rsidP="0074565C">
      <w:pPr>
        <w:rPr>
          <w:lang w:val="en-US"/>
        </w:rPr>
      </w:pPr>
      <w:r w:rsidRPr="0074565C">
        <w:rPr>
          <w:lang w:val="en-US"/>
        </w:rPr>
        <w:t>After an overnight fasting of about 10 hours the subjects were administered 500 mg abiraterone acetate starting at 8:00 (time 0; administration time was staggered beginning at 8:00 for the first group of subjects) in sitting position on Day 1.</w:t>
      </w:r>
    </w:p>
    <w:p w14:paraId="6187CEAF" w14:textId="05A6C363" w:rsidR="0074565C" w:rsidRPr="0074565C" w:rsidRDefault="0074565C" w:rsidP="0074565C">
      <w:pPr>
        <w:rPr>
          <w:lang w:val="en-US"/>
        </w:rPr>
      </w:pPr>
      <w:r w:rsidRPr="0074565C">
        <w:rPr>
          <w:lang w:val="en-US"/>
        </w:rPr>
        <w:t xml:space="preserve">Eighteen blood samples were drawn for pharmacokinetic analysis at the prescribed times (pre-dose (within 60 min) and 0.33, 0.67, 1.00, 1.33, 1.67, 2.00, 2.33, </w:t>
      </w:r>
      <w:proofErr w:type="gramStart"/>
      <w:r w:rsidRPr="0074565C">
        <w:rPr>
          <w:lang w:val="en-US"/>
        </w:rPr>
        <w:t>2.67, 3.00</w:t>
      </w:r>
      <w:proofErr w:type="gramEnd"/>
      <w:r w:rsidRPr="0074565C">
        <w:rPr>
          <w:lang w:val="en-US"/>
        </w:rPr>
        <w:t>, 3.50, 4.00, 6.00, 8.00,</w:t>
      </w:r>
      <w:r w:rsidR="00B62DB5">
        <w:rPr>
          <w:lang w:val="en-US"/>
        </w:rPr>
        <w:t xml:space="preserve"> </w:t>
      </w:r>
      <w:r w:rsidRPr="0074565C">
        <w:rPr>
          <w:lang w:val="en-US"/>
        </w:rPr>
        <w:t>12.00, 24.00, 36.00 and 48.00 hours after drug administration)</w:t>
      </w:r>
      <w:r w:rsidR="00E26651">
        <w:rPr>
          <w:lang w:val="en-US"/>
        </w:rPr>
        <w:t>.</w:t>
      </w:r>
    </w:p>
    <w:p w14:paraId="3210EF43" w14:textId="77777777" w:rsidR="0074565C" w:rsidRPr="0074565C" w:rsidRDefault="0074565C" w:rsidP="00E26651">
      <w:pPr>
        <w:pStyle w:val="ListBullet"/>
        <w:rPr>
          <w:lang w:val="en-US"/>
        </w:rPr>
      </w:pPr>
      <w:r w:rsidRPr="0074565C">
        <w:rPr>
          <w:lang w:val="en-US"/>
        </w:rPr>
        <w:t xml:space="preserve">Samples per subject per </w:t>
      </w:r>
      <w:r w:rsidRPr="00E26651">
        <w:t>period</w:t>
      </w:r>
      <w:r w:rsidRPr="0074565C">
        <w:rPr>
          <w:lang w:val="en-US"/>
        </w:rPr>
        <w:t>: 18</w:t>
      </w:r>
    </w:p>
    <w:p w14:paraId="4EB7A618" w14:textId="77777777" w:rsidR="0074565C" w:rsidRPr="0074565C" w:rsidRDefault="0074565C" w:rsidP="00B62DB5">
      <w:pPr>
        <w:pStyle w:val="ListBullet"/>
        <w:rPr>
          <w:lang w:val="en-US"/>
        </w:rPr>
      </w:pPr>
      <w:r w:rsidRPr="0074565C">
        <w:rPr>
          <w:lang w:val="en-US"/>
        </w:rPr>
        <w:lastRenderedPageBreak/>
        <w:t>Samples per subject in the study: 72</w:t>
      </w:r>
    </w:p>
    <w:p w14:paraId="766BCEDE" w14:textId="77777777" w:rsidR="0074565C" w:rsidRPr="0074565C" w:rsidRDefault="0074565C" w:rsidP="00B62DB5">
      <w:pPr>
        <w:pStyle w:val="ListBullet"/>
        <w:rPr>
          <w:lang w:val="en-US"/>
        </w:rPr>
      </w:pPr>
      <w:r w:rsidRPr="0074565C">
        <w:rPr>
          <w:lang w:val="en-US"/>
        </w:rPr>
        <w:t>Total number of samples per period: 1044 (planned)</w:t>
      </w:r>
    </w:p>
    <w:p w14:paraId="20EC06EC" w14:textId="77777777" w:rsidR="0074565C" w:rsidRPr="0074565C" w:rsidRDefault="0074565C" w:rsidP="00B62DB5">
      <w:pPr>
        <w:pStyle w:val="ListBullet"/>
        <w:rPr>
          <w:lang w:val="en-US"/>
        </w:rPr>
      </w:pPr>
      <w:r w:rsidRPr="0074565C">
        <w:rPr>
          <w:lang w:val="en-US"/>
        </w:rPr>
        <w:t>Total number of samples in the study: 4176 (planned)</w:t>
      </w:r>
    </w:p>
    <w:p w14:paraId="19D25158" w14:textId="77777777" w:rsidR="0074565C" w:rsidRPr="0074565C" w:rsidRDefault="0074565C" w:rsidP="00E26651">
      <w:pPr>
        <w:pStyle w:val="ListBullet"/>
        <w:rPr>
          <w:lang w:val="en-US"/>
        </w:rPr>
      </w:pPr>
      <w:r w:rsidRPr="0074565C">
        <w:rPr>
          <w:lang w:val="en-US"/>
        </w:rPr>
        <w:t xml:space="preserve">Measured samples: 4201 (including </w:t>
      </w:r>
      <w:proofErr w:type="gramStart"/>
      <w:r w:rsidRPr="0074565C">
        <w:rPr>
          <w:lang w:val="en-US"/>
        </w:rPr>
        <w:t>drop-outs</w:t>
      </w:r>
      <w:proofErr w:type="gramEnd"/>
    </w:p>
    <w:p w14:paraId="729AF6EE" w14:textId="2C06C741" w:rsidR="0074565C" w:rsidRPr="0074565C" w:rsidRDefault="0074565C" w:rsidP="006A1C19">
      <w:pPr>
        <w:pStyle w:val="ListBullet"/>
        <w:rPr>
          <w:lang w:val="en-US"/>
        </w:rPr>
      </w:pPr>
      <w:r w:rsidRPr="0074565C">
        <w:rPr>
          <w:lang w:val="en-US"/>
        </w:rPr>
        <w:t>Primary pharmacokinetic parameters assessed</w:t>
      </w:r>
      <w:r w:rsidR="00B62DB5">
        <w:rPr>
          <w:lang w:val="en-US"/>
        </w:rPr>
        <w:t>:</w:t>
      </w:r>
      <w:r w:rsidR="006A1C19">
        <w:rPr>
          <w:lang w:val="en-US"/>
        </w:rPr>
        <w:t xml:space="preserve"> </w:t>
      </w:r>
      <w:r w:rsidRPr="0074565C">
        <w:rPr>
          <w:lang w:val="en-US"/>
        </w:rPr>
        <w:t>AUC</w:t>
      </w:r>
      <w:r w:rsidRPr="00B62DB5">
        <w:rPr>
          <w:vertAlign w:val="subscript"/>
          <w:lang w:val="en-US"/>
        </w:rPr>
        <w:t>(0-t)</w:t>
      </w:r>
      <w:r w:rsidR="000E5E68">
        <w:rPr>
          <w:lang w:val="en-US"/>
        </w:rPr>
        <w:t xml:space="preserve">, </w:t>
      </w:r>
      <w:proofErr w:type="spellStart"/>
      <w:proofErr w:type="gramStart"/>
      <w:r w:rsidRPr="0074565C">
        <w:rPr>
          <w:lang w:val="en-US"/>
        </w:rPr>
        <w:t>C</w:t>
      </w:r>
      <w:r w:rsidRPr="00B62DB5">
        <w:rPr>
          <w:vertAlign w:val="subscript"/>
          <w:lang w:val="en-US"/>
        </w:rPr>
        <w:t>max</w:t>
      </w:r>
      <w:proofErr w:type="spellEnd"/>
      <w:r w:rsidRPr="0074565C">
        <w:rPr>
          <w:lang w:val="en-US"/>
        </w:rPr>
        <w:t xml:space="preserve"> </w:t>
      </w:r>
      <w:r w:rsidR="006A1C19">
        <w:rPr>
          <w:lang w:val="en-US"/>
        </w:rPr>
        <w:t>,</w:t>
      </w:r>
      <w:proofErr w:type="gramEnd"/>
      <w:r w:rsidR="006A1C19">
        <w:rPr>
          <w:lang w:val="en-US"/>
        </w:rPr>
        <w:t xml:space="preserve"> </w:t>
      </w:r>
      <w:proofErr w:type="gramStart"/>
      <w:r w:rsidRPr="0074565C">
        <w:rPr>
          <w:lang w:val="en-US"/>
        </w:rPr>
        <w:t>AUC</w:t>
      </w:r>
      <w:r w:rsidRPr="003E63D4">
        <w:rPr>
          <w:vertAlign w:val="subscript"/>
          <w:lang w:val="en-US"/>
        </w:rPr>
        <w:t>(</w:t>
      </w:r>
      <w:proofErr w:type="gramEnd"/>
      <w:r w:rsidRPr="003E63D4">
        <w:rPr>
          <w:vertAlign w:val="subscript"/>
          <w:lang w:val="en-US"/>
        </w:rPr>
        <w:t>0-∞</w:t>
      </w:r>
      <w:proofErr w:type="gramStart"/>
      <w:r w:rsidRPr="003E63D4">
        <w:rPr>
          <w:vertAlign w:val="subscript"/>
          <w:lang w:val="en-US"/>
        </w:rPr>
        <w:t>)</w:t>
      </w:r>
      <w:r w:rsidR="006A1C19">
        <w:rPr>
          <w:vertAlign w:val="subscript"/>
          <w:lang w:val="en-US"/>
        </w:rPr>
        <w:t xml:space="preserve">,  </w:t>
      </w:r>
      <w:r w:rsidRPr="0074565C">
        <w:rPr>
          <w:lang w:val="en-US"/>
        </w:rPr>
        <w:t>AUC</w:t>
      </w:r>
      <w:proofErr w:type="gramEnd"/>
      <w:r w:rsidRPr="003E63D4">
        <w:rPr>
          <w:vertAlign w:val="subscript"/>
          <w:lang w:val="en-US"/>
        </w:rPr>
        <w:t>(t-∞)</w:t>
      </w:r>
      <w:r w:rsidR="006A1C19">
        <w:rPr>
          <w:vertAlign w:val="subscript"/>
          <w:lang w:val="en-US"/>
        </w:rPr>
        <w:t xml:space="preserve">, </w:t>
      </w:r>
      <w:proofErr w:type="spellStart"/>
      <w:r w:rsidR="003E63D4">
        <w:rPr>
          <w:lang w:val="en-US"/>
        </w:rPr>
        <w:t>T</w:t>
      </w:r>
      <w:r w:rsidRPr="003E63D4">
        <w:rPr>
          <w:vertAlign w:val="subscript"/>
          <w:lang w:val="en-US"/>
        </w:rPr>
        <w:t>max</w:t>
      </w:r>
      <w:proofErr w:type="spellEnd"/>
      <w:r w:rsidR="006A1C19">
        <w:rPr>
          <w:vertAlign w:val="subscript"/>
          <w:lang w:val="en-US"/>
        </w:rPr>
        <w:t xml:space="preserve">, </w:t>
      </w:r>
      <w:proofErr w:type="spellStart"/>
      <w:r w:rsidRPr="0074565C">
        <w:rPr>
          <w:lang w:val="en-US"/>
        </w:rPr>
        <w:t>t½</w:t>
      </w:r>
      <w:proofErr w:type="spellEnd"/>
      <w:r w:rsidR="006A1C19">
        <w:rPr>
          <w:lang w:val="en-US"/>
        </w:rPr>
        <w:t xml:space="preserve"> and </w:t>
      </w:r>
      <w:proofErr w:type="spellStart"/>
      <w:r w:rsidRPr="0074565C">
        <w:rPr>
          <w:lang w:val="en-US"/>
        </w:rPr>
        <w:t>λz</w:t>
      </w:r>
      <w:proofErr w:type="spellEnd"/>
      <w:r w:rsidR="006A1C19">
        <w:rPr>
          <w:lang w:val="en-US"/>
        </w:rPr>
        <w:t>.</w:t>
      </w:r>
    </w:p>
    <w:p w14:paraId="50F49DF1" w14:textId="483E3146" w:rsidR="0074565C" w:rsidRPr="0074565C" w:rsidRDefault="0074565C" w:rsidP="006A1C19">
      <w:pPr>
        <w:pStyle w:val="ListBullet"/>
        <w:rPr>
          <w:lang w:val="en-US"/>
        </w:rPr>
      </w:pPr>
      <w:r w:rsidRPr="0074565C">
        <w:rPr>
          <w:lang w:val="en-US"/>
        </w:rPr>
        <w:t>Safety evaluation</w:t>
      </w:r>
      <w:r w:rsidR="003E63D4">
        <w:rPr>
          <w:lang w:val="en-US"/>
        </w:rPr>
        <w:t>:</w:t>
      </w:r>
    </w:p>
    <w:p w14:paraId="535C13DF" w14:textId="77777777" w:rsidR="0074565C" w:rsidRPr="0074565C" w:rsidRDefault="0074565C" w:rsidP="006A1C19">
      <w:pPr>
        <w:pStyle w:val="ListBullet2"/>
        <w:rPr>
          <w:lang w:val="en-US"/>
        </w:rPr>
      </w:pPr>
      <w:r w:rsidRPr="0074565C">
        <w:rPr>
          <w:lang w:val="en-US"/>
        </w:rPr>
        <w:t>general medical examination</w:t>
      </w:r>
    </w:p>
    <w:p w14:paraId="0E732C61" w14:textId="77777777" w:rsidR="0074565C" w:rsidRPr="0074565C" w:rsidRDefault="0074565C" w:rsidP="00E26651">
      <w:pPr>
        <w:pStyle w:val="ListBullet2"/>
        <w:rPr>
          <w:lang w:val="en-US"/>
        </w:rPr>
      </w:pPr>
      <w:r w:rsidRPr="0074565C">
        <w:rPr>
          <w:lang w:val="en-US"/>
        </w:rPr>
        <w:t xml:space="preserve">heart rate </w:t>
      </w:r>
      <w:r w:rsidRPr="00E26651">
        <w:t>and</w:t>
      </w:r>
      <w:r w:rsidRPr="0074565C">
        <w:rPr>
          <w:lang w:val="en-US"/>
        </w:rPr>
        <w:t xml:space="preserve"> blood pressure (in sitting position; after 5 minutes rest)</w:t>
      </w:r>
    </w:p>
    <w:p w14:paraId="737A3AF6" w14:textId="77777777" w:rsidR="0074565C" w:rsidRPr="0074565C" w:rsidRDefault="0074565C" w:rsidP="006A1C19">
      <w:pPr>
        <w:pStyle w:val="ListBullet2"/>
        <w:rPr>
          <w:lang w:val="en-US"/>
        </w:rPr>
      </w:pPr>
      <w:r w:rsidRPr="0074565C">
        <w:rPr>
          <w:lang w:val="en-US"/>
        </w:rPr>
        <w:t>12-lead ECG (at baseline and at the end of the study)</w:t>
      </w:r>
    </w:p>
    <w:p w14:paraId="49A5B542" w14:textId="5A465FF9" w:rsidR="0074565C" w:rsidRPr="0074565C" w:rsidRDefault="0074565C" w:rsidP="006A1C19">
      <w:pPr>
        <w:pStyle w:val="ListBullet2"/>
        <w:rPr>
          <w:lang w:val="en-US"/>
        </w:rPr>
      </w:pPr>
      <w:r w:rsidRPr="0074565C">
        <w:rPr>
          <w:lang w:val="en-US"/>
        </w:rPr>
        <w:t>documentation of adverse events</w:t>
      </w:r>
    </w:p>
    <w:p w14:paraId="0686B19F" w14:textId="6EEE7BB9" w:rsidR="0074565C" w:rsidRDefault="0074565C" w:rsidP="00E26651">
      <w:pPr>
        <w:rPr>
          <w:lang w:val="en-US"/>
        </w:rPr>
      </w:pPr>
      <w:r w:rsidRPr="0074565C">
        <w:rPr>
          <w:lang w:val="en-US"/>
        </w:rPr>
        <w:t xml:space="preserve">The results </w:t>
      </w:r>
      <w:r w:rsidR="00B32608">
        <w:rPr>
          <w:lang w:val="en-US"/>
        </w:rPr>
        <w:t xml:space="preserve">(Table </w:t>
      </w:r>
      <w:r w:rsidR="006A1C19">
        <w:rPr>
          <w:lang w:val="en-US"/>
        </w:rPr>
        <w:t>2</w:t>
      </w:r>
      <w:r w:rsidR="00B32608">
        <w:rPr>
          <w:lang w:val="en-US"/>
        </w:rPr>
        <w:t>)</w:t>
      </w:r>
      <w:r w:rsidRPr="0074565C">
        <w:rPr>
          <w:lang w:val="en-US"/>
        </w:rPr>
        <w:t xml:space="preserve"> of the study show that for the </w:t>
      </w:r>
      <w:r w:rsidRPr="0074565C">
        <w:rPr>
          <w:iCs/>
          <w:lang w:val="en-US"/>
        </w:rPr>
        <w:t>extent</w:t>
      </w:r>
      <w:r w:rsidRPr="0074565C">
        <w:rPr>
          <w:i/>
          <w:lang w:val="en-US"/>
        </w:rPr>
        <w:t xml:space="preserve"> </w:t>
      </w:r>
      <w:r w:rsidRPr="0074565C">
        <w:rPr>
          <w:lang w:val="en-US"/>
        </w:rPr>
        <w:t xml:space="preserve">of absorption (AUC) the 90 </w:t>
      </w:r>
      <w:proofErr w:type="gramStart"/>
      <w:r w:rsidRPr="0074565C">
        <w:rPr>
          <w:lang w:val="en-US"/>
        </w:rPr>
        <w:t>%confidence</w:t>
      </w:r>
      <w:proofErr w:type="gramEnd"/>
      <w:r w:rsidRPr="0074565C">
        <w:rPr>
          <w:lang w:val="en-US"/>
        </w:rPr>
        <w:t xml:space="preserve"> intervals are within the acceptance range of 80.00 % - 125.00 %. For the </w:t>
      </w:r>
      <w:r w:rsidRPr="0074565C">
        <w:rPr>
          <w:i/>
          <w:lang w:val="en-US"/>
        </w:rPr>
        <w:t xml:space="preserve">rate </w:t>
      </w:r>
      <w:r w:rsidRPr="0074565C">
        <w:rPr>
          <w:lang w:val="en-US"/>
        </w:rPr>
        <w:t>of absorption (</w:t>
      </w:r>
      <w:proofErr w:type="spellStart"/>
      <w:r w:rsidRPr="0074565C">
        <w:rPr>
          <w:lang w:val="en-US"/>
        </w:rPr>
        <w:t>C</w:t>
      </w:r>
      <w:r w:rsidRPr="0074565C">
        <w:rPr>
          <w:vertAlign w:val="subscript"/>
          <w:lang w:val="en-US"/>
        </w:rPr>
        <w:t>max</w:t>
      </w:r>
      <w:proofErr w:type="spellEnd"/>
      <w:r w:rsidRPr="0074565C">
        <w:rPr>
          <w:lang w:val="en-US"/>
        </w:rPr>
        <w:t>) the 90 %-confidence intervals are within the acceptance range of 70.92 % -141.01 % as well as within the ‘conventional’ acceptance range of 80.00 % - 125.00 %.</w:t>
      </w:r>
    </w:p>
    <w:p w14:paraId="4A838C35" w14:textId="703DDA6A" w:rsidR="002905A2" w:rsidRPr="006A1C19" w:rsidRDefault="003F7155" w:rsidP="00E26651">
      <w:pPr>
        <w:pStyle w:val="TableTitle"/>
        <w:rPr>
          <w:lang w:eastAsia="en-AU"/>
        </w:rPr>
      </w:pPr>
      <w:r>
        <w:rPr>
          <w:lang w:eastAsia="en-AU"/>
        </w:rPr>
        <w:t xml:space="preserve">Table </w:t>
      </w:r>
      <w:r w:rsidR="006A1C19">
        <w:rPr>
          <w:lang w:eastAsia="en-AU"/>
        </w:rPr>
        <w:t>2</w:t>
      </w:r>
      <w:r>
        <w:rPr>
          <w:lang w:eastAsia="en-AU"/>
        </w:rPr>
        <w:t xml:space="preserve">. </w:t>
      </w:r>
      <w:r w:rsidR="002905A2" w:rsidRPr="00E26651">
        <w:t>Relative</w:t>
      </w:r>
      <w:r w:rsidR="002905A2" w:rsidRPr="002905A2">
        <w:rPr>
          <w:lang w:eastAsia="en-AU"/>
        </w:rPr>
        <w:t xml:space="preserve"> bioavailability and pharmacokinetic parameters</w:t>
      </w:r>
      <w:r>
        <w:rPr>
          <w:lang w:eastAsia="en-AU"/>
        </w:rPr>
        <w:t xml:space="preserve"> </w:t>
      </w:r>
      <w:r w:rsidR="002905A2" w:rsidRPr="006A1C19">
        <w:rPr>
          <w:lang w:eastAsia="en-AU"/>
        </w:rPr>
        <w:t>(Geometric mean values; N = 116)</w:t>
      </w:r>
    </w:p>
    <w:tbl>
      <w:tblPr>
        <w:tblStyle w:val="TableTGAblue2023"/>
        <w:tblW w:w="0" w:type="auto"/>
        <w:tblLook w:val="04A0" w:firstRow="1" w:lastRow="0" w:firstColumn="1" w:lastColumn="0" w:noHBand="0" w:noVBand="1"/>
      </w:tblPr>
      <w:tblGrid>
        <w:gridCol w:w="4670"/>
        <w:gridCol w:w="1025"/>
        <w:gridCol w:w="1106"/>
        <w:gridCol w:w="6"/>
      </w:tblGrid>
      <w:tr w:rsidR="002A1A72" w:rsidRPr="002905A2" w14:paraId="67ADC72D" w14:textId="77777777" w:rsidTr="00E26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0" w:type="dxa"/>
            <w:hideMark/>
          </w:tcPr>
          <w:p w14:paraId="33A6AA17" w14:textId="77777777" w:rsidR="002A1A72" w:rsidRPr="002905A2" w:rsidRDefault="002A1A72" w:rsidP="00E26651">
            <w:pPr>
              <w:rPr>
                <w:b w:val="0"/>
              </w:rPr>
            </w:pPr>
            <w:r w:rsidRPr="002905A2">
              <w:t>Parameter</w:t>
            </w:r>
          </w:p>
        </w:tc>
        <w:tc>
          <w:tcPr>
            <w:tcW w:w="1838" w:type="dxa"/>
            <w:gridSpan w:val="3"/>
            <w:hideMark/>
          </w:tcPr>
          <w:p w14:paraId="4AF30258" w14:textId="25D8C742" w:rsidR="002A1A72" w:rsidRPr="002905A2" w:rsidRDefault="002A1A72" w:rsidP="00E26651">
            <w:pPr>
              <w:cnfStyle w:val="100000000000" w:firstRow="1" w:lastRow="0" w:firstColumn="0" w:lastColumn="0" w:oddVBand="0" w:evenVBand="0" w:oddHBand="0" w:evenHBand="0" w:firstRowFirstColumn="0" w:firstRowLastColumn="0" w:lastRowFirstColumn="0" w:lastRowLastColumn="0"/>
              <w:rPr>
                <w:b w:val="0"/>
              </w:rPr>
            </w:pPr>
            <w:r w:rsidRPr="002905A2">
              <w:t xml:space="preserve">Abiraterone </w:t>
            </w:r>
          </w:p>
        </w:tc>
      </w:tr>
      <w:tr w:rsidR="00FD43F8" w:rsidRPr="002905A2" w14:paraId="229F4F4D" w14:textId="77777777" w:rsidTr="00E26651">
        <w:trPr>
          <w:gridAfter w:val="1"/>
          <w:wAfter w:w="6" w:type="dxa"/>
        </w:trPr>
        <w:tc>
          <w:tcPr>
            <w:cnfStyle w:val="001000000000" w:firstRow="0" w:lastRow="0" w:firstColumn="1" w:lastColumn="0" w:oddVBand="0" w:evenVBand="0" w:oddHBand="0" w:evenHBand="0" w:firstRowFirstColumn="0" w:firstRowLastColumn="0" w:lastRowFirstColumn="0" w:lastRowLastColumn="0"/>
            <w:tcW w:w="4670" w:type="dxa"/>
            <w:hideMark/>
          </w:tcPr>
          <w:p w14:paraId="10BF080E" w14:textId="77777777" w:rsidR="002905A2" w:rsidRPr="002905A2" w:rsidRDefault="002905A2" w:rsidP="00E26651">
            <w:r w:rsidRPr="002905A2">
              <w:t>Mean relative bioavailability (ratio) (%)</w:t>
            </w:r>
          </w:p>
        </w:tc>
        <w:tc>
          <w:tcPr>
            <w:tcW w:w="1025" w:type="dxa"/>
            <w:hideMark/>
          </w:tcPr>
          <w:p w14:paraId="0BA4BA7C" w14:textId="77777777" w:rsidR="002905A2" w:rsidRPr="002905A2" w:rsidRDefault="002905A2" w:rsidP="00E26651">
            <w:pPr>
              <w:cnfStyle w:val="000000000000" w:firstRow="0" w:lastRow="0" w:firstColumn="0" w:lastColumn="0" w:oddVBand="0" w:evenVBand="0" w:oddHBand="0" w:evenHBand="0" w:firstRowFirstColumn="0" w:firstRowLastColumn="0" w:lastRowFirstColumn="0" w:lastRowLastColumn="0"/>
            </w:pPr>
            <w:r w:rsidRPr="002905A2">
              <w:t>T/R</w:t>
            </w:r>
          </w:p>
        </w:tc>
        <w:tc>
          <w:tcPr>
            <w:tcW w:w="0" w:type="auto"/>
            <w:hideMark/>
          </w:tcPr>
          <w:p w14:paraId="4992DFC4" w14:textId="77777777" w:rsidR="002905A2" w:rsidRPr="002905A2" w:rsidRDefault="002905A2" w:rsidP="00E26651">
            <w:pPr>
              <w:cnfStyle w:val="000000000000" w:firstRow="0" w:lastRow="0" w:firstColumn="0" w:lastColumn="0" w:oddVBand="0" w:evenVBand="0" w:oddHBand="0" w:evenHBand="0" w:firstRowFirstColumn="0" w:firstRowLastColumn="0" w:lastRowFirstColumn="0" w:lastRowLastColumn="0"/>
            </w:pPr>
            <w:r w:rsidRPr="002905A2">
              <w:t>105.86</w:t>
            </w:r>
          </w:p>
        </w:tc>
      </w:tr>
      <w:tr w:rsidR="00FD43F8" w:rsidRPr="002905A2" w14:paraId="2BD4F683" w14:textId="77777777" w:rsidTr="00E26651">
        <w:trPr>
          <w:gridAfter w:val="1"/>
          <w:wAfter w:w="6" w:type="dxa"/>
        </w:trPr>
        <w:tc>
          <w:tcPr>
            <w:cnfStyle w:val="001000000000" w:firstRow="0" w:lastRow="0" w:firstColumn="1" w:lastColumn="0" w:oddVBand="0" w:evenVBand="0" w:oddHBand="0" w:evenHBand="0" w:firstRowFirstColumn="0" w:firstRowLastColumn="0" w:lastRowFirstColumn="0" w:lastRowLastColumn="0"/>
            <w:tcW w:w="4670" w:type="dxa"/>
            <w:vMerge w:val="restart"/>
            <w:hideMark/>
          </w:tcPr>
          <w:p w14:paraId="54B2026E" w14:textId="18CA27D2" w:rsidR="00FD43F8" w:rsidRPr="002905A2" w:rsidRDefault="00FD43F8" w:rsidP="00E26651">
            <w:r w:rsidRPr="002905A2">
              <w:t>AUC</w:t>
            </w:r>
            <w:r w:rsidRPr="006117CC">
              <w:rPr>
                <w:vertAlign w:val="subscript"/>
              </w:rPr>
              <w:t>(0</w:t>
            </w:r>
            <w:r w:rsidRPr="002905A2">
              <w:rPr>
                <w:vertAlign w:val="subscript"/>
              </w:rPr>
              <w:t>–t</w:t>
            </w:r>
            <w:r w:rsidRPr="006117CC">
              <w:rPr>
                <w:vertAlign w:val="subscript"/>
              </w:rPr>
              <w:t>)</w:t>
            </w:r>
            <w:r w:rsidRPr="002905A2">
              <w:t xml:space="preserve"> (ng/</w:t>
            </w:r>
            <w:proofErr w:type="spellStart"/>
            <w:r w:rsidRPr="002905A2">
              <w:t>mL·h</w:t>
            </w:r>
            <w:proofErr w:type="spellEnd"/>
            <w:r w:rsidRPr="002905A2">
              <w:t>)</w:t>
            </w:r>
          </w:p>
        </w:tc>
        <w:tc>
          <w:tcPr>
            <w:tcW w:w="1025" w:type="dxa"/>
            <w:hideMark/>
          </w:tcPr>
          <w:p w14:paraId="4C141E69"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T</w:t>
            </w:r>
          </w:p>
        </w:tc>
        <w:tc>
          <w:tcPr>
            <w:tcW w:w="0" w:type="auto"/>
            <w:hideMark/>
          </w:tcPr>
          <w:p w14:paraId="3ADF83ED"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380.388</w:t>
            </w:r>
          </w:p>
        </w:tc>
      </w:tr>
      <w:tr w:rsidR="00FD43F8" w:rsidRPr="002905A2" w14:paraId="38EE8176" w14:textId="77777777" w:rsidTr="00E26651">
        <w:trPr>
          <w:gridAfter w:val="1"/>
          <w:wAfter w:w="6" w:type="dxa"/>
        </w:trPr>
        <w:tc>
          <w:tcPr>
            <w:cnfStyle w:val="001000000000" w:firstRow="0" w:lastRow="0" w:firstColumn="1" w:lastColumn="0" w:oddVBand="0" w:evenVBand="0" w:oddHBand="0" w:evenHBand="0" w:firstRowFirstColumn="0" w:firstRowLastColumn="0" w:lastRowFirstColumn="0" w:lastRowLastColumn="0"/>
            <w:tcW w:w="4670" w:type="dxa"/>
            <w:vMerge/>
            <w:hideMark/>
          </w:tcPr>
          <w:p w14:paraId="2401CA25" w14:textId="77777777" w:rsidR="00FD43F8" w:rsidRPr="002905A2" w:rsidRDefault="00FD43F8" w:rsidP="00E26651"/>
        </w:tc>
        <w:tc>
          <w:tcPr>
            <w:tcW w:w="1025" w:type="dxa"/>
            <w:hideMark/>
          </w:tcPr>
          <w:p w14:paraId="73B4BD03"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R</w:t>
            </w:r>
          </w:p>
        </w:tc>
        <w:tc>
          <w:tcPr>
            <w:tcW w:w="0" w:type="auto"/>
            <w:hideMark/>
          </w:tcPr>
          <w:p w14:paraId="77C4188B"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358.122</w:t>
            </w:r>
          </w:p>
        </w:tc>
      </w:tr>
      <w:tr w:rsidR="00FD43F8" w:rsidRPr="002905A2" w14:paraId="6E9F50B0" w14:textId="77777777" w:rsidTr="00E26651">
        <w:trPr>
          <w:gridAfter w:val="1"/>
          <w:wAfter w:w="6" w:type="dxa"/>
        </w:trPr>
        <w:tc>
          <w:tcPr>
            <w:cnfStyle w:val="001000000000" w:firstRow="0" w:lastRow="0" w:firstColumn="1" w:lastColumn="0" w:oddVBand="0" w:evenVBand="0" w:oddHBand="0" w:evenHBand="0" w:firstRowFirstColumn="0" w:firstRowLastColumn="0" w:lastRowFirstColumn="0" w:lastRowLastColumn="0"/>
            <w:tcW w:w="4670" w:type="dxa"/>
            <w:vMerge w:val="restart"/>
            <w:hideMark/>
          </w:tcPr>
          <w:p w14:paraId="30E9542D" w14:textId="25AE0D2D" w:rsidR="00FD43F8" w:rsidRPr="002905A2" w:rsidRDefault="00FD43F8" w:rsidP="00E26651">
            <w:proofErr w:type="gramStart"/>
            <w:r w:rsidRPr="002905A2">
              <w:t>AUC</w:t>
            </w:r>
            <w:r w:rsidRPr="006117CC">
              <w:rPr>
                <w:vertAlign w:val="subscript"/>
              </w:rPr>
              <w:t>(</w:t>
            </w:r>
            <w:proofErr w:type="gramEnd"/>
            <w:r w:rsidRPr="006117CC">
              <w:rPr>
                <w:vertAlign w:val="subscript"/>
              </w:rPr>
              <w:t>0</w:t>
            </w:r>
            <w:r w:rsidRPr="002905A2">
              <w:rPr>
                <w:vertAlign w:val="subscript"/>
              </w:rPr>
              <w:t>–∞</w:t>
            </w:r>
            <w:r w:rsidRPr="006117CC">
              <w:rPr>
                <w:vertAlign w:val="subscript"/>
              </w:rPr>
              <w:t>)</w:t>
            </w:r>
            <w:r w:rsidRPr="002905A2">
              <w:t xml:space="preserve"> (ng/</w:t>
            </w:r>
            <w:proofErr w:type="spellStart"/>
            <w:r w:rsidRPr="002905A2">
              <w:t>mL·h</w:t>
            </w:r>
            <w:proofErr w:type="spellEnd"/>
            <w:r w:rsidRPr="002905A2">
              <w:t>)</w:t>
            </w:r>
          </w:p>
        </w:tc>
        <w:tc>
          <w:tcPr>
            <w:tcW w:w="1025" w:type="dxa"/>
            <w:hideMark/>
          </w:tcPr>
          <w:p w14:paraId="024F00B1"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T</w:t>
            </w:r>
          </w:p>
        </w:tc>
        <w:tc>
          <w:tcPr>
            <w:tcW w:w="0" w:type="auto"/>
            <w:hideMark/>
          </w:tcPr>
          <w:p w14:paraId="2BDA3E93"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399.305</w:t>
            </w:r>
          </w:p>
        </w:tc>
      </w:tr>
      <w:tr w:rsidR="00FD43F8" w:rsidRPr="002905A2" w14:paraId="132B5E72" w14:textId="77777777" w:rsidTr="00E26651">
        <w:trPr>
          <w:gridAfter w:val="1"/>
          <w:wAfter w:w="6" w:type="dxa"/>
        </w:trPr>
        <w:tc>
          <w:tcPr>
            <w:cnfStyle w:val="001000000000" w:firstRow="0" w:lastRow="0" w:firstColumn="1" w:lastColumn="0" w:oddVBand="0" w:evenVBand="0" w:oddHBand="0" w:evenHBand="0" w:firstRowFirstColumn="0" w:firstRowLastColumn="0" w:lastRowFirstColumn="0" w:lastRowLastColumn="0"/>
            <w:tcW w:w="4670" w:type="dxa"/>
            <w:vMerge/>
            <w:hideMark/>
          </w:tcPr>
          <w:p w14:paraId="70E7651F" w14:textId="77777777" w:rsidR="00FD43F8" w:rsidRPr="002905A2" w:rsidRDefault="00FD43F8" w:rsidP="00E26651"/>
        </w:tc>
        <w:tc>
          <w:tcPr>
            <w:tcW w:w="1025" w:type="dxa"/>
            <w:hideMark/>
          </w:tcPr>
          <w:p w14:paraId="781F59C2"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R</w:t>
            </w:r>
          </w:p>
        </w:tc>
        <w:tc>
          <w:tcPr>
            <w:tcW w:w="0" w:type="auto"/>
            <w:hideMark/>
          </w:tcPr>
          <w:p w14:paraId="65C35F49"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377.188</w:t>
            </w:r>
          </w:p>
        </w:tc>
      </w:tr>
      <w:tr w:rsidR="00FD43F8" w:rsidRPr="002905A2" w14:paraId="138E61F2" w14:textId="77777777" w:rsidTr="00E26651">
        <w:trPr>
          <w:gridAfter w:val="1"/>
          <w:wAfter w:w="6" w:type="dxa"/>
        </w:trPr>
        <w:tc>
          <w:tcPr>
            <w:cnfStyle w:val="001000000000" w:firstRow="0" w:lastRow="0" w:firstColumn="1" w:lastColumn="0" w:oddVBand="0" w:evenVBand="0" w:oddHBand="0" w:evenHBand="0" w:firstRowFirstColumn="0" w:firstRowLastColumn="0" w:lastRowFirstColumn="0" w:lastRowLastColumn="0"/>
            <w:tcW w:w="4670" w:type="dxa"/>
            <w:vMerge w:val="restart"/>
            <w:hideMark/>
          </w:tcPr>
          <w:p w14:paraId="01D2F69D" w14:textId="77777777" w:rsidR="00FD43F8" w:rsidRPr="002905A2" w:rsidRDefault="00FD43F8" w:rsidP="00E26651">
            <w:proofErr w:type="spellStart"/>
            <w:r w:rsidRPr="002905A2">
              <w:t>C</w:t>
            </w:r>
            <w:r w:rsidRPr="002905A2">
              <w:rPr>
                <w:vertAlign w:val="subscript"/>
              </w:rPr>
              <w:t>max</w:t>
            </w:r>
            <w:proofErr w:type="spellEnd"/>
            <w:r w:rsidRPr="002905A2">
              <w:t xml:space="preserve"> (ng/mL)</w:t>
            </w:r>
          </w:p>
        </w:tc>
        <w:tc>
          <w:tcPr>
            <w:tcW w:w="1025" w:type="dxa"/>
            <w:hideMark/>
          </w:tcPr>
          <w:p w14:paraId="154B852F"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T</w:t>
            </w:r>
          </w:p>
        </w:tc>
        <w:tc>
          <w:tcPr>
            <w:tcW w:w="0" w:type="auto"/>
            <w:hideMark/>
          </w:tcPr>
          <w:p w14:paraId="0D410CA2"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80.321</w:t>
            </w:r>
          </w:p>
        </w:tc>
      </w:tr>
      <w:tr w:rsidR="00FD43F8" w:rsidRPr="002905A2" w14:paraId="3426FB79" w14:textId="77777777" w:rsidTr="00E26651">
        <w:trPr>
          <w:gridAfter w:val="1"/>
          <w:wAfter w:w="6" w:type="dxa"/>
        </w:trPr>
        <w:tc>
          <w:tcPr>
            <w:cnfStyle w:val="001000000000" w:firstRow="0" w:lastRow="0" w:firstColumn="1" w:lastColumn="0" w:oddVBand="0" w:evenVBand="0" w:oddHBand="0" w:evenHBand="0" w:firstRowFirstColumn="0" w:firstRowLastColumn="0" w:lastRowFirstColumn="0" w:lastRowLastColumn="0"/>
            <w:tcW w:w="4670" w:type="dxa"/>
            <w:vMerge/>
            <w:hideMark/>
          </w:tcPr>
          <w:p w14:paraId="58503224" w14:textId="77777777" w:rsidR="00FD43F8" w:rsidRPr="002905A2" w:rsidRDefault="00FD43F8" w:rsidP="00E26651"/>
        </w:tc>
        <w:tc>
          <w:tcPr>
            <w:tcW w:w="1025" w:type="dxa"/>
            <w:hideMark/>
          </w:tcPr>
          <w:p w14:paraId="17A075E2"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R</w:t>
            </w:r>
          </w:p>
        </w:tc>
        <w:tc>
          <w:tcPr>
            <w:tcW w:w="0" w:type="auto"/>
            <w:hideMark/>
          </w:tcPr>
          <w:p w14:paraId="01D71AAC" w14:textId="77777777" w:rsidR="00FD43F8" w:rsidRPr="002905A2" w:rsidRDefault="00FD43F8" w:rsidP="00E26651">
            <w:pPr>
              <w:cnfStyle w:val="000000000000" w:firstRow="0" w:lastRow="0" w:firstColumn="0" w:lastColumn="0" w:oddVBand="0" w:evenVBand="0" w:oddHBand="0" w:evenHBand="0" w:firstRowFirstColumn="0" w:firstRowLastColumn="0" w:lastRowFirstColumn="0" w:lastRowLastColumn="0"/>
            </w:pPr>
            <w:r w:rsidRPr="002905A2">
              <w:t>78.348</w:t>
            </w:r>
          </w:p>
        </w:tc>
      </w:tr>
    </w:tbl>
    <w:p w14:paraId="10452553" w14:textId="77777777" w:rsidR="00E26651" w:rsidRDefault="002905A2" w:rsidP="00E26651">
      <w:pPr>
        <w:pStyle w:val="TableDescription"/>
        <w:rPr>
          <w:lang w:eastAsia="en-AU"/>
        </w:rPr>
      </w:pPr>
      <w:r w:rsidRPr="002905A2">
        <w:rPr>
          <w:lang w:eastAsia="en-AU"/>
        </w:rPr>
        <w:t xml:space="preserve">T: Test </w:t>
      </w:r>
      <w:r w:rsidRPr="00E26651">
        <w:t>product</w:t>
      </w:r>
    </w:p>
    <w:p w14:paraId="6D782D3B" w14:textId="385E2F30" w:rsidR="00556AC4" w:rsidRDefault="002905A2" w:rsidP="00E26651">
      <w:pPr>
        <w:pStyle w:val="TableDescription"/>
        <w:rPr>
          <w:lang w:eastAsia="en-AU"/>
        </w:rPr>
      </w:pPr>
      <w:r w:rsidRPr="002905A2">
        <w:rPr>
          <w:lang w:eastAsia="en-AU"/>
        </w:rPr>
        <w:t xml:space="preserve">R: Reference </w:t>
      </w:r>
      <w:r w:rsidRPr="00E26651">
        <w:t>product</w:t>
      </w:r>
      <w:bookmarkStart w:id="44" w:name="_Toc314842514"/>
      <w:bookmarkStart w:id="45" w:name="_Toc103679298"/>
    </w:p>
    <w:p w14:paraId="3B2EB267" w14:textId="77777777" w:rsidR="00556AC4" w:rsidRDefault="00473C83" w:rsidP="00E26651">
      <w:r w:rsidRPr="00473C83">
        <w:t>There were 21 adverse events observed in 12 subjects. These were headache (3 with test product, 9 with reference product), nausea (2 with test product), abdominal pain (1 with test product), soft defecation (1 with reference product), burning with urination (1 with test product), burning urination (1 with test product), dysuria (1 with test product), throat ache (1 with reference product) and weakness (1 with test product).</w:t>
      </w:r>
    </w:p>
    <w:p w14:paraId="4238D15C" w14:textId="77777777" w:rsidR="00556AC4" w:rsidRDefault="00473C83" w:rsidP="00E26651">
      <w:r w:rsidRPr="00473C83">
        <w:t xml:space="preserve">All observed adverse events were non-serious and </w:t>
      </w:r>
      <w:proofErr w:type="gramStart"/>
      <w:r w:rsidRPr="00473C83">
        <w:t>all of</w:t>
      </w:r>
      <w:proofErr w:type="gramEnd"/>
      <w:r w:rsidRPr="00473C83">
        <w:t xml:space="preserve"> mild or moderate intensity (11 adverse events were classified as mild, 10 adverse events were classified as moderate). All observed adverse events were considered possibly related to investigational products. Ten adverse events were observed with test product in 6 </w:t>
      </w:r>
      <w:proofErr w:type="gramStart"/>
      <w:r w:rsidRPr="00473C83">
        <w:t>subjects</w:t>
      </w:r>
      <w:proofErr w:type="gramEnd"/>
      <w:r w:rsidRPr="00473C83">
        <w:t xml:space="preserve"> and 11 adverse events were observed with reference product in 8 subjects. Four subjects needed therapy for adverse event. All subjects recovered fully.</w:t>
      </w:r>
    </w:p>
    <w:p w14:paraId="3E4A1B5F" w14:textId="02060C46" w:rsidR="00473C83" w:rsidRDefault="00473C83" w:rsidP="00E26651">
      <w:pPr>
        <w:rPr>
          <w:b/>
          <w:bCs/>
        </w:rPr>
      </w:pPr>
      <w:r w:rsidRPr="00473C83">
        <w:lastRenderedPageBreak/>
        <w:t>In summary it was concluded that, for the extent of absorption (AUC), and the rate of absorption (</w:t>
      </w:r>
      <w:proofErr w:type="spellStart"/>
      <w:r w:rsidRPr="00473C83">
        <w:t>C</w:t>
      </w:r>
      <w:r w:rsidRPr="006A1C19">
        <w:rPr>
          <w:vertAlign w:val="subscript"/>
        </w:rPr>
        <w:t>max</w:t>
      </w:r>
      <w:proofErr w:type="spellEnd"/>
      <w:r w:rsidRPr="00473C83">
        <w:t xml:space="preserve">), bioequivalence is acceptable for Abiraterone acetate 500 mg film-coated tablets – test product - (Alfred E. </w:t>
      </w:r>
      <w:proofErr w:type="spellStart"/>
      <w:r w:rsidRPr="00473C83">
        <w:t>Tiefenbacher</w:t>
      </w:r>
      <w:proofErr w:type="spellEnd"/>
      <w:r w:rsidRPr="00473C83">
        <w:t xml:space="preserve"> (GmbH &amp; Co. KG)) compared with </w:t>
      </w:r>
      <w:r w:rsidR="00282990">
        <w:t>Zytiga</w:t>
      </w:r>
      <w:r w:rsidRPr="00473C83">
        <w:t xml:space="preserve"> 500 mg </w:t>
      </w:r>
      <w:proofErr w:type="spellStart"/>
      <w:r w:rsidRPr="00473C83">
        <w:t>Filmtabletten</w:t>
      </w:r>
      <w:proofErr w:type="spellEnd"/>
      <w:r w:rsidRPr="00473C83">
        <w:t xml:space="preserve"> – reference product (Janssen-Cilag International NV).</w:t>
      </w:r>
    </w:p>
    <w:p w14:paraId="2858B006" w14:textId="018489AB" w:rsidR="00C22214" w:rsidRDefault="00C22214" w:rsidP="00E26651">
      <w:pPr>
        <w:pStyle w:val="Heading3"/>
        <w:rPr>
          <w:lang w:eastAsia="en-AU"/>
        </w:rPr>
      </w:pPr>
      <w:bookmarkStart w:id="46" w:name="_Toc225515985"/>
      <w:r>
        <w:rPr>
          <w:lang w:eastAsia="en-AU"/>
        </w:rPr>
        <w:t xml:space="preserve">Risk management </w:t>
      </w:r>
      <w:r w:rsidRPr="00E26651">
        <w:t>plan</w:t>
      </w:r>
      <w:bookmarkEnd w:id="44"/>
      <w:bookmarkEnd w:id="45"/>
      <w:bookmarkEnd w:id="46"/>
    </w:p>
    <w:p w14:paraId="3A03FCA8" w14:textId="50030F26" w:rsidR="00003C18" w:rsidRDefault="00003C18" w:rsidP="00E26651">
      <w:pPr>
        <w:rPr>
          <w:lang w:eastAsia="en-AU"/>
        </w:rPr>
      </w:pPr>
      <w:r>
        <w:rPr>
          <w:lang w:eastAsia="en-AU"/>
        </w:rPr>
        <w:t>The sponsor received notification from the TGA on 28 Sep 2023 that no RMP would be needed.</w:t>
      </w:r>
    </w:p>
    <w:p w14:paraId="400A7979" w14:textId="7D86506C" w:rsidR="00003C18" w:rsidRPr="00003C18" w:rsidRDefault="00003C18" w:rsidP="00E26651">
      <w:pPr>
        <w:rPr>
          <w:lang w:eastAsia="en-AU"/>
        </w:rPr>
      </w:pPr>
      <w:r>
        <w:rPr>
          <w:lang w:eastAsia="en-AU"/>
        </w:rPr>
        <w:t>With respect to pharmacovigilance, the Sponsor undertakes to appropriately handle reports of adverse events originating in Australia in accordance with both local and global Standard Operating Procedures (SOPs), and with the Australian Requirements and Recommendations for Pharmacovigilance Responsibilities of Sponsors of Medicines version 3.0</w:t>
      </w:r>
      <w:r w:rsidR="005D3FEC">
        <w:rPr>
          <w:lang w:eastAsia="en-AU"/>
        </w:rPr>
        <w:t>.</w:t>
      </w:r>
    </w:p>
    <w:p w14:paraId="74A4F87F" w14:textId="77777777" w:rsidR="00C22214" w:rsidRDefault="00C22214" w:rsidP="00E26651">
      <w:pPr>
        <w:pStyle w:val="Heading3"/>
      </w:pPr>
      <w:bookmarkStart w:id="47" w:name="_Toc247691531"/>
      <w:bookmarkStart w:id="48" w:name="_Toc314842515"/>
      <w:bookmarkStart w:id="49" w:name="_Toc103679299"/>
      <w:bookmarkStart w:id="50" w:name="_Toc225515986"/>
      <w:r>
        <w:t xml:space="preserve">Risk-benefit </w:t>
      </w:r>
      <w:r w:rsidRPr="00E26651">
        <w:t>analysis</w:t>
      </w:r>
      <w:bookmarkEnd w:id="47"/>
      <w:bookmarkEnd w:id="48"/>
      <w:bookmarkEnd w:id="49"/>
      <w:bookmarkEnd w:id="50"/>
    </w:p>
    <w:p w14:paraId="7B649286" w14:textId="3B71F1DE" w:rsidR="007C4E7F" w:rsidRPr="007C4E7F" w:rsidRDefault="007C4E7F" w:rsidP="00E26651">
      <w:pPr>
        <w:rPr>
          <w:lang w:val="en-US"/>
        </w:rPr>
      </w:pPr>
      <w:r w:rsidRPr="007C4E7F">
        <w:rPr>
          <w:lang w:val="en-US"/>
        </w:rPr>
        <w:t xml:space="preserve">The approved therapeutic indication for the reference abiraterone product, </w:t>
      </w:r>
      <w:r w:rsidR="00282990">
        <w:rPr>
          <w:lang w:val="en-US"/>
        </w:rPr>
        <w:t>Zytiga</w:t>
      </w:r>
      <w:r w:rsidRPr="007C4E7F">
        <w:rPr>
          <w:lang w:val="en-US"/>
        </w:rPr>
        <w:t>, requires co-administration with prednisolone</w:t>
      </w:r>
      <w:r>
        <w:rPr>
          <w:lang w:val="en-US"/>
        </w:rPr>
        <w:t xml:space="preserve"> </w:t>
      </w:r>
      <w:r w:rsidRPr="007C4E7F">
        <w:rPr>
          <w:lang w:val="en-US"/>
        </w:rPr>
        <w:t xml:space="preserve">to improve safety. The proposed doses and indications for </w:t>
      </w:r>
      <w:proofErr w:type="spellStart"/>
      <w:r w:rsidR="00282990">
        <w:rPr>
          <w:lang w:val="en-US"/>
        </w:rPr>
        <w:t>Andriga</w:t>
      </w:r>
      <w:proofErr w:type="spellEnd"/>
      <w:r w:rsidRPr="007C4E7F">
        <w:rPr>
          <w:lang w:val="en-US"/>
        </w:rPr>
        <w:t xml:space="preserve"> are identical to </w:t>
      </w:r>
      <w:r w:rsidR="00282990">
        <w:rPr>
          <w:lang w:val="en-US"/>
        </w:rPr>
        <w:t>Zytiga</w:t>
      </w:r>
      <w:r w:rsidRPr="007C4E7F">
        <w:rPr>
          <w:lang w:val="en-US"/>
        </w:rPr>
        <w:t xml:space="preserve">. Hence, </w:t>
      </w:r>
      <w:proofErr w:type="gramStart"/>
      <w:r w:rsidRPr="007C4E7F">
        <w:rPr>
          <w:lang w:val="en-US"/>
        </w:rPr>
        <w:t>the efficacy</w:t>
      </w:r>
      <w:proofErr w:type="gramEnd"/>
      <w:r w:rsidRPr="007C4E7F">
        <w:rPr>
          <w:lang w:val="en-US"/>
        </w:rPr>
        <w:t xml:space="preserve"> and safety have been established for abiraterone + prednisolone at the proposed doses and for the proposed indications in people with </w:t>
      </w:r>
      <w:proofErr w:type="spellStart"/>
      <w:r w:rsidRPr="007C4E7F">
        <w:rPr>
          <w:lang w:val="en-US"/>
        </w:rPr>
        <w:t>mHSPC</w:t>
      </w:r>
      <w:proofErr w:type="spellEnd"/>
      <w:r w:rsidRPr="007C4E7F">
        <w:rPr>
          <w:lang w:val="en-US"/>
        </w:rPr>
        <w:t xml:space="preserve"> or </w:t>
      </w:r>
      <w:proofErr w:type="spellStart"/>
      <w:r w:rsidRPr="007C4E7F">
        <w:rPr>
          <w:lang w:val="en-US"/>
        </w:rPr>
        <w:t>mCRPC</w:t>
      </w:r>
      <w:proofErr w:type="spellEnd"/>
      <w:r w:rsidRPr="007C4E7F">
        <w:rPr>
          <w:lang w:val="en-US"/>
        </w:rPr>
        <w:t>.</w:t>
      </w:r>
    </w:p>
    <w:p w14:paraId="5C562A32" w14:textId="77777777" w:rsidR="007C4E7F" w:rsidRPr="007C4E7F" w:rsidRDefault="007C4E7F" w:rsidP="00E26651">
      <w:pPr>
        <w:rPr>
          <w:lang w:val="en-US"/>
        </w:rPr>
      </w:pPr>
      <w:r w:rsidRPr="007C4E7F">
        <w:rPr>
          <w:lang w:val="en-US"/>
        </w:rPr>
        <w:t>The sponsor notes that a combination medicinal product was not possible due to the nature of the pharmaceutical ingredients, and therefore they have proposed a composite blister pack instead. The sponsor proposes that this composite pack has the potential to assist with medication adherence and convenience for patients.</w:t>
      </w:r>
    </w:p>
    <w:p w14:paraId="709DA264" w14:textId="0D459CAE" w:rsidR="007C4E7F" w:rsidRPr="007C4E7F" w:rsidRDefault="007C4E7F" w:rsidP="00E26651">
      <w:pPr>
        <w:rPr>
          <w:lang w:val="en-US"/>
        </w:rPr>
      </w:pPr>
      <w:r w:rsidRPr="007C4E7F">
        <w:rPr>
          <w:lang w:val="en-US"/>
        </w:rPr>
        <w:t>The clinical rationale for the proposed product is based on valid therapeutic principles and relevant established evidence. The rationale is aligned with the potential benefits listed in the TGA Guidance for fixed combination prescription medicines</w:t>
      </w:r>
      <w:r w:rsidR="00661BEE">
        <w:rPr>
          <w:rStyle w:val="FootnoteReference"/>
          <w:lang w:val="en-US"/>
        </w:rPr>
        <w:footnoteReference w:id="18"/>
      </w:r>
      <w:r w:rsidRPr="007C4E7F">
        <w:rPr>
          <w:lang w:val="en-US"/>
        </w:rPr>
        <w:t>, namely:</w:t>
      </w:r>
    </w:p>
    <w:p w14:paraId="6A6BDB8C" w14:textId="77777777" w:rsidR="007C4E7F" w:rsidRPr="007C4E7F" w:rsidRDefault="007C4E7F" w:rsidP="00E26651">
      <w:pPr>
        <w:pStyle w:val="ListBullet"/>
        <w:rPr>
          <w:lang w:val="en-US"/>
        </w:rPr>
      </w:pPr>
      <w:proofErr w:type="gramStart"/>
      <w:r w:rsidRPr="007C4E7F">
        <w:rPr>
          <w:lang w:val="en-US"/>
        </w:rPr>
        <w:t>the</w:t>
      </w:r>
      <w:proofErr w:type="gramEnd"/>
      <w:r w:rsidRPr="007C4E7F">
        <w:rPr>
          <w:lang w:val="en-US"/>
        </w:rPr>
        <w:t xml:space="preserve"> simplification of therapy (leading to improved medical compliance)</w:t>
      </w:r>
    </w:p>
    <w:p w14:paraId="46D28890" w14:textId="77777777" w:rsidR="007C4E7F" w:rsidRPr="007C4E7F" w:rsidRDefault="007C4E7F" w:rsidP="007E69BA">
      <w:pPr>
        <w:pStyle w:val="ListBullet"/>
        <w:rPr>
          <w:lang w:val="en-US"/>
        </w:rPr>
      </w:pPr>
      <w:r w:rsidRPr="007C4E7F">
        <w:rPr>
          <w:lang w:val="en-US"/>
        </w:rPr>
        <w:t>one active substance counteracting an adverse reaction produced by another active substance within that combination medicine.</w:t>
      </w:r>
    </w:p>
    <w:p w14:paraId="6D32A261" w14:textId="149BBFF6" w:rsidR="007C4E7F" w:rsidRPr="007C4E7F" w:rsidRDefault="00E07050" w:rsidP="007C4E7F">
      <w:pPr>
        <w:rPr>
          <w:bCs/>
          <w:lang w:val="en-US"/>
        </w:rPr>
      </w:pPr>
      <w:r w:rsidRPr="00E07050">
        <w:rPr>
          <w:bCs/>
          <w:lang w:val="en-US"/>
        </w:rPr>
        <w:t>The</w:t>
      </w:r>
      <w:r w:rsidR="007C4E7F" w:rsidRPr="007C4E7F">
        <w:rPr>
          <w:bCs/>
          <w:lang w:val="en-US"/>
        </w:rPr>
        <w:t xml:space="preserve"> efficacy and safety of abiraterone + prednisolone have already been established for:</w:t>
      </w:r>
    </w:p>
    <w:p w14:paraId="4A8C4BC3" w14:textId="05D9E967" w:rsidR="007C4E7F" w:rsidRPr="007C4E7F" w:rsidRDefault="007C4E7F" w:rsidP="00E07050">
      <w:pPr>
        <w:pStyle w:val="ListBullet"/>
        <w:rPr>
          <w:lang w:val="en-US"/>
        </w:rPr>
      </w:pPr>
      <w:r w:rsidRPr="007C4E7F">
        <w:rPr>
          <w:lang w:val="en-US"/>
        </w:rPr>
        <w:t xml:space="preserve">newly diagnosed high-risk </w:t>
      </w:r>
      <w:proofErr w:type="spellStart"/>
      <w:r w:rsidRPr="007C4E7F">
        <w:rPr>
          <w:lang w:val="en-US"/>
        </w:rPr>
        <w:t>mHSPC</w:t>
      </w:r>
      <w:proofErr w:type="spellEnd"/>
      <w:r w:rsidRPr="007C4E7F">
        <w:rPr>
          <w:lang w:val="en-US"/>
        </w:rPr>
        <w:t xml:space="preserve"> in combination with </w:t>
      </w:r>
      <w:r w:rsidR="007329EF">
        <w:rPr>
          <w:lang w:val="en-US"/>
        </w:rPr>
        <w:t>ADT</w:t>
      </w:r>
      <w:r w:rsidRPr="007C4E7F">
        <w:rPr>
          <w:lang w:val="en-US"/>
        </w:rPr>
        <w:t xml:space="preserve"> </w:t>
      </w:r>
    </w:p>
    <w:p w14:paraId="034360AB" w14:textId="324311D8" w:rsidR="007C4E7F" w:rsidRPr="007C4E7F" w:rsidRDefault="007C4E7F" w:rsidP="00E07050">
      <w:pPr>
        <w:pStyle w:val="ListBullet"/>
        <w:rPr>
          <w:lang w:val="en-US"/>
        </w:rPr>
      </w:pPr>
      <w:r w:rsidRPr="007C4E7F">
        <w:rPr>
          <w:lang w:val="en-US"/>
        </w:rPr>
        <w:t xml:space="preserve">patients with </w:t>
      </w:r>
      <w:proofErr w:type="spellStart"/>
      <w:r w:rsidRPr="007C4E7F">
        <w:rPr>
          <w:lang w:val="en-US"/>
        </w:rPr>
        <w:t>mCRPC</w:t>
      </w:r>
      <w:proofErr w:type="spellEnd"/>
      <w:r w:rsidR="00E07050" w:rsidRPr="00E07050">
        <w:rPr>
          <w:lang w:val="en-US"/>
        </w:rPr>
        <w:t xml:space="preserve"> </w:t>
      </w:r>
      <w:r w:rsidRPr="007C4E7F">
        <w:rPr>
          <w:lang w:val="en-US"/>
        </w:rPr>
        <w:t>who are asymptomatic or mildly symptomatic after failure of ADT or</w:t>
      </w:r>
    </w:p>
    <w:p w14:paraId="4AE03804" w14:textId="77777777" w:rsidR="007C4E7F" w:rsidRPr="007C4E7F" w:rsidRDefault="007C4E7F" w:rsidP="00E26651">
      <w:pPr>
        <w:pStyle w:val="ListBullet"/>
        <w:rPr>
          <w:lang w:val="en-US"/>
        </w:rPr>
      </w:pPr>
      <w:r w:rsidRPr="007C4E7F">
        <w:rPr>
          <w:lang w:val="en-US"/>
        </w:rPr>
        <w:t xml:space="preserve">patients with </w:t>
      </w:r>
      <w:proofErr w:type="spellStart"/>
      <w:r w:rsidRPr="007C4E7F">
        <w:rPr>
          <w:lang w:val="en-US"/>
        </w:rPr>
        <w:t>mCRPC</w:t>
      </w:r>
      <w:proofErr w:type="spellEnd"/>
      <w:r w:rsidRPr="007C4E7F">
        <w:rPr>
          <w:lang w:val="en-US"/>
        </w:rPr>
        <w:t xml:space="preserve"> who have received prior </w:t>
      </w:r>
      <w:r w:rsidRPr="00E26651">
        <w:t>chemotherapy</w:t>
      </w:r>
      <w:r w:rsidRPr="007C4E7F">
        <w:rPr>
          <w:lang w:val="en-US"/>
        </w:rPr>
        <w:t xml:space="preserve"> containing a taxane</w:t>
      </w:r>
    </w:p>
    <w:p w14:paraId="63E3AF74" w14:textId="2D6642CE" w:rsidR="007C4E7F" w:rsidRPr="007C4E7F" w:rsidRDefault="00E07050" w:rsidP="00E26651">
      <w:pPr>
        <w:rPr>
          <w:lang w:val="en-US"/>
        </w:rPr>
      </w:pPr>
      <w:r w:rsidRPr="00E07050">
        <w:rPr>
          <w:lang w:val="en-US"/>
        </w:rPr>
        <w:t>T</w:t>
      </w:r>
      <w:r w:rsidR="007C4E7F" w:rsidRPr="007C4E7F">
        <w:rPr>
          <w:lang w:val="en-US"/>
        </w:rPr>
        <w:t>he manufacturing and quality control, including bioavailability equivalence for the drug preparations related to this submission have been demonstrated.</w:t>
      </w:r>
      <w:r w:rsidRPr="00E07050">
        <w:rPr>
          <w:lang w:val="en-US"/>
        </w:rPr>
        <w:t xml:space="preserve"> The</w:t>
      </w:r>
      <w:r w:rsidR="007C4E7F" w:rsidRPr="007C4E7F">
        <w:rPr>
          <w:lang w:val="en-US"/>
        </w:rPr>
        <w:t xml:space="preserve"> potential benefit of combination-packaging of these agents is real with little or no apparent risk. It is possible that combined packaging may increase efficacy through improved compliance and enhance safety through reduced dosing errors.</w:t>
      </w:r>
    </w:p>
    <w:p w14:paraId="307F236C" w14:textId="7FD19BD3" w:rsidR="00C22214" w:rsidRPr="002E238E" w:rsidRDefault="0046285C" w:rsidP="00E26651">
      <w:pPr>
        <w:pStyle w:val="Heading2"/>
      </w:pPr>
      <w:bookmarkStart w:id="51" w:name="_Toc247691532"/>
      <w:bookmarkStart w:id="52" w:name="_Toc314842516"/>
      <w:bookmarkStart w:id="53" w:name="_Toc103679300"/>
      <w:bookmarkStart w:id="54" w:name="_Toc225515987"/>
      <w:r>
        <w:lastRenderedPageBreak/>
        <w:t>Assessment</w:t>
      </w:r>
      <w:r w:rsidR="00190853">
        <w:t xml:space="preserve"> </w:t>
      </w:r>
      <w:r w:rsidRPr="00E26651">
        <w:t>o</w:t>
      </w:r>
      <w:r w:rsidR="00C22214" w:rsidRPr="00E26651">
        <w:t>utcome</w:t>
      </w:r>
      <w:bookmarkEnd w:id="51"/>
      <w:bookmarkEnd w:id="52"/>
      <w:bookmarkEnd w:id="53"/>
      <w:bookmarkEnd w:id="54"/>
    </w:p>
    <w:p w14:paraId="4EF22939" w14:textId="06A1F351" w:rsidR="00C22214" w:rsidRDefault="00C22214" w:rsidP="00E26651">
      <w:r w:rsidRPr="0017005C">
        <w:t xml:space="preserve">Based on a review of quality, safety, and efficacy, the TGA </w:t>
      </w:r>
      <w:r w:rsidR="00B46DFB">
        <w:t>decided to</w:t>
      </w:r>
      <w:r w:rsidRPr="0017005C">
        <w:t xml:space="preserve"> regist</w:t>
      </w:r>
      <w:r w:rsidR="00B46DFB">
        <w:t>er</w:t>
      </w:r>
      <w:r w:rsidRPr="0017005C">
        <w:t xml:space="preserve"> </w:t>
      </w:r>
      <w:proofErr w:type="spellStart"/>
      <w:r w:rsidR="00282990">
        <w:t>Andriga</w:t>
      </w:r>
      <w:proofErr w:type="spellEnd"/>
      <w:r w:rsidR="00E07050">
        <w:t xml:space="preserve"> (</w:t>
      </w:r>
      <w:r w:rsidR="00E07050" w:rsidRPr="00E07050">
        <w:t>abiraterone and prednisolone</w:t>
      </w:r>
      <w:r w:rsidR="00E07050">
        <w:t>)</w:t>
      </w:r>
      <w:r w:rsidRPr="0017005C">
        <w:t>, for the following indications:</w:t>
      </w:r>
    </w:p>
    <w:p w14:paraId="49F93CA2" w14:textId="3839D98D" w:rsidR="003C0330" w:rsidRPr="00E26651" w:rsidRDefault="00282990" w:rsidP="00E26651">
      <w:pPr>
        <w:ind w:left="720"/>
        <w:rPr>
          <w:i/>
          <w:iCs/>
        </w:rPr>
      </w:pPr>
      <w:proofErr w:type="spellStart"/>
      <w:r w:rsidRPr="00E26651">
        <w:rPr>
          <w:i/>
          <w:iCs/>
        </w:rPr>
        <w:t>Andriga</w:t>
      </w:r>
      <w:proofErr w:type="spellEnd"/>
      <w:r w:rsidR="003C0330" w:rsidRPr="00E26651">
        <w:rPr>
          <w:i/>
          <w:iCs/>
        </w:rPr>
        <w:t>-5 is indicated for the treatment of:</w:t>
      </w:r>
    </w:p>
    <w:p w14:paraId="393CE4CA" w14:textId="3B5AD732" w:rsidR="003C0330" w:rsidRPr="00E26651" w:rsidRDefault="003C0330" w:rsidP="00E26651">
      <w:pPr>
        <w:ind w:left="720"/>
        <w:rPr>
          <w:i/>
          <w:iCs/>
        </w:rPr>
      </w:pPr>
      <w:r w:rsidRPr="00E26651">
        <w:rPr>
          <w:i/>
          <w:iCs/>
        </w:rPr>
        <w:t>newly diagnosed high-risk metastatic hormone sensitive prostate cancer (</w:t>
      </w:r>
      <w:proofErr w:type="spellStart"/>
      <w:r w:rsidRPr="00E26651">
        <w:rPr>
          <w:i/>
          <w:iCs/>
        </w:rPr>
        <w:t>mHSPC</w:t>
      </w:r>
      <w:proofErr w:type="spellEnd"/>
      <w:r w:rsidRPr="00E26651">
        <w:rPr>
          <w:i/>
          <w:iCs/>
        </w:rPr>
        <w:t>) in combination with androgen deprivation therapy (ADT).</w:t>
      </w:r>
    </w:p>
    <w:p w14:paraId="261A01C2" w14:textId="447A79C7" w:rsidR="003C0330" w:rsidRPr="00E26651" w:rsidRDefault="00282990" w:rsidP="00E26651">
      <w:pPr>
        <w:ind w:left="720"/>
        <w:rPr>
          <w:i/>
          <w:iCs/>
        </w:rPr>
      </w:pPr>
      <w:proofErr w:type="spellStart"/>
      <w:r w:rsidRPr="00E26651">
        <w:rPr>
          <w:i/>
          <w:iCs/>
        </w:rPr>
        <w:t>Andriga</w:t>
      </w:r>
      <w:proofErr w:type="spellEnd"/>
      <w:r w:rsidR="003C0330" w:rsidRPr="00E26651">
        <w:rPr>
          <w:i/>
          <w:iCs/>
        </w:rPr>
        <w:t>-10 is indicated for the treatment of:</w:t>
      </w:r>
    </w:p>
    <w:p w14:paraId="4EC232C3" w14:textId="7021F624" w:rsidR="003C0330" w:rsidRPr="00E26651" w:rsidRDefault="003C0330" w:rsidP="00E26651">
      <w:pPr>
        <w:ind w:left="720"/>
        <w:rPr>
          <w:i/>
          <w:iCs/>
        </w:rPr>
      </w:pPr>
      <w:r w:rsidRPr="00E26651">
        <w:rPr>
          <w:i/>
          <w:iCs/>
        </w:rPr>
        <w:t xml:space="preserve">-patients with metastatic advanced prostate cancer (castration resistant prostate cancer, </w:t>
      </w:r>
      <w:proofErr w:type="spellStart"/>
      <w:r w:rsidRPr="00E26651">
        <w:rPr>
          <w:i/>
          <w:iCs/>
        </w:rPr>
        <w:t>mCRPC</w:t>
      </w:r>
      <w:proofErr w:type="spellEnd"/>
      <w:r w:rsidRPr="00E26651">
        <w:rPr>
          <w:i/>
          <w:iCs/>
        </w:rPr>
        <w:t>) who are asymptomatic or mildly symptomatic after failure of androgen deprivation therapy (ADT) or</w:t>
      </w:r>
    </w:p>
    <w:p w14:paraId="2D9A3A4D" w14:textId="5BA71B48" w:rsidR="003C0330" w:rsidRPr="00E26651" w:rsidRDefault="003C0330" w:rsidP="00E26651">
      <w:pPr>
        <w:ind w:left="720"/>
        <w:rPr>
          <w:i/>
          <w:iCs/>
        </w:rPr>
      </w:pPr>
      <w:r w:rsidRPr="00E26651">
        <w:rPr>
          <w:i/>
          <w:iCs/>
        </w:rPr>
        <w:t xml:space="preserve">-patients with </w:t>
      </w:r>
      <w:proofErr w:type="spellStart"/>
      <w:r w:rsidRPr="00E26651">
        <w:rPr>
          <w:i/>
          <w:iCs/>
        </w:rPr>
        <w:t>mCRPC</w:t>
      </w:r>
      <w:proofErr w:type="spellEnd"/>
      <w:r w:rsidRPr="00E26651">
        <w:rPr>
          <w:i/>
          <w:iCs/>
        </w:rPr>
        <w:t xml:space="preserve"> who have received prior chemotherapy containing a taxane</w:t>
      </w:r>
      <w:r w:rsidR="00774B09" w:rsidRPr="00E26651">
        <w:rPr>
          <w:i/>
          <w:iCs/>
        </w:rPr>
        <w:t>.</w:t>
      </w:r>
    </w:p>
    <w:p w14:paraId="0F9C1952" w14:textId="0459BFEF" w:rsidR="00BA657C" w:rsidRPr="00BA657C" w:rsidRDefault="00BA657C" w:rsidP="00E26651">
      <w:pPr>
        <w:pStyle w:val="Heading3"/>
      </w:pPr>
      <w:bookmarkStart w:id="55" w:name="_Toc196738290"/>
      <w:bookmarkStart w:id="56" w:name="_Toc225515988"/>
      <w:r w:rsidRPr="00BA657C">
        <w:t>Product Information and Consumer Medicine Information</w:t>
      </w:r>
      <w:bookmarkEnd w:id="55"/>
      <w:bookmarkEnd w:id="56"/>
    </w:p>
    <w:p w14:paraId="5F276616" w14:textId="6667B73D" w:rsidR="004D0933" w:rsidRPr="004D0933" w:rsidRDefault="004D0933" w:rsidP="004D0933">
      <w:bookmarkStart w:id="57" w:name="_Hlk200021736"/>
      <w:r w:rsidRPr="004D0933">
        <w:t xml:space="preserve">For the most recent Product Information (PI) and Consumer Medicine Information (CMI), please refer to the TGA </w:t>
      </w:r>
      <w:hyperlink r:id="rId28" w:history="1">
        <w:r w:rsidRPr="004D0933">
          <w:rPr>
            <w:rStyle w:val="Hyperlink"/>
          </w:rPr>
          <w:t>PI/CMI search facility</w:t>
        </w:r>
        <w:r w:rsidRPr="00E26651">
          <w:t>.</w:t>
        </w:r>
      </w:hyperlink>
    </w:p>
    <w:bookmarkEnd w:id="57"/>
    <w:p w14:paraId="40740B65" w14:textId="5819D664" w:rsidR="00C22214" w:rsidRPr="008B4DA3" w:rsidRDefault="00C22214" w:rsidP="00C22214">
      <w:pPr>
        <w:autoSpaceDE w:val="0"/>
        <w:autoSpaceDN w:val="0"/>
        <w:adjustRightInd w:val="0"/>
        <w:spacing w:after="0"/>
      </w:pPr>
    </w:p>
    <w:p w14:paraId="53357BF3" w14:textId="276457B5" w:rsidR="00C22214" w:rsidRDefault="00C22214" w:rsidP="00C22214">
      <w:pPr>
        <w:rPr>
          <w:lang w:eastAsia="ja-JP"/>
        </w:rPr>
        <w:sectPr w:rsidR="00C22214" w:rsidSect="007452E8">
          <w:headerReference w:type="default" r:id="rId29"/>
          <w:footerReference w:type="default" r:id="rId30"/>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2"/>
          <w:bookmarkEnd w:id="3"/>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53CB9479" w:rsidR="00F02AEC" w:rsidRDefault="00F02AEC">
            <w:pPr>
              <w:pStyle w:val="Address"/>
              <w:jc w:val="center"/>
              <w:rPr>
                <w:sz w:val="22"/>
                <w:szCs w:val="22"/>
              </w:rPr>
            </w:pPr>
            <w:r w:rsidRPr="00215D48">
              <w:t xml:space="preserve">Email: </w:t>
            </w:r>
            <w:hyperlink r:id="rId3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1519D7A3" w:rsidR="00F02AEC" w:rsidRPr="00215D48" w:rsidRDefault="00F02AEC">
            <w:pPr>
              <w:pStyle w:val="Address"/>
              <w:jc w:val="center"/>
              <w:rPr>
                <w:rStyle w:val="Hyperlink"/>
                <w:b/>
                <w:color w:val="auto"/>
                <w:sz w:val="22"/>
              </w:rPr>
            </w:pPr>
            <w:hyperlink r:id="rId32" w:history="1">
              <w:r w:rsidRPr="00C4721A">
                <w:rPr>
                  <w:rStyle w:val="Hyperlink"/>
                  <w:b/>
                </w:rPr>
                <w:t>https://www.tga.gov.au</w:t>
              </w:r>
            </w:hyperlink>
          </w:p>
        </w:tc>
      </w:tr>
    </w:tbl>
    <w:p w14:paraId="788B80FD" w14:textId="77777777" w:rsidR="007452E8" w:rsidRDefault="007452E8"/>
    <w:sectPr w:rsidR="007452E8" w:rsidSect="007452E8">
      <w:headerReference w:type="first" r:id="rId33"/>
      <w:footerReference w:type="first" r:id="rId34"/>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9FC6F" w14:textId="77777777" w:rsidR="00974138" w:rsidRDefault="00974138" w:rsidP="00F02AEC">
      <w:pPr>
        <w:spacing w:after="0" w:line="240" w:lineRule="auto"/>
      </w:pPr>
      <w:r>
        <w:separator/>
      </w:r>
    </w:p>
  </w:endnote>
  <w:endnote w:type="continuationSeparator" w:id="0">
    <w:p w14:paraId="0922F579" w14:textId="77777777" w:rsidR="00974138" w:rsidRDefault="00974138"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2E20" w14:textId="32DF121F" w:rsidR="007E4FF8" w:rsidRDefault="007E4FF8">
    <w:pPr>
      <w:pStyle w:val="Footer"/>
    </w:pPr>
    <w:r>
      <w:rPr>
        <w:noProof/>
      </w:rPr>
      <mc:AlternateContent>
        <mc:Choice Requires="wps">
          <w:drawing>
            <wp:anchor distT="0" distB="0" distL="0" distR="0" simplePos="0" relativeHeight="251658247" behindDoc="0" locked="0" layoutInCell="1" allowOverlap="1" wp14:anchorId="32C7110B" wp14:editId="569C8F27">
              <wp:simplePos x="635" y="635"/>
              <wp:positionH relativeFrom="page">
                <wp:align>center</wp:align>
              </wp:positionH>
              <wp:positionV relativeFrom="page">
                <wp:align>bottom</wp:align>
              </wp:positionV>
              <wp:extent cx="622300" cy="391160"/>
              <wp:effectExtent l="0" t="0" r="6350" b="0"/>
              <wp:wrapNone/>
              <wp:docPr id="177436847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933EE99" w14:textId="0855600B"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7110B"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6933EE99" w14:textId="0855600B"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DAC4767" w:rsidR="007452E8" w:rsidRDefault="007E4FF8" w:rsidP="007452E8">
          <w:pPr>
            <w:pStyle w:val="Footer"/>
          </w:pPr>
          <w:r>
            <w:rPr>
              <w:noProof/>
            </w:rPr>
            <mc:AlternateContent>
              <mc:Choice Requires="wps">
                <w:drawing>
                  <wp:anchor distT="0" distB="0" distL="0" distR="0" simplePos="0" relativeHeight="251658248" behindDoc="0" locked="0" layoutInCell="1" allowOverlap="1" wp14:anchorId="553C4243" wp14:editId="46704321">
                    <wp:simplePos x="635" y="635"/>
                    <wp:positionH relativeFrom="page">
                      <wp:align>center</wp:align>
                    </wp:positionH>
                    <wp:positionV relativeFrom="page">
                      <wp:align>bottom</wp:align>
                    </wp:positionV>
                    <wp:extent cx="622300" cy="391160"/>
                    <wp:effectExtent l="0" t="0" r="6350" b="0"/>
                    <wp:wrapNone/>
                    <wp:docPr id="97301095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1E1F748" w14:textId="24D8435A"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C4243" id="_x0000_t202" coordsize="21600,21600" o:spt="202" path="m,l,21600r21600,l21600,xe">
                    <v:stroke joinstyle="miter"/>
                    <v:path gradientshapeok="t" o:connecttype="rect"/>
                  </v:shapetype>
                  <v:shape id="Text Box 8" o:spid="_x0000_s1029" type="#_x0000_t202" alt="OFFICIAL" style="position:absolute;margin-left:0;margin-top:0;width:49pt;height:30.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11E1F748" w14:textId="24D8435A"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v:textbox>
                    <w10:wrap anchorx="page" anchory="page"/>
                  </v:shape>
                </w:pict>
              </mc:Fallback>
            </mc:AlternateContent>
          </w: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77777777"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proofErr w:type="spellStart"/>
          <w:r w:rsidRPr="00257138">
            <w:t>V1.0</w:t>
          </w:r>
          <w:proofErr w:type="spellEnd"/>
          <w:r w:rsidRPr="00257138">
            <w:t xml:space="preserve">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29C" w14:textId="766C74AA" w:rsidR="007452E8" w:rsidRDefault="007E4FF8" w:rsidP="007452E8">
    <w:pPr>
      <w:pStyle w:val="Footer"/>
      <w:ind w:left="-1701"/>
    </w:pPr>
    <w:r>
      <w:rPr>
        <w:noProof/>
      </w:rPr>
      <mc:AlternateContent>
        <mc:Choice Requires="wps">
          <w:drawing>
            <wp:anchor distT="0" distB="0" distL="0" distR="0" simplePos="0" relativeHeight="251658246" behindDoc="0" locked="0" layoutInCell="1" allowOverlap="1" wp14:anchorId="39C48635" wp14:editId="0BB44853">
              <wp:simplePos x="635" y="635"/>
              <wp:positionH relativeFrom="page">
                <wp:align>center</wp:align>
              </wp:positionH>
              <wp:positionV relativeFrom="page">
                <wp:align>bottom</wp:align>
              </wp:positionV>
              <wp:extent cx="622300" cy="391160"/>
              <wp:effectExtent l="0" t="0" r="6350" b="0"/>
              <wp:wrapNone/>
              <wp:docPr id="38928185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33C04EA" w14:textId="00952F0C"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48635"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133C04EA" w14:textId="00952F0C"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v:textbox>
              <w10:wrap anchorx="page" anchory="page"/>
            </v:shape>
          </w:pict>
        </mc:Fallback>
      </mc:AlternateContent>
    </w:r>
    <w:r w:rsidR="007452E8"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8080"/>
      <w:gridCol w:w="1275"/>
    </w:tblGrid>
    <w:tr w:rsidR="007452E8" w:rsidRPr="004A3084" w14:paraId="6266BC33" w14:textId="77777777" w:rsidTr="006B1655">
      <w:trPr>
        <w:trHeight w:val="423"/>
      </w:trPr>
      <w:tc>
        <w:tcPr>
          <w:tcW w:w="8080" w:type="dxa"/>
          <w:tcBorders>
            <w:top w:val="single" w:sz="4" w:space="0" w:color="auto"/>
          </w:tcBorders>
        </w:tcPr>
        <w:p w14:paraId="3C421323" w14:textId="1FD78CBE" w:rsidR="007452E8" w:rsidRPr="00506733" w:rsidRDefault="007452E8" w:rsidP="007452E8">
          <w:pPr>
            <w:pStyle w:val="Footer"/>
          </w:pPr>
          <w:proofErr w:type="spellStart"/>
          <w:r w:rsidRPr="00506733">
            <w:t>AusPAR</w:t>
          </w:r>
          <w:proofErr w:type="spellEnd"/>
          <w:r w:rsidRPr="00506733">
            <w:t xml:space="preserve"> - </w:t>
          </w:r>
          <w:proofErr w:type="spellStart"/>
          <w:r w:rsidR="003A3859" w:rsidRPr="00506733">
            <w:t>ANDRIGA</w:t>
          </w:r>
          <w:proofErr w:type="spellEnd"/>
          <w:r w:rsidR="003A3859" w:rsidRPr="00506733">
            <w:t xml:space="preserve"> </w:t>
          </w:r>
          <w:r w:rsidRPr="00506733">
            <w:t xml:space="preserve">- </w:t>
          </w:r>
          <w:r w:rsidR="00234629" w:rsidRPr="00506733">
            <w:t>abiraterone and prednisolone</w:t>
          </w:r>
          <w:r w:rsidRPr="00506733">
            <w:t xml:space="preserve"> </w:t>
          </w:r>
          <w:r w:rsidR="008C754C" w:rsidRPr="00506733">
            <w:t>-</w:t>
          </w:r>
          <w:r w:rsidRPr="00506733">
            <w:t xml:space="preserve"> </w:t>
          </w:r>
          <w:r w:rsidR="00814FEB" w:rsidRPr="00506733">
            <w:t xml:space="preserve">Actor Pharmaceuticals Pty Ltd </w:t>
          </w:r>
          <w:r w:rsidRPr="00506733">
            <w:t xml:space="preserve">- </w:t>
          </w:r>
          <w:r w:rsidR="006B1655" w:rsidRPr="00506733">
            <w:t>PM-2024-00131-1-4</w:t>
          </w:r>
          <w:r w:rsidRPr="00506733">
            <w:br/>
            <w:t>Date of Finalisation</w:t>
          </w:r>
          <w:r w:rsidR="00506733" w:rsidRPr="00506733">
            <w:t xml:space="preserve"> 24 March 2026</w:t>
          </w:r>
        </w:p>
      </w:tc>
      <w:tc>
        <w:tcPr>
          <w:tcW w:w="1275"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506733">
                <w:t xml:space="preserve">Page </w:t>
              </w:r>
              <w:r w:rsidRPr="00506733">
                <w:fldChar w:fldCharType="begin"/>
              </w:r>
              <w:r w:rsidRPr="00506733">
                <w:instrText xml:space="preserve"> PAGE </w:instrText>
              </w:r>
              <w:r w:rsidRPr="00506733">
                <w:fldChar w:fldCharType="separate"/>
              </w:r>
              <w:r w:rsidR="006D6B44" w:rsidRPr="00506733">
                <w:rPr>
                  <w:noProof/>
                </w:rPr>
                <w:t>13</w:t>
              </w:r>
              <w:r w:rsidRPr="00506733">
                <w:rPr>
                  <w:noProof/>
                </w:rPr>
                <w:fldChar w:fldCharType="end"/>
              </w:r>
              <w:r w:rsidRPr="00506733">
                <w:t xml:space="preserve"> of </w:t>
              </w:r>
              <w:r w:rsidR="006D6B44" w:rsidRPr="00506733">
                <w:fldChar w:fldCharType="begin"/>
              </w:r>
              <w:r w:rsidR="006D6B44" w:rsidRPr="00506733">
                <w:instrText xml:space="preserve"> NUMPAGES  </w:instrText>
              </w:r>
              <w:r w:rsidR="006D6B44" w:rsidRPr="00506733">
                <w:fldChar w:fldCharType="separate"/>
              </w:r>
              <w:r w:rsidR="006D6B44" w:rsidRPr="00506733">
                <w:rPr>
                  <w:noProof/>
                </w:rPr>
                <w:t>17</w:t>
              </w:r>
              <w:r w:rsidR="006D6B44" w:rsidRPr="00506733">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F70A" w14:textId="26045BC3" w:rsidR="007452E8" w:rsidRPr="008E3C43" w:rsidRDefault="007E4FF8" w:rsidP="007452E8">
    <w:pPr>
      <w:pStyle w:val="Footer"/>
    </w:pPr>
    <w:r>
      <w:rPr>
        <w:noProof/>
      </w:rPr>
      <mc:AlternateContent>
        <mc:Choice Requires="wps">
          <w:drawing>
            <wp:anchor distT="0" distB="0" distL="0" distR="0" simplePos="0" relativeHeight="251658250" behindDoc="0" locked="0" layoutInCell="1" allowOverlap="1" wp14:anchorId="104118EA" wp14:editId="6897F4AA">
              <wp:simplePos x="635" y="635"/>
              <wp:positionH relativeFrom="page">
                <wp:align>center</wp:align>
              </wp:positionH>
              <wp:positionV relativeFrom="page">
                <wp:align>bottom</wp:align>
              </wp:positionV>
              <wp:extent cx="622300" cy="391160"/>
              <wp:effectExtent l="0" t="0" r="6350" b="0"/>
              <wp:wrapNone/>
              <wp:docPr id="90970088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24C2C46" w14:textId="6F4B6194"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118EA" id="_x0000_t202" coordsize="21600,21600" o:spt="202" path="m,l,21600r21600,l21600,xe">
              <v:stroke joinstyle="miter"/>
              <v:path gradientshapeok="t" o:connecttype="rect"/>
            </v:shapetype>
            <v:shape id="Text Box 10" o:spid="_x0000_s1031" type="#_x0000_t202" alt="OFFICIAL" style="position:absolute;margin-left:0;margin-top:0;width:49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YDgIAABwEAAAOAAAAZHJzL2Uyb0RvYy54bWysU01v2zAMvQ/YfxB0X2ynWLY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ROv4X6SEshnPj2Tq5aar0WPjwLJIJpWhJt&#10;eKJDd9BXHM4WZw3gj7/5Yz7hTlHOehJMxS0pmrPumyU+orZGA0djm4ziNv8Y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BjTo+YDgIAABwE&#10;AAAOAAAAAAAAAAAAAAAAAC4CAABkcnMvZTJvRG9jLnhtbFBLAQItABQABgAIAAAAIQCCUZTX2gAA&#10;AAMBAAAPAAAAAAAAAAAAAAAAAGgEAABkcnMvZG93bnJldi54bWxQSwUGAAAAAAQABADzAAAAbwUA&#10;AAAA&#10;" filled="f" stroked="f">
              <v:textbox style="mso-fit-shape-to-text:t" inset="0,0,0,15pt">
                <w:txbxContent>
                  <w:p w14:paraId="724C2C46" w14:textId="6F4B6194"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2FA2" w14:textId="77777777" w:rsidR="00974138" w:rsidRDefault="00974138" w:rsidP="00F02AEC">
      <w:pPr>
        <w:spacing w:after="0" w:line="240" w:lineRule="auto"/>
      </w:pPr>
      <w:r>
        <w:separator/>
      </w:r>
    </w:p>
  </w:footnote>
  <w:footnote w:type="continuationSeparator" w:id="0">
    <w:p w14:paraId="6D6410BF" w14:textId="77777777" w:rsidR="00974138" w:rsidRDefault="00974138" w:rsidP="00F02AEC">
      <w:pPr>
        <w:spacing w:after="0" w:line="240" w:lineRule="auto"/>
      </w:pPr>
      <w:r>
        <w:continuationSeparator/>
      </w:r>
    </w:p>
  </w:footnote>
  <w:footnote w:id="1">
    <w:p w14:paraId="68402A9B" w14:textId="42E6F8E0"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 xml:space="preserve">e TGA and registered </w:t>
      </w:r>
      <w:r w:rsidR="005C4B46">
        <w:rPr>
          <w:lang w:val="en-GB"/>
        </w:rPr>
        <w:t xml:space="preserve">in </w:t>
      </w:r>
      <w:r w:rsidR="00FB236E">
        <w:rPr>
          <w:lang w:val="en-GB"/>
        </w:rPr>
        <w:t>the Australian Register of Therapeutic Goods.</w:t>
      </w:r>
    </w:p>
  </w:footnote>
  <w:footnote w:id="2">
    <w:p w14:paraId="51B0F573" w14:textId="7C496EDD" w:rsidR="0018088F" w:rsidRDefault="0018088F">
      <w:pPr>
        <w:pStyle w:val="FootnoteText"/>
      </w:pPr>
      <w:r>
        <w:rPr>
          <w:rStyle w:val="FootnoteReference"/>
        </w:rPr>
        <w:footnoteRef/>
      </w:r>
      <w:r>
        <w:t xml:space="preserve"> </w:t>
      </w:r>
      <w:r w:rsidRPr="0018088F">
        <w:t xml:space="preserve">Global Burden of Disease Cancer Collaboration; Global, Regional, and National Cancer Incidence, Mortality, Years of Life Lost, Years Lived </w:t>
      </w:r>
      <w:r w:rsidRPr="0018088F">
        <w:t xml:space="preserve">With Disability, and Disability-Adjusted Life-years for 32 Cancer Groups, 1990 to 2015: A Systematic Analysis for the Global Burden of Disease Study. </w:t>
      </w:r>
      <w:r w:rsidRPr="0018088F">
        <w:rPr>
          <w:lang w:val="it-IT"/>
        </w:rPr>
        <w:t xml:space="preserve">JAMA Oncol. 2017 Apr 1;3(4):524-548. doi: 10.1001/jamaoncol.2016.5688. Erratum in: JAMA Oncol. 2017 Mar 1;3(3):418. doi: 10.1001/jamaoncol.2017.0098. </w:t>
      </w:r>
      <w:r w:rsidRPr="0018088F">
        <w:t>PMID: 27918777; PMCID: PMC6103527.</w:t>
      </w:r>
    </w:p>
  </w:footnote>
  <w:footnote w:id="3">
    <w:p w14:paraId="45275072" w14:textId="7425F931" w:rsidR="005D764C" w:rsidRPr="008B0FED" w:rsidRDefault="005D764C">
      <w:pPr>
        <w:pStyle w:val="FootnoteText"/>
      </w:pPr>
      <w:r>
        <w:rPr>
          <w:rStyle w:val="FootnoteReference"/>
        </w:rPr>
        <w:footnoteRef/>
      </w:r>
      <w:r w:rsidRPr="008B0FED">
        <w:t xml:space="preserve"> </w:t>
      </w:r>
      <w:r w:rsidRPr="00233667">
        <w:rPr>
          <w:i/>
          <w:iCs/>
        </w:rPr>
        <w:t>Cancer Australia</w:t>
      </w:r>
      <w:r w:rsidRPr="008B0FED">
        <w:t>, ‘</w:t>
      </w:r>
      <w:hyperlink r:id="rId1" w:history="1">
        <w:r w:rsidRPr="008B0FED">
          <w:rPr>
            <w:rStyle w:val="Hyperlink"/>
          </w:rPr>
          <w:t>Prostate cancer in Australia statistics</w:t>
        </w:r>
      </w:hyperlink>
      <w:r w:rsidRPr="008B0FED">
        <w:t>’</w:t>
      </w:r>
      <w:r w:rsidR="00F148FC" w:rsidRPr="008B0FED">
        <w:t xml:space="preserve"> updated 18 December 2025. </w:t>
      </w:r>
    </w:p>
  </w:footnote>
  <w:footnote w:id="4">
    <w:p w14:paraId="27250B18" w14:textId="76BC135C" w:rsidR="008B0FED" w:rsidRDefault="008B0FED">
      <w:pPr>
        <w:pStyle w:val="FootnoteText"/>
      </w:pPr>
      <w:r>
        <w:rPr>
          <w:rStyle w:val="FootnoteReference"/>
        </w:rPr>
        <w:footnoteRef/>
      </w:r>
      <w:r>
        <w:t xml:space="preserve"> </w:t>
      </w:r>
      <w:r w:rsidRPr="00233667">
        <w:rPr>
          <w:i/>
          <w:iCs/>
        </w:rPr>
        <w:t>National Cancer Control Indicators</w:t>
      </w:r>
      <w:r w:rsidR="00011218" w:rsidRPr="00233667">
        <w:rPr>
          <w:i/>
          <w:iCs/>
        </w:rPr>
        <w:t>.</w:t>
      </w:r>
      <w:r w:rsidR="00011218">
        <w:t xml:space="preserve"> </w:t>
      </w:r>
      <w:hyperlink r:id="rId2" w:history="1">
        <w:r w:rsidR="00C120F1">
          <w:rPr>
            <w:rStyle w:val="Hyperlink"/>
          </w:rPr>
          <w:t>Prostate Cancer Incidence</w:t>
        </w:r>
      </w:hyperlink>
      <w:r w:rsidR="00011218">
        <w:t xml:space="preserve">. </w:t>
      </w:r>
    </w:p>
  </w:footnote>
  <w:footnote w:id="5">
    <w:p w14:paraId="4A14B353" w14:textId="1428E4FC" w:rsidR="009B5DB8" w:rsidRDefault="009B5DB8">
      <w:pPr>
        <w:pStyle w:val="FootnoteText"/>
      </w:pPr>
      <w:r>
        <w:rPr>
          <w:rStyle w:val="FootnoteReference"/>
        </w:rPr>
        <w:footnoteRef/>
      </w:r>
      <w:r>
        <w:t xml:space="preserve"> </w:t>
      </w:r>
      <w:r w:rsidRPr="00233667">
        <w:rPr>
          <w:i/>
          <w:iCs/>
        </w:rPr>
        <w:t>National Cancer Control Indicators.</w:t>
      </w:r>
      <w:r>
        <w:t xml:space="preserve"> </w:t>
      </w:r>
      <w:hyperlink r:id="rId3" w:history="1">
        <w:r w:rsidR="003A29CF" w:rsidRPr="003A29CF">
          <w:rPr>
            <w:rStyle w:val="Hyperlink"/>
          </w:rPr>
          <w:t>Prostate Cancer Mortality</w:t>
        </w:r>
      </w:hyperlink>
      <w:r w:rsidR="003A29CF">
        <w:t xml:space="preserve">. </w:t>
      </w:r>
    </w:p>
  </w:footnote>
  <w:footnote w:id="6">
    <w:p w14:paraId="742F1211" w14:textId="5008971B" w:rsidR="00745B24" w:rsidRDefault="00745B24">
      <w:pPr>
        <w:pStyle w:val="FootnoteText"/>
      </w:pPr>
      <w:r>
        <w:rPr>
          <w:rStyle w:val="FootnoteReference"/>
        </w:rPr>
        <w:footnoteRef/>
      </w:r>
      <w:r>
        <w:t xml:space="preserve"> National Cancer Institute</w:t>
      </w:r>
      <w:r w:rsidR="009C2B8E">
        <w:t xml:space="preserve">. </w:t>
      </w:r>
      <w:r w:rsidR="00364457">
        <w:t xml:space="preserve">Surveillance, </w:t>
      </w:r>
      <w:r w:rsidR="00AC75F8">
        <w:t xml:space="preserve">Epidemiology and End Results Program (SEER) </w:t>
      </w:r>
      <w:hyperlink r:id="rId4" w:history="1">
        <w:r w:rsidR="009C2B8E" w:rsidRPr="009C2B8E">
          <w:rPr>
            <w:rStyle w:val="Hyperlink"/>
          </w:rPr>
          <w:t>Cancer Stat Facts: Prostate Cancer</w:t>
        </w:r>
      </w:hyperlink>
      <w:r w:rsidR="009C2B8E">
        <w:t xml:space="preserve">. </w:t>
      </w:r>
    </w:p>
  </w:footnote>
  <w:footnote w:id="7">
    <w:p w14:paraId="24F9808C" w14:textId="62E1AD1B" w:rsidR="00F53690" w:rsidRDefault="00F53690">
      <w:pPr>
        <w:pStyle w:val="FootnoteText"/>
      </w:pPr>
      <w:r>
        <w:rPr>
          <w:rStyle w:val="FootnoteReference"/>
        </w:rPr>
        <w:footnoteRef/>
      </w:r>
      <w:r>
        <w:t xml:space="preserve"> </w:t>
      </w:r>
      <w:r w:rsidRPr="00233667">
        <w:rPr>
          <w:i/>
          <w:iCs/>
        </w:rPr>
        <w:t>National Cancer Control Indicators</w:t>
      </w:r>
      <w:r>
        <w:t xml:space="preserve">. </w:t>
      </w:r>
      <w:hyperlink r:id="rId5" w:history="1">
        <w:r w:rsidRPr="00F53690">
          <w:rPr>
            <w:rStyle w:val="Hyperlink"/>
          </w:rPr>
          <w:t>5-year relative survival from diagnosis</w:t>
        </w:r>
      </w:hyperlink>
    </w:p>
  </w:footnote>
  <w:footnote w:id="8">
    <w:p w14:paraId="38845990" w14:textId="13605BAD" w:rsidR="00176FDE" w:rsidRPr="00AA4CAE" w:rsidRDefault="00176FDE">
      <w:pPr>
        <w:pStyle w:val="FootnoteText"/>
        <w:rPr>
          <w:u w:val="single"/>
        </w:rPr>
      </w:pPr>
      <w:r>
        <w:rPr>
          <w:rStyle w:val="FootnoteReference"/>
        </w:rPr>
        <w:footnoteRef/>
      </w:r>
      <w:r>
        <w:t xml:space="preserve"> </w:t>
      </w:r>
      <w:r w:rsidRPr="00176FDE">
        <w:t>Mary-Ellen Taplin, MD</w:t>
      </w:r>
      <w:r>
        <w:t xml:space="preserve">, </w:t>
      </w:r>
      <w:r w:rsidRPr="00176FDE">
        <w:t>Joseph A Smith, MD</w:t>
      </w:r>
      <w:r>
        <w:t xml:space="preserve">. </w:t>
      </w:r>
      <w:hyperlink r:id="rId6" w:history="1">
        <w:r w:rsidR="001136AE" w:rsidRPr="002D25C5">
          <w:rPr>
            <w:rStyle w:val="Hyperlink"/>
          </w:rPr>
          <w:t>Clinical presentation and diagnosis of prostate cancer</w:t>
        </w:r>
      </w:hyperlink>
      <w:r w:rsidR="001136AE">
        <w:t xml:space="preserve">. </w:t>
      </w:r>
      <w:r w:rsidR="001136AE" w:rsidRPr="00233667">
        <w:rPr>
          <w:i/>
          <w:iCs/>
        </w:rPr>
        <w:t>UptoDate.com</w:t>
      </w:r>
      <w:r w:rsidR="00AA4CAE">
        <w:rPr>
          <w:i/>
          <w:iCs/>
        </w:rPr>
        <w:t xml:space="preserve">. </w:t>
      </w:r>
      <w:r w:rsidR="00AA4CAE">
        <w:t>U</w:t>
      </w:r>
      <w:r w:rsidR="002D25C5">
        <w:t xml:space="preserve">pdated </w:t>
      </w:r>
      <w:r w:rsidR="002D25C5" w:rsidRPr="002D25C5">
        <w:t>Feb 11, 2026.</w:t>
      </w:r>
    </w:p>
  </w:footnote>
  <w:footnote w:id="9">
    <w:p w14:paraId="312E070E" w14:textId="75172593" w:rsidR="008044CC" w:rsidRDefault="008044CC">
      <w:pPr>
        <w:pStyle w:val="FootnoteText"/>
      </w:pPr>
      <w:r>
        <w:rPr>
          <w:rStyle w:val="FootnoteReference"/>
        </w:rPr>
        <w:footnoteRef/>
      </w:r>
      <w:r>
        <w:t xml:space="preserve"> </w:t>
      </w:r>
      <w:r w:rsidR="002841BB" w:rsidRPr="002841BB">
        <w:t>National Cancer Institute. Surveillance, Epidemiology and End Results Program (SEER)</w:t>
      </w:r>
      <w:r w:rsidR="00D1582C">
        <w:t>.</w:t>
      </w:r>
      <w:r w:rsidR="002841BB" w:rsidRPr="002841BB">
        <w:t xml:space="preserve"> </w:t>
      </w:r>
      <w:hyperlink r:id="rId7" w:anchor="resultsRegion0" w:history="1">
        <w:r w:rsidR="00717856" w:rsidRPr="00D1582C">
          <w:rPr>
            <w:rStyle w:val="Hyperlink"/>
          </w:rPr>
          <w:t>Cancer Statistics Explorer Network</w:t>
        </w:r>
      </w:hyperlink>
      <w:r w:rsidR="00717856">
        <w:t xml:space="preserve">. </w:t>
      </w:r>
    </w:p>
  </w:footnote>
  <w:footnote w:id="10">
    <w:p w14:paraId="3CAE42B6" w14:textId="464CD5E5" w:rsidR="00F7105D" w:rsidRDefault="00F7105D">
      <w:pPr>
        <w:pStyle w:val="FootnoteText"/>
      </w:pPr>
      <w:r>
        <w:rPr>
          <w:rStyle w:val="FootnoteReference"/>
        </w:rPr>
        <w:footnoteRef/>
      </w:r>
      <w:r>
        <w:t xml:space="preserve"> </w:t>
      </w:r>
      <w:r w:rsidRPr="00F7105D">
        <w:t xml:space="preserve">van Leenders </w:t>
      </w:r>
      <w:r w:rsidRPr="00F7105D">
        <w:t>GJLH, van der Kwast TH, Grignon DJ, Evans AJ, Kristiansen G, Kweldam CF, Litjens G, McKenney JK, Melamed J, Mottet N, Paner GP, Samaratunga H, Schoots IG, Simko JP, Tsuzuki T, Varma M, Warren AY, Wheeler TM, Williamson SR, Iczkowski KA; ISUP Grading Workshop Panel Members. The</w:t>
      </w:r>
      <w:r w:rsidR="004A3DFE">
        <w:t xml:space="preserve"> </w:t>
      </w:r>
      <w:r w:rsidR="004A3DFE" w:rsidRPr="004A3DFE">
        <w:t>2019 International Society of Urological Pathology (ISUP) Consensus Conference on Grading of Prostatic Carcinoma. Am J Surg Pathol. 2020 Aug;44(8</w:t>
      </w:r>
      <w:r w:rsidR="004A3DFE" w:rsidRPr="004A3DFE">
        <w:t>):e87-e99. doi: 10.1097/PAS.0000000000001497. PMID: 32459716; PMCID: PMC7382533</w:t>
      </w:r>
    </w:p>
  </w:footnote>
  <w:footnote w:id="11">
    <w:p w14:paraId="5AA27D1F" w14:textId="0C2DCC18" w:rsidR="00D91C52" w:rsidRDefault="00D91C52">
      <w:pPr>
        <w:pStyle w:val="FootnoteText"/>
      </w:pPr>
      <w:r>
        <w:rPr>
          <w:rStyle w:val="FootnoteReference"/>
        </w:rPr>
        <w:footnoteRef/>
      </w:r>
      <w:r>
        <w:t xml:space="preserve"> </w:t>
      </w:r>
      <w:r w:rsidRPr="00D91C52">
        <w:t xml:space="preserve">Berney DM, Beltran L, Fisher G, North BV, Greenberg D, Møller H, </w:t>
      </w:r>
      <w:r w:rsidRPr="00D91C52">
        <w:t>Soosay G, Scardino P, Cuzick J. Validation of a contemporary prostate cancer grading system using prostate cancer death as outcome. Br J Cancer. 2016 May 10;114(10):1078-83. doi: 10.1038/bjc.2016.86. Epub 2016 Apr 21. PMID: 27100731; PMCID: PMC4865975</w:t>
      </w:r>
    </w:p>
  </w:footnote>
  <w:footnote w:id="12">
    <w:p w14:paraId="6437C794" w14:textId="5E66285F" w:rsidR="002F13D4" w:rsidRDefault="002F13D4" w:rsidP="002F13D4">
      <w:pPr>
        <w:pStyle w:val="FootnoteText"/>
      </w:pPr>
      <w:r>
        <w:rPr>
          <w:rStyle w:val="FootnoteReference"/>
        </w:rPr>
        <w:footnoteRef/>
      </w:r>
      <w:r>
        <w:t xml:space="preserve"> Carter HB, Partin AW, Walsh PC, Trock BJ, Veltri </w:t>
      </w:r>
      <w:r>
        <w:t xml:space="preserve">RW, Nelson WG, Coffey DS, Singer EA, Epstein JI. Gleason score 6 </w:t>
      </w:r>
      <w:r>
        <w:t>adenocarcinoma: should it be labeled as cancer? J Clin Oncol. 2012 Dec 10;30(35):4294-6. doi: 10.1200/JCO.2012.44.0586. Epub 2012 Oct 1. PMID: 23032616; PMCID: PMC3515766</w:t>
      </w:r>
    </w:p>
  </w:footnote>
  <w:footnote w:id="13">
    <w:p w14:paraId="28B1BDA7" w14:textId="12130F48" w:rsidR="002F13D4" w:rsidRDefault="002F13D4">
      <w:pPr>
        <w:pStyle w:val="FootnoteText"/>
      </w:pPr>
      <w:r>
        <w:rPr>
          <w:rStyle w:val="FootnoteReference"/>
        </w:rPr>
        <w:footnoteRef/>
      </w:r>
      <w:r>
        <w:t xml:space="preserve"> </w:t>
      </w:r>
      <w:r w:rsidR="000D3844" w:rsidRPr="000D3844">
        <w:t xml:space="preserve">Ximing J Yang. </w:t>
      </w:r>
      <w:hyperlink r:id="rId8" w:history="1">
        <w:r w:rsidR="000D3844" w:rsidRPr="000D3844">
          <w:rPr>
            <w:rStyle w:val="Hyperlink"/>
          </w:rPr>
          <w:t>Interpretation of prostate biopsy</w:t>
        </w:r>
      </w:hyperlink>
      <w:r w:rsidR="000D3844" w:rsidRPr="000D3844">
        <w:t>. UptoDate.com</w:t>
      </w:r>
    </w:p>
  </w:footnote>
  <w:footnote w:id="14">
    <w:p w14:paraId="39686ECB" w14:textId="3D7A6955" w:rsidR="00DF6646" w:rsidRDefault="00DF6646">
      <w:pPr>
        <w:pStyle w:val="FootnoteText"/>
      </w:pPr>
      <w:r>
        <w:rPr>
          <w:rStyle w:val="FootnoteReference"/>
        </w:rPr>
        <w:footnoteRef/>
      </w:r>
      <w:r>
        <w:t xml:space="preserve"> </w:t>
      </w:r>
      <w:r w:rsidR="004362AB" w:rsidRPr="004362AB">
        <w:t>Huggins C, Hodges CV Studies on prostatic cancer: I. The effects of castration, of estrogen, and of androgen injection on serum phosphatases in metastatic carcinoma of the prostate. Cancer Res. 1941; 1:293</w:t>
      </w:r>
    </w:p>
  </w:footnote>
  <w:footnote w:id="15">
    <w:p w14:paraId="5EE31C05" w14:textId="7408378E" w:rsidR="002A48DD" w:rsidRDefault="002A48DD">
      <w:pPr>
        <w:pStyle w:val="FootnoteText"/>
      </w:pPr>
      <w:r>
        <w:rPr>
          <w:rStyle w:val="FootnoteReference"/>
        </w:rPr>
        <w:footnoteRef/>
      </w:r>
      <w:r>
        <w:t xml:space="preserve"> </w:t>
      </w:r>
      <w:r w:rsidR="005924AB">
        <w:t>Dawson</w:t>
      </w:r>
      <w:r w:rsidR="00436A79">
        <w:t xml:space="preserve"> NA</w:t>
      </w:r>
      <w:r w:rsidR="00A170DC">
        <w:t xml:space="preserve">, </w:t>
      </w:r>
      <w:hyperlink r:id="rId9" w:history="1">
        <w:r w:rsidR="00B61CDF" w:rsidRPr="00B61CDF">
          <w:rPr>
            <w:rStyle w:val="Hyperlink"/>
          </w:rPr>
          <w:t>Overview of systemic treatment for recurrent or metastatic castration-sensitive prostate cancer.</w:t>
        </w:r>
      </w:hyperlink>
      <w:r w:rsidR="00B61CDF">
        <w:t xml:space="preserve"> UpToDate.com</w:t>
      </w:r>
    </w:p>
  </w:footnote>
  <w:footnote w:id="16">
    <w:p w14:paraId="740C538C" w14:textId="055D46FA" w:rsidR="00301D9A" w:rsidRDefault="00301D9A">
      <w:pPr>
        <w:pStyle w:val="FootnoteText"/>
      </w:pPr>
      <w:r>
        <w:rPr>
          <w:rStyle w:val="FootnoteReference"/>
        </w:rPr>
        <w:footnoteRef/>
      </w:r>
      <w:r>
        <w:t xml:space="preserve"> </w:t>
      </w:r>
      <w:hyperlink r:id="rId10" w:history="1">
        <w:r w:rsidRPr="00B32D3F">
          <w:rPr>
            <w:rStyle w:val="Hyperlink"/>
          </w:rPr>
          <w:t>AusPAR for</w:t>
        </w:r>
        <w:r w:rsidR="00B32D3F" w:rsidRPr="00B32D3F">
          <w:rPr>
            <w:rStyle w:val="Hyperlink"/>
          </w:rPr>
          <w:t xml:space="preserve"> abiraterone</w:t>
        </w:r>
      </w:hyperlink>
    </w:p>
  </w:footnote>
  <w:footnote w:id="17">
    <w:p w14:paraId="3C5357AB" w14:textId="7B985A62" w:rsidR="007D705D" w:rsidRDefault="007D705D">
      <w:pPr>
        <w:pStyle w:val="FootnoteText"/>
      </w:pPr>
      <w:r>
        <w:rPr>
          <w:rStyle w:val="FootnoteReference"/>
        </w:rPr>
        <w:footnoteRef/>
      </w:r>
      <w:r>
        <w:t xml:space="preserve"> </w:t>
      </w:r>
      <w:hyperlink r:id="rId11" w:history="1">
        <w:r w:rsidRPr="00357D33">
          <w:rPr>
            <w:rStyle w:val="Hyperlink"/>
          </w:rPr>
          <w:t xml:space="preserve">AusPAR for </w:t>
        </w:r>
        <w:r w:rsidR="00357D33" w:rsidRPr="00357D33">
          <w:rPr>
            <w:rStyle w:val="Hyperlink"/>
          </w:rPr>
          <w:t>prednisolone</w:t>
        </w:r>
      </w:hyperlink>
    </w:p>
  </w:footnote>
  <w:footnote w:id="18">
    <w:p w14:paraId="42986A38" w14:textId="5B57F745" w:rsidR="00661BEE" w:rsidRDefault="00661BEE" w:rsidP="00D61AE8">
      <w:pPr>
        <w:pStyle w:val="FootnoteText"/>
      </w:pPr>
      <w:r>
        <w:rPr>
          <w:rStyle w:val="FootnoteReference"/>
        </w:rPr>
        <w:footnoteRef/>
      </w:r>
      <w:r>
        <w:t xml:space="preserve"> Therapeutic Goods Administration. </w:t>
      </w:r>
      <w:hyperlink r:id="rId12" w:history="1">
        <w:r w:rsidR="00D61AE8" w:rsidRPr="007E69BA">
          <w:rPr>
            <w:rStyle w:val="Hyperlink"/>
          </w:rPr>
          <w:t>Fixed combination prescription medicines</w:t>
        </w:r>
      </w:hyperlink>
      <w:r w:rsidR="00D61AE8">
        <w:t>. Last updated 26 May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FCB3" w14:textId="093B1D27" w:rsidR="007E4FF8" w:rsidRDefault="007E4FF8">
    <w:pPr>
      <w:pStyle w:val="Header"/>
    </w:pPr>
    <w:r>
      <w:rPr>
        <w:noProof/>
      </w:rPr>
      <mc:AlternateContent>
        <mc:Choice Requires="wps">
          <w:drawing>
            <wp:anchor distT="0" distB="0" distL="0" distR="0" simplePos="0" relativeHeight="251658242" behindDoc="0" locked="0" layoutInCell="1" allowOverlap="1" wp14:anchorId="3BDA164B" wp14:editId="743987F4">
              <wp:simplePos x="635" y="635"/>
              <wp:positionH relativeFrom="page">
                <wp:align>center</wp:align>
              </wp:positionH>
              <wp:positionV relativeFrom="page">
                <wp:align>top</wp:align>
              </wp:positionV>
              <wp:extent cx="622300" cy="391160"/>
              <wp:effectExtent l="0" t="0" r="6350" b="8890"/>
              <wp:wrapNone/>
              <wp:docPr id="7843316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A1E6F48" w14:textId="2CA00EAD"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DA164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A1E6F48" w14:textId="2CA00EAD"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3517" w14:textId="495EEAE9" w:rsidR="007452E8" w:rsidRPr="00CB0550" w:rsidRDefault="007E4FF8" w:rsidP="00CB0550">
    <w:pPr>
      <w:pStyle w:val="Header"/>
      <w:jc w:val="left"/>
    </w:pPr>
    <w:r>
      <w:rPr>
        <w:noProof/>
      </w:rPr>
      <mc:AlternateContent>
        <mc:Choice Requires="wps">
          <w:drawing>
            <wp:anchor distT="0" distB="0" distL="0" distR="0" simplePos="0" relativeHeight="251658243" behindDoc="0" locked="0" layoutInCell="1" allowOverlap="1" wp14:anchorId="5966BD6A" wp14:editId="01118435">
              <wp:simplePos x="635" y="635"/>
              <wp:positionH relativeFrom="page">
                <wp:align>center</wp:align>
              </wp:positionH>
              <wp:positionV relativeFrom="page">
                <wp:align>top</wp:align>
              </wp:positionV>
              <wp:extent cx="622300" cy="391160"/>
              <wp:effectExtent l="0" t="0" r="6350" b="8890"/>
              <wp:wrapNone/>
              <wp:docPr id="15778969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962137D" w14:textId="0292724A"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66BD6A"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962137D" w14:textId="0292724A" w:rsidR="007E4FF8" w:rsidRPr="007E4FF8" w:rsidRDefault="007E4FF8" w:rsidP="007E4FF8">
                    <w:pPr>
                      <w:spacing w:after="0"/>
                      <w:rPr>
                        <w:rFonts w:ascii="Aptos" w:eastAsia="Aptos" w:hAnsi="Aptos" w:cs="Aptos"/>
                        <w:noProof/>
                        <w:color w:val="FF0000"/>
                        <w:sz w:val="24"/>
                        <w:szCs w:val="24"/>
                      </w:rPr>
                    </w:pPr>
                    <w:r w:rsidRPr="007E4FF8">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1D8150A0" w:rsidR="007452E8" w:rsidRPr="002B29B2" w:rsidRDefault="00BA1D44"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38D70161">
                    <wp:extent cx="7631430" cy="5685183"/>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3860" cy="5686993"/>
                            </a:xfrm>
                            <a:prstGeom prst="rect">
                              <a:avLst/>
                            </a:prstGeom>
                            <a:noFill/>
                            <a:ln w="9525">
                              <a:noFill/>
                              <a:miter lim="800000"/>
                              <a:headEnd/>
                              <a:tailEnd/>
                            </a:ln>
                          </pic:spPr>
                        </pic:pic>
                      </a:graphicData>
                    </a:graphic>
                  </wp:inline>
                </w:drawing>
              </w:r>
            </w:sdtContent>
          </w:sdt>
        </w:p>
      </w:tc>
    </w:tr>
  </w:tbl>
  <w:p w14:paraId="6402DE55" w14:textId="38802056" w:rsidR="007452E8" w:rsidRDefault="0006693A" w:rsidP="007452E8">
    <w:pPr>
      <w:rPr>
        <w:noProof/>
      </w:rPr>
    </w:pPr>
    <w:r>
      <w:rPr>
        <w:noProof/>
      </w:rPr>
      <w:drawing>
        <wp:inline distT="0" distB="0" distL="0" distR="0" wp14:anchorId="26654E9F" wp14:editId="78E105AB">
          <wp:extent cx="3344545" cy="694055"/>
          <wp:effectExtent l="0" t="0" r="8255" b="0"/>
          <wp:docPr id="159602786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2786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7452E8" w:rsidRPr="002B29B2">
      <w:rPr>
        <w:noProof/>
        <w:lang w:val="en-GB" w:eastAsia="en-GB"/>
      </w:rPr>
      <w:drawing>
        <wp:anchor distT="0" distB="0" distL="114300" distR="114300" simplePos="0" relativeHeight="251658240" behindDoc="0" locked="0" layoutInCell="0" allowOverlap="1" wp14:anchorId="14BBEAC1" wp14:editId="5D9F0498">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632D" w14:textId="2B3F2845" w:rsidR="007452E8" w:rsidRDefault="007452E8" w:rsidP="007452E8">
    <w:pPr>
      <w:pStyle w:val="Header"/>
    </w:pPr>
    <w:r w:rsidRPr="000F5176">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477B" w14:textId="6DBE6A1F"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9A0"/>
    <w:multiLevelType w:val="hybridMultilevel"/>
    <w:tmpl w:val="FFC0034A"/>
    <w:lvl w:ilvl="0" w:tplc="9B4886C0">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F8124F86">
      <w:numFmt w:val="bullet"/>
      <w:lvlText w:val="o"/>
      <w:lvlJc w:val="left"/>
      <w:pPr>
        <w:ind w:left="1463" w:hanging="360"/>
      </w:pPr>
      <w:rPr>
        <w:rFonts w:ascii="Courier New" w:eastAsia="Courier New" w:hAnsi="Courier New" w:cs="Courier New" w:hint="default"/>
        <w:b w:val="0"/>
        <w:bCs w:val="0"/>
        <w:i w:val="0"/>
        <w:iCs w:val="0"/>
        <w:spacing w:val="0"/>
        <w:w w:val="100"/>
        <w:sz w:val="22"/>
        <w:szCs w:val="22"/>
        <w:lang w:val="en-US" w:eastAsia="en-US" w:bidi="ar-SA"/>
      </w:rPr>
    </w:lvl>
    <w:lvl w:ilvl="2" w:tplc="4E322B36">
      <w:numFmt w:val="bullet"/>
      <w:lvlText w:val="•"/>
      <w:lvlJc w:val="left"/>
      <w:pPr>
        <w:ind w:left="2305" w:hanging="360"/>
      </w:pPr>
      <w:rPr>
        <w:rFonts w:hint="default"/>
        <w:lang w:val="en-US" w:eastAsia="en-US" w:bidi="ar-SA"/>
      </w:rPr>
    </w:lvl>
    <w:lvl w:ilvl="3" w:tplc="22907176">
      <w:numFmt w:val="bullet"/>
      <w:lvlText w:val="•"/>
      <w:lvlJc w:val="left"/>
      <w:pPr>
        <w:ind w:left="3151" w:hanging="360"/>
      </w:pPr>
      <w:rPr>
        <w:rFonts w:hint="default"/>
        <w:lang w:val="en-US" w:eastAsia="en-US" w:bidi="ar-SA"/>
      </w:rPr>
    </w:lvl>
    <w:lvl w:ilvl="4" w:tplc="1DB057B2">
      <w:numFmt w:val="bullet"/>
      <w:lvlText w:val="•"/>
      <w:lvlJc w:val="left"/>
      <w:pPr>
        <w:ind w:left="3997" w:hanging="360"/>
      </w:pPr>
      <w:rPr>
        <w:rFonts w:hint="default"/>
        <w:lang w:val="en-US" w:eastAsia="en-US" w:bidi="ar-SA"/>
      </w:rPr>
    </w:lvl>
    <w:lvl w:ilvl="5" w:tplc="B10CA8EC">
      <w:numFmt w:val="bullet"/>
      <w:lvlText w:val="•"/>
      <w:lvlJc w:val="left"/>
      <w:pPr>
        <w:ind w:left="4843" w:hanging="360"/>
      </w:pPr>
      <w:rPr>
        <w:rFonts w:hint="default"/>
        <w:lang w:val="en-US" w:eastAsia="en-US" w:bidi="ar-SA"/>
      </w:rPr>
    </w:lvl>
    <w:lvl w:ilvl="6" w:tplc="E230D0C4">
      <w:numFmt w:val="bullet"/>
      <w:lvlText w:val="•"/>
      <w:lvlJc w:val="left"/>
      <w:pPr>
        <w:ind w:left="5689" w:hanging="360"/>
      </w:pPr>
      <w:rPr>
        <w:rFonts w:hint="default"/>
        <w:lang w:val="en-US" w:eastAsia="en-US" w:bidi="ar-SA"/>
      </w:rPr>
    </w:lvl>
    <w:lvl w:ilvl="7" w:tplc="AAFE74BC">
      <w:numFmt w:val="bullet"/>
      <w:lvlText w:val="•"/>
      <w:lvlJc w:val="left"/>
      <w:pPr>
        <w:ind w:left="6534" w:hanging="360"/>
      </w:pPr>
      <w:rPr>
        <w:rFonts w:hint="default"/>
        <w:lang w:val="en-US" w:eastAsia="en-US" w:bidi="ar-SA"/>
      </w:rPr>
    </w:lvl>
    <w:lvl w:ilvl="8" w:tplc="CEC4BC38">
      <w:numFmt w:val="bullet"/>
      <w:lvlText w:val="•"/>
      <w:lvlJc w:val="left"/>
      <w:pPr>
        <w:ind w:left="7380" w:hanging="360"/>
      </w:pPr>
      <w:rPr>
        <w:rFonts w:hint="default"/>
        <w:lang w:val="en-US" w:eastAsia="en-US" w:bidi="ar-SA"/>
      </w:rPr>
    </w:lvl>
  </w:abstractNum>
  <w:abstractNum w:abstractNumId="1" w15:restartNumberingAfterBreak="0">
    <w:nsid w:val="10053F11"/>
    <w:multiLevelType w:val="multilevel"/>
    <w:tmpl w:val="9B4A173E"/>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954162"/>
    <w:multiLevelType w:val="hybridMultilevel"/>
    <w:tmpl w:val="21E0E150"/>
    <w:lvl w:ilvl="0" w:tplc="66A8C192">
      <w:start w:val="1"/>
      <w:numFmt w:val="bullet"/>
      <w:lvlText w:val=""/>
      <w:lvlJc w:val="left"/>
      <w:pPr>
        <w:ind w:left="720" w:hanging="360"/>
      </w:pPr>
      <w:rPr>
        <w:rFonts w:ascii="Symbol" w:hAnsi="Symbol"/>
      </w:rPr>
    </w:lvl>
    <w:lvl w:ilvl="1" w:tplc="816C6ABA">
      <w:start w:val="1"/>
      <w:numFmt w:val="bullet"/>
      <w:lvlText w:val=""/>
      <w:lvlJc w:val="left"/>
      <w:pPr>
        <w:ind w:left="720" w:hanging="360"/>
      </w:pPr>
      <w:rPr>
        <w:rFonts w:ascii="Symbol" w:hAnsi="Symbol"/>
      </w:rPr>
    </w:lvl>
    <w:lvl w:ilvl="2" w:tplc="FA228082">
      <w:start w:val="1"/>
      <w:numFmt w:val="bullet"/>
      <w:lvlText w:val=""/>
      <w:lvlJc w:val="left"/>
      <w:pPr>
        <w:ind w:left="720" w:hanging="360"/>
      </w:pPr>
      <w:rPr>
        <w:rFonts w:ascii="Symbol" w:hAnsi="Symbol"/>
      </w:rPr>
    </w:lvl>
    <w:lvl w:ilvl="3" w:tplc="5FFA528C">
      <w:start w:val="1"/>
      <w:numFmt w:val="bullet"/>
      <w:lvlText w:val=""/>
      <w:lvlJc w:val="left"/>
      <w:pPr>
        <w:ind w:left="720" w:hanging="360"/>
      </w:pPr>
      <w:rPr>
        <w:rFonts w:ascii="Symbol" w:hAnsi="Symbol"/>
      </w:rPr>
    </w:lvl>
    <w:lvl w:ilvl="4" w:tplc="1ADE0C1E">
      <w:start w:val="1"/>
      <w:numFmt w:val="bullet"/>
      <w:lvlText w:val=""/>
      <w:lvlJc w:val="left"/>
      <w:pPr>
        <w:ind w:left="720" w:hanging="360"/>
      </w:pPr>
      <w:rPr>
        <w:rFonts w:ascii="Symbol" w:hAnsi="Symbol"/>
      </w:rPr>
    </w:lvl>
    <w:lvl w:ilvl="5" w:tplc="1FC2A16A">
      <w:start w:val="1"/>
      <w:numFmt w:val="bullet"/>
      <w:lvlText w:val=""/>
      <w:lvlJc w:val="left"/>
      <w:pPr>
        <w:ind w:left="720" w:hanging="360"/>
      </w:pPr>
      <w:rPr>
        <w:rFonts w:ascii="Symbol" w:hAnsi="Symbol"/>
      </w:rPr>
    </w:lvl>
    <w:lvl w:ilvl="6" w:tplc="CC9273EE">
      <w:start w:val="1"/>
      <w:numFmt w:val="bullet"/>
      <w:lvlText w:val=""/>
      <w:lvlJc w:val="left"/>
      <w:pPr>
        <w:ind w:left="720" w:hanging="360"/>
      </w:pPr>
      <w:rPr>
        <w:rFonts w:ascii="Symbol" w:hAnsi="Symbol"/>
      </w:rPr>
    </w:lvl>
    <w:lvl w:ilvl="7" w:tplc="D0167D44">
      <w:start w:val="1"/>
      <w:numFmt w:val="bullet"/>
      <w:lvlText w:val=""/>
      <w:lvlJc w:val="left"/>
      <w:pPr>
        <w:ind w:left="720" w:hanging="360"/>
      </w:pPr>
      <w:rPr>
        <w:rFonts w:ascii="Symbol" w:hAnsi="Symbol"/>
      </w:rPr>
    </w:lvl>
    <w:lvl w:ilvl="8" w:tplc="19C639C8">
      <w:start w:val="1"/>
      <w:numFmt w:val="bullet"/>
      <w:lvlText w:val=""/>
      <w:lvlJc w:val="left"/>
      <w:pPr>
        <w:ind w:left="720" w:hanging="360"/>
      </w:pPr>
      <w:rPr>
        <w:rFonts w:ascii="Symbol" w:hAnsi="Symbol"/>
      </w:r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7A53F58"/>
    <w:multiLevelType w:val="hybridMultilevel"/>
    <w:tmpl w:val="9006CE9C"/>
    <w:lvl w:ilvl="0" w:tplc="CCE608D2">
      <w:start w:val="1"/>
      <w:numFmt w:val="bullet"/>
      <w:lvlText w:val=""/>
      <w:lvlJc w:val="left"/>
      <w:pPr>
        <w:ind w:left="720" w:hanging="360"/>
      </w:pPr>
      <w:rPr>
        <w:rFonts w:ascii="Symbol" w:hAnsi="Symbol"/>
      </w:rPr>
    </w:lvl>
    <w:lvl w:ilvl="1" w:tplc="DD000D32">
      <w:start w:val="1"/>
      <w:numFmt w:val="bullet"/>
      <w:lvlText w:val=""/>
      <w:lvlJc w:val="left"/>
      <w:pPr>
        <w:ind w:left="720" w:hanging="360"/>
      </w:pPr>
      <w:rPr>
        <w:rFonts w:ascii="Symbol" w:hAnsi="Symbol"/>
      </w:rPr>
    </w:lvl>
    <w:lvl w:ilvl="2" w:tplc="B9A68454">
      <w:start w:val="1"/>
      <w:numFmt w:val="bullet"/>
      <w:lvlText w:val=""/>
      <w:lvlJc w:val="left"/>
      <w:pPr>
        <w:ind w:left="720" w:hanging="360"/>
      </w:pPr>
      <w:rPr>
        <w:rFonts w:ascii="Symbol" w:hAnsi="Symbol"/>
      </w:rPr>
    </w:lvl>
    <w:lvl w:ilvl="3" w:tplc="0F56BB88">
      <w:start w:val="1"/>
      <w:numFmt w:val="bullet"/>
      <w:lvlText w:val=""/>
      <w:lvlJc w:val="left"/>
      <w:pPr>
        <w:ind w:left="720" w:hanging="360"/>
      </w:pPr>
      <w:rPr>
        <w:rFonts w:ascii="Symbol" w:hAnsi="Symbol"/>
      </w:rPr>
    </w:lvl>
    <w:lvl w:ilvl="4" w:tplc="CD46838A">
      <w:start w:val="1"/>
      <w:numFmt w:val="bullet"/>
      <w:lvlText w:val=""/>
      <w:lvlJc w:val="left"/>
      <w:pPr>
        <w:ind w:left="720" w:hanging="360"/>
      </w:pPr>
      <w:rPr>
        <w:rFonts w:ascii="Symbol" w:hAnsi="Symbol"/>
      </w:rPr>
    </w:lvl>
    <w:lvl w:ilvl="5" w:tplc="BBAA1BCC">
      <w:start w:val="1"/>
      <w:numFmt w:val="bullet"/>
      <w:lvlText w:val=""/>
      <w:lvlJc w:val="left"/>
      <w:pPr>
        <w:ind w:left="720" w:hanging="360"/>
      </w:pPr>
      <w:rPr>
        <w:rFonts w:ascii="Symbol" w:hAnsi="Symbol"/>
      </w:rPr>
    </w:lvl>
    <w:lvl w:ilvl="6" w:tplc="BF04908C">
      <w:start w:val="1"/>
      <w:numFmt w:val="bullet"/>
      <w:lvlText w:val=""/>
      <w:lvlJc w:val="left"/>
      <w:pPr>
        <w:ind w:left="720" w:hanging="360"/>
      </w:pPr>
      <w:rPr>
        <w:rFonts w:ascii="Symbol" w:hAnsi="Symbol"/>
      </w:rPr>
    </w:lvl>
    <w:lvl w:ilvl="7" w:tplc="E4DC650E">
      <w:start w:val="1"/>
      <w:numFmt w:val="bullet"/>
      <w:lvlText w:val=""/>
      <w:lvlJc w:val="left"/>
      <w:pPr>
        <w:ind w:left="720" w:hanging="360"/>
      </w:pPr>
      <w:rPr>
        <w:rFonts w:ascii="Symbol" w:hAnsi="Symbol"/>
      </w:rPr>
    </w:lvl>
    <w:lvl w:ilvl="8" w:tplc="2CE8444E">
      <w:start w:val="1"/>
      <w:numFmt w:val="bullet"/>
      <w:lvlText w:val=""/>
      <w:lvlJc w:val="left"/>
      <w:pPr>
        <w:ind w:left="720" w:hanging="360"/>
      </w:pPr>
      <w:rPr>
        <w:rFonts w:ascii="Symbol" w:hAnsi="Symbol"/>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0454A9A"/>
    <w:multiLevelType w:val="multilevel"/>
    <w:tmpl w:val="63D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36578"/>
    <w:multiLevelType w:val="hybridMultilevel"/>
    <w:tmpl w:val="F350D9EC"/>
    <w:lvl w:ilvl="0" w:tplc="B8AAF4A2">
      <w:start w:val="1"/>
      <w:numFmt w:val="bullet"/>
      <w:lvlText w:val=""/>
      <w:lvlJc w:val="left"/>
      <w:pPr>
        <w:ind w:left="720" w:hanging="360"/>
      </w:pPr>
      <w:rPr>
        <w:rFonts w:ascii="Symbol" w:hAnsi="Symbol"/>
      </w:rPr>
    </w:lvl>
    <w:lvl w:ilvl="1" w:tplc="B63ED5FC">
      <w:start w:val="1"/>
      <w:numFmt w:val="bullet"/>
      <w:lvlText w:val=""/>
      <w:lvlJc w:val="left"/>
      <w:pPr>
        <w:ind w:left="720" w:hanging="360"/>
      </w:pPr>
      <w:rPr>
        <w:rFonts w:ascii="Symbol" w:hAnsi="Symbol"/>
      </w:rPr>
    </w:lvl>
    <w:lvl w:ilvl="2" w:tplc="C9C41D84">
      <w:start w:val="1"/>
      <w:numFmt w:val="bullet"/>
      <w:lvlText w:val=""/>
      <w:lvlJc w:val="left"/>
      <w:pPr>
        <w:ind w:left="720" w:hanging="360"/>
      </w:pPr>
      <w:rPr>
        <w:rFonts w:ascii="Symbol" w:hAnsi="Symbol"/>
      </w:rPr>
    </w:lvl>
    <w:lvl w:ilvl="3" w:tplc="A9FCBD70">
      <w:start w:val="1"/>
      <w:numFmt w:val="bullet"/>
      <w:lvlText w:val=""/>
      <w:lvlJc w:val="left"/>
      <w:pPr>
        <w:ind w:left="720" w:hanging="360"/>
      </w:pPr>
      <w:rPr>
        <w:rFonts w:ascii="Symbol" w:hAnsi="Symbol"/>
      </w:rPr>
    </w:lvl>
    <w:lvl w:ilvl="4" w:tplc="28B4DAE8">
      <w:start w:val="1"/>
      <w:numFmt w:val="bullet"/>
      <w:lvlText w:val=""/>
      <w:lvlJc w:val="left"/>
      <w:pPr>
        <w:ind w:left="720" w:hanging="360"/>
      </w:pPr>
      <w:rPr>
        <w:rFonts w:ascii="Symbol" w:hAnsi="Symbol"/>
      </w:rPr>
    </w:lvl>
    <w:lvl w:ilvl="5" w:tplc="7C5A0216">
      <w:start w:val="1"/>
      <w:numFmt w:val="bullet"/>
      <w:lvlText w:val=""/>
      <w:lvlJc w:val="left"/>
      <w:pPr>
        <w:ind w:left="720" w:hanging="360"/>
      </w:pPr>
      <w:rPr>
        <w:rFonts w:ascii="Symbol" w:hAnsi="Symbol"/>
      </w:rPr>
    </w:lvl>
    <w:lvl w:ilvl="6" w:tplc="5D96E20E">
      <w:start w:val="1"/>
      <w:numFmt w:val="bullet"/>
      <w:lvlText w:val=""/>
      <w:lvlJc w:val="left"/>
      <w:pPr>
        <w:ind w:left="720" w:hanging="360"/>
      </w:pPr>
      <w:rPr>
        <w:rFonts w:ascii="Symbol" w:hAnsi="Symbol"/>
      </w:rPr>
    </w:lvl>
    <w:lvl w:ilvl="7" w:tplc="B96E25EA">
      <w:start w:val="1"/>
      <w:numFmt w:val="bullet"/>
      <w:lvlText w:val=""/>
      <w:lvlJc w:val="left"/>
      <w:pPr>
        <w:ind w:left="720" w:hanging="360"/>
      </w:pPr>
      <w:rPr>
        <w:rFonts w:ascii="Symbol" w:hAnsi="Symbol"/>
      </w:rPr>
    </w:lvl>
    <w:lvl w:ilvl="8" w:tplc="ECF04C6A">
      <w:start w:val="1"/>
      <w:numFmt w:val="bullet"/>
      <w:lvlText w:val=""/>
      <w:lvlJc w:val="left"/>
      <w:pPr>
        <w:ind w:left="720" w:hanging="360"/>
      </w:pPr>
      <w:rPr>
        <w:rFonts w:ascii="Symbol" w:hAnsi="Symbol"/>
      </w:rPr>
    </w:lvl>
  </w:abstractNum>
  <w:abstractNum w:abstractNumId="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4F8D23DB"/>
    <w:multiLevelType w:val="hybridMultilevel"/>
    <w:tmpl w:val="9A4A81D0"/>
    <w:lvl w:ilvl="0" w:tplc="898EA3AA">
      <w:start w:val="1"/>
      <w:numFmt w:val="bullet"/>
      <w:lvlText w:val=""/>
      <w:lvlJc w:val="left"/>
      <w:pPr>
        <w:ind w:left="720" w:hanging="360"/>
      </w:pPr>
      <w:rPr>
        <w:rFonts w:ascii="Symbol" w:hAnsi="Symbol"/>
      </w:rPr>
    </w:lvl>
    <w:lvl w:ilvl="1" w:tplc="403E12E2">
      <w:start w:val="1"/>
      <w:numFmt w:val="bullet"/>
      <w:lvlText w:val=""/>
      <w:lvlJc w:val="left"/>
      <w:pPr>
        <w:ind w:left="720" w:hanging="360"/>
      </w:pPr>
      <w:rPr>
        <w:rFonts w:ascii="Symbol" w:hAnsi="Symbol"/>
      </w:rPr>
    </w:lvl>
    <w:lvl w:ilvl="2" w:tplc="C678A248">
      <w:start w:val="1"/>
      <w:numFmt w:val="bullet"/>
      <w:lvlText w:val=""/>
      <w:lvlJc w:val="left"/>
      <w:pPr>
        <w:ind w:left="720" w:hanging="360"/>
      </w:pPr>
      <w:rPr>
        <w:rFonts w:ascii="Symbol" w:hAnsi="Symbol"/>
      </w:rPr>
    </w:lvl>
    <w:lvl w:ilvl="3" w:tplc="4EE4EEBA">
      <w:start w:val="1"/>
      <w:numFmt w:val="bullet"/>
      <w:lvlText w:val=""/>
      <w:lvlJc w:val="left"/>
      <w:pPr>
        <w:ind w:left="720" w:hanging="360"/>
      </w:pPr>
      <w:rPr>
        <w:rFonts w:ascii="Symbol" w:hAnsi="Symbol"/>
      </w:rPr>
    </w:lvl>
    <w:lvl w:ilvl="4" w:tplc="F31E8080">
      <w:start w:val="1"/>
      <w:numFmt w:val="bullet"/>
      <w:lvlText w:val=""/>
      <w:lvlJc w:val="left"/>
      <w:pPr>
        <w:ind w:left="720" w:hanging="360"/>
      </w:pPr>
      <w:rPr>
        <w:rFonts w:ascii="Symbol" w:hAnsi="Symbol"/>
      </w:rPr>
    </w:lvl>
    <w:lvl w:ilvl="5" w:tplc="261AFD6A">
      <w:start w:val="1"/>
      <w:numFmt w:val="bullet"/>
      <w:lvlText w:val=""/>
      <w:lvlJc w:val="left"/>
      <w:pPr>
        <w:ind w:left="720" w:hanging="360"/>
      </w:pPr>
      <w:rPr>
        <w:rFonts w:ascii="Symbol" w:hAnsi="Symbol"/>
      </w:rPr>
    </w:lvl>
    <w:lvl w:ilvl="6" w:tplc="94FC1AF8">
      <w:start w:val="1"/>
      <w:numFmt w:val="bullet"/>
      <w:lvlText w:val=""/>
      <w:lvlJc w:val="left"/>
      <w:pPr>
        <w:ind w:left="720" w:hanging="360"/>
      </w:pPr>
      <w:rPr>
        <w:rFonts w:ascii="Symbol" w:hAnsi="Symbol"/>
      </w:rPr>
    </w:lvl>
    <w:lvl w:ilvl="7" w:tplc="FF503C7C">
      <w:start w:val="1"/>
      <w:numFmt w:val="bullet"/>
      <w:lvlText w:val=""/>
      <w:lvlJc w:val="left"/>
      <w:pPr>
        <w:ind w:left="720" w:hanging="360"/>
      </w:pPr>
      <w:rPr>
        <w:rFonts w:ascii="Symbol" w:hAnsi="Symbol"/>
      </w:rPr>
    </w:lvl>
    <w:lvl w:ilvl="8" w:tplc="E8B4BDE6">
      <w:start w:val="1"/>
      <w:numFmt w:val="bullet"/>
      <w:lvlText w:val=""/>
      <w:lvlJc w:val="left"/>
      <w:pPr>
        <w:ind w:left="720" w:hanging="360"/>
      </w:pPr>
      <w:rPr>
        <w:rFonts w:ascii="Symbol" w:hAnsi="Symbol"/>
      </w:rPr>
    </w:lvl>
  </w:abstractNum>
  <w:abstractNum w:abstractNumId="1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D22096"/>
    <w:multiLevelType w:val="hybridMultilevel"/>
    <w:tmpl w:val="9DF2F518"/>
    <w:lvl w:ilvl="0" w:tplc="480AF4BC">
      <w:start w:val="1"/>
      <w:numFmt w:val="bullet"/>
      <w:lvlText w:val=""/>
      <w:lvlJc w:val="left"/>
      <w:pPr>
        <w:ind w:left="720" w:hanging="360"/>
      </w:pPr>
      <w:rPr>
        <w:rFonts w:ascii="Symbol" w:hAnsi="Symbol"/>
      </w:rPr>
    </w:lvl>
    <w:lvl w:ilvl="1" w:tplc="519064D0">
      <w:start w:val="1"/>
      <w:numFmt w:val="bullet"/>
      <w:lvlText w:val=""/>
      <w:lvlJc w:val="left"/>
      <w:pPr>
        <w:ind w:left="720" w:hanging="360"/>
      </w:pPr>
      <w:rPr>
        <w:rFonts w:ascii="Symbol" w:hAnsi="Symbol"/>
      </w:rPr>
    </w:lvl>
    <w:lvl w:ilvl="2" w:tplc="D5968F16">
      <w:start w:val="1"/>
      <w:numFmt w:val="bullet"/>
      <w:lvlText w:val=""/>
      <w:lvlJc w:val="left"/>
      <w:pPr>
        <w:ind w:left="720" w:hanging="360"/>
      </w:pPr>
      <w:rPr>
        <w:rFonts w:ascii="Symbol" w:hAnsi="Symbol"/>
      </w:rPr>
    </w:lvl>
    <w:lvl w:ilvl="3" w:tplc="E800FA06">
      <w:start w:val="1"/>
      <w:numFmt w:val="bullet"/>
      <w:lvlText w:val=""/>
      <w:lvlJc w:val="left"/>
      <w:pPr>
        <w:ind w:left="720" w:hanging="360"/>
      </w:pPr>
      <w:rPr>
        <w:rFonts w:ascii="Symbol" w:hAnsi="Symbol"/>
      </w:rPr>
    </w:lvl>
    <w:lvl w:ilvl="4" w:tplc="6BCA7B38">
      <w:start w:val="1"/>
      <w:numFmt w:val="bullet"/>
      <w:lvlText w:val=""/>
      <w:lvlJc w:val="left"/>
      <w:pPr>
        <w:ind w:left="720" w:hanging="360"/>
      </w:pPr>
      <w:rPr>
        <w:rFonts w:ascii="Symbol" w:hAnsi="Symbol"/>
      </w:rPr>
    </w:lvl>
    <w:lvl w:ilvl="5" w:tplc="AA40038E">
      <w:start w:val="1"/>
      <w:numFmt w:val="bullet"/>
      <w:lvlText w:val=""/>
      <w:lvlJc w:val="left"/>
      <w:pPr>
        <w:ind w:left="720" w:hanging="360"/>
      </w:pPr>
      <w:rPr>
        <w:rFonts w:ascii="Symbol" w:hAnsi="Symbol"/>
      </w:rPr>
    </w:lvl>
    <w:lvl w:ilvl="6" w:tplc="D34480EE">
      <w:start w:val="1"/>
      <w:numFmt w:val="bullet"/>
      <w:lvlText w:val=""/>
      <w:lvlJc w:val="left"/>
      <w:pPr>
        <w:ind w:left="720" w:hanging="360"/>
      </w:pPr>
      <w:rPr>
        <w:rFonts w:ascii="Symbol" w:hAnsi="Symbol"/>
      </w:rPr>
    </w:lvl>
    <w:lvl w:ilvl="7" w:tplc="BABE86B6">
      <w:start w:val="1"/>
      <w:numFmt w:val="bullet"/>
      <w:lvlText w:val=""/>
      <w:lvlJc w:val="left"/>
      <w:pPr>
        <w:ind w:left="720" w:hanging="360"/>
      </w:pPr>
      <w:rPr>
        <w:rFonts w:ascii="Symbol" w:hAnsi="Symbol"/>
      </w:rPr>
    </w:lvl>
    <w:lvl w:ilvl="8" w:tplc="5AD2833C">
      <w:start w:val="1"/>
      <w:numFmt w:val="bullet"/>
      <w:lvlText w:val=""/>
      <w:lvlJc w:val="left"/>
      <w:pPr>
        <w:ind w:left="720" w:hanging="360"/>
      </w:pPr>
      <w:rPr>
        <w:rFonts w:ascii="Symbol" w:hAnsi="Symbol"/>
      </w:rPr>
    </w:lvl>
  </w:abstractNum>
  <w:abstractNum w:abstractNumId="13" w15:restartNumberingAfterBreak="0">
    <w:nsid w:val="5AC7464C"/>
    <w:multiLevelType w:val="multilevel"/>
    <w:tmpl w:val="1FCA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A28F8"/>
    <w:multiLevelType w:val="hybridMultilevel"/>
    <w:tmpl w:val="EF7AA07E"/>
    <w:lvl w:ilvl="0" w:tplc="A79472BA">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AC9430D6">
      <w:numFmt w:val="bullet"/>
      <w:lvlText w:val="•"/>
      <w:lvlJc w:val="left"/>
      <w:pPr>
        <w:ind w:left="1573" w:hanging="360"/>
      </w:pPr>
      <w:rPr>
        <w:rFonts w:hint="default"/>
        <w:lang w:val="en-US" w:eastAsia="en-US" w:bidi="ar-SA"/>
      </w:rPr>
    </w:lvl>
    <w:lvl w:ilvl="2" w:tplc="061E0A3E">
      <w:numFmt w:val="bullet"/>
      <w:lvlText w:val="•"/>
      <w:lvlJc w:val="left"/>
      <w:pPr>
        <w:ind w:left="2406" w:hanging="360"/>
      </w:pPr>
      <w:rPr>
        <w:rFonts w:hint="default"/>
        <w:lang w:val="en-US" w:eastAsia="en-US" w:bidi="ar-SA"/>
      </w:rPr>
    </w:lvl>
    <w:lvl w:ilvl="3" w:tplc="6E08A186">
      <w:numFmt w:val="bullet"/>
      <w:lvlText w:val="•"/>
      <w:lvlJc w:val="left"/>
      <w:pPr>
        <w:ind w:left="3239" w:hanging="360"/>
      </w:pPr>
      <w:rPr>
        <w:rFonts w:hint="default"/>
        <w:lang w:val="en-US" w:eastAsia="en-US" w:bidi="ar-SA"/>
      </w:rPr>
    </w:lvl>
    <w:lvl w:ilvl="4" w:tplc="F99C5920">
      <w:numFmt w:val="bullet"/>
      <w:lvlText w:val="•"/>
      <w:lvlJc w:val="left"/>
      <w:pPr>
        <w:ind w:left="4072" w:hanging="360"/>
      </w:pPr>
      <w:rPr>
        <w:rFonts w:hint="default"/>
        <w:lang w:val="en-US" w:eastAsia="en-US" w:bidi="ar-SA"/>
      </w:rPr>
    </w:lvl>
    <w:lvl w:ilvl="5" w:tplc="84BA431C">
      <w:numFmt w:val="bullet"/>
      <w:lvlText w:val="•"/>
      <w:lvlJc w:val="left"/>
      <w:pPr>
        <w:ind w:left="4906" w:hanging="360"/>
      </w:pPr>
      <w:rPr>
        <w:rFonts w:hint="default"/>
        <w:lang w:val="en-US" w:eastAsia="en-US" w:bidi="ar-SA"/>
      </w:rPr>
    </w:lvl>
    <w:lvl w:ilvl="6" w:tplc="DEBEDC50">
      <w:numFmt w:val="bullet"/>
      <w:lvlText w:val="•"/>
      <w:lvlJc w:val="left"/>
      <w:pPr>
        <w:ind w:left="5739" w:hanging="360"/>
      </w:pPr>
      <w:rPr>
        <w:rFonts w:hint="default"/>
        <w:lang w:val="en-US" w:eastAsia="en-US" w:bidi="ar-SA"/>
      </w:rPr>
    </w:lvl>
    <w:lvl w:ilvl="7" w:tplc="A660395A">
      <w:numFmt w:val="bullet"/>
      <w:lvlText w:val="•"/>
      <w:lvlJc w:val="left"/>
      <w:pPr>
        <w:ind w:left="6572" w:hanging="360"/>
      </w:pPr>
      <w:rPr>
        <w:rFonts w:hint="default"/>
        <w:lang w:val="en-US" w:eastAsia="en-US" w:bidi="ar-SA"/>
      </w:rPr>
    </w:lvl>
    <w:lvl w:ilvl="8" w:tplc="B15E112C">
      <w:numFmt w:val="bullet"/>
      <w:lvlText w:val="•"/>
      <w:lvlJc w:val="left"/>
      <w:pPr>
        <w:ind w:left="7405" w:hanging="360"/>
      </w:pPr>
      <w:rPr>
        <w:rFonts w:hint="default"/>
        <w:lang w:val="en-US" w:eastAsia="en-US" w:bidi="ar-SA"/>
      </w:rPr>
    </w:lvl>
  </w:abstractNum>
  <w:abstractNum w:abstractNumId="15" w15:restartNumberingAfterBreak="0">
    <w:nsid w:val="6E7675F1"/>
    <w:multiLevelType w:val="hybridMultilevel"/>
    <w:tmpl w:val="F33E11DA"/>
    <w:lvl w:ilvl="0" w:tplc="4FF86F94">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08CCE9C0">
      <w:numFmt w:val="bullet"/>
      <w:lvlText w:val="•"/>
      <w:lvlJc w:val="left"/>
      <w:pPr>
        <w:ind w:left="1573" w:hanging="360"/>
      </w:pPr>
      <w:rPr>
        <w:rFonts w:hint="default"/>
        <w:lang w:val="en-US" w:eastAsia="en-US" w:bidi="ar-SA"/>
      </w:rPr>
    </w:lvl>
    <w:lvl w:ilvl="2" w:tplc="2B5CF802">
      <w:numFmt w:val="bullet"/>
      <w:lvlText w:val="•"/>
      <w:lvlJc w:val="left"/>
      <w:pPr>
        <w:ind w:left="2406" w:hanging="360"/>
      </w:pPr>
      <w:rPr>
        <w:rFonts w:hint="default"/>
        <w:lang w:val="en-US" w:eastAsia="en-US" w:bidi="ar-SA"/>
      </w:rPr>
    </w:lvl>
    <w:lvl w:ilvl="3" w:tplc="F5486346">
      <w:numFmt w:val="bullet"/>
      <w:lvlText w:val="•"/>
      <w:lvlJc w:val="left"/>
      <w:pPr>
        <w:ind w:left="3239" w:hanging="360"/>
      </w:pPr>
      <w:rPr>
        <w:rFonts w:hint="default"/>
        <w:lang w:val="en-US" w:eastAsia="en-US" w:bidi="ar-SA"/>
      </w:rPr>
    </w:lvl>
    <w:lvl w:ilvl="4" w:tplc="E0EE9146">
      <w:numFmt w:val="bullet"/>
      <w:lvlText w:val="•"/>
      <w:lvlJc w:val="left"/>
      <w:pPr>
        <w:ind w:left="4072" w:hanging="360"/>
      </w:pPr>
      <w:rPr>
        <w:rFonts w:hint="default"/>
        <w:lang w:val="en-US" w:eastAsia="en-US" w:bidi="ar-SA"/>
      </w:rPr>
    </w:lvl>
    <w:lvl w:ilvl="5" w:tplc="BBF42300">
      <w:numFmt w:val="bullet"/>
      <w:lvlText w:val="•"/>
      <w:lvlJc w:val="left"/>
      <w:pPr>
        <w:ind w:left="4906" w:hanging="360"/>
      </w:pPr>
      <w:rPr>
        <w:rFonts w:hint="default"/>
        <w:lang w:val="en-US" w:eastAsia="en-US" w:bidi="ar-SA"/>
      </w:rPr>
    </w:lvl>
    <w:lvl w:ilvl="6" w:tplc="17E61A58">
      <w:numFmt w:val="bullet"/>
      <w:lvlText w:val="•"/>
      <w:lvlJc w:val="left"/>
      <w:pPr>
        <w:ind w:left="5739" w:hanging="360"/>
      </w:pPr>
      <w:rPr>
        <w:rFonts w:hint="default"/>
        <w:lang w:val="en-US" w:eastAsia="en-US" w:bidi="ar-SA"/>
      </w:rPr>
    </w:lvl>
    <w:lvl w:ilvl="7" w:tplc="21EA77C2">
      <w:numFmt w:val="bullet"/>
      <w:lvlText w:val="•"/>
      <w:lvlJc w:val="left"/>
      <w:pPr>
        <w:ind w:left="6572" w:hanging="360"/>
      </w:pPr>
      <w:rPr>
        <w:rFonts w:hint="default"/>
        <w:lang w:val="en-US" w:eastAsia="en-US" w:bidi="ar-SA"/>
      </w:rPr>
    </w:lvl>
    <w:lvl w:ilvl="8" w:tplc="C442D29E">
      <w:numFmt w:val="bullet"/>
      <w:lvlText w:val="•"/>
      <w:lvlJc w:val="left"/>
      <w:pPr>
        <w:ind w:left="7405" w:hanging="360"/>
      </w:pPr>
      <w:rPr>
        <w:rFonts w:hint="default"/>
        <w:lang w:val="en-US" w:eastAsia="en-US" w:bidi="ar-SA"/>
      </w:rPr>
    </w:lvl>
  </w:abstractNum>
  <w:abstractNum w:abstractNumId="16" w15:restartNumberingAfterBreak="0">
    <w:nsid w:val="7A6379A9"/>
    <w:multiLevelType w:val="hybridMultilevel"/>
    <w:tmpl w:val="4FE8D072"/>
    <w:lvl w:ilvl="0" w:tplc="40AA1BA0">
      <w:start w:val="1"/>
      <w:numFmt w:val="bullet"/>
      <w:lvlText w:val=""/>
      <w:lvlJc w:val="left"/>
      <w:pPr>
        <w:ind w:left="720" w:hanging="360"/>
      </w:pPr>
      <w:rPr>
        <w:rFonts w:ascii="Symbol" w:hAnsi="Symbol"/>
      </w:rPr>
    </w:lvl>
    <w:lvl w:ilvl="1" w:tplc="15A0EAC8">
      <w:start w:val="1"/>
      <w:numFmt w:val="bullet"/>
      <w:lvlText w:val=""/>
      <w:lvlJc w:val="left"/>
      <w:pPr>
        <w:ind w:left="720" w:hanging="360"/>
      </w:pPr>
      <w:rPr>
        <w:rFonts w:ascii="Symbol" w:hAnsi="Symbol"/>
      </w:rPr>
    </w:lvl>
    <w:lvl w:ilvl="2" w:tplc="A2A06F8A">
      <w:start w:val="1"/>
      <w:numFmt w:val="bullet"/>
      <w:lvlText w:val=""/>
      <w:lvlJc w:val="left"/>
      <w:pPr>
        <w:ind w:left="720" w:hanging="360"/>
      </w:pPr>
      <w:rPr>
        <w:rFonts w:ascii="Symbol" w:hAnsi="Symbol"/>
      </w:rPr>
    </w:lvl>
    <w:lvl w:ilvl="3" w:tplc="638C4750">
      <w:start w:val="1"/>
      <w:numFmt w:val="bullet"/>
      <w:lvlText w:val=""/>
      <w:lvlJc w:val="left"/>
      <w:pPr>
        <w:ind w:left="720" w:hanging="360"/>
      </w:pPr>
      <w:rPr>
        <w:rFonts w:ascii="Symbol" w:hAnsi="Symbol"/>
      </w:rPr>
    </w:lvl>
    <w:lvl w:ilvl="4" w:tplc="593CA732">
      <w:start w:val="1"/>
      <w:numFmt w:val="bullet"/>
      <w:lvlText w:val=""/>
      <w:lvlJc w:val="left"/>
      <w:pPr>
        <w:ind w:left="720" w:hanging="360"/>
      </w:pPr>
      <w:rPr>
        <w:rFonts w:ascii="Symbol" w:hAnsi="Symbol"/>
      </w:rPr>
    </w:lvl>
    <w:lvl w:ilvl="5" w:tplc="A2B0A4B0">
      <w:start w:val="1"/>
      <w:numFmt w:val="bullet"/>
      <w:lvlText w:val=""/>
      <w:lvlJc w:val="left"/>
      <w:pPr>
        <w:ind w:left="720" w:hanging="360"/>
      </w:pPr>
      <w:rPr>
        <w:rFonts w:ascii="Symbol" w:hAnsi="Symbol"/>
      </w:rPr>
    </w:lvl>
    <w:lvl w:ilvl="6" w:tplc="60CE26AE">
      <w:start w:val="1"/>
      <w:numFmt w:val="bullet"/>
      <w:lvlText w:val=""/>
      <w:lvlJc w:val="left"/>
      <w:pPr>
        <w:ind w:left="720" w:hanging="360"/>
      </w:pPr>
      <w:rPr>
        <w:rFonts w:ascii="Symbol" w:hAnsi="Symbol"/>
      </w:rPr>
    </w:lvl>
    <w:lvl w:ilvl="7" w:tplc="488A39BE">
      <w:start w:val="1"/>
      <w:numFmt w:val="bullet"/>
      <w:lvlText w:val=""/>
      <w:lvlJc w:val="left"/>
      <w:pPr>
        <w:ind w:left="720" w:hanging="360"/>
      </w:pPr>
      <w:rPr>
        <w:rFonts w:ascii="Symbol" w:hAnsi="Symbol"/>
      </w:rPr>
    </w:lvl>
    <w:lvl w:ilvl="8" w:tplc="C188F4DC">
      <w:start w:val="1"/>
      <w:numFmt w:val="bullet"/>
      <w:lvlText w:val=""/>
      <w:lvlJc w:val="left"/>
      <w:pPr>
        <w:ind w:left="720" w:hanging="360"/>
      </w:pPr>
      <w:rPr>
        <w:rFonts w:ascii="Symbol" w:hAnsi="Symbol"/>
      </w:rPr>
    </w:lvl>
  </w:abstractNum>
  <w:num w:numId="1" w16cid:durableId="1032997172">
    <w:abstractNumId w:val="4"/>
  </w:num>
  <w:num w:numId="2" w16cid:durableId="1856573705">
    <w:abstractNumId w:val="1"/>
  </w:num>
  <w:num w:numId="3" w16cid:durableId="357703499">
    <w:abstractNumId w:val="3"/>
  </w:num>
  <w:num w:numId="4" w16cid:durableId="1869176708">
    <w:abstractNumId w:val="11"/>
  </w:num>
  <w:num w:numId="5" w16cid:durableId="1652950129">
    <w:abstractNumId w:val="6"/>
  </w:num>
  <w:num w:numId="6" w16cid:durableId="1053193207">
    <w:abstractNumId w:val="9"/>
  </w:num>
  <w:num w:numId="7" w16cid:durableId="20113592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604608059">
    <w:abstractNumId w:val="10"/>
  </w:num>
  <w:num w:numId="9" w16cid:durableId="173421270">
    <w:abstractNumId w:val="2"/>
  </w:num>
  <w:num w:numId="10" w16cid:durableId="2108043357">
    <w:abstractNumId w:val="5"/>
  </w:num>
  <w:num w:numId="11" w16cid:durableId="1725904230">
    <w:abstractNumId w:val="8"/>
  </w:num>
  <w:num w:numId="12" w16cid:durableId="141579354">
    <w:abstractNumId w:val="12"/>
  </w:num>
  <w:num w:numId="13" w16cid:durableId="283735081">
    <w:abstractNumId w:val="16"/>
  </w:num>
  <w:num w:numId="14" w16cid:durableId="668558110">
    <w:abstractNumId w:val="0"/>
  </w:num>
  <w:num w:numId="15" w16cid:durableId="820345206">
    <w:abstractNumId w:val="14"/>
  </w:num>
  <w:num w:numId="16" w16cid:durableId="91824595">
    <w:abstractNumId w:val="7"/>
  </w:num>
  <w:num w:numId="17" w16cid:durableId="562447268">
    <w:abstractNumId w:val="13"/>
  </w:num>
  <w:num w:numId="18" w16cid:durableId="1841853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0E6E"/>
    <w:rsid w:val="00003C18"/>
    <w:rsid w:val="00004431"/>
    <w:rsid w:val="00005062"/>
    <w:rsid w:val="00005DFC"/>
    <w:rsid w:val="0001064C"/>
    <w:rsid w:val="00011218"/>
    <w:rsid w:val="0001384A"/>
    <w:rsid w:val="0001514C"/>
    <w:rsid w:val="00021C13"/>
    <w:rsid w:val="00032A0F"/>
    <w:rsid w:val="00040D8D"/>
    <w:rsid w:val="00043F4C"/>
    <w:rsid w:val="00046423"/>
    <w:rsid w:val="000477F5"/>
    <w:rsid w:val="0005067C"/>
    <w:rsid w:val="00054E2F"/>
    <w:rsid w:val="0006104E"/>
    <w:rsid w:val="000640BD"/>
    <w:rsid w:val="00065128"/>
    <w:rsid w:val="00065839"/>
    <w:rsid w:val="00065FDF"/>
    <w:rsid w:val="0006693A"/>
    <w:rsid w:val="00077844"/>
    <w:rsid w:val="00083763"/>
    <w:rsid w:val="00086EE1"/>
    <w:rsid w:val="0009023D"/>
    <w:rsid w:val="00090510"/>
    <w:rsid w:val="000917AE"/>
    <w:rsid w:val="00094B81"/>
    <w:rsid w:val="00095C6A"/>
    <w:rsid w:val="000975AA"/>
    <w:rsid w:val="000B6B15"/>
    <w:rsid w:val="000C25A7"/>
    <w:rsid w:val="000D3844"/>
    <w:rsid w:val="000D5C8D"/>
    <w:rsid w:val="000D78EC"/>
    <w:rsid w:val="000D7934"/>
    <w:rsid w:val="000E2434"/>
    <w:rsid w:val="000E2597"/>
    <w:rsid w:val="000E504E"/>
    <w:rsid w:val="000E5E68"/>
    <w:rsid w:val="000E6746"/>
    <w:rsid w:val="000F7B51"/>
    <w:rsid w:val="00101BEE"/>
    <w:rsid w:val="00101CE6"/>
    <w:rsid w:val="00101FB1"/>
    <w:rsid w:val="001021B1"/>
    <w:rsid w:val="0010558A"/>
    <w:rsid w:val="001101FF"/>
    <w:rsid w:val="00111989"/>
    <w:rsid w:val="001136AE"/>
    <w:rsid w:val="00113F9F"/>
    <w:rsid w:val="00114025"/>
    <w:rsid w:val="001211BE"/>
    <w:rsid w:val="0012468F"/>
    <w:rsid w:val="0012473C"/>
    <w:rsid w:val="00127A74"/>
    <w:rsid w:val="0013132F"/>
    <w:rsid w:val="00131B1B"/>
    <w:rsid w:val="0013306D"/>
    <w:rsid w:val="0013528C"/>
    <w:rsid w:val="001442A2"/>
    <w:rsid w:val="001468B5"/>
    <w:rsid w:val="001468CA"/>
    <w:rsid w:val="001500A8"/>
    <w:rsid w:val="00152A83"/>
    <w:rsid w:val="00155D85"/>
    <w:rsid w:val="00165AEA"/>
    <w:rsid w:val="00165D28"/>
    <w:rsid w:val="0017005C"/>
    <w:rsid w:val="00175CD8"/>
    <w:rsid w:val="00176FDE"/>
    <w:rsid w:val="0018088F"/>
    <w:rsid w:val="0018210D"/>
    <w:rsid w:val="00182BD8"/>
    <w:rsid w:val="00190853"/>
    <w:rsid w:val="001A76F9"/>
    <w:rsid w:val="001B06FF"/>
    <w:rsid w:val="001B1703"/>
    <w:rsid w:val="001C02A3"/>
    <w:rsid w:val="001C1C2E"/>
    <w:rsid w:val="001C31A1"/>
    <w:rsid w:val="001C3FA2"/>
    <w:rsid w:val="001C5EE2"/>
    <w:rsid w:val="001D0077"/>
    <w:rsid w:val="001D449F"/>
    <w:rsid w:val="001E1B8C"/>
    <w:rsid w:val="001E407B"/>
    <w:rsid w:val="001E7FC6"/>
    <w:rsid w:val="001F2502"/>
    <w:rsid w:val="001F70A5"/>
    <w:rsid w:val="0020235D"/>
    <w:rsid w:val="0020369B"/>
    <w:rsid w:val="00207B4D"/>
    <w:rsid w:val="00210F9B"/>
    <w:rsid w:val="002117B1"/>
    <w:rsid w:val="0021234F"/>
    <w:rsid w:val="00212CA4"/>
    <w:rsid w:val="00217CCE"/>
    <w:rsid w:val="002203B1"/>
    <w:rsid w:val="00221A02"/>
    <w:rsid w:val="00226F39"/>
    <w:rsid w:val="002334AD"/>
    <w:rsid w:val="00233667"/>
    <w:rsid w:val="00234629"/>
    <w:rsid w:val="00241B60"/>
    <w:rsid w:val="0024537D"/>
    <w:rsid w:val="00254831"/>
    <w:rsid w:val="0025785B"/>
    <w:rsid w:val="00257969"/>
    <w:rsid w:val="00265CD1"/>
    <w:rsid w:val="00266F1C"/>
    <w:rsid w:val="0027721C"/>
    <w:rsid w:val="00280048"/>
    <w:rsid w:val="00282990"/>
    <w:rsid w:val="002841BB"/>
    <w:rsid w:val="0028489E"/>
    <w:rsid w:val="002848DE"/>
    <w:rsid w:val="0028794E"/>
    <w:rsid w:val="00287A43"/>
    <w:rsid w:val="002905A2"/>
    <w:rsid w:val="002924A1"/>
    <w:rsid w:val="00295520"/>
    <w:rsid w:val="0029733B"/>
    <w:rsid w:val="002A1A72"/>
    <w:rsid w:val="002A24D2"/>
    <w:rsid w:val="002A48DD"/>
    <w:rsid w:val="002A5841"/>
    <w:rsid w:val="002B1EDF"/>
    <w:rsid w:val="002B2021"/>
    <w:rsid w:val="002B2061"/>
    <w:rsid w:val="002B33C3"/>
    <w:rsid w:val="002C1232"/>
    <w:rsid w:val="002C1E44"/>
    <w:rsid w:val="002C3274"/>
    <w:rsid w:val="002C5C92"/>
    <w:rsid w:val="002C5E29"/>
    <w:rsid w:val="002C74F2"/>
    <w:rsid w:val="002D0478"/>
    <w:rsid w:val="002D25C5"/>
    <w:rsid w:val="002D7127"/>
    <w:rsid w:val="002E23AB"/>
    <w:rsid w:val="002E48A2"/>
    <w:rsid w:val="002F0A8F"/>
    <w:rsid w:val="002F13D4"/>
    <w:rsid w:val="002F599E"/>
    <w:rsid w:val="002F6E7E"/>
    <w:rsid w:val="003008D8"/>
    <w:rsid w:val="00301D9A"/>
    <w:rsid w:val="00303959"/>
    <w:rsid w:val="00306E72"/>
    <w:rsid w:val="003125A6"/>
    <w:rsid w:val="00312AC3"/>
    <w:rsid w:val="00314430"/>
    <w:rsid w:val="003163BC"/>
    <w:rsid w:val="003212D9"/>
    <w:rsid w:val="0032351A"/>
    <w:rsid w:val="00324B33"/>
    <w:rsid w:val="00327488"/>
    <w:rsid w:val="0033413A"/>
    <w:rsid w:val="00336FE1"/>
    <w:rsid w:val="00337BD8"/>
    <w:rsid w:val="00341BF7"/>
    <w:rsid w:val="00342D56"/>
    <w:rsid w:val="003456E7"/>
    <w:rsid w:val="00346099"/>
    <w:rsid w:val="00346EC2"/>
    <w:rsid w:val="003477F9"/>
    <w:rsid w:val="0035444D"/>
    <w:rsid w:val="00356D62"/>
    <w:rsid w:val="00357D33"/>
    <w:rsid w:val="00363EE3"/>
    <w:rsid w:val="00364457"/>
    <w:rsid w:val="00364F64"/>
    <w:rsid w:val="00371DD4"/>
    <w:rsid w:val="003735F3"/>
    <w:rsid w:val="00374729"/>
    <w:rsid w:val="0037664E"/>
    <w:rsid w:val="003849FF"/>
    <w:rsid w:val="00387298"/>
    <w:rsid w:val="00387984"/>
    <w:rsid w:val="00395140"/>
    <w:rsid w:val="003A2422"/>
    <w:rsid w:val="003A29CF"/>
    <w:rsid w:val="003A3859"/>
    <w:rsid w:val="003A6871"/>
    <w:rsid w:val="003B149C"/>
    <w:rsid w:val="003B1F4B"/>
    <w:rsid w:val="003C0330"/>
    <w:rsid w:val="003C0FDB"/>
    <w:rsid w:val="003C1192"/>
    <w:rsid w:val="003C5517"/>
    <w:rsid w:val="003C55E2"/>
    <w:rsid w:val="003C63D5"/>
    <w:rsid w:val="003C7AA8"/>
    <w:rsid w:val="003D71A1"/>
    <w:rsid w:val="003E033C"/>
    <w:rsid w:val="003E63D4"/>
    <w:rsid w:val="003F7155"/>
    <w:rsid w:val="00404698"/>
    <w:rsid w:val="0041688F"/>
    <w:rsid w:val="00421571"/>
    <w:rsid w:val="0042376F"/>
    <w:rsid w:val="004246B8"/>
    <w:rsid w:val="004248F1"/>
    <w:rsid w:val="00432F98"/>
    <w:rsid w:val="00433318"/>
    <w:rsid w:val="004362AB"/>
    <w:rsid w:val="00436A79"/>
    <w:rsid w:val="004411D9"/>
    <w:rsid w:val="00442A56"/>
    <w:rsid w:val="004444B0"/>
    <w:rsid w:val="0045060B"/>
    <w:rsid w:val="004547AC"/>
    <w:rsid w:val="004571A3"/>
    <w:rsid w:val="004613F8"/>
    <w:rsid w:val="004626FF"/>
    <w:rsid w:val="0046285C"/>
    <w:rsid w:val="004634C3"/>
    <w:rsid w:val="0046364A"/>
    <w:rsid w:val="00470A52"/>
    <w:rsid w:val="00471BD5"/>
    <w:rsid w:val="00473C83"/>
    <w:rsid w:val="00477C4E"/>
    <w:rsid w:val="00477F07"/>
    <w:rsid w:val="00481503"/>
    <w:rsid w:val="00481D12"/>
    <w:rsid w:val="00482D8E"/>
    <w:rsid w:val="004854A6"/>
    <w:rsid w:val="00491A55"/>
    <w:rsid w:val="00492799"/>
    <w:rsid w:val="00494C3E"/>
    <w:rsid w:val="00495CAC"/>
    <w:rsid w:val="00497DF1"/>
    <w:rsid w:val="004A20BC"/>
    <w:rsid w:val="004A318E"/>
    <w:rsid w:val="004A3DFE"/>
    <w:rsid w:val="004A45D4"/>
    <w:rsid w:val="004A57E8"/>
    <w:rsid w:val="004B0854"/>
    <w:rsid w:val="004B2938"/>
    <w:rsid w:val="004B3081"/>
    <w:rsid w:val="004B4A09"/>
    <w:rsid w:val="004B51B0"/>
    <w:rsid w:val="004C41CE"/>
    <w:rsid w:val="004C631B"/>
    <w:rsid w:val="004D0933"/>
    <w:rsid w:val="004D21E5"/>
    <w:rsid w:val="004D2F00"/>
    <w:rsid w:val="004D31D8"/>
    <w:rsid w:val="004D35D1"/>
    <w:rsid w:val="004D4AD5"/>
    <w:rsid w:val="004D4D32"/>
    <w:rsid w:val="004D5388"/>
    <w:rsid w:val="004E5AF0"/>
    <w:rsid w:val="004E7F16"/>
    <w:rsid w:val="004F18EC"/>
    <w:rsid w:val="004F241C"/>
    <w:rsid w:val="00500D68"/>
    <w:rsid w:val="005029C3"/>
    <w:rsid w:val="00506733"/>
    <w:rsid w:val="00521E9A"/>
    <w:rsid w:val="0052271B"/>
    <w:rsid w:val="00530AF8"/>
    <w:rsid w:val="0053377D"/>
    <w:rsid w:val="00533902"/>
    <w:rsid w:val="00534F06"/>
    <w:rsid w:val="00535DFE"/>
    <w:rsid w:val="00537124"/>
    <w:rsid w:val="005373B5"/>
    <w:rsid w:val="00537AB7"/>
    <w:rsid w:val="00542D5D"/>
    <w:rsid w:val="0054669B"/>
    <w:rsid w:val="005542BC"/>
    <w:rsid w:val="00556AC4"/>
    <w:rsid w:val="00557684"/>
    <w:rsid w:val="0056032D"/>
    <w:rsid w:val="00560EC1"/>
    <w:rsid w:val="005610D1"/>
    <w:rsid w:val="00562F42"/>
    <w:rsid w:val="00565739"/>
    <w:rsid w:val="0056766D"/>
    <w:rsid w:val="00575215"/>
    <w:rsid w:val="005775D0"/>
    <w:rsid w:val="00581138"/>
    <w:rsid w:val="005819B6"/>
    <w:rsid w:val="00583F2C"/>
    <w:rsid w:val="0058575E"/>
    <w:rsid w:val="0058783C"/>
    <w:rsid w:val="00590108"/>
    <w:rsid w:val="005911AE"/>
    <w:rsid w:val="005924AB"/>
    <w:rsid w:val="005926E2"/>
    <w:rsid w:val="0059313A"/>
    <w:rsid w:val="005967DD"/>
    <w:rsid w:val="005A54EA"/>
    <w:rsid w:val="005B023F"/>
    <w:rsid w:val="005B02A2"/>
    <w:rsid w:val="005B1417"/>
    <w:rsid w:val="005B5560"/>
    <w:rsid w:val="005B69CF"/>
    <w:rsid w:val="005B70C8"/>
    <w:rsid w:val="005C3F07"/>
    <w:rsid w:val="005C4B46"/>
    <w:rsid w:val="005C5DC5"/>
    <w:rsid w:val="005D0E1E"/>
    <w:rsid w:val="005D2089"/>
    <w:rsid w:val="005D3FEC"/>
    <w:rsid w:val="005D4762"/>
    <w:rsid w:val="005D64D6"/>
    <w:rsid w:val="005D6DA7"/>
    <w:rsid w:val="005D7514"/>
    <w:rsid w:val="005D764C"/>
    <w:rsid w:val="005E0FC6"/>
    <w:rsid w:val="005E1A7B"/>
    <w:rsid w:val="005E231F"/>
    <w:rsid w:val="005F354C"/>
    <w:rsid w:val="0060000A"/>
    <w:rsid w:val="00602D6E"/>
    <w:rsid w:val="00605C05"/>
    <w:rsid w:val="00611351"/>
    <w:rsid w:val="006117CC"/>
    <w:rsid w:val="0061217D"/>
    <w:rsid w:val="006129AE"/>
    <w:rsid w:val="00614441"/>
    <w:rsid w:val="00624242"/>
    <w:rsid w:val="006277A1"/>
    <w:rsid w:val="00633BD7"/>
    <w:rsid w:val="00634151"/>
    <w:rsid w:val="00634580"/>
    <w:rsid w:val="00634884"/>
    <w:rsid w:val="006351D9"/>
    <w:rsid w:val="00636223"/>
    <w:rsid w:val="00637130"/>
    <w:rsid w:val="00637F0E"/>
    <w:rsid w:val="006423F2"/>
    <w:rsid w:val="006428C5"/>
    <w:rsid w:val="0064514F"/>
    <w:rsid w:val="00650234"/>
    <w:rsid w:val="0065768A"/>
    <w:rsid w:val="0066044B"/>
    <w:rsid w:val="00661BEE"/>
    <w:rsid w:val="006630AA"/>
    <w:rsid w:val="00663544"/>
    <w:rsid w:val="00666539"/>
    <w:rsid w:val="00666911"/>
    <w:rsid w:val="006725D0"/>
    <w:rsid w:val="00675F81"/>
    <w:rsid w:val="006765D4"/>
    <w:rsid w:val="00677A1D"/>
    <w:rsid w:val="0068143E"/>
    <w:rsid w:val="0068507D"/>
    <w:rsid w:val="006850B3"/>
    <w:rsid w:val="00691AF2"/>
    <w:rsid w:val="00692B80"/>
    <w:rsid w:val="00692CCD"/>
    <w:rsid w:val="00692D51"/>
    <w:rsid w:val="00694DD7"/>
    <w:rsid w:val="0069636B"/>
    <w:rsid w:val="006A1762"/>
    <w:rsid w:val="006A19CE"/>
    <w:rsid w:val="006A1C19"/>
    <w:rsid w:val="006A1EDD"/>
    <w:rsid w:val="006A1F0B"/>
    <w:rsid w:val="006A277A"/>
    <w:rsid w:val="006A5973"/>
    <w:rsid w:val="006B04F3"/>
    <w:rsid w:val="006B1655"/>
    <w:rsid w:val="006B5E64"/>
    <w:rsid w:val="006B7126"/>
    <w:rsid w:val="006C543B"/>
    <w:rsid w:val="006C6B86"/>
    <w:rsid w:val="006D4553"/>
    <w:rsid w:val="006D4A35"/>
    <w:rsid w:val="006D6B44"/>
    <w:rsid w:val="006E0F71"/>
    <w:rsid w:val="006E27FE"/>
    <w:rsid w:val="006F095A"/>
    <w:rsid w:val="00701110"/>
    <w:rsid w:val="00702E91"/>
    <w:rsid w:val="0070330F"/>
    <w:rsid w:val="00703624"/>
    <w:rsid w:val="007046ED"/>
    <w:rsid w:val="0070541F"/>
    <w:rsid w:val="007072A1"/>
    <w:rsid w:val="0071060C"/>
    <w:rsid w:val="00710BC5"/>
    <w:rsid w:val="007121CA"/>
    <w:rsid w:val="00717856"/>
    <w:rsid w:val="0072003B"/>
    <w:rsid w:val="00721059"/>
    <w:rsid w:val="007211E6"/>
    <w:rsid w:val="00721F36"/>
    <w:rsid w:val="007220C4"/>
    <w:rsid w:val="007305ED"/>
    <w:rsid w:val="007311B9"/>
    <w:rsid w:val="00732361"/>
    <w:rsid w:val="007329EF"/>
    <w:rsid w:val="00732A28"/>
    <w:rsid w:val="007346ED"/>
    <w:rsid w:val="007357B9"/>
    <w:rsid w:val="00736BAE"/>
    <w:rsid w:val="00740AB9"/>
    <w:rsid w:val="00741AB9"/>
    <w:rsid w:val="00742D03"/>
    <w:rsid w:val="00744216"/>
    <w:rsid w:val="007448B6"/>
    <w:rsid w:val="007452E8"/>
    <w:rsid w:val="0074565C"/>
    <w:rsid w:val="00745B24"/>
    <w:rsid w:val="00746990"/>
    <w:rsid w:val="00747093"/>
    <w:rsid w:val="00750D70"/>
    <w:rsid w:val="007575D0"/>
    <w:rsid w:val="00764ACE"/>
    <w:rsid w:val="007662E0"/>
    <w:rsid w:val="00767988"/>
    <w:rsid w:val="00774B09"/>
    <w:rsid w:val="0077576D"/>
    <w:rsid w:val="00776E9C"/>
    <w:rsid w:val="007804A3"/>
    <w:rsid w:val="00780FE3"/>
    <w:rsid w:val="0078100E"/>
    <w:rsid w:val="007816D8"/>
    <w:rsid w:val="00784150"/>
    <w:rsid w:val="00784C30"/>
    <w:rsid w:val="0079324D"/>
    <w:rsid w:val="00793272"/>
    <w:rsid w:val="0079499A"/>
    <w:rsid w:val="00794B64"/>
    <w:rsid w:val="007967C3"/>
    <w:rsid w:val="007A0A33"/>
    <w:rsid w:val="007A5AB5"/>
    <w:rsid w:val="007A5E1A"/>
    <w:rsid w:val="007A7B5E"/>
    <w:rsid w:val="007B04DE"/>
    <w:rsid w:val="007B0AE6"/>
    <w:rsid w:val="007B3297"/>
    <w:rsid w:val="007C0F0B"/>
    <w:rsid w:val="007C4E7F"/>
    <w:rsid w:val="007C57BC"/>
    <w:rsid w:val="007D04CA"/>
    <w:rsid w:val="007D0A2B"/>
    <w:rsid w:val="007D12A1"/>
    <w:rsid w:val="007D40E5"/>
    <w:rsid w:val="007D4138"/>
    <w:rsid w:val="007D705D"/>
    <w:rsid w:val="007D7D25"/>
    <w:rsid w:val="007E4178"/>
    <w:rsid w:val="007E4BCE"/>
    <w:rsid w:val="007E4FF8"/>
    <w:rsid w:val="007E6443"/>
    <w:rsid w:val="007E69BA"/>
    <w:rsid w:val="007F0A77"/>
    <w:rsid w:val="007F1E37"/>
    <w:rsid w:val="007F50D3"/>
    <w:rsid w:val="007F6B1F"/>
    <w:rsid w:val="008013F0"/>
    <w:rsid w:val="00803926"/>
    <w:rsid w:val="008044CC"/>
    <w:rsid w:val="00804897"/>
    <w:rsid w:val="00814FEB"/>
    <w:rsid w:val="008244FE"/>
    <w:rsid w:val="008329DB"/>
    <w:rsid w:val="00834F89"/>
    <w:rsid w:val="008361C5"/>
    <w:rsid w:val="0083628F"/>
    <w:rsid w:val="00836FDC"/>
    <w:rsid w:val="00837AB9"/>
    <w:rsid w:val="00840A7E"/>
    <w:rsid w:val="00850637"/>
    <w:rsid w:val="00854D98"/>
    <w:rsid w:val="0085751E"/>
    <w:rsid w:val="00860B29"/>
    <w:rsid w:val="008622E8"/>
    <w:rsid w:val="008645EE"/>
    <w:rsid w:val="00865144"/>
    <w:rsid w:val="00870144"/>
    <w:rsid w:val="0087072C"/>
    <w:rsid w:val="00871312"/>
    <w:rsid w:val="00873D7A"/>
    <w:rsid w:val="0087682E"/>
    <w:rsid w:val="00877CB3"/>
    <w:rsid w:val="008804CF"/>
    <w:rsid w:val="00882D58"/>
    <w:rsid w:val="00882F19"/>
    <w:rsid w:val="00883D35"/>
    <w:rsid w:val="00884569"/>
    <w:rsid w:val="00887A51"/>
    <w:rsid w:val="0089038A"/>
    <w:rsid w:val="00890D9B"/>
    <w:rsid w:val="00891C6C"/>
    <w:rsid w:val="00893CCD"/>
    <w:rsid w:val="008964B3"/>
    <w:rsid w:val="00896850"/>
    <w:rsid w:val="008B0FED"/>
    <w:rsid w:val="008B1CB5"/>
    <w:rsid w:val="008C2D69"/>
    <w:rsid w:val="008C4579"/>
    <w:rsid w:val="008C49C6"/>
    <w:rsid w:val="008C754C"/>
    <w:rsid w:val="008D543C"/>
    <w:rsid w:val="008D56C9"/>
    <w:rsid w:val="008D56CA"/>
    <w:rsid w:val="008D6A54"/>
    <w:rsid w:val="008E2585"/>
    <w:rsid w:val="008E2D7A"/>
    <w:rsid w:val="008E6B20"/>
    <w:rsid w:val="008F3215"/>
    <w:rsid w:val="008F4A62"/>
    <w:rsid w:val="008F7256"/>
    <w:rsid w:val="00903461"/>
    <w:rsid w:val="0090424C"/>
    <w:rsid w:val="0090605E"/>
    <w:rsid w:val="00906C74"/>
    <w:rsid w:val="009108CE"/>
    <w:rsid w:val="00915A9F"/>
    <w:rsid w:val="00916E77"/>
    <w:rsid w:val="00930D58"/>
    <w:rsid w:val="00935AAA"/>
    <w:rsid w:val="0095031E"/>
    <w:rsid w:val="00954297"/>
    <w:rsid w:val="00960A56"/>
    <w:rsid w:val="00966EF1"/>
    <w:rsid w:val="00967223"/>
    <w:rsid w:val="00974138"/>
    <w:rsid w:val="00974492"/>
    <w:rsid w:val="009751F7"/>
    <w:rsid w:val="0098168B"/>
    <w:rsid w:val="0098350E"/>
    <w:rsid w:val="00990C12"/>
    <w:rsid w:val="0099404F"/>
    <w:rsid w:val="00996FA5"/>
    <w:rsid w:val="0099713C"/>
    <w:rsid w:val="009A39F5"/>
    <w:rsid w:val="009B1EBB"/>
    <w:rsid w:val="009B5662"/>
    <w:rsid w:val="009B5DB8"/>
    <w:rsid w:val="009C2211"/>
    <w:rsid w:val="009C2B8E"/>
    <w:rsid w:val="009C40E8"/>
    <w:rsid w:val="009C45C5"/>
    <w:rsid w:val="009E6858"/>
    <w:rsid w:val="009E6F8C"/>
    <w:rsid w:val="009F254C"/>
    <w:rsid w:val="009F405F"/>
    <w:rsid w:val="009F4D94"/>
    <w:rsid w:val="00A01C56"/>
    <w:rsid w:val="00A170DC"/>
    <w:rsid w:val="00A23D94"/>
    <w:rsid w:val="00A257BE"/>
    <w:rsid w:val="00A32C50"/>
    <w:rsid w:val="00A358E7"/>
    <w:rsid w:val="00A4380B"/>
    <w:rsid w:val="00A51A2D"/>
    <w:rsid w:val="00A5596B"/>
    <w:rsid w:val="00A56793"/>
    <w:rsid w:val="00A6166A"/>
    <w:rsid w:val="00A63C07"/>
    <w:rsid w:val="00A63D9B"/>
    <w:rsid w:val="00A67AB3"/>
    <w:rsid w:val="00A704DC"/>
    <w:rsid w:val="00A770A0"/>
    <w:rsid w:val="00A8106F"/>
    <w:rsid w:val="00A93DC6"/>
    <w:rsid w:val="00A9411A"/>
    <w:rsid w:val="00AA369F"/>
    <w:rsid w:val="00AA4A4B"/>
    <w:rsid w:val="00AA4CAE"/>
    <w:rsid w:val="00AA6682"/>
    <w:rsid w:val="00AA763D"/>
    <w:rsid w:val="00AB0408"/>
    <w:rsid w:val="00AB0613"/>
    <w:rsid w:val="00AB3F3C"/>
    <w:rsid w:val="00AB6DEF"/>
    <w:rsid w:val="00AB7C5C"/>
    <w:rsid w:val="00AB7CBF"/>
    <w:rsid w:val="00AC75F8"/>
    <w:rsid w:val="00AD0111"/>
    <w:rsid w:val="00AD089E"/>
    <w:rsid w:val="00AD0B68"/>
    <w:rsid w:val="00AD40C3"/>
    <w:rsid w:val="00AD4C72"/>
    <w:rsid w:val="00AD5451"/>
    <w:rsid w:val="00AE1947"/>
    <w:rsid w:val="00AE5966"/>
    <w:rsid w:val="00AE7526"/>
    <w:rsid w:val="00AF1C8B"/>
    <w:rsid w:val="00AF299B"/>
    <w:rsid w:val="00AF530C"/>
    <w:rsid w:val="00AF7E43"/>
    <w:rsid w:val="00B02AE0"/>
    <w:rsid w:val="00B02D6A"/>
    <w:rsid w:val="00B03F25"/>
    <w:rsid w:val="00B05326"/>
    <w:rsid w:val="00B14545"/>
    <w:rsid w:val="00B14E60"/>
    <w:rsid w:val="00B17BA2"/>
    <w:rsid w:val="00B26DC3"/>
    <w:rsid w:val="00B30B9D"/>
    <w:rsid w:val="00B32608"/>
    <w:rsid w:val="00B32D3F"/>
    <w:rsid w:val="00B4574D"/>
    <w:rsid w:val="00B46224"/>
    <w:rsid w:val="00B468E1"/>
    <w:rsid w:val="00B46BC0"/>
    <w:rsid w:val="00B46DFB"/>
    <w:rsid w:val="00B5141B"/>
    <w:rsid w:val="00B54BA4"/>
    <w:rsid w:val="00B55681"/>
    <w:rsid w:val="00B57AAD"/>
    <w:rsid w:val="00B61CDF"/>
    <w:rsid w:val="00B62DB5"/>
    <w:rsid w:val="00B6374E"/>
    <w:rsid w:val="00B72B16"/>
    <w:rsid w:val="00B80408"/>
    <w:rsid w:val="00B8078E"/>
    <w:rsid w:val="00B81397"/>
    <w:rsid w:val="00B925DB"/>
    <w:rsid w:val="00B967FF"/>
    <w:rsid w:val="00B974B9"/>
    <w:rsid w:val="00BA3F6D"/>
    <w:rsid w:val="00BA4BE6"/>
    <w:rsid w:val="00BA4FC0"/>
    <w:rsid w:val="00BA61E0"/>
    <w:rsid w:val="00BA657C"/>
    <w:rsid w:val="00BA7F7D"/>
    <w:rsid w:val="00BB1C14"/>
    <w:rsid w:val="00BB6847"/>
    <w:rsid w:val="00BB7F8F"/>
    <w:rsid w:val="00BC3EF9"/>
    <w:rsid w:val="00BC716A"/>
    <w:rsid w:val="00BD07DF"/>
    <w:rsid w:val="00BD15C7"/>
    <w:rsid w:val="00BD26F4"/>
    <w:rsid w:val="00BD4182"/>
    <w:rsid w:val="00BD5DBD"/>
    <w:rsid w:val="00BD5DF6"/>
    <w:rsid w:val="00BE0041"/>
    <w:rsid w:val="00BE011E"/>
    <w:rsid w:val="00BE640F"/>
    <w:rsid w:val="00BE6D2A"/>
    <w:rsid w:val="00BF31FB"/>
    <w:rsid w:val="00BF4638"/>
    <w:rsid w:val="00BF502D"/>
    <w:rsid w:val="00BF5130"/>
    <w:rsid w:val="00BF7AC5"/>
    <w:rsid w:val="00C00844"/>
    <w:rsid w:val="00C020D0"/>
    <w:rsid w:val="00C059D0"/>
    <w:rsid w:val="00C07551"/>
    <w:rsid w:val="00C1109F"/>
    <w:rsid w:val="00C120F1"/>
    <w:rsid w:val="00C12D65"/>
    <w:rsid w:val="00C133AB"/>
    <w:rsid w:val="00C20B56"/>
    <w:rsid w:val="00C22214"/>
    <w:rsid w:val="00C26F72"/>
    <w:rsid w:val="00C309A7"/>
    <w:rsid w:val="00C335AB"/>
    <w:rsid w:val="00C407AB"/>
    <w:rsid w:val="00C421B5"/>
    <w:rsid w:val="00C52B7B"/>
    <w:rsid w:val="00C547CD"/>
    <w:rsid w:val="00C570FF"/>
    <w:rsid w:val="00C57CEA"/>
    <w:rsid w:val="00C60FEC"/>
    <w:rsid w:val="00C62B1C"/>
    <w:rsid w:val="00C6574E"/>
    <w:rsid w:val="00C663D1"/>
    <w:rsid w:val="00C707FD"/>
    <w:rsid w:val="00C76DEB"/>
    <w:rsid w:val="00C811D8"/>
    <w:rsid w:val="00C816C6"/>
    <w:rsid w:val="00C84E9B"/>
    <w:rsid w:val="00C863A7"/>
    <w:rsid w:val="00C912F4"/>
    <w:rsid w:val="00C9156F"/>
    <w:rsid w:val="00C93183"/>
    <w:rsid w:val="00C9581A"/>
    <w:rsid w:val="00C96D3F"/>
    <w:rsid w:val="00C97D29"/>
    <w:rsid w:val="00CB0550"/>
    <w:rsid w:val="00CB5937"/>
    <w:rsid w:val="00CB6813"/>
    <w:rsid w:val="00CC036D"/>
    <w:rsid w:val="00CC60D2"/>
    <w:rsid w:val="00CD093B"/>
    <w:rsid w:val="00CD4A04"/>
    <w:rsid w:val="00CF6A55"/>
    <w:rsid w:val="00CF6DC6"/>
    <w:rsid w:val="00CF6DCF"/>
    <w:rsid w:val="00D01DDB"/>
    <w:rsid w:val="00D078BE"/>
    <w:rsid w:val="00D13F8A"/>
    <w:rsid w:val="00D1582C"/>
    <w:rsid w:val="00D16F60"/>
    <w:rsid w:val="00D22981"/>
    <w:rsid w:val="00D3349B"/>
    <w:rsid w:val="00D4224B"/>
    <w:rsid w:val="00D424A8"/>
    <w:rsid w:val="00D43EFA"/>
    <w:rsid w:val="00D53496"/>
    <w:rsid w:val="00D5577D"/>
    <w:rsid w:val="00D6036F"/>
    <w:rsid w:val="00D61AE8"/>
    <w:rsid w:val="00D62877"/>
    <w:rsid w:val="00D63760"/>
    <w:rsid w:val="00D64AA2"/>
    <w:rsid w:val="00D6703F"/>
    <w:rsid w:val="00D675C3"/>
    <w:rsid w:val="00D734EB"/>
    <w:rsid w:val="00D73D31"/>
    <w:rsid w:val="00D77A31"/>
    <w:rsid w:val="00D808C4"/>
    <w:rsid w:val="00D82713"/>
    <w:rsid w:val="00D84CD5"/>
    <w:rsid w:val="00D86F00"/>
    <w:rsid w:val="00D918D5"/>
    <w:rsid w:val="00D91C52"/>
    <w:rsid w:val="00D94B1D"/>
    <w:rsid w:val="00D94C8E"/>
    <w:rsid w:val="00DA4C19"/>
    <w:rsid w:val="00DA69DF"/>
    <w:rsid w:val="00DB1372"/>
    <w:rsid w:val="00DB192C"/>
    <w:rsid w:val="00DB1CF3"/>
    <w:rsid w:val="00DB5425"/>
    <w:rsid w:val="00DB72A6"/>
    <w:rsid w:val="00DC1F14"/>
    <w:rsid w:val="00DC33AF"/>
    <w:rsid w:val="00DC6611"/>
    <w:rsid w:val="00DD300E"/>
    <w:rsid w:val="00DD5AFB"/>
    <w:rsid w:val="00DE1344"/>
    <w:rsid w:val="00DE47EA"/>
    <w:rsid w:val="00DE634D"/>
    <w:rsid w:val="00DF1CFD"/>
    <w:rsid w:val="00DF5BFE"/>
    <w:rsid w:val="00DF6646"/>
    <w:rsid w:val="00E040BA"/>
    <w:rsid w:val="00E0523F"/>
    <w:rsid w:val="00E07050"/>
    <w:rsid w:val="00E16375"/>
    <w:rsid w:val="00E23E50"/>
    <w:rsid w:val="00E26213"/>
    <w:rsid w:val="00E26651"/>
    <w:rsid w:val="00E274DF"/>
    <w:rsid w:val="00E34D66"/>
    <w:rsid w:val="00E362C4"/>
    <w:rsid w:val="00E46CC2"/>
    <w:rsid w:val="00E47E0C"/>
    <w:rsid w:val="00E51813"/>
    <w:rsid w:val="00E528E3"/>
    <w:rsid w:val="00E52C0B"/>
    <w:rsid w:val="00E53D3F"/>
    <w:rsid w:val="00E5579B"/>
    <w:rsid w:val="00E57FF4"/>
    <w:rsid w:val="00E673DD"/>
    <w:rsid w:val="00E679D1"/>
    <w:rsid w:val="00E67C1C"/>
    <w:rsid w:val="00E7320C"/>
    <w:rsid w:val="00E74572"/>
    <w:rsid w:val="00E85209"/>
    <w:rsid w:val="00E91F11"/>
    <w:rsid w:val="00E9706D"/>
    <w:rsid w:val="00EA3AF4"/>
    <w:rsid w:val="00EA3C8D"/>
    <w:rsid w:val="00EA72A7"/>
    <w:rsid w:val="00EC3464"/>
    <w:rsid w:val="00ED45C0"/>
    <w:rsid w:val="00EE4B01"/>
    <w:rsid w:val="00EE7A18"/>
    <w:rsid w:val="00EF0016"/>
    <w:rsid w:val="00EF3F0B"/>
    <w:rsid w:val="00EF5583"/>
    <w:rsid w:val="00F0289D"/>
    <w:rsid w:val="00F02AEC"/>
    <w:rsid w:val="00F07572"/>
    <w:rsid w:val="00F10DD0"/>
    <w:rsid w:val="00F148FC"/>
    <w:rsid w:val="00F157FC"/>
    <w:rsid w:val="00F30AF3"/>
    <w:rsid w:val="00F43CD1"/>
    <w:rsid w:val="00F45AE0"/>
    <w:rsid w:val="00F53690"/>
    <w:rsid w:val="00F569F5"/>
    <w:rsid w:val="00F60CF2"/>
    <w:rsid w:val="00F63CB9"/>
    <w:rsid w:val="00F657B4"/>
    <w:rsid w:val="00F7105D"/>
    <w:rsid w:val="00F72725"/>
    <w:rsid w:val="00F7649F"/>
    <w:rsid w:val="00F8083B"/>
    <w:rsid w:val="00F82D1B"/>
    <w:rsid w:val="00F8448B"/>
    <w:rsid w:val="00F8568E"/>
    <w:rsid w:val="00F865A7"/>
    <w:rsid w:val="00FA0754"/>
    <w:rsid w:val="00FA1BC9"/>
    <w:rsid w:val="00FA49C3"/>
    <w:rsid w:val="00FB236E"/>
    <w:rsid w:val="00FB3F7B"/>
    <w:rsid w:val="00FB4C2A"/>
    <w:rsid w:val="00FB7FED"/>
    <w:rsid w:val="00FC2107"/>
    <w:rsid w:val="00FC48FE"/>
    <w:rsid w:val="00FC6F56"/>
    <w:rsid w:val="00FD43F8"/>
    <w:rsid w:val="00FE087C"/>
    <w:rsid w:val="00FE576D"/>
    <w:rsid w:val="00FE79A0"/>
    <w:rsid w:val="00FF0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51"/>
    <w:rPr>
      <w:rFonts w:ascii="Cambria" w:hAnsi="Cambria"/>
      <w:sz w:val="22"/>
    </w:rPr>
  </w:style>
  <w:style w:type="paragraph" w:styleId="Heading1">
    <w:name w:val="heading 1"/>
    <w:basedOn w:val="Normal"/>
    <w:next w:val="Normal"/>
    <w:link w:val="Heading1Char"/>
    <w:uiPriority w:val="9"/>
    <w:qFormat/>
    <w:rsid w:val="009034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rsid w:val="00F02AEC"/>
    <w:pPr>
      <w:numPr>
        <w:numId w:val="5"/>
      </w:numPr>
      <w:tabs>
        <w:tab w:val="left" w:pos="425"/>
      </w:tabs>
    </w:pPr>
  </w:style>
  <w:style w:type="paragraph" w:customStyle="1" w:styleId="ListBullet-donotcross">
    <w:name w:val="List Bullet - do not (cross)"/>
    <w:basedOn w:val="ListBullet"/>
    <w:autoRedefine/>
    <w:uiPriority w:val="1"/>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5B69CF"/>
    <w:rPr>
      <w:color w:val="000000" w:themeColor="text1"/>
      <w:sz w:val="22"/>
      <w:lang w:val="en-GB"/>
    </w:rPr>
  </w:style>
  <w:style w:type="paragraph" w:customStyle="1" w:styleId="FigureTitle">
    <w:name w:val="Figure Title"/>
    <w:basedOn w:val="Normal"/>
    <w:qFormat/>
    <w:rsid w:val="00AB0613"/>
    <w:pPr>
      <w:keepNext/>
    </w:pPr>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10558A"/>
    <w:pPr>
      <w:spacing w:before="120"/>
    </w:pPr>
    <w:rPr>
      <w:b w:val="0"/>
      <w:sz w:val="19"/>
    </w:rPr>
  </w:style>
  <w:style w:type="paragraph" w:styleId="ListParagraph">
    <w:name w:val="List Paragraph"/>
    <w:basedOn w:val="Normal"/>
    <w:link w:val="ListParagraphChar"/>
    <w:uiPriority w:val="34"/>
    <w:qFormat/>
    <w:rsid w:val="006B7126"/>
    <w:pPr>
      <w:spacing w:after="160"/>
      <w:ind w:left="720"/>
      <w:contextualSpacing/>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B7126"/>
    <w:rPr>
      <w:rFonts w:ascii="Times New Roman" w:hAnsi="Times New Roman" w:cs="Times New Roman"/>
      <w:sz w:val="24"/>
      <w:szCs w:val="24"/>
    </w:rPr>
  </w:style>
  <w:style w:type="paragraph" w:customStyle="1" w:styleId="Indication">
    <w:name w:val="Indication"/>
    <w:basedOn w:val="Normal"/>
    <w:next w:val="Normal"/>
    <w:qFormat/>
    <w:rsid w:val="00BA3F6D"/>
    <w:pPr>
      <w:spacing w:before="120" w:line="240" w:lineRule="atLeast"/>
      <w:ind w:left="720"/>
      <w:contextualSpacing/>
    </w:pPr>
    <w:rPr>
      <w:i/>
      <w:color w:val="000000" w:themeColor="text1"/>
    </w:rPr>
  </w:style>
  <w:style w:type="paragraph" w:customStyle="1" w:styleId="DelegatesQuestions">
    <w:name w:val="Delegate's Questions"/>
    <w:basedOn w:val="Numberbullet0"/>
    <w:qFormat/>
    <w:rsid w:val="007575D0"/>
    <w:rPr>
      <w:b/>
      <w:bCs/>
      <w:i/>
      <w:iCs/>
    </w:rPr>
  </w:style>
  <w:style w:type="character" w:customStyle="1" w:styleId="Heading1Char">
    <w:name w:val="Heading 1 Char"/>
    <w:basedOn w:val="DefaultParagraphFont"/>
    <w:link w:val="Heading1"/>
    <w:uiPriority w:val="9"/>
    <w:rsid w:val="0090346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021B1"/>
    <w:pPr>
      <w:widowControl w:val="0"/>
      <w:autoSpaceDE w:val="0"/>
      <w:autoSpaceDN w:val="0"/>
      <w:spacing w:after="0" w:line="240" w:lineRule="auto"/>
    </w:pPr>
    <w:rPr>
      <w:rFonts w:eastAsia="Cambria" w:cs="Cambria"/>
      <w:szCs w:val="22"/>
      <w:lang w:val="en-US"/>
    </w:rPr>
  </w:style>
  <w:style w:type="character" w:customStyle="1" w:styleId="BodyTextChar">
    <w:name w:val="Body Text Char"/>
    <w:basedOn w:val="DefaultParagraphFont"/>
    <w:link w:val="BodyText"/>
    <w:uiPriority w:val="1"/>
    <w:rsid w:val="001021B1"/>
    <w:rPr>
      <w:rFonts w:ascii="Cambria" w:eastAsia="Cambria" w:hAnsi="Cambria" w:cs="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ga.gov.au/australian-public-assessment-report-auspar-guidance" TargetMode="External"/><Relationship Id="rId26" Type="http://schemas.openxmlformats.org/officeDocument/2006/relationships/hyperlink" Target="https://www.tga.gov.au/resources/artg?keywords=27962" TargetMode="External"/><Relationship Id="rId3" Type="http://schemas.openxmlformats.org/officeDocument/2006/relationships/customXml" Target="../customXml/item3.xml"/><Relationship Id="rId21" Type="http://schemas.openxmlformats.org/officeDocument/2006/relationships/hyperlink" Target="https://www.tga.gov.au/resources/artg/437511"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tga.gov.au/" TargetMode="External"/><Relationship Id="rId25" Type="http://schemas.openxmlformats.org/officeDocument/2006/relationships/hyperlink" Target="https://healthgov-my.sharepoint.com/personal/angelo_theodoratos_health_gov_au/Documents/Desktop/275372"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tga.gov.au/resources/artg/437512"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obstetric-drug-information-services" TargetMode="External"/><Relationship Id="rId32" Type="http://schemas.openxmlformats.org/officeDocument/2006/relationships/hyperlink" Target="https://www.tga.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ga.gov.au/products/medicines/find-information-about-medicine/prescribing-medicines-pregnancy-database" TargetMode="External"/><Relationship Id="rId28" Type="http://schemas.openxmlformats.org/officeDocument/2006/relationships/hyperlink" Target="https://www.ebs.tga.gov.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ga.copyright@tga.gov.au" TargetMode="External"/><Relationship Id="rId31" Type="http://schemas.openxmlformats.org/officeDocument/2006/relationships/hyperlink" Target="mailto:info@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black-triangle-scheme" TargetMode="External"/><Relationship Id="rId27" Type="http://schemas.openxmlformats.org/officeDocument/2006/relationships/hyperlink" Target="https://www.tga.gov.au/how-we-regulate/supply-therapeutic-good-0/supply-prescription-medicine/application-process/prescription-medicines-registration-process" TargetMode="Externa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uptodate.com/contents/interpretation-of-prostate-biopsy" TargetMode="External"/><Relationship Id="rId3" Type="http://schemas.openxmlformats.org/officeDocument/2006/relationships/hyperlink" Target="https://ncci.canceraustralia.gov.au/outcomes/cancer-mortality/cancer-mortality" TargetMode="External"/><Relationship Id="rId7" Type="http://schemas.openxmlformats.org/officeDocument/2006/relationships/hyperlink" Target="https://seer.cancer.gov/statistics-network/explorer/application.html?site=1&amp;data_type=1&amp;graph_type=2&amp;compareBy=sex&amp;chk_sex_3=3&amp;chk_sex_2=2&amp;rate_type=2&amp;race=1&amp;age_range=1&amp;hdn_stage=101&amp;advopt_precision=1&amp;advopt_show_ci=on" TargetMode="External"/><Relationship Id="rId12" Type="http://schemas.openxmlformats.org/officeDocument/2006/relationships/hyperlink" Target="https://www.tga.gov.au/resources/resources/user-guide/fixed-combination-prescription-medicines" TargetMode="External"/><Relationship Id="rId2" Type="http://schemas.openxmlformats.org/officeDocument/2006/relationships/hyperlink" Target="https://ncci.canceraustralia.gov.au/diagnosis/cancer-incidence/cancer-incidence" TargetMode="External"/><Relationship Id="rId1" Type="http://schemas.openxmlformats.org/officeDocument/2006/relationships/hyperlink" Target="https://www.canceraustralia.gov.au/cancer-types/prostate-cancer/prostate-cancer-australia-statistics" TargetMode="External"/><Relationship Id="rId6" Type="http://schemas.openxmlformats.org/officeDocument/2006/relationships/hyperlink" Target="https://www.uptodate.com/contents/clinical-presentation-and-diagnosis-of-prostate-cancer" TargetMode="External"/><Relationship Id="rId11" Type="http://schemas.openxmlformats.org/officeDocument/2006/relationships/hyperlink" Target="https://www.tga.gov.au/sites/default/files/auspar-prednisone-130613.pdf" TargetMode="External"/><Relationship Id="rId5" Type="http://schemas.openxmlformats.org/officeDocument/2006/relationships/hyperlink" Target="https://ncci.canceraustralia.gov.au/outcomes/relative-survival-rate/5-year-relative-survival-diagnosis" TargetMode="External"/><Relationship Id="rId10" Type="http://schemas.openxmlformats.org/officeDocument/2006/relationships/hyperlink" Target="https://www.tga.gov.au/resources/auspar/auspar-abiraterone-acetate" TargetMode="External"/><Relationship Id="rId4" Type="http://schemas.openxmlformats.org/officeDocument/2006/relationships/hyperlink" Target="https://seer.cancer.gov/statfacts/html/prost.html" TargetMode="External"/><Relationship Id="rId9" Type="http://schemas.openxmlformats.org/officeDocument/2006/relationships/hyperlink" Target="https://www.uptodate.com/contents/overview-of-systemic-treatment-for-recurrent-or-metastatic-castration-sensitive-prostate-cance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4B8FC0AE3714FB4AE43F759DB5356" ma:contentTypeVersion="18" ma:contentTypeDescription="Create a new document." ma:contentTypeScope="" ma:versionID="0a10c881ab304aeeffe81e094098ef5f">
  <xsd:schema xmlns:xsd="http://www.w3.org/2001/XMLSchema" xmlns:xs="http://www.w3.org/2001/XMLSchema" xmlns:p="http://schemas.microsoft.com/office/2006/metadata/properties" xmlns:ns2="97ae28c0-39c3-4c41-be19-9b8780b5123e" xmlns:ns3="ccdf0fc3-4810-4036-9a3e-cdd6969bbc8b" targetNamespace="http://schemas.microsoft.com/office/2006/metadata/properties" ma:root="true" ma:fieldsID="b2a12bf859e0cb9030a233e73b978d30" ns2:_="" ns3:_="">
    <xsd:import namespace="97ae28c0-39c3-4c41-be19-9b8780b5123e"/>
    <xsd:import namespace="ccdf0fc3-4810-4036-9a3e-cdd6969bbc8b"/>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e28c0-39c3-4c41-be19-9b8780b5123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c95266-55d7-46e2-ae79-db11ca01770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f0fc3-4810-4036-9a3e-cdd6969bbc8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d7c862-253b-42d0-b9b5-0db82a953c35}" ma:internalName="TaxCatchAll" ma:showField="CatchAllData" ma:web="ccdf0fc3-4810-4036-9a3e-cdd6969bb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e28c0-39c3-4c41-be19-9b8780b5123e">
      <Terms xmlns="http://schemas.microsoft.com/office/infopath/2007/PartnerControls"/>
    </lcf76f155ced4ddcb4097134ff3c332f>
    <MigrationWizId xmlns="97ae28c0-39c3-4c41-be19-9b8780b5123e" xsi:nil="true"/>
    <MigrationWizIdPermissionLevels xmlns="97ae28c0-39c3-4c41-be19-9b8780b5123e" xsi:nil="true"/>
    <TaxCatchAll xmlns="ccdf0fc3-4810-4036-9a3e-cdd6969bbc8b" xsi:nil="true"/>
    <MigrationWizIdDocumentLibraryPermissions xmlns="97ae28c0-39c3-4c41-be19-9b8780b5123e" xsi:nil="true"/>
    <MigrationWizIdSecurityGroups xmlns="97ae28c0-39c3-4c41-be19-9b8780b5123e" xsi:nil="true"/>
    <MigrationWizIdPermissions xmlns="97ae28c0-39c3-4c41-be19-9b8780b5123e" xsi:nil="true"/>
    <MigrationWizIdVersion xmlns="97ae28c0-39c3-4c41-be19-9b8780b512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754D2-FBDA-408E-924B-A6C4C8415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e28c0-39c3-4c41-be19-9b8780b5123e"/>
    <ds:schemaRef ds:uri="ccdf0fc3-4810-4036-9a3e-cdd6969bb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customXml/itemProps3.xml><?xml version="1.0" encoding="utf-8"?>
<ds:datastoreItem xmlns:ds="http://schemas.openxmlformats.org/officeDocument/2006/customXml" ds:itemID="{45A66A0B-6CD2-44AA-922F-684940DDF970}">
  <ds:schemaRefs>
    <ds:schemaRef ds:uri="http://schemas.microsoft.com/office/2006/metadata/properties"/>
    <ds:schemaRef ds:uri="http://schemas.microsoft.com/office/infopath/2007/PartnerControls"/>
    <ds:schemaRef ds:uri="97ae28c0-39c3-4c41-be19-9b8780b5123e"/>
    <ds:schemaRef ds:uri="ccdf0fc3-4810-4036-9a3e-cdd6969bbc8b"/>
  </ds:schemaRefs>
</ds:datastoreItem>
</file>

<file path=customXml/itemProps4.xml><?xml version="1.0" encoding="utf-8"?>
<ds:datastoreItem xmlns:ds="http://schemas.openxmlformats.org/officeDocument/2006/customXml" ds:itemID="{82A8B987-D4B7-47C1-851F-1CB91B766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17</Pages>
  <Words>4739</Words>
  <Characters>27921</Characters>
  <Application>Microsoft Office Word</Application>
  <DocSecurity>0</DocSecurity>
  <Lines>568</Lines>
  <Paragraphs>296</Paragraphs>
  <ScaleCrop>false</ScaleCrop>
  <HeadingPairs>
    <vt:vector size="2" baseType="variant">
      <vt:variant>
        <vt:lpstr>Title</vt:lpstr>
      </vt:variant>
      <vt:variant>
        <vt:i4>1</vt:i4>
      </vt:variant>
    </vt:vector>
  </HeadingPairs>
  <TitlesOfParts>
    <vt:vector size="1" baseType="lpstr">
      <vt:lpstr>Australian Public Assessment Report for Andriga</vt:lpstr>
    </vt:vector>
  </TitlesOfParts>
  <Company>Department of Health, Disability and Ageing</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Andriga</dc:title>
  <dc:subject>Prescription medicines</dc:subject>
  <dc:creator>Therapeutic Goods Administration</dc:creator>
  <cp:keywords/>
  <dc:description/>
  <dcterms:created xsi:type="dcterms:W3CDTF">2026-03-27T03:41:00Z</dcterms:created>
  <dcterms:modified xsi:type="dcterms:W3CDTF">2026-03-27T04:34:00Z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531f83f9,2ebff39c,5e0ccc27,69b65320,1d12e39c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1733f83e,69c2b6dd,39fef80f,322f80f5,3638ef13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2026-01-08T03:49:00Z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813969f0-483d-4e03-912d-ee2c69b78162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0x010100BB84B8FC0AE3714FB4AE43F759DB5356</vt:lpwstr>
  </property>
  <property fmtid="{D5CDD505-2E9C-101B-9397-08002B2CF9AE}" pid="17" name="MediaServiceImageTags">
    <vt:lpwstr/>
  </property>
</Properties>
</file>