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411A1A" w14:paraId="08AE1D54" w14:textId="77777777" w:rsidTr="00346EC2">
        <w:trPr>
          <w:trHeight w:val="1558"/>
        </w:trPr>
        <w:tc>
          <w:tcPr>
            <w:tcW w:w="8720" w:type="dxa"/>
          </w:tcPr>
          <w:p w14:paraId="2538A211" w14:textId="7035F5F8" w:rsidR="00F02AEC" w:rsidRPr="00215D48" w:rsidRDefault="00E01DCC" w:rsidP="007452E8">
            <w:pPr>
              <w:pStyle w:val="Title"/>
            </w:pPr>
            <w:r w:rsidRPr="00346EC2">
              <w:t>Australian Public Assessment Report for</w:t>
            </w:r>
            <w:r w:rsidR="00C11246">
              <w:t xml:space="preserve"> </w:t>
            </w:r>
            <w:bookmarkStart w:id="0" w:name="_Hlk221522629"/>
            <w:r w:rsidR="00C11246">
              <w:t>Ra</w:t>
            </w:r>
            <w:r w:rsidR="00DB61D3">
              <w:t>piblyk</w:t>
            </w:r>
            <w:bookmarkEnd w:id="0"/>
          </w:p>
        </w:tc>
      </w:tr>
      <w:tr w:rsidR="00411A1A" w14:paraId="318A40A3" w14:textId="77777777" w:rsidTr="00346EC2">
        <w:trPr>
          <w:trHeight w:val="995"/>
        </w:trPr>
        <w:tc>
          <w:tcPr>
            <w:tcW w:w="8720" w:type="dxa"/>
          </w:tcPr>
          <w:p w14:paraId="1AA7C701" w14:textId="68E28BD5" w:rsidR="00F02AEC" w:rsidRPr="00215D48" w:rsidRDefault="00E01DCC" w:rsidP="007452E8">
            <w:pPr>
              <w:pStyle w:val="Subtitle"/>
              <w:ind w:left="0"/>
            </w:pPr>
            <w:r w:rsidRPr="00346EC2">
              <w:t>Active ingredient:</w:t>
            </w:r>
            <w:r w:rsidR="00AC063F">
              <w:t xml:space="preserve"> </w:t>
            </w:r>
            <w:bookmarkStart w:id="1" w:name="_Hlk221522693"/>
            <w:proofErr w:type="spellStart"/>
            <w:r w:rsidR="00EB6970">
              <w:t>L</w:t>
            </w:r>
            <w:r w:rsidR="00EB6970" w:rsidRPr="00AC063F">
              <w:t>andiolol</w:t>
            </w:r>
            <w:proofErr w:type="spellEnd"/>
            <w:r w:rsidR="00EB6970" w:rsidRPr="00AC063F">
              <w:t xml:space="preserve"> hydrochloride</w:t>
            </w:r>
            <w:bookmarkEnd w:id="1"/>
          </w:p>
        </w:tc>
      </w:tr>
      <w:tr w:rsidR="00411A1A" w14:paraId="362CCAE4" w14:textId="77777777" w:rsidTr="007452E8">
        <w:trPr>
          <w:trHeight w:val="1916"/>
        </w:trPr>
        <w:tc>
          <w:tcPr>
            <w:tcW w:w="8720" w:type="dxa"/>
          </w:tcPr>
          <w:p w14:paraId="709C45C0" w14:textId="2529481F" w:rsidR="00346EC2" w:rsidRPr="00215D48" w:rsidRDefault="00E01DCC" w:rsidP="007452E8">
            <w:pPr>
              <w:pStyle w:val="Subtitle"/>
              <w:ind w:left="0"/>
            </w:pPr>
            <w:r w:rsidRPr="00346EC2">
              <w:t xml:space="preserve">Sponsor: </w:t>
            </w:r>
            <w:r w:rsidR="00CB73FF">
              <w:t>Phebra Pty Ltd</w:t>
            </w:r>
          </w:p>
        </w:tc>
      </w:tr>
      <w:tr w:rsidR="00411A1A" w14:paraId="37F2AA1F" w14:textId="77777777" w:rsidTr="007452E8">
        <w:tc>
          <w:tcPr>
            <w:tcW w:w="8720" w:type="dxa"/>
          </w:tcPr>
          <w:p w14:paraId="1FDE8DCD" w14:textId="50846B0B" w:rsidR="00F02AEC" w:rsidRPr="00215D48" w:rsidRDefault="00007656" w:rsidP="007452E8">
            <w:pPr>
              <w:pStyle w:val="Date"/>
            </w:pPr>
            <w:r>
              <w:t>February</w:t>
            </w:r>
            <w:r w:rsidR="00337FC5">
              <w:t xml:space="preserve"> 202</w:t>
            </w:r>
            <w:r w:rsidR="00E01DCC">
              <w:t>6</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E01DCC" w:rsidP="00346EC2">
      <w:pPr>
        <w:pStyle w:val="NonTOCHeading20"/>
      </w:pPr>
      <w:r w:rsidRPr="001F6CBA">
        <w:lastRenderedPageBreak/>
        <w:t>About the Therapeutic Goods Administration (TGA)</w:t>
      </w:r>
    </w:p>
    <w:p w14:paraId="79558AE9" w14:textId="038D0DA4" w:rsidR="00346EC2" w:rsidRPr="00391B0C" w:rsidRDefault="00E01DCC"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E01DCC"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E01DCC"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E01DCC"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E01DCC" w:rsidP="00346EC2">
      <w:pPr>
        <w:pStyle w:val="ListBullet"/>
      </w:pPr>
      <w:r w:rsidRPr="003C6D1F">
        <w:t xml:space="preserve">To report a problem with a </w:t>
      </w:r>
      <w:r>
        <w:t>therapeutic good</w:t>
      </w:r>
      <w:r w:rsidRPr="003C6D1F">
        <w:t xml:space="preserve">, please see the information on the </w:t>
      </w:r>
      <w:hyperlink r:id="rId15" w:history="1">
        <w:r w:rsidR="00346EC2" w:rsidRPr="00A63C07">
          <w:rPr>
            <w:rStyle w:val="Hyperlink"/>
          </w:rPr>
          <w:t>TGA website</w:t>
        </w:r>
      </w:hyperlink>
      <w:r w:rsidRPr="003C6D1F">
        <w:t>.</w:t>
      </w:r>
    </w:p>
    <w:p w14:paraId="737B7A99" w14:textId="77777777" w:rsidR="00346EC2" w:rsidRDefault="00E01DCC" w:rsidP="00346EC2">
      <w:pPr>
        <w:pStyle w:val="NonTOCHeading20"/>
      </w:pPr>
      <w:r>
        <w:t>About AusPARs</w:t>
      </w:r>
    </w:p>
    <w:p w14:paraId="631B2209" w14:textId="010FE2EE" w:rsidR="00346EC2" w:rsidRPr="003C6D1F" w:rsidRDefault="00E01DCC"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00346EC2" w:rsidRPr="005A2EB8">
          <w:rPr>
            <w:rStyle w:val="Hyperlink"/>
          </w:rPr>
          <w:t>Australian Public Assessment Report (AusPAR) guidance</w:t>
        </w:r>
      </w:hyperlink>
      <w:r>
        <w:t>.</w:t>
      </w:r>
    </w:p>
    <w:p w14:paraId="22F5A730" w14:textId="77777777" w:rsidR="00346EC2" w:rsidRPr="003C6D1F" w:rsidRDefault="00E01DCC" w:rsidP="00346EC2">
      <w:pPr>
        <w:pStyle w:val="ListBullet"/>
      </w:pPr>
      <w:r w:rsidRPr="003C6D1F">
        <w:t>AusPARs are prepared and published by the TGA.</w:t>
      </w:r>
    </w:p>
    <w:p w14:paraId="451B8FD7" w14:textId="77777777" w:rsidR="00346EC2" w:rsidRPr="003C6D1F" w:rsidRDefault="00E01DCC"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E01DCC"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E01DCC" w:rsidP="00FE087C">
      <w:pPr>
        <w:pStyle w:val="LegalSubheading"/>
        <w:spacing w:before="3600"/>
      </w:pPr>
      <w:r w:rsidRPr="00BA0DFC">
        <w:t>Copyright</w:t>
      </w:r>
    </w:p>
    <w:p w14:paraId="170A8A5D" w14:textId="1CC975CB" w:rsidR="00175CD8" w:rsidRPr="00346EC2" w:rsidRDefault="00E01DCC" w:rsidP="00346EC2">
      <w:pPr>
        <w:pStyle w:val="LegalCopy"/>
        <w:rPr>
          <w:rFonts w:cs="Arial"/>
        </w:rPr>
      </w:pPr>
      <w:r w:rsidRPr="00215D48">
        <w:rPr>
          <w:rFonts w:cs="Arial"/>
        </w:rPr>
        <w:t>© Commonwealth of Australia 20</w:t>
      </w:r>
      <w:r>
        <w:rPr>
          <w:rFonts w:cs="Arial"/>
        </w:rPr>
        <w:t>2</w:t>
      </w:r>
      <w:r w:rsidR="00EB6970">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w:t>
      </w:r>
      <w:r w:rsidR="00B84F92">
        <w:rPr>
          <w:rFonts w:cs="Arial"/>
        </w:rPr>
        <w:t xml:space="preserve">, </w:t>
      </w:r>
      <w:r w:rsidRPr="00215D48">
        <w:rPr>
          <w:rFonts w:cs="Arial"/>
        </w:rPr>
        <w:t>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00175CD8"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E01DCC" w:rsidP="007452E8">
          <w:pPr>
            <w:pStyle w:val="NonTOCheading2"/>
          </w:pPr>
          <w:r w:rsidRPr="00215D48">
            <w:t>Contents</w:t>
          </w:r>
        </w:p>
        <w:p w14:paraId="724364DE" w14:textId="3F17EB1C" w:rsidR="009C6BB8" w:rsidRDefault="00E01DC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1110950" w:history="1">
            <w:r w:rsidR="009C6BB8" w:rsidRPr="009F11A0">
              <w:rPr>
                <w:rStyle w:val="Hyperlink"/>
                <w:noProof/>
              </w:rPr>
              <w:t>List of abbreviations</w:t>
            </w:r>
            <w:r w:rsidR="009C6BB8">
              <w:rPr>
                <w:noProof/>
                <w:webHidden/>
              </w:rPr>
              <w:tab/>
            </w:r>
            <w:r w:rsidR="009C6BB8">
              <w:rPr>
                <w:noProof/>
                <w:webHidden/>
              </w:rPr>
              <w:fldChar w:fldCharType="begin"/>
            </w:r>
            <w:r w:rsidR="009C6BB8">
              <w:rPr>
                <w:noProof/>
                <w:webHidden/>
              </w:rPr>
              <w:instrText xml:space="preserve"> PAGEREF _Toc221110950 \h </w:instrText>
            </w:r>
            <w:r w:rsidR="009C6BB8">
              <w:rPr>
                <w:noProof/>
                <w:webHidden/>
              </w:rPr>
            </w:r>
            <w:r w:rsidR="009C6BB8">
              <w:rPr>
                <w:noProof/>
                <w:webHidden/>
              </w:rPr>
              <w:fldChar w:fldCharType="separate"/>
            </w:r>
            <w:r w:rsidR="009C6BB8">
              <w:rPr>
                <w:noProof/>
                <w:webHidden/>
              </w:rPr>
              <w:t>4</w:t>
            </w:r>
            <w:r w:rsidR="009C6BB8">
              <w:rPr>
                <w:noProof/>
                <w:webHidden/>
              </w:rPr>
              <w:fldChar w:fldCharType="end"/>
            </w:r>
          </w:hyperlink>
        </w:p>
        <w:p w14:paraId="1E818599" w14:textId="7F2AA54F" w:rsidR="009C6BB8" w:rsidRDefault="009C6B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110951" w:history="1">
            <w:r w:rsidRPr="009F11A0">
              <w:rPr>
                <w:rStyle w:val="Hyperlink"/>
                <w:noProof/>
              </w:rPr>
              <w:t>Product submission</w:t>
            </w:r>
            <w:r>
              <w:rPr>
                <w:noProof/>
                <w:webHidden/>
              </w:rPr>
              <w:tab/>
            </w:r>
            <w:r>
              <w:rPr>
                <w:noProof/>
                <w:webHidden/>
              </w:rPr>
              <w:fldChar w:fldCharType="begin"/>
            </w:r>
            <w:r>
              <w:rPr>
                <w:noProof/>
                <w:webHidden/>
              </w:rPr>
              <w:instrText xml:space="preserve"> PAGEREF _Toc221110951 \h </w:instrText>
            </w:r>
            <w:r>
              <w:rPr>
                <w:noProof/>
                <w:webHidden/>
              </w:rPr>
            </w:r>
            <w:r>
              <w:rPr>
                <w:noProof/>
                <w:webHidden/>
              </w:rPr>
              <w:fldChar w:fldCharType="separate"/>
            </w:r>
            <w:r>
              <w:rPr>
                <w:noProof/>
                <w:webHidden/>
              </w:rPr>
              <w:t>6</w:t>
            </w:r>
            <w:r>
              <w:rPr>
                <w:noProof/>
                <w:webHidden/>
              </w:rPr>
              <w:fldChar w:fldCharType="end"/>
            </w:r>
          </w:hyperlink>
        </w:p>
        <w:p w14:paraId="69EF0D2E" w14:textId="13DDE84E" w:rsidR="009C6BB8" w:rsidRDefault="009C6B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110952" w:history="1">
            <w:r w:rsidRPr="009F11A0">
              <w:rPr>
                <w:rStyle w:val="Hyperlink"/>
                <w:noProof/>
                <w:lang w:eastAsia="en-AU"/>
              </w:rPr>
              <w:t>Submission details</w:t>
            </w:r>
            <w:r>
              <w:rPr>
                <w:noProof/>
                <w:webHidden/>
              </w:rPr>
              <w:tab/>
            </w:r>
            <w:r>
              <w:rPr>
                <w:noProof/>
                <w:webHidden/>
              </w:rPr>
              <w:fldChar w:fldCharType="begin"/>
            </w:r>
            <w:r>
              <w:rPr>
                <w:noProof/>
                <w:webHidden/>
              </w:rPr>
              <w:instrText xml:space="preserve"> PAGEREF _Toc221110952 \h </w:instrText>
            </w:r>
            <w:r>
              <w:rPr>
                <w:noProof/>
                <w:webHidden/>
              </w:rPr>
            </w:r>
            <w:r>
              <w:rPr>
                <w:noProof/>
                <w:webHidden/>
              </w:rPr>
              <w:fldChar w:fldCharType="separate"/>
            </w:r>
            <w:r>
              <w:rPr>
                <w:noProof/>
                <w:webHidden/>
              </w:rPr>
              <w:t>6</w:t>
            </w:r>
            <w:r>
              <w:rPr>
                <w:noProof/>
                <w:webHidden/>
              </w:rPr>
              <w:fldChar w:fldCharType="end"/>
            </w:r>
          </w:hyperlink>
        </w:p>
        <w:p w14:paraId="12D98C4F" w14:textId="16C181CC" w:rsidR="009C6BB8" w:rsidRDefault="009C6B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110953" w:history="1">
            <w:r w:rsidRPr="009F11A0">
              <w:rPr>
                <w:rStyle w:val="Hyperlink"/>
                <w:noProof/>
              </w:rPr>
              <w:t>Product background</w:t>
            </w:r>
            <w:r>
              <w:rPr>
                <w:noProof/>
                <w:webHidden/>
              </w:rPr>
              <w:tab/>
            </w:r>
            <w:r>
              <w:rPr>
                <w:noProof/>
                <w:webHidden/>
              </w:rPr>
              <w:fldChar w:fldCharType="begin"/>
            </w:r>
            <w:r>
              <w:rPr>
                <w:noProof/>
                <w:webHidden/>
              </w:rPr>
              <w:instrText xml:space="preserve"> PAGEREF _Toc221110953 \h </w:instrText>
            </w:r>
            <w:r>
              <w:rPr>
                <w:noProof/>
                <w:webHidden/>
              </w:rPr>
            </w:r>
            <w:r>
              <w:rPr>
                <w:noProof/>
                <w:webHidden/>
              </w:rPr>
              <w:fldChar w:fldCharType="separate"/>
            </w:r>
            <w:r>
              <w:rPr>
                <w:noProof/>
                <w:webHidden/>
              </w:rPr>
              <w:t>8</w:t>
            </w:r>
            <w:r>
              <w:rPr>
                <w:noProof/>
                <w:webHidden/>
              </w:rPr>
              <w:fldChar w:fldCharType="end"/>
            </w:r>
          </w:hyperlink>
        </w:p>
        <w:p w14:paraId="3EE86A12" w14:textId="62C29DF1" w:rsidR="009C6BB8" w:rsidRDefault="009C6B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110954" w:history="1">
            <w:r w:rsidRPr="009F11A0">
              <w:rPr>
                <w:rStyle w:val="Hyperlink"/>
                <w:noProof/>
              </w:rPr>
              <w:t>Disease or condition</w:t>
            </w:r>
            <w:r>
              <w:rPr>
                <w:noProof/>
                <w:webHidden/>
              </w:rPr>
              <w:tab/>
            </w:r>
            <w:r>
              <w:rPr>
                <w:noProof/>
                <w:webHidden/>
              </w:rPr>
              <w:fldChar w:fldCharType="begin"/>
            </w:r>
            <w:r>
              <w:rPr>
                <w:noProof/>
                <w:webHidden/>
              </w:rPr>
              <w:instrText xml:space="preserve"> PAGEREF _Toc221110954 \h </w:instrText>
            </w:r>
            <w:r>
              <w:rPr>
                <w:noProof/>
                <w:webHidden/>
              </w:rPr>
            </w:r>
            <w:r>
              <w:rPr>
                <w:noProof/>
                <w:webHidden/>
              </w:rPr>
              <w:fldChar w:fldCharType="separate"/>
            </w:r>
            <w:r>
              <w:rPr>
                <w:noProof/>
                <w:webHidden/>
              </w:rPr>
              <w:t>8</w:t>
            </w:r>
            <w:r>
              <w:rPr>
                <w:noProof/>
                <w:webHidden/>
              </w:rPr>
              <w:fldChar w:fldCharType="end"/>
            </w:r>
          </w:hyperlink>
        </w:p>
        <w:p w14:paraId="753A174B" w14:textId="1F9B8798" w:rsidR="009C6BB8" w:rsidRDefault="009C6B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110955" w:history="1">
            <w:r w:rsidRPr="009F11A0">
              <w:rPr>
                <w:rStyle w:val="Hyperlink"/>
                <w:noProof/>
              </w:rPr>
              <w:t>Current treatment options</w:t>
            </w:r>
            <w:r>
              <w:rPr>
                <w:noProof/>
                <w:webHidden/>
              </w:rPr>
              <w:tab/>
            </w:r>
            <w:r>
              <w:rPr>
                <w:noProof/>
                <w:webHidden/>
              </w:rPr>
              <w:fldChar w:fldCharType="begin"/>
            </w:r>
            <w:r>
              <w:rPr>
                <w:noProof/>
                <w:webHidden/>
              </w:rPr>
              <w:instrText xml:space="preserve"> PAGEREF _Toc221110955 \h </w:instrText>
            </w:r>
            <w:r>
              <w:rPr>
                <w:noProof/>
                <w:webHidden/>
              </w:rPr>
            </w:r>
            <w:r>
              <w:rPr>
                <w:noProof/>
                <w:webHidden/>
              </w:rPr>
              <w:fldChar w:fldCharType="separate"/>
            </w:r>
            <w:r>
              <w:rPr>
                <w:noProof/>
                <w:webHidden/>
              </w:rPr>
              <w:t>8</w:t>
            </w:r>
            <w:r>
              <w:rPr>
                <w:noProof/>
                <w:webHidden/>
              </w:rPr>
              <w:fldChar w:fldCharType="end"/>
            </w:r>
          </w:hyperlink>
        </w:p>
        <w:p w14:paraId="509C8185" w14:textId="186A69C7" w:rsidR="009C6BB8" w:rsidRDefault="009C6B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110956" w:history="1">
            <w:r w:rsidRPr="009F11A0">
              <w:rPr>
                <w:rStyle w:val="Hyperlink"/>
                <w:noProof/>
              </w:rPr>
              <w:t>Clinical rationale</w:t>
            </w:r>
            <w:r>
              <w:rPr>
                <w:noProof/>
                <w:webHidden/>
              </w:rPr>
              <w:tab/>
            </w:r>
            <w:r>
              <w:rPr>
                <w:noProof/>
                <w:webHidden/>
              </w:rPr>
              <w:fldChar w:fldCharType="begin"/>
            </w:r>
            <w:r>
              <w:rPr>
                <w:noProof/>
                <w:webHidden/>
              </w:rPr>
              <w:instrText xml:space="preserve"> PAGEREF _Toc221110956 \h </w:instrText>
            </w:r>
            <w:r>
              <w:rPr>
                <w:noProof/>
                <w:webHidden/>
              </w:rPr>
            </w:r>
            <w:r>
              <w:rPr>
                <w:noProof/>
                <w:webHidden/>
              </w:rPr>
              <w:fldChar w:fldCharType="separate"/>
            </w:r>
            <w:r>
              <w:rPr>
                <w:noProof/>
                <w:webHidden/>
              </w:rPr>
              <w:t>9</w:t>
            </w:r>
            <w:r>
              <w:rPr>
                <w:noProof/>
                <w:webHidden/>
              </w:rPr>
              <w:fldChar w:fldCharType="end"/>
            </w:r>
          </w:hyperlink>
        </w:p>
        <w:p w14:paraId="1F21AD1A" w14:textId="5D8B60CB" w:rsidR="009C6BB8" w:rsidRDefault="009C6B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110957" w:history="1">
            <w:r w:rsidRPr="009F11A0">
              <w:rPr>
                <w:rStyle w:val="Hyperlink"/>
                <w:noProof/>
              </w:rPr>
              <w:t>Regulatory status</w:t>
            </w:r>
            <w:r>
              <w:rPr>
                <w:noProof/>
                <w:webHidden/>
              </w:rPr>
              <w:tab/>
            </w:r>
            <w:r>
              <w:rPr>
                <w:noProof/>
                <w:webHidden/>
              </w:rPr>
              <w:fldChar w:fldCharType="begin"/>
            </w:r>
            <w:r>
              <w:rPr>
                <w:noProof/>
                <w:webHidden/>
              </w:rPr>
              <w:instrText xml:space="preserve"> PAGEREF _Toc221110957 \h </w:instrText>
            </w:r>
            <w:r>
              <w:rPr>
                <w:noProof/>
                <w:webHidden/>
              </w:rPr>
            </w:r>
            <w:r>
              <w:rPr>
                <w:noProof/>
                <w:webHidden/>
              </w:rPr>
              <w:fldChar w:fldCharType="separate"/>
            </w:r>
            <w:r>
              <w:rPr>
                <w:noProof/>
                <w:webHidden/>
              </w:rPr>
              <w:t>9</w:t>
            </w:r>
            <w:r>
              <w:rPr>
                <w:noProof/>
                <w:webHidden/>
              </w:rPr>
              <w:fldChar w:fldCharType="end"/>
            </w:r>
          </w:hyperlink>
        </w:p>
        <w:p w14:paraId="69FA737E" w14:textId="6258AFC5" w:rsidR="009C6BB8" w:rsidRDefault="009C6B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110958" w:history="1">
            <w:r w:rsidRPr="009F11A0">
              <w:rPr>
                <w:rStyle w:val="Hyperlink"/>
                <w:noProof/>
              </w:rPr>
              <w:t>Australian regulatory status</w:t>
            </w:r>
            <w:r>
              <w:rPr>
                <w:noProof/>
                <w:webHidden/>
              </w:rPr>
              <w:tab/>
            </w:r>
            <w:r>
              <w:rPr>
                <w:noProof/>
                <w:webHidden/>
              </w:rPr>
              <w:fldChar w:fldCharType="begin"/>
            </w:r>
            <w:r>
              <w:rPr>
                <w:noProof/>
                <w:webHidden/>
              </w:rPr>
              <w:instrText xml:space="preserve"> PAGEREF _Toc221110958 \h </w:instrText>
            </w:r>
            <w:r>
              <w:rPr>
                <w:noProof/>
                <w:webHidden/>
              </w:rPr>
            </w:r>
            <w:r>
              <w:rPr>
                <w:noProof/>
                <w:webHidden/>
              </w:rPr>
              <w:fldChar w:fldCharType="separate"/>
            </w:r>
            <w:r>
              <w:rPr>
                <w:noProof/>
                <w:webHidden/>
              </w:rPr>
              <w:t>9</w:t>
            </w:r>
            <w:r>
              <w:rPr>
                <w:noProof/>
                <w:webHidden/>
              </w:rPr>
              <w:fldChar w:fldCharType="end"/>
            </w:r>
          </w:hyperlink>
        </w:p>
        <w:p w14:paraId="482D99B1" w14:textId="07101EB4" w:rsidR="009C6BB8" w:rsidRDefault="009C6B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110959" w:history="1">
            <w:r w:rsidRPr="009F11A0">
              <w:rPr>
                <w:rStyle w:val="Hyperlink"/>
                <w:noProof/>
              </w:rPr>
              <w:t>International regulatory status</w:t>
            </w:r>
            <w:r>
              <w:rPr>
                <w:noProof/>
                <w:webHidden/>
              </w:rPr>
              <w:tab/>
            </w:r>
            <w:r>
              <w:rPr>
                <w:noProof/>
                <w:webHidden/>
              </w:rPr>
              <w:fldChar w:fldCharType="begin"/>
            </w:r>
            <w:r>
              <w:rPr>
                <w:noProof/>
                <w:webHidden/>
              </w:rPr>
              <w:instrText xml:space="preserve"> PAGEREF _Toc221110959 \h </w:instrText>
            </w:r>
            <w:r>
              <w:rPr>
                <w:noProof/>
                <w:webHidden/>
              </w:rPr>
            </w:r>
            <w:r>
              <w:rPr>
                <w:noProof/>
                <w:webHidden/>
              </w:rPr>
              <w:fldChar w:fldCharType="separate"/>
            </w:r>
            <w:r>
              <w:rPr>
                <w:noProof/>
                <w:webHidden/>
              </w:rPr>
              <w:t>9</w:t>
            </w:r>
            <w:r>
              <w:rPr>
                <w:noProof/>
                <w:webHidden/>
              </w:rPr>
              <w:fldChar w:fldCharType="end"/>
            </w:r>
          </w:hyperlink>
        </w:p>
        <w:p w14:paraId="186DEAE1" w14:textId="324E84E8" w:rsidR="009C6BB8" w:rsidRDefault="009C6B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110960" w:history="1">
            <w:r w:rsidRPr="009F11A0">
              <w:rPr>
                <w:rStyle w:val="Hyperlink"/>
                <w:noProof/>
              </w:rPr>
              <w:t>Registration timeline</w:t>
            </w:r>
            <w:r>
              <w:rPr>
                <w:noProof/>
                <w:webHidden/>
              </w:rPr>
              <w:tab/>
            </w:r>
            <w:r>
              <w:rPr>
                <w:noProof/>
                <w:webHidden/>
              </w:rPr>
              <w:fldChar w:fldCharType="begin"/>
            </w:r>
            <w:r>
              <w:rPr>
                <w:noProof/>
                <w:webHidden/>
              </w:rPr>
              <w:instrText xml:space="preserve"> PAGEREF _Toc221110960 \h </w:instrText>
            </w:r>
            <w:r>
              <w:rPr>
                <w:noProof/>
                <w:webHidden/>
              </w:rPr>
            </w:r>
            <w:r>
              <w:rPr>
                <w:noProof/>
                <w:webHidden/>
              </w:rPr>
              <w:fldChar w:fldCharType="separate"/>
            </w:r>
            <w:r>
              <w:rPr>
                <w:noProof/>
                <w:webHidden/>
              </w:rPr>
              <w:t>10</w:t>
            </w:r>
            <w:r>
              <w:rPr>
                <w:noProof/>
                <w:webHidden/>
              </w:rPr>
              <w:fldChar w:fldCharType="end"/>
            </w:r>
          </w:hyperlink>
        </w:p>
        <w:p w14:paraId="4BD86978" w14:textId="7B67F4EB" w:rsidR="009C6BB8" w:rsidRDefault="009C6B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110961" w:history="1">
            <w:r w:rsidRPr="009F11A0">
              <w:rPr>
                <w:rStyle w:val="Hyperlink"/>
                <w:noProof/>
              </w:rPr>
              <w:t>Assessment overview</w:t>
            </w:r>
            <w:r>
              <w:rPr>
                <w:noProof/>
                <w:webHidden/>
              </w:rPr>
              <w:tab/>
            </w:r>
            <w:r>
              <w:rPr>
                <w:noProof/>
                <w:webHidden/>
              </w:rPr>
              <w:fldChar w:fldCharType="begin"/>
            </w:r>
            <w:r>
              <w:rPr>
                <w:noProof/>
                <w:webHidden/>
              </w:rPr>
              <w:instrText xml:space="preserve"> PAGEREF _Toc221110961 \h </w:instrText>
            </w:r>
            <w:r>
              <w:rPr>
                <w:noProof/>
                <w:webHidden/>
              </w:rPr>
            </w:r>
            <w:r>
              <w:rPr>
                <w:noProof/>
                <w:webHidden/>
              </w:rPr>
              <w:fldChar w:fldCharType="separate"/>
            </w:r>
            <w:r>
              <w:rPr>
                <w:noProof/>
                <w:webHidden/>
              </w:rPr>
              <w:t>10</w:t>
            </w:r>
            <w:r>
              <w:rPr>
                <w:noProof/>
                <w:webHidden/>
              </w:rPr>
              <w:fldChar w:fldCharType="end"/>
            </w:r>
          </w:hyperlink>
        </w:p>
        <w:p w14:paraId="4852EF1E" w14:textId="54905CC4" w:rsidR="009C6BB8" w:rsidRDefault="009C6B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110962" w:history="1">
            <w:r w:rsidRPr="009F11A0">
              <w:rPr>
                <w:rStyle w:val="Hyperlink"/>
                <w:noProof/>
              </w:rPr>
              <w:t>Quality evaluation summary</w:t>
            </w:r>
            <w:r>
              <w:rPr>
                <w:noProof/>
                <w:webHidden/>
              </w:rPr>
              <w:tab/>
            </w:r>
            <w:r>
              <w:rPr>
                <w:noProof/>
                <w:webHidden/>
              </w:rPr>
              <w:fldChar w:fldCharType="begin"/>
            </w:r>
            <w:r>
              <w:rPr>
                <w:noProof/>
                <w:webHidden/>
              </w:rPr>
              <w:instrText xml:space="preserve"> PAGEREF _Toc221110962 \h </w:instrText>
            </w:r>
            <w:r>
              <w:rPr>
                <w:noProof/>
                <w:webHidden/>
              </w:rPr>
            </w:r>
            <w:r>
              <w:rPr>
                <w:noProof/>
                <w:webHidden/>
              </w:rPr>
              <w:fldChar w:fldCharType="separate"/>
            </w:r>
            <w:r>
              <w:rPr>
                <w:noProof/>
                <w:webHidden/>
              </w:rPr>
              <w:t>10</w:t>
            </w:r>
            <w:r>
              <w:rPr>
                <w:noProof/>
                <w:webHidden/>
              </w:rPr>
              <w:fldChar w:fldCharType="end"/>
            </w:r>
          </w:hyperlink>
        </w:p>
        <w:p w14:paraId="30AC3987" w14:textId="5F3E5934" w:rsidR="009C6BB8" w:rsidRDefault="009C6B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110963" w:history="1">
            <w:r w:rsidRPr="009F11A0">
              <w:rPr>
                <w:rStyle w:val="Hyperlink"/>
                <w:noProof/>
              </w:rPr>
              <w:t>Nonclinical evaluation summary</w:t>
            </w:r>
            <w:r>
              <w:rPr>
                <w:noProof/>
                <w:webHidden/>
              </w:rPr>
              <w:tab/>
            </w:r>
            <w:r>
              <w:rPr>
                <w:noProof/>
                <w:webHidden/>
              </w:rPr>
              <w:fldChar w:fldCharType="begin"/>
            </w:r>
            <w:r>
              <w:rPr>
                <w:noProof/>
                <w:webHidden/>
              </w:rPr>
              <w:instrText xml:space="preserve"> PAGEREF _Toc221110963 \h </w:instrText>
            </w:r>
            <w:r>
              <w:rPr>
                <w:noProof/>
                <w:webHidden/>
              </w:rPr>
            </w:r>
            <w:r>
              <w:rPr>
                <w:noProof/>
                <w:webHidden/>
              </w:rPr>
              <w:fldChar w:fldCharType="separate"/>
            </w:r>
            <w:r>
              <w:rPr>
                <w:noProof/>
                <w:webHidden/>
              </w:rPr>
              <w:t>11</w:t>
            </w:r>
            <w:r>
              <w:rPr>
                <w:noProof/>
                <w:webHidden/>
              </w:rPr>
              <w:fldChar w:fldCharType="end"/>
            </w:r>
          </w:hyperlink>
        </w:p>
        <w:p w14:paraId="5A27AB89" w14:textId="3BE8073B" w:rsidR="009C6BB8" w:rsidRDefault="009C6B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110964" w:history="1">
            <w:r w:rsidRPr="009F11A0">
              <w:rPr>
                <w:rStyle w:val="Hyperlink"/>
                <w:noProof/>
              </w:rPr>
              <w:t>Clinical evaluation summary</w:t>
            </w:r>
            <w:r>
              <w:rPr>
                <w:noProof/>
                <w:webHidden/>
              </w:rPr>
              <w:tab/>
            </w:r>
            <w:r>
              <w:rPr>
                <w:noProof/>
                <w:webHidden/>
              </w:rPr>
              <w:fldChar w:fldCharType="begin"/>
            </w:r>
            <w:r>
              <w:rPr>
                <w:noProof/>
                <w:webHidden/>
              </w:rPr>
              <w:instrText xml:space="preserve"> PAGEREF _Toc221110964 \h </w:instrText>
            </w:r>
            <w:r>
              <w:rPr>
                <w:noProof/>
                <w:webHidden/>
              </w:rPr>
            </w:r>
            <w:r>
              <w:rPr>
                <w:noProof/>
                <w:webHidden/>
              </w:rPr>
              <w:fldChar w:fldCharType="separate"/>
            </w:r>
            <w:r>
              <w:rPr>
                <w:noProof/>
                <w:webHidden/>
              </w:rPr>
              <w:t>12</w:t>
            </w:r>
            <w:r>
              <w:rPr>
                <w:noProof/>
                <w:webHidden/>
              </w:rPr>
              <w:fldChar w:fldCharType="end"/>
            </w:r>
          </w:hyperlink>
        </w:p>
        <w:p w14:paraId="3EEC8927" w14:textId="39469EB9" w:rsidR="009C6BB8" w:rsidRDefault="009C6B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110965" w:history="1">
            <w:r w:rsidRPr="009F11A0">
              <w:rPr>
                <w:rStyle w:val="Hyperlink"/>
                <w:noProof/>
              </w:rPr>
              <w:t>Summary of clinical studies</w:t>
            </w:r>
            <w:r>
              <w:rPr>
                <w:noProof/>
                <w:webHidden/>
              </w:rPr>
              <w:tab/>
            </w:r>
            <w:r>
              <w:rPr>
                <w:noProof/>
                <w:webHidden/>
              </w:rPr>
              <w:fldChar w:fldCharType="begin"/>
            </w:r>
            <w:r>
              <w:rPr>
                <w:noProof/>
                <w:webHidden/>
              </w:rPr>
              <w:instrText xml:space="preserve"> PAGEREF _Toc221110965 \h </w:instrText>
            </w:r>
            <w:r>
              <w:rPr>
                <w:noProof/>
                <w:webHidden/>
              </w:rPr>
            </w:r>
            <w:r>
              <w:rPr>
                <w:noProof/>
                <w:webHidden/>
              </w:rPr>
              <w:fldChar w:fldCharType="separate"/>
            </w:r>
            <w:r>
              <w:rPr>
                <w:noProof/>
                <w:webHidden/>
              </w:rPr>
              <w:t>12</w:t>
            </w:r>
            <w:r>
              <w:rPr>
                <w:noProof/>
                <w:webHidden/>
              </w:rPr>
              <w:fldChar w:fldCharType="end"/>
            </w:r>
          </w:hyperlink>
        </w:p>
        <w:p w14:paraId="1356639B" w14:textId="7BB05349" w:rsidR="009C6BB8" w:rsidRDefault="009C6B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110966" w:history="1">
            <w:r w:rsidRPr="009F11A0">
              <w:rPr>
                <w:rStyle w:val="Hyperlink"/>
                <w:noProof/>
              </w:rPr>
              <w:t>Pharmacology</w:t>
            </w:r>
            <w:r>
              <w:rPr>
                <w:noProof/>
                <w:webHidden/>
              </w:rPr>
              <w:tab/>
            </w:r>
            <w:r>
              <w:rPr>
                <w:noProof/>
                <w:webHidden/>
              </w:rPr>
              <w:fldChar w:fldCharType="begin"/>
            </w:r>
            <w:r>
              <w:rPr>
                <w:noProof/>
                <w:webHidden/>
              </w:rPr>
              <w:instrText xml:space="preserve"> PAGEREF _Toc221110966 \h </w:instrText>
            </w:r>
            <w:r>
              <w:rPr>
                <w:noProof/>
                <w:webHidden/>
              </w:rPr>
            </w:r>
            <w:r>
              <w:rPr>
                <w:noProof/>
                <w:webHidden/>
              </w:rPr>
              <w:fldChar w:fldCharType="separate"/>
            </w:r>
            <w:r>
              <w:rPr>
                <w:noProof/>
                <w:webHidden/>
              </w:rPr>
              <w:t>14</w:t>
            </w:r>
            <w:r>
              <w:rPr>
                <w:noProof/>
                <w:webHidden/>
              </w:rPr>
              <w:fldChar w:fldCharType="end"/>
            </w:r>
          </w:hyperlink>
        </w:p>
        <w:p w14:paraId="7437DAE4" w14:textId="395DD881" w:rsidR="009C6BB8" w:rsidRDefault="009C6B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110967" w:history="1">
            <w:r w:rsidRPr="009F11A0">
              <w:rPr>
                <w:rStyle w:val="Hyperlink"/>
                <w:noProof/>
                <w:lang w:eastAsia="en-AU"/>
              </w:rPr>
              <w:t>Risk management plan</w:t>
            </w:r>
            <w:r>
              <w:rPr>
                <w:noProof/>
                <w:webHidden/>
              </w:rPr>
              <w:tab/>
            </w:r>
            <w:r>
              <w:rPr>
                <w:noProof/>
                <w:webHidden/>
              </w:rPr>
              <w:fldChar w:fldCharType="begin"/>
            </w:r>
            <w:r>
              <w:rPr>
                <w:noProof/>
                <w:webHidden/>
              </w:rPr>
              <w:instrText xml:space="preserve"> PAGEREF _Toc221110967 \h </w:instrText>
            </w:r>
            <w:r>
              <w:rPr>
                <w:noProof/>
                <w:webHidden/>
              </w:rPr>
            </w:r>
            <w:r>
              <w:rPr>
                <w:noProof/>
                <w:webHidden/>
              </w:rPr>
              <w:fldChar w:fldCharType="separate"/>
            </w:r>
            <w:r>
              <w:rPr>
                <w:noProof/>
                <w:webHidden/>
              </w:rPr>
              <w:t>28</w:t>
            </w:r>
            <w:r>
              <w:rPr>
                <w:noProof/>
                <w:webHidden/>
              </w:rPr>
              <w:fldChar w:fldCharType="end"/>
            </w:r>
          </w:hyperlink>
        </w:p>
        <w:p w14:paraId="1DD555C4" w14:textId="37D03931" w:rsidR="009C6BB8" w:rsidRDefault="009C6B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110968" w:history="1">
            <w:r w:rsidRPr="009F11A0">
              <w:rPr>
                <w:rStyle w:val="Hyperlink"/>
                <w:noProof/>
              </w:rPr>
              <w:t>Risk-benefit analysis</w:t>
            </w:r>
            <w:r>
              <w:rPr>
                <w:noProof/>
                <w:webHidden/>
              </w:rPr>
              <w:tab/>
            </w:r>
            <w:r>
              <w:rPr>
                <w:noProof/>
                <w:webHidden/>
              </w:rPr>
              <w:fldChar w:fldCharType="begin"/>
            </w:r>
            <w:r>
              <w:rPr>
                <w:noProof/>
                <w:webHidden/>
              </w:rPr>
              <w:instrText xml:space="preserve"> PAGEREF _Toc221110968 \h </w:instrText>
            </w:r>
            <w:r>
              <w:rPr>
                <w:noProof/>
                <w:webHidden/>
              </w:rPr>
            </w:r>
            <w:r>
              <w:rPr>
                <w:noProof/>
                <w:webHidden/>
              </w:rPr>
              <w:fldChar w:fldCharType="separate"/>
            </w:r>
            <w:r>
              <w:rPr>
                <w:noProof/>
                <w:webHidden/>
              </w:rPr>
              <w:t>29</w:t>
            </w:r>
            <w:r>
              <w:rPr>
                <w:noProof/>
                <w:webHidden/>
              </w:rPr>
              <w:fldChar w:fldCharType="end"/>
            </w:r>
          </w:hyperlink>
        </w:p>
        <w:p w14:paraId="1C47FA46" w14:textId="04DFCCEB" w:rsidR="009C6BB8" w:rsidRDefault="009C6B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110969" w:history="1">
            <w:r w:rsidRPr="009F11A0">
              <w:rPr>
                <w:rStyle w:val="Hyperlink"/>
                <w:noProof/>
              </w:rPr>
              <w:t>Delegate’s considerations</w:t>
            </w:r>
            <w:r>
              <w:rPr>
                <w:noProof/>
                <w:webHidden/>
              </w:rPr>
              <w:tab/>
            </w:r>
            <w:r>
              <w:rPr>
                <w:noProof/>
                <w:webHidden/>
              </w:rPr>
              <w:fldChar w:fldCharType="begin"/>
            </w:r>
            <w:r>
              <w:rPr>
                <w:noProof/>
                <w:webHidden/>
              </w:rPr>
              <w:instrText xml:space="preserve"> PAGEREF _Toc221110969 \h </w:instrText>
            </w:r>
            <w:r>
              <w:rPr>
                <w:noProof/>
                <w:webHidden/>
              </w:rPr>
            </w:r>
            <w:r>
              <w:rPr>
                <w:noProof/>
                <w:webHidden/>
              </w:rPr>
              <w:fldChar w:fldCharType="separate"/>
            </w:r>
            <w:r>
              <w:rPr>
                <w:noProof/>
                <w:webHidden/>
              </w:rPr>
              <w:t>29</w:t>
            </w:r>
            <w:r>
              <w:rPr>
                <w:noProof/>
                <w:webHidden/>
              </w:rPr>
              <w:fldChar w:fldCharType="end"/>
            </w:r>
          </w:hyperlink>
        </w:p>
        <w:p w14:paraId="10592081" w14:textId="580F36BD" w:rsidR="009C6BB8" w:rsidRDefault="009C6BB8">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1110970" w:history="1">
            <w:r w:rsidRPr="009F11A0">
              <w:rPr>
                <w:rStyle w:val="Hyperlink"/>
                <w:noProof/>
              </w:rPr>
              <w:t>Proposed action</w:t>
            </w:r>
            <w:r>
              <w:rPr>
                <w:noProof/>
                <w:webHidden/>
              </w:rPr>
              <w:tab/>
            </w:r>
            <w:r>
              <w:rPr>
                <w:noProof/>
                <w:webHidden/>
              </w:rPr>
              <w:fldChar w:fldCharType="begin"/>
            </w:r>
            <w:r>
              <w:rPr>
                <w:noProof/>
                <w:webHidden/>
              </w:rPr>
              <w:instrText xml:space="preserve"> PAGEREF _Toc221110970 \h </w:instrText>
            </w:r>
            <w:r>
              <w:rPr>
                <w:noProof/>
                <w:webHidden/>
              </w:rPr>
            </w:r>
            <w:r>
              <w:rPr>
                <w:noProof/>
                <w:webHidden/>
              </w:rPr>
              <w:fldChar w:fldCharType="separate"/>
            </w:r>
            <w:r>
              <w:rPr>
                <w:noProof/>
                <w:webHidden/>
              </w:rPr>
              <w:t>31</w:t>
            </w:r>
            <w:r>
              <w:rPr>
                <w:noProof/>
                <w:webHidden/>
              </w:rPr>
              <w:fldChar w:fldCharType="end"/>
            </w:r>
          </w:hyperlink>
        </w:p>
        <w:p w14:paraId="4640BCDF" w14:textId="3F32B940" w:rsidR="009C6BB8" w:rsidRDefault="009C6B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110971" w:history="1">
            <w:r w:rsidRPr="009F11A0">
              <w:rPr>
                <w:rStyle w:val="Hyperlink"/>
                <w:noProof/>
              </w:rPr>
              <w:t>Assessment outcome</w:t>
            </w:r>
            <w:r>
              <w:rPr>
                <w:noProof/>
                <w:webHidden/>
              </w:rPr>
              <w:tab/>
            </w:r>
            <w:r>
              <w:rPr>
                <w:noProof/>
                <w:webHidden/>
              </w:rPr>
              <w:fldChar w:fldCharType="begin"/>
            </w:r>
            <w:r>
              <w:rPr>
                <w:noProof/>
                <w:webHidden/>
              </w:rPr>
              <w:instrText xml:space="preserve"> PAGEREF _Toc221110971 \h </w:instrText>
            </w:r>
            <w:r>
              <w:rPr>
                <w:noProof/>
                <w:webHidden/>
              </w:rPr>
            </w:r>
            <w:r>
              <w:rPr>
                <w:noProof/>
                <w:webHidden/>
              </w:rPr>
              <w:fldChar w:fldCharType="separate"/>
            </w:r>
            <w:r>
              <w:rPr>
                <w:noProof/>
                <w:webHidden/>
              </w:rPr>
              <w:t>31</w:t>
            </w:r>
            <w:r>
              <w:rPr>
                <w:noProof/>
                <w:webHidden/>
              </w:rPr>
              <w:fldChar w:fldCharType="end"/>
            </w:r>
          </w:hyperlink>
        </w:p>
        <w:p w14:paraId="3C9A7FD8" w14:textId="5CF5CE17" w:rsidR="009C6BB8" w:rsidRDefault="009C6BB8">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1110972" w:history="1">
            <w:r w:rsidRPr="009F11A0">
              <w:rPr>
                <w:rStyle w:val="Hyperlink"/>
                <w:noProof/>
              </w:rPr>
              <w:t>Specific conditions of registration</w:t>
            </w:r>
            <w:r>
              <w:rPr>
                <w:noProof/>
                <w:webHidden/>
              </w:rPr>
              <w:tab/>
            </w:r>
            <w:r>
              <w:rPr>
                <w:noProof/>
                <w:webHidden/>
              </w:rPr>
              <w:fldChar w:fldCharType="begin"/>
            </w:r>
            <w:r>
              <w:rPr>
                <w:noProof/>
                <w:webHidden/>
              </w:rPr>
              <w:instrText xml:space="preserve"> PAGEREF _Toc221110972 \h </w:instrText>
            </w:r>
            <w:r>
              <w:rPr>
                <w:noProof/>
                <w:webHidden/>
              </w:rPr>
            </w:r>
            <w:r>
              <w:rPr>
                <w:noProof/>
                <w:webHidden/>
              </w:rPr>
              <w:fldChar w:fldCharType="separate"/>
            </w:r>
            <w:r>
              <w:rPr>
                <w:noProof/>
                <w:webHidden/>
              </w:rPr>
              <w:t>31</w:t>
            </w:r>
            <w:r>
              <w:rPr>
                <w:noProof/>
                <w:webHidden/>
              </w:rPr>
              <w:fldChar w:fldCharType="end"/>
            </w:r>
          </w:hyperlink>
        </w:p>
        <w:p w14:paraId="0E274A3A" w14:textId="0514760E" w:rsidR="009C6BB8" w:rsidRDefault="009C6BB8">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1110973" w:history="1">
            <w:r w:rsidRPr="009F11A0">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_Toc221110973 \h </w:instrText>
            </w:r>
            <w:r>
              <w:rPr>
                <w:noProof/>
                <w:webHidden/>
              </w:rPr>
            </w:r>
            <w:r>
              <w:rPr>
                <w:noProof/>
                <w:webHidden/>
              </w:rPr>
              <w:fldChar w:fldCharType="separate"/>
            </w:r>
            <w:r>
              <w:rPr>
                <w:noProof/>
                <w:webHidden/>
              </w:rPr>
              <w:t>32</w:t>
            </w:r>
            <w:r>
              <w:rPr>
                <w:noProof/>
                <w:webHidden/>
              </w:rPr>
              <w:fldChar w:fldCharType="end"/>
            </w:r>
          </w:hyperlink>
        </w:p>
        <w:p w14:paraId="77659F2D" w14:textId="145754DC" w:rsidR="00F02AEC" w:rsidRPr="00215D48" w:rsidRDefault="00E01DCC" w:rsidP="007452E8">
          <w:r w:rsidRPr="00215D48">
            <w:fldChar w:fldCharType="end"/>
          </w:r>
        </w:p>
      </w:sdtContent>
    </w:sdt>
    <w:p w14:paraId="10987AE2" w14:textId="77777777" w:rsidR="00F02AEC" w:rsidRPr="00215D48" w:rsidRDefault="00E01DCC" w:rsidP="007452E8">
      <w:r w:rsidRPr="00215D48">
        <w:br w:type="page"/>
      </w:r>
    </w:p>
    <w:p w14:paraId="1E73AB93" w14:textId="77777777" w:rsidR="00324B33" w:rsidRDefault="00E01DCC" w:rsidP="00324B33">
      <w:pPr>
        <w:pStyle w:val="Heading2"/>
      </w:pPr>
      <w:bookmarkStart w:id="2" w:name="_Toc98931917"/>
      <w:bookmarkStart w:id="3" w:name="_Toc103679287"/>
      <w:bookmarkStart w:id="4" w:name="_Toc221110950"/>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411A1A" w14:paraId="2117AEF6" w14:textId="77777777" w:rsidTr="00411A1A">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E01DCC" w:rsidP="00324B33">
            <w:pPr>
              <w:rPr>
                <w:szCs w:val="22"/>
              </w:rPr>
            </w:pPr>
            <w:r w:rsidRPr="00D01DDB">
              <w:rPr>
                <w:szCs w:val="22"/>
              </w:rPr>
              <w:t>Abbreviation</w:t>
            </w:r>
          </w:p>
        </w:tc>
        <w:tc>
          <w:tcPr>
            <w:tcW w:w="3800" w:type="pct"/>
          </w:tcPr>
          <w:p w14:paraId="4CF6D0CD" w14:textId="2974FA0B" w:rsidR="00324B33" w:rsidRPr="00D01DDB" w:rsidRDefault="00E01DCC"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411A1A" w14:paraId="16C5C8C5"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E01DCC" w:rsidP="00324B33">
            <w:pPr>
              <w:rPr>
                <w:szCs w:val="22"/>
              </w:rPr>
            </w:pPr>
            <w:r w:rsidRPr="00D01DDB">
              <w:rPr>
                <w:szCs w:val="22"/>
              </w:rPr>
              <w:t>ACM</w:t>
            </w:r>
          </w:p>
        </w:tc>
        <w:tc>
          <w:tcPr>
            <w:tcW w:w="3800" w:type="pct"/>
          </w:tcPr>
          <w:p w14:paraId="4F24A873" w14:textId="0539B5FB" w:rsidR="00324B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411A1A" w14:paraId="35340A59"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E01DCC" w:rsidP="00324B33">
            <w:pPr>
              <w:rPr>
                <w:szCs w:val="22"/>
              </w:rPr>
            </w:pPr>
            <w:r w:rsidRPr="00D01DDB">
              <w:rPr>
                <w:szCs w:val="22"/>
              </w:rPr>
              <w:t>ACV</w:t>
            </w:r>
          </w:p>
        </w:tc>
        <w:tc>
          <w:tcPr>
            <w:tcW w:w="3800" w:type="pct"/>
          </w:tcPr>
          <w:p w14:paraId="5072E244" w14:textId="7B59D1A8" w:rsidR="00324B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411A1A" w14:paraId="11F4A323"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FE6BE3" w14:textId="7E042891" w:rsidR="001002A0" w:rsidRPr="00D01DDB" w:rsidRDefault="00E01DCC" w:rsidP="00324B33">
            <w:pPr>
              <w:rPr>
                <w:szCs w:val="22"/>
              </w:rPr>
            </w:pPr>
            <w:r>
              <w:rPr>
                <w:szCs w:val="22"/>
              </w:rPr>
              <w:t>AE</w:t>
            </w:r>
          </w:p>
        </w:tc>
        <w:tc>
          <w:tcPr>
            <w:tcW w:w="3800" w:type="pct"/>
          </w:tcPr>
          <w:p w14:paraId="747D9CC8" w14:textId="366F5931" w:rsidR="001002A0" w:rsidRPr="00D01DDB" w:rsidRDefault="00E01DCC" w:rsidP="001002A0">
            <w:pPr>
              <w:cnfStyle w:val="000000000000" w:firstRow="0" w:lastRow="0" w:firstColumn="0" w:lastColumn="0" w:oddVBand="0" w:evenVBand="0" w:oddHBand="0" w:evenHBand="0" w:firstRowFirstColumn="0" w:firstRowLastColumn="0" w:lastRowFirstColumn="0" w:lastRowLastColumn="0"/>
              <w:rPr>
                <w:szCs w:val="22"/>
              </w:rPr>
            </w:pPr>
            <w:r w:rsidRPr="001002A0">
              <w:rPr>
                <w:szCs w:val="22"/>
              </w:rPr>
              <w:t>Adverse Event</w:t>
            </w:r>
          </w:p>
        </w:tc>
      </w:tr>
      <w:tr w:rsidR="00411A1A" w14:paraId="3B64719C"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5BFA53" w14:textId="40002830" w:rsidR="007345A7" w:rsidRDefault="00E01DCC" w:rsidP="00324B33">
            <w:pPr>
              <w:rPr>
                <w:szCs w:val="22"/>
              </w:rPr>
            </w:pPr>
            <w:r w:rsidRPr="007345A7">
              <w:rPr>
                <w:szCs w:val="22"/>
              </w:rPr>
              <w:t>AESI</w:t>
            </w:r>
          </w:p>
        </w:tc>
        <w:tc>
          <w:tcPr>
            <w:tcW w:w="3800" w:type="pct"/>
          </w:tcPr>
          <w:p w14:paraId="269EF687" w14:textId="468CB6B1" w:rsidR="007345A7" w:rsidRPr="001002A0" w:rsidRDefault="00E01DCC" w:rsidP="001002A0">
            <w:pPr>
              <w:cnfStyle w:val="000000000000" w:firstRow="0" w:lastRow="0" w:firstColumn="0" w:lastColumn="0" w:oddVBand="0" w:evenVBand="0" w:oddHBand="0" w:evenHBand="0" w:firstRowFirstColumn="0" w:firstRowLastColumn="0" w:lastRowFirstColumn="0" w:lastRowLastColumn="0"/>
              <w:rPr>
                <w:szCs w:val="22"/>
              </w:rPr>
            </w:pPr>
            <w:r w:rsidRPr="007345A7">
              <w:rPr>
                <w:szCs w:val="22"/>
              </w:rPr>
              <w:t xml:space="preserve">Adverse events of special interest </w:t>
            </w:r>
          </w:p>
        </w:tc>
      </w:tr>
      <w:tr w:rsidR="00411A1A" w14:paraId="51397F88"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007BC4" w14:textId="5F31444A" w:rsidR="00306A33" w:rsidRPr="00D01DDB" w:rsidRDefault="00E01DCC" w:rsidP="00324B33">
            <w:pPr>
              <w:rPr>
                <w:szCs w:val="22"/>
              </w:rPr>
            </w:pPr>
            <w:r>
              <w:rPr>
                <w:szCs w:val="22"/>
              </w:rPr>
              <w:t>AF</w:t>
            </w:r>
          </w:p>
        </w:tc>
        <w:tc>
          <w:tcPr>
            <w:tcW w:w="3800" w:type="pct"/>
          </w:tcPr>
          <w:p w14:paraId="689903F3" w14:textId="7917A0AB" w:rsidR="00306A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B3682B">
              <w:rPr>
                <w:szCs w:val="22"/>
              </w:rPr>
              <w:t>trial fibrillation</w:t>
            </w:r>
          </w:p>
        </w:tc>
      </w:tr>
      <w:tr w:rsidR="00411A1A" w14:paraId="53C681F5"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975C17" w14:textId="3C50DCFC" w:rsidR="003407A4" w:rsidRDefault="00E01DCC" w:rsidP="00324B33">
            <w:pPr>
              <w:rPr>
                <w:szCs w:val="22"/>
              </w:rPr>
            </w:pPr>
            <w:r>
              <w:rPr>
                <w:szCs w:val="22"/>
              </w:rPr>
              <w:t>AFl</w:t>
            </w:r>
          </w:p>
        </w:tc>
        <w:tc>
          <w:tcPr>
            <w:tcW w:w="3800" w:type="pct"/>
          </w:tcPr>
          <w:p w14:paraId="5EB4A90F" w14:textId="5969D2B2" w:rsidR="003407A4"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Atrial Flutter</w:t>
            </w:r>
          </w:p>
        </w:tc>
      </w:tr>
      <w:tr w:rsidR="00411A1A" w14:paraId="31C4FAC6"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A4C19E" w14:textId="4FF72802" w:rsidR="00C40EDE" w:rsidRDefault="00E01DCC" w:rsidP="00324B33">
            <w:pPr>
              <w:rPr>
                <w:szCs w:val="22"/>
              </w:rPr>
            </w:pPr>
            <w:r>
              <w:rPr>
                <w:szCs w:val="22"/>
              </w:rPr>
              <w:t>AOP</w:t>
            </w:r>
          </w:p>
        </w:tc>
        <w:tc>
          <w:tcPr>
            <w:tcW w:w="3800" w:type="pct"/>
          </w:tcPr>
          <w:p w14:paraId="5CA49A6C" w14:textId="6CD55A17" w:rsidR="00C40EDE"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C40EDE">
              <w:rPr>
                <w:szCs w:val="22"/>
              </w:rPr>
              <w:t>AOP Orphan Pharmaceuticals</w:t>
            </w:r>
          </w:p>
        </w:tc>
      </w:tr>
      <w:tr w:rsidR="00411A1A" w14:paraId="12D3AFE5"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7F625C" w14:textId="4AC7DE75" w:rsidR="00EE7154" w:rsidRDefault="00E01DCC" w:rsidP="00324B33">
            <w:pPr>
              <w:rPr>
                <w:szCs w:val="22"/>
              </w:rPr>
            </w:pPr>
            <w:r>
              <w:rPr>
                <w:szCs w:val="22"/>
              </w:rPr>
              <w:t>API</w:t>
            </w:r>
          </w:p>
        </w:tc>
        <w:tc>
          <w:tcPr>
            <w:tcW w:w="3800" w:type="pct"/>
          </w:tcPr>
          <w:p w14:paraId="25ED11E1" w14:textId="1E986BBB" w:rsidR="00EE7154"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Pr="00EE7154">
              <w:rPr>
                <w:szCs w:val="22"/>
              </w:rPr>
              <w:t xml:space="preserve">ctive pharmaceutical ingredient </w:t>
            </w:r>
          </w:p>
        </w:tc>
      </w:tr>
      <w:tr w:rsidR="00411A1A" w14:paraId="69654661"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E01DCC" w:rsidP="00324B33">
            <w:pPr>
              <w:rPr>
                <w:szCs w:val="22"/>
              </w:rPr>
            </w:pPr>
            <w:r w:rsidRPr="00D01DDB">
              <w:rPr>
                <w:szCs w:val="22"/>
              </w:rPr>
              <w:t>ARTG</w:t>
            </w:r>
          </w:p>
        </w:tc>
        <w:tc>
          <w:tcPr>
            <w:tcW w:w="3800" w:type="pct"/>
          </w:tcPr>
          <w:p w14:paraId="228A203A" w14:textId="47EBCFA3" w:rsidR="00324B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411A1A" w14:paraId="05366769"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E01DCC" w:rsidP="00324B33">
            <w:pPr>
              <w:rPr>
                <w:szCs w:val="22"/>
              </w:rPr>
            </w:pPr>
            <w:r w:rsidRPr="00D01DDB">
              <w:rPr>
                <w:szCs w:val="22"/>
              </w:rPr>
              <w:t>ASA</w:t>
            </w:r>
          </w:p>
        </w:tc>
        <w:tc>
          <w:tcPr>
            <w:tcW w:w="3800" w:type="pct"/>
          </w:tcPr>
          <w:p w14:paraId="4E6F5284" w14:textId="21C063B1" w:rsidR="00324B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411A1A" w14:paraId="786FFF7C"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85DB6B" w14:textId="53689C3A" w:rsidR="00104A2D" w:rsidRPr="00D01DDB" w:rsidRDefault="00E01DCC" w:rsidP="00324B33">
            <w:pPr>
              <w:rPr>
                <w:szCs w:val="22"/>
              </w:rPr>
            </w:pPr>
            <w:r>
              <w:rPr>
                <w:szCs w:val="22"/>
              </w:rPr>
              <w:t>AUC</w:t>
            </w:r>
          </w:p>
        </w:tc>
        <w:tc>
          <w:tcPr>
            <w:tcW w:w="3800" w:type="pct"/>
          </w:tcPr>
          <w:p w14:paraId="173F74C9" w14:textId="5E05DD1C" w:rsidR="00104A2D"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5F3230">
              <w:rPr>
                <w:szCs w:val="22"/>
              </w:rPr>
              <w:t>Area under the concentration-time curve</w:t>
            </w:r>
          </w:p>
        </w:tc>
      </w:tr>
      <w:tr w:rsidR="00411A1A" w14:paraId="567A5A52"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5657E7" w14:textId="2EE7DFAB" w:rsidR="00B83D1C" w:rsidRDefault="00E01DCC" w:rsidP="00324B33">
            <w:pPr>
              <w:rPr>
                <w:szCs w:val="22"/>
              </w:rPr>
            </w:pPr>
            <w:r w:rsidRPr="00B83D1C">
              <w:rPr>
                <w:szCs w:val="22"/>
              </w:rPr>
              <w:t>AUC</w:t>
            </w:r>
            <w:r w:rsidRPr="00B83D1C">
              <w:rPr>
                <w:szCs w:val="22"/>
                <w:vertAlign w:val="subscript"/>
              </w:rPr>
              <w:t>0-t</w:t>
            </w:r>
          </w:p>
        </w:tc>
        <w:tc>
          <w:tcPr>
            <w:tcW w:w="3800" w:type="pct"/>
          </w:tcPr>
          <w:p w14:paraId="7276E69F" w14:textId="543C82CC" w:rsidR="00B83D1C"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830B06">
              <w:rPr>
                <w:szCs w:val="22"/>
              </w:rPr>
              <w:t>Area under concentration-time curve from time zero to the time of last measurable concentration</w:t>
            </w:r>
          </w:p>
        </w:tc>
      </w:tr>
      <w:tr w:rsidR="00411A1A" w14:paraId="227CDE5E"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091926" w14:textId="2B6B8548" w:rsidR="00092496" w:rsidRPr="00B83D1C" w:rsidRDefault="00E01DCC" w:rsidP="00324B33">
            <w:pPr>
              <w:rPr>
                <w:szCs w:val="22"/>
              </w:rPr>
            </w:pPr>
            <w:r w:rsidRPr="00092496">
              <w:rPr>
                <w:szCs w:val="22"/>
              </w:rPr>
              <w:t>AUC</w:t>
            </w:r>
            <w:r w:rsidRPr="00092496">
              <w:rPr>
                <w:szCs w:val="22"/>
                <w:vertAlign w:val="subscript"/>
              </w:rPr>
              <w:t>0-∞</w:t>
            </w:r>
          </w:p>
        </w:tc>
        <w:tc>
          <w:tcPr>
            <w:tcW w:w="3800" w:type="pct"/>
          </w:tcPr>
          <w:p w14:paraId="691695C7" w14:textId="1A463BC8" w:rsidR="00092496" w:rsidRPr="00D01DDB" w:rsidRDefault="00E01DCC" w:rsidP="00F5310D">
            <w:pPr>
              <w:cnfStyle w:val="000000000000" w:firstRow="0" w:lastRow="0" w:firstColumn="0" w:lastColumn="0" w:oddVBand="0" w:evenVBand="0" w:oddHBand="0" w:evenHBand="0" w:firstRowFirstColumn="0" w:firstRowLastColumn="0" w:lastRowFirstColumn="0" w:lastRowLastColumn="0"/>
              <w:rPr>
                <w:szCs w:val="22"/>
              </w:rPr>
            </w:pPr>
            <w:r w:rsidRPr="00F5310D">
              <w:rPr>
                <w:szCs w:val="22"/>
              </w:rPr>
              <w:t>Area under the concentration time curve from time zero to infinity</w:t>
            </w:r>
          </w:p>
        </w:tc>
      </w:tr>
      <w:tr w:rsidR="00411A1A" w14:paraId="2F6492DF"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71CDBC" w14:textId="0C900132" w:rsidR="004F18B5" w:rsidRPr="00092496" w:rsidRDefault="00E01DCC" w:rsidP="00324B33">
            <w:pPr>
              <w:rPr>
                <w:szCs w:val="22"/>
              </w:rPr>
            </w:pPr>
            <w:r>
              <w:rPr>
                <w:szCs w:val="22"/>
              </w:rPr>
              <w:t>AV</w:t>
            </w:r>
          </w:p>
        </w:tc>
        <w:tc>
          <w:tcPr>
            <w:tcW w:w="3800" w:type="pct"/>
          </w:tcPr>
          <w:p w14:paraId="64EE9204" w14:textId="2736553F" w:rsidR="004F18B5" w:rsidRPr="004F18B5" w:rsidRDefault="00E01DCC" w:rsidP="00F5310D">
            <w:pPr>
              <w:cnfStyle w:val="000000000000" w:firstRow="0" w:lastRow="0" w:firstColumn="0" w:lastColumn="0" w:oddVBand="0" w:evenVBand="0" w:oddHBand="0" w:evenHBand="0" w:firstRowFirstColumn="0" w:firstRowLastColumn="0" w:lastRowFirstColumn="0" w:lastRowLastColumn="0"/>
              <w:rPr>
                <w:szCs w:val="22"/>
              </w:rPr>
            </w:pPr>
            <w:r w:rsidRPr="004F18B5">
              <w:rPr>
                <w:szCs w:val="22"/>
              </w:rPr>
              <w:t>Atrioventricular</w:t>
            </w:r>
          </w:p>
        </w:tc>
      </w:tr>
      <w:tr w:rsidR="00411A1A" w14:paraId="33B6F0CF"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048B5E" w14:textId="3324EFC2" w:rsidR="002C7AA7" w:rsidRPr="00D01DDB" w:rsidRDefault="00E01DCC" w:rsidP="00324B33">
            <w:pPr>
              <w:rPr>
                <w:szCs w:val="22"/>
              </w:rPr>
            </w:pPr>
            <w:r>
              <w:rPr>
                <w:szCs w:val="22"/>
              </w:rPr>
              <w:t>BP</w:t>
            </w:r>
          </w:p>
        </w:tc>
        <w:tc>
          <w:tcPr>
            <w:tcW w:w="3800" w:type="pct"/>
          </w:tcPr>
          <w:p w14:paraId="5A636F70" w14:textId="6FC4C7E2" w:rsidR="002C7AA7"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w:t>
            </w:r>
            <w:r w:rsidRPr="002C7AA7">
              <w:rPr>
                <w:szCs w:val="22"/>
              </w:rPr>
              <w:t>lood pressure</w:t>
            </w:r>
          </w:p>
        </w:tc>
      </w:tr>
      <w:tr w:rsidR="00411A1A" w14:paraId="79300D7B"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D98E1DD" w14:textId="73637FA8" w:rsidR="00867EFA" w:rsidRDefault="00E01DCC" w:rsidP="00324B33">
            <w:pPr>
              <w:rPr>
                <w:szCs w:val="22"/>
              </w:rPr>
            </w:pPr>
            <w:r>
              <w:rPr>
                <w:szCs w:val="22"/>
              </w:rPr>
              <w:t>CL</w:t>
            </w:r>
          </w:p>
        </w:tc>
        <w:tc>
          <w:tcPr>
            <w:tcW w:w="3800" w:type="pct"/>
          </w:tcPr>
          <w:p w14:paraId="7D1DBEDD" w14:textId="3472988F" w:rsidR="00867EFA"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Clearance</w:t>
            </w:r>
          </w:p>
        </w:tc>
      </w:tr>
      <w:tr w:rsidR="00411A1A" w14:paraId="0EB13F97"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38B49AA" w14:textId="46E0AFA3" w:rsidR="00B83D1C" w:rsidRDefault="00E01DCC" w:rsidP="00324B33">
            <w:pPr>
              <w:rPr>
                <w:szCs w:val="22"/>
              </w:rPr>
            </w:pPr>
            <w:proofErr w:type="spellStart"/>
            <w:r w:rsidRPr="00B83D1C">
              <w:rPr>
                <w:szCs w:val="22"/>
              </w:rPr>
              <w:t>C</w:t>
            </w:r>
            <w:r w:rsidRPr="00B83D1C">
              <w:rPr>
                <w:szCs w:val="22"/>
                <w:vertAlign w:val="subscript"/>
              </w:rPr>
              <w:t>max</w:t>
            </w:r>
            <w:proofErr w:type="spellEnd"/>
          </w:p>
        </w:tc>
        <w:tc>
          <w:tcPr>
            <w:tcW w:w="3800" w:type="pct"/>
          </w:tcPr>
          <w:p w14:paraId="2195E650" w14:textId="45CD1B5A" w:rsidR="00B83D1C"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D47293">
              <w:rPr>
                <w:szCs w:val="22"/>
              </w:rPr>
              <w:t>Maximum concentration</w:t>
            </w:r>
          </w:p>
        </w:tc>
      </w:tr>
      <w:tr w:rsidR="00411A1A" w14:paraId="49500B97"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9A3080" w14:textId="1ED980BD" w:rsidR="00092496" w:rsidRPr="00B83D1C" w:rsidRDefault="00E01DCC" w:rsidP="00324B33">
            <w:pPr>
              <w:rPr>
                <w:szCs w:val="22"/>
              </w:rPr>
            </w:pPr>
            <w:proofErr w:type="spellStart"/>
            <w:r w:rsidRPr="00092496">
              <w:rPr>
                <w:szCs w:val="22"/>
              </w:rPr>
              <w:t>C</w:t>
            </w:r>
            <w:r w:rsidRPr="00092496">
              <w:rPr>
                <w:szCs w:val="22"/>
                <w:vertAlign w:val="subscript"/>
              </w:rPr>
              <w:t>ss</w:t>
            </w:r>
            <w:proofErr w:type="spellEnd"/>
          </w:p>
        </w:tc>
        <w:tc>
          <w:tcPr>
            <w:tcW w:w="3800" w:type="pct"/>
          </w:tcPr>
          <w:p w14:paraId="24436A41" w14:textId="0907CB02" w:rsidR="00092496"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Cause specific survival</w:t>
            </w:r>
          </w:p>
        </w:tc>
      </w:tr>
      <w:tr w:rsidR="00411A1A" w14:paraId="7694A4EE"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E01DCC" w:rsidP="00324B33">
            <w:pPr>
              <w:rPr>
                <w:szCs w:val="22"/>
              </w:rPr>
            </w:pPr>
            <w:r w:rsidRPr="00D01DDB">
              <w:rPr>
                <w:szCs w:val="22"/>
              </w:rPr>
              <w:t>CMI</w:t>
            </w:r>
          </w:p>
        </w:tc>
        <w:tc>
          <w:tcPr>
            <w:tcW w:w="3800" w:type="pct"/>
          </w:tcPr>
          <w:p w14:paraId="5D8C9DF5" w14:textId="60C23379" w:rsidR="00395140"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411A1A" w14:paraId="61ED9D1D"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661C03" w14:textId="38EE7E79" w:rsidR="0011113C" w:rsidRPr="00D01DDB" w:rsidRDefault="00E01DCC" w:rsidP="00324B33">
            <w:pPr>
              <w:rPr>
                <w:szCs w:val="22"/>
              </w:rPr>
            </w:pPr>
            <w:r>
              <w:rPr>
                <w:szCs w:val="22"/>
              </w:rPr>
              <w:t>CNS</w:t>
            </w:r>
          </w:p>
        </w:tc>
        <w:tc>
          <w:tcPr>
            <w:tcW w:w="3800" w:type="pct"/>
          </w:tcPr>
          <w:p w14:paraId="5E4D98D9" w14:textId="464379DC" w:rsidR="0011113C"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D01854">
              <w:rPr>
                <w:szCs w:val="22"/>
              </w:rPr>
              <w:t>Central nervous system</w:t>
            </w:r>
          </w:p>
        </w:tc>
      </w:tr>
      <w:tr w:rsidR="00411A1A" w14:paraId="38F16B91"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05FE5E" w14:textId="3E1C47AB" w:rsidR="00C16AC6" w:rsidRDefault="00E01DCC" w:rsidP="00324B33">
            <w:pPr>
              <w:rPr>
                <w:szCs w:val="22"/>
              </w:rPr>
            </w:pPr>
            <w:r w:rsidRPr="00C16AC6">
              <w:rPr>
                <w:szCs w:val="22"/>
              </w:rPr>
              <w:t xml:space="preserve">CYP450 </w:t>
            </w:r>
            <w:r w:rsidR="00976DC2">
              <w:rPr>
                <w:szCs w:val="22"/>
              </w:rPr>
              <w:t>enzymes</w:t>
            </w:r>
          </w:p>
        </w:tc>
        <w:tc>
          <w:tcPr>
            <w:tcW w:w="3800" w:type="pct"/>
          </w:tcPr>
          <w:p w14:paraId="26FC5263" w14:textId="5DF62F01" w:rsidR="00C16AC6" w:rsidRPr="00D01854"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00976DC2">
              <w:rPr>
                <w:szCs w:val="22"/>
              </w:rPr>
              <w:t>ytochrome P450 enzymes</w:t>
            </w:r>
          </w:p>
        </w:tc>
      </w:tr>
      <w:tr w:rsidR="00411A1A" w14:paraId="7F57D703"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00F0A3" w14:textId="72DAEB10" w:rsidR="00B738F0" w:rsidRDefault="00E01DCC" w:rsidP="00324B33">
            <w:pPr>
              <w:rPr>
                <w:szCs w:val="22"/>
              </w:rPr>
            </w:pPr>
            <w:r>
              <w:rPr>
                <w:szCs w:val="22"/>
              </w:rPr>
              <w:t>DBP</w:t>
            </w:r>
          </w:p>
        </w:tc>
        <w:tc>
          <w:tcPr>
            <w:tcW w:w="3800" w:type="pct"/>
          </w:tcPr>
          <w:p w14:paraId="2B1C7F99" w14:textId="4A253ACC" w:rsidR="00B738F0"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Diastolic blood pressure</w:t>
            </w:r>
          </w:p>
        </w:tc>
      </w:tr>
      <w:tr w:rsidR="00411A1A" w14:paraId="7B873773"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E01DCC" w:rsidP="00324B33">
            <w:pPr>
              <w:rPr>
                <w:szCs w:val="22"/>
              </w:rPr>
            </w:pPr>
            <w:r w:rsidRPr="00D01DDB">
              <w:rPr>
                <w:szCs w:val="22"/>
              </w:rPr>
              <w:t>DLP</w:t>
            </w:r>
          </w:p>
        </w:tc>
        <w:tc>
          <w:tcPr>
            <w:tcW w:w="3800" w:type="pct"/>
          </w:tcPr>
          <w:p w14:paraId="26109D0B" w14:textId="4AE8F60A" w:rsidR="00324B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411A1A" w14:paraId="0A270D75"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9CE9C8" w14:textId="726B9044" w:rsidR="00517636" w:rsidRPr="00D01DDB" w:rsidRDefault="00E01DCC" w:rsidP="00324B33">
            <w:pPr>
              <w:rPr>
                <w:szCs w:val="22"/>
              </w:rPr>
            </w:pPr>
            <w:r>
              <w:rPr>
                <w:szCs w:val="22"/>
              </w:rPr>
              <w:t>EU</w:t>
            </w:r>
          </w:p>
        </w:tc>
        <w:tc>
          <w:tcPr>
            <w:tcW w:w="3800" w:type="pct"/>
          </w:tcPr>
          <w:p w14:paraId="6EC156AD" w14:textId="7705C171" w:rsidR="00517636"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European Union</w:t>
            </w:r>
          </w:p>
        </w:tc>
      </w:tr>
      <w:tr w:rsidR="00411A1A" w14:paraId="418EFF39"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5B4E5C" w14:textId="6756A875" w:rsidR="00024582" w:rsidRDefault="00E01DCC" w:rsidP="00324B33">
            <w:pPr>
              <w:rPr>
                <w:szCs w:val="22"/>
              </w:rPr>
            </w:pPr>
            <w:r>
              <w:rPr>
                <w:szCs w:val="22"/>
              </w:rPr>
              <w:t>FAS</w:t>
            </w:r>
          </w:p>
        </w:tc>
        <w:tc>
          <w:tcPr>
            <w:tcW w:w="3800" w:type="pct"/>
          </w:tcPr>
          <w:p w14:paraId="58DA161B" w14:textId="48CAA215" w:rsidR="00024582"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024582">
              <w:rPr>
                <w:szCs w:val="22"/>
              </w:rPr>
              <w:t>Full analysis set</w:t>
            </w:r>
          </w:p>
        </w:tc>
      </w:tr>
      <w:tr w:rsidR="00411A1A" w14:paraId="1F77BB10"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F9B967" w14:textId="35B2397E" w:rsidR="00B93F15" w:rsidRDefault="00E01DCC" w:rsidP="00324B33">
            <w:pPr>
              <w:rPr>
                <w:szCs w:val="22"/>
              </w:rPr>
            </w:pPr>
            <w:r>
              <w:rPr>
                <w:szCs w:val="22"/>
              </w:rPr>
              <w:t>GLP</w:t>
            </w:r>
          </w:p>
        </w:tc>
        <w:tc>
          <w:tcPr>
            <w:tcW w:w="3800" w:type="pct"/>
          </w:tcPr>
          <w:p w14:paraId="594AA3B8" w14:textId="6961844F" w:rsidR="00B93F15"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B93F15">
              <w:rPr>
                <w:szCs w:val="22"/>
              </w:rPr>
              <w:t>Good Laboratory Practice</w:t>
            </w:r>
          </w:p>
        </w:tc>
      </w:tr>
      <w:tr w:rsidR="00411A1A" w14:paraId="757EA355"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1F959E3" w14:textId="3751758D" w:rsidR="000B29B0" w:rsidRDefault="00E01DCC" w:rsidP="00324B33">
            <w:pPr>
              <w:rPr>
                <w:szCs w:val="22"/>
              </w:rPr>
            </w:pPr>
            <w:proofErr w:type="spellStart"/>
            <w:r>
              <w:rPr>
                <w:szCs w:val="22"/>
              </w:rPr>
              <w:t>hERG</w:t>
            </w:r>
            <w:proofErr w:type="spellEnd"/>
          </w:p>
        </w:tc>
        <w:tc>
          <w:tcPr>
            <w:tcW w:w="3800" w:type="pct"/>
          </w:tcPr>
          <w:p w14:paraId="55FA1183" w14:textId="2C59169E" w:rsidR="000B29B0" w:rsidRPr="000B29B0"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0B29B0">
              <w:rPr>
                <w:szCs w:val="22"/>
              </w:rPr>
              <w:t>human </w:t>
            </w:r>
            <w:r>
              <w:rPr>
                <w:szCs w:val="22"/>
              </w:rPr>
              <w:t>e</w:t>
            </w:r>
            <w:r w:rsidRPr="000B29B0">
              <w:rPr>
                <w:i/>
                <w:iCs/>
                <w:szCs w:val="22"/>
              </w:rPr>
              <w:t>ther-à-go-go</w:t>
            </w:r>
            <w:r w:rsidRPr="000B29B0">
              <w:rPr>
                <w:szCs w:val="22"/>
              </w:rPr>
              <w:t>-</w:t>
            </w:r>
            <w:r>
              <w:rPr>
                <w:szCs w:val="22"/>
              </w:rPr>
              <w:t>r</w:t>
            </w:r>
            <w:r w:rsidRPr="000B29B0">
              <w:rPr>
                <w:szCs w:val="22"/>
              </w:rPr>
              <w:t>elated </w:t>
            </w:r>
            <w:r>
              <w:rPr>
                <w:szCs w:val="22"/>
              </w:rPr>
              <w:t>g</w:t>
            </w:r>
            <w:r w:rsidRPr="000B29B0">
              <w:rPr>
                <w:szCs w:val="22"/>
              </w:rPr>
              <w:t>ene</w:t>
            </w:r>
          </w:p>
        </w:tc>
      </w:tr>
      <w:tr w:rsidR="00411A1A" w14:paraId="51FC22B2"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6D4F3B" w14:textId="06FF5938" w:rsidR="002C7AA7" w:rsidRPr="00D01DDB" w:rsidRDefault="00E01DCC" w:rsidP="00324B33">
            <w:pPr>
              <w:rPr>
                <w:szCs w:val="22"/>
              </w:rPr>
            </w:pPr>
            <w:r>
              <w:rPr>
                <w:szCs w:val="22"/>
              </w:rPr>
              <w:t>HR</w:t>
            </w:r>
          </w:p>
        </w:tc>
        <w:tc>
          <w:tcPr>
            <w:tcW w:w="3800" w:type="pct"/>
          </w:tcPr>
          <w:p w14:paraId="44858996" w14:textId="3CC7BAA3" w:rsidR="002C7AA7"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2C7AA7">
              <w:rPr>
                <w:szCs w:val="22"/>
              </w:rPr>
              <w:t xml:space="preserve">eart rate </w:t>
            </w:r>
          </w:p>
        </w:tc>
      </w:tr>
      <w:tr w:rsidR="00411A1A" w14:paraId="05CCC32C"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FBE4C6" w14:textId="157F32FA" w:rsidR="00DD700D" w:rsidRDefault="00E01DCC" w:rsidP="00324B33">
            <w:pPr>
              <w:rPr>
                <w:szCs w:val="22"/>
              </w:rPr>
            </w:pPr>
            <w:r w:rsidRPr="00DD700D">
              <w:rPr>
                <w:szCs w:val="22"/>
              </w:rPr>
              <w:t>ICH M3</w:t>
            </w:r>
            <w:r w:rsidR="00CF07B6">
              <w:rPr>
                <w:szCs w:val="22"/>
              </w:rPr>
              <w:t xml:space="preserve"> </w:t>
            </w:r>
            <w:r w:rsidR="00CF07B6" w:rsidRPr="00CF07B6">
              <w:rPr>
                <w:szCs w:val="22"/>
              </w:rPr>
              <w:t>(R2)</w:t>
            </w:r>
          </w:p>
        </w:tc>
        <w:tc>
          <w:tcPr>
            <w:tcW w:w="3800" w:type="pct"/>
          </w:tcPr>
          <w:p w14:paraId="5B84841A" w14:textId="0838E221" w:rsidR="00DD700D" w:rsidRDefault="00201DE1" w:rsidP="00DD700D">
            <w:pPr>
              <w:cnfStyle w:val="000000000000" w:firstRow="0" w:lastRow="0" w:firstColumn="0" w:lastColumn="0" w:oddVBand="0" w:evenVBand="0" w:oddHBand="0" w:evenHBand="0" w:firstRowFirstColumn="0" w:firstRowLastColumn="0" w:lastRowFirstColumn="0" w:lastRowLastColumn="0"/>
              <w:rPr>
                <w:szCs w:val="22"/>
              </w:rPr>
            </w:pPr>
            <w:r>
              <w:rPr>
                <w:szCs w:val="22"/>
              </w:rPr>
              <w:t>Guidance on n</w:t>
            </w:r>
            <w:r w:rsidR="00E01DCC" w:rsidRPr="00DD700D">
              <w:rPr>
                <w:szCs w:val="22"/>
              </w:rPr>
              <w:t>on-clinical safety studies for the conduct of human clinical trials </w:t>
            </w:r>
            <w:r>
              <w:rPr>
                <w:szCs w:val="22"/>
              </w:rPr>
              <w:t xml:space="preserve">and marketing authorization </w:t>
            </w:r>
            <w:r w:rsidR="00E01DCC" w:rsidRPr="00DD700D">
              <w:rPr>
                <w:szCs w:val="22"/>
              </w:rPr>
              <w:t>for pharmaceuticals</w:t>
            </w:r>
          </w:p>
        </w:tc>
      </w:tr>
      <w:tr w:rsidR="00411A1A" w14:paraId="7EC56343"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136ACB" w14:textId="47466A87" w:rsidR="00B93F15" w:rsidRDefault="00E01DCC" w:rsidP="00324B33">
            <w:pPr>
              <w:rPr>
                <w:szCs w:val="22"/>
              </w:rPr>
            </w:pPr>
            <w:r w:rsidRPr="008C1C3C">
              <w:rPr>
                <w:szCs w:val="22"/>
              </w:rPr>
              <w:t>ICH Q3A</w:t>
            </w:r>
            <w:r w:rsidR="00825DD6">
              <w:rPr>
                <w:szCs w:val="22"/>
              </w:rPr>
              <w:t xml:space="preserve"> (R2)</w:t>
            </w:r>
          </w:p>
        </w:tc>
        <w:tc>
          <w:tcPr>
            <w:tcW w:w="3800" w:type="pct"/>
          </w:tcPr>
          <w:p w14:paraId="0DF4AE0A" w14:textId="37D70B66" w:rsidR="00B93F15" w:rsidRDefault="00E01DCC" w:rsidP="008C1C3C">
            <w:pPr>
              <w:cnfStyle w:val="000000000000" w:firstRow="0" w:lastRow="0" w:firstColumn="0" w:lastColumn="0" w:oddVBand="0" w:evenVBand="0" w:oddHBand="0" w:evenHBand="0" w:firstRowFirstColumn="0" w:firstRowLastColumn="0" w:lastRowFirstColumn="0" w:lastRowLastColumn="0"/>
              <w:rPr>
                <w:szCs w:val="22"/>
              </w:rPr>
            </w:pPr>
            <w:r w:rsidRPr="008C1C3C">
              <w:rPr>
                <w:szCs w:val="22"/>
              </w:rPr>
              <w:t>Impurities in new drug substances</w:t>
            </w:r>
          </w:p>
        </w:tc>
      </w:tr>
      <w:tr w:rsidR="00411A1A" w14:paraId="3DFC8C1A"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05A5DC" w14:textId="658B9D83" w:rsidR="00A90AE8" w:rsidRPr="008C1C3C" w:rsidRDefault="00E01DCC" w:rsidP="00324B33">
            <w:pPr>
              <w:rPr>
                <w:szCs w:val="22"/>
              </w:rPr>
            </w:pPr>
            <w:r w:rsidRPr="00A90AE8">
              <w:rPr>
                <w:szCs w:val="22"/>
              </w:rPr>
              <w:lastRenderedPageBreak/>
              <w:t>ICH Q3B</w:t>
            </w:r>
            <w:r w:rsidR="00825DD6">
              <w:rPr>
                <w:szCs w:val="22"/>
              </w:rPr>
              <w:t xml:space="preserve"> (R2)</w:t>
            </w:r>
          </w:p>
        </w:tc>
        <w:tc>
          <w:tcPr>
            <w:tcW w:w="3800" w:type="pct"/>
          </w:tcPr>
          <w:p w14:paraId="51B8EA2C" w14:textId="5DFD06FB" w:rsidR="00A90AE8" w:rsidRPr="008C1C3C" w:rsidRDefault="00E01DCC" w:rsidP="00A90AE8">
            <w:pPr>
              <w:cnfStyle w:val="000000000000" w:firstRow="0" w:lastRow="0" w:firstColumn="0" w:lastColumn="0" w:oddVBand="0" w:evenVBand="0" w:oddHBand="0" w:evenHBand="0" w:firstRowFirstColumn="0" w:firstRowLastColumn="0" w:lastRowFirstColumn="0" w:lastRowLastColumn="0"/>
              <w:rPr>
                <w:szCs w:val="22"/>
              </w:rPr>
            </w:pPr>
            <w:r w:rsidRPr="00A90AE8">
              <w:rPr>
                <w:szCs w:val="22"/>
              </w:rPr>
              <w:t>Impurities in new drug products</w:t>
            </w:r>
          </w:p>
        </w:tc>
      </w:tr>
      <w:tr w:rsidR="00411A1A" w14:paraId="0E759828"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9C2FC3" w14:textId="4D6DE244" w:rsidR="00104A2D" w:rsidRDefault="00E01DCC" w:rsidP="00324B33">
            <w:pPr>
              <w:rPr>
                <w:szCs w:val="22"/>
              </w:rPr>
            </w:pPr>
            <w:r>
              <w:rPr>
                <w:szCs w:val="22"/>
              </w:rPr>
              <w:t>IV</w:t>
            </w:r>
          </w:p>
        </w:tc>
        <w:tc>
          <w:tcPr>
            <w:tcW w:w="3800" w:type="pct"/>
          </w:tcPr>
          <w:p w14:paraId="0DE111D4" w14:textId="5E04DB6C" w:rsidR="00104A2D"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Intravenous</w:t>
            </w:r>
          </w:p>
        </w:tc>
      </w:tr>
      <w:tr w:rsidR="00411A1A" w14:paraId="033C003A"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B6A94C" w14:textId="75B2B6D5" w:rsidR="00137BF4" w:rsidRDefault="00E01DCC" w:rsidP="00324B33">
            <w:pPr>
              <w:rPr>
                <w:szCs w:val="22"/>
              </w:rPr>
            </w:pPr>
            <w:r>
              <w:rPr>
                <w:szCs w:val="22"/>
              </w:rPr>
              <w:t>LV</w:t>
            </w:r>
          </w:p>
        </w:tc>
        <w:tc>
          <w:tcPr>
            <w:tcW w:w="3800" w:type="pct"/>
          </w:tcPr>
          <w:p w14:paraId="3189818E" w14:textId="76FC41DD" w:rsidR="00137BF4"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Left ventricular</w:t>
            </w:r>
          </w:p>
        </w:tc>
      </w:tr>
      <w:tr w:rsidR="00411A1A" w14:paraId="724ABA6B"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81CAC5" w14:textId="37DE9E12" w:rsidR="00164EFD" w:rsidRDefault="00E01DCC" w:rsidP="00324B33">
            <w:pPr>
              <w:rPr>
                <w:szCs w:val="22"/>
              </w:rPr>
            </w:pPr>
            <w:r w:rsidRPr="00164EFD">
              <w:rPr>
                <w:szCs w:val="22"/>
              </w:rPr>
              <w:t>mmHg</w:t>
            </w:r>
          </w:p>
        </w:tc>
        <w:tc>
          <w:tcPr>
            <w:tcW w:w="3800" w:type="pct"/>
          </w:tcPr>
          <w:p w14:paraId="6F4CD9C1" w14:textId="7197CC25" w:rsidR="00164EFD"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Millimetres of mercury</w:t>
            </w:r>
          </w:p>
        </w:tc>
      </w:tr>
      <w:tr w:rsidR="00411A1A" w14:paraId="29ED95DF"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067D96" w14:textId="1A9B5631" w:rsidR="00867EFA" w:rsidRDefault="00E01DCC" w:rsidP="00324B33">
            <w:pPr>
              <w:rPr>
                <w:szCs w:val="22"/>
              </w:rPr>
            </w:pPr>
            <w:r>
              <w:rPr>
                <w:szCs w:val="22"/>
              </w:rPr>
              <w:t>N</w:t>
            </w:r>
          </w:p>
        </w:tc>
        <w:tc>
          <w:tcPr>
            <w:tcW w:w="3800" w:type="pct"/>
          </w:tcPr>
          <w:p w14:paraId="5E0CBE4E" w14:textId="19735EDB" w:rsidR="00867EFA"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Number of subjects</w:t>
            </w:r>
          </w:p>
        </w:tc>
      </w:tr>
      <w:tr w:rsidR="00411A1A" w14:paraId="3E0E91F7"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E4C1C9" w14:textId="0D318D37" w:rsidR="00A1716C" w:rsidRDefault="00E01DCC" w:rsidP="00324B33">
            <w:pPr>
              <w:rPr>
                <w:szCs w:val="22"/>
              </w:rPr>
            </w:pPr>
            <w:r>
              <w:rPr>
                <w:szCs w:val="22"/>
              </w:rPr>
              <w:t>ng</w:t>
            </w:r>
          </w:p>
        </w:tc>
        <w:tc>
          <w:tcPr>
            <w:tcW w:w="3800" w:type="pct"/>
          </w:tcPr>
          <w:p w14:paraId="7DEB1196" w14:textId="2C3BE9F9" w:rsidR="00A1716C"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Nanograms</w:t>
            </w:r>
          </w:p>
        </w:tc>
      </w:tr>
      <w:tr w:rsidR="00411A1A" w14:paraId="763CA0D0"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378F5F" w14:textId="2CAC6A56" w:rsidR="00F84492" w:rsidRDefault="00E01DCC" w:rsidP="00324B33">
            <w:pPr>
              <w:rPr>
                <w:szCs w:val="22"/>
              </w:rPr>
            </w:pPr>
            <w:r>
              <w:rPr>
                <w:szCs w:val="22"/>
              </w:rPr>
              <w:t>PD</w:t>
            </w:r>
          </w:p>
        </w:tc>
        <w:tc>
          <w:tcPr>
            <w:tcW w:w="3800" w:type="pct"/>
          </w:tcPr>
          <w:p w14:paraId="2F84018F" w14:textId="29DCB26F" w:rsidR="00F84492"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F001DF">
              <w:rPr>
                <w:szCs w:val="22"/>
              </w:rPr>
              <w:t>Pharmacodynamics</w:t>
            </w:r>
          </w:p>
        </w:tc>
      </w:tr>
      <w:tr w:rsidR="00411A1A" w14:paraId="2756B6F2"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E01DCC" w:rsidP="00324B33">
            <w:pPr>
              <w:rPr>
                <w:szCs w:val="22"/>
              </w:rPr>
            </w:pPr>
            <w:r w:rsidRPr="00D01DDB">
              <w:rPr>
                <w:szCs w:val="22"/>
              </w:rPr>
              <w:t>PI</w:t>
            </w:r>
          </w:p>
        </w:tc>
        <w:tc>
          <w:tcPr>
            <w:tcW w:w="3800" w:type="pct"/>
          </w:tcPr>
          <w:p w14:paraId="354B5DB5" w14:textId="3DAE38C1" w:rsidR="00395140"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411A1A" w14:paraId="6E3C2886"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DEA235" w14:textId="34812F32" w:rsidR="00181136" w:rsidRPr="00D01DDB" w:rsidRDefault="00E01DCC" w:rsidP="00324B33">
            <w:pPr>
              <w:rPr>
                <w:szCs w:val="22"/>
              </w:rPr>
            </w:pPr>
            <w:r>
              <w:rPr>
                <w:szCs w:val="22"/>
              </w:rPr>
              <w:t>PK</w:t>
            </w:r>
          </w:p>
        </w:tc>
        <w:tc>
          <w:tcPr>
            <w:tcW w:w="3800" w:type="pct"/>
          </w:tcPr>
          <w:p w14:paraId="78018AF1" w14:textId="35A31156" w:rsidR="00181136"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F15E31">
              <w:rPr>
                <w:szCs w:val="22"/>
              </w:rPr>
              <w:t>Pharmacokinetics</w:t>
            </w:r>
          </w:p>
        </w:tc>
      </w:tr>
      <w:tr w:rsidR="00411A1A" w14:paraId="1B2458DE"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75506C" w14:textId="7AE4202C" w:rsidR="008560C7" w:rsidRDefault="00E01DCC" w:rsidP="00324B33">
            <w:pPr>
              <w:rPr>
                <w:szCs w:val="22"/>
              </w:rPr>
            </w:pPr>
            <w:r w:rsidRPr="008560C7">
              <w:rPr>
                <w:szCs w:val="22"/>
              </w:rPr>
              <w:t>PR interval</w:t>
            </w:r>
          </w:p>
        </w:tc>
        <w:tc>
          <w:tcPr>
            <w:tcW w:w="3800" w:type="pct"/>
          </w:tcPr>
          <w:p w14:paraId="739AF7E1" w14:textId="31FD5F7E" w:rsidR="008560C7" w:rsidRPr="00F15E31"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sidRPr="008560C7">
              <w:rPr>
                <w:szCs w:val="22"/>
              </w:rPr>
              <w:t>Time from the onset of the P wave to the start of the QRS complex</w:t>
            </w:r>
          </w:p>
        </w:tc>
      </w:tr>
      <w:tr w:rsidR="00411A1A" w14:paraId="3D3C703D"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E01DCC" w:rsidP="00A704DC">
            <w:pPr>
              <w:rPr>
                <w:szCs w:val="22"/>
              </w:rPr>
            </w:pPr>
            <w:r w:rsidRPr="00D01DDB">
              <w:rPr>
                <w:szCs w:val="22"/>
              </w:rPr>
              <w:t>PSUR</w:t>
            </w:r>
          </w:p>
        </w:tc>
        <w:tc>
          <w:tcPr>
            <w:tcW w:w="3800" w:type="pct"/>
          </w:tcPr>
          <w:p w14:paraId="4A97D112" w14:textId="3DC38D82" w:rsidR="00A704DC" w:rsidRPr="00D01DDB"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411A1A" w14:paraId="57848141"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69A79E" w14:textId="7FA1EA5D" w:rsidR="00512BBD" w:rsidRPr="00D01DDB" w:rsidRDefault="00E01DCC" w:rsidP="00A704DC">
            <w:pPr>
              <w:rPr>
                <w:szCs w:val="22"/>
              </w:rPr>
            </w:pPr>
            <w:r>
              <w:rPr>
                <w:szCs w:val="22"/>
              </w:rPr>
              <w:t>PT</w:t>
            </w:r>
          </w:p>
        </w:tc>
        <w:tc>
          <w:tcPr>
            <w:tcW w:w="3800" w:type="pct"/>
          </w:tcPr>
          <w:p w14:paraId="1850316A" w14:textId="115F7AF9" w:rsidR="00512BBD" w:rsidRPr="00D01DDB"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sidRPr="00512BBD">
              <w:rPr>
                <w:szCs w:val="22"/>
              </w:rPr>
              <w:t>Preferred term</w:t>
            </w:r>
          </w:p>
        </w:tc>
      </w:tr>
      <w:tr w:rsidR="00411A1A" w14:paraId="2F9FF37C"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59C66B" w14:textId="264CBA9C" w:rsidR="0011113C" w:rsidRPr="00D01DDB" w:rsidRDefault="00E01DCC" w:rsidP="00A704DC">
            <w:pPr>
              <w:rPr>
                <w:szCs w:val="22"/>
              </w:rPr>
            </w:pPr>
            <w:r w:rsidRPr="0011113C">
              <w:rPr>
                <w:szCs w:val="22"/>
              </w:rPr>
              <w:t>QTc</w:t>
            </w:r>
          </w:p>
        </w:tc>
        <w:tc>
          <w:tcPr>
            <w:tcW w:w="3800" w:type="pct"/>
          </w:tcPr>
          <w:p w14:paraId="571DDC79" w14:textId="2AC00014" w:rsidR="0011113C" w:rsidRPr="00D01DDB"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sidRPr="00C37FD0">
              <w:rPr>
                <w:szCs w:val="22"/>
              </w:rPr>
              <w:t>Corrected QT interval</w:t>
            </w:r>
          </w:p>
        </w:tc>
      </w:tr>
      <w:tr w:rsidR="00411A1A" w14:paraId="14C63D73"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0720E03" w14:textId="35C314D4" w:rsidR="000A6FCC" w:rsidRPr="0011113C" w:rsidRDefault="00E01DCC" w:rsidP="00A704DC">
            <w:pPr>
              <w:rPr>
                <w:szCs w:val="22"/>
              </w:rPr>
            </w:pPr>
            <w:r>
              <w:rPr>
                <w:szCs w:val="22"/>
              </w:rPr>
              <w:t>RBC</w:t>
            </w:r>
          </w:p>
        </w:tc>
        <w:tc>
          <w:tcPr>
            <w:tcW w:w="3800" w:type="pct"/>
          </w:tcPr>
          <w:p w14:paraId="22904C27" w14:textId="6D524B6D" w:rsidR="000A6FCC" w:rsidRPr="00C37FD0"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Red blood cell</w:t>
            </w:r>
          </w:p>
        </w:tc>
      </w:tr>
      <w:tr w:rsidR="00411A1A" w14:paraId="07F3695A"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E01DCC" w:rsidP="00A704DC">
            <w:pPr>
              <w:rPr>
                <w:szCs w:val="22"/>
              </w:rPr>
            </w:pPr>
            <w:r w:rsidRPr="00D01DDB">
              <w:rPr>
                <w:szCs w:val="22"/>
              </w:rPr>
              <w:t>RMP</w:t>
            </w:r>
          </w:p>
        </w:tc>
        <w:tc>
          <w:tcPr>
            <w:tcW w:w="3800" w:type="pct"/>
          </w:tcPr>
          <w:p w14:paraId="2C862F75" w14:textId="2355E842" w:rsidR="00A704DC" w:rsidRPr="00D01DDB"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411A1A" w14:paraId="5A06B4BA"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23A415" w14:textId="4E501B9C" w:rsidR="00B738F0" w:rsidRPr="00D01DDB" w:rsidRDefault="00E01DCC" w:rsidP="00A704DC">
            <w:pPr>
              <w:rPr>
                <w:szCs w:val="22"/>
              </w:rPr>
            </w:pPr>
            <w:r w:rsidRPr="00B738F0">
              <w:rPr>
                <w:szCs w:val="22"/>
              </w:rPr>
              <w:t>SBP</w:t>
            </w:r>
          </w:p>
        </w:tc>
        <w:tc>
          <w:tcPr>
            <w:tcW w:w="3800" w:type="pct"/>
          </w:tcPr>
          <w:p w14:paraId="7B5A80A8" w14:textId="0356A74B" w:rsidR="00B738F0" w:rsidRPr="00D01DDB"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Systolic blood pressure</w:t>
            </w:r>
          </w:p>
        </w:tc>
      </w:tr>
      <w:tr w:rsidR="00411A1A" w14:paraId="53EC7805"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643F98" w14:textId="742BB5EB" w:rsidR="00867EFA" w:rsidRPr="00B738F0" w:rsidRDefault="00E01DCC" w:rsidP="00A704DC">
            <w:pPr>
              <w:rPr>
                <w:szCs w:val="22"/>
              </w:rPr>
            </w:pPr>
            <w:r>
              <w:rPr>
                <w:szCs w:val="22"/>
              </w:rPr>
              <w:t>SD</w:t>
            </w:r>
          </w:p>
        </w:tc>
        <w:tc>
          <w:tcPr>
            <w:tcW w:w="3800" w:type="pct"/>
          </w:tcPr>
          <w:p w14:paraId="08E85408" w14:textId="5E8F0AE5" w:rsidR="00867EFA"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Standard deviation</w:t>
            </w:r>
          </w:p>
        </w:tc>
      </w:tr>
      <w:tr w:rsidR="00411A1A" w14:paraId="0633D08B"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007B41" w14:textId="185C06FE" w:rsidR="00D51793" w:rsidRDefault="00E01DCC" w:rsidP="00A704DC">
            <w:pPr>
              <w:rPr>
                <w:szCs w:val="22"/>
              </w:rPr>
            </w:pPr>
            <w:r>
              <w:rPr>
                <w:szCs w:val="22"/>
              </w:rPr>
              <w:t>SOC</w:t>
            </w:r>
          </w:p>
        </w:tc>
        <w:tc>
          <w:tcPr>
            <w:tcW w:w="3800" w:type="pct"/>
          </w:tcPr>
          <w:p w14:paraId="46856300" w14:textId="17D40387" w:rsidR="00D51793"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sidRPr="009620AF">
              <w:rPr>
                <w:szCs w:val="22"/>
              </w:rPr>
              <w:t>System Organ Class</w:t>
            </w:r>
          </w:p>
        </w:tc>
      </w:tr>
      <w:tr w:rsidR="00411A1A" w14:paraId="2499F273"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424AB1" w14:textId="71E063C6" w:rsidR="00306A33" w:rsidRPr="00D01DDB" w:rsidRDefault="00E01DCC" w:rsidP="00A704DC">
            <w:pPr>
              <w:rPr>
                <w:szCs w:val="22"/>
              </w:rPr>
            </w:pPr>
            <w:r>
              <w:rPr>
                <w:szCs w:val="22"/>
              </w:rPr>
              <w:t>SVT</w:t>
            </w:r>
          </w:p>
        </w:tc>
        <w:tc>
          <w:tcPr>
            <w:tcW w:w="3800" w:type="pct"/>
          </w:tcPr>
          <w:p w14:paraId="15381C14" w14:textId="26732AA3" w:rsidR="00306A33" w:rsidRPr="00D01DDB"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w:t>
            </w:r>
            <w:r w:rsidRPr="00306A33">
              <w:rPr>
                <w:szCs w:val="22"/>
              </w:rPr>
              <w:t>upraventricular tachyarrhythmia</w:t>
            </w:r>
            <w:r w:rsidR="006F6321">
              <w:rPr>
                <w:szCs w:val="22"/>
              </w:rPr>
              <w:t>/</w:t>
            </w:r>
            <w:r w:rsidR="006F6321" w:rsidRPr="006F6321">
              <w:rPr>
                <w:rFonts w:eastAsiaTheme="minorHAnsi" w:cstheme="minorBidi"/>
                <w:color w:val="auto"/>
                <w:szCs w:val="20"/>
                <w:lang w:eastAsia="en-US"/>
              </w:rPr>
              <w:t xml:space="preserve"> </w:t>
            </w:r>
            <w:r w:rsidR="006F6321" w:rsidRPr="006F6321">
              <w:rPr>
                <w:szCs w:val="22"/>
              </w:rPr>
              <w:t xml:space="preserve">tachycardia </w:t>
            </w:r>
            <w:r w:rsidRPr="00306A33">
              <w:rPr>
                <w:szCs w:val="22"/>
              </w:rPr>
              <w:t xml:space="preserve"> </w:t>
            </w:r>
          </w:p>
        </w:tc>
      </w:tr>
      <w:tr w:rsidR="00411A1A" w14:paraId="12B5C972"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12D74E" w14:textId="5E859BE4" w:rsidR="00F55D1F" w:rsidRDefault="00E01DCC" w:rsidP="00A704DC">
            <w:pPr>
              <w:rPr>
                <w:szCs w:val="22"/>
              </w:rPr>
            </w:pPr>
            <w:r w:rsidRPr="00F55D1F">
              <w:rPr>
                <w:szCs w:val="22"/>
              </w:rPr>
              <w:t>t</w:t>
            </w:r>
            <w:r w:rsidRPr="00F55D1F">
              <w:rPr>
                <w:szCs w:val="22"/>
                <w:vertAlign w:val="subscript"/>
              </w:rPr>
              <w:t>1/2</w:t>
            </w:r>
          </w:p>
        </w:tc>
        <w:tc>
          <w:tcPr>
            <w:tcW w:w="3800" w:type="pct"/>
          </w:tcPr>
          <w:p w14:paraId="02DA7B38" w14:textId="79B5CB61" w:rsidR="00F55D1F"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sidRPr="002E2808">
              <w:rPr>
                <w:szCs w:val="22"/>
              </w:rPr>
              <w:t>Half life</w:t>
            </w:r>
          </w:p>
        </w:tc>
      </w:tr>
      <w:tr w:rsidR="00411A1A" w14:paraId="254AC9B9"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E01DCC" w:rsidP="00A704DC">
            <w:pPr>
              <w:rPr>
                <w:szCs w:val="22"/>
              </w:rPr>
            </w:pPr>
            <w:r w:rsidRPr="00D01DDB">
              <w:rPr>
                <w:szCs w:val="22"/>
              </w:rPr>
              <w:t>TGA</w:t>
            </w:r>
          </w:p>
        </w:tc>
        <w:tc>
          <w:tcPr>
            <w:tcW w:w="3800" w:type="pct"/>
          </w:tcPr>
          <w:p w14:paraId="29EA6BA3" w14:textId="6F99059F" w:rsidR="00A704DC" w:rsidRPr="00D01DDB"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411A1A" w14:paraId="4BDC33D2" w14:textId="77777777" w:rsidTr="00411A1A">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5E069326" w:rsidR="00A704DC" w:rsidRPr="00D01DDB" w:rsidRDefault="00E01DCC" w:rsidP="00A704DC">
            <w:pPr>
              <w:rPr>
                <w:szCs w:val="22"/>
              </w:rPr>
            </w:pPr>
            <w:proofErr w:type="spellStart"/>
            <w:r>
              <w:rPr>
                <w:szCs w:val="22"/>
              </w:rPr>
              <w:t>Vd</w:t>
            </w:r>
            <w:proofErr w:type="spellEnd"/>
          </w:p>
        </w:tc>
        <w:tc>
          <w:tcPr>
            <w:tcW w:w="3800" w:type="pct"/>
          </w:tcPr>
          <w:p w14:paraId="4458E485" w14:textId="2A3A0295" w:rsidR="00A704DC" w:rsidRPr="00D01DDB" w:rsidRDefault="00E01DCC"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V</w:t>
            </w:r>
            <w:r w:rsidRPr="00FD4FFB">
              <w:rPr>
                <w:szCs w:val="22"/>
              </w:rPr>
              <w:t>olume of distribution</w:t>
            </w:r>
          </w:p>
        </w:tc>
      </w:tr>
    </w:tbl>
    <w:p w14:paraId="7378F926" w14:textId="77777777" w:rsidR="00324B33" w:rsidRDefault="00324B33" w:rsidP="00324B33"/>
    <w:p w14:paraId="4C105DD8" w14:textId="72B1F8EB" w:rsidR="00113F9F" w:rsidRPr="00B84F92" w:rsidRDefault="00113F9F" w:rsidP="00B84F92">
      <w:pPr>
        <w:spacing w:after="200" w:line="0" w:lineRule="auto"/>
        <w:rPr>
          <w:b/>
          <w:i/>
          <w:sz w:val="24"/>
          <w:szCs w:val="24"/>
        </w:rPr>
      </w:pPr>
    </w:p>
    <w:p w14:paraId="7376C654" w14:textId="77777777" w:rsidR="00B84F92" w:rsidRDefault="00E01DCC">
      <w:pPr>
        <w:rPr>
          <w:rFonts w:ascii="Arial" w:eastAsia="Times New Roman" w:hAnsi="Arial" w:cs="Times New Roman"/>
          <w:b/>
          <w:bCs/>
          <w:color w:val="001871"/>
          <w:sz w:val="38"/>
          <w:szCs w:val="38"/>
        </w:rPr>
      </w:pPr>
      <w:bookmarkStart w:id="7" w:name="_Toc103679288"/>
      <w:r>
        <w:br w:type="page"/>
      </w:r>
    </w:p>
    <w:p w14:paraId="44C2A39C" w14:textId="2855825C" w:rsidR="00324B33" w:rsidRDefault="00E01DCC" w:rsidP="00324B33">
      <w:pPr>
        <w:pStyle w:val="Heading2"/>
      </w:pPr>
      <w:bookmarkStart w:id="8" w:name="_Toc221110951"/>
      <w:r>
        <w:lastRenderedPageBreak/>
        <w:t>Product submission</w:t>
      </w:r>
      <w:bookmarkEnd w:id="7"/>
      <w:bookmarkEnd w:id="8"/>
    </w:p>
    <w:p w14:paraId="21D559DF" w14:textId="77777777" w:rsidR="00324B33" w:rsidRDefault="00E01DCC" w:rsidP="00324B33">
      <w:pPr>
        <w:pStyle w:val="Heading3"/>
        <w:rPr>
          <w:lang w:eastAsia="en-AU"/>
        </w:rPr>
      </w:pPr>
      <w:bookmarkStart w:id="9" w:name="_Toc247691502"/>
      <w:bookmarkStart w:id="10" w:name="_Toc314842483"/>
      <w:bookmarkStart w:id="11" w:name="_Toc103679289"/>
      <w:bookmarkStart w:id="12" w:name="_Toc221110952"/>
      <w:r>
        <w:rPr>
          <w:lang w:eastAsia="en-AU"/>
        </w:rPr>
        <w:t>Submission details</w:t>
      </w:r>
      <w:bookmarkEnd w:id="9"/>
      <w:bookmarkEnd w:id="10"/>
      <w:bookmarkEnd w:id="11"/>
      <w:bookmarkEnd w:id="12"/>
    </w:p>
    <w:tbl>
      <w:tblPr>
        <w:tblW w:w="5000" w:type="pct"/>
        <w:tblLook w:val="01E0" w:firstRow="1" w:lastRow="1" w:firstColumn="1" w:lastColumn="1" w:noHBand="0" w:noVBand="0"/>
      </w:tblPr>
      <w:tblGrid>
        <w:gridCol w:w="2861"/>
        <w:gridCol w:w="6209"/>
      </w:tblGrid>
      <w:tr w:rsidR="00411A1A" w14:paraId="77D11C95" w14:textId="77777777" w:rsidTr="00F865A7">
        <w:tc>
          <w:tcPr>
            <w:tcW w:w="1577" w:type="pct"/>
          </w:tcPr>
          <w:p w14:paraId="10E57D62" w14:textId="3F398C42" w:rsidR="00324B33" w:rsidRPr="00BD5DBD" w:rsidRDefault="00E01DCC" w:rsidP="007452E8">
            <w:pPr>
              <w:rPr>
                <w:i/>
                <w:szCs w:val="22"/>
              </w:rPr>
            </w:pPr>
            <w:r w:rsidRPr="00BD5DBD">
              <w:rPr>
                <w:i/>
                <w:szCs w:val="22"/>
              </w:rPr>
              <w:t>Type of submission:</w:t>
            </w:r>
          </w:p>
        </w:tc>
        <w:tc>
          <w:tcPr>
            <w:tcW w:w="3423" w:type="pct"/>
          </w:tcPr>
          <w:p w14:paraId="4F07C303" w14:textId="33FC40C1" w:rsidR="00324B33" w:rsidRPr="00BD5DBD" w:rsidRDefault="00E01DCC" w:rsidP="007452E8">
            <w:pPr>
              <w:rPr>
                <w:szCs w:val="22"/>
              </w:rPr>
            </w:pPr>
            <w:r w:rsidRPr="00BD5DBD">
              <w:rPr>
                <w:szCs w:val="22"/>
              </w:rPr>
              <w:t xml:space="preserve">New chemical entity </w:t>
            </w:r>
          </w:p>
        </w:tc>
      </w:tr>
      <w:tr w:rsidR="00411A1A" w14:paraId="13482B61" w14:textId="77777777" w:rsidTr="00F865A7">
        <w:tc>
          <w:tcPr>
            <w:tcW w:w="1577" w:type="pct"/>
          </w:tcPr>
          <w:p w14:paraId="2C427FCF" w14:textId="5F51C33C" w:rsidR="00324B33" w:rsidRPr="00BD5DBD" w:rsidRDefault="00E01DCC" w:rsidP="007452E8">
            <w:pPr>
              <w:rPr>
                <w:i/>
                <w:szCs w:val="22"/>
              </w:rPr>
            </w:pPr>
            <w:r w:rsidRPr="00BD5DBD">
              <w:rPr>
                <w:i/>
                <w:szCs w:val="22"/>
              </w:rPr>
              <w:t>Product name:</w:t>
            </w:r>
          </w:p>
        </w:tc>
        <w:tc>
          <w:tcPr>
            <w:tcW w:w="3423" w:type="pct"/>
          </w:tcPr>
          <w:p w14:paraId="0E2DEF76" w14:textId="72CCE8CA" w:rsidR="00324B33" w:rsidRPr="00BD5DBD" w:rsidRDefault="00E01DCC" w:rsidP="007452E8">
            <w:pPr>
              <w:rPr>
                <w:szCs w:val="22"/>
              </w:rPr>
            </w:pPr>
            <w:r>
              <w:rPr>
                <w:szCs w:val="22"/>
              </w:rPr>
              <w:t>Rapiblyk</w:t>
            </w:r>
          </w:p>
        </w:tc>
      </w:tr>
      <w:tr w:rsidR="00411A1A" w14:paraId="01255B5B" w14:textId="77777777" w:rsidTr="00F865A7">
        <w:tc>
          <w:tcPr>
            <w:tcW w:w="1577" w:type="pct"/>
          </w:tcPr>
          <w:p w14:paraId="52B4F3D7" w14:textId="16EDEA94" w:rsidR="00324B33" w:rsidRPr="00BD5DBD" w:rsidRDefault="00E01DCC" w:rsidP="007452E8">
            <w:pPr>
              <w:rPr>
                <w:i/>
                <w:szCs w:val="22"/>
              </w:rPr>
            </w:pPr>
            <w:r w:rsidRPr="00BD5DBD">
              <w:rPr>
                <w:i/>
                <w:szCs w:val="22"/>
              </w:rPr>
              <w:t>Active ingredien</w:t>
            </w:r>
            <w:r w:rsidR="00776719">
              <w:rPr>
                <w:i/>
                <w:szCs w:val="22"/>
              </w:rPr>
              <w:t>t</w:t>
            </w:r>
            <w:r w:rsidRPr="00BD5DBD">
              <w:rPr>
                <w:i/>
                <w:szCs w:val="22"/>
              </w:rPr>
              <w:t>:</w:t>
            </w:r>
          </w:p>
        </w:tc>
        <w:tc>
          <w:tcPr>
            <w:tcW w:w="3423" w:type="pct"/>
          </w:tcPr>
          <w:p w14:paraId="02FB6383" w14:textId="6F7F29C0" w:rsidR="00324B33" w:rsidRPr="00BD5DBD" w:rsidRDefault="00E01DCC" w:rsidP="007452E8">
            <w:pPr>
              <w:rPr>
                <w:szCs w:val="22"/>
              </w:rPr>
            </w:pPr>
            <w:r>
              <w:rPr>
                <w:szCs w:val="22"/>
              </w:rPr>
              <w:t>L</w:t>
            </w:r>
            <w:r w:rsidR="00776719" w:rsidRPr="00776719">
              <w:rPr>
                <w:szCs w:val="22"/>
              </w:rPr>
              <w:t>andiolol hydrochloride</w:t>
            </w:r>
          </w:p>
        </w:tc>
      </w:tr>
      <w:tr w:rsidR="00411A1A" w14:paraId="219A281B" w14:textId="77777777" w:rsidTr="00F865A7">
        <w:tc>
          <w:tcPr>
            <w:tcW w:w="1577" w:type="pct"/>
          </w:tcPr>
          <w:p w14:paraId="112E5F78" w14:textId="77777777" w:rsidR="00324B33" w:rsidRPr="00BD5DBD" w:rsidRDefault="00E01DCC" w:rsidP="007452E8">
            <w:pPr>
              <w:rPr>
                <w:i/>
                <w:szCs w:val="22"/>
              </w:rPr>
            </w:pPr>
            <w:r w:rsidRPr="00BD5DBD">
              <w:rPr>
                <w:i/>
                <w:szCs w:val="22"/>
              </w:rPr>
              <w:t>Decision:</w:t>
            </w:r>
          </w:p>
        </w:tc>
        <w:tc>
          <w:tcPr>
            <w:tcW w:w="3423" w:type="pct"/>
          </w:tcPr>
          <w:p w14:paraId="3B114BEA" w14:textId="7712AF32" w:rsidR="00324B33" w:rsidRPr="00BD5DBD" w:rsidRDefault="00E01DCC" w:rsidP="007452E8">
            <w:pPr>
              <w:rPr>
                <w:szCs w:val="22"/>
              </w:rPr>
            </w:pPr>
            <w:r w:rsidRPr="00BD5DBD">
              <w:rPr>
                <w:szCs w:val="22"/>
              </w:rPr>
              <w:t xml:space="preserve">Approved </w:t>
            </w:r>
          </w:p>
        </w:tc>
      </w:tr>
      <w:tr w:rsidR="00411A1A" w14:paraId="32B72632" w14:textId="77777777" w:rsidTr="00F865A7">
        <w:tc>
          <w:tcPr>
            <w:tcW w:w="1577" w:type="pct"/>
          </w:tcPr>
          <w:p w14:paraId="332A5CD5" w14:textId="65682B5F" w:rsidR="00AE1947" w:rsidRPr="00BD5DBD" w:rsidRDefault="00E01DCC" w:rsidP="007F1E37">
            <w:r w:rsidRPr="00BD5DBD">
              <w:rPr>
                <w:i/>
                <w:szCs w:val="22"/>
              </w:rPr>
              <w:t>Date of decision:</w:t>
            </w:r>
          </w:p>
        </w:tc>
        <w:tc>
          <w:tcPr>
            <w:tcW w:w="3423" w:type="pct"/>
          </w:tcPr>
          <w:p w14:paraId="7B381CD6" w14:textId="2103573C" w:rsidR="00AE1947" w:rsidRPr="00BD5DBD" w:rsidRDefault="00E01DCC" w:rsidP="00602658">
            <w:pPr>
              <w:rPr>
                <w:szCs w:val="22"/>
              </w:rPr>
            </w:pPr>
            <w:r>
              <w:rPr>
                <w:szCs w:val="22"/>
              </w:rPr>
              <w:t>12 June 2025</w:t>
            </w:r>
          </w:p>
        </w:tc>
      </w:tr>
      <w:tr w:rsidR="00411A1A" w14:paraId="60A25F5A" w14:textId="77777777" w:rsidTr="00F865A7">
        <w:tc>
          <w:tcPr>
            <w:tcW w:w="1577" w:type="pct"/>
          </w:tcPr>
          <w:p w14:paraId="5C5E4CBA" w14:textId="77777777" w:rsidR="00324B33" w:rsidRPr="00BD5DBD" w:rsidRDefault="00E01DCC" w:rsidP="007452E8">
            <w:pPr>
              <w:rPr>
                <w:i/>
                <w:szCs w:val="22"/>
              </w:rPr>
            </w:pPr>
            <w:r w:rsidRPr="00BD5DBD">
              <w:rPr>
                <w:i/>
                <w:szCs w:val="22"/>
              </w:rPr>
              <w:t>Date of entry onto ARTG:</w:t>
            </w:r>
          </w:p>
        </w:tc>
        <w:tc>
          <w:tcPr>
            <w:tcW w:w="3423" w:type="pct"/>
          </w:tcPr>
          <w:p w14:paraId="28B270E9" w14:textId="5A24CC73" w:rsidR="00324B33" w:rsidRPr="00BD5DBD" w:rsidRDefault="00E01DCC" w:rsidP="007452E8">
            <w:pPr>
              <w:rPr>
                <w:szCs w:val="22"/>
              </w:rPr>
            </w:pPr>
            <w:r>
              <w:rPr>
                <w:szCs w:val="22"/>
              </w:rPr>
              <w:t>13 June 2025</w:t>
            </w:r>
          </w:p>
        </w:tc>
      </w:tr>
      <w:tr w:rsidR="00411A1A" w14:paraId="547E08D7" w14:textId="77777777" w:rsidTr="00F865A7">
        <w:tc>
          <w:tcPr>
            <w:tcW w:w="1577" w:type="pct"/>
          </w:tcPr>
          <w:p w14:paraId="5030EF30" w14:textId="51B19D7A" w:rsidR="00324B33" w:rsidRPr="00BD5DBD" w:rsidRDefault="00E01DCC" w:rsidP="007452E8">
            <w:pPr>
              <w:rPr>
                <w:i/>
                <w:szCs w:val="22"/>
              </w:rPr>
            </w:pPr>
            <w:r w:rsidRPr="00BD5DBD">
              <w:rPr>
                <w:i/>
                <w:szCs w:val="22"/>
              </w:rPr>
              <w:t>ARTG number:</w:t>
            </w:r>
          </w:p>
        </w:tc>
        <w:tc>
          <w:tcPr>
            <w:tcW w:w="3423" w:type="pct"/>
          </w:tcPr>
          <w:p w14:paraId="0054E912" w14:textId="3AE5BC19" w:rsidR="00324B33" w:rsidRPr="00BD5DBD" w:rsidRDefault="00E01DCC" w:rsidP="007452E8">
            <w:pPr>
              <w:rPr>
                <w:szCs w:val="22"/>
              </w:rPr>
            </w:pPr>
            <w:r w:rsidRPr="00A83982">
              <w:rPr>
                <w:szCs w:val="22"/>
              </w:rPr>
              <w:t>463165</w:t>
            </w:r>
          </w:p>
        </w:tc>
      </w:tr>
      <w:tr w:rsidR="00411A1A" w14:paraId="7618393F" w14:textId="77777777" w:rsidTr="00F865A7">
        <w:tc>
          <w:tcPr>
            <w:tcW w:w="1577" w:type="pct"/>
          </w:tcPr>
          <w:p w14:paraId="6C24CEB6" w14:textId="6A7FE944" w:rsidR="00E47E0C" w:rsidRPr="00BD5DBD" w:rsidRDefault="00E01DCC" w:rsidP="007452E8">
            <w:pPr>
              <w:rPr>
                <w:rStyle w:val="Hyperlink"/>
                <w:i/>
                <w:szCs w:val="22"/>
              </w:rPr>
            </w:pPr>
            <w:r w:rsidRPr="00BD5DBD">
              <w:rPr>
                <w:rFonts w:ascii="Wingdings 3" w:eastAsia="Wingdings 3" w:hAnsi="Wingdings 3" w:cs="Wingdings 3"/>
                <w:szCs w:val="22"/>
                <w:lang w:eastAsia="en-AU"/>
              </w:rPr>
              <w:t>□</w:t>
            </w:r>
            <w:hyperlink r:id="rId18" w:history="1">
              <w:r w:rsidR="00E47E0C" w:rsidRPr="00BD5DBD">
                <w:rPr>
                  <w:rStyle w:val="Hyperlink"/>
                  <w:i/>
                  <w:szCs w:val="22"/>
                </w:rPr>
                <w:t>Black Triangle Scheme</w:t>
              </w:r>
            </w:hyperlink>
          </w:p>
          <w:p w14:paraId="02260DE2" w14:textId="1FC334AE" w:rsidR="00324B33" w:rsidRPr="00BD5DBD" w:rsidRDefault="00E01DC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p>
        </w:tc>
        <w:tc>
          <w:tcPr>
            <w:tcW w:w="3423" w:type="pct"/>
          </w:tcPr>
          <w:p w14:paraId="6FF3C6A2" w14:textId="15A8558E" w:rsidR="00324B33" w:rsidRPr="00BD5DBD" w:rsidRDefault="00E01DCC" w:rsidP="007452E8">
            <w:pPr>
              <w:rPr>
                <w:szCs w:val="22"/>
              </w:rPr>
            </w:pPr>
            <w:r w:rsidRPr="00BD5DBD">
              <w:rPr>
                <w:szCs w:val="22"/>
              </w:rPr>
              <w:t>Yes</w:t>
            </w:r>
          </w:p>
        </w:tc>
      </w:tr>
      <w:tr w:rsidR="00411A1A" w14:paraId="179E09FE" w14:textId="77777777" w:rsidTr="00F865A7">
        <w:tc>
          <w:tcPr>
            <w:tcW w:w="1577" w:type="pct"/>
          </w:tcPr>
          <w:p w14:paraId="1A592498" w14:textId="77777777" w:rsidR="00324B33" w:rsidRPr="00BD5DBD" w:rsidRDefault="00E01DCC" w:rsidP="007452E8">
            <w:pPr>
              <w:rPr>
                <w:i/>
                <w:szCs w:val="22"/>
              </w:rPr>
            </w:pPr>
            <w:r w:rsidRPr="00BD5DBD">
              <w:rPr>
                <w:i/>
                <w:szCs w:val="22"/>
              </w:rPr>
              <w:t>Sponsor’s name and address:</w:t>
            </w:r>
          </w:p>
        </w:tc>
        <w:tc>
          <w:tcPr>
            <w:tcW w:w="3423" w:type="pct"/>
          </w:tcPr>
          <w:p w14:paraId="76184A20" w14:textId="77777777" w:rsidR="00324B33" w:rsidRDefault="00E01DCC" w:rsidP="007452E8">
            <w:pPr>
              <w:rPr>
                <w:szCs w:val="22"/>
              </w:rPr>
            </w:pPr>
            <w:r>
              <w:rPr>
                <w:szCs w:val="22"/>
              </w:rPr>
              <w:t>Phebra Pty Ltd</w:t>
            </w:r>
          </w:p>
          <w:p w14:paraId="5A768B8E" w14:textId="77777777" w:rsidR="00A1484C" w:rsidRPr="00A1484C" w:rsidRDefault="00E01DCC" w:rsidP="00A1484C">
            <w:pPr>
              <w:rPr>
                <w:szCs w:val="22"/>
              </w:rPr>
            </w:pPr>
            <w:r w:rsidRPr="00A1484C">
              <w:rPr>
                <w:szCs w:val="22"/>
              </w:rPr>
              <w:t>19 Orion Road,</w:t>
            </w:r>
          </w:p>
          <w:p w14:paraId="10D49F87" w14:textId="77777777" w:rsidR="00A1484C" w:rsidRPr="00A1484C" w:rsidRDefault="00E01DCC" w:rsidP="00A1484C">
            <w:pPr>
              <w:rPr>
                <w:szCs w:val="22"/>
              </w:rPr>
            </w:pPr>
            <w:r w:rsidRPr="00A1484C">
              <w:rPr>
                <w:szCs w:val="22"/>
              </w:rPr>
              <w:t>Lane Cove West,</w:t>
            </w:r>
          </w:p>
          <w:p w14:paraId="68DD94B0" w14:textId="47F8C8D2" w:rsidR="00056579" w:rsidRPr="00BD5DBD" w:rsidRDefault="00E01DCC" w:rsidP="00A1484C">
            <w:pPr>
              <w:rPr>
                <w:szCs w:val="22"/>
              </w:rPr>
            </w:pPr>
            <w:r w:rsidRPr="00A1484C">
              <w:rPr>
                <w:szCs w:val="22"/>
              </w:rPr>
              <w:t>NSW 2066, Australia.</w:t>
            </w:r>
          </w:p>
        </w:tc>
      </w:tr>
      <w:tr w:rsidR="00411A1A" w14:paraId="5322B989" w14:textId="77777777" w:rsidTr="00F865A7">
        <w:tc>
          <w:tcPr>
            <w:tcW w:w="1577" w:type="pct"/>
          </w:tcPr>
          <w:p w14:paraId="24F217E3" w14:textId="3E782EFC" w:rsidR="00324B33" w:rsidRPr="00BD5DBD" w:rsidRDefault="00E01DCC" w:rsidP="007452E8">
            <w:pPr>
              <w:rPr>
                <w:i/>
                <w:szCs w:val="22"/>
              </w:rPr>
            </w:pPr>
            <w:r w:rsidRPr="00BD5DBD">
              <w:rPr>
                <w:i/>
                <w:szCs w:val="22"/>
              </w:rPr>
              <w:t>Dose form:</w:t>
            </w:r>
          </w:p>
        </w:tc>
        <w:tc>
          <w:tcPr>
            <w:tcW w:w="3423" w:type="pct"/>
          </w:tcPr>
          <w:p w14:paraId="768B254C" w14:textId="51EB3CA1" w:rsidR="00324B33" w:rsidRPr="00BD5DBD" w:rsidRDefault="00E01DCC" w:rsidP="007452E8">
            <w:pPr>
              <w:rPr>
                <w:szCs w:val="22"/>
              </w:rPr>
            </w:pPr>
            <w:r w:rsidRPr="006F4DBD">
              <w:rPr>
                <w:szCs w:val="22"/>
              </w:rPr>
              <w:t>300 mg powder for injection vial</w:t>
            </w:r>
          </w:p>
        </w:tc>
      </w:tr>
      <w:tr w:rsidR="00411A1A" w14:paraId="34B07BA6" w14:textId="77777777" w:rsidTr="00F865A7">
        <w:tc>
          <w:tcPr>
            <w:tcW w:w="1577" w:type="pct"/>
          </w:tcPr>
          <w:p w14:paraId="1C039224" w14:textId="0A0CB0B9" w:rsidR="00324B33" w:rsidRPr="00BD5DBD" w:rsidRDefault="00E01DCC" w:rsidP="007452E8">
            <w:pPr>
              <w:rPr>
                <w:i/>
                <w:szCs w:val="22"/>
              </w:rPr>
            </w:pPr>
            <w:r w:rsidRPr="00BD5DBD">
              <w:rPr>
                <w:i/>
                <w:szCs w:val="22"/>
              </w:rPr>
              <w:t>Container:</w:t>
            </w:r>
          </w:p>
        </w:tc>
        <w:tc>
          <w:tcPr>
            <w:tcW w:w="3423" w:type="pct"/>
          </w:tcPr>
          <w:p w14:paraId="500A42C6" w14:textId="1F03CAE7" w:rsidR="00324B33" w:rsidRPr="00BD5DBD" w:rsidRDefault="00E01DCC" w:rsidP="00786521">
            <w:pPr>
              <w:rPr>
                <w:szCs w:val="22"/>
              </w:rPr>
            </w:pPr>
            <w:r>
              <w:rPr>
                <w:szCs w:val="22"/>
              </w:rPr>
              <w:t>C</w:t>
            </w:r>
            <w:r w:rsidRPr="00786521">
              <w:rPr>
                <w:szCs w:val="22"/>
              </w:rPr>
              <w:t>lear 50 mL glass</w:t>
            </w:r>
            <w:r>
              <w:rPr>
                <w:szCs w:val="22"/>
              </w:rPr>
              <w:t xml:space="preserve"> vial. </w:t>
            </w:r>
          </w:p>
        </w:tc>
      </w:tr>
      <w:tr w:rsidR="00411A1A" w14:paraId="176B6773" w14:textId="77777777" w:rsidTr="00F865A7">
        <w:tc>
          <w:tcPr>
            <w:tcW w:w="1577" w:type="pct"/>
          </w:tcPr>
          <w:p w14:paraId="71846159" w14:textId="33D43178" w:rsidR="00324B33" w:rsidRPr="00BD5DBD" w:rsidRDefault="00E01DCC" w:rsidP="007452E8">
            <w:pPr>
              <w:rPr>
                <w:i/>
                <w:szCs w:val="22"/>
              </w:rPr>
            </w:pPr>
            <w:r w:rsidRPr="00BD5DBD">
              <w:rPr>
                <w:i/>
                <w:szCs w:val="22"/>
              </w:rPr>
              <w:t>Pack size:</w:t>
            </w:r>
          </w:p>
        </w:tc>
        <w:tc>
          <w:tcPr>
            <w:tcW w:w="3423" w:type="pct"/>
          </w:tcPr>
          <w:p w14:paraId="7E978F8F" w14:textId="338C8F76" w:rsidR="00324B33" w:rsidRPr="00BD5DBD" w:rsidRDefault="00E01DCC" w:rsidP="007452E8">
            <w:pPr>
              <w:rPr>
                <w:szCs w:val="22"/>
              </w:rPr>
            </w:pPr>
            <w:r w:rsidRPr="00786521">
              <w:rPr>
                <w:szCs w:val="22"/>
              </w:rPr>
              <w:t>Each carton contains 1 vial.</w:t>
            </w:r>
          </w:p>
        </w:tc>
      </w:tr>
      <w:tr w:rsidR="00411A1A" w14:paraId="19A2544A" w14:textId="77777777" w:rsidTr="00F865A7">
        <w:tc>
          <w:tcPr>
            <w:tcW w:w="1577" w:type="pct"/>
          </w:tcPr>
          <w:p w14:paraId="0E6C5C0E" w14:textId="7DB3FC66" w:rsidR="00324B33" w:rsidRPr="00BD5DBD" w:rsidRDefault="00E01DCC"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201A7B0" w14:textId="310C6E2A" w:rsidR="009F3944" w:rsidRPr="009F3944" w:rsidRDefault="00E01DCC" w:rsidP="009F3944">
            <w:pPr>
              <w:rPr>
                <w:i/>
                <w:iCs/>
                <w:szCs w:val="22"/>
              </w:rPr>
            </w:pPr>
            <w:r w:rsidRPr="009F3944">
              <w:rPr>
                <w:i/>
                <w:iCs/>
                <w:szCs w:val="22"/>
              </w:rPr>
              <w:t>Rapiblyk is indicated in adults for</w:t>
            </w:r>
            <w:r>
              <w:rPr>
                <w:i/>
                <w:iCs/>
                <w:szCs w:val="22"/>
              </w:rPr>
              <w:t xml:space="preserve"> -</w:t>
            </w:r>
          </w:p>
          <w:p w14:paraId="43916F07" w14:textId="4CACAC76" w:rsidR="009F3944" w:rsidRPr="009F3944" w:rsidRDefault="00E01DCC" w:rsidP="004824D9">
            <w:pPr>
              <w:pStyle w:val="ListBullet"/>
              <w:rPr>
                <w:i/>
                <w:iCs/>
              </w:rPr>
            </w:pPr>
            <w:r w:rsidRPr="009F3944">
              <w:rPr>
                <w:i/>
                <w:iCs/>
              </w:rPr>
              <w:t>supraventricular tachycardia and for the rapid control of ventricular rate in patients with atrial fibrillation or atrial flutter in perioperative, postoperative, or other circumstances where short-term control of the ventricular rate with a short acting agent is desirable.</w:t>
            </w:r>
          </w:p>
          <w:p w14:paraId="3A418F5D" w14:textId="6C6B830D" w:rsidR="009F3944" w:rsidRPr="009F3944" w:rsidRDefault="00E01DCC" w:rsidP="00341134">
            <w:pPr>
              <w:pStyle w:val="ListBullet"/>
              <w:rPr>
                <w:i/>
                <w:iCs/>
                <w:szCs w:val="22"/>
              </w:rPr>
            </w:pPr>
            <w:r w:rsidRPr="009F3944">
              <w:rPr>
                <w:i/>
                <w:iCs/>
              </w:rPr>
              <w:t xml:space="preserve">non-compensatory sinus tachycardia where, in the physician’s judgment the rapid heart </w:t>
            </w:r>
            <w:r w:rsidRPr="009F3944">
              <w:rPr>
                <w:i/>
                <w:iCs/>
                <w:szCs w:val="22"/>
              </w:rPr>
              <w:t>rate requires specific intervention.</w:t>
            </w:r>
          </w:p>
          <w:p w14:paraId="6E143E2E" w14:textId="0025B609" w:rsidR="00324B33" w:rsidRPr="00BD5DBD" w:rsidRDefault="00E01DCC" w:rsidP="009F3944">
            <w:pPr>
              <w:rPr>
                <w:szCs w:val="22"/>
              </w:rPr>
            </w:pPr>
            <w:r w:rsidRPr="009F3944">
              <w:rPr>
                <w:i/>
                <w:iCs/>
                <w:szCs w:val="22"/>
              </w:rPr>
              <w:t>Rapiblyk is not intended for use in chronic settings.</w:t>
            </w:r>
          </w:p>
        </w:tc>
      </w:tr>
      <w:tr w:rsidR="00411A1A" w14:paraId="5AFDEED3" w14:textId="77777777" w:rsidTr="00F865A7">
        <w:tc>
          <w:tcPr>
            <w:tcW w:w="1577" w:type="pct"/>
          </w:tcPr>
          <w:p w14:paraId="03884BD1" w14:textId="60E68097" w:rsidR="00324B33" w:rsidRPr="00BD5DBD" w:rsidRDefault="00E01DCC" w:rsidP="007452E8">
            <w:pPr>
              <w:rPr>
                <w:i/>
                <w:szCs w:val="22"/>
              </w:rPr>
            </w:pPr>
            <w:r w:rsidRPr="00BD5DBD">
              <w:rPr>
                <w:i/>
                <w:szCs w:val="22"/>
              </w:rPr>
              <w:t>Route of administration:</w:t>
            </w:r>
          </w:p>
        </w:tc>
        <w:tc>
          <w:tcPr>
            <w:tcW w:w="3423" w:type="pct"/>
          </w:tcPr>
          <w:p w14:paraId="1ED1357E" w14:textId="4FF1BD48" w:rsidR="00324B33" w:rsidRPr="00BD5DBD" w:rsidRDefault="00E01DCC" w:rsidP="007452E8">
            <w:pPr>
              <w:rPr>
                <w:szCs w:val="22"/>
              </w:rPr>
            </w:pPr>
            <w:r>
              <w:rPr>
                <w:szCs w:val="22"/>
              </w:rPr>
              <w:t>Intravenous infusion</w:t>
            </w:r>
          </w:p>
        </w:tc>
      </w:tr>
      <w:tr w:rsidR="00411A1A" w14:paraId="70D7E9FA" w14:textId="77777777" w:rsidTr="00F865A7">
        <w:tc>
          <w:tcPr>
            <w:tcW w:w="1577" w:type="pct"/>
          </w:tcPr>
          <w:p w14:paraId="5ABFFC80" w14:textId="77777777" w:rsidR="00324B33" w:rsidRPr="00BD5DBD" w:rsidRDefault="00E01DCC" w:rsidP="007452E8">
            <w:pPr>
              <w:rPr>
                <w:i/>
                <w:szCs w:val="22"/>
              </w:rPr>
            </w:pPr>
            <w:r w:rsidRPr="00BD5DBD">
              <w:rPr>
                <w:i/>
                <w:szCs w:val="22"/>
              </w:rPr>
              <w:t>Dosage:</w:t>
            </w:r>
          </w:p>
        </w:tc>
        <w:tc>
          <w:tcPr>
            <w:tcW w:w="3423" w:type="pct"/>
          </w:tcPr>
          <w:p w14:paraId="5D2885F7" w14:textId="2791DB6A" w:rsidR="000A2440" w:rsidRPr="000A2440" w:rsidRDefault="00E01DCC" w:rsidP="000A2440">
            <w:pPr>
              <w:rPr>
                <w:szCs w:val="22"/>
              </w:rPr>
            </w:pPr>
            <w:r w:rsidRPr="000539CA">
              <w:rPr>
                <w:szCs w:val="22"/>
              </w:rPr>
              <w:t>The infusion is usually started with an infusion rate of 10 - 40 micrograms/kg/min,</w:t>
            </w:r>
            <w:r w:rsidRPr="000A2440">
              <w:rPr>
                <w:rFonts w:ascii="ArialMT" w:hAnsi="ArialMT" w:cs="ArialMT"/>
                <w:sz w:val="21"/>
                <w:szCs w:val="21"/>
              </w:rPr>
              <w:t xml:space="preserve"> </w:t>
            </w:r>
            <w:r w:rsidRPr="000A2440">
              <w:rPr>
                <w:szCs w:val="22"/>
              </w:rPr>
              <w:t>which will</w:t>
            </w:r>
            <w:r>
              <w:rPr>
                <w:szCs w:val="22"/>
              </w:rPr>
              <w:t xml:space="preserve"> </w:t>
            </w:r>
            <w:r w:rsidRPr="000A2440">
              <w:rPr>
                <w:szCs w:val="22"/>
              </w:rPr>
              <w:t>establish the heart rate lowering effect within 10 - 20 minutes.</w:t>
            </w:r>
          </w:p>
          <w:p w14:paraId="062A5ACA" w14:textId="6346DD1D" w:rsidR="000A2440" w:rsidRPr="000A2440" w:rsidRDefault="00E01DCC" w:rsidP="000A2440">
            <w:pPr>
              <w:rPr>
                <w:szCs w:val="22"/>
              </w:rPr>
            </w:pPr>
            <w:r w:rsidRPr="000A2440">
              <w:rPr>
                <w:szCs w:val="22"/>
              </w:rPr>
              <w:t>If rapid onset of the heart rate lowering effect is desired (within 2 to 4 minutes), an optional</w:t>
            </w:r>
            <w:r>
              <w:rPr>
                <w:szCs w:val="22"/>
              </w:rPr>
              <w:t xml:space="preserve"> </w:t>
            </w:r>
            <w:r w:rsidRPr="000A2440">
              <w:rPr>
                <w:szCs w:val="22"/>
              </w:rPr>
              <w:t>loading dose of 100 micrograms/kg/min for 1 minute can be considered, followed by continuous</w:t>
            </w:r>
            <w:r>
              <w:rPr>
                <w:szCs w:val="22"/>
              </w:rPr>
              <w:t xml:space="preserve"> </w:t>
            </w:r>
            <w:r w:rsidRPr="000A2440">
              <w:rPr>
                <w:szCs w:val="22"/>
              </w:rPr>
              <w:t>intravenous infusion of 10 - 40 micrograms/kg/min.</w:t>
            </w:r>
          </w:p>
          <w:p w14:paraId="1AFC3ABA" w14:textId="478BBCCF" w:rsidR="000A2440" w:rsidRPr="000A2440" w:rsidRDefault="00E01DCC" w:rsidP="000A2440">
            <w:pPr>
              <w:rPr>
                <w:szCs w:val="22"/>
              </w:rPr>
            </w:pPr>
            <w:r w:rsidRPr="000A2440">
              <w:rPr>
                <w:szCs w:val="22"/>
              </w:rPr>
              <w:lastRenderedPageBreak/>
              <w:t xml:space="preserve">Lower starting doses should be used for patients with cardiac dysfunction. </w:t>
            </w:r>
          </w:p>
          <w:p w14:paraId="42F41EA0" w14:textId="07415A92" w:rsidR="000A2440" w:rsidRPr="000A2440" w:rsidRDefault="00E01DCC" w:rsidP="000A2440">
            <w:pPr>
              <w:rPr>
                <w:szCs w:val="22"/>
              </w:rPr>
            </w:pPr>
            <w:r w:rsidRPr="000A2440">
              <w:rPr>
                <w:szCs w:val="22"/>
              </w:rPr>
              <w:t>Maximum dose: The maintenance dose may be increased up to 80 micrograms/kg/min for a</w:t>
            </w:r>
            <w:r w:rsidR="00181F45">
              <w:rPr>
                <w:szCs w:val="22"/>
              </w:rPr>
              <w:t xml:space="preserve"> </w:t>
            </w:r>
            <w:r w:rsidRPr="000A2440">
              <w:rPr>
                <w:szCs w:val="22"/>
              </w:rPr>
              <w:t xml:space="preserve">limited </w:t>
            </w:r>
            <w:proofErr w:type="gramStart"/>
            <w:r w:rsidRPr="000A2440">
              <w:rPr>
                <w:szCs w:val="22"/>
              </w:rPr>
              <w:t>time period</w:t>
            </w:r>
            <w:proofErr w:type="gramEnd"/>
            <w:r w:rsidRPr="000A2440">
              <w:rPr>
                <w:szCs w:val="22"/>
              </w:rPr>
              <w:t xml:space="preserve"> if the cardiovascular status of</w:t>
            </w:r>
            <w:r w:rsidR="00181F45">
              <w:rPr>
                <w:szCs w:val="22"/>
              </w:rPr>
              <w:t xml:space="preserve"> </w:t>
            </w:r>
            <w:r w:rsidRPr="000A2440">
              <w:rPr>
                <w:szCs w:val="22"/>
              </w:rPr>
              <w:t>the patient requires and allows such an increase of the dose and the maximum daily dose is not</w:t>
            </w:r>
            <w:r w:rsidR="005D7747">
              <w:rPr>
                <w:szCs w:val="22"/>
              </w:rPr>
              <w:t xml:space="preserve"> </w:t>
            </w:r>
            <w:r w:rsidRPr="000A2440">
              <w:rPr>
                <w:szCs w:val="22"/>
              </w:rPr>
              <w:t>exceeded.</w:t>
            </w:r>
          </w:p>
          <w:p w14:paraId="4BD4ECF7" w14:textId="73064211" w:rsidR="00666911" w:rsidRDefault="00E01DCC" w:rsidP="000A2440">
            <w:pPr>
              <w:rPr>
                <w:szCs w:val="22"/>
              </w:rPr>
            </w:pPr>
            <w:r w:rsidRPr="000A2440">
              <w:rPr>
                <w:szCs w:val="22"/>
              </w:rPr>
              <w:t>The maximum recommended daily dose of landiolol hydrochloride is 57.6 mg/kg/day (e.g. infusion</w:t>
            </w:r>
            <w:r w:rsidR="005D7747">
              <w:rPr>
                <w:szCs w:val="22"/>
              </w:rPr>
              <w:t xml:space="preserve"> </w:t>
            </w:r>
            <w:r w:rsidRPr="000A2440">
              <w:rPr>
                <w:szCs w:val="22"/>
              </w:rPr>
              <w:t>of 40 micrograms/kg/min for 24 hours). There is limited experience with Rapiblyk infusion</w:t>
            </w:r>
            <w:r w:rsidR="005D7747">
              <w:rPr>
                <w:szCs w:val="22"/>
              </w:rPr>
              <w:t xml:space="preserve"> </w:t>
            </w:r>
            <w:r w:rsidRPr="000A2440">
              <w:rPr>
                <w:szCs w:val="22"/>
              </w:rPr>
              <w:t>durations beyond 24 hours for doses &gt;10 micrograms/kg/min.</w:t>
            </w:r>
          </w:p>
          <w:p w14:paraId="3D0B2D5C" w14:textId="6E29920D" w:rsidR="00324B33" w:rsidRPr="00BD5DBD" w:rsidRDefault="00E01DCC"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411A1A" w14:paraId="7B7BB6AE" w14:textId="77777777" w:rsidTr="00F865A7">
        <w:tc>
          <w:tcPr>
            <w:tcW w:w="1577" w:type="pct"/>
          </w:tcPr>
          <w:p w14:paraId="3A76AFF7" w14:textId="7C436DD9" w:rsidR="0017005C" w:rsidRPr="00F8083B" w:rsidRDefault="00E01DCC" w:rsidP="0017005C">
            <w:r w:rsidRPr="00BD5DBD">
              <w:rPr>
                <w:i/>
                <w:szCs w:val="22"/>
              </w:rPr>
              <w:lastRenderedPageBreak/>
              <w:t>Pregnancy category:</w:t>
            </w:r>
          </w:p>
        </w:tc>
        <w:tc>
          <w:tcPr>
            <w:tcW w:w="3423" w:type="pct"/>
          </w:tcPr>
          <w:p w14:paraId="7764249E" w14:textId="6EE37EF0" w:rsidR="007E6F5D" w:rsidRDefault="00E01DCC" w:rsidP="00306E72">
            <w:pPr>
              <w:rPr>
                <w:szCs w:val="22"/>
              </w:rPr>
            </w:pPr>
            <w:r w:rsidRPr="00E21EC6">
              <w:rPr>
                <w:szCs w:val="22"/>
              </w:rPr>
              <w:t>Pregnancy Category C</w:t>
            </w:r>
          </w:p>
          <w:p w14:paraId="1F578D43" w14:textId="1A7E9456" w:rsidR="00E21EC6" w:rsidRDefault="00E01DCC" w:rsidP="008A4506">
            <w:pPr>
              <w:rPr>
                <w:szCs w:val="22"/>
              </w:rPr>
            </w:pPr>
            <w:r w:rsidRPr="008A4506">
              <w:rPr>
                <w:szCs w:val="22"/>
              </w:rPr>
              <w:t>There are no adequate and well controlled studies in pregnant women. Data on the use of</w:t>
            </w:r>
            <w:r>
              <w:rPr>
                <w:szCs w:val="22"/>
              </w:rPr>
              <w:t xml:space="preserve"> </w:t>
            </w:r>
            <w:r w:rsidRPr="008A4506">
              <w:rPr>
                <w:szCs w:val="22"/>
              </w:rPr>
              <w:t>Rapiblyk in pregnant women is limited. In a placebo-controlled clinical study in 32 patients</w:t>
            </w:r>
            <w:r>
              <w:rPr>
                <w:szCs w:val="22"/>
              </w:rPr>
              <w:t xml:space="preserve"> </w:t>
            </w:r>
            <w:r w:rsidRPr="008A4506">
              <w:rPr>
                <w:szCs w:val="22"/>
              </w:rPr>
              <w:t>scheduled for caesarean delivery, 200 micrograms/kg Rapiblyk administered at time of</w:t>
            </w:r>
            <w:r>
              <w:rPr>
                <w:szCs w:val="22"/>
              </w:rPr>
              <w:t xml:space="preserve"> </w:t>
            </w:r>
            <w:r w:rsidRPr="008A4506">
              <w:rPr>
                <w:szCs w:val="22"/>
              </w:rPr>
              <w:t>anaesthesia induction attenuated the haemodynamic response caused by tracheal intubation. No</w:t>
            </w:r>
            <w:r>
              <w:rPr>
                <w:szCs w:val="22"/>
              </w:rPr>
              <w:t xml:space="preserve"> </w:t>
            </w:r>
            <w:r w:rsidRPr="008A4506">
              <w:rPr>
                <w:szCs w:val="22"/>
              </w:rPr>
              <w:t xml:space="preserve">adverse events were reported. No differences were observed in foetal Apgar scores at </w:t>
            </w:r>
            <w:r w:rsidR="004765CE">
              <w:rPr>
                <w:szCs w:val="22"/>
              </w:rPr>
              <w:t>one</w:t>
            </w:r>
            <w:r w:rsidRPr="008A4506">
              <w:rPr>
                <w:szCs w:val="22"/>
              </w:rPr>
              <w:t xml:space="preserve"> minute</w:t>
            </w:r>
            <w:r>
              <w:rPr>
                <w:szCs w:val="22"/>
              </w:rPr>
              <w:t xml:space="preserve"> </w:t>
            </w:r>
            <w:r w:rsidRPr="008A4506">
              <w:rPr>
                <w:szCs w:val="22"/>
              </w:rPr>
              <w:t xml:space="preserve">and </w:t>
            </w:r>
            <w:r w:rsidR="004765CE">
              <w:rPr>
                <w:szCs w:val="22"/>
              </w:rPr>
              <w:t>five</w:t>
            </w:r>
            <w:r w:rsidRPr="008A4506">
              <w:rPr>
                <w:szCs w:val="22"/>
              </w:rPr>
              <w:t xml:space="preserve"> minutes between Rapiblyk-treated and untreated patients. Because of its high beta-1</w:t>
            </w:r>
            <w:r>
              <w:rPr>
                <w:szCs w:val="22"/>
              </w:rPr>
              <w:t xml:space="preserve"> </w:t>
            </w:r>
            <w:r w:rsidRPr="008A4506">
              <w:rPr>
                <w:szCs w:val="22"/>
              </w:rPr>
              <w:t>selectivity, Rapiblyk did not affect uterine contractions.</w:t>
            </w:r>
          </w:p>
          <w:p w14:paraId="497BA2DE" w14:textId="079569B8" w:rsidR="00BF497C" w:rsidRDefault="00E01DCC" w:rsidP="00BF497C">
            <w:pPr>
              <w:rPr>
                <w:szCs w:val="22"/>
              </w:rPr>
            </w:pPr>
            <w:r w:rsidRPr="00BF497C">
              <w:rPr>
                <w:szCs w:val="22"/>
              </w:rPr>
              <w:t>Landiolol is expected to cross the placenta, with drug-related radioactivity detected in the</w:t>
            </w:r>
            <w:r>
              <w:rPr>
                <w:szCs w:val="22"/>
              </w:rPr>
              <w:t xml:space="preserve"> </w:t>
            </w:r>
            <w:r w:rsidRPr="00BF497C">
              <w:rPr>
                <w:szCs w:val="22"/>
              </w:rPr>
              <w:t xml:space="preserve">placenta and at low levels in the </w:t>
            </w:r>
            <w:r w:rsidR="00430DAC" w:rsidRPr="00BF497C">
              <w:rPr>
                <w:szCs w:val="22"/>
              </w:rPr>
              <w:t>foetus</w:t>
            </w:r>
            <w:r w:rsidRPr="00BF497C">
              <w:rPr>
                <w:szCs w:val="22"/>
              </w:rPr>
              <w:t>. As a precautionary measure, it is preferable to avoid the</w:t>
            </w:r>
            <w:r w:rsidR="00430DAC">
              <w:rPr>
                <w:szCs w:val="22"/>
              </w:rPr>
              <w:t xml:space="preserve"> </w:t>
            </w:r>
            <w:r w:rsidRPr="00BF497C">
              <w:rPr>
                <w:szCs w:val="22"/>
              </w:rPr>
              <w:t xml:space="preserve">use of Rapiblyk during pregnancy. Based on the </w:t>
            </w:r>
            <w:r w:rsidR="00430DAC">
              <w:rPr>
                <w:szCs w:val="22"/>
              </w:rPr>
              <w:t>p</w:t>
            </w:r>
            <w:r w:rsidRPr="00BF497C">
              <w:rPr>
                <w:szCs w:val="22"/>
              </w:rPr>
              <w:t>harmacological action of beta-blocking agents,</w:t>
            </w:r>
            <w:r w:rsidR="00430DAC">
              <w:rPr>
                <w:szCs w:val="22"/>
              </w:rPr>
              <w:t xml:space="preserve"> </w:t>
            </w:r>
            <w:r w:rsidRPr="00BF497C">
              <w:rPr>
                <w:szCs w:val="22"/>
              </w:rPr>
              <w:t xml:space="preserve">in the later period of pregnancy, side effects on the </w:t>
            </w:r>
            <w:r w:rsidR="00A254ED" w:rsidRPr="00BF497C">
              <w:rPr>
                <w:szCs w:val="22"/>
              </w:rPr>
              <w:t>foetus</w:t>
            </w:r>
            <w:r w:rsidRPr="00BF497C">
              <w:rPr>
                <w:szCs w:val="22"/>
              </w:rPr>
              <w:t xml:space="preserve"> and neonate (especially hypoglycaemia,</w:t>
            </w:r>
            <w:r w:rsidR="00430DAC">
              <w:rPr>
                <w:szCs w:val="22"/>
              </w:rPr>
              <w:t xml:space="preserve"> </w:t>
            </w:r>
            <w:r w:rsidRPr="00BF497C">
              <w:rPr>
                <w:szCs w:val="22"/>
              </w:rPr>
              <w:t xml:space="preserve">hypotension and bradycardia) should be </w:t>
            </w:r>
            <w:proofErr w:type="gramStart"/>
            <w:r w:rsidRPr="00BF497C">
              <w:rPr>
                <w:szCs w:val="22"/>
              </w:rPr>
              <w:t>taken into account</w:t>
            </w:r>
            <w:proofErr w:type="gramEnd"/>
            <w:r w:rsidRPr="00BF497C">
              <w:rPr>
                <w:szCs w:val="22"/>
              </w:rPr>
              <w:t>. If the treatment with Rapiblyk is</w:t>
            </w:r>
            <w:r w:rsidR="00430DAC">
              <w:rPr>
                <w:szCs w:val="22"/>
              </w:rPr>
              <w:t xml:space="preserve"> </w:t>
            </w:r>
            <w:r w:rsidRPr="00BF497C">
              <w:rPr>
                <w:szCs w:val="22"/>
              </w:rPr>
              <w:t xml:space="preserve">considered necessary, the uteroplacental blood flow and </w:t>
            </w:r>
            <w:r w:rsidR="00A254ED" w:rsidRPr="00BF497C">
              <w:rPr>
                <w:szCs w:val="22"/>
              </w:rPr>
              <w:t>foetal</w:t>
            </w:r>
            <w:r w:rsidRPr="00BF497C">
              <w:rPr>
                <w:szCs w:val="22"/>
              </w:rPr>
              <w:t xml:space="preserve"> growth should be monitored. The</w:t>
            </w:r>
            <w:r w:rsidR="00430DAC">
              <w:rPr>
                <w:szCs w:val="22"/>
              </w:rPr>
              <w:t xml:space="preserve"> </w:t>
            </w:r>
            <w:r w:rsidRPr="00BF497C">
              <w:rPr>
                <w:szCs w:val="22"/>
              </w:rPr>
              <w:t>newborn must be closely monitored.</w:t>
            </w:r>
          </w:p>
          <w:p w14:paraId="76497789" w14:textId="30DBB2B9" w:rsidR="0017005C" w:rsidRPr="00BD5DBD" w:rsidRDefault="00E01DCC" w:rsidP="00306E72">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9"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0017005C"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E01DCC" w:rsidP="00324B33">
      <w:pPr>
        <w:pStyle w:val="Heading3"/>
      </w:pPr>
      <w:bookmarkStart w:id="13" w:name="_Toc247691503"/>
      <w:bookmarkStart w:id="14" w:name="_Toc314842484"/>
      <w:bookmarkStart w:id="15" w:name="_Toc103679290"/>
      <w:bookmarkStart w:id="16" w:name="_Toc221110953"/>
      <w:r>
        <w:lastRenderedPageBreak/>
        <w:t>Product background</w:t>
      </w:r>
      <w:bookmarkEnd w:id="13"/>
      <w:bookmarkEnd w:id="14"/>
      <w:bookmarkEnd w:id="15"/>
      <w:bookmarkEnd w:id="16"/>
    </w:p>
    <w:p w14:paraId="59BF31D1" w14:textId="53EAB3B4" w:rsidR="001500A8" w:rsidRDefault="00E01DCC" w:rsidP="00065839">
      <w:r w:rsidRPr="00065839">
        <w:t xml:space="preserve">This AusPAR describes the submission by </w:t>
      </w:r>
      <w:r w:rsidR="0058327F">
        <w:t>Phebra Pty Ltd</w:t>
      </w:r>
      <w:r w:rsidRPr="00065839">
        <w:t xml:space="preserve"> to register</w:t>
      </w:r>
      <w:r w:rsidR="0058327F">
        <w:t xml:space="preserve"> Ra</w:t>
      </w:r>
      <w:r w:rsidR="00EC4952">
        <w:t>piblyk (landiolol hydrochloride)</w:t>
      </w:r>
      <w:r w:rsidR="005B4816">
        <w:t xml:space="preserve"> 300mg powder for injection</w:t>
      </w:r>
      <w:r w:rsidR="00B972D4">
        <w:t xml:space="preserve"> vial</w:t>
      </w:r>
      <w:r w:rsidRPr="00065839">
        <w:t xml:space="preserve"> for the following proposed indication:</w:t>
      </w:r>
      <w:r>
        <w:rPr>
          <w:vertAlign w:val="superscript"/>
        </w:rPr>
        <w:footnoteReference w:id="1"/>
      </w:r>
    </w:p>
    <w:p w14:paraId="71D673F7" w14:textId="77777777" w:rsidR="00803FEB" w:rsidRPr="002E7C34" w:rsidRDefault="00E01DCC" w:rsidP="002E7C34">
      <w:pPr>
        <w:pStyle w:val="ListBullet"/>
        <w:numPr>
          <w:ilvl w:val="0"/>
          <w:numId w:val="0"/>
        </w:numPr>
        <w:spacing w:after="0"/>
        <w:ind w:left="1077" w:hanging="357"/>
        <w:rPr>
          <w:i/>
          <w:iCs/>
        </w:rPr>
      </w:pPr>
      <w:r w:rsidRPr="002E7C34">
        <w:rPr>
          <w:i/>
          <w:iCs/>
        </w:rPr>
        <w:t xml:space="preserve">Rapiblyk is indicated in adults for: </w:t>
      </w:r>
    </w:p>
    <w:p w14:paraId="79CC92BA" w14:textId="77777777" w:rsidR="002E7C34" w:rsidRDefault="00E01DCC" w:rsidP="002E7C34">
      <w:pPr>
        <w:pStyle w:val="ListBullet"/>
        <w:numPr>
          <w:ilvl w:val="0"/>
          <w:numId w:val="0"/>
        </w:numPr>
        <w:spacing w:after="0"/>
        <w:ind w:left="720"/>
        <w:rPr>
          <w:i/>
          <w:iCs/>
        </w:rPr>
      </w:pPr>
      <w:r w:rsidRPr="002E7C34">
        <w:rPr>
          <w:i/>
          <w:iCs/>
        </w:rPr>
        <w:t>• supraventricular</w:t>
      </w:r>
      <w:r w:rsidR="006A78F5" w:rsidRPr="002E7C34">
        <w:rPr>
          <w:i/>
          <w:iCs/>
        </w:rPr>
        <w:t xml:space="preserve"> tachycardia and for the rapid control of ventricular rate in patients with atrial fibrillation or atrial flutter in perioperative, postoperative, or other circumstances where short-term control of the ventricular rate with a short acting agent is desirable. </w:t>
      </w:r>
      <w:r w:rsidR="006A78F5" w:rsidRPr="002E7C34">
        <w:rPr>
          <w:i/>
          <w:iCs/>
        </w:rPr>
        <w:br/>
        <w:t>•  non-compensatory sinus tachycardia where, in the physician’s judgment the rapid heart rate requires specific intervention.</w:t>
      </w:r>
    </w:p>
    <w:p w14:paraId="4B158347" w14:textId="0E7A02DD" w:rsidR="006A78F5" w:rsidRPr="002E7C34" w:rsidRDefault="00E01DCC" w:rsidP="002E7C34">
      <w:pPr>
        <w:pStyle w:val="ListBullet"/>
        <w:numPr>
          <w:ilvl w:val="0"/>
          <w:numId w:val="0"/>
        </w:numPr>
        <w:spacing w:after="0"/>
        <w:ind w:left="720"/>
        <w:rPr>
          <w:i/>
          <w:iCs/>
        </w:rPr>
      </w:pPr>
      <w:r w:rsidRPr="002E7C34">
        <w:rPr>
          <w:i/>
          <w:iCs/>
        </w:rPr>
        <w:t>Rapiblyk is not intended for use in chronic settings.</w:t>
      </w:r>
    </w:p>
    <w:p w14:paraId="1E63A2AE" w14:textId="5FCD6C6F" w:rsidR="00CB6813" w:rsidRDefault="00E01DCC" w:rsidP="00CB6813">
      <w:pPr>
        <w:pStyle w:val="Heading4"/>
      </w:pPr>
      <w:bookmarkStart w:id="17" w:name="_Toc221110954"/>
      <w:bookmarkStart w:id="18" w:name="_Toc314842485"/>
      <w:bookmarkStart w:id="19" w:name="_Toc247691504"/>
      <w:r>
        <w:t>D</w:t>
      </w:r>
      <w:r w:rsidRPr="00C12D65">
        <w:t>isease</w:t>
      </w:r>
      <w:r w:rsidR="006428C5">
        <w:t xml:space="preserve"> or condition</w:t>
      </w:r>
      <w:bookmarkEnd w:id="17"/>
    </w:p>
    <w:p w14:paraId="591E81AE" w14:textId="5826BAA9" w:rsidR="00F343C8" w:rsidRPr="00F343C8" w:rsidRDefault="00E01DCC" w:rsidP="00F343C8">
      <w:r w:rsidRPr="00F343C8">
        <w:t>Supraventricular tachycardia (SVT) is a relatively common cardiac arrhythmia. Exact incidence and prevalence rates vary, but it is estimated to affect around 2.25 per 1,000 persons annually. Obtaining comprehensive epidemiological data on SVTs in Australia poses challenges due to the absence of national reporting systems and limited local studies. SVT can occur across all age groups, but it is more frequently observed in adults</w:t>
      </w:r>
      <w:r w:rsidR="002B466B">
        <w:t xml:space="preserve">, particularly within the aging </w:t>
      </w:r>
      <w:r w:rsidR="009D2E76">
        <w:t>population</w:t>
      </w:r>
      <w:r w:rsidR="002C4C2C">
        <w:t xml:space="preserve">. </w:t>
      </w:r>
    </w:p>
    <w:p w14:paraId="0261D5E5" w14:textId="2FD846D7" w:rsidR="00F343C8" w:rsidRDefault="00E01DCC" w:rsidP="00F343C8">
      <w:r w:rsidRPr="00F343C8">
        <w:t xml:space="preserve">Descriptions of SVT epidemiology often rely on data from North American and European populations, </w:t>
      </w:r>
      <w:r w:rsidR="00DC3D13">
        <w:t xml:space="preserve">with no significant </w:t>
      </w:r>
      <w:r w:rsidR="00517636">
        <w:t>differences in SVT occurrence bet</w:t>
      </w:r>
      <w:r w:rsidRPr="00F343C8">
        <w:t>ween Australia and the E</w:t>
      </w:r>
      <w:r w:rsidR="00517636">
        <w:t>uropean Union (EU)</w:t>
      </w:r>
      <w:r w:rsidRPr="00F343C8">
        <w:t>. Since SVT occurs across all races and ethnicities, there are no specific risk management considerations for Aboriginal or Torres Strait Islander people.</w:t>
      </w:r>
    </w:p>
    <w:p w14:paraId="71A40A09" w14:textId="52FE2E1B" w:rsidR="00797C40" w:rsidRDefault="00E01DCC" w:rsidP="00797C40">
      <w:r w:rsidRPr="00797C40">
        <w:t xml:space="preserve">While SVTs are known to occur spontaneously in </w:t>
      </w:r>
      <w:r w:rsidR="00274B24">
        <w:t xml:space="preserve">individuals </w:t>
      </w:r>
      <w:r w:rsidRPr="00797C40">
        <w:t xml:space="preserve">with no </w:t>
      </w:r>
      <w:r w:rsidR="004A3833">
        <w:t>prior cardiac history</w:t>
      </w:r>
      <w:r w:rsidRPr="00797C40">
        <w:t>, s</w:t>
      </w:r>
      <w:r w:rsidR="000001A3">
        <w:t>everal</w:t>
      </w:r>
      <w:r w:rsidRPr="00797C40">
        <w:t xml:space="preserve"> risk factors that have been identified</w:t>
      </w:r>
      <w:r w:rsidR="00AF6C67">
        <w:t>, including</w:t>
      </w:r>
      <w:r w:rsidRPr="00797C40">
        <w:t xml:space="preserve"> increasing age, hypertension, diabetes and obesity. Furthermore, surgical procedures induce stress in patient</w:t>
      </w:r>
      <w:r w:rsidR="00C55D6B">
        <w:t xml:space="preserve">s </w:t>
      </w:r>
      <w:r w:rsidRPr="00797C40">
        <w:t xml:space="preserve">and </w:t>
      </w:r>
      <w:r w:rsidR="00924C8A">
        <w:t xml:space="preserve">have been identified as </w:t>
      </w:r>
      <w:r w:rsidRPr="00797C40">
        <w:t>key trigger</w:t>
      </w:r>
      <w:r w:rsidR="00924C8A">
        <w:t xml:space="preserve">s, </w:t>
      </w:r>
      <w:r w:rsidRPr="00797C40">
        <w:t xml:space="preserve">increasing the frequency of arrhythmias up to 100-fold. </w:t>
      </w:r>
    </w:p>
    <w:p w14:paraId="3A69E85C" w14:textId="391C72C9" w:rsidR="00AC1FFB" w:rsidRDefault="00E01DCC" w:rsidP="00F64B1A">
      <w:r w:rsidRPr="00F64B1A">
        <w:t>Surg</w:t>
      </w:r>
      <w:r w:rsidR="00D663A1">
        <w:t>ical stress</w:t>
      </w:r>
      <w:r w:rsidRPr="00F64B1A">
        <w:t xml:space="preserve">, anaesthesia or intubation </w:t>
      </w:r>
      <w:r w:rsidR="00E353C3">
        <w:t xml:space="preserve">can </w:t>
      </w:r>
      <w:r w:rsidRPr="00F64B1A">
        <w:t>trigger</w:t>
      </w:r>
      <w:r w:rsidR="009610BA">
        <w:t xml:space="preserve"> a</w:t>
      </w:r>
      <w:r w:rsidRPr="00F64B1A">
        <w:t xml:space="preserve"> substantial surge of endogenous catecholamines</w:t>
      </w:r>
      <w:r w:rsidR="00AD2749">
        <w:t>,</w:t>
      </w:r>
      <w:r w:rsidRPr="00F64B1A">
        <w:t xml:space="preserve"> stimulat</w:t>
      </w:r>
      <w:r w:rsidR="00AD2749">
        <w:t>ing</w:t>
      </w:r>
      <w:r w:rsidRPr="00F64B1A">
        <w:t xml:space="preserve"> β1-adrenoreceptors located primarily on cardiac cells</w:t>
      </w:r>
      <w:r w:rsidR="00FF6B10">
        <w:t xml:space="preserve">, resulting in </w:t>
      </w:r>
      <w:r>
        <w:t xml:space="preserve">elevated </w:t>
      </w:r>
      <w:r w:rsidRPr="00F64B1A">
        <w:t>heart rate (HR) and blood pressure (BP)</w:t>
      </w:r>
      <w:r w:rsidR="002C4C2C">
        <w:t xml:space="preserve">. </w:t>
      </w:r>
    </w:p>
    <w:p w14:paraId="369D5EA6" w14:textId="3E339973" w:rsidR="00F64B1A" w:rsidRPr="00F64B1A" w:rsidRDefault="00E01DCC" w:rsidP="00F64B1A">
      <w:r w:rsidRPr="00F64B1A">
        <w:t xml:space="preserve">Beta blockers </w:t>
      </w:r>
      <w:r w:rsidR="00081A74">
        <w:t xml:space="preserve">are commonly used </w:t>
      </w:r>
      <w:r w:rsidRPr="00F64B1A">
        <w:t xml:space="preserve">for HR control in </w:t>
      </w:r>
      <w:r w:rsidR="009B1205">
        <w:t>the peri-operative context</w:t>
      </w:r>
      <w:r w:rsidRPr="00F64B1A">
        <w:t xml:space="preserve">, as they limit and attenuate sympathetic and neuroendocrine responses to stress during surgery. </w:t>
      </w:r>
      <w:r w:rsidR="0034536E">
        <w:t>Their f</w:t>
      </w:r>
      <w:r w:rsidRPr="00F64B1A">
        <w:t xml:space="preserve">ast onset and offset of </w:t>
      </w:r>
      <w:r w:rsidR="0034536E">
        <w:t xml:space="preserve">action, </w:t>
      </w:r>
      <w:r w:rsidRPr="00F64B1A">
        <w:t xml:space="preserve">flexible dosing, rapid dose adaptation, with </w:t>
      </w:r>
      <w:r w:rsidR="00DB2495">
        <w:t xml:space="preserve">minimal impact </w:t>
      </w:r>
      <w:r w:rsidRPr="00F64B1A">
        <w:t>on blood pressure are of important clinical interest for use in the peri-operative setting</w:t>
      </w:r>
      <w:r w:rsidR="002C4C2C">
        <w:t xml:space="preserve">. </w:t>
      </w:r>
      <w:r w:rsidR="004549D7">
        <w:t xml:space="preserve">Beyond surgical settings, </w:t>
      </w:r>
      <w:r w:rsidRPr="00F64B1A">
        <w:t>short-acting beta blockers are used for HR control in patients presenting with acute supraventricular tachycardia/ supraventricular tachyarrhythmia (SVT) including atrial fibrillation (AF).</w:t>
      </w:r>
      <w:r>
        <w:rPr>
          <w:vertAlign w:val="superscript"/>
        </w:rPr>
        <w:footnoteReference w:id="2"/>
      </w:r>
    </w:p>
    <w:p w14:paraId="255E083A" w14:textId="77777777" w:rsidR="00CB6813" w:rsidRDefault="00E01DCC" w:rsidP="00CB6813">
      <w:pPr>
        <w:pStyle w:val="Heading4"/>
      </w:pPr>
      <w:bookmarkStart w:id="20" w:name="_Toc221110955"/>
      <w:r>
        <w:t>Current treatment options</w:t>
      </w:r>
      <w:bookmarkEnd w:id="20"/>
    </w:p>
    <w:p w14:paraId="15046449" w14:textId="0C76EFDD" w:rsidR="00BE2741" w:rsidRDefault="00E01DCC" w:rsidP="004831CD">
      <w:pPr>
        <w:rPr>
          <w:i/>
        </w:rPr>
      </w:pPr>
      <w:r w:rsidRPr="00E06036">
        <w:rPr>
          <w:iCs/>
        </w:rPr>
        <w:t>Landiolol hydrochloride (landiolol) belongs to the same pharmacological class as esmolol, approved by the TGA</w:t>
      </w:r>
      <w:r w:rsidR="00C81C81">
        <w:rPr>
          <w:iCs/>
        </w:rPr>
        <w:t xml:space="preserve"> in 1993</w:t>
      </w:r>
      <w:r w:rsidRPr="00E06036">
        <w:rPr>
          <w:iCs/>
        </w:rPr>
        <w:t xml:space="preserve"> for similar indications as sought here</w:t>
      </w:r>
      <w:r w:rsidR="00CC204C">
        <w:rPr>
          <w:iCs/>
        </w:rPr>
        <w:t xml:space="preserve"> </w:t>
      </w:r>
      <w:r w:rsidRPr="00E06036">
        <w:rPr>
          <w:iCs/>
        </w:rPr>
        <w:t xml:space="preserve">(as </w:t>
      </w:r>
      <w:proofErr w:type="spellStart"/>
      <w:r w:rsidRPr="00E06036">
        <w:rPr>
          <w:iCs/>
        </w:rPr>
        <w:t>Brevibloc</w:t>
      </w:r>
      <w:proofErr w:type="spellEnd"/>
      <w:r w:rsidRPr="00E06036">
        <w:rPr>
          <w:iCs/>
        </w:rPr>
        <w:t xml:space="preserve">). </w:t>
      </w:r>
      <w:r w:rsidRPr="00BE2741">
        <w:rPr>
          <w:iCs/>
        </w:rPr>
        <w:t>Esmolol (</w:t>
      </w:r>
      <w:proofErr w:type="spellStart"/>
      <w:r w:rsidRPr="00BE2741">
        <w:rPr>
          <w:iCs/>
        </w:rPr>
        <w:t>Brevibloc</w:t>
      </w:r>
      <w:proofErr w:type="spellEnd"/>
      <w:r w:rsidRPr="00BE2741">
        <w:rPr>
          <w:iCs/>
        </w:rPr>
        <w:t xml:space="preserve"> and generic brands) is a β1-selective adrenergic blocking agent with rapid onset and a short duration of action (elimination half-life is approximately 9 minutes)</w:t>
      </w:r>
      <w:r w:rsidR="002C4C2C">
        <w:rPr>
          <w:iCs/>
        </w:rPr>
        <w:t xml:space="preserve">. </w:t>
      </w:r>
    </w:p>
    <w:p w14:paraId="5CD7314B" w14:textId="134A9146" w:rsidR="00B2335A" w:rsidRPr="000544D3" w:rsidRDefault="00E01DCC" w:rsidP="00526CB7">
      <w:pPr>
        <w:rPr>
          <w:i/>
        </w:rPr>
      </w:pPr>
      <w:r w:rsidRPr="00797C40">
        <w:lastRenderedPageBreak/>
        <w:t xml:space="preserve">Furthermore, </w:t>
      </w:r>
      <w:r w:rsidR="00526CB7">
        <w:t xml:space="preserve">other </w:t>
      </w:r>
      <w:r w:rsidRPr="00797C40">
        <w:t xml:space="preserve">current </w:t>
      </w:r>
      <w:r w:rsidR="00526CB7">
        <w:t>medication</w:t>
      </w:r>
      <w:r w:rsidRPr="00797C40">
        <w:t xml:space="preserve"> treatments </w:t>
      </w:r>
      <w:r w:rsidR="00526CB7">
        <w:t xml:space="preserve">may </w:t>
      </w:r>
      <w:r w:rsidRPr="00797C40">
        <w:t xml:space="preserve">include digoxin, verapamil, diltiazem and adenosine. </w:t>
      </w:r>
      <w:r w:rsidRPr="00B2335A">
        <w:t>Key treatment strategies for SVT involve identifying and addressing contributing factors, such as excessive intake of caffeine, alcohol, or nicotine, use of recreational drugs, and underlying conditions like hyperthyroidism, with a focus on reducing or eliminating these triggers.</w:t>
      </w:r>
      <w:r w:rsidR="009B4352" w:rsidRPr="009B4352">
        <w:t xml:space="preserve"> </w:t>
      </w:r>
    </w:p>
    <w:p w14:paraId="37C47E09" w14:textId="14D3762D" w:rsidR="00CB6813" w:rsidRDefault="00E01DCC" w:rsidP="00CB6813">
      <w:pPr>
        <w:pStyle w:val="Heading4"/>
      </w:pPr>
      <w:bookmarkStart w:id="21" w:name="_Toc221110956"/>
      <w:r>
        <w:t>C</w:t>
      </w:r>
      <w:r w:rsidRPr="00DE1344">
        <w:t>linical rational</w:t>
      </w:r>
      <w:r w:rsidR="0025785B">
        <w:t>e</w:t>
      </w:r>
      <w:bookmarkEnd w:id="21"/>
    </w:p>
    <w:p w14:paraId="049A58E9" w14:textId="28E89F0F" w:rsidR="00CB6813" w:rsidRDefault="00E01DCC" w:rsidP="00D636A8">
      <w:pPr>
        <w:rPr>
          <w:i/>
          <w:color w:val="007099"/>
        </w:rPr>
      </w:pPr>
      <w:r w:rsidRPr="00323609">
        <w:t>Landiolol is a highly selective beta-1-adrenoreceptor antagonist (the selectivity for beta-1-receptor blockade is 255 times higher than for beta-2-receptor blockade) that inhibits the positive</w:t>
      </w:r>
      <w:r w:rsidR="002D2EDF">
        <w:t xml:space="preserve"> </w:t>
      </w:r>
      <w:r w:rsidRPr="00323609">
        <w:t>chronotropic effects of the catecholamines adrenaline and noradrenaline on the heart, where</w:t>
      </w:r>
      <w:r w:rsidR="002D2EDF">
        <w:t xml:space="preserve"> </w:t>
      </w:r>
      <w:r w:rsidRPr="00323609">
        <w:t xml:space="preserve">beta-1-receptors are predominantly located. Landiolol, </w:t>
      </w:r>
      <w:r w:rsidR="00A8707F">
        <w:t xml:space="preserve">as with </w:t>
      </w:r>
      <w:r w:rsidRPr="00323609">
        <w:t>other beta-blockers, is thought to</w:t>
      </w:r>
      <w:r w:rsidR="002D2EDF">
        <w:t xml:space="preserve"> </w:t>
      </w:r>
      <w:r w:rsidRPr="00323609">
        <w:t xml:space="preserve">reduce sympathetic drive, resulting in </w:t>
      </w:r>
      <w:r w:rsidR="00A8707F">
        <w:t xml:space="preserve">a </w:t>
      </w:r>
      <w:r w:rsidRPr="00323609">
        <w:t xml:space="preserve">reduction in heart rate, </w:t>
      </w:r>
      <w:r w:rsidR="008F44A2">
        <w:t>reduced</w:t>
      </w:r>
      <w:r w:rsidRPr="00323609">
        <w:t xml:space="preserve"> spontaneous firing</w:t>
      </w:r>
      <w:r w:rsidR="002D2EDF">
        <w:t xml:space="preserve"> </w:t>
      </w:r>
      <w:r w:rsidRPr="00323609">
        <w:t xml:space="preserve">of ectopic pacemakers, slowing </w:t>
      </w:r>
      <w:r w:rsidR="00D25FF0">
        <w:t xml:space="preserve">the conduction </w:t>
      </w:r>
      <w:r w:rsidRPr="00323609">
        <w:t>and increas</w:t>
      </w:r>
      <w:r w:rsidR="00A05809">
        <w:t>ing</w:t>
      </w:r>
      <w:r w:rsidRPr="00323609">
        <w:t xml:space="preserve"> the refractory period of the AV node.</w:t>
      </w:r>
      <w:r w:rsidR="002D2EDF">
        <w:t xml:space="preserve"> </w:t>
      </w:r>
      <w:r w:rsidRPr="00323609">
        <w:t>In clinical studies, landiolol controlled tachycardia in an ultra-short acting manner with a fast onset</w:t>
      </w:r>
      <w:r w:rsidR="002D2EDF">
        <w:t xml:space="preserve"> </w:t>
      </w:r>
      <w:r w:rsidRPr="00323609">
        <w:t>and offset of action</w:t>
      </w:r>
      <w:r w:rsidR="00380F26">
        <w:t>,</w:t>
      </w:r>
      <w:r w:rsidRPr="00323609">
        <w:t xml:space="preserve"> </w:t>
      </w:r>
      <w:r w:rsidR="00380F26">
        <w:t xml:space="preserve">with </w:t>
      </w:r>
      <w:r w:rsidRPr="00323609">
        <w:t>demonstrated anti-ischaemic and cardioprotective effects.</w:t>
      </w:r>
      <w:r w:rsidR="002E2D05">
        <w:t xml:space="preserve"> </w:t>
      </w:r>
      <w:r w:rsidR="00881CE4" w:rsidRPr="00881CE4">
        <w:t>Rapid control of SVT</w:t>
      </w:r>
      <w:r w:rsidR="002E2D05">
        <w:t xml:space="preserve"> particularly</w:t>
      </w:r>
      <w:r w:rsidR="00881CE4" w:rsidRPr="00881CE4">
        <w:t xml:space="preserve"> before, during and after surgery are crucial for positive patient outcomes. </w:t>
      </w:r>
    </w:p>
    <w:p w14:paraId="0D615854" w14:textId="77777777" w:rsidR="00324B33" w:rsidRPr="003F31A2" w:rsidRDefault="00E01DCC" w:rsidP="00324B33">
      <w:pPr>
        <w:pStyle w:val="Heading3"/>
      </w:pPr>
      <w:bookmarkStart w:id="22" w:name="_Toc103679291"/>
      <w:bookmarkStart w:id="23" w:name="_Toc221110957"/>
      <w:r>
        <w:t>Regulatory status</w:t>
      </w:r>
      <w:bookmarkEnd w:id="18"/>
      <w:bookmarkEnd w:id="19"/>
      <w:bookmarkEnd w:id="22"/>
      <w:bookmarkEnd w:id="23"/>
    </w:p>
    <w:p w14:paraId="72C889D6" w14:textId="7E200950" w:rsidR="0017005C" w:rsidRPr="00BD5DBD" w:rsidRDefault="00E01DCC" w:rsidP="00741AB9">
      <w:pPr>
        <w:pStyle w:val="Heading4"/>
      </w:pPr>
      <w:bookmarkStart w:id="24" w:name="_Toc221110958"/>
      <w:r w:rsidRPr="00BD5DBD">
        <w:t>Australian regulatory</w:t>
      </w:r>
      <w:r>
        <w:t xml:space="preserve"> sta</w:t>
      </w:r>
      <w:r w:rsidR="0025785B">
        <w:t>t</w:t>
      </w:r>
      <w:r>
        <w:t>us</w:t>
      </w:r>
      <w:bookmarkEnd w:id="24"/>
    </w:p>
    <w:p w14:paraId="5C790993" w14:textId="06C40EBF" w:rsidR="00767260" w:rsidRPr="00767260" w:rsidRDefault="00E01DCC" w:rsidP="00F84492">
      <w:pPr>
        <w:rPr>
          <w:lang w:val="en-US"/>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r w:rsidR="00F84492">
        <w:rPr>
          <w:szCs w:val="22"/>
        </w:rPr>
        <w:t xml:space="preserve"> </w:t>
      </w:r>
      <w:r w:rsidRPr="00767260">
        <w:rPr>
          <w:lang w:val="en-US"/>
        </w:rPr>
        <w:t>The application was submitted for evaluation under the COR-A process based on the European evaluation (decentralised procedure)</w:t>
      </w:r>
      <w:r w:rsidR="002C4C2C">
        <w:rPr>
          <w:lang w:val="en-US"/>
        </w:rPr>
        <w:t xml:space="preserve">. </w:t>
      </w:r>
    </w:p>
    <w:p w14:paraId="2A71366D" w14:textId="411EBD91" w:rsidR="00767260" w:rsidRPr="00F84492" w:rsidRDefault="00E01DCC" w:rsidP="00767260">
      <w:pPr>
        <w:pStyle w:val="Instructions"/>
        <w:rPr>
          <w:i w:val="0"/>
          <w:iCs/>
          <w:color w:val="auto"/>
        </w:rPr>
      </w:pPr>
      <w:r w:rsidRPr="00F84492">
        <w:rPr>
          <w:i w:val="0"/>
          <w:iCs/>
          <w:color w:val="auto"/>
          <w:lang w:val="en-US"/>
        </w:rPr>
        <w:t xml:space="preserve">It is a mixed application comprising published data on the pharmacology, efficacy, and safety of </w:t>
      </w:r>
      <w:r w:rsidR="00F84492">
        <w:rPr>
          <w:i w:val="0"/>
          <w:iCs/>
          <w:color w:val="auto"/>
          <w:lang w:val="en-US"/>
        </w:rPr>
        <w:t>Landiolol,</w:t>
      </w:r>
      <w:r w:rsidRPr="00F84492">
        <w:rPr>
          <w:i w:val="0"/>
          <w:iCs/>
          <w:color w:val="auto"/>
          <w:lang w:val="en-US"/>
        </w:rPr>
        <w:t xml:space="preserve"> as well as four </w:t>
      </w:r>
      <w:r w:rsidR="00F84492">
        <w:rPr>
          <w:i w:val="0"/>
          <w:iCs/>
          <w:color w:val="auto"/>
          <w:lang w:val="en-US"/>
        </w:rPr>
        <w:t>pharmacokinetic (</w:t>
      </w:r>
      <w:r w:rsidRPr="00F84492">
        <w:rPr>
          <w:i w:val="0"/>
          <w:iCs/>
          <w:color w:val="auto"/>
          <w:lang w:val="en-US"/>
        </w:rPr>
        <w:t>PK</w:t>
      </w:r>
      <w:r w:rsidR="00F84492">
        <w:rPr>
          <w:i w:val="0"/>
          <w:iCs/>
          <w:color w:val="auto"/>
          <w:lang w:val="en-US"/>
        </w:rPr>
        <w:t>)</w:t>
      </w:r>
      <w:r w:rsidRPr="00F84492">
        <w:rPr>
          <w:i w:val="0"/>
          <w:iCs/>
          <w:color w:val="auto"/>
          <w:lang w:val="en-US"/>
        </w:rPr>
        <w:t>/</w:t>
      </w:r>
      <w:r w:rsidR="00F84492">
        <w:rPr>
          <w:i w:val="0"/>
          <w:iCs/>
          <w:color w:val="auto"/>
          <w:lang w:val="en-US"/>
        </w:rPr>
        <w:t xml:space="preserve"> pharmacodynamic (</w:t>
      </w:r>
      <w:r w:rsidRPr="00F84492">
        <w:rPr>
          <w:i w:val="0"/>
          <w:iCs/>
          <w:color w:val="auto"/>
          <w:lang w:val="en-US"/>
        </w:rPr>
        <w:t>PD</w:t>
      </w:r>
      <w:r w:rsidR="00F84492">
        <w:rPr>
          <w:i w:val="0"/>
          <w:iCs/>
          <w:color w:val="auto"/>
          <w:lang w:val="en-US"/>
        </w:rPr>
        <w:t>)</w:t>
      </w:r>
      <w:r w:rsidRPr="00F84492">
        <w:rPr>
          <w:i w:val="0"/>
          <w:iCs/>
          <w:color w:val="auto"/>
          <w:lang w:val="en-US"/>
        </w:rPr>
        <w:t xml:space="preserve"> studies sponsored by AOP Orphan</w:t>
      </w:r>
      <w:r w:rsidR="002C4C2C">
        <w:rPr>
          <w:i w:val="0"/>
          <w:iCs/>
          <w:color w:val="auto"/>
          <w:lang w:val="en-US"/>
        </w:rPr>
        <w:t xml:space="preserve">. </w:t>
      </w:r>
      <w:r w:rsidRPr="00F84492">
        <w:rPr>
          <w:i w:val="0"/>
          <w:iCs/>
          <w:color w:val="auto"/>
        </w:rPr>
        <w:t>The first literature search strategy for the application submitted to the EMA was conducted up to 30</w:t>
      </w:r>
      <w:r w:rsidR="00D4740E">
        <w:rPr>
          <w:i w:val="0"/>
          <w:iCs/>
          <w:color w:val="auto"/>
        </w:rPr>
        <w:t xml:space="preserve"> June </w:t>
      </w:r>
      <w:r w:rsidRPr="00F84492">
        <w:rPr>
          <w:i w:val="0"/>
          <w:iCs/>
          <w:color w:val="auto"/>
        </w:rPr>
        <w:t>2022</w:t>
      </w:r>
      <w:r w:rsidR="002C4C2C">
        <w:rPr>
          <w:i w:val="0"/>
          <w:iCs/>
          <w:color w:val="auto"/>
        </w:rPr>
        <w:t xml:space="preserve">. </w:t>
      </w:r>
      <w:r w:rsidRPr="00F84492">
        <w:rPr>
          <w:i w:val="0"/>
          <w:iCs/>
          <w:color w:val="auto"/>
        </w:rPr>
        <w:t>For this COR-A application a second search for published literature was performed for the period 1 July 2022 to 30 June 2024</w:t>
      </w:r>
      <w:r w:rsidR="002C4C2C">
        <w:rPr>
          <w:i w:val="0"/>
          <w:iCs/>
          <w:color w:val="auto"/>
        </w:rPr>
        <w:t xml:space="preserve">. </w:t>
      </w:r>
      <w:r w:rsidRPr="00F84492">
        <w:rPr>
          <w:i w:val="0"/>
          <w:iCs/>
          <w:color w:val="auto"/>
        </w:rPr>
        <w:t>In the second search, only one additional piece of literature was published in 2023 (safety data) describing the use of landiolol in the septic shock population which is outside the scope of the proposed use in this application.</w:t>
      </w:r>
    </w:p>
    <w:p w14:paraId="5441CE43" w14:textId="48E3EB32" w:rsidR="00767260" w:rsidRPr="00F84492" w:rsidRDefault="00E01DCC" w:rsidP="00767260">
      <w:pPr>
        <w:pStyle w:val="Instructions"/>
        <w:rPr>
          <w:i w:val="0"/>
          <w:iCs/>
          <w:color w:val="auto"/>
        </w:rPr>
      </w:pPr>
      <w:r w:rsidRPr="00F84492">
        <w:rPr>
          <w:i w:val="0"/>
          <w:iCs/>
          <w:color w:val="auto"/>
        </w:rPr>
        <w:t xml:space="preserve">The application was initially submitted under the proposed tradename </w:t>
      </w:r>
      <w:proofErr w:type="spellStart"/>
      <w:proofErr w:type="gramStart"/>
      <w:r w:rsidRPr="00F84492">
        <w:rPr>
          <w:i w:val="0"/>
          <w:iCs/>
          <w:color w:val="auto"/>
        </w:rPr>
        <w:t>Rapibloc</w:t>
      </w:r>
      <w:proofErr w:type="spellEnd"/>
      <w:proofErr w:type="gramEnd"/>
      <w:r w:rsidRPr="00F84492">
        <w:rPr>
          <w:i w:val="0"/>
          <w:iCs/>
          <w:color w:val="auto"/>
        </w:rPr>
        <w:t xml:space="preserve"> but this was assessed as not acceptable</w:t>
      </w:r>
      <w:r w:rsidR="00AD2EBE">
        <w:rPr>
          <w:i w:val="0"/>
          <w:iCs/>
          <w:color w:val="auto"/>
        </w:rPr>
        <w:t>,</w:t>
      </w:r>
      <w:r w:rsidRPr="00F84492">
        <w:rPr>
          <w:i w:val="0"/>
          <w:iCs/>
          <w:color w:val="auto"/>
        </w:rPr>
        <w:t xml:space="preserve"> and the tradename has been revised to Rapiblyk.</w:t>
      </w:r>
    </w:p>
    <w:p w14:paraId="546C1031" w14:textId="4EF98FA1" w:rsidR="0017005C" w:rsidRDefault="00E01DCC" w:rsidP="0017005C">
      <w:pPr>
        <w:pStyle w:val="Heading4"/>
      </w:pPr>
      <w:bookmarkStart w:id="25" w:name="_Toc221110959"/>
      <w:r>
        <w:t xml:space="preserve">International </w:t>
      </w:r>
      <w:r w:rsidRPr="00BD5DBD">
        <w:t>regulatory</w:t>
      </w:r>
      <w:r>
        <w:t xml:space="preserve"> status</w:t>
      </w:r>
      <w:bookmarkEnd w:id="25"/>
    </w:p>
    <w:p w14:paraId="3D65C585" w14:textId="5AC3201A" w:rsidR="004070BF" w:rsidRPr="004070BF" w:rsidRDefault="00E01DCC" w:rsidP="004070BF">
      <w:pPr>
        <w:rPr>
          <w:rFonts w:eastAsia="Cambria" w:cs="Times New Roman"/>
          <w:szCs w:val="22"/>
        </w:rPr>
      </w:pPr>
      <w:r w:rsidRPr="00BD5DBD">
        <w:rPr>
          <w:szCs w:val="22"/>
        </w:rPr>
        <w:t xml:space="preserve">This </w:t>
      </w:r>
      <w:r w:rsidR="009E7189">
        <w:rPr>
          <w:szCs w:val="22"/>
        </w:rPr>
        <w:t>application</w:t>
      </w:r>
      <w:r w:rsidRPr="00BD5DBD">
        <w:rPr>
          <w:szCs w:val="22"/>
        </w:rPr>
        <w:t xml:space="preserve"> was submitted through the TGA’s </w:t>
      </w:r>
      <w:hyperlink r:id="rId21" w:history="1">
        <w:r w:rsidR="004070BF" w:rsidRPr="00BD5DBD">
          <w:rPr>
            <w:rStyle w:val="Hyperlink"/>
            <w:szCs w:val="22"/>
          </w:rPr>
          <w:t>Comparable Overseas Regulator</w:t>
        </w:r>
      </w:hyperlink>
      <w:r w:rsidRPr="00BD5DBD">
        <w:rPr>
          <w:szCs w:val="22"/>
        </w:rPr>
        <w:t xml:space="preserve"> A (COR-A</w:t>
      </w:r>
      <w:r w:rsidR="007708DF">
        <w:rPr>
          <w:szCs w:val="22"/>
        </w:rPr>
        <w:t>)</w:t>
      </w:r>
      <w:r w:rsidRPr="00BD5DBD">
        <w:rPr>
          <w:szCs w:val="22"/>
        </w:rPr>
        <w:t xml:space="preserve"> process, using evaluation reports from </w:t>
      </w:r>
      <w:r w:rsidR="00F453E4" w:rsidRPr="00F453E4">
        <w:rPr>
          <w:szCs w:val="22"/>
        </w:rPr>
        <w:t>The Netherlands as the reference member state and Belgium, Spain, Ireland, and Portugal as the concerned member states</w:t>
      </w:r>
      <w:r w:rsidR="00D2625E">
        <w:rPr>
          <w:szCs w:val="22"/>
        </w:rPr>
        <w:t>.</w:t>
      </w:r>
      <w:r w:rsidRPr="00BD5DBD">
        <w:rPr>
          <w:iCs/>
          <w:szCs w:val="22"/>
        </w:rPr>
        <w:t xml:space="preserve"> </w:t>
      </w:r>
    </w:p>
    <w:p w14:paraId="2BBDBD40" w14:textId="426008CD" w:rsidR="00CE1C51" w:rsidRPr="00CE1C51" w:rsidRDefault="00E01DCC" w:rsidP="00CE1C51">
      <w:pPr>
        <w:rPr>
          <w:szCs w:val="22"/>
        </w:rPr>
      </w:pPr>
      <w:r w:rsidRPr="00CE1C51">
        <w:rPr>
          <w:szCs w:val="22"/>
        </w:rPr>
        <w:t>Landiolol has been approved in Japan since 2002</w:t>
      </w:r>
      <w:r w:rsidR="002C4C2C">
        <w:rPr>
          <w:szCs w:val="22"/>
        </w:rPr>
        <w:t xml:space="preserve">. </w:t>
      </w:r>
      <w:r w:rsidRPr="00CE1C51">
        <w:rPr>
          <w:szCs w:val="22"/>
        </w:rPr>
        <w:t xml:space="preserve">An extensive clinical program in Japanese subjects was performed by Ono Pharmaceutical in support of the registration of </w:t>
      </w:r>
      <w:r w:rsidR="00BD13B0" w:rsidRPr="00BD13B0">
        <w:rPr>
          <w:szCs w:val="22"/>
          <w:lang w:val="en-US"/>
        </w:rPr>
        <w:t>landiolol</w:t>
      </w:r>
      <w:r w:rsidR="00BD13B0" w:rsidRPr="00BD13B0">
        <w:rPr>
          <w:szCs w:val="22"/>
        </w:rPr>
        <w:t xml:space="preserve"> </w:t>
      </w:r>
      <w:r w:rsidR="00BD13B0">
        <w:rPr>
          <w:szCs w:val="22"/>
        </w:rPr>
        <w:t>(</w:t>
      </w:r>
      <w:proofErr w:type="spellStart"/>
      <w:r w:rsidRPr="00CE1C51">
        <w:rPr>
          <w:szCs w:val="22"/>
        </w:rPr>
        <w:t>Onoact</w:t>
      </w:r>
      <w:proofErr w:type="spellEnd"/>
      <w:r w:rsidR="00BD13B0">
        <w:rPr>
          <w:szCs w:val="22"/>
        </w:rPr>
        <w:t>)</w:t>
      </w:r>
      <w:r w:rsidRPr="00CE1C51">
        <w:rPr>
          <w:szCs w:val="22"/>
        </w:rPr>
        <w:t xml:space="preserve"> in Japan and in the post-licensing phase of the product</w:t>
      </w:r>
      <w:r w:rsidR="002C4C2C">
        <w:rPr>
          <w:szCs w:val="22"/>
        </w:rPr>
        <w:t xml:space="preserve">. </w:t>
      </w:r>
      <w:r w:rsidRPr="00CE1C51">
        <w:rPr>
          <w:szCs w:val="22"/>
        </w:rPr>
        <w:t xml:space="preserve">The key clinical studies of </w:t>
      </w:r>
      <w:r w:rsidR="00BD13B0" w:rsidRPr="00BD13B0">
        <w:rPr>
          <w:szCs w:val="22"/>
          <w:lang w:val="en-US"/>
        </w:rPr>
        <w:t>landiolol</w:t>
      </w:r>
      <w:r w:rsidRPr="00CE1C51">
        <w:rPr>
          <w:szCs w:val="22"/>
        </w:rPr>
        <w:t xml:space="preserve"> have been published and are available in the public domain.</w:t>
      </w:r>
    </w:p>
    <w:p w14:paraId="2786E139" w14:textId="77777777" w:rsidR="001A3D49" w:rsidRDefault="00E01DCC" w:rsidP="009C2C5F">
      <w:pPr>
        <w:rPr>
          <w:szCs w:val="22"/>
        </w:rPr>
      </w:pPr>
      <w:r w:rsidRPr="00CE1C51">
        <w:rPr>
          <w:szCs w:val="22"/>
        </w:rPr>
        <w:t>AOP Orphan Pharmaceuticals developed this product which is marketed internationally under various trade names</w:t>
      </w:r>
      <w:r w:rsidR="00C02D9E">
        <w:rPr>
          <w:szCs w:val="22"/>
        </w:rPr>
        <w:t xml:space="preserve"> (</w:t>
      </w:r>
      <w:proofErr w:type="spellStart"/>
      <w:r w:rsidR="00C02D9E">
        <w:rPr>
          <w:szCs w:val="22"/>
        </w:rPr>
        <w:t>eg.</w:t>
      </w:r>
      <w:proofErr w:type="spellEnd"/>
      <w:r w:rsidR="00C02D9E">
        <w:rPr>
          <w:szCs w:val="22"/>
        </w:rPr>
        <w:t xml:space="preserve"> </w:t>
      </w:r>
      <w:proofErr w:type="spellStart"/>
      <w:r w:rsidR="00C02D9E" w:rsidRPr="00C02D9E">
        <w:rPr>
          <w:szCs w:val="22"/>
        </w:rPr>
        <w:t>Rapibloc</w:t>
      </w:r>
      <w:proofErr w:type="spellEnd"/>
      <w:r w:rsidR="00C02D9E" w:rsidRPr="00C02D9E">
        <w:rPr>
          <w:szCs w:val="22"/>
        </w:rPr>
        <w:t xml:space="preserve">, </w:t>
      </w:r>
      <w:proofErr w:type="spellStart"/>
      <w:r w:rsidR="00C02D9E" w:rsidRPr="00C02D9E">
        <w:rPr>
          <w:szCs w:val="22"/>
        </w:rPr>
        <w:t>Raploc</w:t>
      </w:r>
      <w:proofErr w:type="spellEnd"/>
      <w:r w:rsidR="00C02D9E" w:rsidRPr="00C02D9E">
        <w:rPr>
          <w:szCs w:val="22"/>
        </w:rPr>
        <w:t xml:space="preserve">, </w:t>
      </w:r>
      <w:proofErr w:type="spellStart"/>
      <w:r w:rsidR="00C02D9E" w:rsidRPr="00C02D9E">
        <w:rPr>
          <w:szCs w:val="22"/>
        </w:rPr>
        <w:t>Landiobloc</w:t>
      </w:r>
      <w:proofErr w:type="spellEnd"/>
      <w:r w:rsidR="00C02D9E">
        <w:rPr>
          <w:szCs w:val="22"/>
        </w:rPr>
        <w:t>).</w:t>
      </w:r>
      <w:r w:rsidR="009C2C5F">
        <w:rPr>
          <w:szCs w:val="22"/>
        </w:rPr>
        <w:t xml:space="preserve"> </w:t>
      </w:r>
      <w:r w:rsidRPr="00CE1C51">
        <w:rPr>
          <w:szCs w:val="22"/>
        </w:rPr>
        <w:t xml:space="preserve">Marketing authorisation was obtained in </w:t>
      </w:r>
      <w:r w:rsidRPr="00CE1C51">
        <w:rPr>
          <w:szCs w:val="22"/>
        </w:rPr>
        <w:lastRenderedPageBreak/>
        <w:t xml:space="preserve">24 European countries via the decentralised procedure in 2016 for the same indication as proposed in this application, and subsequently in UK and Switzerland in 2022. </w:t>
      </w:r>
    </w:p>
    <w:p w14:paraId="6A81064B" w14:textId="2CDDA4A0" w:rsidR="009C2C5F" w:rsidRPr="009C2C5F" w:rsidRDefault="00E01DCC" w:rsidP="009C2C5F">
      <w:pPr>
        <w:rPr>
          <w:szCs w:val="22"/>
        </w:rPr>
      </w:pPr>
      <w:r w:rsidRPr="001A3D49">
        <w:rPr>
          <w:szCs w:val="22"/>
        </w:rPr>
        <w:t xml:space="preserve">Marketing approval in The Netherlands was received on 20 December 2023 following evaluation in an EMA decentralised procedure. </w:t>
      </w:r>
      <w:r w:rsidRPr="009C2C5F">
        <w:rPr>
          <w:szCs w:val="22"/>
        </w:rPr>
        <w:t>Marketing authorisation was obtained in Canada on 20 November 2023 and in USA on 22 November 2024.</w:t>
      </w:r>
    </w:p>
    <w:p w14:paraId="6D92589C" w14:textId="09786CEF" w:rsidR="00324B33" w:rsidRDefault="00E01DCC" w:rsidP="00324B33">
      <w:pPr>
        <w:pStyle w:val="Heading2"/>
      </w:pPr>
      <w:bookmarkStart w:id="26" w:name="_Toc504480011"/>
      <w:bookmarkStart w:id="27" w:name="_Toc103679293"/>
      <w:bookmarkStart w:id="28" w:name="_Toc221110960"/>
      <w:r>
        <w:t>Registration timeline</w:t>
      </w:r>
      <w:bookmarkEnd w:id="26"/>
      <w:bookmarkEnd w:id="27"/>
      <w:bookmarkEnd w:id="28"/>
    </w:p>
    <w:p w14:paraId="225E3D87" w14:textId="1F3070CE" w:rsidR="00324B33" w:rsidRPr="00BD5DBD" w:rsidRDefault="00E01DCC" w:rsidP="00324B33">
      <w:pPr>
        <w:rPr>
          <w:szCs w:val="22"/>
        </w:rPr>
      </w:pPr>
      <w:r w:rsidRPr="00BD5DBD">
        <w:rPr>
          <w:szCs w:val="22"/>
        </w:rPr>
        <w:t>The following table captures the key steps and dates for this submission.</w:t>
      </w:r>
    </w:p>
    <w:p w14:paraId="6BB76942" w14:textId="49C62989" w:rsidR="00477C4E" w:rsidRPr="00BD5DBD" w:rsidRDefault="00E01DCC" w:rsidP="00324B33">
      <w:pPr>
        <w:rPr>
          <w:szCs w:val="22"/>
        </w:rPr>
      </w:pPr>
      <w:r w:rsidRPr="00786C7C">
        <w:rPr>
          <w:szCs w:val="22"/>
        </w:rPr>
        <w:t>This submission was evaluated</w:t>
      </w:r>
      <w:r w:rsidRPr="00BD5DBD">
        <w:rPr>
          <w:szCs w:val="22"/>
        </w:rPr>
        <w:t xml:space="preserve"> under the </w:t>
      </w:r>
      <w:hyperlink r:id="rId22" w:history="1">
        <w:r w:rsidR="00477C4E" w:rsidRPr="00BD5DBD">
          <w:rPr>
            <w:rStyle w:val="Hyperlink"/>
            <w:szCs w:val="22"/>
          </w:rPr>
          <w:t>standard prescription medicines registration process</w:t>
        </w:r>
      </w:hyperlink>
      <w:r w:rsidRPr="00BD5DBD">
        <w:rPr>
          <w:szCs w:val="22"/>
        </w:rPr>
        <w:t>.</w:t>
      </w:r>
    </w:p>
    <w:p w14:paraId="44628C5F" w14:textId="0EB2C14A" w:rsidR="00324B33" w:rsidRDefault="00E01DCC" w:rsidP="002C1232">
      <w:pPr>
        <w:pStyle w:val="TableTitle"/>
      </w:pPr>
      <w:r w:rsidRPr="002C1232">
        <w:t xml:space="preserve">Table </w:t>
      </w:r>
      <w:r w:rsidR="008560C7">
        <w:t>1</w:t>
      </w:r>
      <w:r w:rsidRPr="002C1232">
        <w:t>: Timeline for Submission PM-202</w:t>
      </w:r>
      <w:r w:rsidR="00480B5E">
        <w:t>4-0</w:t>
      </w:r>
      <w:r w:rsidR="00B95681">
        <w:t>4271</w:t>
      </w:r>
      <w:r w:rsidRPr="002C1232">
        <w:t>-1-</w:t>
      </w:r>
      <w:r w:rsidR="00B95681">
        <w:t>3</w:t>
      </w:r>
    </w:p>
    <w:tbl>
      <w:tblPr>
        <w:tblStyle w:val="TableTGAblue2023"/>
        <w:tblW w:w="8642" w:type="dxa"/>
        <w:tblLook w:val="04A0" w:firstRow="1" w:lastRow="0" w:firstColumn="1" w:lastColumn="0" w:noHBand="0" w:noVBand="1"/>
      </w:tblPr>
      <w:tblGrid>
        <w:gridCol w:w="6374"/>
        <w:gridCol w:w="2268"/>
      </w:tblGrid>
      <w:tr w:rsidR="00411A1A" w14:paraId="6C59BE9C" w14:textId="77777777" w:rsidTr="00812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E01DCC" w:rsidP="00324B33">
            <w:pPr>
              <w:rPr>
                <w:szCs w:val="22"/>
              </w:rPr>
            </w:pPr>
            <w:r w:rsidRPr="00D01DDB">
              <w:rPr>
                <w:szCs w:val="22"/>
              </w:rPr>
              <w:t>Description</w:t>
            </w:r>
          </w:p>
        </w:tc>
        <w:tc>
          <w:tcPr>
            <w:tcW w:w="2268" w:type="dxa"/>
          </w:tcPr>
          <w:p w14:paraId="79AFDC4B" w14:textId="05792035" w:rsidR="00324B33" w:rsidRPr="00D01DDB" w:rsidRDefault="00E01DCC"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411A1A" w14:paraId="23610C53" w14:textId="77777777" w:rsidTr="00812334">
        <w:tc>
          <w:tcPr>
            <w:cnfStyle w:val="001000000000" w:firstRow="0" w:lastRow="0" w:firstColumn="1" w:lastColumn="0" w:oddVBand="0" w:evenVBand="0" w:oddHBand="0" w:evenHBand="0" w:firstRowFirstColumn="0" w:firstRowLastColumn="0" w:lastRowFirstColumn="0" w:lastRowLastColumn="0"/>
            <w:tcW w:w="6374" w:type="dxa"/>
          </w:tcPr>
          <w:p w14:paraId="759D2A12" w14:textId="0D705F83" w:rsidR="00324B33" w:rsidRPr="00E679D1" w:rsidRDefault="00E01DCC" w:rsidP="00E679D1">
            <w:r w:rsidRPr="00E679D1">
              <w:t>Submission dossier accepted and first round evaluation commenced</w:t>
            </w:r>
          </w:p>
        </w:tc>
        <w:tc>
          <w:tcPr>
            <w:tcW w:w="2268" w:type="dxa"/>
          </w:tcPr>
          <w:p w14:paraId="2963D9D8" w14:textId="015D3AB8" w:rsidR="00324B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October 2024</w:t>
            </w:r>
          </w:p>
        </w:tc>
      </w:tr>
      <w:tr w:rsidR="00411A1A" w14:paraId="16D13F79" w14:textId="77777777" w:rsidTr="00812334">
        <w:tc>
          <w:tcPr>
            <w:cnfStyle w:val="001000000000" w:firstRow="0" w:lastRow="0" w:firstColumn="1" w:lastColumn="0" w:oddVBand="0" w:evenVBand="0" w:oddHBand="0" w:evenHBand="0" w:firstRowFirstColumn="0" w:firstRowLastColumn="0" w:lastRowFirstColumn="0" w:lastRowLastColumn="0"/>
            <w:tcW w:w="6374" w:type="dxa"/>
          </w:tcPr>
          <w:p w14:paraId="6858B45A" w14:textId="615A218B" w:rsidR="00803926" w:rsidRPr="00E679D1" w:rsidRDefault="00E01DCC" w:rsidP="00E679D1">
            <w:r>
              <w:t>Evaluation completed</w:t>
            </w:r>
            <w:r w:rsidR="005775D0">
              <w:t xml:space="preserve"> (End of round </w:t>
            </w:r>
            <w:r w:rsidR="00C00844">
              <w:t>2)</w:t>
            </w:r>
          </w:p>
        </w:tc>
        <w:tc>
          <w:tcPr>
            <w:tcW w:w="2268" w:type="dxa"/>
          </w:tcPr>
          <w:p w14:paraId="2E0BD403" w14:textId="5A1F7C51" w:rsidR="00803926"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June</w:t>
            </w:r>
            <w:r w:rsidR="00932323">
              <w:rPr>
                <w:szCs w:val="22"/>
              </w:rPr>
              <w:t xml:space="preserve"> 2025</w:t>
            </w:r>
          </w:p>
        </w:tc>
      </w:tr>
      <w:tr w:rsidR="00411A1A" w14:paraId="6E5D32FE" w14:textId="77777777" w:rsidTr="00812334">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E679D1" w:rsidRDefault="00E01DCC" w:rsidP="00E679D1">
            <w:r w:rsidRPr="00E679D1">
              <w:t>Registration decision (Outcome)</w:t>
            </w:r>
          </w:p>
        </w:tc>
        <w:tc>
          <w:tcPr>
            <w:tcW w:w="2268" w:type="dxa"/>
          </w:tcPr>
          <w:p w14:paraId="62987ABD" w14:textId="1EB929AE" w:rsidR="00324B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w:t>
            </w:r>
            <w:r w:rsidR="00201C11">
              <w:rPr>
                <w:szCs w:val="22"/>
              </w:rPr>
              <w:t xml:space="preserve"> June 2025</w:t>
            </w:r>
          </w:p>
        </w:tc>
      </w:tr>
      <w:tr w:rsidR="00411A1A" w14:paraId="6DDCDDA4" w14:textId="77777777" w:rsidTr="00812334">
        <w:tc>
          <w:tcPr>
            <w:cnfStyle w:val="001000000000" w:firstRow="0" w:lastRow="0" w:firstColumn="1" w:lastColumn="0" w:oddVBand="0" w:evenVBand="0" w:oddHBand="0" w:evenHBand="0" w:firstRowFirstColumn="0" w:firstRowLastColumn="0" w:lastRowFirstColumn="0" w:lastRowLastColumn="0"/>
            <w:tcW w:w="6374" w:type="dxa"/>
          </w:tcPr>
          <w:p w14:paraId="192FD19D" w14:textId="3A0D1BCD" w:rsidR="00324B33" w:rsidRPr="00E679D1" w:rsidRDefault="00E01DCC" w:rsidP="007311B9">
            <w:pPr>
              <w:ind w:left="0"/>
            </w:pPr>
            <w:r w:rsidRPr="00E679D1">
              <w:t xml:space="preserve"> </w:t>
            </w:r>
            <w:r w:rsidR="00C00844">
              <w:t>R</w:t>
            </w:r>
            <w:r w:rsidRPr="00E679D1">
              <w:t xml:space="preserve">egistration </w:t>
            </w:r>
            <w:r w:rsidR="005C4B46" w:rsidRPr="00E679D1">
              <w:t xml:space="preserve">in </w:t>
            </w:r>
            <w:r w:rsidRPr="00E679D1">
              <w:t>the ARTG completed</w:t>
            </w:r>
          </w:p>
        </w:tc>
        <w:tc>
          <w:tcPr>
            <w:tcW w:w="2268" w:type="dxa"/>
          </w:tcPr>
          <w:p w14:paraId="5A8923FD" w14:textId="6B62439A" w:rsidR="00324B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June 2025</w:t>
            </w:r>
          </w:p>
        </w:tc>
      </w:tr>
      <w:tr w:rsidR="00411A1A" w14:paraId="56D922E2" w14:textId="77777777" w:rsidTr="00812334">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E01DCC" w:rsidP="00E679D1">
            <w:r w:rsidRPr="00E679D1">
              <w:t>Number of working days from submission dossier acceptance to registration decision*</w:t>
            </w:r>
          </w:p>
        </w:tc>
        <w:tc>
          <w:tcPr>
            <w:tcW w:w="2268" w:type="dxa"/>
          </w:tcPr>
          <w:p w14:paraId="5BAF9FA1" w14:textId="5B7A423A" w:rsidR="00324B33" w:rsidRPr="00D01DDB" w:rsidRDefault="00E01DC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78</w:t>
            </w:r>
          </w:p>
        </w:tc>
      </w:tr>
    </w:tbl>
    <w:p w14:paraId="238F34C7" w14:textId="77777777" w:rsidR="00433318" w:rsidRDefault="00E01DCC" w:rsidP="00433318">
      <w:pPr>
        <w:pStyle w:val="TableDescription"/>
      </w:pPr>
      <w:r w:rsidRPr="00006FAB">
        <w:t>* The COR-A process has a 120 working day evaluation and decision timeframe.</w:t>
      </w:r>
    </w:p>
    <w:p w14:paraId="220925F1" w14:textId="75C7430A" w:rsidR="00C22214" w:rsidRPr="00792A32" w:rsidRDefault="00E01DCC" w:rsidP="00C22214">
      <w:pPr>
        <w:pStyle w:val="Heading2"/>
      </w:pPr>
      <w:bookmarkStart w:id="29" w:name="_Toc221110961"/>
      <w:bookmarkStart w:id="30" w:name="_Toc196046504"/>
      <w:bookmarkStart w:id="31" w:name="_Toc247691527"/>
      <w:bookmarkStart w:id="32" w:name="_Toc314842510"/>
      <w:bookmarkStart w:id="33" w:name="_Toc103679294"/>
      <w:r>
        <w:t xml:space="preserve">Assessment </w:t>
      </w:r>
      <w:r w:rsidRPr="00006FAB">
        <w:t>overview</w:t>
      </w:r>
      <w:bookmarkEnd w:id="29"/>
      <w:r w:rsidRPr="00006FAB">
        <w:t xml:space="preserve"> </w:t>
      </w:r>
      <w:bookmarkEnd w:id="30"/>
      <w:bookmarkEnd w:id="31"/>
      <w:bookmarkEnd w:id="32"/>
      <w:bookmarkEnd w:id="33"/>
    </w:p>
    <w:p w14:paraId="540151FC" w14:textId="77777777" w:rsidR="00C22214" w:rsidRPr="00BD5DBD" w:rsidRDefault="00E01DCC" w:rsidP="00BD5DBD">
      <w:pPr>
        <w:rPr>
          <w:szCs w:val="22"/>
        </w:rPr>
      </w:pPr>
      <w:bookmarkStart w:id="34" w:name="_Toc247691528"/>
      <w:bookmarkStart w:id="35" w:name="_Toc314842511"/>
      <w:r w:rsidRPr="00BD5DBD">
        <w:rPr>
          <w:szCs w:val="22"/>
        </w:rPr>
        <w:t>A summary of the TGA’s assessment for this submission is provided below.</w:t>
      </w:r>
    </w:p>
    <w:p w14:paraId="37F5A1C0" w14:textId="5D3D5FE0" w:rsidR="00C22214" w:rsidRDefault="00E01DCC" w:rsidP="00C22214">
      <w:pPr>
        <w:pStyle w:val="Heading3"/>
      </w:pPr>
      <w:bookmarkStart w:id="36" w:name="_Toc103679295"/>
      <w:bookmarkStart w:id="37" w:name="_Toc221110962"/>
      <w:r>
        <w:t>Quality</w:t>
      </w:r>
      <w:bookmarkEnd w:id="34"/>
      <w:bookmarkEnd w:id="35"/>
      <w:bookmarkEnd w:id="36"/>
      <w:r w:rsidR="007E6443">
        <w:t xml:space="preserve"> evaluation</w:t>
      </w:r>
      <w:r>
        <w:t xml:space="preserve"> summary</w:t>
      </w:r>
      <w:bookmarkEnd w:id="37"/>
    </w:p>
    <w:p w14:paraId="75525A40" w14:textId="179CC97B" w:rsidR="00E15B71" w:rsidRDefault="00E01DCC" w:rsidP="00E15B71">
      <w:r>
        <w:t>The drug substance is manufactured by chemical synthesis</w:t>
      </w:r>
      <w:r w:rsidR="002C4C2C">
        <w:t xml:space="preserve">. </w:t>
      </w:r>
      <w:r w:rsidRPr="00CE54C7">
        <w:t xml:space="preserve">The proposed specification </w:t>
      </w:r>
      <w:r>
        <w:t xml:space="preserve">was developed in-house and </w:t>
      </w:r>
      <w:r w:rsidRPr="00CE54C7">
        <w:t>adequately controls the identity, potency, purity and chemical and physical properties of the drug substance relevant to the dose form</w:t>
      </w:r>
      <w:r w:rsidR="002C4C2C">
        <w:t xml:space="preserve">. </w:t>
      </w:r>
      <w:r>
        <w:t>The synthetic impurities are controlled to either ICH Q3A or where higher were adequately qualified</w:t>
      </w:r>
      <w:r w:rsidR="002C4C2C">
        <w:t xml:space="preserve">. </w:t>
      </w:r>
      <w:r w:rsidRPr="00CE54C7">
        <w:t>The analytical methods used to analyse the product were adequately described and validated</w:t>
      </w:r>
      <w:r w:rsidR="002C4C2C">
        <w:t xml:space="preserve">. </w:t>
      </w:r>
    </w:p>
    <w:p w14:paraId="59739FF1" w14:textId="364B099F" w:rsidR="00E15B71" w:rsidRPr="00B65EDE" w:rsidRDefault="00C33474" w:rsidP="00E15B71">
      <w:r>
        <w:t>Risk evaluations on the potential presence of nitrosamines and elemental impurities were performed and adequate control strategies are in place.</w:t>
      </w:r>
    </w:p>
    <w:p w14:paraId="7D40F763" w14:textId="7AB81A59" w:rsidR="00E15B71" w:rsidRDefault="00E01DCC" w:rsidP="00E15B71">
      <w:r>
        <w:t xml:space="preserve">The drug product is a white to almost white lyophilised powder, presented in a clear 50 mL Type I glass vial with grey </w:t>
      </w:r>
      <w:proofErr w:type="spellStart"/>
      <w:r>
        <w:t>chlorobutyl</w:t>
      </w:r>
      <w:proofErr w:type="spellEnd"/>
      <w:r>
        <w:t xml:space="preserve"> elastomer stopper, yellow flip-off cap and aluminium seal</w:t>
      </w:r>
      <w:r w:rsidR="002C4C2C">
        <w:t xml:space="preserve">. </w:t>
      </w:r>
      <w:r>
        <w:t>It is to be marketed in a pack size of 1 vial</w:t>
      </w:r>
      <w:r w:rsidR="002C4C2C">
        <w:t xml:space="preserve">. </w:t>
      </w:r>
      <w:r>
        <w:t>The formulation includes the drug substance, mannitol as a bulking agent and sodium hydroxide to adjust pH and both the formulation and manufacturing process are common for the dosage form.</w:t>
      </w:r>
    </w:p>
    <w:p w14:paraId="405F9B0F" w14:textId="77777777" w:rsidR="00E15B71" w:rsidRDefault="00E01DCC" w:rsidP="00E15B71">
      <w:r>
        <w:t>The product must be reconstituted to a concentration of 6 mg/mL in 0.9% Sodium chloride solution, 5% Glucose solution, Ringer’s solution or Ringer’s lactate solution before use, and chemical compatibility with these diluents at the appropriate concentration is adequately demonstrated.</w:t>
      </w:r>
    </w:p>
    <w:p w14:paraId="160924B5" w14:textId="52E0A2BC" w:rsidR="00E15B71" w:rsidRDefault="00E01DCC" w:rsidP="00E15B71">
      <w:r w:rsidRPr="00254526">
        <w:lastRenderedPageBreak/>
        <w:t>The drug product specifications adequately control the quality of the drug product at release and throughout the shelf-life.</w:t>
      </w:r>
      <w:r w:rsidRPr="0010239D">
        <w:t xml:space="preserve"> </w:t>
      </w:r>
      <w:r w:rsidRPr="00254526">
        <w:t>The analytical methods used to analyse the product were adequately described and validated.</w:t>
      </w:r>
      <w:r w:rsidR="00E75D71">
        <w:t xml:space="preserve"> </w:t>
      </w:r>
      <w:r w:rsidRPr="00DC351C">
        <w:rPr>
          <w:snapToGrid w:val="0"/>
        </w:rPr>
        <w:t xml:space="preserve">The impurities are controlled </w:t>
      </w:r>
      <w:r w:rsidRPr="0095564D">
        <w:rPr>
          <w:snapToGrid w:val="0"/>
        </w:rPr>
        <w:t>according to ICH Q3B, or where</w:t>
      </w:r>
      <w:r w:rsidRPr="00DC351C">
        <w:rPr>
          <w:snapToGrid w:val="0"/>
        </w:rPr>
        <w:t xml:space="preserve"> higher</w:t>
      </w:r>
      <w:r>
        <w:rPr>
          <w:snapToGrid w:val="0"/>
        </w:rPr>
        <w:t>,</w:t>
      </w:r>
      <w:r w:rsidRPr="00DC351C">
        <w:rPr>
          <w:snapToGrid w:val="0"/>
        </w:rPr>
        <w:t xml:space="preserve"> were adequately qualified.</w:t>
      </w:r>
      <w:r>
        <w:rPr>
          <w:snapToGrid w:val="0"/>
        </w:rPr>
        <w:t xml:space="preserve"> </w:t>
      </w:r>
      <w:r>
        <w:t>Nitrosamine impurities are adequately controlled by tests in the drug product and drug substance specifications.</w:t>
      </w:r>
      <w:r w:rsidR="00E75D71">
        <w:t xml:space="preserve"> </w:t>
      </w:r>
      <w:r w:rsidRPr="00362F0A">
        <w:t>A shelf life of 24 months</w:t>
      </w:r>
      <w:r>
        <w:t xml:space="preserve"> when</w:t>
      </w:r>
      <w:r w:rsidRPr="00362F0A">
        <w:t xml:space="preserve"> stored below 25</w:t>
      </w:r>
      <w:r w:rsidRPr="00254526">
        <w:rPr>
          <w:rFonts w:ascii="Symbol" w:eastAsia="Symbol" w:hAnsi="Symbol" w:cs="Symbol"/>
        </w:rPr>
        <w:t>°</w:t>
      </w:r>
      <w:r w:rsidRPr="00362F0A">
        <w:t>C</w:t>
      </w:r>
      <w:r>
        <w:t xml:space="preserve"> </w:t>
      </w:r>
      <w:r w:rsidRPr="00362F0A">
        <w:t>is supported</w:t>
      </w:r>
      <w:r>
        <w:t>.</w:t>
      </w:r>
    </w:p>
    <w:p w14:paraId="4A899524" w14:textId="48FF9343" w:rsidR="00E15B71" w:rsidRPr="009B0734" w:rsidRDefault="00E01DCC" w:rsidP="00E15B71">
      <w:r>
        <w:t xml:space="preserve">The Sponsor provided a justification for labelling the product as the salt (300 mg landiolol hydrochloride) rather than the free base (280 mg landiolol) based on the long history of use and extensive published data referencing </w:t>
      </w:r>
      <w:proofErr w:type="spellStart"/>
      <w:r>
        <w:t>landiolol</w:t>
      </w:r>
      <w:proofErr w:type="spellEnd"/>
      <w:r>
        <w:t xml:space="preserve"> hydrochloride</w:t>
      </w:r>
      <w:r w:rsidR="002C4C2C">
        <w:t xml:space="preserve">. </w:t>
      </w:r>
      <w:r w:rsidRPr="008B5CAB">
        <w:t xml:space="preserve">The </w:t>
      </w:r>
      <w:r>
        <w:t xml:space="preserve">labels and </w:t>
      </w:r>
      <w:r w:rsidRPr="008B5CAB">
        <w:t xml:space="preserve">draft Product Information </w:t>
      </w:r>
      <w:r>
        <w:t>are</w:t>
      </w:r>
      <w:r w:rsidRPr="008B5CAB">
        <w:t xml:space="preserve"> acceptable from a pharmaceutical chemistry perspective</w:t>
      </w:r>
      <w:r w:rsidR="002C4C2C">
        <w:t xml:space="preserve">. </w:t>
      </w:r>
      <w:r>
        <w:t>T</w:t>
      </w:r>
      <w:r w:rsidRPr="009B0734">
        <w:t xml:space="preserve">here is no objection to the registration of Rapiblyk from a quality and pharmaceutical chemistry perspective. </w:t>
      </w:r>
    </w:p>
    <w:p w14:paraId="2BE90AAE" w14:textId="35796FD3" w:rsidR="00C22214" w:rsidRDefault="00E01DCC" w:rsidP="00C22214">
      <w:pPr>
        <w:pStyle w:val="Heading3"/>
      </w:pPr>
      <w:bookmarkStart w:id="38" w:name="_Toc314842512"/>
      <w:bookmarkStart w:id="39" w:name="_Toc103679296"/>
      <w:bookmarkStart w:id="40" w:name="_Toc221110963"/>
      <w:r>
        <w:t>Nonclinical</w:t>
      </w:r>
      <w:bookmarkEnd w:id="38"/>
      <w:bookmarkEnd w:id="39"/>
      <w:r w:rsidR="007E6443">
        <w:t xml:space="preserve"> evaluation</w:t>
      </w:r>
      <w:r w:rsidR="00095C6A">
        <w:t xml:space="preserve"> summary</w:t>
      </w:r>
      <w:bookmarkEnd w:id="40"/>
    </w:p>
    <w:p w14:paraId="3EA68BF7" w14:textId="07707E3D" w:rsidR="002551CE" w:rsidRDefault="00E01DCC" w:rsidP="008635B4">
      <w:r w:rsidRPr="00D41F69">
        <w:t xml:space="preserve">The submitted Module 4 dossier was </w:t>
      </w:r>
      <w:r w:rsidR="00C2588D">
        <w:t xml:space="preserve">primarily </w:t>
      </w:r>
      <w:r w:rsidRPr="00D41F69">
        <w:t>literature-based and was generally in accordance with ICH M3(R2)</w:t>
      </w:r>
      <w:r w:rsidR="002C4C2C">
        <w:t xml:space="preserve">. </w:t>
      </w:r>
      <w:r w:rsidRPr="00D41F69">
        <w:t xml:space="preserve"> </w:t>
      </w:r>
      <w:r w:rsidRPr="00B93F15">
        <w:t xml:space="preserve">The GLP </w:t>
      </w:r>
      <w:r w:rsidR="00212A64" w:rsidRPr="00B93F15">
        <w:t>(Good Laboratory</w:t>
      </w:r>
      <w:r w:rsidR="00212A64" w:rsidRPr="00212A64">
        <w:t xml:space="preserve"> Practice</w:t>
      </w:r>
      <w:r w:rsidR="00212A64">
        <w:t>)</w:t>
      </w:r>
      <w:r w:rsidR="00212A64" w:rsidRPr="00212A64">
        <w:t xml:space="preserve"> </w:t>
      </w:r>
      <w:r w:rsidRPr="000338AA">
        <w:t xml:space="preserve">status of the </w:t>
      </w:r>
      <w:r w:rsidR="0015054D">
        <w:t xml:space="preserve">cited </w:t>
      </w:r>
      <w:r w:rsidR="009E5FB3">
        <w:t xml:space="preserve">repeated dose </w:t>
      </w:r>
      <w:r w:rsidRPr="000338AA">
        <w:t>toxicity studies could not be confirmed</w:t>
      </w:r>
      <w:r w:rsidR="00F54026">
        <w:t xml:space="preserve"> and no </w:t>
      </w:r>
      <w:r w:rsidR="00EE4B11">
        <w:t xml:space="preserve">information on </w:t>
      </w:r>
      <w:r w:rsidR="00261274">
        <w:t xml:space="preserve">systemic exposure </w:t>
      </w:r>
      <w:r w:rsidR="00EE4B11">
        <w:t>levels</w:t>
      </w:r>
      <w:r w:rsidR="00AE675F">
        <w:t xml:space="preserve"> was</w:t>
      </w:r>
      <w:r w:rsidR="00EE4B11">
        <w:t xml:space="preserve"> available </w:t>
      </w:r>
      <w:r w:rsidR="00AE675F">
        <w:t xml:space="preserve">regarding </w:t>
      </w:r>
      <w:r w:rsidR="00EE4B11">
        <w:t>these studies</w:t>
      </w:r>
      <w:r w:rsidR="00B403C3">
        <w:t>. Thus</w:t>
      </w:r>
      <w:r w:rsidR="008F0AE8" w:rsidRPr="00DC0B2C">
        <w:t xml:space="preserve">, </w:t>
      </w:r>
      <w:r w:rsidR="00B403C3">
        <w:t xml:space="preserve">it is unknown if </w:t>
      </w:r>
      <w:r w:rsidR="008F0AE8" w:rsidRPr="00DC0B2C">
        <w:t xml:space="preserve">clinical exposure levels </w:t>
      </w:r>
      <w:r w:rsidR="00B403C3">
        <w:t>were</w:t>
      </w:r>
      <w:r w:rsidR="008F0AE8" w:rsidRPr="00DC0B2C">
        <w:t xml:space="preserve"> achieved in </w:t>
      </w:r>
      <w:r w:rsidR="00E57111">
        <w:t>these</w:t>
      </w:r>
      <w:r w:rsidR="008F0AE8" w:rsidRPr="00DC0B2C">
        <w:t xml:space="preserve"> repeat-dose toxicity stud</w:t>
      </w:r>
      <w:r w:rsidR="00E57111">
        <w:t>ies</w:t>
      </w:r>
      <w:r w:rsidR="008F0AE8" w:rsidRPr="00DC0B2C">
        <w:t>.</w:t>
      </w:r>
    </w:p>
    <w:p w14:paraId="16546843" w14:textId="549B416E" w:rsidR="002551CE" w:rsidRPr="00D41F69" w:rsidRDefault="00E01DCC" w:rsidP="008635B4">
      <w:r w:rsidRPr="00D41F69">
        <w:rPr>
          <w:i/>
        </w:rPr>
        <w:t>In vitro</w:t>
      </w:r>
      <w:r w:rsidRPr="00D41F69">
        <w:t>, landiolol inhibited the β1-receptor with</w:t>
      </w:r>
      <w:r w:rsidRPr="00977779">
        <w:t xml:space="preserve"> nanom</w:t>
      </w:r>
      <w:r w:rsidR="00DC074E">
        <w:t>o</w:t>
      </w:r>
      <w:r w:rsidRPr="00977779">
        <w:t>lar potency</w:t>
      </w:r>
      <w:r w:rsidRPr="00EA2982">
        <w:t xml:space="preserve">. </w:t>
      </w:r>
      <w:r w:rsidRPr="00D41F69">
        <w:t>Metabolites M1 and M2 were considerably less potent (</w:t>
      </w:r>
      <w:r w:rsidRPr="00977779">
        <w:t>~</w:t>
      </w:r>
      <w:r w:rsidRPr="00D41F69">
        <w:t xml:space="preserve">100-fold) than </w:t>
      </w:r>
      <w:proofErr w:type="spellStart"/>
      <w:r w:rsidRPr="00D41F69">
        <w:t>landiolol</w:t>
      </w:r>
      <w:proofErr w:type="spellEnd"/>
      <w:r w:rsidRPr="00D41F69">
        <w:t xml:space="preserve"> at the β1-receptor</w:t>
      </w:r>
      <w:r w:rsidR="002C4C2C">
        <w:t xml:space="preserve">. </w:t>
      </w:r>
      <w:proofErr w:type="spellStart"/>
      <w:r w:rsidRPr="00D41F69">
        <w:t>Landiolol</w:t>
      </w:r>
      <w:proofErr w:type="spellEnd"/>
      <w:r w:rsidRPr="00D41F69">
        <w:t xml:space="preserve"> dis</w:t>
      </w:r>
      <w:r>
        <w:t>p</w:t>
      </w:r>
      <w:r w:rsidRPr="00D41F69">
        <w:t xml:space="preserve">layed greater potency at the β1-receptor than </w:t>
      </w:r>
      <w:r>
        <w:t xml:space="preserve">for </w:t>
      </w:r>
      <w:r w:rsidRPr="00977779">
        <w:t>β2 and β3 -receptors</w:t>
      </w:r>
      <w:r w:rsidR="002C4C2C">
        <w:t xml:space="preserve">. </w:t>
      </w:r>
      <w:r w:rsidRPr="00D41F69">
        <w:rPr>
          <w:i/>
        </w:rPr>
        <w:t>In vivo</w:t>
      </w:r>
      <w:r w:rsidRPr="00D41F69">
        <w:t xml:space="preserve">, </w:t>
      </w:r>
      <w:proofErr w:type="spellStart"/>
      <w:r w:rsidRPr="00D41F69">
        <w:t>landiolol</w:t>
      </w:r>
      <w:proofErr w:type="spellEnd"/>
      <w:r w:rsidRPr="00D41F69">
        <w:t xml:space="preserve"> inhibited tachycardia induced by sympathetic electrical nerve stimulation or administration of the β1-agonist isoproterenol and improved epinephrine-induced tachycardia and low cardiac output in dogs</w:t>
      </w:r>
      <w:r w:rsidR="002C4C2C">
        <w:t xml:space="preserve">. </w:t>
      </w:r>
      <w:r w:rsidRPr="00D41F69">
        <w:t>Negative chronotropic effects of landiolol were also demonstrated in guinea pig and rabbit hearts</w:t>
      </w:r>
      <w:r w:rsidR="002C4C2C">
        <w:t xml:space="preserve">. </w:t>
      </w:r>
      <w:r w:rsidRPr="00D41F69">
        <w:t>The non</w:t>
      </w:r>
      <w:r>
        <w:t>-</w:t>
      </w:r>
      <w:r w:rsidRPr="00D41F69">
        <w:t>clinical data support the proposed clinical indication.</w:t>
      </w:r>
    </w:p>
    <w:p w14:paraId="3F308A89" w14:textId="6CFB91A6" w:rsidR="002551CE" w:rsidRDefault="00E01DCC" w:rsidP="008635B4">
      <w:pPr>
        <w:rPr>
          <w:rFonts w:eastAsia="Cambria"/>
        </w:rPr>
      </w:pPr>
      <w:r w:rsidRPr="00835BE8">
        <w:rPr>
          <w:kern w:val="2"/>
        </w:rPr>
        <w:t xml:space="preserve">Safety pharmacology studies indicated no likely pharmacologically mediated adverse effects on </w:t>
      </w:r>
      <w:r w:rsidRPr="00EF7EF1">
        <w:rPr>
          <w:kern w:val="2"/>
        </w:rPr>
        <w:t>CNS, respiratory or gastrointestinal</w:t>
      </w:r>
      <w:r w:rsidRPr="00835BE8">
        <w:rPr>
          <w:kern w:val="2"/>
        </w:rPr>
        <w:t xml:space="preserve"> function</w:t>
      </w:r>
      <w:r w:rsidR="002C4C2C">
        <w:rPr>
          <w:kern w:val="2"/>
        </w:rPr>
        <w:t xml:space="preserve">. </w:t>
      </w:r>
      <w:proofErr w:type="spellStart"/>
      <w:r w:rsidRPr="00D41F69">
        <w:t>Landiolol</w:t>
      </w:r>
      <w:proofErr w:type="spellEnd"/>
      <w:r w:rsidRPr="00D41F69">
        <w:t xml:space="preserve"> caused transient decreased spontaneous motor activity and bradypnea in rats and decreased both blood pressure and heart rate in </w:t>
      </w:r>
      <w:r>
        <w:t xml:space="preserve">anesthetised </w:t>
      </w:r>
      <w:r w:rsidRPr="00D41F69">
        <w:t>dogs</w:t>
      </w:r>
      <w:r>
        <w:t xml:space="preserve"> </w:t>
      </w:r>
      <w:r w:rsidRPr="00D41F69">
        <w:t>at clinically</w:t>
      </w:r>
      <w:r>
        <w:t xml:space="preserve"> </w:t>
      </w:r>
      <w:r w:rsidRPr="00D41F69">
        <w:t>relevant exposures</w:t>
      </w:r>
      <w:r w:rsidR="002C4C2C">
        <w:t xml:space="preserve">. </w:t>
      </w:r>
      <w:r w:rsidRPr="00D41F69">
        <w:t xml:space="preserve">In anesthetised dogs, </w:t>
      </w:r>
      <w:proofErr w:type="spellStart"/>
      <w:r w:rsidRPr="00D41F69">
        <w:t>landiolol</w:t>
      </w:r>
      <w:proofErr w:type="spellEnd"/>
      <w:r w:rsidRPr="00D41F69">
        <w:t xml:space="preserve"> </w:t>
      </w:r>
      <w:r>
        <w:t xml:space="preserve">also </w:t>
      </w:r>
      <w:r w:rsidRPr="00D41F69">
        <w:t>caused a significant prolongation of PR interval at clinically</w:t>
      </w:r>
      <w:r>
        <w:t xml:space="preserve"> </w:t>
      </w:r>
      <w:r w:rsidRPr="00D41F69">
        <w:t xml:space="preserve">relevant exposures, but there were no significant </w:t>
      </w:r>
      <w:r w:rsidRPr="00B63EC9">
        <w:t>changes in QTc</w:t>
      </w:r>
      <w:r w:rsidR="002C4C2C">
        <w:t xml:space="preserve">. </w:t>
      </w:r>
      <w:r w:rsidRPr="00B63EC9">
        <w:t>This is a known class effect of β1-blockers</w:t>
      </w:r>
      <w:r w:rsidR="002C4C2C">
        <w:t xml:space="preserve">. </w:t>
      </w:r>
      <w:r w:rsidRPr="00B63EC9">
        <w:t xml:space="preserve">No significant inhibition of </w:t>
      </w:r>
      <w:proofErr w:type="spellStart"/>
      <w:r w:rsidRPr="00B63EC9">
        <w:t>hERG</w:t>
      </w:r>
      <w:proofErr w:type="spellEnd"/>
      <w:r w:rsidRPr="00B63EC9">
        <w:t xml:space="preserve"> K+ channel tail current was observed at clinically relevant concentrations</w:t>
      </w:r>
      <w:r w:rsidR="002C4C2C">
        <w:t xml:space="preserve">. </w:t>
      </w:r>
      <w:r w:rsidRPr="00B63EC9">
        <w:rPr>
          <w:kern w:val="2"/>
        </w:rPr>
        <w:t>N</w:t>
      </w:r>
      <w:r w:rsidRPr="00B63EC9">
        <w:rPr>
          <w:rFonts w:eastAsia="Cambria"/>
        </w:rPr>
        <w:t>o adverse effects on QTc interval are predicted</w:t>
      </w:r>
      <w:r w:rsidRPr="0019546E">
        <w:rPr>
          <w:rFonts w:eastAsia="Cambria"/>
        </w:rPr>
        <w:t xml:space="preserve"> during clinical use.</w:t>
      </w:r>
    </w:p>
    <w:p w14:paraId="443F8C73" w14:textId="7B308CED" w:rsidR="002551CE" w:rsidRPr="00BD3653" w:rsidRDefault="00E01DCC" w:rsidP="008635B4">
      <w:r w:rsidRPr="00BD3653">
        <w:rPr>
          <w:kern w:val="2"/>
        </w:rPr>
        <w:t xml:space="preserve">Overall, the pharmacokinetic profile in animals was qualitatively similar to that of humans. Landiolol half-life values were similar in rats and humans but slightly longer in dogs. Plasma protein binding of landiolol was low </w:t>
      </w:r>
      <w:r w:rsidRPr="00EA2982">
        <w:rPr>
          <w:kern w:val="2"/>
        </w:rPr>
        <w:t>across all species</w:t>
      </w:r>
      <w:r w:rsidRPr="00D41F69">
        <w:rPr>
          <w:kern w:val="2"/>
        </w:rPr>
        <w:t xml:space="preserve"> (7% in humans). Tissue distribution of landiolol was limited except in tissues involved in elimination (kidney, liver, urinary bladder) and penetration into brain and reproductive organs was limited. </w:t>
      </w:r>
      <w:r w:rsidRPr="00BD3653">
        <w:t xml:space="preserve">The major enzymes involved in metabolism were carboxylesterase in rat plasma and liver and dog liver, and pseudocholinesterase in human plasma. </w:t>
      </w:r>
      <w:r w:rsidRPr="00BD3653">
        <w:rPr>
          <w:kern w:val="2"/>
        </w:rPr>
        <w:t xml:space="preserve">The main human metabolites M1 and M2 were significant metabolites in </w:t>
      </w:r>
      <w:r w:rsidR="00035B54">
        <w:rPr>
          <w:kern w:val="2"/>
        </w:rPr>
        <w:t xml:space="preserve">rats and </w:t>
      </w:r>
      <w:r w:rsidRPr="00BD3653">
        <w:rPr>
          <w:kern w:val="2"/>
        </w:rPr>
        <w:t>dogs. Drug-related material was excreted via urine and faeces with urine as the predominant route of excretion in humans and animal species.</w:t>
      </w:r>
      <w:r w:rsidRPr="00BD3653">
        <w:t xml:space="preserve"> </w:t>
      </w:r>
    </w:p>
    <w:p w14:paraId="54FBFA15" w14:textId="5FD67F89" w:rsidR="002551CE" w:rsidRDefault="00E01DCC" w:rsidP="008635B4">
      <w:pPr>
        <w:rPr>
          <w:kern w:val="2"/>
        </w:rPr>
      </w:pPr>
      <w:r w:rsidRPr="00D41F69">
        <w:rPr>
          <w:kern w:val="2"/>
        </w:rPr>
        <w:t xml:space="preserve">Landiolol is hydrolysed by pseudocholinesterase in human plasma and liver; therefore, drugs that undergo hydrolysis by pseudocholinesterase (e.g., </w:t>
      </w:r>
      <w:proofErr w:type="spellStart"/>
      <w:r w:rsidRPr="00D41F69">
        <w:rPr>
          <w:kern w:val="2"/>
        </w:rPr>
        <w:t>suxamethonium</w:t>
      </w:r>
      <w:proofErr w:type="spellEnd"/>
      <w:r w:rsidRPr="00D41F69">
        <w:rPr>
          <w:kern w:val="2"/>
        </w:rPr>
        <w:t xml:space="preserve"> chloride) may affect landiolol exposures.</w:t>
      </w:r>
      <w:r>
        <w:rPr>
          <w:kern w:val="2"/>
        </w:rPr>
        <w:t xml:space="preserve"> </w:t>
      </w:r>
      <w:r w:rsidRPr="00D41F69">
        <w:rPr>
          <w:kern w:val="2"/>
        </w:rPr>
        <w:t xml:space="preserve">Landiolol is not a </w:t>
      </w:r>
      <w:r w:rsidRPr="00976DC2">
        <w:rPr>
          <w:kern w:val="2"/>
        </w:rPr>
        <w:t>substrate for CYP450 enzymes and is</w:t>
      </w:r>
      <w:r w:rsidRPr="00D41F69">
        <w:rPr>
          <w:kern w:val="2"/>
        </w:rPr>
        <w:t xml:space="preserve"> not considered a substrate for renal transporters or for hepatic uptake transporters. Inducers/inhibitors of these enzymes and transporters are unlikely to affect landiolol exposures. Studies investigating </w:t>
      </w:r>
      <w:r w:rsidRPr="00D41F69">
        <w:rPr>
          <w:kern w:val="2"/>
        </w:rPr>
        <w:lastRenderedPageBreak/>
        <w:t xml:space="preserve">landiolol as a </w:t>
      </w:r>
      <w:r w:rsidRPr="00976DC2">
        <w:rPr>
          <w:kern w:val="2"/>
        </w:rPr>
        <w:t>substrate of P-</w:t>
      </w:r>
      <w:proofErr w:type="spellStart"/>
      <w:r w:rsidRPr="00976DC2">
        <w:rPr>
          <w:kern w:val="2"/>
        </w:rPr>
        <w:t>gp</w:t>
      </w:r>
      <w:proofErr w:type="spellEnd"/>
      <w:r w:rsidRPr="00976DC2">
        <w:rPr>
          <w:kern w:val="2"/>
        </w:rPr>
        <w:t xml:space="preserve"> and BCRP were not</w:t>
      </w:r>
      <w:r w:rsidRPr="00D41F69">
        <w:rPr>
          <w:kern w:val="2"/>
        </w:rPr>
        <w:t xml:space="preserve"> conducted. Landiolol and its metabolites M1 and M2 showed no significant inhibitory effects on the metabolic activity of cytochrome P450 enzymes (CYP 1A2, 2C9, 2C19, 2D6, and 3A4) at clinically relevant concentrations but their</w:t>
      </w:r>
      <w:r>
        <w:rPr>
          <w:kern w:val="2"/>
        </w:rPr>
        <w:t xml:space="preserve"> </w:t>
      </w:r>
      <w:r w:rsidRPr="00D41F69">
        <w:rPr>
          <w:kern w:val="2"/>
        </w:rPr>
        <w:t>induction potential of liver enzyme</w:t>
      </w:r>
      <w:r>
        <w:rPr>
          <w:kern w:val="2"/>
        </w:rPr>
        <w:t>s</w:t>
      </w:r>
      <w:r w:rsidRPr="00D41F69">
        <w:rPr>
          <w:kern w:val="2"/>
        </w:rPr>
        <w:t xml:space="preserve"> is unknown. The potential for landiolol and its metabolites M1 and M2 to inhibit transporters were not studied.</w:t>
      </w:r>
    </w:p>
    <w:p w14:paraId="18FDA593" w14:textId="4F38297F" w:rsidR="002551CE" w:rsidRPr="00D41F69" w:rsidRDefault="00E01DCC" w:rsidP="008635B4">
      <w:pPr>
        <w:rPr>
          <w:kern w:val="2"/>
        </w:rPr>
      </w:pPr>
      <w:r w:rsidRPr="009549AF">
        <w:rPr>
          <w:kern w:val="2"/>
        </w:rPr>
        <w:t xml:space="preserve">Landiolol had a </w:t>
      </w:r>
      <w:r w:rsidR="00773B95">
        <w:rPr>
          <w:kern w:val="2"/>
        </w:rPr>
        <w:t>lower</w:t>
      </w:r>
      <w:r w:rsidRPr="009549AF">
        <w:rPr>
          <w:kern w:val="2"/>
        </w:rPr>
        <w:t xml:space="preserve"> acute toxicity following IV infusion in dogs</w:t>
      </w:r>
      <w:r w:rsidR="00C86A46">
        <w:rPr>
          <w:kern w:val="2"/>
        </w:rPr>
        <w:t xml:space="preserve"> compared with IV bolus</w:t>
      </w:r>
      <w:r w:rsidR="00125D09">
        <w:rPr>
          <w:kern w:val="2"/>
        </w:rPr>
        <w:t xml:space="preserve"> dosing</w:t>
      </w:r>
      <w:r w:rsidR="00EB0419">
        <w:rPr>
          <w:kern w:val="2"/>
        </w:rPr>
        <w:t>, expectedly</w:t>
      </w:r>
      <w:r w:rsidRPr="009549AF">
        <w:rPr>
          <w:kern w:val="2"/>
        </w:rPr>
        <w:t xml:space="preserve">, whereas it had a </w:t>
      </w:r>
      <w:r w:rsidR="00337132">
        <w:rPr>
          <w:kern w:val="2"/>
        </w:rPr>
        <w:t>markedly</w:t>
      </w:r>
      <w:r w:rsidR="00337132" w:rsidRPr="009549AF">
        <w:rPr>
          <w:kern w:val="2"/>
        </w:rPr>
        <w:t xml:space="preserve"> </w:t>
      </w:r>
      <w:r w:rsidRPr="009549AF">
        <w:rPr>
          <w:kern w:val="2"/>
        </w:rPr>
        <w:t>high</w:t>
      </w:r>
      <w:r w:rsidR="00337132">
        <w:rPr>
          <w:kern w:val="2"/>
        </w:rPr>
        <w:t>er</w:t>
      </w:r>
      <w:r w:rsidRPr="009549AF">
        <w:rPr>
          <w:kern w:val="2"/>
        </w:rPr>
        <w:t xml:space="preserve"> acute toxicity following IV bolus injection in </w:t>
      </w:r>
      <w:r w:rsidR="00337132">
        <w:rPr>
          <w:kern w:val="2"/>
        </w:rPr>
        <w:t xml:space="preserve">both </w:t>
      </w:r>
      <w:r w:rsidRPr="009549AF">
        <w:rPr>
          <w:kern w:val="2"/>
        </w:rPr>
        <w:t>rats and dogs. A repeat-dose toxicity study by the clinical route (IV infusion) was conducted in dogs (4 weeks).</w:t>
      </w:r>
      <w:r w:rsidRPr="00D41F69">
        <w:rPr>
          <w:kern w:val="2"/>
        </w:rPr>
        <w:t xml:space="preserve"> </w:t>
      </w:r>
      <w:r w:rsidR="00326156">
        <w:rPr>
          <w:kern w:val="2"/>
        </w:rPr>
        <w:t>Clinical exposure levels were achieved at</w:t>
      </w:r>
      <w:r w:rsidR="00A43CC6">
        <w:rPr>
          <w:kern w:val="2"/>
        </w:rPr>
        <w:t xml:space="preserve"> </w:t>
      </w:r>
      <w:r w:rsidR="002F4DDB">
        <w:rPr>
          <w:kern w:val="2"/>
        </w:rPr>
        <w:t xml:space="preserve">mid and </w:t>
      </w:r>
      <w:r w:rsidRPr="00D41F69">
        <w:rPr>
          <w:kern w:val="2"/>
        </w:rPr>
        <w:t xml:space="preserve">highest tested dose in dogs. </w:t>
      </w:r>
      <w:r w:rsidRPr="00D10F08">
        <w:t xml:space="preserve">Adequate exposure to metabolites </w:t>
      </w:r>
      <w:r w:rsidRPr="00D10F08">
        <w:rPr>
          <w:bCs/>
        </w:rPr>
        <w:t>M1 and M2 were also achieved</w:t>
      </w:r>
      <w:r w:rsidRPr="00D10F08">
        <w:t xml:space="preserve">. </w:t>
      </w:r>
      <w:r w:rsidRPr="00D41F69">
        <w:rPr>
          <w:kern w:val="2"/>
        </w:rPr>
        <w:t xml:space="preserve">Additional repeat-dose toxicity studies using the IV bolus route were conducted in rats and dogs (up to 4 weeks) where exposure levels </w:t>
      </w:r>
      <w:r w:rsidR="001D7FA8">
        <w:rPr>
          <w:kern w:val="2"/>
        </w:rPr>
        <w:t>were not measured</w:t>
      </w:r>
      <w:r w:rsidRPr="00D41F69">
        <w:rPr>
          <w:kern w:val="2"/>
        </w:rPr>
        <w:t>. Target organ systems for toxicity were the cardiovascular (prolong</w:t>
      </w:r>
      <w:r>
        <w:rPr>
          <w:kern w:val="2"/>
        </w:rPr>
        <w:t>ed</w:t>
      </w:r>
      <w:r w:rsidRPr="00D41F69">
        <w:rPr>
          <w:kern w:val="2"/>
        </w:rPr>
        <w:t xml:space="preserve"> PR interval), nervous (tremor), haematological (decreased RBC count, haematocrit and haemoglobin) and gastrointestinal (vomiting, nausea, diarrhea) systems.</w:t>
      </w:r>
    </w:p>
    <w:p w14:paraId="55C5CA99" w14:textId="1092331D" w:rsidR="002551CE" w:rsidRPr="000338AA" w:rsidRDefault="00E01DCC" w:rsidP="008635B4">
      <w:pPr>
        <w:rPr>
          <w:kern w:val="2"/>
        </w:rPr>
      </w:pPr>
      <w:r w:rsidRPr="00543357">
        <w:rPr>
          <w:kern w:val="2"/>
        </w:rPr>
        <w:t xml:space="preserve">Landiolol was not mutagenic in </w:t>
      </w:r>
      <w:r w:rsidRPr="00543357">
        <w:t xml:space="preserve">a bacterial mutagenicity assay </w:t>
      </w:r>
      <w:r w:rsidRPr="00543357">
        <w:rPr>
          <w:i/>
        </w:rPr>
        <w:t xml:space="preserve">in vitro, </w:t>
      </w:r>
      <w:r w:rsidRPr="00543357">
        <w:t>or chromosomal aberration assays</w:t>
      </w:r>
      <w:r w:rsidRPr="00543357">
        <w:rPr>
          <w:i/>
        </w:rPr>
        <w:t xml:space="preserve"> in vitro </w:t>
      </w:r>
      <w:r w:rsidRPr="00543357">
        <w:t xml:space="preserve">(lymphoma cells) or </w:t>
      </w:r>
      <w:r w:rsidRPr="00543357">
        <w:rPr>
          <w:i/>
        </w:rPr>
        <w:t>in vivo</w:t>
      </w:r>
      <w:r w:rsidRPr="00543357">
        <w:t xml:space="preserve"> (mouse and rat bone marrow</w:t>
      </w:r>
      <w:r w:rsidRPr="000338AA">
        <w:t>)</w:t>
      </w:r>
      <w:r w:rsidR="002C4C2C">
        <w:t xml:space="preserve">. </w:t>
      </w:r>
      <w:r w:rsidRPr="000338AA">
        <w:rPr>
          <w:kern w:val="2"/>
        </w:rPr>
        <w:t>No carcinogenicity studies were conducted, which is considered acceptable.</w:t>
      </w:r>
    </w:p>
    <w:p w14:paraId="1FFA3364" w14:textId="46F2B78B" w:rsidR="002551CE" w:rsidRPr="00D41F69" w:rsidRDefault="00E01DCC" w:rsidP="008635B4">
      <w:r w:rsidRPr="00D41F69">
        <w:t>Fertility was unaffected in male and female rats treated with landiolol at subclinical exposure levels. A decrease in placental weights, a significant decrease in the day-4 survival rate, and an increased incidence of unossified talus, were observed in rats receiving ≥50 mg/kg/day landiolol (~0.35 times the clinical AUC) during pregnancy. Decreases in the day-4 survival rate, suppression of body weight gain during the lactation period, decreased number of ossified phalanges and increased incidence of unossified talus in pups culled on postpartum day 4 were evident in pups of rats treated with landiolol during pregnancy and lactation</w:t>
      </w:r>
      <w:r w:rsidR="002C4C2C">
        <w:t xml:space="preserve">. </w:t>
      </w:r>
      <w:proofErr w:type="spellStart"/>
      <w:r w:rsidRPr="00D41F69">
        <w:t>Landiolol</w:t>
      </w:r>
      <w:proofErr w:type="spellEnd"/>
      <w:r w:rsidRPr="00D41F69">
        <w:t xml:space="preserve"> was not teratogenic in either rats or rabbits</w:t>
      </w:r>
      <w:r w:rsidR="002C4C2C">
        <w:t xml:space="preserve">. </w:t>
      </w:r>
      <w:proofErr w:type="spellStart"/>
      <w:r w:rsidRPr="00D41F69">
        <w:t>Landiolol</w:t>
      </w:r>
      <w:proofErr w:type="spellEnd"/>
      <w:r w:rsidRPr="00D41F69">
        <w:t xml:space="preserve"> was shown to cross the placenta and drug-related material was detected in the milk of lactating rats (up to 70% of maternal plasma levels). </w:t>
      </w:r>
      <w:r>
        <w:t xml:space="preserve">Pregnancy category C, as proposed by the Sponsor, is supported. </w:t>
      </w:r>
    </w:p>
    <w:p w14:paraId="6FFCD220" w14:textId="07129641" w:rsidR="002551CE" w:rsidRPr="00946E05" w:rsidRDefault="00E01DCC" w:rsidP="008635B4">
      <w:pPr>
        <w:rPr>
          <w:kern w:val="2"/>
        </w:rPr>
      </w:pPr>
      <w:r w:rsidRPr="00543357">
        <w:t xml:space="preserve">Landiolol did not cause haemolysis in </w:t>
      </w:r>
      <w:r w:rsidRPr="00543357">
        <w:rPr>
          <w:szCs w:val="22"/>
        </w:rPr>
        <w:t>rat and human blood,</w:t>
      </w:r>
      <w:r w:rsidRPr="00543357">
        <w:t xml:space="preserve"> did not cause any significant local irritation in rabbits after IV and </w:t>
      </w:r>
      <w:proofErr w:type="spellStart"/>
      <w:r w:rsidRPr="00543357">
        <w:t>paravenous</w:t>
      </w:r>
      <w:proofErr w:type="spellEnd"/>
      <w:r w:rsidRPr="00543357">
        <w:t xml:space="preserve"> routes, and is not expected to be phototoxic.</w:t>
      </w:r>
      <w:r w:rsidR="000B1080">
        <w:t xml:space="preserve"> </w:t>
      </w:r>
      <w:r w:rsidRPr="002B746B">
        <w:rPr>
          <w:kern w:val="2"/>
        </w:rPr>
        <w:t>The</w:t>
      </w:r>
      <w:r w:rsidRPr="00946E05">
        <w:rPr>
          <w:kern w:val="2"/>
        </w:rPr>
        <w:t xml:space="preserve"> proposed limit for six impurities in the drug product has been adequately qualified by submitted toxicity data.</w:t>
      </w:r>
    </w:p>
    <w:p w14:paraId="511615AD" w14:textId="7DAF8C48" w:rsidR="002551CE" w:rsidRDefault="00E01DCC" w:rsidP="008635B4">
      <w:pPr>
        <w:rPr>
          <w:i/>
          <w:color w:val="7295D2" w:themeColor="accent1" w:themeTint="BF"/>
        </w:rPr>
      </w:pPr>
      <w:r w:rsidRPr="006F5600">
        <w:rPr>
          <w:kern w:val="2"/>
        </w:rPr>
        <w:t xml:space="preserve">There </w:t>
      </w:r>
      <w:r>
        <w:rPr>
          <w:kern w:val="2"/>
        </w:rPr>
        <w:t>is</w:t>
      </w:r>
      <w:r w:rsidRPr="006F5600">
        <w:rPr>
          <w:kern w:val="2"/>
        </w:rPr>
        <w:t xml:space="preserve"> no non</w:t>
      </w:r>
      <w:r>
        <w:rPr>
          <w:kern w:val="2"/>
        </w:rPr>
        <w:t>-</w:t>
      </w:r>
      <w:r w:rsidRPr="006F5600">
        <w:rPr>
          <w:kern w:val="2"/>
        </w:rPr>
        <w:t xml:space="preserve">clinical objection to the registration of </w:t>
      </w:r>
      <w:r>
        <w:rPr>
          <w:kern w:val="2"/>
        </w:rPr>
        <w:t>Rapiblyk, subject to resolution of outstanding comments from the non-clinical evaluation</w:t>
      </w:r>
      <w:r w:rsidR="00C1493A">
        <w:rPr>
          <w:kern w:val="2"/>
        </w:rPr>
        <w:t>.</w:t>
      </w:r>
    </w:p>
    <w:p w14:paraId="35B580A5" w14:textId="40B226DC" w:rsidR="00C22214" w:rsidRDefault="00E01DCC" w:rsidP="008804CF">
      <w:pPr>
        <w:pStyle w:val="Heading3"/>
      </w:pPr>
      <w:bookmarkStart w:id="41" w:name="_Toc247691530"/>
      <w:bookmarkStart w:id="42" w:name="_Toc314842513"/>
      <w:bookmarkStart w:id="43" w:name="_Toc103679297"/>
      <w:bookmarkStart w:id="44" w:name="_Toc221110964"/>
      <w:r>
        <w:t>Clinical</w:t>
      </w:r>
      <w:bookmarkEnd w:id="41"/>
      <w:bookmarkEnd w:id="42"/>
      <w:bookmarkEnd w:id="43"/>
      <w:r w:rsidR="00095C6A">
        <w:t xml:space="preserve"> evaluation summary</w:t>
      </w:r>
      <w:bookmarkEnd w:id="44"/>
    </w:p>
    <w:p w14:paraId="32B0DEDA" w14:textId="77777777" w:rsidR="00C22214" w:rsidRPr="00433318" w:rsidRDefault="00E01DCC" w:rsidP="00433318">
      <w:pPr>
        <w:pStyle w:val="Heading4"/>
      </w:pPr>
      <w:bookmarkStart w:id="45" w:name="_Toc98931928"/>
      <w:bookmarkStart w:id="46" w:name="_Toc221110965"/>
      <w:r>
        <w:t>Summary of clinical studies</w:t>
      </w:r>
      <w:bookmarkEnd w:id="45"/>
      <w:bookmarkEnd w:id="46"/>
    </w:p>
    <w:p w14:paraId="1C933C40" w14:textId="06D3BCBC" w:rsidR="000E7A0D" w:rsidRPr="000E7A0D" w:rsidRDefault="00E01DCC" w:rsidP="000E7A0D">
      <w:pPr>
        <w:rPr>
          <w:szCs w:val="22"/>
        </w:rPr>
      </w:pPr>
      <w:r w:rsidRPr="000E7A0D">
        <w:rPr>
          <w:szCs w:val="22"/>
        </w:rPr>
        <w:t xml:space="preserve">The clinical </w:t>
      </w:r>
      <w:r w:rsidR="00C905A4">
        <w:rPr>
          <w:szCs w:val="22"/>
        </w:rPr>
        <w:t xml:space="preserve">dossier </w:t>
      </w:r>
      <w:r w:rsidRPr="000E7A0D">
        <w:rPr>
          <w:szCs w:val="22"/>
        </w:rPr>
        <w:t xml:space="preserve">comprises </w:t>
      </w:r>
      <w:r w:rsidR="00A23657">
        <w:rPr>
          <w:szCs w:val="22"/>
        </w:rPr>
        <w:t xml:space="preserve">of </w:t>
      </w:r>
      <w:r w:rsidRPr="000E7A0D">
        <w:rPr>
          <w:szCs w:val="22"/>
        </w:rPr>
        <w:t xml:space="preserve">published data on the pharmacology, efficacy and safety of </w:t>
      </w:r>
      <w:proofErr w:type="spellStart"/>
      <w:r w:rsidRPr="000E7A0D">
        <w:rPr>
          <w:szCs w:val="22"/>
        </w:rPr>
        <w:t>landiolol</w:t>
      </w:r>
      <w:proofErr w:type="spellEnd"/>
      <w:r w:rsidRPr="000E7A0D">
        <w:rPr>
          <w:szCs w:val="22"/>
        </w:rPr>
        <w:t xml:space="preserve"> (</w:t>
      </w:r>
      <w:proofErr w:type="spellStart"/>
      <w:r w:rsidRPr="000E7A0D">
        <w:rPr>
          <w:szCs w:val="22"/>
        </w:rPr>
        <w:t>Onoact</w:t>
      </w:r>
      <w:proofErr w:type="spellEnd"/>
      <w:r w:rsidRPr="000E7A0D">
        <w:rPr>
          <w:szCs w:val="22"/>
        </w:rPr>
        <w:t xml:space="preserve">) plus four AOP-sponsored </w:t>
      </w:r>
      <w:r w:rsidR="00115418">
        <w:rPr>
          <w:szCs w:val="22"/>
        </w:rPr>
        <w:t>p</w:t>
      </w:r>
      <w:r w:rsidR="00AD4E3B" w:rsidRPr="00AD4E3B">
        <w:rPr>
          <w:szCs w:val="22"/>
        </w:rPr>
        <w:t>harmacokinetic</w:t>
      </w:r>
      <w:r w:rsidR="00E37131">
        <w:rPr>
          <w:szCs w:val="22"/>
        </w:rPr>
        <w:t xml:space="preserve"> (PK)</w:t>
      </w:r>
      <w:r w:rsidRPr="000E7A0D">
        <w:rPr>
          <w:szCs w:val="22"/>
        </w:rPr>
        <w:t>/</w:t>
      </w:r>
      <w:r w:rsidR="00D82FF5">
        <w:rPr>
          <w:szCs w:val="22"/>
        </w:rPr>
        <w:t xml:space="preserve"> </w:t>
      </w:r>
      <w:r w:rsidR="00115418">
        <w:rPr>
          <w:iCs/>
          <w:szCs w:val="22"/>
        </w:rPr>
        <w:t>p</w:t>
      </w:r>
      <w:r w:rsidR="00D82FF5" w:rsidRPr="00E83A7B">
        <w:rPr>
          <w:iCs/>
          <w:szCs w:val="22"/>
        </w:rPr>
        <w:t>harmacodynamic</w:t>
      </w:r>
      <w:r w:rsidR="00D82FF5" w:rsidRPr="00D82FF5">
        <w:rPr>
          <w:iCs/>
          <w:szCs w:val="22"/>
        </w:rPr>
        <w:t xml:space="preserve"> </w:t>
      </w:r>
      <w:r w:rsidR="00E37131">
        <w:rPr>
          <w:iCs/>
          <w:szCs w:val="22"/>
        </w:rPr>
        <w:t xml:space="preserve">(PD) </w:t>
      </w:r>
      <w:r w:rsidRPr="000E7A0D">
        <w:rPr>
          <w:szCs w:val="22"/>
        </w:rPr>
        <w:t>studies (</w:t>
      </w:r>
      <w:r w:rsidR="00115418">
        <w:rPr>
          <w:szCs w:val="22"/>
        </w:rPr>
        <w:t xml:space="preserve">Table </w:t>
      </w:r>
      <w:r w:rsidR="00795934">
        <w:rPr>
          <w:szCs w:val="22"/>
        </w:rPr>
        <w:t>2</w:t>
      </w:r>
      <w:r w:rsidRPr="000E7A0D">
        <w:rPr>
          <w:szCs w:val="22"/>
        </w:rPr>
        <w:t xml:space="preserve">) and one physiology-based pharmacokinetic (PBPK) modelling study. </w:t>
      </w:r>
      <w:proofErr w:type="spellStart"/>
      <w:r w:rsidRPr="000E7A0D">
        <w:rPr>
          <w:szCs w:val="22"/>
        </w:rPr>
        <w:t>Rapiblyk</w:t>
      </w:r>
      <w:proofErr w:type="spellEnd"/>
      <w:r w:rsidRPr="000E7A0D">
        <w:rPr>
          <w:szCs w:val="22"/>
        </w:rPr>
        <w:t xml:space="preserve"> and </w:t>
      </w:r>
      <w:proofErr w:type="spellStart"/>
      <w:r w:rsidRPr="000E7A0D">
        <w:rPr>
          <w:szCs w:val="22"/>
        </w:rPr>
        <w:t>Onoact</w:t>
      </w:r>
      <w:proofErr w:type="spellEnd"/>
      <w:r w:rsidRPr="000E7A0D">
        <w:rPr>
          <w:szCs w:val="22"/>
        </w:rPr>
        <w:t xml:space="preserve"> share the same active pharmaceutical ingredient (API</w:t>
      </w:r>
      <w:r w:rsidR="0007306C">
        <w:rPr>
          <w:szCs w:val="22"/>
        </w:rPr>
        <w:t>)</w:t>
      </w:r>
      <w:r w:rsidRPr="000E7A0D">
        <w:rPr>
          <w:szCs w:val="22"/>
        </w:rPr>
        <w:t xml:space="preserve"> and are administered by intravenous infusion after </w:t>
      </w:r>
      <w:r w:rsidRPr="00F9441D">
        <w:rPr>
          <w:szCs w:val="22"/>
        </w:rPr>
        <w:t>reconstitution as simple</w:t>
      </w:r>
      <w:r w:rsidRPr="000E7A0D">
        <w:rPr>
          <w:szCs w:val="22"/>
        </w:rPr>
        <w:t xml:space="preserve"> solutions</w:t>
      </w:r>
      <w:r w:rsidR="002C4C2C">
        <w:rPr>
          <w:szCs w:val="22"/>
        </w:rPr>
        <w:t xml:space="preserve">. </w:t>
      </w:r>
      <w:r w:rsidRPr="000E7A0D">
        <w:rPr>
          <w:szCs w:val="22"/>
        </w:rPr>
        <w:t xml:space="preserve">The formulation of </w:t>
      </w:r>
      <w:proofErr w:type="spellStart"/>
      <w:r w:rsidRPr="000E7A0D">
        <w:rPr>
          <w:szCs w:val="22"/>
        </w:rPr>
        <w:t>Rapiblyk</w:t>
      </w:r>
      <w:proofErr w:type="spellEnd"/>
      <w:r w:rsidRPr="000E7A0D">
        <w:rPr>
          <w:szCs w:val="22"/>
        </w:rPr>
        <w:t xml:space="preserve"> is the same as the Landiolol lyophilizate 600 mg formulation used in the clinical studies, except for the amount of API</w:t>
      </w:r>
      <w:r w:rsidR="002C4C2C">
        <w:rPr>
          <w:szCs w:val="22"/>
        </w:rPr>
        <w:t xml:space="preserve">. </w:t>
      </w:r>
    </w:p>
    <w:p w14:paraId="1E67EA6B" w14:textId="0FEAED57" w:rsidR="00123A2B" w:rsidRDefault="00E01DCC" w:rsidP="00115418">
      <w:pPr>
        <w:pStyle w:val="TableTitle"/>
      </w:pPr>
      <w:bookmarkStart w:id="47" w:name="_Ref181880839"/>
      <w:r>
        <w:lastRenderedPageBreak/>
        <w:t xml:space="preserve">Table </w:t>
      </w:r>
      <w:bookmarkEnd w:id="47"/>
      <w:r w:rsidR="00795934">
        <w:t>2</w:t>
      </w:r>
      <w:r w:rsidR="000B57F0">
        <w:t>:</w:t>
      </w:r>
      <w:r>
        <w:t xml:space="preserve"> </w:t>
      </w:r>
      <w:r w:rsidRPr="00386AAD">
        <w:t>Overview of AOP-sponsored studies with Landiolol</w:t>
      </w:r>
    </w:p>
    <w:p w14:paraId="4AC6F68A" w14:textId="2E8BFDBD" w:rsidR="000B1080" w:rsidRDefault="00E01DCC" w:rsidP="00812334">
      <w:r>
        <w:rPr>
          <w:noProof/>
        </w:rPr>
        <w:drawing>
          <wp:inline distT="0" distB="0" distL="0" distR="0" wp14:anchorId="2D268504" wp14:editId="3A19F47B">
            <wp:extent cx="4138055" cy="4460682"/>
            <wp:effectExtent l="0" t="0" r="0" b="0"/>
            <wp:docPr id="269098887" name="Picture 2" descr="Table 2: Overview of AOP-sponsored studies with Landio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98887" name="Picture 2" descr="Table 2: Overview of AOP-sponsored studies with Landiolol"/>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44211" cy="4467318"/>
                    </a:xfrm>
                    <a:prstGeom prst="rect">
                      <a:avLst/>
                    </a:prstGeom>
                    <a:noFill/>
                  </pic:spPr>
                </pic:pic>
              </a:graphicData>
            </a:graphic>
          </wp:inline>
        </w:drawing>
      </w:r>
    </w:p>
    <w:p w14:paraId="2B1295C2" w14:textId="77777777" w:rsidR="00812334" w:rsidRDefault="00E01DCC" w:rsidP="00812334">
      <w:pPr>
        <w:pStyle w:val="TableDescription"/>
      </w:pPr>
      <w:r w:rsidRPr="00E87E28">
        <w:t>AF=atrial fibrillation, AFl=atrial flutter, f=female, m=male, N=number of subjects.</w:t>
      </w:r>
      <w:r w:rsidR="00812334">
        <w:t xml:space="preserve"> </w:t>
      </w:r>
      <w:bookmarkStart w:id="48" w:name="_Toc221110966"/>
    </w:p>
    <w:p w14:paraId="0840F560" w14:textId="329F79DB" w:rsidR="0051404B" w:rsidRPr="0051404B" w:rsidRDefault="00E01DCC" w:rsidP="00812334">
      <w:pPr>
        <w:pStyle w:val="Heading4"/>
        <w:keepNext w:val="0"/>
        <w:keepLines w:val="0"/>
      </w:pPr>
      <w:r>
        <w:t>P</w:t>
      </w:r>
      <w:r w:rsidRPr="0051404B">
        <w:t>harmacology</w:t>
      </w:r>
      <w:bookmarkEnd w:id="48"/>
    </w:p>
    <w:p w14:paraId="3F122B95" w14:textId="77777777" w:rsidR="0051404B" w:rsidRPr="0051404B" w:rsidRDefault="00E01DCC" w:rsidP="00812334">
      <w:pPr>
        <w:pStyle w:val="Heading5"/>
        <w:keepNext w:val="0"/>
        <w:keepLines w:val="0"/>
        <w:rPr>
          <w:rFonts w:eastAsia="Cambria"/>
        </w:rPr>
      </w:pPr>
      <w:r w:rsidRPr="0051404B">
        <w:rPr>
          <w:rFonts w:eastAsia="Cambria"/>
        </w:rPr>
        <w:t>Pharmacokinetics (PK)</w:t>
      </w:r>
    </w:p>
    <w:p w14:paraId="371EC673" w14:textId="038FA13F" w:rsidR="0051404B" w:rsidRPr="0051404B" w:rsidRDefault="00E01DCC" w:rsidP="00812334">
      <w:pPr>
        <w:widowControl w:val="0"/>
      </w:pPr>
      <w:r w:rsidRPr="0051404B">
        <w:t xml:space="preserve">The PK of landiolol following IV administration was evaluated in four AOP-sponsored studies and six published studies with </w:t>
      </w:r>
      <w:proofErr w:type="spellStart"/>
      <w:r w:rsidRPr="0051404B">
        <w:t>Onoact</w:t>
      </w:r>
      <w:proofErr w:type="spellEnd"/>
      <w:r w:rsidR="00443C88">
        <w:t>.</w:t>
      </w:r>
      <w:r>
        <w:rPr>
          <w:rStyle w:val="FootnoteReference"/>
        </w:rPr>
        <w:footnoteReference w:id="3"/>
      </w:r>
      <w:r w:rsidR="006E2A5F" w:rsidRPr="006E2A5F">
        <w:rPr>
          <w:vertAlign w:val="superscript"/>
        </w:rPr>
        <w:t>,</w:t>
      </w:r>
      <w:r>
        <w:rPr>
          <w:rStyle w:val="FootnoteReference"/>
        </w:rPr>
        <w:footnoteReference w:id="4"/>
      </w:r>
      <w:r w:rsidR="006E2A5F" w:rsidRPr="006E2A5F">
        <w:rPr>
          <w:vertAlign w:val="superscript"/>
        </w:rPr>
        <w:t>,</w:t>
      </w:r>
      <w:r>
        <w:rPr>
          <w:rStyle w:val="FootnoteReference"/>
        </w:rPr>
        <w:footnoteReference w:id="5"/>
      </w:r>
      <w:r w:rsidR="00016594" w:rsidRPr="00443C88">
        <w:rPr>
          <w:vertAlign w:val="superscript"/>
        </w:rPr>
        <w:t>,</w:t>
      </w:r>
      <w:r>
        <w:rPr>
          <w:rStyle w:val="FootnoteReference"/>
        </w:rPr>
        <w:footnoteReference w:id="6"/>
      </w:r>
      <w:r w:rsidR="00443C88" w:rsidRPr="00443C88">
        <w:rPr>
          <w:vertAlign w:val="superscript"/>
        </w:rPr>
        <w:t>,</w:t>
      </w:r>
      <w:r>
        <w:rPr>
          <w:rStyle w:val="FootnoteReference"/>
        </w:rPr>
        <w:footnoteReference w:id="7"/>
      </w:r>
      <w:r w:rsidR="00443C88" w:rsidRPr="00443C88">
        <w:rPr>
          <w:vertAlign w:val="superscript"/>
        </w:rPr>
        <w:t>,</w:t>
      </w:r>
      <w:r>
        <w:rPr>
          <w:rStyle w:val="FootnoteReference"/>
        </w:rPr>
        <w:footnoteReference w:id="8"/>
      </w:r>
      <w:r w:rsidRPr="0051404B">
        <w:t xml:space="preserve">  The lack of a study directly comparing the PK of </w:t>
      </w:r>
      <w:proofErr w:type="spellStart"/>
      <w:r w:rsidRPr="0051404B">
        <w:lastRenderedPageBreak/>
        <w:t>Rapiblyk</w:t>
      </w:r>
      <w:proofErr w:type="spellEnd"/>
      <w:r w:rsidRPr="0051404B">
        <w:t xml:space="preserve"> and </w:t>
      </w:r>
      <w:proofErr w:type="spellStart"/>
      <w:r w:rsidRPr="0051404B">
        <w:t>Onoact</w:t>
      </w:r>
      <w:proofErr w:type="spellEnd"/>
      <w:r w:rsidRPr="0051404B">
        <w:t xml:space="preserve"> is supported by regulatory guidance.</w:t>
      </w:r>
      <w:r>
        <w:rPr>
          <w:vertAlign w:val="superscript"/>
        </w:rPr>
        <w:footnoteReference w:id="9"/>
      </w:r>
    </w:p>
    <w:p w14:paraId="32B00305" w14:textId="63E0DE53" w:rsidR="0051404B" w:rsidRPr="0051404B" w:rsidRDefault="00E01DCC" w:rsidP="0051404B">
      <w:r w:rsidRPr="0051404B">
        <w:t xml:space="preserve">Three AOP-sponsored Phase 1 studies evaluated the PK of landiolol and its two inactive metabolites, M1 and M2, in healthy </w:t>
      </w:r>
      <w:r w:rsidR="00A9002C">
        <w:t>c</w:t>
      </w:r>
      <w:r w:rsidRPr="0051404B">
        <w:t xml:space="preserve">aucasian subjects, and the Phase 2 </w:t>
      </w:r>
      <w:r w:rsidRPr="0051404B">
        <w:rPr>
          <w:iCs/>
        </w:rPr>
        <w:t>Study LDLL600.201</w:t>
      </w:r>
      <w:r w:rsidRPr="0051404B">
        <w:t xml:space="preserve"> evaluated the PK of landiolol in </w:t>
      </w:r>
      <w:r w:rsidR="00A9002C">
        <w:t>c</w:t>
      </w:r>
      <w:r w:rsidRPr="0051404B">
        <w:t>aucasian patients with</w:t>
      </w:r>
      <w:r w:rsidR="00C46CF7" w:rsidRPr="00C46CF7">
        <w:t xml:space="preserve"> atrial fibrillation</w:t>
      </w:r>
      <w:r w:rsidRPr="0051404B">
        <w:t xml:space="preserve"> </w:t>
      </w:r>
      <w:r w:rsidR="00C46CF7">
        <w:t>(</w:t>
      </w:r>
      <w:r w:rsidRPr="0051404B">
        <w:t>AF</w:t>
      </w:r>
      <w:r w:rsidR="00C46CF7">
        <w:t>)</w:t>
      </w:r>
      <w:r w:rsidRPr="0051404B">
        <w:t xml:space="preserve"> or </w:t>
      </w:r>
      <w:r w:rsidR="00C46CF7">
        <w:t>atrial flutter (</w:t>
      </w:r>
      <w:r w:rsidRPr="0051404B">
        <w:t>AFl</w:t>
      </w:r>
      <w:r w:rsidR="00C46CF7">
        <w:t>)</w:t>
      </w:r>
      <w:r w:rsidRPr="0051404B">
        <w:t xml:space="preserve">. </w:t>
      </w:r>
    </w:p>
    <w:p w14:paraId="2570971B" w14:textId="201F9377" w:rsidR="0051404B" w:rsidRPr="0051404B" w:rsidRDefault="00E01DCC" w:rsidP="0051404B">
      <w:r w:rsidRPr="0051404B">
        <w:rPr>
          <w:iCs/>
        </w:rPr>
        <w:t>Study CPA368-10</w:t>
      </w:r>
      <w:r w:rsidRPr="0051404B">
        <w:t xml:space="preserve"> compared the PK of </w:t>
      </w:r>
      <w:proofErr w:type="spellStart"/>
      <w:r w:rsidRPr="0051404B">
        <w:t>landiolol</w:t>
      </w:r>
      <w:proofErr w:type="spellEnd"/>
      <w:r w:rsidRPr="0051404B">
        <w:t xml:space="preserve"> (</w:t>
      </w:r>
      <w:proofErr w:type="spellStart"/>
      <w:r w:rsidRPr="0051404B">
        <w:t>Onoact</w:t>
      </w:r>
      <w:proofErr w:type="spellEnd"/>
      <w:r w:rsidRPr="0051404B">
        <w:t>) and esmolol</w:t>
      </w:r>
      <w:r w:rsidR="002C4C2C">
        <w:t xml:space="preserve">. </w:t>
      </w:r>
      <w:r w:rsidRPr="0051404B">
        <w:t>Maximum blood concentrations were higher for landiolol than for esmolol (191 and 162 ng/mL, respectively), and were reached at 36 and 24 minutes, respectively. Both products had a short t</w:t>
      </w:r>
      <w:r w:rsidRPr="0051404B">
        <w:rPr>
          <w:vertAlign w:val="subscript"/>
        </w:rPr>
        <w:t xml:space="preserve">1/2 </w:t>
      </w:r>
      <w:r w:rsidRPr="0051404B">
        <w:t>(3.5 and 3.7 minutes, respectively)</w:t>
      </w:r>
      <w:r w:rsidR="002C4C2C">
        <w:t xml:space="preserve">. </w:t>
      </w:r>
    </w:p>
    <w:p w14:paraId="6B61BACD" w14:textId="373B5AB8" w:rsidR="0051404B" w:rsidRPr="0051404B" w:rsidRDefault="00E01DCC" w:rsidP="0051404B">
      <w:pPr>
        <w:rPr>
          <w:iCs/>
        </w:rPr>
      </w:pPr>
      <w:r w:rsidRPr="0051404B">
        <w:rPr>
          <w:iCs/>
        </w:rPr>
        <w:t>Study CPA410-12</w:t>
      </w:r>
      <w:r w:rsidRPr="0051404B">
        <w:t xml:space="preserve"> showed that comparable exposure to landiolol was achieved following bolus administration of Landiolol concentrate 20 mg and </w:t>
      </w:r>
      <w:proofErr w:type="spellStart"/>
      <w:r w:rsidRPr="0051404B">
        <w:t>Onoact</w:t>
      </w:r>
      <w:proofErr w:type="spellEnd"/>
      <w:r w:rsidRPr="0051404B">
        <w:t xml:space="preserve"> (</w:t>
      </w:r>
      <w:r w:rsidR="00A237A2">
        <w:t xml:space="preserve">Table </w:t>
      </w:r>
      <w:r w:rsidR="00A1716C">
        <w:t>3</w:t>
      </w:r>
      <w:r w:rsidRPr="0051404B">
        <w:t>)</w:t>
      </w:r>
      <w:r w:rsidRPr="0051404B">
        <w:rPr>
          <w:iCs/>
        </w:rPr>
        <w:t>.</w:t>
      </w:r>
    </w:p>
    <w:p w14:paraId="2BF4521F" w14:textId="4D3D7901" w:rsidR="00E04F56" w:rsidRPr="00E04F56" w:rsidRDefault="00E01DCC" w:rsidP="00A237A2">
      <w:pPr>
        <w:pStyle w:val="TableTitle"/>
      </w:pPr>
      <w:bookmarkStart w:id="49" w:name="_Ref190938605"/>
      <w:r w:rsidRPr="00E04F56">
        <w:t xml:space="preserve">Table </w:t>
      </w:r>
      <w:bookmarkEnd w:id="49"/>
      <w:r w:rsidR="00A1716C">
        <w:t>3</w:t>
      </w:r>
      <w:r w:rsidR="000B57F0">
        <w:t>:</w:t>
      </w:r>
      <w:r w:rsidRPr="00E04F56">
        <w:t xml:space="preserve"> PK parameters of Landiolol (Landiolol concentrate 20 mg [LDL202] versus </w:t>
      </w:r>
      <w:proofErr w:type="spellStart"/>
      <w:r w:rsidRPr="00E04F56">
        <w:t>Onoact</w:t>
      </w:r>
      <w:proofErr w:type="spellEnd"/>
      <w:r w:rsidRPr="00E04F56">
        <w:t>) in study CPA410-12 (PK population)</w:t>
      </w:r>
    </w:p>
    <w:p w14:paraId="3BEA4BD0" w14:textId="7CBE66A5" w:rsidR="00E04F56" w:rsidRDefault="00E01DCC" w:rsidP="0051404B">
      <w:r>
        <w:rPr>
          <w:noProof/>
        </w:rPr>
        <w:drawing>
          <wp:inline distT="0" distB="0" distL="0" distR="0" wp14:anchorId="0C626416" wp14:editId="50E7EE93">
            <wp:extent cx="5479220" cy="2143125"/>
            <wp:effectExtent l="0" t="0" r="7620" b="0"/>
            <wp:docPr id="1084797315" name="Picture 1" descr="Table 3: PK parameters of Landiolol (Landiolol concentrate 20 mg [LDL202] versus Onoact) in study CPA410-12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97315" name="Picture 1" descr="Table 3: PK parameters of Landiolol (Landiolol concentrate 20 mg [LDL202] versus Onoact) in study CPA410-12 (PK population)"/>
                    <pic:cNvPicPr/>
                  </pic:nvPicPr>
                  <pic:blipFill>
                    <a:blip r:embed="rId24"/>
                    <a:stretch>
                      <a:fillRect/>
                    </a:stretch>
                  </pic:blipFill>
                  <pic:spPr>
                    <a:xfrm>
                      <a:off x="0" y="0"/>
                      <a:ext cx="5589963" cy="2186441"/>
                    </a:xfrm>
                    <a:prstGeom prst="rect">
                      <a:avLst/>
                    </a:prstGeom>
                  </pic:spPr>
                </pic:pic>
              </a:graphicData>
            </a:graphic>
          </wp:inline>
        </w:drawing>
      </w:r>
    </w:p>
    <w:p w14:paraId="0026BB4D" w14:textId="35A942EE" w:rsidR="00036CB1" w:rsidRPr="00036CB1" w:rsidRDefault="00E01DCC" w:rsidP="00812334">
      <w:pPr>
        <w:pStyle w:val="TableDescription"/>
      </w:pPr>
      <w:r w:rsidRPr="00036CB1">
        <w:t xml:space="preserve">concentration curve from time zero to infinity, CL=clearance, </w:t>
      </w:r>
      <w:proofErr w:type="spellStart"/>
      <w:r w:rsidRPr="00036CB1">
        <w:t>Cmax</w:t>
      </w:r>
      <w:proofErr w:type="spellEnd"/>
      <w:r w:rsidRPr="00036CB1">
        <w:t xml:space="preserve">=maximum concentration, N=number of subjects, PK=pharmacokinetic, SD=standard deviation, t1/2 =half-life, </w:t>
      </w:r>
      <w:proofErr w:type="spellStart"/>
      <w:r w:rsidRPr="00036CB1">
        <w:t>tmax</w:t>
      </w:r>
      <w:proofErr w:type="spellEnd"/>
      <w:r w:rsidRPr="00036CB1">
        <w:t xml:space="preserve">=time to </w:t>
      </w:r>
      <w:proofErr w:type="spellStart"/>
      <w:r w:rsidRPr="00036CB1">
        <w:t>Cmax</w:t>
      </w:r>
      <w:proofErr w:type="spellEnd"/>
      <w:r w:rsidRPr="00036CB1">
        <w:t xml:space="preserve">, </w:t>
      </w:r>
      <w:proofErr w:type="spellStart"/>
      <w:r w:rsidRPr="00036CB1">
        <w:t>Vd</w:t>
      </w:r>
      <w:proofErr w:type="spellEnd"/>
      <w:r w:rsidRPr="00036CB1">
        <w:t>=volume of distribution</w:t>
      </w:r>
      <w:r w:rsidR="002C4C2C">
        <w:t xml:space="preserve">. </w:t>
      </w:r>
      <w:r w:rsidRPr="00036CB1">
        <w:t xml:space="preserve"> </w:t>
      </w:r>
    </w:p>
    <w:p w14:paraId="68EC240E" w14:textId="6F193EFF" w:rsidR="00036CB1" w:rsidRPr="00036CB1" w:rsidRDefault="00E01DCC" w:rsidP="00036CB1">
      <w:r w:rsidRPr="00036CB1">
        <w:rPr>
          <w:i/>
          <w:iCs/>
        </w:rPr>
        <w:t>Study CPA422-12</w:t>
      </w:r>
      <w:r w:rsidRPr="00036CB1">
        <w:t xml:space="preserve"> characterised the PK of landiolol compared to esmolol following sequential continuous infusion of </w:t>
      </w:r>
      <w:proofErr w:type="spellStart"/>
      <w:r w:rsidRPr="00036CB1">
        <w:t>Rapibloc</w:t>
      </w:r>
      <w:proofErr w:type="spellEnd"/>
      <w:r w:rsidRPr="00036CB1">
        <w:t xml:space="preserve"> Lyo 600 mg at 10 μg/kg/min for 2 hours, followed by 20 μg/kg/min for 2 hours and 40 μg/kg/min for 20 hours, and esmolol at 50 μg/kg/min for 2 hours, followed by 100 μg/kg/min for 2 hours and 200 μg/kg/min for 20 hours (</w:t>
      </w:r>
      <w:r w:rsidRPr="00036CB1">
        <w:fldChar w:fldCharType="begin"/>
      </w:r>
      <w:r w:rsidRPr="00036CB1">
        <w:instrText xml:space="preserve"> REF _Ref182215933 \h </w:instrText>
      </w:r>
      <w:r w:rsidRPr="00036CB1">
        <w:fldChar w:fldCharType="separate"/>
      </w:r>
      <w:r w:rsidRPr="00036CB1">
        <w:t>Figure 1</w:t>
      </w:r>
      <w:r w:rsidRPr="00036CB1">
        <w:fldChar w:fldCharType="end"/>
      </w:r>
      <w:r w:rsidRPr="00036CB1">
        <w:t xml:space="preserve">). Dose-proportionality was shown </w:t>
      </w:r>
      <w:r w:rsidRPr="009F790E">
        <w:t>for AUC</w:t>
      </w:r>
      <w:r w:rsidRPr="009F790E">
        <w:rPr>
          <w:vertAlign w:val="subscript"/>
        </w:rPr>
        <w:t>0-t</w:t>
      </w:r>
      <w:r w:rsidRPr="009F790E">
        <w:t xml:space="preserve"> and </w:t>
      </w:r>
      <w:proofErr w:type="spellStart"/>
      <w:r w:rsidRPr="009F790E">
        <w:t>C</w:t>
      </w:r>
      <w:r w:rsidRPr="009F790E">
        <w:rPr>
          <w:vertAlign w:val="subscript"/>
        </w:rPr>
        <w:t>max</w:t>
      </w:r>
      <w:proofErr w:type="spellEnd"/>
      <w:r w:rsidRPr="009F790E">
        <w:t xml:space="preserve"> in the investigated</w:t>
      </w:r>
      <w:r w:rsidRPr="00036CB1">
        <w:t xml:space="preserve"> dose range. </w:t>
      </w:r>
      <w:proofErr w:type="spellStart"/>
      <w:r w:rsidRPr="00036CB1">
        <w:t>Landiolol</w:t>
      </w:r>
      <w:proofErr w:type="spellEnd"/>
      <w:r w:rsidRPr="00036CB1">
        <w:t xml:space="preserve"> t</w:t>
      </w:r>
      <w:r w:rsidRPr="00036CB1">
        <w:rPr>
          <w:vertAlign w:val="subscript"/>
        </w:rPr>
        <w:t xml:space="preserve">1/2 </w:t>
      </w:r>
      <w:r w:rsidRPr="00036CB1">
        <w:t>was 4.5 min compared to esmolol 6.9 min.</w:t>
      </w:r>
    </w:p>
    <w:p w14:paraId="46975FDF" w14:textId="7B3FD143" w:rsidR="00AA4C2C" w:rsidRPr="00AA4C2C" w:rsidRDefault="00E01DCC" w:rsidP="00FA7286">
      <w:pPr>
        <w:pStyle w:val="FigureTitle"/>
      </w:pPr>
      <w:bookmarkStart w:id="50" w:name="_Ref182215933"/>
      <w:r w:rsidRPr="00AA4C2C">
        <w:lastRenderedPageBreak/>
        <w:t xml:space="preserve">Figure </w:t>
      </w:r>
      <w:r>
        <w:fldChar w:fldCharType="begin"/>
      </w:r>
      <w:r>
        <w:instrText>SEQ Figure \* ARABIC</w:instrText>
      </w:r>
      <w:r>
        <w:fldChar w:fldCharType="separate"/>
      </w:r>
      <w:r w:rsidRPr="00AA4C2C">
        <w:t>1</w:t>
      </w:r>
      <w:r>
        <w:fldChar w:fldCharType="end"/>
      </w:r>
      <w:bookmarkEnd w:id="50"/>
      <w:r w:rsidR="000B57F0">
        <w:t>:</w:t>
      </w:r>
      <w:r w:rsidRPr="00AA4C2C">
        <w:t xml:space="preserve"> Mean (SD) concentration time profiles of Landiolol (LDLL600) and esmolol in Study CPA422-12 (PK population)</w:t>
      </w:r>
    </w:p>
    <w:p w14:paraId="7AB925C5" w14:textId="1589FD22" w:rsidR="00E04F56" w:rsidRDefault="00E01DCC" w:rsidP="00812334">
      <w:r>
        <w:rPr>
          <w:noProof/>
        </w:rPr>
        <w:drawing>
          <wp:inline distT="0" distB="0" distL="0" distR="0" wp14:anchorId="489AD73D" wp14:editId="0D0DBB14">
            <wp:extent cx="5703013" cy="3457575"/>
            <wp:effectExtent l="0" t="0" r="0" b="0"/>
            <wp:docPr id="481150946" name="Picture 1" descr="Figure 1: Mean (SD) concentration time profiles of Landiolol (LDLL600) and esmolol in Study CPA422-12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150946" name="Picture 1" descr="Figure 1: Mean (SD) concentration time profiles of Landiolol (LDLL600) and esmolol in Study CPA422-12 (PK population)"/>
                    <pic:cNvPicPr/>
                  </pic:nvPicPr>
                  <pic:blipFill>
                    <a:blip r:embed="rId25"/>
                    <a:stretch>
                      <a:fillRect/>
                    </a:stretch>
                  </pic:blipFill>
                  <pic:spPr>
                    <a:xfrm>
                      <a:off x="0" y="0"/>
                      <a:ext cx="5729817" cy="3473826"/>
                    </a:xfrm>
                    <a:prstGeom prst="rect">
                      <a:avLst/>
                    </a:prstGeom>
                  </pic:spPr>
                </pic:pic>
              </a:graphicData>
            </a:graphic>
          </wp:inline>
        </w:drawing>
      </w:r>
    </w:p>
    <w:p w14:paraId="43A7F6BA" w14:textId="4D936745" w:rsidR="00AD70D5" w:rsidRPr="00AD70D5" w:rsidRDefault="00E01DCC" w:rsidP="00AD70D5">
      <w:r w:rsidRPr="00AD70D5">
        <w:t xml:space="preserve">The Phase 2 </w:t>
      </w:r>
      <w:r w:rsidRPr="00AD70D5">
        <w:rPr>
          <w:i/>
          <w:iCs/>
        </w:rPr>
        <w:t>Study LDLL600.201</w:t>
      </w:r>
      <w:r w:rsidRPr="00AD70D5">
        <w:t xml:space="preserve"> evaluated the PK of landiolol in </w:t>
      </w:r>
      <w:r w:rsidR="00F6080C">
        <w:t>c</w:t>
      </w:r>
      <w:r w:rsidRPr="00AD70D5">
        <w:t xml:space="preserve">aucasian patients with AF or </w:t>
      </w:r>
      <w:proofErr w:type="spellStart"/>
      <w:r w:rsidRPr="00AD70D5">
        <w:t>AFl</w:t>
      </w:r>
      <w:proofErr w:type="spellEnd"/>
      <w:r w:rsidR="002C4C2C">
        <w:t xml:space="preserve">. </w:t>
      </w:r>
      <w:r w:rsidRPr="00AD70D5">
        <w:t>Dosage regimens evaluated were continuous infusion of 40 μg/kg/min (maximal total duration of 210 min), and bolus infusion of 100 μg/kg/min for one minute and then continuous infusion of 40 μg/kg/min (maximal total duration of 211 min), with dose changes permitted based on clinical criteria</w:t>
      </w:r>
      <w:r w:rsidR="002C4C2C">
        <w:t xml:space="preserve">. </w:t>
      </w:r>
      <w:r w:rsidRPr="00AD70D5">
        <w:t>After bolus + maintenance dosing, stable concentrations were observed between 60- and 190-minutes post-dose, while after maintenance only dosing, concentrations were stable between 30- and 190-minutes post-dose (</w:t>
      </w:r>
      <w:r w:rsidRPr="00AD70D5">
        <w:fldChar w:fldCharType="begin"/>
      </w:r>
      <w:r w:rsidRPr="00AD70D5">
        <w:instrText xml:space="preserve"> REF _Ref181884973 \h </w:instrText>
      </w:r>
      <w:r w:rsidRPr="00AD70D5">
        <w:fldChar w:fldCharType="separate"/>
      </w:r>
      <w:r w:rsidRPr="00AD70D5">
        <w:t>Figure 2</w:t>
      </w:r>
      <w:r w:rsidRPr="00AD70D5">
        <w:fldChar w:fldCharType="end"/>
      </w:r>
      <w:r w:rsidRPr="00AD70D5">
        <w:t>)</w:t>
      </w:r>
      <w:r w:rsidR="002C4C2C">
        <w:t xml:space="preserve">. </w:t>
      </w:r>
      <w:r w:rsidRPr="00AD70D5">
        <w:t>When dose changes were corrected to a standard dose, both dosing schemes provided stable dose 20 minutes after treatment start</w:t>
      </w:r>
      <w:r w:rsidR="002C4C2C">
        <w:t xml:space="preserve">. </w:t>
      </w:r>
      <w:r w:rsidRPr="00AD70D5">
        <w:t>Total and maximum exposure were higher in the bolus + maintenance than in the maintenance only dosing group</w:t>
      </w:r>
      <w:r w:rsidR="002C4C2C">
        <w:t xml:space="preserve">. </w:t>
      </w:r>
      <w:r w:rsidRPr="00AD70D5">
        <w:t>After discontinuation of infusion, landiolol concentrations decreased rapidly with both dosing schemes. Clearance and</w:t>
      </w:r>
      <w:r w:rsidR="00676D17">
        <w:t xml:space="preserve"> volume of </w:t>
      </w:r>
      <w:r w:rsidR="00676D17" w:rsidRPr="00676D17">
        <w:t>distribution (</w:t>
      </w:r>
      <w:proofErr w:type="spellStart"/>
      <w:r w:rsidRPr="00676D17">
        <w:t>Vd</w:t>
      </w:r>
      <w:proofErr w:type="spellEnd"/>
      <w:r w:rsidR="00676D17" w:rsidRPr="00676D17">
        <w:t>)</w:t>
      </w:r>
      <w:r w:rsidRPr="00676D17">
        <w:t xml:space="preserve"> were</w:t>
      </w:r>
      <w:r w:rsidRPr="00AD70D5">
        <w:t xml:space="preserve"> higher in the maintenance only than in the bolus + maintenance dosing group, and t</w:t>
      </w:r>
      <w:r w:rsidRPr="00AD70D5">
        <w:rPr>
          <w:vertAlign w:val="subscript"/>
        </w:rPr>
        <w:t>1/2</w:t>
      </w:r>
      <w:r w:rsidRPr="00AD70D5">
        <w:t xml:space="preserve"> was similar for the two dosing regimens (</w:t>
      </w:r>
      <w:r w:rsidR="0015219E">
        <w:t xml:space="preserve">Table </w:t>
      </w:r>
      <w:r w:rsidR="00606754">
        <w:t>4</w:t>
      </w:r>
      <w:r w:rsidRPr="00AD70D5">
        <w:t>).</w:t>
      </w:r>
    </w:p>
    <w:p w14:paraId="76E06E98" w14:textId="7C648BBD" w:rsidR="007051AA" w:rsidRPr="007051AA" w:rsidRDefault="00E01DCC" w:rsidP="0015219E">
      <w:pPr>
        <w:pStyle w:val="FigureTitle"/>
      </w:pPr>
      <w:bookmarkStart w:id="51" w:name="_Ref181884973"/>
      <w:r w:rsidRPr="007051AA">
        <w:lastRenderedPageBreak/>
        <w:t xml:space="preserve">Figure </w:t>
      </w:r>
      <w:r>
        <w:fldChar w:fldCharType="begin"/>
      </w:r>
      <w:r>
        <w:instrText>SEQ Figure \* ARABIC</w:instrText>
      </w:r>
      <w:r>
        <w:fldChar w:fldCharType="separate"/>
      </w:r>
      <w:r w:rsidRPr="007051AA">
        <w:t>2</w:t>
      </w:r>
      <w:r>
        <w:fldChar w:fldCharType="end"/>
      </w:r>
      <w:bookmarkEnd w:id="51"/>
      <w:r w:rsidR="00F37735">
        <w:t>:</w:t>
      </w:r>
      <w:r w:rsidRPr="007051AA">
        <w:t xml:space="preserve"> Mean concentration time profiles of Landiolol (bolus + maintenance versus maintenance only dosing scheme) in study LDLL600.201 (PPS population)</w:t>
      </w:r>
    </w:p>
    <w:p w14:paraId="5E603594" w14:textId="39B8AC11" w:rsidR="00E04F56" w:rsidRDefault="00E01DCC" w:rsidP="0051404B">
      <w:r>
        <w:rPr>
          <w:noProof/>
        </w:rPr>
        <w:drawing>
          <wp:inline distT="0" distB="0" distL="0" distR="0" wp14:anchorId="73AF6847" wp14:editId="4BF19E7C">
            <wp:extent cx="5571774" cy="3223260"/>
            <wp:effectExtent l="0" t="0" r="0" b="0"/>
            <wp:docPr id="1314941362" name="Picture 1" descr="Figure 2: Mean concentration time profiles of Landiolol (bolus + maintenance versus maintenance only dosing scheme) in study LDLL600.201 (PP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41362" name="Picture 1" descr="Figure 2: Mean concentration time profiles of Landiolol (bolus + maintenance versus maintenance only dosing scheme) in study LDLL600.201 (PPS population)"/>
                    <pic:cNvPicPr/>
                  </pic:nvPicPr>
                  <pic:blipFill>
                    <a:blip r:embed="rId26"/>
                    <a:stretch>
                      <a:fillRect/>
                    </a:stretch>
                  </pic:blipFill>
                  <pic:spPr>
                    <a:xfrm>
                      <a:off x="0" y="0"/>
                      <a:ext cx="5605193" cy="3242593"/>
                    </a:xfrm>
                    <a:prstGeom prst="rect">
                      <a:avLst/>
                    </a:prstGeom>
                  </pic:spPr>
                </pic:pic>
              </a:graphicData>
            </a:graphic>
          </wp:inline>
        </w:drawing>
      </w:r>
    </w:p>
    <w:p w14:paraId="4ED62B61" w14:textId="629720D4" w:rsidR="00D4609D" w:rsidRPr="00D4609D" w:rsidRDefault="00E01DCC" w:rsidP="00F37735">
      <w:pPr>
        <w:pStyle w:val="TableTitle"/>
      </w:pPr>
      <w:bookmarkStart w:id="52" w:name="_Ref190935941"/>
      <w:r w:rsidRPr="00D4609D">
        <w:t xml:space="preserve">Table </w:t>
      </w:r>
      <w:bookmarkEnd w:id="52"/>
      <w:r w:rsidR="00606754">
        <w:t>4</w:t>
      </w:r>
      <w:r w:rsidR="00F37735">
        <w:t>:</w:t>
      </w:r>
      <w:r w:rsidRPr="00D4609D">
        <w:t xml:space="preserve"> PK parameters of Landiolol (bolus + maintenance versus maintenance only dosing scheme) in study LDLL600.201 (PPS population)</w:t>
      </w:r>
    </w:p>
    <w:p w14:paraId="3E01E38B" w14:textId="6B7FB37A" w:rsidR="007051AA" w:rsidRDefault="00E01DCC" w:rsidP="0051404B">
      <w:r>
        <w:rPr>
          <w:noProof/>
        </w:rPr>
        <w:drawing>
          <wp:inline distT="0" distB="0" distL="0" distR="0" wp14:anchorId="60063832" wp14:editId="2BD99253">
            <wp:extent cx="5715000" cy="2024248"/>
            <wp:effectExtent l="0" t="0" r="0" b="0"/>
            <wp:docPr id="460782398" name="Picture 1" descr="Table 4: PK parameters of Landiolol (bolus + maintenance versus maintenance only dosing scheme) in study LDLL600.201 (PP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82398" name="Picture 1" descr="Table 4: PK parameters of Landiolol (bolus + maintenance versus maintenance only dosing scheme) in study LDLL600.201 (PPS population)"/>
                    <pic:cNvPicPr/>
                  </pic:nvPicPr>
                  <pic:blipFill>
                    <a:blip r:embed="rId27"/>
                    <a:stretch>
                      <a:fillRect/>
                    </a:stretch>
                  </pic:blipFill>
                  <pic:spPr>
                    <a:xfrm>
                      <a:off x="0" y="0"/>
                      <a:ext cx="5746852" cy="2035530"/>
                    </a:xfrm>
                    <a:prstGeom prst="rect">
                      <a:avLst/>
                    </a:prstGeom>
                  </pic:spPr>
                </pic:pic>
              </a:graphicData>
            </a:graphic>
          </wp:inline>
        </w:drawing>
      </w:r>
    </w:p>
    <w:p w14:paraId="1E31E015" w14:textId="77777777" w:rsidR="00FD4FFB" w:rsidRPr="00FD4FFB" w:rsidRDefault="00E01DCC" w:rsidP="0037074A">
      <w:pPr>
        <w:pStyle w:val="TableDescription"/>
      </w:pPr>
      <w:r w:rsidRPr="003E5C95">
        <w:t xml:space="preserve">Mean (SD) are presented for all values, except for </w:t>
      </w:r>
      <w:proofErr w:type="spellStart"/>
      <w:r w:rsidRPr="003E5C95">
        <w:t>tmax</w:t>
      </w:r>
      <w:proofErr w:type="spellEnd"/>
      <w:r w:rsidRPr="003E5C95">
        <w:t xml:space="preserve"> which is presented as median (range). AUC0-∞=area under the concentration curve from time zero to infinity, CL=clearance, </w:t>
      </w:r>
      <w:proofErr w:type="spellStart"/>
      <w:r w:rsidRPr="003E5C95">
        <w:t>Cmax</w:t>
      </w:r>
      <w:proofErr w:type="spellEnd"/>
      <w:r w:rsidRPr="003E5C95">
        <w:t xml:space="preserve">=maximum concentration, N=number of subjects, SD=standard deviation, t1/2 =half-life, </w:t>
      </w:r>
      <w:proofErr w:type="spellStart"/>
      <w:r w:rsidRPr="003E5C95">
        <w:t>tmax</w:t>
      </w:r>
      <w:proofErr w:type="spellEnd"/>
      <w:r w:rsidRPr="003E5C95">
        <w:t xml:space="preserve">=time to </w:t>
      </w:r>
      <w:proofErr w:type="spellStart"/>
      <w:r w:rsidRPr="003E5C95">
        <w:t>Cmax</w:t>
      </w:r>
      <w:proofErr w:type="spellEnd"/>
      <w:r w:rsidRPr="003E5C95">
        <w:t xml:space="preserve">, </w:t>
      </w:r>
      <w:proofErr w:type="spellStart"/>
      <w:r w:rsidRPr="003E5C95">
        <w:t>Vd</w:t>
      </w:r>
      <w:proofErr w:type="spellEnd"/>
      <w:r w:rsidRPr="003E5C95">
        <w:t>=volume of distribution.</w:t>
      </w:r>
    </w:p>
    <w:p w14:paraId="41E957BA" w14:textId="772154DB" w:rsidR="00E83A7B" w:rsidRPr="00E83A7B" w:rsidRDefault="00E01DCC" w:rsidP="00E83A7B">
      <w:r w:rsidRPr="00E83A7B">
        <w:t>When administered by continuous intravenous infusion, the concentration of landiolol in blood reached steady-state values about 15 minutes after initiation of administration</w:t>
      </w:r>
      <w:r w:rsidR="002C4C2C">
        <w:t xml:space="preserve">. </w:t>
      </w:r>
      <w:r w:rsidRPr="00E83A7B">
        <w:t>Steady-state can also be achieved faster (up to 2 - 5 minutes) with regimens that use a higher loading dose infused for 1 minute followed by continuous infusion at a lower dosage. The PK of landiolol is dose proportional across the proposed dose range.</w:t>
      </w:r>
    </w:p>
    <w:p w14:paraId="2FD76438" w14:textId="357ED52A" w:rsidR="00E83A7B" w:rsidRPr="00E83A7B" w:rsidRDefault="00E01DCC" w:rsidP="00E83A7B">
      <w:r w:rsidRPr="00E83A7B">
        <w:t xml:space="preserve">The apparent volume of distribution of landiolol is about 3 L/kg and for the main metabolite 0.3 L/kg. The protein binding for landiolol is low (&lt; 10%) and dose dependent. </w:t>
      </w:r>
    </w:p>
    <w:p w14:paraId="752C9687" w14:textId="192BFE58" w:rsidR="00E83A7B" w:rsidRPr="00E83A7B" w:rsidRDefault="00E01DCC" w:rsidP="00E83A7B">
      <w:r w:rsidRPr="00E83A7B">
        <w:t>Landiolol is metabolised by carboxylesterase in liver and pseudocholinesterase in plasma mainly into two inactive metabolites, M1 and M2</w:t>
      </w:r>
      <w:r w:rsidR="002C4C2C">
        <w:t xml:space="preserve">. </w:t>
      </w:r>
      <w:r w:rsidRPr="00E83A7B">
        <w:t xml:space="preserve">As </w:t>
      </w:r>
      <w:proofErr w:type="spellStart"/>
      <w:r w:rsidRPr="00E83A7B">
        <w:t>landiolol</w:t>
      </w:r>
      <w:proofErr w:type="spellEnd"/>
      <w:r w:rsidRPr="00E83A7B">
        <w:t xml:space="preserve"> is rapidly metabolised, only 10% of the dose is excreted in urine. The metabolites are also mainly excreted in urine and 90% is excreted within 24 hours.</w:t>
      </w:r>
    </w:p>
    <w:p w14:paraId="4A979F3F" w14:textId="0CEE5914" w:rsidR="00E83A7B" w:rsidRPr="00E83A7B" w:rsidRDefault="00E01DCC" w:rsidP="00E83A7B">
      <w:r w:rsidRPr="00E83A7B">
        <w:lastRenderedPageBreak/>
        <w:t>The PK of landiolol has not been evaluated in patients with renal impairment</w:t>
      </w:r>
      <w:r w:rsidR="002C4C2C">
        <w:t xml:space="preserve">. </w:t>
      </w:r>
      <w:r w:rsidRPr="00E83A7B">
        <w:t xml:space="preserve">The impact of renal impairment on the pharmacokinetics is expected to be limited as landiolol is rapidly metabolised, only 10% of the dose is excreted by urine. </w:t>
      </w:r>
      <w:r w:rsidR="00F66948" w:rsidRPr="00E83A7B">
        <w:t>Even though</w:t>
      </w:r>
      <w:r w:rsidRPr="00E83A7B">
        <w:t xml:space="preserve"> the metabolites are mainly excreted in urine</w:t>
      </w:r>
      <w:r w:rsidR="00F66948">
        <w:t>,</w:t>
      </w:r>
      <w:r w:rsidRPr="00E83A7B">
        <w:t xml:space="preserve"> the clinical impact of renal impairment on the metabolites is also expected to be limited as the metabolites are both inactive.</w:t>
      </w:r>
    </w:p>
    <w:p w14:paraId="35C50470" w14:textId="3D3B76CA" w:rsidR="00E83A7B" w:rsidRPr="00E83A7B" w:rsidRDefault="00E01DCC" w:rsidP="00E83A7B">
      <w:r w:rsidRPr="00E83A7B">
        <w:t>The impact of liver function on the pharmacokinetics of landiolol was investigated in six patients with mild to moderate hepatic impairment and six healthy volunteers</w:t>
      </w:r>
      <w:r w:rsidR="002C4C2C">
        <w:t xml:space="preserve">. </w:t>
      </w:r>
      <w:r w:rsidRPr="00E83A7B">
        <w:t xml:space="preserve">Blood concentrations of </w:t>
      </w:r>
      <w:proofErr w:type="spellStart"/>
      <w:r w:rsidRPr="00E83A7B">
        <w:t>landiolol</w:t>
      </w:r>
      <w:proofErr w:type="spellEnd"/>
      <w:r w:rsidRPr="00E83A7B">
        <w:t xml:space="preserve"> were higher in patients with hepatic impairment (increase in geometric mean </w:t>
      </w:r>
      <w:proofErr w:type="spellStart"/>
      <w:r w:rsidRPr="004158CF">
        <w:t>C</w:t>
      </w:r>
      <w:r w:rsidRPr="004158CF">
        <w:rPr>
          <w:vertAlign w:val="subscript"/>
        </w:rPr>
        <w:t>max</w:t>
      </w:r>
      <w:proofErr w:type="spellEnd"/>
      <w:r w:rsidRPr="004158CF">
        <w:t xml:space="preserve">, </w:t>
      </w:r>
      <w:proofErr w:type="spellStart"/>
      <w:r w:rsidRPr="004158CF">
        <w:t>C</w:t>
      </w:r>
      <w:r w:rsidRPr="004158CF">
        <w:rPr>
          <w:vertAlign w:val="subscript"/>
        </w:rPr>
        <w:t>ss</w:t>
      </w:r>
      <w:proofErr w:type="spellEnd"/>
      <w:r w:rsidRPr="00E83A7B">
        <w:t xml:space="preserve"> </w:t>
      </w:r>
      <w:r w:rsidRPr="004158CF">
        <w:t>and AUC</w:t>
      </w:r>
      <w:r w:rsidRPr="004158CF">
        <w:rPr>
          <w:vertAlign w:val="subscript"/>
        </w:rPr>
        <w:t>0-∞</w:t>
      </w:r>
      <w:r w:rsidRPr="004158CF">
        <w:t xml:space="preserve"> values</w:t>
      </w:r>
      <w:r w:rsidRPr="00E83A7B">
        <w:t xml:space="preserve"> in patients compared to healthy volunteers: +42%, +35% and +44%, respectively), but t</w:t>
      </w:r>
      <w:r w:rsidRPr="00E83A7B">
        <w:rPr>
          <w:vertAlign w:val="subscript"/>
        </w:rPr>
        <w:t xml:space="preserve">1/2 </w:t>
      </w:r>
      <w:r w:rsidRPr="00E83A7B">
        <w:t xml:space="preserve">was similar in patients and healthy subjects. The PBPK model predicted the influence of hepatic impairment on the PK of Landiolol, and the effect of hepatic impairment was expected to be only marginal and unlikely to affect the safety and efficacy profile of </w:t>
      </w:r>
      <w:proofErr w:type="spellStart"/>
      <w:r w:rsidRPr="00E83A7B">
        <w:t>landiolol</w:t>
      </w:r>
      <w:proofErr w:type="spellEnd"/>
      <w:r w:rsidR="002C4C2C">
        <w:t xml:space="preserve">. </w:t>
      </w:r>
      <w:r w:rsidRPr="00E83A7B">
        <w:t>The effect of severe hepatic impairment has not been evaluated.</w:t>
      </w:r>
    </w:p>
    <w:p w14:paraId="6247FA47" w14:textId="057CDC65" w:rsidR="00E83A7B" w:rsidRPr="00E83A7B" w:rsidRDefault="00E01DCC" w:rsidP="00E83A7B">
      <w:r w:rsidRPr="00E83A7B">
        <w:t>No PK drug interaction studies were performed. It is not expected that the distribution and metabolism will be affected by other medicinal products.</w:t>
      </w:r>
    </w:p>
    <w:p w14:paraId="7E595B78" w14:textId="028FAB3B" w:rsidR="00E83A7B" w:rsidRPr="00E83A7B" w:rsidRDefault="00E01DCC" w:rsidP="00E83A7B">
      <w:r w:rsidRPr="00E83A7B">
        <w:t xml:space="preserve">The PBPK modelling study integrated published data from </w:t>
      </w:r>
      <w:proofErr w:type="spellStart"/>
      <w:r w:rsidRPr="00E83A7B">
        <w:t>Onoact</w:t>
      </w:r>
      <w:proofErr w:type="spellEnd"/>
      <w:r w:rsidRPr="00E83A7B">
        <w:t xml:space="preserve"> studies as well as clinical data from the four AOP-sponsored studies</w:t>
      </w:r>
      <w:r w:rsidR="002C4C2C">
        <w:t xml:space="preserve">. </w:t>
      </w:r>
      <w:r w:rsidRPr="00E83A7B">
        <w:t>The PBPK modelling study simulated PK values for landiolol in two populations (Caucasians and Japanese) with varying health status (healthy subjects, patients with tachycardia/reduced cardiac indices, patients with altered metabolic enzyme blood concentrations</w:t>
      </w:r>
      <w:r w:rsidR="003D1ABB" w:rsidRPr="00E83A7B">
        <w:t>) and</w:t>
      </w:r>
      <w:r w:rsidRPr="00E83A7B">
        <w:t xml:space="preserve"> overall provided evidence for Caucasian and Japanese comparability</w:t>
      </w:r>
      <w:r w:rsidR="002C4C2C">
        <w:t xml:space="preserve">. </w:t>
      </w:r>
      <w:r w:rsidRPr="00E83A7B">
        <w:t>The simulations were in general in good agreement with the observed data for the different dosing regimens and in different study populations and were considered acceptable.</w:t>
      </w:r>
    </w:p>
    <w:p w14:paraId="4516F717" w14:textId="77777777" w:rsidR="00E83A7B" w:rsidRPr="00E83A7B" w:rsidRDefault="00E01DCC" w:rsidP="00407E9D">
      <w:pPr>
        <w:pStyle w:val="Heading5"/>
      </w:pPr>
      <w:bookmarkStart w:id="53" w:name="_Hlk216879374"/>
      <w:r w:rsidRPr="00E83A7B">
        <w:t>Pharmacodynamic</w:t>
      </w:r>
      <w:bookmarkEnd w:id="53"/>
      <w:r w:rsidRPr="00E83A7B">
        <w:t>s (PD)</w:t>
      </w:r>
    </w:p>
    <w:p w14:paraId="1D1207CC" w14:textId="221FD3B4" w:rsidR="00E83A7B" w:rsidRPr="00E83A7B" w:rsidRDefault="00E01DCC" w:rsidP="00E83A7B">
      <w:r w:rsidRPr="00E83A7B">
        <w:t xml:space="preserve">In the </w:t>
      </w:r>
      <w:proofErr w:type="spellStart"/>
      <w:r w:rsidRPr="00E83A7B">
        <w:t>Onoact</w:t>
      </w:r>
      <w:proofErr w:type="spellEnd"/>
      <w:r w:rsidRPr="00E83A7B">
        <w:t xml:space="preserve"> clinical development program, three dose-finding studies were conducted in Japanese subjects, one in patients with paroxysmal AF/AFl/SVT </w:t>
      </w:r>
      <w:r>
        <w:rPr>
          <w:rStyle w:val="FootnoteReference"/>
        </w:rPr>
        <w:footnoteReference w:id="10"/>
      </w:r>
      <w:r w:rsidRPr="00E83A7B">
        <w:t>, one in patients with perioperative tachyarrhythmia</w:t>
      </w:r>
      <w:r>
        <w:rPr>
          <w:rStyle w:val="FootnoteReference"/>
        </w:rPr>
        <w:footnoteReference w:id="11"/>
      </w:r>
      <w:r w:rsidRPr="00E83A7B">
        <w:t xml:space="preserve"> and one in patients with persisting postoperative SVT </w:t>
      </w:r>
      <w:r>
        <w:rPr>
          <w:rStyle w:val="FootnoteReference"/>
        </w:rPr>
        <w:footnoteReference w:id="12"/>
      </w:r>
      <w:r w:rsidRPr="00E83A7B">
        <w:t>. All three studies showed a dose dependent reduction of heart rate after landiolol infusion.</w:t>
      </w:r>
    </w:p>
    <w:p w14:paraId="57C1D9CD" w14:textId="4A718CB2" w:rsidR="00E83A7B" w:rsidRPr="00E83A7B" w:rsidRDefault="00E01DCC" w:rsidP="00E83A7B">
      <w:r w:rsidRPr="00E83A7B">
        <w:t xml:space="preserve">The </w:t>
      </w:r>
      <w:proofErr w:type="spellStart"/>
      <w:r w:rsidRPr="00E83A7B">
        <w:t>Onoact</w:t>
      </w:r>
      <w:proofErr w:type="spellEnd"/>
      <w:r w:rsidRPr="00E83A7B">
        <w:t xml:space="preserve"> clinical development program also included three PK/PD studies performed in 97 healthy Japanese or Chinese subjects, one study on 6 Japanese subjects with hepatic impairment (versus 6 healthy patients), one study on 19 Japanese patients with cardiac arrhythmias and one study on 18 Japanese patients undergoing cardio-vascular surgery</w:t>
      </w:r>
      <w:r w:rsidR="002C4C2C">
        <w:t xml:space="preserve">. </w:t>
      </w:r>
      <w:r w:rsidRPr="00E83A7B">
        <w:t xml:space="preserve">Infusion of </w:t>
      </w:r>
      <w:proofErr w:type="spellStart"/>
      <w:r w:rsidRPr="00E83A7B">
        <w:t>landiolol</w:t>
      </w:r>
      <w:proofErr w:type="spellEnd"/>
      <w:r w:rsidRPr="00E83A7B">
        <w:t xml:space="preserve"> resulted in a rapid dose-dependent decrease in heart rate</w:t>
      </w:r>
      <w:r w:rsidR="00310390">
        <w:t xml:space="preserve"> (HR)</w:t>
      </w:r>
      <w:r w:rsidR="002C4C2C">
        <w:t xml:space="preserve">. </w:t>
      </w:r>
      <w:r w:rsidRPr="00E83A7B">
        <w:t>Heart rate, controlled by landiolol infusion, was not affected by administration of heparin.</w:t>
      </w:r>
    </w:p>
    <w:p w14:paraId="42CD6C42" w14:textId="3E5D1DA6" w:rsidR="00E83A7B" w:rsidRPr="00E83A7B" w:rsidRDefault="00E01DCC" w:rsidP="00E83A7B">
      <w:r w:rsidRPr="00E83A7B">
        <w:t xml:space="preserve">In the four AOP-sponsored studies, infusion of landiolol produced decreases in heart rate in healthy patients and in patients with tachycardic AF or </w:t>
      </w:r>
      <w:proofErr w:type="spellStart"/>
      <w:r w:rsidRPr="00E83A7B">
        <w:t>AFl</w:t>
      </w:r>
      <w:proofErr w:type="spellEnd"/>
      <w:r w:rsidR="002C4C2C">
        <w:t xml:space="preserve">. </w:t>
      </w:r>
      <w:r w:rsidRPr="00E83A7B">
        <w:t xml:space="preserve">In </w:t>
      </w:r>
      <w:r w:rsidRPr="00E83A7B">
        <w:rPr>
          <w:i/>
          <w:iCs/>
        </w:rPr>
        <w:t>Study CPA422-12</w:t>
      </w:r>
      <w:r w:rsidRPr="00E83A7B">
        <w:t xml:space="preserve">, </w:t>
      </w:r>
      <w:proofErr w:type="spellStart"/>
      <w:r w:rsidRPr="00E83A7B">
        <w:t>landiolol</w:t>
      </w:r>
      <w:proofErr w:type="spellEnd"/>
      <w:r w:rsidRPr="00E83A7B">
        <w:t xml:space="preserve"> infusion had a more pronounced effect on heart rate at most time points compared to esmolol, </w:t>
      </w:r>
      <w:r w:rsidRPr="00E83A7B">
        <w:lastRenderedPageBreak/>
        <w:t>whereas blood pressure decreases were similar for landiolol and esmolol (</w:t>
      </w:r>
      <w:r w:rsidRPr="00E83A7B">
        <w:fldChar w:fldCharType="begin"/>
      </w:r>
      <w:r w:rsidRPr="00E83A7B">
        <w:instrText xml:space="preserve"> REF _Ref182217050 \h </w:instrText>
      </w:r>
      <w:r w:rsidRPr="00E83A7B">
        <w:fldChar w:fldCharType="separate"/>
      </w:r>
      <w:r w:rsidRPr="00E83A7B">
        <w:t>Figure 3</w:t>
      </w:r>
      <w:r w:rsidRPr="00E83A7B">
        <w:fldChar w:fldCharType="end"/>
      </w:r>
      <w:r w:rsidRPr="00E83A7B">
        <w:t>)</w:t>
      </w:r>
      <w:r w:rsidR="002C4C2C">
        <w:t xml:space="preserve">. </w:t>
      </w:r>
      <w:r w:rsidRPr="00E83A7B">
        <w:t>The reduction in HR was sustained throughout the 20-hour continuous infusion of landiolol 40 μg/kg/</w:t>
      </w:r>
      <w:r w:rsidR="00B42E8F" w:rsidRPr="00E83A7B">
        <w:t>min and</w:t>
      </w:r>
      <w:r w:rsidRPr="00E83A7B">
        <w:t xml:space="preserve"> returned to baseline after discontinuation.</w:t>
      </w:r>
    </w:p>
    <w:p w14:paraId="3FF42C36" w14:textId="6E5AD02B" w:rsidR="00DC50A2" w:rsidRPr="00DC50A2" w:rsidRDefault="00E01DCC" w:rsidP="00BD552F">
      <w:pPr>
        <w:pStyle w:val="FigureTitle"/>
      </w:pPr>
      <w:bookmarkStart w:id="54" w:name="_Ref182217050"/>
      <w:r w:rsidRPr="00DC50A2">
        <w:t xml:space="preserve">Figure </w:t>
      </w:r>
      <w:r>
        <w:fldChar w:fldCharType="begin"/>
      </w:r>
      <w:r>
        <w:instrText>SEQ Figure \* ARABIC</w:instrText>
      </w:r>
      <w:r>
        <w:fldChar w:fldCharType="separate"/>
      </w:r>
      <w:r w:rsidRPr="00DC50A2">
        <w:t>3</w:t>
      </w:r>
      <w:r>
        <w:fldChar w:fldCharType="end"/>
      </w:r>
      <w:bookmarkEnd w:id="54"/>
      <w:r w:rsidR="00BD552F">
        <w:t>:</w:t>
      </w:r>
      <w:r w:rsidRPr="00DC50A2">
        <w:t xml:space="preserve"> Mean systolic and diastolic blood pressure, heart rate and blood concentration time profiles of Landiolol (LDLL600) and esmolol in study CPA422-12- treatment period (PK population)</w:t>
      </w:r>
    </w:p>
    <w:p w14:paraId="0EE1A14A" w14:textId="09CB32E4" w:rsidR="003A0642" w:rsidRDefault="00E01DCC" w:rsidP="0051404B">
      <w:r>
        <w:rPr>
          <w:noProof/>
        </w:rPr>
        <w:drawing>
          <wp:inline distT="0" distB="0" distL="0" distR="0" wp14:anchorId="3B813F1D" wp14:editId="58B9B795">
            <wp:extent cx="5661660" cy="5661660"/>
            <wp:effectExtent l="0" t="0" r="0" b="0"/>
            <wp:docPr id="2051801638" name="Picture 1" descr="Figure 3: Mean systolic and diastolic blood pressure, heart rate and blood concentration time profiles of Landiolol (LDLL600) and esmolol in study CPA422-12- treatment period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01638" name="Picture 1" descr="Figure 3: Mean systolic and diastolic blood pressure, heart rate and blood concentration time profiles of Landiolol (LDLL600) and esmolol in study CPA422-12- treatment period (PK population)"/>
                    <pic:cNvPicPr/>
                  </pic:nvPicPr>
                  <pic:blipFill>
                    <a:blip r:embed="rId28"/>
                    <a:stretch>
                      <a:fillRect/>
                    </a:stretch>
                  </pic:blipFill>
                  <pic:spPr>
                    <a:xfrm>
                      <a:off x="0" y="0"/>
                      <a:ext cx="5661660" cy="5661660"/>
                    </a:xfrm>
                    <a:prstGeom prst="rect">
                      <a:avLst/>
                    </a:prstGeom>
                  </pic:spPr>
                </pic:pic>
              </a:graphicData>
            </a:graphic>
          </wp:inline>
        </w:drawing>
      </w:r>
    </w:p>
    <w:p w14:paraId="68D2B16D" w14:textId="17136A4A" w:rsidR="008F59FD" w:rsidRPr="008F59FD" w:rsidRDefault="00E01DCC" w:rsidP="008F59FD">
      <w:r w:rsidRPr="008F59FD">
        <w:t xml:space="preserve">In </w:t>
      </w:r>
      <w:r w:rsidRPr="008F59FD">
        <w:rPr>
          <w:i/>
          <w:iCs/>
        </w:rPr>
        <w:t>Study LDLL600.201</w:t>
      </w:r>
      <w:r w:rsidRPr="008F59FD">
        <w:t xml:space="preserve">, analysis of HR, </w:t>
      </w:r>
      <w:r w:rsidR="00BD6DC6">
        <w:t>systolic blood pressure (</w:t>
      </w:r>
      <w:r w:rsidRPr="008F59FD">
        <w:t>SBP</w:t>
      </w:r>
      <w:r w:rsidR="00BD6DC6">
        <w:t>)</w:t>
      </w:r>
      <w:r w:rsidRPr="008F59FD">
        <w:t xml:space="preserve"> and </w:t>
      </w:r>
      <w:r w:rsidR="00BD6DC6">
        <w:t>diastolic blood pressure (</w:t>
      </w:r>
      <w:r w:rsidRPr="008F59FD">
        <w:t>DBP</w:t>
      </w:r>
      <w:r w:rsidR="00BD6DC6">
        <w:t>)</w:t>
      </w:r>
      <w:r w:rsidRPr="008F59FD">
        <w:t xml:space="preserve"> showed no significant difference between the two dosing regimens</w:t>
      </w:r>
      <w:r w:rsidR="002C4C2C">
        <w:t xml:space="preserve">. </w:t>
      </w:r>
      <w:r w:rsidRPr="00024582">
        <w:t>In the FAS population</w:t>
      </w:r>
      <w:r w:rsidRPr="008F59FD">
        <w:t xml:space="preserve"> overall, HR was reduced 4 minutes after initiation of continuous administration from the baseline mean value of 125.0 bpm to 113.0 bpm (-9.6%), and further to 103.8 bpm (-17.0%) after 16 minutes</w:t>
      </w:r>
      <w:r w:rsidR="002C4C2C">
        <w:t xml:space="preserve">. </w:t>
      </w:r>
      <w:r w:rsidRPr="008F59FD">
        <w:t>Mean HR further decreased to 101.5 bpm (-18.8%) at 30 minutes and 94.2 bpm (-24.6%) at 60 minutes</w:t>
      </w:r>
      <w:r w:rsidR="002C4C2C">
        <w:t xml:space="preserve">. </w:t>
      </w:r>
      <w:r w:rsidRPr="00314D87">
        <w:t>Mean SBP was reduced during infusion of landiolol from 137.3 mmHg (baseline) by between 1.2 and 13.3 mmHg</w:t>
      </w:r>
      <w:r w:rsidR="002C4C2C">
        <w:t xml:space="preserve">. </w:t>
      </w:r>
      <w:r w:rsidRPr="00314D87">
        <w:t>DBP showed only small reductions from baseline mean value of 93.2 mmHg during the infusion, with</w:t>
      </w:r>
      <w:r w:rsidRPr="008F59FD">
        <w:t xml:space="preserve"> the lowest value of 87.1 mmHg recorded </w:t>
      </w:r>
      <w:r w:rsidR="009844D7">
        <w:t>two</w:t>
      </w:r>
      <w:r w:rsidRPr="008F59FD">
        <w:t xml:space="preserve"> min</w:t>
      </w:r>
      <w:r w:rsidR="009844D7">
        <w:t>utes</w:t>
      </w:r>
      <w:r w:rsidRPr="008F59FD">
        <w:t xml:space="preserve"> after start of administration.</w:t>
      </w:r>
    </w:p>
    <w:p w14:paraId="75ED98AF" w14:textId="77777777" w:rsidR="008F59FD" w:rsidRPr="008F59FD" w:rsidRDefault="00E01DCC" w:rsidP="00407E9D">
      <w:pPr>
        <w:pStyle w:val="Heading5"/>
      </w:pPr>
      <w:r w:rsidRPr="008F59FD">
        <w:lastRenderedPageBreak/>
        <w:t>Efficacy</w:t>
      </w:r>
    </w:p>
    <w:p w14:paraId="3707559B" w14:textId="4E6E1887" w:rsidR="008F59FD" w:rsidRPr="008F59FD" w:rsidRDefault="00E01DCC" w:rsidP="008F59FD">
      <w:r w:rsidRPr="008F59FD">
        <w:t xml:space="preserve">The evaluation of efficacy is based on 19 published clinical studies with </w:t>
      </w:r>
      <w:proofErr w:type="spellStart"/>
      <w:r w:rsidRPr="008F59FD">
        <w:t>Onoact</w:t>
      </w:r>
      <w:proofErr w:type="spellEnd"/>
      <w:r w:rsidRPr="008F59FD">
        <w:t xml:space="preserve"> (</w:t>
      </w:r>
      <w:r w:rsidR="00407E9D">
        <w:t xml:space="preserve">Table </w:t>
      </w:r>
      <w:r w:rsidR="00E74642">
        <w:t>5</w:t>
      </w:r>
      <w:r w:rsidRPr="008F59FD">
        <w:t>), as well as one AOP-sponsored study (Study LDLL600.201)</w:t>
      </w:r>
      <w:r w:rsidR="002C4C2C">
        <w:t xml:space="preserve">. </w:t>
      </w:r>
      <w:r w:rsidRPr="008F59FD">
        <w:t xml:space="preserve">For most studies in the peri- or post-operative setting, </w:t>
      </w:r>
      <w:proofErr w:type="gramStart"/>
      <w:r w:rsidRPr="008F59FD">
        <w:t>the majority of</w:t>
      </w:r>
      <w:proofErr w:type="gramEnd"/>
      <w:r w:rsidRPr="008F59FD">
        <w:t xml:space="preserve"> patients presented with elevated HR due to sinus tachycardia at baseline</w:t>
      </w:r>
      <w:r w:rsidR="002C4C2C">
        <w:t xml:space="preserve">. </w:t>
      </w:r>
      <w:r w:rsidRPr="008F59FD">
        <w:t xml:space="preserve">For most studies in the non-surgical setting, </w:t>
      </w:r>
      <w:proofErr w:type="gramStart"/>
      <w:r w:rsidRPr="008F59FD">
        <w:t>the majority of</w:t>
      </w:r>
      <w:proofErr w:type="gramEnd"/>
      <w:r w:rsidRPr="008F59FD">
        <w:t xml:space="preserve"> patients presented with elevated HR due to AF at baseline</w:t>
      </w:r>
      <w:r w:rsidR="002C4C2C">
        <w:t xml:space="preserve">. </w:t>
      </w:r>
    </w:p>
    <w:p w14:paraId="2F6BE1AB" w14:textId="5543D35D" w:rsidR="008F59FD" w:rsidRPr="008F59FD" w:rsidRDefault="00E01DCC" w:rsidP="008F59FD">
      <w:r w:rsidRPr="008F59FD">
        <w:t>The published studies evaluated a range of dosing regimens which completely cover the proposed dosing regimen for Rapiblyk (</w:t>
      </w:r>
      <w:r w:rsidR="00B31B7B">
        <w:t xml:space="preserve">Table </w:t>
      </w:r>
      <w:r w:rsidR="00254A88">
        <w:t>6</w:t>
      </w:r>
      <w:r w:rsidRPr="008F59FD">
        <w:t>)</w:t>
      </w:r>
      <w:r w:rsidR="002C4C2C">
        <w:t xml:space="preserve">. </w:t>
      </w:r>
      <w:proofErr w:type="spellStart"/>
      <w:r w:rsidRPr="008F59FD">
        <w:t>Landiolol</w:t>
      </w:r>
      <w:proofErr w:type="spellEnd"/>
      <w:r w:rsidRPr="008F59FD">
        <w:t xml:space="preserve"> doses were categorised as LL (1 to &lt;10 µg/kg/min), L (10 µg/kg/min), M (20 µg/kg/min), H (40 µg/kg/min), HH (80 µg/kg/min)</w:t>
      </w:r>
      <w:r w:rsidR="002C4C2C">
        <w:t xml:space="preserve">. </w:t>
      </w:r>
      <w:r w:rsidRPr="008F59FD">
        <w:t>Studies in patients with LV dysfunction/heart failure</w:t>
      </w:r>
      <w:r>
        <w:rPr>
          <w:rStyle w:val="FootnoteReference"/>
        </w:rPr>
        <w:footnoteReference w:id="13"/>
      </w:r>
      <w:r w:rsidR="009B4422" w:rsidRPr="009B4422">
        <w:rPr>
          <w:vertAlign w:val="superscript"/>
        </w:rPr>
        <w:t>,</w:t>
      </w:r>
      <w:r>
        <w:rPr>
          <w:rStyle w:val="FootnoteReference"/>
        </w:rPr>
        <w:footnoteReference w:id="14"/>
      </w:r>
      <w:r w:rsidR="009B4422" w:rsidRPr="009B4422">
        <w:rPr>
          <w:vertAlign w:val="superscript"/>
        </w:rPr>
        <w:t>,</w:t>
      </w:r>
      <w:r>
        <w:rPr>
          <w:rStyle w:val="FootnoteReference"/>
        </w:rPr>
        <w:footnoteReference w:id="15"/>
      </w:r>
      <w:r w:rsidRPr="004679CF">
        <w:rPr>
          <w:vertAlign w:val="superscript"/>
        </w:rPr>
        <w:t xml:space="preserve"> </w:t>
      </w:r>
      <w:r w:rsidRPr="008F59FD">
        <w:t>used low dose regimens, with starting doses ranging between 1 and 10 µg/kg/min</w:t>
      </w:r>
      <w:r w:rsidR="002C4C2C">
        <w:t xml:space="preserve">. </w:t>
      </w:r>
      <w:r w:rsidRPr="008F59FD">
        <w:t>Three of the published studies included active comparators (diltiazem</w:t>
      </w:r>
      <w:r>
        <w:rPr>
          <w:rStyle w:val="FootnoteReference"/>
        </w:rPr>
        <w:footnoteReference w:id="16"/>
      </w:r>
      <w:r w:rsidR="00910EBF" w:rsidRPr="008C44B1">
        <w:rPr>
          <w:vertAlign w:val="superscript"/>
        </w:rPr>
        <w:t>,</w:t>
      </w:r>
      <w:r>
        <w:rPr>
          <w:rStyle w:val="FootnoteReference"/>
        </w:rPr>
        <w:footnoteReference w:id="17"/>
      </w:r>
      <w:r w:rsidR="00910EBF" w:rsidRPr="008C44B1">
        <w:rPr>
          <w:vertAlign w:val="superscript"/>
        </w:rPr>
        <w:t xml:space="preserve"> </w:t>
      </w:r>
      <w:r w:rsidRPr="008F59FD">
        <w:t>; digoxin</w:t>
      </w:r>
      <w:r w:rsidR="004679CF" w:rsidRPr="004679CF">
        <w:rPr>
          <w:vertAlign w:val="superscript"/>
        </w:rPr>
        <w:t>13</w:t>
      </w:r>
      <w:r w:rsidRPr="008F59FD">
        <w:t xml:space="preserve">), and 8 were </w:t>
      </w:r>
      <w:r w:rsidR="001F1CC3" w:rsidRPr="008F59FD">
        <w:t>placebo controlled</w:t>
      </w:r>
      <w:r w:rsidR="002C4C2C">
        <w:t xml:space="preserve">. </w:t>
      </w:r>
      <w:r w:rsidRPr="008F59FD">
        <w:t>The placebo-controlled studies were considered the most relevant for the assessment of efficacy</w:t>
      </w:r>
      <w:r w:rsidR="002C4C2C">
        <w:t xml:space="preserve">. </w:t>
      </w:r>
      <w:r w:rsidRPr="008F59FD">
        <w:t>The efficacy evaluation focussed on the following key efficacy endpoints (noting there were some inconsistencies in endpoint definitions across the studies):</w:t>
      </w:r>
    </w:p>
    <w:p w14:paraId="58BD261A" w14:textId="77777777" w:rsidR="008F59FD" w:rsidRPr="008F59FD" w:rsidRDefault="00E01DCC" w:rsidP="0037074A">
      <w:pPr>
        <w:pStyle w:val="ListBullet"/>
      </w:pPr>
      <w:r w:rsidRPr="008F59FD">
        <w:t>Moderate improvement in HR reduction (HR reduction ≥20% from baseline)</w:t>
      </w:r>
    </w:p>
    <w:p w14:paraId="6B6B8A23" w14:textId="77777777" w:rsidR="008F59FD" w:rsidRPr="008F59FD" w:rsidRDefault="00E01DCC" w:rsidP="0037074A">
      <w:pPr>
        <w:pStyle w:val="ListBullet"/>
      </w:pPr>
      <w:r w:rsidRPr="008F59FD">
        <w:t>Substantial improvement in HR reduction (HR reduction ≥30% from baseline)</w:t>
      </w:r>
    </w:p>
    <w:p w14:paraId="179F40A0" w14:textId="77777777" w:rsidR="008F59FD" w:rsidRPr="008F59FD" w:rsidRDefault="00E01DCC" w:rsidP="0037074A">
      <w:pPr>
        <w:pStyle w:val="ListBullet"/>
      </w:pPr>
      <w:r w:rsidRPr="008F59FD">
        <w:t>Change in HR from baseline.</w:t>
      </w:r>
    </w:p>
    <w:p w14:paraId="0AAD132F" w14:textId="77777777" w:rsidR="0037074A" w:rsidRDefault="00E01DCC" w:rsidP="00B31B7B">
      <w:pPr>
        <w:pStyle w:val="TableTitle"/>
      </w:pPr>
      <w:r w:rsidRPr="0014512C">
        <w:lastRenderedPageBreak/>
        <w:t xml:space="preserve">Table </w:t>
      </w:r>
      <w:r w:rsidR="00E74642" w:rsidRPr="0014512C">
        <w:t>5</w:t>
      </w:r>
      <w:r w:rsidR="00407E9D" w:rsidRPr="0014512C">
        <w:t xml:space="preserve">: </w:t>
      </w:r>
      <w:r w:rsidRPr="0014512C">
        <w:t xml:space="preserve"> Tabular overview of </w:t>
      </w:r>
      <w:proofErr w:type="spellStart"/>
      <w:r w:rsidRPr="0014512C">
        <w:t>Onoact</w:t>
      </w:r>
      <w:proofErr w:type="spellEnd"/>
      <w:r w:rsidRPr="0014512C">
        <w:t xml:space="preserve"> studies</w:t>
      </w:r>
      <w:r w:rsidRPr="009B70E4">
        <w:t xml:space="preserve"> </w:t>
      </w:r>
      <w:bookmarkStart w:id="55" w:name="_Ref181958950"/>
    </w:p>
    <w:p w14:paraId="0754910F" w14:textId="07FCDCBE" w:rsidR="0068326A" w:rsidRDefault="00E01DCC" w:rsidP="0037074A">
      <w:r>
        <w:rPr>
          <w:noProof/>
        </w:rPr>
        <w:drawing>
          <wp:inline distT="0" distB="0" distL="0" distR="0" wp14:anchorId="2054119D" wp14:editId="6D4758BD">
            <wp:extent cx="5591175" cy="8186443"/>
            <wp:effectExtent l="0" t="0" r="0" b="5080"/>
            <wp:docPr id="452962492" name="Picture 5" descr="Table 5:  Tabular overview of Onoact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62492" name="Picture 5" descr="Table 5:  Tabular overview of Onoact studies "/>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593107" cy="8189272"/>
                    </a:xfrm>
                    <a:prstGeom prst="rect">
                      <a:avLst/>
                    </a:prstGeom>
                    <a:noFill/>
                  </pic:spPr>
                </pic:pic>
              </a:graphicData>
            </a:graphic>
          </wp:inline>
        </w:drawing>
      </w:r>
    </w:p>
    <w:p w14:paraId="0E7CBB3D" w14:textId="77777777" w:rsidR="0037074A" w:rsidRDefault="00E01DCC" w:rsidP="0086664C">
      <w:pPr>
        <w:pStyle w:val="TableTitle"/>
      </w:pPr>
      <w:r w:rsidRPr="00B31B7B">
        <w:lastRenderedPageBreak/>
        <w:t xml:space="preserve">Table </w:t>
      </w:r>
      <w:bookmarkEnd w:id="55"/>
      <w:r w:rsidR="00254A88">
        <w:t>6</w:t>
      </w:r>
      <w:r w:rsidR="00660C58">
        <w:t>:</w:t>
      </w:r>
      <w:r w:rsidRPr="00B31B7B">
        <w:t xml:space="preserve"> Exposure in </w:t>
      </w:r>
      <w:proofErr w:type="spellStart"/>
      <w:r w:rsidRPr="00B31B7B">
        <w:t>Onoact</w:t>
      </w:r>
      <w:proofErr w:type="spellEnd"/>
      <w:r w:rsidRPr="00B31B7B">
        <w:t xml:space="preserve"> efficacy studies</w:t>
      </w:r>
    </w:p>
    <w:p w14:paraId="682939DB" w14:textId="6265111C" w:rsidR="00B5155D" w:rsidRDefault="00B76F8B" w:rsidP="0037074A">
      <w:r>
        <w:rPr>
          <w:noProof/>
        </w:rPr>
        <w:drawing>
          <wp:inline distT="0" distB="0" distL="0" distR="0" wp14:anchorId="7B2BAA79" wp14:editId="70126209">
            <wp:extent cx="4158533" cy="6082479"/>
            <wp:effectExtent l="0" t="0" r="0" b="0"/>
            <wp:docPr id="479873467" name="Picture 6" descr="Table 6: Exposure in Onoact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873467" name="Picture 6" descr="Table 6: Exposure in Onoact efficacy studies"/>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65794" cy="6093099"/>
                    </a:xfrm>
                    <a:prstGeom prst="rect">
                      <a:avLst/>
                    </a:prstGeom>
                    <a:noFill/>
                  </pic:spPr>
                </pic:pic>
              </a:graphicData>
            </a:graphic>
          </wp:inline>
        </w:drawing>
      </w:r>
    </w:p>
    <w:p w14:paraId="273BB71E" w14:textId="4637DD15" w:rsidR="0002708E" w:rsidRPr="00050FA8" w:rsidRDefault="00E01DCC" w:rsidP="00050FA8">
      <w:pPr>
        <w:rPr>
          <w:b/>
          <w:bCs/>
        </w:rPr>
      </w:pPr>
      <w:r w:rsidRPr="00050FA8">
        <w:rPr>
          <w:b/>
          <w:bCs/>
        </w:rPr>
        <w:t>Moderate improvement in HR reduction</w:t>
      </w:r>
    </w:p>
    <w:p w14:paraId="38ECAF53" w14:textId="6304E17F" w:rsidR="0002708E" w:rsidRPr="0002708E" w:rsidRDefault="00E01DCC" w:rsidP="0002708E">
      <w:r w:rsidRPr="0002708E">
        <w:t xml:space="preserve">In </w:t>
      </w:r>
      <w:proofErr w:type="gramStart"/>
      <w:r w:rsidRPr="0002708E">
        <w:t>all of</w:t>
      </w:r>
      <w:proofErr w:type="gramEnd"/>
      <w:r w:rsidRPr="0002708E">
        <w:t xml:space="preserve"> the studies, landiolol led to moderate improvement in HR reduction or better in a substantial proportion of patients (</w:t>
      </w:r>
      <w:r w:rsidRPr="0002708E">
        <w:fldChar w:fldCharType="begin"/>
      </w:r>
      <w:r w:rsidRPr="0002708E">
        <w:instrText xml:space="preserve"> REF _Ref181955714 \h </w:instrText>
      </w:r>
      <w:r w:rsidRPr="0002708E">
        <w:fldChar w:fldCharType="separate"/>
      </w:r>
      <w:r w:rsidRPr="0002708E">
        <w:t>Figure 4</w:t>
      </w:r>
      <w:r w:rsidRPr="0002708E">
        <w:fldChar w:fldCharType="end"/>
      </w:r>
      <w:r w:rsidRPr="0002708E">
        <w:t>)</w:t>
      </w:r>
      <w:r w:rsidR="002C4C2C">
        <w:t xml:space="preserve">. </w:t>
      </w:r>
      <w:r w:rsidRPr="0002708E">
        <w:t>Dose dependency was observed between 10 and 40 µg/kg/min in the two dose-finding studies using maintenance doses up to 40 µg/kg/min</w:t>
      </w:r>
      <w:r w:rsidR="00FA3F6B">
        <w:t>.</w:t>
      </w:r>
      <w:r w:rsidR="00E826D5" w:rsidRPr="00E826D5">
        <w:rPr>
          <w:vertAlign w:val="superscript"/>
        </w:rPr>
        <w:t>11,</w:t>
      </w:r>
      <w:r>
        <w:rPr>
          <w:rStyle w:val="FootnoteReference"/>
        </w:rPr>
        <w:footnoteReference w:id="18"/>
      </w:r>
      <w:r w:rsidRPr="0002708E">
        <w:t xml:space="preserve"> In the dose-finding study by Kato et al.</w:t>
      </w:r>
      <w:r w:rsidR="00017C2E" w:rsidRPr="00017C2E">
        <w:rPr>
          <w:vertAlign w:val="superscript"/>
        </w:rPr>
        <w:t>10</w:t>
      </w:r>
      <w:r w:rsidR="00017C2E" w:rsidRPr="00017C2E">
        <w:t>,</w:t>
      </w:r>
      <w:r w:rsidRPr="0002708E">
        <w:t xml:space="preserve"> using maintenance doses between 20 and 80 µg/kg/min, similar efficacy was observed for the two higher doses 40 and 80 µg/kg/min, suggesting a plateau of treatment effect at 40 µg/kg/min. In the two non-surgical studies evaluating low dose landiolol in patients with LV dysfunction</w:t>
      </w:r>
      <w:r w:rsidR="00960CAA">
        <w:t>,</w:t>
      </w:r>
      <w:r w:rsidR="008E7CE5" w:rsidRPr="008E7CE5">
        <w:rPr>
          <w:vertAlign w:val="superscript"/>
        </w:rPr>
        <w:t>13,15</w:t>
      </w:r>
      <w:r w:rsidRPr="008E7CE5">
        <w:rPr>
          <w:vertAlign w:val="superscript"/>
        </w:rPr>
        <w:t xml:space="preserve"> </w:t>
      </w:r>
      <w:r w:rsidRPr="0002708E">
        <w:t>relatively high proportions of patients had moderate improvement in HR reduction with landiolol.</w:t>
      </w:r>
    </w:p>
    <w:p w14:paraId="6B0ECA2F" w14:textId="2022D962" w:rsidR="0002708E" w:rsidRPr="0002708E" w:rsidRDefault="00E01DCC" w:rsidP="00403B60">
      <w:pPr>
        <w:pStyle w:val="FigureTitle"/>
      </w:pPr>
      <w:bookmarkStart w:id="56" w:name="_Ref181955714"/>
      <w:r w:rsidRPr="0002708E">
        <w:lastRenderedPageBreak/>
        <w:t xml:space="preserve">Figure </w:t>
      </w:r>
      <w:r>
        <w:fldChar w:fldCharType="begin"/>
      </w:r>
      <w:r>
        <w:instrText>SEQ Figure \* ARABIC</w:instrText>
      </w:r>
      <w:r>
        <w:fldChar w:fldCharType="separate"/>
      </w:r>
      <w:r w:rsidRPr="0002708E">
        <w:t>4</w:t>
      </w:r>
      <w:r>
        <w:fldChar w:fldCharType="end"/>
      </w:r>
      <w:bookmarkEnd w:id="56"/>
      <w:r w:rsidR="00CC7548">
        <w:t>:</w:t>
      </w:r>
      <w:r w:rsidRPr="0002708E">
        <w:t xml:space="preserve"> Moderate improvement in HR reduction or better (bar chart with frequency and 95% CI)</w:t>
      </w:r>
    </w:p>
    <w:p w14:paraId="316F4E68" w14:textId="77777777" w:rsidR="0002708E" w:rsidRPr="0002708E" w:rsidRDefault="00E01DCC" w:rsidP="0002708E">
      <w:r w:rsidRPr="0002708E">
        <w:rPr>
          <w:noProof/>
        </w:rPr>
        <w:drawing>
          <wp:inline distT="0" distB="0" distL="0" distR="0" wp14:anchorId="59A68855" wp14:editId="3D426CA2">
            <wp:extent cx="6096000" cy="3609922"/>
            <wp:effectExtent l="0" t="0" r="0" b="0"/>
            <wp:docPr id="1505023935" name="Picture 1" descr="Figure 4: Moderate improvement in HR reduction or better (bar chart with frequency and 95%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23935" name="Picture 1" descr="Figure 4: Moderate improvement in HR reduction or better (bar chart with frequency and 95% CI)"/>
                    <pic:cNvPicPr/>
                  </pic:nvPicPr>
                  <pic:blipFill>
                    <a:blip r:embed="rId31"/>
                    <a:stretch>
                      <a:fillRect/>
                    </a:stretch>
                  </pic:blipFill>
                  <pic:spPr>
                    <a:xfrm>
                      <a:off x="0" y="0"/>
                      <a:ext cx="6117872" cy="3622874"/>
                    </a:xfrm>
                    <a:prstGeom prst="rect">
                      <a:avLst/>
                    </a:prstGeom>
                  </pic:spPr>
                </pic:pic>
              </a:graphicData>
            </a:graphic>
          </wp:inline>
        </w:drawing>
      </w:r>
    </w:p>
    <w:p w14:paraId="3DF6A3C0" w14:textId="6B7D3334" w:rsidR="0005575E" w:rsidRPr="0005575E" w:rsidRDefault="00E01DCC" w:rsidP="0005575E">
      <w:r w:rsidRPr="0005575E">
        <w:t>In placebo-controlled studies evaluating a 40 µg/kg/min maintenance dose, landiolol was better than placebo in achieving moderate improvement in HR reduction (</w:t>
      </w:r>
      <w:r w:rsidRPr="0005575E">
        <w:fldChar w:fldCharType="begin"/>
      </w:r>
      <w:r w:rsidRPr="0005575E">
        <w:instrText xml:space="preserve"> REF _Ref181956695 \h </w:instrText>
      </w:r>
      <w:r w:rsidRPr="0005575E">
        <w:fldChar w:fldCharType="separate"/>
      </w:r>
      <w:r w:rsidRPr="0005575E">
        <w:t>Figure 5</w:t>
      </w:r>
      <w:r w:rsidRPr="0005575E">
        <w:fldChar w:fldCharType="end"/>
      </w:r>
      <w:r w:rsidRPr="0005575E">
        <w:t>)</w:t>
      </w:r>
      <w:r w:rsidR="002C4C2C">
        <w:t xml:space="preserve">. </w:t>
      </w:r>
      <w:r w:rsidRPr="0005575E">
        <w:t>In the meta-analysis pooling data from the placebo-controlled studies, landiolol was better than placebo in moderate improvement in HR reduction, with similar results for the M and H doses.</w:t>
      </w:r>
    </w:p>
    <w:p w14:paraId="5D419FAE" w14:textId="69371908" w:rsidR="00C92F1E" w:rsidRDefault="00E01DCC" w:rsidP="001D1500">
      <w:pPr>
        <w:pStyle w:val="FigureTitle"/>
      </w:pPr>
      <w:bookmarkStart w:id="57" w:name="_Ref181956695"/>
      <w:r w:rsidRPr="0005575E">
        <w:t xml:space="preserve">Figure </w:t>
      </w:r>
      <w:r>
        <w:fldChar w:fldCharType="begin"/>
      </w:r>
      <w:r>
        <w:instrText>SEQ Figure \* ARABIC</w:instrText>
      </w:r>
      <w:r>
        <w:fldChar w:fldCharType="separate"/>
      </w:r>
      <w:r w:rsidRPr="0005575E">
        <w:t>5</w:t>
      </w:r>
      <w:r>
        <w:fldChar w:fldCharType="end"/>
      </w:r>
      <w:bookmarkEnd w:id="57"/>
      <w:r w:rsidR="00F779CF">
        <w:t>:</w:t>
      </w:r>
      <w:r w:rsidRPr="0005575E">
        <w:t xml:space="preserve"> Moderate improvement in HR reduction or better (Forest plot with 95% CIs)</w:t>
      </w:r>
    </w:p>
    <w:p w14:paraId="28A70A9B" w14:textId="65DCDB90" w:rsidR="00FD2846" w:rsidRDefault="00E01DCC" w:rsidP="00A05138">
      <w:pPr>
        <w:rPr>
          <w:b/>
          <w:bCs/>
        </w:rPr>
      </w:pPr>
      <w:r>
        <w:rPr>
          <w:b/>
          <w:bCs/>
          <w:noProof/>
        </w:rPr>
        <w:drawing>
          <wp:inline distT="0" distB="0" distL="0" distR="0" wp14:anchorId="0D98CDC1" wp14:editId="7D095578">
            <wp:extent cx="5782310" cy="3517270"/>
            <wp:effectExtent l="0" t="0" r="8890" b="6985"/>
            <wp:docPr id="83255304" name="Picture 3" descr="Figure 5: Moderate improvement in HR reduction or better (Forest plot with 95%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5304" name="Picture 3" descr="Figure 5: Moderate improvement in HR reduction or better (Forest plot with 95% CIs)"/>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91487" cy="3522852"/>
                    </a:xfrm>
                    <a:prstGeom prst="rect">
                      <a:avLst/>
                    </a:prstGeom>
                    <a:noFill/>
                  </pic:spPr>
                </pic:pic>
              </a:graphicData>
            </a:graphic>
          </wp:inline>
        </w:drawing>
      </w:r>
    </w:p>
    <w:p w14:paraId="44FE1749" w14:textId="77777777" w:rsidR="0037074A" w:rsidRDefault="0037074A" w:rsidP="00A05138">
      <w:pPr>
        <w:rPr>
          <w:b/>
          <w:bCs/>
        </w:rPr>
      </w:pPr>
    </w:p>
    <w:p w14:paraId="15041931" w14:textId="3DECEAF2" w:rsidR="0047039F" w:rsidRPr="00A05138" w:rsidRDefault="00E01DCC" w:rsidP="00A05138">
      <w:pPr>
        <w:rPr>
          <w:b/>
          <w:bCs/>
        </w:rPr>
      </w:pPr>
      <w:r w:rsidRPr="00A05138">
        <w:rPr>
          <w:b/>
          <w:bCs/>
        </w:rPr>
        <w:lastRenderedPageBreak/>
        <w:t>Substantial improvement in HR reduction</w:t>
      </w:r>
    </w:p>
    <w:p w14:paraId="0CBCBDD1" w14:textId="6C21C48F" w:rsidR="0050218B" w:rsidRPr="0050218B" w:rsidRDefault="00E01DCC" w:rsidP="0050218B">
      <w:r w:rsidRPr="0047039F">
        <w:t>The definition of substantial improvement was not consistent across the studies, with some studies assessing restoration of sinus rhythm</w:t>
      </w:r>
      <w:r w:rsidR="002C4C2C">
        <w:t xml:space="preserve">. </w:t>
      </w:r>
      <w:r w:rsidRPr="0047039F">
        <w:t>The proportion of patients with substantial improvement in HR reduction/restoration of sinus rhythm ranged from 13.6% to 66.7% with</w:t>
      </w:r>
      <w:r w:rsidRPr="0050218B">
        <w:rPr>
          <w:rFonts w:eastAsia="Cambria" w:cs="Times New Roman"/>
          <w:szCs w:val="22"/>
        </w:rPr>
        <w:t xml:space="preserve"> </w:t>
      </w:r>
      <w:r w:rsidRPr="0050218B">
        <w:t>the landiolol H dose in the surgical setting studies (</w:t>
      </w:r>
      <w:r w:rsidRPr="0050218B">
        <w:fldChar w:fldCharType="begin"/>
      </w:r>
      <w:r w:rsidRPr="0050218B">
        <w:instrText xml:space="preserve"> REF _Ref181958057 \h </w:instrText>
      </w:r>
      <w:r w:rsidRPr="0050218B">
        <w:fldChar w:fldCharType="separate"/>
      </w:r>
      <w:r w:rsidRPr="0050218B">
        <w:t>Figure 6</w:t>
      </w:r>
      <w:r w:rsidRPr="0050218B">
        <w:fldChar w:fldCharType="end"/>
      </w:r>
      <w:r w:rsidRPr="0050218B">
        <w:t>)</w:t>
      </w:r>
      <w:r w:rsidR="002C4C2C">
        <w:t xml:space="preserve">. </w:t>
      </w:r>
      <w:r w:rsidRPr="0050218B">
        <w:t>In the non-surgical setting, landiolol was administered to patients with heart failure and AF at low doses, and the results varied from a very minor effect on sinus rhythm in the Adachi study to high proportion of patients with conversion to sinus rhythm in the Kobayashi study within the 24-hour treatment interval</w:t>
      </w:r>
      <w:r w:rsidR="002C4C2C">
        <w:t xml:space="preserve">. </w:t>
      </w:r>
      <w:r w:rsidRPr="0050218B">
        <w:t xml:space="preserve">It is possible that the long treatment interval of up to 24 hours in the latter study contributed to the high proportion of patients with conversion to sinus rhythm. </w:t>
      </w:r>
    </w:p>
    <w:p w14:paraId="3FCAC46E" w14:textId="1E233D56" w:rsidR="0050218B" w:rsidRPr="0050218B" w:rsidRDefault="00E01DCC" w:rsidP="0050218B">
      <w:r w:rsidRPr="0050218B">
        <w:t>Overall, there was large variability in the results, and no dose-dependent effect of landiolol was seen across the studies</w:t>
      </w:r>
      <w:r w:rsidR="002C4C2C">
        <w:t xml:space="preserve">. </w:t>
      </w:r>
      <w:r w:rsidRPr="0050218B">
        <w:t>Differences in endpoint definitions and timepoints of assessment did not allow clear comparisons between studies and did not allow a clear differentiation between effect on rate control versus rhythm control.</w:t>
      </w:r>
    </w:p>
    <w:p w14:paraId="25E7475B" w14:textId="7D3C733A" w:rsidR="002E527A" w:rsidRPr="002E527A" w:rsidRDefault="00E01DCC" w:rsidP="009A498D">
      <w:pPr>
        <w:pStyle w:val="FigureTitle"/>
      </w:pPr>
      <w:bookmarkStart w:id="58" w:name="_Ref181958057"/>
      <w:r w:rsidRPr="002E527A">
        <w:t xml:space="preserve">Figure </w:t>
      </w:r>
      <w:r>
        <w:fldChar w:fldCharType="begin"/>
      </w:r>
      <w:r>
        <w:instrText>SEQ Figure \* ARABIC</w:instrText>
      </w:r>
      <w:r>
        <w:fldChar w:fldCharType="separate"/>
      </w:r>
      <w:r w:rsidRPr="002E527A">
        <w:t>6</w:t>
      </w:r>
      <w:r>
        <w:fldChar w:fldCharType="end"/>
      </w:r>
      <w:bookmarkEnd w:id="58"/>
      <w:r w:rsidR="00F779CF">
        <w:t>:</w:t>
      </w:r>
      <w:r w:rsidRPr="002E527A">
        <w:t xml:space="preserve"> Substantial improvement in HR reduction/restoration of sinus rhythm (bar chart with frequency and 95% confidence intervals)</w:t>
      </w:r>
    </w:p>
    <w:p w14:paraId="0424F921" w14:textId="09D35551" w:rsidR="00C92F1E" w:rsidRDefault="00E01DCC" w:rsidP="0047039F">
      <w:r>
        <w:rPr>
          <w:noProof/>
        </w:rPr>
        <w:drawing>
          <wp:inline distT="0" distB="0" distL="0" distR="0" wp14:anchorId="144E2021" wp14:editId="246B0706">
            <wp:extent cx="5762625" cy="3977285"/>
            <wp:effectExtent l="0" t="0" r="0" b="4445"/>
            <wp:docPr id="885183353" name="Picture 1" descr="Figure 6: Substantial improvement in HR reduction/restoration of sinus rhythm (bar chart with frequency and 95% confidenc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83353" name="Picture 1" descr="Figure 6: Substantial improvement in HR reduction/restoration of sinus rhythm (bar chart with frequency and 95% confidence intervals)"/>
                    <pic:cNvPicPr/>
                  </pic:nvPicPr>
                  <pic:blipFill>
                    <a:blip r:embed="rId33"/>
                    <a:stretch>
                      <a:fillRect/>
                    </a:stretch>
                  </pic:blipFill>
                  <pic:spPr>
                    <a:xfrm>
                      <a:off x="0" y="0"/>
                      <a:ext cx="5799467" cy="4002713"/>
                    </a:xfrm>
                    <a:prstGeom prst="rect">
                      <a:avLst/>
                    </a:prstGeom>
                  </pic:spPr>
                </pic:pic>
              </a:graphicData>
            </a:graphic>
          </wp:inline>
        </w:drawing>
      </w:r>
    </w:p>
    <w:p w14:paraId="7950FADF" w14:textId="75652E39" w:rsidR="00C16135" w:rsidRDefault="00E01DCC" w:rsidP="00C16135">
      <w:r w:rsidRPr="00476E85">
        <w:t xml:space="preserve">In </w:t>
      </w:r>
      <w:r>
        <w:t xml:space="preserve">placebo-controlled </w:t>
      </w:r>
      <w:r w:rsidRPr="00476E85">
        <w:t xml:space="preserve">studies, </w:t>
      </w:r>
      <w:r>
        <w:t>l</w:t>
      </w:r>
      <w:r w:rsidRPr="00476E85">
        <w:t xml:space="preserve">andiolol </w:t>
      </w:r>
      <w:r>
        <w:t xml:space="preserve">(H dose) </w:t>
      </w:r>
      <w:r w:rsidRPr="00476E85">
        <w:t xml:space="preserve">was better than placebo </w:t>
      </w:r>
      <w:r>
        <w:t>for substantial</w:t>
      </w:r>
      <w:r w:rsidRPr="00476E85">
        <w:t xml:space="preserve"> improvement in HR reduction</w:t>
      </w:r>
      <w:r w:rsidRPr="00205ECF">
        <w:t>/restoration of sinus rhythm</w:t>
      </w:r>
      <w:r>
        <w:t xml:space="preserve"> (</w:t>
      </w:r>
      <w:r>
        <w:fldChar w:fldCharType="begin"/>
      </w:r>
      <w:r>
        <w:instrText xml:space="preserve"> REF _Ref181958593 \h </w:instrText>
      </w:r>
      <w:r>
        <w:fldChar w:fldCharType="separate"/>
      </w:r>
      <w:r>
        <w:t xml:space="preserve">Figure </w:t>
      </w:r>
      <w:r>
        <w:rPr>
          <w:noProof/>
        </w:rPr>
        <w:t>7</w:t>
      </w:r>
      <w:r>
        <w:fldChar w:fldCharType="end"/>
      </w:r>
      <w:r>
        <w:t>). Differences in endpoint definitions in the</w:t>
      </w:r>
      <w:r w:rsidRPr="00205ECF">
        <w:t xml:space="preserve"> two studies may </w:t>
      </w:r>
      <w:r>
        <w:t>have contributed to</w:t>
      </w:r>
      <w:r w:rsidRPr="00205ECF">
        <w:t xml:space="preserve"> the numerically different results</w:t>
      </w:r>
      <w:r w:rsidR="002C4C2C">
        <w:t xml:space="preserve">. </w:t>
      </w:r>
    </w:p>
    <w:p w14:paraId="32B5344C" w14:textId="0DD9F298" w:rsidR="00C16135" w:rsidRPr="009A498D" w:rsidRDefault="00E01DCC" w:rsidP="009A498D">
      <w:pPr>
        <w:pStyle w:val="FigureTitle"/>
      </w:pPr>
      <w:bookmarkStart w:id="59" w:name="_Ref181958593"/>
      <w:r w:rsidRPr="00B35823">
        <w:lastRenderedPageBreak/>
        <w:t xml:space="preserve">Figure </w:t>
      </w:r>
      <w:r>
        <w:fldChar w:fldCharType="begin"/>
      </w:r>
      <w:r>
        <w:instrText>SEQ Figure \* ARABIC</w:instrText>
      </w:r>
      <w:r>
        <w:fldChar w:fldCharType="separate"/>
      </w:r>
      <w:r w:rsidRPr="00B35823">
        <w:t>7</w:t>
      </w:r>
      <w:r>
        <w:fldChar w:fldCharType="end"/>
      </w:r>
      <w:bookmarkEnd w:id="59"/>
      <w:r w:rsidR="00F779CF" w:rsidRPr="00B35823">
        <w:t>:</w:t>
      </w:r>
      <w:r w:rsidRPr="00B35823">
        <w:t xml:space="preserve"> Substantial improvement</w:t>
      </w:r>
      <w:r w:rsidRPr="009A498D">
        <w:t xml:space="preserve"> in HR reduction/restoration of sinus rhythm (Forest plot with 95% CIs)</w:t>
      </w:r>
    </w:p>
    <w:p w14:paraId="52AEF6FA" w14:textId="77DC9343" w:rsidR="00DF41F6" w:rsidRDefault="00E01DCC" w:rsidP="009A498D">
      <w:pPr>
        <w:rPr>
          <w:b/>
          <w:bCs/>
        </w:rPr>
      </w:pPr>
      <w:r w:rsidRPr="00DF41F6">
        <w:rPr>
          <w:b/>
          <w:bCs/>
          <w:noProof/>
        </w:rPr>
        <w:drawing>
          <wp:inline distT="0" distB="0" distL="0" distR="0" wp14:anchorId="0D925CB1" wp14:editId="7D53B060">
            <wp:extent cx="5648325" cy="3315511"/>
            <wp:effectExtent l="0" t="0" r="0" b="0"/>
            <wp:docPr id="1637300330" name="Picture 1" descr="Figure 7: Substantial improvement in HR reduction/restoration of sinus rhythm (Forest plot with 95%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00330" name="Picture 1" descr="Figure 7: Substantial improvement in HR reduction/restoration of sinus rhythm (Forest plot with 95% CIs)"/>
                    <pic:cNvPicPr/>
                  </pic:nvPicPr>
                  <pic:blipFill>
                    <a:blip r:embed="rId34"/>
                    <a:stretch>
                      <a:fillRect/>
                    </a:stretch>
                  </pic:blipFill>
                  <pic:spPr>
                    <a:xfrm>
                      <a:off x="0" y="0"/>
                      <a:ext cx="5658283" cy="3321356"/>
                    </a:xfrm>
                    <a:prstGeom prst="rect">
                      <a:avLst/>
                    </a:prstGeom>
                  </pic:spPr>
                </pic:pic>
              </a:graphicData>
            </a:graphic>
          </wp:inline>
        </w:drawing>
      </w:r>
    </w:p>
    <w:p w14:paraId="7149CA04" w14:textId="1D45A944" w:rsidR="003C243C" w:rsidRPr="009A498D" w:rsidRDefault="00E01DCC" w:rsidP="009A498D">
      <w:pPr>
        <w:rPr>
          <w:b/>
          <w:bCs/>
        </w:rPr>
      </w:pPr>
      <w:r w:rsidRPr="009A498D">
        <w:rPr>
          <w:b/>
          <w:bCs/>
        </w:rPr>
        <w:t>Change in HR from baseline</w:t>
      </w:r>
    </w:p>
    <w:p w14:paraId="36D7E853" w14:textId="52738405" w:rsidR="003C243C" w:rsidRPr="003C243C" w:rsidRDefault="00E01DCC" w:rsidP="003C243C">
      <w:r w:rsidRPr="003C243C">
        <w:t xml:space="preserve">The change in HR from baseline was assessed in 11 studies, with 9 of these studies evaluating H dose landiolol (125 µg/kg for 1 min followed by 40 µg/kg/min). In </w:t>
      </w:r>
      <w:proofErr w:type="gramStart"/>
      <w:r w:rsidRPr="003C243C">
        <w:t>the majority of</w:t>
      </w:r>
      <w:proofErr w:type="gramEnd"/>
      <w:r w:rsidRPr="003C243C">
        <w:t xml:space="preserve"> studies, H dose landiolol was administered over a period of 11 minutes. For the peri-and post-operative studies, the mean change in HR from baseline to 11 min ranged from -18.9% to -34.9% for H dose landiolol, and for the non-surgical studies, the mean change in HR from baseline to 11 min ranged from -8.4% to -20.3% (</w:t>
      </w:r>
      <w:r w:rsidRPr="003C243C">
        <w:fldChar w:fldCharType="begin"/>
      </w:r>
      <w:r w:rsidRPr="003C243C">
        <w:instrText xml:space="preserve"> REF _Ref182219941 \h </w:instrText>
      </w:r>
      <w:r w:rsidRPr="003C243C">
        <w:fldChar w:fldCharType="separate"/>
      </w:r>
      <w:r w:rsidRPr="003C243C">
        <w:t>Figure 8</w:t>
      </w:r>
      <w:r w:rsidRPr="003C243C">
        <w:fldChar w:fldCharType="end"/>
      </w:r>
      <w:r w:rsidRPr="003C243C">
        <w:t>)</w:t>
      </w:r>
      <w:r w:rsidR="002C4C2C">
        <w:t xml:space="preserve">. </w:t>
      </w:r>
      <w:r w:rsidRPr="003C243C">
        <w:t>In studies evaluating different doses, dose-dependent effects on HR were mostly observed.</w:t>
      </w:r>
    </w:p>
    <w:p w14:paraId="13F88F26" w14:textId="0C0A9A9B" w:rsidR="003C243C" w:rsidRPr="003C243C" w:rsidRDefault="00E01DCC" w:rsidP="000567BD">
      <w:pPr>
        <w:pStyle w:val="FigureTitle"/>
      </w:pPr>
      <w:bookmarkStart w:id="60" w:name="_Ref182219941"/>
      <w:r w:rsidRPr="00816A64">
        <w:t xml:space="preserve">Figure </w:t>
      </w:r>
      <w:r>
        <w:fldChar w:fldCharType="begin"/>
      </w:r>
      <w:r>
        <w:instrText>SEQ Figure \* ARABIC</w:instrText>
      </w:r>
      <w:r>
        <w:fldChar w:fldCharType="separate"/>
      </w:r>
      <w:r w:rsidRPr="00816A64">
        <w:t>8</w:t>
      </w:r>
      <w:r>
        <w:fldChar w:fldCharType="end"/>
      </w:r>
      <w:bookmarkEnd w:id="60"/>
      <w:r w:rsidR="00F779CF" w:rsidRPr="00816A64">
        <w:t>:</w:t>
      </w:r>
      <w:r w:rsidRPr="00816A64">
        <w:t xml:space="preserve"> Percent change in HR</w:t>
      </w:r>
      <w:r w:rsidRPr="003C243C">
        <w:t xml:space="preserve"> from baseline at various timepoints (mean with standard error), studies using the H dose</w:t>
      </w:r>
    </w:p>
    <w:p w14:paraId="2B9B3B81" w14:textId="7E6996F6" w:rsidR="00B41D4C" w:rsidRDefault="00E01DCC" w:rsidP="000567BD">
      <w:pPr>
        <w:rPr>
          <w:b/>
          <w:bCs/>
          <w:noProof/>
        </w:rPr>
      </w:pPr>
      <w:r>
        <w:rPr>
          <w:b/>
          <w:bCs/>
          <w:noProof/>
        </w:rPr>
        <w:drawing>
          <wp:inline distT="0" distB="0" distL="0" distR="0" wp14:anchorId="247FF76D" wp14:editId="51A21A7C">
            <wp:extent cx="4357315" cy="2979210"/>
            <wp:effectExtent l="0" t="0" r="5715" b="0"/>
            <wp:docPr id="608809386" name="Picture 9" descr="Figure 8: Percent change in HR from baseline at various timepoints (mean with standard error), studies using the H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09386" name="Picture 9" descr="Figure 8: Percent change in HR from baseline at various timepoints (mean with standard error), studies using the H dose"/>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368485" cy="2986847"/>
                    </a:xfrm>
                    <a:prstGeom prst="rect">
                      <a:avLst/>
                    </a:prstGeom>
                    <a:noFill/>
                  </pic:spPr>
                </pic:pic>
              </a:graphicData>
            </a:graphic>
          </wp:inline>
        </w:drawing>
      </w:r>
    </w:p>
    <w:p w14:paraId="1601B374" w14:textId="77777777" w:rsidR="00816A64" w:rsidRDefault="00816A64" w:rsidP="000567BD">
      <w:pPr>
        <w:rPr>
          <w:b/>
          <w:bCs/>
        </w:rPr>
      </w:pPr>
    </w:p>
    <w:p w14:paraId="1B002969" w14:textId="4B9B0AFF" w:rsidR="00EF060C" w:rsidRPr="000567BD" w:rsidRDefault="00E01DCC" w:rsidP="000567BD">
      <w:pPr>
        <w:rPr>
          <w:b/>
          <w:bCs/>
        </w:rPr>
      </w:pPr>
      <w:r w:rsidRPr="000567BD">
        <w:rPr>
          <w:b/>
          <w:bCs/>
        </w:rPr>
        <w:lastRenderedPageBreak/>
        <w:t>Study LDLL600.201</w:t>
      </w:r>
    </w:p>
    <w:p w14:paraId="70414F39" w14:textId="154DEC70" w:rsidR="00EF060C" w:rsidRPr="00EF060C" w:rsidRDefault="00E01DCC" w:rsidP="00EF060C">
      <w:r w:rsidRPr="00EF060C">
        <w:t>This was a Phase 2, single-centre, open-label, two-arm study evaluating landiolol in patients with tachycardic AF or AFl with baseline HR 100 – 200 bpm</w:t>
      </w:r>
      <w:r w:rsidR="002C4C2C">
        <w:t xml:space="preserve">. </w:t>
      </w:r>
      <w:r w:rsidRPr="00EF060C">
        <w:t>20 patients were randomised, 10 to bolus + maintenance dosing and 10 to maintenance only dosing (</w:t>
      </w:r>
      <w:r w:rsidRPr="00EF060C">
        <w:fldChar w:fldCharType="begin"/>
      </w:r>
      <w:r w:rsidRPr="00EF060C">
        <w:instrText xml:space="preserve"> REF _Ref182221749 \h </w:instrText>
      </w:r>
      <w:r w:rsidRPr="00EF060C">
        <w:fldChar w:fldCharType="separate"/>
      </w:r>
      <w:r w:rsidRPr="00EF060C">
        <w:t>Figure 9</w:t>
      </w:r>
      <w:r w:rsidRPr="00EF060C">
        <w:fldChar w:fldCharType="end"/>
      </w:r>
      <w:r w:rsidRPr="00EF060C">
        <w:t>)</w:t>
      </w:r>
      <w:r w:rsidR="002C4C2C">
        <w:t xml:space="preserve">. </w:t>
      </w:r>
    </w:p>
    <w:p w14:paraId="4CB966E0" w14:textId="77777777" w:rsidR="0037074A" w:rsidRDefault="00E01DCC" w:rsidP="000567BD">
      <w:pPr>
        <w:pStyle w:val="FigureTitle"/>
      </w:pPr>
      <w:bookmarkStart w:id="61" w:name="_Ref182221749"/>
      <w:r w:rsidRPr="00EF060C">
        <w:t xml:space="preserve">Figure </w:t>
      </w:r>
      <w:r>
        <w:fldChar w:fldCharType="begin"/>
      </w:r>
      <w:r>
        <w:instrText>SEQ Figure \* ARABIC</w:instrText>
      </w:r>
      <w:r>
        <w:fldChar w:fldCharType="separate"/>
      </w:r>
      <w:r w:rsidRPr="00EF060C">
        <w:t>9</w:t>
      </w:r>
      <w:r>
        <w:fldChar w:fldCharType="end"/>
      </w:r>
      <w:bookmarkEnd w:id="61"/>
      <w:r w:rsidR="00F779CF">
        <w:t>:</w:t>
      </w:r>
      <w:r w:rsidRPr="00EF060C">
        <w:t xml:space="preserve"> Study design</w:t>
      </w:r>
    </w:p>
    <w:p w14:paraId="2DFC9557" w14:textId="52DEE9BA" w:rsidR="00C16135" w:rsidRDefault="00AD3D4F" w:rsidP="0037074A">
      <w:r>
        <w:rPr>
          <w:noProof/>
        </w:rPr>
        <w:drawing>
          <wp:inline distT="0" distB="0" distL="0" distR="0" wp14:anchorId="2EF0FCA3" wp14:editId="031DEE9B">
            <wp:extent cx="5734050" cy="4288397"/>
            <wp:effectExtent l="0" t="0" r="0" b="0"/>
            <wp:docPr id="2075905046" name="Picture 1" descr="Figure 9: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05046" name="Picture 1" descr="Figure 9: Study design"/>
                    <pic:cNvPicPr/>
                  </pic:nvPicPr>
                  <pic:blipFill>
                    <a:blip r:embed="rId36"/>
                    <a:stretch>
                      <a:fillRect/>
                    </a:stretch>
                  </pic:blipFill>
                  <pic:spPr>
                    <a:xfrm>
                      <a:off x="0" y="0"/>
                      <a:ext cx="5813182" cy="4347578"/>
                    </a:xfrm>
                    <a:prstGeom prst="rect">
                      <a:avLst/>
                    </a:prstGeom>
                  </pic:spPr>
                </pic:pic>
              </a:graphicData>
            </a:graphic>
          </wp:inline>
        </w:drawing>
      </w:r>
    </w:p>
    <w:p w14:paraId="1DD2D708" w14:textId="2D4AABA0" w:rsidR="00513ED8" w:rsidRPr="00513ED8" w:rsidRDefault="00E01DCC" w:rsidP="00513ED8">
      <w:r w:rsidRPr="00513ED8">
        <w:t>The primary endpoint (patients with successful HR control, defined as HR˂90 bpm or ≥20% reduction of HR from baseline, achieved and maintained during the first 16 min after continuous landiolol infusion start) was achieved by 50% of patients in the overall analysis set (60.0% in maintenance only group and 40.0% in bolus + maintenance group)</w:t>
      </w:r>
      <w:r w:rsidR="002C4C2C">
        <w:t xml:space="preserve">. </w:t>
      </w:r>
      <w:r w:rsidRPr="00513ED8">
        <w:t>The frequency of patients with successful HR control at any timepoint was 65% for the overall analysis set (90.0% in maintenance only group and 40.0% in bolus + maintenance group)</w:t>
      </w:r>
      <w:r w:rsidR="002C4C2C">
        <w:t xml:space="preserve">. </w:t>
      </w:r>
      <w:r w:rsidRPr="00513ED8">
        <w:t>In the maintenance only group the median time to successful HR control was 12.0 min (95% CI [8.0, 16.0], based on N=9) and in the bolus + maintenance group the median time to successful HR control was 8.0 min (95% CI [4.0, 14.0], based on N=4)</w:t>
      </w:r>
      <w:r w:rsidR="002C4C2C">
        <w:t xml:space="preserve">. </w:t>
      </w:r>
    </w:p>
    <w:p w14:paraId="3C901E14" w14:textId="77777777" w:rsidR="00513ED8" w:rsidRPr="00513ED8" w:rsidRDefault="00E01DCC" w:rsidP="00867F8C">
      <w:pPr>
        <w:pStyle w:val="Heading5"/>
      </w:pPr>
      <w:r w:rsidRPr="00867F8C">
        <w:t>Safety</w:t>
      </w:r>
    </w:p>
    <w:p w14:paraId="7FDECCBD" w14:textId="6E84C43F" w:rsidR="00513ED8" w:rsidRPr="00513ED8" w:rsidRDefault="00E01DCC" w:rsidP="00513ED8">
      <w:r w:rsidRPr="00513ED8">
        <w:t xml:space="preserve">The clinical safety dataset is derived from 38 published clinical studies with </w:t>
      </w:r>
      <w:proofErr w:type="spellStart"/>
      <w:r w:rsidRPr="00513ED8">
        <w:t>Onoact</w:t>
      </w:r>
      <w:proofErr w:type="spellEnd"/>
      <w:r w:rsidRPr="00513ED8">
        <w:t xml:space="preserve"> (19 placebo-controlled, 5 active-controlled, 4 no-treatment-controlled, 10 uncontrolled</w:t>
      </w:r>
      <w:r w:rsidR="00762FA5">
        <w:t xml:space="preserve"> </w:t>
      </w:r>
      <w:r w:rsidRPr="00513ED8">
        <w:t>and 4 AOP-sponsored studies of landiolol</w:t>
      </w:r>
      <w:r w:rsidR="002342FE">
        <w:t>)</w:t>
      </w:r>
      <w:r w:rsidRPr="00513ED8">
        <w:t xml:space="preserve">. </w:t>
      </w:r>
      <w:r w:rsidR="00E80E3F">
        <w:t>Thirty-seven</w:t>
      </w:r>
      <w:r w:rsidRPr="00513ED8">
        <w:t xml:space="preserve"> of the </w:t>
      </w:r>
      <w:proofErr w:type="spellStart"/>
      <w:r w:rsidRPr="00513ED8">
        <w:t>Onoact</w:t>
      </w:r>
      <w:proofErr w:type="spellEnd"/>
      <w:r w:rsidRPr="00513ED8">
        <w:t xml:space="preserve"> studies were conducted in Japan and 1 in China</w:t>
      </w:r>
      <w:r w:rsidR="002C4C2C">
        <w:t xml:space="preserve">. </w:t>
      </w:r>
      <w:r w:rsidRPr="00513ED8">
        <w:t xml:space="preserve">The </w:t>
      </w:r>
      <w:proofErr w:type="spellStart"/>
      <w:r w:rsidRPr="00513ED8">
        <w:t>Onoact</w:t>
      </w:r>
      <w:proofErr w:type="spellEnd"/>
      <w:r w:rsidRPr="00513ED8">
        <w:t xml:space="preserve"> studies evaluated </w:t>
      </w:r>
      <w:proofErr w:type="spellStart"/>
      <w:r w:rsidRPr="00513ED8">
        <w:t>landiolol</w:t>
      </w:r>
      <w:proofErr w:type="spellEnd"/>
      <w:r w:rsidRPr="00513ED8">
        <w:t xml:space="preserve"> as treatment for pre-existing tachycardia (i.e. elevated HR at baseline) and in subjects with HR not elevated at baseline</w:t>
      </w:r>
      <w:r w:rsidR="002C4C2C">
        <w:t xml:space="preserve">. </w:t>
      </w:r>
      <w:r w:rsidRPr="00513ED8">
        <w:t xml:space="preserve">The AOP-sponsored studies evaluated </w:t>
      </w:r>
      <w:proofErr w:type="spellStart"/>
      <w:r w:rsidRPr="00513ED8">
        <w:t>landiolol</w:t>
      </w:r>
      <w:proofErr w:type="spellEnd"/>
      <w:r w:rsidRPr="00513ED8">
        <w:t xml:space="preserve"> in healthy subjects (Studies CPA368-10, CPA410-12 and CPA422-12) and in patients with tachycardic AF or </w:t>
      </w:r>
      <w:proofErr w:type="spellStart"/>
      <w:r w:rsidRPr="00513ED8">
        <w:t>AFl</w:t>
      </w:r>
      <w:proofErr w:type="spellEnd"/>
      <w:r w:rsidRPr="00513ED8">
        <w:t xml:space="preserve"> (Study LDLL600.201).</w:t>
      </w:r>
    </w:p>
    <w:p w14:paraId="216168F2" w14:textId="0EAC48D9" w:rsidR="00513ED8" w:rsidRPr="00513ED8" w:rsidRDefault="00E01DCC" w:rsidP="00513ED8">
      <w:r>
        <w:lastRenderedPageBreak/>
        <w:t>Over two thousand, one hundred</w:t>
      </w:r>
      <w:r w:rsidRPr="00513ED8">
        <w:t xml:space="preserve"> patients </w:t>
      </w:r>
      <w:r w:rsidR="004839EE" w:rsidRPr="004839EE">
        <w:t>(2,101 patients</w:t>
      </w:r>
      <w:r w:rsidR="004839EE">
        <w:t>,</w:t>
      </w:r>
      <w:r w:rsidR="004839EE" w:rsidRPr="004839EE">
        <w:t xml:space="preserve"> </w:t>
      </w:r>
      <w:r w:rsidRPr="00513ED8">
        <w:t xml:space="preserve">1800 unique patients) were treated with </w:t>
      </w:r>
      <w:proofErr w:type="spellStart"/>
      <w:r w:rsidRPr="00513ED8">
        <w:t>landiolol</w:t>
      </w:r>
      <w:proofErr w:type="spellEnd"/>
      <w:r w:rsidRPr="00513ED8">
        <w:t xml:space="preserve"> in the </w:t>
      </w:r>
      <w:proofErr w:type="spellStart"/>
      <w:r w:rsidRPr="00513ED8">
        <w:t>Onoact</w:t>
      </w:r>
      <w:proofErr w:type="spellEnd"/>
      <w:r w:rsidRPr="00513ED8">
        <w:t xml:space="preserve"> studies</w:t>
      </w:r>
      <w:r w:rsidR="002C4C2C">
        <w:t xml:space="preserve">. </w:t>
      </w:r>
      <w:r w:rsidRPr="00513ED8">
        <w:t>Adverse event (AE) data from the published studies was pooled and presented for “all studies”, “placebo-controlled studies”, “active-controlled studies” and “no-treatment-controlled studies”. The underlying database includes all AEs which were assessed as study drug-related; in case no information on the relationship was available from the publication, the AE was considered as related (i.e. worst-case approach). Serious AEs (SAEs) and deaths were reported in 6 of the 38 studies</w:t>
      </w:r>
      <w:r w:rsidR="002C4C2C">
        <w:t xml:space="preserve">. </w:t>
      </w:r>
      <w:r w:rsidRPr="00513ED8">
        <w:t>For the description of SAEs and deaths, all events were considered, independent of their relationship to study drug.</w:t>
      </w:r>
    </w:p>
    <w:p w14:paraId="3103D02D" w14:textId="22C91FC4" w:rsidR="00513ED8" w:rsidRPr="00513ED8" w:rsidRDefault="00E01DCC" w:rsidP="00513ED8">
      <w:r w:rsidRPr="00513ED8">
        <w:t>The overall frequency of AEs with landiolol was 16.52% (all landiolol studies)</w:t>
      </w:r>
      <w:r w:rsidR="002C4C2C">
        <w:t xml:space="preserve">. </w:t>
      </w:r>
      <w:r w:rsidRPr="00513ED8">
        <w:t>On the PT level, the most frequent AEs were hypotension (6.43%), and bradycardia (1.52%).</w:t>
      </w:r>
    </w:p>
    <w:p w14:paraId="7A561407" w14:textId="6D772F32" w:rsidR="00513ED8" w:rsidRPr="00513ED8" w:rsidRDefault="00E01DCC" w:rsidP="00513ED8">
      <w:r w:rsidRPr="00513ED8">
        <w:t>In placebo-controlled studies, similar overall AE frequencies were observed with landiolol (14.58%) and placebo (14.30%)</w:t>
      </w:r>
      <w:r w:rsidR="002C4C2C">
        <w:t xml:space="preserve">. </w:t>
      </w:r>
      <w:r w:rsidRPr="00513ED8">
        <w:t>In the SOC vascular disorders, AEs were reported in 7.34% of landiolol-treated patients compared to 4.05% of placebo patients, driven mainly by the PT hypotension (5.40% vs 1.08%)</w:t>
      </w:r>
      <w:r w:rsidR="002C4C2C">
        <w:t xml:space="preserve">. </w:t>
      </w:r>
      <w:r w:rsidRPr="00513ED8">
        <w:t>In the SOC cardiac disorders, AEs were reported in 6.21% of placebo-treated patients compared to 2.16% of landiolol patients, driven mainly by the PTs tachycardia and atrial fibrillation (2.70% and 2.02%, respectively, with placebo, and 1.19% and 0.54%, respectively, with landiolol).</w:t>
      </w:r>
    </w:p>
    <w:p w14:paraId="534B4DE6" w14:textId="495053E1" w:rsidR="00513ED8" w:rsidRPr="00513ED8" w:rsidRDefault="00E01DCC" w:rsidP="00513ED8">
      <w:r w:rsidRPr="00513ED8">
        <w:t xml:space="preserve">In active-controlled studies, </w:t>
      </w:r>
      <w:proofErr w:type="gramStart"/>
      <w:r w:rsidRPr="00513ED8">
        <w:t>overall</w:t>
      </w:r>
      <w:proofErr w:type="gramEnd"/>
      <w:r w:rsidRPr="00513ED8">
        <w:t xml:space="preserve"> AE frequencies were similar for landiolol and active comparator (34.72% versus 38.76%)</w:t>
      </w:r>
      <w:r w:rsidR="002C4C2C">
        <w:t xml:space="preserve">. </w:t>
      </w:r>
      <w:r w:rsidRPr="00513ED8">
        <w:t>In the SOC cardiac disorders, AEs were reported in 9.33% of landiolol-treated patients compared to 6.70% of placebo patients, driven mainly by the PT bradycardia (8.81% vs 4.78%)</w:t>
      </w:r>
      <w:r w:rsidR="002C4C2C">
        <w:t xml:space="preserve">. </w:t>
      </w:r>
      <w:r w:rsidRPr="00513ED8">
        <w:t>The PT hypotension was reported in 10.88% of patients treated with landiolol and 12.92% with active comparator.</w:t>
      </w:r>
    </w:p>
    <w:p w14:paraId="0AF8460D" w14:textId="6266194F" w:rsidR="00513ED8" w:rsidRPr="00513ED8" w:rsidRDefault="00E01DCC" w:rsidP="00513ED8">
      <w:r w:rsidRPr="00513ED8">
        <w:t>Adverse events in patients with left ventricular dysfunction were examined in 145 subjects in two studies</w:t>
      </w:r>
      <w:r w:rsidR="00CD2DA2">
        <w:t>.</w:t>
      </w:r>
      <w:r w:rsidR="00CD2DA2" w:rsidRPr="00CD2DA2">
        <w:rPr>
          <w:vertAlign w:val="superscript"/>
        </w:rPr>
        <w:t>13,15</w:t>
      </w:r>
      <w:r w:rsidRPr="00513ED8">
        <w:t xml:space="preserve"> Adachi et al</w:t>
      </w:r>
      <w:r w:rsidR="00F12E70">
        <w:t>.</w:t>
      </w:r>
      <w:r w:rsidR="00775C0C" w:rsidRPr="00775C0C">
        <w:rPr>
          <w:vertAlign w:val="superscript"/>
        </w:rPr>
        <w:t>15</w:t>
      </w:r>
      <w:r w:rsidRPr="00513ED8">
        <w:t xml:space="preserve"> was an uncontrolled study in which 52 patients with congestive heart failure and SVT were treated with landiolol, initiated at 1 µg/kg/min and titrated up to 20 µg/kg/min</w:t>
      </w:r>
      <w:r w:rsidR="002C4C2C">
        <w:t xml:space="preserve">. </w:t>
      </w:r>
      <w:r w:rsidRPr="00513ED8">
        <w:t>Nagai et al</w:t>
      </w:r>
      <w:r w:rsidR="00F12E70">
        <w:t>.</w:t>
      </w:r>
      <w:r w:rsidR="00137BF4" w:rsidRPr="00137BF4">
        <w:rPr>
          <w:vertAlign w:val="superscript"/>
        </w:rPr>
        <w:t>13</w:t>
      </w:r>
      <w:r w:rsidRPr="00513ED8">
        <w:t xml:space="preserve"> was an active-controlled study in which 93 patients with AF or AFl and LV dysfunction were treated with landiolol administered at 1–10 µg/kg/min for 2–72 hours (mean dose 6.3 µg/kg/min, mean treatment duration 20.4 hours)</w:t>
      </w:r>
      <w:r w:rsidR="002C4C2C">
        <w:t xml:space="preserve">. </w:t>
      </w:r>
      <w:r w:rsidRPr="00513ED8">
        <w:t xml:space="preserve">The safety profile in these studies was </w:t>
      </w:r>
      <w:proofErr w:type="gramStart"/>
      <w:r w:rsidRPr="00513ED8">
        <w:t>similar to</w:t>
      </w:r>
      <w:proofErr w:type="gramEnd"/>
      <w:r w:rsidRPr="00513ED8">
        <w:t xml:space="preserve"> the overall population.</w:t>
      </w:r>
    </w:p>
    <w:p w14:paraId="71A41DDD" w14:textId="6A4A8919" w:rsidR="00513ED8" w:rsidRPr="00513ED8" w:rsidRDefault="00E01DCC" w:rsidP="00513ED8">
      <w:r w:rsidRPr="00513ED8">
        <w:t>In an analysis by dose, no dose-dependent effect of landiolol on AE frequencies was observed</w:t>
      </w:r>
      <w:r w:rsidR="002C4C2C">
        <w:t xml:space="preserve">. </w:t>
      </w:r>
    </w:p>
    <w:p w14:paraId="401A8984" w14:textId="721EECE3" w:rsidR="00513ED8" w:rsidRPr="00513ED8" w:rsidRDefault="00E01DCC" w:rsidP="00513ED8">
      <w:r w:rsidRPr="00513ED8">
        <w:t xml:space="preserve">Adverse events of special interest (AESI) included hypotension/decreased </w:t>
      </w:r>
      <w:r w:rsidR="00DA0880">
        <w:t>blood pressure</w:t>
      </w:r>
      <w:r w:rsidRPr="00513ED8">
        <w:t xml:space="preserve">, bradycardia/decreased </w:t>
      </w:r>
      <w:r w:rsidR="00DA0880">
        <w:t>heart rate</w:t>
      </w:r>
      <w:r w:rsidRPr="00513ED8">
        <w:t>, cardiac failure, shock, sinus arrest/cardiac arrest/complete AV block, and bronchospasm (</w:t>
      </w:r>
      <w:r w:rsidR="008D5659">
        <w:t>Table 7</w:t>
      </w:r>
      <w:r w:rsidRPr="00513ED8">
        <w:t>).</w:t>
      </w:r>
    </w:p>
    <w:p w14:paraId="128CE289" w14:textId="77777777" w:rsidR="0037074A" w:rsidRDefault="00E01DCC" w:rsidP="009C6BB8">
      <w:pPr>
        <w:pStyle w:val="TableTitle"/>
      </w:pPr>
      <w:bookmarkStart w:id="62" w:name="_Ref183441556"/>
      <w:r w:rsidRPr="00513ED8">
        <w:t xml:space="preserve">Table </w:t>
      </w:r>
      <w:bookmarkEnd w:id="62"/>
      <w:r w:rsidR="00867F8C">
        <w:t>7</w:t>
      </w:r>
      <w:r w:rsidR="00DA0880">
        <w:t>:</w:t>
      </w:r>
      <w:r w:rsidRPr="00513ED8">
        <w:t xml:space="preserve"> Adverse events of special interest in </w:t>
      </w:r>
      <w:proofErr w:type="spellStart"/>
      <w:r w:rsidRPr="00513ED8">
        <w:t>Onoact</w:t>
      </w:r>
      <w:proofErr w:type="spellEnd"/>
      <w:r w:rsidRPr="00513ED8">
        <w:t xml:space="preserve"> studies (all studies, safety set)</w:t>
      </w:r>
    </w:p>
    <w:p w14:paraId="6ABFE636" w14:textId="1CAF779F" w:rsidR="00080A66" w:rsidRDefault="00E01DCC" w:rsidP="0037074A">
      <w:r w:rsidRPr="00080A66">
        <w:rPr>
          <w:noProof/>
        </w:rPr>
        <w:drawing>
          <wp:inline distT="0" distB="0" distL="0" distR="0" wp14:anchorId="45D09B03" wp14:editId="4E1B16C8">
            <wp:extent cx="5353050" cy="1887870"/>
            <wp:effectExtent l="0" t="0" r="0" b="0"/>
            <wp:docPr id="1165973550" name="Picture 1" descr="Table 7: Adverse events of special interest in Onoact studies (all stud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73550" name="Picture 1" descr="Table 7: Adverse events of special interest in Onoact studies (all studies, safety set)"/>
                    <pic:cNvPicPr/>
                  </pic:nvPicPr>
                  <pic:blipFill>
                    <a:blip r:embed="rId37"/>
                    <a:stretch>
                      <a:fillRect/>
                    </a:stretch>
                  </pic:blipFill>
                  <pic:spPr>
                    <a:xfrm>
                      <a:off x="0" y="0"/>
                      <a:ext cx="5356986" cy="1889258"/>
                    </a:xfrm>
                    <a:prstGeom prst="rect">
                      <a:avLst/>
                    </a:prstGeom>
                  </pic:spPr>
                </pic:pic>
              </a:graphicData>
            </a:graphic>
          </wp:inline>
        </w:drawing>
      </w:r>
    </w:p>
    <w:p w14:paraId="6991CBDD" w14:textId="3F6D9D67" w:rsidR="008E0911" w:rsidRDefault="00E01DCC" w:rsidP="008E0911">
      <w:r>
        <w:t>S</w:t>
      </w:r>
      <w:r w:rsidRPr="00A7650B">
        <w:t xml:space="preserve">ome </w:t>
      </w:r>
      <w:r>
        <w:t xml:space="preserve">of the published </w:t>
      </w:r>
      <w:r w:rsidRPr="00A7650B">
        <w:t xml:space="preserve">studies reported changes in </w:t>
      </w:r>
      <w:r>
        <w:t>QT interval</w:t>
      </w:r>
      <w:r w:rsidRPr="00A7650B">
        <w:t xml:space="preserve"> with </w:t>
      </w:r>
      <w:proofErr w:type="spellStart"/>
      <w:r>
        <w:t>l</w:t>
      </w:r>
      <w:r w:rsidRPr="00A7650B">
        <w:t>andiolol</w:t>
      </w:r>
      <w:proofErr w:type="spellEnd"/>
      <w:r w:rsidR="002C4C2C">
        <w:t xml:space="preserve">. </w:t>
      </w:r>
      <w:r w:rsidRPr="00A7650B">
        <w:t>The QT interval is known to be affected by HR</w:t>
      </w:r>
      <w:r>
        <w:t xml:space="preserve">; methods to correct for this include </w:t>
      </w:r>
      <w:proofErr w:type="spellStart"/>
      <w:r>
        <w:t>Bazett’s</w:t>
      </w:r>
      <w:proofErr w:type="spellEnd"/>
      <w:r>
        <w:t xml:space="preserve"> formula (QTcB) and the Fridericia formula (</w:t>
      </w:r>
      <w:proofErr w:type="spellStart"/>
      <w:r>
        <w:t>QTcF</w:t>
      </w:r>
      <w:proofErr w:type="spellEnd"/>
      <w:r>
        <w:t>)</w:t>
      </w:r>
      <w:r w:rsidR="002C4C2C">
        <w:t xml:space="preserve">. </w:t>
      </w:r>
      <w:r>
        <w:t xml:space="preserve">Findings from the AOP-sponsored study LDL600.201 showed an </w:t>
      </w:r>
      <w:r>
        <w:lastRenderedPageBreak/>
        <w:t xml:space="preserve">increase in uncorrected QT interval time, a decrease in QTcB interval time and a stable </w:t>
      </w:r>
      <w:proofErr w:type="spellStart"/>
      <w:r>
        <w:t>QTcF</w:t>
      </w:r>
      <w:proofErr w:type="spellEnd"/>
      <w:r>
        <w:t xml:space="preserve"> interval time</w:t>
      </w:r>
      <w:r w:rsidR="002C4C2C">
        <w:t xml:space="preserve">. </w:t>
      </w:r>
      <w:r w:rsidRPr="000C1355">
        <w:rPr>
          <w:i/>
          <w:iCs/>
        </w:rPr>
        <w:t>In vitro</w:t>
      </w:r>
      <w:r>
        <w:t xml:space="preserve"> ion channel data, including </w:t>
      </w:r>
      <w:proofErr w:type="spellStart"/>
      <w:r>
        <w:t>hERG</w:t>
      </w:r>
      <w:proofErr w:type="spellEnd"/>
      <w:r>
        <w:t xml:space="preserve"> assay, support the notion that landiolol presents low Torsades de pointes risk. </w:t>
      </w:r>
    </w:p>
    <w:p w14:paraId="1946D5C6" w14:textId="43DC3C06" w:rsidR="008E0911" w:rsidRPr="00F335F6" w:rsidRDefault="00E01DCC" w:rsidP="008E0911">
      <w:r>
        <w:t>Safety findings i</w:t>
      </w:r>
      <w:r w:rsidRPr="00A721AE">
        <w:t xml:space="preserve">n the </w:t>
      </w:r>
      <w:r>
        <w:t xml:space="preserve">four </w:t>
      </w:r>
      <w:r w:rsidRPr="00A721AE">
        <w:t>AOP-sponsored clinical studies</w:t>
      </w:r>
      <w:r>
        <w:t xml:space="preserve"> were consistent with the safety profile of </w:t>
      </w:r>
      <w:proofErr w:type="spellStart"/>
      <w:r>
        <w:t>landiolol</w:t>
      </w:r>
      <w:proofErr w:type="spellEnd"/>
      <w:r>
        <w:t xml:space="preserve"> in the </w:t>
      </w:r>
      <w:proofErr w:type="spellStart"/>
      <w:r>
        <w:t>Onoact</w:t>
      </w:r>
      <w:proofErr w:type="spellEnd"/>
      <w:r w:rsidR="00B13507">
        <w:t xml:space="preserve"> </w:t>
      </w:r>
      <w:r>
        <w:t>studies.</w:t>
      </w:r>
    </w:p>
    <w:p w14:paraId="4D83C367" w14:textId="01805E6F" w:rsidR="008E0911" w:rsidRPr="00B722E3" w:rsidRDefault="00E01DCC" w:rsidP="008E0911">
      <w:r w:rsidRPr="00146AC0">
        <w:t xml:space="preserve">Recovery of heart rate and blood pressure to pre-administration values </w:t>
      </w:r>
      <w:r>
        <w:t xml:space="preserve">was observed </w:t>
      </w:r>
      <w:r w:rsidRPr="00146AC0">
        <w:t xml:space="preserve">within 30 minutes of discontinuation of </w:t>
      </w:r>
      <w:proofErr w:type="spellStart"/>
      <w:r>
        <w:t>landiolol</w:t>
      </w:r>
      <w:proofErr w:type="spellEnd"/>
      <w:r w:rsidR="002C4C2C">
        <w:t xml:space="preserve">. </w:t>
      </w:r>
      <w:r>
        <w:t>None of the studies reported a rebound phenomenon.</w:t>
      </w:r>
    </w:p>
    <w:p w14:paraId="52EC2247" w14:textId="118D4085" w:rsidR="008E0911" w:rsidRDefault="00E01DCC" w:rsidP="008E0911">
      <w:pPr>
        <w:rPr>
          <w:lang w:eastAsia="ja-JP"/>
        </w:rPr>
      </w:pPr>
      <w:r>
        <w:t>The safety of landiolol has been evaluated in various clinical settings, including peri-operative, post-operative, and non-surgical settings</w:t>
      </w:r>
      <w:r w:rsidR="002C4C2C">
        <w:t xml:space="preserve">. </w:t>
      </w:r>
      <w:r>
        <w:t xml:space="preserve">Overall, the data do not suggest any important </w:t>
      </w:r>
      <w:r w:rsidR="00B13507">
        <w:t>clinically relevant</w:t>
      </w:r>
      <w:r>
        <w:t xml:space="preserve"> differences in the safety profile between these settings</w:t>
      </w:r>
      <w:r w:rsidR="002C4C2C">
        <w:t xml:space="preserve">. </w:t>
      </w:r>
      <w:r>
        <w:t>PD drug interactions have been observed when landiolol is administered concurrently with drugs acting on the cardiovascular system and anaesthetic agents, as effects on conduction, cardiac function or blood pressure may be more pronounced</w:t>
      </w:r>
      <w:r w:rsidR="002C4C2C">
        <w:t xml:space="preserve">. </w:t>
      </w:r>
      <w:r>
        <w:t>The dosage and administration of landiolol was established in clinical studies where pre-anaesthetic and anaesthetic agents were used concomitantly</w:t>
      </w:r>
      <w:r w:rsidR="002C4C2C">
        <w:t xml:space="preserve">. </w:t>
      </w:r>
      <w:r>
        <w:t>The proposed Product Information contains guidance regarding interactions with other medicines, including antiarrhythmic drugs and anaesthetic agents</w:t>
      </w:r>
      <w:r w:rsidR="002C4C2C">
        <w:t xml:space="preserve">. </w:t>
      </w:r>
      <w:proofErr w:type="spellStart"/>
      <w:r>
        <w:rPr>
          <w:lang w:eastAsia="ja-JP"/>
        </w:rPr>
        <w:t>Landiolol</w:t>
      </w:r>
      <w:proofErr w:type="spellEnd"/>
      <w:r>
        <w:rPr>
          <w:lang w:eastAsia="ja-JP"/>
        </w:rPr>
        <w:t xml:space="preserve"> is administered only in</w:t>
      </w:r>
      <w:r w:rsidRPr="00CF043B">
        <w:rPr>
          <w:lang w:eastAsia="ja-JP"/>
        </w:rPr>
        <w:t xml:space="preserve"> well</w:t>
      </w:r>
      <w:r>
        <w:rPr>
          <w:lang w:eastAsia="ja-JP"/>
        </w:rPr>
        <w:t>-</w:t>
      </w:r>
      <w:r w:rsidRPr="00CF043B">
        <w:rPr>
          <w:lang w:eastAsia="ja-JP"/>
        </w:rPr>
        <w:t>controlled clinical setting</w:t>
      </w:r>
      <w:r>
        <w:rPr>
          <w:lang w:eastAsia="ja-JP"/>
        </w:rPr>
        <w:t>s</w:t>
      </w:r>
      <w:r w:rsidRPr="00CF043B">
        <w:rPr>
          <w:lang w:eastAsia="ja-JP"/>
        </w:rPr>
        <w:t xml:space="preserve"> </w:t>
      </w:r>
      <w:r>
        <w:rPr>
          <w:lang w:eastAsia="ja-JP"/>
        </w:rPr>
        <w:t>with monitoring of cardiac and haemodynamic parameters</w:t>
      </w:r>
      <w:r w:rsidR="002C4C2C">
        <w:rPr>
          <w:lang w:eastAsia="ja-JP"/>
        </w:rPr>
        <w:t xml:space="preserve">. </w:t>
      </w:r>
    </w:p>
    <w:p w14:paraId="47EBF228" w14:textId="1FD3663F" w:rsidR="008E0911" w:rsidRDefault="00E01DCC" w:rsidP="008E0911">
      <w:r>
        <w:t>Safety in elderly patients (</w:t>
      </w:r>
      <w:r w:rsidR="0018046E">
        <w:t xml:space="preserve">over </w:t>
      </w:r>
      <w:r>
        <w:t>65 years) was assessed in two post-marketing surveys conducted by the PDMA (Japan)</w:t>
      </w:r>
      <w:r w:rsidR="002C4C2C">
        <w:t xml:space="preserve">. </w:t>
      </w:r>
      <w:r>
        <w:t xml:space="preserve">Overall adverse reaction incidence rates in patients </w:t>
      </w:r>
      <w:r w:rsidR="009E485C">
        <w:t xml:space="preserve">over </w:t>
      </w:r>
      <w:r>
        <w:t xml:space="preserve">65 years in the two surveys (7.5% and 9.3%) were </w:t>
      </w:r>
      <w:proofErr w:type="gramStart"/>
      <w:r>
        <w:t>similar to</w:t>
      </w:r>
      <w:proofErr w:type="gramEnd"/>
      <w:r>
        <w:t xml:space="preserve"> patients </w:t>
      </w:r>
      <w:r w:rsidR="009E485C">
        <w:t xml:space="preserve">under </w:t>
      </w:r>
      <w:r>
        <w:t>65 years (7.0% and 8.2%)</w:t>
      </w:r>
    </w:p>
    <w:p w14:paraId="41B5C5BE" w14:textId="541177BF" w:rsidR="008E0911" w:rsidRDefault="00E01DCC" w:rsidP="008E0911">
      <w:r>
        <w:t>Safety data in patients with hepatic impairment are available from the literature, from the PDMA assessment report, and the two post-marketing surveys conducted by the PDMA</w:t>
      </w:r>
      <w:r w:rsidR="002C4C2C">
        <w:t xml:space="preserve">. </w:t>
      </w:r>
      <w:proofErr w:type="spellStart"/>
      <w:r>
        <w:t>Landiolol</w:t>
      </w:r>
      <w:proofErr w:type="spellEnd"/>
      <w:r>
        <w:t xml:space="preserve"> is primarily metabolised by blood </w:t>
      </w:r>
      <w:proofErr w:type="spellStart"/>
      <w:r>
        <w:t>cholinesterases</w:t>
      </w:r>
      <w:proofErr w:type="spellEnd"/>
      <w:r>
        <w:t xml:space="preserve"> and is not largely affected by hepatic insufficiency</w:t>
      </w:r>
      <w:r w:rsidR="002C4C2C">
        <w:t xml:space="preserve">. </w:t>
      </w:r>
      <w:r>
        <w:t xml:space="preserve">The proposed dosing guidance recommends careful dosing starting with the lowest dose in patients with hepatic impairment. </w:t>
      </w:r>
    </w:p>
    <w:p w14:paraId="756FE25C" w14:textId="02D610D0" w:rsidR="008E0911" w:rsidRDefault="00E01DCC" w:rsidP="008E0911">
      <w:r w:rsidRPr="002665BF">
        <w:t xml:space="preserve">Safety data in patients </w:t>
      </w:r>
      <w:r>
        <w:t xml:space="preserve">with </w:t>
      </w:r>
      <w:r w:rsidRPr="002665BF">
        <w:t>renal impair</w:t>
      </w:r>
      <w:r>
        <w:t>ment</w:t>
      </w:r>
      <w:r w:rsidRPr="002665BF">
        <w:t xml:space="preserve"> </w:t>
      </w:r>
      <w:r>
        <w:t>are</w:t>
      </w:r>
      <w:r w:rsidRPr="002665BF">
        <w:t xml:space="preserve"> available from the literature and from two post-marketing surveys conducted by the PMDA</w:t>
      </w:r>
      <w:r w:rsidR="002C4C2C">
        <w:t xml:space="preserve">. </w:t>
      </w:r>
      <w:r w:rsidRPr="004A7F95">
        <w:t xml:space="preserve">The metabolism of </w:t>
      </w:r>
      <w:proofErr w:type="spellStart"/>
      <w:r>
        <w:t>l</w:t>
      </w:r>
      <w:r w:rsidRPr="004A7F95">
        <w:t>andiolol</w:t>
      </w:r>
      <w:proofErr w:type="spellEnd"/>
      <w:r w:rsidRPr="004A7F95">
        <w:t xml:space="preserve"> is largely independent of renal function</w:t>
      </w:r>
      <w:r w:rsidR="002C4C2C">
        <w:t xml:space="preserve">. </w:t>
      </w:r>
      <w:r>
        <w:t>No dose adjustment is recommended for patients with renal impairment.</w:t>
      </w:r>
    </w:p>
    <w:p w14:paraId="604BE98B" w14:textId="77777777" w:rsidR="008E0911" w:rsidRDefault="00E01DCC" w:rsidP="008E0911">
      <w:r>
        <w:t>Review of post-market safety data did not identify any new safety concerns.</w:t>
      </w:r>
    </w:p>
    <w:p w14:paraId="2858B006" w14:textId="77777777" w:rsidR="00C22214" w:rsidRDefault="00E01DCC" w:rsidP="00C22214">
      <w:pPr>
        <w:pStyle w:val="Heading3"/>
        <w:rPr>
          <w:lang w:eastAsia="en-AU"/>
        </w:rPr>
      </w:pPr>
      <w:bookmarkStart w:id="63" w:name="_Toc314842514"/>
      <w:bookmarkStart w:id="64" w:name="_Toc103679298"/>
      <w:bookmarkStart w:id="65" w:name="_Toc221110967"/>
      <w:r>
        <w:rPr>
          <w:lang w:eastAsia="en-AU"/>
        </w:rPr>
        <w:t>Risk management plan</w:t>
      </w:r>
      <w:bookmarkEnd w:id="63"/>
      <w:bookmarkEnd w:id="64"/>
      <w:bookmarkEnd w:id="65"/>
    </w:p>
    <w:p w14:paraId="5A5789A8" w14:textId="6CEFC829" w:rsidR="00D85D15" w:rsidRPr="00D85D15" w:rsidRDefault="00E01DCC" w:rsidP="00D85D15">
      <w:pPr>
        <w:rPr>
          <w:szCs w:val="22"/>
        </w:rPr>
      </w:pPr>
      <w:bookmarkStart w:id="66" w:name="_Toc247691531"/>
      <w:bookmarkStart w:id="67" w:name="_Toc314842515"/>
      <w:r w:rsidRPr="00785DBE">
        <w:rPr>
          <w:iCs/>
          <w:szCs w:val="22"/>
        </w:rPr>
        <w:t>The risk management plan is presented in EU-RMP version 3.0 (dated 28 February 2024; DLP 2</w:t>
      </w:r>
      <w:r w:rsidRPr="00785DBE">
        <w:rPr>
          <w:szCs w:val="22"/>
        </w:rPr>
        <w:t xml:space="preserve"> February 2023) and ASA version 3.0 (dated April 2025)</w:t>
      </w:r>
      <w:r w:rsidR="002C4C2C">
        <w:rPr>
          <w:szCs w:val="22"/>
        </w:rPr>
        <w:t xml:space="preserve">. </w:t>
      </w:r>
      <w:r w:rsidRPr="00785DBE">
        <w:rPr>
          <w:szCs w:val="22"/>
        </w:rPr>
        <w:t>The summary of safety concerns, pharmacovigilance plan, and risk minimisation activities are acceptable (</w:t>
      </w:r>
      <w:r w:rsidR="00D445D0">
        <w:rPr>
          <w:szCs w:val="22"/>
        </w:rPr>
        <w:t>Table 8</w:t>
      </w:r>
      <w:r w:rsidRPr="00785DBE">
        <w:rPr>
          <w:szCs w:val="22"/>
        </w:rPr>
        <w:t>)</w:t>
      </w:r>
      <w:r w:rsidR="002C4C2C">
        <w:rPr>
          <w:szCs w:val="22"/>
        </w:rPr>
        <w:t xml:space="preserve">. </w:t>
      </w:r>
      <w:r w:rsidRPr="00D85D15">
        <w:rPr>
          <w:szCs w:val="22"/>
        </w:rPr>
        <w:t>The TGA may request an updated RMP at any stage of a product's life cycle, during both the pre-approval and post-approval phases.</w:t>
      </w:r>
    </w:p>
    <w:p w14:paraId="56B51A93" w14:textId="6CA509D3" w:rsidR="006A277A" w:rsidRPr="00906B1B" w:rsidRDefault="00E01DCC" w:rsidP="0037074A">
      <w:pPr>
        <w:pStyle w:val="TableTitle"/>
        <w:pageBreakBefore/>
      </w:pPr>
      <w:bookmarkStart w:id="68" w:name="_Ref97629131"/>
      <w:r w:rsidRPr="00906B1B">
        <w:lastRenderedPageBreak/>
        <w:t xml:space="preserve">Table </w:t>
      </w:r>
      <w:bookmarkEnd w:id="68"/>
      <w:r w:rsidR="000B175B">
        <w:t>8</w:t>
      </w:r>
      <w:r w:rsidRPr="00906B1B">
        <w:t>: Summary of safety concerns</w:t>
      </w:r>
    </w:p>
    <w:tbl>
      <w:tblPr>
        <w:tblStyle w:val="TableTGAblue2023"/>
        <w:tblW w:w="9214" w:type="dxa"/>
        <w:tblInd w:w="-147" w:type="dxa"/>
        <w:tblLayout w:type="fixed"/>
        <w:tblLook w:val="04A0" w:firstRow="1" w:lastRow="0" w:firstColumn="1" w:lastColumn="0" w:noHBand="0" w:noVBand="1"/>
      </w:tblPr>
      <w:tblGrid>
        <w:gridCol w:w="1560"/>
        <w:gridCol w:w="1559"/>
        <w:gridCol w:w="1418"/>
        <w:gridCol w:w="1559"/>
        <w:gridCol w:w="1559"/>
        <w:gridCol w:w="1559"/>
      </w:tblGrid>
      <w:tr w:rsidR="00411A1A" w14:paraId="59410D74" w14:textId="77777777" w:rsidTr="003347A5">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119" w:type="dxa"/>
            <w:gridSpan w:val="2"/>
            <w:vMerge w:val="restart"/>
          </w:tcPr>
          <w:p w14:paraId="5A457E72" w14:textId="77777777" w:rsidR="00BF6C83" w:rsidRPr="00BF6C83" w:rsidRDefault="00E01DCC" w:rsidP="0037074A">
            <w:r w:rsidRPr="00BF6C83">
              <w:t>Summary of safety concerns</w:t>
            </w:r>
          </w:p>
        </w:tc>
        <w:tc>
          <w:tcPr>
            <w:tcW w:w="2977" w:type="dxa"/>
            <w:gridSpan w:val="2"/>
          </w:tcPr>
          <w:p w14:paraId="3710D28E" w14:textId="77777777" w:rsidR="00BF6C83" w:rsidRPr="00BF6C83" w:rsidRDefault="00E01DCC" w:rsidP="0037074A">
            <w:pPr>
              <w:cnfStyle w:val="100000000000" w:firstRow="1" w:lastRow="0" w:firstColumn="0" w:lastColumn="0" w:oddVBand="0" w:evenVBand="0" w:oddHBand="0" w:evenHBand="0" w:firstRowFirstColumn="0" w:firstRowLastColumn="0" w:lastRowFirstColumn="0" w:lastRowLastColumn="0"/>
            </w:pPr>
            <w:r w:rsidRPr="00BF6C83">
              <w:t>Pharmacovigilance</w:t>
            </w:r>
          </w:p>
        </w:tc>
        <w:tc>
          <w:tcPr>
            <w:tcW w:w="3118" w:type="dxa"/>
            <w:gridSpan w:val="2"/>
          </w:tcPr>
          <w:p w14:paraId="1B6A54B9" w14:textId="77777777" w:rsidR="00BF6C83" w:rsidRPr="00BF6C83" w:rsidRDefault="00E01DCC" w:rsidP="0037074A">
            <w:pPr>
              <w:cnfStyle w:val="100000000000" w:firstRow="1" w:lastRow="0" w:firstColumn="0" w:lastColumn="0" w:oddVBand="0" w:evenVBand="0" w:oddHBand="0" w:evenHBand="0" w:firstRowFirstColumn="0" w:firstRowLastColumn="0" w:lastRowFirstColumn="0" w:lastRowLastColumn="0"/>
            </w:pPr>
            <w:r w:rsidRPr="00BF6C83">
              <w:t>Risk Minimisation</w:t>
            </w:r>
          </w:p>
        </w:tc>
      </w:tr>
      <w:tr w:rsidR="00411A1A" w14:paraId="44C3F4A6" w14:textId="77777777" w:rsidTr="003347A5">
        <w:trPr>
          <w:trHeight w:val="150"/>
        </w:trPr>
        <w:tc>
          <w:tcPr>
            <w:cnfStyle w:val="001000000000" w:firstRow="0" w:lastRow="0" w:firstColumn="1" w:lastColumn="0" w:oddVBand="0" w:evenVBand="0" w:oddHBand="0" w:evenHBand="0" w:firstRowFirstColumn="0" w:firstRowLastColumn="0" w:lastRowFirstColumn="0" w:lastRowLastColumn="0"/>
            <w:tcW w:w="3119" w:type="dxa"/>
            <w:gridSpan w:val="2"/>
            <w:vMerge/>
          </w:tcPr>
          <w:p w14:paraId="2FAE0996" w14:textId="77777777" w:rsidR="00BF6C83" w:rsidRPr="00BF6C83" w:rsidRDefault="00BF6C83" w:rsidP="0037074A"/>
        </w:tc>
        <w:tc>
          <w:tcPr>
            <w:tcW w:w="1418" w:type="dxa"/>
          </w:tcPr>
          <w:p w14:paraId="42B28F4A" w14:textId="77777777" w:rsidR="00BF6C83" w:rsidRPr="00BF6C83" w:rsidRDefault="00E01DCC" w:rsidP="0037074A">
            <w:pPr>
              <w:cnfStyle w:val="000000000000" w:firstRow="0" w:lastRow="0" w:firstColumn="0" w:lastColumn="0" w:oddVBand="0" w:evenVBand="0" w:oddHBand="0" w:evenHBand="0" w:firstRowFirstColumn="0" w:firstRowLastColumn="0" w:lastRowFirstColumn="0" w:lastRowLastColumn="0"/>
            </w:pPr>
            <w:r w:rsidRPr="00BF6C83">
              <w:t>Routine</w:t>
            </w:r>
          </w:p>
        </w:tc>
        <w:tc>
          <w:tcPr>
            <w:tcW w:w="1559" w:type="dxa"/>
          </w:tcPr>
          <w:p w14:paraId="572FF4E1" w14:textId="77777777" w:rsidR="00BF6C83" w:rsidRPr="00BF6C83" w:rsidRDefault="00E01DCC" w:rsidP="0037074A">
            <w:pPr>
              <w:cnfStyle w:val="000000000000" w:firstRow="0" w:lastRow="0" w:firstColumn="0" w:lastColumn="0" w:oddVBand="0" w:evenVBand="0" w:oddHBand="0" w:evenHBand="0" w:firstRowFirstColumn="0" w:firstRowLastColumn="0" w:lastRowFirstColumn="0" w:lastRowLastColumn="0"/>
            </w:pPr>
            <w:r w:rsidRPr="00BF6C83">
              <w:t>Additional</w:t>
            </w:r>
          </w:p>
        </w:tc>
        <w:tc>
          <w:tcPr>
            <w:tcW w:w="1559" w:type="dxa"/>
          </w:tcPr>
          <w:p w14:paraId="65D24443" w14:textId="77777777" w:rsidR="00BF6C83" w:rsidRPr="00BF6C83" w:rsidRDefault="00E01DCC" w:rsidP="0037074A">
            <w:pPr>
              <w:cnfStyle w:val="000000000000" w:firstRow="0" w:lastRow="0" w:firstColumn="0" w:lastColumn="0" w:oddVBand="0" w:evenVBand="0" w:oddHBand="0" w:evenHBand="0" w:firstRowFirstColumn="0" w:firstRowLastColumn="0" w:lastRowFirstColumn="0" w:lastRowLastColumn="0"/>
            </w:pPr>
            <w:r w:rsidRPr="00BF6C83">
              <w:t>Routine</w:t>
            </w:r>
          </w:p>
        </w:tc>
        <w:tc>
          <w:tcPr>
            <w:tcW w:w="1559" w:type="dxa"/>
          </w:tcPr>
          <w:p w14:paraId="4E91A717" w14:textId="77777777" w:rsidR="00BF6C83" w:rsidRPr="00BF6C83" w:rsidRDefault="00E01DCC" w:rsidP="0037074A">
            <w:pPr>
              <w:cnfStyle w:val="000000000000" w:firstRow="0" w:lastRow="0" w:firstColumn="0" w:lastColumn="0" w:oddVBand="0" w:evenVBand="0" w:oddHBand="0" w:evenHBand="0" w:firstRowFirstColumn="0" w:firstRowLastColumn="0" w:lastRowFirstColumn="0" w:lastRowLastColumn="0"/>
            </w:pPr>
            <w:r w:rsidRPr="00BF6C83">
              <w:t>Additional</w:t>
            </w:r>
          </w:p>
        </w:tc>
      </w:tr>
      <w:tr w:rsidR="00411A1A" w14:paraId="087D5504" w14:textId="77777777" w:rsidTr="003347A5">
        <w:trPr>
          <w:trHeight w:val="559"/>
        </w:trPr>
        <w:tc>
          <w:tcPr>
            <w:cnfStyle w:val="001000000000" w:firstRow="0" w:lastRow="0" w:firstColumn="1" w:lastColumn="0" w:oddVBand="0" w:evenVBand="0" w:oddHBand="0" w:evenHBand="0" w:firstRowFirstColumn="0" w:firstRowLastColumn="0" w:lastRowFirstColumn="0" w:lastRowLastColumn="0"/>
            <w:tcW w:w="1560" w:type="dxa"/>
          </w:tcPr>
          <w:p w14:paraId="2C8D4F3C" w14:textId="77777777" w:rsidR="00BF6C83" w:rsidRPr="00BF6C83" w:rsidRDefault="00E01DCC" w:rsidP="0037074A">
            <w:r w:rsidRPr="00BF6C83">
              <w:t>Important identified risks</w:t>
            </w:r>
          </w:p>
        </w:tc>
        <w:tc>
          <w:tcPr>
            <w:tcW w:w="1559" w:type="dxa"/>
          </w:tcPr>
          <w:p w14:paraId="44257CD9" w14:textId="77777777" w:rsidR="00BF6C83" w:rsidRPr="00BF6C83" w:rsidRDefault="00E01DCC" w:rsidP="0037074A">
            <w:pPr>
              <w:cnfStyle w:val="000000000000" w:firstRow="0" w:lastRow="0" w:firstColumn="0" w:lastColumn="0" w:oddVBand="0" w:evenVBand="0" w:oddHBand="0" w:evenHBand="0" w:firstRowFirstColumn="0" w:firstRowLastColumn="0" w:lastRowFirstColumn="0" w:lastRowLastColumn="0"/>
            </w:pPr>
            <w:r w:rsidRPr="00BF6C83">
              <w:t>None</w:t>
            </w:r>
          </w:p>
        </w:tc>
        <w:tc>
          <w:tcPr>
            <w:tcW w:w="1418" w:type="dxa"/>
          </w:tcPr>
          <w:p w14:paraId="6D3378AE" w14:textId="3CC38A44" w:rsidR="00BF6C83" w:rsidRPr="00BF6C83" w:rsidRDefault="00BF6C83" w:rsidP="0037074A">
            <w:pPr>
              <w:cnfStyle w:val="000000000000" w:firstRow="0" w:lastRow="0" w:firstColumn="0" w:lastColumn="0" w:oddVBand="0" w:evenVBand="0" w:oddHBand="0" w:evenHBand="0" w:firstRowFirstColumn="0" w:firstRowLastColumn="0" w:lastRowFirstColumn="0" w:lastRowLastColumn="0"/>
            </w:pPr>
          </w:p>
        </w:tc>
        <w:tc>
          <w:tcPr>
            <w:tcW w:w="1559" w:type="dxa"/>
          </w:tcPr>
          <w:p w14:paraId="6AA9A1F8" w14:textId="00299374" w:rsidR="00BF6C83" w:rsidRPr="00BF6C83" w:rsidRDefault="00BF6C83" w:rsidP="0037074A">
            <w:pPr>
              <w:cnfStyle w:val="000000000000" w:firstRow="0" w:lastRow="0" w:firstColumn="0" w:lastColumn="0" w:oddVBand="0" w:evenVBand="0" w:oddHBand="0" w:evenHBand="0" w:firstRowFirstColumn="0" w:firstRowLastColumn="0" w:lastRowFirstColumn="0" w:lastRowLastColumn="0"/>
            </w:pPr>
          </w:p>
        </w:tc>
        <w:tc>
          <w:tcPr>
            <w:tcW w:w="1559" w:type="dxa"/>
          </w:tcPr>
          <w:p w14:paraId="08B7A38E" w14:textId="02163AC3" w:rsidR="00BF6C83" w:rsidRPr="00BF6C83" w:rsidRDefault="00BF6C83" w:rsidP="0037074A">
            <w:pPr>
              <w:cnfStyle w:val="000000000000" w:firstRow="0" w:lastRow="0" w:firstColumn="0" w:lastColumn="0" w:oddVBand="0" w:evenVBand="0" w:oddHBand="0" w:evenHBand="0" w:firstRowFirstColumn="0" w:firstRowLastColumn="0" w:lastRowFirstColumn="0" w:lastRowLastColumn="0"/>
            </w:pPr>
          </w:p>
        </w:tc>
        <w:tc>
          <w:tcPr>
            <w:tcW w:w="1559" w:type="dxa"/>
          </w:tcPr>
          <w:p w14:paraId="080A26C0" w14:textId="6DC69EFE" w:rsidR="00BF6C83" w:rsidRPr="00BF6C83" w:rsidRDefault="00BF6C83" w:rsidP="0037074A">
            <w:pPr>
              <w:cnfStyle w:val="000000000000" w:firstRow="0" w:lastRow="0" w:firstColumn="0" w:lastColumn="0" w:oddVBand="0" w:evenVBand="0" w:oddHBand="0" w:evenHBand="0" w:firstRowFirstColumn="0" w:firstRowLastColumn="0" w:lastRowFirstColumn="0" w:lastRowLastColumn="0"/>
            </w:pPr>
          </w:p>
        </w:tc>
      </w:tr>
      <w:tr w:rsidR="00411A1A" w14:paraId="0F763505" w14:textId="77777777" w:rsidTr="003347A5">
        <w:trPr>
          <w:trHeight w:val="565"/>
        </w:trPr>
        <w:tc>
          <w:tcPr>
            <w:cnfStyle w:val="001000000000" w:firstRow="0" w:lastRow="0" w:firstColumn="1" w:lastColumn="0" w:oddVBand="0" w:evenVBand="0" w:oddHBand="0" w:evenHBand="0" w:firstRowFirstColumn="0" w:firstRowLastColumn="0" w:lastRowFirstColumn="0" w:lastRowLastColumn="0"/>
            <w:tcW w:w="1560" w:type="dxa"/>
          </w:tcPr>
          <w:p w14:paraId="4B3335F2" w14:textId="77777777" w:rsidR="00BF6C83" w:rsidRPr="00BF6C83" w:rsidRDefault="00E01DCC" w:rsidP="0037074A">
            <w:r w:rsidRPr="00BF6C83">
              <w:t>Important potential risks</w:t>
            </w:r>
          </w:p>
        </w:tc>
        <w:tc>
          <w:tcPr>
            <w:tcW w:w="1559" w:type="dxa"/>
          </w:tcPr>
          <w:p w14:paraId="06A9674C" w14:textId="77777777" w:rsidR="00BF6C83" w:rsidRPr="00BF6C83" w:rsidRDefault="00E01DCC" w:rsidP="0037074A">
            <w:pPr>
              <w:cnfStyle w:val="000000000000" w:firstRow="0" w:lastRow="0" w:firstColumn="0" w:lastColumn="0" w:oddVBand="0" w:evenVBand="0" w:oddHBand="0" w:evenHBand="0" w:firstRowFirstColumn="0" w:firstRowLastColumn="0" w:lastRowFirstColumn="0" w:lastRowLastColumn="0"/>
            </w:pPr>
            <w:r w:rsidRPr="00BF6C83">
              <w:t>None</w:t>
            </w:r>
          </w:p>
        </w:tc>
        <w:tc>
          <w:tcPr>
            <w:tcW w:w="1418" w:type="dxa"/>
          </w:tcPr>
          <w:p w14:paraId="2BEC950B" w14:textId="124E7209" w:rsidR="00BF6C83" w:rsidRPr="00BF6C83" w:rsidRDefault="00BF6C83" w:rsidP="0037074A">
            <w:pPr>
              <w:cnfStyle w:val="000000000000" w:firstRow="0" w:lastRow="0" w:firstColumn="0" w:lastColumn="0" w:oddVBand="0" w:evenVBand="0" w:oddHBand="0" w:evenHBand="0" w:firstRowFirstColumn="0" w:firstRowLastColumn="0" w:lastRowFirstColumn="0" w:lastRowLastColumn="0"/>
            </w:pPr>
          </w:p>
        </w:tc>
        <w:tc>
          <w:tcPr>
            <w:tcW w:w="1559" w:type="dxa"/>
          </w:tcPr>
          <w:p w14:paraId="2E1E96F2" w14:textId="45C29362" w:rsidR="00BF6C83" w:rsidRPr="00BF6C83" w:rsidRDefault="00BF6C83" w:rsidP="0037074A">
            <w:pPr>
              <w:cnfStyle w:val="000000000000" w:firstRow="0" w:lastRow="0" w:firstColumn="0" w:lastColumn="0" w:oddVBand="0" w:evenVBand="0" w:oddHBand="0" w:evenHBand="0" w:firstRowFirstColumn="0" w:firstRowLastColumn="0" w:lastRowFirstColumn="0" w:lastRowLastColumn="0"/>
            </w:pPr>
          </w:p>
        </w:tc>
        <w:tc>
          <w:tcPr>
            <w:tcW w:w="1559" w:type="dxa"/>
          </w:tcPr>
          <w:p w14:paraId="6691947C" w14:textId="0ACCC3CB" w:rsidR="00BF6C83" w:rsidRPr="00BF6C83" w:rsidRDefault="00BF6C83" w:rsidP="0037074A">
            <w:pPr>
              <w:cnfStyle w:val="000000000000" w:firstRow="0" w:lastRow="0" w:firstColumn="0" w:lastColumn="0" w:oddVBand="0" w:evenVBand="0" w:oddHBand="0" w:evenHBand="0" w:firstRowFirstColumn="0" w:firstRowLastColumn="0" w:lastRowFirstColumn="0" w:lastRowLastColumn="0"/>
            </w:pPr>
          </w:p>
        </w:tc>
        <w:tc>
          <w:tcPr>
            <w:tcW w:w="1559" w:type="dxa"/>
          </w:tcPr>
          <w:p w14:paraId="79FA3954" w14:textId="4F8956E1" w:rsidR="00BF6C83" w:rsidRPr="00BF6C83" w:rsidRDefault="00BF6C83" w:rsidP="0037074A">
            <w:pPr>
              <w:cnfStyle w:val="000000000000" w:firstRow="0" w:lastRow="0" w:firstColumn="0" w:lastColumn="0" w:oddVBand="0" w:evenVBand="0" w:oddHBand="0" w:evenHBand="0" w:firstRowFirstColumn="0" w:firstRowLastColumn="0" w:lastRowFirstColumn="0" w:lastRowLastColumn="0"/>
            </w:pPr>
          </w:p>
        </w:tc>
      </w:tr>
      <w:tr w:rsidR="00411A1A" w14:paraId="3C57A667" w14:textId="77777777" w:rsidTr="003347A5">
        <w:trPr>
          <w:trHeight w:val="790"/>
        </w:trPr>
        <w:tc>
          <w:tcPr>
            <w:cnfStyle w:val="001000000000" w:firstRow="0" w:lastRow="0" w:firstColumn="1" w:lastColumn="0" w:oddVBand="0" w:evenVBand="0" w:oddHBand="0" w:evenHBand="0" w:firstRowFirstColumn="0" w:firstRowLastColumn="0" w:lastRowFirstColumn="0" w:lastRowLastColumn="0"/>
            <w:tcW w:w="1560" w:type="dxa"/>
          </w:tcPr>
          <w:p w14:paraId="44DCAAB4" w14:textId="77777777" w:rsidR="00BF6C83" w:rsidRPr="00BF6C83" w:rsidRDefault="00E01DCC" w:rsidP="0037074A">
            <w:r w:rsidRPr="00BF6C83">
              <w:t>Missing information</w:t>
            </w:r>
          </w:p>
        </w:tc>
        <w:tc>
          <w:tcPr>
            <w:tcW w:w="1559" w:type="dxa"/>
          </w:tcPr>
          <w:p w14:paraId="2FF988C2" w14:textId="77777777" w:rsidR="00BF6C83" w:rsidRPr="00BF6C83" w:rsidRDefault="00E01DCC" w:rsidP="0037074A">
            <w:pPr>
              <w:cnfStyle w:val="000000000000" w:firstRow="0" w:lastRow="0" w:firstColumn="0" w:lastColumn="0" w:oddVBand="0" w:evenVBand="0" w:oddHBand="0" w:evenHBand="0" w:firstRowFirstColumn="0" w:firstRowLastColumn="0" w:lastRowFirstColumn="0" w:lastRowLastColumn="0"/>
            </w:pPr>
            <w:r w:rsidRPr="00BF6C83">
              <w:t>Use in pregnancy and breastfeeding</w:t>
            </w:r>
          </w:p>
        </w:tc>
        <w:tc>
          <w:tcPr>
            <w:tcW w:w="1418" w:type="dxa"/>
          </w:tcPr>
          <w:p w14:paraId="5A3F18BC" w14:textId="16A7117D" w:rsidR="00CD3BCA" w:rsidRDefault="00CD3BCA" w:rsidP="0037074A">
            <w:pPr>
              <w:cnfStyle w:val="000000000000" w:firstRow="0" w:lastRow="0" w:firstColumn="0" w:lastColumn="0" w:oddVBand="0" w:evenVBand="0" w:oddHBand="0" w:evenHBand="0" w:firstRowFirstColumn="0" w:firstRowLastColumn="0" w:lastRowFirstColumn="0" w:lastRowLastColumn="0"/>
              <w:rPr>
                <w:rFonts w:ascii="Wingdings" w:hAnsi="Wingdings"/>
              </w:rPr>
            </w:pPr>
          </w:p>
          <w:p w14:paraId="72575295" w14:textId="0AB532DD" w:rsidR="00BB4F4C" w:rsidRPr="00914C21" w:rsidRDefault="00BB4F4C" w:rsidP="0037074A">
            <w:pPr>
              <w:cnfStyle w:val="000000000000" w:firstRow="0" w:lastRow="0" w:firstColumn="0" w:lastColumn="0" w:oddVBand="0" w:evenVBand="0" w:oddHBand="0" w:evenHBand="0" w:firstRowFirstColumn="0" w:firstRowLastColumn="0" w:lastRowFirstColumn="0" w:lastRowLastColumn="0"/>
              <w:rPr>
                <w:bCs/>
                <w:vertAlign w:val="superscript"/>
              </w:rPr>
            </w:pPr>
            <w:r>
              <w:rPr>
                <w:rFonts w:ascii="Wingdings" w:hAnsi="Wingdings"/>
              </w:rPr>
              <w:t>ü</w:t>
            </w:r>
            <w:r>
              <w:rPr>
                <w:bCs/>
                <w:vertAlign w:val="superscript"/>
              </w:rPr>
              <w:t>*</w:t>
            </w:r>
          </w:p>
          <w:p w14:paraId="38159913" w14:textId="1B080143" w:rsidR="00BB4F4C" w:rsidRPr="000F63ED" w:rsidRDefault="00BB4F4C" w:rsidP="0037074A">
            <w:pPr>
              <w:cnfStyle w:val="000000000000" w:firstRow="0" w:lastRow="0" w:firstColumn="0" w:lastColumn="0" w:oddVBand="0" w:evenVBand="0" w:oddHBand="0" w:evenHBand="0" w:firstRowFirstColumn="0" w:firstRowLastColumn="0" w:lastRowFirstColumn="0" w:lastRowLastColumn="0"/>
              <w:rPr>
                <w:rFonts w:ascii="Wingdings" w:hAnsi="Wingdings"/>
              </w:rPr>
            </w:pPr>
          </w:p>
          <w:p w14:paraId="13003F1D" w14:textId="2B15B773" w:rsidR="00BB4F4C" w:rsidRPr="000F63ED" w:rsidRDefault="00BB4F4C" w:rsidP="0037074A">
            <w:pPr>
              <w:cnfStyle w:val="000000000000" w:firstRow="0" w:lastRow="0" w:firstColumn="0" w:lastColumn="0" w:oddVBand="0" w:evenVBand="0" w:oddHBand="0" w:evenHBand="0" w:firstRowFirstColumn="0" w:firstRowLastColumn="0" w:lastRowFirstColumn="0" w:lastRowLastColumn="0"/>
              <w:rPr>
                <w:rFonts w:ascii="Wingdings" w:hAnsi="Wingdings"/>
              </w:rPr>
            </w:pPr>
          </w:p>
        </w:tc>
        <w:tc>
          <w:tcPr>
            <w:tcW w:w="1559" w:type="dxa"/>
          </w:tcPr>
          <w:p w14:paraId="748264DF" w14:textId="0924C0DD" w:rsidR="00CD3BCA" w:rsidRDefault="00CD3BCA" w:rsidP="0037074A">
            <w:pPr>
              <w:cnfStyle w:val="000000000000" w:firstRow="0" w:lastRow="0" w:firstColumn="0" w:lastColumn="0" w:oddVBand="0" w:evenVBand="0" w:oddHBand="0" w:evenHBand="0" w:firstRowFirstColumn="0" w:firstRowLastColumn="0" w:lastRowFirstColumn="0" w:lastRowLastColumn="0"/>
            </w:pPr>
          </w:p>
          <w:p w14:paraId="47C8FB33" w14:textId="77777777" w:rsidR="00BF6C83" w:rsidRDefault="00BF6C83" w:rsidP="0037074A">
            <w:pPr>
              <w:cnfStyle w:val="000000000000" w:firstRow="0" w:lastRow="0" w:firstColumn="0" w:lastColumn="0" w:oddVBand="0" w:evenVBand="0" w:oddHBand="0" w:evenHBand="0" w:firstRowFirstColumn="0" w:firstRowLastColumn="0" w:lastRowFirstColumn="0" w:lastRowLastColumn="0"/>
            </w:pPr>
          </w:p>
          <w:p w14:paraId="0B81FDB3" w14:textId="46773C3A" w:rsidR="001F1CC3" w:rsidRPr="00BF6C83" w:rsidRDefault="001F1CC3" w:rsidP="0037074A">
            <w:pPr>
              <w:cnfStyle w:val="000000000000" w:firstRow="0" w:lastRow="0" w:firstColumn="0" w:lastColumn="0" w:oddVBand="0" w:evenVBand="0" w:oddHBand="0" w:evenHBand="0" w:firstRowFirstColumn="0" w:firstRowLastColumn="0" w:lastRowFirstColumn="0" w:lastRowLastColumn="0"/>
            </w:pPr>
          </w:p>
        </w:tc>
        <w:tc>
          <w:tcPr>
            <w:tcW w:w="1559" w:type="dxa"/>
          </w:tcPr>
          <w:p w14:paraId="717FACE9" w14:textId="620795A8" w:rsidR="00BF6C83" w:rsidRDefault="00BF6C83" w:rsidP="0037074A">
            <w:pPr>
              <w:cnfStyle w:val="000000000000" w:firstRow="0" w:lastRow="0" w:firstColumn="0" w:lastColumn="0" w:oddVBand="0" w:evenVBand="0" w:oddHBand="0" w:evenHBand="0" w:firstRowFirstColumn="0" w:firstRowLastColumn="0" w:lastRowFirstColumn="0" w:lastRowLastColumn="0"/>
            </w:pPr>
          </w:p>
          <w:p w14:paraId="606481F0" w14:textId="563928C4" w:rsidR="00291D19" w:rsidRPr="00914C21" w:rsidRDefault="00291D19" w:rsidP="0037074A">
            <w:pPr>
              <w:cnfStyle w:val="000000000000" w:firstRow="0" w:lastRow="0" w:firstColumn="0" w:lastColumn="0" w:oddVBand="0" w:evenVBand="0" w:oddHBand="0" w:evenHBand="0" w:firstRowFirstColumn="0" w:firstRowLastColumn="0" w:lastRowFirstColumn="0" w:lastRowLastColumn="0"/>
              <w:rPr>
                <w:bCs/>
                <w:vertAlign w:val="superscript"/>
              </w:rPr>
            </w:pPr>
            <w:r>
              <w:rPr>
                <w:rFonts w:ascii="Wingdings" w:hAnsi="Wingdings"/>
              </w:rPr>
              <w:t>ü</w:t>
            </w:r>
            <w:r w:rsidR="000F63ED">
              <w:rPr>
                <w:bCs/>
                <w:vertAlign w:val="superscript"/>
              </w:rPr>
              <w:t>^</w:t>
            </w:r>
          </w:p>
          <w:p w14:paraId="14EE7E6B" w14:textId="17BC9090" w:rsidR="00291D19" w:rsidRPr="00BF6C83" w:rsidRDefault="00291D19" w:rsidP="0037074A">
            <w:pPr>
              <w:cnfStyle w:val="000000000000" w:firstRow="0" w:lastRow="0" w:firstColumn="0" w:lastColumn="0" w:oddVBand="0" w:evenVBand="0" w:oddHBand="0" w:evenHBand="0" w:firstRowFirstColumn="0" w:firstRowLastColumn="0" w:lastRowFirstColumn="0" w:lastRowLastColumn="0"/>
            </w:pPr>
          </w:p>
        </w:tc>
        <w:tc>
          <w:tcPr>
            <w:tcW w:w="1559" w:type="dxa"/>
          </w:tcPr>
          <w:p w14:paraId="715D3864" w14:textId="580530C9" w:rsidR="00CD3BCA" w:rsidRDefault="00CD3BCA" w:rsidP="0037074A">
            <w:pPr>
              <w:cnfStyle w:val="000000000000" w:firstRow="0" w:lastRow="0" w:firstColumn="0" w:lastColumn="0" w:oddVBand="0" w:evenVBand="0" w:oddHBand="0" w:evenHBand="0" w:firstRowFirstColumn="0" w:firstRowLastColumn="0" w:lastRowFirstColumn="0" w:lastRowLastColumn="0"/>
            </w:pPr>
          </w:p>
          <w:p w14:paraId="1C747FCD" w14:textId="23161085" w:rsidR="00BF6C83" w:rsidRPr="00BF6C83" w:rsidRDefault="00BF6C83" w:rsidP="0037074A">
            <w:pPr>
              <w:cnfStyle w:val="000000000000" w:firstRow="0" w:lastRow="0" w:firstColumn="0" w:lastColumn="0" w:oddVBand="0" w:evenVBand="0" w:oddHBand="0" w:evenHBand="0" w:firstRowFirstColumn="0" w:firstRowLastColumn="0" w:lastRowFirstColumn="0" w:lastRowLastColumn="0"/>
            </w:pPr>
          </w:p>
        </w:tc>
      </w:tr>
    </w:tbl>
    <w:p w14:paraId="1401CB02" w14:textId="6B9BCE4A" w:rsidR="00BB4F4C" w:rsidRDefault="00BB4F4C" w:rsidP="00FF30B4">
      <w:r>
        <w:rPr>
          <w:b/>
          <w:bCs/>
          <w:vertAlign w:val="superscript"/>
        </w:rPr>
        <w:t>*</w:t>
      </w:r>
      <w:r>
        <w:rPr>
          <w:b/>
          <w:bCs/>
        </w:rPr>
        <w:t xml:space="preserve"> </w:t>
      </w:r>
      <w:r w:rsidR="00291D19" w:rsidRPr="00291D19">
        <w:t>EU</w:t>
      </w:r>
      <w:r w:rsidR="00291D19">
        <w:t xml:space="preserve"> RMP only</w:t>
      </w:r>
    </w:p>
    <w:p w14:paraId="6664F2E1" w14:textId="7B10D211" w:rsidR="000F63ED" w:rsidRPr="003347A5" w:rsidRDefault="000F63ED" w:rsidP="00FF30B4">
      <w:r w:rsidRPr="000F63ED">
        <w:rPr>
          <w:vertAlign w:val="superscript"/>
        </w:rPr>
        <w:t>^</w:t>
      </w:r>
      <w:r>
        <w:t xml:space="preserve"> </w:t>
      </w:r>
      <w:hyperlink r:id="rId38" w:history="1">
        <w:r w:rsidRPr="009C6BB8">
          <w:rPr>
            <w:rStyle w:val="Hyperlink"/>
          </w:rPr>
          <w:t>SmPC section 4.4, 4.6, PL section 3, Legal status: Prescription only medicine (POM) (EU RMP only)</w:t>
        </w:r>
      </w:hyperlink>
    </w:p>
    <w:p w14:paraId="7022008C" w14:textId="0DF69162" w:rsidR="00FF30B4" w:rsidRPr="00FF30B4" w:rsidRDefault="00E01DCC" w:rsidP="00FF30B4">
      <w:pPr>
        <w:rPr>
          <w:b/>
          <w:bCs/>
        </w:rPr>
      </w:pPr>
      <w:r w:rsidRPr="00FF30B4">
        <w:rPr>
          <w:b/>
          <w:bCs/>
        </w:rPr>
        <w:t>RMP evaluator recommendations regarding conditions of registration</w:t>
      </w:r>
    </w:p>
    <w:p w14:paraId="23927154" w14:textId="39511893" w:rsidR="00401979" w:rsidRDefault="00E01DCC" w:rsidP="00401979">
      <w:pPr>
        <w:pStyle w:val="ListBullet"/>
      </w:pPr>
      <w:r w:rsidRPr="00401979">
        <w:t>R</w:t>
      </w:r>
      <w:r w:rsidR="002751D8">
        <w:t>apiblyk</w:t>
      </w:r>
      <w:r w:rsidRPr="00401979">
        <w:t xml:space="preserve"> (Landiolol hydrochloride) is to be included in the Black Triangle Scheme. The PI and CMI for R</w:t>
      </w:r>
      <w:r w:rsidR="002751D8">
        <w:t>apiblyk</w:t>
      </w:r>
      <w:r w:rsidRPr="00401979">
        <w:t xml:space="preserve"> must include the black triangle symbol and mandatory accompanying text for five years, which starts from the date of first supply of the product.</w:t>
      </w:r>
    </w:p>
    <w:p w14:paraId="7A1E7CB7" w14:textId="4641973B" w:rsidR="00150EC1" w:rsidRDefault="00E01DCC" w:rsidP="00150EC1">
      <w:pPr>
        <w:pStyle w:val="ListBullet"/>
      </w:pPr>
      <w:r w:rsidRPr="00FF30B4">
        <w:t>The R</w:t>
      </w:r>
      <w:r w:rsidR="002751D8">
        <w:t>apiblyk</w:t>
      </w:r>
      <w:r w:rsidRPr="00FF30B4">
        <w:t xml:space="preserve"> EU-Risk Management Plan (RMP) version 3.0 </w:t>
      </w:r>
      <w:r w:rsidR="00733CD5">
        <w:t>(</w:t>
      </w:r>
      <w:r w:rsidRPr="00FF30B4">
        <w:t>dated 28 February 2024, data lock point 2 February 2023), with Australia-Specific Annex (ASA) version 3.0</w:t>
      </w:r>
      <w:r w:rsidR="00733CD5">
        <w:t xml:space="preserve"> (</w:t>
      </w:r>
      <w:r w:rsidRPr="00FF30B4">
        <w:t>dated April 2025), included with submission PM-2024-04271-1-3, and any subsequent revisions, as agreed with the TGA will be implemented in Australia.</w:t>
      </w:r>
      <w:r>
        <w:t xml:space="preserve"> </w:t>
      </w:r>
    </w:p>
    <w:p w14:paraId="637BFAB0" w14:textId="0B4D396D" w:rsidR="00FF30B4" w:rsidRPr="00FF30B4" w:rsidRDefault="00E01DCC" w:rsidP="00150EC1">
      <w:pPr>
        <w:pStyle w:val="ListBullet"/>
      </w:pPr>
      <w:r w:rsidRPr="00FF30B4">
        <w:t xml:space="preserve">An obligatory component of risk management plans is routine pharmacovigilance. Routine pharmacovigilance includes the submission of periodic safety update reports (PSURs). </w:t>
      </w:r>
      <w:r w:rsidRPr="00FF30B4">
        <w:br/>
      </w:r>
      <w:r w:rsidRPr="00FF30B4">
        <w:b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r w:rsidR="002C4C2C">
        <w:t xml:space="preserve">. </w:t>
      </w:r>
    </w:p>
    <w:p w14:paraId="5CEDE965" w14:textId="77777777" w:rsidR="004E054F" w:rsidRDefault="00E01DCC" w:rsidP="004E054F">
      <w:pPr>
        <w:ind w:left="360"/>
      </w:pPr>
      <w:r w:rsidRPr="00FF30B4">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w:t>
      </w:r>
    </w:p>
    <w:p w14:paraId="456C7934" w14:textId="348C79D8" w:rsidR="00FA1BC9" w:rsidRDefault="00E01DCC" w:rsidP="00FA1BC9">
      <w:pPr>
        <w:rPr>
          <w:szCs w:val="22"/>
        </w:rPr>
      </w:pPr>
      <w:bookmarkStart w:id="69" w:name="_Toc103679299"/>
      <w:r w:rsidRPr="00BD5DBD">
        <w:rPr>
          <w:szCs w:val="22"/>
        </w:rPr>
        <w:t xml:space="preserve">Further information regarding the TGA’s risk management approach can be found in </w:t>
      </w:r>
      <w:hyperlink r:id="rId39" w:history="1">
        <w:r w:rsidR="00FA1BC9" w:rsidRPr="00BD5DBD">
          <w:rPr>
            <w:rStyle w:val="Hyperlink"/>
            <w:szCs w:val="22"/>
          </w:rPr>
          <w:t>risk management plans for medicines and biologicals</w:t>
        </w:r>
      </w:hyperlink>
      <w:r w:rsidRPr="00BD5DBD">
        <w:rPr>
          <w:szCs w:val="22"/>
        </w:rPr>
        <w:t xml:space="preserve"> and </w:t>
      </w:r>
      <w:hyperlink r:id="rId40" w:history="1">
        <w:r w:rsidR="00FA1BC9" w:rsidRPr="00BD5DBD">
          <w:rPr>
            <w:rStyle w:val="Hyperlink"/>
            <w:szCs w:val="22"/>
          </w:rPr>
          <w:t>the TGA's risk management approach</w:t>
        </w:r>
      </w:hyperlink>
      <w:r w:rsidRPr="00BD5DBD">
        <w:rPr>
          <w:szCs w:val="22"/>
        </w:rPr>
        <w:t xml:space="preserve">. Information on the </w:t>
      </w:r>
      <w:hyperlink r:id="rId41" w:history="1">
        <w:r w:rsidR="00FA1BC9" w:rsidRPr="00BD5DBD">
          <w:rPr>
            <w:rStyle w:val="Hyperlink"/>
            <w:szCs w:val="22"/>
          </w:rPr>
          <w:t>Australia</w:t>
        </w:r>
        <w:r w:rsidR="00FA1BC9">
          <w:rPr>
            <w:rStyle w:val="Hyperlink"/>
            <w:szCs w:val="22"/>
          </w:rPr>
          <w:t>-</w:t>
        </w:r>
        <w:r w:rsidR="00FA1BC9" w:rsidRPr="00BD5DBD">
          <w:rPr>
            <w:rStyle w:val="Hyperlink"/>
            <w:szCs w:val="22"/>
          </w:rPr>
          <w:t>specific annex</w:t>
        </w:r>
      </w:hyperlink>
      <w:r w:rsidRPr="00BD5DBD">
        <w:rPr>
          <w:szCs w:val="22"/>
        </w:rPr>
        <w:t xml:space="preserve"> (</w:t>
      </w:r>
      <w:hyperlink r:id="rId42" w:history="1">
        <w:r w:rsidR="00FA1BC9" w:rsidRPr="00BD5DBD">
          <w:rPr>
            <w:rStyle w:val="Hyperlink"/>
            <w:szCs w:val="22"/>
          </w:rPr>
          <w:t>ASA</w:t>
        </w:r>
      </w:hyperlink>
      <w:r w:rsidRPr="00BD5DBD">
        <w:rPr>
          <w:szCs w:val="22"/>
        </w:rPr>
        <w:t>) can be found on the TGA website.</w:t>
      </w:r>
    </w:p>
    <w:p w14:paraId="74A4F87F" w14:textId="77777777" w:rsidR="00C22214" w:rsidRDefault="00E01DCC" w:rsidP="0037074A">
      <w:pPr>
        <w:pStyle w:val="Heading3"/>
        <w:pageBreakBefore/>
      </w:pPr>
      <w:bookmarkStart w:id="70" w:name="_Toc221110968"/>
      <w:r>
        <w:lastRenderedPageBreak/>
        <w:t>Risk-benefit analysis</w:t>
      </w:r>
      <w:bookmarkEnd w:id="66"/>
      <w:bookmarkEnd w:id="67"/>
      <w:bookmarkEnd w:id="69"/>
      <w:bookmarkEnd w:id="70"/>
    </w:p>
    <w:p w14:paraId="77DE2655" w14:textId="77777777" w:rsidR="00C22214" w:rsidRDefault="00E01DCC" w:rsidP="00C22214">
      <w:pPr>
        <w:pStyle w:val="Heading4"/>
      </w:pPr>
      <w:bookmarkStart w:id="71" w:name="_Toc98931932"/>
      <w:bookmarkStart w:id="72" w:name="_Toc221110969"/>
      <w:r>
        <w:t>Delegate’s considerations</w:t>
      </w:r>
      <w:bookmarkEnd w:id="71"/>
      <w:bookmarkEnd w:id="72"/>
    </w:p>
    <w:p w14:paraId="5E093B09" w14:textId="77777777" w:rsidR="00452162" w:rsidRPr="00452162" w:rsidRDefault="00E01DCC" w:rsidP="00452162">
      <w:pPr>
        <w:rPr>
          <w:b/>
          <w:bCs/>
        </w:rPr>
      </w:pPr>
      <w:r w:rsidRPr="00452162">
        <w:rPr>
          <w:b/>
          <w:bCs/>
        </w:rPr>
        <w:t>Efficacy</w:t>
      </w:r>
    </w:p>
    <w:p w14:paraId="232AAD33" w14:textId="7EF52227" w:rsidR="00452162" w:rsidRPr="00452162" w:rsidRDefault="00E01DCC" w:rsidP="00452162">
      <w:r w:rsidRPr="00452162">
        <w:t xml:space="preserve">A total of 1,192 patients were treated with </w:t>
      </w:r>
      <w:proofErr w:type="spellStart"/>
      <w:r w:rsidRPr="00452162">
        <w:t>landiolol</w:t>
      </w:r>
      <w:proofErr w:type="spellEnd"/>
      <w:r w:rsidRPr="00452162">
        <w:t xml:space="preserve"> (</w:t>
      </w:r>
      <w:proofErr w:type="spellStart"/>
      <w:r w:rsidRPr="00452162">
        <w:t>Onoact</w:t>
      </w:r>
      <w:proofErr w:type="spellEnd"/>
      <w:r w:rsidRPr="00452162">
        <w:t>) in 19 published efficacy studies</w:t>
      </w:r>
      <w:r w:rsidR="002C4C2C">
        <w:t xml:space="preserve">. </w:t>
      </w:r>
      <w:proofErr w:type="spellStart"/>
      <w:r w:rsidRPr="00452162">
        <w:t>Landiolol</w:t>
      </w:r>
      <w:proofErr w:type="spellEnd"/>
      <w:r w:rsidRPr="00452162">
        <w:t xml:space="preserve"> was administered in peri-operative, post-operative, and non-surgical settings</w:t>
      </w:r>
      <w:r w:rsidR="002C4C2C">
        <w:t xml:space="preserve">. </w:t>
      </w:r>
      <w:r w:rsidRPr="00452162">
        <w:t>Most patients treated in peri- or post-operative settings had elevated HR due to sinus tachycardia, whereas most patients treated in non-surgical settings had elevated HR due to AF</w:t>
      </w:r>
      <w:r w:rsidR="002C4C2C">
        <w:t xml:space="preserve">. </w:t>
      </w:r>
      <w:r w:rsidRPr="00452162">
        <w:t>The published studies evaluated a range of dosing regimens which completely cover the proposed dosing regimen</w:t>
      </w:r>
      <w:r w:rsidR="002C4C2C">
        <w:t xml:space="preserve">. </w:t>
      </w:r>
      <w:r w:rsidRPr="00452162">
        <w:t>Studies in patients with LV dysfunction/heart failure</w:t>
      </w:r>
      <w:r w:rsidR="00596BA5" w:rsidRPr="00596BA5">
        <w:rPr>
          <w:vertAlign w:val="superscript"/>
        </w:rPr>
        <w:t>13-15</w:t>
      </w:r>
      <w:r w:rsidRPr="00452162">
        <w:t xml:space="preserve"> used low dose regimens, with starting doses ranging between 1 and 10 µg/kg/min, and this is reflected in the proposed dosing guidance.</w:t>
      </w:r>
    </w:p>
    <w:p w14:paraId="37434AB4" w14:textId="494FDA29" w:rsidR="00452162" w:rsidRPr="00452162" w:rsidRDefault="00E01DCC" w:rsidP="00452162">
      <w:pPr>
        <w:rPr>
          <w:i/>
        </w:rPr>
      </w:pPr>
      <w:r w:rsidRPr="00452162">
        <w:t xml:space="preserve">Moderate improvement in HR reduction or better (HR reduction of ≥20% from baseline) was observed in </w:t>
      </w:r>
      <w:proofErr w:type="gramStart"/>
      <w:r w:rsidRPr="00452162">
        <w:t>all of</w:t>
      </w:r>
      <w:proofErr w:type="gramEnd"/>
      <w:r w:rsidRPr="00452162">
        <w:t xml:space="preserve"> the published studies</w:t>
      </w:r>
      <w:r w:rsidR="002C4C2C">
        <w:t xml:space="preserve">. </w:t>
      </w:r>
      <w:r w:rsidRPr="00452162">
        <w:t>A dose-dependent effect was seen between 10 and 40 µg/kg/min in the dose-finding studies published by Taenaka and Kikawa</w:t>
      </w:r>
      <w:r w:rsidR="00733F74" w:rsidRPr="00733F74">
        <w:rPr>
          <w:vertAlign w:val="superscript"/>
        </w:rPr>
        <w:t>12</w:t>
      </w:r>
      <w:r w:rsidRPr="00452162">
        <w:t xml:space="preserve"> and </w:t>
      </w:r>
      <w:proofErr w:type="spellStart"/>
      <w:r w:rsidRPr="00452162">
        <w:t>Yoshiya</w:t>
      </w:r>
      <w:proofErr w:type="spellEnd"/>
      <w:r w:rsidRPr="00452162">
        <w:t xml:space="preserve"> et al</w:t>
      </w:r>
      <w:r w:rsidR="001412AC">
        <w:t>.</w:t>
      </w:r>
      <w:r w:rsidR="001412AC" w:rsidRPr="001412AC">
        <w:rPr>
          <w:vertAlign w:val="superscript"/>
        </w:rPr>
        <w:t>11</w:t>
      </w:r>
      <w:r w:rsidRPr="00452162">
        <w:t xml:space="preserve"> In the dose-finding study by Kato et al</w:t>
      </w:r>
      <w:r w:rsidR="00405145">
        <w:t>.</w:t>
      </w:r>
      <w:r w:rsidR="00405145" w:rsidRPr="00405145">
        <w:rPr>
          <w:vertAlign w:val="superscript"/>
        </w:rPr>
        <w:t>10</w:t>
      </w:r>
      <w:r w:rsidR="00405145">
        <w:rPr>
          <w:vertAlign w:val="superscript"/>
        </w:rPr>
        <w:t xml:space="preserve"> </w:t>
      </w:r>
      <w:r w:rsidRPr="00452162">
        <w:t>using doses between 20 and 80 µg/kg/min, similar efficacy was observed for the two higher doses 40 and 80 µg/kg/min</w:t>
      </w:r>
      <w:r w:rsidR="002C4C2C">
        <w:t xml:space="preserve">. </w:t>
      </w:r>
      <w:r w:rsidRPr="00452162">
        <w:t>Assessment of substantial improvement in HR reduction (HR reduction of ≥30% from baseline)/restoration of sinus rhythm was limited by differences in endpoint definitions and timepoints of assessment across the studies, but landiolol H dose (125 µg/kg for 1 min followed by 40 µg/kg/min for 10 min) was superior to placebo in two placebo-controlled studies</w:t>
      </w:r>
      <w:r w:rsidR="002C4C2C">
        <w:t xml:space="preserve">. </w:t>
      </w:r>
      <w:r w:rsidRPr="00452162">
        <w:t>In peri-and post-operative studies, the mean change in HR from baseline to 11 min with landiolol (H dose) ranged from -18.9% to -34.9%</w:t>
      </w:r>
      <w:r w:rsidR="002C4C2C">
        <w:t xml:space="preserve">. </w:t>
      </w:r>
      <w:r w:rsidRPr="00452162">
        <w:t>In non-surgical studies, the mean change in HR from baseline ranged from -8.4% at 11 min to -20.3% at 11 min.</w:t>
      </w:r>
    </w:p>
    <w:p w14:paraId="2B95B8AE" w14:textId="248CB63E" w:rsidR="00452162" w:rsidRPr="00452162" w:rsidRDefault="00E01DCC" w:rsidP="00452162">
      <w:pPr>
        <w:rPr>
          <w:i/>
        </w:rPr>
      </w:pPr>
      <w:r w:rsidRPr="00452162">
        <w:t>In Study LDLL600.201, successful HR control was achieved and maintained during the first 16 min after continuous landiolol infusion start (primary endpoint) in 50% of patients overall (60% in the maintenance only group, 40% in the bolus + maintenance group)</w:t>
      </w:r>
      <w:r w:rsidR="002C4C2C">
        <w:t xml:space="preserve">. </w:t>
      </w:r>
      <w:r w:rsidRPr="00452162">
        <w:t>In the maintenance only group (40 µg/kg/min) the median time to successful HR control was 12.0 min (N=9) and in the bolus + maintenance group (100 µg/kg/min for 1 minute followed by 40 µg/kg/min) the median time to successful HR control was 8.0 min (N=4)</w:t>
      </w:r>
      <w:r w:rsidR="002C4C2C">
        <w:t xml:space="preserve">. </w:t>
      </w:r>
    </w:p>
    <w:p w14:paraId="29DAA428" w14:textId="77777777" w:rsidR="00452162" w:rsidRPr="00452162" w:rsidRDefault="00E01DCC" w:rsidP="00452162">
      <w:pPr>
        <w:rPr>
          <w:b/>
          <w:bCs/>
        </w:rPr>
      </w:pPr>
      <w:r w:rsidRPr="00452162">
        <w:rPr>
          <w:b/>
          <w:bCs/>
        </w:rPr>
        <w:t>Safety</w:t>
      </w:r>
    </w:p>
    <w:p w14:paraId="43D86E2B" w14:textId="55D57A1C" w:rsidR="00452162" w:rsidRPr="00452162" w:rsidRDefault="00E01DCC" w:rsidP="00452162">
      <w:r w:rsidRPr="00452162">
        <w:t xml:space="preserve">The clinical safety dataset comprises 38 published clinical studies with </w:t>
      </w:r>
      <w:proofErr w:type="spellStart"/>
      <w:r w:rsidRPr="00452162">
        <w:t>Onoact</w:t>
      </w:r>
      <w:proofErr w:type="spellEnd"/>
      <w:r w:rsidRPr="00452162">
        <w:t>, 4 AOP-sponsored clinical studies, and post-marketing safety data</w:t>
      </w:r>
      <w:r w:rsidR="002C4C2C">
        <w:t xml:space="preserve">. </w:t>
      </w:r>
      <w:r w:rsidRPr="00452162">
        <w:t xml:space="preserve">The safety of </w:t>
      </w:r>
      <w:proofErr w:type="spellStart"/>
      <w:r w:rsidRPr="00452162">
        <w:t>landiolol</w:t>
      </w:r>
      <w:proofErr w:type="spellEnd"/>
      <w:r w:rsidRPr="00452162">
        <w:t xml:space="preserve"> has been assessed in placebo-controlled studies, active-controlled studies and no-treatment-controlled studies</w:t>
      </w:r>
      <w:r w:rsidR="002C4C2C">
        <w:t xml:space="preserve">. </w:t>
      </w:r>
      <w:r w:rsidRPr="00452162">
        <w:t xml:space="preserve">Overall, the safety profile of landiolol is consistent with the expected safety profile of a short-acting </w:t>
      </w:r>
      <w:r w:rsidR="00855694" w:rsidRPr="00452162">
        <w:t>cardio</w:t>
      </w:r>
      <w:r w:rsidR="00C945F9">
        <w:t>-</w:t>
      </w:r>
      <w:r w:rsidR="00855694" w:rsidRPr="00452162">
        <w:t>selective</w:t>
      </w:r>
      <w:r w:rsidRPr="00452162">
        <w:t xml:space="preserve"> beta-blocker</w:t>
      </w:r>
      <w:r w:rsidR="002C4C2C">
        <w:t xml:space="preserve">. </w:t>
      </w:r>
      <w:r w:rsidRPr="00452162">
        <w:t>In the published studies, the most common adverse events related to landiolol were hypotension and bradycardia</w:t>
      </w:r>
      <w:r w:rsidR="002C4C2C">
        <w:t xml:space="preserve">. </w:t>
      </w:r>
      <w:r w:rsidRPr="00452162">
        <w:t>Discontinuation due to adverse events was mainly due to decreased blood pressure, hypotension and bradycardia which are all known side effects of beta-blockers</w:t>
      </w:r>
      <w:r w:rsidR="002C4C2C">
        <w:t xml:space="preserve">. </w:t>
      </w:r>
      <w:r w:rsidRPr="00452162">
        <w:t xml:space="preserve">Recovery of heart rate and blood pressure to pre-administration values occurred within 30 minutes of discontinuation of </w:t>
      </w:r>
      <w:proofErr w:type="spellStart"/>
      <w:r w:rsidRPr="00452162">
        <w:t>landiolol</w:t>
      </w:r>
      <w:proofErr w:type="spellEnd"/>
      <w:r w:rsidR="002C4C2C">
        <w:t xml:space="preserve">. </w:t>
      </w:r>
      <w:r w:rsidRPr="00452162">
        <w:t>No new safety concerns have been identified in the post-market safety dataset.</w:t>
      </w:r>
    </w:p>
    <w:p w14:paraId="61074714" w14:textId="016771DD" w:rsidR="00452162" w:rsidRPr="00452162" w:rsidRDefault="00E01DCC" w:rsidP="00452162">
      <w:r w:rsidRPr="00452162">
        <w:t>Treatment with landiolol is administered in well-controlled clinical settings with monitoring of cardiac and haemodynamic parameters</w:t>
      </w:r>
      <w:r w:rsidR="002C4C2C">
        <w:t xml:space="preserve">. </w:t>
      </w:r>
      <w:r w:rsidRPr="00452162">
        <w:t>For all patients, the dose should be titrated based on clinical response</w:t>
      </w:r>
      <w:r w:rsidR="002C4C2C">
        <w:t xml:space="preserve">. </w:t>
      </w:r>
      <w:r w:rsidRPr="00452162">
        <w:t>A lower starting dose should be used in patients with LV dysfunction</w:t>
      </w:r>
      <w:r w:rsidR="002C4C2C">
        <w:t xml:space="preserve">. </w:t>
      </w:r>
      <w:r w:rsidRPr="00452162">
        <w:t xml:space="preserve">  </w:t>
      </w:r>
    </w:p>
    <w:p w14:paraId="6F3EB3D6" w14:textId="77777777" w:rsidR="00452162" w:rsidRPr="00452162" w:rsidRDefault="00E01DCC" w:rsidP="00452162">
      <w:pPr>
        <w:rPr>
          <w:b/>
          <w:bCs/>
        </w:rPr>
      </w:pPr>
      <w:r w:rsidRPr="00452162">
        <w:rPr>
          <w:b/>
          <w:bCs/>
        </w:rPr>
        <w:t>Proposed Indications</w:t>
      </w:r>
    </w:p>
    <w:p w14:paraId="53861652" w14:textId="77777777" w:rsidR="00452162" w:rsidRPr="00452162" w:rsidRDefault="00E01DCC" w:rsidP="00452162">
      <w:r w:rsidRPr="00452162">
        <w:lastRenderedPageBreak/>
        <w:t xml:space="preserve">The proposed indications are the same as the approved indications in Europe, and comparable to the approved Australian indications for </w:t>
      </w:r>
      <w:proofErr w:type="spellStart"/>
      <w:r w:rsidRPr="00452162">
        <w:t>Brevibloc</w:t>
      </w:r>
      <w:proofErr w:type="spellEnd"/>
      <w:r w:rsidRPr="00452162">
        <w:t xml:space="preserve"> (esmolol).</w:t>
      </w:r>
    </w:p>
    <w:p w14:paraId="5A13321C" w14:textId="77777777" w:rsidR="00452162" w:rsidRPr="00452162" w:rsidRDefault="00E01DCC" w:rsidP="00452162">
      <w:pPr>
        <w:rPr>
          <w:b/>
          <w:bCs/>
        </w:rPr>
      </w:pPr>
      <w:r w:rsidRPr="00452162">
        <w:rPr>
          <w:b/>
          <w:bCs/>
        </w:rPr>
        <w:t>Proposed Dose</w:t>
      </w:r>
    </w:p>
    <w:p w14:paraId="2D7652B6" w14:textId="4306FFC0" w:rsidR="00452162" w:rsidRPr="00452162" w:rsidRDefault="00E01DCC" w:rsidP="00452162">
      <w:r w:rsidRPr="00452162">
        <w:t>Rapiblyk is intended for intravenous use in a monitored setting</w:t>
      </w:r>
      <w:r w:rsidR="002C4C2C">
        <w:t xml:space="preserve">. </w:t>
      </w:r>
      <w:r w:rsidRPr="00452162">
        <w:t xml:space="preserve">Only an appropriately qualified healthcare professional should administer </w:t>
      </w:r>
      <w:proofErr w:type="spellStart"/>
      <w:r w:rsidRPr="00452162">
        <w:t>Rapiblyk</w:t>
      </w:r>
      <w:proofErr w:type="spellEnd"/>
      <w:r w:rsidR="002C4C2C">
        <w:t xml:space="preserve">. </w:t>
      </w:r>
      <w:r w:rsidRPr="00452162">
        <w:t xml:space="preserve">The dosage of </w:t>
      </w:r>
      <w:proofErr w:type="spellStart"/>
      <w:r w:rsidRPr="00452162">
        <w:t>Rapiblyk</w:t>
      </w:r>
      <w:proofErr w:type="spellEnd"/>
      <w:r w:rsidRPr="00452162">
        <w:t xml:space="preserve"> should be titrated individually</w:t>
      </w:r>
      <w:r w:rsidR="002C4C2C">
        <w:t xml:space="preserve">. </w:t>
      </w:r>
      <w:r w:rsidRPr="00452162">
        <w:t>The infusion is usually started at a rate of 10 - 40 µg/kg/min which will establish the heart rate lowering effect within 10 - 20 minutes</w:t>
      </w:r>
      <w:r w:rsidR="002C4C2C">
        <w:t xml:space="preserve">. </w:t>
      </w:r>
      <w:r w:rsidRPr="00452162">
        <w:t>If rapid onset of the heart rate lowering effect is desired (within 2 to 4 minutes), an optional loading dose of 100 µg/kg/min for 1 minute can be considered, followed by continuous intravenous infusion of 10 - 40 µg/kg/min</w:t>
      </w:r>
      <w:r w:rsidR="002C4C2C">
        <w:t xml:space="preserve">. </w:t>
      </w:r>
      <w:r w:rsidRPr="00452162">
        <w:t>Lower starting doses (from 1 µg/kg/min) should be used for patients with cardiac dysfunction.</w:t>
      </w:r>
    </w:p>
    <w:p w14:paraId="2F4FD13B" w14:textId="44FFB587" w:rsidR="00452162" w:rsidRPr="00452162" w:rsidRDefault="00E01DCC" w:rsidP="00452162">
      <w:r w:rsidRPr="00452162">
        <w:rPr>
          <w:bCs/>
        </w:rPr>
        <w:t>The proposed dosing guidance is supported by the clinical dataset</w:t>
      </w:r>
      <w:r w:rsidR="002C4C2C">
        <w:rPr>
          <w:bCs/>
        </w:rPr>
        <w:t xml:space="preserve">. </w:t>
      </w:r>
      <w:r w:rsidRPr="00452162">
        <w:t xml:space="preserve">The Sponsor provided a justification for expressing the dose as the salt, landiolol hydrochloride, rather than the free base, based on the long history of use internationally and extensive published data referencing </w:t>
      </w:r>
      <w:proofErr w:type="spellStart"/>
      <w:r w:rsidRPr="00452162">
        <w:t>landiolol</w:t>
      </w:r>
      <w:proofErr w:type="spellEnd"/>
      <w:r w:rsidRPr="00452162">
        <w:t xml:space="preserve"> hydrochloride</w:t>
      </w:r>
      <w:r w:rsidR="002C4C2C">
        <w:t xml:space="preserve">. </w:t>
      </w:r>
      <w:r w:rsidRPr="00452162">
        <w:t>This is acceptable, but the Product Information should include a statement in Section 4.2 advising that the dosing guidance is based on the salt, not the free base.</w:t>
      </w:r>
    </w:p>
    <w:p w14:paraId="406541C7" w14:textId="54B940EA" w:rsidR="00C22214" w:rsidRDefault="00E01DCC" w:rsidP="00452162">
      <w:pPr>
        <w:pStyle w:val="Heading4"/>
      </w:pPr>
      <w:bookmarkStart w:id="73" w:name="_Toc98931933"/>
      <w:bookmarkStart w:id="74" w:name="_Toc221110970"/>
      <w:r w:rsidRPr="00D23139">
        <w:t>Proposed action</w:t>
      </w:r>
      <w:bookmarkEnd w:id="73"/>
      <w:bookmarkEnd w:id="74"/>
    </w:p>
    <w:p w14:paraId="092672F9" w14:textId="0D431CA1" w:rsidR="00452162" w:rsidRPr="00452162" w:rsidRDefault="00E01DCC" w:rsidP="00452162">
      <w:r w:rsidRPr="00452162">
        <w:t>The quality, efficacy and safety of R</w:t>
      </w:r>
      <w:r w:rsidR="00E54743">
        <w:t>apiblyk</w:t>
      </w:r>
      <w:r w:rsidRPr="00452162">
        <w:t xml:space="preserve"> for the proposed use have been satisfactorily established</w:t>
      </w:r>
      <w:r w:rsidR="002C4C2C">
        <w:t xml:space="preserve">. </w:t>
      </w:r>
      <w:r w:rsidRPr="00452162">
        <w:t>There are no clinical issues requiring advice from ACM</w:t>
      </w:r>
      <w:r w:rsidR="002C4C2C">
        <w:t xml:space="preserve">. </w:t>
      </w:r>
      <w:r w:rsidRPr="00452162">
        <w:t>There are several outstanding issues from the non-clinical evaluation which need to be addressed.</w:t>
      </w:r>
    </w:p>
    <w:p w14:paraId="307F236C" w14:textId="7B583B11" w:rsidR="00C22214" w:rsidRPr="002E238E" w:rsidRDefault="00E01DCC" w:rsidP="00C22214">
      <w:pPr>
        <w:pStyle w:val="Heading2"/>
      </w:pPr>
      <w:bookmarkStart w:id="75" w:name="_Toc247691532"/>
      <w:bookmarkStart w:id="76" w:name="_Toc314842516"/>
      <w:bookmarkStart w:id="77" w:name="_Toc103679300"/>
      <w:bookmarkStart w:id="78" w:name="_Toc221110971"/>
      <w:r>
        <w:t>Assessment</w:t>
      </w:r>
      <w:r w:rsidR="00190853">
        <w:t xml:space="preserve"> </w:t>
      </w:r>
      <w:r>
        <w:t>outcome</w:t>
      </w:r>
      <w:bookmarkEnd w:id="75"/>
      <w:bookmarkEnd w:id="76"/>
      <w:bookmarkEnd w:id="77"/>
      <w:bookmarkEnd w:id="78"/>
    </w:p>
    <w:p w14:paraId="4EF22939" w14:textId="26E6B270" w:rsidR="00C22214" w:rsidRPr="0017005C" w:rsidRDefault="00E01DCC"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CA750A" w:rsidRPr="00CA750A">
        <w:t xml:space="preserve">Rapiblyk </w:t>
      </w:r>
      <w:r w:rsidRPr="0017005C">
        <w:t>(</w:t>
      </w:r>
      <w:r w:rsidR="00CA750A">
        <w:t>l</w:t>
      </w:r>
      <w:r w:rsidR="00CA750A" w:rsidRPr="00CA750A">
        <w:t>andiolol hydrochloride</w:t>
      </w:r>
      <w:r w:rsidRPr="0017005C">
        <w:t xml:space="preserve">) </w:t>
      </w:r>
      <w:r w:rsidR="006C4947" w:rsidRPr="006C4947">
        <w:t>300 mg powder for injection vial</w:t>
      </w:r>
      <w:r w:rsidRPr="0017005C">
        <w:t>, indicated for:</w:t>
      </w:r>
    </w:p>
    <w:p w14:paraId="4EFCE93B" w14:textId="77777777" w:rsidR="00C02564" w:rsidRDefault="00E01DCC" w:rsidP="00613C41">
      <w:pPr>
        <w:pStyle w:val="Indication"/>
        <w:spacing w:before="0" w:after="0" w:line="0" w:lineRule="atLeast"/>
        <w:ind w:left="0"/>
      </w:pPr>
      <w:r w:rsidRPr="00C02564">
        <w:t>Rapiblyk is indicated in adults for:</w:t>
      </w:r>
    </w:p>
    <w:p w14:paraId="578C4A6F" w14:textId="220BC381" w:rsidR="00C02564" w:rsidRPr="0037074A" w:rsidRDefault="00E01DCC" w:rsidP="0037074A">
      <w:pPr>
        <w:pStyle w:val="ListBullet"/>
        <w:ind w:left="720"/>
        <w:rPr>
          <w:i/>
          <w:iCs/>
        </w:rPr>
      </w:pPr>
      <w:r w:rsidRPr="0037074A">
        <w:rPr>
          <w:i/>
          <w:iCs/>
        </w:rPr>
        <w:t>supraventricular tachycardia and for the rapid control of ventricular rate in patients</w:t>
      </w:r>
    </w:p>
    <w:p w14:paraId="3C106189" w14:textId="77777777" w:rsidR="00C02564" w:rsidRPr="0037074A" w:rsidRDefault="00E01DCC" w:rsidP="0037074A">
      <w:pPr>
        <w:pStyle w:val="ListBullet2"/>
        <w:numPr>
          <w:ilvl w:val="2"/>
          <w:numId w:val="1"/>
        </w:numPr>
      </w:pPr>
      <w:r w:rsidRPr="0037074A">
        <w:t>with atrial fibrillation or atrial flutter in perioperative, postoperative, or other</w:t>
      </w:r>
    </w:p>
    <w:p w14:paraId="5B7A9D1C" w14:textId="77777777" w:rsidR="00C02564" w:rsidRPr="0037074A" w:rsidRDefault="00E01DCC" w:rsidP="0037074A">
      <w:pPr>
        <w:pStyle w:val="ListBullet2"/>
        <w:numPr>
          <w:ilvl w:val="2"/>
          <w:numId w:val="1"/>
        </w:numPr>
      </w:pPr>
      <w:r w:rsidRPr="0037074A">
        <w:t>circumstances where short-term control of the ventricular rate with a short acting</w:t>
      </w:r>
    </w:p>
    <w:p w14:paraId="09EA1AEF" w14:textId="77777777" w:rsidR="00C02564" w:rsidRPr="0037074A" w:rsidRDefault="00E01DCC" w:rsidP="0037074A">
      <w:pPr>
        <w:pStyle w:val="ListBullet2"/>
        <w:numPr>
          <w:ilvl w:val="2"/>
          <w:numId w:val="1"/>
        </w:numPr>
      </w:pPr>
      <w:r w:rsidRPr="0037074A">
        <w:t>agent is desirable.</w:t>
      </w:r>
    </w:p>
    <w:p w14:paraId="7517FB8B" w14:textId="4A6E234F" w:rsidR="00C02564" w:rsidRPr="0037074A" w:rsidRDefault="00E01DCC" w:rsidP="0037074A">
      <w:pPr>
        <w:pStyle w:val="ListBullet"/>
        <w:ind w:left="720"/>
        <w:rPr>
          <w:i/>
          <w:iCs/>
        </w:rPr>
      </w:pPr>
      <w:r w:rsidRPr="0037074A">
        <w:rPr>
          <w:i/>
          <w:iCs/>
        </w:rPr>
        <w:t xml:space="preserve">non-compensatory sinus tachycardia </w:t>
      </w:r>
      <w:proofErr w:type="gramStart"/>
      <w:r w:rsidRPr="0037074A">
        <w:rPr>
          <w:i/>
          <w:iCs/>
        </w:rPr>
        <w:t>where</w:t>
      </w:r>
      <w:proofErr w:type="gramEnd"/>
      <w:r w:rsidRPr="0037074A">
        <w:rPr>
          <w:i/>
          <w:iCs/>
        </w:rPr>
        <w:t>, in the physician’s judgment</w:t>
      </w:r>
      <w:r w:rsidR="00FB0502" w:rsidRPr="0037074A">
        <w:rPr>
          <w:i/>
          <w:iCs/>
        </w:rPr>
        <w:t>,</w:t>
      </w:r>
      <w:r w:rsidRPr="0037074A">
        <w:rPr>
          <w:i/>
          <w:iCs/>
        </w:rPr>
        <w:t xml:space="preserve"> the rapid heart</w:t>
      </w:r>
    </w:p>
    <w:p w14:paraId="3419F098" w14:textId="77777777" w:rsidR="00C02564" w:rsidRPr="0037074A" w:rsidRDefault="00E01DCC" w:rsidP="0037074A">
      <w:pPr>
        <w:pStyle w:val="ListBullet2"/>
        <w:numPr>
          <w:ilvl w:val="2"/>
          <w:numId w:val="1"/>
        </w:numPr>
      </w:pPr>
      <w:r w:rsidRPr="0037074A">
        <w:t>rate requires specific intervention.</w:t>
      </w:r>
    </w:p>
    <w:p w14:paraId="3B245AB5" w14:textId="14E5E283" w:rsidR="00C22214" w:rsidRPr="00BD5DBD" w:rsidRDefault="00E01DCC" w:rsidP="00193772">
      <w:pPr>
        <w:pStyle w:val="Indication"/>
        <w:ind w:left="0"/>
      </w:pPr>
      <w:proofErr w:type="spellStart"/>
      <w:r w:rsidRPr="00C02564">
        <w:rPr>
          <w:iCs/>
        </w:rPr>
        <w:t>Rapiblyk</w:t>
      </w:r>
      <w:proofErr w:type="spellEnd"/>
      <w:r w:rsidRPr="00C02564">
        <w:rPr>
          <w:iCs/>
        </w:rPr>
        <w:t xml:space="preserve"> is not intended for use in chronic settings.</w:t>
      </w:r>
      <w:r w:rsidRPr="00C02564">
        <w:t xml:space="preserve"> </w:t>
      </w:r>
    </w:p>
    <w:p w14:paraId="0D732DA4" w14:textId="74882685" w:rsidR="00854D98" w:rsidRPr="00D23139" w:rsidRDefault="00E01DCC" w:rsidP="00906C74">
      <w:pPr>
        <w:pStyle w:val="Heading2"/>
      </w:pPr>
      <w:bookmarkStart w:id="79" w:name="_Toc221110972"/>
      <w:bookmarkStart w:id="80" w:name="_Toc103679301"/>
      <w:r w:rsidRPr="00D23139">
        <w:t>Specific conditions of registration</w:t>
      </w:r>
      <w:bookmarkEnd w:id="79"/>
      <w:r w:rsidRPr="00D23139">
        <w:t xml:space="preserve"> </w:t>
      </w:r>
      <w:bookmarkEnd w:id="80"/>
    </w:p>
    <w:p w14:paraId="2F7B5878" w14:textId="77777777" w:rsidR="00FF7F5F" w:rsidRPr="00FF7F5F" w:rsidRDefault="00E01DCC" w:rsidP="0037074A">
      <w:pPr>
        <w:pStyle w:val="ListBullet"/>
      </w:pPr>
      <w:r w:rsidRPr="00FF7F5F">
        <w:t>Rapiblyk (Landiolol hydrochloride) is to be included in the Black Triangle Scheme. The PI and CMI for Rapiblyk must include the black triangle symbol and mandatory accompanying text for five years, which starts from the date of first supply of the product.</w:t>
      </w:r>
    </w:p>
    <w:p w14:paraId="29FDBA2E" w14:textId="77777777" w:rsidR="00FF7F5F" w:rsidRPr="00FF7F5F" w:rsidRDefault="00E01DCC" w:rsidP="0037074A">
      <w:pPr>
        <w:pStyle w:val="ListBullet"/>
      </w:pPr>
      <w:r w:rsidRPr="00FF7F5F">
        <w:t xml:space="preserve">The Rapiblyk EU-Risk Management Plan (RMP) version 3.0 (dated 28 February 2024, data lock point 2 February 2023), with Australia-Specific Annex (ASA) version 3.0 (dated April 2025), included with submission PM-2024-04271-1-3, and any subsequent revisions, as agreed with the TGA will be implemented in Australia. </w:t>
      </w:r>
    </w:p>
    <w:p w14:paraId="03C608A3" w14:textId="77777777" w:rsidR="0037074A" w:rsidRDefault="00E01DCC" w:rsidP="0037074A">
      <w:pPr>
        <w:pStyle w:val="ListBullet"/>
      </w:pPr>
      <w:r w:rsidRPr="00FF7F5F">
        <w:lastRenderedPageBreak/>
        <w:t xml:space="preserve">An obligatory component of risk management plans is routine pharmacovigilance. Routine pharmacovigilance includes the submission of periodic safety update reports (PSURs). </w:t>
      </w:r>
    </w:p>
    <w:p w14:paraId="05DC2E3D" w14:textId="4B0A5854" w:rsidR="00FF7F5F" w:rsidRPr="00FF7F5F" w:rsidRDefault="00E01DCC" w:rsidP="0037074A">
      <w:r w:rsidRPr="00FF7F5F">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r w:rsidR="002C4C2C">
        <w:t xml:space="preserve">. </w:t>
      </w:r>
    </w:p>
    <w:p w14:paraId="6AE67E20" w14:textId="77777777" w:rsidR="00FF7F5F" w:rsidRPr="00FF7F5F" w:rsidRDefault="00E01DCC" w:rsidP="0037074A">
      <w:r w:rsidRPr="00FF7F5F">
        <w:t xml:space="preserve">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w:t>
      </w:r>
    </w:p>
    <w:p w14:paraId="0F9C1952" w14:textId="46BD475E" w:rsidR="00BA657C" w:rsidRPr="00BA657C" w:rsidRDefault="00E01DCC" w:rsidP="0037074A">
      <w:pPr>
        <w:pStyle w:val="Heading2"/>
      </w:pPr>
      <w:bookmarkStart w:id="81" w:name="_Toc221110973"/>
      <w:bookmarkStart w:id="82" w:name="_Toc196738290"/>
      <w:r w:rsidRPr="00BA657C">
        <w:t>Product Information and Consumer Medicine Information</w:t>
      </w:r>
      <w:bookmarkEnd w:id="81"/>
      <w:r w:rsidRPr="00BA657C">
        <w:t xml:space="preserve"> </w:t>
      </w:r>
      <w:bookmarkEnd w:id="82"/>
    </w:p>
    <w:p w14:paraId="5F276616" w14:textId="6667B73D" w:rsidR="004D0933" w:rsidRPr="004D0933" w:rsidRDefault="00E01DCC" w:rsidP="004D0933">
      <w:bookmarkStart w:id="83" w:name="_Hlk200021736"/>
      <w:r w:rsidRPr="004D0933">
        <w:t xml:space="preserve">For the most recent Product Information (PI) and Consumer Medicine Information (CMI), please refer to the TGA </w:t>
      </w:r>
      <w:hyperlink r:id="rId43" w:history="1">
        <w:r w:rsidR="004D0933" w:rsidRPr="004D0933">
          <w:rPr>
            <w:rStyle w:val="Hyperlink"/>
          </w:rPr>
          <w:t>PI/CMI search facility.</w:t>
        </w:r>
      </w:hyperlink>
    </w:p>
    <w:bookmarkEnd w:id="83"/>
    <w:p w14:paraId="53357BF3" w14:textId="276457B5" w:rsidR="00C22214" w:rsidRDefault="00C22214" w:rsidP="00C22214">
      <w:pPr>
        <w:rPr>
          <w:lang w:eastAsia="ja-JP"/>
        </w:rPr>
        <w:sectPr w:rsidR="00C22214" w:rsidSect="007452E8">
          <w:headerReference w:type="default" r:id="rId44"/>
          <w:footerReference w:type="default" r:id="rId4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411A1A" w14:paraId="3C0C07BF" w14:textId="77777777" w:rsidTr="007452E8">
        <w:trPr>
          <w:trHeight w:hRule="exact" w:val="565"/>
          <w:jc w:val="center"/>
        </w:trPr>
        <w:tc>
          <w:tcPr>
            <w:tcW w:w="9145" w:type="dxa"/>
          </w:tcPr>
          <w:bookmarkEnd w:id="5"/>
          <w:bookmarkEnd w:id="6"/>
          <w:p w14:paraId="7E090B86" w14:textId="77777777" w:rsidR="00F02AEC" w:rsidRPr="00215D48" w:rsidRDefault="00E01DCC" w:rsidP="007452E8">
            <w:pPr>
              <w:pStyle w:val="TGASignoff"/>
            </w:pPr>
            <w:r w:rsidRPr="00215D48">
              <w:lastRenderedPageBreak/>
              <w:t>Therapeutic Goods Administration</w:t>
            </w:r>
          </w:p>
        </w:tc>
      </w:tr>
      <w:tr w:rsidR="00411A1A" w14:paraId="70F47EA1" w14:textId="77777777" w:rsidTr="007452E8">
        <w:trPr>
          <w:trHeight w:val="963"/>
          <w:jc w:val="center"/>
        </w:trPr>
        <w:tc>
          <w:tcPr>
            <w:tcW w:w="9145" w:type="dxa"/>
            <w:tcMar>
              <w:top w:w="28" w:type="dxa"/>
            </w:tcMar>
          </w:tcPr>
          <w:p w14:paraId="3491EBCD" w14:textId="77777777" w:rsidR="00F02AEC" w:rsidRPr="00215D48" w:rsidRDefault="00E01DCC" w:rsidP="007452E8">
            <w:pPr>
              <w:pStyle w:val="Address"/>
              <w:jc w:val="center"/>
            </w:pPr>
            <w:r w:rsidRPr="00215D48">
              <w:t>PO Box 100 Woden ACT 2606 Australia</w:t>
            </w:r>
          </w:p>
          <w:p w14:paraId="5D0FE0E7" w14:textId="53CB9479" w:rsidR="00F02AEC" w:rsidRDefault="00E01DCC">
            <w:pPr>
              <w:pStyle w:val="Address"/>
              <w:jc w:val="center"/>
              <w:rPr>
                <w:sz w:val="22"/>
                <w:szCs w:val="22"/>
              </w:rPr>
            </w:pPr>
            <w:r w:rsidRPr="00215D48">
              <w:t xml:space="preserve">Email: </w:t>
            </w:r>
            <w:hyperlink r:id="rId46" w:history="1">
              <w:r w:rsidR="00F02AEC"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7" w:history="1">
              <w:r w:rsidRPr="00C4721A">
                <w:rPr>
                  <w:rStyle w:val="Hyperlink"/>
                  <w:b/>
                </w:rPr>
                <w:t>https://www.tga.gov.au</w:t>
              </w:r>
            </w:hyperlink>
          </w:p>
        </w:tc>
      </w:tr>
      <w:tr w:rsidR="00411A1A" w14:paraId="2AD74347" w14:textId="77777777" w:rsidTr="007452E8">
        <w:trPr>
          <w:trHeight w:val="251"/>
          <w:jc w:val="center"/>
        </w:trPr>
        <w:tc>
          <w:tcPr>
            <w:tcW w:w="9145" w:type="dxa"/>
            <w:tcMar>
              <w:top w:w="28" w:type="dxa"/>
            </w:tcMar>
          </w:tcPr>
          <w:p w14:paraId="6EAAD5C1" w14:textId="77777777" w:rsidR="00F02AEC" w:rsidRPr="00215D48" w:rsidRDefault="00E01DCC" w:rsidP="007452E8">
            <w:pPr>
              <w:pStyle w:val="Address"/>
              <w:jc w:val="center"/>
            </w:pPr>
            <w:r w:rsidRPr="00215D48">
              <w:t>Reference/Publication #</w:t>
            </w:r>
          </w:p>
        </w:tc>
      </w:tr>
    </w:tbl>
    <w:p w14:paraId="788B80FD" w14:textId="77777777" w:rsidR="007452E8" w:rsidRDefault="007452E8"/>
    <w:sectPr w:rsidR="007452E8" w:rsidSect="007452E8">
      <w:headerReference w:type="first" r:id="rId48"/>
      <w:footerReference w:type="first" r:id="rId4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5CEEB" w14:textId="77777777" w:rsidR="00CD79A3" w:rsidRDefault="00CD79A3">
      <w:pPr>
        <w:spacing w:after="0" w:line="240" w:lineRule="auto"/>
      </w:pPr>
      <w:r>
        <w:separator/>
      </w:r>
    </w:p>
  </w:endnote>
  <w:endnote w:type="continuationSeparator" w:id="0">
    <w:p w14:paraId="2DC24688" w14:textId="77777777" w:rsidR="00CD79A3" w:rsidRDefault="00CD7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MT">
    <w:altName w:val="Arial"/>
    <w:panose1 w:val="00000000000000000000"/>
    <w:charset w:val="00"/>
    <w:family w:val="swiss"/>
    <w:notTrueType/>
    <w:pitch w:val="default"/>
    <w:sig w:usb0="0000000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411A1A"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E01DCC"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E01DCC"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411A1A" w14:paraId="280F09C8" w14:textId="77777777" w:rsidTr="007452E8">
      <w:trPr>
        <w:trHeight w:val="263"/>
      </w:trPr>
      <w:tc>
        <w:tcPr>
          <w:tcW w:w="4360" w:type="dxa"/>
        </w:tcPr>
        <w:p w14:paraId="673F06D3" w14:textId="77777777" w:rsidR="007452E8" w:rsidRPr="00257138" w:rsidRDefault="00E01DCC"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E01DCC"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411A1A" w14:paraId="6266BC33" w14:textId="77777777" w:rsidTr="007452E8">
      <w:trPr>
        <w:trHeight w:val="423"/>
      </w:trPr>
      <w:tc>
        <w:tcPr>
          <w:tcW w:w="7338" w:type="dxa"/>
          <w:tcBorders>
            <w:top w:val="single" w:sz="4" w:space="0" w:color="auto"/>
          </w:tcBorders>
        </w:tcPr>
        <w:p w14:paraId="3C421323" w14:textId="7B3DD42B" w:rsidR="007452E8" w:rsidRPr="004A3084" w:rsidRDefault="00E01DCC" w:rsidP="007452E8">
          <w:pPr>
            <w:pStyle w:val="Footer"/>
          </w:pPr>
          <w:r w:rsidRPr="00487162">
            <w:t>AusPA</w:t>
          </w:r>
          <w:r>
            <w:t xml:space="preserve">R </w:t>
          </w:r>
          <w:r w:rsidR="007528ED">
            <w:t>–</w:t>
          </w:r>
          <w:r>
            <w:t xml:space="preserve"> </w:t>
          </w:r>
          <w:proofErr w:type="spellStart"/>
          <w:r w:rsidR="001D5A11">
            <w:t>Rap</w:t>
          </w:r>
          <w:r w:rsidR="007528ED">
            <w:t>iblyk</w:t>
          </w:r>
          <w:proofErr w:type="spellEnd"/>
          <w:r w:rsidR="007528ED">
            <w:t xml:space="preserve"> (</w:t>
          </w:r>
          <w:proofErr w:type="spellStart"/>
          <w:r w:rsidR="00D74ACB">
            <w:t>l</w:t>
          </w:r>
          <w:r w:rsidR="007528ED">
            <w:t>andiolol</w:t>
          </w:r>
          <w:proofErr w:type="spellEnd"/>
          <w:r w:rsidR="007528ED">
            <w:t xml:space="preserve"> hydrochloride)</w:t>
          </w:r>
          <w:r w:rsidRPr="00460036">
            <w:t xml:space="preserve"> </w:t>
          </w:r>
          <w:r w:rsidR="00D74ACB">
            <w:t>–</w:t>
          </w:r>
          <w:r>
            <w:t xml:space="preserve"> </w:t>
          </w:r>
          <w:proofErr w:type="spellStart"/>
          <w:r w:rsidR="00D74ACB">
            <w:t>Phebra</w:t>
          </w:r>
          <w:proofErr w:type="spellEnd"/>
          <w:r w:rsidR="00D74ACB">
            <w:t xml:space="preserve"> Pty Ltd</w:t>
          </w:r>
          <w:r>
            <w:t xml:space="preserve"> - PM-202</w:t>
          </w:r>
          <w:r w:rsidR="00D74ACB">
            <w:t xml:space="preserve">4 </w:t>
          </w:r>
          <w:r w:rsidR="003840BB">
            <w:t>–</w:t>
          </w:r>
          <w:r w:rsidR="00D74ACB">
            <w:t xml:space="preserve"> </w:t>
          </w:r>
          <w:r w:rsidR="003840BB">
            <w:t>04271 - 1 - 3</w:t>
          </w:r>
          <w:r>
            <w:br/>
          </w:r>
          <w:r w:rsidR="00830468">
            <w:t>Final 4 February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E01DCC"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6A177" w14:textId="77777777" w:rsidR="00CD79A3" w:rsidRDefault="00CD79A3" w:rsidP="00F02AEC">
      <w:pPr>
        <w:spacing w:after="0" w:line="240" w:lineRule="auto"/>
      </w:pPr>
      <w:r>
        <w:separator/>
      </w:r>
    </w:p>
  </w:footnote>
  <w:footnote w:type="continuationSeparator" w:id="0">
    <w:p w14:paraId="6E823BD0" w14:textId="77777777" w:rsidR="00CD79A3" w:rsidRDefault="00CD79A3" w:rsidP="00F02AEC">
      <w:pPr>
        <w:spacing w:after="0" w:line="240" w:lineRule="auto"/>
      </w:pPr>
      <w:r>
        <w:continuationSeparator/>
      </w:r>
    </w:p>
  </w:footnote>
  <w:footnote w:id="1">
    <w:p w14:paraId="68402A9B" w14:textId="42E6F8E0" w:rsidR="007452E8" w:rsidRPr="00A93DC6" w:rsidRDefault="00E01DCC">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4E44E217" w14:textId="720EE5B5" w:rsidR="00F64B1A" w:rsidRDefault="00E01DCC" w:rsidP="00F64B1A">
      <w:pPr>
        <w:pStyle w:val="FootnoteText"/>
      </w:pPr>
      <w:r>
        <w:rPr>
          <w:rStyle w:val="FootnoteReference"/>
        </w:rPr>
        <w:footnoteRef/>
      </w:r>
      <w:r>
        <w:t xml:space="preserve"> Hindricks et al. </w:t>
      </w:r>
      <w:r w:rsidRPr="00BB14E9">
        <w:t>2020 ESC Guidelines for the diagnosis and management of atrial fibrillation developed in collaboration with the European Association of Cardio-Thoracic Surgery (EACTS)</w:t>
      </w:r>
      <w:r w:rsidR="002C4C2C">
        <w:t xml:space="preserve">. </w:t>
      </w:r>
      <w:r>
        <w:t>Eur Heart J 2020 Aug 29.</w:t>
      </w:r>
    </w:p>
  </w:footnote>
  <w:footnote w:id="3">
    <w:p w14:paraId="36F61A2F" w14:textId="5CE01888" w:rsidR="00E50F31" w:rsidRDefault="00E01DCC">
      <w:pPr>
        <w:pStyle w:val="FootnoteText"/>
      </w:pPr>
      <w:r>
        <w:rPr>
          <w:rStyle w:val="FootnoteReference"/>
        </w:rPr>
        <w:footnoteRef/>
      </w:r>
      <w:r>
        <w:t xml:space="preserve"> </w:t>
      </w:r>
      <w:r w:rsidR="007D152C" w:rsidRPr="007D152C">
        <w:t> </w:t>
      </w:r>
      <w:r w:rsidR="007D152C">
        <w:t xml:space="preserve">Nakashima </w:t>
      </w:r>
      <w:r w:rsidR="007D152C" w:rsidRPr="007D152C">
        <w:t>M, Kanamaru M. Phase I study of ONO-1101, a new ultra short acting β1-blocking agent in healthy volunteers. Rinsho Iyaku. 2000;16:1531–56.</w:t>
      </w:r>
      <w:r w:rsidR="001477BE">
        <w:t xml:space="preserve"> (Japanese)</w:t>
      </w:r>
    </w:p>
  </w:footnote>
  <w:footnote w:id="4">
    <w:p w14:paraId="549103B0" w14:textId="4EE3DDE0" w:rsidR="009E4310" w:rsidRDefault="00E01DCC" w:rsidP="009E4310">
      <w:pPr>
        <w:pStyle w:val="FootnoteText"/>
      </w:pPr>
      <w:r>
        <w:rPr>
          <w:rStyle w:val="FootnoteReference"/>
        </w:rPr>
        <w:footnoteRef/>
      </w:r>
      <w:r>
        <w:t xml:space="preserve"> Murakami</w:t>
      </w:r>
      <w:r w:rsidR="00E13BD4">
        <w:t xml:space="preserve"> M., </w:t>
      </w:r>
      <w:r>
        <w:t xml:space="preserve">Furuie, </w:t>
      </w:r>
      <w:r w:rsidR="00E13BD4">
        <w:t xml:space="preserve">H., </w:t>
      </w:r>
      <w:r>
        <w:t>Matsuguma,</w:t>
      </w:r>
      <w:r w:rsidR="00E13BD4">
        <w:t xml:space="preserve"> K.,</w:t>
      </w:r>
      <w:r>
        <w:t xml:space="preserve"> Wanibuchi, </w:t>
      </w:r>
      <w:r w:rsidR="00E13BD4">
        <w:t xml:space="preserve">A., </w:t>
      </w:r>
      <w:r>
        <w:t xml:space="preserve">Kikawa, </w:t>
      </w:r>
      <w:r w:rsidR="00E13BD4">
        <w:t xml:space="preserve">S. and </w:t>
      </w:r>
      <w:r>
        <w:t>Irie,</w:t>
      </w:r>
      <w:r w:rsidR="00F64496">
        <w:t xml:space="preserve"> S. (2005) </w:t>
      </w:r>
      <w:r>
        <w:t>Pharmacokinetics and Pharmacodynamics of Landiolol Hydrochloride, an Ultra Short-acting β1-Selective Blocker, in a Dose Escalation Regimen in Healthy Male Volunteers</w:t>
      </w:r>
      <w:r w:rsidR="00F64496">
        <w:t xml:space="preserve">. </w:t>
      </w:r>
      <w:r w:rsidRPr="00F64496">
        <w:rPr>
          <w:i/>
          <w:iCs/>
        </w:rPr>
        <w:t>Drug Metabolism and Pharmacokinetics,</w:t>
      </w:r>
      <w:r w:rsidR="00F64496">
        <w:rPr>
          <w:i/>
          <w:iCs/>
        </w:rPr>
        <w:t xml:space="preserve"> </w:t>
      </w:r>
      <w:r>
        <w:t>20</w:t>
      </w:r>
      <w:r w:rsidR="001A2A20">
        <w:t xml:space="preserve"> (</w:t>
      </w:r>
      <w:r>
        <w:t>5</w:t>
      </w:r>
      <w:r w:rsidR="001A2A20">
        <w:t xml:space="preserve">): </w:t>
      </w:r>
      <w:r>
        <w:t>337-344,</w:t>
      </w:r>
      <w:r w:rsidR="001A2A20">
        <w:t xml:space="preserve"> </w:t>
      </w:r>
      <w:hyperlink r:id="rId1" w:history="1">
        <w:r w:rsidR="0098442B" w:rsidRPr="00B34D16">
          <w:rPr>
            <w:rStyle w:val="Hyperlink"/>
          </w:rPr>
          <w:t>https://doi.org/10.2133/dmpk.20.337</w:t>
        </w:r>
      </w:hyperlink>
      <w:r>
        <w:t>.</w:t>
      </w:r>
      <w:r w:rsidR="0098442B">
        <w:t xml:space="preserve"> </w:t>
      </w:r>
    </w:p>
  </w:footnote>
  <w:footnote w:id="5">
    <w:p w14:paraId="6287D497" w14:textId="2B34088D" w:rsidR="001E188D" w:rsidRDefault="00E01DCC">
      <w:pPr>
        <w:pStyle w:val="FootnoteText"/>
      </w:pPr>
      <w:r>
        <w:rPr>
          <w:rStyle w:val="FootnoteReference"/>
        </w:rPr>
        <w:footnoteRef/>
      </w:r>
      <w:r>
        <w:t xml:space="preserve"> </w:t>
      </w:r>
      <w:r w:rsidRPr="001E188D">
        <w:t>Atarashi, H., Kuruma, A., Yashima, M., Saitoh, H., Ino, T., Endoh, Y., &amp; Hayakawa, H. (2000). Pharmacokinetics of landiolol hydrochloride, a new ultra-short-acting beta-blocker, in patients with cardiac arrhythmias. </w:t>
      </w:r>
      <w:r w:rsidRPr="001E188D">
        <w:rPr>
          <w:i/>
          <w:iCs/>
        </w:rPr>
        <w:t>Clinical pharmacology and therapeutics</w:t>
      </w:r>
      <w:r w:rsidRPr="001E188D">
        <w:t>, </w:t>
      </w:r>
      <w:r w:rsidRPr="001E188D">
        <w:rPr>
          <w:i/>
          <w:iCs/>
        </w:rPr>
        <w:t>68</w:t>
      </w:r>
      <w:r w:rsidRPr="001E188D">
        <w:t xml:space="preserve">(2), 143–150. </w:t>
      </w:r>
      <w:hyperlink r:id="rId2" w:history="1">
        <w:r w:rsidR="00974742" w:rsidRPr="00F57DCA">
          <w:rPr>
            <w:rStyle w:val="Hyperlink"/>
          </w:rPr>
          <w:t>https://doi.org/10.1067/mcp.2000.108733</w:t>
        </w:r>
      </w:hyperlink>
      <w:r w:rsidR="00974742">
        <w:t xml:space="preserve"> </w:t>
      </w:r>
    </w:p>
  </w:footnote>
  <w:footnote w:id="6">
    <w:p w14:paraId="5AA2BE15" w14:textId="4ABFF110" w:rsidR="00016594" w:rsidRDefault="00E01DCC">
      <w:pPr>
        <w:pStyle w:val="FootnoteText"/>
      </w:pPr>
      <w:r>
        <w:rPr>
          <w:rStyle w:val="FootnoteReference"/>
        </w:rPr>
        <w:footnoteRef/>
      </w:r>
      <w:r>
        <w:t xml:space="preserve"> </w:t>
      </w:r>
      <w:r w:rsidRPr="00016594">
        <w:t>Wang, M., Zhang, Q., Hua, W., Zhou, W., Huang, M., &amp; Wang, H. (2014). Pharmacokinetics, pharmacodynamics, and safety of landiolol hydrochloride in healthy Chinese subjects. </w:t>
      </w:r>
      <w:r w:rsidRPr="00016594">
        <w:rPr>
          <w:i/>
          <w:iCs/>
        </w:rPr>
        <w:t>Drug research</w:t>
      </w:r>
      <w:r w:rsidRPr="00016594">
        <w:t>, </w:t>
      </w:r>
      <w:r w:rsidRPr="00016594">
        <w:rPr>
          <w:i/>
          <w:iCs/>
        </w:rPr>
        <w:t>64</w:t>
      </w:r>
      <w:r w:rsidRPr="00016594">
        <w:t xml:space="preserve">(3), 141–145. </w:t>
      </w:r>
      <w:hyperlink r:id="rId3" w:history="1">
        <w:r w:rsidR="00016594" w:rsidRPr="00F57DCA">
          <w:rPr>
            <w:rStyle w:val="Hyperlink"/>
          </w:rPr>
          <w:t>https://doi.org/10.1055/s-0033-1354368</w:t>
        </w:r>
      </w:hyperlink>
      <w:r>
        <w:t xml:space="preserve"> </w:t>
      </w:r>
    </w:p>
  </w:footnote>
  <w:footnote w:id="7">
    <w:p w14:paraId="4BD89899" w14:textId="27FBE7C5" w:rsidR="00390A3A" w:rsidRPr="001F1CC3" w:rsidRDefault="00E01DCC">
      <w:pPr>
        <w:pStyle w:val="FootnoteText"/>
      </w:pPr>
      <w:r>
        <w:rPr>
          <w:rStyle w:val="FootnoteReference"/>
        </w:rPr>
        <w:footnoteRef/>
      </w:r>
      <w:r>
        <w:t xml:space="preserve"> </w:t>
      </w:r>
      <w:r w:rsidRPr="00390A3A">
        <w:t>Takahata, T., Yasui-Furukori, N., Sakamoto, J., Suto, K., Suto, T., Tateishi, T., &amp; Munakata, A. (2005). Influence of hepatic impairment on the pharmacokinetics and pharmacodynamics of landiolol hydrochloride, an ultra-short-acting beta1-blocker. </w:t>
      </w:r>
      <w:r w:rsidRPr="001F1CC3">
        <w:rPr>
          <w:i/>
        </w:rPr>
        <w:t>Drugs in R&amp;D</w:t>
      </w:r>
      <w:r w:rsidRPr="001F1CC3">
        <w:t>, </w:t>
      </w:r>
      <w:r w:rsidRPr="001F1CC3">
        <w:rPr>
          <w:i/>
        </w:rPr>
        <w:t>6</w:t>
      </w:r>
      <w:r w:rsidRPr="001F1CC3">
        <w:t xml:space="preserve">(6), 385–394. </w:t>
      </w:r>
      <w:hyperlink r:id="rId4" w:history="1">
        <w:r w:rsidR="00974742" w:rsidRPr="001F1CC3">
          <w:rPr>
            <w:rStyle w:val="Hyperlink"/>
          </w:rPr>
          <w:t>https://doi.org/10.2165/00126839-200506060-00006</w:t>
        </w:r>
      </w:hyperlink>
      <w:r w:rsidR="00974742" w:rsidRPr="001F1CC3">
        <w:t xml:space="preserve"> </w:t>
      </w:r>
    </w:p>
  </w:footnote>
  <w:footnote w:id="8">
    <w:p w14:paraId="4D21F9E1" w14:textId="4CCDB248" w:rsidR="00E62EA9" w:rsidRDefault="00E01DCC">
      <w:pPr>
        <w:pStyle w:val="FootnoteText"/>
      </w:pPr>
      <w:r>
        <w:rPr>
          <w:rStyle w:val="FootnoteReference"/>
        </w:rPr>
        <w:footnoteRef/>
      </w:r>
      <w:r w:rsidRPr="001F1CC3">
        <w:t xml:space="preserve"> Naoki Matsumoto, Tohru Aomori, Masafumi Kanamoto, et al. </w:t>
      </w:r>
      <w:r w:rsidRPr="00974742">
        <w:rPr>
          <w:rFonts w:hint="eastAsia"/>
        </w:rPr>
        <w:t>Influence of Hemodynamic Variations on the Pharmacokinetics of Landiolol in Patients Undergoing Cardiovascular Surgery. Biological and Pharmaceutical Bulletin. 2012, Vol.35, No.10, p.1655.</w:t>
      </w:r>
      <w:r w:rsidR="00974742" w:rsidRPr="00974742">
        <w:t xml:space="preserve"> </w:t>
      </w:r>
      <w:hyperlink r:id="rId5" w:history="1">
        <w:r w:rsidR="00974742" w:rsidRPr="00F57DCA">
          <w:rPr>
            <w:rStyle w:val="Hyperlink"/>
          </w:rPr>
          <w:t>https://doi.org/10.1248/bpb.b110727</w:t>
        </w:r>
      </w:hyperlink>
      <w:r w:rsidR="00974742">
        <w:t xml:space="preserve"> </w:t>
      </w:r>
    </w:p>
  </w:footnote>
  <w:footnote w:id="9">
    <w:p w14:paraId="1F483C11" w14:textId="77777777" w:rsidR="0051404B" w:rsidRDefault="00E01DCC" w:rsidP="0051404B">
      <w:pPr>
        <w:pStyle w:val="FootnoteText"/>
      </w:pPr>
      <w:r>
        <w:rPr>
          <w:rStyle w:val="FootnoteReference"/>
        </w:rPr>
        <w:footnoteRef/>
      </w:r>
      <w:r>
        <w:t xml:space="preserve"> </w:t>
      </w:r>
      <w:r w:rsidRPr="001F6EB6">
        <w:t>Note for Guidance on the Investigation of Bioavailability and Bioequivalence (CPMP/EWP/QWP/1401/98)</w:t>
      </w:r>
      <w:r>
        <w:t>.</w:t>
      </w:r>
    </w:p>
  </w:footnote>
  <w:footnote w:id="10">
    <w:p w14:paraId="3E02305B" w14:textId="2D032AF1" w:rsidR="00DB4B7C" w:rsidRDefault="00E01DCC">
      <w:pPr>
        <w:pStyle w:val="FootnoteText"/>
      </w:pPr>
      <w:r>
        <w:rPr>
          <w:rStyle w:val="FootnoteReference"/>
        </w:rPr>
        <w:footnoteRef/>
      </w:r>
      <w:r>
        <w:t xml:space="preserve"> </w:t>
      </w:r>
      <w:r w:rsidRPr="00DB4B7C">
        <w:t> Kato K, Hayakawa H, Atarashi H, Sugimoto T, Inoue H, Hiejima K, et al. Clinical trial of an ultra short acting β</w:t>
      </w:r>
      <w:r w:rsidRPr="00DB4B7C">
        <w:rPr>
          <w:vertAlign w:val="subscript"/>
        </w:rPr>
        <w:t>1</w:t>
      </w:r>
      <w:r w:rsidRPr="00DB4B7C">
        <w:t>-blocker; landiolol hydrochloride (ONO-1101), on paroxysmal atrial fibrillation or flutter and paroxysmal supraventricular tachycardia: An open label, dose finding study (late phase II study). </w:t>
      </w:r>
      <w:r w:rsidRPr="00DB4B7C">
        <w:rPr>
          <w:i/>
          <w:iCs/>
        </w:rPr>
        <w:t>Rinsho Iyaku (J Clin Ther Med)</w:t>
      </w:r>
      <w:r w:rsidRPr="00DB4B7C">
        <w:t> 1997; 13: 4873(53)–4901(81) [in Japanese].</w:t>
      </w:r>
    </w:p>
  </w:footnote>
  <w:footnote w:id="11">
    <w:p w14:paraId="4D8BBFC4" w14:textId="2368C87F" w:rsidR="008316D3" w:rsidRDefault="00E01DCC">
      <w:pPr>
        <w:pStyle w:val="FootnoteText"/>
      </w:pPr>
      <w:r>
        <w:rPr>
          <w:rStyle w:val="FootnoteReference"/>
        </w:rPr>
        <w:footnoteRef/>
      </w:r>
      <w:r>
        <w:t xml:space="preserve"> </w:t>
      </w:r>
      <w:r w:rsidR="000B07FE" w:rsidRPr="000B07FE">
        <w:t>Yoshiya I, Ogawa R, Okumura F, et al. Clinical evaluation of an ultra short acting beta-1-blocker landiolol hydrochloride (ONO-1101) on perioperative supraventricular tachyarrhythmia: a double-blind, dose finding study (late phase II study) (in Japanese). Rinsyoiyaku (J Clin Ther Med). 2000;16(10):1557–77.</w:t>
      </w:r>
      <w:r w:rsidR="000B07FE">
        <w:t xml:space="preserve"> </w:t>
      </w:r>
    </w:p>
  </w:footnote>
  <w:footnote w:id="12">
    <w:p w14:paraId="47430BAB" w14:textId="40FDD0BA" w:rsidR="00A87379" w:rsidRDefault="00E01DCC">
      <w:pPr>
        <w:pStyle w:val="FootnoteText"/>
      </w:pPr>
      <w:r>
        <w:rPr>
          <w:rStyle w:val="FootnoteReference"/>
        </w:rPr>
        <w:footnoteRef/>
      </w:r>
      <w:r>
        <w:t xml:space="preserve"> </w:t>
      </w:r>
      <w:r w:rsidRPr="00A87379">
        <w:t>Taenaka, N., &amp; Kikawa, S. (2013). The effectiveness and safety of landiolol hydrochloride, an ultra-short-acting β1-blocker, in postoperative patients with supraventricular tachyarrhythmias: a multicenter, randomized, double-blind, placebo-controlled study. </w:t>
      </w:r>
      <w:r w:rsidRPr="00A87379">
        <w:rPr>
          <w:i/>
          <w:iCs/>
        </w:rPr>
        <w:t>American journal of cardiovascular drugs : drugs, devices, and other interventions</w:t>
      </w:r>
      <w:r w:rsidRPr="00A87379">
        <w:t>, </w:t>
      </w:r>
      <w:r w:rsidRPr="00A87379">
        <w:rPr>
          <w:i/>
          <w:iCs/>
        </w:rPr>
        <w:t>13</w:t>
      </w:r>
      <w:r w:rsidRPr="00A87379">
        <w:t xml:space="preserve">(5), 353–364. </w:t>
      </w:r>
      <w:hyperlink r:id="rId6" w:history="1">
        <w:r w:rsidR="00A87379" w:rsidRPr="00B34D16">
          <w:rPr>
            <w:rStyle w:val="Hyperlink"/>
          </w:rPr>
          <w:t>https://doi.org/10.1007/s40256-013-0035-2</w:t>
        </w:r>
      </w:hyperlink>
      <w:r>
        <w:t xml:space="preserve"> </w:t>
      </w:r>
    </w:p>
  </w:footnote>
  <w:footnote w:id="13">
    <w:p w14:paraId="717A8F6C" w14:textId="4E63E5DE" w:rsidR="007667EB" w:rsidRDefault="00E01DCC">
      <w:pPr>
        <w:pStyle w:val="FootnoteText"/>
      </w:pPr>
      <w:r>
        <w:rPr>
          <w:rStyle w:val="FootnoteReference"/>
        </w:rPr>
        <w:footnoteRef/>
      </w:r>
      <w:r>
        <w:t xml:space="preserve"> </w:t>
      </w:r>
      <w:r w:rsidRPr="007667EB">
        <w:t>Nagai, R., Kinugawa, K., Inoue, H., Atarashi, H., Seino, Y., Yamashita, T., Shimizu, W., Aiba, T., Kitakaze, M., Sakamoto, A., Ikeda, T., Imai, Y., Daimon, T., Fujino, K., Nagano, T., Okamura, T., Hori, M., &amp; J-Land Investigators (2013). Urgent management of rapid heart rate in patients with atrial fibrillation/flutter and left ventricular dysfunction: comparison of the ultra-short-acting β1-selective blocker landiolol with digoxin (J-Land Study). </w:t>
      </w:r>
      <w:r w:rsidRPr="007667EB">
        <w:rPr>
          <w:i/>
          <w:iCs/>
        </w:rPr>
        <w:t>Circulation journal : official journal of the Japanese Circulation Society</w:t>
      </w:r>
      <w:r w:rsidRPr="007667EB">
        <w:t>, </w:t>
      </w:r>
      <w:r w:rsidRPr="007667EB">
        <w:rPr>
          <w:i/>
          <w:iCs/>
        </w:rPr>
        <w:t>77</w:t>
      </w:r>
      <w:r w:rsidRPr="007667EB">
        <w:t xml:space="preserve">(4), 908–916. </w:t>
      </w:r>
      <w:hyperlink r:id="rId7" w:history="1">
        <w:r w:rsidR="004625A7" w:rsidRPr="00B34D16">
          <w:rPr>
            <w:rStyle w:val="Hyperlink"/>
          </w:rPr>
          <w:t>https://doi.org/10.1253/circj.cj-12-1618</w:t>
        </w:r>
      </w:hyperlink>
      <w:r w:rsidR="004625A7">
        <w:t xml:space="preserve"> </w:t>
      </w:r>
    </w:p>
  </w:footnote>
  <w:footnote w:id="14">
    <w:p w14:paraId="1DBAC1F8" w14:textId="3FF9A78F" w:rsidR="00386D97" w:rsidRDefault="00E01DCC">
      <w:pPr>
        <w:pStyle w:val="FootnoteText"/>
      </w:pPr>
      <w:r>
        <w:rPr>
          <w:rStyle w:val="FootnoteReference"/>
        </w:rPr>
        <w:footnoteRef/>
      </w:r>
      <w:r>
        <w:t xml:space="preserve"> </w:t>
      </w:r>
      <w:r w:rsidRPr="00386D97">
        <w:t>Kobayashi, S., Murakami, W., Myoren, T., Tateishi, H., Okuda, S., Doi, M., Nao, T., Wada, Y., Matsuzaki, M., &amp; Yano, M. (2014). A low-dose β1-blocker effectively and safely slows the heart rate in patients with acute decompensated heart failure and rapid atrial fibrillation. </w:t>
      </w:r>
      <w:r w:rsidRPr="00386D97">
        <w:rPr>
          <w:i/>
          <w:iCs/>
        </w:rPr>
        <w:t>Cardiology</w:t>
      </w:r>
      <w:r w:rsidRPr="00386D97">
        <w:t>, </w:t>
      </w:r>
      <w:r w:rsidRPr="00386D97">
        <w:rPr>
          <w:i/>
          <w:iCs/>
        </w:rPr>
        <w:t>127</w:t>
      </w:r>
      <w:r w:rsidRPr="00386D97">
        <w:t xml:space="preserve">(2), 105–113. </w:t>
      </w:r>
      <w:hyperlink r:id="rId8" w:history="1">
        <w:r w:rsidR="00425C9F" w:rsidRPr="00B34D16">
          <w:rPr>
            <w:rStyle w:val="Hyperlink"/>
          </w:rPr>
          <w:t>https://doi.org/10.1159/000355312</w:t>
        </w:r>
      </w:hyperlink>
      <w:r w:rsidR="00425C9F">
        <w:t xml:space="preserve"> </w:t>
      </w:r>
    </w:p>
  </w:footnote>
  <w:footnote w:id="15">
    <w:p w14:paraId="039AC713" w14:textId="0FA3D3CD" w:rsidR="00C170B8" w:rsidRDefault="00E01DCC">
      <w:pPr>
        <w:pStyle w:val="FootnoteText"/>
      </w:pPr>
      <w:r>
        <w:rPr>
          <w:rStyle w:val="FootnoteReference"/>
        </w:rPr>
        <w:footnoteRef/>
      </w:r>
      <w:r>
        <w:t xml:space="preserve"> </w:t>
      </w:r>
      <w:r w:rsidRPr="00C170B8">
        <w:t>Adachi, T., Sato, A., Baba, M., Hiraya, D., Hasegawa, T., Kuroki, K., Hoshi, T., &amp; Aonuma, K. (2014). Novel use of the ultra-short-acting intravenous β1-selective blocker landiolol for supraventricular tachyarrhythmias in patients with congestive heart failure. </w:t>
      </w:r>
      <w:r w:rsidRPr="00C170B8">
        <w:rPr>
          <w:i/>
          <w:iCs/>
        </w:rPr>
        <w:t>Heart and vessels</w:t>
      </w:r>
      <w:r w:rsidRPr="00C170B8">
        <w:t>, </w:t>
      </w:r>
      <w:r w:rsidRPr="00C170B8">
        <w:rPr>
          <w:i/>
          <w:iCs/>
        </w:rPr>
        <w:t>29</w:t>
      </w:r>
      <w:r w:rsidRPr="00C170B8">
        <w:t xml:space="preserve">(4), 464–469. </w:t>
      </w:r>
      <w:hyperlink r:id="rId9" w:history="1">
        <w:r w:rsidR="00D16028" w:rsidRPr="00B34D16">
          <w:rPr>
            <w:rStyle w:val="Hyperlink"/>
          </w:rPr>
          <w:t>https://doi.org/10.1007/s00380-013-0377-3</w:t>
        </w:r>
      </w:hyperlink>
      <w:r w:rsidR="00D16028">
        <w:t xml:space="preserve"> </w:t>
      </w:r>
    </w:p>
  </w:footnote>
  <w:footnote w:id="16">
    <w:p w14:paraId="314707FB" w14:textId="3FD58918" w:rsidR="009414EC" w:rsidRDefault="00E01DCC">
      <w:pPr>
        <w:pStyle w:val="FootnoteText"/>
      </w:pPr>
      <w:r>
        <w:rPr>
          <w:rStyle w:val="FootnoteReference"/>
        </w:rPr>
        <w:footnoteRef/>
      </w:r>
      <w:r>
        <w:t xml:space="preserve"> </w:t>
      </w:r>
      <w:r w:rsidRPr="009414EC">
        <w:t>Kawaguchi, M., Utada, K., Yoshitani, K., Uchino, H., Takeda, Y., Masui, K., Sakabe, T., &amp; Intraoperative Landiolol for Intracranial Aneurysm Surgery Trial (ILAST) Investigators (2010). Effects of a short-acting [beta]1 receptor antagonist landiolol on hemodynamics and tissue injury markers in patients with subarachnoid hemorrhage undergoing intracranial aneurysm surgery. </w:t>
      </w:r>
      <w:r w:rsidRPr="009414EC">
        <w:rPr>
          <w:i/>
          <w:iCs/>
        </w:rPr>
        <w:t>Journal of neurosurgical anesthesiology</w:t>
      </w:r>
      <w:r w:rsidRPr="009414EC">
        <w:t>, </w:t>
      </w:r>
      <w:r w:rsidRPr="009414EC">
        <w:rPr>
          <w:i/>
          <w:iCs/>
        </w:rPr>
        <w:t>22</w:t>
      </w:r>
      <w:r w:rsidRPr="009414EC">
        <w:t xml:space="preserve">(3), 230–239. </w:t>
      </w:r>
      <w:hyperlink r:id="rId10" w:history="1">
        <w:r w:rsidR="009414EC" w:rsidRPr="00B34D16">
          <w:rPr>
            <w:rStyle w:val="Hyperlink"/>
          </w:rPr>
          <w:t>https://doi.org/10.1097/ANA.0b013e3181d0c2e4</w:t>
        </w:r>
      </w:hyperlink>
      <w:r>
        <w:t xml:space="preserve"> </w:t>
      </w:r>
    </w:p>
  </w:footnote>
  <w:footnote w:id="17">
    <w:p w14:paraId="67F77EB1" w14:textId="4C1A2525" w:rsidR="00493B70" w:rsidRDefault="00E01DCC">
      <w:pPr>
        <w:pStyle w:val="FootnoteText"/>
      </w:pPr>
      <w:r>
        <w:rPr>
          <w:rStyle w:val="FootnoteReference"/>
        </w:rPr>
        <w:footnoteRef/>
      </w:r>
      <w:r>
        <w:t xml:space="preserve"> </w:t>
      </w:r>
      <w:r w:rsidRPr="00493B70">
        <w:t>Sakamoto, A., Kitakaze, M., Takamoto, S., Namiki, A., Kasanuki, H., Hosoda, S., &amp; JL-KNIGHT study group (2012). Landiolol, an ultra-short-acting β₁-blocker, more effectively terminates atrial fibrillation than diltiazem after open heart surgery: prospective, multicenter, randomized, open-label study (JL-KNIGHT study). </w:t>
      </w:r>
      <w:r w:rsidRPr="00493B70">
        <w:rPr>
          <w:i/>
          <w:iCs/>
        </w:rPr>
        <w:t>Circulation journal : official journal of the Japanese Circulation Society</w:t>
      </w:r>
      <w:r w:rsidRPr="00493B70">
        <w:t>, </w:t>
      </w:r>
      <w:r w:rsidRPr="00493B70">
        <w:rPr>
          <w:i/>
          <w:iCs/>
        </w:rPr>
        <w:t>76</w:t>
      </w:r>
      <w:r w:rsidRPr="00493B70">
        <w:t xml:space="preserve">(5), 1097–1101. </w:t>
      </w:r>
      <w:hyperlink r:id="rId11" w:history="1">
        <w:r w:rsidR="00493B70" w:rsidRPr="00B34D16">
          <w:rPr>
            <w:rStyle w:val="Hyperlink"/>
          </w:rPr>
          <w:t>https://doi.org/10.1253/circj.cj-11-1332</w:t>
        </w:r>
      </w:hyperlink>
      <w:r>
        <w:t xml:space="preserve"> </w:t>
      </w:r>
    </w:p>
  </w:footnote>
  <w:footnote w:id="18">
    <w:p w14:paraId="547A45E9" w14:textId="43347B53" w:rsidR="00B81D2F" w:rsidRDefault="00E01DCC">
      <w:pPr>
        <w:pStyle w:val="FootnoteText"/>
      </w:pPr>
      <w:r>
        <w:rPr>
          <w:rStyle w:val="FootnoteReference"/>
        </w:rPr>
        <w:footnoteRef/>
      </w:r>
      <w:r>
        <w:t xml:space="preserve"> </w:t>
      </w:r>
      <w:r w:rsidRPr="00B81D2F">
        <w:t>Taenaka, N., &amp; Kikawa, S. (2013). Dose-dependent effect of landiolol, a new ultra-short-acting β(1)-blocker, on supraventricular tachyarrhythmias in postoperative patients. </w:t>
      </w:r>
      <w:r w:rsidRPr="00B81D2F">
        <w:rPr>
          <w:i/>
          <w:iCs/>
        </w:rPr>
        <w:t>Clinical drug investigation</w:t>
      </w:r>
      <w:r w:rsidRPr="00B81D2F">
        <w:t>, </w:t>
      </w:r>
      <w:r w:rsidRPr="00B81D2F">
        <w:rPr>
          <w:i/>
          <w:iCs/>
        </w:rPr>
        <w:t>33</w:t>
      </w:r>
      <w:r w:rsidRPr="00B81D2F">
        <w:t xml:space="preserve">(7), 505–514. </w:t>
      </w:r>
      <w:hyperlink r:id="rId12" w:history="1">
        <w:r w:rsidR="00B81D2F" w:rsidRPr="00B34D16">
          <w:rPr>
            <w:rStyle w:val="Hyperlink"/>
          </w:rPr>
          <w:t>https://doi.org/10.1007/s40261-013-0093-x</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411A1A" w14:paraId="3E15C3BC" w14:textId="77777777" w:rsidTr="007452E8">
      <w:trPr>
        <w:trHeight w:hRule="exact" w:val="8845"/>
      </w:trPr>
      <w:tc>
        <w:tcPr>
          <w:tcW w:w="11964" w:type="dxa"/>
          <w:vAlign w:val="center"/>
        </w:tcPr>
        <w:p w14:paraId="6FDE4BFB" w14:textId="77777777" w:rsidR="007452E8" w:rsidRPr="002B29B2" w:rsidRDefault="002C4C2C" w:rsidP="007452E8">
          <w:pPr>
            <w:ind w:left="-57"/>
            <w:rPr>
              <w:noProof/>
            </w:rPr>
          </w:pPr>
          <w:sdt>
            <w:sdtPr>
              <w:rPr>
                <w:noProof/>
              </w:rPr>
              <w:id w:val="1926993388"/>
              <w:showingPlcHdr/>
              <w:picture/>
            </w:sdtPr>
            <w:sdtEndPr/>
            <w:sdtContent>
              <w:r w:rsidR="00E01DCC" w:rsidRPr="00F71E1E">
                <w:rPr>
                  <w:noProof/>
                  <w:lang w:val="en-GB" w:eastAsia="en-GB"/>
                </w:rPr>
                <w:drawing>
                  <wp:inline distT="0" distB="0" distL="0" distR="0" wp14:anchorId="62013A0F" wp14:editId="641D4A75">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 cstate="prin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E01DCC" w:rsidP="007452E8">
    <w:pPr>
      <w:rPr>
        <w:noProof/>
      </w:rPr>
    </w:pPr>
    <w:r>
      <w:rPr>
        <w:noProof/>
      </w:rPr>
      <w:drawing>
        <wp:inline distT="0" distB="0" distL="0" distR="0" wp14:anchorId="52BE51C1" wp14:editId="6A533E7D">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344545" cy="694055"/>
                  </a:xfrm>
                  <a:prstGeom prst="rect">
                    <a:avLst/>
                  </a:prstGeom>
                  <a:noFill/>
                  <a:ln>
                    <a:noFill/>
                  </a:ln>
                </pic:spPr>
              </pic:pic>
            </a:graphicData>
          </a:graphic>
        </wp:inline>
      </w:drawing>
    </w:r>
    <w:r w:rsidRPr="002B29B2">
      <w:rPr>
        <w:noProof/>
        <w:lang w:val="en-GB" w:eastAsia="en-GB"/>
      </w:rPr>
      <w:drawing>
        <wp:anchor distT="0" distB="0" distL="114300" distR="114300" simplePos="0" relativeHeight="251658240" behindDoc="0" locked="0" layoutInCell="0" allowOverlap="1" wp14:anchorId="16913866" wp14:editId="5C2D659D">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E01DCC"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70E813C8">
      <w:start w:val="1"/>
      <w:numFmt w:val="bullet"/>
      <w:lvlText w:val=""/>
      <w:lvlJc w:val="left"/>
      <w:pPr>
        <w:ind w:left="720" w:hanging="360"/>
      </w:pPr>
      <w:rPr>
        <w:rFonts w:ascii="Symbol" w:hAnsi="Symbol"/>
      </w:rPr>
    </w:lvl>
    <w:lvl w:ilvl="1" w:tplc="47365026">
      <w:start w:val="1"/>
      <w:numFmt w:val="bullet"/>
      <w:lvlText w:val=""/>
      <w:lvlJc w:val="left"/>
      <w:pPr>
        <w:ind w:left="720" w:hanging="360"/>
      </w:pPr>
      <w:rPr>
        <w:rFonts w:ascii="Symbol" w:hAnsi="Symbol"/>
      </w:rPr>
    </w:lvl>
    <w:lvl w:ilvl="2" w:tplc="234A5676">
      <w:start w:val="1"/>
      <w:numFmt w:val="bullet"/>
      <w:lvlText w:val=""/>
      <w:lvlJc w:val="left"/>
      <w:pPr>
        <w:ind w:left="720" w:hanging="360"/>
      </w:pPr>
      <w:rPr>
        <w:rFonts w:ascii="Symbol" w:hAnsi="Symbol"/>
      </w:rPr>
    </w:lvl>
    <w:lvl w:ilvl="3" w:tplc="60C27676">
      <w:start w:val="1"/>
      <w:numFmt w:val="bullet"/>
      <w:lvlText w:val=""/>
      <w:lvlJc w:val="left"/>
      <w:pPr>
        <w:ind w:left="720" w:hanging="360"/>
      </w:pPr>
      <w:rPr>
        <w:rFonts w:ascii="Symbol" w:hAnsi="Symbol"/>
      </w:rPr>
    </w:lvl>
    <w:lvl w:ilvl="4" w:tplc="20166AA6">
      <w:start w:val="1"/>
      <w:numFmt w:val="bullet"/>
      <w:lvlText w:val=""/>
      <w:lvlJc w:val="left"/>
      <w:pPr>
        <w:ind w:left="720" w:hanging="360"/>
      </w:pPr>
      <w:rPr>
        <w:rFonts w:ascii="Symbol" w:hAnsi="Symbol"/>
      </w:rPr>
    </w:lvl>
    <w:lvl w:ilvl="5" w:tplc="D908AE6E">
      <w:start w:val="1"/>
      <w:numFmt w:val="bullet"/>
      <w:lvlText w:val=""/>
      <w:lvlJc w:val="left"/>
      <w:pPr>
        <w:ind w:left="720" w:hanging="360"/>
      </w:pPr>
      <w:rPr>
        <w:rFonts w:ascii="Symbol" w:hAnsi="Symbol"/>
      </w:rPr>
    </w:lvl>
    <w:lvl w:ilvl="6" w:tplc="5382FE8A">
      <w:start w:val="1"/>
      <w:numFmt w:val="bullet"/>
      <w:lvlText w:val=""/>
      <w:lvlJc w:val="left"/>
      <w:pPr>
        <w:ind w:left="720" w:hanging="360"/>
      </w:pPr>
      <w:rPr>
        <w:rFonts w:ascii="Symbol" w:hAnsi="Symbol"/>
      </w:rPr>
    </w:lvl>
    <w:lvl w:ilvl="7" w:tplc="A8042946">
      <w:start w:val="1"/>
      <w:numFmt w:val="bullet"/>
      <w:lvlText w:val=""/>
      <w:lvlJc w:val="left"/>
      <w:pPr>
        <w:ind w:left="720" w:hanging="360"/>
      </w:pPr>
      <w:rPr>
        <w:rFonts w:ascii="Symbol" w:hAnsi="Symbol"/>
      </w:rPr>
    </w:lvl>
    <w:lvl w:ilvl="8" w:tplc="BEE62D8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04BACB52">
      <w:start w:val="4"/>
      <w:numFmt w:val="bullet"/>
      <w:pStyle w:val="ListBullet3"/>
      <w:lvlText w:val="▪"/>
      <w:lvlJc w:val="left"/>
      <w:pPr>
        <w:ind w:left="1571" w:hanging="360"/>
      </w:pPr>
      <w:rPr>
        <w:rFonts w:ascii="Arial" w:eastAsia="Cambria" w:hAnsi="Arial" w:hint="default"/>
      </w:rPr>
    </w:lvl>
    <w:lvl w:ilvl="1" w:tplc="8782047E" w:tentative="1">
      <w:start w:val="1"/>
      <w:numFmt w:val="bullet"/>
      <w:lvlText w:val="o"/>
      <w:lvlJc w:val="left"/>
      <w:pPr>
        <w:ind w:left="2291" w:hanging="360"/>
      </w:pPr>
      <w:rPr>
        <w:rFonts w:ascii="Courier New" w:hAnsi="Courier New" w:cs="Courier New" w:hint="default"/>
      </w:rPr>
    </w:lvl>
    <w:lvl w:ilvl="2" w:tplc="91D8A7F6" w:tentative="1">
      <w:start w:val="1"/>
      <w:numFmt w:val="bullet"/>
      <w:lvlText w:val=""/>
      <w:lvlJc w:val="left"/>
      <w:pPr>
        <w:ind w:left="3011" w:hanging="360"/>
      </w:pPr>
      <w:rPr>
        <w:rFonts w:ascii="Wingdings" w:hAnsi="Wingdings" w:hint="default"/>
      </w:rPr>
    </w:lvl>
    <w:lvl w:ilvl="3" w:tplc="3CFAA5F8" w:tentative="1">
      <w:start w:val="1"/>
      <w:numFmt w:val="bullet"/>
      <w:lvlText w:val=""/>
      <w:lvlJc w:val="left"/>
      <w:pPr>
        <w:ind w:left="3731" w:hanging="360"/>
      </w:pPr>
      <w:rPr>
        <w:rFonts w:ascii="Symbol" w:hAnsi="Symbol" w:hint="default"/>
      </w:rPr>
    </w:lvl>
    <w:lvl w:ilvl="4" w:tplc="98B620C6" w:tentative="1">
      <w:start w:val="1"/>
      <w:numFmt w:val="bullet"/>
      <w:lvlText w:val="o"/>
      <w:lvlJc w:val="left"/>
      <w:pPr>
        <w:ind w:left="4451" w:hanging="360"/>
      </w:pPr>
      <w:rPr>
        <w:rFonts w:ascii="Courier New" w:hAnsi="Courier New" w:cs="Courier New" w:hint="default"/>
      </w:rPr>
    </w:lvl>
    <w:lvl w:ilvl="5" w:tplc="AB0C8038" w:tentative="1">
      <w:start w:val="1"/>
      <w:numFmt w:val="bullet"/>
      <w:lvlText w:val=""/>
      <w:lvlJc w:val="left"/>
      <w:pPr>
        <w:ind w:left="5171" w:hanging="360"/>
      </w:pPr>
      <w:rPr>
        <w:rFonts w:ascii="Wingdings" w:hAnsi="Wingdings" w:hint="default"/>
      </w:rPr>
    </w:lvl>
    <w:lvl w:ilvl="6" w:tplc="5E041B94" w:tentative="1">
      <w:start w:val="1"/>
      <w:numFmt w:val="bullet"/>
      <w:lvlText w:val=""/>
      <w:lvlJc w:val="left"/>
      <w:pPr>
        <w:ind w:left="5891" w:hanging="360"/>
      </w:pPr>
      <w:rPr>
        <w:rFonts w:ascii="Symbol" w:hAnsi="Symbol" w:hint="default"/>
      </w:rPr>
    </w:lvl>
    <w:lvl w:ilvl="7" w:tplc="45F8989E" w:tentative="1">
      <w:start w:val="1"/>
      <w:numFmt w:val="bullet"/>
      <w:lvlText w:val="o"/>
      <w:lvlJc w:val="left"/>
      <w:pPr>
        <w:ind w:left="6611" w:hanging="360"/>
      </w:pPr>
      <w:rPr>
        <w:rFonts w:ascii="Courier New" w:hAnsi="Courier New" w:cs="Courier New" w:hint="default"/>
      </w:rPr>
    </w:lvl>
    <w:lvl w:ilvl="8" w:tplc="6B7858EC"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7EC859DA">
      <w:start w:val="1"/>
      <w:numFmt w:val="bullet"/>
      <w:lvlText w:val=""/>
      <w:lvlJc w:val="left"/>
      <w:pPr>
        <w:ind w:left="720" w:hanging="360"/>
      </w:pPr>
      <w:rPr>
        <w:rFonts w:ascii="Symbol" w:hAnsi="Symbol"/>
      </w:rPr>
    </w:lvl>
    <w:lvl w:ilvl="1" w:tplc="5B7052AC">
      <w:start w:val="1"/>
      <w:numFmt w:val="bullet"/>
      <w:lvlText w:val=""/>
      <w:lvlJc w:val="left"/>
      <w:pPr>
        <w:ind w:left="720" w:hanging="360"/>
      </w:pPr>
      <w:rPr>
        <w:rFonts w:ascii="Symbol" w:hAnsi="Symbol"/>
      </w:rPr>
    </w:lvl>
    <w:lvl w:ilvl="2" w:tplc="0476755E">
      <w:start w:val="1"/>
      <w:numFmt w:val="bullet"/>
      <w:lvlText w:val=""/>
      <w:lvlJc w:val="left"/>
      <w:pPr>
        <w:ind w:left="720" w:hanging="360"/>
      </w:pPr>
      <w:rPr>
        <w:rFonts w:ascii="Symbol" w:hAnsi="Symbol"/>
      </w:rPr>
    </w:lvl>
    <w:lvl w:ilvl="3" w:tplc="175CA39C">
      <w:start w:val="1"/>
      <w:numFmt w:val="bullet"/>
      <w:lvlText w:val=""/>
      <w:lvlJc w:val="left"/>
      <w:pPr>
        <w:ind w:left="720" w:hanging="360"/>
      </w:pPr>
      <w:rPr>
        <w:rFonts w:ascii="Symbol" w:hAnsi="Symbol"/>
      </w:rPr>
    </w:lvl>
    <w:lvl w:ilvl="4" w:tplc="1234C578">
      <w:start w:val="1"/>
      <w:numFmt w:val="bullet"/>
      <w:lvlText w:val=""/>
      <w:lvlJc w:val="left"/>
      <w:pPr>
        <w:ind w:left="720" w:hanging="360"/>
      </w:pPr>
      <w:rPr>
        <w:rFonts w:ascii="Symbol" w:hAnsi="Symbol"/>
      </w:rPr>
    </w:lvl>
    <w:lvl w:ilvl="5" w:tplc="0068E0F2">
      <w:start w:val="1"/>
      <w:numFmt w:val="bullet"/>
      <w:lvlText w:val=""/>
      <w:lvlJc w:val="left"/>
      <w:pPr>
        <w:ind w:left="720" w:hanging="360"/>
      </w:pPr>
      <w:rPr>
        <w:rFonts w:ascii="Symbol" w:hAnsi="Symbol"/>
      </w:rPr>
    </w:lvl>
    <w:lvl w:ilvl="6" w:tplc="606A5338">
      <w:start w:val="1"/>
      <w:numFmt w:val="bullet"/>
      <w:lvlText w:val=""/>
      <w:lvlJc w:val="left"/>
      <w:pPr>
        <w:ind w:left="720" w:hanging="360"/>
      </w:pPr>
      <w:rPr>
        <w:rFonts w:ascii="Symbol" w:hAnsi="Symbol"/>
      </w:rPr>
    </w:lvl>
    <w:lvl w:ilvl="7" w:tplc="DB0866C0">
      <w:start w:val="1"/>
      <w:numFmt w:val="bullet"/>
      <w:lvlText w:val=""/>
      <w:lvlJc w:val="left"/>
      <w:pPr>
        <w:ind w:left="720" w:hanging="360"/>
      </w:pPr>
      <w:rPr>
        <w:rFonts w:ascii="Symbol" w:hAnsi="Symbol"/>
      </w:rPr>
    </w:lvl>
    <w:lvl w:ilvl="8" w:tplc="38CC5F62">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328B2C72"/>
    <w:multiLevelType w:val="hybridMultilevel"/>
    <w:tmpl w:val="9C18D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014E49"/>
    <w:multiLevelType w:val="hybridMultilevel"/>
    <w:tmpl w:val="322631B0"/>
    <w:lvl w:ilvl="0" w:tplc="3F981682">
      <w:start w:val="1"/>
      <w:numFmt w:val="bullet"/>
      <w:lvlText w:val=""/>
      <w:lvlJc w:val="left"/>
      <w:pPr>
        <w:ind w:left="720" w:hanging="360"/>
      </w:pPr>
      <w:rPr>
        <w:rFonts w:ascii="Symbol" w:hAnsi="Symbol" w:hint="default"/>
      </w:rPr>
    </w:lvl>
    <w:lvl w:ilvl="1" w:tplc="F138A442" w:tentative="1">
      <w:start w:val="1"/>
      <w:numFmt w:val="bullet"/>
      <w:lvlText w:val="o"/>
      <w:lvlJc w:val="left"/>
      <w:pPr>
        <w:ind w:left="1440" w:hanging="360"/>
      </w:pPr>
      <w:rPr>
        <w:rFonts w:ascii="Courier New" w:hAnsi="Courier New" w:cs="Courier New" w:hint="default"/>
      </w:rPr>
    </w:lvl>
    <w:lvl w:ilvl="2" w:tplc="18607516" w:tentative="1">
      <w:start w:val="1"/>
      <w:numFmt w:val="bullet"/>
      <w:lvlText w:val=""/>
      <w:lvlJc w:val="left"/>
      <w:pPr>
        <w:ind w:left="2160" w:hanging="360"/>
      </w:pPr>
      <w:rPr>
        <w:rFonts w:ascii="Wingdings" w:hAnsi="Wingdings" w:hint="default"/>
      </w:rPr>
    </w:lvl>
    <w:lvl w:ilvl="3" w:tplc="5BF2D106" w:tentative="1">
      <w:start w:val="1"/>
      <w:numFmt w:val="bullet"/>
      <w:lvlText w:val=""/>
      <w:lvlJc w:val="left"/>
      <w:pPr>
        <w:ind w:left="2880" w:hanging="360"/>
      </w:pPr>
      <w:rPr>
        <w:rFonts w:ascii="Symbol" w:hAnsi="Symbol" w:hint="default"/>
      </w:rPr>
    </w:lvl>
    <w:lvl w:ilvl="4" w:tplc="690A079A" w:tentative="1">
      <w:start w:val="1"/>
      <w:numFmt w:val="bullet"/>
      <w:lvlText w:val="o"/>
      <w:lvlJc w:val="left"/>
      <w:pPr>
        <w:ind w:left="3600" w:hanging="360"/>
      </w:pPr>
      <w:rPr>
        <w:rFonts w:ascii="Courier New" w:hAnsi="Courier New" w:cs="Courier New" w:hint="default"/>
      </w:rPr>
    </w:lvl>
    <w:lvl w:ilvl="5" w:tplc="14A41A6E" w:tentative="1">
      <w:start w:val="1"/>
      <w:numFmt w:val="bullet"/>
      <w:lvlText w:val=""/>
      <w:lvlJc w:val="left"/>
      <w:pPr>
        <w:ind w:left="4320" w:hanging="360"/>
      </w:pPr>
      <w:rPr>
        <w:rFonts w:ascii="Wingdings" w:hAnsi="Wingdings" w:hint="default"/>
      </w:rPr>
    </w:lvl>
    <w:lvl w:ilvl="6" w:tplc="3542837A" w:tentative="1">
      <w:start w:val="1"/>
      <w:numFmt w:val="bullet"/>
      <w:lvlText w:val=""/>
      <w:lvlJc w:val="left"/>
      <w:pPr>
        <w:ind w:left="5040" w:hanging="360"/>
      </w:pPr>
      <w:rPr>
        <w:rFonts w:ascii="Symbol" w:hAnsi="Symbol" w:hint="default"/>
      </w:rPr>
    </w:lvl>
    <w:lvl w:ilvl="7" w:tplc="6514126A" w:tentative="1">
      <w:start w:val="1"/>
      <w:numFmt w:val="bullet"/>
      <w:lvlText w:val="o"/>
      <w:lvlJc w:val="left"/>
      <w:pPr>
        <w:ind w:left="5760" w:hanging="360"/>
      </w:pPr>
      <w:rPr>
        <w:rFonts w:ascii="Courier New" w:hAnsi="Courier New" w:cs="Courier New" w:hint="default"/>
      </w:rPr>
    </w:lvl>
    <w:lvl w:ilvl="8" w:tplc="BF468456" w:tentative="1">
      <w:start w:val="1"/>
      <w:numFmt w:val="bullet"/>
      <w:lvlText w:val=""/>
      <w:lvlJc w:val="left"/>
      <w:pPr>
        <w:ind w:left="6480" w:hanging="360"/>
      </w:pPr>
      <w:rPr>
        <w:rFonts w:ascii="Wingdings" w:hAnsi="Wingdings" w:hint="default"/>
      </w:rPr>
    </w:lvl>
  </w:abstractNum>
  <w:abstractNum w:abstractNumId="8" w15:restartNumberingAfterBreak="0">
    <w:nsid w:val="46836578"/>
    <w:multiLevelType w:val="hybridMultilevel"/>
    <w:tmpl w:val="F350D9EC"/>
    <w:lvl w:ilvl="0" w:tplc="39C83250">
      <w:start w:val="1"/>
      <w:numFmt w:val="bullet"/>
      <w:lvlText w:val=""/>
      <w:lvlJc w:val="left"/>
      <w:pPr>
        <w:ind w:left="720" w:hanging="360"/>
      </w:pPr>
      <w:rPr>
        <w:rFonts w:ascii="Symbol" w:hAnsi="Symbol"/>
      </w:rPr>
    </w:lvl>
    <w:lvl w:ilvl="1" w:tplc="85105CB6">
      <w:start w:val="1"/>
      <w:numFmt w:val="bullet"/>
      <w:lvlText w:val=""/>
      <w:lvlJc w:val="left"/>
      <w:pPr>
        <w:ind w:left="720" w:hanging="360"/>
      </w:pPr>
      <w:rPr>
        <w:rFonts w:ascii="Symbol" w:hAnsi="Symbol"/>
      </w:rPr>
    </w:lvl>
    <w:lvl w:ilvl="2" w:tplc="437EB71A">
      <w:start w:val="1"/>
      <w:numFmt w:val="bullet"/>
      <w:lvlText w:val=""/>
      <w:lvlJc w:val="left"/>
      <w:pPr>
        <w:ind w:left="720" w:hanging="360"/>
      </w:pPr>
      <w:rPr>
        <w:rFonts w:ascii="Symbol" w:hAnsi="Symbol"/>
      </w:rPr>
    </w:lvl>
    <w:lvl w:ilvl="3" w:tplc="17CA237C">
      <w:start w:val="1"/>
      <w:numFmt w:val="bullet"/>
      <w:lvlText w:val=""/>
      <w:lvlJc w:val="left"/>
      <w:pPr>
        <w:ind w:left="720" w:hanging="360"/>
      </w:pPr>
      <w:rPr>
        <w:rFonts w:ascii="Symbol" w:hAnsi="Symbol"/>
      </w:rPr>
    </w:lvl>
    <w:lvl w:ilvl="4" w:tplc="CE1A5A98">
      <w:start w:val="1"/>
      <w:numFmt w:val="bullet"/>
      <w:lvlText w:val=""/>
      <w:lvlJc w:val="left"/>
      <w:pPr>
        <w:ind w:left="720" w:hanging="360"/>
      </w:pPr>
      <w:rPr>
        <w:rFonts w:ascii="Symbol" w:hAnsi="Symbol"/>
      </w:rPr>
    </w:lvl>
    <w:lvl w:ilvl="5" w:tplc="057E1452">
      <w:start w:val="1"/>
      <w:numFmt w:val="bullet"/>
      <w:lvlText w:val=""/>
      <w:lvlJc w:val="left"/>
      <w:pPr>
        <w:ind w:left="720" w:hanging="360"/>
      </w:pPr>
      <w:rPr>
        <w:rFonts w:ascii="Symbol" w:hAnsi="Symbol"/>
      </w:rPr>
    </w:lvl>
    <w:lvl w:ilvl="6" w:tplc="F64C71FC">
      <w:start w:val="1"/>
      <w:numFmt w:val="bullet"/>
      <w:lvlText w:val=""/>
      <w:lvlJc w:val="left"/>
      <w:pPr>
        <w:ind w:left="720" w:hanging="360"/>
      </w:pPr>
      <w:rPr>
        <w:rFonts w:ascii="Symbol" w:hAnsi="Symbol"/>
      </w:rPr>
    </w:lvl>
    <w:lvl w:ilvl="7" w:tplc="6CB27764">
      <w:start w:val="1"/>
      <w:numFmt w:val="bullet"/>
      <w:lvlText w:val=""/>
      <w:lvlJc w:val="left"/>
      <w:pPr>
        <w:ind w:left="720" w:hanging="360"/>
      </w:pPr>
      <w:rPr>
        <w:rFonts w:ascii="Symbol" w:hAnsi="Symbol"/>
      </w:rPr>
    </w:lvl>
    <w:lvl w:ilvl="8" w:tplc="DA3AA70E">
      <w:start w:val="1"/>
      <w:numFmt w:val="bullet"/>
      <w:lvlText w:val=""/>
      <w:lvlJc w:val="left"/>
      <w:pPr>
        <w:ind w:left="720" w:hanging="360"/>
      </w:pPr>
      <w:rPr>
        <w:rFonts w:ascii="Symbol" w:hAnsi="Symbol"/>
      </w:rPr>
    </w:lvl>
  </w:abstractNum>
  <w:abstractNum w:abstractNumId="9" w15:restartNumberingAfterBreak="0">
    <w:nsid w:val="489B15D7"/>
    <w:multiLevelType w:val="hybridMultilevel"/>
    <w:tmpl w:val="3D2E60CC"/>
    <w:lvl w:ilvl="0" w:tplc="D7CA19E8">
      <w:start w:val="1"/>
      <w:numFmt w:val="bullet"/>
      <w:pStyle w:val="Bulletpoint"/>
      <w:lvlText w:val=""/>
      <w:lvlJc w:val="left"/>
      <w:pPr>
        <w:tabs>
          <w:tab w:val="num" w:pos="369"/>
        </w:tabs>
        <w:ind w:left="369" w:hanging="227"/>
      </w:pPr>
      <w:rPr>
        <w:rFonts w:ascii="Symbol" w:hAnsi="Symbol" w:hint="default"/>
        <w:position w:val="0"/>
        <w:sz w:val="22"/>
        <w:szCs w:val="22"/>
      </w:rPr>
    </w:lvl>
    <w:lvl w:ilvl="1" w:tplc="53EE414C" w:tentative="1">
      <w:start w:val="1"/>
      <w:numFmt w:val="bullet"/>
      <w:lvlText w:val="o"/>
      <w:lvlJc w:val="left"/>
      <w:pPr>
        <w:tabs>
          <w:tab w:val="num" w:pos="1440"/>
        </w:tabs>
        <w:ind w:left="1440" w:hanging="360"/>
      </w:pPr>
      <w:rPr>
        <w:rFonts w:ascii="Courier New" w:hAnsi="Courier New" w:cs="Symbol" w:hint="default"/>
      </w:rPr>
    </w:lvl>
    <w:lvl w:ilvl="2" w:tplc="7E24AFDA" w:tentative="1">
      <w:start w:val="1"/>
      <w:numFmt w:val="bullet"/>
      <w:lvlText w:val=""/>
      <w:lvlJc w:val="left"/>
      <w:pPr>
        <w:tabs>
          <w:tab w:val="num" w:pos="2160"/>
        </w:tabs>
        <w:ind w:left="2160" w:hanging="360"/>
      </w:pPr>
      <w:rPr>
        <w:rFonts w:ascii="Wingdings" w:hAnsi="Wingdings" w:hint="default"/>
      </w:rPr>
    </w:lvl>
    <w:lvl w:ilvl="3" w:tplc="D96475F6" w:tentative="1">
      <w:start w:val="1"/>
      <w:numFmt w:val="bullet"/>
      <w:lvlText w:val=""/>
      <w:lvlJc w:val="left"/>
      <w:pPr>
        <w:tabs>
          <w:tab w:val="num" w:pos="2880"/>
        </w:tabs>
        <w:ind w:left="2880" w:hanging="360"/>
      </w:pPr>
      <w:rPr>
        <w:rFonts w:ascii="Symbol" w:hAnsi="Symbol" w:hint="default"/>
      </w:rPr>
    </w:lvl>
    <w:lvl w:ilvl="4" w:tplc="CDC48692" w:tentative="1">
      <w:start w:val="1"/>
      <w:numFmt w:val="bullet"/>
      <w:lvlText w:val="o"/>
      <w:lvlJc w:val="left"/>
      <w:pPr>
        <w:tabs>
          <w:tab w:val="num" w:pos="3600"/>
        </w:tabs>
        <w:ind w:left="3600" w:hanging="360"/>
      </w:pPr>
      <w:rPr>
        <w:rFonts w:ascii="Courier New" w:hAnsi="Courier New" w:cs="Symbol" w:hint="default"/>
      </w:rPr>
    </w:lvl>
    <w:lvl w:ilvl="5" w:tplc="0E9E022C" w:tentative="1">
      <w:start w:val="1"/>
      <w:numFmt w:val="bullet"/>
      <w:lvlText w:val=""/>
      <w:lvlJc w:val="left"/>
      <w:pPr>
        <w:tabs>
          <w:tab w:val="num" w:pos="4320"/>
        </w:tabs>
        <w:ind w:left="4320" w:hanging="360"/>
      </w:pPr>
      <w:rPr>
        <w:rFonts w:ascii="Wingdings" w:hAnsi="Wingdings" w:hint="default"/>
      </w:rPr>
    </w:lvl>
    <w:lvl w:ilvl="6" w:tplc="BC62A170" w:tentative="1">
      <w:start w:val="1"/>
      <w:numFmt w:val="bullet"/>
      <w:lvlText w:val=""/>
      <w:lvlJc w:val="left"/>
      <w:pPr>
        <w:tabs>
          <w:tab w:val="num" w:pos="5040"/>
        </w:tabs>
        <w:ind w:left="5040" w:hanging="360"/>
      </w:pPr>
      <w:rPr>
        <w:rFonts w:ascii="Symbol" w:hAnsi="Symbol" w:hint="default"/>
      </w:rPr>
    </w:lvl>
    <w:lvl w:ilvl="7" w:tplc="DE7E012C" w:tentative="1">
      <w:start w:val="1"/>
      <w:numFmt w:val="bullet"/>
      <w:lvlText w:val="o"/>
      <w:lvlJc w:val="left"/>
      <w:pPr>
        <w:tabs>
          <w:tab w:val="num" w:pos="5760"/>
        </w:tabs>
        <w:ind w:left="5760" w:hanging="360"/>
      </w:pPr>
      <w:rPr>
        <w:rFonts w:ascii="Courier New" w:hAnsi="Courier New" w:cs="Symbol" w:hint="default"/>
      </w:rPr>
    </w:lvl>
    <w:lvl w:ilvl="8" w:tplc="516041A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4F8D23DB"/>
    <w:multiLevelType w:val="hybridMultilevel"/>
    <w:tmpl w:val="9A4A81D0"/>
    <w:lvl w:ilvl="0" w:tplc="933619E0">
      <w:start w:val="1"/>
      <w:numFmt w:val="bullet"/>
      <w:lvlText w:val=""/>
      <w:lvlJc w:val="left"/>
      <w:pPr>
        <w:ind w:left="720" w:hanging="360"/>
      </w:pPr>
      <w:rPr>
        <w:rFonts w:ascii="Symbol" w:hAnsi="Symbol"/>
      </w:rPr>
    </w:lvl>
    <w:lvl w:ilvl="1" w:tplc="1AA46DB4">
      <w:start w:val="1"/>
      <w:numFmt w:val="bullet"/>
      <w:lvlText w:val=""/>
      <w:lvlJc w:val="left"/>
      <w:pPr>
        <w:ind w:left="720" w:hanging="360"/>
      </w:pPr>
      <w:rPr>
        <w:rFonts w:ascii="Symbol" w:hAnsi="Symbol"/>
      </w:rPr>
    </w:lvl>
    <w:lvl w:ilvl="2" w:tplc="EE4A3CEC">
      <w:start w:val="1"/>
      <w:numFmt w:val="bullet"/>
      <w:lvlText w:val=""/>
      <w:lvlJc w:val="left"/>
      <w:pPr>
        <w:ind w:left="720" w:hanging="360"/>
      </w:pPr>
      <w:rPr>
        <w:rFonts w:ascii="Symbol" w:hAnsi="Symbol"/>
      </w:rPr>
    </w:lvl>
    <w:lvl w:ilvl="3" w:tplc="ACE21056">
      <w:start w:val="1"/>
      <w:numFmt w:val="bullet"/>
      <w:lvlText w:val=""/>
      <w:lvlJc w:val="left"/>
      <w:pPr>
        <w:ind w:left="720" w:hanging="360"/>
      </w:pPr>
      <w:rPr>
        <w:rFonts w:ascii="Symbol" w:hAnsi="Symbol"/>
      </w:rPr>
    </w:lvl>
    <w:lvl w:ilvl="4" w:tplc="33581544">
      <w:start w:val="1"/>
      <w:numFmt w:val="bullet"/>
      <w:lvlText w:val=""/>
      <w:lvlJc w:val="left"/>
      <w:pPr>
        <w:ind w:left="720" w:hanging="360"/>
      </w:pPr>
      <w:rPr>
        <w:rFonts w:ascii="Symbol" w:hAnsi="Symbol"/>
      </w:rPr>
    </w:lvl>
    <w:lvl w:ilvl="5" w:tplc="478E604E">
      <w:start w:val="1"/>
      <w:numFmt w:val="bullet"/>
      <w:lvlText w:val=""/>
      <w:lvlJc w:val="left"/>
      <w:pPr>
        <w:ind w:left="720" w:hanging="360"/>
      </w:pPr>
      <w:rPr>
        <w:rFonts w:ascii="Symbol" w:hAnsi="Symbol"/>
      </w:rPr>
    </w:lvl>
    <w:lvl w:ilvl="6" w:tplc="E9B43534">
      <w:start w:val="1"/>
      <w:numFmt w:val="bullet"/>
      <w:lvlText w:val=""/>
      <w:lvlJc w:val="left"/>
      <w:pPr>
        <w:ind w:left="720" w:hanging="360"/>
      </w:pPr>
      <w:rPr>
        <w:rFonts w:ascii="Symbol" w:hAnsi="Symbol"/>
      </w:rPr>
    </w:lvl>
    <w:lvl w:ilvl="7" w:tplc="6BC24A46">
      <w:start w:val="1"/>
      <w:numFmt w:val="bullet"/>
      <w:lvlText w:val=""/>
      <w:lvlJc w:val="left"/>
      <w:pPr>
        <w:ind w:left="720" w:hanging="360"/>
      </w:pPr>
      <w:rPr>
        <w:rFonts w:ascii="Symbol" w:hAnsi="Symbol"/>
      </w:rPr>
    </w:lvl>
    <w:lvl w:ilvl="8" w:tplc="C84457C8">
      <w:start w:val="1"/>
      <w:numFmt w:val="bullet"/>
      <w:lvlText w:val=""/>
      <w:lvlJc w:val="left"/>
      <w:pPr>
        <w:ind w:left="720" w:hanging="360"/>
      </w:pPr>
      <w:rPr>
        <w:rFonts w:ascii="Symbol" w:hAnsi="Symbol"/>
      </w:rPr>
    </w:lvl>
  </w:abstractNum>
  <w:abstractNum w:abstractNumId="12" w15:restartNumberingAfterBreak="0">
    <w:nsid w:val="50336B0D"/>
    <w:multiLevelType w:val="hybridMultilevel"/>
    <w:tmpl w:val="5D54CD1A"/>
    <w:lvl w:ilvl="0" w:tplc="AD484B52">
      <w:start w:val="1"/>
      <w:numFmt w:val="lowerRoman"/>
      <w:pStyle w:val="Numberbullet3"/>
      <w:lvlText w:val="%1."/>
      <w:lvlJc w:val="right"/>
      <w:pPr>
        <w:ind w:left="720" w:hanging="360"/>
      </w:pPr>
    </w:lvl>
    <w:lvl w:ilvl="1" w:tplc="01043D54" w:tentative="1">
      <w:start w:val="1"/>
      <w:numFmt w:val="lowerLetter"/>
      <w:lvlText w:val="%2."/>
      <w:lvlJc w:val="left"/>
      <w:pPr>
        <w:ind w:left="1440" w:hanging="360"/>
      </w:pPr>
    </w:lvl>
    <w:lvl w:ilvl="2" w:tplc="4EB04DA2" w:tentative="1">
      <w:start w:val="1"/>
      <w:numFmt w:val="lowerRoman"/>
      <w:lvlText w:val="%3."/>
      <w:lvlJc w:val="right"/>
      <w:pPr>
        <w:ind w:left="2160" w:hanging="180"/>
      </w:pPr>
    </w:lvl>
    <w:lvl w:ilvl="3" w:tplc="BA34FCF8" w:tentative="1">
      <w:start w:val="1"/>
      <w:numFmt w:val="decimal"/>
      <w:lvlText w:val="%4."/>
      <w:lvlJc w:val="left"/>
      <w:pPr>
        <w:ind w:left="2880" w:hanging="360"/>
      </w:pPr>
    </w:lvl>
    <w:lvl w:ilvl="4" w:tplc="4BCC55B2" w:tentative="1">
      <w:start w:val="1"/>
      <w:numFmt w:val="lowerLetter"/>
      <w:lvlText w:val="%5."/>
      <w:lvlJc w:val="left"/>
      <w:pPr>
        <w:ind w:left="3600" w:hanging="360"/>
      </w:pPr>
    </w:lvl>
    <w:lvl w:ilvl="5" w:tplc="0E0AF93A" w:tentative="1">
      <w:start w:val="1"/>
      <w:numFmt w:val="lowerRoman"/>
      <w:lvlText w:val="%6."/>
      <w:lvlJc w:val="right"/>
      <w:pPr>
        <w:ind w:left="4320" w:hanging="180"/>
      </w:pPr>
    </w:lvl>
    <w:lvl w:ilvl="6" w:tplc="B6764504" w:tentative="1">
      <w:start w:val="1"/>
      <w:numFmt w:val="decimal"/>
      <w:lvlText w:val="%7."/>
      <w:lvlJc w:val="left"/>
      <w:pPr>
        <w:ind w:left="5040" w:hanging="360"/>
      </w:pPr>
    </w:lvl>
    <w:lvl w:ilvl="7" w:tplc="3AA2B700" w:tentative="1">
      <w:start w:val="1"/>
      <w:numFmt w:val="lowerLetter"/>
      <w:lvlText w:val="%8."/>
      <w:lvlJc w:val="left"/>
      <w:pPr>
        <w:ind w:left="5760" w:hanging="360"/>
      </w:pPr>
    </w:lvl>
    <w:lvl w:ilvl="8" w:tplc="0654207C" w:tentative="1">
      <w:start w:val="1"/>
      <w:numFmt w:val="lowerRoman"/>
      <w:lvlText w:val="%9."/>
      <w:lvlJc w:val="right"/>
      <w:pPr>
        <w:ind w:left="6480" w:hanging="180"/>
      </w:pPr>
    </w:lvl>
  </w:abstractNum>
  <w:abstractNum w:abstractNumId="13" w15:restartNumberingAfterBreak="0">
    <w:nsid w:val="59D22096"/>
    <w:multiLevelType w:val="hybridMultilevel"/>
    <w:tmpl w:val="9DF2F518"/>
    <w:lvl w:ilvl="0" w:tplc="241E199E">
      <w:start w:val="1"/>
      <w:numFmt w:val="bullet"/>
      <w:lvlText w:val=""/>
      <w:lvlJc w:val="left"/>
      <w:pPr>
        <w:ind w:left="720" w:hanging="360"/>
      </w:pPr>
      <w:rPr>
        <w:rFonts w:ascii="Symbol" w:hAnsi="Symbol"/>
      </w:rPr>
    </w:lvl>
    <w:lvl w:ilvl="1" w:tplc="30628A40">
      <w:start w:val="1"/>
      <w:numFmt w:val="bullet"/>
      <w:lvlText w:val=""/>
      <w:lvlJc w:val="left"/>
      <w:pPr>
        <w:ind w:left="720" w:hanging="360"/>
      </w:pPr>
      <w:rPr>
        <w:rFonts w:ascii="Symbol" w:hAnsi="Symbol"/>
      </w:rPr>
    </w:lvl>
    <w:lvl w:ilvl="2" w:tplc="59B27538">
      <w:start w:val="1"/>
      <w:numFmt w:val="bullet"/>
      <w:lvlText w:val=""/>
      <w:lvlJc w:val="left"/>
      <w:pPr>
        <w:ind w:left="720" w:hanging="360"/>
      </w:pPr>
      <w:rPr>
        <w:rFonts w:ascii="Symbol" w:hAnsi="Symbol"/>
      </w:rPr>
    </w:lvl>
    <w:lvl w:ilvl="3" w:tplc="539C0DF6">
      <w:start w:val="1"/>
      <w:numFmt w:val="bullet"/>
      <w:lvlText w:val=""/>
      <w:lvlJc w:val="left"/>
      <w:pPr>
        <w:ind w:left="720" w:hanging="360"/>
      </w:pPr>
      <w:rPr>
        <w:rFonts w:ascii="Symbol" w:hAnsi="Symbol"/>
      </w:rPr>
    </w:lvl>
    <w:lvl w:ilvl="4" w:tplc="D6561C62">
      <w:start w:val="1"/>
      <w:numFmt w:val="bullet"/>
      <w:lvlText w:val=""/>
      <w:lvlJc w:val="left"/>
      <w:pPr>
        <w:ind w:left="720" w:hanging="360"/>
      </w:pPr>
      <w:rPr>
        <w:rFonts w:ascii="Symbol" w:hAnsi="Symbol"/>
      </w:rPr>
    </w:lvl>
    <w:lvl w:ilvl="5" w:tplc="2EAE0FD6">
      <w:start w:val="1"/>
      <w:numFmt w:val="bullet"/>
      <w:lvlText w:val=""/>
      <w:lvlJc w:val="left"/>
      <w:pPr>
        <w:ind w:left="720" w:hanging="360"/>
      </w:pPr>
      <w:rPr>
        <w:rFonts w:ascii="Symbol" w:hAnsi="Symbol"/>
      </w:rPr>
    </w:lvl>
    <w:lvl w:ilvl="6" w:tplc="E312EDC6">
      <w:start w:val="1"/>
      <w:numFmt w:val="bullet"/>
      <w:lvlText w:val=""/>
      <w:lvlJc w:val="left"/>
      <w:pPr>
        <w:ind w:left="720" w:hanging="360"/>
      </w:pPr>
      <w:rPr>
        <w:rFonts w:ascii="Symbol" w:hAnsi="Symbol"/>
      </w:rPr>
    </w:lvl>
    <w:lvl w:ilvl="7" w:tplc="48F0B188">
      <w:start w:val="1"/>
      <w:numFmt w:val="bullet"/>
      <w:lvlText w:val=""/>
      <w:lvlJc w:val="left"/>
      <w:pPr>
        <w:ind w:left="720" w:hanging="360"/>
      </w:pPr>
      <w:rPr>
        <w:rFonts w:ascii="Symbol" w:hAnsi="Symbol"/>
      </w:rPr>
    </w:lvl>
    <w:lvl w:ilvl="8" w:tplc="50E48BA0">
      <w:start w:val="1"/>
      <w:numFmt w:val="bullet"/>
      <w:lvlText w:val=""/>
      <w:lvlJc w:val="left"/>
      <w:pPr>
        <w:ind w:left="720" w:hanging="360"/>
      </w:pPr>
      <w:rPr>
        <w:rFonts w:ascii="Symbol" w:hAnsi="Symbol"/>
      </w:rPr>
    </w:lvl>
  </w:abstractNum>
  <w:abstractNum w:abstractNumId="14" w15:restartNumberingAfterBreak="0">
    <w:nsid w:val="713D7FCE"/>
    <w:multiLevelType w:val="hybridMultilevel"/>
    <w:tmpl w:val="D26E7762"/>
    <w:lvl w:ilvl="0" w:tplc="59AE0586">
      <w:start w:val="1"/>
      <w:numFmt w:val="bullet"/>
      <w:lvlText w:val=""/>
      <w:lvlJc w:val="left"/>
      <w:pPr>
        <w:ind w:left="720" w:hanging="360"/>
      </w:pPr>
      <w:rPr>
        <w:rFonts w:ascii="Symbol" w:hAnsi="Symbol" w:hint="default"/>
      </w:rPr>
    </w:lvl>
    <w:lvl w:ilvl="1" w:tplc="20DC1AB2" w:tentative="1">
      <w:start w:val="1"/>
      <w:numFmt w:val="bullet"/>
      <w:lvlText w:val="o"/>
      <w:lvlJc w:val="left"/>
      <w:pPr>
        <w:ind w:left="1440" w:hanging="360"/>
      </w:pPr>
      <w:rPr>
        <w:rFonts w:ascii="Courier New" w:hAnsi="Courier New" w:cs="Courier New" w:hint="default"/>
      </w:rPr>
    </w:lvl>
    <w:lvl w:ilvl="2" w:tplc="8D9E6010" w:tentative="1">
      <w:start w:val="1"/>
      <w:numFmt w:val="bullet"/>
      <w:lvlText w:val=""/>
      <w:lvlJc w:val="left"/>
      <w:pPr>
        <w:ind w:left="2160" w:hanging="360"/>
      </w:pPr>
      <w:rPr>
        <w:rFonts w:ascii="Wingdings" w:hAnsi="Wingdings" w:hint="default"/>
      </w:rPr>
    </w:lvl>
    <w:lvl w:ilvl="3" w:tplc="D422C348" w:tentative="1">
      <w:start w:val="1"/>
      <w:numFmt w:val="bullet"/>
      <w:lvlText w:val=""/>
      <w:lvlJc w:val="left"/>
      <w:pPr>
        <w:ind w:left="2880" w:hanging="360"/>
      </w:pPr>
      <w:rPr>
        <w:rFonts w:ascii="Symbol" w:hAnsi="Symbol" w:hint="default"/>
      </w:rPr>
    </w:lvl>
    <w:lvl w:ilvl="4" w:tplc="24C892E2" w:tentative="1">
      <w:start w:val="1"/>
      <w:numFmt w:val="bullet"/>
      <w:lvlText w:val="o"/>
      <w:lvlJc w:val="left"/>
      <w:pPr>
        <w:ind w:left="3600" w:hanging="360"/>
      </w:pPr>
      <w:rPr>
        <w:rFonts w:ascii="Courier New" w:hAnsi="Courier New" w:cs="Courier New" w:hint="default"/>
      </w:rPr>
    </w:lvl>
    <w:lvl w:ilvl="5" w:tplc="885CC108" w:tentative="1">
      <w:start w:val="1"/>
      <w:numFmt w:val="bullet"/>
      <w:lvlText w:val=""/>
      <w:lvlJc w:val="left"/>
      <w:pPr>
        <w:ind w:left="4320" w:hanging="360"/>
      </w:pPr>
      <w:rPr>
        <w:rFonts w:ascii="Wingdings" w:hAnsi="Wingdings" w:hint="default"/>
      </w:rPr>
    </w:lvl>
    <w:lvl w:ilvl="6" w:tplc="DE38ABDA" w:tentative="1">
      <w:start w:val="1"/>
      <w:numFmt w:val="bullet"/>
      <w:lvlText w:val=""/>
      <w:lvlJc w:val="left"/>
      <w:pPr>
        <w:ind w:left="5040" w:hanging="360"/>
      </w:pPr>
      <w:rPr>
        <w:rFonts w:ascii="Symbol" w:hAnsi="Symbol" w:hint="default"/>
      </w:rPr>
    </w:lvl>
    <w:lvl w:ilvl="7" w:tplc="5556447C" w:tentative="1">
      <w:start w:val="1"/>
      <w:numFmt w:val="bullet"/>
      <w:lvlText w:val="o"/>
      <w:lvlJc w:val="left"/>
      <w:pPr>
        <w:ind w:left="5760" w:hanging="360"/>
      </w:pPr>
      <w:rPr>
        <w:rFonts w:ascii="Courier New" w:hAnsi="Courier New" w:cs="Courier New" w:hint="default"/>
      </w:rPr>
    </w:lvl>
    <w:lvl w:ilvl="8" w:tplc="DDF6B568" w:tentative="1">
      <w:start w:val="1"/>
      <w:numFmt w:val="bullet"/>
      <w:lvlText w:val=""/>
      <w:lvlJc w:val="left"/>
      <w:pPr>
        <w:ind w:left="6480" w:hanging="360"/>
      </w:pPr>
      <w:rPr>
        <w:rFonts w:ascii="Wingdings" w:hAnsi="Wingdings" w:hint="default"/>
      </w:rPr>
    </w:lvl>
  </w:abstractNum>
  <w:abstractNum w:abstractNumId="15" w15:restartNumberingAfterBreak="0">
    <w:nsid w:val="7A6379A9"/>
    <w:multiLevelType w:val="hybridMultilevel"/>
    <w:tmpl w:val="4FE8D072"/>
    <w:lvl w:ilvl="0" w:tplc="AA2CF6CC">
      <w:start w:val="1"/>
      <w:numFmt w:val="bullet"/>
      <w:lvlText w:val=""/>
      <w:lvlJc w:val="left"/>
      <w:pPr>
        <w:ind w:left="720" w:hanging="360"/>
      </w:pPr>
      <w:rPr>
        <w:rFonts w:ascii="Symbol" w:hAnsi="Symbol"/>
      </w:rPr>
    </w:lvl>
    <w:lvl w:ilvl="1" w:tplc="A2808DBA">
      <w:start w:val="1"/>
      <w:numFmt w:val="bullet"/>
      <w:lvlText w:val=""/>
      <w:lvlJc w:val="left"/>
      <w:pPr>
        <w:ind w:left="720" w:hanging="360"/>
      </w:pPr>
      <w:rPr>
        <w:rFonts w:ascii="Symbol" w:hAnsi="Symbol"/>
      </w:rPr>
    </w:lvl>
    <w:lvl w:ilvl="2" w:tplc="995C0B98">
      <w:start w:val="1"/>
      <w:numFmt w:val="bullet"/>
      <w:lvlText w:val=""/>
      <w:lvlJc w:val="left"/>
      <w:pPr>
        <w:ind w:left="720" w:hanging="360"/>
      </w:pPr>
      <w:rPr>
        <w:rFonts w:ascii="Symbol" w:hAnsi="Symbol"/>
      </w:rPr>
    </w:lvl>
    <w:lvl w:ilvl="3" w:tplc="260E6C28">
      <w:start w:val="1"/>
      <w:numFmt w:val="bullet"/>
      <w:lvlText w:val=""/>
      <w:lvlJc w:val="left"/>
      <w:pPr>
        <w:ind w:left="720" w:hanging="360"/>
      </w:pPr>
      <w:rPr>
        <w:rFonts w:ascii="Symbol" w:hAnsi="Symbol"/>
      </w:rPr>
    </w:lvl>
    <w:lvl w:ilvl="4" w:tplc="92B844E4">
      <w:start w:val="1"/>
      <w:numFmt w:val="bullet"/>
      <w:lvlText w:val=""/>
      <w:lvlJc w:val="left"/>
      <w:pPr>
        <w:ind w:left="720" w:hanging="360"/>
      </w:pPr>
      <w:rPr>
        <w:rFonts w:ascii="Symbol" w:hAnsi="Symbol"/>
      </w:rPr>
    </w:lvl>
    <w:lvl w:ilvl="5" w:tplc="6DB0669E">
      <w:start w:val="1"/>
      <w:numFmt w:val="bullet"/>
      <w:lvlText w:val=""/>
      <w:lvlJc w:val="left"/>
      <w:pPr>
        <w:ind w:left="720" w:hanging="360"/>
      </w:pPr>
      <w:rPr>
        <w:rFonts w:ascii="Symbol" w:hAnsi="Symbol"/>
      </w:rPr>
    </w:lvl>
    <w:lvl w:ilvl="6" w:tplc="27924EDC">
      <w:start w:val="1"/>
      <w:numFmt w:val="bullet"/>
      <w:lvlText w:val=""/>
      <w:lvlJc w:val="left"/>
      <w:pPr>
        <w:ind w:left="720" w:hanging="360"/>
      </w:pPr>
      <w:rPr>
        <w:rFonts w:ascii="Symbol" w:hAnsi="Symbol"/>
      </w:rPr>
    </w:lvl>
    <w:lvl w:ilvl="7" w:tplc="C450D9F0">
      <w:start w:val="1"/>
      <w:numFmt w:val="bullet"/>
      <w:lvlText w:val=""/>
      <w:lvlJc w:val="left"/>
      <w:pPr>
        <w:ind w:left="720" w:hanging="360"/>
      </w:pPr>
      <w:rPr>
        <w:rFonts w:ascii="Symbol" w:hAnsi="Symbol"/>
      </w:rPr>
    </w:lvl>
    <w:lvl w:ilvl="8" w:tplc="83F84B76">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2"/>
  </w:num>
  <w:num w:numId="5" w16cid:durableId="1652950129">
    <w:abstractNumId w:val="5"/>
  </w:num>
  <w:num w:numId="6" w16cid:durableId="1053193207">
    <w:abstractNumId w:val="10"/>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1"/>
  </w:num>
  <w:num w:numId="9" w16cid:durableId="173421270">
    <w:abstractNumId w:val="1"/>
  </w:num>
  <w:num w:numId="10" w16cid:durableId="2108043357">
    <w:abstractNumId w:val="4"/>
  </w:num>
  <w:num w:numId="11" w16cid:durableId="1725904230">
    <w:abstractNumId w:val="8"/>
  </w:num>
  <w:num w:numId="12" w16cid:durableId="141579354">
    <w:abstractNumId w:val="13"/>
  </w:num>
  <w:num w:numId="13" w16cid:durableId="283735081">
    <w:abstractNumId w:val="15"/>
  </w:num>
  <w:num w:numId="14" w16cid:durableId="407457806">
    <w:abstractNumId w:val="9"/>
  </w:num>
  <w:num w:numId="15" w16cid:durableId="75173983">
    <w:abstractNumId w:val="7"/>
  </w:num>
  <w:num w:numId="16" w16cid:durableId="337123365">
    <w:abstractNumId w:val="14"/>
  </w:num>
  <w:num w:numId="17" w16cid:durableId="13946199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1A3"/>
    <w:rsid w:val="00000E6E"/>
    <w:rsid w:val="00002194"/>
    <w:rsid w:val="00004431"/>
    <w:rsid w:val="00005062"/>
    <w:rsid w:val="00005718"/>
    <w:rsid w:val="00005DFC"/>
    <w:rsid w:val="00006FAB"/>
    <w:rsid w:val="00007656"/>
    <w:rsid w:val="0001064C"/>
    <w:rsid w:val="0001384A"/>
    <w:rsid w:val="000155AF"/>
    <w:rsid w:val="00016594"/>
    <w:rsid w:val="00016FEF"/>
    <w:rsid w:val="00017C2E"/>
    <w:rsid w:val="000203DB"/>
    <w:rsid w:val="00021C13"/>
    <w:rsid w:val="00022947"/>
    <w:rsid w:val="00022A58"/>
    <w:rsid w:val="00024582"/>
    <w:rsid w:val="00025C3C"/>
    <w:rsid w:val="0002708E"/>
    <w:rsid w:val="000302A5"/>
    <w:rsid w:val="000310ED"/>
    <w:rsid w:val="00032A0F"/>
    <w:rsid w:val="000338AA"/>
    <w:rsid w:val="000344EB"/>
    <w:rsid w:val="00035B54"/>
    <w:rsid w:val="00036CB1"/>
    <w:rsid w:val="00037BE3"/>
    <w:rsid w:val="00040D8D"/>
    <w:rsid w:val="00046423"/>
    <w:rsid w:val="000477F5"/>
    <w:rsid w:val="0005067C"/>
    <w:rsid w:val="00050FA8"/>
    <w:rsid w:val="0005187A"/>
    <w:rsid w:val="000539CA"/>
    <w:rsid w:val="000544D3"/>
    <w:rsid w:val="0005575E"/>
    <w:rsid w:val="00056579"/>
    <w:rsid w:val="000567BD"/>
    <w:rsid w:val="00056BFE"/>
    <w:rsid w:val="0006104E"/>
    <w:rsid w:val="000625DD"/>
    <w:rsid w:val="000640BD"/>
    <w:rsid w:val="00064AE1"/>
    <w:rsid w:val="00065839"/>
    <w:rsid w:val="00065FDF"/>
    <w:rsid w:val="0006693A"/>
    <w:rsid w:val="0007306C"/>
    <w:rsid w:val="00074D13"/>
    <w:rsid w:val="00077844"/>
    <w:rsid w:val="000809B1"/>
    <w:rsid w:val="00080A66"/>
    <w:rsid w:val="00081A74"/>
    <w:rsid w:val="00083763"/>
    <w:rsid w:val="00084170"/>
    <w:rsid w:val="00086A83"/>
    <w:rsid w:val="00090510"/>
    <w:rsid w:val="00090BB0"/>
    <w:rsid w:val="00090E71"/>
    <w:rsid w:val="000917AE"/>
    <w:rsid w:val="00092496"/>
    <w:rsid w:val="00094B81"/>
    <w:rsid w:val="00095C6A"/>
    <w:rsid w:val="00097230"/>
    <w:rsid w:val="000975AA"/>
    <w:rsid w:val="000A0C96"/>
    <w:rsid w:val="000A2440"/>
    <w:rsid w:val="000A2D57"/>
    <w:rsid w:val="000A2F42"/>
    <w:rsid w:val="000A6FCC"/>
    <w:rsid w:val="000B07FE"/>
    <w:rsid w:val="000B1080"/>
    <w:rsid w:val="000B175B"/>
    <w:rsid w:val="000B29B0"/>
    <w:rsid w:val="000B57F0"/>
    <w:rsid w:val="000B59A2"/>
    <w:rsid w:val="000B6B15"/>
    <w:rsid w:val="000C1355"/>
    <w:rsid w:val="000C25A7"/>
    <w:rsid w:val="000C57F2"/>
    <w:rsid w:val="000D24E2"/>
    <w:rsid w:val="000D4B12"/>
    <w:rsid w:val="000D78EC"/>
    <w:rsid w:val="000D7934"/>
    <w:rsid w:val="000E2434"/>
    <w:rsid w:val="000E2597"/>
    <w:rsid w:val="000E25D0"/>
    <w:rsid w:val="000E504E"/>
    <w:rsid w:val="000E5254"/>
    <w:rsid w:val="000E6746"/>
    <w:rsid w:val="000E7A0D"/>
    <w:rsid w:val="000F5176"/>
    <w:rsid w:val="000F63ED"/>
    <w:rsid w:val="000F7B51"/>
    <w:rsid w:val="001002A0"/>
    <w:rsid w:val="00100795"/>
    <w:rsid w:val="00101BEE"/>
    <w:rsid w:val="00101CE6"/>
    <w:rsid w:val="00101FB1"/>
    <w:rsid w:val="0010239D"/>
    <w:rsid w:val="00104A2D"/>
    <w:rsid w:val="00105521"/>
    <w:rsid w:val="0010558A"/>
    <w:rsid w:val="00106D97"/>
    <w:rsid w:val="001101FF"/>
    <w:rsid w:val="00110D28"/>
    <w:rsid w:val="0011113C"/>
    <w:rsid w:val="00111989"/>
    <w:rsid w:val="00113F9F"/>
    <w:rsid w:val="00114025"/>
    <w:rsid w:val="00115418"/>
    <w:rsid w:val="00115E77"/>
    <w:rsid w:val="001167EC"/>
    <w:rsid w:val="001168CE"/>
    <w:rsid w:val="00123115"/>
    <w:rsid w:val="00123A2B"/>
    <w:rsid w:val="0012473C"/>
    <w:rsid w:val="00125D09"/>
    <w:rsid w:val="00127A74"/>
    <w:rsid w:val="0013132F"/>
    <w:rsid w:val="00131B1B"/>
    <w:rsid w:val="0013306D"/>
    <w:rsid w:val="0013528C"/>
    <w:rsid w:val="00137BF4"/>
    <w:rsid w:val="001412AC"/>
    <w:rsid w:val="00141CD9"/>
    <w:rsid w:val="001442A2"/>
    <w:rsid w:val="0014512C"/>
    <w:rsid w:val="001468CA"/>
    <w:rsid w:val="00146AC0"/>
    <w:rsid w:val="001477BE"/>
    <w:rsid w:val="001500A8"/>
    <w:rsid w:val="0015054D"/>
    <w:rsid w:val="00150EC1"/>
    <w:rsid w:val="00151C49"/>
    <w:rsid w:val="0015219E"/>
    <w:rsid w:val="00155D85"/>
    <w:rsid w:val="001563A1"/>
    <w:rsid w:val="001649DE"/>
    <w:rsid w:val="00164EFD"/>
    <w:rsid w:val="00165D28"/>
    <w:rsid w:val="0017005C"/>
    <w:rsid w:val="0017154B"/>
    <w:rsid w:val="00172998"/>
    <w:rsid w:val="00175CD8"/>
    <w:rsid w:val="0018046E"/>
    <w:rsid w:val="00181136"/>
    <w:rsid w:val="00181F45"/>
    <w:rsid w:val="00182BD8"/>
    <w:rsid w:val="00183F2A"/>
    <w:rsid w:val="0018537F"/>
    <w:rsid w:val="00190853"/>
    <w:rsid w:val="00193772"/>
    <w:rsid w:val="0019546E"/>
    <w:rsid w:val="001957ED"/>
    <w:rsid w:val="0019594C"/>
    <w:rsid w:val="001A2A20"/>
    <w:rsid w:val="001A3D49"/>
    <w:rsid w:val="001A6BE6"/>
    <w:rsid w:val="001A76F9"/>
    <w:rsid w:val="001A7E9B"/>
    <w:rsid w:val="001B06FF"/>
    <w:rsid w:val="001B1703"/>
    <w:rsid w:val="001B356E"/>
    <w:rsid w:val="001B5FD1"/>
    <w:rsid w:val="001C1C2E"/>
    <w:rsid w:val="001C31A1"/>
    <w:rsid w:val="001C3FA2"/>
    <w:rsid w:val="001C5EE2"/>
    <w:rsid w:val="001D0077"/>
    <w:rsid w:val="001D02A0"/>
    <w:rsid w:val="001D1500"/>
    <w:rsid w:val="001D5A11"/>
    <w:rsid w:val="001D7FA8"/>
    <w:rsid w:val="001E188D"/>
    <w:rsid w:val="001E2014"/>
    <w:rsid w:val="001E407B"/>
    <w:rsid w:val="001E56D5"/>
    <w:rsid w:val="001E7FC6"/>
    <w:rsid w:val="001F1CC3"/>
    <w:rsid w:val="001F2502"/>
    <w:rsid w:val="001F3625"/>
    <w:rsid w:val="001F6CBA"/>
    <w:rsid w:val="001F6EB6"/>
    <w:rsid w:val="001F70A5"/>
    <w:rsid w:val="001F76A4"/>
    <w:rsid w:val="00200684"/>
    <w:rsid w:val="00201C11"/>
    <w:rsid w:val="00201DE1"/>
    <w:rsid w:val="0020235D"/>
    <w:rsid w:val="0020369B"/>
    <w:rsid w:val="00205ECF"/>
    <w:rsid w:val="0020709C"/>
    <w:rsid w:val="002079DE"/>
    <w:rsid w:val="00207B4D"/>
    <w:rsid w:val="002109E5"/>
    <w:rsid w:val="00210F9B"/>
    <w:rsid w:val="002117B1"/>
    <w:rsid w:val="00212A64"/>
    <w:rsid w:val="00215D48"/>
    <w:rsid w:val="00216BDE"/>
    <w:rsid w:val="00217CCE"/>
    <w:rsid w:val="002203B1"/>
    <w:rsid w:val="00220C13"/>
    <w:rsid w:val="00222A80"/>
    <w:rsid w:val="00226F39"/>
    <w:rsid w:val="002334AD"/>
    <w:rsid w:val="00233A9F"/>
    <w:rsid w:val="002342FE"/>
    <w:rsid w:val="0023488C"/>
    <w:rsid w:val="00241B60"/>
    <w:rsid w:val="002434C2"/>
    <w:rsid w:val="00246993"/>
    <w:rsid w:val="00250536"/>
    <w:rsid w:val="00254526"/>
    <w:rsid w:val="00254A88"/>
    <w:rsid w:val="00254E07"/>
    <w:rsid w:val="002551CE"/>
    <w:rsid w:val="002551E3"/>
    <w:rsid w:val="00257138"/>
    <w:rsid w:val="0025785B"/>
    <w:rsid w:val="00257969"/>
    <w:rsid w:val="00261274"/>
    <w:rsid w:val="002616E9"/>
    <w:rsid w:val="00265CD1"/>
    <w:rsid w:val="002665BF"/>
    <w:rsid w:val="00270D26"/>
    <w:rsid w:val="00271AA4"/>
    <w:rsid w:val="00274B24"/>
    <w:rsid w:val="002751D8"/>
    <w:rsid w:val="00280048"/>
    <w:rsid w:val="00281DEF"/>
    <w:rsid w:val="0028489E"/>
    <w:rsid w:val="002848DE"/>
    <w:rsid w:val="002871C0"/>
    <w:rsid w:val="0028794E"/>
    <w:rsid w:val="0029195A"/>
    <w:rsid w:val="00291D19"/>
    <w:rsid w:val="0029733B"/>
    <w:rsid w:val="002A5841"/>
    <w:rsid w:val="002B1EDF"/>
    <w:rsid w:val="002B2061"/>
    <w:rsid w:val="002B21F2"/>
    <w:rsid w:val="002B29B2"/>
    <w:rsid w:val="002B33C3"/>
    <w:rsid w:val="002B4377"/>
    <w:rsid w:val="002B466B"/>
    <w:rsid w:val="002B746B"/>
    <w:rsid w:val="002C1232"/>
    <w:rsid w:val="002C1E44"/>
    <w:rsid w:val="002C1FD6"/>
    <w:rsid w:val="002C3747"/>
    <w:rsid w:val="002C4C2C"/>
    <w:rsid w:val="002C5C92"/>
    <w:rsid w:val="002C5E29"/>
    <w:rsid w:val="002C7AA7"/>
    <w:rsid w:val="002C7C53"/>
    <w:rsid w:val="002D0478"/>
    <w:rsid w:val="002D10FA"/>
    <w:rsid w:val="002D114E"/>
    <w:rsid w:val="002D2EDF"/>
    <w:rsid w:val="002D7127"/>
    <w:rsid w:val="002E238E"/>
    <w:rsid w:val="002E2808"/>
    <w:rsid w:val="002E2D05"/>
    <w:rsid w:val="002E527A"/>
    <w:rsid w:val="002E6008"/>
    <w:rsid w:val="002E7B9F"/>
    <w:rsid w:val="002E7C34"/>
    <w:rsid w:val="002F4DDB"/>
    <w:rsid w:val="002F599E"/>
    <w:rsid w:val="002F6E54"/>
    <w:rsid w:val="003008D8"/>
    <w:rsid w:val="00301D9A"/>
    <w:rsid w:val="0030221F"/>
    <w:rsid w:val="00303959"/>
    <w:rsid w:val="00306A33"/>
    <w:rsid w:val="00306E72"/>
    <w:rsid w:val="00310390"/>
    <w:rsid w:val="00310E32"/>
    <w:rsid w:val="00312AC3"/>
    <w:rsid w:val="00314430"/>
    <w:rsid w:val="00314D87"/>
    <w:rsid w:val="003163BC"/>
    <w:rsid w:val="003212D9"/>
    <w:rsid w:val="0032351A"/>
    <w:rsid w:val="00323609"/>
    <w:rsid w:val="00324B33"/>
    <w:rsid w:val="00324C16"/>
    <w:rsid w:val="00326156"/>
    <w:rsid w:val="00327488"/>
    <w:rsid w:val="003347A5"/>
    <w:rsid w:val="00336FE1"/>
    <w:rsid w:val="00337132"/>
    <w:rsid w:val="00337BD8"/>
    <w:rsid w:val="00337FC5"/>
    <w:rsid w:val="003407A4"/>
    <w:rsid w:val="00341134"/>
    <w:rsid w:val="003425EC"/>
    <w:rsid w:val="00342D56"/>
    <w:rsid w:val="0034536E"/>
    <w:rsid w:val="003456E7"/>
    <w:rsid w:val="00346EC2"/>
    <w:rsid w:val="003477F9"/>
    <w:rsid w:val="00353E96"/>
    <w:rsid w:val="0035444D"/>
    <w:rsid w:val="00355B27"/>
    <w:rsid w:val="00356D62"/>
    <w:rsid w:val="00362F0A"/>
    <w:rsid w:val="00363EE3"/>
    <w:rsid w:val="0037074A"/>
    <w:rsid w:val="00370D12"/>
    <w:rsid w:val="003714B7"/>
    <w:rsid w:val="003722B2"/>
    <w:rsid w:val="003735F3"/>
    <w:rsid w:val="00374729"/>
    <w:rsid w:val="003762D6"/>
    <w:rsid w:val="00380F26"/>
    <w:rsid w:val="00383ADE"/>
    <w:rsid w:val="003840BB"/>
    <w:rsid w:val="00386AAD"/>
    <w:rsid w:val="00386D97"/>
    <w:rsid w:val="00387298"/>
    <w:rsid w:val="00387984"/>
    <w:rsid w:val="00387C09"/>
    <w:rsid w:val="00387DFA"/>
    <w:rsid w:val="00390A3A"/>
    <w:rsid w:val="003917E0"/>
    <w:rsid w:val="00391B0C"/>
    <w:rsid w:val="00395140"/>
    <w:rsid w:val="00396106"/>
    <w:rsid w:val="003A0642"/>
    <w:rsid w:val="003A2422"/>
    <w:rsid w:val="003B149C"/>
    <w:rsid w:val="003C0FDB"/>
    <w:rsid w:val="003C1192"/>
    <w:rsid w:val="003C243C"/>
    <w:rsid w:val="003C2B3E"/>
    <w:rsid w:val="003C55E2"/>
    <w:rsid w:val="003C63D5"/>
    <w:rsid w:val="003C6D1F"/>
    <w:rsid w:val="003C789A"/>
    <w:rsid w:val="003C7AA8"/>
    <w:rsid w:val="003C7DE1"/>
    <w:rsid w:val="003D1ABB"/>
    <w:rsid w:val="003D6F95"/>
    <w:rsid w:val="003D71A1"/>
    <w:rsid w:val="003D7925"/>
    <w:rsid w:val="003E04DF"/>
    <w:rsid w:val="003E5C95"/>
    <w:rsid w:val="003F31A2"/>
    <w:rsid w:val="00401979"/>
    <w:rsid w:val="00403B60"/>
    <w:rsid w:val="0040446B"/>
    <w:rsid w:val="00405145"/>
    <w:rsid w:val="004070BF"/>
    <w:rsid w:val="004074E3"/>
    <w:rsid w:val="00407550"/>
    <w:rsid w:val="00407E9D"/>
    <w:rsid w:val="00411A1A"/>
    <w:rsid w:val="004158CF"/>
    <w:rsid w:val="0041688F"/>
    <w:rsid w:val="004176C9"/>
    <w:rsid w:val="00421373"/>
    <w:rsid w:val="0042376F"/>
    <w:rsid w:val="004246B8"/>
    <w:rsid w:val="004248F1"/>
    <w:rsid w:val="00425C9F"/>
    <w:rsid w:val="00430DAC"/>
    <w:rsid w:val="00433318"/>
    <w:rsid w:val="00436FF5"/>
    <w:rsid w:val="004411D9"/>
    <w:rsid w:val="00442A56"/>
    <w:rsid w:val="00443C88"/>
    <w:rsid w:val="004444B0"/>
    <w:rsid w:val="004459A1"/>
    <w:rsid w:val="00446EB2"/>
    <w:rsid w:val="0045060B"/>
    <w:rsid w:val="004507B4"/>
    <w:rsid w:val="00452162"/>
    <w:rsid w:val="00453258"/>
    <w:rsid w:val="004549D7"/>
    <w:rsid w:val="00456F54"/>
    <w:rsid w:val="00457015"/>
    <w:rsid w:val="00460036"/>
    <w:rsid w:val="00462221"/>
    <w:rsid w:val="004625A7"/>
    <w:rsid w:val="004626FF"/>
    <w:rsid w:val="0046285C"/>
    <w:rsid w:val="004679CF"/>
    <w:rsid w:val="0047039F"/>
    <w:rsid w:val="00470A52"/>
    <w:rsid w:val="00471978"/>
    <w:rsid w:val="00471BD5"/>
    <w:rsid w:val="004765CE"/>
    <w:rsid w:val="00476800"/>
    <w:rsid w:val="00476E85"/>
    <w:rsid w:val="00477C4E"/>
    <w:rsid w:val="00477F07"/>
    <w:rsid w:val="00480B5E"/>
    <w:rsid w:val="00481503"/>
    <w:rsid w:val="00481D12"/>
    <w:rsid w:val="004824D9"/>
    <w:rsid w:val="004831CD"/>
    <w:rsid w:val="004839EE"/>
    <w:rsid w:val="004854A6"/>
    <w:rsid w:val="00486CF0"/>
    <w:rsid w:val="00487162"/>
    <w:rsid w:val="00491A55"/>
    <w:rsid w:val="00493B70"/>
    <w:rsid w:val="00494C3E"/>
    <w:rsid w:val="00495351"/>
    <w:rsid w:val="00497DF1"/>
    <w:rsid w:val="004A06D5"/>
    <w:rsid w:val="004A3084"/>
    <w:rsid w:val="004A318E"/>
    <w:rsid w:val="004A3833"/>
    <w:rsid w:val="004A45D4"/>
    <w:rsid w:val="004A57E8"/>
    <w:rsid w:val="004A5F75"/>
    <w:rsid w:val="004A6627"/>
    <w:rsid w:val="004A7F95"/>
    <w:rsid w:val="004B3081"/>
    <w:rsid w:val="004B4A09"/>
    <w:rsid w:val="004C1B49"/>
    <w:rsid w:val="004C41CE"/>
    <w:rsid w:val="004C4869"/>
    <w:rsid w:val="004C53FE"/>
    <w:rsid w:val="004C631B"/>
    <w:rsid w:val="004D0933"/>
    <w:rsid w:val="004D20DF"/>
    <w:rsid w:val="004D2F00"/>
    <w:rsid w:val="004D31D8"/>
    <w:rsid w:val="004D35D1"/>
    <w:rsid w:val="004D4AD5"/>
    <w:rsid w:val="004D5388"/>
    <w:rsid w:val="004E054F"/>
    <w:rsid w:val="004E4889"/>
    <w:rsid w:val="004E5553"/>
    <w:rsid w:val="004E7F16"/>
    <w:rsid w:val="004F18B5"/>
    <w:rsid w:val="004F18EC"/>
    <w:rsid w:val="004F4576"/>
    <w:rsid w:val="004F6628"/>
    <w:rsid w:val="00500D68"/>
    <w:rsid w:val="0050218B"/>
    <w:rsid w:val="00504C33"/>
    <w:rsid w:val="00505B54"/>
    <w:rsid w:val="00512BBD"/>
    <w:rsid w:val="00513ED8"/>
    <w:rsid w:val="0051404B"/>
    <w:rsid w:val="00517636"/>
    <w:rsid w:val="00521F32"/>
    <w:rsid w:val="005239C0"/>
    <w:rsid w:val="005256FC"/>
    <w:rsid w:val="00526B7C"/>
    <w:rsid w:val="00526CB7"/>
    <w:rsid w:val="00530240"/>
    <w:rsid w:val="005328FC"/>
    <w:rsid w:val="0053377D"/>
    <w:rsid w:val="00535DFE"/>
    <w:rsid w:val="005373B5"/>
    <w:rsid w:val="00537AB7"/>
    <w:rsid w:val="00541A5C"/>
    <w:rsid w:val="00543357"/>
    <w:rsid w:val="0054669B"/>
    <w:rsid w:val="00550292"/>
    <w:rsid w:val="00551175"/>
    <w:rsid w:val="00551C77"/>
    <w:rsid w:val="005553CD"/>
    <w:rsid w:val="00555587"/>
    <w:rsid w:val="00557684"/>
    <w:rsid w:val="00560EC1"/>
    <w:rsid w:val="005610D1"/>
    <w:rsid w:val="00561A97"/>
    <w:rsid w:val="00562F42"/>
    <w:rsid w:val="00565739"/>
    <w:rsid w:val="0056766D"/>
    <w:rsid w:val="005750A3"/>
    <w:rsid w:val="00575215"/>
    <w:rsid w:val="005775D0"/>
    <w:rsid w:val="00581138"/>
    <w:rsid w:val="00581A9A"/>
    <w:rsid w:val="0058327F"/>
    <w:rsid w:val="00584341"/>
    <w:rsid w:val="0058575E"/>
    <w:rsid w:val="0058783C"/>
    <w:rsid w:val="005911AE"/>
    <w:rsid w:val="005911CD"/>
    <w:rsid w:val="005926E2"/>
    <w:rsid w:val="0059313A"/>
    <w:rsid w:val="00595C44"/>
    <w:rsid w:val="00596BA5"/>
    <w:rsid w:val="005A02D5"/>
    <w:rsid w:val="005A2EB8"/>
    <w:rsid w:val="005A356B"/>
    <w:rsid w:val="005A3F29"/>
    <w:rsid w:val="005A54EA"/>
    <w:rsid w:val="005B023F"/>
    <w:rsid w:val="005B02A2"/>
    <w:rsid w:val="005B1417"/>
    <w:rsid w:val="005B4816"/>
    <w:rsid w:val="005B5CFC"/>
    <w:rsid w:val="005B69CF"/>
    <w:rsid w:val="005C0031"/>
    <w:rsid w:val="005C3F07"/>
    <w:rsid w:val="005C43AC"/>
    <w:rsid w:val="005C4B46"/>
    <w:rsid w:val="005C596D"/>
    <w:rsid w:val="005C5DC5"/>
    <w:rsid w:val="005D0E1E"/>
    <w:rsid w:val="005D2089"/>
    <w:rsid w:val="005D3B75"/>
    <w:rsid w:val="005D5871"/>
    <w:rsid w:val="005D7514"/>
    <w:rsid w:val="005D7747"/>
    <w:rsid w:val="005E0FC6"/>
    <w:rsid w:val="005E1A7B"/>
    <w:rsid w:val="005E2081"/>
    <w:rsid w:val="005E231F"/>
    <w:rsid w:val="005F08F2"/>
    <w:rsid w:val="005F3230"/>
    <w:rsid w:val="0060091B"/>
    <w:rsid w:val="00602658"/>
    <w:rsid w:val="00602D6E"/>
    <w:rsid w:val="00603703"/>
    <w:rsid w:val="00605C05"/>
    <w:rsid w:val="00606754"/>
    <w:rsid w:val="00607EA6"/>
    <w:rsid w:val="00610439"/>
    <w:rsid w:val="00610D8A"/>
    <w:rsid w:val="00611351"/>
    <w:rsid w:val="0061217D"/>
    <w:rsid w:val="006129AE"/>
    <w:rsid w:val="00613C41"/>
    <w:rsid w:val="0062057B"/>
    <w:rsid w:val="00620D25"/>
    <w:rsid w:val="00621B43"/>
    <w:rsid w:val="00626675"/>
    <w:rsid w:val="006277A1"/>
    <w:rsid w:val="006320B6"/>
    <w:rsid w:val="00633BD7"/>
    <w:rsid w:val="00634580"/>
    <w:rsid w:val="00634884"/>
    <w:rsid w:val="00634C37"/>
    <w:rsid w:val="006351D9"/>
    <w:rsid w:val="00635822"/>
    <w:rsid w:val="00637130"/>
    <w:rsid w:val="00637F0E"/>
    <w:rsid w:val="00640186"/>
    <w:rsid w:val="006423F2"/>
    <w:rsid w:val="006428C5"/>
    <w:rsid w:val="00650234"/>
    <w:rsid w:val="00654E26"/>
    <w:rsid w:val="00656723"/>
    <w:rsid w:val="0066044B"/>
    <w:rsid w:val="00660C58"/>
    <w:rsid w:val="006630AA"/>
    <w:rsid w:val="0066322E"/>
    <w:rsid w:val="00663544"/>
    <w:rsid w:val="00664048"/>
    <w:rsid w:val="00664F22"/>
    <w:rsid w:val="00666539"/>
    <w:rsid w:val="00666911"/>
    <w:rsid w:val="0066790C"/>
    <w:rsid w:val="006711C4"/>
    <w:rsid w:val="00675F81"/>
    <w:rsid w:val="00676D17"/>
    <w:rsid w:val="0068143E"/>
    <w:rsid w:val="0068326A"/>
    <w:rsid w:val="0068507D"/>
    <w:rsid w:val="00685322"/>
    <w:rsid w:val="00686D3E"/>
    <w:rsid w:val="00691AF2"/>
    <w:rsid w:val="00692B80"/>
    <w:rsid w:val="00692CCD"/>
    <w:rsid w:val="00692D51"/>
    <w:rsid w:val="00694DD7"/>
    <w:rsid w:val="0069636B"/>
    <w:rsid w:val="0069701B"/>
    <w:rsid w:val="006A15BC"/>
    <w:rsid w:val="006A1762"/>
    <w:rsid w:val="006A19CE"/>
    <w:rsid w:val="006A1F0B"/>
    <w:rsid w:val="006A277A"/>
    <w:rsid w:val="006A5973"/>
    <w:rsid w:val="006A78F5"/>
    <w:rsid w:val="006B04F3"/>
    <w:rsid w:val="006B5E64"/>
    <w:rsid w:val="006B7126"/>
    <w:rsid w:val="006B7D62"/>
    <w:rsid w:val="006C4947"/>
    <w:rsid w:val="006C6B86"/>
    <w:rsid w:val="006D1414"/>
    <w:rsid w:val="006D4553"/>
    <w:rsid w:val="006D4A35"/>
    <w:rsid w:val="006D6B44"/>
    <w:rsid w:val="006D703F"/>
    <w:rsid w:val="006E0F71"/>
    <w:rsid w:val="006E1DE3"/>
    <w:rsid w:val="006E27FE"/>
    <w:rsid w:val="006E2A5F"/>
    <w:rsid w:val="006E2A9F"/>
    <w:rsid w:val="006F4DBD"/>
    <w:rsid w:val="006F5600"/>
    <w:rsid w:val="006F6321"/>
    <w:rsid w:val="00700A34"/>
    <w:rsid w:val="00701110"/>
    <w:rsid w:val="00702E91"/>
    <w:rsid w:val="0070330F"/>
    <w:rsid w:val="00703624"/>
    <w:rsid w:val="007046ED"/>
    <w:rsid w:val="00704776"/>
    <w:rsid w:val="007051AA"/>
    <w:rsid w:val="0070541F"/>
    <w:rsid w:val="00705719"/>
    <w:rsid w:val="007072A1"/>
    <w:rsid w:val="0071060C"/>
    <w:rsid w:val="00710BC5"/>
    <w:rsid w:val="00710C11"/>
    <w:rsid w:val="007121CA"/>
    <w:rsid w:val="0072003B"/>
    <w:rsid w:val="00720178"/>
    <w:rsid w:val="00721059"/>
    <w:rsid w:val="007211E6"/>
    <w:rsid w:val="007220C4"/>
    <w:rsid w:val="00727A27"/>
    <w:rsid w:val="007305ED"/>
    <w:rsid w:val="007311B9"/>
    <w:rsid w:val="00732361"/>
    <w:rsid w:val="00732A40"/>
    <w:rsid w:val="00733CD5"/>
    <w:rsid w:val="00733F74"/>
    <w:rsid w:val="007345A7"/>
    <w:rsid w:val="007357B9"/>
    <w:rsid w:val="00741AB9"/>
    <w:rsid w:val="00742D03"/>
    <w:rsid w:val="00743298"/>
    <w:rsid w:val="00744216"/>
    <w:rsid w:val="007442FA"/>
    <w:rsid w:val="007452E8"/>
    <w:rsid w:val="00745F80"/>
    <w:rsid w:val="00746990"/>
    <w:rsid w:val="00747093"/>
    <w:rsid w:val="00747BEC"/>
    <w:rsid w:val="00750D70"/>
    <w:rsid w:val="007528ED"/>
    <w:rsid w:val="007575D0"/>
    <w:rsid w:val="00762FA5"/>
    <w:rsid w:val="007651DA"/>
    <w:rsid w:val="007662E0"/>
    <w:rsid w:val="007667EB"/>
    <w:rsid w:val="00767260"/>
    <w:rsid w:val="007672F9"/>
    <w:rsid w:val="007676DE"/>
    <w:rsid w:val="007708DF"/>
    <w:rsid w:val="0077113A"/>
    <w:rsid w:val="007738E7"/>
    <w:rsid w:val="00773B95"/>
    <w:rsid w:val="007753CE"/>
    <w:rsid w:val="00775C0C"/>
    <w:rsid w:val="00776719"/>
    <w:rsid w:val="00776E9C"/>
    <w:rsid w:val="007816D8"/>
    <w:rsid w:val="00784150"/>
    <w:rsid w:val="00785DBE"/>
    <w:rsid w:val="00786521"/>
    <w:rsid w:val="00786C7C"/>
    <w:rsid w:val="00792A32"/>
    <w:rsid w:val="00792BC3"/>
    <w:rsid w:val="00793272"/>
    <w:rsid w:val="0079499A"/>
    <w:rsid w:val="00794B64"/>
    <w:rsid w:val="00795934"/>
    <w:rsid w:val="007967C3"/>
    <w:rsid w:val="00797C40"/>
    <w:rsid w:val="007A0A33"/>
    <w:rsid w:val="007A1B8F"/>
    <w:rsid w:val="007B04DE"/>
    <w:rsid w:val="007B0AE6"/>
    <w:rsid w:val="007B5809"/>
    <w:rsid w:val="007C0F0B"/>
    <w:rsid w:val="007C4A2D"/>
    <w:rsid w:val="007C57BC"/>
    <w:rsid w:val="007C7625"/>
    <w:rsid w:val="007D04CA"/>
    <w:rsid w:val="007D0A2B"/>
    <w:rsid w:val="007D12A1"/>
    <w:rsid w:val="007D152C"/>
    <w:rsid w:val="007D2BAE"/>
    <w:rsid w:val="007D34D2"/>
    <w:rsid w:val="007D36FA"/>
    <w:rsid w:val="007D40E5"/>
    <w:rsid w:val="007D4138"/>
    <w:rsid w:val="007D7931"/>
    <w:rsid w:val="007E31C4"/>
    <w:rsid w:val="007E4178"/>
    <w:rsid w:val="007E5EEB"/>
    <w:rsid w:val="007E6443"/>
    <w:rsid w:val="007E6F5D"/>
    <w:rsid w:val="007F0724"/>
    <w:rsid w:val="007F0787"/>
    <w:rsid w:val="007F0A77"/>
    <w:rsid w:val="007F1BDF"/>
    <w:rsid w:val="007F1E37"/>
    <w:rsid w:val="007F3F6D"/>
    <w:rsid w:val="007F50D3"/>
    <w:rsid w:val="007F6B1F"/>
    <w:rsid w:val="008013F0"/>
    <w:rsid w:val="0080242B"/>
    <w:rsid w:val="008029A3"/>
    <w:rsid w:val="0080355F"/>
    <w:rsid w:val="0080371B"/>
    <w:rsid w:val="00803926"/>
    <w:rsid w:val="00803FEB"/>
    <w:rsid w:val="00804897"/>
    <w:rsid w:val="00805FCD"/>
    <w:rsid w:val="00806863"/>
    <w:rsid w:val="00807B71"/>
    <w:rsid w:val="00812334"/>
    <w:rsid w:val="00816802"/>
    <w:rsid w:val="00816A64"/>
    <w:rsid w:val="00822FCB"/>
    <w:rsid w:val="00825DD6"/>
    <w:rsid w:val="00826007"/>
    <w:rsid w:val="00830468"/>
    <w:rsid w:val="00830B06"/>
    <w:rsid w:val="008316D3"/>
    <w:rsid w:val="008329DB"/>
    <w:rsid w:val="00835BE8"/>
    <w:rsid w:val="008361C5"/>
    <w:rsid w:val="0083628F"/>
    <w:rsid w:val="00837AB9"/>
    <w:rsid w:val="008458E4"/>
    <w:rsid w:val="00850637"/>
    <w:rsid w:val="00854D98"/>
    <w:rsid w:val="00855694"/>
    <w:rsid w:val="00856025"/>
    <w:rsid w:val="008560C7"/>
    <w:rsid w:val="00856606"/>
    <w:rsid w:val="0085751E"/>
    <w:rsid w:val="00860B29"/>
    <w:rsid w:val="008622E8"/>
    <w:rsid w:val="008635B4"/>
    <w:rsid w:val="008638A8"/>
    <w:rsid w:val="008645EE"/>
    <w:rsid w:val="0086664C"/>
    <w:rsid w:val="00867EFA"/>
    <w:rsid w:val="00867F8C"/>
    <w:rsid w:val="00870144"/>
    <w:rsid w:val="0087072C"/>
    <w:rsid w:val="00871312"/>
    <w:rsid w:val="00873D7A"/>
    <w:rsid w:val="00877CB3"/>
    <w:rsid w:val="008804CF"/>
    <w:rsid w:val="00881CE4"/>
    <w:rsid w:val="00882D58"/>
    <w:rsid w:val="00882F19"/>
    <w:rsid w:val="00883D35"/>
    <w:rsid w:val="00884569"/>
    <w:rsid w:val="00886F6A"/>
    <w:rsid w:val="00887A51"/>
    <w:rsid w:val="0089038A"/>
    <w:rsid w:val="00890D9B"/>
    <w:rsid w:val="00891C6C"/>
    <w:rsid w:val="00893B32"/>
    <w:rsid w:val="00893CCD"/>
    <w:rsid w:val="008964B3"/>
    <w:rsid w:val="008A00A5"/>
    <w:rsid w:val="008A205A"/>
    <w:rsid w:val="008A3F90"/>
    <w:rsid w:val="008A4506"/>
    <w:rsid w:val="008A4860"/>
    <w:rsid w:val="008B1CB5"/>
    <w:rsid w:val="008B1E11"/>
    <w:rsid w:val="008B5CAB"/>
    <w:rsid w:val="008C1C3C"/>
    <w:rsid w:val="008C2D69"/>
    <w:rsid w:val="008C44B1"/>
    <w:rsid w:val="008C4579"/>
    <w:rsid w:val="008C49C6"/>
    <w:rsid w:val="008C6141"/>
    <w:rsid w:val="008C754C"/>
    <w:rsid w:val="008D2BCE"/>
    <w:rsid w:val="008D389C"/>
    <w:rsid w:val="008D414B"/>
    <w:rsid w:val="008D5659"/>
    <w:rsid w:val="008D56C9"/>
    <w:rsid w:val="008D56CA"/>
    <w:rsid w:val="008D6A54"/>
    <w:rsid w:val="008D74EB"/>
    <w:rsid w:val="008E0911"/>
    <w:rsid w:val="008E2585"/>
    <w:rsid w:val="008E2AE9"/>
    <w:rsid w:val="008E2D7A"/>
    <w:rsid w:val="008E3C43"/>
    <w:rsid w:val="008E7CE5"/>
    <w:rsid w:val="008F0AE8"/>
    <w:rsid w:val="008F3215"/>
    <w:rsid w:val="008F44A2"/>
    <w:rsid w:val="008F4A62"/>
    <w:rsid w:val="008F59FD"/>
    <w:rsid w:val="008F7256"/>
    <w:rsid w:val="009002BD"/>
    <w:rsid w:val="0090424C"/>
    <w:rsid w:val="0090605E"/>
    <w:rsid w:val="00906B1B"/>
    <w:rsid w:val="00906C74"/>
    <w:rsid w:val="009108CE"/>
    <w:rsid w:val="00910EBF"/>
    <w:rsid w:val="00910EFB"/>
    <w:rsid w:val="00912831"/>
    <w:rsid w:val="00914C21"/>
    <w:rsid w:val="00915A9F"/>
    <w:rsid w:val="00915D68"/>
    <w:rsid w:val="00915FB5"/>
    <w:rsid w:val="009213C1"/>
    <w:rsid w:val="00923227"/>
    <w:rsid w:val="00924C8A"/>
    <w:rsid w:val="009260CA"/>
    <w:rsid w:val="00930D58"/>
    <w:rsid w:val="00932323"/>
    <w:rsid w:val="00935AAA"/>
    <w:rsid w:val="009414EC"/>
    <w:rsid w:val="00943C5A"/>
    <w:rsid w:val="00946E05"/>
    <w:rsid w:val="0095031E"/>
    <w:rsid w:val="00954297"/>
    <w:rsid w:val="009549AF"/>
    <w:rsid w:val="0095564D"/>
    <w:rsid w:val="00960A56"/>
    <w:rsid w:val="00960CAA"/>
    <w:rsid w:val="009610BA"/>
    <w:rsid w:val="00961D6C"/>
    <w:rsid w:val="009620AF"/>
    <w:rsid w:val="00966EF1"/>
    <w:rsid w:val="00967223"/>
    <w:rsid w:val="009714E9"/>
    <w:rsid w:val="00971C10"/>
    <w:rsid w:val="00974742"/>
    <w:rsid w:val="009751F7"/>
    <w:rsid w:val="00976799"/>
    <w:rsid w:val="00976DC2"/>
    <w:rsid w:val="00977779"/>
    <w:rsid w:val="009815A5"/>
    <w:rsid w:val="0098168B"/>
    <w:rsid w:val="0098350E"/>
    <w:rsid w:val="0098442B"/>
    <w:rsid w:val="009844D7"/>
    <w:rsid w:val="00986647"/>
    <w:rsid w:val="00987BAB"/>
    <w:rsid w:val="00990C12"/>
    <w:rsid w:val="0099258C"/>
    <w:rsid w:val="0099404F"/>
    <w:rsid w:val="009955DA"/>
    <w:rsid w:val="00996471"/>
    <w:rsid w:val="00996FA5"/>
    <w:rsid w:val="009A498D"/>
    <w:rsid w:val="009A5B19"/>
    <w:rsid w:val="009B0734"/>
    <w:rsid w:val="009B1205"/>
    <w:rsid w:val="009B3504"/>
    <w:rsid w:val="009B3600"/>
    <w:rsid w:val="009B4352"/>
    <w:rsid w:val="009B4422"/>
    <w:rsid w:val="009B5662"/>
    <w:rsid w:val="009B70E4"/>
    <w:rsid w:val="009B7B39"/>
    <w:rsid w:val="009C2211"/>
    <w:rsid w:val="009C2C5F"/>
    <w:rsid w:val="009C40E8"/>
    <w:rsid w:val="009C45C5"/>
    <w:rsid w:val="009C6BB8"/>
    <w:rsid w:val="009D05D3"/>
    <w:rsid w:val="009D2E76"/>
    <w:rsid w:val="009E238C"/>
    <w:rsid w:val="009E4310"/>
    <w:rsid w:val="009E485C"/>
    <w:rsid w:val="009E5FB3"/>
    <w:rsid w:val="009E6858"/>
    <w:rsid w:val="009E6F8C"/>
    <w:rsid w:val="009E7189"/>
    <w:rsid w:val="009F3944"/>
    <w:rsid w:val="009F405F"/>
    <w:rsid w:val="009F790E"/>
    <w:rsid w:val="00A00E19"/>
    <w:rsid w:val="00A01C56"/>
    <w:rsid w:val="00A047F3"/>
    <w:rsid w:val="00A05138"/>
    <w:rsid w:val="00A05809"/>
    <w:rsid w:val="00A1484C"/>
    <w:rsid w:val="00A155F2"/>
    <w:rsid w:val="00A1716C"/>
    <w:rsid w:val="00A17210"/>
    <w:rsid w:val="00A23657"/>
    <w:rsid w:val="00A237A2"/>
    <w:rsid w:val="00A24329"/>
    <w:rsid w:val="00A254ED"/>
    <w:rsid w:val="00A32C50"/>
    <w:rsid w:val="00A3495F"/>
    <w:rsid w:val="00A358E7"/>
    <w:rsid w:val="00A4380B"/>
    <w:rsid w:val="00A43CC6"/>
    <w:rsid w:val="00A47C17"/>
    <w:rsid w:val="00A51A2D"/>
    <w:rsid w:val="00A5596B"/>
    <w:rsid w:val="00A63C07"/>
    <w:rsid w:val="00A63D9B"/>
    <w:rsid w:val="00A67C2D"/>
    <w:rsid w:val="00A704DC"/>
    <w:rsid w:val="00A70C5D"/>
    <w:rsid w:val="00A721AE"/>
    <w:rsid w:val="00A7650B"/>
    <w:rsid w:val="00A81AD8"/>
    <w:rsid w:val="00A82755"/>
    <w:rsid w:val="00A82F17"/>
    <w:rsid w:val="00A83982"/>
    <w:rsid w:val="00A83C9C"/>
    <w:rsid w:val="00A8707F"/>
    <w:rsid w:val="00A87379"/>
    <w:rsid w:val="00A9002C"/>
    <w:rsid w:val="00A90AE8"/>
    <w:rsid w:val="00A92793"/>
    <w:rsid w:val="00A93DC6"/>
    <w:rsid w:val="00A9411A"/>
    <w:rsid w:val="00A9657C"/>
    <w:rsid w:val="00AA4A4B"/>
    <w:rsid w:val="00AA4C2C"/>
    <w:rsid w:val="00AA6682"/>
    <w:rsid w:val="00AB0613"/>
    <w:rsid w:val="00AB4C8E"/>
    <w:rsid w:val="00AB69FF"/>
    <w:rsid w:val="00AB7C5C"/>
    <w:rsid w:val="00AB7CBF"/>
    <w:rsid w:val="00AC063F"/>
    <w:rsid w:val="00AC1FFB"/>
    <w:rsid w:val="00AC3461"/>
    <w:rsid w:val="00AC4FBF"/>
    <w:rsid w:val="00AD0111"/>
    <w:rsid w:val="00AD0B68"/>
    <w:rsid w:val="00AD2749"/>
    <w:rsid w:val="00AD2EBE"/>
    <w:rsid w:val="00AD3D4F"/>
    <w:rsid w:val="00AD40C3"/>
    <w:rsid w:val="00AD40EE"/>
    <w:rsid w:val="00AD4C72"/>
    <w:rsid w:val="00AD4E3B"/>
    <w:rsid w:val="00AD5451"/>
    <w:rsid w:val="00AD70D5"/>
    <w:rsid w:val="00AE1467"/>
    <w:rsid w:val="00AE1947"/>
    <w:rsid w:val="00AE675F"/>
    <w:rsid w:val="00AF0ABD"/>
    <w:rsid w:val="00AF1C8B"/>
    <w:rsid w:val="00AF299B"/>
    <w:rsid w:val="00AF5576"/>
    <w:rsid w:val="00AF6B24"/>
    <w:rsid w:val="00AF6C67"/>
    <w:rsid w:val="00AF7E43"/>
    <w:rsid w:val="00B01B8D"/>
    <w:rsid w:val="00B02AE0"/>
    <w:rsid w:val="00B02CE7"/>
    <w:rsid w:val="00B03ACD"/>
    <w:rsid w:val="00B03F25"/>
    <w:rsid w:val="00B05326"/>
    <w:rsid w:val="00B11D7B"/>
    <w:rsid w:val="00B13507"/>
    <w:rsid w:val="00B14545"/>
    <w:rsid w:val="00B14E60"/>
    <w:rsid w:val="00B15F47"/>
    <w:rsid w:val="00B1622E"/>
    <w:rsid w:val="00B17BA2"/>
    <w:rsid w:val="00B21091"/>
    <w:rsid w:val="00B2335A"/>
    <w:rsid w:val="00B26DC3"/>
    <w:rsid w:val="00B30B9D"/>
    <w:rsid w:val="00B31B7B"/>
    <w:rsid w:val="00B34D16"/>
    <w:rsid w:val="00B35823"/>
    <w:rsid w:val="00B3682B"/>
    <w:rsid w:val="00B403B0"/>
    <w:rsid w:val="00B403C3"/>
    <w:rsid w:val="00B41D4C"/>
    <w:rsid w:val="00B42E8F"/>
    <w:rsid w:val="00B4574D"/>
    <w:rsid w:val="00B468E1"/>
    <w:rsid w:val="00B46BC0"/>
    <w:rsid w:val="00B46DFB"/>
    <w:rsid w:val="00B5141B"/>
    <w:rsid w:val="00B5155D"/>
    <w:rsid w:val="00B534C3"/>
    <w:rsid w:val="00B54BA4"/>
    <w:rsid w:val="00B55371"/>
    <w:rsid w:val="00B55681"/>
    <w:rsid w:val="00B57AAD"/>
    <w:rsid w:val="00B61498"/>
    <w:rsid w:val="00B6374E"/>
    <w:rsid w:val="00B63EC9"/>
    <w:rsid w:val="00B654E4"/>
    <w:rsid w:val="00B65E7E"/>
    <w:rsid w:val="00B65EDE"/>
    <w:rsid w:val="00B722E3"/>
    <w:rsid w:val="00B72B16"/>
    <w:rsid w:val="00B738F0"/>
    <w:rsid w:val="00B73EAE"/>
    <w:rsid w:val="00B75762"/>
    <w:rsid w:val="00B76F8B"/>
    <w:rsid w:val="00B80408"/>
    <w:rsid w:val="00B81397"/>
    <w:rsid w:val="00B81D2F"/>
    <w:rsid w:val="00B82EAA"/>
    <w:rsid w:val="00B83D1C"/>
    <w:rsid w:val="00B84F92"/>
    <w:rsid w:val="00B925DB"/>
    <w:rsid w:val="00B93F15"/>
    <w:rsid w:val="00B95681"/>
    <w:rsid w:val="00B959D9"/>
    <w:rsid w:val="00B967FF"/>
    <w:rsid w:val="00B972D4"/>
    <w:rsid w:val="00B974B9"/>
    <w:rsid w:val="00BA0DFC"/>
    <w:rsid w:val="00BA15F0"/>
    <w:rsid w:val="00BA3092"/>
    <w:rsid w:val="00BA340C"/>
    <w:rsid w:val="00BA3F6D"/>
    <w:rsid w:val="00BA4BE6"/>
    <w:rsid w:val="00BA4FC0"/>
    <w:rsid w:val="00BA61E0"/>
    <w:rsid w:val="00BA657C"/>
    <w:rsid w:val="00BA6D11"/>
    <w:rsid w:val="00BA7F7D"/>
    <w:rsid w:val="00BB01DC"/>
    <w:rsid w:val="00BB0334"/>
    <w:rsid w:val="00BB14E9"/>
    <w:rsid w:val="00BB1C14"/>
    <w:rsid w:val="00BB2407"/>
    <w:rsid w:val="00BB2BAE"/>
    <w:rsid w:val="00BB2F84"/>
    <w:rsid w:val="00BB4F4C"/>
    <w:rsid w:val="00BB63F1"/>
    <w:rsid w:val="00BB651B"/>
    <w:rsid w:val="00BB6847"/>
    <w:rsid w:val="00BB7F8F"/>
    <w:rsid w:val="00BC716A"/>
    <w:rsid w:val="00BC7DA0"/>
    <w:rsid w:val="00BD07DF"/>
    <w:rsid w:val="00BD137A"/>
    <w:rsid w:val="00BD13B0"/>
    <w:rsid w:val="00BD26F4"/>
    <w:rsid w:val="00BD3653"/>
    <w:rsid w:val="00BD552F"/>
    <w:rsid w:val="00BD5DBD"/>
    <w:rsid w:val="00BD5DF6"/>
    <w:rsid w:val="00BD6DC6"/>
    <w:rsid w:val="00BE0041"/>
    <w:rsid w:val="00BE12CF"/>
    <w:rsid w:val="00BE2741"/>
    <w:rsid w:val="00BE5090"/>
    <w:rsid w:val="00BE640F"/>
    <w:rsid w:val="00BE6D2A"/>
    <w:rsid w:val="00BF2966"/>
    <w:rsid w:val="00BF4638"/>
    <w:rsid w:val="00BF497C"/>
    <w:rsid w:val="00BF5130"/>
    <w:rsid w:val="00BF6C83"/>
    <w:rsid w:val="00C00844"/>
    <w:rsid w:val="00C015D1"/>
    <w:rsid w:val="00C02564"/>
    <w:rsid w:val="00C02D9E"/>
    <w:rsid w:val="00C03626"/>
    <w:rsid w:val="00C059D0"/>
    <w:rsid w:val="00C07551"/>
    <w:rsid w:val="00C1109F"/>
    <w:rsid w:val="00C11246"/>
    <w:rsid w:val="00C11C30"/>
    <w:rsid w:val="00C12D65"/>
    <w:rsid w:val="00C133AB"/>
    <w:rsid w:val="00C1493A"/>
    <w:rsid w:val="00C14ACE"/>
    <w:rsid w:val="00C152CC"/>
    <w:rsid w:val="00C16135"/>
    <w:rsid w:val="00C16AC6"/>
    <w:rsid w:val="00C170B8"/>
    <w:rsid w:val="00C20B56"/>
    <w:rsid w:val="00C22214"/>
    <w:rsid w:val="00C2588D"/>
    <w:rsid w:val="00C26F72"/>
    <w:rsid w:val="00C27242"/>
    <w:rsid w:val="00C309A7"/>
    <w:rsid w:val="00C33474"/>
    <w:rsid w:val="00C335AB"/>
    <w:rsid w:val="00C37FD0"/>
    <w:rsid w:val="00C407AB"/>
    <w:rsid w:val="00C40EDE"/>
    <w:rsid w:val="00C4331E"/>
    <w:rsid w:val="00C46CF7"/>
    <w:rsid w:val="00C4721A"/>
    <w:rsid w:val="00C52B7B"/>
    <w:rsid w:val="00C547CD"/>
    <w:rsid w:val="00C55D6B"/>
    <w:rsid w:val="00C570FF"/>
    <w:rsid w:val="00C57CEA"/>
    <w:rsid w:val="00C6098E"/>
    <w:rsid w:val="00C60FEC"/>
    <w:rsid w:val="00C62B1C"/>
    <w:rsid w:val="00C6574E"/>
    <w:rsid w:val="00C65C7C"/>
    <w:rsid w:val="00C663D1"/>
    <w:rsid w:val="00C707FD"/>
    <w:rsid w:val="00C73615"/>
    <w:rsid w:val="00C75345"/>
    <w:rsid w:val="00C75ED7"/>
    <w:rsid w:val="00C765C2"/>
    <w:rsid w:val="00C76DEB"/>
    <w:rsid w:val="00C811D8"/>
    <w:rsid w:val="00C816C6"/>
    <w:rsid w:val="00C81C81"/>
    <w:rsid w:val="00C863A7"/>
    <w:rsid w:val="00C86A46"/>
    <w:rsid w:val="00C905A4"/>
    <w:rsid w:val="00C912F4"/>
    <w:rsid w:val="00C9156F"/>
    <w:rsid w:val="00C92F1E"/>
    <w:rsid w:val="00C94111"/>
    <w:rsid w:val="00C945F9"/>
    <w:rsid w:val="00C9581A"/>
    <w:rsid w:val="00C95E4B"/>
    <w:rsid w:val="00C97D29"/>
    <w:rsid w:val="00CA15A2"/>
    <w:rsid w:val="00CA1FEC"/>
    <w:rsid w:val="00CA750A"/>
    <w:rsid w:val="00CB0550"/>
    <w:rsid w:val="00CB6813"/>
    <w:rsid w:val="00CB73FF"/>
    <w:rsid w:val="00CC204C"/>
    <w:rsid w:val="00CC21B9"/>
    <w:rsid w:val="00CC5E48"/>
    <w:rsid w:val="00CC7548"/>
    <w:rsid w:val="00CD1B4E"/>
    <w:rsid w:val="00CD2DA2"/>
    <w:rsid w:val="00CD3BCA"/>
    <w:rsid w:val="00CD426D"/>
    <w:rsid w:val="00CD478D"/>
    <w:rsid w:val="00CD750D"/>
    <w:rsid w:val="00CD79A3"/>
    <w:rsid w:val="00CE1C51"/>
    <w:rsid w:val="00CE54C7"/>
    <w:rsid w:val="00CF043B"/>
    <w:rsid w:val="00CF07B6"/>
    <w:rsid w:val="00CF6A55"/>
    <w:rsid w:val="00CF6DC6"/>
    <w:rsid w:val="00CF6DCF"/>
    <w:rsid w:val="00D01854"/>
    <w:rsid w:val="00D01DDB"/>
    <w:rsid w:val="00D021F7"/>
    <w:rsid w:val="00D039FC"/>
    <w:rsid w:val="00D03AD7"/>
    <w:rsid w:val="00D04266"/>
    <w:rsid w:val="00D05BAA"/>
    <w:rsid w:val="00D078BE"/>
    <w:rsid w:val="00D10256"/>
    <w:rsid w:val="00D10EE7"/>
    <w:rsid w:val="00D10F08"/>
    <w:rsid w:val="00D135A3"/>
    <w:rsid w:val="00D13F8A"/>
    <w:rsid w:val="00D16028"/>
    <w:rsid w:val="00D16F60"/>
    <w:rsid w:val="00D22981"/>
    <w:rsid w:val="00D23139"/>
    <w:rsid w:val="00D25FF0"/>
    <w:rsid w:val="00D2625E"/>
    <w:rsid w:val="00D2785A"/>
    <w:rsid w:val="00D3349B"/>
    <w:rsid w:val="00D34ADD"/>
    <w:rsid w:val="00D41804"/>
    <w:rsid w:val="00D41F69"/>
    <w:rsid w:val="00D424A8"/>
    <w:rsid w:val="00D445D0"/>
    <w:rsid w:val="00D4609D"/>
    <w:rsid w:val="00D47293"/>
    <w:rsid w:val="00D4740E"/>
    <w:rsid w:val="00D51602"/>
    <w:rsid w:val="00D51793"/>
    <w:rsid w:val="00D52E97"/>
    <w:rsid w:val="00D55EFE"/>
    <w:rsid w:val="00D56637"/>
    <w:rsid w:val="00D6036F"/>
    <w:rsid w:val="00D62877"/>
    <w:rsid w:val="00D63304"/>
    <w:rsid w:val="00D636A8"/>
    <w:rsid w:val="00D63760"/>
    <w:rsid w:val="00D663A1"/>
    <w:rsid w:val="00D6703F"/>
    <w:rsid w:val="00D70B32"/>
    <w:rsid w:val="00D734EB"/>
    <w:rsid w:val="00D74ACB"/>
    <w:rsid w:val="00D76DE6"/>
    <w:rsid w:val="00D80581"/>
    <w:rsid w:val="00D82713"/>
    <w:rsid w:val="00D82FF5"/>
    <w:rsid w:val="00D85D15"/>
    <w:rsid w:val="00D86F00"/>
    <w:rsid w:val="00D870F2"/>
    <w:rsid w:val="00D918D5"/>
    <w:rsid w:val="00D94A3C"/>
    <w:rsid w:val="00D94C8E"/>
    <w:rsid w:val="00D9737D"/>
    <w:rsid w:val="00DA0880"/>
    <w:rsid w:val="00DA1B42"/>
    <w:rsid w:val="00DA6C5D"/>
    <w:rsid w:val="00DB1372"/>
    <w:rsid w:val="00DB192C"/>
    <w:rsid w:val="00DB1CF3"/>
    <w:rsid w:val="00DB2495"/>
    <w:rsid w:val="00DB4B7C"/>
    <w:rsid w:val="00DB5425"/>
    <w:rsid w:val="00DB5922"/>
    <w:rsid w:val="00DB61D3"/>
    <w:rsid w:val="00DB72A6"/>
    <w:rsid w:val="00DC074E"/>
    <w:rsid w:val="00DC0B2C"/>
    <w:rsid w:val="00DC20BF"/>
    <w:rsid w:val="00DC27AB"/>
    <w:rsid w:val="00DC33AF"/>
    <w:rsid w:val="00DC351C"/>
    <w:rsid w:val="00DC366F"/>
    <w:rsid w:val="00DC3D13"/>
    <w:rsid w:val="00DC4207"/>
    <w:rsid w:val="00DC50A2"/>
    <w:rsid w:val="00DC6611"/>
    <w:rsid w:val="00DC6BE0"/>
    <w:rsid w:val="00DD33E9"/>
    <w:rsid w:val="00DD3432"/>
    <w:rsid w:val="00DD3AA2"/>
    <w:rsid w:val="00DD40AF"/>
    <w:rsid w:val="00DD5AFB"/>
    <w:rsid w:val="00DD700D"/>
    <w:rsid w:val="00DE12BB"/>
    <w:rsid w:val="00DE1344"/>
    <w:rsid w:val="00DF1CFD"/>
    <w:rsid w:val="00DF27A7"/>
    <w:rsid w:val="00DF41F6"/>
    <w:rsid w:val="00DF4B4E"/>
    <w:rsid w:val="00DF5BFE"/>
    <w:rsid w:val="00DF6A2C"/>
    <w:rsid w:val="00E00996"/>
    <w:rsid w:val="00E01DCC"/>
    <w:rsid w:val="00E04F56"/>
    <w:rsid w:val="00E0523F"/>
    <w:rsid w:val="00E06036"/>
    <w:rsid w:val="00E1198B"/>
    <w:rsid w:val="00E13BD4"/>
    <w:rsid w:val="00E14098"/>
    <w:rsid w:val="00E15B71"/>
    <w:rsid w:val="00E16F8E"/>
    <w:rsid w:val="00E17715"/>
    <w:rsid w:val="00E21670"/>
    <w:rsid w:val="00E21EC6"/>
    <w:rsid w:val="00E23E50"/>
    <w:rsid w:val="00E2434F"/>
    <w:rsid w:val="00E26213"/>
    <w:rsid w:val="00E26479"/>
    <w:rsid w:val="00E274DF"/>
    <w:rsid w:val="00E3014C"/>
    <w:rsid w:val="00E32335"/>
    <w:rsid w:val="00E34D66"/>
    <w:rsid w:val="00E353C3"/>
    <w:rsid w:val="00E362C4"/>
    <w:rsid w:val="00E37131"/>
    <w:rsid w:val="00E401FF"/>
    <w:rsid w:val="00E42F4E"/>
    <w:rsid w:val="00E464DE"/>
    <w:rsid w:val="00E46CC2"/>
    <w:rsid w:val="00E47E0C"/>
    <w:rsid w:val="00E47E9C"/>
    <w:rsid w:val="00E50F31"/>
    <w:rsid w:val="00E51813"/>
    <w:rsid w:val="00E52C0B"/>
    <w:rsid w:val="00E53D3F"/>
    <w:rsid w:val="00E54211"/>
    <w:rsid w:val="00E54743"/>
    <w:rsid w:val="00E5579B"/>
    <w:rsid w:val="00E56659"/>
    <w:rsid w:val="00E57111"/>
    <w:rsid w:val="00E57FF4"/>
    <w:rsid w:val="00E62EA9"/>
    <w:rsid w:val="00E63FEB"/>
    <w:rsid w:val="00E679D1"/>
    <w:rsid w:val="00E67C1C"/>
    <w:rsid w:val="00E7134D"/>
    <w:rsid w:val="00E73FE4"/>
    <w:rsid w:val="00E74642"/>
    <w:rsid w:val="00E75874"/>
    <w:rsid w:val="00E75D71"/>
    <w:rsid w:val="00E77415"/>
    <w:rsid w:val="00E80E3F"/>
    <w:rsid w:val="00E80E63"/>
    <w:rsid w:val="00E826D5"/>
    <w:rsid w:val="00E83A7B"/>
    <w:rsid w:val="00E87E28"/>
    <w:rsid w:val="00E91F11"/>
    <w:rsid w:val="00E93091"/>
    <w:rsid w:val="00E9706D"/>
    <w:rsid w:val="00EA1E97"/>
    <w:rsid w:val="00EA2982"/>
    <w:rsid w:val="00EA3AF4"/>
    <w:rsid w:val="00EA7AD9"/>
    <w:rsid w:val="00EB0419"/>
    <w:rsid w:val="00EB3454"/>
    <w:rsid w:val="00EB3510"/>
    <w:rsid w:val="00EB6970"/>
    <w:rsid w:val="00EB6BAD"/>
    <w:rsid w:val="00EC4952"/>
    <w:rsid w:val="00EC6934"/>
    <w:rsid w:val="00EE1F60"/>
    <w:rsid w:val="00EE4B01"/>
    <w:rsid w:val="00EE4B11"/>
    <w:rsid w:val="00EE712D"/>
    <w:rsid w:val="00EE7154"/>
    <w:rsid w:val="00EF060C"/>
    <w:rsid w:val="00EF3F0B"/>
    <w:rsid w:val="00EF5583"/>
    <w:rsid w:val="00EF6263"/>
    <w:rsid w:val="00EF69D1"/>
    <w:rsid w:val="00EF7EF1"/>
    <w:rsid w:val="00F001DF"/>
    <w:rsid w:val="00F01385"/>
    <w:rsid w:val="00F0289D"/>
    <w:rsid w:val="00F02AEC"/>
    <w:rsid w:val="00F035C2"/>
    <w:rsid w:val="00F04B64"/>
    <w:rsid w:val="00F0561B"/>
    <w:rsid w:val="00F06BD5"/>
    <w:rsid w:val="00F07572"/>
    <w:rsid w:val="00F12E70"/>
    <w:rsid w:val="00F157FC"/>
    <w:rsid w:val="00F15E31"/>
    <w:rsid w:val="00F17731"/>
    <w:rsid w:val="00F225E1"/>
    <w:rsid w:val="00F24F64"/>
    <w:rsid w:val="00F30AF3"/>
    <w:rsid w:val="00F335F6"/>
    <w:rsid w:val="00F343C8"/>
    <w:rsid w:val="00F37735"/>
    <w:rsid w:val="00F40E7B"/>
    <w:rsid w:val="00F40F90"/>
    <w:rsid w:val="00F41287"/>
    <w:rsid w:val="00F419A2"/>
    <w:rsid w:val="00F43CD1"/>
    <w:rsid w:val="00F453E4"/>
    <w:rsid w:val="00F45AE0"/>
    <w:rsid w:val="00F5310D"/>
    <w:rsid w:val="00F53EB4"/>
    <w:rsid w:val="00F54026"/>
    <w:rsid w:val="00F55D1F"/>
    <w:rsid w:val="00F56762"/>
    <w:rsid w:val="00F57DCA"/>
    <w:rsid w:val="00F6080C"/>
    <w:rsid w:val="00F60CF2"/>
    <w:rsid w:val="00F61455"/>
    <w:rsid w:val="00F62C7A"/>
    <w:rsid w:val="00F64496"/>
    <w:rsid w:val="00F64B1A"/>
    <w:rsid w:val="00F64CB9"/>
    <w:rsid w:val="00F64E1F"/>
    <w:rsid w:val="00F657B4"/>
    <w:rsid w:val="00F66948"/>
    <w:rsid w:val="00F678CE"/>
    <w:rsid w:val="00F72725"/>
    <w:rsid w:val="00F7649F"/>
    <w:rsid w:val="00F779CF"/>
    <w:rsid w:val="00F8083B"/>
    <w:rsid w:val="00F811AD"/>
    <w:rsid w:val="00F82D1B"/>
    <w:rsid w:val="00F84492"/>
    <w:rsid w:val="00F8568E"/>
    <w:rsid w:val="00F86433"/>
    <w:rsid w:val="00F865A7"/>
    <w:rsid w:val="00F925D4"/>
    <w:rsid w:val="00F9441D"/>
    <w:rsid w:val="00FA0754"/>
    <w:rsid w:val="00FA1BC9"/>
    <w:rsid w:val="00FA3F6B"/>
    <w:rsid w:val="00FA49C3"/>
    <w:rsid w:val="00FA7286"/>
    <w:rsid w:val="00FB0502"/>
    <w:rsid w:val="00FB236E"/>
    <w:rsid w:val="00FB3F7B"/>
    <w:rsid w:val="00FB4C2A"/>
    <w:rsid w:val="00FB66B1"/>
    <w:rsid w:val="00FB75B3"/>
    <w:rsid w:val="00FC2107"/>
    <w:rsid w:val="00FC35E3"/>
    <w:rsid w:val="00FC48FE"/>
    <w:rsid w:val="00FC6F56"/>
    <w:rsid w:val="00FD0953"/>
    <w:rsid w:val="00FD11B8"/>
    <w:rsid w:val="00FD2846"/>
    <w:rsid w:val="00FD472A"/>
    <w:rsid w:val="00FD4E86"/>
    <w:rsid w:val="00FD4FFB"/>
    <w:rsid w:val="00FD79B9"/>
    <w:rsid w:val="00FE087C"/>
    <w:rsid w:val="00FE3E64"/>
    <w:rsid w:val="00FE501F"/>
    <w:rsid w:val="00FE79A0"/>
    <w:rsid w:val="00FF0939"/>
    <w:rsid w:val="00FF2E50"/>
    <w:rsid w:val="00FF30B4"/>
    <w:rsid w:val="00FF6B10"/>
    <w:rsid w:val="00FF7F5F"/>
    <w:rsid w:val="15DFF803"/>
    <w:rsid w:val="1CDDB86A"/>
    <w:rsid w:val="34BB4C82"/>
    <w:rsid w:val="3F2B7AFD"/>
    <w:rsid w:val="54A1AB4D"/>
    <w:rsid w:val="63188D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4C024"/>
  <w15:chartTrackingRefBased/>
  <w15:docId w15:val="{1F006DF2-712F-4A18-BA81-545C9720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8C1C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050FA8"/>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Wingdings 3" w:hAnsi="Wingdings 3"/>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Bulletpoint">
    <w:name w:val="Bullet point"/>
    <w:basedOn w:val="Normal"/>
    <w:rsid w:val="002551CE"/>
    <w:pPr>
      <w:numPr>
        <w:numId w:val="14"/>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character" w:customStyle="1" w:styleId="Heading7Char">
    <w:name w:val="Heading 7 Char"/>
    <w:basedOn w:val="DefaultParagraphFont"/>
    <w:link w:val="Heading7"/>
    <w:uiPriority w:val="9"/>
    <w:rsid w:val="00050FA8"/>
    <w:rPr>
      <w:rFonts w:asciiTheme="majorHAnsi" w:eastAsiaTheme="majorEastAsia" w:hAnsiTheme="majorHAnsi" w:cstheme="majorBidi"/>
      <w:i/>
      <w:iCs/>
      <w:color w:val="1F3763" w:themeColor="accent1" w:themeShade="7F"/>
      <w:sz w:val="22"/>
    </w:rPr>
  </w:style>
  <w:style w:type="character" w:customStyle="1" w:styleId="Heading1Char">
    <w:name w:val="Heading 1 Char"/>
    <w:basedOn w:val="DefaultParagraphFont"/>
    <w:link w:val="Heading1"/>
    <w:uiPriority w:val="9"/>
    <w:rsid w:val="008C1C3C"/>
    <w:rPr>
      <w:rFonts w:asciiTheme="majorHAnsi" w:eastAsiaTheme="majorEastAsia" w:hAnsiTheme="majorHAnsi" w:cstheme="majorBidi"/>
      <w:color w:val="2F5496" w:themeColor="accent1" w:themeShade="BF"/>
      <w:sz w:val="32"/>
      <w:szCs w:val="32"/>
    </w:rPr>
  </w:style>
  <w:style w:type="character" w:styleId="Mention">
    <w:name w:val="Mention"/>
    <w:basedOn w:val="DefaultParagraphFont"/>
    <w:uiPriority w:val="99"/>
    <w:unhideWhenUsed/>
    <w:rsid w:val="00AD40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protect.checkpoint.com/v2/r04/___https://www.tga.gov.au/black-triangle-scheme___.Y3A0YTpwaGVicmE6YzpvOmNjNzcyNjgwMDc4ODM2YWIwZmMwM2QxODUxNTM1N2YzOjc6OGFjMzphNmU2OTA5YzY1MDFhNjhjNWI3MGYxZDQ0MmM4NTQ0YzUwODgzNDlhMzcwODA4NzQxNWEwMDNiOWE2MjJmNDZjOnA6VDpO" TargetMode="External"/><Relationship Id="rId26" Type="http://schemas.openxmlformats.org/officeDocument/2006/relationships/image" Target="media/image7.png"/><Relationship Id="rId39" Type="http://schemas.openxmlformats.org/officeDocument/2006/relationships/hyperlink" Target="https://protect.checkpoint.com/v2/r04/___https://www.tga.gov.au/publication/risk-management-plans-medicines-and-biologicals___.Y3A0YTpwaGVicmE6YzpvOmNjNzcyNjgwMDc4ODM2YWIwZmMwM2QxODUxNTM1N2YzOjc6NmM4MDpmZWU0ODQyZGM4NDk0NmU4OGFiMmFiYzI0ZTc2MjhlMjcxNzlkMmQ3YjhhZDFiNTAzMTYzNTE1Yzk4YWE0NzhiOnA6VDpO" TargetMode="External"/><Relationship Id="rId21" Type="http://schemas.openxmlformats.org/officeDocument/2006/relationships/hyperlink" Target="https://protect.checkpoint.com/v2/r04/___https://www.tga.gov.au/comparable-overseas-regulators-cors-timeframes-and-milestones___.Y3A0YTpwaGVicmE6YzpvOmNjNzcyNjgwMDc4ODM2YWIwZmMwM2QxODUxNTM1N2YzOjc6ZWQ5OTo3NzJhN2UzOWQ0NjMzZjFmODQzZDFjZDI5MTM3ZGZmNTRkZDMxZDc5YzMwZTU0YzQzMWFkNzRhNmVmYzhiOWMyOnA6VDpO" TargetMode="External"/><Relationship Id="rId34" Type="http://schemas.openxmlformats.org/officeDocument/2006/relationships/image" Target="media/image15.png"/><Relationship Id="rId42" Type="http://schemas.openxmlformats.org/officeDocument/2006/relationships/hyperlink" Target="https://protect.checkpoint.com/v2/r04/___https://www.tga.gov.au/resources/resource/guidance/risk-management-plans-medicines-and-biologicals/australia-specific-annex-eu-rmp___.Y3A0YTpwaGVicmE6YzpvOmNjNzcyNjgwMDc4ODM2YWIwZmMwM2QxODUxNTM1N2YzOjc6NTc2YTphZmU3YWZhZjQxZGVjNWNmOWQxNTY0ZGU3ZTBiNjg0M2MxNWNjYjNkYzdiYzcxOTJmZWRmNzM4YTU5NjVkODc5OnA6VDpO" TargetMode="External"/><Relationship Id="rId47" Type="http://schemas.openxmlformats.org/officeDocument/2006/relationships/hyperlink" Target="https://protect.checkpoint.com/v2/r04/___https://www.tga.gov.au___.Y3A0YTpwaGVicmE6YzpvOmNjNzcyNjgwMDc4ODM2YWIwZmMwM2QxODUxNTM1N2YzOjc6MWJkMjozYjk4NWMzNzdhMzZlN2M4Yzk0NWZjNzg2ZWY0MjdkYmYzN2QxMzBjNjk2ZTljODdjY2UxNDUzMTNlODA0ZmFjOnA6VDpO"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rotect.checkpoint.com/v2/r04/___https://www.tga.gov.au/australian-public-assessment-report-auspar-guidance___.Y3A0YTpwaGVicmE6YzpvOmNjNzcyNjgwMDc4ODM2YWIwZmMwM2QxODUxNTM1N2YzOjc6OGI1Zjo2YjVmOTMxZWVkMWViMzU1ZmZiNzFlYjk3MDBiM2YzMDE4MzU4M2QwNTA1OTY5OWQ5MjFjMTAzYjk1YjZlODRmOnA6VDpO" TargetMode="Externa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protect.checkpoint.com/v2/r04/___https://www.tga.gov.au/tgas-risk-management-approach___.Y3A0YTpwaGVicmE6YzpvOmNjNzcyNjgwMDc4ODM2YWIwZmMwM2QxODUxNTM1N2YzOjc6OWNiZDo0NWM5MTVhYTYxNTUyZDM2N2I1Zjg4NzJmOWE0OTYyZTU0ZjdjODgzZDg0MTU1N2Y4NzIyMzZlYzk0YjcyMjc3OnA6VDpO"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protect.checkpoint.com/v2/r04/___https://www.tga.gov.au/___.Y3A0YTpwaGVicmE6YzpvOmNjNzcyNjgwMDc4ODM2YWIwZmMwM2QxODUxNTM1N2YzOjc6MWFhMDoyMmQ1NGY3MGZkM2FlMjQxMzJhMjBkNTI1OThjNjA4MGU2NjY2ZGQzZjVlYWJhM2M1OTc2ZGI0ZDM2YWEyZTkwOnA6VDpO"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protect.checkpoint.com/v2/r04/___https://www.tga.gov.au/products/medicines/find-information-about-medicine/prescribing-medicines-pregnancy-database___.Y3A0YTpwaGVicmE6YzpvOmNjNzcyNjgwMDc4ODM2YWIwZmMwM2QxODUxNTM1N2YzOjc6OTdjNDoxMDQ2NGQ2MmRjZWMzNmVjYTdmOGRmYjk3NWY4MjZkMzU2MzU1MmM1ZmRkYzFmZDcxNjY1OWEzYWYyYzM1YjJlOnA6VDpO" TargetMode="External"/><Relationship Id="rId31" Type="http://schemas.openxmlformats.org/officeDocument/2006/relationships/image" Target="media/image12.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rotect.checkpoint.com/v2/r04/___https://www.tga.gov.au/how-we-regulate/supply-therapeutic-good-0/supply-prescription-medicine/application-process/prescription-medicines-registration-process___.Y3A0YTpwaGVicmE6YzpvOmNjNzcyNjgwMDc4ODM2YWIwZmMwM2QxODUxNTM1N2YzOjc6MWQ4MjphMGE3MTQ0NGQ1YzQ2YzE3ZTQ2Y2JkMGEyNGRlMjI0ODQ2YjEwZjg2Y2U5ODZkZDBjYTYyZGU2MWNlNWRkNDQ5OnA6VDpO"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protect.checkpoint.com/v2/r04/___https://www.ebs.tga.gov.au/___.Y3A0YTpwaGVicmE6YzpvOmNjNzcyNjgwMDc4ODM2YWIwZmMwM2QxODUxNTM1N2YzOjc6Njc0ZToyMmFmNmI5YjJjMjExZmNlM2JmMTllYzk1NTJmMTQxYTI1ZTFhMjgxODNmMDIwOGY4Y2ZjMTE0YWJkNDM2ODU2OnA6VDpO"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mri-production.cts-mrp.eu/details?productnumber=NL/H/5509/001" TargetMode="External"/><Relationship Id="rId46" Type="http://schemas.openxmlformats.org/officeDocument/2006/relationships/hyperlink" Target="mailto:info@tga.gov.au" TargetMode="External"/><Relationship Id="rId20" Type="http://schemas.openxmlformats.org/officeDocument/2006/relationships/hyperlink" Target="https://protect.checkpoint.com/v2/r04/___https://www.tga.gov.au/obstetric-drug-information-services___.Y3A0YTpwaGVicmE6YzpvOmNjNzcyNjgwMDc4ODM2YWIwZmMwM2QxODUxNTM1N2YzOjc6MTU4ZTpmMjMxMjZiMGNiMWJlY2IxY2FmMmEyOWNiMzUzMDU2YjQ5OTE5MGI4ZmJmNDllZWM4MzE3MDgwNTBjMWZhZjk3OnA6VDpO" TargetMode="External"/><Relationship Id="rId41" Type="http://schemas.openxmlformats.org/officeDocument/2006/relationships/hyperlink" Target="https://protect.checkpoint.com/v2/r04/___https://www.tga.gov.au/resources/resource/guidance/risk-management-plans-medicines-and-biologicals/australia-specific-annex-eu-rmp___.Y3A0YTpwaGVicmE6YzpvOmNjNzcyNjgwMDc4ODM2YWIwZmMwM2QxODUxNTM1N2YzOjc6NTc2YTphZmU3YWZhZjQxZGVjNWNmOWQxNTY0ZGU3ZTBiNjg0M2MxNWNjYjNkYzdiYzcxOTJmZWRmNzM4YTU5NjVkODc5OnA6VDpO"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protect.checkpoint.com/v2/r04/___https://doi.org/10.1159/000355312___.Y3A0YTpwaGVicmE6YzpvOmNjNzcyNjgwMDc4ODM2YWIwZmMwM2QxODUxNTM1N2YzOjc6YjE2ZDo3Yzk3YTNlMzQyN2RlOGUwNzNkMDgyNWJkNjQ2NzRmZjI1YjZkZDMyZjdkNmU0YzBkZDdjYmQzOWVkZmNhMTY0OnA6VDpO" TargetMode="External"/><Relationship Id="rId3" Type="http://schemas.openxmlformats.org/officeDocument/2006/relationships/hyperlink" Target="https://protect.checkpoint.com/v2/r04/___https://doi.org/10.1055/s-0033-1354368___.Y3A0YTpwaGVicmE6YzpvOmNjNzcyNjgwMDc4ODM2YWIwZmMwM2QxODUxNTM1N2YzOjc6Mjk2MDplMWEzYWJkZDJlZDQwNDY4NTk3MzFlYjgwZDQ1Y2UxMTlmODFiMGQ1OTVmNGEyZDMyMGUzOGE3ODY2Y2Q2MmViOnA6VDpO" TargetMode="External"/><Relationship Id="rId7" Type="http://schemas.openxmlformats.org/officeDocument/2006/relationships/hyperlink" Target="https://protect.checkpoint.com/v2/r04/___https://doi.org/10.1253/circj.cj-12-1618___.Y3A0YTpwaGVicmE6YzpvOmNjNzcyNjgwMDc4ODM2YWIwZmMwM2QxODUxNTM1N2YzOjc6Y2NhNToxMWQxODFjMjA5NzQ2ZDFlYmQ0YWFlNmQ4NWQ2MDdlMTY1MzFjY2M4NWJlMGQxMDljNzliM2JlMjQ0NWY4NjI4OnA6VDpO" TargetMode="External"/><Relationship Id="rId12" Type="http://schemas.openxmlformats.org/officeDocument/2006/relationships/hyperlink" Target="https://protect.checkpoint.com/v2/r04/___https://doi.org/10.1007/s40261-013-0093-x___.Y3A0YTpwaGVicmE6YzpvOmNjNzcyNjgwMDc4ODM2YWIwZmMwM2QxODUxNTM1N2YzOjc6YTQzMzo4NWVmNmI2YzExMTk3ODU5NjYwNjM0ZDIxYjkxMGYxNjZhNzVlNzBiZDc0NzhiMjEwZWU2NjM3ZjdjMzcyZTVlOnA6VDpO" TargetMode="External"/><Relationship Id="rId2" Type="http://schemas.openxmlformats.org/officeDocument/2006/relationships/hyperlink" Target="https://protect.checkpoint.com/v2/r04/___https://doi.org/10.1067/mcp.2000.108733___.Y3A0YTpwaGVicmE6YzpvOmNjNzcyNjgwMDc4ODM2YWIwZmMwM2QxODUxNTM1N2YzOjc6OTdiODo5NjUxNTUwN2FjY2ZmYmQ1YWI5YzliY2M3ODlhNDRiNGEzMzFhYmQ5N2M1ZGI5ZGYwZTEwMWQ0ZTg1NjhmNTAwOnA6VDpO" TargetMode="External"/><Relationship Id="rId1" Type="http://schemas.openxmlformats.org/officeDocument/2006/relationships/hyperlink" Target="https://protect.checkpoint.com/v2/r04/___https://doi.org/10.2133/dmpk.20.337___.Y3A0YTpwaGVicmE6YzpvOmNjNzcyNjgwMDc4ODM2YWIwZmMwM2QxODUxNTM1N2YzOjc6YTY4Zjo5YTRlMDljN2YzZDlkZDI1ZjU2ZTkxZWFmMzc5Mjc3ODE5YTk1Mzc2ZDkxZDRhZTM5ZjI5OGNmMjI3Y2Y5YmY5OnA6VDpO" TargetMode="External"/><Relationship Id="rId6" Type="http://schemas.openxmlformats.org/officeDocument/2006/relationships/hyperlink" Target="https://protect.checkpoint.com/v2/r04/___https://doi.org/10.1007/s40256-013-0035-2___.Y3A0YTpwaGVicmE6YzpvOmNjNzcyNjgwMDc4ODM2YWIwZmMwM2QxODUxNTM1N2YzOjc6MjBiNjo0YTEwYWY4OTk4NGI2ZTQ1NDY3MGFiNDZmNWFkZjZlZTFjMDc1NTk2OGZiODU2YzEyYWZmMGUxNDliNGQ2NmE0OnA6VDpO" TargetMode="External"/><Relationship Id="rId11" Type="http://schemas.openxmlformats.org/officeDocument/2006/relationships/hyperlink" Target="https://protect.checkpoint.com/v2/r04/___https://doi.org/10.1253/circj.cj-11-1332___.Y3A0YTpwaGVicmE6YzpvOmNjNzcyNjgwMDc4ODM2YWIwZmMwM2QxODUxNTM1N2YzOjc6MWVmYzoxYjRiOTQwZDA4YzBkZmNiYjQ3MjYwZGMwYzljNjBhZDhlY2EyMDE2MjVlNTE0NDMyNTQ3YjM1OThlYWNjODRmOnA6VDpO" TargetMode="External"/><Relationship Id="rId5" Type="http://schemas.openxmlformats.org/officeDocument/2006/relationships/hyperlink" Target="https://protect.checkpoint.com/v2/r04/___https://doi.org/10.1248/bpb.b110727___.Y3A0YTpwaGVicmE6YzpvOmNjNzcyNjgwMDc4ODM2YWIwZmMwM2QxODUxNTM1N2YzOjc6N2NjYjo1MWUzMzk5OTM0Y2I5ZDk3YTI3YWZmYWNlMjEyM2NjNzc4MDRmOTQ1NWUzNTY2NTU4MDZkYTIzMjk2MWIzMWZjOnA6VDpO" TargetMode="External"/><Relationship Id="rId10" Type="http://schemas.openxmlformats.org/officeDocument/2006/relationships/hyperlink" Target="https://protect.checkpoint.com/v2/r04/___https://doi.org/10.1097/ANA.0b013e3181d0c2e4___.Y3A0YTpwaGVicmE6YzpvOmNjNzcyNjgwMDc4ODM2YWIwZmMwM2QxODUxNTM1N2YzOjc6MmI2Nzo5MWE3YmQyZWRlYWE5NGM3ZDYyMGI1OWRmMTA4NmRlOTZjZjk0ZmYwNzI2MjgyMzA0YjVlMmE4ZjcwZjQ5ZTA0OnA6VDpO" TargetMode="External"/><Relationship Id="rId4" Type="http://schemas.openxmlformats.org/officeDocument/2006/relationships/hyperlink" Target="https://protect.checkpoint.com/v2/r04/___https://doi.org/10.2165/00126839-200506060-00006___.Y3A0YTpwaGVicmE6YzpvOmNjNzcyNjgwMDc4ODM2YWIwZmMwM2QxODUxNTM1N2YzOjc6Y2RhNDpiODNmOTc5Y2ExNWE0Y2JiNDRjNzBjNGQzYjBmMjI0OGM5ZTIyN2RlYjVkODFkMzc1YTE4NzcyMzExNGY3NGU1OnA6VDpO" TargetMode="External"/><Relationship Id="rId9" Type="http://schemas.openxmlformats.org/officeDocument/2006/relationships/hyperlink" Target="https://protect.checkpoint.com/v2/r04/___https://doi.org/10.1007/s00380-013-0377-3___.Y3A0YTpwaGVicmE6YzpvOmNjNzcyNjgwMDc4ODM2YWIwZmMwM2QxODUxNTM1N2YzOjc6NTI0MTo2NTNlMzkwZTJmY2NjMTRlZDVmMTJjM2EzZmU5NGQ2NTdiZjdlZDI2OTk4ZTU1Yzk1ZWY4Yjg1ZDkxMDdiY2MwOnA6VDp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3BEF21BBEFF34D9C3DA8C14D4B9C82" ma:contentTypeVersion="11" ma:contentTypeDescription="Create a new document." ma:contentTypeScope="" ma:versionID="3edca8f1eb37e326e43d282bb639ef0c">
  <xsd:schema xmlns:xsd="http://www.w3.org/2001/XMLSchema" xmlns:xs="http://www.w3.org/2001/XMLSchema" xmlns:p="http://schemas.microsoft.com/office/2006/metadata/properties" xmlns:ns2="59cb8c38-3508-4e2b-9f6b-1efba3c2a40c" xmlns:ns3="97492b1b-15ca-4c66-91b3-833d4635be18" targetNamespace="http://schemas.microsoft.com/office/2006/metadata/properties" ma:root="true" ma:fieldsID="dadee6633f1889dbb84fee79f0d9dd13" ns2:_="" ns3:_="">
    <xsd:import namespace="59cb8c38-3508-4e2b-9f6b-1efba3c2a40c"/>
    <xsd:import namespace="97492b1b-15ca-4c66-91b3-833d4635be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b8c38-3508-4e2b-9f6b-1efba3c2a4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492b1b-15ca-4c66-91b3-833d4635be1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DC505-F4A6-4A31-899C-46CFB40422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7A35FE-F4CB-4190-935C-622C0290126E}">
  <ds:schemaRefs>
    <ds:schemaRef ds:uri="http://schemas.microsoft.com/sharepoint/v3/contenttype/form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0658CE76-07C0-422A-8CA7-AF68FEE8E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b8c38-3508-4e2b-9f6b-1efba3c2a40c"/>
    <ds:schemaRef ds:uri="97492b1b-15ca-4c66-91b3-833d4635b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32</Pages>
  <Words>9412</Words>
  <Characters>54119</Characters>
  <Application>Microsoft Office Word</Application>
  <DocSecurity>0</DocSecurity>
  <Lines>1061</Lines>
  <Paragraphs>520</Paragraphs>
  <ScaleCrop>false</ScaleCrop>
  <HeadingPairs>
    <vt:vector size="2" baseType="variant">
      <vt:variant>
        <vt:lpstr>Title</vt:lpstr>
      </vt:variant>
      <vt:variant>
        <vt:i4>1</vt:i4>
      </vt:variant>
    </vt:vector>
  </HeadingPairs>
  <TitlesOfParts>
    <vt:vector size="1" baseType="lpstr">
      <vt:lpstr>Australian public assessment report for Rapiblyk</vt:lpstr>
    </vt:vector>
  </TitlesOfParts>
  <Company>Department of Health, Disability and Ageing</Company>
  <LinksUpToDate>false</LinksUpToDate>
  <CharactersWithSpaces>63011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Rapiblyk</dc:title>
  <dc:subject>Prescription medicines</dc:subject>
  <dc:creator>Therapeutic Goods Administration</dc:creator>
  <cp:keywords/>
  <cp:lastModifiedBy>LACK, Janet</cp:lastModifiedBy>
  <cp:revision>5</cp:revision>
  <dcterms:created xsi:type="dcterms:W3CDTF">2026-02-08T22:49:00Z</dcterms:created>
  <dcterms:modified xsi:type="dcterms:W3CDTF">2026-02-09T03:26:00Z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ActionId">
    <vt:lpwstr>93f14edd-a9cd-485c-a7b7-a4a0dd485297</vt:lpwstr>
  </property>
  <property fmtid="{D5CDD505-2E9C-101B-9397-08002B2CF9AE}" pid="3" name="MSIP_Label_7cd3e8b9-ffed-43a8-b7f4-cc2fa0382d36_ContentBits">
    <vt:lpwstr>3</vt:lpwstr>
  </property>
  <property fmtid="{D5CDD505-2E9C-101B-9397-08002B2CF9AE}" pid="4" name="MSIP_Label_7cd3e8b9-ffed-43a8-b7f4-cc2fa0382d36_Enabled">
    <vt:lpwstr>true</vt:lpwstr>
  </property>
  <property fmtid="{D5CDD505-2E9C-101B-9397-08002B2CF9AE}" pid="5" name="MSIP_Label_7cd3e8b9-ffed-43a8-b7f4-cc2fa0382d36_Method">
    <vt:lpwstr>Privileged</vt:lpwstr>
  </property>
  <property fmtid="{D5CDD505-2E9C-101B-9397-08002B2CF9AE}" pid="6" name="MSIP_Label_7cd3e8b9-ffed-43a8-b7f4-cc2fa0382d36_Name">
    <vt:lpwstr>O</vt:lpwstr>
  </property>
  <property fmtid="{D5CDD505-2E9C-101B-9397-08002B2CF9AE}" pid="7" name="MSIP_Label_7cd3e8b9-ffed-43a8-b7f4-cc2fa0382d36_SetDate">
    <vt:lpwstr>2025-12-01T03:47:48Z</vt:lpwstr>
  </property>
  <property fmtid="{D5CDD505-2E9C-101B-9397-08002B2CF9AE}" pid="8" name="MSIP_Label_7cd3e8b9-ffed-43a8-b7f4-cc2fa0382d36_SiteId">
    <vt:lpwstr>34a3929c-73cf-4954-abfe-147dc3517892</vt:lpwstr>
  </property>
  <property fmtid="{D5CDD505-2E9C-101B-9397-08002B2CF9AE}" pid="9" name="MSIP_Label_7cd3e8b9-ffed-43a8-b7f4-cc2fa0382d36_Tag">
    <vt:lpwstr>10, 0, 1, 1</vt:lpwstr>
  </property>
  <property fmtid="{D5CDD505-2E9C-101B-9397-08002B2CF9AE}" pid="10" name="ContentTypeId">
    <vt:lpwstr>0x010100843BEF21BBEFF34D9C3DA8C14D4B9C82</vt:lpwstr>
  </property>
  <property fmtid="{D5CDD505-2E9C-101B-9397-08002B2CF9AE}" pid="11" name="MediaServiceImageTags">
    <vt:lpwstr/>
  </property>
</Properties>
</file>