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1505C1E6" w:rsidR="00F02AEC" w:rsidRPr="00215D48" w:rsidRDefault="00346EC2" w:rsidP="007452E8">
            <w:pPr>
              <w:pStyle w:val="Title"/>
            </w:pPr>
            <w:bookmarkStart w:id="0" w:name="_Hlk221544073"/>
            <w:bookmarkEnd w:id="0"/>
            <w:r w:rsidRPr="00346EC2">
              <w:t xml:space="preserve">Australian Public Assessment Report for </w:t>
            </w:r>
            <w:bookmarkStart w:id="1" w:name="_Hlk221541108"/>
            <w:r w:rsidR="00C20764">
              <w:t>O</w:t>
            </w:r>
            <w:r w:rsidR="008B400C">
              <w:t>spomyv, Xborso</w:t>
            </w:r>
            <w:bookmarkEnd w:id="1"/>
          </w:p>
        </w:tc>
      </w:tr>
      <w:tr w:rsidR="00F02AEC" w:rsidRPr="00215D48" w14:paraId="318A40A3" w14:textId="77777777" w:rsidTr="00346EC2">
        <w:trPr>
          <w:trHeight w:val="995"/>
        </w:trPr>
        <w:tc>
          <w:tcPr>
            <w:tcW w:w="8720" w:type="dxa"/>
          </w:tcPr>
          <w:p w14:paraId="1AA7C701" w14:textId="15CC04F1" w:rsidR="00F02AEC" w:rsidRPr="00215D48" w:rsidRDefault="00346EC2" w:rsidP="007452E8">
            <w:pPr>
              <w:pStyle w:val="Subtitle"/>
              <w:ind w:left="0"/>
            </w:pPr>
            <w:r w:rsidRPr="00346EC2">
              <w:t xml:space="preserve">Active ingredient: </w:t>
            </w:r>
            <w:bookmarkStart w:id="2" w:name="_Hlk221541318"/>
            <w:r w:rsidR="00C20764">
              <w:t>Denosumab</w:t>
            </w:r>
            <w:bookmarkEnd w:id="2"/>
          </w:p>
        </w:tc>
      </w:tr>
      <w:tr w:rsidR="00346EC2" w:rsidRPr="00215D48" w14:paraId="362CCAE4" w14:textId="77777777" w:rsidTr="007452E8">
        <w:trPr>
          <w:trHeight w:val="1916"/>
        </w:trPr>
        <w:tc>
          <w:tcPr>
            <w:tcW w:w="8720" w:type="dxa"/>
          </w:tcPr>
          <w:p w14:paraId="709C45C0" w14:textId="207CD648" w:rsidR="00346EC2" w:rsidRPr="00215D48" w:rsidRDefault="00346EC2" w:rsidP="007452E8">
            <w:pPr>
              <w:pStyle w:val="Subtitle"/>
              <w:ind w:left="0"/>
            </w:pPr>
            <w:r w:rsidRPr="00346EC2">
              <w:t xml:space="preserve">Sponsor: </w:t>
            </w:r>
            <w:bookmarkStart w:id="3" w:name="_Hlk221541288"/>
            <w:r w:rsidR="00516B1B">
              <w:t>Samsung Bioepis AU Pty Ltd</w:t>
            </w:r>
            <w:bookmarkEnd w:id="3"/>
          </w:p>
        </w:tc>
      </w:tr>
      <w:tr w:rsidR="00F02AEC" w:rsidRPr="00215D48" w14:paraId="37F2AA1F" w14:textId="77777777" w:rsidTr="007452E8">
        <w:tc>
          <w:tcPr>
            <w:tcW w:w="8720" w:type="dxa"/>
          </w:tcPr>
          <w:p w14:paraId="1FDE8DCD" w14:textId="0937C622" w:rsidR="00F02AEC" w:rsidRPr="00215D48" w:rsidRDefault="00F72F52" w:rsidP="007452E8">
            <w:pPr>
              <w:pStyle w:val="Date"/>
            </w:pPr>
            <w:r>
              <w:t>February</w:t>
            </w:r>
            <w:r w:rsidR="00516B1B">
              <w:t xml:space="preserve"> 2026</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rFonts w:eastAsiaTheme="minorEastAsia"/>
          <w:szCs w:val="20"/>
        </w:rPr>
      </w:sdtEndPr>
      <w:sdtContent>
        <w:p w14:paraId="0A6ADA2B" w14:textId="77777777" w:rsidR="00F02AEC" w:rsidRPr="00215D48" w:rsidRDefault="00F02AEC" w:rsidP="007452E8">
          <w:pPr>
            <w:pStyle w:val="NonTOCheading2"/>
          </w:pPr>
          <w:r w:rsidRPr="00215D48">
            <w:t>Contents</w:t>
          </w:r>
        </w:p>
        <w:p w14:paraId="651520E9" w14:textId="3E30970E" w:rsidR="00EB6AE0"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21616595" w:history="1">
            <w:r w:rsidR="00EB6AE0" w:rsidRPr="00FF4DB5">
              <w:rPr>
                <w:rStyle w:val="Hyperlink"/>
                <w:noProof/>
              </w:rPr>
              <w:t>List of abbreviations</w:t>
            </w:r>
            <w:r w:rsidR="00EB6AE0">
              <w:rPr>
                <w:noProof/>
                <w:webHidden/>
              </w:rPr>
              <w:tab/>
            </w:r>
            <w:r w:rsidR="00EB6AE0">
              <w:rPr>
                <w:noProof/>
                <w:webHidden/>
              </w:rPr>
              <w:fldChar w:fldCharType="begin"/>
            </w:r>
            <w:r w:rsidR="00EB6AE0">
              <w:rPr>
                <w:noProof/>
                <w:webHidden/>
              </w:rPr>
              <w:instrText xml:space="preserve"> PAGEREF _Toc221616595 \h </w:instrText>
            </w:r>
            <w:r w:rsidR="00EB6AE0">
              <w:rPr>
                <w:noProof/>
                <w:webHidden/>
              </w:rPr>
            </w:r>
            <w:r w:rsidR="00EB6AE0">
              <w:rPr>
                <w:noProof/>
                <w:webHidden/>
              </w:rPr>
              <w:fldChar w:fldCharType="separate"/>
            </w:r>
            <w:r w:rsidR="00EB6AE0">
              <w:rPr>
                <w:noProof/>
                <w:webHidden/>
              </w:rPr>
              <w:t>4</w:t>
            </w:r>
            <w:r w:rsidR="00EB6AE0">
              <w:rPr>
                <w:noProof/>
                <w:webHidden/>
              </w:rPr>
              <w:fldChar w:fldCharType="end"/>
            </w:r>
          </w:hyperlink>
        </w:p>
        <w:p w14:paraId="769C73EA" w14:textId="011B1214" w:rsidR="00EB6AE0" w:rsidRDefault="00EB6AE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1616596" w:history="1">
            <w:r w:rsidRPr="00FF4DB5">
              <w:rPr>
                <w:rStyle w:val="Hyperlink"/>
                <w:noProof/>
              </w:rPr>
              <w:t>Product submission</w:t>
            </w:r>
            <w:r>
              <w:rPr>
                <w:noProof/>
                <w:webHidden/>
              </w:rPr>
              <w:tab/>
            </w:r>
            <w:r>
              <w:rPr>
                <w:noProof/>
                <w:webHidden/>
              </w:rPr>
              <w:fldChar w:fldCharType="begin"/>
            </w:r>
            <w:r>
              <w:rPr>
                <w:noProof/>
                <w:webHidden/>
              </w:rPr>
              <w:instrText xml:space="preserve"> PAGEREF _Toc221616596 \h </w:instrText>
            </w:r>
            <w:r>
              <w:rPr>
                <w:noProof/>
                <w:webHidden/>
              </w:rPr>
            </w:r>
            <w:r>
              <w:rPr>
                <w:noProof/>
                <w:webHidden/>
              </w:rPr>
              <w:fldChar w:fldCharType="separate"/>
            </w:r>
            <w:r>
              <w:rPr>
                <w:noProof/>
                <w:webHidden/>
              </w:rPr>
              <w:t>6</w:t>
            </w:r>
            <w:r>
              <w:rPr>
                <w:noProof/>
                <w:webHidden/>
              </w:rPr>
              <w:fldChar w:fldCharType="end"/>
            </w:r>
          </w:hyperlink>
        </w:p>
        <w:p w14:paraId="6B17E013" w14:textId="0EA2E1E1" w:rsidR="00EB6AE0" w:rsidRDefault="00EB6AE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616597" w:history="1">
            <w:r w:rsidRPr="00FF4DB5">
              <w:rPr>
                <w:rStyle w:val="Hyperlink"/>
                <w:noProof/>
                <w:lang w:eastAsia="en-AU"/>
              </w:rPr>
              <w:t>Submission details</w:t>
            </w:r>
            <w:r>
              <w:rPr>
                <w:noProof/>
                <w:webHidden/>
              </w:rPr>
              <w:tab/>
            </w:r>
            <w:r>
              <w:rPr>
                <w:noProof/>
                <w:webHidden/>
              </w:rPr>
              <w:fldChar w:fldCharType="begin"/>
            </w:r>
            <w:r>
              <w:rPr>
                <w:noProof/>
                <w:webHidden/>
              </w:rPr>
              <w:instrText xml:space="preserve"> PAGEREF _Toc221616597 \h </w:instrText>
            </w:r>
            <w:r>
              <w:rPr>
                <w:noProof/>
                <w:webHidden/>
              </w:rPr>
            </w:r>
            <w:r>
              <w:rPr>
                <w:noProof/>
                <w:webHidden/>
              </w:rPr>
              <w:fldChar w:fldCharType="separate"/>
            </w:r>
            <w:r>
              <w:rPr>
                <w:noProof/>
                <w:webHidden/>
              </w:rPr>
              <w:t>6</w:t>
            </w:r>
            <w:r>
              <w:rPr>
                <w:noProof/>
                <w:webHidden/>
              </w:rPr>
              <w:fldChar w:fldCharType="end"/>
            </w:r>
          </w:hyperlink>
        </w:p>
        <w:p w14:paraId="0DFC33B7" w14:textId="7BC95A1D" w:rsidR="00EB6AE0" w:rsidRDefault="00EB6AE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616598" w:history="1">
            <w:r w:rsidRPr="00FF4DB5">
              <w:rPr>
                <w:rStyle w:val="Hyperlink"/>
                <w:noProof/>
              </w:rPr>
              <w:t>Product background</w:t>
            </w:r>
            <w:r>
              <w:rPr>
                <w:noProof/>
                <w:webHidden/>
              </w:rPr>
              <w:tab/>
            </w:r>
            <w:r>
              <w:rPr>
                <w:noProof/>
                <w:webHidden/>
              </w:rPr>
              <w:fldChar w:fldCharType="begin"/>
            </w:r>
            <w:r>
              <w:rPr>
                <w:noProof/>
                <w:webHidden/>
              </w:rPr>
              <w:instrText xml:space="preserve"> PAGEREF _Toc221616598 \h </w:instrText>
            </w:r>
            <w:r>
              <w:rPr>
                <w:noProof/>
                <w:webHidden/>
              </w:rPr>
            </w:r>
            <w:r>
              <w:rPr>
                <w:noProof/>
                <w:webHidden/>
              </w:rPr>
              <w:fldChar w:fldCharType="separate"/>
            </w:r>
            <w:r>
              <w:rPr>
                <w:noProof/>
                <w:webHidden/>
              </w:rPr>
              <w:t>8</w:t>
            </w:r>
            <w:r>
              <w:rPr>
                <w:noProof/>
                <w:webHidden/>
              </w:rPr>
              <w:fldChar w:fldCharType="end"/>
            </w:r>
          </w:hyperlink>
        </w:p>
        <w:p w14:paraId="1F589BDF" w14:textId="02D28598" w:rsidR="00EB6AE0" w:rsidRDefault="00EB6AE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616599" w:history="1">
            <w:r w:rsidRPr="00FF4DB5">
              <w:rPr>
                <w:rStyle w:val="Hyperlink"/>
                <w:noProof/>
              </w:rPr>
              <w:t>Disease or condition</w:t>
            </w:r>
            <w:r>
              <w:rPr>
                <w:noProof/>
                <w:webHidden/>
              </w:rPr>
              <w:tab/>
            </w:r>
            <w:r>
              <w:rPr>
                <w:noProof/>
                <w:webHidden/>
              </w:rPr>
              <w:fldChar w:fldCharType="begin"/>
            </w:r>
            <w:r>
              <w:rPr>
                <w:noProof/>
                <w:webHidden/>
              </w:rPr>
              <w:instrText xml:space="preserve"> PAGEREF _Toc221616599 \h </w:instrText>
            </w:r>
            <w:r>
              <w:rPr>
                <w:noProof/>
                <w:webHidden/>
              </w:rPr>
            </w:r>
            <w:r>
              <w:rPr>
                <w:noProof/>
                <w:webHidden/>
              </w:rPr>
              <w:fldChar w:fldCharType="separate"/>
            </w:r>
            <w:r>
              <w:rPr>
                <w:noProof/>
                <w:webHidden/>
              </w:rPr>
              <w:t>8</w:t>
            </w:r>
            <w:r>
              <w:rPr>
                <w:noProof/>
                <w:webHidden/>
              </w:rPr>
              <w:fldChar w:fldCharType="end"/>
            </w:r>
          </w:hyperlink>
        </w:p>
        <w:p w14:paraId="256069D1" w14:textId="183DCD61" w:rsidR="00EB6AE0" w:rsidRDefault="00EB6AE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616600" w:history="1">
            <w:r w:rsidRPr="00FF4DB5">
              <w:rPr>
                <w:rStyle w:val="Hyperlink"/>
                <w:noProof/>
              </w:rPr>
              <w:t>Current treatment options</w:t>
            </w:r>
            <w:r>
              <w:rPr>
                <w:noProof/>
                <w:webHidden/>
              </w:rPr>
              <w:tab/>
            </w:r>
            <w:r>
              <w:rPr>
                <w:noProof/>
                <w:webHidden/>
              </w:rPr>
              <w:fldChar w:fldCharType="begin"/>
            </w:r>
            <w:r>
              <w:rPr>
                <w:noProof/>
                <w:webHidden/>
              </w:rPr>
              <w:instrText xml:space="preserve"> PAGEREF _Toc221616600 \h </w:instrText>
            </w:r>
            <w:r>
              <w:rPr>
                <w:noProof/>
                <w:webHidden/>
              </w:rPr>
            </w:r>
            <w:r>
              <w:rPr>
                <w:noProof/>
                <w:webHidden/>
              </w:rPr>
              <w:fldChar w:fldCharType="separate"/>
            </w:r>
            <w:r>
              <w:rPr>
                <w:noProof/>
                <w:webHidden/>
              </w:rPr>
              <w:t>9</w:t>
            </w:r>
            <w:r>
              <w:rPr>
                <w:noProof/>
                <w:webHidden/>
              </w:rPr>
              <w:fldChar w:fldCharType="end"/>
            </w:r>
          </w:hyperlink>
        </w:p>
        <w:p w14:paraId="7EC84C6A" w14:textId="1A4CE53C" w:rsidR="00EB6AE0" w:rsidRDefault="00EB6AE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616601" w:history="1">
            <w:r w:rsidRPr="00FF4DB5">
              <w:rPr>
                <w:rStyle w:val="Hyperlink"/>
                <w:noProof/>
              </w:rPr>
              <w:t>Clinical rationale</w:t>
            </w:r>
            <w:r>
              <w:rPr>
                <w:noProof/>
                <w:webHidden/>
              </w:rPr>
              <w:tab/>
            </w:r>
            <w:r>
              <w:rPr>
                <w:noProof/>
                <w:webHidden/>
              </w:rPr>
              <w:fldChar w:fldCharType="begin"/>
            </w:r>
            <w:r>
              <w:rPr>
                <w:noProof/>
                <w:webHidden/>
              </w:rPr>
              <w:instrText xml:space="preserve"> PAGEREF _Toc221616601 \h </w:instrText>
            </w:r>
            <w:r>
              <w:rPr>
                <w:noProof/>
                <w:webHidden/>
              </w:rPr>
            </w:r>
            <w:r>
              <w:rPr>
                <w:noProof/>
                <w:webHidden/>
              </w:rPr>
              <w:fldChar w:fldCharType="separate"/>
            </w:r>
            <w:r>
              <w:rPr>
                <w:noProof/>
                <w:webHidden/>
              </w:rPr>
              <w:t>9</w:t>
            </w:r>
            <w:r>
              <w:rPr>
                <w:noProof/>
                <w:webHidden/>
              </w:rPr>
              <w:fldChar w:fldCharType="end"/>
            </w:r>
          </w:hyperlink>
        </w:p>
        <w:p w14:paraId="65288860" w14:textId="70E606A4" w:rsidR="00EB6AE0" w:rsidRDefault="00EB6AE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616602" w:history="1">
            <w:r w:rsidRPr="00FF4DB5">
              <w:rPr>
                <w:rStyle w:val="Hyperlink"/>
                <w:noProof/>
              </w:rPr>
              <w:t>Regulatory status</w:t>
            </w:r>
            <w:r>
              <w:rPr>
                <w:noProof/>
                <w:webHidden/>
              </w:rPr>
              <w:tab/>
            </w:r>
            <w:r>
              <w:rPr>
                <w:noProof/>
                <w:webHidden/>
              </w:rPr>
              <w:fldChar w:fldCharType="begin"/>
            </w:r>
            <w:r>
              <w:rPr>
                <w:noProof/>
                <w:webHidden/>
              </w:rPr>
              <w:instrText xml:space="preserve"> PAGEREF _Toc221616602 \h </w:instrText>
            </w:r>
            <w:r>
              <w:rPr>
                <w:noProof/>
                <w:webHidden/>
              </w:rPr>
            </w:r>
            <w:r>
              <w:rPr>
                <w:noProof/>
                <w:webHidden/>
              </w:rPr>
              <w:fldChar w:fldCharType="separate"/>
            </w:r>
            <w:r>
              <w:rPr>
                <w:noProof/>
                <w:webHidden/>
              </w:rPr>
              <w:t>10</w:t>
            </w:r>
            <w:r>
              <w:rPr>
                <w:noProof/>
                <w:webHidden/>
              </w:rPr>
              <w:fldChar w:fldCharType="end"/>
            </w:r>
          </w:hyperlink>
        </w:p>
        <w:p w14:paraId="5F04AD1B" w14:textId="7C5E4AD1" w:rsidR="00EB6AE0" w:rsidRDefault="00EB6AE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616603" w:history="1">
            <w:r w:rsidRPr="00FF4DB5">
              <w:rPr>
                <w:rStyle w:val="Hyperlink"/>
                <w:noProof/>
              </w:rPr>
              <w:t>Australian regulatory status</w:t>
            </w:r>
            <w:r>
              <w:rPr>
                <w:noProof/>
                <w:webHidden/>
              </w:rPr>
              <w:tab/>
            </w:r>
            <w:r>
              <w:rPr>
                <w:noProof/>
                <w:webHidden/>
              </w:rPr>
              <w:fldChar w:fldCharType="begin"/>
            </w:r>
            <w:r>
              <w:rPr>
                <w:noProof/>
                <w:webHidden/>
              </w:rPr>
              <w:instrText xml:space="preserve"> PAGEREF _Toc221616603 \h </w:instrText>
            </w:r>
            <w:r>
              <w:rPr>
                <w:noProof/>
                <w:webHidden/>
              </w:rPr>
            </w:r>
            <w:r>
              <w:rPr>
                <w:noProof/>
                <w:webHidden/>
              </w:rPr>
              <w:fldChar w:fldCharType="separate"/>
            </w:r>
            <w:r>
              <w:rPr>
                <w:noProof/>
                <w:webHidden/>
              </w:rPr>
              <w:t>10</w:t>
            </w:r>
            <w:r>
              <w:rPr>
                <w:noProof/>
                <w:webHidden/>
              </w:rPr>
              <w:fldChar w:fldCharType="end"/>
            </w:r>
          </w:hyperlink>
        </w:p>
        <w:p w14:paraId="5171C3AB" w14:textId="065DCF2F" w:rsidR="00EB6AE0" w:rsidRDefault="00EB6AE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616604" w:history="1">
            <w:r w:rsidRPr="00FF4DB5">
              <w:rPr>
                <w:rStyle w:val="Hyperlink"/>
                <w:noProof/>
              </w:rPr>
              <w:t>International regulatory status</w:t>
            </w:r>
            <w:r>
              <w:rPr>
                <w:noProof/>
                <w:webHidden/>
              </w:rPr>
              <w:tab/>
            </w:r>
            <w:r>
              <w:rPr>
                <w:noProof/>
                <w:webHidden/>
              </w:rPr>
              <w:fldChar w:fldCharType="begin"/>
            </w:r>
            <w:r>
              <w:rPr>
                <w:noProof/>
                <w:webHidden/>
              </w:rPr>
              <w:instrText xml:space="preserve"> PAGEREF _Toc221616604 \h </w:instrText>
            </w:r>
            <w:r>
              <w:rPr>
                <w:noProof/>
                <w:webHidden/>
              </w:rPr>
            </w:r>
            <w:r>
              <w:rPr>
                <w:noProof/>
                <w:webHidden/>
              </w:rPr>
              <w:fldChar w:fldCharType="separate"/>
            </w:r>
            <w:r>
              <w:rPr>
                <w:noProof/>
                <w:webHidden/>
              </w:rPr>
              <w:t>10</w:t>
            </w:r>
            <w:r>
              <w:rPr>
                <w:noProof/>
                <w:webHidden/>
              </w:rPr>
              <w:fldChar w:fldCharType="end"/>
            </w:r>
          </w:hyperlink>
        </w:p>
        <w:p w14:paraId="146C4F51" w14:textId="14B70079" w:rsidR="00EB6AE0" w:rsidRDefault="00EB6AE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1616605" w:history="1">
            <w:r w:rsidRPr="00FF4DB5">
              <w:rPr>
                <w:rStyle w:val="Hyperlink"/>
                <w:noProof/>
              </w:rPr>
              <w:t>Registration timeline</w:t>
            </w:r>
            <w:r>
              <w:rPr>
                <w:noProof/>
                <w:webHidden/>
              </w:rPr>
              <w:tab/>
            </w:r>
            <w:r>
              <w:rPr>
                <w:noProof/>
                <w:webHidden/>
              </w:rPr>
              <w:fldChar w:fldCharType="begin"/>
            </w:r>
            <w:r>
              <w:rPr>
                <w:noProof/>
                <w:webHidden/>
              </w:rPr>
              <w:instrText xml:space="preserve"> PAGEREF _Toc221616605 \h </w:instrText>
            </w:r>
            <w:r>
              <w:rPr>
                <w:noProof/>
                <w:webHidden/>
              </w:rPr>
            </w:r>
            <w:r>
              <w:rPr>
                <w:noProof/>
                <w:webHidden/>
              </w:rPr>
              <w:fldChar w:fldCharType="separate"/>
            </w:r>
            <w:r>
              <w:rPr>
                <w:noProof/>
                <w:webHidden/>
              </w:rPr>
              <w:t>10</w:t>
            </w:r>
            <w:r>
              <w:rPr>
                <w:noProof/>
                <w:webHidden/>
              </w:rPr>
              <w:fldChar w:fldCharType="end"/>
            </w:r>
          </w:hyperlink>
        </w:p>
        <w:p w14:paraId="1A2B81E3" w14:textId="66F43CA0" w:rsidR="00EB6AE0" w:rsidRDefault="00EB6AE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1616606" w:history="1">
            <w:r w:rsidRPr="00FF4DB5">
              <w:rPr>
                <w:rStyle w:val="Hyperlink"/>
                <w:noProof/>
              </w:rPr>
              <w:t>Assessment overview</w:t>
            </w:r>
            <w:r>
              <w:rPr>
                <w:noProof/>
                <w:webHidden/>
              </w:rPr>
              <w:tab/>
            </w:r>
            <w:r>
              <w:rPr>
                <w:noProof/>
                <w:webHidden/>
              </w:rPr>
              <w:fldChar w:fldCharType="begin"/>
            </w:r>
            <w:r>
              <w:rPr>
                <w:noProof/>
                <w:webHidden/>
              </w:rPr>
              <w:instrText xml:space="preserve"> PAGEREF _Toc221616606 \h </w:instrText>
            </w:r>
            <w:r>
              <w:rPr>
                <w:noProof/>
                <w:webHidden/>
              </w:rPr>
            </w:r>
            <w:r>
              <w:rPr>
                <w:noProof/>
                <w:webHidden/>
              </w:rPr>
              <w:fldChar w:fldCharType="separate"/>
            </w:r>
            <w:r>
              <w:rPr>
                <w:noProof/>
                <w:webHidden/>
              </w:rPr>
              <w:t>11</w:t>
            </w:r>
            <w:r>
              <w:rPr>
                <w:noProof/>
                <w:webHidden/>
              </w:rPr>
              <w:fldChar w:fldCharType="end"/>
            </w:r>
          </w:hyperlink>
        </w:p>
        <w:p w14:paraId="1222A26E" w14:textId="5AD3A2CE" w:rsidR="00EB6AE0" w:rsidRDefault="00EB6AE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616607" w:history="1">
            <w:r w:rsidRPr="00FF4DB5">
              <w:rPr>
                <w:rStyle w:val="Hyperlink"/>
                <w:noProof/>
              </w:rPr>
              <w:t>Quality evaluation summary</w:t>
            </w:r>
            <w:r>
              <w:rPr>
                <w:noProof/>
                <w:webHidden/>
              </w:rPr>
              <w:tab/>
            </w:r>
            <w:r>
              <w:rPr>
                <w:noProof/>
                <w:webHidden/>
              </w:rPr>
              <w:fldChar w:fldCharType="begin"/>
            </w:r>
            <w:r>
              <w:rPr>
                <w:noProof/>
                <w:webHidden/>
              </w:rPr>
              <w:instrText xml:space="preserve"> PAGEREF _Toc221616607 \h </w:instrText>
            </w:r>
            <w:r>
              <w:rPr>
                <w:noProof/>
                <w:webHidden/>
              </w:rPr>
            </w:r>
            <w:r>
              <w:rPr>
                <w:noProof/>
                <w:webHidden/>
              </w:rPr>
              <w:fldChar w:fldCharType="separate"/>
            </w:r>
            <w:r>
              <w:rPr>
                <w:noProof/>
                <w:webHidden/>
              </w:rPr>
              <w:t>11</w:t>
            </w:r>
            <w:r>
              <w:rPr>
                <w:noProof/>
                <w:webHidden/>
              </w:rPr>
              <w:fldChar w:fldCharType="end"/>
            </w:r>
          </w:hyperlink>
        </w:p>
        <w:p w14:paraId="55BE1BF1" w14:textId="6464A549" w:rsidR="00EB6AE0" w:rsidRDefault="00EB6AE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616608" w:history="1">
            <w:r w:rsidRPr="00FF4DB5">
              <w:rPr>
                <w:rStyle w:val="Hyperlink"/>
                <w:noProof/>
              </w:rPr>
              <w:t>Nonclinical evaluation summary</w:t>
            </w:r>
            <w:r>
              <w:rPr>
                <w:noProof/>
                <w:webHidden/>
              </w:rPr>
              <w:tab/>
            </w:r>
            <w:r>
              <w:rPr>
                <w:noProof/>
                <w:webHidden/>
              </w:rPr>
              <w:fldChar w:fldCharType="begin"/>
            </w:r>
            <w:r>
              <w:rPr>
                <w:noProof/>
                <w:webHidden/>
              </w:rPr>
              <w:instrText xml:space="preserve"> PAGEREF _Toc221616608 \h </w:instrText>
            </w:r>
            <w:r>
              <w:rPr>
                <w:noProof/>
                <w:webHidden/>
              </w:rPr>
            </w:r>
            <w:r>
              <w:rPr>
                <w:noProof/>
                <w:webHidden/>
              </w:rPr>
              <w:fldChar w:fldCharType="separate"/>
            </w:r>
            <w:r>
              <w:rPr>
                <w:noProof/>
                <w:webHidden/>
              </w:rPr>
              <w:t>12</w:t>
            </w:r>
            <w:r>
              <w:rPr>
                <w:noProof/>
                <w:webHidden/>
              </w:rPr>
              <w:fldChar w:fldCharType="end"/>
            </w:r>
          </w:hyperlink>
        </w:p>
        <w:p w14:paraId="7942DF6A" w14:textId="384F160D" w:rsidR="00EB6AE0" w:rsidRDefault="00EB6AE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616609" w:history="1">
            <w:r w:rsidRPr="00FF4DB5">
              <w:rPr>
                <w:rStyle w:val="Hyperlink"/>
                <w:noProof/>
              </w:rPr>
              <w:t>Clinical evaluation summary</w:t>
            </w:r>
            <w:r>
              <w:rPr>
                <w:noProof/>
                <w:webHidden/>
              </w:rPr>
              <w:tab/>
            </w:r>
            <w:r>
              <w:rPr>
                <w:noProof/>
                <w:webHidden/>
              </w:rPr>
              <w:fldChar w:fldCharType="begin"/>
            </w:r>
            <w:r>
              <w:rPr>
                <w:noProof/>
                <w:webHidden/>
              </w:rPr>
              <w:instrText xml:space="preserve"> PAGEREF _Toc221616609 \h </w:instrText>
            </w:r>
            <w:r>
              <w:rPr>
                <w:noProof/>
                <w:webHidden/>
              </w:rPr>
            </w:r>
            <w:r>
              <w:rPr>
                <w:noProof/>
                <w:webHidden/>
              </w:rPr>
              <w:fldChar w:fldCharType="separate"/>
            </w:r>
            <w:r>
              <w:rPr>
                <w:noProof/>
                <w:webHidden/>
              </w:rPr>
              <w:t>12</w:t>
            </w:r>
            <w:r>
              <w:rPr>
                <w:noProof/>
                <w:webHidden/>
              </w:rPr>
              <w:fldChar w:fldCharType="end"/>
            </w:r>
          </w:hyperlink>
        </w:p>
        <w:p w14:paraId="1581D0CF" w14:textId="215253D4" w:rsidR="00EB6AE0" w:rsidRDefault="00EB6AE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616610" w:history="1">
            <w:r w:rsidRPr="00FF4DB5">
              <w:rPr>
                <w:rStyle w:val="Hyperlink"/>
                <w:noProof/>
              </w:rPr>
              <w:t>Summary of clinical studies</w:t>
            </w:r>
            <w:r>
              <w:rPr>
                <w:noProof/>
                <w:webHidden/>
              </w:rPr>
              <w:tab/>
            </w:r>
            <w:r>
              <w:rPr>
                <w:noProof/>
                <w:webHidden/>
              </w:rPr>
              <w:fldChar w:fldCharType="begin"/>
            </w:r>
            <w:r>
              <w:rPr>
                <w:noProof/>
                <w:webHidden/>
              </w:rPr>
              <w:instrText xml:space="preserve"> PAGEREF _Toc221616610 \h </w:instrText>
            </w:r>
            <w:r>
              <w:rPr>
                <w:noProof/>
                <w:webHidden/>
              </w:rPr>
            </w:r>
            <w:r>
              <w:rPr>
                <w:noProof/>
                <w:webHidden/>
              </w:rPr>
              <w:fldChar w:fldCharType="separate"/>
            </w:r>
            <w:r>
              <w:rPr>
                <w:noProof/>
                <w:webHidden/>
              </w:rPr>
              <w:t>12</w:t>
            </w:r>
            <w:r>
              <w:rPr>
                <w:noProof/>
                <w:webHidden/>
              </w:rPr>
              <w:fldChar w:fldCharType="end"/>
            </w:r>
          </w:hyperlink>
        </w:p>
        <w:p w14:paraId="30344CDF" w14:textId="74547BAC" w:rsidR="00EB6AE0" w:rsidRDefault="00EB6AE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616611" w:history="1">
            <w:r w:rsidRPr="00FF4DB5">
              <w:rPr>
                <w:rStyle w:val="Hyperlink"/>
                <w:noProof/>
              </w:rPr>
              <w:t>Pharmacology</w:t>
            </w:r>
            <w:r>
              <w:rPr>
                <w:noProof/>
                <w:webHidden/>
              </w:rPr>
              <w:tab/>
            </w:r>
            <w:r>
              <w:rPr>
                <w:noProof/>
                <w:webHidden/>
              </w:rPr>
              <w:fldChar w:fldCharType="begin"/>
            </w:r>
            <w:r>
              <w:rPr>
                <w:noProof/>
                <w:webHidden/>
              </w:rPr>
              <w:instrText xml:space="preserve"> PAGEREF _Toc221616611 \h </w:instrText>
            </w:r>
            <w:r>
              <w:rPr>
                <w:noProof/>
                <w:webHidden/>
              </w:rPr>
            </w:r>
            <w:r>
              <w:rPr>
                <w:noProof/>
                <w:webHidden/>
              </w:rPr>
              <w:fldChar w:fldCharType="separate"/>
            </w:r>
            <w:r>
              <w:rPr>
                <w:noProof/>
                <w:webHidden/>
              </w:rPr>
              <w:t>12</w:t>
            </w:r>
            <w:r>
              <w:rPr>
                <w:noProof/>
                <w:webHidden/>
              </w:rPr>
              <w:fldChar w:fldCharType="end"/>
            </w:r>
          </w:hyperlink>
        </w:p>
        <w:p w14:paraId="6175DF47" w14:textId="325A82FB" w:rsidR="00EB6AE0" w:rsidRDefault="00EB6AE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616612" w:history="1">
            <w:r w:rsidRPr="00FF4DB5">
              <w:rPr>
                <w:rStyle w:val="Hyperlink"/>
                <w:noProof/>
              </w:rPr>
              <w:t>Efficacy</w:t>
            </w:r>
            <w:r>
              <w:rPr>
                <w:noProof/>
                <w:webHidden/>
              </w:rPr>
              <w:tab/>
            </w:r>
            <w:r>
              <w:rPr>
                <w:noProof/>
                <w:webHidden/>
              </w:rPr>
              <w:fldChar w:fldCharType="begin"/>
            </w:r>
            <w:r>
              <w:rPr>
                <w:noProof/>
                <w:webHidden/>
              </w:rPr>
              <w:instrText xml:space="preserve"> PAGEREF _Toc221616612 \h </w:instrText>
            </w:r>
            <w:r>
              <w:rPr>
                <w:noProof/>
                <w:webHidden/>
              </w:rPr>
            </w:r>
            <w:r>
              <w:rPr>
                <w:noProof/>
                <w:webHidden/>
              </w:rPr>
              <w:fldChar w:fldCharType="separate"/>
            </w:r>
            <w:r>
              <w:rPr>
                <w:noProof/>
                <w:webHidden/>
              </w:rPr>
              <w:t>14</w:t>
            </w:r>
            <w:r>
              <w:rPr>
                <w:noProof/>
                <w:webHidden/>
              </w:rPr>
              <w:fldChar w:fldCharType="end"/>
            </w:r>
          </w:hyperlink>
        </w:p>
        <w:p w14:paraId="02037F96" w14:textId="5164F861" w:rsidR="00EB6AE0" w:rsidRDefault="00EB6AE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616613" w:history="1">
            <w:r w:rsidRPr="00FF4DB5">
              <w:rPr>
                <w:rStyle w:val="Hyperlink"/>
                <w:noProof/>
              </w:rPr>
              <w:t>Safety</w:t>
            </w:r>
            <w:r>
              <w:rPr>
                <w:noProof/>
                <w:webHidden/>
              </w:rPr>
              <w:tab/>
            </w:r>
            <w:r>
              <w:rPr>
                <w:noProof/>
                <w:webHidden/>
              </w:rPr>
              <w:fldChar w:fldCharType="begin"/>
            </w:r>
            <w:r>
              <w:rPr>
                <w:noProof/>
                <w:webHidden/>
              </w:rPr>
              <w:instrText xml:space="preserve"> PAGEREF _Toc221616613 \h </w:instrText>
            </w:r>
            <w:r>
              <w:rPr>
                <w:noProof/>
                <w:webHidden/>
              </w:rPr>
            </w:r>
            <w:r>
              <w:rPr>
                <w:noProof/>
                <w:webHidden/>
              </w:rPr>
              <w:fldChar w:fldCharType="separate"/>
            </w:r>
            <w:r>
              <w:rPr>
                <w:noProof/>
                <w:webHidden/>
              </w:rPr>
              <w:t>20</w:t>
            </w:r>
            <w:r>
              <w:rPr>
                <w:noProof/>
                <w:webHidden/>
              </w:rPr>
              <w:fldChar w:fldCharType="end"/>
            </w:r>
          </w:hyperlink>
        </w:p>
        <w:p w14:paraId="5B425A55" w14:textId="0147121B" w:rsidR="00EB6AE0" w:rsidRDefault="00EB6AE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616614" w:history="1">
            <w:r w:rsidRPr="00FF4DB5">
              <w:rPr>
                <w:rStyle w:val="Hyperlink"/>
                <w:noProof/>
                <w:lang w:eastAsia="en-AU"/>
              </w:rPr>
              <w:t>Risk management plan</w:t>
            </w:r>
            <w:r>
              <w:rPr>
                <w:noProof/>
                <w:webHidden/>
              </w:rPr>
              <w:tab/>
            </w:r>
            <w:r>
              <w:rPr>
                <w:noProof/>
                <w:webHidden/>
              </w:rPr>
              <w:fldChar w:fldCharType="begin"/>
            </w:r>
            <w:r>
              <w:rPr>
                <w:noProof/>
                <w:webHidden/>
              </w:rPr>
              <w:instrText xml:space="preserve"> PAGEREF _Toc221616614 \h </w:instrText>
            </w:r>
            <w:r>
              <w:rPr>
                <w:noProof/>
                <w:webHidden/>
              </w:rPr>
            </w:r>
            <w:r>
              <w:rPr>
                <w:noProof/>
                <w:webHidden/>
              </w:rPr>
              <w:fldChar w:fldCharType="separate"/>
            </w:r>
            <w:r>
              <w:rPr>
                <w:noProof/>
                <w:webHidden/>
              </w:rPr>
              <w:t>24</w:t>
            </w:r>
            <w:r>
              <w:rPr>
                <w:noProof/>
                <w:webHidden/>
              </w:rPr>
              <w:fldChar w:fldCharType="end"/>
            </w:r>
          </w:hyperlink>
        </w:p>
        <w:p w14:paraId="1B905B9B" w14:textId="50B5C8B0" w:rsidR="00EB6AE0" w:rsidRDefault="00EB6AE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616615" w:history="1">
            <w:r w:rsidRPr="00FF4DB5">
              <w:rPr>
                <w:rStyle w:val="Hyperlink"/>
                <w:noProof/>
                <w:lang w:val="en-US"/>
              </w:rPr>
              <w:t>Pharmacovigilance plan</w:t>
            </w:r>
            <w:r>
              <w:rPr>
                <w:noProof/>
                <w:webHidden/>
              </w:rPr>
              <w:tab/>
            </w:r>
            <w:r>
              <w:rPr>
                <w:noProof/>
                <w:webHidden/>
              </w:rPr>
              <w:fldChar w:fldCharType="begin"/>
            </w:r>
            <w:r>
              <w:rPr>
                <w:noProof/>
                <w:webHidden/>
              </w:rPr>
              <w:instrText xml:space="preserve"> PAGEREF _Toc221616615 \h </w:instrText>
            </w:r>
            <w:r>
              <w:rPr>
                <w:noProof/>
                <w:webHidden/>
              </w:rPr>
            </w:r>
            <w:r>
              <w:rPr>
                <w:noProof/>
                <w:webHidden/>
              </w:rPr>
              <w:fldChar w:fldCharType="separate"/>
            </w:r>
            <w:r>
              <w:rPr>
                <w:noProof/>
                <w:webHidden/>
              </w:rPr>
              <w:t>26</w:t>
            </w:r>
            <w:r>
              <w:rPr>
                <w:noProof/>
                <w:webHidden/>
              </w:rPr>
              <w:fldChar w:fldCharType="end"/>
            </w:r>
          </w:hyperlink>
        </w:p>
        <w:p w14:paraId="0C1702EF" w14:textId="16E4C9A0" w:rsidR="00EB6AE0" w:rsidRDefault="00EB6AE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616616" w:history="1">
            <w:r w:rsidRPr="00FF4DB5">
              <w:rPr>
                <w:rStyle w:val="Hyperlink"/>
                <w:noProof/>
                <w:lang w:val="en-US"/>
              </w:rPr>
              <w:t>Risk minimisation plan</w:t>
            </w:r>
            <w:r>
              <w:rPr>
                <w:noProof/>
                <w:webHidden/>
              </w:rPr>
              <w:tab/>
            </w:r>
            <w:r>
              <w:rPr>
                <w:noProof/>
                <w:webHidden/>
              </w:rPr>
              <w:fldChar w:fldCharType="begin"/>
            </w:r>
            <w:r>
              <w:rPr>
                <w:noProof/>
                <w:webHidden/>
              </w:rPr>
              <w:instrText xml:space="preserve"> PAGEREF _Toc221616616 \h </w:instrText>
            </w:r>
            <w:r>
              <w:rPr>
                <w:noProof/>
                <w:webHidden/>
              </w:rPr>
            </w:r>
            <w:r>
              <w:rPr>
                <w:noProof/>
                <w:webHidden/>
              </w:rPr>
              <w:fldChar w:fldCharType="separate"/>
            </w:r>
            <w:r>
              <w:rPr>
                <w:noProof/>
                <w:webHidden/>
              </w:rPr>
              <w:t>26</w:t>
            </w:r>
            <w:r>
              <w:rPr>
                <w:noProof/>
                <w:webHidden/>
              </w:rPr>
              <w:fldChar w:fldCharType="end"/>
            </w:r>
          </w:hyperlink>
        </w:p>
        <w:p w14:paraId="69D83216" w14:textId="412E9B00" w:rsidR="00EB6AE0" w:rsidRDefault="00EB6AE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616617" w:history="1">
            <w:r w:rsidRPr="00FF4DB5">
              <w:rPr>
                <w:rStyle w:val="Hyperlink"/>
                <w:noProof/>
              </w:rPr>
              <w:t>Risk-benefit analysis</w:t>
            </w:r>
            <w:r>
              <w:rPr>
                <w:noProof/>
                <w:webHidden/>
              </w:rPr>
              <w:tab/>
            </w:r>
            <w:r>
              <w:rPr>
                <w:noProof/>
                <w:webHidden/>
              </w:rPr>
              <w:fldChar w:fldCharType="begin"/>
            </w:r>
            <w:r>
              <w:rPr>
                <w:noProof/>
                <w:webHidden/>
              </w:rPr>
              <w:instrText xml:space="preserve"> PAGEREF _Toc221616617 \h </w:instrText>
            </w:r>
            <w:r>
              <w:rPr>
                <w:noProof/>
                <w:webHidden/>
              </w:rPr>
            </w:r>
            <w:r>
              <w:rPr>
                <w:noProof/>
                <w:webHidden/>
              </w:rPr>
              <w:fldChar w:fldCharType="separate"/>
            </w:r>
            <w:r>
              <w:rPr>
                <w:noProof/>
                <w:webHidden/>
              </w:rPr>
              <w:t>27</w:t>
            </w:r>
            <w:r>
              <w:rPr>
                <w:noProof/>
                <w:webHidden/>
              </w:rPr>
              <w:fldChar w:fldCharType="end"/>
            </w:r>
          </w:hyperlink>
        </w:p>
        <w:p w14:paraId="260656BA" w14:textId="0EDE76C5" w:rsidR="00EB6AE0" w:rsidRDefault="00EB6AE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616618" w:history="1">
            <w:r w:rsidRPr="00FF4DB5">
              <w:rPr>
                <w:rStyle w:val="Hyperlink"/>
                <w:noProof/>
              </w:rPr>
              <w:t>Delegate’s considerations</w:t>
            </w:r>
            <w:r>
              <w:rPr>
                <w:noProof/>
                <w:webHidden/>
              </w:rPr>
              <w:tab/>
            </w:r>
            <w:r>
              <w:rPr>
                <w:noProof/>
                <w:webHidden/>
              </w:rPr>
              <w:fldChar w:fldCharType="begin"/>
            </w:r>
            <w:r>
              <w:rPr>
                <w:noProof/>
                <w:webHidden/>
              </w:rPr>
              <w:instrText xml:space="preserve"> PAGEREF _Toc221616618 \h </w:instrText>
            </w:r>
            <w:r>
              <w:rPr>
                <w:noProof/>
                <w:webHidden/>
              </w:rPr>
            </w:r>
            <w:r>
              <w:rPr>
                <w:noProof/>
                <w:webHidden/>
              </w:rPr>
              <w:fldChar w:fldCharType="separate"/>
            </w:r>
            <w:r>
              <w:rPr>
                <w:noProof/>
                <w:webHidden/>
              </w:rPr>
              <w:t>27</w:t>
            </w:r>
            <w:r>
              <w:rPr>
                <w:noProof/>
                <w:webHidden/>
              </w:rPr>
              <w:fldChar w:fldCharType="end"/>
            </w:r>
          </w:hyperlink>
        </w:p>
        <w:p w14:paraId="5C39E427" w14:textId="2FFA65CF" w:rsidR="00EB6AE0" w:rsidRDefault="00EB6AE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616619" w:history="1">
            <w:r w:rsidRPr="00FF4DB5">
              <w:rPr>
                <w:rStyle w:val="Hyperlink"/>
                <w:noProof/>
              </w:rPr>
              <w:t>Proposed action</w:t>
            </w:r>
            <w:r>
              <w:rPr>
                <w:noProof/>
                <w:webHidden/>
              </w:rPr>
              <w:tab/>
            </w:r>
            <w:r>
              <w:rPr>
                <w:noProof/>
                <w:webHidden/>
              </w:rPr>
              <w:fldChar w:fldCharType="begin"/>
            </w:r>
            <w:r>
              <w:rPr>
                <w:noProof/>
                <w:webHidden/>
              </w:rPr>
              <w:instrText xml:space="preserve"> PAGEREF _Toc221616619 \h </w:instrText>
            </w:r>
            <w:r>
              <w:rPr>
                <w:noProof/>
                <w:webHidden/>
              </w:rPr>
            </w:r>
            <w:r>
              <w:rPr>
                <w:noProof/>
                <w:webHidden/>
              </w:rPr>
              <w:fldChar w:fldCharType="separate"/>
            </w:r>
            <w:r>
              <w:rPr>
                <w:noProof/>
                <w:webHidden/>
              </w:rPr>
              <w:t>28</w:t>
            </w:r>
            <w:r>
              <w:rPr>
                <w:noProof/>
                <w:webHidden/>
              </w:rPr>
              <w:fldChar w:fldCharType="end"/>
            </w:r>
          </w:hyperlink>
        </w:p>
        <w:p w14:paraId="33F28A0E" w14:textId="5F9BE8CE" w:rsidR="00EB6AE0" w:rsidRDefault="00EB6AE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1616620" w:history="1">
            <w:r w:rsidRPr="00FF4DB5">
              <w:rPr>
                <w:rStyle w:val="Hyperlink"/>
                <w:noProof/>
              </w:rPr>
              <w:t>Assessment outcome</w:t>
            </w:r>
            <w:r>
              <w:rPr>
                <w:noProof/>
                <w:webHidden/>
              </w:rPr>
              <w:tab/>
            </w:r>
            <w:r>
              <w:rPr>
                <w:noProof/>
                <w:webHidden/>
              </w:rPr>
              <w:fldChar w:fldCharType="begin"/>
            </w:r>
            <w:r>
              <w:rPr>
                <w:noProof/>
                <w:webHidden/>
              </w:rPr>
              <w:instrText xml:space="preserve"> PAGEREF _Toc221616620 \h </w:instrText>
            </w:r>
            <w:r>
              <w:rPr>
                <w:noProof/>
                <w:webHidden/>
              </w:rPr>
            </w:r>
            <w:r>
              <w:rPr>
                <w:noProof/>
                <w:webHidden/>
              </w:rPr>
              <w:fldChar w:fldCharType="separate"/>
            </w:r>
            <w:r>
              <w:rPr>
                <w:noProof/>
                <w:webHidden/>
              </w:rPr>
              <w:t>28</w:t>
            </w:r>
            <w:r>
              <w:rPr>
                <w:noProof/>
                <w:webHidden/>
              </w:rPr>
              <w:fldChar w:fldCharType="end"/>
            </w:r>
          </w:hyperlink>
        </w:p>
        <w:p w14:paraId="7AA70569" w14:textId="3C4BB009" w:rsidR="00EB6AE0" w:rsidRDefault="00EB6AE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616621" w:history="1">
            <w:r w:rsidRPr="00FF4DB5">
              <w:rPr>
                <w:rStyle w:val="Hyperlink"/>
                <w:noProof/>
              </w:rPr>
              <w:t>Specific conditions of registration</w:t>
            </w:r>
            <w:r>
              <w:rPr>
                <w:noProof/>
                <w:webHidden/>
              </w:rPr>
              <w:tab/>
            </w:r>
            <w:r>
              <w:rPr>
                <w:noProof/>
                <w:webHidden/>
              </w:rPr>
              <w:fldChar w:fldCharType="begin"/>
            </w:r>
            <w:r>
              <w:rPr>
                <w:noProof/>
                <w:webHidden/>
              </w:rPr>
              <w:instrText xml:space="preserve"> PAGEREF _Toc221616621 \h </w:instrText>
            </w:r>
            <w:r>
              <w:rPr>
                <w:noProof/>
                <w:webHidden/>
              </w:rPr>
            </w:r>
            <w:r>
              <w:rPr>
                <w:noProof/>
                <w:webHidden/>
              </w:rPr>
              <w:fldChar w:fldCharType="separate"/>
            </w:r>
            <w:r>
              <w:rPr>
                <w:noProof/>
                <w:webHidden/>
              </w:rPr>
              <w:t>29</w:t>
            </w:r>
            <w:r>
              <w:rPr>
                <w:noProof/>
                <w:webHidden/>
              </w:rPr>
              <w:fldChar w:fldCharType="end"/>
            </w:r>
          </w:hyperlink>
        </w:p>
        <w:p w14:paraId="74879489" w14:textId="12EF3D6F" w:rsidR="00EB6AE0" w:rsidRDefault="00EB6AE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616622" w:history="1">
            <w:r w:rsidRPr="00FF4DB5">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_Toc221616622 \h </w:instrText>
            </w:r>
            <w:r>
              <w:rPr>
                <w:noProof/>
                <w:webHidden/>
              </w:rPr>
            </w:r>
            <w:r>
              <w:rPr>
                <w:noProof/>
                <w:webHidden/>
              </w:rPr>
              <w:fldChar w:fldCharType="separate"/>
            </w:r>
            <w:r>
              <w:rPr>
                <w:noProof/>
                <w:webHidden/>
              </w:rPr>
              <w:t>30</w:t>
            </w:r>
            <w:r>
              <w:rPr>
                <w:noProof/>
                <w:webHidden/>
              </w:rPr>
              <w:fldChar w:fldCharType="end"/>
            </w:r>
          </w:hyperlink>
        </w:p>
        <w:p w14:paraId="77659F2D" w14:textId="105A54AB" w:rsidR="00F02AEC" w:rsidRPr="00215D48" w:rsidRDefault="00F02AEC" w:rsidP="007452E8">
          <w:r w:rsidRPr="00215D48">
            <w:fldChar w:fldCharType="end"/>
          </w:r>
        </w:p>
      </w:sdtContent>
    </w:sdt>
    <w:p w14:paraId="10987AE2" w14:textId="77777777" w:rsidR="00F02AEC" w:rsidRPr="00215D48" w:rsidRDefault="00F02AEC" w:rsidP="007C2A1F">
      <w:r w:rsidRPr="00215D48">
        <w:br w:type="page"/>
      </w:r>
    </w:p>
    <w:p w14:paraId="1E73AB93" w14:textId="77777777" w:rsidR="00324B33" w:rsidRDefault="00324B33" w:rsidP="007C2A1F">
      <w:pPr>
        <w:pStyle w:val="Heading2"/>
      </w:pPr>
      <w:bookmarkStart w:id="4" w:name="_Toc98931917"/>
      <w:bookmarkStart w:id="5" w:name="_Toc103679287"/>
      <w:bookmarkStart w:id="6" w:name="_Toc221616595"/>
      <w:bookmarkStart w:id="7" w:name="_Toc323739589"/>
      <w:bookmarkStart w:id="8" w:name="_Toc356305216"/>
      <w:r>
        <w:lastRenderedPageBreak/>
        <w:t xml:space="preserve">List of </w:t>
      </w:r>
      <w:r w:rsidRPr="007C2A1F">
        <w:t>abbreviations</w:t>
      </w:r>
      <w:bookmarkEnd w:id="4"/>
      <w:bookmarkEnd w:id="5"/>
      <w:bookmarkEnd w:id="6"/>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324B33" w:rsidRPr="00D01DDB"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287DC0CA" w:rsidR="00324B33" w:rsidRPr="00D01DDB" w:rsidRDefault="00324B33" w:rsidP="00324B33">
            <w:pPr>
              <w:rPr>
                <w:szCs w:val="22"/>
              </w:rPr>
            </w:pPr>
            <w:r w:rsidRPr="00D01DDB">
              <w:rPr>
                <w:szCs w:val="22"/>
              </w:rPr>
              <w:t>ACV</w:t>
            </w:r>
          </w:p>
        </w:tc>
        <w:tc>
          <w:tcPr>
            <w:tcW w:w="3800" w:type="pct"/>
          </w:tcPr>
          <w:p w14:paraId="5072E244" w14:textId="7B59D1A8"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Vaccines</w:t>
            </w:r>
          </w:p>
        </w:tc>
      </w:tr>
      <w:tr w:rsidR="00AB4A7D" w:rsidRPr="00D01DDB" w14:paraId="4CDC443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F4DB76" w14:textId="6900393C" w:rsidR="00AB4A7D" w:rsidRPr="00D01DDB" w:rsidRDefault="00AB4A7D" w:rsidP="00324B33">
            <w:pPr>
              <w:rPr>
                <w:szCs w:val="22"/>
              </w:rPr>
            </w:pPr>
            <w:r>
              <w:rPr>
                <w:szCs w:val="22"/>
              </w:rPr>
              <w:t>ADA</w:t>
            </w:r>
          </w:p>
        </w:tc>
        <w:tc>
          <w:tcPr>
            <w:tcW w:w="3800" w:type="pct"/>
          </w:tcPr>
          <w:p w14:paraId="21942F03" w14:textId="4777FC5B" w:rsidR="00AB4A7D" w:rsidRPr="00D01DDB" w:rsidRDefault="00AB4A7D" w:rsidP="00324B33">
            <w:pPr>
              <w:cnfStyle w:val="000000000000" w:firstRow="0" w:lastRow="0" w:firstColumn="0" w:lastColumn="0" w:oddVBand="0" w:evenVBand="0" w:oddHBand="0" w:evenHBand="0" w:firstRowFirstColumn="0" w:firstRowLastColumn="0" w:lastRowFirstColumn="0" w:lastRowLastColumn="0"/>
              <w:rPr>
                <w:szCs w:val="22"/>
              </w:rPr>
            </w:pPr>
            <w:r w:rsidRPr="00AB4A7D">
              <w:rPr>
                <w:szCs w:val="22"/>
              </w:rPr>
              <w:t>Antidrug antibody</w:t>
            </w:r>
          </w:p>
        </w:tc>
      </w:tr>
      <w:tr w:rsidR="00043032" w:rsidRPr="00D01DDB" w14:paraId="6093D80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E4AF12" w14:textId="514ED5F9" w:rsidR="00043032" w:rsidRDefault="00043032" w:rsidP="00324B33">
            <w:pPr>
              <w:rPr>
                <w:szCs w:val="22"/>
              </w:rPr>
            </w:pPr>
            <w:r>
              <w:rPr>
                <w:szCs w:val="22"/>
              </w:rPr>
              <w:t>ANOVA</w:t>
            </w:r>
          </w:p>
        </w:tc>
        <w:tc>
          <w:tcPr>
            <w:tcW w:w="3800" w:type="pct"/>
          </w:tcPr>
          <w:p w14:paraId="291D3555" w14:textId="52662308" w:rsidR="00043032" w:rsidRPr="00AB4A7D" w:rsidRDefault="004A690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003D6B84">
              <w:rPr>
                <w:szCs w:val="22"/>
              </w:rPr>
              <w:t>nalysis of variance</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21C063B1"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873D7A">
              <w:rPr>
                <w:szCs w:val="22"/>
              </w:rPr>
              <w:noBreakHyphen/>
            </w:r>
            <w:r w:rsidRPr="00D01DDB">
              <w:rPr>
                <w:szCs w:val="22"/>
              </w:rPr>
              <w:t>specific annex</w:t>
            </w:r>
          </w:p>
        </w:tc>
      </w:tr>
      <w:tr w:rsidR="00080173" w:rsidRPr="00D01DDB" w14:paraId="6186ACF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F8DC937" w14:textId="06A6572D" w:rsidR="00080173" w:rsidRPr="00D01DDB" w:rsidRDefault="00080173" w:rsidP="00324B33">
            <w:pPr>
              <w:rPr>
                <w:szCs w:val="22"/>
              </w:rPr>
            </w:pPr>
            <w:r w:rsidRPr="00080173">
              <w:rPr>
                <w:szCs w:val="22"/>
                <w:lang w:val="en-US"/>
              </w:rPr>
              <w:t>AUEC</w:t>
            </w:r>
            <w:r w:rsidRPr="00080173">
              <w:rPr>
                <w:szCs w:val="22"/>
                <w:vertAlign w:val="subscript"/>
                <w:lang w:val="en-US"/>
              </w:rPr>
              <w:t>0-M6</w:t>
            </w:r>
          </w:p>
        </w:tc>
        <w:tc>
          <w:tcPr>
            <w:tcW w:w="3800" w:type="pct"/>
          </w:tcPr>
          <w:p w14:paraId="7D6D3491" w14:textId="17739A0A" w:rsidR="00080173" w:rsidRPr="00D01DDB" w:rsidRDefault="00D91129" w:rsidP="00324B33">
            <w:pPr>
              <w:cnfStyle w:val="000000000000" w:firstRow="0" w:lastRow="0" w:firstColumn="0" w:lastColumn="0" w:oddVBand="0" w:evenVBand="0" w:oddHBand="0" w:evenHBand="0" w:firstRowFirstColumn="0" w:firstRowLastColumn="0" w:lastRowFirstColumn="0" w:lastRowLastColumn="0"/>
              <w:rPr>
                <w:szCs w:val="22"/>
              </w:rPr>
            </w:pPr>
            <w:r w:rsidRPr="00D91129">
              <w:rPr>
                <w:szCs w:val="22"/>
              </w:rPr>
              <w:t xml:space="preserve">Area under the </w:t>
            </w:r>
            <w:r>
              <w:rPr>
                <w:szCs w:val="22"/>
              </w:rPr>
              <w:t xml:space="preserve">effect </w:t>
            </w:r>
            <w:r w:rsidRPr="00D91129">
              <w:rPr>
                <w:szCs w:val="22"/>
              </w:rPr>
              <w:t>curve from</w:t>
            </w:r>
            <w:r>
              <w:rPr>
                <w:szCs w:val="22"/>
              </w:rPr>
              <w:t xml:space="preserve"> time 0 to month</w:t>
            </w:r>
            <w:r w:rsidR="00392FD4">
              <w:rPr>
                <w:szCs w:val="22"/>
              </w:rPr>
              <w:t xml:space="preserve"> 6</w:t>
            </w:r>
          </w:p>
        </w:tc>
      </w:tr>
      <w:tr w:rsidR="00964497" w:rsidRPr="00D01DDB" w14:paraId="0077477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A9DB6E" w14:textId="7AFD3774" w:rsidR="00964497" w:rsidRPr="00D01DDB" w:rsidRDefault="00964497" w:rsidP="00324B33">
            <w:pPr>
              <w:rPr>
                <w:szCs w:val="22"/>
              </w:rPr>
            </w:pPr>
            <w:r w:rsidRPr="00964497">
              <w:rPr>
                <w:szCs w:val="22"/>
              </w:rPr>
              <w:t>AUC</w:t>
            </w:r>
            <w:r w:rsidRPr="00964497">
              <w:rPr>
                <w:szCs w:val="22"/>
                <w:vertAlign w:val="subscript"/>
              </w:rPr>
              <w:t>inf</w:t>
            </w:r>
          </w:p>
        </w:tc>
        <w:tc>
          <w:tcPr>
            <w:tcW w:w="3800" w:type="pct"/>
          </w:tcPr>
          <w:p w14:paraId="0553F1FE" w14:textId="6EC6E1A9" w:rsidR="00964497" w:rsidRPr="00D01DDB" w:rsidRDefault="001B68DB" w:rsidP="00324B33">
            <w:pPr>
              <w:cnfStyle w:val="000000000000" w:firstRow="0" w:lastRow="0" w:firstColumn="0" w:lastColumn="0" w:oddVBand="0" w:evenVBand="0" w:oddHBand="0" w:evenHBand="0" w:firstRowFirstColumn="0" w:firstRowLastColumn="0" w:lastRowFirstColumn="0" w:lastRowLastColumn="0"/>
              <w:rPr>
                <w:szCs w:val="22"/>
              </w:rPr>
            </w:pPr>
            <w:r w:rsidRPr="001B68DB">
              <w:rPr>
                <w:szCs w:val="22"/>
              </w:rPr>
              <w:t>Area under the concentration time curve from time zero to infinity</w:t>
            </w:r>
          </w:p>
        </w:tc>
      </w:tr>
      <w:tr w:rsidR="005A72F5" w:rsidRPr="00D01DDB" w14:paraId="57B89F6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785DB" w14:textId="60C905D7" w:rsidR="005A72F5" w:rsidRPr="00964497" w:rsidRDefault="005A72F5" w:rsidP="00324B33">
            <w:pPr>
              <w:rPr>
                <w:szCs w:val="22"/>
              </w:rPr>
            </w:pPr>
            <w:proofErr w:type="spellStart"/>
            <w:r w:rsidRPr="005A72F5">
              <w:rPr>
                <w:szCs w:val="22"/>
                <w:lang w:val="en-US"/>
              </w:rPr>
              <w:t>AUC</w:t>
            </w:r>
            <w:r w:rsidRPr="005A72F5">
              <w:rPr>
                <w:szCs w:val="22"/>
                <w:vertAlign w:val="subscript"/>
                <w:lang w:val="en-US"/>
              </w:rPr>
              <w:t>last</w:t>
            </w:r>
            <w:proofErr w:type="spellEnd"/>
          </w:p>
        </w:tc>
        <w:tc>
          <w:tcPr>
            <w:tcW w:w="3800" w:type="pct"/>
          </w:tcPr>
          <w:p w14:paraId="3116EE16" w14:textId="4E86394B" w:rsidR="005A72F5" w:rsidRPr="00D01DDB" w:rsidRDefault="006E04D8" w:rsidP="00324B33">
            <w:pPr>
              <w:cnfStyle w:val="000000000000" w:firstRow="0" w:lastRow="0" w:firstColumn="0" w:lastColumn="0" w:oddVBand="0" w:evenVBand="0" w:oddHBand="0" w:evenHBand="0" w:firstRowFirstColumn="0" w:firstRowLastColumn="0" w:lastRowFirstColumn="0" w:lastRowLastColumn="0"/>
              <w:rPr>
                <w:szCs w:val="22"/>
              </w:rPr>
            </w:pPr>
            <w:r w:rsidRPr="006E04D8">
              <w:rPr>
                <w:szCs w:val="22"/>
              </w:rPr>
              <w:t>Area under the plasma concentration time curve from time zero to the last measurable time point</w:t>
            </w:r>
          </w:p>
        </w:tc>
      </w:tr>
      <w:tr w:rsidR="00E04F41" w:rsidRPr="00D01DDB" w14:paraId="757387B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BA5AC39" w14:textId="00D8B535" w:rsidR="00E04F41" w:rsidRPr="00D01DDB" w:rsidRDefault="00E04F41" w:rsidP="00324B33">
            <w:pPr>
              <w:rPr>
                <w:szCs w:val="22"/>
              </w:rPr>
            </w:pPr>
            <w:r>
              <w:rPr>
                <w:szCs w:val="22"/>
              </w:rPr>
              <w:t>BMD</w:t>
            </w:r>
          </w:p>
        </w:tc>
        <w:tc>
          <w:tcPr>
            <w:tcW w:w="3800" w:type="pct"/>
          </w:tcPr>
          <w:p w14:paraId="3DCCD0D0" w14:textId="3E7D0E06" w:rsidR="00E04F41" w:rsidRPr="00D01DDB" w:rsidRDefault="00E04F4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B</w:t>
            </w:r>
            <w:r w:rsidRPr="00E04F41">
              <w:rPr>
                <w:szCs w:val="22"/>
              </w:rPr>
              <w:t>one mineral density</w:t>
            </w:r>
          </w:p>
        </w:tc>
      </w:tr>
      <w:tr w:rsidR="0006458A" w:rsidRPr="00D01DDB" w14:paraId="131B06B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12A6375" w14:textId="7CBCE621" w:rsidR="0006458A" w:rsidRDefault="0006458A" w:rsidP="00324B33">
            <w:pPr>
              <w:rPr>
                <w:szCs w:val="22"/>
              </w:rPr>
            </w:pPr>
            <w:r>
              <w:rPr>
                <w:szCs w:val="22"/>
              </w:rPr>
              <w:t>CHO</w:t>
            </w:r>
          </w:p>
        </w:tc>
        <w:tc>
          <w:tcPr>
            <w:tcW w:w="3800" w:type="pct"/>
          </w:tcPr>
          <w:p w14:paraId="22362AF7" w14:textId="60FEAA00" w:rsidR="0006458A" w:rsidRDefault="0006458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Chinese </w:t>
            </w:r>
            <w:r w:rsidR="00524E24">
              <w:rPr>
                <w:szCs w:val="22"/>
              </w:rPr>
              <w:t>hamster</w:t>
            </w:r>
            <w:r>
              <w:rPr>
                <w:szCs w:val="22"/>
              </w:rPr>
              <w:t xml:space="preserve"> </w:t>
            </w:r>
            <w:r w:rsidR="00A0464D">
              <w:rPr>
                <w:szCs w:val="22"/>
              </w:rPr>
              <w:t>ovary</w:t>
            </w:r>
          </w:p>
        </w:tc>
      </w:tr>
      <w:tr w:rsidR="00E901F0" w:rsidRPr="00D01DDB" w14:paraId="17CDE7E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A93D1C8" w14:textId="25D45404" w:rsidR="00E901F0" w:rsidRPr="00D01DDB" w:rsidRDefault="00E901F0" w:rsidP="00324B33">
            <w:pPr>
              <w:rPr>
                <w:szCs w:val="22"/>
              </w:rPr>
            </w:pPr>
            <w:r>
              <w:rPr>
                <w:szCs w:val="22"/>
              </w:rPr>
              <w:t>CI</w:t>
            </w:r>
          </w:p>
        </w:tc>
        <w:tc>
          <w:tcPr>
            <w:tcW w:w="3800" w:type="pct"/>
          </w:tcPr>
          <w:p w14:paraId="43E3DE24" w14:textId="0CCAD198" w:rsidR="00E901F0" w:rsidRPr="00D01DDB" w:rsidRDefault="00E901F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Confidence interval</w:t>
            </w:r>
          </w:p>
        </w:tc>
      </w:tr>
      <w:tr w:rsidR="004E2C63" w:rsidRPr="00D01DDB" w14:paraId="74B1EDC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F39BDB" w14:textId="68FB25D5" w:rsidR="004E2C63" w:rsidRDefault="004E2C63" w:rsidP="00324B33">
            <w:pPr>
              <w:rPr>
                <w:szCs w:val="22"/>
              </w:rPr>
            </w:pPr>
            <w:proofErr w:type="spellStart"/>
            <w:r w:rsidRPr="004E2C63">
              <w:rPr>
                <w:szCs w:val="22"/>
                <w:lang w:val="en-US"/>
              </w:rPr>
              <w:t>C</w:t>
            </w:r>
            <w:r w:rsidRPr="004E2C63">
              <w:rPr>
                <w:szCs w:val="22"/>
                <w:vertAlign w:val="subscript"/>
                <w:lang w:val="en-US"/>
              </w:rPr>
              <w:t>max</w:t>
            </w:r>
            <w:proofErr w:type="spellEnd"/>
          </w:p>
        </w:tc>
        <w:tc>
          <w:tcPr>
            <w:tcW w:w="3800" w:type="pct"/>
          </w:tcPr>
          <w:p w14:paraId="15AEF9CD" w14:textId="1E04A4BB" w:rsidR="004E2C63" w:rsidRDefault="00E721A4" w:rsidP="00324B33">
            <w:pPr>
              <w:cnfStyle w:val="000000000000" w:firstRow="0" w:lastRow="0" w:firstColumn="0" w:lastColumn="0" w:oddVBand="0" w:evenVBand="0" w:oddHBand="0" w:evenHBand="0" w:firstRowFirstColumn="0" w:firstRowLastColumn="0" w:lastRowFirstColumn="0" w:lastRowLastColumn="0"/>
              <w:rPr>
                <w:szCs w:val="22"/>
              </w:rPr>
            </w:pPr>
            <w:r w:rsidRPr="00E721A4">
              <w:rPr>
                <w:szCs w:val="22"/>
              </w:rPr>
              <w:t>Maximum concentration</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A96254" w:rsidRPr="00D01DDB" w14:paraId="2BFEA0E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7EEDC3" w14:textId="626FD1F9" w:rsidR="00A96254" w:rsidRPr="00D01DDB" w:rsidRDefault="00A96254" w:rsidP="00324B33">
            <w:pPr>
              <w:rPr>
                <w:szCs w:val="22"/>
              </w:rPr>
            </w:pPr>
            <w:r w:rsidRPr="00A96254">
              <w:rPr>
                <w:szCs w:val="22"/>
                <w:lang w:val="en-US"/>
              </w:rPr>
              <w:t>CTX</w:t>
            </w:r>
          </w:p>
        </w:tc>
        <w:tc>
          <w:tcPr>
            <w:tcW w:w="3800" w:type="pct"/>
          </w:tcPr>
          <w:p w14:paraId="48742D67" w14:textId="70AAF654" w:rsidR="00A96254" w:rsidRPr="00D01DDB" w:rsidRDefault="006756F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c-telopeptide of type 1 collagen</w:t>
            </w:r>
          </w:p>
        </w:tc>
      </w:tr>
      <w:tr w:rsidR="00324B33"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324B33" w:rsidRPr="00D01DDB" w:rsidRDefault="00324B33" w:rsidP="00324B33">
            <w:pPr>
              <w:rPr>
                <w:szCs w:val="22"/>
              </w:rPr>
            </w:pPr>
            <w:r w:rsidRPr="00D01DDB">
              <w:rPr>
                <w:szCs w:val="22"/>
              </w:rPr>
              <w:t>DLP</w:t>
            </w:r>
          </w:p>
        </w:tc>
        <w:tc>
          <w:tcPr>
            <w:tcW w:w="3800" w:type="pct"/>
          </w:tcPr>
          <w:p w14:paraId="26109D0B" w14:textId="4AE8F60A"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426578" w:rsidRPr="00D01DDB" w14:paraId="5DAF098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061908" w14:textId="479B6741" w:rsidR="00426578" w:rsidRPr="00D01DDB" w:rsidRDefault="00426578" w:rsidP="00324B33">
            <w:pPr>
              <w:rPr>
                <w:szCs w:val="22"/>
              </w:rPr>
            </w:pPr>
            <w:r>
              <w:rPr>
                <w:szCs w:val="22"/>
              </w:rPr>
              <w:t>EMA</w:t>
            </w:r>
          </w:p>
        </w:tc>
        <w:tc>
          <w:tcPr>
            <w:tcW w:w="3800" w:type="pct"/>
          </w:tcPr>
          <w:p w14:paraId="20FB245F" w14:textId="7F4C268B" w:rsidR="00426578" w:rsidRPr="00D01DDB" w:rsidRDefault="00426578" w:rsidP="00324B33">
            <w:pPr>
              <w:cnfStyle w:val="000000000000" w:firstRow="0" w:lastRow="0" w:firstColumn="0" w:lastColumn="0" w:oddVBand="0" w:evenVBand="0" w:oddHBand="0" w:evenHBand="0" w:firstRowFirstColumn="0" w:firstRowLastColumn="0" w:lastRowFirstColumn="0" w:lastRowLastColumn="0"/>
              <w:rPr>
                <w:szCs w:val="22"/>
              </w:rPr>
            </w:pPr>
            <w:r w:rsidRPr="00426578">
              <w:rPr>
                <w:szCs w:val="22"/>
              </w:rPr>
              <w:t xml:space="preserve">European Medicines Agency </w:t>
            </w:r>
          </w:p>
        </w:tc>
      </w:tr>
      <w:tr w:rsidR="00CE7A56" w:rsidRPr="00D01DDB" w14:paraId="44CA358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C0542D" w14:textId="150F6CDD" w:rsidR="00CE7A56" w:rsidRDefault="00CE7A56" w:rsidP="00324B33">
            <w:pPr>
              <w:rPr>
                <w:szCs w:val="22"/>
              </w:rPr>
            </w:pPr>
            <w:r>
              <w:rPr>
                <w:szCs w:val="22"/>
              </w:rPr>
              <w:t>EU</w:t>
            </w:r>
          </w:p>
        </w:tc>
        <w:tc>
          <w:tcPr>
            <w:tcW w:w="3800" w:type="pct"/>
          </w:tcPr>
          <w:p w14:paraId="566A3D9B" w14:textId="78AE0A26" w:rsidR="00CE7A56" w:rsidRPr="00426578" w:rsidRDefault="00CE7A5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European Union</w:t>
            </w:r>
          </w:p>
        </w:tc>
      </w:tr>
      <w:tr w:rsidR="004930D7" w:rsidRPr="00D01DDB" w14:paraId="4E40587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4AA7A41" w14:textId="64CFD85D" w:rsidR="004930D7" w:rsidRDefault="004930D7" w:rsidP="00324B33">
            <w:pPr>
              <w:rPr>
                <w:szCs w:val="22"/>
              </w:rPr>
            </w:pPr>
            <w:r>
              <w:rPr>
                <w:szCs w:val="22"/>
              </w:rPr>
              <w:t>FAS</w:t>
            </w:r>
          </w:p>
        </w:tc>
        <w:tc>
          <w:tcPr>
            <w:tcW w:w="3800" w:type="pct"/>
          </w:tcPr>
          <w:p w14:paraId="4B210EC4" w14:textId="4D026301" w:rsidR="004930D7" w:rsidRPr="00426578" w:rsidRDefault="00E50EF3" w:rsidP="00324B33">
            <w:pPr>
              <w:cnfStyle w:val="000000000000" w:firstRow="0" w:lastRow="0" w:firstColumn="0" w:lastColumn="0" w:oddVBand="0" w:evenVBand="0" w:oddHBand="0" w:evenHBand="0" w:firstRowFirstColumn="0" w:firstRowLastColumn="0" w:lastRowFirstColumn="0" w:lastRowLastColumn="0"/>
              <w:rPr>
                <w:szCs w:val="22"/>
              </w:rPr>
            </w:pPr>
            <w:r w:rsidRPr="00E50EF3">
              <w:rPr>
                <w:szCs w:val="22"/>
              </w:rPr>
              <w:t>Full analysis set</w:t>
            </w:r>
          </w:p>
        </w:tc>
      </w:tr>
      <w:tr w:rsidR="00D75890" w:rsidRPr="00D01DDB" w14:paraId="68E9CA5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73C6663" w14:textId="498F5854" w:rsidR="00D75890" w:rsidRPr="00D01DDB" w:rsidRDefault="00D75890" w:rsidP="00324B33">
            <w:pPr>
              <w:rPr>
                <w:szCs w:val="22"/>
              </w:rPr>
            </w:pPr>
            <w:r>
              <w:rPr>
                <w:szCs w:val="22"/>
              </w:rPr>
              <w:t>FDA</w:t>
            </w:r>
          </w:p>
        </w:tc>
        <w:tc>
          <w:tcPr>
            <w:tcW w:w="3800" w:type="pct"/>
          </w:tcPr>
          <w:p w14:paraId="33308EFA" w14:textId="6F081326" w:rsidR="00D75890" w:rsidRPr="00D01DDB" w:rsidRDefault="00D75890" w:rsidP="00324B33">
            <w:pPr>
              <w:cnfStyle w:val="000000000000" w:firstRow="0" w:lastRow="0" w:firstColumn="0" w:lastColumn="0" w:oddVBand="0" w:evenVBand="0" w:oddHBand="0" w:evenHBand="0" w:firstRowFirstColumn="0" w:firstRowLastColumn="0" w:lastRowFirstColumn="0" w:lastRowLastColumn="0"/>
              <w:rPr>
                <w:szCs w:val="22"/>
              </w:rPr>
            </w:pPr>
            <w:r w:rsidRPr="00D75890">
              <w:rPr>
                <w:szCs w:val="22"/>
              </w:rPr>
              <w:t xml:space="preserve">Food and Drug Administration </w:t>
            </w:r>
            <w:r>
              <w:rPr>
                <w:szCs w:val="22"/>
              </w:rPr>
              <w:t>(USA)</w:t>
            </w:r>
          </w:p>
        </w:tc>
      </w:tr>
      <w:tr w:rsidR="00955D7B" w:rsidRPr="00D01DDB" w14:paraId="6B2B594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4786AA" w14:textId="6B9DF77C" w:rsidR="00955D7B" w:rsidRDefault="00955D7B" w:rsidP="00324B33">
            <w:pPr>
              <w:rPr>
                <w:szCs w:val="22"/>
              </w:rPr>
            </w:pPr>
            <w:r>
              <w:rPr>
                <w:szCs w:val="22"/>
              </w:rPr>
              <w:t>GMP</w:t>
            </w:r>
          </w:p>
        </w:tc>
        <w:tc>
          <w:tcPr>
            <w:tcW w:w="3800" w:type="pct"/>
          </w:tcPr>
          <w:p w14:paraId="3B05DE3B" w14:textId="23BACAEF" w:rsidR="00955D7B" w:rsidRPr="00D75890" w:rsidRDefault="00955D7B" w:rsidP="00324B33">
            <w:pPr>
              <w:cnfStyle w:val="000000000000" w:firstRow="0" w:lastRow="0" w:firstColumn="0" w:lastColumn="0" w:oddVBand="0" w:evenVBand="0" w:oddHBand="0" w:evenHBand="0" w:firstRowFirstColumn="0" w:firstRowLastColumn="0" w:lastRowFirstColumn="0" w:lastRowLastColumn="0"/>
              <w:rPr>
                <w:szCs w:val="22"/>
              </w:rPr>
            </w:pPr>
            <w:r w:rsidRPr="00955D7B">
              <w:rPr>
                <w:szCs w:val="22"/>
              </w:rPr>
              <w:t>Good Manufacturing Practice</w:t>
            </w:r>
          </w:p>
        </w:tc>
      </w:tr>
      <w:tr w:rsidR="00241FF0" w:rsidRPr="00D01DDB" w14:paraId="4AA4BBB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D3225D" w14:textId="0475714D" w:rsidR="00241FF0" w:rsidRDefault="00241FF0" w:rsidP="00324B33">
            <w:pPr>
              <w:rPr>
                <w:szCs w:val="22"/>
              </w:rPr>
            </w:pPr>
            <w:r>
              <w:rPr>
                <w:szCs w:val="22"/>
              </w:rPr>
              <w:t>HC</w:t>
            </w:r>
          </w:p>
        </w:tc>
        <w:tc>
          <w:tcPr>
            <w:tcW w:w="3800" w:type="pct"/>
          </w:tcPr>
          <w:p w14:paraId="54DA02A8" w14:textId="60ABCCC2" w:rsidR="00241FF0" w:rsidRPr="00D75890" w:rsidRDefault="00241FF0" w:rsidP="00324B33">
            <w:pPr>
              <w:cnfStyle w:val="000000000000" w:firstRow="0" w:lastRow="0" w:firstColumn="0" w:lastColumn="0" w:oddVBand="0" w:evenVBand="0" w:oddHBand="0" w:evenHBand="0" w:firstRowFirstColumn="0" w:firstRowLastColumn="0" w:lastRowFirstColumn="0" w:lastRowLastColumn="0"/>
              <w:rPr>
                <w:szCs w:val="22"/>
              </w:rPr>
            </w:pPr>
            <w:r w:rsidRPr="00241FF0">
              <w:rPr>
                <w:szCs w:val="22"/>
              </w:rPr>
              <w:t>Health Canada</w:t>
            </w:r>
          </w:p>
        </w:tc>
      </w:tr>
      <w:tr w:rsidR="00537833" w:rsidRPr="00D01DDB" w14:paraId="2410DBC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7C304BE" w14:textId="2DB071BF" w:rsidR="00537833" w:rsidRPr="00D01DDB" w:rsidRDefault="00537833" w:rsidP="00324B33">
            <w:pPr>
              <w:rPr>
                <w:szCs w:val="22"/>
              </w:rPr>
            </w:pPr>
            <w:r>
              <w:rPr>
                <w:szCs w:val="22"/>
              </w:rPr>
              <w:t>HRT</w:t>
            </w:r>
          </w:p>
        </w:tc>
        <w:tc>
          <w:tcPr>
            <w:tcW w:w="3800" w:type="pct"/>
          </w:tcPr>
          <w:p w14:paraId="5F99A30C" w14:textId="166CAB32" w:rsidR="00537833" w:rsidRPr="00D01DDB" w:rsidRDefault="0053783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H</w:t>
            </w:r>
            <w:r w:rsidRPr="00537833">
              <w:rPr>
                <w:szCs w:val="22"/>
              </w:rPr>
              <w:t>ormone replacement therapy</w:t>
            </w:r>
          </w:p>
        </w:tc>
      </w:tr>
      <w:tr w:rsidR="00694030" w:rsidRPr="00D01DDB" w14:paraId="2D4A3D4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9F0EEF" w14:textId="377BA74F" w:rsidR="00694030" w:rsidRDefault="00694030" w:rsidP="00324B33">
            <w:pPr>
              <w:rPr>
                <w:szCs w:val="22"/>
              </w:rPr>
            </w:pPr>
            <w:r>
              <w:rPr>
                <w:szCs w:val="22"/>
              </w:rPr>
              <w:t>IP</w:t>
            </w:r>
          </w:p>
        </w:tc>
        <w:tc>
          <w:tcPr>
            <w:tcW w:w="3800" w:type="pct"/>
          </w:tcPr>
          <w:p w14:paraId="690CDB69" w14:textId="1886E4A1" w:rsidR="00694030" w:rsidRDefault="00032A5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I</w:t>
            </w:r>
            <w:r w:rsidRPr="00032A5A">
              <w:rPr>
                <w:szCs w:val="22"/>
              </w:rPr>
              <w:t>nvestigational products</w:t>
            </w:r>
          </w:p>
        </w:tc>
      </w:tr>
      <w:tr w:rsidR="008102CC" w:rsidRPr="00D01DDB" w14:paraId="30A4A96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4CA14C9" w14:textId="1B5ED354" w:rsidR="008102CC" w:rsidRDefault="008102CC" w:rsidP="00324B33">
            <w:pPr>
              <w:rPr>
                <w:szCs w:val="22"/>
              </w:rPr>
            </w:pPr>
            <w:r>
              <w:rPr>
                <w:szCs w:val="22"/>
              </w:rPr>
              <w:t>LS</w:t>
            </w:r>
          </w:p>
        </w:tc>
        <w:tc>
          <w:tcPr>
            <w:tcW w:w="3800" w:type="pct"/>
          </w:tcPr>
          <w:p w14:paraId="078C68FF" w14:textId="31E8BA72" w:rsidR="008102CC" w:rsidRDefault="00A215C4" w:rsidP="00324B33">
            <w:pPr>
              <w:cnfStyle w:val="000000000000" w:firstRow="0" w:lastRow="0" w:firstColumn="0" w:lastColumn="0" w:oddVBand="0" w:evenVBand="0" w:oddHBand="0" w:evenHBand="0" w:firstRowFirstColumn="0" w:firstRowLastColumn="0" w:lastRowFirstColumn="0" w:lastRowLastColumn="0"/>
              <w:rPr>
                <w:szCs w:val="22"/>
              </w:rPr>
            </w:pPr>
            <w:r w:rsidRPr="00A215C4">
              <w:rPr>
                <w:szCs w:val="22"/>
              </w:rPr>
              <w:t>Least square</w:t>
            </w:r>
          </w:p>
        </w:tc>
      </w:tr>
      <w:tr w:rsidR="00426578" w:rsidRPr="00D01DDB" w14:paraId="3321750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DD1F8C" w14:textId="13A02CEE" w:rsidR="00426578" w:rsidRDefault="00426578" w:rsidP="00324B33">
            <w:pPr>
              <w:rPr>
                <w:szCs w:val="22"/>
              </w:rPr>
            </w:pPr>
            <w:r>
              <w:rPr>
                <w:szCs w:val="22"/>
              </w:rPr>
              <w:t>MFDS</w:t>
            </w:r>
          </w:p>
        </w:tc>
        <w:tc>
          <w:tcPr>
            <w:tcW w:w="3800" w:type="pct"/>
          </w:tcPr>
          <w:p w14:paraId="27103080" w14:textId="1471E728" w:rsidR="00426578" w:rsidRDefault="00426578" w:rsidP="00324B33">
            <w:pPr>
              <w:cnfStyle w:val="000000000000" w:firstRow="0" w:lastRow="0" w:firstColumn="0" w:lastColumn="0" w:oddVBand="0" w:evenVBand="0" w:oddHBand="0" w:evenHBand="0" w:firstRowFirstColumn="0" w:firstRowLastColumn="0" w:lastRowFirstColumn="0" w:lastRowLastColumn="0"/>
              <w:rPr>
                <w:szCs w:val="22"/>
              </w:rPr>
            </w:pPr>
            <w:r w:rsidRPr="00426578">
              <w:rPr>
                <w:szCs w:val="22"/>
              </w:rPr>
              <w:t>Ministry of Food and Drug Safety</w:t>
            </w:r>
            <w:r>
              <w:rPr>
                <w:szCs w:val="22"/>
              </w:rPr>
              <w:t xml:space="preserve"> (</w:t>
            </w:r>
            <w:r w:rsidRPr="00426578">
              <w:rPr>
                <w:szCs w:val="22"/>
              </w:rPr>
              <w:t>Republic of Korea</w:t>
            </w:r>
            <w:r>
              <w:rPr>
                <w:szCs w:val="22"/>
              </w:rPr>
              <w:t>)</w:t>
            </w:r>
          </w:p>
        </w:tc>
      </w:tr>
      <w:tr w:rsidR="001F5C4F" w:rsidRPr="00D01DDB" w14:paraId="4A85DCB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426A3E" w14:textId="0C70CF0B" w:rsidR="001F5C4F" w:rsidRDefault="001F5C4F" w:rsidP="00324B33">
            <w:pPr>
              <w:rPr>
                <w:szCs w:val="22"/>
              </w:rPr>
            </w:pPr>
            <w:r>
              <w:rPr>
                <w:szCs w:val="22"/>
              </w:rPr>
              <w:t>N</w:t>
            </w:r>
          </w:p>
        </w:tc>
        <w:tc>
          <w:tcPr>
            <w:tcW w:w="3800" w:type="pct"/>
          </w:tcPr>
          <w:p w14:paraId="05F2B13B" w14:textId="5434A97F" w:rsidR="001F5C4F" w:rsidRPr="00426578" w:rsidRDefault="001F5C4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Number of subjects</w:t>
            </w:r>
          </w:p>
        </w:tc>
      </w:tr>
      <w:tr w:rsidR="001F5C4F" w:rsidRPr="00D01DDB" w14:paraId="69CC08A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F3202FD" w14:textId="537464A0" w:rsidR="001F5C4F" w:rsidRDefault="001F5C4F" w:rsidP="00324B33">
            <w:pPr>
              <w:rPr>
                <w:szCs w:val="22"/>
              </w:rPr>
            </w:pPr>
            <w:r>
              <w:rPr>
                <w:szCs w:val="22"/>
              </w:rPr>
              <w:t>n</w:t>
            </w:r>
          </w:p>
        </w:tc>
        <w:tc>
          <w:tcPr>
            <w:tcW w:w="3800" w:type="pct"/>
          </w:tcPr>
          <w:p w14:paraId="5CA96672" w14:textId="4DF93F71" w:rsidR="001F5C4F" w:rsidRDefault="001F5C4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Number o</w:t>
            </w:r>
            <w:r w:rsidR="007B0B0B">
              <w:rPr>
                <w:szCs w:val="22"/>
              </w:rPr>
              <w:t>f</w:t>
            </w:r>
            <w:r>
              <w:rPr>
                <w:szCs w:val="22"/>
              </w:rPr>
              <w:t xml:space="preserve"> subjects</w:t>
            </w:r>
            <w:r w:rsidR="00391BD8">
              <w:rPr>
                <w:szCs w:val="22"/>
              </w:rPr>
              <w:t xml:space="preserve"> in the analysis</w:t>
            </w:r>
          </w:p>
        </w:tc>
      </w:tr>
      <w:tr w:rsidR="00B41822" w:rsidRPr="00D01DDB" w14:paraId="3C2E351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72C46E" w14:textId="0973BA1A" w:rsidR="00B41822" w:rsidRDefault="00122D7B" w:rsidP="00324B33">
            <w:pPr>
              <w:rPr>
                <w:szCs w:val="22"/>
              </w:rPr>
            </w:pPr>
            <w:r>
              <w:rPr>
                <w:szCs w:val="22"/>
              </w:rPr>
              <w:t>Nabs</w:t>
            </w:r>
          </w:p>
        </w:tc>
        <w:tc>
          <w:tcPr>
            <w:tcW w:w="3800" w:type="pct"/>
          </w:tcPr>
          <w:p w14:paraId="57E66143" w14:textId="3F311E02" w:rsidR="00B41822" w:rsidRPr="00426578" w:rsidRDefault="00B41822" w:rsidP="00324B33">
            <w:pPr>
              <w:cnfStyle w:val="000000000000" w:firstRow="0" w:lastRow="0" w:firstColumn="0" w:lastColumn="0" w:oddVBand="0" w:evenVBand="0" w:oddHBand="0" w:evenHBand="0" w:firstRowFirstColumn="0" w:firstRowLastColumn="0" w:lastRowFirstColumn="0" w:lastRowLastColumn="0"/>
              <w:rPr>
                <w:szCs w:val="22"/>
              </w:rPr>
            </w:pPr>
            <w:r w:rsidRPr="00B41822">
              <w:rPr>
                <w:szCs w:val="22"/>
              </w:rPr>
              <w:t>Neutralising antibod</w:t>
            </w:r>
            <w:r w:rsidR="00122D7B">
              <w:rPr>
                <w:szCs w:val="22"/>
              </w:rPr>
              <w:t>ies</w:t>
            </w:r>
          </w:p>
        </w:tc>
      </w:tr>
      <w:tr w:rsidR="00B85BAE" w:rsidRPr="00D01DDB" w14:paraId="0A7A52C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672DBA" w14:textId="3BDDF529" w:rsidR="00B85BAE" w:rsidRDefault="00B85BAE" w:rsidP="00324B33">
            <w:pPr>
              <w:rPr>
                <w:szCs w:val="22"/>
              </w:rPr>
            </w:pPr>
            <w:r>
              <w:rPr>
                <w:szCs w:val="22"/>
              </w:rPr>
              <w:t>ONJ</w:t>
            </w:r>
          </w:p>
        </w:tc>
        <w:tc>
          <w:tcPr>
            <w:tcW w:w="3800" w:type="pct"/>
          </w:tcPr>
          <w:p w14:paraId="4851F03E" w14:textId="58E02C6C" w:rsidR="00B85BAE" w:rsidRPr="00B41822" w:rsidRDefault="0081268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O</w:t>
            </w:r>
            <w:r w:rsidRPr="00812683">
              <w:rPr>
                <w:szCs w:val="22"/>
              </w:rPr>
              <w:t>steonecrosis of the jaw</w:t>
            </w:r>
          </w:p>
        </w:tc>
      </w:tr>
      <w:tr w:rsidR="008D2C1E" w:rsidRPr="00D01DDB" w14:paraId="3A6C583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74D4DF" w14:textId="459B09A5" w:rsidR="008D2C1E" w:rsidRPr="00D01DDB" w:rsidRDefault="008D2C1E" w:rsidP="00324B33">
            <w:pPr>
              <w:rPr>
                <w:szCs w:val="22"/>
              </w:rPr>
            </w:pPr>
            <w:r>
              <w:rPr>
                <w:szCs w:val="22"/>
              </w:rPr>
              <w:t>OPG</w:t>
            </w:r>
          </w:p>
        </w:tc>
        <w:tc>
          <w:tcPr>
            <w:tcW w:w="3800" w:type="pct"/>
          </w:tcPr>
          <w:p w14:paraId="15175032" w14:textId="42292722" w:rsidR="008D2C1E" w:rsidRPr="00D01DDB" w:rsidRDefault="008D2C1E" w:rsidP="00324B33">
            <w:pPr>
              <w:cnfStyle w:val="000000000000" w:firstRow="0" w:lastRow="0" w:firstColumn="0" w:lastColumn="0" w:oddVBand="0" w:evenVBand="0" w:oddHBand="0" w:evenHBand="0" w:firstRowFirstColumn="0" w:firstRowLastColumn="0" w:lastRowFirstColumn="0" w:lastRowLastColumn="0"/>
              <w:rPr>
                <w:szCs w:val="22"/>
              </w:rPr>
            </w:pPr>
            <w:proofErr w:type="spellStart"/>
            <w:r w:rsidRPr="008D2C1E">
              <w:rPr>
                <w:szCs w:val="22"/>
              </w:rPr>
              <w:t>Osteoprotegerin</w:t>
            </w:r>
            <w:proofErr w:type="spellEnd"/>
          </w:p>
        </w:tc>
      </w:tr>
      <w:tr w:rsidR="00B21EA7" w:rsidRPr="00D01DDB" w14:paraId="55AB651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E9974C" w14:textId="67EEDBD5" w:rsidR="00B21EA7" w:rsidRDefault="00B21EA7" w:rsidP="00324B33">
            <w:pPr>
              <w:rPr>
                <w:szCs w:val="22"/>
              </w:rPr>
            </w:pPr>
            <w:r>
              <w:rPr>
                <w:szCs w:val="22"/>
              </w:rPr>
              <w:lastRenderedPageBreak/>
              <w:t>PFS</w:t>
            </w:r>
          </w:p>
        </w:tc>
        <w:tc>
          <w:tcPr>
            <w:tcW w:w="3800" w:type="pct"/>
          </w:tcPr>
          <w:p w14:paraId="365E2B2E" w14:textId="1DA6F27D" w:rsidR="00B21EA7" w:rsidRPr="008D2C1E" w:rsidRDefault="00B21EA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Pre-filled syringe</w:t>
            </w:r>
          </w:p>
        </w:tc>
      </w:tr>
      <w:tr w:rsidR="00395140"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D01DDB" w:rsidRDefault="00395140" w:rsidP="00324B33">
            <w:pPr>
              <w:rPr>
                <w:szCs w:val="22"/>
              </w:rPr>
            </w:pPr>
            <w:r w:rsidRPr="00D01DDB">
              <w:rPr>
                <w:szCs w:val="22"/>
              </w:rPr>
              <w:t>PI</w:t>
            </w:r>
          </w:p>
        </w:tc>
        <w:tc>
          <w:tcPr>
            <w:tcW w:w="3800" w:type="pct"/>
          </w:tcPr>
          <w:p w14:paraId="354B5DB5" w14:textId="1C00C958"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Product </w:t>
            </w:r>
            <w:r w:rsidR="003950B4">
              <w:rPr>
                <w:szCs w:val="22"/>
              </w:rPr>
              <w:t>i</w:t>
            </w:r>
            <w:r w:rsidRPr="00D01DDB">
              <w:rPr>
                <w:szCs w:val="22"/>
              </w:rPr>
              <w:t>nformation</w:t>
            </w:r>
          </w:p>
        </w:tc>
      </w:tr>
      <w:tr w:rsidR="00F554FB" w:rsidRPr="00D01DDB" w14:paraId="4A36B30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9E01C1" w14:textId="0C9D18F8" w:rsidR="00F554FB" w:rsidRPr="00D01DDB" w:rsidRDefault="00F554FB" w:rsidP="00324B33">
            <w:pPr>
              <w:rPr>
                <w:szCs w:val="22"/>
              </w:rPr>
            </w:pPr>
            <w:r>
              <w:rPr>
                <w:szCs w:val="22"/>
              </w:rPr>
              <w:t>PK</w:t>
            </w:r>
          </w:p>
        </w:tc>
        <w:tc>
          <w:tcPr>
            <w:tcW w:w="3800" w:type="pct"/>
          </w:tcPr>
          <w:p w14:paraId="3FB62859" w14:textId="1F64123E" w:rsidR="00F554FB" w:rsidRPr="00D01DDB" w:rsidRDefault="007B6182" w:rsidP="00324B33">
            <w:pPr>
              <w:cnfStyle w:val="000000000000" w:firstRow="0" w:lastRow="0" w:firstColumn="0" w:lastColumn="0" w:oddVBand="0" w:evenVBand="0" w:oddHBand="0" w:evenHBand="0" w:firstRowFirstColumn="0" w:firstRowLastColumn="0" w:lastRowFirstColumn="0" w:lastRowLastColumn="0"/>
              <w:rPr>
                <w:szCs w:val="22"/>
              </w:rPr>
            </w:pPr>
            <w:r w:rsidRPr="007B6182">
              <w:rPr>
                <w:szCs w:val="22"/>
              </w:rPr>
              <w:t>pharmacokinetic</w:t>
            </w:r>
          </w:p>
        </w:tc>
      </w:tr>
      <w:tr w:rsidR="00242223" w:rsidRPr="00D01DDB" w14:paraId="038885F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80FB4E" w14:textId="4DBB0FD8" w:rsidR="00242223" w:rsidRDefault="00242223" w:rsidP="00324B33">
            <w:pPr>
              <w:rPr>
                <w:szCs w:val="22"/>
              </w:rPr>
            </w:pPr>
            <w:r>
              <w:rPr>
                <w:szCs w:val="22"/>
              </w:rPr>
              <w:t>PMO</w:t>
            </w:r>
          </w:p>
        </w:tc>
        <w:tc>
          <w:tcPr>
            <w:tcW w:w="3800" w:type="pct"/>
          </w:tcPr>
          <w:p w14:paraId="4E35DDBD" w14:textId="5BA09CAE" w:rsidR="00242223" w:rsidRPr="007B6182" w:rsidRDefault="0024222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242223">
              <w:rPr>
                <w:szCs w:val="22"/>
              </w:rPr>
              <w:t>ostmenopausal osteoporosis</w:t>
            </w:r>
          </w:p>
        </w:tc>
      </w:tr>
      <w:tr w:rsidR="00A71786" w:rsidRPr="00D01DDB" w14:paraId="7A42633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52802D3" w14:textId="16334B3C" w:rsidR="00A71786" w:rsidRDefault="00A71786" w:rsidP="00324B33">
            <w:pPr>
              <w:rPr>
                <w:szCs w:val="22"/>
              </w:rPr>
            </w:pPr>
            <w:r>
              <w:rPr>
                <w:szCs w:val="22"/>
              </w:rPr>
              <w:t>PPS</w:t>
            </w:r>
          </w:p>
        </w:tc>
        <w:tc>
          <w:tcPr>
            <w:tcW w:w="3800" w:type="pct"/>
          </w:tcPr>
          <w:p w14:paraId="7B0141B3" w14:textId="5B9D6EC8" w:rsidR="00A71786" w:rsidRDefault="00A71786" w:rsidP="00324B33">
            <w:pPr>
              <w:cnfStyle w:val="000000000000" w:firstRow="0" w:lastRow="0" w:firstColumn="0" w:lastColumn="0" w:oddVBand="0" w:evenVBand="0" w:oddHBand="0" w:evenHBand="0" w:firstRowFirstColumn="0" w:firstRowLastColumn="0" w:lastRowFirstColumn="0" w:lastRowLastColumn="0"/>
              <w:rPr>
                <w:szCs w:val="22"/>
              </w:rPr>
            </w:pPr>
            <w:r w:rsidRPr="00A71786">
              <w:rPr>
                <w:szCs w:val="22"/>
              </w:rPr>
              <w:t>Per protocol set</w:t>
            </w:r>
          </w:p>
        </w:tc>
      </w:tr>
      <w:tr w:rsidR="00A704DC" w:rsidRPr="00D01DDB"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A704DC" w:rsidRPr="00D01DDB" w:rsidRDefault="00A704DC" w:rsidP="00A704DC">
            <w:pPr>
              <w:rPr>
                <w:szCs w:val="22"/>
              </w:rPr>
            </w:pPr>
            <w:r w:rsidRPr="00D01DDB">
              <w:rPr>
                <w:szCs w:val="22"/>
              </w:rPr>
              <w:t>PSUR</w:t>
            </w:r>
          </w:p>
        </w:tc>
        <w:tc>
          <w:tcPr>
            <w:tcW w:w="3800" w:type="pct"/>
          </w:tcPr>
          <w:p w14:paraId="4A97D112" w14:textId="3DC38D8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3950B4" w:rsidRPr="00D01DDB" w14:paraId="7B7AF29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DB0E59" w14:textId="22AF325F" w:rsidR="003950B4" w:rsidRPr="00D01DDB" w:rsidRDefault="003950B4" w:rsidP="00A704DC">
            <w:pPr>
              <w:rPr>
                <w:szCs w:val="22"/>
              </w:rPr>
            </w:pPr>
            <w:r>
              <w:rPr>
                <w:szCs w:val="22"/>
              </w:rPr>
              <w:t>PT</w:t>
            </w:r>
          </w:p>
        </w:tc>
        <w:tc>
          <w:tcPr>
            <w:tcW w:w="3800" w:type="pct"/>
          </w:tcPr>
          <w:p w14:paraId="1FC24918" w14:textId="201EFABA" w:rsidR="003950B4" w:rsidRPr="00D01DDB" w:rsidRDefault="003950B4"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Preferred term</w:t>
            </w:r>
          </w:p>
        </w:tc>
      </w:tr>
      <w:tr w:rsidR="00A704DC"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A704DC" w:rsidRPr="00D01DDB" w:rsidRDefault="00A704DC" w:rsidP="00A704DC">
            <w:pPr>
              <w:rPr>
                <w:szCs w:val="22"/>
              </w:rPr>
            </w:pPr>
            <w:r w:rsidRPr="00D01DDB">
              <w:rPr>
                <w:szCs w:val="22"/>
              </w:rPr>
              <w:t>RMP</w:t>
            </w:r>
          </w:p>
        </w:tc>
        <w:tc>
          <w:tcPr>
            <w:tcW w:w="3800" w:type="pct"/>
          </w:tcPr>
          <w:p w14:paraId="2C862F75" w14:textId="2355E84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B6001A" w:rsidRPr="00D01DDB" w14:paraId="4495409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0F26FC1" w14:textId="6FA78A5A" w:rsidR="00B6001A" w:rsidRPr="00D01DDB" w:rsidRDefault="00B6001A" w:rsidP="00A704DC">
            <w:pPr>
              <w:rPr>
                <w:szCs w:val="22"/>
              </w:rPr>
            </w:pPr>
            <w:r>
              <w:rPr>
                <w:szCs w:val="22"/>
              </w:rPr>
              <w:t>SAE</w:t>
            </w:r>
          </w:p>
        </w:tc>
        <w:tc>
          <w:tcPr>
            <w:tcW w:w="3800" w:type="pct"/>
          </w:tcPr>
          <w:p w14:paraId="3FB602C6" w14:textId="14FE767B" w:rsidR="00B6001A" w:rsidRPr="00D01DDB" w:rsidRDefault="00B6001A"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Serious adverse event</w:t>
            </w:r>
          </w:p>
        </w:tc>
      </w:tr>
      <w:tr w:rsidR="00256FE1" w:rsidRPr="00D01DDB" w14:paraId="3AEC6EB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EDB33D" w14:textId="1F04E905" w:rsidR="00256FE1" w:rsidRDefault="00256FE1" w:rsidP="00A704DC">
            <w:pPr>
              <w:rPr>
                <w:szCs w:val="22"/>
              </w:rPr>
            </w:pPr>
            <w:r>
              <w:rPr>
                <w:szCs w:val="22"/>
              </w:rPr>
              <w:t>SAF1</w:t>
            </w:r>
          </w:p>
        </w:tc>
        <w:tc>
          <w:tcPr>
            <w:tcW w:w="3800" w:type="pct"/>
          </w:tcPr>
          <w:p w14:paraId="2D01D8F1" w14:textId="4D3DF6FD" w:rsidR="00256FE1" w:rsidRDefault="00256FE1" w:rsidP="00A704DC">
            <w:pPr>
              <w:cnfStyle w:val="000000000000" w:firstRow="0" w:lastRow="0" w:firstColumn="0" w:lastColumn="0" w:oddVBand="0" w:evenVBand="0" w:oddHBand="0" w:evenHBand="0" w:firstRowFirstColumn="0" w:firstRowLastColumn="0" w:lastRowFirstColumn="0" w:lastRowLastColumn="0"/>
              <w:rPr>
                <w:szCs w:val="22"/>
              </w:rPr>
            </w:pPr>
            <w:r w:rsidRPr="00256FE1">
              <w:rPr>
                <w:szCs w:val="22"/>
              </w:rPr>
              <w:t>Safety Set 1</w:t>
            </w:r>
          </w:p>
        </w:tc>
      </w:tr>
      <w:tr w:rsidR="00D65770" w:rsidRPr="00D01DDB" w14:paraId="63FC3FF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084CDC" w14:textId="4FA2E785" w:rsidR="00D65770" w:rsidRPr="00D01DDB" w:rsidRDefault="00D65770" w:rsidP="00A704DC">
            <w:pPr>
              <w:rPr>
                <w:szCs w:val="22"/>
              </w:rPr>
            </w:pPr>
            <w:r>
              <w:rPr>
                <w:szCs w:val="22"/>
              </w:rPr>
              <w:t>SC</w:t>
            </w:r>
          </w:p>
        </w:tc>
        <w:tc>
          <w:tcPr>
            <w:tcW w:w="3800" w:type="pct"/>
          </w:tcPr>
          <w:p w14:paraId="6D795D46" w14:textId="5D3931A2" w:rsidR="00D65770" w:rsidRPr="00D01DDB" w:rsidRDefault="00D65770" w:rsidP="00A704DC">
            <w:pPr>
              <w:cnfStyle w:val="000000000000" w:firstRow="0" w:lastRow="0" w:firstColumn="0" w:lastColumn="0" w:oddVBand="0" w:evenVBand="0" w:oddHBand="0" w:evenHBand="0" w:firstRowFirstColumn="0" w:firstRowLastColumn="0" w:lastRowFirstColumn="0" w:lastRowLastColumn="0"/>
              <w:rPr>
                <w:szCs w:val="22"/>
              </w:rPr>
            </w:pPr>
            <w:r w:rsidRPr="00D65770">
              <w:rPr>
                <w:szCs w:val="22"/>
              </w:rPr>
              <w:t>Subcutaneous</w:t>
            </w:r>
          </w:p>
        </w:tc>
      </w:tr>
      <w:tr w:rsidR="009266BA" w:rsidRPr="00D01DDB" w14:paraId="4DFC7B8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6CA598" w14:textId="60BC79BA" w:rsidR="009266BA" w:rsidRDefault="009266BA" w:rsidP="00A704DC">
            <w:pPr>
              <w:rPr>
                <w:szCs w:val="22"/>
              </w:rPr>
            </w:pPr>
            <w:r>
              <w:rPr>
                <w:szCs w:val="22"/>
              </w:rPr>
              <w:t>SOC</w:t>
            </w:r>
          </w:p>
        </w:tc>
        <w:tc>
          <w:tcPr>
            <w:tcW w:w="3800" w:type="pct"/>
          </w:tcPr>
          <w:p w14:paraId="761991D4" w14:textId="78228FB3" w:rsidR="009266BA" w:rsidRPr="00D65770" w:rsidRDefault="008F1D95" w:rsidP="00A704DC">
            <w:pPr>
              <w:cnfStyle w:val="000000000000" w:firstRow="0" w:lastRow="0" w:firstColumn="0" w:lastColumn="0" w:oddVBand="0" w:evenVBand="0" w:oddHBand="0" w:evenHBand="0" w:firstRowFirstColumn="0" w:firstRowLastColumn="0" w:lastRowFirstColumn="0" w:lastRowLastColumn="0"/>
              <w:rPr>
                <w:szCs w:val="22"/>
              </w:rPr>
            </w:pPr>
            <w:r w:rsidRPr="008F1D95">
              <w:rPr>
                <w:szCs w:val="22"/>
              </w:rPr>
              <w:t>System Organ Class</w:t>
            </w:r>
          </w:p>
        </w:tc>
      </w:tr>
      <w:tr w:rsidR="00A704DC"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A704DC" w:rsidRPr="00D01DDB" w:rsidRDefault="00A704DC" w:rsidP="00A704DC">
            <w:pPr>
              <w:rPr>
                <w:szCs w:val="22"/>
              </w:rPr>
            </w:pPr>
            <w:r w:rsidRPr="00D01DDB">
              <w:rPr>
                <w:szCs w:val="22"/>
              </w:rPr>
              <w:t>TGA</w:t>
            </w:r>
          </w:p>
        </w:tc>
        <w:tc>
          <w:tcPr>
            <w:tcW w:w="3800" w:type="pct"/>
          </w:tcPr>
          <w:p w14:paraId="29EA6BA3" w14:textId="6F99059F"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930ED0" w:rsidRPr="00D01DDB" w14:paraId="7854FEA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6F03AF" w14:textId="200BBBF7" w:rsidR="00930ED0" w:rsidRPr="00D01DDB" w:rsidRDefault="00930ED0" w:rsidP="00A704DC">
            <w:pPr>
              <w:rPr>
                <w:szCs w:val="22"/>
              </w:rPr>
            </w:pPr>
            <w:r>
              <w:rPr>
                <w:szCs w:val="22"/>
              </w:rPr>
              <w:t>TEAEs</w:t>
            </w:r>
          </w:p>
        </w:tc>
        <w:tc>
          <w:tcPr>
            <w:tcW w:w="3800" w:type="pct"/>
          </w:tcPr>
          <w:p w14:paraId="26ED4AA2" w14:textId="436B0CC7" w:rsidR="00930ED0" w:rsidRPr="00D01DDB" w:rsidRDefault="003950B4"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Treatment emergent adverse events</w:t>
            </w:r>
          </w:p>
        </w:tc>
      </w:tr>
      <w:tr w:rsidR="00A704DC" w:rsidRPr="00D01DDB" w14:paraId="4BDC33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55B5A7AB" w:rsidR="00A704DC" w:rsidRPr="00D01DDB" w:rsidRDefault="00D75890" w:rsidP="00A704DC">
            <w:pPr>
              <w:rPr>
                <w:szCs w:val="22"/>
              </w:rPr>
            </w:pPr>
            <w:r>
              <w:rPr>
                <w:szCs w:val="22"/>
              </w:rPr>
              <w:t>USA</w:t>
            </w:r>
            <w:r w:rsidR="00224F8F">
              <w:rPr>
                <w:szCs w:val="22"/>
              </w:rPr>
              <w:t>/ US</w:t>
            </w:r>
          </w:p>
        </w:tc>
        <w:tc>
          <w:tcPr>
            <w:tcW w:w="3800" w:type="pct"/>
          </w:tcPr>
          <w:p w14:paraId="4458E485" w14:textId="7727CF05" w:rsidR="00A704DC" w:rsidRPr="00D01DDB" w:rsidRDefault="00D75890" w:rsidP="00A704DC">
            <w:pPr>
              <w:cnfStyle w:val="000000000000" w:firstRow="0" w:lastRow="0" w:firstColumn="0" w:lastColumn="0" w:oddVBand="0" w:evenVBand="0" w:oddHBand="0" w:evenHBand="0" w:firstRowFirstColumn="0" w:firstRowLastColumn="0" w:lastRowFirstColumn="0" w:lastRowLastColumn="0"/>
              <w:rPr>
                <w:szCs w:val="22"/>
              </w:rPr>
            </w:pPr>
            <w:r w:rsidRPr="00D75890">
              <w:rPr>
                <w:szCs w:val="22"/>
              </w:rPr>
              <w:t>United States of America</w:t>
            </w:r>
          </w:p>
        </w:tc>
      </w:tr>
    </w:tbl>
    <w:p w14:paraId="02FB1F38" w14:textId="77777777" w:rsidR="00324B33" w:rsidRPr="00FD119B" w:rsidRDefault="00324B33" w:rsidP="007C2A1F">
      <w:r w:rsidRPr="00FD119B">
        <w:br w:type="page"/>
      </w:r>
    </w:p>
    <w:p w14:paraId="44C2A39C" w14:textId="77777777" w:rsidR="00324B33" w:rsidRDefault="00324B33" w:rsidP="00324B33">
      <w:pPr>
        <w:pStyle w:val="Heading2"/>
      </w:pPr>
      <w:bookmarkStart w:id="9" w:name="_Toc103679288"/>
      <w:bookmarkStart w:id="10" w:name="_Toc221616596"/>
      <w:r>
        <w:lastRenderedPageBreak/>
        <w:t>Product submission</w:t>
      </w:r>
      <w:bookmarkEnd w:id="9"/>
      <w:bookmarkEnd w:id="10"/>
    </w:p>
    <w:p w14:paraId="21D559DF" w14:textId="77777777" w:rsidR="00324B33" w:rsidRDefault="00324B33" w:rsidP="00324B33">
      <w:pPr>
        <w:pStyle w:val="Heading3"/>
        <w:rPr>
          <w:lang w:eastAsia="en-AU"/>
        </w:rPr>
      </w:pPr>
      <w:bookmarkStart w:id="11" w:name="_Toc247691502"/>
      <w:bookmarkStart w:id="12" w:name="_Toc314842483"/>
      <w:bookmarkStart w:id="13" w:name="_Toc103679289"/>
      <w:bookmarkStart w:id="14" w:name="_Toc221616597"/>
      <w:r>
        <w:rPr>
          <w:lang w:eastAsia="en-AU"/>
        </w:rPr>
        <w:t>Submission details</w:t>
      </w:r>
      <w:bookmarkEnd w:id="11"/>
      <w:bookmarkEnd w:id="12"/>
      <w:bookmarkEnd w:id="13"/>
      <w:bookmarkEnd w:id="14"/>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67EDC565" w:rsidR="00324B33" w:rsidRPr="00BD5DBD" w:rsidRDefault="00324B33" w:rsidP="007452E8">
            <w:pPr>
              <w:rPr>
                <w:i/>
                <w:szCs w:val="22"/>
              </w:rPr>
            </w:pPr>
            <w:r w:rsidRPr="00BD5DBD">
              <w:rPr>
                <w:i/>
                <w:szCs w:val="22"/>
              </w:rPr>
              <w:t>Type of submission:</w:t>
            </w:r>
          </w:p>
        </w:tc>
        <w:tc>
          <w:tcPr>
            <w:tcW w:w="3423" w:type="pct"/>
          </w:tcPr>
          <w:p w14:paraId="4F07C303" w14:textId="7D8B2E16" w:rsidR="00324B33" w:rsidRPr="00BD5DBD" w:rsidRDefault="00823117" w:rsidP="007452E8">
            <w:pPr>
              <w:rPr>
                <w:szCs w:val="22"/>
              </w:rPr>
            </w:pPr>
            <w:bookmarkStart w:id="15" w:name="_Hlk221541342"/>
            <w:r>
              <w:rPr>
                <w:szCs w:val="22"/>
              </w:rPr>
              <w:t xml:space="preserve">New </w:t>
            </w:r>
            <w:r w:rsidR="00D20A5F">
              <w:rPr>
                <w:szCs w:val="22"/>
              </w:rPr>
              <w:t>b</w:t>
            </w:r>
            <w:r>
              <w:rPr>
                <w:szCs w:val="22"/>
              </w:rPr>
              <w:t>iosimilar</w:t>
            </w:r>
            <w:r w:rsidR="00D20A5F">
              <w:rPr>
                <w:szCs w:val="22"/>
              </w:rPr>
              <w:t xml:space="preserve"> entity</w:t>
            </w:r>
            <w:bookmarkEnd w:id="15"/>
          </w:p>
        </w:tc>
      </w:tr>
      <w:tr w:rsidR="00324B33" w:rsidRPr="00BD5DBD" w14:paraId="13482B61" w14:textId="77777777" w:rsidTr="00F865A7">
        <w:tc>
          <w:tcPr>
            <w:tcW w:w="1577" w:type="pct"/>
          </w:tcPr>
          <w:p w14:paraId="2C427FCF" w14:textId="11749E81" w:rsidR="00324B33" w:rsidRPr="00BD5DBD" w:rsidRDefault="00324B33" w:rsidP="007452E8">
            <w:pPr>
              <w:rPr>
                <w:i/>
                <w:szCs w:val="22"/>
              </w:rPr>
            </w:pPr>
            <w:r w:rsidRPr="00BD5DBD">
              <w:rPr>
                <w:i/>
                <w:szCs w:val="22"/>
              </w:rPr>
              <w:t>Product names:</w:t>
            </w:r>
          </w:p>
        </w:tc>
        <w:tc>
          <w:tcPr>
            <w:tcW w:w="3423" w:type="pct"/>
          </w:tcPr>
          <w:p w14:paraId="0E2DEF76" w14:textId="050A12C5" w:rsidR="00324B33" w:rsidRPr="00BD5DBD" w:rsidRDefault="00B71EC6" w:rsidP="007452E8">
            <w:pPr>
              <w:rPr>
                <w:szCs w:val="22"/>
              </w:rPr>
            </w:pPr>
            <w:r w:rsidRPr="00B71EC6">
              <w:rPr>
                <w:szCs w:val="22"/>
              </w:rPr>
              <w:t>O</w:t>
            </w:r>
            <w:r>
              <w:rPr>
                <w:szCs w:val="22"/>
              </w:rPr>
              <w:t>sp</w:t>
            </w:r>
            <w:r w:rsidR="005C7CBA">
              <w:rPr>
                <w:szCs w:val="22"/>
              </w:rPr>
              <w:t xml:space="preserve">omyv, </w:t>
            </w:r>
            <w:r w:rsidRPr="00B71EC6">
              <w:rPr>
                <w:szCs w:val="22"/>
              </w:rPr>
              <w:t>X</w:t>
            </w:r>
            <w:r w:rsidR="005C7CBA">
              <w:rPr>
                <w:szCs w:val="22"/>
              </w:rPr>
              <w:t>borso</w:t>
            </w:r>
          </w:p>
        </w:tc>
      </w:tr>
      <w:tr w:rsidR="00324B33" w:rsidRPr="00BD5DBD" w14:paraId="01255B5B" w14:textId="77777777" w:rsidTr="00F865A7">
        <w:tc>
          <w:tcPr>
            <w:tcW w:w="1577" w:type="pct"/>
          </w:tcPr>
          <w:p w14:paraId="52B4F3D7" w14:textId="2D26AEFF" w:rsidR="00324B33" w:rsidRPr="00BD5DBD" w:rsidRDefault="00324B33" w:rsidP="007452E8">
            <w:pPr>
              <w:rPr>
                <w:i/>
                <w:szCs w:val="22"/>
              </w:rPr>
            </w:pPr>
            <w:r w:rsidRPr="00BD5DBD">
              <w:rPr>
                <w:i/>
                <w:szCs w:val="22"/>
              </w:rPr>
              <w:t>Active ingredien</w:t>
            </w:r>
            <w:r w:rsidR="005C7CBA">
              <w:rPr>
                <w:i/>
                <w:szCs w:val="22"/>
              </w:rPr>
              <w:t>t</w:t>
            </w:r>
            <w:r w:rsidRPr="00BD5DBD">
              <w:rPr>
                <w:i/>
                <w:szCs w:val="22"/>
              </w:rPr>
              <w:t>:</w:t>
            </w:r>
          </w:p>
        </w:tc>
        <w:tc>
          <w:tcPr>
            <w:tcW w:w="3423" w:type="pct"/>
          </w:tcPr>
          <w:p w14:paraId="02FB6383" w14:textId="327EEC4D" w:rsidR="00324B33" w:rsidRPr="00BD5DBD" w:rsidRDefault="00F71C19" w:rsidP="007452E8">
            <w:pPr>
              <w:rPr>
                <w:szCs w:val="22"/>
              </w:rPr>
            </w:pPr>
            <w:r>
              <w:rPr>
                <w:szCs w:val="22"/>
              </w:rPr>
              <w:t>D</w:t>
            </w:r>
            <w:r w:rsidR="005C7CBA">
              <w:rPr>
                <w:szCs w:val="22"/>
              </w:rPr>
              <w:t>en</w:t>
            </w:r>
            <w:r>
              <w:rPr>
                <w:szCs w:val="22"/>
              </w:rPr>
              <w:t>osumab (</w:t>
            </w:r>
            <w:proofErr w:type="spellStart"/>
            <w:r>
              <w:rPr>
                <w:szCs w:val="22"/>
              </w:rPr>
              <w:t>rch</w:t>
            </w:r>
            <w:proofErr w:type="spellEnd"/>
            <w:r>
              <w:rPr>
                <w:szCs w:val="22"/>
              </w:rPr>
              <w:t>)</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4A3C0AC2" w:rsidR="00324B33" w:rsidRPr="00BD5DBD" w:rsidRDefault="00324B33" w:rsidP="007452E8">
            <w:pPr>
              <w:rPr>
                <w:szCs w:val="22"/>
              </w:rPr>
            </w:pPr>
            <w:r w:rsidRPr="00BD5DBD">
              <w:rPr>
                <w:szCs w:val="22"/>
              </w:rPr>
              <w:t xml:space="preserve">Approved </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634EE9AF" w:rsidR="00AE1947" w:rsidRPr="00BD5DBD" w:rsidRDefault="00CC4960" w:rsidP="00602658">
            <w:pPr>
              <w:rPr>
                <w:szCs w:val="22"/>
              </w:rPr>
            </w:pPr>
            <w:r>
              <w:rPr>
                <w:szCs w:val="22"/>
              </w:rPr>
              <w:t>13 Ju</w:t>
            </w:r>
            <w:r w:rsidR="00285843">
              <w:rPr>
                <w:szCs w:val="22"/>
              </w:rPr>
              <w:t xml:space="preserve">ne 2025 </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416CAD49" w:rsidR="00324B33" w:rsidRPr="00BD5DBD" w:rsidRDefault="00EA757C" w:rsidP="007452E8">
            <w:pPr>
              <w:rPr>
                <w:szCs w:val="22"/>
              </w:rPr>
            </w:pPr>
            <w:r>
              <w:rPr>
                <w:szCs w:val="22"/>
              </w:rPr>
              <w:t>9 July 2025</w:t>
            </w:r>
          </w:p>
        </w:tc>
      </w:tr>
      <w:tr w:rsidR="00324B33" w:rsidRPr="00BD5DBD" w14:paraId="547E08D7" w14:textId="77777777" w:rsidTr="00F865A7">
        <w:tc>
          <w:tcPr>
            <w:tcW w:w="1577" w:type="pct"/>
          </w:tcPr>
          <w:p w14:paraId="5030EF30" w14:textId="27A83385" w:rsidR="00324B33" w:rsidRPr="00BD5DBD" w:rsidRDefault="00324B33" w:rsidP="007452E8">
            <w:pPr>
              <w:rPr>
                <w:i/>
                <w:szCs w:val="22"/>
              </w:rPr>
            </w:pPr>
            <w:r w:rsidRPr="00BD5DBD">
              <w:rPr>
                <w:i/>
                <w:szCs w:val="22"/>
              </w:rPr>
              <w:t>ARTG numbers:</w:t>
            </w:r>
          </w:p>
        </w:tc>
        <w:tc>
          <w:tcPr>
            <w:tcW w:w="3423" w:type="pct"/>
          </w:tcPr>
          <w:p w14:paraId="0054E912" w14:textId="30E9E3D3" w:rsidR="00324B33" w:rsidRPr="00BD5DBD" w:rsidRDefault="00080C4A" w:rsidP="007452E8">
            <w:pPr>
              <w:rPr>
                <w:szCs w:val="22"/>
              </w:rPr>
            </w:pPr>
            <w:r>
              <w:rPr>
                <w:szCs w:val="22"/>
              </w:rPr>
              <w:t>445963, 445964</w:t>
            </w:r>
          </w:p>
        </w:tc>
      </w:tr>
      <w:tr w:rsidR="00324B33" w:rsidRPr="00BD5DBD" w14:paraId="7618393F" w14:textId="77777777" w:rsidTr="00F865A7">
        <w:tc>
          <w:tcPr>
            <w:tcW w:w="1577" w:type="pct"/>
          </w:tcPr>
          <w:p w14:paraId="6C24CEB6" w14:textId="6A7FE944"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6FF3C6A2" w14:textId="1BF4DD0E" w:rsidR="00324B33" w:rsidRPr="00BD5DBD" w:rsidRDefault="00324B33" w:rsidP="007452E8">
            <w:pPr>
              <w:rPr>
                <w:szCs w:val="22"/>
              </w:rPr>
            </w:pPr>
            <w:r w:rsidRPr="00A8612B">
              <w:rPr>
                <w:szCs w:val="22"/>
              </w:rPr>
              <w:t>No</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6144674A" w14:textId="77777777" w:rsidR="00324B33" w:rsidRDefault="00F6409E" w:rsidP="007452E8">
            <w:pPr>
              <w:rPr>
                <w:szCs w:val="22"/>
              </w:rPr>
            </w:pPr>
            <w:r w:rsidRPr="00F6409E">
              <w:rPr>
                <w:szCs w:val="22"/>
              </w:rPr>
              <w:t>Samsung Bioepis AU Pty Ltd</w:t>
            </w:r>
          </w:p>
          <w:p w14:paraId="0159CFEE" w14:textId="77777777" w:rsidR="009D245D" w:rsidRPr="009D245D" w:rsidRDefault="009D245D" w:rsidP="009D245D">
            <w:pPr>
              <w:rPr>
                <w:szCs w:val="22"/>
              </w:rPr>
            </w:pPr>
            <w:r w:rsidRPr="009D245D">
              <w:rPr>
                <w:szCs w:val="22"/>
              </w:rPr>
              <w:t>Suite 1, Level 11, 66 Goulburn Street,</w:t>
            </w:r>
          </w:p>
          <w:p w14:paraId="6D8A7C7B" w14:textId="77777777" w:rsidR="009D245D" w:rsidRPr="009D245D" w:rsidRDefault="009D245D" w:rsidP="009D245D">
            <w:pPr>
              <w:rPr>
                <w:szCs w:val="22"/>
              </w:rPr>
            </w:pPr>
            <w:r w:rsidRPr="009D245D">
              <w:rPr>
                <w:szCs w:val="22"/>
              </w:rPr>
              <w:t>Sydney NSW 2000</w:t>
            </w:r>
          </w:p>
          <w:p w14:paraId="68DD94B0" w14:textId="74D65C2A" w:rsidR="009D245D" w:rsidRPr="00BD5DBD" w:rsidRDefault="009D245D" w:rsidP="009D245D">
            <w:pPr>
              <w:rPr>
                <w:szCs w:val="22"/>
              </w:rPr>
            </w:pPr>
            <w:r w:rsidRPr="009D245D">
              <w:rPr>
                <w:szCs w:val="22"/>
              </w:rPr>
              <w:t>Australia</w:t>
            </w:r>
          </w:p>
        </w:tc>
      </w:tr>
      <w:tr w:rsidR="00324B33" w:rsidRPr="00BD5DBD" w14:paraId="5322B989" w14:textId="77777777" w:rsidTr="00F865A7">
        <w:tc>
          <w:tcPr>
            <w:tcW w:w="1577" w:type="pct"/>
          </w:tcPr>
          <w:p w14:paraId="24F217E3" w14:textId="4BC76D93" w:rsidR="00324B33" w:rsidRPr="00BD5DBD" w:rsidRDefault="00324B33" w:rsidP="007452E8">
            <w:pPr>
              <w:rPr>
                <w:i/>
                <w:szCs w:val="22"/>
              </w:rPr>
            </w:pPr>
            <w:r w:rsidRPr="00BD5DBD">
              <w:rPr>
                <w:i/>
                <w:szCs w:val="22"/>
              </w:rPr>
              <w:t>Dose forms:</w:t>
            </w:r>
          </w:p>
        </w:tc>
        <w:tc>
          <w:tcPr>
            <w:tcW w:w="3423" w:type="pct"/>
          </w:tcPr>
          <w:p w14:paraId="1EC18E42" w14:textId="67E82116" w:rsidR="00F6409E" w:rsidRPr="00F6409E" w:rsidRDefault="00F6409E" w:rsidP="008378BA">
            <w:r w:rsidRPr="00F6409E">
              <w:t>O</w:t>
            </w:r>
            <w:r>
              <w:t>spomyv (</w:t>
            </w:r>
            <w:r w:rsidRPr="00F6409E">
              <w:t>denosumab</w:t>
            </w:r>
            <w:r>
              <w:t>)</w:t>
            </w:r>
            <w:r w:rsidRPr="00F6409E">
              <w:t xml:space="preserve"> 60</w:t>
            </w:r>
            <w:r w:rsidR="00F061D7">
              <w:t xml:space="preserve"> </w:t>
            </w:r>
            <w:r w:rsidRPr="00F6409E">
              <w:t>mg/1</w:t>
            </w:r>
            <w:r w:rsidR="00EA2A33">
              <w:t xml:space="preserve"> </w:t>
            </w:r>
            <w:r w:rsidRPr="00F6409E">
              <w:t>mL solution for injection pre-filled syringe</w:t>
            </w:r>
            <w:r w:rsidR="002427BD">
              <w:t xml:space="preserve"> (</w:t>
            </w:r>
            <w:r w:rsidR="002427BD" w:rsidRPr="002427BD">
              <w:t>445963</w:t>
            </w:r>
            <w:r w:rsidR="002427BD">
              <w:t>)</w:t>
            </w:r>
          </w:p>
          <w:p w14:paraId="768B254C" w14:textId="12913698" w:rsidR="00324B33" w:rsidRPr="00BD5DBD" w:rsidRDefault="00F6409E" w:rsidP="008378BA">
            <w:r w:rsidRPr="00F6409E">
              <w:t>X</w:t>
            </w:r>
            <w:r>
              <w:t>borso</w:t>
            </w:r>
            <w:r w:rsidRPr="00F6409E">
              <w:t xml:space="preserve"> </w:t>
            </w:r>
            <w:r>
              <w:t>(</w:t>
            </w:r>
            <w:r w:rsidRPr="00F6409E">
              <w:t>denosumab</w:t>
            </w:r>
            <w:r>
              <w:t>)</w:t>
            </w:r>
            <w:r w:rsidRPr="00F6409E">
              <w:t xml:space="preserve"> 120</w:t>
            </w:r>
            <w:r w:rsidR="00F061D7">
              <w:t xml:space="preserve"> </w:t>
            </w:r>
            <w:r w:rsidRPr="00F6409E">
              <w:t>mg/1.7</w:t>
            </w:r>
            <w:r w:rsidR="00EA2A33">
              <w:t xml:space="preserve"> </w:t>
            </w:r>
            <w:r w:rsidRPr="00F6409E">
              <w:t>mL solution for injection vial</w:t>
            </w:r>
            <w:r w:rsidR="00350286">
              <w:t xml:space="preserve"> (</w:t>
            </w:r>
            <w:r w:rsidR="00350286" w:rsidRPr="00350286">
              <w:t>445964</w:t>
            </w:r>
            <w:r w:rsidR="00350286">
              <w:t>)</w:t>
            </w:r>
          </w:p>
        </w:tc>
      </w:tr>
      <w:tr w:rsidR="00324B33" w:rsidRPr="00BD5DBD" w14:paraId="34B07BA6" w14:textId="77777777" w:rsidTr="00F865A7">
        <w:tc>
          <w:tcPr>
            <w:tcW w:w="1577" w:type="pct"/>
          </w:tcPr>
          <w:p w14:paraId="1C039224" w14:textId="2148B3E4" w:rsidR="00324B33" w:rsidRPr="00BD5DBD" w:rsidRDefault="00324B33" w:rsidP="007452E8">
            <w:pPr>
              <w:rPr>
                <w:i/>
                <w:szCs w:val="22"/>
              </w:rPr>
            </w:pPr>
            <w:r w:rsidRPr="00BD5DBD">
              <w:rPr>
                <w:i/>
                <w:szCs w:val="22"/>
              </w:rPr>
              <w:t>Containers:</w:t>
            </w:r>
          </w:p>
        </w:tc>
        <w:tc>
          <w:tcPr>
            <w:tcW w:w="3423" w:type="pct"/>
          </w:tcPr>
          <w:p w14:paraId="5638AFA4" w14:textId="16341C83" w:rsidR="00C70818" w:rsidRPr="00C70818" w:rsidRDefault="00C95FAC" w:rsidP="008378BA">
            <w:r>
              <w:t>O</w:t>
            </w:r>
            <w:r w:rsidR="007107FA">
              <w:t>spomyv:</w:t>
            </w:r>
            <w:r w:rsidR="00C70818" w:rsidRPr="00C70818">
              <w:t xml:space="preserve"> Type 1 glass syringe with stainless steel needle with needle guard.</w:t>
            </w:r>
          </w:p>
          <w:p w14:paraId="500A42C6" w14:textId="6712BF9D" w:rsidR="00324B33" w:rsidRPr="00BD5DBD" w:rsidRDefault="00E2517F" w:rsidP="008378BA">
            <w:r>
              <w:t xml:space="preserve">Xborso: </w:t>
            </w:r>
            <w:r w:rsidR="00512EC2">
              <w:t>T</w:t>
            </w:r>
            <w:r w:rsidR="00B10172" w:rsidRPr="00B10172">
              <w:t>ype I glass vial with stopper and seal with flip-off cap</w:t>
            </w:r>
          </w:p>
        </w:tc>
      </w:tr>
      <w:tr w:rsidR="00324B33" w:rsidRPr="00BD5DBD" w14:paraId="176B6773" w14:textId="77777777" w:rsidTr="00F865A7">
        <w:tc>
          <w:tcPr>
            <w:tcW w:w="1577" w:type="pct"/>
          </w:tcPr>
          <w:p w14:paraId="71846159" w14:textId="4DC71067" w:rsidR="00324B33" w:rsidRPr="00BD5DBD" w:rsidRDefault="00324B33" w:rsidP="007452E8">
            <w:pPr>
              <w:rPr>
                <w:i/>
                <w:szCs w:val="22"/>
              </w:rPr>
            </w:pPr>
            <w:r w:rsidRPr="00BD5DBD">
              <w:rPr>
                <w:i/>
                <w:szCs w:val="22"/>
              </w:rPr>
              <w:t>Pack sizes:</w:t>
            </w:r>
          </w:p>
        </w:tc>
        <w:tc>
          <w:tcPr>
            <w:tcW w:w="3423" w:type="pct"/>
          </w:tcPr>
          <w:p w14:paraId="7E978F8F" w14:textId="565B2500" w:rsidR="00324B33" w:rsidRPr="00BD5DBD" w:rsidRDefault="000D1256" w:rsidP="008378BA">
            <w:r>
              <w:t xml:space="preserve">One vial or </w:t>
            </w:r>
            <w:r w:rsidR="00AF1442">
              <w:t xml:space="preserve">one </w:t>
            </w:r>
            <w:r>
              <w:t>pre-filled syringe</w:t>
            </w:r>
            <w:r w:rsidR="001351D1">
              <w:t>.</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1D9B86B9" w14:textId="267F4367" w:rsidR="00AB2BA8" w:rsidRPr="00AB2BA8" w:rsidRDefault="00AB2BA8" w:rsidP="00AB2BA8">
            <w:pPr>
              <w:rPr>
                <w:i/>
                <w:iCs/>
                <w:szCs w:val="22"/>
              </w:rPr>
            </w:pPr>
            <w:r w:rsidRPr="00AB2BA8">
              <w:rPr>
                <w:i/>
                <w:iCs/>
                <w:szCs w:val="22"/>
              </w:rPr>
              <w:t xml:space="preserve">The approved indication for </w:t>
            </w:r>
            <w:r w:rsidR="00BB28AD" w:rsidRPr="00AB2BA8">
              <w:rPr>
                <w:i/>
                <w:iCs/>
                <w:szCs w:val="22"/>
              </w:rPr>
              <w:t>O</w:t>
            </w:r>
            <w:r w:rsidR="00BB28AD">
              <w:rPr>
                <w:i/>
                <w:iCs/>
                <w:szCs w:val="22"/>
              </w:rPr>
              <w:t>spomyv</w:t>
            </w:r>
            <w:r w:rsidRPr="00AB2BA8">
              <w:rPr>
                <w:i/>
                <w:iCs/>
                <w:szCs w:val="22"/>
              </w:rPr>
              <w:t xml:space="preserve"> </w:t>
            </w:r>
            <w:proofErr w:type="gramStart"/>
            <w:r w:rsidRPr="00AB2BA8">
              <w:rPr>
                <w:i/>
                <w:iCs/>
                <w:szCs w:val="22"/>
              </w:rPr>
              <w:t>are</w:t>
            </w:r>
            <w:proofErr w:type="gramEnd"/>
            <w:r w:rsidRPr="00AB2BA8">
              <w:rPr>
                <w:i/>
                <w:iCs/>
                <w:szCs w:val="22"/>
              </w:rPr>
              <w:t>:</w:t>
            </w:r>
          </w:p>
          <w:p w14:paraId="06C59346" w14:textId="6CA1037C" w:rsidR="00AB2BA8" w:rsidRPr="00AB2BA8" w:rsidRDefault="00AB2BA8" w:rsidP="007A4902">
            <w:pPr>
              <w:ind w:left="720"/>
              <w:rPr>
                <w:i/>
                <w:iCs/>
                <w:szCs w:val="22"/>
              </w:rPr>
            </w:pPr>
            <w:r w:rsidRPr="00AB2BA8">
              <w:rPr>
                <w:i/>
                <w:iCs/>
                <w:szCs w:val="22"/>
              </w:rPr>
              <w:t>The treatment of osteoporosis in postmenopausal women. Ospomyv significantly</w:t>
            </w:r>
            <w:r>
              <w:rPr>
                <w:i/>
                <w:iCs/>
                <w:szCs w:val="22"/>
              </w:rPr>
              <w:t xml:space="preserve"> </w:t>
            </w:r>
            <w:r w:rsidRPr="00AB2BA8">
              <w:rPr>
                <w:i/>
                <w:iCs/>
                <w:szCs w:val="22"/>
              </w:rPr>
              <w:t>reduces the risk of vertebral, non-vertebral and hip fractures.</w:t>
            </w:r>
          </w:p>
          <w:p w14:paraId="17D71374" w14:textId="19CD2BC7" w:rsidR="00EF002A" w:rsidRPr="00EF002A" w:rsidRDefault="00AB2BA8" w:rsidP="00EF002A">
            <w:pPr>
              <w:ind w:left="720"/>
              <w:rPr>
                <w:i/>
                <w:iCs/>
                <w:szCs w:val="22"/>
              </w:rPr>
            </w:pPr>
            <w:r w:rsidRPr="00AB2BA8">
              <w:rPr>
                <w:i/>
                <w:iCs/>
                <w:szCs w:val="22"/>
              </w:rPr>
              <w:t>Treatment to increase bone mass in men with osteopaenia receiving androgen</w:t>
            </w:r>
            <w:r>
              <w:rPr>
                <w:i/>
                <w:iCs/>
                <w:szCs w:val="22"/>
              </w:rPr>
              <w:t xml:space="preserve"> </w:t>
            </w:r>
            <w:r w:rsidRPr="00AB2BA8">
              <w:rPr>
                <w:i/>
                <w:iCs/>
                <w:szCs w:val="22"/>
              </w:rPr>
              <w:t>deprivation therapy for non-metastatic prostate cancer</w:t>
            </w:r>
            <w:r w:rsidR="00EF002A">
              <w:rPr>
                <w:i/>
                <w:iCs/>
                <w:szCs w:val="22"/>
              </w:rPr>
              <w:t xml:space="preserve"> </w:t>
            </w:r>
            <w:r w:rsidR="00EF002A" w:rsidRPr="00EF002A">
              <w:rPr>
                <w:i/>
                <w:iCs/>
                <w:szCs w:val="22"/>
              </w:rPr>
              <w:t>(see section 5.1 Pharmacodynamic properties, Clinical trials).</w:t>
            </w:r>
          </w:p>
          <w:p w14:paraId="6F5A1870" w14:textId="77777777" w:rsidR="00AB2BA8" w:rsidRPr="00AB2BA8" w:rsidRDefault="00AB2BA8" w:rsidP="007A4902">
            <w:pPr>
              <w:ind w:left="720"/>
              <w:rPr>
                <w:i/>
                <w:iCs/>
                <w:szCs w:val="22"/>
              </w:rPr>
            </w:pPr>
            <w:r w:rsidRPr="00AB2BA8">
              <w:rPr>
                <w:i/>
                <w:iCs/>
                <w:szCs w:val="22"/>
              </w:rPr>
              <w:t>Treatment to increase bone mass in men with osteoporosis at increased risk of fracture.</w:t>
            </w:r>
          </w:p>
          <w:p w14:paraId="7A945704" w14:textId="77777777" w:rsidR="00324B33" w:rsidRDefault="00AB2BA8" w:rsidP="007A4902">
            <w:pPr>
              <w:ind w:left="720"/>
              <w:rPr>
                <w:i/>
                <w:iCs/>
                <w:szCs w:val="22"/>
              </w:rPr>
            </w:pPr>
            <w:r w:rsidRPr="00AB2BA8">
              <w:rPr>
                <w:i/>
                <w:iCs/>
                <w:szCs w:val="22"/>
              </w:rPr>
              <w:t>Treatment to increase bone mass in women and men at increased risk of fracture due to</w:t>
            </w:r>
            <w:r w:rsidR="009E7BAE">
              <w:rPr>
                <w:i/>
                <w:iCs/>
                <w:szCs w:val="22"/>
              </w:rPr>
              <w:t xml:space="preserve"> </w:t>
            </w:r>
            <w:r w:rsidRPr="00AB2BA8">
              <w:rPr>
                <w:i/>
                <w:iCs/>
                <w:szCs w:val="22"/>
              </w:rPr>
              <w:t>long-term systemic glucocorticoid therapy.</w:t>
            </w:r>
          </w:p>
          <w:p w14:paraId="02581BB5" w14:textId="738231F9" w:rsidR="008A6FFB" w:rsidRDefault="008A6FFB" w:rsidP="009E7BAE">
            <w:pPr>
              <w:rPr>
                <w:i/>
                <w:iCs/>
                <w:szCs w:val="22"/>
              </w:rPr>
            </w:pPr>
            <w:r w:rsidRPr="008A6FFB">
              <w:rPr>
                <w:i/>
                <w:iCs/>
                <w:szCs w:val="22"/>
              </w:rPr>
              <w:t>The approved indication for X</w:t>
            </w:r>
            <w:r w:rsidR="00D055B6">
              <w:rPr>
                <w:i/>
                <w:iCs/>
                <w:szCs w:val="22"/>
              </w:rPr>
              <w:t xml:space="preserve">borso </w:t>
            </w:r>
            <w:proofErr w:type="gramStart"/>
            <w:r w:rsidRPr="008A6FFB">
              <w:rPr>
                <w:i/>
                <w:iCs/>
                <w:szCs w:val="22"/>
              </w:rPr>
              <w:t>are</w:t>
            </w:r>
            <w:proofErr w:type="gramEnd"/>
            <w:r w:rsidRPr="008A6FFB">
              <w:rPr>
                <w:i/>
                <w:iCs/>
                <w:szCs w:val="22"/>
              </w:rPr>
              <w:t>:</w:t>
            </w:r>
          </w:p>
          <w:p w14:paraId="27B53951" w14:textId="66D235B4" w:rsidR="00D055B6" w:rsidRPr="00D055B6" w:rsidRDefault="00D055B6" w:rsidP="007A4902">
            <w:pPr>
              <w:ind w:left="720"/>
              <w:rPr>
                <w:i/>
                <w:iCs/>
                <w:szCs w:val="22"/>
              </w:rPr>
            </w:pPr>
            <w:r w:rsidRPr="00D055B6">
              <w:rPr>
                <w:i/>
                <w:iCs/>
                <w:szCs w:val="22"/>
              </w:rPr>
              <w:lastRenderedPageBreak/>
              <w:t>Prevention of skeletal related events in patients with multiple myeloma and in patients</w:t>
            </w:r>
            <w:r w:rsidR="007A4902">
              <w:rPr>
                <w:i/>
                <w:iCs/>
                <w:szCs w:val="22"/>
              </w:rPr>
              <w:t xml:space="preserve"> </w:t>
            </w:r>
            <w:r w:rsidRPr="00D055B6">
              <w:rPr>
                <w:i/>
                <w:iCs/>
                <w:szCs w:val="22"/>
              </w:rPr>
              <w:t>with bone metastases from solid tumours.</w:t>
            </w:r>
          </w:p>
          <w:p w14:paraId="0AE556D5" w14:textId="77777777" w:rsidR="00A91735" w:rsidRDefault="00D055B6" w:rsidP="00A91735">
            <w:pPr>
              <w:ind w:left="720"/>
              <w:rPr>
                <w:i/>
                <w:iCs/>
                <w:szCs w:val="22"/>
              </w:rPr>
            </w:pPr>
            <w:r w:rsidRPr="00D055B6">
              <w:rPr>
                <w:i/>
                <w:iCs/>
                <w:szCs w:val="22"/>
              </w:rPr>
              <w:t>Treatment of giant cell tumour of bone in adults or skeletally mature adolescents that</w:t>
            </w:r>
            <w:r w:rsidR="00A91735">
              <w:rPr>
                <w:i/>
                <w:iCs/>
                <w:szCs w:val="22"/>
              </w:rPr>
              <w:t xml:space="preserve"> </w:t>
            </w:r>
            <w:r w:rsidRPr="00D055B6">
              <w:rPr>
                <w:i/>
                <w:iCs/>
                <w:szCs w:val="22"/>
              </w:rPr>
              <w:t>is recurrent, or unresectable, or resectable but associated with severe morbidity.</w:t>
            </w:r>
          </w:p>
          <w:p w14:paraId="6E143E2E" w14:textId="1721E89C" w:rsidR="00D055B6" w:rsidRPr="008A6FFB" w:rsidRDefault="00D055B6" w:rsidP="00A91735">
            <w:pPr>
              <w:ind w:left="720"/>
              <w:rPr>
                <w:i/>
                <w:iCs/>
                <w:szCs w:val="22"/>
              </w:rPr>
            </w:pPr>
            <w:r w:rsidRPr="00D055B6">
              <w:rPr>
                <w:i/>
                <w:iCs/>
                <w:szCs w:val="22"/>
              </w:rPr>
              <w:t>Treatment of hypercalcaemia of malignancy that is refractory to intravenous</w:t>
            </w:r>
            <w:r w:rsidR="00A91735">
              <w:rPr>
                <w:i/>
                <w:iCs/>
                <w:szCs w:val="22"/>
              </w:rPr>
              <w:t xml:space="preserve"> </w:t>
            </w:r>
            <w:r w:rsidRPr="00D055B6">
              <w:rPr>
                <w:i/>
                <w:iCs/>
                <w:szCs w:val="22"/>
              </w:rPr>
              <w:t>bisphosphonate.</w:t>
            </w:r>
          </w:p>
        </w:tc>
      </w:tr>
      <w:tr w:rsidR="00324B33" w:rsidRPr="00BD5DBD" w14:paraId="5AFDEED3" w14:textId="77777777" w:rsidTr="00F865A7">
        <w:tc>
          <w:tcPr>
            <w:tcW w:w="1577" w:type="pct"/>
          </w:tcPr>
          <w:p w14:paraId="03884BD1" w14:textId="2E3FFF72" w:rsidR="00324B33" w:rsidRPr="00BD5DBD" w:rsidRDefault="00324B33" w:rsidP="007452E8">
            <w:pPr>
              <w:rPr>
                <w:i/>
                <w:szCs w:val="22"/>
              </w:rPr>
            </w:pPr>
            <w:r w:rsidRPr="00BD5DBD">
              <w:rPr>
                <w:i/>
                <w:szCs w:val="22"/>
              </w:rPr>
              <w:lastRenderedPageBreak/>
              <w:t>Rout</w:t>
            </w:r>
            <w:r w:rsidR="009C0688">
              <w:rPr>
                <w:i/>
                <w:szCs w:val="22"/>
              </w:rPr>
              <w:t>e</w:t>
            </w:r>
            <w:r w:rsidRPr="00BD5DBD">
              <w:rPr>
                <w:i/>
                <w:szCs w:val="22"/>
              </w:rPr>
              <w:t xml:space="preserve"> of administration:</w:t>
            </w:r>
          </w:p>
        </w:tc>
        <w:tc>
          <w:tcPr>
            <w:tcW w:w="3423" w:type="pct"/>
          </w:tcPr>
          <w:p w14:paraId="1ED1357E" w14:textId="04C8D139" w:rsidR="00324B33" w:rsidRPr="00BD5DBD" w:rsidRDefault="00F44D6B" w:rsidP="008378BA">
            <w:r>
              <w:t>S</w:t>
            </w:r>
            <w:r w:rsidRPr="00F44D6B">
              <w:t>ubcutaneous (SC) injection</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4BD4ECF7" w14:textId="0F13C228" w:rsidR="00666911" w:rsidRDefault="00C62F02" w:rsidP="008378BA">
            <w:r w:rsidRPr="00C62F02">
              <w:t>Ospomyv</w:t>
            </w:r>
            <w:r>
              <w:t xml:space="preserve">: </w:t>
            </w:r>
            <w:r w:rsidRPr="00C62F02">
              <w:t>a single subcutaneous injection of 60</w:t>
            </w:r>
            <w:r w:rsidR="00EE3A99">
              <w:t xml:space="preserve"> m</w:t>
            </w:r>
            <w:r w:rsidRPr="00C62F02">
              <w:t>g, once every 6 months.</w:t>
            </w:r>
          </w:p>
          <w:p w14:paraId="4F898E91" w14:textId="6C53C771" w:rsidR="00E44137" w:rsidRPr="00E44137" w:rsidRDefault="00E44137" w:rsidP="008378BA">
            <w:r w:rsidRPr="00E44137">
              <w:t>Xborso</w:t>
            </w:r>
            <w:r>
              <w:t>:</w:t>
            </w:r>
            <w:r w:rsidRPr="00E44137">
              <w:t xml:space="preserve"> a single subcutaneous injection</w:t>
            </w:r>
            <w:r w:rsidR="00FF7BF7">
              <w:t xml:space="preserve"> of </w:t>
            </w:r>
            <w:r w:rsidR="00FF7BF7" w:rsidRPr="00E44137">
              <w:t>120</w:t>
            </w:r>
            <w:r w:rsidR="00FF7BF7" w:rsidRPr="00FF7BF7">
              <w:t xml:space="preserve"> </w:t>
            </w:r>
            <w:r w:rsidR="00FF7BF7" w:rsidRPr="00E44137">
              <w:t>mg</w:t>
            </w:r>
            <w:r w:rsidR="00FF7BF7">
              <w:t>,</w:t>
            </w:r>
            <w:r w:rsidRPr="00E44137">
              <w:t xml:space="preserve"> once every 4 weeks into the thigh,</w:t>
            </w:r>
            <w:r w:rsidR="00866979">
              <w:t xml:space="preserve"> </w:t>
            </w:r>
            <w:r w:rsidRPr="00E44137">
              <w:t>abdomen or upper arm.</w:t>
            </w:r>
            <w:r w:rsidR="005651C3">
              <w:t xml:space="preserve"> </w:t>
            </w:r>
            <w:r w:rsidR="00D65770">
              <w:t xml:space="preserve">For the </w:t>
            </w:r>
            <w:r w:rsidRPr="00E44137">
              <w:t>treatment of giant cell tumour of bone and</w:t>
            </w:r>
            <w:r w:rsidR="00866979">
              <w:t xml:space="preserve"> </w:t>
            </w:r>
            <w:r w:rsidRPr="00E44137">
              <w:t>hypercalcaemia of malignancy</w:t>
            </w:r>
            <w:r w:rsidR="00980E89">
              <w:t>,</w:t>
            </w:r>
            <w:r w:rsidRPr="00E44137">
              <w:t xml:space="preserve"> a loading dose</w:t>
            </w:r>
            <w:r w:rsidR="002F72F4">
              <w:t xml:space="preserve"> </w:t>
            </w:r>
            <w:r w:rsidRPr="00E44137">
              <w:t>of 120 mg on days 8 and 15 of the initial 4-week treatment period.</w:t>
            </w:r>
          </w:p>
          <w:p w14:paraId="49B378CA" w14:textId="40C52679" w:rsidR="002C1451" w:rsidRDefault="00E44137" w:rsidP="008378BA">
            <w:r w:rsidRPr="00E44137">
              <w:t>Daily supplementation with calcium and</w:t>
            </w:r>
            <w:r w:rsidR="002C1451">
              <w:t xml:space="preserve"> </w:t>
            </w:r>
            <w:r w:rsidRPr="00E44137">
              <w:t xml:space="preserve">vitamin D is </w:t>
            </w:r>
            <w:r w:rsidR="00FC45B1">
              <w:t xml:space="preserve">recommended or </w:t>
            </w:r>
            <w:r w:rsidRPr="00E44137">
              <w:t>required in</w:t>
            </w:r>
            <w:r w:rsidR="002C1451">
              <w:t xml:space="preserve"> </w:t>
            </w:r>
            <w:r w:rsidRPr="00E44137">
              <w:t>all patients, unless hypercalcaemia is present</w:t>
            </w:r>
            <w:r w:rsidR="00FC45B1">
              <w:t>.</w:t>
            </w:r>
          </w:p>
          <w:p w14:paraId="3D0B2D5C" w14:textId="09CAF206" w:rsidR="00324B33" w:rsidRPr="00BD5DBD" w:rsidRDefault="00324B33" w:rsidP="008378BA">
            <w:r w:rsidRPr="00BD5DBD">
              <w:t xml:space="preserve">For further information regarding dosage, </w:t>
            </w:r>
            <w:r w:rsidR="006B7126">
              <w:t xml:space="preserve">such as dosage modifications to manage adverse reactions, </w:t>
            </w:r>
            <w:r w:rsidRPr="00BD5DBD">
              <w:t>refer to the Product Information.</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t>Pregnancy category:</w:t>
            </w:r>
          </w:p>
        </w:tc>
        <w:tc>
          <w:tcPr>
            <w:tcW w:w="3423" w:type="pct"/>
          </w:tcPr>
          <w:p w14:paraId="4817F4F4" w14:textId="2FC909C5" w:rsidR="00000E6E" w:rsidRPr="00BD5DBD" w:rsidRDefault="00FF6F8C" w:rsidP="00FF6F8C">
            <w:pPr>
              <w:rPr>
                <w:szCs w:val="22"/>
              </w:rPr>
            </w:pPr>
            <w:r w:rsidRPr="00FF6F8C">
              <w:rPr>
                <w:szCs w:val="22"/>
              </w:rPr>
              <w:t>Pregnancy Category: D</w:t>
            </w:r>
          </w:p>
          <w:p w14:paraId="528C42E2" w14:textId="7631F900" w:rsidR="00353DED" w:rsidRPr="00353DED" w:rsidRDefault="00353DED" w:rsidP="00353DED">
            <w:pPr>
              <w:rPr>
                <w:szCs w:val="22"/>
              </w:rPr>
            </w:pPr>
            <w:r w:rsidRPr="00353DED">
              <w:rPr>
                <w:szCs w:val="22"/>
              </w:rPr>
              <w:t>There are no adequate and well-controlled studies of denosumab in pregnant women.</w:t>
            </w:r>
          </w:p>
          <w:p w14:paraId="2537F007" w14:textId="37B95E8F" w:rsidR="00353DED" w:rsidRPr="00353DED" w:rsidRDefault="00353DED" w:rsidP="00353DED">
            <w:pPr>
              <w:rPr>
                <w:szCs w:val="22"/>
              </w:rPr>
            </w:pPr>
            <w:r w:rsidRPr="00353DED">
              <w:rPr>
                <w:szCs w:val="22"/>
              </w:rPr>
              <w:t>Denosumab is contraindicated for use during pregnancy and in women trying to get</w:t>
            </w:r>
            <w:r w:rsidR="009537A9">
              <w:rPr>
                <w:szCs w:val="22"/>
              </w:rPr>
              <w:t xml:space="preserve"> </w:t>
            </w:r>
            <w:r w:rsidRPr="00353DED">
              <w:rPr>
                <w:szCs w:val="22"/>
              </w:rPr>
              <w:t>pregnant.</w:t>
            </w:r>
            <w:r w:rsidR="009537A9">
              <w:rPr>
                <w:szCs w:val="22"/>
              </w:rPr>
              <w:t xml:space="preserve"> </w:t>
            </w:r>
            <w:r w:rsidRPr="00353DED">
              <w:rPr>
                <w:szCs w:val="22"/>
              </w:rPr>
              <w:t>Premenopausal women with reproductive potential should be advised of the potential</w:t>
            </w:r>
            <w:r w:rsidR="009537A9">
              <w:rPr>
                <w:szCs w:val="22"/>
              </w:rPr>
              <w:t xml:space="preserve"> </w:t>
            </w:r>
            <w:r w:rsidRPr="00353DED">
              <w:rPr>
                <w:szCs w:val="22"/>
              </w:rPr>
              <w:t>effects of denosumab in pregnancy. Contraception should be discussed. Women</w:t>
            </w:r>
            <w:r w:rsidR="009537A9">
              <w:rPr>
                <w:szCs w:val="22"/>
              </w:rPr>
              <w:t xml:space="preserve"> </w:t>
            </w:r>
            <w:r w:rsidRPr="00353DED">
              <w:rPr>
                <w:szCs w:val="22"/>
              </w:rPr>
              <w:t>should be advised not to become pregnant during and for at least 5 months after</w:t>
            </w:r>
            <w:r w:rsidR="009537A9">
              <w:rPr>
                <w:szCs w:val="22"/>
              </w:rPr>
              <w:t xml:space="preserve"> </w:t>
            </w:r>
            <w:r w:rsidRPr="00353DED">
              <w:rPr>
                <w:szCs w:val="22"/>
              </w:rPr>
              <w:t>treatment with denosumab.</w:t>
            </w:r>
          </w:p>
          <w:p w14:paraId="76497789" w14:textId="6B7802C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9"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6" w:name="_Toc247691503"/>
      <w:bookmarkStart w:id="17" w:name="_Toc314842484"/>
      <w:bookmarkStart w:id="18" w:name="_Toc103679290"/>
      <w:bookmarkStart w:id="19" w:name="_Toc221616598"/>
      <w:r>
        <w:lastRenderedPageBreak/>
        <w:t>Product background</w:t>
      </w:r>
      <w:bookmarkEnd w:id="16"/>
      <w:bookmarkEnd w:id="17"/>
      <w:bookmarkEnd w:id="18"/>
      <w:bookmarkEnd w:id="19"/>
    </w:p>
    <w:p w14:paraId="59BF31D1" w14:textId="00627B2B" w:rsidR="001500A8" w:rsidRPr="00065839" w:rsidRDefault="00324B33" w:rsidP="00065839">
      <w:r w:rsidRPr="00065839">
        <w:t>This AusPAR describes the submission by</w:t>
      </w:r>
      <w:r w:rsidR="00974ABA">
        <w:t xml:space="preserve"> Samsung Bioepis AU Pty</w:t>
      </w:r>
      <w:r w:rsidR="00EC2EA0">
        <w:t xml:space="preserve"> Ltd </w:t>
      </w:r>
      <w:r w:rsidRPr="00065839">
        <w:t xml:space="preserve">to register </w:t>
      </w:r>
      <w:proofErr w:type="spellStart"/>
      <w:r w:rsidR="00EC2EA0">
        <w:t>Ospomyv</w:t>
      </w:r>
      <w:proofErr w:type="spellEnd"/>
      <w:r w:rsidR="00EC2EA0">
        <w:t xml:space="preserve"> </w:t>
      </w:r>
      <w:r w:rsidR="008A06C1">
        <w:t>(</w:t>
      </w:r>
      <w:r w:rsidR="008A06C1" w:rsidRPr="008A06C1">
        <w:t>denosumab</w:t>
      </w:r>
      <w:r w:rsidR="008A06C1">
        <w:t xml:space="preserve"> </w:t>
      </w:r>
      <w:proofErr w:type="spellStart"/>
      <w:r w:rsidR="008A06C1">
        <w:t>rch</w:t>
      </w:r>
      <w:proofErr w:type="spellEnd"/>
      <w:r w:rsidR="008A06C1">
        <w:t>)</w:t>
      </w:r>
      <w:r w:rsidR="008A06C1" w:rsidRPr="008A06C1">
        <w:t xml:space="preserve"> 60</w:t>
      </w:r>
      <w:r w:rsidR="00A16F11">
        <w:t xml:space="preserve"> </w:t>
      </w:r>
      <w:r w:rsidR="008A06C1" w:rsidRPr="008A06C1">
        <w:t>mg/1</w:t>
      </w:r>
      <w:r w:rsidR="00105499">
        <w:t xml:space="preserve"> </w:t>
      </w:r>
      <w:r w:rsidR="008A06C1" w:rsidRPr="008A06C1">
        <w:t xml:space="preserve">mL solution for injection pre-filled syringe </w:t>
      </w:r>
      <w:r w:rsidR="00EC2EA0">
        <w:t xml:space="preserve">and </w:t>
      </w:r>
      <w:proofErr w:type="spellStart"/>
      <w:r w:rsidR="00EC2EA0">
        <w:t>Xborso</w:t>
      </w:r>
      <w:proofErr w:type="spellEnd"/>
      <w:r w:rsidRPr="00065839">
        <w:t xml:space="preserve"> (</w:t>
      </w:r>
      <w:r w:rsidR="00EC2EA0">
        <w:t>denosumab</w:t>
      </w:r>
      <w:r w:rsidR="00A314F6">
        <w:t xml:space="preserve"> </w:t>
      </w:r>
      <w:proofErr w:type="spellStart"/>
      <w:r w:rsidR="00A314F6">
        <w:t>rch</w:t>
      </w:r>
      <w:proofErr w:type="spellEnd"/>
      <w:r w:rsidRPr="00065839">
        <w:t xml:space="preserve">) </w:t>
      </w:r>
      <w:r w:rsidR="00380A59" w:rsidRPr="00380A59">
        <w:t>120</w:t>
      </w:r>
      <w:r w:rsidR="00A16F11">
        <w:t xml:space="preserve"> </w:t>
      </w:r>
      <w:r w:rsidR="00380A59" w:rsidRPr="00380A59">
        <w:t>mg/1.7</w:t>
      </w:r>
      <w:r w:rsidR="00105499">
        <w:t xml:space="preserve"> </w:t>
      </w:r>
      <w:r w:rsidR="00380A59" w:rsidRPr="00380A59">
        <w:t xml:space="preserve">mL solution for injection vial </w:t>
      </w:r>
      <w:r w:rsidRPr="00065839">
        <w:t>for the following proposed indication:</w:t>
      </w:r>
      <w:r w:rsidR="00D63760" w:rsidRPr="00065839">
        <w:rPr>
          <w:vertAlign w:val="superscript"/>
        </w:rPr>
        <w:footnoteReference w:id="2"/>
      </w:r>
    </w:p>
    <w:p w14:paraId="23D8ED73" w14:textId="4B816FD8" w:rsidR="00324B33" w:rsidRPr="003F6191" w:rsidRDefault="0000203E" w:rsidP="003F6191">
      <w:pPr>
        <w:rPr>
          <w:i/>
          <w:iCs/>
        </w:rPr>
      </w:pPr>
      <w:r w:rsidRPr="003F6191">
        <w:rPr>
          <w:i/>
          <w:iCs/>
        </w:rPr>
        <w:t>The proposed indication for Ospomyv (biosimilar to Prol</w:t>
      </w:r>
      <w:r w:rsidR="00BB6CFF" w:rsidRPr="003F6191">
        <w:rPr>
          <w:i/>
          <w:iCs/>
        </w:rPr>
        <w:t>ia) -</w:t>
      </w:r>
    </w:p>
    <w:p w14:paraId="00797334" w14:textId="23E55028" w:rsidR="006B28AC" w:rsidRPr="003F6191" w:rsidRDefault="006B28AC" w:rsidP="003F6191">
      <w:pPr>
        <w:ind w:left="720"/>
        <w:rPr>
          <w:i/>
          <w:iCs/>
        </w:rPr>
      </w:pPr>
      <w:r w:rsidRPr="003F6191">
        <w:rPr>
          <w:i/>
          <w:iCs/>
        </w:rPr>
        <w:t>The treatment of osteoporosis in postmenopausal women. Ospomyv reduces the risk of vertebral, non-vertebral and hip fractures.</w:t>
      </w:r>
    </w:p>
    <w:p w14:paraId="4E454AB0" w14:textId="185B8A86" w:rsidR="006B28AC" w:rsidRPr="003F6191" w:rsidRDefault="006B28AC" w:rsidP="003F6191">
      <w:pPr>
        <w:ind w:left="720"/>
        <w:rPr>
          <w:i/>
          <w:iCs/>
        </w:rPr>
      </w:pPr>
      <w:r w:rsidRPr="003F6191">
        <w:rPr>
          <w:i/>
          <w:iCs/>
        </w:rPr>
        <w:t>Treatment to increase bone mass in men with osteopaenia receiving androgen deprivation therapy for non-metastatic prostate cancer</w:t>
      </w:r>
    </w:p>
    <w:p w14:paraId="534F0FA3" w14:textId="77777777" w:rsidR="006B28AC" w:rsidRPr="003F6191" w:rsidRDefault="006B28AC" w:rsidP="003F6191">
      <w:pPr>
        <w:ind w:left="720"/>
        <w:rPr>
          <w:i/>
          <w:iCs/>
        </w:rPr>
      </w:pPr>
      <w:r w:rsidRPr="003F6191">
        <w:rPr>
          <w:i/>
          <w:iCs/>
        </w:rPr>
        <w:t>Treatment to increase bone mass in men with osteoporosis at increased risk of fracture.</w:t>
      </w:r>
    </w:p>
    <w:p w14:paraId="3E341C47" w14:textId="0F552A62" w:rsidR="00B21499" w:rsidRPr="003F6191" w:rsidRDefault="006B28AC" w:rsidP="003F6191">
      <w:pPr>
        <w:ind w:left="720"/>
        <w:rPr>
          <w:i/>
          <w:iCs/>
        </w:rPr>
      </w:pPr>
      <w:r w:rsidRPr="003F6191">
        <w:rPr>
          <w:i/>
          <w:iCs/>
        </w:rPr>
        <w:t>Treatment to increase bone mass in women and men at increased risk of fracture due to long-term systemic glucocorticoid therapy</w:t>
      </w:r>
      <w:r w:rsidR="00265013" w:rsidRPr="003F6191">
        <w:rPr>
          <w:i/>
          <w:iCs/>
        </w:rPr>
        <w:t>.</w:t>
      </w:r>
    </w:p>
    <w:p w14:paraId="2407EF8F" w14:textId="00889142" w:rsidR="00B21499" w:rsidRPr="003F6191" w:rsidRDefault="006B28AC" w:rsidP="003F6191">
      <w:pPr>
        <w:rPr>
          <w:i/>
          <w:iCs/>
        </w:rPr>
      </w:pPr>
      <w:r w:rsidRPr="003F6191">
        <w:rPr>
          <w:i/>
          <w:iCs/>
        </w:rPr>
        <w:t>The proposed indication for Xborso</w:t>
      </w:r>
      <w:r w:rsidR="00E4572B" w:rsidRPr="003F6191">
        <w:rPr>
          <w:i/>
          <w:iCs/>
        </w:rPr>
        <w:t xml:space="preserve"> (biosimilar to Xgeva)</w:t>
      </w:r>
      <w:r w:rsidR="004C735C" w:rsidRPr="003F6191">
        <w:rPr>
          <w:i/>
          <w:iCs/>
        </w:rPr>
        <w:t xml:space="preserve"> -</w:t>
      </w:r>
    </w:p>
    <w:p w14:paraId="7008AEEE" w14:textId="77777777" w:rsidR="00E4572B" w:rsidRPr="003F6191" w:rsidRDefault="00E4572B" w:rsidP="003F6191">
      <w:pPr>
        <w:ind w:left="720"/>
        <w:rPr>
          <w:i/>
          <w:iCs/>
        </w:rPr>
      </w:pPr>
      <w:r w:rsidRPr="003F6191">
        <w:rPr>
          <w:i/>
          <w:iCs/>
        </w:rPr>
        <w:t>Prevention of skeletal related events in patients with multiple myeloma and in patients with bone metastases from solid tumours.</w:t>
      </w:r>
    </w:p>
    <w:p w14:paraId="182BDD25" w14:textId="77777777" w:rsidR="00E4572B" w:rsidRPr="003F6191" w:rsidRDefault="00E4572B" w:rsidP="003F6191">
      <w:pPr>
        <w:ind w:left="720"/>
        <w:rPr>
          <w:i/>
          <w:iCs/>
        </w:rPr>
      </w:pPr>
      <w:r w:rsidRPr="003F6191">
        <w:rPr>
          <w:i/>
          <w:iCs/>
        </w:rPr>
        <w:t>Treatment of giant cell tumour of bone in adults or skeletally mature adolescents that is recurrent, or unresectable, or resectable but associated with severe morbidity.</w:t>
      </w:r>
    </w:p>
    <w:p w14:paraId="5C763FBD" w14:textId="65CF9182" w:rsidR="00E4572B" w:rsidRPr="003F6191" w:rsidRDefault="00E4572B" w:rsidP="003F6191">
      <w:pPr>
        <w:ind w:left="720"/>
        <w:rPr>
          <w:i/>
          <w:iCs/>
        </w:rPr>
      </w:pPr>
      <w:r w:rsidRPr="003F6191">
        <w:rPr>
          <w:i/>
          <w:iCs/>
        </w:rPr>
        <w:t>Treatment of hypercalcaemia of malignancy that is refractory to intravenous bisphosphonate.</w:t>
      </w:r>
    </w:p>
    <w:p w14:paraId="24461619" w14:textId="70AECC80" w:rsidR="00BB5C98" w:rsidRPr="00BB5C98" w:rsidRDefault="00BB5C98" w:rsidP="003F6191">
      <w:r w:rsidRPr="00BB5C98">
        <w:t>Denosumab is a monoclonal antibody that targets and inhibits RANKL, a protein that regulates bone resorption.  The proposed therapeutic indications are consistent with the indications approved for P</w:t>
      </w:r>
      <w:r w:rsidR="009E2709">
        <w:t>rolia</w:t>
      </w:r>
      <w:r w:rsidR="0096372A">
        <w:rPr>
          <w:rStyle w:val="FootnoteReference"/>
          <w:iCs/>
        </w:rPr>
        <w:footnoteReference w:id="3"/>
      </w:r>
      <w:r w:rsidRPr="00BB5C98">
        <w:t xml:space="preserve"> and X</w:t>
      </w:r>
      <w:r w:rsidR="009E2709">
        <w:t>geva</w:t>
      </w:r>
      <w:r w:rsidR="0096372A">
        <w:rPr>
          <w:rStyle w:val="FootnoteReference"/>
          <w:iCs/>
        </w:rPr>
        <w:footnoteReference w:id="4"/>
      </w:r>
      <w:r w:rsidRPr="00BB5C98">
        <w:t xml:space="preserve"> in Australia.</w:t>
      </w:r>
    </w:p>
    <w:p w14:paraId="1E63A2AE" w14:textId="5FCD6C6F" w:rsidR="00CB6813" w:rsidRDefault="00005DFC" w:rsidP="00CB6813">
      <w:pPr>
        <w:pStyle w:val="Heading4"/>
      </w:pPr>
      <w:bookmarkStart w:id="20" w:name="_Toc221616599"/>
      <w:bookmarkStart w:id="21" w:name="_Toc314842485"/>
      <w:bookmarkStart w:id="22" w:name="_Toc247691504"/>
      <w:r>
        <w:t>D</w:t>
      </w:r>
      <w:r w:rsidR="00CB6813" w:rsidRPr="00C12D65">
        <w:t>isease</w:t>
      </w:r>
      <w:r w:rsidR="006428C5">
        <w:t xml:space="preserve"> or condition</w:t>
      </w:r>
      <w:bookmarkEnd w:id="20"/>
    </w:p>
    <w:p w14:paraId="0A76B8DE" w14:textId="77777777" w:rsidR="00C95FD3" w:rsidRPr="007D5F71" w:rsidRDefault="00C95FD3" w:rsidP="003F6191">
      <w:pPr>
        <w:pStyle w:val="Heading5"/>
      </w:pPr>
      <w:r w:rsidRPr="007D5F71">
        <w:t>Osteoporosis/osteopaenia</w:t>
      </w:r>
    </w:p>
    <w:p w14:paraId="079ED287" w14:textId="77777777" w:rsidR="00C95FD3" w:rsidRPr="00C95FD3" w:rsidRDefault="00C95FD3" w:rsidP="003F6191">
      <w:r w:rsidRPr="00C95FD3">
        <w:t>Osteoporosis/osteopaenia is a disorder of low bone mass, characterised by unfavourable changes in bone mineral density (BMD), bone formation and resorption, bone geometry, and bone microarchitecture. This results in decreased bone strength and an increased fracture risk. Osteopaenia is defined as a BMD t-score between -1.0 and -2.5, and osteoporosis as a BMD t-score of -2.5 or smaller.</w:t>
      </w:r>
    </w:p>
    <w:p w14:paraId="72FF2928" w14:textId="77777777" w:rsidR="00C95FD3" w:rsidRPr="007D5F71" w:rsidRDefault="00C95FD3" w:rsidP="003F6191">
      <w:pPr>
        <w:pStyle w:val="Heading5"/>
      </w:pPr>
      <w:r w:rsidRPr="007D5F71">
        <w:t>Primary osteoporosis</w:t>
      </w:r>
    </w:p>
    <w:p w14:paraId="41DAD280" w14:textId="77777777" w:rsidR="00C95FD3" w:rsidRPr="00C95FD3" w:rsidRDefault="00C95FD3" w:rsidP="003F6191">
      <w:r w:rsidRPr="00C95FD3">
        <w:t>Bone loss due the physiological changes of aging (including oestrogen or androgen deficiency due to ageing) is typically referred to as primary osteoporosis.</w:t>
      </w:r>
    </w:p>
    <w:p w14:paraId="02CA52CB" w14:textId="77777777" w:rsidR="00C95FD3" w:rsidRPr="007D5F71" w:rsidRDefault="00C95FD3" w:rsidP="003F6191">
      <w:pPr>
        <w:pStyle w:val="Heading5"/>
      </w:pPr>
      <w:r w:rsidRPr="007D5F71">
        <w:t>Secondary osteoporosis</w:t>
      </w:r>
    </w:p>
    <w:p w14:paraId="26D6E481" w14:textId="77777777" w:rsidR="00C95FD3" w:rsidRPr="00C95FD3" w:rsidRDefault="00C95FD3" w:rsidP="003F6191">
      <w:r w:rsidRPr="00C95FD3">
        <w:t>Bone loss due to other factors (e.g. androgen deprivation or glucocorticoid therapy, or malignancy-related bone loss) is typically referred to as secondary osteoporosis.</w:t>
      </w:r>
    </w:p>
    <w:p w14:paraId="1D08E988" w14:textId="77777777" w:rsidR="00C95FD3" w:rsidRPr="007D5F71" w:rsidRDefault="00C95FD3" w:rsidP="003F6191">
      <w:pPr>
        <w:pStyle w:val="Heading5"/>
      </w:pPr>
      <w:r w:rsidRPr="007D5F71">
        <w:lastRenderedPageBreak/>
        <w:t>RANK/RANKL/OPG system</w:t>
      </w:r>
    </w:p>
    <w:p w14:paraId="79F3C784" w14:textId="77777777" w:rsidR="00C95FD3" w:rsidRPr="00C95FD3" w:rsidRDefault="00C95FD3" w:rsidP="003F6191">
      <w:r w:rsidRPr="00C95FD3">
        <w:t xml:space="preserve">The receptor activator of nuclear factor kappa-B ligand (RANKL) is a type II </w:t>
      </w:r>
      <w:proofErr w:type="spellStart"/>
      <w:r w:rsidRPr="00C95FD3">
        <w:t>homotrimeric</w:t>
      </w:r>
      <w:proofErr w:type="spellEnd"/>
      <w:r w:rsidRPr="00C95FD3">
        <w:t xml:space="preserve"> transmembrane protein, and mainly expressed in osteocytes, osteoblasts, and bone marrow stromal cells. RANKL binds to RANK, expressed in osteoclast progenitor cells and osteoclasts, and induces </w:t>
      </w:r>
      <w:proofErr w:type="spellStart"/>
      <w:r w:rsidRPr="00C95FD3">
        <w:t>osteoclastogenesis</w:t>
      </w:r>
      <w:proofErr w:type="spellEnd"/>
      <w:r w:rsidRPr="00C95FD3">
        <w:t xml:space="preserve">. </w:t>
      </w:r>
      <w:proofErr w:type="spellStart"/>
      <w:r w:rsidRPr="00C95FD3">
        <w:t>Osteoprotegerin</w:t>
      </w:r>
      <w:proofErr w:type="spellEnd"/>
      <w:r w:rsidRPr="00C95FD3">
        <w:t xml:space="preserve"> (</w:t>
      </w:r>
      <w:proofErr w:type="spellStart"/>
      <w:r w:rsidRPr="00C95FD3">
        <w:t>OPG</w:t>
      </w:r>
      <w:proofErr w:type="spellEnd"/>
      <w:r w:rsidRPr="00C95FD3">
        <w:t>) is a decoy receptor for RANKL produced by mature osteoblasts and osteocytes and upon binding RANKL prevents the ligand’s interaction with RANK. Thus, the RANK/RANKL/OPG signalling pathway system and the ratio of its components profoundly affects healthy or pathologic bone remodelling.</w:t>
      </w:r>
    </w:p>
    <w:p w14:paraId="061AA16C" w14:textId="3826AD49" w:rsidR="00C95FD3" w:rsidRPr="00C95FD3" w:rsidRDefault="00C95FD3" w:rsidP="003F6191">
      <w:r w:rsidRPr="00C95FD3">
        <w:t xml:space="preserve">Oestrogen deficiency induces RANKL expression (by reducing its suppression) and reduces OPG </w:t>
      </w:r>
      <w:r w:rsidR="00071664" w:rsidRPr="00C95FD3">
        <w:t>expression and</w:t>
      </w:r>
      <w:r w:rsidRPr="00C95FD3">
        <w:t xml:space="preserve"> thus facilitates </w:t>
      </w:r>
      <w:proofErr w:type="spellStart"/>
      <w:r w:rsidRPr="00C95FD3">
        <w:t>osteoclastogenesis</w:t>
      </w:r>
      <w:proofErr w:type="spellEnd"/>
      <w:r w:rsidRPr="00C95FD3">
        <w:t xml:space="preserve">. Concurrent vitamin D deficiency impairs calcium absorption and leads to secondary </w:t>
      </w:r>
      <w:r w:rsidR="00071664" w:rsidRPr="00C95FD3">
        <w:t>hyperparathyroidism and</w:t>
      </w:r>
      <w:r w:rsidRPr="00C95FD3">
        <w:t xml:space="preserve"> thus may contribute to bone loss.</w:t>
      </w:r>
    </w:p>
    <w:p w14:paraId="4FA22F8F" w14:textId="46AF71EB" w:rsidR="00C95FD3" w:rsidRPr="00C95FD3" w:rsidRDefault="00C95FD3" w:rsidP="001D1AEB">
      <w:r w:rsidRPr="00C95FD3">
        <w:t>Tumour cells may produce cytokines, chemokines, and hormones that can increase RANKL expression and thus induce osteoclastic bone resorption and osteolytic metastasis.</w:t>
      </w:r>
    </w:p>
    <w:p w14:paraId="255E083A" w14:textId="77777777" w:rsidR="00CB6813" w:rsidRDefault="00CB6813" w:rsidP="00CB6813">
      <w:pPr>
        <w:pStyle w:val="Heading4"/>
      </w:pPr>
      <w:bookmarkStart w:id="23" w:name="_Toc221616600"/>
      <w:r>
        <w:t>Current treatment options</w:t>
      </w:r>
      <w:bookmarkEnd w:id="23"/>
    </w:p>
    <w:p w14:paraId="1FEA9DA9" w14:textId="77777777" w:rsidR="006C3C26" w:rsidRPr="006C3C26" w:rsidRDefault="006C3C26" w:rsidP="003F6191">
      <w:r w:rsidRPr="006C3C26">
        <w:t>Treatment for primary and secondary osteoporosis/osteopaenia is typically dependent on disease severity, causative factors, and drug-specific factors (e.g. contraindications). Management options include:</w:t>
      </w:r>
    </w:p>
    <w:p w14:paraId="06AF0D1A" w14:textId="4A722171" w:rsidR="006C3C26" w:rsidRPr="006C3C26" w:rsidRDefault="006C3C26" w:rsidP="006C3C26">
      <w:pPr>
        <w:pStyle w:val="ListBullet"/>
      </w:pPr>
      <w:r w:rsidRPr="006C3C26">
        <w:t>Lifestyle adjustments (e.g. smoking and alcohol use cessation, falls prevention programs, physical activity)</w:t>
      </w:r>
    </w:p>
    <w:p w14:paraId="04965479" w14:textId="38E56841" w:rsidR="006C3C26" w:rsidRPr="006C3C26" w:rsidRDefault="006C3C26" w:rsidP="006C3C26">
      <w:pPr>
        <w:pStyle w:val="ListBullet"/>
      </w:pPr>
      <w:r w:rsidRPr="006C3C26">
        <w:t>Calcium and vitamin D supplementation</w:t>
      </w:r>
    </w:p>
    <w:p w14:paraId="16335803" w14:textId="6EEE7373" w:rsidR="006C3C26" w:rsidRPr="006C3C26" w:rsidRDefault="006C3C26" w:rsidP="003F6191">
      <w:pPr>
        <w:pStyle w:val="ListBullet"/>
      </w:pPr>
      <w:r w:rsidRPr="006C3C26">
        <w:t xml:space="preserve">Antiresorptive </w:t>
      </w:r>
      <w:r w:rsidRPr="003F6191">
        <w:t>pharmacotherapy</w:t>
      </w:r>
      <w:r w:rsidRPr="006C3C26">
        <w:t xml:space="preserve"> including:</w:t>
      </w:r>
    </w:p>
    <w:p w14:paraId="4AC42B74" w14:textId="7B869970" w:rsidR="006C3C26" w:rsidRPr="006C3C26" w:rsidRDefault="006C3C26" w:rsidP="006C3C26">
      <w:pPr>
        <w:pStyle w:val="ListBullet2"/>
      </w:pPr>
      <w:r w:rsidRPr="006C3C26">
        <w:t>Oral bisphosphonates (e.g. alendronate)</w:t>
      </w:r>
    </w:p>
    <w:p w14:paraId="62C3DC1A" w14:textId="60A1E49D" w:rsidR="006C3C26" w:rsidRPr="006C3C26" w:rsidRDefault="006C3C26" w:rsidP="006C3C26">
      <w:pPr>
        <w:pStyle w:val="ListBullet2"/>
      </w:pPr>
      <w:r w:rsidRPr="006C3C26">
        <w:t>Bone-forming anabolic agents (e.g. teriparatide)</w:t>
      </w:r>
    </w:p>
    <w:p w14:paraId="0EDFBEEB" w14:textId="5DD04A26" w:rsidR="006C3C26" w:rsidRPr="006C3C26" w:rsidRDefault="006C3C26" w:rsidP="006C3C26">
      <w:pPr>
        <w:pStyle w:val="ListBullet2"/>
      </w:pPr>
      <w:r w:rsidRPr="006C3C26">
        <w:t>RANKL inhibitors (e.g. denosumab)</w:t>
      </w:r>
    </w:p>
    <w:p w14:paraId="478E555F" w14:textId="1C555C9F" w:rsidR="006C3C26" w:rsidRPr="006C3C26" w:rsidRDefault="006C3C26" w:rsidP="003F6191">
      <w:pPr>
        <w:pStyle w:val="ListBullet2"/>
      </w:pPr>
      <w:r w:rsidRPr="006C3C26">
        <w:t>Other agents (e.g. hormone replacement therapy (HRT), raloxifene, calcitonin)</w:t>
      </w:r>
      <w:r w:rsidR="003F6191">
        <w:t>.</w:t>
      </w:r>
    </w:p>
    <w:p w14:paraId="37C47E09" w14:textId="14D3762D" w:rsidR="00CB6813" w:rsidRDefault="00CB6813" w:rsidP="00CB6813">
      <w:pPr>
        <w:pStyle w:val="Heading4"/>
      </w:pPr>
      <w:bookmarkStart w:id="24" w:name="_Toc221616601"/>
      <w:r>
        <w:t>C</w:t>
      </w:r>
      <w:r w:rsidRPr="00DE1344">
        <w:t>linical rational</w:t>
      </w:r>
      <w:r w:rsidR="0025785B">
        <w:t>e</w:t>
      </w:r>
      <w:bookmarkEnd w:id="24"/>
    </w:p>
    <w:p w14:paraId="32270EC5" w14:textId="3A10E1D5" w:rsidR="00B46FE4" w:rsidRDefault="008B68F9" w:rsidP="003F6191">
      <w:r w:rsidRPr="008B68F9">
        <w:t>Denosumab is a fully human IgG2 monoclonal antibody with high affinity and</w:t>
      </w:r>
      <w:r w:rsidR="00ED25D2">
        <w:t xml:space="preserve"> </w:t>
      </w:r>
      <w:r w:rsidRPr="008B68F9">
        <w:t>specificity for RANK ligand (RANKL).</w:t>
      </w:r>
      <w:r w:rsidR="0095688D" w:rsidRPr="0095688D">
        <w:rPr>
          <w:rFonts w:ascii="Arial" w:hAnsi="Arial" w:cs="Arial"/>
          <w:szCs w:val="22"/>
        </w:rPr>
        <w:t xml:space="preserve"> </w:t>
      </w:r>
      <w:r w:rsidR="0095688D" w:rsidRPr="0095688D">
        <w:t>RANKL exists as a transmembrane or soluble protein. RANKL is essential for the</w:t>
      </w:r>
      <w:r w:rsidR="00ED25D2">
        <w:t xml:space="preserve"> </w:t>
      </w:r>
      <w:r w:rsidR="0095688D" w:rsidRPr="0095688D">
        <w:t>formation, function and survival of osteoclasts, the sole cell type responsible for bone</w:t>
      </w:r>
      <w:r w:rsidR="00E7193C">
        <w:t xml:space="preserve"> </w:t>
      </w:r>
      <w:r w:rsidR="0095688D" w:rsidRPr="0095688D">
        <w:t>resorption.</w:t>
      </w:r>
    </w:p>
    <w:p w14:paraId="48D0DF2C" w14:textId="37C6E52C" w:rsidR="00C63B77" w:rsidRDefault="0095688D" w:rsidP="00046EBC">
      <w:r w:rsidRPr="0095688D">
        <w:t>Osteoclasts play an important role in bone loss associated with</w:t>
      </w:r>
      <w:r w:rsidR="00B13A46">
        <w:t xml:space="preserve"> </w:t>
      </w:r>
      <w:r w:rsidRPr="0095688D">
        <w:t>postmenopausal osteoporosis and hormone ablation. Denosumab binds with high</w:t>
      </w:r>
      <w:r w:rsidR="00B13A46">
        <w:t xml:space="preserve"> </w:t>
      </w:r>
      <w:r w:rsidRPr="0095688D">
        <w:t>affinity and specificity to RANKL, preventing RANKL from activating its only receptor,</w:t>
      </w:r>
      <w:r w:rsidR="00B13A46">
        <w:t xml:space="preserve"> </w:t>
      </w:r>
      <w:r w:rsidRPr="0095688D">
        <w:t>RANK, on the surface of osteoclasts and their precursors, independent of bone</w:t>
      </w:r>
      <w:r w:rsidR="00B13A46">
        <w:t xml:space="preserve"> </w:t>
      </w:r>
      <w:r w:rsidRPr="0095688D">
        <w:t>surface. Prevention of RANKL/RANK interaction inhibits osteoclast formation, function</w:t>
      </w:r>
      <w:r w:rsidR="00ED25D2">
        <w:t xml:space="preserve"> </w:t>
      </w:r>
      <w:r w:rsidRPr="0095688D">
        <w:t>and survival, thereby decreasing bone resorption and increasing bone mass and</w:t>
      </w:r>
      <w:r w:rsidR="00ED25D2">
        <w:t xml:space="preserve"> </w:t>
      </w:r>
      <w:r w:rsidRPr="0095688D">
        <w:t>strength in both cortical and trabecular bone.</w:t>
      </w:r>
    </w:p>
    <w:p w14:paraId="058924E1" w14:textId="738C9E9B" w:rsidR="005676CB" w:rsidRPr="005676CB" w:rsidRDefault="00943BED" w:rsidP="003F6191">
      <w:r>
        <w:t>A</w:t>
      </w:r>
      <w:r w:rsidR="005676CB" w:rsidRPr="005676CB">
        <w:t xml:space="preserve"> key mediator of bone</w:t>
      </w:r>
      <w:r w:rsidR="00CC4FDD">
        <w:t xml:space="preserve"> </w:t>
      </w:r>
      <w:r w:rsidR="005676CB" w:rsidRPr="005676CB">
        <w:t xml:space="preserve">destruction in bone disease </w:t>
      </w:r>
      <w:r>
        <w:t xml:space="preserve">related to </w:t>
      </w:r>
      <w:r w:rsidR="005676CB" w:rsidRPr="005676CB">
        <w:t>metastatic tumours and multiple myeloma</w:t>
      </w:r>
      <w:r w:rsidRPr="00943BED">
        <w:t xml:space="preserve"> </w:t>
      </w:r>
      <w:r>
        <w:t>is i</w:t>
      </w:r>
      <w:r w:rsidRPr="005676CB">
        <w:t>ncreased osteoclast activity, stimulated by RANKL</w:t>
      </w:r>
      <w:r w:rsidR="005676CB" w:rsidRPr="005676CB">
        <w:t>. Prevention of</w:t>
      </w:r>
      <w:r w:rsidR="00BD0CB8">
        <w:t xml:space="preserve"> </w:t>
      </w:r>
      <w:r w:rsidR="005676CB" w:rsidRPr="005676CB">
        <w:t xml:space="preserve">RANKL-RANK interaction results in reduced osteoclast numbers and </w:t>
      </w:r>
      <w:r w:rsidR="008F5BC1" w:rsidRPr="005676CB">
        <w:t>function and</w:t>
      </w:r>
      <w:r w:rsidR="00CC4FDD">
        <w:t xml:space="preserve"> </w:t>
      </w:r>
      <w:r w:rsidR="005676CB" w:rsidRPr="005676CB">
        <w:t>thereby decreases bone resorption and cancer-induced bone destruction.</w:t>
      </w:r>
    </w:p>
    <w:p w14:paraId="44556AC4" w14:textId="6D88AC8C" w:rsidR="005676CB" w:rsidRPr="005676CB" w:rsidRDefault="00E77156" w:rsidP="003F6191">
      <w:r>
        <w:lastRenderedPageBreak/>
        <w:t>I</w:t>
      </w:r>
      <w:r w:rsidRPr="005676CB">
        <w:t>n some nonclinical models</w:t>
      </w:r>
      <w:r w:rsidRPr="00E77156">
        <w:t xml:space="preserve"> </w:t>
      </w:r>
      <w:r w:rsidR="005676CB" w:rsidRPr="005676CB">
        <w:t>RANKL inhibition result</w:t>
      </w:r>
      <w:r w:rsidR="00FC2500">
        <w:t>ed</w:t>
      </w:r>
      <w:r w:rsidR="005676CB" w:rsidRPr="005676CB">
        <w:t xml:space="preserve"> in reduced bone lesions and delayed formation of </w:t>
      </w:r>
      <w:r w:rsidR="005676CB" w:rsidRPr="005676CB">
        <w:rPr>
          <w:i/>
          <w:iCs/>
        </w:rPr>
        <w:t>de novo</w:t>
      </w:r>
      <w:r w:rsidR="008F5BC1">
        <w:rPr>
          <w:i/>
          <w:iCs/>
        </w:rPr>
        <w:t xml:space="preserve"> </w:t>
      </w:r>
      <w:r w:rsidR="005676CB" w:rsidRPr="005676CB">
        <w:t>bone metastases. RANKL inhibition reduced skeletal tumour</w:t>
      </w:r>
      <w:r w:rsidR="008F5BC1">
        <w:t xml:space="preserve"> </w:t>
      </w:r>
      <w:r w:rsidRPr="005676CB">
        <w:t>growth,</w:t>
      </w:r>
      <w:r w:rsidR="005676CB" w:rsidRPr="005676CB">
        <w:t xml:space="preserve"> </w:t>
      </w:r>
      <w:r w:rsidR="00F328C9">
        <w:t xml:space="preserve">an </w:t>
      </w:r>
      <w:r w:rsidR="005676CB" w:rsidRPr="005676CB">
        <w:t xml:space="preserve">additive </w:t>
      </w:r>
      <w:r w:rsidR="00F328C9">
        <w:t xml:space="preserve">effect </w:t>
      </w:r>
      <w:r w:rsidR="005676CB" w:rsidRPr="005676CB">
        <w:t>when combined with other anti</w:t>
      </w:r>
      <w:r w:rsidR="00F328C9">
        <w:t>-</w:t>
      </w:r>
      <w:r w:rsidR="005676CB" w:rsidRPr="005676CB">
        <w:t>cancer therapies.</w:t>
      </w:r>
    </w:p>
    <w:p w14:paraId="1BEDB593" w14:textId="0643FB31" w:rsidR="005676CB" w:rsidRPr="00635168" w:rsidRDefault="005676CB" w:rsidP="003F6191">
      <w:pPr>
        <w:pStyle w:val="Heading5"/>
      </w:pPr>
      <w:r w:rsidRPr="00635168">
        <w:t xml:space="preserve">Giant cell tumour of </w:t>
      </w:r>
      <w:r w:rsidR="008E3F3C">
        <w:t xml:space="preserve">the </w:t>
      </w:r>
      <w:r w:rsidRPr="00635168">
        <w:t>bone</w:t>
      </w:r>
    </w:p>
    <w:p w14:paraId="65CF710B" w14:textId="3A8F802D" w:rsidR="005676CB" w:rsidRPr="005676CB" w:rsidRDefault="005676CB" w:rsidP="003F6191">
      <w:r w:rsidRPr="005676CB">
        <w:t>Giant cell tumours of bone are characterised by stromal cells expressing RANKL and</w:t>
      </w:r>
      <w:r w:rsidR="006D4556">
        <w:t xml:space="preserve"> </w:t>
      </w:r>
      <w:r w:rsidRPr="005676CB">
        <w:t>osteoclast-like giant cells expressing RANK. In patients with giant cell tumour of bone,</w:t>
      </w:r>
      <w:r w:rsidR="006D4556">
        <w:t xml:space="preserve"> </w:t>
      </w:r>
      <w:r w:rsidRPr="005676CB">
        <w:t>denosumab binds to RANKL, significantly reducing or eliminating osteoclast-like giant</w:t>
      </w:r>
      <w:r w:rsidR="006D4556">
        <w:t xml:space="preserve"> </w:t>
      </w:r>
      <w:r w:rsidRPr="005676CB">
        <w:t>cells. Consequently, osteolysis is reduced and proliferative tumour stroma can be</w:t>
      </w:r>
      <w:r w:rsidR="006D4556">
        <w:t xml:space="preserve"> </w:t>
      </w:r>
      <w:r w:rsidRPr="005676CB">
        <w:t xml:space="preserve">replaced with non-proliferative, </w:t>
      </w:r>
      <w:r w:rsidR="00E53EA3">
        <w:t>d</w:t>
      </w:r>
      <w:r w:rsidRPr="005676CB">
        <w:t>ifferentiated, woven new bone which may show an</w:t>
      </w:r>
      <w:r w:rsidR="006D4556">
        <w:t xml:space="preserve"> </w:t>
      </w:r>
      <w:r w:rsidRPr="005676CB">
        <w:t>increase in density.</w:t>
      </w:r>
    </w:p>
    <w:p w14:paraId="62309AEB" w14:textId="77777777" w:rsidR="005676CB" w:rsidRPr="00635168" w:rsidRDefault="005676CB" w:rsidP="003F6191">
      <w:pPr>
        <w:pStyle w:val="Heading5"/>
      </w:pPr>
      <w:r w:rsidRPr="00635168">
        <w:t>Hypercalcaemia of malignancy refractory to intravenous bisphosphonates</w:t>
      </w:r>
    </w:p>
    <w:p w14:paraId="47C1CE99" w14:textId="26A1E525" w:rsidR="005676CB" w:rsidRPr="00C63B77" w:rsidRDefault="005676CB" w:rsidP="003F6191">
      <w:r w:rsidRPr="005676CB">
        <w:t>The primary aetiology of both skeletal and humoral hypercalcaemia of malignancy is</w:t>
      </w:r>
      <w:r w:rsidR="00357089">
        <w:t xml:space="preserve"> </w:t>
      </w:r>
      <w:r w:rsidRPr="005676CB">
        <w:t>increased bone resorption, which leads to elevated calcium concentrations in the</w:t>
      </w:r>
      <w:r w:rsidR="00357089">
        <w:t xml:space="preserve"> </w:t>
      </w:r>
      <w:r w:rsidRPr="005676CB">
        <w:t>extracellular fluid. The increase in bone resorption is initiated by the release of</w:t>
      </w:r>
      <w:r w:rsidR="00357089">
        <w:t xml:space="preserve"> </w:t>
      </w:r>
      <w:r w:rsidRPr="005676CB">
        <w:t xml:space="preserve">signalling molecules such as </w:t>
      </w:r>
      <w:proofErr w:type="spellStart"/>
      <w:r w:rsidRPr="005676CB">
        <w:t>PTHrP</w:t>
      </w:r>
      <w:proofErr w:type="spellEnd"/>
      <w:r w:rsidRPr="005676CB">
        <w:t>, prostaglandins, and cytokine by malignant and</w:t>
      </w:r>
      <w:r w:rsidR="00357089">
        <w:t xml:space="preserve"> </w:t>
      </w:r>
      <w:r w:rsidRPr="005676CB">
        <w:t>stromal cells. These molecules stimulate osteoblasts and other stromal cells to</w:t>
      </w:r>
      <w:r w:rsidR="00357089">
        <w:t xml:space="preserve"> </w:t>
      </w:r>
      <w:r w:rsidRPr="005676CB">
        <w:t>express RANKL, which upon binding its receptor RANK upregulates osteoclast</w:t>
      </w:r>
      <w:r w:rsidR="00357089">
        <w:t xml:space="preserve"> </w:t>
      </w:r>
      <w:r w:rsidRPr="005676CB">
        <w:t>recruitment and differentiation and thus bone resorption, with a resultant increase in</w:t>
      </w:r>
      <w:r w:rsidR="00357089">
        <w:t xml:space="preserve"> </w:t>
      </w:r>
      <w:r w:rsidRPr="005676CB">
        <w:t>calcium concentrations of the extracellular fluid and serum. Denosumab binds to</w:t>
      </w:r>
      <w:r w:rsidR="00357089">
        <w:t xml:space="preserve"> </w:t>
      </w:r>
      <w:r w:rsidRPr="005676CB">
        <w:t>RANKL preventing RANK/RANKL mediated osteoclast formation, function, and</w:t>
      </w:r>
      <w:r w:rsidR="00357089">
        <w:t xml:space="preserve"> </w:t>
      </w:r>
      <w:r w:rsidRPr="005676CB">
        <w:t>survival thereby lowering serum calcium levels.</w:t>
      </w:r>
    </w:p>
    <w:p w14:paraId="0D615854" w14:textId="77777777" w:rsidR="00324B33" w:rsidRPr="003F31A2" w:rsidRDefault="00324B33" w:rsidP="00324B33">
      <w:pPr>
        <w:pStyle w:val="Heading3"/>
      </w:pPr>
      <w:bookmarkStart w:id="25" w:name="_Toc103679291"/>
      <w:bookmarkStart w:id="26" w:name="_Toc221616602"/>
      <w:r>
        <w:t>Regulatory status</w:t>
      </w:r>
      <w:bookmarkEnd w:id="21"/>
      <w:bookmarkEnd w:id="22"/>
      <w:bookmarkEnd w:id="25"/>
      <w:bookmarkEnd w:id="26"/>
    </w:p>
    <w:p w14:paraId="72C889D6" w14:textId="7E200950" w:rsidR="0017005C" w:rsidRPr="00BD5DBD" w:rsidRDefault="0017005C" w:rsidP="00741AB9">
      <w:pPr>
        <w:pStyle w:val="Heading4"/>
      </w:pPr>
      <w:bookmarkStart w:id="27" w:name="_Toc221616603"/>
      <w:r w:rsidRPr="00BD5DBD">
        <w:t>Australian regulatory</w:t>
      </w:r>
      <w:r>
        <w:t xml:space="preserve"> sta</w:t>
      </w:r>
      <w:r w:rsidR="0025785B">
        <w:t>t</w:t>
      </w:r>
      <w:r>
        <w:t>us</w:t>
      </w:r>
      <w:bookmarkEnd w:id="27"/>
    </w:p>
    <w:p w14:paraId="6A8633FA" w14:textId="3245B677" w:rsidR="00324B33" w:rsidRDefault="00324B33" w:rsidP="00824D5F">
      <w:r w:rsidRPr="00BD5DBD">
        <w:t>This product is considered a new biosimilar medicine for Australian regulatory purposes.</w:t>
      </w:r>
    </w:p>
    <w:p w14:paraId="23544C40" w14:textId="6FC19645" w:rsidR="00DC026A" w:rsidRPr="00BD5DBD" w:rsidRDefault="00DC026A" w:rsidP="003F6191">
      <w:r w:rsidRPr="00DC026A">
        <w:t>P</w:t>
      </w:r>
      <w:r w:rsidR="004B3FE8">
        <w:t>rolia</w:t>
      </w:r>
      <w:r w:rsidRPr="00DC026A">
        <w:t xml:space="preserve"> </w:t>
      </w:r>
      <w:r w:rsidR="000C4B4F">
        <w:t>(reference medicine</w:t>
      </w:r>
      <w:r w:rsidR="00E50CCE">
        <w:t xml:space="preserve"> for Ospomyv</w:t>
      </w:r>
      <w:r w:rsidR="000C4B4F">
        <w:t xml:space="preserve">) </w:t>
      </w:r>
      <w:r w:rsidRPr="00DC026A">
        <w:t>was first registered on the ARTG in June 2010 and X</w:t>
      </w:r>
      <w:r w:rsidR="004B3FE8">
        <w:t>geva</w:t>
      </w:r>
      <w:r w:rsidRPr="00DC026A">
        <w:t xml:space="preserve"> </w:t>
      </w:r>
      <w:r w:rsidR="0062314C">
        <w:t>(</w:t>
      </w:r>
      <w:r w:rsidR="0062314C" w:rsidRPr="0062314C">
        <w:t xml:space="preserve">reference medicine for </w:t>
      </w:r>
      <w:r w:rsidR="0062314C">
        <w:t>Xborso)</w:t>
      </w:r>
      <w:r w:rsidR="0062314C" w:rsidRPr="0062314C">
        <w:t xml:space="preserve"> </w:t>
      </w:r>
      <w:r w:rsidRPr="00DC026A">
        <w:t xml:space="preserve">was first registered on the ARTG in September 2011. On 23 August 2024, </w:t>
      </w:r>
      <w:proofErr w:type="spellStart"/>
      <w:r w:rsidRPr="00DC026A">
        <w:t>J</w:t>
      </w:r>
      <w:r w:rsidR="004B3FE8">
        <w:t>ubbonti</w:t>
      </w:r>
      <w:proofErr w:type="spellEnd"/>
      <w:r w:rsidRPr="00DC026A">
        <w:t xml:space="preserve"> and </w:t>
      </w:r>
      <w:proofErr w:type="spellStart"/>
      <w:r w:rsidRPr="00DC026A">
        <w:t>W</w:t>
      </w:r>
      <w:r w:rsidR="00710302">
        <w:t>yost</w:t>
      </w:r>
      <w:proofErr w:type="spellEnd"/>
      <w:r w:rsidRPr="00DC026A">
        <w:t xml:space="preserve"> were registered as biosimilars to P</w:t>
      </w:r>
      <w:r w:rsidR="00710302">
        <w:t>rolia</w:t>
      </w:r>
      <w:r w:rsidRPr="00DC026A">
        <w:t xml:space="preserve"> and X</w:t>
      </w:r>
      <w:r w:rsidR="00710302">
        <w:t>geva</w:t>
      </w:r>
      <w:r w:rsidR="0062314C">
        <w:t xml:space="preserve">. </w:t>
      </w:r>
      <w:r w:rsidRPr="00DC026A">
        <w:t>On 4 April 2025, S</w:t>
      </w:r>
      <w:r w:rsidR="00710302">
        <w:t>tobo</w:t>
      </w:r>
      <w:r w:rsidR="0096491A">
        <w:t>clo</w:t>
      </w:r>
      <w:r w:rsidRPr="00DC026A">
        <w:t xml:space="preserve"> and O</w:t>
      </w:r>
      <w:r w:rsidR="0096491A">
        <w:t>senvelt</w:t>
      </w:r>
      <w:r w:rsidRPr="00DC026A">
        <w:t xml:space="preserve"> were registered as biosimilars to P</w:t>
      </w:r>
      <w:r w:rsidR="0096491A">
        <w:t>rolia</w:t>
      </w:r>
      <w:r w:rsidRPr="00DC026A">
        <w:t xml:space="preserve"> and X</w:t>
      </w:r>
      <w:r w:rsidR="0096491A">
        <w:t>geva</w:t>
      </w:r>
      <w:r w:rsidRPr="00DC026A">
        <w:t>.</w:t>
      </w:r>
    </w:p>
    <w:p w14:paraId="546C1031" w14:textId="4EF98FA1" w:rsidR="0017005C" w:rsidRDefault="00131B1B" w:rsidP="0017005C">
      <w:pPr>
        <w:pStyle w:val="Heading4"/>
      </w:pPr>
      <w:bookmarkStart w:id="28" w:name="_Toc221616604"/>
      <w:r>
        <w:t xml:space="preserve">International </w:t>
      </w:r>
      <w:r w:rsidR="0017005C" w:rsidRPr="00BD5DBD">
        <w:t>regulatory</w:t>
      </w:r>
      <w:r w:rsidR="0017005C">
        <w:t xml:space="preserve"> status</w:t>
      </w:r>
      <w:bookmarkEnd w:id="28"/>
    </w:p>
    <w:p w14:paraId="2B378DE9" w14:textId="411B3138" w:rsidR="00120C50" w:rsidRPr="00120C50" w:rsidRDefault="006B083B" w:rsidP="003F6191">
      <w:r w:rsidRPr="006B083B">
        <w:t>At the time the TGA considered this submission</w:t>
      </w:r>
      <w:r>
        <w:t>, s</w:t>
      </w:r>
      <w:r w:rsidR="00120C50" w:rsidRPr="00120C50">
        <w:t>imilar applications were submitted to the U</w:t>
      </w:r>
      <w:r w:rsidR="006D67F8">
        <w:t>nited States</w:t>
      </w:r>
      <w:r w:rsidR="00120C50" w:rsidRPr="00120C50">
        <w:t xml:space="preserve"> </w:t>
      </w:r>
      <w:r w:rsidR="00840F9E">
        <w:t xml:space="preserve">of America </w:t>
      </w:r>
      <w:r w:rsidR="00426578">
        <w:t xml:space="preserve">(USA) </w:t>
      </w:r>
      <w:r w:rsidR="00120C50" w:rsidRPr="00120C50">
        <w:t>F</w:t>
      </w:r>
      <w:r w:rsidR="006D67F8">
        <w:t>o</w:t>
      </w:r>
      <w:r w:rsidR="00840F9E">
        <w:t>o</w:t>
      </w:r>
      <w:r w:rsidR="006D67F8">
        <w:t>d and Drug Administration (F</w:t>
      </w:r>
      <w:r w:rsidR="00120C50" w:rsidRPr="00120C50">
        <w:t>DA</w:t>
      </w:r>
      <w:r w:rsidR="006D67F8">
        <w:t>)</w:t>
      </w:r>
      <w:r w:rsidR="00120C50" w:rsidRPr="00120C50">
        <w:t xml:space="preserve"> in February 2024, the E</w:t>
      </w:r>
      <w:r w:rsidR="00D76C5B">
        <w:t>uropean Medicines Agency (EM</w:t>
      </w:r>
      <w:r w:rsidR="00120C50" w:rsidRPr="00120C50">
        <w:t>A</w:t>
      </w:r>
      <w:r w:rsidR="00D76C5B">
        <w:t>)</w:t>
      </w:r>
      <w:r w:rsidR="00120C50" w:rsidRPr="00120C50">
        <w:t xml:space="preserve"> via the centralised procedure in March 2024, to the Ministry of Food and Drug Safety (MFDS) of Republic of Korea in March 2024, and to Health Canada (HC) in April 2024. No major differences in the submissions were noted.</w:t>
      </w:r>
    </w:p>
    <w:p w14:paraId="6D92589C" w14:textId="09786CEF" w:rsidR="00324B33" w:rsidRDefault="00324B33" w:rsidP="003F6191">
      <w:pPr>
        <w:pStyle w:val="Heading2"/>
      </w:pPr>
      <w:bookmarkStart w:id="29" w:name="_Toc504480011"/>
      <w:bookmarkStart w:id="30" w:name="_Toc103679293"/>
      <w:bookmarkStart w:id="31" w:name="_Toc221616605"/>
      <w:r>
        <w:t xml:space="preserve">Registration </w:t>
      </w:r>
      <w:r w:rsidRPr="003F6191">
        <w:t>timeline</w:t>
      </w:r>
      <w:bookmarkEnd w:id="29"/>
      <w:bookmarkEnd w:id="30"/>
      <w:bookmarkEnd w:id="31"/>
    </w:p>
    <w:p w14:paraId="225E3D87" w14:textId="1F3070CE" w:rsidR="00324B33" w:rsidRPr="00BD5DBD" w:rsidRDefault="00324B33" w:rsidP="003F6191">
      <w:r w:rsidRPr="00BD5DBD">
        <w:t>The following table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1" w:history="1">
        <w:r w:rsidRPr="00BD5DBD">
          <w:rPr>
            <w:rStyle w:val="Hyperlink"/>
            <w:szCs w:val="22"/>
          </w:rPr>
          <w:t>standard prescription medicines registration process</w:t>
        </w:r>
      </w:hyperlink>
      <w:r w:rsidRPr="00BD5DBD">
        <w:rPr>
          <w:szCs w:val="22"/>
        </w:rPr>
        <w:t>.</w:t>
      </w:r>
    </w:p>
    <w:p w14:paraId="44628C5F" w14:textId="276C0A68" w:rsidR="00324B33" w:rsidRDefault="00324B33" w:rsidP="003F6191">
      <w:pPr>
        <w:pStyle w:val="TableTitle"/>
      </w:pPr>
      <w:r w:rsidRPr="002C1232">
        <w:lastRenderedPageBreak/>
        <w:t xml:space="preserve">Table </w:t>
      </w:r>
      <w:r w:rsidR="003641A3">
        <w:t>1</w:t>
      </w:r>
      <w:r w:rsidRPr="002C1232">
        <w:t>: Timeline for Submission PM-202</w:t>
      </w:r>
      <w:r w:rsidR="00CD048B">
        <w:t>4</w:t>
      </w:r>
      <w:r w:rsidRPr="002C1232">
        <w:t>-</w:t>
      </w:r>
      <w:r w:rsidR="00CD048B">
        <w:t>01517</w:t>
      </w:r>
      <w:r w:rsidRPr="002C1232">
        <w:t>-1-</w:t>
      </w:r>
      <w:r w:rsidR="00CD048B">
        <w:t>5</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0D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324B33">
            <w:pPr>
              <w:rPr>
                <w:szCs w:val="22"/>
              </w:rPr>
            </w:pPr>
            <w:r w:rsidRPr="00D01DDB">
              <w:rPr>
                <w:szCs w:val="22"/>
              </w:rPr>
              <w:t>Description</w:t>
            </w:r>
          </w:p>
        </w:tc>
        <w:tc>
          <w:tcPr>
            <w:tcW w:w="2977"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59D2A12" w14:textId="0D705F83" w:rsidR="00324B33" w:rsidRPr="00E679D1" w:rsidRDefault="00324B33" w:rsidP="00E679D1">
            <w:r w:rsidRPr="00E679D1">
              <w:t>Submission dossier accepted and first round evaluation commenced</w:t>
            </w:r>
          </w:p>
        </w:tc>
        <w:tc>
          <w:tcPr>
            <w:tcW w:w="2977" w:type="dxa"/>
          </w:tcPr>
          <w:p w14:paraId="2963D9D8" w14:textId="26C14323" w:rsidR="00324B33" w:rsidRPr="00D01DDB" w:rsidRDefault="0014141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May 2024</w:t>
            </w:r>
          </w:p>
        </w:tc>
      </w:tr>
      <w:tr w:rsidR="00803926" w:rsidRPr="00D01DDB" w14:paraId="16D13F79"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6858B45A" w14:textId="615A218B" w:rsidR="00803926" w:rsidRPr="00E679D1" w:rsidDel="00C62B1C" w:rsidRDefault="00803926" w:rsidP="00E679D1">
            <w:r>
              <w:t>Evaluation completed</w:t>
            </w:r>
            <w:r w:rsidR="005775D0">
              <w:t xml:space="preserve"> (End of round </w:t>
            </w:r>
            <w:r w:rsidR="00C00844">
              <w:t>2)</w:t>
            </w:r>
          </w:p>
        </w:tc>
        <w:tc>
          <w:tcPr>
            <w:tcW w:w="2977" w:type="dxa"/>
          </w:tcPr>
          <w:p w14:paraId="2E0BD403" w14:textId="481F3F37" w:rsidR="00803926" w:rsidRPr="00D01DDB" w:rsidRDefault="00593B7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18 March 2025</w:t>
            </w:r>
          </w:p>
        </w:tc>
      </w:tr>
      <w:tr w:rsidR="00324B33" w:rsidRPr="00D01DDB" w14:paraId="6E5D32FE"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E679D1" w:rsidRDefault="00324B33" w:rsidP="00E679D1">
            <w:r w:rsidRPr="00E679D1">
              <w:t>Registration decision (Outcome)</w:t>
            </w:r>
          </w:p>
        </w:tc>
        <w:tc>
          <w:tcPr>
            <w:tcW w:w="2977" w:type="dxa"/>
          </w:tcPr>
          <w:p w14:paraId="62987ABD" w14:textId="6CCC7642" w:rsidR="00324B33" w:rsidRPr="00D01DDB" w:rsidRDefault="004B68E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13 June 2025</w:t>
            </w:r>
          </w:p>
        </w:tc>
      </w:tr>
      <w:tr w:rsidR="00324B33" w:rsidRPr="00D01DDB" w14:paraId="6DDCDD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92FD19D" w14:textId="3A0D1BCD" w:rsidR="00324B33" w:rsidRPr="00E679D1" w:rsidRDefault="0013132F" w:rsidP="007311B9">
            <w:pPr>
              <w:ind w:left="0"/>
            </w:pPr>
            <w:r w:rsidRPr="00E679D1">
              <w:t xml:space="preserve"> </w:t>
            </w:r>
            <w:r w:rsidR="00C00844">
              <w:t>R</w:t>
            </w:r>
            <w:r w:rsidRPr="00E679D1">
              <w:t xml:space="preserve">egistration </w:t>
            </w:r>
            <w:r w:rsidR="005C4B46" w:rsidRPr="00E679D1">
              <w:t xml:space="preserve">in </w:t>
            </w:r>
            <w:r w:rsidRPr="00E679D1">
              <w:t>the ARTG completed</w:t>
            </w:r>
          </w:p>
        </w:tc>
        <w:tc>
          <w:tcPr>
            <w:tcW w:w="2977" w:type="dxa"/>
          </w:tcPr>
          <w:p w14:paraId="5A8923FD" w14:textId="55FF5FAC" w:rsidR="00324B33" w:rsidRPr="00D01DDB" w:rsidRDefault="00D21C2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9 July 2025</w:t>
            </w:r>
          </w:p>
        </w:tc>
      </w:tr>
      <w:tr w:rsidR="00324B33" w:rsidRPr="00D01DDB" w14:paraId="56D922E2"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E679D1" w:rsidRDefault="00324B33" w:rsidP="00E679D1">
            <w:r w:rsidRPr="00E679D1">
              <w:t>Number of working days from submission dossier acceptance to registration decision*</w:t>
            </w:r>
          </w:p>
        </w:tc>
        <w:tc>
          <w:tcPr>
            <w:tcW w:w="2977" w:type="dxa"/>
          </w:tcPr>
          <w:p w14:paraId="5BAF9FA1" w14:textId="75EC8810" w:rsidR="00324B33" w:rsidRPr="00D01DDB" w:rsidRDefault="00F176B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218</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4FED8508" w:rsidR="00C22214" w:rsidRPr="00792A32" w:rsidRDefault="00083763" w:rsidP="003F6191">
      <w:pPr>
        <w:pStyle w:val="Heading2"/>
      </w:pPr>
      <w:bookmarkStart w:id="32" w:name="_Toc196046504"/>
      <w:bookmarkStart w:id="33" w:name="_Toc247691527"/>
      <w:bookmarkStart w:id="34" w:name="_Toc314842510"/>
      <w:bookmarkStart w:id="35" w:name="_Toc103679294"/>
      <w:bookmarkStart w:id="36" w:name="_Toc221616606"/>
      <w:r>
        <w:t xml:space="preserve">Assessment </w:t>
      </w:r>
      <w:r w:rsidR="00C22214" w:rsidRPr="003F6191">
        <w:t>overview</w:t>
      </w:r>
      <w:bookmarkEnd w:id="32"/>
      <w:bookmarkEnd w:id="33"/>
      <w:bookmarkEnd w:id="34"/>
      <w:bookmarkEnd w:id="35"/>
      <w:bookmarkEnd w:id="36"/>
    </w:p>
    <w:p w14:paraId="540151FC" w14:textId="77777777" w:rsidR="00C22214" w:rsidRPr="00BD5DBD" w:rsidRDefault="00C22214" w:rsidP="00BD5DBD">
      <w:pPr>
        <w:rPr>
          <w:szCs w:val="22"/>
        </w:rPr>
      </w:pPr>
      <w:bookmarkStart w:id="37" w:name="_Toc247691528"/>
      <w:bookmarkStart w:id="38" w:name="_Toc314842511"/>
      <w:r w:rsidRPr="00BD5DBD">
        <w:rPr>
          <w:szCs w:val="22"/>
        </w:rPr>
        <w:t>A summary of the TGA’s assessment for this submission is provided below.</w:t>
      </w:r>
    </w:p>
    <w:p w14:paraId="37F5A1C0" w14:textId="5D3D5FE0" w:rsidR="00C22214" w:rsidRDefault="00095C6A" w:rsidP="00C22214">
      <w:pPr>
        <w:pStyle w:val="Heading3"/>
      </w:pPr>
      <w:bookmarkStart w:id="39" w:name="_Toc103679295"/>
      <w:bookmarkStart w:id="40" w:name="_Toc221616607"/>
      <w:r>
        <w:t>Q</w:t>
      </w:r>
      <w:r w:rsidR="00C22214">
        <w:t>uality</w:t>
      </w:r>
      <w:bookmarkEnd w:id="37"/>
      <w:bookmarkEnd w:id="38"/>
      <w:bookmarkEnd w:id="39"/>
      <w:r w:rsidR="007E6443">
        <w:t xml:space="preserve"> evaluation</w:t>
      </w:r>
      <w:r>
        <w:t xml:space="preserve"> summary</w:t>
      </w:r>
      <w:bookmarkEnd w:id="40"/>
    </w:p>
    <w:p w14:paraId="7A387E3C" w14:textId="196E3542" w:rsidR="0002441F" w:rsidRPr="0002441F" w:rsidRDefault="00C4333E" w:rsidP="003F6191">
      <w:r w:rsidRPr="00C4333E">
        <w:t xml:space="preserve">Denosumab is a glycosylated IgG2 -based monoclonal antibody that selectively binds to receptor activator of nuclear factor- </w:t>
      </w:r>
      <w:proofErr w:type="spellStart"/>
      <w:r w:rsidRPr="00C4333E">
        <w:t>κB</w:t>
      </w:r>
      <w:proofErr w:type="spellEnd"/>
      <w:r w:rsidRPr="00C4333E">
        <w:t xml:space="preserve"> ligand (RANKL).</w:t>
      </w:r>
      <w:r w:rsidR="0002441F" w:rsidRPr="0002441F">
        <w:rPr>
          <w:rFonts w:eastAsia="MS Mincho" w:cs="Times New Roman"/>
          <w:lang w:eastAsia="ja-JP"/>
        </w:rPr>
        <w:t xml:space="preserve"> </w:t>
      </w:r>
      <w:r w:rsidR="0002441F" w:rsidRPr="0002441F">
        <w:t>The active ingredient was produced using recombinant DNA technology in CHO cells. Information about the manufacturing, storage and control facilities for the active substance has been provided in the dossier.</w:t>
      </w:r>
    </w:p>
    <w:p w14:paraId="5DDCCA53" w14:textId="0F87569A" w:rsidR="00824D5F" w:rsidRDefault="00824D5F" w:rsidP="003F6191">
      <w:r w:rsidRPr="00824D5F">
        <w:t>The active substance of O</w:t>
      </w:r>
      <w:r w:rsidR="009F6ECB">
        <w:t>spomyv</w:t>
      </w:r>
      <w:r w:rsidRPr="00824D5F">
        <w:t>/X</w:t>
      </w:r>
      <w:r w:rsidR="009F6ECB">
        <w:t>borso</w:t>
      </w:r>
      <w:r w:rsidRPr="00824D5F">
        <w:t xml:space="preserve"> (</w:t>
      </w:r>
      <w:r w:rsidRPr="007E336D">
        <w:t>denosumab</w:t>
      </w:r>
      <w:r w:rsidR="008C305B" w:rsidRPr="007E336D">
        <w:t>- company code: SB16</w:t>
      </w:r>
      <w:r w:rsidRPr="007E336D">
        <w:t>) has been</w:t>
      </w:r>
      <w:r w:rsidRPr="00824D5F">
        <w:t xml:space="preserve"> developed as a similar biological medicinal product (biosimilar) to that of the currently registered reference product P</w:t>
      </w:r>
      <w:r w:rsidR="0095776A">
        <w:t>rolia</w:t>
      </w:r>
      <w:r w:rsidRPr="00824D5F">
        <w:t>/X</w:t>
      </w:r>
      <w:r w:rsidR="0095776A">
        <w:t>geva</w:t>
      </w:r>
      <w:r w:rsidRPr="00824D5F">
        <w:t xml:space="preserve"> (denosumab). The sponsor has demonstrated that O</w:t>
      </w:r>
      <w:r w:rsidR="0095776A">
        <w:t>spo</w:t>
      </w:r>
      <w:r w:rsidR="00E56C3C">
        <w:t>myv</w:t>
      </w:r>
      <w:r w:rsidRPr="00824D5F">
        <w:t>/X</w:t>
      </w:r>
      <w:r w:rsidR="00E56C3C">
        <w:t>borso</w:t>
      </w:r>
      <w:r w:rsidRPr="00824D5F">
        <w:t xml:space="preserve"> (denosumab), is comparable to EU P</w:t>
      </w:r>
      <w:r w:rsidR="00E56C3C">
        <w:t>rolia</w:t>
      </w:r>
      <w:r w:rsidRPr="00824D5F">
        <w:t>/X</w:t>
      </w:r>
      <w:r w:rsidR="00E56C3C">
        <w:t>geva</w:t>
      </w:r>
      <w:r w:rsidRPr="00824D5F">
        <w:t xml:space="preserve"> (denosumab) in terms of structure, species, function and degradation profile. An additional bridging comparability study between the EU and AU Prolia/Xgeva demonstrated EU Prolia/Xgeva to be representative of the Australian registered product (AU Prolia/</w:t>
      </w:r>
      <w:proofErr w:type="spellStart"/>
      <w:r w:rsidRPr="00824D5F">
        <w:t>Xgeva</w:t>
      </w:r>
      <w:proofErr w:type="spellEnd"/>
      <w:r w:rsidRPr="00824D5F">
        <w:t>).</w:t>
      </w:r>
    </w:p>
    <w:p w14:paraId="10E7769D" w14:textId="655BBE7C" w:rsidR="009455B8" w:rsidRPr="009455B8" w:rsidRDefault="007F4650" w:rsidP="007F4650">
      <w:r w:rsidRPr="007F4650">
        <w:t>Ospomyv</w:t>
      </w:r>
      <w:r w:rsidR="00CC5A82">
        <w:t xml:space="preserve">/ </w:t>
      </w:r>
      <w:r w:rsidR="00E63225" w:rsidRPr="00E63225">
        <w:t>Xborso</w:t>
      </w:r>
      <w:r w:rsidR="00E63225">
        <w:t xml:space="preserve"> are</w:t>
      </w:r>
      <w:r w:rsidR="00CC5A82">
        <w:t xml:space="preserve"> </w:t>
      </w:r>
      <w:r w:rsidRPr="007F4650">
        <w:t>sterile, preservative-free, clear, colourless to slightly yellow solution for</w:t>
      </w:r>
      <w:r w:rsidR="00E63225">
        <w:t xml:space="preserve"> </w:t>
      </w:r>
      <w:r w:rsidRPr="007F4650">
        <w:t>injection at pH 5.2. The solution may contain trace amounts of translucent to white</w:t>
      </w:r>
      <w:r w:rsidR="00E63225">
        <w:t xml:space="preserve"> </w:t>
      </w:r>
      <w:r w:rsidRPr="007F4650">
        <w:t>proteinaceous particles.</w:t>
      </w:r>
      <w:r w:rsidR="00E63225">
        <w:t xml:space="preserve"> </w:t>
      </w:r>
      <w:r w:rsidR="00271D89" w:rsidRPr="00F61FAD">
        <w:t xml:space="preserve">The </w:t>
      </w:r>
      <w:r w:rsidR="00763D05">
        <w:t>sponsor</w:t>
      </w:r>
      <w:r w:rsidR="00271D89" w:rsidRPr="00F61FAD">
        <w:t xml:space="preserve"> provided the stability data of active ingredient for supporting the proposed shelf-life.</w:t>
      </w:r>
      <w:r w:rsidR="00271D89" w:rsidRPr="00271D89">
        <w:rPr>
          <w:b/>
          <w:bCs/>
        </w:rPr>
        <w:t xml:space="preserve"> </w:t>
      </w:r>
      <w:r w:rsidR="009455B8" w:rsidRPr="009455B8">
        <w:t xml:space="preserve">Store at 2°C to 8°C (Refrigerate. Do not freeze). Keep the pre-filled syringe or vial in the outer carton </w:t>
      </w:r>
      <w:proofErr w:type="gramStart"/>
      <w:r w:rsidR="009455B8" w:rsidRPr="009455B8">
        <w:t>in order to</w:t>
      </w:r>
      <w:proofErr w:type="gramEnd"/>
      <w:r w:rsidR="009455B8" w:rsidRPr="009455B8">
        <w:t xml:space="preserve"> protect from light.</w:t>
      </w:r>
    </w:p>
    <w:p w14:paraId="1ABE184A" w14:textId="67842D67" w:rsidR="009455B8" w:rsidRPr="009455B8" w:rsidRDefault="009455B8" w:rsidP="003F6191">
      <w:r w:rsidRPr="009455B8">
        <w:t xml:space="preserve">Do not excessively shake the pre-filled syringe. If removed from the refrigerator, store the pre-filled syringe below 25°C (room temperature) and must be used within a single period of 60 days, but not exceeding the original expiry date. If not used within this period of up to 60 days, Ospomyv or Xborso may be returned to the refrigerator for future use. Any Ospomyv or Xborso that has already been exposed to room temperature for a single period of up to 60 days, and is exposed to room temperature the </w:t>
      </w:r>
      <w:r w:rsidR="000E70E3">
        <w:t>second</w:t>
      </w:r>
      <w:r w:rsidRPr="009455B8">
        <w:t xml:space="preserve"> time, should be used as soon as possible or discarded. Do not use Ospomyv or Xborso after the expiry date printed on the label.</w:t>
      </w:r>
    </w:p>
    <w:p w14:paraId="7A4ACB3C" w14:textId="024BE94C" w:rsidR="00824D5F" w:rsidRPr="00824D5F" w:rsidRDefault="00824D5F" w:rsidP="003F6191">
      <w:r w:rsidRPr="00824D5F">
        <w:t xml:space="preserve">There are no objections on quality grounds to the approval of </w:t>
      </w:r>
      <w:proofErr w:type="spellStart"/>
      <w:r w:rsidRPr="00824D5F">
        <w:t>O</w:t>
      </w:r>
      <w:r w:rsidR="009C3F63">
        <w:t>spomyv</w:t>
      </w:r>
      <w:proofErr w:type="spellEnd"/>
      <w:r w:rsidRPr="00824D5F">
        <w:t xml:space="preserve"> (denosumab) and </w:t>
      </w:r>
      <w:proofErr w:type="spellStart"/>
      <w:r w:rsidRPr="00824D5F">
        <w:t>X</w:t>
      </w:r>
      <w:r w:rsidR="009C3F63">
        <w:t>borso</w:t>
      </w:r>
      <w:proofErr w:type="spellEnd"/>
      <w:r w:rsidRPr="00824D5F">
        <w:t xml:space="preserve"> (denosumab).</w:t>
      </w:r>
    </w:p>
    <w:p w14:paraId="2BE90AAE" w14:textId="35796FD3" w:rsidR="00C22214" w:rsidRDefault="00C22214" w:rsidP="00C22214">
      <w:pPr>
        <w:pStyle w:val="Heading3"/>
      </w:pPr>
      <w:bookmarkStart w:id="41" w:name="_Toc314842512"/>
      <w:bookmarkStart w:id="42" w:name="_Toc103679296"/>
      <w:bookmarkStart w:id="43" w:name="_Toc221616608"/>
      <w:r>
        <w:lastRenderedPageBreak/>
        <w:t>Nonclinical</w:t>
      </w:r>
      <w:bookmarkEnd w:id="41"/>
      <w:bookmarkEnd w:id="42"/>
      <w:r w:rsidR="007E6443">
        <w:t xml:space="preserve"> evaluation</w:t>
      </w:r>
      <w:r w:rsidR="00095C6A">
        <w:t xml:space="preserve"> summary</w:t>
      </w:r>
      <w:bookmarkEnd w:id="43"/>
    </w:p>
    <w:p w14:paraId="15C51A23" w14:textId="7B3FF466" w:rsidR="008804CF" w:rsidRPr="00BD5DBD" w:rsidRDefault="008804CF" w:rsidP="003F6191">
      <w:pPr>
        <w:rPr>
          <w:b/>
          <w:bCs/>
        </w:rPr>
      </w:pPr>
      <w:bookmarkStart w:id="44" w:name="_Toc247691530"/>
      <w:bookmarkStart w:id="45" w:name="_Toc314842513"/>
      <w:bookmarkStart w:id="46" w:name="_Toc103679297"/>
      <w:r w:rsidRPr="00BD5DBD">
        <w:t>No new nonclinical data or further nonclinical evaluation were required for this submission.</w:t>
      </w:r>
      <w:r w:rsidR="008C754C" w:rsidRPr="00BD5DBD">
        <w:t xml:space="preserve"> </w:t>
      </w:r>
      <w:r w:rsidRPr="00BD5DBD">
        <w:t>The TGA considers that previously submitted and evaluated data satisfactorily address nonclinical aspects of safety/efficacy relating to this submission</w:t>
      </w:r>
      <w:r w:rsidR="00F865A7" w:rsidRPr="00BD5DBD">
        <w:t>.</w:t>
      </w:r>
      <w:r w:rsidR="00CB42F1" w:rsidRPr="00CB42F1">
        <w:rPr>
          <w:vertAlign w:val="superscript"/>
        </w:rPr>
        <w:t>2,3</w:t>
      </w:r>
    </w:p>
    <w:p w14:paraId="35B580A5" w14:textId="40B226DC" w:rsidR="00C22214" w:rsidRDefault="00C22214" w:rsidP="008804CF">
      <w:pPr>
        <w:pStyle w:val="Heading3"/>
      </w:pPr>
      <w:bookmarkStart w:id="47" w:name="_Toc221616609"/>
      <w:r>
        <w:t>Clinical</w:t>
      </w:r>
      <w:bookmarkEnd w:id="44"/>
      <w:bookmarkEnd w:id="45"/>
      <w:bookmarkEnd w:id="46"/>
      <w:r w:rsidR="00095C6A">
        <w:t xml:space="preserve"> evaluation summary</w:t>
      </w:r>
      <w:bookmarkEnd w:id="47"/>
    </w:p>
    <w:p w14:paraId="32B0DEDA" w14:textId="77777777" w:rsidR="00C22214" w:rsidRPr="00433318" w:rsidRDefault="00C22214" w:rsidP="003F6191">
      <w:pPr>
        <w:pStyle w:val="Heading4"/>
      </w:pPr>
      <w:bookmarkStart w:id="48" w:name="_Toc98931928"/>
      <w:bookmarkStart w:id="49" w:name="_Toc221616610"/>
      <w:r>
        <w:t>Summary of clinical studies</w:t>
      </w:r>
      <w:bookmarkEnd w:id="48"/>
      <w:bookmarkEnd w:id="49"/>
    </w:p>
    <w:p w14:paraId="765AF044" w14:textId="77777777" w:rsidR="00CB2D45" w:rsidRDefault="003E1980" w:rsidP="00CB2D45">
      <w:r w:rsidRPr="00E44177">
        <w:t>The following two clinical studies have been submitted</w:t>
      </w:r>
      <w:r w:rsidR="00CB5AD2">
        <w:t xml:space="preserve"> as per Table 2.</w:t>
      </w:r>
    </w:p>
    <w:p w14:paraId="7FEE2490" w14:textId="20910434" w:rsidR="00CB5AD2" w:rsidRPr="00CB5AD2" w:rsidRDefault="00CB5AD2" w:rsidP="00CB2D45">
      <w:pPr>
        <w:pStyle w:val="TableTitle"/>
      </w:pPr>
      <w:r>
        <w:t xml:space="preserve">Table 2: </w:t>
      </w:r>
      <w:r w:rsidR="00AF73BF">
        <w:t>Details of c</w:t>
      </w:r>
      <w:r>
        <w:t xml:space="preserve">linical studies </w:t>
      </w:r>
      <w:r w:rsidR="00402BCD">
        <w:t xml:space="preserve">submitted </w:t>
      </w:r>
      <w:r>
        <w:t xml:space="preserve">for </w:t>
      </w:r>
      <w:proofErr w:type="spellStart"/>
      <w:r w:rsidR="00A906EC" w:rsidRPr="003F6191">
        <w:t>SB</w:t>
      </w:r>
      <w:r w:rsidR="00F150AD" w:rsidRPr="003F6191">
        <w:t>16</w:t>
      </w:r>
      <w:proofErr w:type="spellEnd"/>
      <w:r w:rsidR="008550D6" w:rsidRPr="008550D6">
        <w:rPr>
          <w:rFonts w:eastAsiaTheme="minorHAnsi" w:cstheme="minorBidi"/>
          <w:szCs w:val="20"/>
        </w:rPr>
        <w:t xml:space="preserve"> </w:t>
      </w:r>
      <w:r w:rsidR="008550D6" w:rsidRPr="008550D6">
        <w:t>denosumab</w:t>
      </w:r>
      <w:r w:rsidR="008550D6">
        <w:t>.</w:t>
      </w:r>
    </w:p>
    <w:p w14:paraId="49CCB66D" w14:textId="4808F815" w:rsidR="003E1980" w:rsidRDefault="00E44177" w:rsidP="003F6191">
      <w:r w:rsidRPr="00E44177">
        <w:rPr>
          <w:noProof/>
        </w:rPr>
        <w:drawing>
          <wp:inline distT="0" distB="0" distL="0" distR="0" wp14:anchorId="46F65B58" wp14:editId="7C9A7EAA">
            <wp:extent cx="6320880" cy="2432180"/>
            <wp:effectExtent l="0" t="0" r="3810" b="6350"/>
            <wp:docPr id="734684152" name="Picture 4" descr="Table 2: Details of clinical studies submitted for SB16 denos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84152" name="Picture 4" descr="Table 2: Details of clinical studies submitted for SB16 denosuma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2553" cy="2440519"/>
                    </a:xfrm>
                    <a:prstGeom prst="rect">
                      <a:avLst/>
                    </a:prstGeom>
                    <a:noFill/>
                    <a:ln>
                      <a:noFill/>
                    </a:ln>
                  </pic:spPr>
                </pic:pic>
              </a:graphicData>
            </a:graphic>
          </wp:inline>
        </w:drawing>
      </w:r>
    </w:p>
    <w:p w14:paraId="1726CA0C" w14:textId="77777777" w:rsidR="0047593D" w:rsidRDefault="0047593D" w:rsidP="0048424D">
      <w:pPr>
        <w:pStyle w:val="Heading4"/>
      </w:pPr>
      <w:bookmarkStart w:id="50" w:name="_Toc221616611"/>
      <w:bookmarkStart w:id="51" w:name="_Toc314842514"/>
      <w:r>
        <w:t>Pharmacology</w:t>
      </w:r>
      <w:bookmarkEnd w:id="50"/>
    </w:p>
    <w:p w14:paraId="4621EF79" w14:textId="067EDE66" w:rsidR="0047593D" w:rsidRDefault="0047593D" w:rsidP="003F6191">
      <w:r>
        <w:t>The</w:t>
      </w:r>
      <w:r>
        <w:rPr>
          <w:spacing w:val="-4"/>
        </w:rPr>
        <w:t xml:space="preserve"> </w:t>
      </w:r>
      <w:r>
        <w:t>main</w:t>
      </w:r>
      <w:r>
        <w:rPr>
          <w:spacing w:val="-3"/>
        </w:rPr>
        <w:t xml:space="preserve"> </w:t>
      </w:r>
      <w:r>
        <w:t>purpose</w:t>
      </w:r>
      <w:r>
        <w:rPr>
          <w:spacing w:val="-2"/>
        </w:rPr>
        <w:t xml:space="preserve"> </w:t>
      </w:r>
      <w:r>
        <w:t>of</w:t>
      </w:r>
      <w:r>
        <w:rPr>
          <w:spacing w:val="-2"/>
        </w:rPr>
        <w:t xml:space="preserve"> </w:t>
      </w:r>
      <w:r>
        <w:t>the</w:t>
      </w:r>
      <w:r>
        <w:rPr>
          <w:spacing w:val="-4"/>
        </w:rPr>
        <w:t xml:space="preserve"> </w:t>
      </w:r>
      <w:r w:rsidR="00F554FB">
        <w:rPr>
          <w:spacing w:val="-4"/>
        </w:rPr>
        <w:t>pharmacoki</w:t>
      </w:r>
      <w:r w:rsidR="007B6182">
        <w:rPr>
          <w:spacing w:val="-4"/>
        </w:rPr>
        <w:t>netic (</w:t>
      </w:r>
      <w:r>
        <w:t>PK</w:t>
      </w:r>
      <w:r w:rsidR="007B6182">
        <w:t>)</w:t>
      </w:r>
      <w:r>
        <w:rPr>
          <w:spacing w:val="-2"/>
        </w:rPr>
        <w:t xml:space="preserve"> </w:t>
      </w:r>
      <w:r>
        <w:t>studies</w:t>
      </w:r>
      <w:r>
        <w:rPr>
          <w:spacing w:val="-1"/>
        </w:rPr>
        <w:t xml:space="preserve"> </w:t>
      </w:r>
      <w:r>
        <w:t>was</w:t>
      </w:r>
      <w:r>
        <w:rPr>
          <w:spacing w:val="-1"/>
        </w:rPr>
        <w:t xml:space="preserve"> </w:t>
      </w:r>
      <w:r>
        <w:t>to</w:t>
      </w:r>
      <w:r>
        <w:rPr>
          <w:spacing w:val="-2"/>
        </w:rPr>
        <w:t xml:space="preserve"> </w:t>
      </w:r>
      <w:r>
        <w:t>demonstrate</w:t>
      </w:r>
      <w:r>
        <w:rPr>
          <w:spacing w:val="-2"/>
        </w:rPr>
        <w:t xml:space="preserve"> </w:t>
      </w:r>
      <w:r>
        <w:t>the</w:t>
      </w:r>
      <w:r>
        <w:rPr>
          <w:spacing w:val="-2"/>
        </w:rPr>
        <w:t xml:space="preserve"> </w:t>
      </w:r>
      <w:r>
        <w:t>PK</w:t>
      </w:r>
      <w:r>
        <w:rPr>
          <w:spacing w:val="-4"/>
        </w:rPr>
        <w:t xml:space="preserve"> </w:t>
      </w:r>
      <w:r>
        <w:t>similarities</w:t>
      </w:r>
      <w:r>
        <w:rPr>
          <w:spacing w:val="-1"/>
        </w:rPr>
        <w:t xml:space="preserve"> </w:t>
      </w:r>
      <w:r>
        <w:t>of</w:t>
      </w:r>
      <w:r>
        <w:rPr>
          <w:spacing w:val="-4"/>
        </w:rPr>
        <w:t xml:space="preserve"> </w:t>
      </w:r>
      <w:r>
        <w:t>SB16</w:t>
      </w:r>
      <w:r>
        <w:rPr>
          <w:spacing w:val="-1"/>
        </w:rPr>
        <w:t xml:space="preserve"> </w:t>
      </w:r>
      <w:r>
        <w:t>with</w:t>
      </w:r>
      <w:r>
        <w:rPr>
          <w:spacing w:val="-2"/>
        </w:rPr>
        <w:t xml:space="preserve"> </w:t>
      </w:r>
      <w:r>
        <w:t>the reference products.</w:t>
      </w:r>
    </w:p>
    <w:p w14:paraId="1EECC8E1" w14:textId="2C4B2B0F" w:rsidR="0047593D" w:rsidRDefault="0047593D" w:rsidP="003F6191">
      <w:r>
        <w:t>Both</w:t>
      </w:r>
      <w:r>
        <w:rPr>
          <w:spacing w:val="-3"/>
        </w:rPr>
        <w:t xml:space="preserve"> </w:t>
      </w:r>
      <w:r>
        <w:t>clinical</w:t>
      </w:r>
      <w:r>
        <w:rPr>
          <w:spacing w:val="-3"/>
        </w:rPr>
        <w:t xml:space="preserve"> </w:t>
      </w:r>
      <w:r>
        <w:t>studies</w:t>
      </w:r>
      <w:r>
        <w:rPr>
          <w:spacing w:val="-3"/>
        </w:rPr>
        <w:t xml:space="preserve"> </w:t>
      </w:r>
      <w:r>
        <w:t>(SB16-1001</w:t>
      </w:r>
      <w:r>
        <w:rPr>
          <w:spacing w:val="-3"/>
        </w:rPr>
        <w:t xml:space="preserve"> </w:t>
      </w:r>
      <w:r>
        <w:t>and</w:t>
      </w:r>
      <w:r>
        <w:rPr>
          <w:spacing w:val="-3"/>
        </w:rPr>
        <w:t xml:space="preserve"> </w:t>
      </w:r>
      <w:r>
        <w:t>SB16-3001)</w:t>
      </w:r>
      <w:r>
        <w:rPr>
          <w:spacing w:val="-3"/>
        </w:rPr>
        <w:t xml:space="preserve"> </w:t>
      </w:r>
      <w:r>
        <w:t>provided</w:t>
      </w:r>
      <w:r>
        <w:rPr>
          <w:spacing w:val="-3"/>
        </w:rPr>
        <w:t xml:space="preserve"> </w:t>
      </w:r>
      <w:r>
        <w:t>pharmacokinetic</w:t>
      </w:r>
      <w:r>
        <w:rPr>
          <w:spacing w:val="-4"/>
        </w:rPr>
        <w:t xml:space="preserve"> </w:t>
      </w:r>
      <w:r>
        <w:t>information</w:t>
      </w:r>
      <w:r>
        <w:rPr>
          <w:spacing w:val="-4"/>
        </w:rPr>
        <w:t xml:space="preserve"> </w:t>
      </w:r>
      <w:r>
        <w:t>to</w:t>
      </w:r>
      <w:r>
        <w:rPr>
          <w:spacing w:val="-3"/>
        </w:rPr>
        <w:t xml:space="preserve"> </w:t>
      </w:r>
      <w:r>
        <w:t>the comparability assessment. Overseas reference products EU P</w:t>
      </w:r>
      <w:r w:rsidR="00A57C27">
        <w:t>rolia</w:t>
      </w:r>
      <w:r>
        <w:t xml:space="preserve"> and US P</w:t>
      </w:r>
      <w:r w:rsidR="00D44EFC">
        <w:t>rolia</w:t>
      </w:r>
      <w:r>
        <w:t xml:space="preserve"> and EU X</w:t>
      </w:r>
      <w:r w:rsidR="00D44EFC">
        <w:t xml:space="preserve">geva </w:t>
      </w:r>
      <w:r>
        <w:t>and US X</w:t>
      </w:r>
      <w:r w:rsidR="00D44EFC">
        <w:t>geva</w:t>
      </w:r>
      <w:r>
        <w:t xml:space="preserve"> were used in the </w:t>
      </w:r>
      <w:r w:rsidR="0048424D">
        <w:t>studies but</w:t>
      </w:r>
      <w:r>
        <w:t xml:space="preserve"> bridged to AU P</w:t>
      </w:r>
      <w:r w:rsidR="00D44EFC">
        <w:t>rolia</w:t>
      </w:r>
      <w:r>
        <w:t xml:space="preserve"> and AU X</w:t>
      </w:r>
      <w:r w:rsidR="00D44EFC">
        <w:t>geva</w:t>
      </w:r>
      <w:r w:rsidR="00E92B37">
        <w:t>.</w:t>
      </w:r>
    </w:p>
    <w:p w14:paraId="7CE323FF" w14:textId="77777777" w:rsidR="0047593D" w:rsidRDefault="0047593D" w:rsidP="0048424D">
      <w:pPr>
        <w:pStyle w:val="Heading5"/>
      </w:pPr>
      <w:bookmarkStart w:id="52" w:name="2.4.1.1._Phase_1_PK_Study_SB16-1001"/>
      <w:bookmarkEnd w:id="52"/>
      <w:r>
        <w:t>Phase</w:t>
      </w:r>
      <w:r>
        <w:rPr>
          <w:spacing w:val="-4"/>
        </w:rPr>
        <w:t xml:space="preserve"> </w:t>
      </w:r>
      <w:r>
        <w:t>1</w:t>
      </w:r>
      <w:r>
        <w:rPr>
          <w:spacing w:val="-3"/>
        </w:rPr>
        <w:t xml:space="preserve"> </w:t>
      </w:r>
      <w:r>
        <w:t>PK</w:t>
      </w:r>
      <w:r>
        <w:rPr>
          <w:spacing w:val="-5"/>
        </w:rPr>
        <w:t xml:space="preserve"> </w:t>
      </w:r>
      <w:r>
        <w:t>Study</w:t>
      </w:r>
      <w:r>
        <w:rPr>
          <w:spacing w:val="-3"/>
        </w:rPr>
        <w:t xml:space="preserve"> </w:t>
      </w:r>
      <w:r>
        <w:t>SB16-</w:t>
      </w:r>
      <w:r>
        <w:rPr>
          <w:spacing w:val="-4"/>
        </w:rPr>
        <w:t>1001</w:t>
      </w:r>
    </w:p>
    <w:p w14:paraId="30E8D9AF" w14:textId="77777777" w:rsidR="0047593D" w:rsidRPr="00B71A63" w:rsidRDefault="0047593D" w:rsidP="003F6191">
      <w:pPr>
        <w:pStyle w:val="Heading6"/>
      </w:pPr>
      <w:r w:rsidRPr="00B71A63">
        <w:t>Design</w:t>
      </w:r>
    </w:p>
    <w:p w14:paraId="6FF3E5B7" w14:textId="7F4CCF4A" w:rsidR="0047593D" w:rsidRDefault="0047593D" w:rsidP="003F6191">
      <w:r>
        <w:t>A</w:t>
      </w:r>
      <w:r>
        <w:rPr>
          <w:spacing w:val="-4"/>
        </w:rPr>
        <w:t xml:space="preserve"> </w:t>
      </w:r>
      <w:r>
        <w:t>randomised,</w:t>
      </w:r>
      <w:r>
        <w:rPr>
          <w:spacing w:val="-3"/>
        </w:rPr>
        <w:t xml:space="preserve"> </w:t>
      </w:r>
      <w:r>
        <w:t>double-blind,</w:t>
      </w:r>
      <w:r>
        <w:rPr>
          <w:spacing w:val="-3"/>
        </w:rPr>
        <w:t xml:space="preserve"> </w:t>
      </w:r>
      <w:r>
        <w:t>three-arm,</w:t>
      </w:r>
      <w:r>
        <w:rPr>
          <w:spacing w:val="-3"/>
        </w:rPr>
        <w:t xml:space="preserve"> </w:t>
      </w:r>
      <w:r>
        <w:t>parallel</w:t>
      </w:r>
      <w:r>
        <w:rPr>
          <w:spacing w:val="-3"/>
        </w:rPr>
        <w:t xml:space="preserve"> </w:t>
      </w:r>
      <w:r>
        <w:t>group</w:t>
      </w:r>
      <w:r>
        <w:rPr>
          <w:spacing w:val="-3"/>
        </w:rPr>
        <w:t xml:space="preserve"> </w:t>
      </w:r>
      <w:r>
        <w:t>(1:1:1),</w:t>
      </w:r>
      <w:r>
        <w:rPr>
          <w:spacing w:val="-5"/>
        </w:rPr>
        <w:t xml:space="preserve"> </w:t>
      </w:r>
      <w:r>
        <w:t>single-dose</w:t>
      </w:r>
      <w:r>
        <w:rPr>
          <w:spacing w:val="-3"/>
        </w:rPr>
        <w:t xml:space="preserve"> </w:t>
      </w:r>
      <w:r>
        <w:t>study</w:t>
      </w:r>
      <w:r>
        <w:rPr>
          <w:spacing w:val="-4"/>
        </w:rPr>
        <w:t xml:space="preserve"> </w:t>
      </w:r>
      <w:r>
        <w:t>to</w:t>
      </w:r>
      <w:r>
        <w:rPr>
          <w:spacing w:val="-3"/>
        </w:rPr>
        <w:t xml:space="preserve"> </w:t>
      </w:r>
      <w:r>
        <w:t>compare</w:t>
      </w:r>
      <w:r>
        <w:rPr>
          <w:spacing w:val="-3"/>
        </w:rPr>
        <w:t xml:space="preserve"> </w:t>
      </w:r>
      <w:r>
        <w:t>the pharmacokinetics, pharmacodynamics, safety, tolerability, and immunogenicity of denosumab (SB16 denosumab, EU sourced P</w:t>
      </w:r>
      <w:r w:rsidR="00405A22">
        <w:t>rolia</w:t>
      </w:r>
      <w:r>
        <w:t>, and US sourced P</w:t>
      </w:r>
      <w:r w:rsidR="00405A22">
        <w:t>rolia</w:t>
      </w:r>
      <w:r>
        <w:t>) in 168 healthy male subjects aged 28-55 years. The study was conducted in one centre in France and 2 centres in the US between 21 October 2020 and 9 November 2022 (last subject last visit).</w:t>
      </w:r>
    </w:p>
    <w:p w14:paraId="461B6630" w14:textId="2ED21676" w:rsidR="0047593D" w:rsidRDefault="0047593D" w:rsidP="0048424D">
      <w:r>
        <w:t>Blood</w:t>
      </w:r>
      <w:r>
        <w:rPr>
          <w:spacing w:val="-6"/>
        </w:rPr>
        <w:t xml:space="preserve"> </w:t>
      </w:r>
      <w:r>
        <w:t>samples for</w:t>
      </w:r>
      <w:r>
        <w:rPr>
          <w:spacing w:val="-3"/>
        </w:rPr>
        <w:t xml:space="preserve"> </w:t>
      </w:r>
      <w:r>
        <w:t>PK</w:t>
      </w:r>
      <w:r>
        <w:rPr>
          <w:spacing w:val="-4"/>
        </w:rPr>
        <w:t xml:space="preserve"> </w:t>
      </w:r>
      <w:r>
        <w:t>analysis were</w:t>
      </w:r>
      <w:r>
        <w:rPr>
          <w:spacing w:val="-3"/>
        </w:rPr>
        <w:t xml:space="preserve"> </w:t>
      </w:r>
      <w:r>
        <w:t>collected</w:t>
      </w:r>
      <w:r>
        <w:rPr>
          <w:spacing w:val="-3"/>
        </w:rPr>
        <w:t xml:space="preserve"> </w:t>
      </w:r>
      <w:r>
        <w:t>at</w:t>
      </w:r>
      <w:r>
        <w:rPr>
          <w:spacing w:val="-4"/>
        </w:rPr>
        <w:t xml:space="preserve"> </w:t>
      </w:r>
      <w:r>
        <w:t>0</w:t>
      </w:r>
      <w:r>
        <w:rPr>
          <w:spacing w:val="-3"/>
        </w:rPr>
        <w:t xml:space="preserve"> </w:t>
      </w:r>
      <w:r>
        <w:t>(pre-dose),</w:t>
      </w:r>
      <w:r>
        <w:rPr>
          <w:spacing w:val="-3"/>
        </w:rPr>
        <w:t xml:space="preserve"> </w:t>
      </w:r>
      <w:r>
        <w:t>12,</w:t>
      </w:r>
      <w:r>
        <w:rPr>
          <w:spacing w:val="-3"/>
        </w:rPr>
        <w:t xml:space="preserve"> </w:t>
      </w:r>
      <w:r>
        <w:t>24,</w:t>
      </w:r>
      <w:r>
        <w:rPr>
          <w:spacing w:val="-5"/>
        </w:rPr>
        <w:t xml:space="preserve"> </w:t>
      </w:r>
      <w:r>
        <w:t>48,</w:t>
      </w:r>
      <w:r>
        <w:rPr>
          <w:spacing w:val="-4"/>
        </w:rPr>
        <w:t xml:space="preserve"> </w:t>
      </w:r>
      <w:r>
        <w:t>96,</w:t>
      </w:r>
      <w:r>
        <w:rPr>
          <w:spacing w:val="-5"/>
        </w:rPr>
        <w:t xml:space="preserve"> </w:t>
      </w:r>
      <w:r>
        <w:t>144,</w:t>
      </w:r>
      <w:r>
        <w:rPr>
          <w:spacing w:val="-3"/>
        </w:rPr>
        <w:t xml:space="preserve"> </w:t>
      </w:r>
      <w:r>
        <w:t>192,</w:t>
      </w:r>
      <w:r>
        <w:rPr>
          <w:spacing w:val="-3"/>
        </w:rPr>
        <w:t xml:space="preserve"> </w:t>
      </w:r>
      <w:r>
        <w:t>240,</w:t>
      </w:r>
      <w:r>
        <w:rPr>
          <w:spacing w:val="-3"/>
        </w:rPr>
        <w:t xml:space="preserve"> </w:t>
      </w:r>
      <w:r>
        <w:rPr>
          <w:spacing w:val="-4"/>
        </w:rPr>
        <w:t>288,</w:t>
      </w:r>
      <w:r w:rsidR="0048424D">
        <w:rPr>
          <w:spacing w:val="-4"/>
        </w:rPr>
        <w:t xml:space="preserve"> </w:t>
      </w:r>
      <w:r>
        <w:t>336,</w:t>
      </w:r>
      <w:r>
        <w:rPr>
          <w:spacing w:val="-6"/>
        </w:rPr>
        <w:t xml:space="preserve"> </w:t>
      </w:r>
      <w:r>
        <w:t>504,</w:t>
      </w:r>
      <w:r>
        <w:rPr>
          <w:spacing w:val="-3"/>
        </w:rPr>
        <w:t xml:space="preserve"> </w:t>
      </w:r>
      <w:r>
        <w:t>672,</w:t>
      </w:r>
      <w:r>
        <w:rPr>
          <w:spacing w:val="-3"/>
        </w:rPr>
        <w:t xml:space="preserve"> </w:t>
      </w:r>
      <w:r>
        <w:t>1008,</w:t>
      </w:r>
      <w:r>
        <w:rPr>
          <w:spacing w:val="-3"/>
        </w:rPr>
        <w:t xml:space="preserve"> </w:t>
      </w:r>
      <w:r>
        <w:t>1344,</w:t>
      </w:r>
      <w:r>
        <w:rPr>
          <w:spacing w:val="-3"/>
        </w:rPr>
        <w:t xml:space="preserve"> </w:t>
      </w:r>
      <w:r>
        <w:t>2016,</w:t>
      </w:r>
      <w:r>
        <w:rPr>
          <w:spacing w:val="-3"/>
        </w:rPr>
        <w:t xml:space="preserve"> </w:t>
      </w:r>
      <w:proofErr w:type="gramStart"/>
      <w:r>
        <w:t>2688,</w:t>
      </w:r>
      <w:r>
        <w:rPr>
          <w:spacing w:val="-3"/>
        </w:rPr>
        <w:t xml:space="preserve"> </w:t>
      </w:r>
      <w:r>
        <w:t>3360,</w:t>
      </w:r>
      <w:r>
        <w:rPr>
          <w:spacing w:val="-3"/>
        </w:rPr>
        <w:t xml:space="preserve"> </w:t>
      </w:r>
      <w:r>
        <w:t>4032,</w:t>
      </w:r>
      <w:r>
        <w:rPr>
          <w:spacing w:val="-5"/>
        </w:rPr>
        <w:t xml:space="preserve"> </w:t>
      </w:r>
      <w:r>
        <w:t>and</w:t>
      </w:r>
      <w:r>
        <w:rPr>
          <w:spacing w:val="-3"/>
        </w:rPr>
        <w:t xml:space="preserve"> </w:t>
      </w:r>
      <w:r>
        <w:t>4704</w:t>
      </w:r>
      <w:r>
        <w:rPr>
          <w:spacing w:val="-3"/>
        </w:rPr>
        <w:t xml:space="preserve"> </w:t>
      </w:r>
      <w:r>
        <w:t>h</w:t>
      </w:r>
      <w:r w:rsidR="00ED44E9">
        <w:t>ours</w:t>
      </w:r>
      <w:proofErr w:type="gramEnd"/>
      <w:r>
        <w:t xml:space="preserve"> post-dose.</w:t>
      </w:r>
    </w:p>
    <w:p w14:paraId="242C0E30" w14:textId="3E963B43" w:rsidR="0047593D" w:rsidRPr="00B71A63" w:rsidRDefault="0047593D" w:rsidP="003F6191">
      <w:pPr>
        <w:pStyle w:val="Heading7"/>
      </w:pPr>
      <w:bookmarkStart w:id="53" w:name="PK_parameters"/>
      <w:bookmarkEnd w:id="53"/>
      <w:r w:rsidRPr="00B71A63">
        <w:t>PK</w:t>
      </w:r>
      <w:r w:rsidRPr="00B71A63">
        <w:rPr>
          <w:spacing w:val="-3"/>
        </w:rPr>
        <w:t xml:space="preserve"> </w:t>
      </w:r>
      <w:r w:rsidRPr="00B71A63">
        <w:t>parameters</w:t>
      </w:r>
    </w:p>
    <w:p w14:paraId="49291D9B" w14:textId="75028BB2" w:rsidR="0047593D" w:rsidRDefault="0047593D" w:rsidP="003F6191">
      <w:r>
        <w:t>Descriptive</w:t>
      </w:r>
      <w:r>
        <w:rPr>
          <w:spacing w:val="-8"/>
        </w:rPr>
        <w:t xml:space="preserve"> </w:t>
      </w:r>
      <w:r>
        <w:t>PK</w:t>
      </w:r>
      <w:r>
        <w:rPr>
          <w:spacing w:val="-5"/>
        </w:rPr>
        <w:t xml:space="preserve"> </w:t>
      </w:r>
      <w:r>
        <w:t>parameter</w:t>
      </w:r>
      <w:r>
        <w:rPr>
          <w:spacing w:val="-6"/>
        </w:rPr>
        <w:t xml:space="preserve"> </w:t>
      </w:r>
      <w:r>
        <w:t>results</w:t>
      </w:r>
      <w:r>
        <w:rPr>
          <w:spacing w:val="-4"/>
        </w:rPr>
        <w:t xml:space="preserve"> </w:t>
      </w:r>
      <w:r>
        <w:t>are</w:t>
      </w:r>
      <w:r>
        <w:rPr>
          <w:spacing w:val="-5"/>
        </w:rPr>
        <w:t xml:space="preserve"> </w:t>
      </w:r>
      <w:r>
        <w:t>presented</w:t>
      </w:r>
      <w:r>
        <w:rPr>
          <w:spacing w:val="-5"/>
        </w:rPr>
        <w:t xml:space="preserve"> </w:t>
      </w:r>
      <w:r>
        <w:t>in</w:t>
      </w:r>
      <w:r>
        <w:rPr>
          <w:spacing w:val="-6"/>
        </w:rPr>
        <w:t xml:space="preserve"> </w:t>
      </w:r>
      <w:r w:rsidR="00D418ED">
        <w:rPr>
          <w:spacing w:val="-6"/>
        </w:rPr>
        <w:t xml:space="preserve">Table </w:t>
      </w:r>
      <w:r w:rsidR="0055707D">
        <w:t xml:space="preserve">3 </w:t>
      </w:r>
      <w:r>
        <w:t>(Pharmacokinetic</w:t>
      </w:r>
      <w:r>
        <w:rPr>
          <w:spacing w:val="-6"/>
        </w:rPr>
        <w:t xml:space="preserve"> </w:t>
      </w:r>
      <w:r>
        <w:t>Analysis</w:t>
      </w:r>
      <w:r>
        <w:rPr>
          <w:spacing w:val="-4"/>
        </w:rPr>
        <w:t xml:space="preserve"> </w:t>
      </w:r>
      <w:r>
        <w:t>Set).</w:t>
      </w:r>
    </w:p>
    <w:p w14:paraId="496198CD" w14:textId="77777777" w:rsidR="0047593D" w:rsidRPr="00B71A63" w:rsidRDefault="0047593D" w:rsidP="003F6191">
      <w:pPr>
        <w:pStyle w:val="Heading7"/>
      </w:pPr>
      <w:bookmarkStart w:id="54" w:name="Comparison_between_SB16_and_EU_sourced_P"/>
      <w:bookmarkEnd w:id="54"/>
      <w:r w:rsidRPr="00B71A63">
        <w:lastRenderedPageBreak/>
        <w:t>Comparison</w:t>
      </w:r>
      <w:r w:rsidRPr="00B71A63">
        <w:rPr>
          <w:spacing w:val="-8"/>
        </w:rPr>
        <w:t xml:space="preserve"> </w:t>
      </w:r>
      <w:r w:rsidRPr="00B71A63">
        <w:t>between</w:t>
      </w:r>
      <w:r w:rsidRPr="00B71A63">
        <w:rPr>
          <w:spacing w:val="-5"/>
        </w:rPr>
        <w:t xml:space="preserve"> </w:t>
      </w:r>
      <w:r w:rsidRPr="00B71A63">
        <w:t>SB16</w:t>
      </w:r>
      <w:r w:rsidRPr="00B71A63">
        <w:rPr>
          <w:spacing w:val="-5"/>
        </w:rPr>
        <w:t xml:space="preserve"> </w:t>
      </w:r>
      <w:r w:rsidRPr="00B71A63">
        <w:t>and</w:t>
      </w:r>
      <w:r w:rsidRPr="00B71A63">
        <w:rPr>
          <w:spacing w:val="-5"/>
        </w:rPr>
        <w:t xml:space="preserve"> </w:t>
      </w:r>
      <w:r w:rsidRPr="00B71A63">
        <w:t>EU</w:t>
      </w:r>
      <w:r w:rsidRPr="00B71A63">
        <w:rPr>
          <w:spacing w:val="-4"/>
        </w:rPr>
        <w:t xml:space="preserve"> </w:t>
      </w:r>
      <w:r w:rsidRPr="00B71A63">
        <w:t>sourced</w:t>
      </w:r>
      <w:r w:rsidRPr="00B71A63">
        <w:rPr>
          <w:spacing w:val="-4"/>
        </w:rPr>
        <w:t xml:space="preserve"> </w:t>
      </w:r>
      <w:r w:rsidRPr="00B71A63">
        <w:t>Prolia</w:t>
      </w:r>
    </w:p>
    <w:p w14:paraId="402FD3FA" w14:textId="494C4FA9" w:rsidR="0047593D" w:rsidRDefault="0047593D" w:rsidP="003F6191">
      <w:r>
        <w:t>The ANOVA</w:t>
      </w:r>
      <w:r>
        <w:rPr>
          <w:spacing w:val="-5"/>
        </w:rPr>
        <w:t xml:space="preserve"> </w:t>
      </w:r>
      <w:r>
        <w:t>geometric</w:t>
      </w:r>
      <w:r>
        <w:rPr>
          <w:spacing w:val="-1"/>
        </w:rPr>
        <w:t xml:space="preserve"> </w:t>
      </w:r>
      <w:r>
        <w:t>LS</w:t>
      </w:r>
      <w:r>
        <w:rPr>
          <w:spacing w:val="-3"/>
        </w:rPr>
        <w:t xml:space="preserve"> </w:t>
      </w:r>
      <w:r>
        <w:t>mean</w:t>
      </w:r>
      <w:r>
        <w:rPr>
          <w:spacing w:val="-3"/>
        </w:rPr>
        <w:t xml:space="preserve"> </w:t>
      </w:r>
      <w:r>
        <w:t>ratio (90% CI) for SB16 and EU</w:t>
      </w:r>
      <w:r>
        <w:rPr>
          <w:spacing w:val="-3"/>
        </w:rPr>
        <w:t xml:space="preserve"> </w:t>
      </w:r>
      <w:r>
        <w:t>sourced Prolia in</w:t>
      </w:r>
      <w:r>
        <w:rPr>
          <w:spacing w:val="-3"/>
        </w:rPr>
        <w:t xml:space="preserve"> </w:t>
      </w:r>
      <w:r>
        <w:t>AUC</w:t>
      </w:r>
      <w:r>
        <w:rPr>
          <w:sz w:val="14"/>
        </w:rPr>
        <w:t>inf</w:t>
      </w:r>
      <w:r>
        <w:t>, C</w:t>
      </w:r>
      <w:r>
        <w:rPr>
          <w:sz w:val="14"/>
        </w:rPr>
        <w:t>max</w:t>
      </w:r>
      <w:r>
        <w:t>, and</w:t>
      </w:r>
      <w:r>
        <w:rPr>
          <w:spacing w:val="-1"/>
        </w:rPr>
        <w:t xml:space="preserve"> </w:t>
      </w:r>
      <w:r>
        <w:t>AUC</w:t>
      </w:r>
      <w:r>
        <w:rPr>
          <w:sz w:val="14"/>
        </w:rPr>
        <w:t>last</w:t>
      </w:r>
      <w:r>
        <w:rPr>
          <w:spacing w:val="17"/>
          <w:sz w:val="14"/>
        </w:rPr>
        <w:t xml:space="preserve"> </w:t>
      </w:r>
      <w:r>
        <w:t>were</w:t>
      </w:r>
      <w:r>
        <w:rPr>
          <w:spacing w:val="-1"/>
        </w:rPr>
        <w:t xml:space="preserve"> </w:t>
      </w:r>
      <w:r>
        <w:t>1.01</w:t>
      </w:r>
      <w:r>
        <w:rPr>
          <w:spacing w:val="-1"/>
        </w:rPr>
        <w:t xml:space="preserve"> </w:t>
      </w:r>
      <w:r>
        <w:t>(0.93</w:t>
      </w:r>
      <w:r>
        <w:rPr>
          <w:spacing w:val="-1"/>
        </w:rPr>
        <w:t xml:space="preserve"> </w:t>
      </w:r>
      <w:r>
        <w:t>to</w:t>
      </w:r>
      <w:r>
        <w:rPr>
          <w:spacing w:val="-1"/>
        </w:rPr>
        <w:t xml:space="preserve"> </w:t>
      </w:r>
      <w:r>
        <w:t>1.10),</w:t>
      </w:r>
      <w:r>
        <w:rPr>
          <w:spacing w:val="-1"/>
        </w:rPr>
        <w:t xml:space="preserve"> </w:t>
      </w:r>
      <w:r>
        <w:t>1.02</w:t>
      </w:r>
      <w:r>
        <w:rPr>
          <w:spacing w:val="-1"/>
        </w:rPr>
        <w:t xml:space="preserve"> </w:t>
      </w:r>
      <w:r>
        <w:t>(0.95</w:t>
      </w:r>
      <w:r>
        <w:rPr>
          <w:spacing w:val="-1"/>
        </w:rPr>
        <w:t xml:space="preserve"> </w:t>
      </w:r>
      <w:r>
        <w:t>to</w:t>
      </w:r>
      <w:r>
        <w:rPr>
          <w:spacing w:val="-1"/>
        </w:rPr>
        <w:t xml:space="preserve"> </w:t>
      </w:r>
      <w:r>
        <w:t>1.10),</w:t>
      </w:r>
      <w:r>
        <w:rPr>
          <w:spacing w:val="-1"/>
        </w:rPr>
        <w:t xml:space="preserve"> </w:t>
      </w:r>
      <w:r>
        <w:t>and</w:t>
      </w:r>
      <w:r>
        <w:rPr>
          <w:spacing w:val="-1"/>
        </w:rPr>
        <w:t xml:space="preserve"> </w:t>
      </w:r>
      <w:r>
        <w:t>1.02</w:t>
      </w:r>
      <w:r>
        <w:rPr>
          <w:spacing w:val="-1"/>
        </w:rPr>
        <w:t xml:space="preserve"> </w:t>
      </w:r>
      <w:r>
        <w:t>(0.94</w:t>
      </w:r>
      <w:r>
        <w:rPr>
          <w:spacing w:val="-1"/>
        </w:rPr>
        <w:t xml:space="preserve"> </w:t>
      </w:r>
      <w:r>
        <w:t>to</w:t>
      </w:r>
      <w:r>
        <w:rPr>
          <w:spacing w:val="-1"/>
        </w:rPr>
        <w:t xml:space="preserve"> </w:t>
      </w:r>
      <w:r>
        <w:t>1.12),</w:t>
      </w:r>
      <w:r>
        <w:rPr>
          <w:spacing w:val="-1"/>
        </w:rPr>
        <w:t xml:space="preserve"> </w:t>
      </w:r>
      <w:r>
        <w:t>respectively, which were within the pre-specified CI limit of 0.80 to 1.25 (Pharmacokinetic Analysis Set) (</w:t>
      </w:r>
      <w:r w:rsidR="00176156">
        <w:t xml:space="preserve">Table </w:t>
      </w:r>
      <w:hyperlink w:anchor="_bookmark10" w:history="1">
        <w:r w:rsidR="00176156">
          <w:t>3</w:t>
        </w:r>
      </w:hyperlink>
      <w:r>
        <w:t>).</w:t>
      </w:r>
    </w:p>
    <w:p w14:paraId="3E9C15CC" w14:textId="75F939D0" w:rsidR="00235357" w:rsidRPr="00176156" w:rsidRDefault="00235357" w:rsidP="003F6191">
      <w:pPr>
        <w:pStyle w:val="TableTitle"/>
      </w:pPr>
      <w:r w:rsidRPr="00176156">
        <w:t xml:space="preserve">Table </w:t>
      </w:r>
      <w:r w:rsidR="00176156" w:rsidRPr="00176156">
        <w:t>3</w:t>
      </w:r>
      <w:r w:rsidRPr="00176156">
        <w:t>. Study SB16-1001. Statistical Comparison of Primary Pharmacokinetic Parameters between SB16 and EU sourced Prolia (</w:t>
      </w:r>
      <w:r w:rsidRPr="003F6191">
        <w:t>Pharmacokinetic</w:t>
      </w:r>
      <w:r w:rsidRPr="00176156">
        <w:t xml:space="preserve"> Analysis Set).</w:t>
      </w:r>
    </w:p>
    <w:p w14:paraId="523D1257" w14:textId="1274E45F" w:rsidR="00E44177" w:rsidRDefault="00B53652" w:rsidP="003F6191">
      <w:r>
        <w:rPr>
          <w:noProof/>
        </w:rPr>
        <w:drawing>
          <wp:inline distT="0" distB="0" distL="0" distR="0" wp14:anchorId="506CE766" wp14:editId="267801A4">
            <wp:extent cx="5970954" cy="2137210"/>
            <wp:effectExtent l="0" t="0" r="0" b="0"/>
            <wp:docPr id="593502629" name="Picture 5" descr="Table 3. Study SB16-1001. Statistical Comparison of Primary Pharmacokinetic Parameters between SB16 and EU sourced Prolia (Pharmacokinetic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02629" name="Picture 5" descr="Table 3. Study SB16-1001. Statistical Comparison of Primary Pharmacokinetic Parameters between SB16 and EU sourced Prolia (Pharmacokinetic Analysis S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4485" cy="2145633"/>
                    </a:xfrm>
                    <a:prstGeom prst="rect">
                      <a:avLst/>
                    </a:prstGeom>
                    <a:noFill/>
                  </pic:spPr>
                </pic:pic>
              </a:graphicData>
            </a:graphic>
          </wp:inline>
        </w:drawing>
      </w:r>
    </w:p>
    <w:p w14:paraId="14D68B96" w14:textId="1C403E08" w:rsidR="00CA326E" w:rsidRPr="00852B88" w:rsidRDefault="00CA326E" w:rsidP="003F6191">
      <w:pPr>
        <w:pStyle w:val="Heading7"/>
      </w:pPr>
      <w:r w:rsidRPr="00852B88">
        <w:t>Comparison</w:t>
      </w:r>
      <w:r w:rsidRPr="00852B88">
        <w:rPr>
          <w:spacing w:val="-6"/>
        </w:rPr>
        <w:t xml:space="preserve"> </w:t>
      </w:r>
      <w:r w:rsidRPr="00852B88">
        <w:t>between</w:t>
      </w:r>
      <w:r w:rsidRPr="00852B88">
        <w:rPr>
          <w:spacing w:val="-5"/>
        </w:rPr>
        <w:t xml:space="preserve"> </w:t>
      </w:r>
      <w:r w:rsidRPr="00852B88">
        <w:t>SB16</w:t>
      </w:r>
      <w:r w:rsidRPr="00852B88">
        <w:rPr>
          <w:spacing w:val="-5"/>
        </w:rPr>
        <w:t xml:space="preserve"> </w:t>
      </w:r>
      <w:r w:rsidRPr="00852B88">
        <w:t>and</w:t>
      </w:r>
      <w:r w:rsidRPr="00852B88">
        <w:rPr>
          <w:spacing w:val="-6"/>
        </w:rPr>
        <w:t xml:space="preserve"> </w:t>
      </w:r>
      <w:r w:rsidRPr="00852B88">
        <w:t>US</w:t>
      </w:r>
      <w:r w:rsidRPr="00852B88">
        <w:rPr>
          <w:spacing w:val="-5"/>
        </w:rPr>
        <w:t xml:space="preserve"> </w:t>
      </w:r>
      <w:r w:rsidRPr="00852B88">
        <w:t>sourced</w:t>
      </w:r>
      <w:r w:rsidRPr="00852B88">
        <w:rPr>
          <w:spacing w:val="-4"/>
        </w:rPr>
        <w:t xml:space="preserve"> </w:t>
      </w:r>
      <w:r w:rsidRPr="00852B88">
        <w:rPr>
          <w:spacing w:val="-2"/>
        </w:rPr>
        <w:t>Prolia</w:t>
      </w:r>
    </w:p>
    <w:p w14:paraId="05B5AEC5" w14:textId="56C97F98" w:rsidR="00CA326E" w:rsidRDefault="00CA326E" w:rsidP="003F6191">
      <w:r>
        <w:t>The</w:t>
      </w:r>
      <w:r>
        <w:rPr>
          <w:spacing w:val="-2"/>
        </w:rPr>
        <w:t xml:space="preserve"> </w:t>
      </w:r>
      <w:r>
        <w:t>ANOVA</w:t>
      </w:r>
      <w:r>
        <w:rPr>
          <w:spacing w:val="-5"/>
        </w:rPr>
        <w:t xml:space="preserve"> </w:t>
      </w:r>
      <w:r>
        <w:t>geometric</w:t>
      </w:r>
      <w:r>
        <w:rPr>
          <w:spacing w:val="-1"/>
        </w:rPr>
        <w:t xml:space="preserve"> </w:t>
      </w:r>
      <w:r>
        <w:t>LS</w:t>
      </w:r>
      <w:r>
        <w:rPr>
          <w:spacing w:val="-3"/>
        </w:rPr>
        <w:t xml:space="preserve"> </w:t>
      </w:r>
      <w:r>
        <w:t>mean</w:t>
      </w:r>
      <w:r>
        <w:rPr>
          <w:spacing w:val="-3"/>
        </w:rPr>
        <w:t xml:space="preserve"> </w:t>
      </w:r>
      <w:r>
        <w:t>ratio</w:t>
      </w:r>
      <w:r>
        <w:rPr>
          <w:spacing w:val="-2"/>
        </w:rPr>
        <w:t xml:space="preserve"> </w:t>
      </w:r>
      <w:r>
        <w:t>(90%</w:t>
      </w:r>
      <w:r>
        <w:rPr>
          <w:spacing w:val="-2"/>
        </w:rPr>
        <w:t xml:space="preserve"> </w:t>
      </w:r>
      <w:r>
        <w:t>CI)</w:t>
      </w:r>
      <w:r>
        <w:rPr>
          <w:spacing w:val="-2"/>
        </w:rPr>
        <w:t xml:space="preserve"> </w:t>
      </w:r>
      <w:r>
        <w:t>for</w:t>
      </w:r>
      <w:r>
        <w:rPr>
          <w:spacing w:val="-2"/>
        </w:rPr>
        <w:t xml:space="preserve"> </w:t>
      </w:r>
      <w:r>
        <w:t>SB16</w:t>
      </w:r>
      <w:r>
        <w:rPr>
          <w:spacing w:val="-2"/>
        </w:rPr>
        <w:t xml:space="preserve"> </w:t>
      </w:r>
      <w:r>
        <w:t>and</w:t>
      </w:r>
      <w:r>
        <w:rPr>
          <w:spacing w:val="-2"/>
        </w:rPr>
        <w:t xml:space="preserve"> </w:t>
      </w:r>
      <w:r>
        <w:t>US</w:t>
      </w:r>
      <w:r>
        <w:rPr>
          <w:spacing w:val="-3"/>
        </w:rPr>
        <w:t xml:space="preserve"> </w:t>
      </w:r>
      <w:r>
        <w:t>sourced</w:t>
      </w:r>
      <w:r>
        <w:rPr>
          <w:spacing w:val="-2"/>
        </w:rPr>
        <w:t xml:space="preserve"> </w:t>
      </w:r>
      <w:r>
        <w:t>Prolia</w:t>
      </w:r>
      <w:r>
        <w:rPr>
          <w:spacing w:val="-2"/>
        </w:rPr>
        <w:t xml:space="preserve"> </w:t>
      </w:r>
      <w:r>
        <w:t>in</w:t>
      </w:r>
      <w:r>
        <w:rPr>
          <w:spacing w:val="-3"/>
        </w:rPr>
        <w:t xml:space="preserve"> </w:t>
      </w:r>
      <w:r>
        <w:t>AUC</w:t>
      </w:r>
      <w:r>
        <w:rPr>
          <w:sz w:val="14"/>
        </w:rPr>
        <w:t>inf</w:t>
      </w:r>
      <w:r>
        <w:t>,</w:t>
      </w:r>
      <w:r>
        <w:rPr>
          <w:spacing w:val="-2"/>
        </w:rPr>
        <w:t xml:space="preserve"> </w:t>
      </w:r>
      <w:r>
        <w:t>C</w:t>
      </w:r>
      <w:r>
        <w:rPr>
          <w:sz w:val="14"/>
        </w:rPr>
        <w:t>max</w:t>
      </w:r>
      <w:r>
        <w:t>, and</w:t>
      </w:r>
      <w:r>
        <w:rPr>
          <w:spacing w:val="-2"/>
        </w:rPr>
        <w:t xml:space="preserve"> </w:t>
      </w:r>
      <w:r>
        <w:t>AUC</w:t>
      </w:r>
      <w:r>
        <w:rPr>
          <w:sz w:val="14"/>
        </w:rPr>
        <w:t>last</w:t>
      </w:r>
      <w:r>
        <w:rPr>
          <w:spacing w:val="16"/>
          <w:sz w:val="14"/>
        </w:rPr>
        <w:t xml:space="preserve"> </w:t>
      </w:r>
      <w:r>
        <w:t>were</w:t>
      </w:r>
      <w:r>
        <w:rPr>
          <w:spacing w:val="-2"/>
        </w:rPr>
        <w:t xml:space="preserve"> </w:t>
      </w:r>
      <w:r>
        <w:t>0.99</w:t>
      </w:r>
      <w:r>
        <w:rPr>
          <w:spacing w:val="-2"/>
        </w:rPr>
        <w:t xml:space="preserve"> </w:t>
      </w:r>
      <w:r>
        <w:t>(0.91</w:t>
      </w:r>
      <w:r>
        <w:rPr>
          <w:spacing w:val="-2"/>
        </w:rPr>
        <w:t xml:space="preserve"> </w:t>
      </w:r>
      <w:r>
        <w:t>to</w:t>
      </w:r>
      <w:r>
        <w:rPr>
          <w:spacing w:val="-2"/>
        </w:rPr>
        <w:t xml:space="preserve"> </w:t>
      </w:r>
      <w:r>
        <w:t>1.08),</w:t>
      </w:r>
      <w:r>
        <w:rPr>
          <w:spacing w:val="-2"/>
        </w:rPr>
        <w:t xml:space="preserve"> </w:t>
      </w:r>
      <w:r>
        <w:t>1.07</w:t>
      </w:r>
      <w:r>
        <w:rPr>
          <w:spacing w:val="-2"/>
        </w:rPr>
        <w:t xml:space="preserve"> </w:t>
      </w:r>
      <w:r>
        <w:t>(0.99</w:t>
      </w:r>
      <w:r>
        <w:rPr>
          <w:spacing w:val="-2"/>
        </w:rPr>
        <w:t xml:space="preserve"> </w:t>
      </w:r>
      <w:r>
        <w:t>to</w:t>
      </w:r>
      <w:r>
        <w:rPr>
          <w:spacing w:val="-2"/>
        </w:rPr>
        <w:t xml:space="preserve"> </w:t>
      </w:r>
      <w:r>
        <w:t>1.15),</w:t>
      </w:r>
      <w:r>
        <w:rPr>
          <w:spacing w:val="-2"/>
        </w:rPr>
        <w:t xml:space="preserve"> </w:t>
      </w:r>
      <w:r>
        <w:t>and</w:t>
      </w:r>
      <w:r>
        <w:rPr>
          <w:spacing w:val="-2"/>
        </w:rPr>
        <w:t xml:space="preserve"> </w:t>
      </w:r>
      <w:r>
        <w:t>1.01</w:t>
      </w:r>
      <w:r>
        <w:rPr>
          <w:spacing w:val="-2"/>
        </w:rPr>
        <w:t xml:space="preserve"> </w:t>
      </w:r>
      <w:r>
        <w:t>(0.92</w:t>
      </w:r>
      <w:r>
        <w:rPr>
          <w:spacing w:val="-2"/>
        </w:rPr>
        <w:t xml:space="preserve"> </w:t>
      </w:r>
      <w:r>
        <w:t>to</w:t>
      </w:r>
      <w:r>
        <w:rPr>
          <w:spacing w:val="-2"/>
        </w:rPr>
        <w:t xml:space="preserve"> </w:t>
      </w:r>
      <w:r>
        <w:t>1.10),</w:t>
      </w:r>
      <w:r>
        <w:rPr>
          <w:spacing w:val="-2"/>
        </w:rPr>
        <w:t xml:space="preserve"> </w:t>
      </w:r>
      <w:r>
        <w:t>respectively, which were within the pre-specified CI limits of 0.80 to 1.25 (Pharmacokinetic Analysis Set) (</w:t>
      </w:r>
      <w:hyperlink w:anchor="_bookmark11" w:history="1">
        <w:r>
          <w:t xml:space="preserve">Table </w:t>
        </w:r>
      </w:hyperlink>
      <w:r w:rsidR="00326B45">
        <w:t>4</w:t>
      </w:r>
      <w:r>
        <w:t>).</w:t>
      </w:r>
    </w:p>
    <w:p w14:paraId="5EB960E2" w14:textId="77777777" w:rsidR="00326B45" w:rsidRPr="00326B45" w:rsidRDefault="00326B45" w:rsidP="003F6191">
      <w:pPr>
        <w:pStyle w:val="TableTitle"/>
      </w:pPr>
      <w:r w:rsidRPr="00326B45">
        <w:t>Table 4. Study SB16-1001. Statistical Comparison of Primary Pharmacokinetic Parameters between SB16 and US sourced Prolia (Pharmacokinetic Analysis Set).</w:t>
      </w:r>
    </w:p>
    <w:p w14:paraId="5CC723E8" w14:textId="128B9488" w:rsidR="00326B45" w:rsidRDefault="00371D15" w:rsidP="003F6191">
      <w:r>
        <w:rPr>
          <w:noProof/>
        </w:rPr>
        <w:drawing>
          <wp:inline distT="0" distB="0" distL="0" distR="0" wp14:anchorId="440A99D7" wp14:editId="7EF04EE5">
            <wp:extent cx="5909269" cy="1953846"/>
            <wp:effectExtent l="0" t="0" r="0" b="8890"/>
            <wp:docPr id="397968207" name="Picture 16" descr="Table 4. Study SB16-1001. Statistical Comparison of Primary Pharmacokinetic Parameters between SB16 and US sourced Prolia (Pharmacokinetic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68207" name="Picture 16" descr="Table 4. Study SB16-1001. Statistical Comparison of Primary Pharmacokinetic Parameters between SB16 and US sourced Prolia (Pharmacokinetic Analysis Se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5922" cy="1956046"/>
                    </a:xfrm>
                    <a:prstGeom prst="rect">
                      <a:avLst/>
                    </a:prstGeom>
                    <a:noFill/>
                  </pic:spPr>
                </pic:pic>
              </a:graphicData>
            </a:graphic>
          </wp:inline>
        </w:drawing>
      </w:r>
    </w:p>
    <w:p w14:paraId="25FE74AA" w14:textId="5F65A78C" w:rsidR="00CA326E" w:rsidRPr="00852B88" w:rsidRDefault="00CA326E" w:rsidP="003F6191">
      <w:pPr>
        <w:pStyle w:val="Heading7"/>
      </w:pPr>
      <w:bookmarkStart w:id="55" w:name="Comparison_between_EU_sourced_Prolia_and"/>
      <w:bookmarkEnd w:id="55"/>
      <w:r w:rsidRPr="00852B88">
        <w:t>Comparison</w:t>
      </w:r>
      <w:r w:rsidRPr="00852B88">
        <w:rPr>
          <w:spacing w:val="-8"/>
        </w:rPr>
        <w:t xml:space="preserve"> </w:t>
      </w:r>
      <w:r w:rsidRPr="00852B88">
        <w:t>between</w:t>
      </w:r>
      <w:r w:rsidRPr="00852B88">
        <w:rPr>
          <w:spacing w:val="-5"/>
        </w:rPr>
        <w:t xml:space="preserve"> </w:t>
      </w:r>
      <w:r w:rsidRPr="00852B88">
        <w:t>EU</w:t>
      </w:r>
      <w:r w:rsidRPr="00852B88">
        <w:rPr>
          <w:spacing w:val="-5"/>
        </w:rPr>
        <w:t xml:space="preserve"> </w:t>
      </w:r>
      <w:r w:rsidRPr="00852B88">
        <w:t>sourced</w:t>
      </w:r>
      <w:r w:rsidRPr="00852B88">
        <w:rPr>
          <w:spacing w:val="-6"/>
        </w:rPr>
        <w:t xml:space="preserve"> </w:t>
      </w:r>
      <w:r w:rsidRPr="00852B88">
        <w:t>Prolia</w:t>
      </w:r>
      <w:r w:rsidRPr="00852B88">
        <w:rPr>
          <w:spacing w:val="-5"/>
        </w:rPr>
        <w:t xml:space="preserve"> </w:t>
      </w:r>
      <w:r w:rsidRPr="00852B88">
        <w:t>and</w:t>
      </w:r>
      <w:r w:rsidRPr="00852B88">
        <w:rPr>
          <w:spacing w:val="-6"/>
        </w:rPr>
        <w:t xml:space="preserve"> </w:t>
      </w:r>
      <w:r w:rsidRPr="00852B88">
        <w:t>US</w:t>
      </w:r>
      <w:r w:rsidRPr="00852B88">
        <w:rPr>
          <w:spacing w:val="-5"/>
        </w:rPr>
        <w:t xml:space="preserve"> </w:t>
      </w:r>
      <w:r w:rsidRPr="00852B88">
        <w:t>sourced</w:t>
      </w:r>
      <w:r w:rsidRPr="00852B88">
        <w:rPr>
          <w:spacing w:val="-5"/>
        </w:rPr>
        <w:t xml:space="preserve"> </w:t>
      </w:r>
      <w:r w:rsidRPr="00852B88">
        <w:rPr>
          <w:spacing w:val="-2"/>
        </w:rPr>
        <w:t>Prolia</w:t>
      </w:r>
    </w:p>
    <w:p w14:paraId="2DCE60F8" w14:textId="37BBC008" w:rsidR="00CA326E" w:rsidRDefault="00CA326E" w:rsidP="003F6191">
      <w:r>
        <w:rPr>
          <w:position w:val="2"/>
        </w:rPr>
        <w:t>The</w:t>
      </w:r>
      <w:r>
        <w:rPr>
          <w:spacing w:val="-2"/>
          <w:position w:val="2"/>
        </w:rPr>
        <w:t xml:space="preserve"> </w:t>
      </w:r>
      <w:r>
        <w:rPr>
          <w:position w:val="2"/>
        </w:rPr>
        <w:t>ANOVA</w:t>
      </w:r>
      <w:r>
        <w:rPr>
          <w:spacing w:val="-3"/>
          <w:position w:val="2"/>
        </w:rPr>
        <w:t xml:space="preserve"> </w:t>
      </w:r>
      <w:r>
        <w:rPr>
          <w:position w:val="2"/>
        </w:rPr>
        <w:t>results</w:t>
      </w:r>
      <w:r>
        <w:rPr>
          <w:spacing w:val="-1"/>
          <w:position w:val="2"/>
        </w:rPr>
        <w:t xml:space="preserve"> </w:t>
      </w:r>
      <w:r>
        <w:rPr>
          <w:position w:val="2"/>
        </w:rPr>
        <w:t>of</w:t>
      </w:r>
      <w:r>
        <w:rPr>
          <w:spacing w:val="-2"/>
          <w:position w:val="2"/>
        </w:rPr>
        <w:t xml:space="preserve"> </w:t>
      </w:r>
      <w:r>
        <w:rPr>
          <w:position w:val="2"/>
        </w:rPr>
        <w:t>AUC</w:t>
      </w:r>
      <w:r>
        <w:rPr>
          <w:sz w:val="14"/>
        </w:rPr>
        <w:t>inf</w:t>
      </w:r>
      <w:r>
        <w:rPr>
          <w:position w:val="2"/>
        </w:rPr>
        <w:t>,</w:t>
      </w:r>
      <w:r>
        <w:rPr>
          <w:spacing w:val="-2"/>
          <w:position w:val="2"/>
        </w:rPr>
        <w:t xml:space="preserve"> </w:t>
      </w:r>
      <w:r>
        <w:rPr>
          <w:position w:val="2"/>
        </w:rPr>
        <w:t>C</w:t>
      </w:r>
      <w:r>
        <w:rPr>
          <w:sz w:val="14"/>
        </w:rPr>
        <w:t>max</w:t>
      </w:r>
      <w:r>
        <w:rPr>
          <w:position w:val="2"/>
        </w:rPr>
        <w:t>,</w:t>
      </w:r>
      <w:r>
        <w:rPr>
          <w:spacing w:val="-2"/>
          <w:position w:val="2"/>
        </w:rPr>
        <w:t xml:space="preserve"> </w:t>
      </w:r>
      <w:r>
        <w:rPr>
          <w:position w:val="2"/>
        </w:rPr>
        <w:t>and</w:t>
      </w:r>
      <w:r>
        <w:rPr>
          <w:spacing w:val="-2"/>
          <w:position w:val="2"/>
        </w:rPr>
        <w:t xml:space="preserve"> </w:t>
      </w:r>
      <w:r>
        <w:rPr>
          <w:position w:val="2"/>
        </w:rPr>
        <w:t>AUC</w:t>
      </w:r>
      <w:r>
        <w:rPr>
          <w:sz w:val="14"/>
        </w:rPr>
        <w:t>last</w:t>
      </w:r>
      <w:r>
        <w:rPr>
          <w:spacing w:val="16"/>
          <w:sz w:val="14"/>
        </w:rPr>
        <w:t xml:space="preserve"> </w:t>
      </w:r>
      <w:r>
        <w:rPr>
          <w:position w:val="2"/>
        </w:rPr>
        <w:t>for</w:t>
      </w:r>
      <w:r>
        <w:rPr>
          <w:spacing w:val="-2"/>
          <w:position w:val="2"/>
        </w:rPr>
        <w:t xml:space="preserve"> </w:t>
      </w:r>
      <w:r>
        <w:rPr>
          <w:position w:val="2"/>
        </w:rPr>
        <w:t>the</w:t>
      </w:r>
      <w:r>
        <w:rPr>
          <w:spacing w:val="-2"/>
          <w:position w:val="2"/>
        </w:rPr>
        <w:t xml:space="preserve"> </w:t>
      </w:r>
      <w:r>
        <w:rPr>
          <w:position w:val="2"/>
        </w:rPr>
        <w:t>comparison</w:t>
      </w:r>
      <w:r>
        <w:rPr>
          <w:spacing w:val="-3"/>
          <w:position w:val="2"/>
        </w:rPr>
        <w:t xml:space="preserve"> </w:t>
      </w:r>
      <w:r>
        <w:rPr>
          <w:position w:val="2"/>
        </w:rPr>
        <w:t>of</w:t>
      </w:r>
      <w:r>
        <w:rPr>
          <w:spacing w:val="-2"/>
          <w:position w:val="2"/>
        </w:rPr>
        <w:t xml:space="preserve"> </w:t>
      </w:r>
      <w:r>
        <w:rPr>
          <w:position w:val="2"/>
        </w:rPr>
        <w:t>EU</w:t>
      </w:r>
      <w:r>
        <w:rPr>
          <w:spacing w:val="-3"/>
          <w:position w:val="2"/>
        </w:rPr>
        <w:t xml:space="preserve"> </w:t>
      </w:r>
      <w:r>
        <w:rPr>
          <w:position w:val="2"/>
        </w:rPr>
        <w:t>sourced</w:t>
      </w:r>
      <w:r>
        <w:rPr>
          <w:spacing w:val="-2"/>
          <w:position w:val="2"/>
        </w:rPr>
        <w:t xml:space="preserve"> </w:t>
      </w:r>
      <w:r>
        <w:rPr>
          <w:position w:val="2"/>
        </w:rPr>
        <w:t>Prolia</w:t>
      </w:r>
      <w:r>
        <w:rPr>
          <w:spacing w:val="-4"/>
          <w:position w:val="2"/>
        </w:rPr>
        <w:t xml:space="preserve"> </w:t>
      </w:r>
      <w:r>
        <w:rPr>
          <w:position w:val="2"/>
        </w:rPr>
        <w:t>and</w:t>
      </w:r>
      <w:r>
        <w:rPr>
          <w:spacing w:val="-2"/>
          <w:position w:val="2"/>
        </w:rPr>
        <w:t xml:space="preserve"> </w:t>
      </w:r>
      <w:r>
        <w:rPr>
          <w:position w:val="2"/>
        </w:rPr>
        <w:t xml:space="preserve">US </w:t>
      </w:r>
      <w:r>
        <w:t xml:space="preserve">sourced Prolia in the Pharmacokinetic Analysis Set are presented in </w:t>
      </w:r>
      <w:hyperlink w:anchor="_bookmark12" w:history="1">
        <w:r>
          <w:t xml:space="preserve">Table </w:t>
        </w:r>
        <w:r w:rsidR="00F520AA">
          <w:t>5</w:t>
        </w:r>
        <w:r>
          <w:t>.</w:t>
        </w:r>
      </w:hyperlink>
    </w:p>
    <w:p w14:paraId="6EDD29A2" w14:textId="77777777" w:rsidR="003F6191" w:rsidRDefault="00E64ABC" w:rsidP="003F6191">
      <w:pPr>
        <w:pStyle w:val="TableTitle"/>
      </w:pPr>
      <w:r w:rsidRPr="00F520AA">
        <w:lastRenderedPageBreak/>
        <w:t xml:space="preserve">Table </w:t>
      </w:r>
      <w:r w:rsidR="00F520AA" w:rsidRPr="00F520AA">
        <w:t>5</w:t>
      </w:r>
      <w:r w:rsidRPr="00F520AA">
        <w:t xml:space="preserve">. </w:t>
      </w:r>
      <w:r w:rsidRPr="003F6191">
        <w:t>Study</w:t>
      </w:r>
      <w:r w:rsidRPr="00F520AA">
        <w:t xml:space="preserve"> </w:t>
      </w:r>
      <w:proofErr w:type="spellStart"/>
      <w:r w:rsidRPr="00F520AA">
        <w:t>SB16</w:t>
      </w:r>
      <w:proofErr w:type="spellEnd"/>
      <w:r w:rsidRPr="00F520AA">
        <w:t>-1001. Statistical Comparison of Primary Pharmacokinetic Parameters between EU sourced Prolia and US sourced Prolia (Pharmacokinetic Analysis Set).</w:t>
      </w:r>
    </w:p>
    <w:p w14:paraId="0A709901" w14:textId="69975D24" w:rsidR="00E44177" w:rsidRDefault="00B55BAC" w:rsidP="003F6191">
      <w:r>
        <w:rPr>
          <w:noProof/>
        </w:rPr>
        <w:drawing>
          <wp:inline distT="0" distB="0" distL="0" distR="0" wp14:anchorId="7D126730" wp14:editId="190185E0">
            <wp:extent cx="5977889" cy="2297723"/>
            <wp:effectExtent l="0" t="0" r="4445" b="7620"/>
            <wp:docPr id="2077812175" name="Picture 8" descr="Table 5. Study SB16-1001. Statistical Comparison of Primary Pharmacokinetic Parameters between EU sourced Prolia and US sourced Prolia (Pharmacokinetic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812175" name="Picture 8" descr="Table 5. Study SB16-1001. Statistical Comparison of Primary Pharmacokinetic Parameters between EU sourced Prolia and US sourced Prolia (Pharmacokinetic Analysis S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7564" cy="2312973"/>
                    </a:xfrm>
                    <a:prstGeom prst="rect">
                      <a:avLst/>
                    </a:prstGeom>
                    <a:noFill/>
                  </pic:spPr>
                </pic:pic>
              </a:graphicData>
            </a:graphic>
          </wp:inline>
        </w:drawing>
      </w:r>
    </w:p>
    <w:p w14:paraId="7236F362" w14:textId="7ED42EAF" w:rsidR="005656D3" w:rsidRDefault="005656D3" w:rsidP="003F6191">
      <w:pPr>
        <w:pStyle w:val="Heading5"/>
      </w:pPr>
      <w:r>
        <w:t>Pivotal</w:t>
      </w:r>
      <w:r>
        <w:rPr>
          <w:spacing w:val="-5"/>
        </w:rPr>
        <w:t xml:space="preserve"> </w:t>
      </w:r>
      <w:r>
        <w:t>Phase</w:t>
      </w:r>
      <w:r>
        <w:rPr>
          <w:spacing w:val="-4"/>
        </w:rPr>
        <w:t xml:space="preserve"> </w:t>
      </w:r>
      <w:r>
        <w:t>3</w:t>
      </w:r>
      <w:r>
        <w:rPr>
          <w:spacing w:val="-3"/>
        </w:rPr>
        <w:t xml:space="preserve"> </w:t>
      </w:r>
      <w:r>
        <w:t>Study</w:t>
      </w:r>
      <w:r>
        <w:rPr>
          <w:spacing w:val="-4"/>
        </w:rPr>
        <w:t xml:space="preserve"> </w:t>
      </w:r>
      <w:proofErr w:type="spellStart"/>
      <w:r>
        <w:t>SB16</w:t>
      </w:r>
      <w:proofErr w:type="spellEnd"/>
      <w:r>
        <w:t>-3001</w:t>
      </w:r>
      <w:r>
        <w:rPr>
          <w:spacing w:val="-3"/>
        </w:rPr>
        <w:t xml:space="preserve"> </w:t>
      </w:r>
      <w:r>
        <w:t>–</w:t>
      </w:r>
      <w:r>
        <w:rPr>
          <w:spacing w:val="-4"/>
        </w:rPr>
        <w:t xml:space="preserve"> </w:t>
      </w:r>
      <w:r>
        <w:t>PK</w:t>
      </w:r>
      <w:r>
        <w:rPr>
          <w:spacing w:val="-4"/>
        </w:rPr>
        <w:t xml:space="preserve"> </w:t>
      </w:r>
      <w:r w:rsidRPr="003F6191">
        <w:t>results</w:t>
      </w:r>
    </w:p>
    <w:p w14:paraId="4123E426" w14:textId="77777777" w:rsidR="005656D3" w:rsidRPr="00852B88" w:rsidRDefault="005656D3" w:rsidP="003F6191">
      <w:pPr>
        <w:pStyle w:val="Heading6"/>
      </w:pPr>
      <w:bookmarkStart w:id="56" w:name="Supportive_PK_results"/>
      <w:bookmarkEnd w:id="56"/>
      <w:r w:rsidRPr="00852B88">
        <w:t>Supportive</w:t>
      </w:r>
      <w:r w:rsidRPr="00852B88">
        <w:rPr>
          <w:spacing w:val="-5"/>
        </w:rPr>
        <w:t xml:space="preserve"> </w:t>
      </w:r>
      <w:r w:rsidRPr="00852B88">
        <w:t>PK</w:t>
      </w:r>
      <w:r w:rsidRPr="00852B88">
        <w:rPr>
          <w:spacing w:val="-5"/>
        </w:rPr>
        <w:t xml:space="preserve"> </w:t>
      </w:r>
      <w:r w:rsidRPr="00852B88">
        <w:rPr>
          <w:spacing w:val="-2"/>
        </w:rPr>
        <w:t>results</w:t>
      </w:r>
    </w:p>
    <w:p w14:paraId="18F44EDD" w14:textId="3D1DAC99" w:rsidR="005656D3" w:rsidRDefault="005656D3" w:rsidP="003F6191">
      <w:r>
        <w:t>Phase 3 Study SB16-3001 was supportive for PK. In the</w:t>
      </w:r>
      <w:r w:rsidR="00242223" w:rsidRPr="00242223">
        <w:rPr>
          <w:rFonts w:eastAsia="Cambria" w:cs="Times New Roman"/>
          <w:szCs w:val="22"/>
          <w:lang w:eastAsia="ja-JP"/>
        </w:rPr>
        <w:t xml:space="preserve"> </w:t>
      </w:r>
      <w:r w:rsidR="00242223" w:rsidRPr="00242223">
        <w:t>postmenopausal osteoporosis</w:t>
      </w:r>
      <w:r>
        <w:t xml:space="preserve"> </w:t>
      </w:r>
      <w:r w:rsidR="00242223">
        <w:t>(</w:t>
      </w:r>
      <w:r>
        <w:t>PMO</w:t>
      </w:r>
      <w:r w:rsidR="00242223">
        <w:t>)</w:t>
      </w:r>
      <w:r>
        <w:t xml:space="preserve"> patient target population, the</w:t>
      </w:r>
      <w:r>
        <w:rPr>
          <w:spacing w:val="40"/>
        </w:rPr>
        <w:t xml:space="preserve"> </w:t>
      </w:r>
      <w:r>
        <w:t>mean serum denosumab concentrations were comparable between SB16 and Prolia treatment groups</w:t>
      </w:r>
      <w:r>
        <w:rPr>
          <w:spacing w:val="-2"/>
        </w:rPr>
        <w:t xml:space="preserve"> </w:t>
      </w:r>
      <w:r>
        <w:t>up</w:t>
      </w:r>
      <w:r>
        <w:rPr>
          <w:spacing w:val="-3"/>
        </w:rPr>
        <w:t xml:space="preserve"> </w:t>
      </w:r>
      <w:r>
        <w:t>to</w:t>
      </w:r>
      <w:r>
        <w:rPr>
          <w:spacing w:val="-5"/>
        </w:rPr>
        <w:t xml:space="preserve"> </w:t>
      </w:r>
      <w:r>
        <w:t>Month</w:t>
      </w:r>
      <w:r>
        <w:rPr>
          <w:spacing w:val="-2"/>
        </w:rPr>
        <w:t xml:space="preserve"> </w:t>
      </w:r>
      <w:r>
        <w:t>12,</w:t>
      </w:r>
      <w:r>
        <w:rPr>
          <w:spacing w:val="-3"/>
        </w:rPr>
        <w:t xml:space="preserve"> </w:t>
      </w:r>
      <w:proofErr w:type="gramStart"/>
      <w:r>
        <w:t>and</w:t>
      </w:r>
      <w:r>
        <w:rPr>
          <w:spacing w:val="-3"/>
        </w:rPr>
        <w:t xml:space="preserve"> </w:t>
      </w:r>
      <w:r>
        <w:t>also</w:t>
      </w:r>
      <w:proofErr w:type="gramEnd"/>
      <w:r>
        <w:rPr>
          <w:spacing w:val="-3"/>
        </w:rPr>
        <w:t xml:space="preserve"> </w:t>
      </w:r>
      <w:r>
        <w:t>between</w:t>
      </w:r>
      <w:r>
        <w:rPr>
          <w:spacing w:val="-4"/>
        </w:rPr>
        <w:t xml:space="preserve"> </w:t>
      </w:r>
      <w:proofErr w:type="spellStart"/>
      <w:r>
        <w:t>SB16+SB16</w:t>
      </w:r>
      <w:proofErr w:type="spellEnd"/>
      <w:r>
        <w:t>,</w:t>
      </w:r>
      <w:r>
        <w:rPr>
          <w:spacing w:val="-3"/>
        </w:rPr>
        <w:t xml:space="preserve"> </w:t>
      </w:r>
      <w:proofErr w:type="spellStart"/>
      <w:r>
        <w:t>Prolia+SB16</w:t>
      </w:r>
      <w:proofErr w:type="spellEnd"/>
      <w:r>
        <w:t>,</w:t>
      </w:r>
      <w:r>
        <w:rPr>
          <w:spacing w:val="-3"/>
        </w:rPr>
        <w:t xml:space="preserve"> </w:t>
      </w:r>
      <w:r>
        <w:t>and</w:t>
      </w:r>
      <w:r>
        <w:rPr>
          <w:spacing w:val="-3"/>
        </w:rPr>
        <w:t xml:space="preserve"> </w:t>
      </w:r>
      <w:proofErr w:type="spellStart"/>
      <w:r>
        <w:t>Prolia+Prolia</w:t>
      </w:r>
      <w:proofErr w:type="spellEnd"/>
      <w:r>
        <w:rPr>
          <w:spacing w:val="-3"/>
        </w:rPr>
        <w:t xml:space="preserve"> </w:t>
      </w:r>
      <w:r>
        <w:t>treatment groups after transition, up to Month 18.</w:t>
      </w:r>
    </w:p>
    <w:p w14:paraId="6F822B94" w14:textId="77777777" w:rsidR="005656D3" w:rsidRDefault="005656D3" w:rsidP="00134A01">
      <w:pPr>
        <w:pStyle w:val="Heading5"/>
      </w:pPr>
      <w:bookmarkStart w:id="57" w:name="2.4.1.3._Pharmacodynamics"/>
      <w:bookmarkEnd w:id="57"/>
      <w:r>
        <w:t>Pharmacodynamics</w:t>
      </w:r>
    </w:p>
    <w:p w14:paraId="6FCECEEA" w14:textId="77777777" w:rsidR="005656D3" w:rsidRDefault="005656D3" w:rsidP="003F6191">
      <w:r>
        <w:t>There</w:t>
      </w:r>
      <w:r>
        <w:rPr>
          <w:spacing w:val="-3"/>
        </w:rPr>
        <w:t xml:space="preserve"> </w:t>
      </w:r>
      <w:r>
        <w:t>were</w:t>
      </w:r>
      <w:r>
        <w:rPr>
          <w:spacing w:val="-3"/>
        </w:rPr>
        <w:t xml:space="preserve"> </w:t>
      </w:r>
      <w:r>
        <w:t>no</w:t>
      </w:r>
      <w:r>
        <w:rPr>
          <w:spacing w:val="-3"/>
        </w:rPr>
        <w:t xml:space="preserve"> </w:t>
      </w:r>
      <w:r>
        <w:t>notable</w:t>
      </w:r>
      <w:r>
        <w:rPr>
          <w:spacing w:val="-3"/>
        </w:rPr>
        <w:t xml:space="preserve"> </w:t>
      </w:r>
      <w:r>
        <w:t>differences</w:t>
      </w:r>
      <w:r>
        <w:rPr>
          <w:spacing w:val="-2"/>
        </w:rPr>
        <w:t xml:space="preserve"> </w:t>
      </w:r>
      <w:r>
        <w:t>between</w:t>
      </w:r>
      <w:r>
        <w:rPr>
          <w:spacing w:val="-4"/>
        </w:rPr>
        <w:t xml:space="preserve"> </w:t>
      </w:r>
      <w:r>
        <w:t>SB16</w:t>
      </w:r>
      <w:r>
        <w:rPr>
          <w:spacing w:val="-3"/>
        </w:rPr>
        <w:t xml:space="preserve"> </w:t>
      </w:r>
      <w:r>
        <w:t>denosumab</w:t>
      </w:r>
      <w:r>
        <w:rPr>
          <w:spacing w:val="-4"/>
        </w:rPr>
        <w:t xml:space="preserve"> </w:t>
      </w:r>
      <w:r>
        <w:t>and</w:t>
      </w:r>
      <w:r>
        <w:rPr>
          <w:spacing w:val="-3"/>
        </w:rPr>
        <w:t xml:space="preserve"> </w:t>
      </w:r>
      <w:r>
        <w:t>EU-sourced</w:t>
      </w:r>
      <w:r>
        <w:rPr>
          <w:spacing w:val="-3"/>
        </w:rPr>
        <w:t xml:space="preserve"> </w:t>
      </w:r>
      <w:r>
        <w:t>PROLIA</w:t>
      </w:r>
      <w:r>
        <w:rPr>
          <w:spacing w:val="-4"/>
        </w:rPr>
        <w:t xml:space="preserve"> </w:t>
      </w:r>
      <w:r>
        <w:t>and</w:t>
      </w:r>
      <w:r>
        <w:rPr>
          <w:spacing w:val="-3"/>
        </w:rPr>
        <w:t xml:space="preserve"> </w:t>
      </w:r>
      <w:r>
        <w:t xml:space="preserve">US-sourced PROLIA in relation to their effects on CTX in Study SB16-1001 and SB16 denosumab </w:t>
      </w:r>
      <w:r>
        <w:rPr>
          <w:position w:val="2"/>
        </w:rPr>
        <w:t>and EU-sourced PROLIA in relation to their effects on CTX, AUEC</w:t>
      </w:r>
      <w:r>
        <w:rPr>
          <w:sz w:val="14"/>
        </w:rPr>
        <w:t>0-M6</w:t>
      </w:r>
      <w:r>
        <w:rPr>
          <w:spacing w:val="21"/>
          <w:sz w:val="14"/>
        </w:rPr>
        <w:t xml:space="preserve"> </w:t>
      </w:r>
      <w:r>
        <w:rPr>
          <w:position w:val="2"/>
        </w:rPr>
        <w:t>and P1NP in Study SB16-</w:t>
      </w:r>
      <w:r>
        <w:rPr>
          <w:spacing w:val="-2"/>
        </w:rPr>
        <w:t>3001.</w:t>
      </w:r>
    </w:p>
    <w:p w14:paraId="6BE4D47A" w14:textId="77777777" w:rsidR="005656D3" w:rsidRPr="00981BD3" w:rsidRDefault="005656D3" w:rsidP="00981BD3">
      <w:pPr>
        <w:pStyle w:val="Heading4"/>
      </w:pPr>
      <w:bookmarkStart w:id="58" w:name="2.4.2._Efficacy"/>
      <w:bookmarkStart w:id="59" w:name="_Toc221616612"/>
      <w:bookmarkEnd w:id="58"/>
      <w:r w:rsidRPr="00981BD3">
        <w:t>Efficacy</w:t>
      </w:r>
      <w:bookmarkEnd w:id="59"/>
    </w:p>
    <w:p w14:paraId="44B834B2" w14:textId="77777777" w:rsidR="005656D3" w:rsidRDefault="005656D3" w:rsidP="00134A01">
      <w:pPr>
        <w:pStyle w:val="Heading5"/>
      </w:pPr>
      <w:bookmarkStart w:id="60" w:name="2.4.2.1._Pivotal_Phase_3_Study_SB16-3001"/>
      <w:bookmarkEnd w:id="60"/>
      <w:r>
        <w:t>Pivotal</w:t>
      </w:r>
      <w:r>
        <w:rPr>
          <w:spacing w:val="-7"/>
        </w:rPr>
        <w:t xml:space="preserve"> </w:t>
      </w:r>
      <w:r>
        <w:t>Phase</w:t>
      </w:r>
      <w:r>
        <w:rPr>
          <w:spacing w:val="-5"/>
        </w:rPr>
        <w:t xml:space="preserve"> </w:t>
      </w:r>
      <w:r>
        <w:t>3</w:t>
      </w:r>
      <w:r>
        <w:rPr>
          <w:spacing w:val="-4"/>
        </w:rPr>
        <w:t xml:space="preserve"> </w:t>
      </w:r>
      <w:r>
        <w:t>Study</w:t>
      </w:r>
      <w:r>
        <w:rPr>
          <w:spacing w:val="-5"/>
        </w:rPr>
        <w:t xml:space="preserve"> </w:t>
      </w:r>
      <w:r>
        <w:t>SB16-</w:t>
      </w:r>
      <w:r>
        <w:rPr>
          <w:spacing w:val="-4"/>
        </w:rPr>
        <w:t>3001</w:t>
      </w:r>
    </w:p>
    <w:p w14:paraId="69CA6B8D" w14:textId="77777777" w:rsidR="005656D3" w:rsidRPr="00852B88" w:rsidRDefault="005656D3" w:rsidP="003F6191">
      <w:pPr>
        <w:pStyle w:val="Heading6"/>
      </w:pPr>
      <w:bookmarkStart w:id="61" w:name="Design"/>
      <w:bookmarkEnd w:id="61"/>
      <w:r w:rsidRPr="00852B88">
        <w:t>Design</w:t>
      </w:r>
    </w:p>
    <w:p w14:paraId="158CE6BA" w14:textId="27EF8287" w:rsidR="005656D3" w:rsidRDefault="005656D3" w:rsidP="003F6191">
      <w:r>
        <w:t>A phase 3, randomised, double-blind, multi-centre (40 centres in 5 countries), 2-arm parallel-group (1:1), actively controlled clinical equivalence study to compare the efficacy, safety, pharmacokinetics, pharmacodynamics, and immunogenicity between SB16 and EU sourced Prolia</w:t>
      </w:r>
      <w:r>
        <w:rPr>
          <w:spacing w:val="-4"/>
        </w:rPr>
        <w:t xml:space="preserve"> </w:t>
      </w:r>
      <w:r>
        <w:t>in</w:t>
      </w:r>
      <w:r>
        <w:rPr>
          <w:spacing w:val="-3"/>
        </w:rPr>
        <w:t xml:space="preserve"> </w:t>
      </w:r>
      <w:r>
        <w:t>457 postmenopausal women</w:t>
      </w:r>
      <w:r>
        <w:rPr>
          <w:spacing w:val="-3"/>
        </w:rPr>
        <w:t xml:space="preserve"> </w:t>
      </w:r>
      <w:r>
        <w:t>aged 55 to 80</w:t>
      </w:r>
      <w:r>
        <w:rPr>
          <w:spacing w:val="-4"/>
        </w:rPr>
        <w:t xml:space="preserve"> </w:t>
      </w:r>
      <w:r>
        <w:t>years</w:t>
      </w:r>
      <w:r>
        <w:rPr>
          <w:spacing w:val="-1"/>
        </w:rPr>
        <w:t xml:space="preserve"> </w:t>
      </w:r>
      <w:r>
        <w:t>with osteoporosis</w:t>
      </w:r>
      <w:r>
        <w:rPr>
          <w:spacing w:val="-1"/>
        </w:rPr>
        <w:t xml:space="preserve"> </w:t>
      </w:r>
      <w:r>
        <w:t>(PMO</w:t>
      </w:r>
      <w:r w:rsidR="005E7275">
        <w:t>) (</w:t>
      </w:r>
      <w:r w:rsidR="00A1557F">
        <w:t>Figure 1)</w:t>
      </w:r>
      <w:r>
        <w:t>. The study was conducted between 26 Nov</w:t>
      </w:r>
      <w:r w:rsidR="0053060D">
        <w:t>ember</w:t>
      </w:r>
      <w:r>
        <w:t xml:space="preserve"> 2020 and 3 Jan</w:t>
      </w:r>
      <w:r w:rsidR="0053060D">
        <w:t>uary</w:t>
      </w:r>
      <w:r>
        <w:t xml:space="preserve"> 2023.</w:t>
      </w:r>
    </w:p>
    <w:p w14:paraId="07113625" w14:textId="7A689E06" w:rsidR="002D35BE" w:rsidRPr="003F6191" w:rsidRDefault="005656D3" w:rsidP="003F6191">
      <w:pPr>
        <w:rPr>
          <w:spacing w:val="-4"/>
        </w:rPr>
      </w:pPr>
      <w:r w:rsidRPr="003F6191">
        <w:rPr>
          <w:b/>
          <w:bCs/>
        </w:rPr>
        <w:t>Primary</w:t>
      </w:r>
      <w:r w:rsidRPr="003F6191">
        <w:rPr>
          <w:b/>
          <w:bCs/>
          <w:spacing w:val="-4"/>
        </w:rPr>
        <w:t xml:space="preserve"> </w:t>
      </w:r>
      <w:r w:rsidRPr="003F6191">
        <w:rPr>
          <w:b/>
          <w:bCs/>
        </w:rPr>
        <w:t>efficacy</w:t>
      </w:r>
      <w:r w:rsidRPr="003F6191">
        <w:rPr>
          <w:b/>
          <w:bCs/>
          <w:spacing w:val="-4"/>
        </w:rPr>
        <w:t xml:space="preserve"> </w:t>
      </w:r>
      <w:r w:rsidRPr="003F6191">
        <w:rPr>
          <w:b/>
          <w:bCs/>
        </w:rPr>
        <w:t>objective</w:t>
      </w:r>
      <w:r>
        <w:t>:</w:t>
      </w:r>
      <w:r>
        <w:rPr>
          <w:spacing w:val="-4"/>
        </w:rPr>
        <w:t xml:space="preserve"> </w:t>
      </w:r>
      <w:r>
        <w:t>to</w:t>
      </w:r>
      <w:r>
        <w:rPr>
          <w:spacing w:val="-3"/>
        </w:rPr>
        <w:t xml:space="preserve"> </w:t>
      </w:r>
      <w:r>
        <w:t>demonstrate</w:t>
      </w:r>
      <w:r>
        <w:rPr>
          <w:spacing w:val="-3"/>
        </w:rPr>
        <w:t xml:space="preserve"> </w:t>
      </w:r>
      <w:r>
        <w:t>the</w:t>
      </w:r>
      <w:r>
        <w:rPr>
          <w:spacing w:val="-3"/>
        </w:rPr>
        <w:t xml:space="preserve"> </w:t>
      </w:r>
      <w:r>
        <w:t>equivalence</w:t>
      </w:r>
      <w:r>
        <w:rPr>
          <w:spacing w:val="-3"/>
        </w:rPr>
        <w:t xml:space="preserve"> </w:t>
      </w:r>
      <w:r>
        <w:t>of</w:t>
      </w:r>
      <w:r>
        <w:rPr>
          <w:spacing w:val="-3"/>
        </w:rPr>
        <w:t xml:space="preserve"> </w:t>
      </w:r>
      <w:r>
        <w:t>SB16</w:t>
      </w:r>
      <w:r>
        <w:rPr>
          <w:spacing w:val="-3"/>
        </w:rPr>
        <w:t xml:space="preserve"> </w:t>
      </w:r>
      <w:r>
        <w:t>to</w:t>
      </w:r>
      <w:r>
        <w:rPr>
          <w:spacing w:val="-3"/>
        </w:rPr>
        <w:t xml:space="preserve"> </w:t>
      </w:r>
      <w:r>
        <w:t>Prolia</w:t>
      </w:r>
      <w:r>
        <w:rPr>
          <w:spacing w:val="-3"/>
        </w:rPr>
        <w:t xml:space="preserve"> </w:t>
      </w:r>
      <w:r>
        <w:t>in</w:t>
      </w:r>
      <w:r>
        <w:rPr>
          <w:spacing w:val="-4"/>
        </w:rPr>
        <w:t xml:space="preserve"> </w:t>
      </w:r>
      <w:r>
        <w:t>terms of</w:t>
      </w:r>
      <w:r>
        <w:rPr>
          <w:spacing w:val="-3"/>
        </w:rPr>
        <w:t xml:space="preserve"> </w:t>
      </w:r>
      <w:r>
        <w:t>percent change</w:t>
      </w:r>
      <w:r>
        <w:rPr>
          <w:spacing w:val="-1"/>
        </w:rPr>
        <w:t xml:space="preserve"> </w:t>
      </w:r>
      <w:r>
        <w:t>from baseline</w:t>
      </w:r>
      <w:r>
        <w:rPr>
          <w:spacing w:val="-1"/>
        </w:rPr>
        <w:t xml:space="preserve"> </w:t>
      </w:r>
      <w:r>
        <w:t>in lumbar</w:t>
      </w:r>
      <w:r>
        <w:rPr>
          <w:spacing w:val="-3"/>
        </w:rPr>
        <w:t xml:space="preserve"> </w:t>
      </w:r>
      <w:r>
        <w:t>spine</w:t>
      </w:r>
      <w:r>
        <w:rPr>
          <w:spacing w:val="-1"/>
        </w:rPr>
        <w:t xml:space="preserve"> </w:t>
      </w:r>
      <w:r>
        <w:t>bone</w:t>
      </w:r>
      <w:r>
        <w:rPr>
          <w:spacing w:val="-3"/>
        </w:rPr>
        <w:t xml:space="preserve"> </w:t>
      </w:r>
      <w:r>
        <w:t>mineral</w:t>
      </w:r>
      <w:r>
        <w:rPr>
          <w:spacing w:val="-1"/>
        </w:rPr>
        <w:t xml:space="preserve"> </w:t>
      </w:r>
      <w:r>
        <w:t>density (BMD)</w:t>
      </w:r>
      <w:r>
        <w:rPr>
          <w:spacing w:val="-4"/>
        </w:rPr>
        <w:t xml:space="preserve"> </w:t>
      </w:r>
      <w:r>
        <w:t>at</w:t>
      </w:r>
      <w:r>
        <w:rPr>
          <w:spacing w:val="-1"/>
        </w:rPr>
        <w:t xml:space="preserve"> </w:t>
      </w:r>
      <w:r>
        <w:t>Month</w:t>
      </w:r>
      <w:r>
        <w:rPr>
          <w:spacing w:val="-3"/>
        </w:rPr>
        <w:t xml:space="preserve"> </w:t>
      </w:r>
      <w:r>
        <w:t>12</w:t>
      </w:r>
      <w:r>
        <w:rPr>
          <w:spacing w:val="-1"/>
        </w:rPr>
        <w:t xml:space="preserve"> </w:t>
      </w:r>
      <w:r>
        <w:t xml:space="preserve">in subjects with </w:t>
      </w:r>
      <w:r>
        <w:rPr>
          <w:spacing w:val="-4"/>
        </w:rPr>
        <w:t>PMO.</w:t>
      </w:r>
    </w:p>
    <w:p w14:paraId="5220A99F" w14:textId="0AA00523" w:rsidR="003F6191" w:rsidRDefault="0030726D" w:rsidP="003F6191">
      <w:pPr>
        <w:pStyle w:val="FigureTitle"/>
        <w:rPr>
          <w:spacing w:val="-2"/>
        </w:rPr>
      </w:pPr>
      <w:r>
        <w:lastRenderedPageBreak/>
        <w:t>Figure</w:t>
      </w:r>
      <w:r>
        <w:rPr>
          <w:spacing w:val="-7"/>
        </w:rPr>
        <w:t xml:space="preserve"> </w:t>
      </w:r>
      <w:r>
        <w:t>1.</w:t>
      </w:r>
      <w:r>
        <w:rPr>
          <w:spacing w:val="-6"/>
        </w:rPr>
        <w:t xml:space="preserve"> </w:t>
      </w:r>
      <w:r>
        <w:t>Study</w:t>
      </w:r>
      <w:r>
        <w:rPr>
          <w:spacing w:val="-4"/>
        </w:rPr>
        <w:t xml:space="preserve"> </w:t>
      </w:r>
      <w:r>
        <w:t>SB16-3001.</w:t>
      </w:r>
      <w:r>
        <w:rPr>
          <w:spacing w:val="-6"/>
        </w:rPr>
        <w:t xml:space="preserve"> </w:t>
      </w:r>
      <w:r>
        <w:t>Study</w:t>
      </w:r>
      <w:r>
        <w:rPr>
          <w:spacing w:val="-5"/>
        </w:rPr>
        <w:t xml:space="preserve"> </w:t>
      </w:r>
      <w:r>
        <w:t>design</w:t>
      </w:r>
      <w:r>
        <w:rPr>
          <w:spacing w:val="-3"/>
        </w:rPr>
        <w:t xml:space="preserve"> </w:t>
      </w:r>
      <w:r>
        <w:rPr>
          <w:spacing w:val="-2"/>
        </w:rPr>
        <w:t>schema.</w:t>
      </w:r>
    </w:p>
    <w:p w14:paraId="18AFF1EF" w14:textId="0B00D56E" w:rsidR="003F6191" w:rsidRDefault="003F6191" w:rsidP="003F6191">
      <w:r>
        <w:rPr>
          <w:noProof/>
        </w:rPr>
        <w:drawing>
          <wp:inline distT="0" distB="0" distL="0" distR="0" wp14:anchorId="3A089382" wp14:editId="726977C9">
            <wp:extent cx="5759450" cy="2814035"/>
            <wp:effectExtent l="0" t="0" r="0" b="5715"/>
            <wp:docPr id="3738235" name="Picture 9" descr="Figure 1. Study SB16-3001. Study design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235" name="Picture 9" descr="Figure 1. Study SB16-3001. Study design schem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2814035"/>
                    </a:xfrm>
                    <a:prstGeom prst="rect">
                      <a:avLst/>
                    </a:prstGeom>
                    <a:noFill/>
                  </pic:spPr>
                </pic:pic>
              </a:graphicData>
            </a:graphic>
          </wp:inline>
        </w:drawing>
      </w:r>
    </w:p>
    <w:p w14:paraId="418A2FD2" w14:textId="23B8C9B5" w:rsidR="00226E6A" w:rsidRPr="003F6191" w:rsidRDefault="003F6191" w:rsidP="003F6191">
      <w:pPr>
        <w:rPr>
          <w:spacing w:val="-2"/>
        </w:rPr>
      </w:pPr>
      <w:r>
        <w:rPr>
          <w:noProof/>
        </w:rPr>
        <w:drawing>
          <wp:inline distT="0" distB="0" distL="0" distR="0" wp14:anchorId="603D83BC" wp14:editId="2320285A">
            <wp:extent cx="5604500" cy="753046"/>
            <wp:effectExtent l="0" t="0" r="0" b="9525"/>
            <wp:docPr id="16" name="Image 16" descr="Figure 1. Study SB16-3001. Study design sche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Figure 1. Study SB16-3001. Study design schem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04500" cy="753046"/>
                    </a:xfrm>
                    <a:prstGeom prst="rect">
                      <a:avLst/>
                    </a:prstGeom>
                  </pic:spPr>
                </pic:pic>
              </a:graphicData>
            </a:graphic>
          </wp:inline>
        </w:drawing>
      </w:r>
      <w:bookmarkStart w:id="62" w:name="_Toc103679298"/>
    </w:p>
    <w:p w14:paraId="23802AEE" w14:textId="382A1591" w:rsidR="007B1057" w:rsidRPr="00852B88" w:rsidRDefault="007B1057" w:rsidP="003F6191">
      <w:pPr>
        <w:pStyle w:val="Heading7"/>
      </w:pPr>
      <w:r w:rsidRPr="00852B88">
        <w:t>Main</w:t>
      </w:r>
      <w:r w:rsidRPr="00852B88">
        <w:rPr>
          <w:spacing w:val="-5"/>
        </w:rPr>
        <w:t xml:space="preserve"> </w:t>
      </w:r>
      <w:r w:rsidRPr="00852B88">
        <w:t>inclusion</w:t>
      </w:r>
      <w:r w:rsidRPr="00852B88">
        <w:rPr>
          <w:spacing w:val="-4"/>
        </w:rPr>
        <w:t xml:space="preserve"> </w:t>
      </w:r>
      <w:r w:rsidRPr="00852B88">
        <w:rPr>
          <w:spacing w:val="-2"/>
        </w:rPr>
        <w:t>criteria:</w:t>
      </w:r>
    </w:p>
    <w:p w14:paraId="06FBC3E8" w14:textId="77777777" w:rsidR="007B1057" w:rsidRPr="008353E7" w:rsidRDefault="007B1057" w:rsidP="008353E7">
      <w:pPr>
        <w:pStyle w:val="Numberbullet0"/>
      </w:pPr>
      <w:r w:rsidRPr="008353E7">
        <w:t>Postmenopausal women (defined as lack of menstrual period for at least 12 months prior to Screening, for which there was no other pathological or physiological cause) who were 55 to 80 years of age.</w:t>
      </w:r>
    </w:p>
    <w:p w14:paraId="03974DC9" w14:textId="77777777" w:rsidR="007B1057" w:rsidRPr="008353E7" w:rsidRDefault="007B1057" w:rsidP="008353E7">
      <w:pPr>
        <w:pStyle w:val="Numberbullet0"/>
      </w:pPr>
      <w:r w:rsidRPr="008353E7">
        <w:t>Ambulatory and visually unimpaired to participate in the study at Screening, in the opinion of the Investigator.</w:t>
      </w:r>
    </w:p>
    <w:p w14:paraId="4FF13C9D" w14:textId="3D3DBEE4" w:rsidR="007B1057" w:rsidRPr="008353E7" w:rsidRDefault="007B1057" w:rsidP="008353E7">
      <w:pPr>
        <w:pStyle w:val="Numberbullet0"/>
      </w:pPr>
      <w:r w:rsidRPr="008353E7">
        <w:t>Absolute BMD consistent with T-score at the total hip or lumbar spine of ≥ ‒4 and ≤ ‒2.5, determined by central imaging centre at Screening.</w:t>
      </w:r>
    </w:p>
    <w:p w14:paraId="74AF42C0" w14:textId="15C7D0A5" w:rsidR="007B1057" w:rsidRPr="008353E7" w:rsidRDefault="007B1057" w:rsidP="008353E7">
      <w:pPr>
        <w:pStyle w:val="Numberbullet0"/>
      </w:pPr>
      <w:r w:rsidRPr="008353E7">
        <w:t>At least three evaluable vertebrae within L1 to L4, one evaluable femoral neck, and one evaluable hip joint for BMD measurement, determined by central imaging centre at Screening</w:t>
      </w:r>
      <w:r w:rsidR="008353E7">
        <w:t>.</w:t>
      </w:r>
    </w:p>
    <w:p w14:paraId="02A0B94A" w14:textId="77777777" w:rsidR="007B1057" w:rsidRPr="00D7531C" w:rsidRDefault="007B1057" w:rsidP="00D7531C">
      <w:pPr>
        <w:pStyle w:val="Numberbullet0"/>
      </w:pPr>
      <w:r w:rsidRPr="00D7531C">
        <w:t>Biologic (defined as any therapeutic monoclonal antibody or fusion receptor protein, including denosumab, denosumab biosimilars, or romosozumab) naïve at Screening.</w:t>
      </w:r>
    </w:p>
    <w:p w14:paraId="4021F7A5" w14:textId="77777777" w:rsidR="002254DF" w:rsidRPr="00D7531C" w:rsidRDefault="007B1057" w:rsidP="00D7531C">
      <w:pPr>
        <w:pStyle w:val="Numberbullet0"/>
      </w:pPr>
      <w:r w:rsidRPr="00D7531C">
        <w:t xml:space="preserve">Body weight of ≥ 50 kg and ≤ 90 kg at Screening. </w:t>
      </w:r>
    </w:p>
    <w:p w14:paraId="6AF0F0F8" w14:textId="72263B69" w:rsidR="007B1057" w:rsidRPr="00852B88" w:rsidRDefault="007B1057" w:rsidP="003F6191">
      <w:pPr>
        <w:pStyle w:val="Heading7"/>
      </w:pPr>
      <w:r w:rsidRPr="00852B88">
        <w:t>Main exclusion criteria:</w:t>
      </w:r>
    </w:p>
    <w:p w14:paraId="385956ED" w14:textId="77777777" w:rsidR="007B1057" w:rsidRPr="00D7531C" w:rsidRDefault="007B1057" w:rsidP="00D7531C">
      <w:pPr>
        <w:pStyle w:val="Numberbullet0"/>
        <w:numPr>
          <w:ilvl w:val="0"/>
          <w:numId w:val="20"/>
        </w:numPr>
      </w:pPr>
      <w:r w:rsidRPr="00D7531C">
        <w:t xml:space="preserve">One severe or more than two moderate vertebral fractures on spinal X-ray according to </w:t>
      </w:r>
      <w:proofErr w:type="spellStart"/>
      <w:r w:rsidRPr="00D7531C">
        <w:t>Genant</w:t>
      </w:r>
      <w:proofErr w:type="spellEnd"/>
      <w:r w:rsidRPr="00D7531C">
        <w:t xml:space="preserve"> classification, determined by central imaging centre at Screening.</w:t>
      </w:r>
    </w:p>
    <w:p w14:paraId="5668A42E" w14:textId="77777777" w:rsidR="007B1057" w:rsidRPr="00D7531C" w:rsidRDefault="007B1057" w:rsidP="00D7531C">
      <w:pPr>
        <w:pStyle w:val="Numberbullet0"/>
      </w:pPr>
      <w:r w:rsidRPr="00D7531C">
        <w:t>History of hip fracture or bilateral hip replacement at Screening.</w:t>
      </w:r>
    </w:p>
    <w:p w14:paraId="076F49A3" w14:textId="58F00FFD" w:rsidR="007B1057" w:rsidRPr="00D7531C" w:rsidRDefault="007B1057" w:rsidP="00D7531C">
      <w:pPr>
        <w:pStyle w:val="Numberbullet0"/>
      </w:pPr>
      <w:r w:rsidRPr="00D7531C">
        <w:t>Uncorrected vitamin D deficiency (defined as serum 25-hydroxyvitamin D level &lt; 20 ng/</w:t>
      </w:r>
      <w:r w:rsidR="00DD10E8">
        <w:t xml:space="preserve"> </w:t>
      </w:r>
      <w:r w:rsidRPr="00D7531C">
        <w:t>mL [50 nmol/L]) at Screening.</w:t>
      </w:r>
    </w:p>
    <w:p w14:paraId="5368AC49" w14:textId="77777777" w:rsidR="007B1057" w:rsidRPr="00D7531C" w:rsidRDefault="007B1057" w:rsidP="00D7531C">
      <w:pPr>
        <w:pStyle w:val="Numberbullet0"/>
      </w:pPr>
      <w:r w:rsidRPr="00D7531C">
        <w:t>Hypercalcaemia or hypocalcaemia (defined as albumin-adjusted serum calcium for hypocalcaemia &lt; 2.1 mmol/L or for hypercalcaemia &gt; 2.62 mmol/L) at Screening.</w:t>
      </w:r>
    </w:p>
    <w:p w14:paraId="71A63D97" w14:textId="77777777" w:rsidR="007B1057" w:rsidRPr="00D7531C" w:rsidRDefault="007B1057" w:rsidP="00D7531C">
      <w:pPr>
        <w:pStyle w:val="Numberbullet0"/>
      </w:pPr>
      <w:r w:rsidRPr="00D7531C">
        <w:lastRenderedPageBreak/>
        <w:t>Inadequate haematological function at Screening.</w:t>
      </w:r>
    </w:p>
    <w:p w14:paraId="1195B83A" w14:textId="77777777" w:rsidR="007B1057" w:rsidRPr="00D7531C" w:rsidRDefault="007B1057" w:rsidP="00D7531C">
      <w:pPr>
        <w:pStyle w:val="Numberbullet0"/>
      </w:pPr>
      <w:r w:rsidRPr="00D7531C">
        <w:t>Inadequate renal or hepatic function at Screening.</w:t>
      </w:r>
    </w:p>
    <w:p w14:paraId="37C951FA" w14:textId="77777777" w:rsidR="007B1057" w:rsidRPr="00D7531C" w:rsidRDefault="007B1057" w:rsidP="00D7531C">
      <w:pPr>
        <w:pStyle w:val="Numberbullet0"/>
      </w:pPr>
      <w:r w:rsidRPr="00D7531C">
        <w:t>Relevant allergic reactions, hypersensitivity or intolerances.</w:t>
      </w:r>
    </w:p>
    <w:p w14:paraId="415AB38B" w14:textId="77777777" w:rsidR="007B1057" w:rsidRPr="00D7531C" w:rsidRDefault="007B1057" w:rsidP="00D7531C">
      <w:pPr>
        <w:pStyle w:val="Numberbullet0"/>
      </w:pPr>
      <w:r w:rsidRPr="00D7531C">
        <w:t>Use of any medications that could affect BMD.</w:t>
      </w:r>
    </w:p>
    <w:p w14:paraId="4B0E6453" w14:textId="6BD120BE" w:rsidR="007B1057" w:rsidRDefault="002254DF" w:rsidP="00D7531C">
      <w:r w:rsidRPr="00852B88">
        <w:rPr>
          <w:b/>
          <w:bCs/>
        </w:rPr>
        <w:t>T</w:t>
      </w:r>
      <w:r w:rsidR="007B1057" w:rsidRPr="00852B88">
        <w:rPr>
          <w:b/>
          <w:bCs/>
        </w:rPr>
        <w:t>reatments:</w:t>
      </w:r>
      <w:r w:rsidR="007B1057">
        <w:rPr>
          <w:spacing w:val="-4"/>
        </w:rPr>
        <w:t xml:space="preserve"> </w:t>
      </w:r>
      <w:r w:rsidR="007B1057">
        <w:t>Patients</w:t>
      </w:r>
      <w:r w:rsidR="007B1057">
        <w:rPr>
          <w:spacing w:val="-2"/>
        </w:rPr>
        <w:t xml:space="preserve"> </w:t>
      </w:r>
      <w:r w:rsidR="007B1057">
        <w:t>were</w:t>
      </w:r>
      <w:r w:rsidR="007B1057">
        <w:rPr>
          <w:spacing w:val="-3"/>
        </w:rPr>
        <w:t xml:space="preserve"> </w:t>
      </w:r>
      <w:r w:rsidR="007B1057">
        <w:t>administered</w:t>
      </w:r>
      <w:r w:rsidR="007B1057">
        <w:rPr>
          <w:spacing w:val="-5"/>
        </w:rPr>
        <w:t xml:space="preserve"> </w:t>
      </w:r>
      <w:r w:rsidR="007B1057">
        <w:t>subcutaneous</w:t>
      </w:r>
      <w:r w:rsidR="007B1057">
        <w:rPr>
          <w:spacing w:val="-2"/>
        </w:rPr>
        <w:t xml:space="preserve"> </w:t>
      </w:r>
      <w:r w:rsidR="007B1057">
        <w:t>60</w:t>
      </w:r>
      <w:r w:rsidR="007B1057">
        <w:rPr>
          <w:spacing w:val="-3"/>
        </w:rPr>
        <w:t xml:space="preserve"> </w:t>
      </w:r>
      <w:r w:rsidR="007B1057">
        <w:t>mg</w:t>
      </w:r>
      <w:r w:rsidR="007B1057">
        <w:rPr>
          <w:spacing w:val="-2"/>
        </w:rPr>
        <w:t xml:space="preserve"> </w:t>
      </w:r>
      <w:r w:rsidR="007B1057">
        <w:t>of</w:t>
      </w:r>
      <w:r w:rsidR="007B1057">
        <w:rPr>
          <w:spacing w:val="-5"/>
        </w:rPr>
        <w:t xml:space="preserve"> </w:t>
      </w:r>
      <w:r w:rsidR="007B1057">
        <w:t>SB16</w:t>
      </w:r>
      <w:r w:rsidR="007B1057">
        <w:rPr>
          <w:spacing w:val="-3"/>
        </w:rPr>
        <w:t xml:space="preserve"> </w:t>
      </w:r>
      <w:r w:rsidR="007B1057">
        <w:t>or</w:t>
      </w:r>
      <w:r w:rsidR="007B1057">
        <w:rPr>
          <w:spacing w:val="-3"/>
        </w:rPr>
        <w:t xml:space="preserve"> </w:t>
      </w:r>
      <w:r w:rsidR="007B1057">
        <w:t>Prolia</w:t>
      </w:r>
      <w:r w:rsidR="007B1057">
        <w:rPr>
          <w:spacing w:val="-3"/>
        </w:rPr>
        <w:t xml:space="preserve"> </w:t>
      </w:r>
      <w:r w:rsidR="007B1057">
        <w:t>once</w:t>
      </w:r>
      <w:r w:rsidR="007B1057">
        <w:rPr>
          <w:spacing w:val="-3"/>
        </w:rPr>
        <w:t xml:space="preserve"> </w:t>
      </w:r>
      <w:r w:rsidR="007B1057">
        <w:t>every</w:t>
      </w:r>
      <w:r w:rsidR="007B1057">
        <w:rPr>
          <w:spacing w:val="-4"/>
        </w:rPr>
        <w:t xml:space="preserve"> </w:t>
      </w:r>
      <w:r w:rsidR="007B1057">
        <w:t>6 months for up to 18 months. Non-investigational products administered were elemental calcium (&gt; 1 g per day) and Vitamin D (&gt; 800 IU per day).</w:t>
      </w:r>
    </w:p>
    <w:p w14:paraId="022BAC88" w14:textId="77777777" w:rsidR="007B1057" w:rsidRDefault="007B1057" w:rsidP="00BF6FDB">
      <w:pPr>
        <w:pStyle w:val="ListBullet"/>
      </w:pPr>
      <w:r w:rsidRPr="003F6191">
        <w:rPr>
          <w:b/>
          <w:bCs/>
        </w:rPr>
        <w:t>Main</w:t>
      </w:r>
      <w:r w:rsidRPr="003F6191">
        <w:rPr>
          <w:b/>
          <w:bCs/>
          <w:spacing w:val="-4"/>
        </w:rPr>
        <w:t xml:space="preserve"> </w:t>
      </w:r>
      <w:r w:rsidRPr="003F6191">
        <w:rPr>
          <w:b/>
          <w:bCs/>
        </w:rPr>
        <w:t>Period</w:t>
      </w:r>
      <w:r>
        <w:t>:</w:t>
      </w:r>
      <w:r>
        <w:rPr>
          <w:spacing w:val="-4"/>
        </w:rPr>
        <w:t xml:space="preserve"> </w:t>
      </w:r>
      <w:r>
        <w:t>Eligible</w:t>
      </w:r>
      <w:r>
        <w:rPr>
          <w:spacing w:val="-3"/>
        </w:rPr>
        <w:t xml:space="preserve"> </w:t>
      </w:r>
      <w:r>
        <w:t>patients</w:t>
      </w:r>
      <w:r>
        <w:rPr>
          <w:spacing w:val="-2"/>
        </w:rPr>
        <w:t xml:space="preserve"> </w:t>
      </w:r>
      <w:r>
        <w:t>received</w:t>
      </w:r>
      <w:r>
        <w:rPr>
          <w:spacing w:val="-3"/>
        </w:rPr>
        <w:t xml:space="preserve"> </w:t>
      </w:r>
      <w:r>
        <w:t>either</w:t>
      </w:r>
      <w:r>
        <w:rPr>
          <w:spacing w:val="-3"/>
        </w:rPr>
        <w:t xml:space="preserve"> </w:t>
      </w:r>
      <w:r>
        <w:t>SB16</w:t>
      </w:r>
      <w:r>
        <w:rPr>
          <w:spacing w:val="-3"/>
        </w:rPr>
        <w:t xml:space="preserve"> </w:t>
      </w:r>
      <w:r>
        <w:t>or</w:t>
      </w:r>
      <w:r>
        <w:rPr>
          <w:spacing w:val="-3"/>
        </w:rPr>
        <w:t xml:space="preserve"> </w:t>
      </w:r>
      <w:r>
        <w:t>Prolia</w:t>
      </w:r>
      <w:r>
        <w:rPr>
          <w:spacing w:val="-5"/>
        </w:rPr>
        <w:t xml:space="preserve"> </w:t>
      </w:r>
      <w:r>
        <w:t>subcutaneously</w:t>
      </w:r>
      <w:r>
        <w:rPr>
          <w:spacing w:val="-4"/>
        </w:rPr>
        <w:t xml:space="preserve"> </w:t>
      </w:r>
      <w:r>
        <w:t>at</w:t>
      </w:r>
      <w:r>
        <w:rPr>
          <w:spacing w:val="-3"/>
        </w:rPr>
        <w:t xml:space="preserve"> </w:t>
      </w:r>
      <w:r>
        <w:t>Months 0 and 6 with BMD assessments at Months 6 and 12.</w:t>
      </w:r>
    </w:p>
    <w:p w14:paraId="608691DB" w14:textId="77777777" w:rsidR="007B1057" w:rsidRDefault="007B1057" w:rsidP="00BF6FDB">
      <w:pPr>
        <w:pStyle w:val="ListBullet"/>
      </w:pPr>
      <w:r w:rsidRPr="003F6191">
        <w:rPr>
          <w:b/>
          <w:bCs/>
        </w:rPr>
        <w:t>Transition Period</w:t>
      </w:r>
      <w:r>
        <w:t xml:space="preserve">: At Month 12, patients who had received Prolia in the Main Period were randomised again in a 1:1 ratio to either </w:t>
      </w:r>
      <w:proofErr w:type="gramStart"/>
      <w:r>
        <w:t>continue on</w:t>
      </w:r>
      <w:proofErr w:type="gramEnd"/>
      <w:r>
        <w:t xml:space="preserve"> Prolia (</w:t>
      </w:r>
      <w:proofErr w:type="spellStart"/>
      <w:r>
        <w:t>Prolia+Prolia</w:t>
      </w:r>
      <w:proofErr w:type="spellEnd"/>
      <w:r>
        <w:t>) or transitioned</w:t>
      </w:r>
      <w:r>
        <w:rPr>
          <w:spacing w:val="-3"/>
        </w:rPr>
        <w:t xml:space="preserve"> </w:t>
      </w:r>
      <w:r>
        <w:t>to</w:t>
      </w:r>
      <w:r>
        <w:rPr>
          <w:spacing w:val="-3"/>
        </w:rPr>
        <w:t xml:space="preserve"> </w:t>
      </w:r>
      <w:r>
        <w:t>SB16</w:t>
      </w:r>
      <w:r>
        <w:rPr>
          <w:spacing w:val="-3"/>
        </w:rPr>
        <w:t xml:space="preserve"> </w:t>
      </w:r>
      <w:r>
        <w:t>(Prolia+SB16).</w:t>
      </w:r>
      <w:r>
        <w:rPr>
          <w:spacing w:val="-3"/>
        </w:rPr>
        <w:t xml:space="preserve"> </w:t>
      </w:r>
      <w:r>
        <w:t>Patients</w:t>
      </w:r>
      <w:r>
        <w:rPr>
          <w:spacing w:val="-2"/>
        </w:rPr>
        <w:t xml:space="preserve"> </w:t>
      </w:r>
      <w:r>
        <w:t>who</w:t>
      </w:r>
      <w:r>
        <w:rPr>
          <w:spacing w:val="-3"/>
        </w:rPr>
        <w:t xml:space="preserve"> </w:t>
      </w:r>
      <w:r>
        <w:t>had</w:t>
      </w:r>
      <w:r>
        <w:rPr>
          <w:spacing w:val="-3"/>
        </w:rPr>
        <w:t xml:space="preserve"> </w:t>
      </w:r>
      <w:r>
        <w:t>received</w:t>
      </w:r>
      <w:r>
        <w:rPr>
          <w:spacing w:val="-5"/>
        </w:rPr>
        <w:t xml:space="preserve"> </w:t>
      </w:r>
      <w:r>
        <w:t>SB16</w:t>
      </w:r>
      <w:r>
        <w:rPr>
          <w:spacing w:val="-3"/>
        </w:rPr>
        <w:t xml:space="preserve"> </w:t>
      </w:r>
      <w:r>
        <w:t>in</w:t>
      </w:r>
      <w:r>
        <w:rPr>
          <w:spacing w:val="-4"/>
        </w:rPr>
        <w:t xml:space="preserve"> </w:t>
      </w:r>
      <w:r>
        <w:t>the</w:t>
      </w:r>
      <w:r>
        <w:rPr>
          <w:spacing w:val="-3"/>
        </w:rPr>
        <w:t xml:space="preserve"> </w:t>
      </w:r>
      <w:r>
        <w:t>Main</w:t>
      </w:r>
      <w:r>
        <w:rPr>
          <w:spacing w:val="-4"/>
        </w:rPr>
        <w:t xml:space="preserve"> </w:t>
      </w:r>
      <w:r>
        <w:t>Period continued to receive SB16, but they also followed the randomisation procedure to maintain blinding. Patients were followed up to Month 18.</w:t>
      </w:r>
    </w:p>
    <w:p w14:paraId="1F3778DD" w14:textId="59850EB7" w:rsidR="00BF6FDB" w:rsidRDefault="007B1057" w:rsidP="002254DF">
      <w:r w:rsidRPr="00C3245F">
        <w:rPr>
          <w:b/>
          <w:bCs/>
        </w:rPr>
        <w:t>Randomisation</w:t>
      </w:r>
      <w:r>
        <w:t>:</w:t>
      </w:r>
      <w:r>
        <w:rPr>
          <w:spacing w:val="-4"/>
        </w:rPr>
        <w:t xml:space="preserve"> </w:t>
      </w:r>
      <w:r>
        <w:t>An</w:t>
      </w:r>
      <w:r>
        <w:rPr>
          <w:spacing w:val="-4"/>
        </w:rPr>
        <w:t xml:space="preserve"> </w:t>
      </w:r>
      <w:r>
        <w:t>interactive</w:t>
      </w:r>
      <w:r>
        <w:rPr>
          <w:spacing w:val="-3"/>
        </w:rPr>
        <w:t xml:space="preserve"> </w:t>
      </w:r>
      <w:r>
        <w:t>web</w:t>
      </w:r>
      <w:r>
        <w:rPr>
          <w:spacing w:val="-4"/>
        </w:rPr>
        <w:t xml:space="preserve"> </w:t>
      </w:r>
      <w:r>
        <w:t>response</w:t>
      </w:r>
      <w:r>
        <w:rPr>
          <w:spacing w:val="-3"/>
        </w:rPr>
        <w:t xml:space="preserve"> </w:t>
      </w:r>
      <w:r>
        <w:t>system</w:t>
      </w:r>
      <w:r>
        <w:rPr>
          <w:spacing w:val="-2"/>
        </w:rPr>
        <w:t xml:space="preserve"> </w:t>
      </w:r>
      <w:r>
        <w:t>(IWRS)</w:t>
      </w:r>
      <w:r>
        <w:rPr>
          <w:spacing w:val="-3"/>
        </w:rPr>
        <w:t xml:space="preserve"> </w:t>
      </w:r>
      <w:r>
        <w:t>was</w:t>
      </w:r>
      <w:r>
        <w:rPr>
          <w:spacing w:val="-2"/>
        </w:rPr>
        <w:t xml:space="preserve"> </w:t>
      </w:r>
      <w:r>
        <w:t>used</w:t>
      </w:r>
      <w:r>
        <w:rPr>
          <w:spacing w:val="-3"/>
        </w:rPr>
        <w:t xml:space="preserve"> </w:t>
      </w:r>
      <w:r>
        <w:t>for</w:t>
      </w:r>
      <w:r>
        <w:rPr>
          <w:spacing w:val="-3"/>
        </w:rPr>
        <w:t xml:space="preserve"> </w:t>
      </w:r>
      <w:r>
        <w:t>the</w:t>
      </w:r>
      <w:r>
        <w:rPr>
          <w:spacing w:val="-3"/>
        </w:rPr>
        <w:t xml:space="preserve"> </w:t>
      </w:r>
      <w:r>
        <w:t>randomisation.</w:t>
      </w:r>
    </w:p>
    <w:p w14:paraId="25965E19" w14:textId="33F37E0D" w:rsidR="007B1057" w:rsidRDefault="007B1057" w:rsidP="003F6191">
      <w:pPr>
        <w:pStyle w:val="Heading7"/>
      </w:pPr>
      <w:r w:rsidRPr="00C3245F">
        <w:t>Baseline characteristics</w:t>
      </w:r>
      <w:r>
        <w:t>:</w:t>
      </w:r>
    </w:p>
    <w:p w14:paraId="6457716F" w14:textId="76E879CE" w:rsidR="007B1057" w:rsidRPr="00172D4F" w:rsidRDefault="007B1057" w:rsidP="00172D4F">
      <w:pPr>
        <w:pStyle w:val="ListBullet"/>
      </w:pPr>
      <w:r w:rsidRPr="00172D4F">
        <w:t>Patient demographics</w:t>
      </w:r>
      <w:r w:rsidR="00392B7D" w:rsidRPr="002B6C1A">
        <w:rPr>
          <w:rStyle w:val="FootnoteReference"/>
        </w:rPr>
        <w:footnoteReference w:id="5"/>
      </w:r>
      <w:r w:rsidRPr="00172D4F">
        <w:t>: The mean age was 66.4 years (range: 52 to 81 years) and</w:t>
      </w:r>
      <w:r w:rsidR="00BF6FDB" w:rsidRPr="00172D4F">
        <w:t xml:space="preserve"> </w:t>
      </w:r>
      <w:r w:rsidRPr="00172D4F">
        <w:t>59.7% were ≥ 65 years. All patients were female, and 90.8% were White. The mean BMI was</w:t>
      </w:r>
      <w:r w:rsidR="00BF6FDB" w:rsidRPr="00172D4F">
        <w:t xml:space="preserve"> </w:t>
      </w:r>
      <w:r w:rsidRPr="00172D4F">
        <w:t>25.01 kg/m2 (range: 18.7 to 36.3 kg/m2).</w:t>
      </w:r>
    </w:p>
    <w:p w14:paraId="09A7A245" w14:textId="31767E2E" w:rsidR="007B1057" w:rsidRPr="00172D4F" w:rsidRDefault="007B1057" w:rsidP="00172D4F">
      <w:pPr>
        <w:pStyle w:val="ListBullet"/>
      </w:pPr>
      <w:r w:rsidRPr="00172D4F">
        <w:t>Disease characteristics (</w:t>
      </w:r>
      <w:r w:rsidR="009220B6" w:rsidRPr="00172D4F">
        <w:t xml:space="preserve">Table </w:t>
      </w:r>
      <w:r w:rsidR="00F32825">
        <w:t>6</w:t>
      </w:r>
      <w:r w:rsidRPr="00172D4F">
        <w:t>): The mean duration of PMO was 3.10 years. The mean duration since menopause was 16.18 years. 31.1% had a previous fracture history. The mean baseline T-score at lumbar spine was comparable between groups (–3.04 in the SB16 and –3.05 in the Prolia Overall treatment groups).</w:t>
      </w:r>
    </w:p>
    <w:p w14:paraId="1F5F29E9" w14:textId="6BC3C2AA" w:rsidR="008107C2" w:rsidRDefault="008107C2" w:rsidP="008107C2">
      <w:pPr>
        <w:pStyle w:val="TableTitle"/>
      </w:pPr>
      <w:r w:rsidRPr="00CB2D45">
        <w:lastRenderedPageBreak/>
        <w:t>Table</w:t>
      </w:r>
      <w:r w:rsidRPr="00CB2D45">
        <w:rPr>
          <w:spacing w:val="-3"/>
        </w:rPr>
        <w:t xml:space="preserve"> </w:t>
      </w:r>
      <w:r w:rsidR="00F32825" w:rsidRPr="00CB2D45">
        <w:t>6</w:t>
      </w:r>
      <w:r w:rsidR="00940C80" w:rsidRPr="00CB2D45">
        <w:t>:</w:t>
      </w:r>
      <w:r w:rsidRPr="00CB2D45">
        <w:rPr>
          <w:spacing w:val="-4"/>
        </w:rPr>
        <w:t xml:space="preserve"> </w:t>
      </w:r>
      <w:r w:rsidRPr="00CB2D45">
        <w:t>Study</w:t>
      </w:r>
      <w:r w:rsidRPr="00CB2D45">
        <w:rPr>
          <w:spacing w:val="-3"/>
        </w:rPr>
        <w:t xml:space="preserve"> </w:t>
      </w:r>
      <w:r w:rsidRPr="00CB2D45">
        <w:t>SB16-3001.</w:t>
      </w:r>
      <w:r w:rsidRPr="00CB2D45">
        <w:rPr>
          <w:spacing w:val="-4"/>
        </w:rPr>
        <w:t xml:space="preserve"> </w:t>
      </w:r>
      <w:r w:rsidRPr="00CB2D45">
        <w:t>Baseline</w:t>
      </w:r>
      <w:r w:rsidRPr="00CB2D45">
        <w:rPr>
          <w:spacing w:val="-5"/>
        </w:rPr>
        <w:t xml:space="preserve"> </w:t>
      </w:r>
      <w:r w:rsidRPr="00CB2D45">
        <w:t>Disease</w:t>
      </w:r>
      <w:r w:rsidRPr="00CB2D45">
        <w:rPr>
          <w:spacing w:val="-5"/>
        </w:rPr>
        <w:t xml:space="preserve"> </w:t>
      </w:r>
      <w:r w:rsidRPr="00CB2D45">
        <w:t>Characteristics</w:t>
      </w:r>
      <w:r w:rsidRPr="00CB2D45">
        <w:rPr>
          <w:spacing w:val="-4"/>
        </w:rPr>
        <w:t xml:space="preserve"> </w:t>
      </w:r>
      <w:r w:rsidRPr="00CB2D45">
        <w:t>by</w:t>
      </w:r>
      <w:r w:rsidRPr="00CB2D45">
        <w:rPr>
          <w:spacing w:val="-3"/>
        </w:rPr>
        <w:t xml:space="preserve"> </w:t>
      </w:r>
      <w:r w:rsidRPr="00CB2D45">
        <w:t>Treatment</w:t>
      </w:r>
      <w:r w:rsidRPr="00CB2D45">
        <w:rPr>
          <w:spacing w:val="-2"/>
        </w:rPr>
        <w:t xml:space="preserve"> </w:t>
      </w:r>
      <w:r w:rsidRPr="00CB2D45">
        <w:t>Group (Randomized Set).</w:t>
      </w:r>
    </w:p>
    <w:p w14:paraId="7E30649A" w14:textId="73C6B289" w:rsidR="009220B6" w:rsidRDefault="003A6238" w:rsidP="00784F85">
      <w:r>
        <w:rPr>
          <w:noProof/>
        </w:rPr>
        <w:drawing>
          <wp:anchor distT="0" distB="0" distL="0" distR="0" simplePos="0" relativeHeight="251658242" behindDoc="1" locked="0" layoutInCell="1" allowOverlap="1" wp14:anchorId="28E489F7" wp14:editId="64B619F8">
            <wp:simplePos x="0" y="0"/>
            <wp:positionH relativeFrom="margin">
              <wp:align>left</wp:align>
            </wp:positionH>
            <wp:positionV relativeFrom="paragraph">
              <wp:posOffset>3645690</wp:posOffset>
            </wp:positionV>
            <wp:extent cx="5064760" cy="4843780"/>
            <wp:effectExtent l="0" t="0" r="2540" b="0"/>
            <wp:wrapTopAndBottom/>
            <wp:docPr id="37" name="Image 37" descr="Table 6: Study SB16-3001. Baseline Disease Characteristics by Treatment Group (Randomized S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Table 6: Study SB16-3001. Baseline Disease Characteristics by Treatment Group (Randomized Set)."/>
                    <pic:cNvPicPr/>
                  </pic:nvPicPr>
                  <pic:blipFill>
                    <a:blip r:embed="rId28" cstate="print"/>
                    <a:stretch>
                      <a:fillRect/>
                    </a:stretch>
                  </pic:blipFill>
                  <pic:spPr>
                    <a:xfrm>
                      <a:off x="0" y="0"/>
                      <a:ext cx="5066368" cy="4845318"/>
                    </a:xfrm>
                    <a:prstGeom prst="rect">
                      <a:avLst/>
                    </a:prstGeom>
                  </pic:spPr>
                </pic:pic>
              </a:graphicData>
            </a:graphic>
            <wp14:sizeRelH relativeFrom="margin">
              <wp14:pctWidth>0</wp14:pctWidth>
            </wp14:sizeRelH>
            <wp14:sizeRelV relativeFrom="margin">
              <wp14:pctHeight>0</wp14:pctHeight>
            </wp14:sizeRelV>
          </wp:anchor>
        </w:drawing>
      </w:r>
      <w:r w:rsidR="00FD146D">
        <w:rPr>
          <w:noProof/>
        </w:rPr>
        <w:drawing>
          <wp:inline distT="0" distB="0" distL="0" distR="0" wp14:anchorId="51B68DA3" wp14:editId="2E136046">
            <wp:extent cx="5065327" cy="3641124"/>
            <wp:effectExtent l="0" t="0" r="2540" b="0"/>
            <wp:docPr id="228604857" name="Picture 21" descr="Table 6: Study SB16-3001. Baseline Disease Characteristics by Treatment Group (Randomiz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04857" name="Picture 21" descr="Table 6: Study SB16-3001. Baseline Disease Characteristics by Treatment Group (Randomized S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5984" cy="3670349"/>
                    </a:xfrm>
                    <a:prstGeom prst="rect">
                      <a:avLst/>
                    </a:prstGeom>
                    <a:noFill/>
                  </pic:spPr>
                </pic:pic>
              </a:graphicData>
            </a:graphic>
          </wp:inline>
        </w:drawing>
      </w:r>
    </w:p>
    <w:p w14:paraId="69E3CE20" w14:textId="538FE2A0" w:rsidR="004C4067" w:rsidRDefault="004C4067" w:rsidP="00784F85">
      <w:r w:rsidRPr="004C4067">
        <w:rPr>
          <w:noProof/>
        </w:rPr>
        <w:lastRenderedPageBreak/>
        <w:drawing>
          <wp:inline distT="0" distB="0" distL="0" distR="0" wp14:anchorId="51F5EF76" wp14:editId="43BE181B">
            <wp:extent cx="5109097" cy="5840627"/>
            <wp:effectExtent l="0" t="0" r="0" b="8255"/>
            <wp:docPr id="866732202" name="Picture 1" descr="Table 6: Study SB16-3001. Baseline Disease Characteristics by Treatment Group (Randomiz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32202" name="Picture 1" descr="Table 6: Study SB16-3001. Baseline Disease Characteristics by Treatment Group (Randomized Set)."/>
                    <pic:cNvPicPr/>
                  </pic:nvPicPr>
                  <pic:blipFill>
                    <a:blip r:embed="rId30"/>
                    <a:stretch>
                      <a:fillRect/>
                    </a:stretch>
                  </pic:blipFill>
                  <pic:spPr>
                    <a:xfrm>
                      <a:off x="0" y="0"/>
                      <a:ext cx="5126722" cy="5860775"/>
                    </a:xfrm>
                    <a:prstGeom prst="rect">
                      <a:avLst/>
                    </a:prstGeom>
                  </pic:spPr>
                </pic:pic>
              </a:graphicData>
            </a:graphic>
          </wp:inline>
        </w:drawing>
      </w:r>
    </w:p>
    <w:p w14:paraId="7F08D69A" w14:textId="0C9F59D6" w:rsidR="007B1057" w:rsidRDefault="007B1057" w:rsidP="00784F85">
      <w:r w:rsidRPr="00C3245F">
        <w:rPr>
          <w:b/>
          <w:bCs/>
        </w:rPr>
        <w:t>Patient</w:t>
      </w:r>
      <w:r w:rsidRPr="00C3245F">
        <w:rPr>
          <w:b/>
          <w:bCs/>
          <w:spacing w:val="-5"/>
        </w:rPr>
        <w:t xml:space="preserve"> </w:t>
      </w:r>
      <w:r w:rsidRPr="00C3245F">
        <w:rPr>
          <w:b/>
          <w:bCs/>
        </w:rPr>
        <w:t>disposition:</w:t>
      </w:r>
      <w:r w:rsidRPr="00C3245F">
        <w:rPr>
          <w:b/>
          <w:bCs/>
          <w:spacing w:val="-6"/>
        </w:rPr>
        <w:t xml:space="preserve"> </w:t>
      </w:r>
      <w:hyperlink w:anchor="_bookmark29" w:history="1">
        <w:r>
          <w:t>Table</w:t>
        </w:r>
        <w:r>
          <w:rPr>
            <w:spacing w:val="-6"/>
          </w:rPr>
          <w:t xml:space="preserve"> </w:t>
        </w:r>
        <w:r w:rsidR="00F32825">
          <w:rPr>
            <w:spacing w:val="-5"/>
          </w:rPr>
          <w:t>7</w:t>
        </w:r>
        <w:r>
          <w:rPr>
            <w:spacing w:val="-5"/>
          </w:rPr>
          <w:t>.</w:t>
        </w:r>
      </w:hyperlink>
    </w:p>
    <w:p w14:paraId="111DD23A" w14:textId="35B66A18" w:rsidR="007B1057" w:rsidRDefault="00A360F4" w:rsidP="00784F85">
      <w:pPr>
        <w:pStyle w:val="TableTitle"/>
      </w:pPr>
      <w:r w:rsidRPr="00A360F4">
        <w:t xml:space="preserve">Table </w:t>
      </w:r>
      <w:r w:rsidR="00F32825">
        <w:t>7</w:t>
      </w:r>
      <w:r w:rsidR="0027037E">
        <w:t>:</w:t>
      </w:r>
      <w:r w:rsidRPr="00A360F4">
        <w:t xml:space="preserve"> Study SB16-3001. </w:t>
      </w:r>
      <w:r w:rsidRPr="00784F85">
        <w:t>Patient</w:t>
      </w:r>
      <w:r w:rsidRPr="00A360F4">
        <w:t xml:space="preserve"> Disposition by Treatment Group (Enrolled Set).</w:t>
      </w:r>
    </w:p>
    <w:p w14:paraId="131CF50E" w14:textId="743D007A" w:rsidR="00D06CF4" w:rsidRDefault="00D06CF4" w:rsidP="00784F85">
      <w:r>
        <w:rPr>
          <w:noProof/>
        </w:rPr>
        <w:drawing>
          <wp:inline distT="0" distB="0" distL="0" distR="0" wp14:anchorId="1CBF2B94" wp14:editId="3DFC7053">
            <wp:extent cx="5362833" cy="1180768"/>
            <wp:effectExtent l="0" t="0" r="0" b="635"/>
            <wp:docPr id="865404745" name="Picture 24" descr="Table 7: Study SB16-3001. Patient Disposition by Treatment Group (Enroll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04745" name="Picture 24" descr="Table 7: Study SB16-3001. Patient Disposition by Treatment Group (Enrolled Se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2790" cy="1185162"/>
                    </a:xfrm>
                    <a:prstGeom prst="rect">
                      <a:avLst/>
                    </a:prstGeom>
                    <a:noFill/>
                  </pic:spPr>
                </pic:pic>
              </a:graphicData>
            </a:graphic>
          </wp:inline>
        </w:drawing>
      </w:r>
      <w:r w:rsidR="00AF3423" w:rsidRPr="00AF3423">
        <w:rPr>
          <w:noProof/>
        </w:rPr>
        <w:drawing>
          <wp:inline distT="0" distB="0" distL="0" distR="0" wp14:anchorId="43BC6658" wp14:editId="0143D510">
            <wp:extent cx="5362575" cy="332936"/>
            <wp:effectExtent l="0" t="0" r="0" b="0"/>
            <wp:docPr id="242761724" name="Picture 1" descr="Table 7: Study SB16-3001. Patient Disposition by Treatment Group (Enroll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61724" name="Picture 1" descr="Table 7: Study SB16-3001. Patient Disposition by Treatment Group (Enrolled Set)."/>
                    <pic:cNvPicPr/>
                  </pic:nvPicPr>
                  <pic:blipFill>
                    <a:blip r:embed="rId32"/>
                    <a:stretch>
                      <a:fillRect/>
                    </a:stretch>
                  </pic:blipFill>
                  <pic:spPr>
                    <a:xfrm>
                      <a:off x="0" y="0"/>
                      <a:ext cx="5521692" cy="342815"/>
                    </a:xfrm>
                    <a:prstGeom prst="rect">
                      <a:avLst/>
                    </a:prstGeom>
                  </pic:spPr>
                </pic:pic>
              </a:graphicData>
            </a:graphic>
          </wp:inline>
        </w:drawing>
      </w:r>
    </w:p>
    <w:p w14:paraId="67C2E8F6" w14:textId="3F712567" w:rsidR="0027037E" w:rsidRPr="00784F85" w:rsidRDefault="00386577" w:rsidP="00784F85">
      <w:r>
        <w:rPr>
          <w:noProof/>
        </w:rPr>
        <w:lastRenderedPageBreak/>
        <w:drawing>
          <wp:inline distT="0" distB="0" distL="0" distR="0" wp14:anchorId="504B455D" wp14:editId="36717BEC">
            <wp:extent cx="5338119" cy="5366739"/>
            <wp:effectExtent l="0" t="0" r="0" b="5715"/>
            <wp:docPr id="1211057447" name="Picture 25" descr="Table 7: Study SB16-3001. Patient Disposition by Treatment Group (Enroll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57447" name="Picture 25" descr="Table 7: Study SB16-3001. Patient Disposition by Treatment Group (Enrolled Se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3774" cy="5372424"/>
                    </a:xfrm>
                    <a:prstGeom prst="rect">
                      <a:avLst/>
                    </a:prstGeom>
                    <a:noFill/>
                  </pic:spPr>
                </pic:pic>
              </a:graphicData>
            </a:graphic>
          </wp:inline>
        </w:drawing>
      </w:r>
      <w:bookmarkStart w:id="63" w:name="Magnitude_of_the_treatment_effect_and_it"/>
      <w:bookmarkEnd w:id="63"/>
    </w:p>
    <w:p w14:paraId="4016AD59" w14:textId="3C1409A6" w:rsidR="007B1057" w:rsidRPr="00C3245F" w:rsidRDefault="007B1057" w:rsidP="00E03F3D">
      <w:pPr>
        <w:pStyle w:val="Heading7"/>
      </w:pPr>
      <w:r w:rsidRPr="00E03F3D">
        <w:t>Magnitude</w:t>
      </w:r>
      <w:r w:rsidRPr="00E03F3D">
        <w:rPr>
          <w:spacing w:val="-5"/>
        </w:rPr>
        <w:t xml:space="preserve"> </w:t>
      </w:r>
      <w:r w:rsidRPr="00E03F3D">
        <w:t>of</w:t>
      </w:r>
      <w:r w:rsidRPr="00E03F3D">
        <w:rPr>
          <w:spacing w:val="-4"/>
        </w:rPr>
        <w:t xml:space="preserve"> </w:t>
      </w:r>
      <w:r w:rsidRPr="00E03F3D">
        <w:t>the</w:t>
      </w:r>
      <w:r w:rsidRPr="00E03F3D">
        <w:rPr>
          <w:spacing w:val="-4"/>
        </w:rPr>
        <w:t xml:space="preserve"> </w:t>
      </w:r>
      <w:r w:rsidRPr="00E03F3D">
        <w:t>treatment</w:t>
      </w:r>
      <w:r w:rsidRPr="00E03F3D">
        <w:rPr>
          <w:spacing w:val="-3"/>
        </w:rPr>
        <w:t xml:space="preserve"> </w:t>
      </w:r>
      <w:r w:rsidRPr="00E03F3D">
        <w:t>effect</w:t>
      </w:r>
      <w:r w:rsidRPr="00E03F3D">
        <w:rPr>
          <w:spacing w:val="-4"/>
        </w:rPr>
        <w:t xml:space="preserve"> </w:t>
      </w:r>
      <w:r w:rsidRPr="00E03F3D">
        <w:t>and</w:t>
      </w:r>
      <w:r w:rsidRPr="00E03F3D">
        <w:rPr>
          <w:spacing w:val="-4"/>
        </w:rPr>
        <w:t xml:space="preserve"> </w:t>
      </w:r>
      <w:r w:rsidRPr="00E03F3D">
        <w:t>its</w:t>
      </w:r>
      <w:r w:rsidRPr="00E03F3D">
        <w:rPr>
          <w:spacing w:val="-4"/>
        </w:rPr>
        <w:t xml:space="preserve"> </w:t>
      </w:r>
      <w:r w:rsidRPr="00E03F3D">
        <w:t>clinical</w:t>
      </w:r>
      <w:r w:rsidRPr="00E03F3D">
        <w:rPr>
          <w:spacing w:val="-3"/>
        </w:rPr>
        <w:t xml:space="preserve"> </w:t>
      </w:r>
      <w:r w:rsidRPr="00E03F3D">
        <w:rPr>
          <w:spacing w:val="-2"/>
        </w:rPr>
        <w:t>significance</w:t>
      </w:r>
    </w:p>
    <w:p w14:paraId="4105049A" w14:textId="77777777" w:rsidR="007B1057" w:rsidRDefault="007B1057" w:rsidP="0048078F">
      <w:r w:rsidRPr="00E03F3D">
        <w:rPr>
          <w:b/>
          <w:bCs/>
        </w:rPr>
        <w:t>Primary efficacy endpoint</w:t>
      </w:r>
      <w:r>
        <w:t>:</w:t>
      </w:r>
      <w:r>
        <w:rPr>
          <w:spacing w:val="-4"/>
        </w:rPr>
        <w:t xml:space="preserve"> </w:t>
      </w:r>
      <w:r>
        <w:t>The</w:t>
      </w:r>
      <w:r>
        <w:rPr>
          <w:spacing w:val="-3"/>
        </w:rPr>
        <w:t xml:space="preserve"> </w:t>
      </w:r>
      <w:r>
        <w:t>primary</w:t>
      </w:r>
      <w:r>
        <w:rPr>
          <w:spacing w:val="-4"/>
        </w:rPr>
        <w:t xml:space="preserve"> </w:t>
      </w:r>
      <w:r>
        <w:t>efficacy</w:t>
      </w:r>
      <w:r>
        <w:rPr>
          <w:spacing w:val="-4"/>
        </w:rPr>
        <w:t xml:space="preserve"> </w:t>
      </w:r>
      <w:r>
        <w:t>endpoint</w:t>
      </w:r>
      <w:r>
        <w:rPr>
          <w:spacing w:val="-3"/>
        </w:rPr>
        <w:t xml:space="preserve"> </w:t>
      </w:r>
      <w:r>
        <w:t>was</w:t>
      </w:r>
      <w:r>
        <w:rPr>
          <w:spacing w:val="-2"/>
        </w:rPr>
        <w:t xml:space="preserve"> </w:t>
      </w:r>
      <w:r>
        <w:t>the</w:t>
      </w:r>
      <w:r>
        <w:rPr>
          <w:spacing w:val="-3"/>
        </w:rPr>
        <w:t xml:space="preserve"> </w:t>
      </w:r>
      <w:r>
        <w:t>percent</w:t>
      </w:r>
      <w:r>
        <w:rPr>
          <w:spacing w:val="-3"/>
        </w:rPr>
        <w:t xml:space="preserve"> </w:t>
      </w:r>
      <w:r>
        <w:t>change</w:t>
      </w:r>
      <w:r>
        <w:rPr>
          <w:spacing w:val="-3"/>
        </w:rPr>
        <w:t xml:space="preserve"> </w:t>
      </w:r>
      <w:r>
        <w:t>from</w:t>
      </w:r>
      <w:r>
        <w:rPr>
          <w:spacing w:val="-2"/>
        </w:rPr>
        <w:t xml:space="preserve"> </w:t>
      </w:r>
      <w:r>
        <w:t>baseline in BMD for lumbar spine at Month 12:</w:t>
      </w:r>
    </w:p>
    <w:p w14:paraId="788E568B" w14:textId="360F64E9" w:rsidR="007B1057" w:rsidRDefault="007B1057" w:rsidP="0048078F">
      <w:pPr>
        <w:pStyle w:val="ListBullet"/>
      </w:pPr>
      <w:r w:rsidRPr="00E03F3D">
        <w:rPr>
          <w:b/>
          <w:bCs/>
        </w:rPr>
        <w:t>Primary analysis</w:t>
      </w:r>
      <w:r>
        <w:t>: In the PPS analysis, the LS mean difference (95% CI) between SB16 and</w:t>
      </w:r>
      <w:r>
        <w:rPr>
          <w:spacing w:val="-3"/>
        </w:rPr>
        <w:t xml:space="preserve"> </w:t>
      </w:r>
      <w:r>
        <w:t>Prolia</w:t>
      </w:r>
      <w:r>
        <w:rPr>
          <w:spacing w:val="-3"/>
        </w:rPr>
        <w:t xml:space="preserve"> </w:t>
      </w:r>
      <w:r>
        <w:t>treatment</w:t>
      </w:r>
      <w:r>
        <w:rPr>
          <w:spacing w:val="-3"/>
        </w:rPr>
        <w:t xml:space="preserve"> </w:t>
      </w:r>
      <w:r>
        <w:t>groups</w:t>
      </w:r>
      <w:r>
        <w:rPr>
          <w:spacing w:val="-2"/>
        </w:rPr>
        <w:t xml:space="preserve"> </w:t>
      </w:r>
      <w:r>
        <w:t>was</w:t>
      </w:r>
      <w:r>
        <w:rPr>
          <w:spacing w:val="-2"/>
        </w:rPr>
        <w:t xml:space="preserve"> </w:t>
      </w:r>
      <w:r>
        <w:t>0.39</w:t>
      </w:r>
      <w:r>
        <w:rPr>
          <w:spacing w:val="-3"/>
        </w:rPr>
        <w:t xml:space="preserve"> </w:t>
      </w:r>
      <w:r>
        <w:t>(–0.36,</w:t>
      </w:r>
      <w:r>
        <w:rPr>
          <w:spacing w:val="-3"/>
        </w:rPr>
        <w:t xml:space="preserve"> </w:t>
      </w:r>
      <w:r>
        <w:t>1.13)</w:t>
      </w:r>
      <w:r>
        <w:rPr>
          <w:spacing w:val="-6"/>
        </w:rPr>
        <w:t xml:space="preserve"> </w:t>
      </w:r>
      <w:r>
        <w:t>(contained</w:t>
      </w:r>
      <w:r>
        <w:rPr>
          <w:spacing w:val="-3"/>
        </w:rPr>
        <w:t xml:space="preserve"> </w:t>
      </w:r>
      <w:r>
        <w:t>within</w:t>
      </w:r>
      <w:r>
        <w:rPr>
          <w:spacing w:val="-4"/>
        </w:rPr>
        <w:t xml:space="preserve"> </w:t>
      </w:r>
      <w:r>
        <w:t>the</w:t>
      </w:r>
      <w:r>
        <w:rPr>
          <w:spacing w:val="-3"/>
        </w:rPr>
        <w:t xml:space="preserve"> </w:t>
      </w:r>
      <w:r>
        <w:t>equivalence margin of [–2.0, 2.0]) (</w:t>
      </w:r>
      <w:hyperlink w:anchor="_bookmark13" w:history="1">
        <w:r>
          <w:t xml:space="preserve">Table </w:t>
        </w:r>
      </w:hyperlink>
      <w:r w:rsidR="00F32825">
        <w:t>8</w:t>
      </w:r>
      <w:r>
        <w:t>).</w:t>
      </w:r>
    </w:p>
    <w:p w14:paraId="6085AD17" w14:textId="079EFE90" w:rsidR="007B1057" w:rsidRDefault="007B1057" w:rsidP="00034F37">
      <w:pPr>
        <w:pStyle w:val="ListBullet"/>
      </w:pPr>
      <w:r w:rsidRPr="00E03F3D">
        <w:rPr>
          <w:b/>
          <w:bCs/>
        </w:rPr>
        <w:t>Supportive analysis</w:t>
      </w:r>
      <w:r>
        <w:t>: In the FAS (Multiple Imputation) analysis, the LS mean difference (95%</w:t>
      </w:r>
      <w:r w:rsidRPr="0048078F">
        <w:rPr>
          <w:spacing w:val="-3"/>
        </w:rPr>
        <w:t xml:space="preserve"> </w:t>
      </w:r>
      <w:r>
        <w:t>CI)</w:t>
      </w:r>
      <w:r w:rsidRPr="0048078F">
        <w:rPr>
          <w:spacing w:val="-3"/>
        </w:rPr>
        <w:t xml:space="preserve"> </w:t>
      </w:r>
      <w:r>
        <w:t>between</w:t>
      </w:r>
      <w:r w:rsidRPr="0048078F">
        <w:rPr>
          <w:spacing w:val="-4"/>
        </w:rPr>
        <w:t xml:space="preserve"> </w:t>
      </w:r>
      <w:r>
        <w:t>SB16</w:t>
      </w:r>
      <w:r w:rsidRPr="0048078F">
        <w:rPr>
          <w:spacing w:val="-3"/>
        </w:rPr>
        <w:t xml:space="preserve"> </w:t>
      </w:r>
      <w:r>
        <w:t>and</w:t>
      </w:r>
      <w:r w:rsidRPr="0048078F">
        <w:rPr>
          <w:spacing w:val="-3"/>
        </w:rPr>
        <w:t xml:space="preserve"> </w:t>
      </w:r>
      <w:r>
        <w:t>Prolia</w:t>
      </w:r>
      <w:r w:rsidRPr="0048078F">
        <w:rPr>
          <w:spacing w:val="-3"/>
        </w:rPr>
        <w:t xml:space="preserve"> </w:t>
      </w:r>
      <w:r>
        <w:t>treatment</w:t>
      </w:r>
      <w:r w:rsidRPr="0048078F">
        <w:rPr>
          <w:spacing w:val="-6"/>
        </w:rPr>
        <w:t xml:space="preserve"> </w:t>
      </w:r>
      <w:r>
        <w:t>groups</w:t>
      </w:r>
      <w:r w:rsidRPr="0048078F">
        <w:rPr>
          <w:spacing w:val="-2"/>
        </w:rPr>
        <w:t xml:space="preserve"> </w:t>
      </w:r>
      <w:r>
        <w:t>was</w:t>
      </w:r>
      <w:r w:rsidRPr="0048078F">
        <w:rPr>
          <w:spacing w:val="-2"/>
        </w:rPr>
        <w:t xml:space="preserve"> </w:t>
      </w:r>
      <w:r>
        <w:t>0.33</w:t>
      </w:r>
      <w:r w:rsidRPr="0048078F">
        <w:rPr>
          <w:spacing w:val="-3"/>
        </w:rPr>
        <w:t xml:space="preserve"> </w:t>
      </w:r>
      <w:r>
        <w:t>(–0.36,</w:t>
      </w:r>
      <w:r w:rsidRPr="0048078F">
        <w:rPr>
          <w:spacing w:val="-3"/>
        </w:rPr>
        <w:t xml:space="preserve"> </w:t>
      </w:r>
      <w:r>
        <w:t>1.03)</w:t>
      </w:r>
      <w:r w:rsidRPr="0048078F">
        <w:rPr>
          <w:spacing w:val="-3"/>
        </w:rPr>
        <w:t xml:space="preserve"> </w:t>
      </w:r>
      <w:r>
        <w:t>(contained</w:t>
      </w:r>
      <w:r w:rsidR="0048078F">
        <w:t xml:space="preserve"> </w:t>
      </w:r>
      <w:r>
        <w:t>within</w:t>
      </w:r>
      <w:r w:rsidRPr="0048078F">
        <w:rPr>
          <w:spacing w:val="-7"/>
        </w:rPr>
        <w:t xml:space="preserve"> </w:t>
      </w:r>
      <w:r>
        <w:t>the</w:t>
      </w:r>
      <w:r w:rsidRPr="0048078F">
        <w:rPr>
          <w:spacing w:val="-4"/>
        </w:rPr>
        <w:t xml:space="preserve"> </w:t>
      </w:r>
      <w:r>
        <w:t>equivalence</w:t>
      </w:r>
      <w:r w:rsidRPr="0048078F">
        <w:rPr>
          <w:spacing w:val="-3"/>
        </w:rPr>
        <w:t xml:space="preserve"> </w:t>
      </w:r>
      <w:r>
        <w:t>margin</w:t>
      </w:r>
      <w:r w:rsidRPr="0048078F">
        <w:rPr>
          <w:spacing w:val="-5"/>
        </w:rPr>
        <w:t xml:space="preserve"> </w:t>
      </w:r>
      <w:r>
        <w:t>of</w:t>
      </w:r>
      <w:r w:rsidRPr="0048078F">
        <w:rPr>
          <w:spacing w:val="-4"/>
        </w:rPr>
        <w:t xml:space="preserve"> </w:t>
      </w:r>
      <w:r>
        <w:t>[–2.0,</w:t>
      </w:r>
      <w:r w:rsidRPr="0048078F">
        <w:rPr>
          <w:spacing w:val="-3"/>
        </w:rPr>
        <w:t xml:space="preserve"> </w:t>
      </w:r>
      <w:r>
        <w:t>2.0])</w:t>
      </w:r>
      <w:r w:rsidRPr="0048078F">
        <w:rPr>
          <w:spacing w:val="-4"/>
        </w:rPr>
        <w:t xml:space="preserve"> </w:t>
      </w:r>
      <w:r>
        <w:t>(</w:t>
      </w:r>
      <w:hyperlink w:anchor="_bookmark14" w:history="1">
        <w:r>
          <w:t>Table</w:t>
        </w:r>
        <w:r w:rsidRPr="0048078F">
          <w:rPr>
            <w:spacing w:val="-5"/>
          </w:rPr>
          <w:t xml:space="preserve"> </w:t>
        </w:r>
      </w:hyperlink>
      <w:r w:rsidR="00F32825">
        <w:t>9</w:t>
      </w:r>
      <w:r w:rsidRPr="0048078F">
        <w:rPr>
          <w:spacing w:val="-5"/>
        </w:rPr>
        <w:t>).</w:t>
      </w:r>
    </w:p>
    <w:p w14:paraId="034E2E1D" w14:textId="77777777" w:rsidR="007B1057" w:rsidRDefault="007B1057" w:rsidP="00E03F3D">
      <w:r>
        <w:t>The</w:t>
      </w:r>
      <w:r>
        <w:rPr>
          <w:spacing w:val="-9"/>
        </w:rPr>
        <w:t xml:space="preserve"> </w:t>
      </w:r>
      <w:r>
        <w:t>sensitivity</w:t>
      </w:r>
      <w:r>
        <w:rPr>
          <w:spacing w:val="-5"/>
        </w:rPr>
        <w:t xml:space="preserve"> </w:t>
      </w:r>
      <w:r>
        <w:t>and</w:t>
      </w:r>
      <w:r>
        <w:rPr>
          <w:spacing w:val="-5"/>
        </w:rPr>
        <w:t xml:space="preserve"> </w:t>
      </w:r>
      <w:r>
        <w:t>subgroup</w:t>
      </w:r>
      <w:r>
        <w:rPr>
          <w:spacing w:val="-5"/>
        </w:rPr>
        <w:t xml:space="preserve"> </w:t>
      </w:r>
      <w:r>
        <w:t>analyses</w:t>
      </w:r>
      <w:r>
        <w:rPr>
          <w:spacing w:val="-3"/>
        </w:rPr>
        <w:t xml:space="preserve"> </w:t>
      </w:r>
      <w:r>
        <w:t>were</w:t>
      </w:r>
      <w:r>
        <w:rPr>
          <w:spacing w:val="-5"/>
        </w:rPr>
        <w:t xml:space="preserve"> </w:t>
      </w:r>
      <w:r>
        <w:t>generally</w:t>
      </w:r>
      <w:r>
        <w:rPr>
          <w:spacing w:val="-5"/>
        </w:rPr>
        <w:t xml:space="preserve"> </w:t>
      </w:r>
      <w:r>
        <w:t>supportive</w:t>
      </w:r>
      <w:r>
        <w:rPr>
          <w:spacing w:val="-5"/>
        </w:rPr>
        <w:t xml:space="preserve"> </w:t>
      </w:r>
      <w:r>
        <w:t>of</w:t>
      </w:r>
      <w:r>
        <w:rPr>
          <w:spacing w:val="-4"/>
        </w:rPr>
        <w:t xml:space="preserve"> </w:t>
      </w:r>
      <w:r>
        <w:t>the</w:t>
      </w:r>
      <w:r>
        <w:rPr>
          <w:spacing w:val="-5"/>
        </w:rPr>
        <w:t xml:space="preserve"> </w:t>
      </w:r>
      <w:r>
        <w:t>primary</w:t>
      </w:r>
      <w:r>
        <w:rPr>
          <w:spacing w:val="-5"/>
        </w:rPr>
        <w:t xml:space="preserve"> </w:t>
      </w:r>
      <w:r>
        <w:rPr>
          <w:spacing w:val="-2"/>
        </w:rPr>
        <w:t>analysis.</w:t>
      </w:r>
    </w:p>
    <w:p w14:paraId="694BD172" w14:textId="5802D400" w:rsidR="007B1057" w:rsidRDefault="007B1057" w:rsidP="00E03F3D">
      <w:r>
        <w:rPr>
          <w:u w:val="single"/>
        </w:rPr>
        <w:t>Secondary</w:t>
      </w:r>
      <w:r>
        <w:rPr>
          <w:spacing w:val="-4"/>
          <w:u w:val="single"/>
        </w:rPr>
        <w:t xml:space="preserve"> </w:t>
      </w:r>
      <w:r>
        <w:rPr>
          <w:u w:val="single"/>
        </w:rPr>
        <w:t>efficacy</w:t>
      </w:r>
      <w:r>
        <w:rPr>
          <w:spacing w:val="-4"/>
          <w:u w:val="single"/>
        </w:rPr>
        <w:t xml:space="preserve"> </w:t>
      </w:r>
      <w:r>
        <w:rPr>
          <w:u w:val="single"/>
        </w:rPr>
        <w:t>endpoints</w:t>
      </w:r>
      <w:r>
        <w:rPr>
          <w:spacing w:val="-2"/>
        </w:rPr>
        <w:t xml:space="preserve"> </w:t>
      </w:r>
      <w:r>
        <w:t>included</w:t>
      </w:r>
      <w:r>
        <w:rPr>
          <w:spacing w:val="-3"/>
        </w:rPr>
        <w:t xml:space="preserve"> </w:t>
      </w:r>
      <w:r>
        <w:t>the</w:t>
      </w:r>
      <w:r>
        <w:rPr>
          <w:spacing w:val="-3"/>
        </w:rPr>
        <w:t xml:space="preserve"> </w:t>
      </w:r>
      <w:r>
        <w:t>percent</w:t>
      </w:r>
      <w:r>
        <w:rPr>
          <w:spacing w:val="-3"/>
        </w:rPr>
        <w:t xml:space="preserve"> </w:t>
      </w:r>
      <w:r>
        <w:t>change</w:t>
      </w:r>
      <w:r>
        <w:rPr>
          <w:spacing w:val="-5"/>
        </w:rPr>
        <w:t xml:space="preserve"> </w:t>
      </w:r>
      <w:r>
        <w:t>from</w:t>
      </w:r>
      <w:r>
        <w:rPr>
          <w:spacing w:val="-2"/>
        </w:rPr>
        <w:t xml:space="preserve"> </w:t>
      </w:r>
      <w:r>
        <w:t>baseline</w:t>
      </w:r>
      <w:r>
        <w:rPr>
          <w:spacing w:val="-5"/>
        </w:rPr>
        <w:t xml:space="preserve"> </w:t>
      </w:r>
      <w:r>
        <w:t>in</w:t>
      </w:r>
      <w:r>
        <w:rPr>
          <w:spacing w:val="-4"/>
        </w:rPr>
        <w:t xml:space="preserve"> </w:t>
      </w:r>
      <w:r>
        <w:t>lumbar</w:t>
      </w:r>
      <w:r>
        <w:rPr>
          <w:spacing w:val="-3"/>
        </w:rPr>
        <w:t xml:space="preserve"> </w:t>
      </w:r>
      <w:r>
        <w:t>spine</w:t>
      </w:r>
      <w:r>
        <w:rPr>
          <w:spacing w:val="-3"/>
        </w:rPr>
        <w:t xml:space="preserve"> </w:t>
      </w:r>
      <w:r>
        <w:t xml:space="preserve">BMD at Month 6 and Month 18. Results are shown in </w:t>
      </w:r>
      <w:hyperlink w:anchor="_bookmark15" w:history="1">
        <w:r>
          <w:t xml:space="preserve">Table </w:t>
        </w:r>
        <w:r w:rsidR="00F5074E">
          <w:t>1</w:t>
        </w:r>
        <w:r w:rsidR="00F32825">
          <w:t>0</w:t>
        </w:r>
        <w:r>
          <w:t>,</w:t>
        </w:r>
      </w:hyperlink>
      <w:r>
        <w:t xml:space="preserve"> and are considered supportive of the primary outcome.</w:t>
      </w:r>
    </w:p>
    <w:p w14:paraId="292DF3F6" w14:textId="5A57572F" w:rsidR="00FB3EFA" w:rsidRDefault="00FB3EFA" w:rsidP="00E03F3D">
      <w:pPr>
        <w:pStyle w:val="TableTitle"/>
      </w:pPr>
      <w:r w:rsidRPr="00FB3EFA">
        <w:lastRenderedPageBreak/>
        <w:t xml:space="preserve">Table </w:t>
      </w:r>
      <w:r w:rsidR="00F32825">
        <w:t>8</w:t>
      </w:r>
      <w:r w:rsidR="00F3670D">
        <w:t>:</w:t>
      </w:r>
      <w:r w:rsidRPr="00FB3EFA">
        <w:t xml:space="preserve"> Study SB16-3001. </w:t>
      </w:r>
      <w:r w:rsidRPr="00E03F3D">
        <w:t>Primary</w:t>
      </w:r>
      <w:r w:rsidRPr="00FB3EFA">
        <w:t xml:space="preserve"> endpoint results at Month 12 (PPS).</w:t>
      </w:r>
    </w:p>
    <w:p w14:paraId="3D9538D8" w14:textId="658CF691" w:rsidR="006A3C3B" w:rsidRPr="00FB3EFA" w:rsidRDefault="006A3C3B" w:rsidP="00E03F3D">
      <w:r>
        <w:rPr>
          <w:noProof/>
        </w:rPr>
        <w:drawing>
          <wp:inline distT="0" distB="0" distL="0" distR="0" wp14:anchorId="70A072BB" wp14:editId="1E52BABA">
            <wp:extent cx="5661660" cy="1438788"/>
            <wp:effectExtent l="0" t="0" r="0" b="9525"/>
            <wp:docPr id="1978933141" name="Picture 26" descr="Table 8: Study SB16-3001. Primary endpoint results at Month 12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33141" name="Picture 26" descr="Table 8: Study SB16-3001. Primary endpoint results at Month 12 (P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5664" cy="1444888"/>
                    </a:xfrm>
                    <a:prstGeom prst="rect">
                      <a:avLst/>
                    </a:prstGeom>
                    <a:noFill/>
                  </pic:spPr>
                </pic:pic>
              </a:graphicData>
            </a:graphic>
          </wp:inline>
        </w:drawing>
      </w:r>
    </w:p>
    <w:p w14:paraId="2B24FE11" w14:textId="2FE016C1" w:rsidR="00E2208F" w:rsidRDefault="00E2208F" w:rsidP="00E03F3D">
      <w:pPr>
        <w:pStyle w:val="TableTitle"/>
        <w:rPr>
          <w:lang w:val="en-US" w:eastAsia="en-AU"/>
        </w:rPr>
      </w:pPr>
      <w:r w:rsidRPr="00E2208F">
        <w:rPr>
          <w:lang w:val="en-US" w:eastAsia="en-AU"/>
        </w:rPr>
        <w:t xml:space="preserve">Table </w:t>
      </w:r>
      <w:r w:rsidR="00F32825">
        <w:rPr>
          <w:lang w:val="en-US" w:eastAsia="en-AU"/>
        </w:rPr>
        <w:t>9</w:t>
      </w:r>
      <w:r w:rsidR="00F5074E">
        <w:rPr>
          <w:lang w:val="en-US" w:eastAsia="en-AU"/>
        </w:rPr>
        <w:t>:</w:t>
      </w:r>
      <w:r w:rsidRPr="00E2208F">
        <w:rPr>
          <w:lang w:val="en-US" w:eastAsia="en-AU"/>
        </w:rPr>
        <w:t xml:space="preserve"> Study SB16-3001. </w:t>
      </w:r>
      <w:r w:rsidRPr="00E03F3D">
        <w:t>Primary</w:t>
      </w:r>
      <w:r w:rsidRPr="00E2208F">
        <w:rPr>
          <w:lang w:val="en-US" w:eastAsia="en-AU"/>
        </w:rPr>
        <w:t xml:space="preserve"> endpoint results at Month 12 (FAS) (Multiple Imputation).</w:t>
      </w:r>
    </w:p>
    <w:p w14:paraId="5DB2F090" w14:textId="2256999F" w:rsidR="00D46083" w:rsidRPr="00E2208F" w:rsidRDefault="00D46083" w:rsidP="00E03F3D">
      <w:pPr>
        <w:rPr>
          <w:b/>
          <w:lang w:eastAsia="en-AU"/>
        </w:rPr>
      </w:pPr>
      <w:r w:rsidRPr="00D46083">
        <w:rPr>
          <w:noProof/>
          <w:lang w:eastAsia="en-AU"/>
        </w:rPr>
        <w:drawing>
          <wp:inline distT="0" distB="0" distL="0" distR="0" wp14:anchorId="6F503ABB" wp14:editId="4A8D0F89">
            <wp:extent cx="5662151" cy="1569856"/>
            <wp:effectExtent l="0" t="0" r="0" b="0"/>
            <wp:docPr id="1651223549" name="Picture 1" descr="Table 9: Study SB16-3001. Primary endpoint results at Month 12 (FAS) (Multiple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23549" name="Picture 1" descr="Table 9: Study SB16-3001. Primary endpoint results at Month 12 (FAS) (Multiple Imputation)."/>
                    <pic:cNvPicPr/>
                  </pic:nvPicPr>
                  <pic:blipFill>
                    <a:blip r:embed="rId35"/>
                    <a:stretch>
                      <a:fillRect/>
                    </a:stretch>
                  </pic:blipFill>
                  <pic:spPr>
                    <a:xfrm>
                      <a:off x="0" y="0"/>
                      <a:ext cx="5662151" cy="1569856"/>
                    </a:xfrm>
                    <a:prstGeom prst="rect">
                      <a:avLst/>
                    </a:prstGeom>
                  </pic:spPr>
                </pic:pic>
              </a:graphicData>
            </a:graphic>
          </wp:inline>
        </w:drawing>
      </w:r>
    </w:p>
    <w:p w14:paraId="475E9BC9" w14:textId="31D9323C" w:rsidR="00D03810" w:rsidRDefault="000E7E0D" w:rsidP="00E03F3D">
      <w:pPr>
        <w:pStyle w:val="TableTitle"/>
        <w:rPr>
          <w:lang w:eastAsia="en-AU"/>
        </w:rPr>
      </w:pPr>
      <w:r w:rsidRPr="000E7E0D">
        <w:rPr>
          <w:lang w:val="en-US" w:eastAsia="en-AU"/>
        </w:rPr>
        <w:t xml:space="preserve">Table </w:t>
      </w:r>
      <w:r w:rsidR="00F5074E">
        <w:rPr>
          <w:lang w:val="en-US" w:eastAsia="en-AU"/>
        </w:rPr>
        <w:t>1</w:t>
      </w:r>
      <w:r w:rsidR="00F32825">
        <w:rPr>
          <w:lang w:val="en-US" w:eastAsia="en-AU"/>
        </w:rPr>
        <w:t>0</w:t>
      </w:r>
      <w:r w:rsidR="00F5074E">
        <w:rPr>
          <w:lang w:val="en-US" w:eastAsia="en-AU"/>
        </w:rPr>
        <w:t>:</w:t>
      </w:r>
      <w:r w:rsidRPr="000E7E0D">
        <w:rPr>
          <w:lang w:val="en-US" w:eastAsia="en-AU"/>
        </w:rPr>
        <w:t xml:space="preserve"> Study SB16-3001. Secondary </w:t>
      </w:r>
      <w:r w:rsidRPr="00E03F3D">
        <w:t>endpoints</w:t>
      </w:r>
      <w:r w:rsidRPr="000E7E0D">
        <w:rPr>
          <w:lang w:val="en-US" w:eastAsia="en-AU"/>
        </w:rPr>
        <w:t>: Analysis of Percent Change from Baseline in Lumbar Spine Bone Mineral Density (BMD) at Month 6 and Month 18 (FAS).</w:t>
      </w:r>
    </w:p>
    <w:p w14:paraId="5FC10692" w14:textId="4D5E8DA2" w:rsidR="00D03810" w:rsidRDefault="008E165B" w:rsidP="00E03F3D">
      <w:pPr>
        <w:rPr>
          <w:lang w:eastAsia="en-AU"/>
        </w:rPr>
      </w:pPr>
      <w:r>
        <w:rPr>
          <w:noProof/>
          <w:lang w:eastAsia="en-AU"/>
        </w:rPr>
        <w:drawing>
          <wp:inline distT="0" distB="0" distL="0" distR="0" wp14:anchorId="4671D877" wp14:editId="4C32E3E2">
            <wp:extent cx="5626444" cy="3517900"/>
            <wp:effectExtent l="0" t="0" r="0" b="6350"/>
            <wp:docPr id="1259446450" name="Picture 10" descr="Table 10: Study SB16-3001. Secondary endpoints: Analysis of Percent Change from Baseline in Lumbar Spine Bone Mineral Density (BMD) at Month 6 and Month 18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46450" name="Picture 10" descr="Table 10: Study SB16-3001. Secondary endpoints: Analysis of Percent Change from Baseline in Lumbar Spine Bone Mineral Density (BMD) at Month 6 and Month 18 (F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7422" cy="3518512"/>
                    </a:xfrm>
                    <a:prstGeom prst="rect">
                      <a:avLst/>
                    </a:prstGeom>
                    <a:noFill/>
                  </pic:spPr>
                </pic:pic>
              </a:graphicData>
            </a:graphic>
          </wp:inline>
        </w:drawing>
      </w:r>
    </w:p>
    <w:p w14:paraId="06010C40" w14:textId="77777777" w:rsidR="0055074D" w:rsidRDefault="0055074D" w:rsidP="00E03F3D">
      <w:pPr>
        <w:pStyle w:val="Heading4"/>
      </w:pPr>
      <w:bookmarkStart w:id="64" w:name="_Toc221616613"/>
      <w:r w:rsidRPr="00E03F3D">
        <w:t>Safety</w:t>
      </w:r>
      <w:bookmarkEnd w:id="64"/>
    </w:p>
    <w:p w14:paraId="713F94F7" w14:textId="09D992BC" w:rsidR="0055074D" w:rsidRDefault="0055074D" w:rsidP="00E03F3D">
      <w:r>
        <w:t>Both</w:t>
      </w:r>
      <w:r>
        <w:rPr>
          <w:spacing w:val="-1"/>
        </w:rPr>
        <w:t xml:space="preserve"> </w:t>
      </w:r>
      <w:r>
        <w:t>clinical</w:t>
      </w:r>
      <w:r>
        <w:rPr>
          <w:spacing w:val="-2"/>
        </w:rPr>
        <w:t xml:space="preserve"> </w:t>
      </w:r>
      <w:r>
        <w:t>studies</w:t>
      </w:r>
      <w:r>
        <w:rPr>
          <w:spacing w:val="-3"/>
        </w:rPr>
        <w:t xml:space="preserve"> </w:t>
      </w:r>
      <w:r>
        <w:t>included</w:t>
      </w:r>
      <w:r>
        <w:rPr>
          <w:spacing w:val="-2"/>
        </w:rPr>
        <w:t xml:space="preserve"> </w:t>
      </w:r>
      <w:r>
        <w:t>in</w:t>
      </w:r>
      <w:r>
        <w:rPr>
          <w:spacing w:val="-3"/>
        </w:rPr>
        <w:t xml:space="preserve"> </w:t>
      </w:r>
      <w:r>
        <w:t>the</w:t>
      </w:r>
      <w:r>
        <w:rPr>
          <w:spacing w:val="-4"/>
        </w:rPr>
        <w:t xml:space="preserve"> </w:t>
      </w:r>
      <w:r>
        <w:t>submission</w:t>
      </w:r>
      <w:r>
        <w:rPr>
          <w:spacing w:val="-3"/>
        </w:rPr>
        <w:t xml:space="preserve"> </w:t>
      </w:r>
      <w:r>
        <w:t>provided</w:t>
      </w:r>
      <w:r>
        <w:rPr>
          <w:spacing w:val="-2"/>
        </w:rPr>
        <w:t xml:space="preserve"> </w:t>
      </w:r>
      <w:r>
        <w:t>safety</w:t>
      </w:r>
      <w:r>
        <w:rPr>
          <w:spacing w:val="-3"/>
        </w:rPr>
        <w:t xml:space="preserve"> </w:t>
      </w:r>
      <w:r>
        <w:t>data.</w:t>
      </w:r>
      <w:r>
        <w:rPr>
          <w:spacing w:val="-2"/>
        </w:rPr>
        <w:t xml:space="preserve"> </w:t>
      </w:r>
      <w:r>
        <w:t>The</w:t>
      </w:r>
      <w:r>
        <w:rPr>
          <w:spacing w:val="-2"/>
        </w:rPr>
        <w:t xml:space="preserve"> </w:t>
      </w:r>
      <w:r w:rsidR="00FC35E2">
        <w:t>p</w:t>
      </w:r>
      <w:r>
        <w:t>hase</w:t>
      </w:r>
      <w:r>
        <w:rPr>
          <w:spacing w:val="-2"/>
        </w:rPr>
        <w:t xml:space="preserve"> </w:t>
      </w:r>
      <w:r>
        <w:t>I</w:t>
      </w:r>
      <w:r>
        <w:rPr>
          <w:spacing w:val="-2"/>
        </w:rPr>
        <w:t xml:space="preserve"> </w:t>
      </w:r>
      <w:r>
        <w:t>stud</w:t>
      </w:r>
      <w:r w:rsidR="00E02520">
        <w:rPr>
          <w:rFonts w:hint="eastAsia"/>
          <w:lang w:eastAsia="ko-KR"/>
        </w:rPr>
        <w:t>y</w:t>
      </w:r>
      <w:r>
        <w:rPr>
          <w:spacing w:val="-1"/>
        </w:rPr>
        <w:t xml:space="preserve"> </w:t>
      </w:r>
      <w:r>
        <w:t>(Study SB16-1001)</w:t>
      </w:r>
      <w:r>
        <w:rPr>
          <w:spacing w:val="-2"/>
        </w:rPr>
        <w:t xml:space="preserve"> </w:t>
      </w:r>
      <w:r>
        <w:t>provided</w:t>
      </w:r>
      <w:r>
        <w:rPr>
          <w:spacing w:val="-2"/>
        </w:rPr>
        <w:t xml:space="preserve"> </w:t>
      </w:r>
      <w:r>
        <w:t>safety</w:t>
      </w:r>
      <w:r>
        <w:rPr>
          <w:spacing w:val="-3"/>
        </w:rPr>
        <w:t xml:space="preserve"> </w:t>
      </w:r>
      <w:r>
        <w:t>in</w:t>
      </w:r>
      <w:r>
        <w:rPr>
          <w:spacing w:val="-3"/>
        </w:rPr>
        <w:t xml:space="preserve"> </w:t>
      </w:r>
      <w:r>
        <w:t>healthy</w:t>
      </w:r>
      <w:r>
        <w:rPr>
          <w:spacing w:val="-3"/>
        </w:rPr>
        <w:t xml:space="preserve"> </w:t>
      </w:r>
      <w:r>
        <w:t>male</w:t>
      </w:r>
      <w:r>
        <w:rPr>
          <w:spacing w:val="-2"/>
        </w:rPr>
        <w:t xml:space="preserve"> </w:t>
      </w:r>
      <w:r>
        <w:t>volunteers,</w:t>
      </w:r>
      <w:r>
        <w:rPr>
          <w:spacing w:val="-2"/>
        </w:rPr>
        <w:t xml:space="preserve"> </w:t>
      </w:r>
      <w:r>
        <w:t>while</w:t>
      </w:r>
      <w:r>
        <w:rPr>
          <w:spacing w:val="-2"/>
        </w:rPr>
        <w:t xml:space="preserve"> </w:t>
      </w:r>
      <w:r>
        <w:t>the</w:t>
      </w:r>
      <w:r>
        <w:rPr>
          <w:spacing w:val="-4"/>
        </w:rPr>
        <w:t xml:space="preserve"> </w:t>
      </w:r>
      <w:r>
        <w:t>most</w:t>
      </w:r>
      <w:r>
        <w:rPr>
          <w:spacing w:val="-2"/>
        </w:rPr>
        <w:t xml:space="preserve"> </w:t>
      </w:r>
      <w:r>
        <w:t>relevant</w:t>
      </w:r>
      <w:r>
        <w:rPr>
          <w:spacing w:val="-2"/>
        </w:rPr>
        <w:t xml:space="preserve"> </w:t>
      </w:r>
      <w:r>
        <w:t>safety</w:t>
      </w:r>
      <w:r>
        <w:rPr>
          <w:spacing w:val="-3"/>
        </w:rPr>
        <w:t xml:space="preserve"> </w:t>
      </w:r>
      <w:r>
        <w:t>data</w:t>
      </w:r>
      <w:r>
        <w:rPr>
          <w:spacing w:val="-2"/>
        </w:rPr>
        <w:t xml:space="preserve"> </w:t>
      </w:r>
      <w:r>
        <w:t>was obtained in the pivotal study SB16-3001.</w:t>
      </w:r>
    </w:p>
    <w:p w14:paraId="2F42BDE5" w14:textId="77777777" w:rsidR="0055074D" w:rsidRDefault="0055074D" w:rsidP="00591FA4">
      <w:r>
        <w:lastRenderedPageBreak/>
        <w:t>The complete safety results are discussed in the CER and the clinical dossier. This overview focusses on the Study SB16-3001 – Safety Set 1 (SAF1), in which Safety Set 1 (SAF1) (n=456) consisted</w:t>
      </w:r>
      <w:r>
        <w:rPr>
          <w:spacing w:val="-3"/>
        </w:rPr>
        <w:t xml:space="preserve"> </w:t>
      </w:r>
      <w:r>
        <w:t>of</w:t>
      </w:r>
      <w:r>
        <w:rPr>
          <w:spacing w:val="-3"/>
        </w:rPr>
        <w:t xml:space="preserve"> </w:t>
      </w:r>
      <w:r>
        <w:t>all</w:t>
      </w:r>
      <w:r>
        <w:rPr>
          <w:spacing w:val="-3"/>
        </w:rPr>
        <w:t xml:space="preserve"> </w:t>
      </w:r>
      <w:r>
        <w:t>patients</w:t>
      </w:r>
      <w:r>
        <w:rPr>
          <w:spacing w:val="-2"/>
        </w:rPr>
        <w:t xml:space="preserve"> </w:t>
      </w:r>
      <w:r>
        <w:t>who</w:t>
      </w:r>
      <w:r>
        <w:rPr>
          <w:spacing w:val="-3"/>
        </w:rPr>
        <w:t xml:space="preserve"> </w:t>
      </w:r>
      <w:r>
        <w:t>received</w:t>
      </w:r>
      <w:r>
        <w:rPr>
          <w:spacing w:val="-3"/>
        </w:rPr>
        <w:t xml:space="preserve"> </w:t>
      </w:r>
      <w:r>
        <w:t>at</w:t>
      </w:r>
      <w:r>
        <w:rPr>
          <w:spacing w:val="-3"/>
        </w:rPr>
        <w:t xml:space="preserve"> </w:t>
      </w:r>
      <w:r>
        <w:t>least</w:t>
      </w:r>
      <w:r>
        <w:rPr>
          <w:spacing w:val="-3"/>
        </w:rPr>
        <w:t xml:space="preserve"> </w:t>
      </w:r>
      <w:r>
        <w:t>one</w:t>
      </w:r>
      <w:r>
        <w:rPr>
          <w:spacing w:val="-3"/>
        </w:rPr>
        <w:t xml:space="preserve"> </w:t>
      </w:r>
      <w:r>
        <w:t>IP.</w:t>
      </w:r>
      <w:r>
        <w:rPr>
          <w:spacing w:val="-3"/>
        </w:rPr>
        <w:t xml:space="preserve"> </w:t>
      </w:r>
      <w:r>
        <w:t>Safety</w:t>
      </w:r>
      <w:r>
        <w:rPr>
          <w:spacing w:val="-4"/>
        </w:rPr>
        <w:t xml:space="preserve"> </w:t>
      </w:r>
      <w:r>
        <w:t>Set</w:t>
      </w:r>
      <w:r>
        <w:rPr>
          <w:spacing w:val="-3"/>
        </w:rPr>
        <w:t xml:space="preserve"> </w:t>
      </w:r>
      <w:r>
        <w:t>2</w:t>
      </w:r>
      <w:r>
        <w:rPr>
          <w:spacing w:val="-3"/>
        </w:rPr>
        <w:t xml:space="preserve"> </w:t>
      </w:r>
      <w:r>
        <w:t>(SAF2)</w:t>
      </w:r>
      <w:r>
        <w:rPr>
          <w:spacing w:val="-3"/>
        </w:rPr>
        <w:t xml:space="preserve"> </w:t>
      </w:r>
      <w:r>
        <w:t>(n=407)</w:t>
      </w:r>
      <w:r>
        <w:rPr>
          <w:spacing w:val="-1"/>
        </w:rPr>
        <w:t xml:space="preserve"> </w:t>
      </w:r>
      <w:r>
        <w:t>consisted</w:t>
      </w:r>
      <w:r>
        <w:rPr>
          <w:spacing w:val="-3"/>
        </w:rPr>
        <w:t xml:space="preserve"> </w:t>
      </w:r>
      <w:r>
        <w:t>of all patients in the SAF1 who received IP after re-randomisation at Month 12. Patients were analysed according to the treatment received.</w:t>
      </w:r>
    </w:p>
    <w:p w14:paraId="2E7BBEE7" w14:textId="77777777" w:rsidR="0055074D" w:rsidRPr="00A555D6" w:rsidRDefault="0055074D" w:rsidP="00E03F3D">
      <w:pPr>
        <w:pStyle w:val="Heading5"/>
      </w:pPr>
      <w:bookmarkStart w:id="65" w:name="Exposure"/>
      <w:bookmarkEnd w:id="65"/>
      <w:r w:rsidRPr="00A555D6">
        <w:t>Exposure</w:t>
      </w:r>
    </w:p>
    <w:p w14:paraId="5C576D0C" w14:textId="7F4A8687" w:rsidR="0055074D" w:rsidRDefault="0055074D" w:rsidP="00E03F3D">
      <w:r w:rsidRPr="00E03F3D">
        <w:rPr>
          <w:b/>
          <w:bCs/>
        </w:rPr>
        <w:t>Study</w:t>
      </w:r>
      <w:r w:rsidRPr="00E03F3D">
        <w:rPr>
          <w:b/>
          <w:bCs/>
          <w:spacing w:val="-3"/>
        </w:rPr>
        <w:t xml:space="preserve"> </w:t>
      </w:r>
      <w:r w:rsidRPr="00E03F3D">
        <w:rPr>
          <w:b/>
          <w:bCs/>
        </w:rPr>
        <w:t>SB16-3001</w:t>
      </w:r>
      <w:r w:rsidRPr="00E03F3D">
        <w:rPr>
          <w:b/>
          <w:bCs/>
          <w:spacing w:val="-2"/>
        </w:rPr>
        <w:t xml:space="preserve"> </w:t>
      </w:r>
      <w:r w:rsidRPr="00E03F3D">
        <w:rPr>
          <w:b/>
          <w:bCs/>
        </w:rPr>
        <w:t>(SAF1)</w:t>
      </w:r>
      <w:r>
        <w:t>:</w:t>
      </w:r>
      <w:r>
        <w:rPr>
          <w:spacing w:val="-5"/>
        </w:rPr>
        <w:t xml:space="preserve"> </w:t>
      </w:r>
      <w:r>
        <w:t>Out</w:t>
      </w:r>
      <w:r>
        <w:rPr>
          <w:spacing w:val="-2"/>
        </w:rPr>
        <w:t xml:space="preserve"> </w:t>
      </w:r>
      <w:r>
        <w:t>of</w:t>
      </w:r>
      <w:r>
        <w:rPr>
          <w:spacing w:val="-2"/>
        </w:rPr>
        <w:t xml:space="preserve"> </w:t>
      </w:r>
      <w:r>
        <w:t>randomised</w:t>
      </w:r>
      <w:r>
        <w:rPr>
          <w:spacing w:val="-2"/>
        </w:rPr>
        <w:t xml:space="preserve"> </w:t>
      </w:r>
      <w:r>
        <w:t>457</w:t>
      </w:r>
      <w:r>
        <w:rPr>
          <w:spacing w:val="-2"/>
        </w:rPr>
        <w:t xml:space="preserve"> </w:t>
      </w:r>
      <w:r>
        <w:t>patients</w:t>
      </w:r>
      <w:r>
        <w:rPr>
          <w:spacing w:val="-1"/>
        </w:rPr>
        <w:t xml:space="preserve"> </w:t>
      </w:r>
      <w:r>
        <w:t>were,</w:t>
      </w:r>
      <w:r>
        <w:rPr>
          <w:spacing w:val="-2"/>
        </w:rPr>
        <w:t xml:space="preserve"> </w:t>
      </w:r>
      <w:r>
        <w:t>456</w:t>
      </w:r>
      <w:r>
        <w:rPr>
          <w:spacing w:val="-2"/>
        </w:rPr>
        <w:t xml:space="preserve"> </w:t>
      </w:r>
      <w:r>
        <w:t>(99.8%)</w:t>
      </w:r>
      <w:r>
        <w:rPr>
          <w:spacing w:val="-2"/>
        </w:rPr>
        <w:t xml:space="preserve"> </w:t>
      </w:r>
      <w:r>
        <w:t>received</w:t>
      </w:r>
      <w:r>
        <w:rPr>
          <w:spacing w:val="-2"/>
        </w:rPr>
        <w:t xml:space="preserve"> </w:t>
      </w:r>
      <w:r>
        <w:t>at</w:t>
      </w:r>
      <w:r>
        <w:rPr>
          <w:spacing w:val="-2"/>
        </w:rPr>
        <w:t xml:space="preserve"> </w:t>
      </w:r>
      <w:r>
        <w:t>least</w:t>
      </w:r>
      <w:r>
        <w:rPr>
          <w:spacing w:val="-2"/>
        </w:rPr>
        <w:t xml:space="preserve"> </w:t>
      </w:r>
      <w:r>
        <w:t>1 injection of SB16 or Prolia. The mean exposure duration up to Month 12 was 351.8 days for SB16 and 338.2 days for Prolia. The mean duration</w:t>
      </w:r>
      <w:r>
        <w:rPr>
          <w:spacing w:val="-1"/>
        </w:rPr>
        <w:t xml:space="preserve"> </w:t>
      </w:r>
      <w:r>
        <w:t>of exposure to IP up to Month 18 was 518.5 days</w:t>
      </w:r>
      <w:r>
        <w:rPr>
          <w:spacing w:val="-1"/>
        </w:rPr>
        <w:t xml:space="preserve"> </w:t>
      </w:r>
      <w:r>
        <w:t>for</w:t>
      </w:r>
      <w:r>
        <w:rPr>
          <w:spacing w:val="-4"/>
        </w:rPr>
        <w:t xml:space="preserve"> </w:t>
      </w:r>
      <w:r>
        <w:t>SB16</w:t>
      </w:r>
      <w:r>
        <w:rPr>
          <w:spacing w:val="-2"/>
        </w:rPr>
        <w:t xml:space="preserve"> </w:t>
      </w:r>
      <w:r w:rsidR="002150EC" w:rsidRPr="002150EC">
        <w:rPr>
          <w:spacing w:val="-2"/>
        </w:rPr>
        <w:t xml:space="preserve">in the SB16 treatment group </w:t>
      </w:r>
      <w:r>
        <w:t>and</w:t>
      </w:r>
      <w:r>
        <w:rPr>
          <w:spacing w:val="-2"/>
        </w:rPr>
        <w:t xml:space="preserve"> </w:t>
      </w:r>
      <w:r>
        <w:t>496.4</w:t>
      </w:r>
      <w:r>
        <w:rPr>
          <w:spacing w:val="-2"/>
        </w:rPr>
        <w:t xml:space="preserve"> </w:t>
      </w:r>
      <w:r>
        <w:t>days</w:t>
      </w:r>
      <w:r>
        <w:rPr>
          <w:spacing w:val="-1"/>
        </w:rPr>
        <w:t xml:space="preserve"> </w:t>
      </w:r>
      <w:r>
        <w:t>in</w:t>
      </w:r>
      <w:r>
        <w:rPr>
          <w:spacing w:val="-3"/>
        </w:rPr>
        <w:t xml:space="preserve"> </w:t>
      </w:r>
      <w:r>
        <w:t>the</w:t>
      </w:r>
      <w:r>
        <w:rPr>
          <w:spacing w:val="-2"/>
        </w:rPr>
        <w:t xml:space="preserve"> </w:t>
      </w:r>
      <w:r>
        <w:t>Prolia</w:t>
      </w:r>
      <w:r>
        <w:rPr>
          <w:spacing w:val="-2"/>
        </w:rPr>
        <w:t xml:space="preserve"> </w:t>
      </w:r>
      <w:r>
        <w:t>Overall</w:t>
      </w:r>
      <w:r>
        <w:rPr>
          <w:spacing w:val="-2"/>
        </w:rPr>
        <w:t xml:space="preserve"> </w:t>
      </w:r>
      <w:r>
        <w:t>treatment</w:t>
      </w:r>
      <w:r>
        <w:rPr>
          <w:spacing w:val="-2"/>
        </w:rPr>
        <w:t xml:space="preserve"> </w:t>
      </w:r>
      <w:r>
        <w:t>group</w:t>
      </w:r>
      <w:r>
        <w:rPr>
          <w:spacing w:val="-2"/>
        </w:rPr>
        <w:t xml:space="preserve"> </w:t>
      </w:r>
      <w:r>
        <w:t>(543.4</w:t>
      </w:r>
      <w:r>
        <w:rPr>
          <w:spacing w:val="-2"/>
        </w:rPr>
        <w:t xml:space="preserve"> </w:t>
      </w:r>
      <w:r>
        <w:t>days</w:t>
      </w:r>
      <w:r>
        <w:rPr>
          <w:spacing w:val="-1"/>
        </w:rPr>
        <w:t xml:space="preserve"> </w:t>
      </w:r>
      <w:r>
        <w:t>for</w:t>
      </w:r>
      <w:r>
        <w:rPr>
          <w:spacing w:val="-2"/>
        </w:rPr>
        <w:t xml:space="preserve"> </w:t>
      </w:r>
      <w:r>
        <w:t>Prolia+SB16 and 542.9 days for Prolia+ Prolia</w:t>
      </w:r>
      <w:r w:rsidR="002D333C">
        <w:t xml:space="preserve"> </w:t>
      </w:r>
      <w:r>
        <w:t>treatment groups</w:t>
      </w:r>
      <w:r w:rsidR="002D333C">
        <w:t>)</w:t>
      </w:r>
      <w:r>
        <w:t xml:space="preserve"> (</w:t>
      </w:r>
      <w:hyperlink w:anchor="_bookmark16" w:history="1">
        <w:r>
          <w:t xml:space="preserve">Table </w:t>
        </w:r>
      </w:hyperlink>
      <w:r w:rsidR="00CD44BC">
        <w:t>1</w:t>
      </w:r>
      <w:r w:rsidR="005F4C97">
        <w:t>1</w:t>
      </w:r>
      <w:r>
        <w:t>).</w:t>
      </w:r>
    </w:p>
    <w:p w14:paraId="5CFFAA9F" w14:textId="77777777" w:rsidR="00E03F3D" w:rsidRDefault="00D71F20" w:rsidP="00E03F3D">
      <w:pPr>
        <w:pStyle w:val="TableTitle"/>
      </w:pPr>
      <w:r w:rsidRPr="00CD44BC">
        <w:t xml:space="preserve">Table </w:t>
      </w:r>
      <w:r w:rsidR="00CD44BC" w:rsidRPr="00CD44BC">
        <w:t>1</w:t>
      </w:r>
      <w:r w:rsidR="005F4C97">
        <w:t>1</w:t>
      </w:r>
      <w:r w:rsidR="00CD44BC" w:rsidRPr="00CD44BC">
        <w:t>:</w:t>
      </w:r>
      <w:r w:rsidRPr="00CD44BC">
        <w:t xml:space="preserve"> </w:t>
      </w:r>
      <w:r w:rsidRPr="00E03F3D">
        <w:t>Study</w:t>
      </w:r>
      <w:r w:rsidRPr="00CD44BC">
        <w:t xml:space="preserve"> </w:t>
      </w:r>
      <w:proofErr w:type="spellStart"/>
      <w:r w:rsidRPr="00CD44BC">
        <w:t>SB16</w:t>
      </w:r>
      <w:proofErr w:type="spellEnd"/>
      <w:r w:rsidRPr="00CD44BC">
        <w:t>-3001. Summary of Exposure to Investigational Product by Treatment Group (</w:t>
      </w:r>
      <w:proofErr w:type="spellStart"/>
      <w:r w:rsidRPr="00CD44BC">
        <w:t>SAF1</w:t>
      </w:r>
      <w:proofErr w:type="spellEnd"/>
      <w:r w:rsidRPr="00CD44BC">
        <w:t>).</w:t>
      </w:r>
    </w:p>
    <w:p w14:paraId="7C20FA92" w14:textId="010CA417" w:rsidR="00317D32" w:rsidRPr="00B500EB" w:rsidRDefault="0014694D" w:rsidP="00E03F3D">
      <w:pPr>
        <w:rPr>
          <w:lang w:val="en-US" w:eastAsia="en-AU"/>
        </w:rPr>
      </w:pPr>
      <w:r w:rsidRPr="0014694D">
        <w:rPr>
          <w:noProof/>
          <w:lang w:val="en-US" w:eastAsia="en-AU"/>
        </w:rPr>
        <w:drawing>
          <wp:inline distT="0" distB="0" distL="0" distR="0" wp14:anchorId="755236F8" wp14:editId="737E8A3B">
            <wp:extent cx="5552303" cy="5369763"/>
            <wp:effectExtent l="0" t="0" r="0" b="2540"/>
            <wp:docPr id="1988387036" name="Picture 1" descr="Table 11: Study SB16-3001. Summary of Exposure to Investigational Product by Treatment Group (S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87036" name="Picture 1" descr="Table 11: Study SB16-3001. Summary of Exposure to Investigational Product by Treatment Group (SAF1)."/>
                    <pic:cNvPicPr/>
                  </pic:nvPicPr>
                  <pic:blipFill>
                    <a:blip r:embed="rId37"/>
                    <a:stretch>
                      <a:fillRect/>
                    </a:stretch>
                  </pic:blipFill>
                  <pic:spPr>
                    <a:xfrm>
                      <a:off x="0" y="0"/>
                      <a:ext cx="5567731" cy="5384684"/>
                    </a:xfrm>
                    <a:prstGeom prst="rect">
                      <a:avLst/>
                    </a:prstGeom>
                  </pic:spPr>
                </pic:pic>
              </a:graphicData>
            </a:graphic>
          </wp:inline>
        </w:drawing>
      </w:r>
    </w:p>
    <w:p w14:paraId="4A2614CA" w14:textId="77777777" w:rsidR="003B4FED" w:rsidRPr="00A555D6" w:rsidRDefault="003B4FED" w:rsidP="00E03F3D">
      <w:pPr>
        <w:pStyle w:val="Heading5"/>
      </w:pPr>
      <w:r w:rsidRPr="00A555D6">
        <w:t>Adverse</w:t>
      </w:r>
      <w:r w:rsidRPr="00A555D6">
        <w:rPr>
          <w:spacing w:val="-5"/>
        </w:rPr>
        <w:t xml:space="preserve"> </w:t>
      </w:r>
      <w:r w:rsidRPr="00A555D6">
        <w:t>event</w:t>
      </w:r>
      <w:r w:rsidRPr="00A555D6">
        <w:rPr>
          <w:spacing w:val="-4"/>
        </w:rPr>
        <w:t xml:space="preserve"> </w:t>
      </w:r>
      <w:r w:rsidRPr="00A555D6">
        <w:rPr>
          <w:spacing w:val="-2"/>
        </w:rPr>
        <w:t>overview</w:t>
      </w:r>
    </w:p>
    <w:p w14:paraId="31F86505" w14:textId="77777777" w:rsidR="003B4FED" w:rsidRDefault="003B4FED" w:rsidP="00E03F3D">
      <w:r w:rsidRPr="00E03F3D">
        <w:rPr>
          <w:b/>
          <w:bCs/>
        </w:rPr>
        <w:t>Study SB16-3001 (SAF1)</w:t>
      </w:r>
      <w:r>
        <w:t xml:space="preserve">: 351 (77.0%) patients experienced at least one TEAE in the Overall study period (173 [76.9%] in the SB16 group, 178 [77.1%] in the Prolia Overall group, 76 [76.0%] in the Prolia+SB16 group, and 82 [81.2%] in the </w:t>
      </w:r>
      <w:proofErr w:type="spellStart"/>
      <w:r>
        <w:t>Prolia+Prolia</w:t>
      </w:r>
      <w:proofErr w:type="spellEnd"/>
      <w:r>
        <w:t xml:space="preserve"> group), of which 351 </w:t>
      </w:r>
      <w:r>
        <w:lastRenderedPageBreak/>
        <w:t>(77.0%)</w:t>
      </w:r>
      <w:r>
        <w:rPr>
          <w:spacing w:val="-3"/>
        </w:rPr>
        <w:t xml:space="preserve"> </w:t>
      </w:r>
      <w:r>
        <w:t>patients</w:t>
      </w:r>
      <w:r>
        <w:rPr>
          <w:spacing w:val="-2"/>
        </w:rPr>
        <w:t xml:space="preserve"> </w:t>
      </w:r>
      <w:r>
        <w:t>had</w:t>
      </w:r>
      <w:r>
        <w:rPr>
          <w:spacing w:val="-3"/>
        </w:rPr>
        <w:t xml:space="preserve"> </w:t>
      </w:r>
      <w:r>
        <w:t>1094</w:t>
      </w:r>
      <w:r>
        <w:rPr>
          <w:spacing w:val="-3"/>
        </w:rPr>
        <w:t xml:space="preserve"> </w:t>
      </w:r>
      <w:r>
        <w:t>TEAEs.</w:t>
      </w:r>
      <w:r>
        <w:rPr>
          <w:spacing w:val="-3"/>
        </w:rPr>
        <w:t xml:space="preserve"> </w:t>
      </w:r>
      <w:r>
        <w:t>Generally,</w:t>
      </w:r>
      <w:r>
        <w:rPr>
          <w:spacing w:val="-3"/>
        </w:rPr>
        <w:t xml:space="preserve"> </w:t>
      </w:r>
      <w:r>
        <w:t>the</w:t>
      </w:r>
      <w:r>
        <w:rPr>
          <w:spacing w:val="-3"/>
        </w:rPr>
        <w:t xml:space="preserve"> </w:t>
      </w:r>
      <w:r>
        <w:t>proportion</w:t>
      </w:r>
      <w:r>
        <w:rPr>
          <w:spacing w:val="-4"/>
        </w:rPr>
        <w:t xml:space="preserve"> </w:t>
      </w:r>
      <w:r>
        <w:t>of</w:t>
      </w:r>
      <w:r>
        <w:rPr>
          <w:spacing w:val="-3"/>
        </w:rPr>
        <w:t xml:space="preserve"> </w:t>
      </w:r>
      <w:r>
        <w:t>patients</w:t>
      </w:r>
      <w:r>
        <w:rPr>
          <w:spacing w:val="-2"/>
        </w:rPr>
        <w:t xml:space="preserve"> </w:t>
      </w:r>
      <w:r>
        <w:t>who</w:t>
      </w:r>
      <w:r>
        <w:rPr>
          <w:spacing w:val="-5"/>
        </w:rPr>
        <w:t xml:space="preserve"> </w:t>
      </w:r>
      <w:r>
        <w:t>reported</w:t>
      </w:r>
      <w:r>
        <w:rPr>
          <w:spacing w:val="-3"/>
        </w:rPr>
        <w:t xml:space="preserve"> </w:t>
      </w:r>
      <w:r>
        <w:t>at</w:t>
      </w:r>
      <w:r>
        <w:rPr>
          <w:spacing w:val="-3"/>
        </w:rPr>
        <w:t xml:space="preserve"> </w:t>
      </w:r>
      <w:r>
        <w:t>least one TEAE, the incidence, and the severity was comparable across groups.</w:t>
      </w:r>
    </w:p>
    <w:p w14:paraId="21485047" w14:textId="0C473502" w:rsidR="003B4FED" w:rsidRDefault="003B4FED" w:rsidP="00E03F3D">
      <w:r>
        <w:t>Overall study period: At SOC level, the most frequently reported TEAEs were</w:t>
      </w:r>
      <w:r w:rsidR="003B6B93">
        <w:t xml:space="preserve"> -</w:t>
      </w:r>
      <w:r>
        <w:t xml:space="preserve"> infections and infestations</w:t>
      </w:r>
      <w:r>
        <w:rPr>
          <w:spacing w:val="-3"/>
        </w:rPr>
        <w:t xml:space="preserve"> </w:t>
      </w:r>
      <w:r>
        <w:t>(36.0%),</w:t>
      </w:r>
      <w:r>
        <w:rPr>
          <w:spacing w:val="-6"/>
        </w:rPr>
        <w:t xml:space="preserve"> </w:t>
      </w:r>
      <w:r>
        <w:t>musculoskeletal</w:t>
      </w:r>
      <w:r>
        <w:rPr>
          <w:spacing w:val="-4"/>
        </w:rPr>
        <w:t xml:space="preserve"> </w:t>
      </w:r>
      <w:r>
        <w:t>and</w:t>
      </w:r>
      <w:r>
        <w:rPr>
          <w:spacing w:val="-4"/>
        </w:rPr>
        <w:t xml:space="preserve"> </w:t>
      </w:r>
      <w:r>
        <w:t>connective</w:t>
      </w:r>
      <w:r>
        <w:rPr>
          <w:spacing w:val="-4"/>
        </w:rPr>
        <w:t xml:space="preserve"> </w:t>
      </w:r>
      <w:r>
        <w:t>tissue</w:t>
      </w:r>
      <w:r>
        <w:rPr>
          <w:spacing w:val="-4"/>
        </w:rPr>
        <w:t xml:space="preserve"> </w:t>
      </w:r>
      <w:r>
        <w:t>disorders</w:t>
      </w:r>
      <w:r>
        <w:rPr>
          <w:spacing w:val="-3"/>
        </w:rPr>
        <w:t xml:space="preserve"> </w:t>
      </w:r>
      <w:r>
        <w:t>(25.9%),</w:t>
      </w:r>
      <w:r>
        <w:rPr>
          <w:spacing w:val="-4"/>
        </w:rPr>
        <w:t xml:space="preserve"> </w:t>
      </w:r>
      <w:r>
        <w:t>and</w:t>
      </w:r>
      <w:r>
        <w:rPr>
          <w:spacing w:val="-4"/>
        </w:rPr>
        <w:t xml:space="preserve"> </w:t>
      </w:r>
      <w:r>
        <w:t>metabolism and nutrition</w:t>
      </w:r>
      <w:r>
        <w:rPr>
          <w:spacing w:val="-1"/>
        </w:rPr>
        <w:t xml:space="preserve"> </w:t>
      </w:r>
      <w:r>
        <w:t>disorders (23.5%).</w:t>
      </w:r>
      <w:r>
        <w:rPr>
          <w:spacing w:val="-2"/>
        </w:rPr>
        <w:t xml:space="preserve"> </w:t>
      </w:r>
      <w:r>
        <w:t>The</w:t>
      </w:r>
      <w:r>
        <w:rPr>
          <w:spacing w:val="-2"/>
        </w:rPr>
        <w:t xml:space="preserve"> </w:t>
      </w:r>
      <w:r>
        <w:t>most frequently</w:t>
      </w:r>
      <w:r>
        <w:rPr>
          <w:spacing w:val="-1"/>
        </w:rPr>
        <w:t xml:space="preserve"> </w:t>
      </w:r>
      <w:r>
        <w:t>reported PT was hypocalcaemia (11.0%). Overall, the incidences and frequency of the majority of the TEAEs by SOC or PT were comparable across groups.</w:t>
      </w:r>
    </w:p>
    <w:p w14:paraId="6E3C7700" w14:textId="77777777" w:rsidR="003B4FED" w:rsidRPr="00A555D6" w:rsidRDefault="003B4FED" w:rsidP="00E03F3D">
      <w:pPr>
        <w:pStyle w:val="Heading5"/>
      </w:pPr>
      <w:bookmarkStart w:id="66" w:name="Treatment_related_adverse_event_(adverse"/>
      <w:bookmarkEnd w:id="66"/>
      <w:r w:rsidRPr="00A555D6">
        <w:t>Treatment</w:t>
      </w:r>
      <w:r w:rsidRPr="00A555D6">
        <w:rPr>
          <w:spacing w:val="-9"/>
        </w:rPr>
        <w:t xml:space="preserve"> </w:t>
      </w:r>
      <w:r w:rsidRPr="00A555D6">
        <w:t>related</w:t>
      </w:r>
      <w:r w:rsidRPr="00A555D6">
        <w:rPr>
          <w:spacing w:val="-6"/>
        </w:rPr>
        <w:t xml:space="preserve"> </w:t>
      </w:r>
      <w:r w:rsidRPr="00A555D6">
        <w:t>adverse</w:t>
      </w:r>
      <w:r w:rsidRPr="00A555D6">
        <w:rPr>
          <w:spacing w:val="-8"/>
        </w:rPr>
        <w:t xml:space="preserve"> </w:t>
      </w:r>
      <w:r w:rsidRPr="00A555D6">
        <w:t>event</w:t>
      </w:r>
      <w:r w:rsidRPr="00A555D6">
        <w:rPr>
          <w:spacing w:val="-4"/>
        </w:rPr>
        <w:t xml:space="preserve"> </w:t>
      </w:r>
      <w:r w:rsidRPr="00A555D6">
        <w:t>(adverse</w:t>
      </w:r>
      <w:r w:rsidRPr="00A555D6">
        <w:rPr>
          <w:spacing w:val="-5"/>
        </w:rPr>
        <w:t xml:space="preserve"> </w:t>
      </w:r>
      <w:r w:rsidRPr="00A555D6">
        <w:t>drug</w:t>
      </w:r>
      <w:r w:rsidRPr="00A555D6">
        <w:rPr>
          <w:spacing w:val="-5"/>
        </w:rPr>
        <w:t xml:space="preserve"> </w:t>
      </w:r>
      <w:r w:rsidRPr="00A555D6">
        <w:t>reaction)</w:t>
      </w:r>
      <w:r w:rsidRPr="00A555D6">
        <w:rPr>
          <w:spacing w:val="-4"/>
        </w:rPr>
        <w:t xml:space="preserve"> </w:t>
      </w:r>
      <w:r w:rsidRPr="00A555D6">
        <w:rPr>
          <w:spacing w:val="-2"/>
        </w:rPr>
        <w:t>overview</w:t>
      </w:r>
    </w:p>
    <w:p w14:paraId="56BD7016" w14:textId="4931B4E7" w:rsidR="003B4FED" w:rsidRDefault="003B4FED" w:rsidP="00E03F3D">
      <w:r w:rsidRPr="00E03F3D">
        <w:rPr>
          <w:b/>
          <w:bCs/>
        </w:rPr>
        <w:t>Study</w:t>
      </w:r>
      <w:r w:rsidRPr="00E03F3D">
        <w:rPr>
          <w:b/>
          <w:bCs/>
          <w:spacing w:val="-3"/>
        </w:rPr>
        <w:t xml:space="preserve"> </w:t>
      </w:r>
      <w:r w:rsidRPr="00E03F3D">
        <w:rPr>
          <w:b/>
          <w:bCs/>
        </w:rPr>
        <w:t>SB16-3001</w:t>
      </w:r>
      <w:r w:rsidRPr="00E03F3D">
        <w:rPr>
          <w:b/>
          <w:bCs/>
          <w:spacing w:val="-2"/>
        </w:rPr>
        <w:t xml:space="preserve"> </w:t>
      </w:r>
      <w:r w:rsidRPr="00E03F3D">
        <w:rPr>
          <w:b/>
          <w:bCs/>
        </w:rPr>
        <w:t>(SAF1)</w:t>
      </w:r>
      <w:r>
        <w:t>:</w:t>
      </w:r>
      <w:r>
        <w:rPr>
          <w:spacing w:val="-5"/>
        </w:rPr>
        <w:t xml:space="preserve"> </w:t>
      </w:r>
      <w:r>
        <w:t>The</w:t>
      </w:r>
      <w:r>
        <w:rPr>
          <w:spacing w:val="-4"/>
        </w:rPr>
        <w:t xml:space="preserve"> </w:t>
      </w:r>
      <w:r>
        <w:t>majority</w:t>
      </w:r>
      <w:r>
        <w:rPr>
          <w:spacing w:val="-3"/>
        </w:rPr>
        <w:t xml:space="preserve"> </w:t>
      </w:r>
      <w:r>
        <w:t>of</w:t>
      </w:r>
      <w:r>
        <w:rPr>
          <w:spacing w:val="-2"/>
        </w:rPr>
        <w:t xml:space="preserve"> </w:t>
      </w:r>
      <w:r>
        <w:t>the</w:t>
      </w:r>
      <w:r>
        <w:rPr>
          <w:spacing w:val="-4"/>
        </w:rPr>
        <w:t xml:space="preserve"> </w:t>
      </w:r>
      <w:r>
        <w:t>TEAEs</w:t>
      </w:r>
      <w:r>
        <w:rPr>
          <w:spacing w:val="-1"/>
        </w:rPr>
        <w:t xml:space="preserve"> </w:t>
      </w:r>
      <w:r>
        <w:t>was</w:t>
      </w:r>
      <w:r>
        <w:rPr>
          <w:spacing w:val="-1"/>
        </w:rPr>
        <w:t xml:space="preserve"> </w:t>
      </w:r>
      <w:r>
        <w:t>not</w:t>
      </w:r>
      <w:r>
        <w:rPr>
          <w:spacing w:val="-5"/>
        </w:rPr>
        <w:t xml:space="preserve"> </w:t>
      </w:r>
      <w:r>
        <w:t>considered</w:t>
      </w:r>
      <w:r>
        <w:rPr>
          <w:spacing w:val="-2"/>
        </w:rPr>
        <w:t xml:space="preserve"> </w:t>
      </w:r>
      <w:r>
        <w:t>related</w:t>
      </w:r>
      <w:r>
        <w:rPr>
          <w:spacing w:val="-2"/>
        </w:rPr>
        <w:t xml:space="preserve"> </w:t>
      </w:r>
      <w:r>
        <w:t>to</w:t>
      </w:r>
      <w:r>
        <w:rPr>
          <w:spacing w:val="-2"/>
        </w:rPr>
        <w:t xml:space="preserve"> </w:t>
      </w:r>
      <w:r w:rsidR="00137C17">
        <w:rPr>
          <w:spacing w:val="-2"/>
        </w:rPr>
        <w:t xml:space="preserve">the </w:t>
      </w:r>
      <w:r w:rsidR="00137C17" w:rsidRPr="00137C17">
        <w:rPr>
          <w:spacing w:val="-2"/>
        </w:rPr>
        <w:t xml:space="preserve">investigational products </w:t>
      </w:r>
      <w:r w:rsidR="00137C17">
        <w:rPr>
          <w:spacing w:val="-2"/>
        </w:rPr>
        <w:t>(</w:t>
      </w:r>
      <w:r>
        <w:t>IP</w:t>
      </w:r>
      <w:r w:rsidR="00137C17">
        <w:t>)</w:t>
      </w:r>
      <w:r>
        <w:rPr>
          <w:spacing w:val="-3"/>
        </w:rPr>
        <w:t xml:space="preserve"> </w:t>
      </w:r>
      <w:r>
        <w:t>(1010</w:t>
      </w:r>
      <w:r>
        <w:rPr>
          <w:spacing w:val="-2"/>
        </w:rPr>
        <w:t xml:space="preserve"> </w:t>
      </w:r>
      <w:r>
        <w:t>out of 1094 TEAEs were not considered related) in the Overall study period. The number of TEAEs related to the IP were</w:t>
      </w:r>
      <w:r w:rsidR="00A25561">
        <w:t xml:space="preserve"> -</w:t>
      </w:r>
      <w:r>
        <w:t xml:space="preserve"> 84 events in 60 (13.2%) patients</w:t>
      </w:r>
      <w:r w:rsidR="00F03B48">
        <w:t xml:space="preserve"> with </w:t>
      </w:r>
      <w:r>
        <w:t>27 [12.0%] patients in the SB16, 33</w:t>
      </w:r>
      <w:r w:rsidR="00A25561">
        <w:t xml:space="preserve"> </w:t>
      </w:r>
      <w:r>
        <w:t>[14.3%]</w:t>
      </w:r>
      <w:r>
        <w:rPr>
          <w:spacing w:val="-3"/>
        </w:rPr>
        <w:t xml:space="preserve"> </w:t>
      </w:r>
      <w:r>
        <w:t>patients</w:t>
      </w:r>
      <w:r>
        <w:rPr>
          <w:spacing w:val="-3"/>
        </w:rPr>
        <w:t xml:space="preserve"> </w:t>
      </w:r>
      <w:r>
        <w:t>in</w:t>
      </w:r>
      <w:r>
        <w:rPr>
          <w:spacing w:val="-3"/>
        </w:rPr>
        <w:t xml:space="preserve"> </w:t>
      </w:r>
      <w:r>
        <w:t>the</w:t>
      </w:r>
      <w:r>
        <w:rPr>
          <w:spacing w:val="-2"/>
        </w:rPr>
        <w:t xml:space="preserve"> </w:t>
      </w:r>
      <w:r>
        <w:t>Prolia</w:t>
      </w:r>
      <w:r w:rsidR="00CD1DA7">
        <w:t>.</w:t>
      </w:r>
      <w:r>
        <w:rPr>
          <w:spacing w:val="-2"/>
        </w:rPr>
        <w:t xml:space="preserve"> </w:t>
      </w:r>
      <w:r>
        <w:t>Overall,</w:t>
      </w:r>
      <w:r>
        <w:rPr>
          <w:spacing w:val="-2"/>
        </w:rPr>
        <w:t xml:space="preserve"> </w:t>
      </w:r>
      <w:r>
        <w:t>9</w:t>
      </w:r>
      <w:r>
        <w:rPr>
          <w:spacing w:val="-2"/>
        </w:rPr>
        <w:t xml:space="preserve"> </w:t>
      </w:r>
      <w:r>
        <w:t>[9.0%]</w:t>
      </w:r>
      <w:r>
        <w:rPr>
          <w:spacing w:val="-3"/>
        </w:rPr>
        <w:t xml:space="preserve"> </w:t>
      </w:r>
      <w:r>
        <w:t>patients</w:t>
      </w:r>
      <w:r>
        <w:rPr>
          <w:spacing w:val="-1"/>
        </w:rPr>
        <w:t xml:space="preserve"> </w:t>
      </w:r>
      <w:r>
        <w:t>in</w:t>
      </w:r>
      <w:r>
        <w:rPr>
          <w:spacing w:val="-3"/>
        </w:rPr>
        <w:t xml:space="preserve"> </w:t>
      </w:r>
      <w:r>
        <w:t>the</w:t>
      </w:r>
      <w:r>
        <w:rPr>
          <w:spacing w:val="-2"/>
        </w:rPr>
        <w:t xml:space="preserve"> </w:t>
      </w:r>
      <w:r>
        <w:t>Prolia+SB16,</w:t>
      </w:r>
      <w:r>
        <w:rPr>
          <w:spacing w:val="-2"/>
        </w:rPr>
        <w:t xml:space="preserve"> </w:t>
      </w:r>
      <w:r>
        <w:t>and</w:t>
      </w:r>
      <w:r>
        <w:rPr>
          <w:spacing w:val="-2"/>
        </w:rPr>
        <w:t xml:space="preserve"> </w:t>
      </w:r>
      <w:r>
        <w:t>18</w:t>
      </w:r>
      <w:r>
        <w:rPr>
          <w:spacing w:val="-2"/>
        </w:rPr>
        <w:t xml:space="preserve"> </w:t>
      </w:r>
      <w:r>
        <w:t xml:space="preserve">[17.8%] patients in the </w:t>
      </w:r>
      <w:proofErr w:type="spellStart"/>
      <w:r>
        <w:t>Prolia+Prolia</w:t>
      </w:r>
      <w:proofErr w:type="spellEnd"/>
      <w:r>
        <w:t xml:space="preserve"> treatment groups</w:t>
      </w:r>
      <w:r w:rsidR="0088756F">
        <w:t xml:space="preserve"> (Table 1</w:t>
      </w:r>
      <w:r w:rsidR="00505322">
        <w:t>2</w:t>
      </w:r>
      <w:r w:rsidR="0088756F">
        <w:t>)</w:t>
      </w:r>
      <w:r>
        <w:t>.</w:t>
      </w:r>
    </w:p>
    <w:p w14:paraId="39E02740" w14:textId="12F5E13B" w:rsidR="00201AF3" w:rsidRDefault="00FB110A" w:rsidP="00E03F3D">
      <w:pPr>
        <w:pStyle w:val="TableTitle"/>
        <w:rPr>
          <w:lang w:val="en-US" w:eastAsia="en-AU"/>
        </w:rPr>
      </w:pPr>
      <w:r>
        <w:t>Table</w:t>
      </w:r>
      <w:r w:rsidR="001A564D">
        <w:t xml:space="preserve"> </w:t>
      </w:r>
      <w:r w:rsidR="00A25561">
        <w:rPr>
          <w:spacing w:val="-3"/>
        </w:rPr>
        <w:t>1</w:t>
      </w:r>
      <w:r w:rsidR="00505322">
        <w:rPr>
          <w:spacing w:val="-3"/>
        </w:rPr>
        <w:t>2</w:t>
      </w:r>
      <w:r w:rsidR="00A25561">
        <w:rPr>
          <w:spacing w:val="-3"/>
        </w:rPr>
        <w:t>:</w:t>
      </w:r>
      <w:r>
        <w:rPr>
          <w:spacing w:val="-4"/>
        </w:rPr>
        <w:t xml:space="preserve"> </w:t>
      </w:r>
      <w:r>
        <w:t>Study</w:t>
      </w:r>
      <w:r>
        <w:rPr>
          <w:spacing w:val="-3"/>
        </w:rPr>
        <w:t xml:space="preserve"> </w:t>
      </w:r>
      <w:r>
        <w:t>SB16-3001.</w:t>
      </w:r>
      <w:r>
        <w:rPr>
          <w:spacing w:val="-4"/>
        </w:rPr>
        <w:t xml:space="preserve"> </w:t>
      </w:r>
      <w:proofErr w:type="spellStart"/>
      <w:r w:rsidRPr="00E03F3D">
        <w:t>TEAEs</w:t>
      </w:r>
      <w:proofErr w:type="spellEnd"/>
      <w:r>
        <w:rPr>
          <w:spacing w:val="-3"/>
        </w:rPr>
        <w:t xml:space="preserve"> </w:t>
      </w:r>
      <w:r>
        <w:t>with</w:t>
      </w:r>
      <w:r>
        <w:rPr>
          <w:spacing w:val="-3"/>
        </w:rPr>
        <w:t xml:space="preserve"> </w:t>
      </w:r>
      <w:r>
        <w:t>Incidence</w:t>
      </w:r>
      <w:r>
        <w:rPr>
          <w:spacing w:val="-3"/>
        </w:rPr>
        <w:t xml:space="preserve"> </w:t>
      </w:r>
      <w:r>
        <w:t>&gt;</w:t>
      </w:r>
      <w:r>
        <w:rPr>
          <w:spacing w:val="-2"/>
        </w:rPr>
        <w:t xml:space="preserve"> </w:t>
      </w:r>
      <w:r>
        <w:t>5%</w:t>
      </w:r>
      <w:r>
        <w:rPr>
          <w:spacing w:val="-2"/>
        </w:rPr>
        <w:t xml:space="preserve"> </w:t>
      </w:r>
      <w:r>
        <w:t>of</w:t>
      </w:r>
      <w:r>
        <w:rPr>
          <w:spacing w:val="-3"/>
        </w:rPr>
        <w:t xml:space="preserve"> </w:t>
      </w:r>
      <w:r>
        <w:t>Patients</w:t>
      </w:r>
      <w:r>
        <w:rPr>
          <w:spacing w:val="-3"/>
        </w:rPr>
        <w:t xml:space="preserve"> </w:t>
      </w:r>
      <w:r>
        <w:t>by</w:t>
      </w:r>
      <w:r>
        <w:rPr>
          <w:spacing w:val="-3"/>
        </w:rPr>
        <w:t xml:space="preserve"> </w:t>
      </w:r>
      <w:r>
        <w:t>System</w:t>
      </w:r>
      <w:r>
        <w:rPr>
          <w:spacing w:val="-3"/>
        </w:rPr>
        <w:t xml:space="preserve"> </w:t>
      </w:r>
      <w:r>
        <w:t>Organ Class and Preferred Term in the Overall Study Period (SAF1).</w:t>
      </w:r>
    </w:p>
    <w:p w14:paraId="4A4BD81E" w14:textId="20295554" w:rsidR="00201AF3" w:rsidRDefault="00C34674" w:rsidP="00E03F3D">
      <w:pPr>
        <w:rPr>
          <w:lang w:eastAsia="en-AU"/>
        </w:rPr>
      </w:pPr>
      <w:r>
        <w:rPr>
          <w:noProof/>
          <w:lang w:eastAsia="en-AU"/>
        </w:rPr>
        <w:drawing>
          <wp:inline distT="0" distB="0" distL="0" distR="0" wp14:anchorId="39C9AB74" wp14:editId="236D59E9">
            <wp:extent cx="5692775" cy="4023995"/>
            <wp:effectExtent l="0" t="0" r="3175" b="0"/>
            <wp:docPr id="517367040" name="Picture 11" descr="Table 12: Study SB16-3001. TEAEs with Incidence &gt; 5% of Patients by System Organ Class and Preferred Term in the Overall Study Period (S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67040" name="Picture 11" descr="Table 12: Study SB16-3001. TEAEs with Incidence &gt; 5% of Patients by System Organ Class and Preferred Term in the Overall Study Period (SAF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2775" cy="4023995"/>
                    </a:xfrm>
                    <a:prstGeom prst="rect">
                      <a:avLst/>
                    </a:prstGeom>
                    <a:noFill/>
                  </pic:spPr>
                </pic:pic>
              </a:graphicData>
            </a:graphic>
          </wp:inline>
        </w:drawing>
      </w:r>
    </w:p>
    <w:p w14:paraId="255AB9FA" w14:textId="77777777" w:rsidR="00132BF0" w:rsidRPr="00A555D6" w:rsidRDefault="00132BF0" w:rsidP="00E03F3D">
      <w:pPr>
        <w:pStyle w:val="Heading5"/>
      </w:pPr>
      <w:r w:rsidRPr="00A555D6">
        <w:t>Deaths</w:t>
      </w:r>
    </w:p>
    <w:p w14:paraId="249D76FA" w14:textId="77777777" w:rsidR="00132BF0" w:rsidRDefault="00132BF0" w:rsidP="00E03F3D">
      <w:r w:rsidRPr="009352E3">
        <w:t>Study</w:t>
      </w:r>
      <w:r w:rsidRPr="009352E3">
        <w:rPr>
          <w:spacing w:val="-6"/>
        </w:rPr>
        <w:t xml:space="preserve"> </w:t>
      </w:r>
      <w:proofErr w:type="spellStart"/>
      <w:r w:rsidRPr="009352E3">
        <w:t>SB16</w:t>
      </w:r>
      <w:proofErr w:type="spellEnd"/>
      <w:r w:rsidRPr="009352E3">
        <w:t>-3001:</w:t>
      </w:r>
      <w:r>
        <w:rPr>
          <w:spacing w:val="-5"/>
        </w:rPr>
        <w:t xml:space="preserve"> </w:t>
      </w:r>
      <w:r>
        <w:t>No</w:t>
      </w:r>
      <w:r>
        <w:rPr>
          <w:spacing w:val="-4"/>
        </w:rPr>
        <w:t xml:space="preserve"> </w:t>
      </w:r>
      <w:r>
        <w:t>death</w:t>
      </w:r>
      <w:r>
        <w:rPr>
          <w:spacing w:val="-3"/>
        </w:rPr>
        <w:t xml:space="preserve"> </w:t>
      </w:r>
      <w:r>
        <w:t>was</w:t>
      </w:r>
      <w:r>
        <w:rPr>
          <w:spacing w:val="-3"/>
        </w:rPr>
        <w:t xml:space="preserve"> </w:t>
      </w:r>
      <w:r>
        <w:t>reported.</w:t>
      </w:r>
    </w:p>
    <w:p w14:paraId="47EA0F6A" w14:textId="77777777" w:rsidR="00132BF0" w:rsidRPr="00A555D6" w:rsidRDefault="00132BF0" w:rsidP="00E03F3D">
      <w:pPr>
        <w:pStyle w:val="Heading5"/>
      </w:pPr>
      <w:bookmarkStart w:id="67" w:name="Serious_adverse_events"/>
      <w:bookmarkEnd w:id="67"/>
      <w:r w:rsidRPr="00A555D6">
        <w:t>Serious</w:t>
      </w:r>
      <w:r w:rsidRPr="00A555D6">
        <w:rPr>
          <w:spacing w:val="-7"/>
        </w:rPr>
        <w:t xml:space="preserve"> </w:t>
      </w:r>
      <w:r w:rsidRPr="00A555D6">
        <w:t>adverse</w:t>
      </w:r>
      <w:r w:rsidRPr="00A555D6">
        <w:rPr>
          <w:spacing w:val="-5"/>
        </w:rPr>
        <w:t xml:space="preserve"> </w:t>
      </w:r>
      <w:r w:rsidRPr="00A555D6">
        <w:t>events</w:t>
      </w:r>
    </w:p>
    <w:p w14:paraId="795E30FE" w14:textId="77777777" w:rsidR="00132BF0" w:rsidRDefault="00132BF0" w:rsidP="00E03F3D">
      <w:r w:rsidRPr="009352E3">
        <w:t>Study</w:t>
      </w:r>
      <w:r w:rsidRPr="009352E3">
        <w:rPr>
          <w:spacing w:val="-4"/>
        </w:rPr>
        <w:t xml:space="preserve"> </w:t>
      </w:r>
      <w:r w:rsidRPr="009352E3">
        <w:t>SB16-3001</w:t>
      </w:r>
      <w:r>
        <w:t>:</w:t>
      </w:r>
      <w:r>
        <w:rPr>
          <w:spacing w:val="-4"/>
        </w:rPr>
        <w:t xml:space="preserve"> </w:t>
      </w:r>
      <w:r>
        <w:t>23</w:t>
      </w:r>
      <w:r>
        <w:rPr>
          <w:spacing w:val="-3"/>
        </w:rPr>
        <w:t xml:space="preserve"> </w:t>
      </w:r>
      <w:r>
        <w:t>(5.0%)</w:t>
      </w:r>
      <w:r>
        <w:rPr>
          <w:spacing w:val="-3"/>
        </w:rPr>
        <w:t xml:space="preserve"> </w:t>
      </w:r>
      <w:r>
        <w:t>patients (5.3%</w:t>
      </w:r>
      <w:r>
        <w:rPr>
          <w:spacing w:val="-3"/>
        </w:rPr>
        <w:t xml:space="preserve"> </w:t>
      </w:r>
      <w:r>
        <w:t>for</w:t>
      </w:r>
      <w:r>
        <w:rPr>
          <w:spacing w:val="-3"/>
        </w:rPr>
        <w:t xml:space="preserve"> </w:t>
      </w:r>
      <w:r>
        <w:t>SB16</w:t>
      </w:r>
      <w:r>
        <w:rPr>
          <w:spacing w:val="-3"/>
        </w:rPr>
        <w:t xml:space="preserve"> </w:t>
      </w:r>
      <w:r>
        <w:t>vs.</w:t>
      </w:r>
      <w:r>
        <w:rPr>
          <w:spacing w:val="-3"/>
        </w:rPr>
        <w:t xml:space="preserve"> </w:t>
      </w:r>
      <w:r>
        <w:t>4.8%</w:t>
      </w:r>
      <w:r>
        <w:rPr>
          <w:spacing w:val="-3"/>
        </w:rPr>
        <w:t xml:space="preserve"> </w:t>
      </w:r>
      <w:r>
        <w:t>for</w:t>
      </w:r>
      <w:r>
        <w:rPr>
          <w:spacing w:val="-3"/>
        </w:rPr>
        <w:t xml:space="preserve"> </w:t>
      </w:r>
      <w:r>
        <w:t>the</w:t>
      </w:r>
      <w:r>
        <w:rPr>
          <w:spacing w:val="-3"/>
        </w:rPr>
        <w:t xml:space="preserve"> </w:t>
      </w:r>
      <w:r>
        <w:t>Prolia</w:t>
      </w:r>
      <w:r>
        <w:rPr>
          <w:spacing w:val="-3"/>
        </w:rPr>
        <w:t xml:space="preserve"> </w:t>
      </w:r>
      <w:r>
        <w:t>Overall</w:t>
      </w:r>
      <w:r>
        <w:rPr>
          <w:spacing w:val="-3"/>
        </w:rPr>
        <w:t xml:space="preserve"> </w:t>
      </w:r>
      <w:r>
        <w:t>treatment group) had 29 serious TEAEs (SAE). No SAEs were considered related to the IP.</w:t>
      </w:r>
    </w:p>
    <w:p w14:paraId="2D8A7829" w14:textId="77777777" w:rsidR="00132BF0" w:rsidRPr="00A555D6" w:rsidRDefault="00132BF0" w:rsidP="00E03F3D">
      <w:pPr>
        <w:pStyle w:val="Heading5"/>
      </w:pPr>
      <w:bookmarkStart w:id="68" w:name="Discontinuations"/>
      <w:bookmarkEnd w:id="68"/>
      <w:r w:rsidRPr="00A555D6">
        <w:lastRenderedPageBreak/>
        <w:t>Discontinuations</w:t>
      </w:r>
    </w:p>
    <w:p w14:paraId="34308859" w14:textId="7A8DA131" w:rsidR="00132BF0" w:rsidRDefault="00132BF0" w:rsidP="00E03F3D">
      <w:r w:rsidRPr="009352E3">
        <w:t>Study</w:t>
      </w:r>
      <w:r w:rsidRPr="009352E3">
        <w:rPr>
          <w:spacing w:val="-4"/>
        </w:rPr>
        <w:t xml:space="preserve"> </w:t>
      </w:r>
      <w:r w:rsidRPr="009352E3">
        <w:t>SB16-3001:</w:t>
      </w:r>
      <w:r w:rsidRPr="009352E3">
        <w:rPr>
          <w:spacing w:val="-4"/>
        </w:rPr>
        <w:t xml:space="preserve"> </w:t>
      </w:r>
      <w:r w:rsidR="00982A7C">
        <w:t>Four</w:t>
      </w:r>
      <w:r>
        <w:rPr>
          <w:spacing w:val="-3"/>
        </w:rPr>
        <w:t xml:space="preserve"> </w:t>
      </w:r>
      <w:r>
        <w:t>(1.8%)</w:t>
      </w:r>
      <w:r>
        <w:rPr>
          <w:spacing w:val="-3"/>
        </w:rPr>
        <w:t xml:space="preserve"> </w:t>
      </w:r>
      <w:r>
        <w:t>patients in</w:t>
      </w:r>
      <w:r>
        <w:rPr>
          <w:spacing w:val="-4"/>
        </w:rPr>
        <w:t xml:space="preserve"> </w:t>
      </w:r>
      <w:r>
        <w:t>the</w:t>
      </w:r>
      <w:r>
        <w:rPr>
          <w:spacing w:val="-5"/>
        </w:rPr>
        <w:t xml:space="preserve"> </w:t>
      </w:r>
      <w:r>
        <w:t>SB16</w:t>
      </w:r>
      <w:r>
        <w:rPr>
          <w:spacing w:val="-3"/>
        </w:rPr>
        <w:t xml:space="preserve"> </w:t>
      </w:r>
      <w:r>
        <w:t>treatment</w:t>
      </w:r>
      <w:r>
        <w:rPr>
          <w:spacing w:val="-3"/>
        </w:rPr>
        <w:t xml:space="preserve"> </w:t>
      </w:r>
      <w:r>
        <w:t>group</w:t>
      </w:r>
      <w:r>
        <w:rPr>
          <w:spacing w:val="-3"/>
        </w:rPr>
        <w:t xml:space="preserve"> </w:t>
      </w:r>
      <w:r>
        <w:t>experienced</w:t>
      </w:r>
      <w:r>
        <w:rPr>
          <w:spacing w:val="-3"/>
        </w:rPr>
        <w:t xml:space="preserve"> </w:t>
      </w:r>
      <w:r>
        <w:t>TEAEs that</w:t>
      </w:r>
      <w:r>
        <w:rPr>
          <w:spacing w:val="-3"/>
        </w:rPr>
        <w:t xml:space="preserve"> </w:t>
      </w:r>
      <w:r>
        <w:t>led</w:t>
      </w:r>
      <w:r>
        <w:rPr>
          <w:spacing w:val="-3"/>
        </w:rPr>
        <w:t xml:space="preserve"> </w:t>
      </w:r>
      <w:r>
        <w:t>to permanent discontinuation of the IP (arachnoid cyst, headache, acute phase reaction, tooth fracture, and alopecia) vs. 8 (3.5%) in the Prolia</w:t>
      </w:r>
      <w:r w:rsidR="00F925B3">
        <w:t>.</w:t>
      </w:r>
      <w:r>
        <w:t xml:space="preserve"> Overall treatment group (‘presyncope’, ‘alopecia’, ‘dental caries’, ‘haemorrhoids’, ‘noninfective gingivitis’, ‘COVID-19’, ‘diverticulitis’, ‘upper respiratory tract infection’, ‘breast cancer’, and ‘lung adenocarcinoma’).</w:t>
      </w:r>
    </w:p>
    <w:p w14:paraId="44EB94CD" w14:textId="77777777" w:rsidR="00132BF0" w:rsidRPr="00A555D6" w:rsidRDefault="00132BF0" w:rsidP="00E03F3D">
      <w:pPr>
        <w:pStyle w:val="Heading5"/>
      </w:pPr>
      <w:bookmarkStart w:id="69" w:name="Adverse_events_of_special_interest"/>
      <w:bookmarkEnd w:id="69"/>
      <w:r w:rsidRPr="00A555D6">
        <w:t>Adverse</w:t>
      </w:r>
      <w:r w:rsidRPr="00A555D6">
        <w:rPr>
          <w:spacing w:val="-5"/>
        </w:rPr>
        <w:t xml:space="preserve"> </w:t>
      </w:r>
      <w:r w:rsidRPr="00A555D6">
        <w:t>events</w:t>
      </w:r>
      <w:r w:rsidRPr="00A555D6">
        <w:rPr>
          <w:spacing w:val="-4"/>
        </w:rPr>
        <w:t xml:space="preserve"> </w:t>
      </w:r>
      <w:r w:rsidRPr="00A555D6">
        <w:t>of</w:t>
      </w:r>
      <w:r w:rsidRPr="00A555D6">
        <w:rPr>
          <w:spacing w:val="-5"/>
        </w:rPr>
        <w:t xml:space="preserve"> </w:t>
      </w:r>
      <w:r w:rsidRPr="00A555D6">
        <w:t>special</w:t>
      </w:r>
      <w:r w:rsidRPr="00A555D6">
        <w:rPr>
          <w:spacing w:val="-3"/>
        </w:rPr>
        <w:t xml:space="preserve"> </w:t>
      </w:r>
      <w:r w:rsidRPr="00A555D6">
        <w:rPr>
          <w:spacing w:val="-2"/>
        </w:rPr>
        <w:t>interest</w:t>
      </w:r>
    </w:p>
    <w:p w14:paraId="1CB8477A" w14:textId="1E03A0C3" w:rsidR="00132BF0" w:rsidRDefault="00132BF0" w:rsidP="00E03F3D">
      <w:pPr>
        <w:rPr>
          <w:spacing w:val="-4"/>
        </w:rPr>
      </w:pPr>
      <w:r>
        <w:t>AESIs</w:t>
      </w:r>
      <w:r>
        <w:rPr>
          <w:spacing w:val="-6"/>
        </w:rPr>
        <w:t xml:space="preserve"> </w:t>
      </w:r>
      <w:r>
        <w:t>in</w:t>
      </w:r>
      <w:r>
        <w:rPr>
          <w:spacing w:val="-5"/>
        </w:rPr>
        <w:t xml:space="preserve"> </w:t>
      </w:r>
      <w:r>
        <w:t>Study</w:t>
      </w:r>
      <w:r>
        <w:rPr>
          <w:spacing w:val="-5"/>
        </w:rPr>
        <w:t xml:space="preserve"> </w:t>
      </w:r>
      <w:r>
        <w:t>SB16-3001</w:t>
      </w:r>
      <w:r>
        <w:rPr>
          <w:spacing w:val="-6"/>
        </w:rPr>
        <w:t xml:space="preserve"> </w:t>
      </w:r>
      <w:r>
        <w:t>(overall</w:t>
      </w:r>
      <w:r>
        <w:rPr>
          <w:spacing w:val="-5"/>
        </w:rPr>
        <w:t xml:space="preserve"> </w:t>
      </w:r>
      <w:r>
        <w:t>period</w:t>
      </w:r>
      <w:r>
        <w:rPr>
          <w:spacing w:val="-4"/>
        </w:rPr>
        <w:t xml:space="preserve"> </w:t>
      </w:r>
      <w:r>
        <w:t>shown)</w:t>
      </w:r>
      <w:r>
        <w:rPr>
          <w:spacing w:val="-4"/>
        </w:rPr>
        <w:t xml:space="preserve"> </w:t>
      </w:r>
      <w:r>
        <w:t>(</w:t>
      </w:r>
      <w:r w:rsidR="006A3059">
        <w:t xml:space="preserve">Table </w:t>
      </w:r>
      <w:r w:rsidR="00505322">
        <w:t>1</w:t>
      </w:r>
      <w:hyperlink w:anchor="_bookmark30" w:history="1">
        <w:r w:rsidR="00505322">
          <w:t>3</w:t>
        </w:r>
      </w:hyperlink>
      <w:r>
        <w:rPr>
          <w:spacing w:val="-4"/>
        </w:rPr>
        <w:t>):</w:t>
      </w:r>
    </w:p>
    <w:p w14:paraId="12A5A914" w14:textId="0C3B1589" w:rsidR="00A93810" w:rsidRPr="00B44274" w:rsidRDefault="00A93810" w:rsidP="00E03F3D">
      <w:pPr>
        <w:pStyle w:val="TableTitle"/>
      </w:pPr>
      <w:r w:rsidRPr="00B44274">
        <w:t>Table 1</w:t>
      </w:r>
      <w:r w:rsidR="00505322">
        <w:t>3</w:t>
      </w:r>
      <w:r w:rsidR="006A3059" w:rsidRPr="00B44274">
        <w:t>:</w:t>
      </w:r>
      <w:r w:rsidRPr="00B44274">
        <w:t xml:space="preserve"> Study SB16-3001. Treatment-Emergent Adverse </w:t>
      </w:r>
      <w:r w:rsidRPr="00E03F3D">
        <w:t>Events</w:t>
      </w:r>
      <w:r w:rsidRPr="00B44274">
        <w:t xml:space="preserve"> of Special Interest (AESI) by System Organ Class in the Overall Study Period (SAF1).</w:t>
      </w:r>
    </w:p>
    <w:p w14:paraId="0123C8EB" w14:textId="6E678A03" w:rsidR="00A93810" w:rsidRDefault="00C037A2" w:rsidP="00E03F3D">
      <w:r w:rsidRPr="00C037A2">
        <w:rPr>
          <w:noProof/>
        </w:rPr>
        <w:drawing>
          <wp:inline distT="0" distB="0" distL="0" distR="0" wp14:anchorId="15268D77" wp14:editId="19AB2DE1">
            <wp:extent cx="5759450" cy="3433445"/>
            <wp:effectExtent l="0" t="0" r="0" b="0"/>
            <wp:docPr id="1472419266" name="Picture 1" descr="Table 13: Study SB16-3001. Treatment-Emergent Adverse Events of Special Interest (AESI) by System Organ Class in the Overall Study Period (S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19266" name="Picture 1" descr="Table 13: Study SB16-3001. Treatment-Emergent Adverse Events of Special Interest (AESI) by System Organ Class in the Overall Study Period (SAF1)."/>
                    <pic:cNvPicPr/>
                  </pic:nvPicPr>
                  <pic:blipFill>
                    <a:blip r:embed="rId39"/>
                    <a:stretch>
                      <a:fillRect/>
                    </a:stretch>
                  </pic:blipFill>
                  <pic:spPr>
                    <a:xfrm>
                      <a:off x="0" y="0"/>
                      <a:ext cx="5759450" cy="3433445"/>
                    </a:xfrm>
                    <a:prstGeom prst="rect">
                      <a:avLst/>
                    </a:prstGeom>
                  </pic:spPr>
                </pic:pic>
              </a:graphicData>
            </a:graphic>
          </wp:inline>
        </w:drawing>
      </w:r>
    </w:p>
    <w:p w14:paraId="649AE657" w14:textId="57CF620D" w:rsidR="00132BF0" w:rsidRDefault="00132BF0" w:rsidP="00E03F3D">
      <w:r w:rsidRPr="00E03F3D">
        <w:rPr>
          <w:b/>
          <w:bCs/>
        </w:rPr>
        <w:t>Hypocalcaemia</w:t>
      </w:r>
      <w:r>
        <w:t>:</w:t>
      </w:r>
      <w:r>
        <w:rPr>
          <w:spacing w:val="-4"/>
        </w:rPr>
        <w:t xml:space="preserve"> </w:t>
      </w:r>
      <w:r>
        <w:t>For</w:t>
      </w:r>
      <w:r>
        <w:rPr>
          <w:spacing w:val="-3"/>
        </w:rPr>
        <w:t xml:space="preserve"> </w:t>
      </w:r>
      <w:r>
        <w:t>SB16,</w:t>
      </w:r>
      <w:r>
        <w:rPr>
          <w:spacing w:val="-5"/>
        </w:rPr>
        <w:t xml:space="preserve"> </w:t>
      </w:r>
      <w:r>
        <w:t>this</w:t>
      </w:r>
      <w:r>
        <w:rPr>
          <w:spacing w:val="-2"/>
        </w:rPr>
        <w:t xml:space="preserve"> </w:t>
      </w:r>
      <w:r>
        <w:t>was</w:t>
      </w:r>
      <w:r>
        <w:rPr>
          <w:spacing w:val="-2"/>
        </w:rPr>
        <w:t xml:space="preserve"> </w:t>
      </w:r>
      <w:r>
        <w:t>reported</w:t>
      </w:r>
      <w:r>
        <w:rPr>
          <w:spacing w:val="-3"/>
        </w:rPr>
        <w:t xml:space="preserve"> </w:t>
      </w:r>
      <w:r>
        <w:t>in</w:t>
      </w:r>
      <w:r>
        <w:rPr>
          <w:spacing w:val="-4"/>
        </w:rPr>
        <w:t xml:space="preserve"> </w:t>
      </w:r>
      <w:r>
        <w:t>23</w:t>
      </w:r>
      <w:r>
        <w:rPr>
          <w:spacing w:val="-3"/>
        </w:rPr>
        <w:t xml:space="preserve"> </w:t>
      </w:r>
      <w:r>
        <w:t>(10.2%)</w:t>
      </w:r>
      <w:r>
        <w:rPr>
          <w:spacing w:val="-3"/>
        </w:rPr>
        <w:t xml:space="preserve"> </w:t>
      </w:r>
      <w:r>
        <w:t>patients</w:t>
      </w:r>
      <w:r>
        <w:rPr>
          <w:spacing w:val="-2"/>
        </w:rPr>
        <w:t xml:space="preserve"> </w:t>
      </w:r>
      <w:r>
        <w:t>in</w:t>
      </w:r>
      <w:r>
        <w:rPr>
          <w:spacing w:val="-3"/>
        </w:rPr>
        <w:t xml:space="preserve"> </w:t>
      </w:r>
      <w:r>
        <w:t>the</w:t>
      </w:r>
      <w:r>
        <w:rPr>
          <w:spacing w:val="-3"/>
        </w:rPr>
        <w:t xml:space="preserve"> </w:t>
      </w:r>
      <w:r w:rsidR="00A8680B">
        <w:t>o</w:t>
      </w:r>
      <w:r>
        <w:t>verall</w:t>
      </w:r>
      <w:r>
        <w:rPr>
          <w:spacing w:val="-3"/>
        </w:rPr>
        <w:t xml:space="preserve"> </w:t>
      </w:r>
      <w:r>
        <w:t>study</w:t>
      </w:r>
      <w:r>
        <w:rPr>
          <w:spacing w:val="-4"/>
        </w:rPr>
        <w:t xml:space="preserve"> </w:t>
      </w:r>
      <w:r>
        <w:t xml:space="preserve">period with 24 events in 22 (9.8%) patients during the </w:t>
      </w:r>
      <w:r w:rsidR="00A8680B">
        <w:t>m</w:t>
      </w:r>
      <w:r>
        <w:t>ain period and 2 events in 2 (1.0%) patients during the</w:t>
      </w:r>
      <w:r>
        <w:rPr>
          <w:spacing w:val="-2"/>
        </w:rPr>
        <w:t xml:space="preserve"> </w:t>
      </w:r>
      <w:r w:rsidR="00A8680B">
        <w:t>t</w:t>
      </w:r>
      <w:r>
        <w:t>ransition</w:t>
      </w:r>
      <w:r>
        <w:rPr>
          <w:spacing w:val="-1"/>
        </w:rPr>
        <w:t xml:space="preserve"> </w:t>
      </w:r>
      <w:r>
        <w:t>period. For the Prolia Overall</w:t>
      </w:r>
      <w:r>
        <w:rPr>
          <w:spacing w:val="-2"/>
        </w:rPr>
        <w:t xml:space="preserve"> </w:t>
      </w:r>
      <w:r>
        <w:t>group, there were 29 events in</w:t>
      </w:r>
      <w:r>
        <w:rPr>
          <w:spacing w:val="-1"/>
        </w:rPr>
        <w:t xml:space="preserve"> </w:t>
      </w:r>
      <w:r>
        <w:t xml:space="preserve">27 (11.7%) patients during the </w:t>
      </w:r>
      <w:r w:rsidR="00E42044">
        <w:t>m</w:t>
      </w:r>
      <w:r>
        <w:t xml:space="preserve">ain period and no events in the </w:t>
      </w:r>
      <w:r w:rsidR="00E42044">
        <w:t>t</w:t>
      </w:r>
      <w:r>
        <w:t>ransition period.</w:t>
      </w:r>
    </w:p>
    <w:p w14:paraId="25837B56" w14:textId="1BA370DE" w:rsidR="00132BF0" w:rsidRDefault="00132BF0" w:rsidP="0014694D">
      <w:r w:rsidRPr="00E03F3D">
        <w:rPr>
          <w:b/>
          <w:bCs/>
        </w:rPr>
        <w:t>Hypersensitivity to IP</w:t>
      </w:r>
      <w:r>
        <w:t xml:space="preserve">: </w:t>
      </w:r>
      <w:r w:rsidR="00A43E28">
        <w:t>One</w:t>
      </w:r>
      <w:r>
        <w:t xml:space="preserve"> (0.4%) patient in the SB16 treatment group experienced injection site erythema,</w:t>
      </w:r>
      <w:r>
        <w:rPr>
          <w:spacing w:val="-3"/>
        </w:rPr>
        <w:t xml:space="preserve"> </w:t>
      </w:r>
      <w:r>
        <w:t>and</w:t>
      </w:r>
      <w:r>
        <w:rPr>
          <w:spacing w:val="-3"/>
        </w:rPr>
        <w:t xml:space="preserve"> </w:t>
      </w:r>
      <w:r>
        <w:t>3</w:t>
      </w:r>
      <w:r>
        <w:rPr>
          <w:spacing w:val="-3"/>
        </w:rPr>
        <w:t xml:space="preserve"> </w:t>
      </w:r>
      <w:r>
        <w:t>(1.3%)</w:t>
      </w:r>
      <w:r>
        <w:rPr>
          <w:spacing w:val="-3"/>
        </w:rPr>
        <w:t xml:space="preserve"> </w:t>
      </w:r>
      <w:r>
        <w:t>patients</w:t>
      </w:r>
      <w:r>
        <w:rPr>
          <w:spacing w:val="-4"/>
        </w:rPr>
        <w:t xml:space="preserve"> </w:t>
      </w:r>
      <w:r>
        <w:t>in</w:t>
      </w:r>
      <w:r>
        <w:rPr>
          <w:spacing w:val="-4"/>
        </w:rPr>
        <w:t xml:space="preserve"> </w:t>
      </w:r>
      <w:r>
        <w:t>the</w:t>
      </w:r>
      <w:r>
        <w:rPr>
          <w:spacing w:val="-3"/>
        </w:rPr>
        <w:t xml:space="preserve"> </w:t>
      </w:r>
      <w:r>
        <w:t>Prolia</w:t>
      </w:r>
      <w:r>
        <w:rPr>
          <w:spacing w:val="-3"/>
        </w:rPr>
        <w:t xml:space="preserve"> </w:t>
      </w:r>
      <w:r>
        <w:t>treatment</w:t>
      </w:r>
      <w:r>
        <w:rPr>
          <w:spacing w:val="-3"/>
        </w:rPr>
        <w:t xml:space="preserve"> </w:t>
      </w:r>
      <w:r>
        <w:t>group</w:t>
      </w:r>
      <w:r>
        <w:rPr>
          <w:spacing w:val="-3"/>
        </w:rPr>
        <w:t xml:space="preserve"> </w:t>
      </w:r>
      <w:r>
        <w:t>had</w:t>
      </w:r>
      <w:r>
        <w:rPr>
          <w:spacing w:val="-2"/>
        </w:rPr>
        <w:t xml:space="preserve"> </w:t>
      </w:r>
      <w:r>
        <w:t>swelling</w:t>
      </w:r>
      <w:r>
        <w:rPr>
          <w:spacing w:val="-4"/>
        </w:rPr>
        <w:t xml:space="preserve"> </w:t>
      </w:r>
      <w:r>
        <w:t>of</w:t>
      </w:r>
      <w:r>
        <w:rPr>
          <w:spacing w:val="-3"/>
        </w:rPr>
        <w:t xml:space="preserve"> </w:t>
      </w:r>
      <w:r>
        <w:t>eyelid,</w:t>
      </w:r>
      <w:r>
        <w:rPr>
          <w:spacing w:val="-3"/>
        </w:rPr>
        <w:t xml:space="preserve"> </w:t>
      </w:r>
      <w:r>
        <w:t>erythema, pruritus, rash, and hot flush. There w</w:t>
      </w:r>
      <w:r w:rsidR="00A674AD">
        <w:t>as</w:t>
      </w:r>
      <w:r>
        <w:t xml:space="preserve"> no hypersensitivity to IP events in the Transition </w:t>
      </w:r>
      <w:r>
        <w:rPr>
          <w:spacing w:val="-2"/>
        </w:rPr>
        <w:t>period.</w:t>
      </w:r>
    </w:p>
    <w:p w14:paraId="0F2662F4" w14:textId="6B51D12E" w:rsidR="00132BF0" w:rsidRDefault="0014694D" w:rsidP="0014694D">
      <w:r w:rsidRPr="00E03F3D">
        <w:rPr>
          <w:b/>
          <w:bCs/>
        </w:rPr>
        <w:t>S</w:t>
      </w:r>
      <w:r w:rsidR="00132BF0" w:rsidRPr="00E03F3D">
        <w:rPr>
          <w:b/>
          <w:bCs/>
        </w:rPr>
        <w:t>kin</w:t>
      </w:r>
      <w:r w:rsidR="00132BF0" w:rsidRPr="00E03F3D">
        <w:rPr>
          <w:b/>
          <w:bCs/>
          <w:spacing w:val="-3"/>
        </w:rPr>
        <w:t xml:space="preserve"> </w:t>
      </w:r>
      <w:r w:rsidR="00132BF0" w:rsidRPr="00E03F3D">
        <w:rPr>
          <w:b/>
          <w:bCs/>
        </w:rPr>
        <w:t>infections</w:t>
      </w:r>
      <w:r w:rsidR="00132BF0">
        <w:t>:</w:t>
      </w:r>
      <w:r w:rsidR="00132BF0">
        <w:rPr>
          <w:spacing w:val="-3"/>
        </w:rPr>
        <w:t xml:space="preserve"> </w:t>
      </w:r>
      <w:r w:rsidR="00A43E28">
        <w:t>One</w:t>
      </w:r>
      <w:r w:rsidR="00132BF0">
        <w:rPr>
          <w:spacing w:val="-2"/>
        </w:rPr>
        <w:t xml:space="preserve"> </w:t>
      </w:r>
      <w:r w:rsidR="00132BF0">
        <w:t>(0.4%)</w:t>
      </w:r>
      <w:r w:rsidR="00132BF0">
        <w:rPr>
          <w:spacing w:val="-5"/>
        </w:rPr>
        <w:t xml:space="preserve"> </w:t>
      </w:r>
      <w:r w:rsidR="00132BF0">
        <w:t>patient</w:t>
      </w:r>
      <w:r w:rsidR="00132BF0">
        <w:rPr>
          <w:spacing w:val="-2"/>
        </w:rPr>
        <w:t xml:space="preserve"> </w:t>
      </w:r>
      <w:r w:rsidR="00132BF0">
        <w:t>in</w:t>
      </w:r>
      <w:r w:rsidR="00132BF0">
        <w:rPr>
          <w:spacing w:val="-3"/>
        </w:rPr>
        <w:t xml:space="preserve"> </w:t>
      </w:r>
      <w:r w:rsidR="00132BF0">
        <w:t>the</w:t>
      </w:r>
      <w:r w:rsidR="00132BF0">
        <w:rPr>
          <w:spacing w:val="-2"/>
        </w:rPr>
        <w:t xml:space="preserve"> </w:t>
      </w:r>
      <w:r w:rsidR="00132BF0">
        <w:t>SB16</w:t>
      </w:r>
      <w:r w:rsidR="00132BF0">
        <w:rPr>
          <w:spacing w:val="-2"/>
        </w:rPr>
        <w:t xml:space="preserve"> </w:t>
      </w:r>
      <w:r w:rsidR="00132BF0">
        <w:t>treatment</w:t>
      </w:r>
      <w:r w:rsidR="00132BF0">
        <w:rPr>
          <w:spacing w:val="-2"/>
        </w:rPr>
        <w:t xml:space="preserve"> </w:t>
      </w:r>
      <w:r w:rsidR="00132BF0">
        <w:t>group</w:t>
      </w:r>
      <w:r w:rsidR="00132BF0">
        <w:rPr>
          <w:spacing w:val="-2"/>
        </w:rPr>
        <w:t xml:space="preserve"> </w:t>
      </w:r>
      <w:r w:rsidR="00132BF0">
        <w:t>had</w:t>
      </w:r>
      <w:r w:rsidR="00132BF0">
        <w:rPr>
          <w:spacing w:val="-2"/>
        </w:rPr>
        <w:t xml:space="preserve"> </w:t>
      </w:r>
      <w:r w:rsidR="00132BF0">
        <w:t>herpes</w:t>
      </w:r>
      <w:r w:rsidR="00132BF0">
        <w:rPr>
          <w:spacing w:val="-1"/>
        </w:rPr>
        <w:t xml:space="preserve"> </w:t>
      </w:r>
      <w:r w:rsidR="00132BF0">
        <w:t>zoster, and</w:t>
      </w:r>
      <w:r w:rsidR="00132BF0">
        <w:rPr>
          <w:spacing w:val="-2"/>
        </w:rPr>
        <w:t xml:space="preserve"> </w:t>
      </w:r>
      <w:r w:rsidR="00A43E28">
        <w:t>one</w:t>
      </w:r>
      <w:r w:rsidR="00132BF0">
        <w:rPr>
          <w:spacing w:val="-2"/>
        </w:rPr>
        <w:t xml:space="preserve"> </w:t>
      </w:r>
      <w:r w:rsidR="00132BF0">
        <w:t>(0.4%) patient</w:t>
      </w:r>
      <w:r w:rsidR="00132BF0">
        <w:rPr>
          <w:spacing w:val="-2"/>
        </w:rPr>
        <w:t xml:space="preserve"> </w:t>
      </w:r>
      <w:r w:rsidR="00132BF0">
        <w:t>in</w:t>
      </w:r>
      <w:r w:rsidR="00132BF0">
        <w:rPr>
          <w:spacing w:val="-3"/>
        </w:rPr>
        <w:t xml:space="preserve"> </w:t>
      </w:r>
      <w:r w:rsidR="00132BF0">
        <w:t>the</w:t>
      </w:r>
      <w:r w:rsidR="00132BF0">
        <w:rPr>
          <w:spacing w:val="-2"/>
        </w:rPr>
        <w:t xml:space="preserve"> </w:t>
      </w:r>
      <w:r w:rsidR="00132BF0">
        <w:t>Prolia</w:t>
      </w:r>
      <w:r w:rsidR="00132BF0">
        <w:rPr>
          <w:spacing w:val="-2"/>
        </w:rPr>
        <w:t xml:space="preserve"> </w:t>
      </w:r>
      <w:r w:rsidR="00132BF0">
        <w:t>treatment</w:t>
      </w:r>
      <w:r w:rsidR="00132BF0">
        <w:rPr>
          <w:spacing w:val="-2"/>
        </w:rPr>
        <w:t xml:space="preserve"> </w:t>
      </w:r>
      <w:r w:rsidR="00132BF0">
        <w:t>group</w:t>
      </w:r>
      <w:r w:rsidR="00132BF0">
        <w:rPr>
          <w:spacing w:val="-2"/>
        </w:rPr>
        <w:t xml:space="preserve"> </w:t>
      </w:r>
      <w:r w:rsidR="00132BF0">
        <w:t>experienced</w:t>
      </w:r>
      <w:r w:rsidR="00132BF0">
        <w:rPr>
          <w:spacing w:val="-2"/>
        </w:rPr>
        <w:t xml:space="preserve"> </w:t>
      </w:r>
      <w:r w:rsidR="00132BF0">
        <w:t>erysipelas.</w:t>
      </w:r>
      <w:r w:rsidR="00132BF0">
        <w:rPr>
          <w:spacing w:val="-4"/>
        </w:rPr>
        <w:t xml:space="preserve"> </w:t>
      </w:r>
      <w:r w:rsidR="00132BF0">
        <w:t>There were</w:t>
      </w:r>
      <w:r w:rsidR="00132BF0">
        <w:rPr>
          <w:spacing w:val="-2"/>
        </w:rPr>
        <w:t xml:space="preserve"> </w:t>
      </w:r>
      <w:r w:rsidR="00132BF0">
        <w:t>no</w:t>
      </w:r>
      <w:r w:rsidR="00132BF0">
        <w:rPr>
          <w:spacing w:val="-4"/>
        </w:rPr>
        <w:t xml:space="preserve"> </w:t>
      </w:r>
      <w:r w:rsidR="00132BF0">
        <w:t>skin</w:t>
      </w:r>
      <w:r w:rsidR="00132BF0">
        <w:rPr>
          <w:spacing w:val="-3"/>
        </w:rPr>
        <w:t xml:space="preserve"> </w:t>
      </w:r>
      <w:r w:rsidR="00132BF0">
        <w:t>infections</w:t>
      </w:r>
      <w:r w:rsidR="00132BF0">
        <w:rPr>
          <w:spacing w:val="-1"/>
        </w:rPr>
        <w:t xml:space="preserve"> </w:t>
      </w:r>
      <w:r w:rsidR="00132BF0">
        <w:t>in the Transition period.</w:t>
      </w:r>
    </w:p>
    <w:p w14:paraId="2282069E" w14:textId="25A72BB8" w:rsidR="000E0C78" w:rsidRDefault="00132BF0" w:rsidP="0014694D">
      <w:r w:rsidRPr="00EF6715">
        <w:t>Osteonecrosis of the jaw:</w:t>
      </w:r>
      <w:r>
        <w:t xml:space="preserve"> No event reported.</w:t>
      </w:r>
    </w:p>
    <w:p w14:paraId="4EAEDD97" w14:textId="00D91187" w:rsidR="00132BF0" w:rsidRDefault="00132BF0" w:rsidP="0014694D">
      <w:r w:rsidRPr="000E0C78">
        <w:t>Atypical</w:t>
      </w:r>
      <w:r w:rsidRPr="000E0C78">
        <w:rPr>
          <w:spacing w:val="-7"/>
        </w:rPr>
        <w:t xml:space="preserve"> </w:t>
      </w:r>
      <w:r w:rsidRPr="000E0C78">
        <w:t>femoral</w:t>
      </w:r>
      <w:r w:rsidRPr="000E0C78">
        <w:rPr>
          <w:spacing w:val="-4"/>
        </w:rPr>
        <w:t xml:space="preserve"> </w:t>
      </w:r>
      <w:r w:rsidRPr="000E0C78">
        <w:t>fracture:</w:t>
      </w:r>
      <w:r w:rsidRPr="000E0C78">
        <w:rPr>
          <w:spacing w:val="-6"/>
        </w:rPr>
        <w:t xml:space="preserve"> </w:t>
      </w:r>
      <w:r w:rsidRPr="000E0C78">
        <w:t>No</w:t>
      </w:r>
      <w:r w:rsidRPr="000E0C78">
        <w:rPr>
          <w:spacing w:val="-4"/>
        </w:rPr>
        <w:t xml:space="preserve"> </w:t>
      </w:r>
      <w:r w:rsidRPr="000E0C78">
        <w:t>event</w:t>
      </w:r>
      <w:r>
        <w:rPr>
          <w:spacing w:val="-4"/>
        </w:rPr>
        <w:t xml:space="preserve"> </w:t>
      </w:r>
      <w:r>
        <w:rPr>
          <w:spacing w:val="-2"/>
        </w:rPr>
        <w:t>reported.</w:t>
      </w:r>
    </w:p>
    <w:p w14:paraId="2577D77A" w14:textId="65DC0478" w:rsidR="00132BF0" w:rsidRPr="00A555D6" w:rsidRDefault="00132BF0" w:rsidP="00E03F3D">
      <w:pPr>
        <w:pStyle w:val="Heading5"/>
      </w:pPr>
      <w:bookmarkStart w:id="70" w:name="Immunogenicity_and_ADAs"/>
      <w:bookmarkEnd w:id="70"/>
      <w:r w:rsidRPr="00A555D6">
        <w:lastRenderedPageBreak/>
        <w:t>Immunogenicity</w:t>
      </w:r>
      <w:r w:rsidRPr="00A555D6">
        <w:rPr>
          <w:spacing w:val="-8"/>
        </w:rPr>
        <w:t xml:space="preserve"> </w:t>
      </w:r>
      <w:r w:rsidRPr="00A555D6">
        <w:t>and</w:t>
      </w:r>
      <w:r w:rsidR="00815E9D">
        <w:rPr>
          <w:spacing w:val="-8"/>
        </w:rPr>
        <w:t xml:space="preserve"> </w:t>
      </w:r>
      <w:r w:rsidR="00815E9D" w:rsidRPr="00815E9D">
        <w:t>antidrug antibod</w:t>
      </w:r>
      <w:r w:rsidR="00815E9D">
        <w:t>ies</w:t>
      </w:r>
    </w:p>
    <w:p w14:paraId="01923333" w14:textId="6F2E865A" w:rsidR="00132BF0" w:rsidRDefault="00132BF0" w:rsidP="0014694D">
      <w:r>
        <w:t xml:space="preserve">Overall, the incidence of patients with post-dose </w:t>
      </w:r>
      <w:r w:rsidR="00E558CE">
        <w:t>a</w:t>
      </w:r>
      <w:r w:rsidR="00E558CE" w:rsidRPr="00E558CE">
        <w:t>ntidrug antibod</w:t>
      </w:r>
      <w:r w:rsidR="00815E9D">
        <w:t>ies</w:t>
      </w:r>
      <w:r w:rsidR="00E558CE">
        <w:t xml:space="preserve"> (</w:t>
      </w:r>
      <w:r>
        <w:t>ADA</w:t>
      </w:r>
      <w:r w:rsidR="00815E9D">
        <w:t>s</w:t>
      </w:r>
      <w:r w:rsidR="00E558CE">
        <w:t>)</w:t>
      </w:r>
      <w:r>
        <w:t xml:space="preserve"> positive to denosumab was </w:t>
      </w:r>
      <w:r w:rsidR="00BA4256">
        <w:t>2</w:t>
      </w:r>
      <w:r>
        <w:t xml:space="preserve"> (3.6%), none, and 4 (7.1%) of subjects in the SB16, EU Prolia, and US Prolia treatment groups, respectively.</w:t>
      </w:r>
      <w:r>
        <w:rPr>
          <w:spacing w:val="-3"/>
        </w:rPr>
        <w:t xml:space="preserve"> </w:t>
      </w:r>
      <w:r>
        <w:t>There</w:t>
      </w:r>
      <w:r>
        <w:rPr>
          <w:spacing w:val="-3"/>
        </w:rPr>
        <w:t xml:space="preserve"> </w:t>
      </w:r>
      <w:r>
        <w:t>were</w:t>
      </w:r>
      <w:r>
        <w:rPr>
          <w:spacing w:val="-3"/>
        </w:rPr>
        <w:t xml:space="preserve"> </w:t>
      </w:r>
      <w:r>
        <w:t>no</w:t>
      </w:r>
      <w:r>
        <w:rPr>
          <w:spacing w:val="-3"/>
        </w:rPr>
        <w:t xml:space="preserve"> </w:t>
      </w:r>
      <w:r>
        <w:t>statistical</w:t>
      </w:r>
      <w:r>
        <w:rPr>
          <w:spacing w:val="-2"/>
        </w:rPr>
        <w:t xml:space="preserve"> </w:t>
      </w:r>
      <w:r>
        <w:t>differences</w:t>
      </w:r>
      <w:r>
        <w:rPr>
          <w:spacing w:val="-4"/>
        </w:rPr>
        <w:t xml:space="preserve"> </w:t>
      </w:r>
      <w:r>
        <w:t>in</w:t>
      </w:r>
      <w:r>
        <w:rPr>
          <w:spacing w:val="-4"/>
        </w:rPr>
        <w:t xml:space="preserve"> </w:t>
      </w:r>
      <w:r>
        <w:t>the</w:t>
      </w:r>
      <w:r>
        <w:rPr>
          <w:spacing w:val="-3"/>
        </w:rPr>
        <w:t xml:space="preserve"> </w:t>
      </w:r>
      <w:r>
        <w:t>incidence</w:t>
      </w:r>
      <w:r>
        <w:rPr>
          <w:spacing w:val="-3"/>
        </w:rPr>
        <w:t xml:space="preserve"> </w:t>
      </w:r>
      <w:r>
        <w:t>between</w:t>
      </w:r>
      <w:r>
        <w:rPr>
          <w:spacing w:val="-4"/>
        </w:rPr>
        <w:t xml:space="preserve"> </w:t>
      </w:r>
      <w:r>
        <w:t>SB16</w:t>
      </w:r>
      <w:r>
        <w:rPr>
          <w:spacing w:val="-3"/>
        </w:rPr>
        <w:t xml:space="preserve"> </w:t>
      </w:r>
      <w:r>
        <w:t>and</w:t>
      </w:r>
      <w:r>
        <w:rPr>
          <w:spacing w:val="-3"/>
        </w:rPr>
        <w:t xml:space="preserve"> </w:t>
      </w:r>
      <w:r>
        <w:t>EU</w:t>
      </w:r>
      <w:r>
        <w:rPr>
          <w:spacing w:val="-2"/>
        </w:rPr>
        <w:t xml:space="preserve"> </w:t>
      </w:r>
      <w:r>
        <w:t xml:space="preserve">Prolia, SB16 and US Prolia, and EU Prolia and US Prolia treatment groups. None of the patients with post-dose ADA positive to denosumab had a positive result for </w:t>
      </w:r>
      <w:proofErr w:type="spellStart"/>
      <w:r>
        <w:t>NAbs</w:t>
      </w:r>
      <w:proofErr w:type="spellEnd"/>
      <w:r>
        <w:t>.</w:t>
      </w:r>
    </w:p>
    <w:p w14:paraId="60C2D0C4" w14:textId="77777777" w:rsidR="00132BF0" w:rsidRPr="00A555D6" w:rsidRDefault="00132BF0" w:rsidP="00E03F3D">
      <w:pPr>
        <w:pStyle w:val="Heading5"/>
      </w:pPr>
      <w:bookmarkStart w:id="71" w:name="Pharmacology_study"/>
      <w:bookmarkEnd w:id="71"/>
      <w:r w:rsidRPr="00A555D6">
        <w:t>Pharmacology</w:t>
      </w:r>
      <w:r w:rsidRPr="00A555D6">
        <w:rPr>
          <w:spacing w:val="-12"/>
        </w:rPr>
        <w:t xml:space="preserve"> </w:t>
      </w:r>
      <w:r w:rsidRPr="00A555D6">
        <w:rPr>
          <w:spacing w:val="-4"/>
        </w:rPr>
        <w:t>study</w:t>
      </w:r>
    </w:p>
    <w:p w14:paraId="2CCFD39C" w14:textId="40767503" w:rsidR="00132BF0" w:rsidRDefault="00132BF0" w:rsidP="00E03F3D">
      <w:r>
        <w:t>The</w:t>
      </w:r>
      <w:r>
        <w:rPr>
          <w:spacing w:val="-3"/>
        </w:rPr>
        <w:t xml:space="preserve"> </w:t>
      </w:r>
      <w:r>
        <w:t>types</w:t>
      </w:r>
      <w:r>
        <w:rPr>
          <w:spacing w:val="-2"/>
        </w:rPr>
        <w:t xml:space="preserve"> </w:t>
      </w:r>
      <w:r>
        <w:t>and</w:t>
      </w:r>
      <w:r>
        <w:rPr>
          <w:spacing w:val="-3"/>
        </w:rPr>
        <w:t xml:space="preserve"> </w:t>
      </w:r>
      <w:r>
        <w:t>frequencies</w:t>
      </w:r>
      <w:r>
        <w:rPr>
          <w:spacing w:val="-2"/>
        </w:rPr>
        <w:t xml:space="preserve"> </w:t>
      </w:r>
      <w:r>
        <w:t>of</w:t>
      </w:r>
      <w:r>
        <w:rPr>
          <w:spacing w:val="-3"/>
        </w:rPr>
        <w:t xml:space="preserve"> </w:t>
      </w:r>
      <w:r>
        <w:t>adverse</w:t>
      </w:r>
      <w:r>
        <w:rPr>
          <w:spacing w:val="-3"/>
        </w:rPr>
        <w:t xml:space="preserve"> </w:t>
      </w:r>
      <w:r>
        <w:t>effects</w:t>
      </w:r>
      <w:r>
        <w:rPr>
          <w:spacing w:val="-2"/>
        </w:rPr>
        <w:t xml:space="preserve"> </w:t>
      </w:r>
      <w:r>
        <w:t>reported</w:t>
      </w:r>
      <w:r>
        <w:rPr>
          <w:spacing w:val="-3"/>
        </w:rPr>
        <w:t xml:space="preserve"> </w:t>
      </w:r>
      <w:r>
        <w:t>in</w:t>
      </w:r>
      <w:r>
        <w:rPr>
          <w:spacing w:val="-4"/>
        </w:rPr>
        <w:t xml:space="preserve"> </w:t>
      </w:r>
      <w:r>
        <w:t>subjects</w:t>
      </w:r>
      <w:r>
        <w:rPr>
          <w:spacing w:val="-2"/>
        </w:rPr>
        <w:t xml:space="preserve"> </w:t>
      </w:r>
      <w:r>
        <w:t>receiving</w:t>
      </w:r>
      <w:r>
        <w:rPr>
          <w:spacing w:val="-2"/>
        </w:rPr>
        <w:t xml:space="preserve"> </w:t>
      </w:r>
      <w:r>
        <w:t>SB16</w:t>
      </w:r>
      <w:r>
        <w:rPr>
          <w:spacing w:val="-3"/>
        </w:rPr>
        <w:t xml:space="preserve"> </w:t>
      </w:r>
      <w:r>
        <w:t>and</w:t>
      </w:r>
      <w:r>
        <w:rPr>
          <w:spacing w:val="-3"/>
        </w:rPr>
        <w:t xml:space="preserve"> </w:t>
      </w:r>
      <w:r w:rsidR="00E41A28">
        <w:t>EU Prolia</w:t>
      </w:r>
      <w:r>
        <w:t xml:space="preserve"> and </w:t>
      </w:r>
      <w:r w:rsidR="00E41A28">
        <w:t>US Prolia</w:t>
      </w:r>
      <w:r>
        <w:t xml:space="preserve"> used in the Phase 1 Study were generally comparable.</w:t>
      </w:r>
    </w:p>
    <w:p w14:paraId="3BF5D5E6" w14:textId="77777777" w:rsidR="00132BF0" w:rsidRPr="00A555D6" w:rsidRDefault="00132BF0" w:rsidP="00E03F3D">
      <w:pPr>
        <w:pStyle w:val="Heading5"/>
      </w:pPr>
      <w:bookmarkStart w:id="72" w:name="Post-market_experience"/>
      <w:bookmarkEnd w:id="72"/>
      <w:r w:rsidRPr="00A555D6">
        <w:t>Post-market</w:t>
      </w:r>
      <w:r w:rsidRPr="00A555D6">
        <w:rPr>
          <w:spacing w:val="-8"/>
        </w:rPr>
        <w:t xml:space="preserve"> </w:t>
      </w:r>
      <w:r w:rsidRPr="00A555D6">
        <w:rPr>
          <w:spacing w:val="-2"/>
        </w:rPr>
        <w:t>experience</w:t>
      </w:r>
    </w:p>
    <w:p w14:paraId="611BA44E" w14:textId="77777777" w:rsidR="00132BF0" w:rsidRDefault="00132BF0" w:rsidP="0014694D">
      <w:r>
        <w:t>No</w:t>
      </w:r>
      <w:r>
        <w:rPr>
          <w:spacing w:val="-3"/>
        </w:rPr>
        <w:t xml:space="preserve"> </w:t>
      </w:r>
      <w:r>
        <w:t>data</w:t>
      </w:r>
      <w:r>
        <w:rPr>
          <w:spacing w:val="-3"/>
        </w:rPr>
        <w:t xml:space="preserve"> </w:t>
      </w:r>
      <w:r>
        <w:t>are</w:t>
      </w:r>
      <w:r>
        <w:rPr>
          <w:spacing w:val="-2"/>
        </w:rPr>
        <w:t xml:space="preserve"> </w:t>
      </w:r>
      <w:r>
        <w:t>available</w:t>
      </w:r>
      <w:r>
        <w:rPr>
          <w:spacing w:val="-3"/>
        </w:rPr>
        <w:t xml:space="preserve"> </w:t>
      </w:r>
      <w:r>
        <w:t>for</w:t>
      </w:r>
      <w:r>
        <w:rPr>
          <w:spacing w:val="-5"/>
        </w:rPr>
        <w:t xml:space="preserve"> </w:t>
      </w:r>
      <w:r>
        <w:rPr>
          <w:spacing w:val="-2"/>
        </w:rPr>
        <w:t>SB16.</w:t>
      </w:r>
    </w:p>
    <w:p w14:paraId="2858B006" w14:textId="0B25E5CF" w:rsidR="00C22214" w:rsidRDefault="00C22214" w:rsidP="00C22214">
      <w:pPr>
        <w:pStyle w:val="Heading3"/>
        <w:rPr>
          <w:lang w:eastAsia="en-AU"/>
        </w:rPr>
      </w:pPr>
      <w:bookmarkStart w:id="73" w:name="_Toc221616614"/>
      <w:r>
        <w:rPr>
          <w:lang w:eastAsia="en-AU"/>
        </w:rPr>
        <w:t>Risk management plan</w:t>
      </w:r>
      <w:bookmarkEnd w:id="51"/>
      <w:bookmarkEnd w:id="62"/>
      <w:bookmarkEnd w:id="73"/>
    </w:p>
    <w:p w14:paraId="39F3CD1D" w14:textId="31A39500" w:rsidR="0072003B" w:rsidRDefault="000B58EB" w:rsidP="00E03F3D">
      <w:bookmarkStart w:id="74" w:name="_Toc247691531"/>
      <w:bookmarkStart w:id="75" w:name="_Toc314842515"/>
      <w:r w:rsidRPr="000B58EB">
        <w:t xml:space="preserve">The sponsor, Samsung Bioepis AU Pty Ltd, has proposed separate risk management plans (RMPs) for </w:t>
      </w:r>
      <w:r w:rsidR="006269A7">
        <w:t xml:space="preserve">Ospomyv and Xborso </w:t>
      </w:r>
      <w:r>
        <w:t xml:space="preserve">as </w:t>
      </w:r>
      <w:r w:rsidR="00C22214" w:rsidRPr="00BD5DBD">
        <w:t>summarised in</w:t>
      </w:r>
      <w:r w:rsidR="003B149C">
        <w:t xml:space="preserve"> </w:t>
      </w:r>
      <w:r w:rsidR="003B149C" w:rsidRPr="003B149C">
        <w:fldChar w:fldCharType="begin"/>
      </w:r>
      <w:r w:rsidR="003B149C" w:rsidRPr="003B149C">
        <w:instrText xml:space="preserve"> REF _Ref97629131 \h </w:instrText>
      </w:r>
      <w:r w:rsidR="003B149C">
        <w:instrText xml:space="preserve"> \* MERGEFORMAT </w:instrText>
      </w:r>
      <w:r w:rsidR="003B149C" w:rsidRPr="003B149C">
        <w:fldChar w:fldCharType="separate"/>
      </w:r>
      <w:r w:rsidR="008B1CB5" w:rsidRPr="008B1CB5">
        <w:t>Table</w:t>
      </w:r>
      <w:r w:rsidR="006269A7">
        <w:t xml:space="preserve"> </w:t>
      </w:r>
      <w:r w:rsidR="003B149C" w:rsidRPr="003B149C">
        <w:fldChar w:fldCharType="end"/>
      </w:r>
      <w:r w:rsidR="006269A7">
        <w:t>1</w:t>
      </w:r>
      <w:r w:rsidR="00D93892">
        <w:t>4</w:t>
      </w:r>
      <w:r w:rsidR="008C09F7">
        <w:t xml:space="preserve"> and Table 1</w:t>
      </w:r>
      <w:r w:rsidR="00D93892">
        <w:t>5</w:t>
      </w:r>
      <w:r w:rsidR="008C09F7">
        <w:t>, respectively</w:t>
      </w:r>
      <w:r w:rsidR="008C49C6" w:rsidRPr="003B149C">
        <w:t>.</w:t>
      </w:r>
      <w:r w:rsidR="0072003B" w:rsidRPr="00BD5DBD">
        <w:t xml:space="preserve"> The TGA</w:t>
      </w:r>
      <w:r w:rsidR="00C07551" w:rsidRPr="00BD5DBD">
        <w:t xml:space="preserve"> may</w:t>
      </w:r>
      <w:r w:rsidR="0072003B" w:rsidRPr="00BD5DBD">
        <w:t xml:space="preserve"> request an updated RMP at any stage of a product's </w:t>
      </w:r>
      <w:r w:rsidR="00B64C41" w:rsidRPr="00BD5DBD">
        <w:t>life cycle</w:t>
      </w:r>
      <w:r w:rsidR="0072003B" w:rsidRPr="00BD5DBD">
        <w:t>, during both the pre-approval and post-approval phases.</w:t>
      </w:r>
    </w:p>
    <w:p w14:paraId="4329C4B2" w14:textId="6C5FA94C" w:rsidR="00EC1E5F" w:rsidRPr="00EC1E5F" w:rsidRDefault="00EC1E5F" w:rsidP="0014694D">
      <w:pPr>
        <w:rPr>
          <w:lang w:val="en-US"/>
        </w:rPr>
      </w:pPr>
      <w:r w:rsidRPr="00EC1E5F">
        <w:rPr>
          <w:lang w:val="en-US"/>
        </w:rPr>
        <w:t>For Ospomyv, the EU-RMP version 1.2 (dated 09 October 2024; DLP 24 September 2024) and updated ASA version 1.1 (dated 28 November 2024) w</w:t>
      </w:r>
      <w:r w:rsidR="006A3B54">
        <w:rPr>
          <w:lang w:val="en-US"/>
        </w:rPr>
        <w:t>ere</w:t>
      </w:r>
      <w:r w:rsidRPr="00EC1E5F">
        <w:rPr>
          <w:lang w:val="en-US"/>
        </w:rPr>
        <w:t xml:space="preserve"> included in this submission. For Xborso, </w:t>
      </w:r>
      <w:proofErr w:type="gramStart"/>
      <w:r w:rsidRPr="00EC1E5F">
        <w:rPr>
          <w:lang w:val="en-US"/>
        </w:rPr>
        <w:t>the EU</w:t>
      </w:r>
      <w:proofErr w:type="gramEnd"/>
      <w:r w:rsidRPr="00EC1E5F">
        <w:rPr>
          <w:lang w:val="en-US"/>
        </w:rPr>
        <w:t>-RMP version 1.2 (dated 04 October 2024; DLP 24 September 2024) and updated ASA version 1.1 (dated 28 November 2024) w</w:t>
      </w:r>
      <w:r w:rsidR="003F060A">
        <w:rPr>
          <w:lang w:val="en-US"/>
        </w:rPr>
        <w:t>ere</w:t>
      </w:r>
      <w:r w:rsidRPr="00EC1E5F">
        <w:rPr>
          <w:lang w:val="en-US"/>
        </w:rPr>
        <w:t xml:space="preserve"> included in this submission.</w:t>
      </w:r>
    </w:p>
    <w:p w14:paraId="26799A89" w14:textId="13FC078B" w:rsidR="00EC1E5F" w:rsidRPr="00B44274" w:rsidRDefault="008C09F7" w:rsidP="00E03F3D">
      <w:pPr>
        <w:pStyle w:val="TableTitle"/>
      </w:pPr>
      <w:bookmarkStart w:id="76" w:name="Safety_concerns_and_missing_information"/>
      <w:bookmarkEnd w:id="76"/>
      <w:r w:rsidRPr="00B44274">
        <w:t>Table 1</w:t>
      </w:r>
      <w:r w:rsidR="00D93892">
        <w:t>4</w:t>
      </w:r>
      <w:r w:rsidRPr="00B44274">
        <w:t xml:space="preserve">: </w:t>
      </w:r>
      <w:r w:rsidR="00EC1E5F" w:rsidRPr="00B44274">
        <w:t xml:space="preserve">The proposed summary of safety </w:t>
      </w:r>
      <w:r w:rsidR="00EC1E5F" w:rsidRPr="00E03F3D">
        <w:t>concerns</w:t>
      </w:r>
      <w:r w:rsidR="00EC1E5F" w:rsidRPr="00B44274">
        <w:t xml:space="preserve"> and their associated risk monitoring and mitigation strategies for Ospomyv</w:t>
      </w:r>
      <w:r w:rsidR="00754ADC" w:rsidRPr="00B44274">
        <w:t>.</w:t>
      </w:r>
    </w:p>
    <w:tbl>
      <w:tblPr>
        <w:tblStyle w:val="TableTGAblue2023"/>
        <w:tblW w:w="5082" w:type="pct"/>
        <w:tblLayout w:type="fixed"/>
        <w:tblLook w:val="01E0" w:firstRow="1" w:lastRow="1" w:firstColumn="1" w:lastColumn="1" w:noHBand="0" w:noVBand="0"/>
      </w:tblPr>
      <w:tblGrid>
        <w:gridCol w:w="1554"/>
        <w:gridCol w:w="2553"/>
        <w:gridCol w:w="1135"/>
        <w:gridCol w:w="1418"/>
        <w:gridCol w:w="1136"/>
        <w:gridCol w:w="1413"/>
      </w:tblGrid>
      <w:tr w:rsidR="00E363A2" w14:paraId="6368D116" w14:textId="77777777" w:rsidTr="00E03F3D">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229" w:type="pct"/>
            <w:gridSpan w:val="2"/>
            <w:vMerge w:val="restart"/>
          </w:tcPr>
          <w:p w14:paraId="48EC4189" w14:textId="77777777" w:rsidR="00834653" w:rsidRDefault="00834653" w:rsidP="00E03F3D">
            <w:pPr>
              <w:rPr>
                <w:b w:val="0"/>
              </w:rPr>
            </w:pPr>
            <w:r>
              <w:t>Summary</w:t>
            </w:r>
            <w:r>
              <w:rPr>
                <w:spacing w:val="-5"/>
              </w:rPr>
              <w:t xml:space="preserve"> </w:t>
            </w:r>
            <w:r>
              <w:t>of</w:t>
            </w:r>
            <w:r>
              <w:rPr>
                <w:spacing w:val="-4"/>
              </w:rPr>
              <w:t xml:space="preserve"> </w:t>
            </w:r>
            <w:r>
              <w:t>safety</w:t>
            </w:r>
            <w:r>
              <w:rPr>
                <w:spacing w:val="-4"/>
              </w:rPr>
              <w:t xml:space="preserve"> </w:t>
            </w:r>
            <w:r>
              <w:rPr>
                <w:spacing w:val="-2"/>
              </w:rPr>
              <w:t>concerns</w:t>
            </w:r>
          </w:p>
        </w:tc>
        <w:tc>
          <w:tcPr>
            <w:tcW w:w="1386" w:type="pct"/>
            <w:gridSpan w:val="2"/>
          </w:tcPr>
          <w:p w14:paraId="2A9AF7F1" w14:textId="77777777" w:rsidR="00834653" w:rsidRDefault="00834653" w:rsidP="00E03F3D">
            <w:pPr>
              <w:cnfStyle w:val="100000000000" w:firstRow="1" w:lastRow="0" w:firstColumn="0" w:lastColumn="0" w:oddVBand="0" w:evenVBand="0" w:oddHBand="0" w:evenHBand="0" w:firstRowFirstColumn="0" w:firstRowLastColumn="0" w:lastRowFirstColumn="0" w:lastRowLastColumn="0"/>
              <w:rPr>
                <w:b w:val="0"/>
              </w:rPr>
            </w:pPr>
            <w:r>
              <w:rPr>
                <w:spacing w:val="-2"/>
              </w:rPr>
              <w:t>Pharmacovigilance</w:t>
            </w:r>
          </w:p>
        </w:tc>
        <w:tc>
          <w:tcPr>
            <w:tcW w:w="1385" w:type="pct"/>
            <w:gridSpan w:val="2"/>
          </w:tcPr>
          <w:p w14:paraId="1626A3DB" w14:textId="77777777" w:rsidR="00834653" w:rsidRDefault="00834653" w:rsidP="00E03F3D">
            <w:pPr>
              <w:cnfStyle w:val="100000000000" w:firstRow="1" w:lastRow="0" w:firstColumn="0" w:lastColumn="0" w:oddVBand="0" w:evenVBand="0" w:oddHBand="0" w:evenHBand="0" w:firstRowFirstColumn="0" w:firstRowLastColumn="0" w:lastRowFirstColumn="0" w:lastRowLastColumn="0"/>
              <w:rPr>
                <w:b w:val="0"/>
              </w:rPr>
            </w:pPr>
            <w:r>
              <w:t>Risk</w:t>
            </w:r>
            <w:r>
              <w:rPr>
                <w:spacing w:val="-5"/>
              </w:rPr>
              <w:t xml:space="preserve"> </w:t>
            </w:r>
            <w:r>
              <w:rPr>
                <w:spacing w:val="-2"/>
              </w:rPr>
              <w:t>Minimisation</w:t>
            </w:r>
          </w:p>
        </w:tc>
      </w:tr>
      <w:tr w:rsidR="00AE6142" w14:paraId="7048A086" w14:textId="77777777" w:rsidTr="00E03F3D">
        <w:trPr>
          <w:trHeight w:val="354"/>
        </w:trPr>
        <w:tc>
          <w:tcPr>
            <w:cnfStyle w:val="001000000000" w:firstRow="0" w:lastRow="0" w:firstColumn="1" w:lastColumn="0" w:oddVBand="0" w:evenVBand="0" w:oddHBand="0" w:evenHBand="0" w:firstRowFirstColumn="0" w:firstRowLastColumn="0" w:lastRowFirstColumn="0" w:lastRowLastColumn="0"/>
            <w:tcW w:w="2229" w:type="pct"/>
            <w:gridSpan w:val="2"/>
            <w:vMerge/>
          </w:tcPr>
          <w:p w14:paraId="472A329A" w14:textId="77777777" w:rsidR="00834653" w:rsidRDefault="00834653" w:rsidP="00E03F3D">
            <w:pPr>
              <w:rPr>
                <w:sz w:val="2"/>
                <w:szCs w:val="2"/>
              </w:rPr>
            </w:pPr>
          </w:p>
        </w:tc>
        <w:tc>
          <w:tcPr>
            <w:tcW w:w="616" w:type="pct"/>
          </w:tcPr>
          <w:p w14:paraId="38E41038"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2"/>
              </w:rPr>
              <w:t>Routine</w:t>
            </w:r>
          </w:p>
        </w:tc>
        <w:tc>
          <w:tcPr>
            <w:tcW w:w="770" w:type="pct"/>
          </w:tcPr>
          <w:p w14:paraId="204EF8C1"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2"/>
              </w:rPr>
              <w:t>Additional</w:t>
            </w:r>
          </w:p>
        </w:tc>
        <w:tc>
          <w:tcPr>
            <w:tcW w:w="617" w:type="pct"/>
          </w:tcPr>
          <w:p w14:paraId="10A9D7BD"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2"/>
              </w:rPr>
              <w:t>Routine</w:t>
            </w:r>
          </w:p>
        </w:tc>
        <w:tc>
          <w:tcPr>
            <w:tcW w:w="768" w:type="pct"/>
          </w:tcPr>
          <w:p w14:paraId="5EC6160C"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2"/>
              </w:rPr>
              <w:t>Additional</w:t>
            </w:r>
          </w:p>
        </w:tc>
      </w:tr>
      <w:tr w:rsidR="00AE6142" w14:paraId="29778C44" w14:textId="77777777" w:rsidTr="00E03F3D">
        <w:trPr>
          <w:trHeight w:val="357"/>
        </w:trPr>
        <w:tc>
          <w:tcPr>
            <w:cnfStyle w:val="001000000000" w:firstRow="0" w:lastRow="0" w:firstColumn="1" w:lastColumn="0" w:oddVBand="0" w:evenVBand="0" w:oddHBand="0" w:evenHBand="0" w:firstRowFirstColumn="0" w:firstRowLastColumn="0" w:lastRowFirstColumn="0" w:lastRowLastColumn="0"/>
            <w:tcW w:w="844" w:type="pct"/>
            <w:vMerge w:val="restart"/>
          </w:tcPr>
          <w:p w14:paraId="2D43308A" w14:textId="77777777" w:rsidR="00834653" w:rsidRDefault="00834653" w:rsidP="00E03F3D">
            <w:r>
              <w:t>Important identified risks</w:t>
            </w:r>
          </w:p>
        </w:tc>
        <w:tc>
          <w:tcPr>
            <w:tcW w:w="1386" w:type="pct"/>
          </w:tcPr>
          <w:p w14:paraId="05A9DB5A"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t>Hypocalcaemia</w:t>
            </w:r>
          </w:p>
        </w:tc>
        <w:tc>
          <w:tcPr>
            <w:tcW w:w="616" w:type="pct"/>
          </w:tcPr>
          <w:p w14:paraId="6050CE88"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rFonts w:ascii="Wingdings" w:hAnsi="Wingdings"/>
                <w:spacing w:val="-5"/>
              </w:rPr>
              <w:t></w:t>
            </w:r>
            <w:r>
              <w:rPr>
                <w:spacing w:val="-5"/>
              </w:rPr>
              <w:t>*</w:t>
            </w:r>
          </w:p>
        </w:tc>
        <w:tc>
          <w:tcPr>
            <w:tcW w:w="770" w:type="pct"/>
          </w:tcPr>
          <w:p w14:paraId="17101226"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617" w:type="pct"/>
          </w:tcPr>
          <w:p w14:paraId="5E94EE01"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768" w:type="pct"/>
          </w:tcPr>
          <w:p w14:paraId="127B9108"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10"/>
              </w:rPr>
              <w:t>–</w:t>
            </w:r>
          </w:p>
        </w:tc>
      </w:tr>
      <w:tr w:rsidR="00AE6142" w14:paraId="2F6C369F" w14:textId="77777777" w:rsidTr="00E03F3D">
        <w:trPr>
          <w:trHeight w:val="361"/>
        </w:trPr>
        <w:tc>
          <w:tcPr>
            <w:cnfStyle w:val="001000000000" w:firstRow="0" w:lastRow="0" w:firstColumn="1" w:lastColumn="0" w:oddVBand="0" w:evenVBand="0" w:oddHBand="0" w:evenHBand="0" w:firstRowFirstColumn="0" w:firstRowLastColumn="0" w:lastRowFirstColumn="0" w:lastRowLastColumn="0"/>
            <w:tcW w:w="844" w:type="pct"/>
            <w:vMerge/>
          </w:tcPr>
          <w:p w14:paraId="6A4CD48F" w14:textId="77777777" w:rsidR="00834653" w:rsidRDefault="00834653" w:rsidP="00E03F3D">
            <w:pPr>
              <w:rPr>
                <w:sz w:val="2"/>
                <w:szCs w:val="2"/>
              </w:rPr>
            </w:pPr>
          </w:p>
        </w:tc>
        <w:tc>
          <w:tcPr>
            <w:tcW w:w="1386" w:type="pct"/>
          </w:tcPr>
          <w:p w14:paraId="20835335"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t>Skin</w:t>
            </w:r>
            <w:r>
              <w:rPr>
                <w:spacing w:val="-6"/>
              </w:rPr>
              <w:t xml:space="preserve"> </w:t>
            </w:r>
            <w:r>
              <w:t>infection</w:t>
            </w:r>
            <w:r>
              <w:rPr>
                <w:spacing w:val="-5"/>
              </w:rPr>
              <w:t xml:space="preserve"> </w:t>
            </w:r>
            <w:r>
              <w:t>leading</w:t>
            </w:r>
            <w:r>
              <w:rPr>
                <w:spacing w:val="-6"/>
              </w:rPr>
              <w:t xml:space="preserve"> </w:t>
            </w:r>
            <w:r>
              <w:t>to</w:t>
            </w:r>
            <w:r>
              <w:rPr>
                <w:spacing w:val="-5"/>
              </w:rPr>
              <w:t xml:space="preserve"> </w:t>
            </w:r>
            <w:r>
              <w:t>hospitalisation</w:t>
            </w:r>
          </w:p>
        </w:tc>
        <w:tc>
          <w:tcPr>
            <w:tcW w:w="616" w:type="pct"/>
          </w:tcPr>
          <w:p w14:paraId="691BE940"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rFonts w:ascii="Wingdings" w:hAnsi="Wingdings"/>
                <w:spacing w:val="-5"/>
              </w:rPr>
              <w:t></w:t>
            </w:r>
            <w:r>
              <w:rPr>
                <w:spacing w:val="-5"/>
              </w:rPr>
              <w:t>*</w:t>
            </w:r>
          </w:p>
        </w:tc>
        <w:tc>
          <w:tcPr>
            <w:tcW w:w="770" w:type="pct"/>
          </w:tcPr>
          <w:p w14:paraId="6ED023A6"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617" w:type="pct"/>
          </w:tcPr>
          <w:p w14:paraId="41F48A9F"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768" w:type="pct"/>
          </w:tcPr>
          <w:p w14:paraId="5D76BE37"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10"/>
              </w:rPr>
              <w:t>–</w:t>
            </w:r>
          </w:p>
        </w:tc>
      </w:tr>
      <w:tr w:rsidR="00AE6142" w14:paraId="3347032E" w14:textId="77777777" w:rsidTr="00E03F3D">
        <w:trPr>
          <w:trHeight w:val="359"/>
        </w:trPr>
        <w:tc>
          <w:tcPr>
            <w:cnfStyle w:val="001000000000" w:firstRow="0" w:lastRow="0" w:firstColumn="1" w:lastColumn="0" w:oddVBand="0" w:evenVBand="0" w:oddHBand="0" w:evenHBand="0" w:firstRowFirstColumn="0" w:firstRowLastColumn="0" w:lastRowFirstColumn="0" w:lastRowLastColumn="0"/>
            <w:tcW w:w="844" w:type="pct"/>
            <w:vMerge/>
          </w:tcPr>
          <w:p w14:paraId="65784827" w14:textId="77777777" w:rsidR="00834653" w:rsidRDefault="00834653" w:rsidP="00E03F3D">
            <w:pPr>
              <w:rPr>
                <w:sz w:val="2"/>
                <w:szCs w:val="2"/>
              </w:rPr>
            </w:pPr>
          </w:p>
        </w:tc>
        <w:tc>
          <w:tcPr>
            <w:tcW w:w="1386" w:type="pct"/>
          </w:tcPr>
          <w:p w14:paraId="5274EA91"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t>Osteonecrosis</w:t>
            </w:r>
            <w:r>
              <w:rPr>
                <w:spacing w:val="-7"/>
              </w:rPr>
              <w:t xml:space="preserve"> </w:t>
            </w:r>
            <w:r>
              <w:t>of</w:t>
            </w:r>
            <w:r>
              <w:rPr>
                <w:spacing w:val="-7"/>
              </w:rPr>
              <w:t xml:space="preserve"> </w:t>
            </w:r>
            <w:r>
              <w:t>the</w:t>
            </w:r>
            <w:r>
              <w:rPr>
                <w:spacing w:val="-6"/>
              </w:rPr>
              <w:t xml:space="preserve"> </w:t>
            </w:r>
            <w:r>
              <w:rPr>
                <w:spacing w:val="-5"/>
              </w:rPr>
              <w:t>jaw</w:t>
            </w:r>
          </w:p>
        </w:tc>
        <w:tc>
          <w:tcPr>
            <w:tcW w:w="616" w:type="pct"/>
          </w:tcPr>
          <w:p w14:paraId="6A5793D1"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rFonts w:ascii="Wingdings" w:hAnsi="Wingdings"/>
                <w:spacing w:val="-5"/>
              </w:rPr>
              <w:t></w:t>
            </w:r>
            <w:r>
              <w:rPr>
                <w:spacing w:val="-5"/>
              </w:rPr>
              <w:t>*</w:t>
            </w:r>
          </w:p>
        </w:tc>
        <w:tc>
          <w:tcPr>
            <w:tcW w:w="770" w:type="pct"/>
          </w:tcPr>
          <w:p w14:paraId="3CCE9C48"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617" w:type="pct"/>
          </w:tcPr>
          <w:p w14:paraId="5D4E4A73"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768" w:type="pct"/>
          </w:tcPr>
          <w:p w14:paraId="1F8B04E2"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10"/>
              </w:rPr>
              <w:t>–</w:t>
            </w:r>
          </w:p>
        </w:tc>
      </w:tr>
      <w:tr w:rsidR="00AE6142" w14:paraId="03CD1AE7" w14:textId="77777777" w:rsidTr="00E03F3D">
        <w:trPr>
          <w:trHeight w:val="359"/>
        </w:trPr>
        <w:tc>
          <w:tcPr>
            <w:cnfStyle w:val="001000000000" w:firstRow="0" w:lastRow="0" w:firstColumn="1" w:lastColumn="0" w:oddVBand="0" w:evenVBand="0" w:oddHBand="0" w:evenHBand="0" w:firstRowFirstColumn="0" w:firstRowLastColumn="0" w:lastRowFirstColumn="0" w:lastRowLastColumn="0"/>
            <w:tcW w:w="844" w:type="pct"/>
            <w:vMerge/>
          </w:tcPr>
          <w:p w14:paraId="4651D493" w14:textId="77777777" w:rsidR="00834653" w:rsidRDefault="00834653" w:rsidP="00E03F3D">
            <w:pPr>
              <w:rPr>
                <w:sz w:val="2"/>
                <w:szCs w:val="2"/>
              </w:rPr>
            </w:pPr>
          </w:p>
        </w:tc>
        <w:tc>
          <w:tcPr>
            <w:tcW w:w="1386" w:type="pct"/>
          </w:tcPr>
          <w:p w14:paraId="4C54F593"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t>Hypersensitivity</w:t>
            </w:r>
            <w:r>
              <w:rPr>
                <w:spacing w:val="13"/>
              </w:rPr>
              <w:t xml:space="preserve"> </w:t>
            </w:r>
            <w:r>
              <w:t>reactions</w:t>
            </w:r>
          </w:p>
        </w:tc>
        <w:tc>
          <w:tcPr>
            <w:tcW w:w="616" w:type="pct"/>
          </w:tcPr>
          <w:p w14:paraId="725DF100"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rFonts w:ascii="Wingdings" w:hAnsi="Wingdings"/>
                <w:spacing w:val="-5"/>
              </w:rPr>
              <w:t></w:t>
            </w:r>
            <w:r>
              <w:rPr>
                <w:spacing w:val="-5"/>
              </w:rPr>
              <w:t>*</w:t>
            </w:r>
          </w:p>
        </w:tc>
        <w:tc>
          <w:tcPr>
            <w:tcW w:w="770" w:type="pct"/>
          </w:tcPr>
          <w:p w14:paraId="18F37CB9"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617" w:type="pct"/>
          </w:tcPr>
          <w:p w14:paraId="50047217"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768" w:type="pct"/>
          </w:tcPr>
          <w:p w14:paraId="5599AEA0"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10"/>
              </w:rPr>
              <w:t>–</w:t>
            </w:r>
          </w:p>
        </w:tc>
      </w:tr>
      <w:tr w:rsidR="00AE6142" w14:paraId="44CF9787" w14:textId="77777777" w:rsidTr="00E03F3D">
        <w:trPr>
          <w:trHeight w:val="359"/>
        </w:trPr>
        <w:tc>
          <w:tcPr>
            <w:cnfStyle w:val="001000000000" w:firstRow="0" w:lastRow="0" w:firstColumn="1" w:lastColumn="0" w:oddVBand="0" w:evenVBand="0" w:oddHBand="0" w:evenHBand="0" w:firstRowFirstColumn="0" w:firstRowLastColumn="0" w:lastRowFirstColumn="0" w:lastRowLastColumn="0"/>
            <w:tcW w:w="844" w:type="pct"/>
            <w:vMerge/>
          </w:tcPr>
          <w:p w14:paraId="6E8DBD2C" w14:textId="77777777" w:rsidR="00834653" w:rsidRDefault="00834653" w:rsidP="00E03F3D">
            <w:pPr>
              <w:rPr>
                <w:sz w:val="2"/>
                <w:szCs w:val="2"/>
              </w:rPr>
            </w:pPr>
          </w:p>
        </w:tc>
        <w:tc>
          <w:tcPr>
            <w:tcW w:w="1386" w:type="pct"/>
          </w:tcPr>
          <w:p w14:paraId="4E9F3619"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t>Atypical</w:t>
            </w:r>
            <w:r>
              <w:rPr>
                <w:spacing w:val="-9"/>
              </w:rPr>
              <w:t xml:space="preserve"> </w:t>
            </w:r>
            <w:r>
              <w:t>femoral</w:t>
            </w:r>
            <w:r>
              <w:rPr>
                <w:spacing w:val="-9"/>
              </w:rPr>
              <w:t xml:space="preserve"> </w:t>
            </w:r>
            <w:r>
              <w:t>fracture</w:t>
            </w:r>
          </w:p>
        </w:tc>
        <w:tc>
          <w:tcPr>
            <w:tcW w:w="616" w:type="pct"/>
          </w:tcPr>
          <w:p w14:paraId="4CEB3353"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rFonts w:ascii="Wingdings" w:hAnsi="Wingdings"/>
                <w:spacing w:val="-5"/>
              </w:rPr>
              <w:t></w:t>
            </w:r>
            <w:r>
              <w:rPr>
                <w:spacing w:val="-5"/>
              </w:rPr>
              <w:t>*</w:t>
            </w:r>
          </w:p>
        </w:tc>
        <w:tc>
          <w:tcPr>
            <w:tcW w:w="770" w:type="pct"/>
          </w:tcPr>
          <w:p w14:paraId="761CD39C"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617" w:type="pct"/>
          </w:tcPr>
          <w:p w14:paraId="4AEF0D6B"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768" w:type="pct"/>
          </w:tcPr>
          <w:p w14:paraId="4FE2A48D"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10"/>
              </w:rPr>
              <w:t>–</w:t>
            </w:r>
          </w:p>
        </w:tc>
      </w:tr>
      <w:tr w:rsidR="00AE6142" w14:paraId="2FD6B08D" w14:textId="77777777" w:rsidTr="00E03F3D">
        <w:trPr>
          <w:trHeight w:val="601"/>
        </w:trPr>
        <w:tc>
          <w:tcPr>
            <w:cnfStyle w:val="001000000000" w:firstRow="0" w:lastRow="0" w:firstColumn="1" w:lastColumn="0" w:oddVBand="0" w:evenVBand="0" w:oddHBand="0" w:evenHBand="0" w:firstRowFirstColumn="0" w:firstRowLastColumn="0" w:lastRowFirstColumn="0" w:lastRowLastColumn="0"/>
            <w:tcW w:w="844" w:type="pct"/>
            <w:vMerge/>
          </w:tcPr>
          <w:p w14:paraId="6AF4FBDE" w14:textId="77777777" w:rsidR="00834653" w:rsidRDefault="00834653" w:rsidP="00E03F3D">
            <w:pPr>
              <w:rPr>
                <w:sz w:val="2"/>
                <w:szCs w:val="2"/>
              </w:rPr>
            </w:pPr>
          </w:p>
        </w:tc>
        <w:tc>
          <w:tcPr>
            <w:tcW w:w="1386" w:type="pct"/>
          </w:tcPr>
          <w:p w14:paraId="536F6E15"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t>Hypercalcaemia</w:t>
            </w:r>
            <w:r>
              <w:rPr>
                <w:spacing w:val="-9"/>
              </w:rPr>
              <w:t xml:space="preserve"> </w:t>
            </w:r>
            <w:r>
              <w:t>in</w:t>
            </w:r>
            <w:r>
              <w:rPr>
                <w:spacing w:val="-9"/>
              </w:rPr>
              <w:t xml:space="preserve"> </w:t>
            </w:r>
            <w:r>
              <w:t>paediatric</w:t>
            </w:r>
            <w:r>
              <w:rPr>
                <w:spacing w:val="-10"/>
              </w:rPr>
              <w:t xml:space="preserve"> </w:t>
            </w:r>
            <w:r>
              <w:t>patients</w:t>
            </w:r>
            <w:r>
              <w:rPr>
                <w:spacing w:val="-10"/>
              </w:rPr>
              <w:t xml:space="preserve"> </w:t>
            </w:r>
            <w:r>
              <w:t>receiving denosumab</w:t>
            </w:r>
            <w:r>
              <w:rPr>
                <w:spacing w:val="-6"/>
              </w:rPr>
              <w:t xml:space="preserve"> </w:t>
            </w:r>
            <w:r>
              <w:t>and</w:t>
            </w:r>
            <w:r>
              <w:rPr>
                <w:spacing w:val="-6"/>
              </w:rPr>
              <w:t xml:space="preserve"> </w:t>
            </w:r>
            <w:r>
              <w:t>after</w:t>
            </w:r>
            <w:r>
              <w:rPr>
                <w:spacing w:val="-5"/>
              </w:rPr>
              <w:t xml:space="preserve"> </w:t>
            </w:r>
            <w:r>
              <w:t>treatment</w:t>
            </w:r>
            <w:r>
              <w:rPr>
                <w:spacing w:val="-6"/>
              </w:rPr>
              <w:t xml:space="preserve"> </w:t>
            </w:r>
            <w:r>
              <w:t>discontinuation</w:t>
            </w:r>
          </w:p>
        </w:tc>
        <w:tc>
          <w:tcPr>
            <w:tcW w:w="616" w:type="pct"/>
          </w:tcPr>
          <w:p w14:paraId="74DEEDF9"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770" w:type="pct"/>
          </w:tcPr>
          <w:p w14:paraId="275C5B33"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617" w:type="pct"/>
          </w:tcPr>
          <w:p w14:paraId="1D23832E"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768" w:type="pct"/>
          </w:tcPr>
          <w:p w14:paraId="766C3268"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10"/>
              </w:rPr>
              <w:t>–</w:t>
            </w:r>
          </w:p>
        </w:tc>
      </w:tr>
      <w:tr w:rsidR="00AE6142" w14:paraId="7A444B12" w14:textId="77777777" w:rsidTr="00E03F3D">
        <w:trPr>
          <w:trHeight w:val="357"/>
        </w:trPr>
        <w:tc>
          <w:tcPr>
            <w:cnfStyle w:val="001000000000" w:firstRow="0" w:lastRow="0" w:firstColumn="1" w:lastColumn="0" w:oddVBand="0" w:evenVBand="0" w:oddHBand="0" w:evenHBand="0" w:firstRowFirstColumn="0" w:firstRowLastColumn="0" w:lastRowFirstColumn="0" w:lastRowLastColumn="0"/>
            <w:tcW w:w="844" w:type="pct"/>
            <w:vMerge w:val="restart"/>
          </w:tcPr>
          <w:p w14:paraId="5A3FD2EF" w14:textId="77777777" w:rsidR="00834653" w:rsidRDefault="00834653" w:rsidP="00E03F3D">
            <w:r>
              <w:t>Important potential</w:t>
            </w:r>
            <w:r>
              <w:rPr>
                <w:spacing w:val="-12"/>
              </w:rPr>
              <w:t xml:space="preserve"> </w:t>
            </w:r>
            <w:r>
              <w:t>risks</w:t>
            </w:r>
          </w:p>
        </w:tc>
        <w:tc>
          <w:tcPr>
            <w:tcW w:w="1386" w:type="pct"/>
          </w:tcPr>
          <w:p w14:paraId="5D8C0020"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t>Fracture</w:t>
            </w:r>
            <w:r>
              <w:rPr>
                <w:spacing w:val="-7"/>
              </w:rPr>
              <w:t xml:space="preserve"> </w:t>
            </w:r>
            <w:r>
              <w:t>healing</w:t>
            </w:r>
            <w:r>
              <w:rPr>
                <w:spacing w:val="-7"/>
              </w:rPr>
              <w:t xml:space="preserve"> </w:t>
            </w:r>
            <w:r>
              <w:t>complications</w:t>
            </w:r>
          </w:p>
        </w:tc>
        <w:tc>
          <w:tcPr>
            <w:tcW w:w="616" w:type="pct"/>
          </w:tcPr>
          <w:p w14:paraId="5EEDBBA4"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rFonts w:ascii="Wingdings" w:hAnsi="Wingdings"/>
                <w:spacing w:val="-5"/>
              </w:rPr>
              <w:t></w:t>
            </w:r>
            <w:r>
              <w:rPr>
                <w:spacing w:val="-5"/>
              </w:rPr>
              <w:t>*</w:t>
            </w:r>
          </w:p>
        </w:tc>
        <w:tc>
          <w:tcPr>
            <w:tcW w:w="770" w:type="pct"/>
          </w:tcPr>
          <w:p w14:paraId="6144719F"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617" w:type="pct"/>
          </w:tcPr>
          <w:p w14:paraId="19C7C1F2"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768" w:type="pct"/>
          </w:tcPr>
          <w:p w14:paraId="1F682AF2"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10"/>
              </w:rPr>
              <w:t>–</w:t>
            </w:r>
          </w:p>
        </w:tc>
      </w:tr>
      <w:tr w:rsidR="00AE6142" w14:paraId="687EAE46" w14:textId="77777777" w:rsidTr="00E03F3D">
        <w:trPr>
          <w:trHeight w:val="361"/>
        </w:trPr>
        <w:tc>
          <w:tcPr>
            <w:cnfStyle w:val="001000000000" w:firstRow="0" w:lastRow="0" w:firstColumn="1" w:lastColumn="0" w:oddVBand="0" w:evenVBand="0" w:oddHBand="0" w:evenHBand="0" w:firstRowFirstColumn="0" w:firstRowLastColumn="0" w:lastRowFirstColumn="0" w:lastRowLastColumn="0"/>
            <w:tcW w:w="844" w:type="pct"/>
            <w:vMerge/>
          </w:tcPr>
          <w:p w14:paraId="2900E47B" w14:textId="77777777" w:rsidR="00834653" w:rsidRDefault="00834653" w:rsidP="00E03F3D">
            <w:pPr>
              <w:rPr>
                <w:sz w:val="2"/>
                <w:szCs w:val="2"/>
              </w:rPr>
            </w:pPr>
          </w:p>
        </w:tc>
        <w:tc>
          <w:tcPr>
            <w:tcW w:w="1386" w:type="pct"/>
          </w:tcPr>
          <w:p w14:paraId="224A0EBD"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t>Infection</w:t>
            </w:r>
          </w:p>
        </w:tc>
        <w:tc>
          <w:tcPr>
            <w:tcW w:w="616" w:type="pct"/>
          </w:tcPr>
          <w:p w14:paraId="0E242A27"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rFonts w:ascii="Wingdings" w:hAnsi="Wingdings"/>
                <w:spacing w:val="-5"/>
              </w:rPr>
              <w:t></w:t>
            </w:r>
            <w:r>
              <w:rPr>
                <w:spacing w:val="-5"/>
              </w:rPr>
              <w:t>*</w:t>
            </w:r>
          </w:p>
        </w:tc>
        <w:tc>
          <w:tcPr>
            <w:tcW w:w="770" w:type="pct"/>
          </w:tcPr>
          <w:p w14:paraId="1C71C435"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617" w:type="pct"/>
          </w:tcPr>
          <w:p w14:paraId="5380D4E8"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768" w:type="pct"/>
          </w:tcPr>
          <w:p w14:paraId="1074B634"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10"/>
              </w:rPr>
              <w:t>–</w:t>
            </w:r>
          </w:p>
        </w:tc>
      </w:tr>
      <w:tr w:rsidR="00AE6142" w14:paraId="4F3673BD" w14:textId="77777777" w:rsidTr="00E03F3D">
        <w:trPr>
          <w:trHeight w:val="359"/>
        </w:trPr>
        <w:tc>
          <w:tcPr>
            <w:cnfStyle w:val="001000000000" w:firstRow="0" w:lastRow="0" w:firstColumn="1" w:lastColumn="0" w:oddVBand="0" w:evenVBand="0" w:oddHBand="0" w:evenHBand="0" w:firstRowFirstColumn="0" w:firstRowLastColumn="0" w:lastRowFirstColumn="0" w:lastRowLastColumn="0"/>
            <w:tcW w:w="844" w:type="pct"/>
            <w:vMerge/>
          </w:tcPr>
          <w:p w14:paraId="5EF094E9" w14:textId="77777777" w:rsidR="00834653" w:rsidRDefault="00834653" w:rsidP="00E03F3D">
            <w:pPr>
              <w:rPr>
                <w:sz w:val="2"/>
                <w:szCs w:val="2"/>
              </w:rPr>
            </w:pPr>
          </w:p>
        </w:tc>
        <w:tc>
          <w:tcPr>
            <w:tcW w:w="1386" w:type="pct"/>
          </w:tcPr>
          <w:p w14:paraId="4E8D948C"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t>Cardiovascular</w:t>
            </w:r>
            <w:r>
              <w:rPr>
                <w:spacing w:val="11"/>
              </w:rPr>
              <w:t xml:space="preserve"> </w:t>
            </w:r>
            <w:r>
              <w:t>events</w:t>
            </w:r>
          </w:p>
        </w:tc>
        <w:tc>
          <w:tcPr>
            <w:tcW w:w="616" w:type="pct"/>
          </w:tcPr>
          <w:p w14:paraId="288899E6"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770" w:type="pct"/>
          </w:tcPr>
          <w:p w14:paraId="1B84DAA2"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617" w:type="pct"/>
          </w:tcPr>
          <w:p w14:paraId="52C436AB"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768" w:type="pct"/>
          </w:tcPr>
          <w:p w14:paraId="4C721257"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10"/>
              </w:rPr>
              <w:t>–</w:t>
            </w:r>
          </w:p>
        </w:tc>
      </w:tr>
      <w:tr w:rsidR="00AE6142" w14:paraId="47F5CA8A" w14:textId="77777777" w:rsidTr="00E03F3D">
        <w:trPr>
          <w:trHeight w:val="361"/>
        </w:trPr>
        <w:tc>
          <w:tcPr>
            <w:cnfStyle w:val="001000000000" w:firstRow="0" w:lastRow="0" w:firstColumn="1" w:lastColumn="0" w:oddVBand="0" w:evenVBand="0" w:oddHBand="0" w:evenHBand="0" w:firstRowFirstColumn="0" w:firstRowLastColumn="0" w:lastRowFirstColumn="0" w:lastRowLastColumn="0"/>
            <w:tcW w:w="844" w:type="pct"/>
            <w:vMerge/>
          </w:tcPr>
          <w:p w14:paraId="7702F538" w14:textId="77777777" w:rsidR="00834653" w:rsidRDefault="00834653" w:rsidP="00E03F3D">
            <w:pPr>
              <w:rPr>
                <w:sz w:val="2"/>
                <w:szCs w:val="2"/>
              </w:rPr>
            </w:pPr>
          </w:p>
        </w:tc>
        <w:tc>
          <w:tcPr>
            <w:tcW w:w="1386" w:type="pct"/>
          </w:tcPr>
          <w:p w14:paraId="47866432"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t>Malignancy</w:t>
            </w:r>
          </w:p>
        </w:tc>
        <w:tc>
          <w:tcPr>
            <w:tcW w:w="616" w:type="pct"/>
          </w:tcPr>
          <w:p w14:paraId="09BEBFF0"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rFonts w:ascii="Wingdings" w:hAnsi="Wingdings"/>
                <w:spacing w:val="-5"/>
              </w:rPr>
              <w:t></w:t>
            </w:r>
            <w:r>
              <w:rPr>
                <w:spacing w:val="-5"/>
              </w:rPr>
              <w:t>*</w:t>
            </w:r>
          </w:p>
        </w:tc>
        <w:tc>
          <w:tcPr>
            <w:tcW w:w="770" w:type="pct"/>
          </w:tcPr>
          <w:p w14:paraId="75D611A2"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617" w:type="pct"/>
          </w:tcPr>
          <w:p w14:paraId="306F5D94"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768" w:type="pct"/>
          </w:tcPr>
          <w:p w14:paraId="3B65B5A2"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10"/>
              </w:rPr>
              <w:t>–</w:t>
            </w:r>
          </w:p>
        </w:tc>
      </w:tr>
      <w:tr w:rsidR="00AE6142" w14:paraId="3958768F" w14:textId="77777777" w:rsidTr="00E03F3D">
        <w:trPr>
          <w:trHeight w:val="594"/>
        </w:trPr>
        <w:tc>
          <w:tcPr>
            <w:cnfStyle w:val="001000000000" w:firstRow="0" w:lastRow="0" w:firstColumn="1" w:lastColumn="0" w:oddVBand="0" w:evenVBand="0" w:oddHBand="0" w:evenHBand="0" w:firstRowFirstColumn="0" w:firstRowLastColumn="0" w:lastRowFirstColumn="0" w:lastRowLastColumn="0"/>
            <w:tcW w:w="844" w:type="pct"/>
          </w:tcPr>
          <w:p w14:paraId="3B67DCEF" w14:textId="77777777" w:rsidR="00834653" w:rsidRDefault="00834653" w:rsidP="00E03F3D">
            <w:r>
              <w:t>Missing information</w:t>
            </w:r>
          </w:p>
        </w:tc>
        <w:tc>
          <w:tcPr>
            <w:tcW w:w="1386" w:type="pct"/>
          </w:tcPr>
          <w:p w14:paraId="1A939DA2"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pPr>
            <w:r>
              <w:rPr>
                <w:spacing w:val="-4"/>
              </w:rPr>
              <w:t>None</w:t>
            </w:r>
          </w:p>
        </w:tc>
        <w:tc>
          <w:tcPr>
            <w:tcW w:w="616" w:type="pct"/>
          </w:tcPr>
          <w:p w14:paraId="2C131D67"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rPr>
                <w:rFonts w:ascii="Times New Roman"/>
              </w:rPr>
            </w:pPr>
          </w:p>
        </w:tc>
        <w:tc>
          <w:tcPr>
            <w:tcW w:w="770" w:type="pct"/>
          </w:tcPr>
          <w:p w14:paraId="745BD22E"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rPr>
                <w:rFonts w:ascii="Times New Roman"/>
              </w:rPr>
            </w:pPr>
          </w:p>
        </w:tc>
        <w:tc>
          <w:tcPr>
            <w:tcW w:w="617" w:type="pct"/>
          </w:tcPr>
          <w:p w14:paraId="019B1FC8"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rPr>
                <w:rFonts w:ascii="Times New Roman"/>
              </w:rPr>
            </w:pPr>
          </w:p>
        </w:tc>
        <w:tc>
          <w:tcPr>
            <w:tcW w:w="768" w:type="pct"/>
          </w:tcPr>
          <w:p w14:paraId="371EF2E1" w14:textId="77777777" w:rsidR="00834653" w:rsidRDefault="00834653" w:rsidP="00E03F3D">
            <w:pPr>
              <w:cnfStyle w:val="000000000000" w:firstRow="0" w:lastRow="0" w:firstColumn="0" w:lastColumn="0" w:oddVBand="0" w:evenVBand="0" w:oddHBand="0" w:evenHBand="0" w:firstRowFirstColumn="0" w:firstRowLastColumn="0" w:lastRowFirstColumn="0" w:lastRowLastColumn="0"/>
              <w:rPr>
                <w:rFonts w:ascii="Times New Roman"/>
              </w:rPr>
            </w:pPr>
          </w:p>
        </w:tc>
      </w:tr>
    </w:tbl>
    <w:p w14:paraId="11C92292" w14:textId="77777777" w:rsidR="00834653" w:rsidRPr="00472C58" w:rsidRDefault="00834653" w:rsidP="00E03F3D">
      <w:pPr>
        <w:pStyle w:val="TableDescription"/>
        <w:rPr>
          <w:rFonts w:ascii="Arial Narrow"/>
        </w:rPr>
      </w:pPr>
      <w:r w:rsidRPr="00472C58">
        <w:rPr>
          <w:rFonts w:ascii="Arial Narrow"/>
        </w:rPr>
        <w:t>*</w:t>
      </w:r>
      <w:r w:rsidRPr="00472C58">
        <w:t>Follow</w:t>
      </w:r>
      <w:r w:rsidRPr="00472C58">
        <w:rPr>
          <w:spacing w:val="-5"/>
        </w:rPr>
        <w:t xml:space="preserve"> </w:t>
      </w:r>
      <w:r w:rsidRPr="00472C58">
        <w:t>up</w:t>
      </w:r>
      <w:r w:rsidRPr="00472C58">
        <w:rPr>
          <w:spacing w:val="-4"/>
        </w:rPr>
        <w:t xml:space="preserve"> </w:t>
      </w:r>
      <w:r w:rsidRPr="00472C58">
        <w:t>questionnaires</w:t>
      </w:r>
    </w:p>
    <w:p w14:paraId="533B2ABB" w14:textId="6F002364" w:rsidR="00746AF6" w:rsidRDefault="00DC4810" w:rsidP="00E03F3D">
      <w:pPr>
        <w:pStyle w:val="TableTitle"/>
        <w:rPr>
          <w:sz w:val="10"/>
        </w:rPr>
      </w:pPr>
      <w:r>
        <w:t>Table 1</w:t>
      </w:r>
      <w:r w:rsidR="00D93892">
        <w:t>5</w:t>
      </w:r>
      <w:r>
        <w:t xml:space="preserve">: </w:t>
      </w:r>
      <w:r w:rsidR="00746AF6">
        <w:t>The</w:t>
      </w:r>
      <w:r w:rsidR="00746AF6">
        <w:rPr>
          <w:spacing w:val="-3"/>
        </w:rPr>
        <w:t xml:space="preserve"> </w:t>
      </w:r>
      <w:r w:rsidR="00746AF6">
        <w:t>proposed</w:t>
      </w:r>
      <w:r w:rsidR="00746AF6">
        <w:rPr>
          <w:spacing w:val="-3"/>
        </w:rPr>
        <w:t xml:space="preserve"> </w:t>
      </w:r>
      <w:r w:rsidR="00746AF6">
        <w:t>summary</w:t>
      </w:r>
      <w:r w:rsidR="00746AF6">
        <w:rPr>
          <w:spacing w:val="-4"/>
        </w:rPr>
        <w:t xml:space="preserve"> </w:t>
      </w:r>
      <w:r w:rsidR="00746AF6">
        <w:t>of</w:t>
      </w:r>
      <w:r w:rsidR="00746AF6">
        <w:rPr>
          <w:spacing w:val="-3"/>
        </w:rPr>
        <w:t xml:space="preserve"> </w:t>
      </w:r>
      <w:r w:rsidR="00746AF6">
        <w:t>safety</w:t>
      </w:r>
      <w:r w:rsidR="00746AF6">
        <w:rPr>
          <w:spacing w:val="-6"/>
        </w:rPr>
        <w:t xml:space="preserve"> </w:t>
      </w:r>
      <w:r w:rsidR="00746AF6">
        <w:t>concerns</w:t>
      </w:r>
      <w:r w:rsidR="00746AF6">
        <w:rPr>
          <w:spacing w:val="-2"/>
        </w:rPr>
        <w:t xml:space="preserve"> </w:t>
      </w:r>
      <w:r w:rsidR="00746AF6">
        <w:t>and</w:t>
      </w:r>
      <w:r w:rsidR="00746AF6">
        <w:rPr>
          <w:spacing w:val="-3"/>
        </w:rPr>
        <w:t xml:space="preserve"> </w:t>
      </w:r>
      <w:r w:rsidR="00746AF6">
        <w:t>their</w:t>
      </w:r>
      <w:r w:rsidR="00746AF6">
        <w:rPr>
          <w:spacing w:val="-3"/>
        </w:rPr>
        <w:t xml:space="preserve"> </w:t>
      </w:r>
      <w:r w:rsidR="00746AF6">
        <w:t>associated</w:t>
      </w:r>
      <w:r w:rsidR="00746AF6">
        <w:rPr>
          <w:spacing w:val="-3"/>
        </w:rPr>
        <w:t xml:space="preserve"> </w:t>
      </w:r>
      <w:r w:rsidR="00746AF6">
        <w:t>risk</w:t>
      </w:r>
      <w:r w:rsidR="00746AF6">
        <w:rPr>
          <w:spacing w:val="-6"/>
        </w:rPr>
        <w:t xml:space="preserve"> </w:t>
      </w:r>
      <w:r w:rsidR="00746AF6">
        <w:t>monitoring</w:t>
      </w:r>
      <w:r w:rsidR="00746AF6">
        <w:rPr>
          <w:spacing w:val="-2"/>
        </w:rPr>
        <w:t xml:space="preserve"> </w:t>
      </w:r>
      <w:r w:rsidR="00746AF6">
        <w:t>and</w:t>
      </w:r>
      <w:r w:rsidR="00746AF6">
        <w:rPr>
          <w:spacing w:val="-3"/>
        </w:rPr>
        <w:t xml:space="preserve"> </w:t>
      </w:r>
      <w:r w:rsidR="00746AF6">
        <w:t>mitigation strategies for Xborso</w:t>
      </w:r>
      <w:r>
        <w:t>.</w:t>
      </w:r>
    </w:p>
    <w:tbl>
      <w:tblPr>
        <w:tblStyle w:val="TableTGAblue2023"/>
        <w:tblW w:w="5082" w:type="pct"/>
        <w:tblLayout w:type="fixed"/>
        <w:tblLook w:val="01E0" w:firstRow="1" w:lastRow="1" w:firstColumn="1" w:lastColumn="1" w:noHBand="0" w:noVBand="0"/>
      </w:tblPr>
      <w:tblGrid>
        <w:gridCol w:w="1554"/>
        <w:gridCol w:w="2551"/>
        <w:gridCol w:w="1133"/>
        <w:gridCol w:w="1420"/>
        <w:gridCol w:w="1135"/>
        <w:gridCol w:w="1416"/>
      </w:tblGrid>
      <w:tr w:rsidR="00AE6142" w14:paraId="50013AB7" w14:textId="77777777" w:rsidTr="00E03F3D">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229" w:type="pct"/>
            <w:gridSpan w:val="2"/>
            <w:vMerge w:val="restart"/>
          </w:tcPr>
          <w:p w14:paraId="646CC68F" w14:textId="77777777" w:rsidR="00A0668E" w:rsidRDefault="00A0668E" w:rsidP="00E03F3D">
            <w:pPr>
              <w:rPr>
                <w:b w:val="0"/>
              </w:rPr>
            </w:pPr>
            <w:r>
              <w:t>Summary</w:t>
            </w:r>
            <w:r>
              <w:rPr>
                <w:spacing w:val="-5"/>
              </w:rPr>
              <w:t xml:space="preserve"> </w:t>
            </w:r>
            <w:r>
              <w:t>of</w:t>
            </w:r>
            <w:r>
              <w:rPr>
                <w:spacing w:val="-4"/>
              </w:rPr>
              <w:t xml:space="preserve"> </w:t>
            </w:r>
            <w:r>
              <w:t>safety</w:t>
            </w:r>
            <w:r>
              <w:rPr>
                <w:spacing w:val="-4"/>
              </w:rPr>
              <w:t xml:space="preserve"> </w:t>
            </w:r>
            <w:r>
              <w:rPr>
                <w:spacing w:val="-2"/>
              </w:rPr>
              <w:t>concerns</w:t>
            </w:r>
          </w:p>
        </w:tc>
        <w:tc>
          <w:tcPr>
            <w:tcW w:w="1386" w:type="pct"/>
            <w:gridSpan w:val="2"/>
          </w:tcPr>
          <w:p w14:paraId="3C0A44B3" w14:textId="77777777" w:rsidR="00A0668E" w:rsidRDefault="00A0668E" w:rsidP="00E03F3D">
            <w:pPr>
              <w:cnfStyle w:val="100000000000" w:firstRow="1" w:lastRow="0" w:firstColumn="0" w:lastColumn="0" w:oddVBand="0" w:evenVBand="0" w:oddHBand="0" w:evenHBand="0" w:firstRowFirstColumn="0" w:firstRowLastColumn="0" w:lastRowFirstColumn="0" w:lastRowLastColumn="0"/>
              <w:rPr>
                <w:b w:val="0"/>
              </w:rPr>
            </w:pPr>
            <w:r>
              <w:rPr>
                <w:spacing w:val="-2"/>
              </w:rPr>
              <w:t>Pharmacovigilance</w:t>
            </w:r>
          </w:p>
        </w:tc>
        <w:tc>
          <w:tcPr>
            <w:tcW w:w="1385" w:type="pct"/>
            <w:gridSpan w:val="2"/>
          </w:tcPr>
          <w:p w14:paraId="70FA5E51" w14:textId="77777777" w:rsidR="00A0668E" w:rsidRDefault="00A0668E" w:rsidP="00E03F3D">
            <w:pPr>
              <w:cnfStyle w:val="100000000000" w:firstRow="1" w:lastRow="0" w:firstColumn="0" w:lastColumn="0" w:oddVBand="0" w:evenVBand="0" w:oddHBand="0" w:evenHBand="0" w:firstRowFirstColumn="0" w:firstRowLastColumn="0" w:lastRowFirstColumn="0" w:lastRowLastColumn="0"/>
              <w:rPr>
                <w:b w:val="0"/>
              </w:rPr>
            </w:pPr>
            <w:r>
              <w:t>Risk</w:t>
            </w:r>
            <w:r>
              <w:rPr>
                <w:spacing w:val="-5"/>
              </w:rPr>
              <w:t xml:space="preserve"> </w:t>
            </w:r>
            <w:r>
              <w:rPr>
                <w:spacing w:val="-2"/>
              </w:rPr>
              <w:t>Minimisation</w:t>
            </w:r>
          </w:p>
        </w:tc>
      </w:tr>
      <w:tr w:rsidR="00AE6142" w14:paraId="5590141F" w14:textId="77777777" w:rsidTr="00E03F3D">
        <w:trPr>
          <w:trHeight w:val="354"/>
        </w:trPr>
        <w:tc>
          <w:tcPr>
            <w:cnfStyle w:val="001000000000" w:firstRow="0" w:lastRow="0" w:firstColumn="1" w:lastColumn="0" w:oddVBand="0" w:evenVBand="0" w:oddHBand="0" w:evenHBand="0" w:firstRowFirstColumn="0" w:firstRowLastColumn="0" w:lastRowFirstColumn="0" w:lastRowLastColumn="0"/>
            <w:tcW w:w="2229" w:type="pct"/>
            <w:gridSpan w:val="2"/>
            <w:vMerge/>
          </w:tcPr>
          <w:p w14:paraId="5A3670E5" w14:textId="77777777" w:rsidR="00A0668E" w:rsidRDefault="00A0668E" w:rsidP="00E03F3D">
            <w:pPr>
              <w:rPr>
                <w:sz w:val="2"/>
                <w:szCs w:val="2"/>
              </w:rPr>
            </w:pPr>
          </w:p>
        </w:tc>
        <w:tc>
          <w:tcPr>
            <w:tcW w:w="615" w:type="pct"/>
          </w:tcPr>
          <w:p w14:paraId="7595E90A"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2"/>
              </w:rPr>
              <w:t>Routine</w:t>
            </w:r>
          </w:p>
        </w:tc>
        <w:tc>
          <w:tcPr>
            <w:tcW w:w="771" w:type="pct"/>
          </w:tcPr>
          <w:p w14:paraId="131A1B66"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2"/>
              </w:rPr>
              <w:t>Additional</w:t>
            </w:r>
          </w:p>
        </w:tc>
        <w:tc>
          <w:tcPr>
            <w:tcW w:w="616" w:type="pct"/>
          </w:tcPr>
          <w:p w14:paraId="6B99C7C8"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2"/>
              </w:rPr>
              <w:t>Routine</w:t>
            </w:r>
          </w:p>
        </w:tc>
        <w:tc>
          <w:tcPr>
            <w:tcW w:w="769" w:type="pct"/>
          </w:tcPr>
          <w:p w14:paraId="0592388C"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2"/>
              </w:rPr>
              <w:t>Additional</w:t>
            </w:r>
          </w:p>
        </w:tc>
      </w:tr>
      <w:tr w:rsidR="00AE6142" w14:paraId="34F98650" w14:textId="77777777" w:rsidTr="00E03F3D">
        <w:trPr>
          <w:trHeight w:val="357"/>
        </w:trPr>
        <w:tc>
          <w:tcPr>
            <w:cnfStyle w:val="001000000000" w:firstRow="0" w:lastRow="0" w:firstColumn="1" w:lastColumn="0" w:oddVBand="0" w:evenVBand="0" w:oddHBand="0" w:evenHBand="0" w:firstRowFirstColumn="0" w:firstRowLastColumn="0" w:lastRowFirstColumn="0" w:lastRowLastColumn="0"/>
            <w:tcW w:w="844" w:type="pct"/>
            <w:vMerge w:val="restart"/>
          </w:tcPr>
          <w:p w14:paraId="1360CB1F" w14:textId="77777777" w:rsidR="00A0668E" w:rsidRPr="00D331DD" w:rsidRDefault="00A0668E" w:rsidP="00E03F3D">
            <w:r w:rsidRPr="00D331DD">
              <w:t>Important identified risks</w:t>
            </w:r>
          </w:p>
        </w:tc>
        <w:tc>
          <w:tcPr>
            <w:tcW w:w="1385" w:type="pct"/>
          </w:tcPr>
          <w:p w14:paraId="035D2049" w14:textId="77777777" w:rsidR="00A0668E" w:rsidRPr="00D331DD" w:rsidRDefault="00A0668E" w:rsidP="00E03F3D">
            <w:pPr>
              <w:cnfStyle w:val="000000000000" w:firstRow="0" w:lastRow="0" w:firstColumn="0" w:lastColumn="0" w:oddVBand="0" w:evenVBand="0" w:oddHBand="0" w:evenHBand="0" w:firstRowFirstColumn="0" w:firstRowLastColumn="0" w:lastRowFirstColumn="0" w:lastRowLastColumn="0"/>
            </w:pPr>
            <w:r w:rsidRPr="00D331DD">
              <w:t>Osteonecrosis of the jaw</w:t>
            </w:r>
          </w:p>
        </w:tc>
        <w:tc>
          <w:tcPr>
            <w:tcW w:w="615" w:type="pct"/>
          </w:tcPr>
          <w:p w14:paraId="26AC3097"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rFonts w:ascii="Wingdings" w:hAnsi="Wingdings"/>
                <w:spacing w:val="-5"/>
              </w:rPr>
              <w:t></w:t>
            </w:r>
            <w:r>
              <w:rPr>
                <w:spacing w:val="-5"/>
              </w:rPr>
              <w:t>*</w:t>
            </w:r>
          </w:p>
        </w:tc>
        <w:tc>
          <w:tcPr>
            <w:tcW w:w="771" w:type="pct"/>
          </w:tcPr>
          <w:p w14:paraId="36D0E0CE"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616" w:type="pct"/>
          </w:tcPr>
          <w:p w14:paraId="064D1169"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769" w:type="pct"/>
          </w:tcPr>
          <w:p w14:paraId="55A1A310"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10"/>
              </w:rPr>
              <w:t>–</w:t>
            </w:r>
          </w:p>
        </w:tc>
      </w:tr>
      <w:tr w:rsidR="00AE6142" w14:paraId="0B9CEF3D" w14:textId="77777777" w:rsidTr="00E03F3D">
        <w:trPr>
          <w:trHeight w:val="359"/>
        </w:trPr>
        <w:tc>
          <w:tcPr>
            <w:cnfStyle w:val="001000000000" w:firstRow="0" w:lastRow="0" w:firstColumn="1" w:lastColumn="0" w:oddVBand="0" w:evenVBand="0" w:oddHBand="0" w:evenHBand="0" w:firstRowFirstColumn="0" w:firstRowLastColumn="0" w:lastRowFirstColumn="0" w:lastRowLastColumn="0"/>
            <w:tcW w:w="844" w:type="pct"/>
            <w:vMerge/>
          </w:tcPr>
          <w:p w14:paraId="63A27B4F" w14:textId="77777777" w:rsidR="00A0668E" w:rsidRPr="00D331DD" w:rsidRDefault="00A0668E" w:rsidP="00E03F3D"/>
        </w:tc>
        <w:tc>
          <w:tcPr>
            <w:tcW w:w="1385" w:type="pct"/>
          </w:tcPr>
          <w:p w14:paraId="6B617424" w14:textId="77777777" w:rsidR="00A0668E" w:rsidRPr="00D331DD" w:rsidRDefault="00A0668E" w:rsidP="00E03F3D">
            <w:pPr>
              <w:cnfStyle w:val="000000000000" w:firstRow="0" w:lastRow="0" w:firstColumn="0" w:lastColumn="0" w:oddVBand="0" w:evenVBand="0" w:oddHBand="0" w:evenHBand="0" w:firstRowFirstColumn="0" w:firstRowLastColumn="0" w:lastRowFirstColumn="0" w:lastRowLastColumn="0"/>
            </w:pPr>
            <w:r w:rsidRPr="00D331DD">
              <w:t>Atypical femoral fracture</w:t>
            </w:r>
          </w:p>
        </w:tc>
        <w:tc>
          <w:tcPr>
            <w:tcW w:w="615" w:type="pct"/>
          </w:tcPr>
          <w:p w14:paraId="14B17F3E"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rFonts w:ascii="Wingdings" w:hAnsi="Wingdings"/>
                <w:spacing w:val="-5"/>
              </w:rPr>
              <w:t></w:t>
            </w:r>
            <w:r>
              <w:rPr>
                <w:spacing w:val="-5"/>
              </w:rPr>
              <w:t>*</w:t>
            </w:r>
          </w:p>
        </w:tc>
        <w:tc>
          <w:tcPr>
            <w:tcW w:w="771" w:type="pct"/>
          </w:tcPr>
          <w:p w14:paraId="786B323B"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616" w:type="pct"/>
          </w:tcPr>
          <w:p w14:paraId="4372F0ED"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769" w:type="pct"/>
          </w:tcPr>
          <w:p w14:paraId="2B9198BA"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10"/>
              </w:rPr>
              <w:t>–</w:t>
            </w:r>
          </w:p>
        </w:tc>
      </w:tr>
      <w:tr w:rsidR="00AE6142" w14:paraId="7AF6293F" w14:textId="77777777" w:rsidTr="00E03F3D">
        <w:trPr>
          <w:trHeight w:val="841"/>
        </w:trPr>
        <w:tc>
          <w:tcPr>
            <w:cnfStyle w:val="001000000000" w:firstRow="0" w:lastRow="0" w:firstColumn="1" w:lastColumn="0" w:oddVBand="0" w:evenVBand="0" w:oddHBand="0" w:evenHBand="0" w:firstRowFirstColumn="0" w:firstRowLastColumn="0" w:lastRowFirstColumn="0" w:lastRowLastColumn="0"/>
            <w:tcW w:w="844" w:type="pct"/>
            <w:vMerge/>
          </w:tcPr>
          <w:p w14:paraId="1E92BE92" w14:textId="77777777" w:rsidR="00A0668E" w:rsidRPr="00D331DD" w:rsidRDefault="00A0668E" w:rsidP="00E03F3D"/>
        </w:tc>
        <w:tc>
          <w:tcPr>
            <w:tcW w:w="1385" w:type="pct"/>
          </w:tcPr>
          <w:p w14:paraId="7EA59E7C" w14:textId="77777777" w:rsidR="00A0668E" w:rsidRPr="00D331DD" w:rsidRDefault="00A0668E" w:rsidP="00E03F3D">
            <w:pPr>
              <w:cnfStyle w:val="000000000000" w:firstRow="0" w:lastRow="0" w:firstColumn="0" w:lastColumn="0" w:oddVBand="0" w:evenVBand="0" w:oddHBand="0" w:evenHBand="0" w:firstRowFirstColumn="0" w:firstRowLastColumn="0" w:lastRowFirstColumn="0" w:lastRowLastColumn="0"/>
            </w:pPr>
            <w:r w:rsidRPr="00D331DD">
              <w:t>Hypercalcaemia several months after the last dose in patients with giant cell tumour of bone and in patients with growing skeletons</w:t>
            </w:r>
          </w:p>
        </w:tc>
        <w:tc>
          <w:tcPr>
            <w:tcW w:w="615" w:type="pct"/>
          </w:tcPr>
          <w:p w14:paraId="39FE3ECC"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771" w:type="pct"/>
          </w:tcPr>
          <w:p w14:paraId="66C590E9"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616" w:type="pct"/>
          </w:tcPr>
          <w:p w14:paraId="100AFEB2"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769" w:type="pct"/>
          </w:tcPr>
          <w:p w14:paraId="08C4A4E2"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10"/>
              </w:rPr>
              <w:t>–</w:t>
            </w:r>
          </w:p>
        </w:tc>
      </w:tr>
      <w:tr w:rsidR="00AE6142" w14:paraId="0A204AC3" w14:textId="77777777" w:rsidTr="00E03F3D">
        <w:trPr>
          <w:trHeight w:val="477"/>
        </w:trPr>
        <w:tc>
          <w:tcPr>
            <w:cnfStyle w:val="001000000000" w:firstRow="0" w:lastRow="0" w:firstColumn="1" w:lastColumn="0" w:oddVBand="0" w:evenVBand="0" w:oddHBand="0" w:evenHBand="0" w:firstRowFirstColumn="0" w:firstRowLastColumn="0" w:lastRowFirstColumn="0" w:lastRowLastColumn="0"/>
            <w:tcW w:w="844" w:type="pct"/>
            <w:vMerge w:val="restart"/>
          </w:tcPr>
          <w:p w14:paraId="50994A1A" w14:textId="77777777" w:rsidR="00A0668E" w:rsidRPr="00D331DD" w:rsidRDefault="00A0668E" w:rsidP="00E03F3D">
            <w:r w:rsidRPr="00D331DD">
              <w:t>Important potential risks</w:t>
            </w:r>
          </w:p>
        </w:tc>
        <w:tc>
          <w:tcPr>
            <w:tcW w:w="1385" w:type="pct"/>
          </w:tcPr>
          <w:p w14:paraId="23BC96CC" w14:textId="77777777" w:rsidR="00A0668E" w:rsidRPr="00D331DD" w:rsidRDefault="00A0668E" w:rsidP="00E03F3D">
            <w:pPr>
              <w:cnfStyle w:val="000000000000" w:firstRow="0" w:lastRow="0" w:firstColumn="0" w:lastColumn="0" w:oddVBand="0" w:evenVBand="0" w:oddHBand="0" w:evenHBand="0" w:firstRowFirstColumn="0" w:firstRowLastColumn="0" w:lastRowFirstColumn="0" w:lastRowLastColumn="0"/>
            </w:pPr>
            <w:r w:rsidRPr="00D331DD">
              <w:t>Cardiovascular events</w:t>
            </w:r>
          </w:p>
        </w:tc>
        <w:tc>
          <w:tcPr>
            <w:tcW w:w="615" w:type="pct"/>
          </w:tcPr>
          <w:p w14:paraId="14F1D14D"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771" w:type="pct"/>
          </w:tcPr>
          <w:p w14:paraId="1BF72B80"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616" w:type="pct"/>
          </w:tcPr>
          <w:p w14:paraId="744C8DA3"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769" w:type="pct"/>
          </w:tcPr>
          <w:p w14:paraId="37E292A3"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10"/>
              </w:rPr>
              <w:t>–</w:t>
            </w:r>
          </w:p>
        </w:tc>
      </w:tr>
      <w:tr w:rsidR="00AE6142" w14:paraId="4B756803" w14:textId="77777777" w:rsidTr="00E03F3D">
        <w:trPr>
          <w:trHeight w:val="357"/>
        </w:trPr>
        <w:tc>
          <w:tcPr>
            <w:cnfStyle w:val="001000000000" w:firstRow="0" w:lastRow="0" w:firstColumn="1" w:lastColumn="0" w:oddVBand="0" w:evenVBand="0" w:oddHBand="0" w:evenHBand="0" w:firstRowFirstColumn="0" w:firstRowLastColumn="0" w:lastRowFirstColumn="0" w:lastRowLastColumn="0"/>
            <w:tcW w:w="844" w:type="pct"/>
            <w:vMerge/>
          </w:tcPr>
          <w:p w14:paraId="13E0E2A0" w14:textId="77777777" w:rsidR="00A0668E" w:rsidRPr="00D331DD" w:rsidRDefault="00A0668E" w:rsidP="00E03F3D"/>
        </w:tc>
        <w:tc>
          <w:tcPr>
            <w:tcW w:w="1385" w:type="pct"/>
          </w:tcPr>
          <w:p w14:paraId="3562C80D" w14:textId="77777777" w:rsidR="00A0668E" w:rsidRPr="00D331DD" w:rsidRDefault="00A0668E" w:rsidP="00E03F3D">
            <w:pPr>
              <w:cnfStyle w:val="000000000000" w:firstRow="0" w:lastRow="0" w:firstColumn="0" w:lastColumn="0" w:oddVBand="0" w:evenVBand="0" w:oddHBand="0" w:evenHBand="0" w:firstRowFirstColumn="0" w:firstRowLastColumn="0" w:lastRowFirstColumn="0" w:lastRowLastColumn="0"/>
            </w:pPr>
            <w:r w:rsidRPr="00D331DD">
              <w:t>Malignancy</w:t>
            </w:r>
          </w:p>
        </w:tc>
        <w:tc>
          <w:tcPr>
            <w:tcW w:w="615" w:type="pct"/>
          </w:tcPr>
          <w:p w14:paraId="29A16FD8"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771" w:type="pct"/>
          </w:tcPr>
          <w:p w14:paraId="314C7222"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616" w:type="pct"/>
          </w:tcPr>
          <w:p w14:paraId="5CC352D3"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color w:val="6F2F9F"/>
                <w:spacing w:val="-10"/>
              </w:rPr>
              <w:t>–</w:t>
            </w:r>
          </w:p>
        </w:tc>
        <w:tc>
          <w:tcPr>
            <w:tcW w:w="769" w:type="pct"/>
          </w:tcPr>
          <w:p w14:paraId="4C4D45A3"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10"/>
              </w:rPr>
              <w:t>–</w:t>
            </w:r>
          </w:p>
        </w:tc>
      </w:tr>
      <w:tr w:rsidR="00AE6142" w14:paraId="789C0201" w14:textId="77777777" w:rsidTr="00E03F3D">
        <w:trPr>
          <w:trHeight w:val="602"/>
        </w:trPr>
        <w:tc>
          <w:tcPr>
            <w:cnfStyle w:val="001000000000" w:firstRow="0" w:lastRow="0" w:firstColumn="1" w:lastColumn="0" w:oddVBand="0" w:evenVBand="0" w:oddHBand="0" w:evenHBand="0" w:firstRowFirstColumn="0" w:firstRowLastColumn="0" w:lastRowFirstColumn="0" w:lastRowLastColumn="0"/>
            <w:tcW w:w="844" w:type="pct"/>
            <w:vMerge/>
          </w:tcPr>
          <w:p w14:paraId="72242735" w14:textId="77777777" w:rsidR="00A0668E" w:rsidRPr="00D331DD" w:rsidRDefault="00A0668E" w:rsidP="00E03F3D"/>
        </w:tc>
        <w:tc>
          <w:tcPr>
            <w:tcW w:w="1385" w:type="pct"/>
          </w:tcPr>
          <w:p w14:paraId="70012093" w14:textId="77777777" w:rsidR="00A0668E" w:rsidRPr="00D331DD" w:rsidRDefault="00A0668E" w:rsidP="00E03F3D">
            <w:pPr>
              <w:cnfStyle w:val="000000000000" w:firstRow="0" w:lastRow="0" w:firstColumn="0" w:lastColumn="0" w:oddVBand="0" w:evenVBand="0" w:oddHBand="0" w:evenHBand="0" w:firstRowFirstColumn="0" w:firstRowLastColumn="0" w:lastRowFirstColumn="0" w:lastRowLastColumn="0"/>
            </w:pPr>
            <w:r w:rsidRPr="00D331DD">
              <w:t>Delay in diagnosis of primary malignancy in giant cell tumour of bone</w:t>
            </w:r>
          </w:p>
        </w:tc>
        <w:tc>
          <w:tcPr>
            <w:tcW w:w="615" w:type="pct"/>
          </w:tcPr>
          <w:p w14:paraId="764B9F36"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771" w:type="pct"/>
          </w:tcPr>
          <w:p w14:paraId="4E27C58A"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616" w:type="pct"/>
          </w:tcPr>
          <w:p w14:paraId="66D220C3"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769" w:type="pct"/>
          </w:tcPr>
          <w:p w14:paraId="263FCCAE"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10"/>
              </w:rPr>
              <w:t>–</w:t>
            </w:r>
          </w:p>
        </w:tc>
      </w:tr>
      <w:tr w:rsidR="00AE6142" w14:paraId="7F7DEC7F" w14:textId="77777777" w:rsidTr="00E03F3D">
        <w:trPr>
          <w:trHeight w:val="841"/>
        </w:trPr>
        <w:tc>
          <w:tcPr>
            <w:cnfStyle w:val="001000000000" w:firstRow="0" w:lastRow="0" w:firstColumn="1" w:lastColumn="0" w:oddVBand="0" w:evenVBand="0" w:oddHBand="0" w:evenHBand="0" w:firstRowFirstColumn="0" w:firstRowLastColumn="0" w:lastRowFirstColumn="0" w:lastRowLastColumn="0"/>
            <w:tcW w:w="844" w:type="pct"/>
            <w:vMerge/>
          </w:tcPr>
          <w:p w14:paraId="1405D58E" w14:textId="77777777" w:rsidR="00A0668E" w:rsidRPr="00D331DD" w:rsidRDefault="00A0668E" w:rsidP="00E03F3D"/>
        </w:tc>
        <w:tc>
          <w:tcPr>
            <w:tcW w:w="1385" w:type="pct"/>
          </w:tcPr>
          <w:p w14:paraId="3EDE5F5C" w14:textId="77777777" w:rsidR="00A0668E" w:rsidRPr="00D331DD" w:rsidRDefault="00A0668E" w:rsidP="00E03F3D">
            <w:pPr>
              <w:cnfStyle w:val="000000000000" w:firstRow="0" w:lastRow="0" w:firstColumn="0" w:lastColumn="0" w:oddVBand="0" w:evenVBand="0" w:oddHBand="0" w:evenHBand="0" w:firstRowFirstColumn="0" w:firstRowLastColumn="0" w:lastRowFirstColumn="0" w:lastRowLastColumn="0"/>
            </w:pPr>
            <w:r w:rsidRPr="00D331DD">
              <w:t>Hypercalcaemia several months after the last dose in patients other than those with giant cell tumour of bone or growing skeletons</w:t>
            </w:r>
          </w:p>
        </w:tc>
        <w:tc>
          <w:tcPr>
            <w:tcW w:w="615" w:type="pct"/>
          </w:tcPr>
          <w:p w14:paraId="73FD1DCB"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771" w:type="pct"/>
          </w:tcPr>
          <w:p w14:paraId="7ABF50E8"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616" w:type="pct"/>
          </w:tcPr>
          <w:p w14:paraId="5F8CD997"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769" w:type="pct"/>
          </w:tcPr>
          <w:p w14:paraId="25E93AB5"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10"/>
              </w:rPr>
              <w:t>–</w:t>
            </w:r>
          </w:p>
        </w:tc>
      </w:tr>
      <w:tr w:rsidR="00AE6142" w14:paraId="72D7F8B1" w14:textId="77777777" w:rsidTr="00E03F3D">
        <w:trPr>
          <w:trHeight w:val="352"/>
        </w:trPr>
        <w:tc>
          <w:tcPr>
            <w:cnfStyle w:val="001000000000" w:firstRow="0" w:lastRow="0" w:firstColumn="1" w:lastColumn="0" w:oddVBand="0" w:evenVBand="0" w:oddHBand="0" w:evenHBand="0" w:firstRowFirstColumn="0" w:firstRowLastColumn="0" w:lastRowFirstColumn="0" w:lastRowLastColumn="0"/>
            <w:tcW w:w="844" w:type="pct"/>
            <w:vMerge w:val="restart"/>
          </w:tcPr>
          <w:p w14:paraId="1CE6AD90" w14:textId="77777777" w:rsidR="00A0668E" w:rsidRPr="00D331DD" w:rsidRDefault="00A0668E" w:rsidP="00E03F3D">
            <w:r w:rsidRPr="00D331DD">
              <w:t>Missing information</w:t>
            </w:r>
          </w:p>
        </w:tc>
        <w:tc>
          <w:tcPr>
            <w:tcW w:w="1385" w:type="pct"/>
          </w:tcPr>
          <w:p w14:paraId="589D36AB" w14:textId="77777777" w:rsidR="00A0668E" w:rsidRPr="00D331DD" w:rsidRDefault="00A0668E" w:rsidP="00E03F3D">
            <w:pPr>
              <w:cnfStyle w:val="000000000000" w:firstRow="0" w:lastRow="0" w:firstColumn="0" w:lastColumn="0" w:oddVBand="0" w:evenVBand="0" w:oddHBand="0" w:evenHBand="0" w:firstRowFirstColumn="0" w:firstRowLastColumn="0" w:lastRowFirstColumn="0" w:lastRowLastColumn="0"/>
            </w:pPr>
            <w:r w:rsidRPr="00D331DD">
              <w:t>Patients with prior intravenous bisphosphonate treatment</w:t>
            </w:r>
          </w:p>
        </w:tc>
        <w:tc>
          <w:tcPr>
            <w:tcW w:w="615" w:type="pct"/>
          </w:tcPr>
          <w:p w14:paraId="2247114B"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771" w:type="pct"/>
          </w:tcPr>
          <w:p w14:paraId="1B6F358D"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616" w:type="pct"/>
          </w:tcPr>
          <w:p w14:paraId="14662AC2"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769" w:type="pct"/>
          </w:tcPr>
          <w:p w14:paraId="2E83015C"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10"/>
              </w:rPr>
              <w:t>–</w:t>
            </w:r>
          </w:p>
        </w:tc>
      </w:tr>
      <w:tr w:rsidR="00AE6142" w14:paraId="30AA17C6" w14:textId="77777777" w:rsidTr="00E03F3D">
        <w:trPr>
          <w:trHeight w:val="829"/>
        </w:trPr>
        <w:tc>
          <w:tcPr>
            <w:cnfStyle w:val="001000000000" w:firstRow="0" w:lastRow="0" w:firstColumn="1" w:lastColumn="0" w:oddVBand="0" w:evenVBand="0" w:oddHBand="0" w:evenHBand="0" w:firstRowFirstColumn="0" w:firstRowLastColumn="0" w:lastRowFirstColumn="0" w:lastRowLastColumn="0"/>
            <w:tcW w:w="844" w:type="pct"/>
            <w:vMerge/>
          </w:tcPr>
          <w:p w14:paraId="626C8912" w14:textId="77777777" w:rsidR="00A0668E" w:rsidRPr="00D331DD" w:rsidRDefault="00A0668E" w:rsidP="00E03F3D"/>
        </w:tc>
        <w:tc>
          <w:tcPr>
            <w:tcW w:w="1385" w:type="pct"/>
          </w:tcPr>
          <w:p w14:paraId="78D37198" w14:textId="77777777" w:rsidR="00A0668E" w:rsidRPr="00D331DD" w:rsidRDefault="00A0668E" w:rsidP="00E03F3D">
            <w:pPr>
              <w:cnfStyle w:val="000000000000" w:firstRow="0" w:lastRow="0" w:firstColumn="0" w:lastColumn="0" w:oddVBand="0" w:evenVBand="0" w:oddHBand="0" w:evenHBand="0" w:firstRowFirstColumn="0" w:firstRowLastColumn="0" w:lastRowFirstColumn="0" w:lastRowLastColumn="0"/>
            </w:pPr>
            <w:r w:rsidRPr="00D331DD">
              <w:t>Safety with long-term treatment and with long-term follow up after treatment in adults and skeletally mature adolescents with giant cell tumour of bone</w:t>
            </w:r>
          </w:p>
        </w:tc>
        <w:tc>
          <w:tcPr>
            <w:tcW w:w="615" w:type="pct"/>
          </w:tcPr>
          <w:p w14:paraId="62B9D04C"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771" w:type="pct"/>
          </w:tcPr>
          <w:p w14:paraId="730351AE"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616" w:type="pct"/>
          </w:tcPr>
          <w:p w14:paraId="7573E9A6"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769" w:type="pct"/>
          </w:tcPr>
          <w:p w14:paraId="357DA830"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10"/>
              </w:rPr>
              <w:t>–</w:t>
            </w:r>
          </w:p>
        </w:tc>
      </w:tr>
      <w:tr w:rsidR="00AE6142" w14:paraId="25E55433" w14:textId="77777777" w:rsidTr="00E03F3D">
        <w:trPr>
          <w:trHeight w:val="839"/>
        </w:trPr>
        <w:tc>
          <w:tcPr>
            <w:cnfStyle w:val="001000000000" w:firstRow="0" w:lastRow="0" w:firstColumn="1" w:lastColumn="0" w:oddVBand="0" w:evenVBand="0" w:oddHBand="0" w:evenHBand="0" w:firstRowFirstColumn="0" w:firstRowLastColumn="0" w:lastRowFirstColumn="0" w:lastRowLastColumn="0"/>
            <w:tcW w:w="844" w:type="pct"/>
            <w:vMerge/>
          </w:tcPr>
          <w:p w14:paraId="085ED4B5" w14:textId="77777777" w:rsidR="00A0668E" w:rsidRPr="00D331DD" w:rsidRDefault="00A0668E" w:rsidP="00E03F3D"/>
        </w:tc>
        <w:tc>
          <w:tcPr>
            <w:tcW w:w="1385" w:type="pct"/>
          </w:tcPr>
          <w:p w14:paraId="3912EC0F" w14:textId="77777777" w:rsidR="00A0668E" w:rsidRPr="00D331DD" w:rsidRDefault="00A0668E" w:rsidP="00E03F3D">
            <w:pPr>
              <w:cnfStyle w:val="000000000000" w:firstRow="0" w:lastRow="0" w:firstColumn="0" w:lastColumn="0" w:oddVBand="0" w:evenVBand="0" w:oddHBand="0" w:evenHBand="0" w:firstRowFirstColumn="0" w:firstRowLastColumn="0" w:lastRowFirstColumn="0" w:lastRowLastColumn="0"/>
            </w:pPr>
            <w:r w:rsidRPr="00D331DD">
              <w:t>Off-label use in patients with giant cell tumour of bone that is resectable where resection is unlikely to result in severe morbidity</w:t>
            </w:r>
          </w:p>
        </w:tc>
        <w:tc>
          <w:tcPr>
            <w:tcW w:w="615" w:type="pct"/>
          </w:tcPr>
          <w:p w14:paraId="25F6E028"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771" w:type="pct"/>
          </w:tcPr>
          <w:p w14:paraId="6A31A01F"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616" w:type="pct"/>
          </w:tcPr>
          <w:p w14:paraId="6E03329D"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10"/>
              </w:rPr>
              <w:t>–</w:t>
            </w:r>
          </w:p>
        </w:tc>
        <w:tc>
          <w:tcPr>
            <w:tcW w:w="769" w:type="pct"/>
          </w:tcPr>
          <w:p w14:paraId="6C6CD2F1" w14:textId="77777777" w:rsidR="00A0668E" w:rsidRDefault="00A0668E" w:rsidP="00E03F3D">
            <w:pPr>
              <w:cnfStyle w:val="000000000000" w:firstRow="0" w:lastRow="0" w:firstColumn="0" w:lastColumn="0" w:oddVBand="0" w:evenVBand="0" w:oddHBand="0" w:evenHBand="0" w:firstRowFirstColumn="0" w:firstRowLastColumn="0" w:lastRowFirstColumn="0" w:lastRowLastColumn="0"/>
            </w:pPr>
            <w:r>
              <w:rPr>
                <w:spacing w:val="-10"/>
              </w:rPr>
              <w:t>–</w:t>
            </w:r>
          </w:p>
        </w:tc>
      </w:tr>
    </w:tbl>
    <w:p w14:paraId="69DBEAB0" w14:textId="77777777" w:rsidR="00A0668E" w:rsidRPr="00472C58" w:rsidRDefault="00A0668E" w:rsidP="00B10009">
      <w:pPr>
        <w:pStyle w:val="TableDescription"/>
        <w:rPr>
          <w:rFonts w:ascii="Arial Narrow"/>
        </w:rPr>
      </w:pPr>
      <w:r w:rsidRPr="00472C58">
        <w:rPr>
          <w:rFonts w:ascii="Arial Narrow"/>
        </w:rPr>
        <w:t>*</w:t>
      </w:r>
      <w:r w:rsidRPr="00472C58">
        <w:t>Follow</w:t>
      </w:r>
      <w:r w:rsidRPr="00472C58">
        <w:rPr>
          <w:spacing w:val="-5"/>
        </w:rPr>
        <w:t xml:space="preserve"> </w:t>
      </w:r>
      <w:r w:rsidRPr="00472C58">
        <w:t>up</w:t>
      </w:r>
      <w:r w:rsidRPr="00472C58">
        <w:rPr>
          <w:spacing w:val="-4"/>
        </w:rPr>
        <w:t xml:space="preserve"> </w:t>
      </w:r>
      <w:r w:rsidRPr="00472C58">
        <w:t>questionnaires</w:t>
      </w:r>
    </w:p>
    <w:p w14:paraId="2800D6CD" w14:textId="77777777" w:rsidR="00E25366" w:rsidRPr="00E25366" w:rsidRDefault="00E25366" w:rsidP="00B10009">
      <w:pPr>
        <w:rPr>
          <w:lang w:val="en-US"/>
        </w:rPr>
      </w:pPr>
      <w:r w:rsidRPr="00E25366">
        <w:rPr>
          <w:lang w:val="en-US"/>
        </w:rPr>
        <w:t>The summary of safety concerns for Ospomyv and Xborso align with the summary of safety concerns in its associated EU-RMPs and the RMPs for the innovator products. Subject to the evaluation of the clinical aspects of the safety specification, the summary of safety concerns for Ospomyv and Xborso is acceptable from an RMP perspective.</w:t>
      </w:r>
    </w:p>
    <w:p w14:paraId="433D3A35" w14:textId="77777777" w:rsidR="00E25366" w:rsidRPr="00E25366" w:rsidRDefault="00E25366" w:rsidP="00B10009">
      <w:pPr>
        <w:pStyle w:val="Heading4"/>
        <w:rPr>
          <w:lang w:val="en-US"/>
        </w:rPr>
      </w:pPr>
      <w:bookmarkStart w:id="77" w:name="Pharmacovigilance_plan"/>
      <w:bookmarkStart w:id="78" w:name="_Toc221616615"/>
      <w:bookmarkEnd w:id="77"/>
      <w:r w:rsidRPr="00E25366">
        <w:rPr>
          <w:lang w:val="en-US"/>
        </w:rPr>
        <w:t>Pharmacovigilance plan</w:t>
      </w:r>
      <w:bookmarkEnd w:id="78"/>
    </w:p>
    <w:p w14:paraId="1EEEE4E3" w14:textId="77777777" w:rsidR="00E25366" w:rsidRPr="00E25366" w:rsidRDefault="00E25366" w:rsidP="00B10009">
      <w:pPr>
        <w:rPr>
          <w:lang w:val="en-US"/>
        </w:rPr>
      </w:pPr>
      <w:r w:rsidRPr="00E25366">
        <w:rPr>
          <w:lang w:val="en-US"/>
        </w:rPr>
        <w:t>The sponsor has proposed routine pharmacovigilance for all safety concerns for Ospomyv and Xborso including targeted follow up questionnaires for specific safety concerns in each ASA. No additional pharmacovigilance activities have been proposed. The pharmacovigilance plan for Ospomyv and Xborso aligns with the pharmacovigilance plan for the innovator products and are acceptable from an RMP perspective.</w:t>
      </w:r>
    </w:p>
    <w:p w14:paraId="4DCFA5F1" w14:textId="77777777" w:rsidR="00E25366" w:rsidRPr="00D42DE5" w:rsidRDefault="00E25366" w:rsidP="00B10009">
      <w:pPr>
        <w:pStyle w:val="Heading4"/>
        <w:rPr>
          <w:lang w:val="en-US"/>
        </w:rPr>
      </w:pPr>
      <w:bookmarkStart w:id="79" w:name="Risk_minimisation_plan"/>
      <w:bookmarkStart w:id="80" w:name="_Toc221616616"/>
      <w:bookmarkEnd w:id="79"/>
      <w:r w:rsidRPr="00D42DE5">
        <w:rPr>
          <w:lang w:val="en-US"/>
        </w:rPr>
        <w:t>Risk minimisation plan</w:t>
      </w:r>
      <w:bookmarkEnd w:id="80"/>
    </w:p>
    <w:p w14:paraId="0A455C04" w14:textId="77777777" w:rsidR="00B16BA5" w:rsidRDefault="00E25366" w:rsidP="00B10009">
      <w:pPr>
        <w:rPr>
          <w:lang w:val="en-US"/>
        </w:rPr>
      </w:pPr>
      <w:r w:rsidRPr="00E25366">
        <w:rPr>
          <w:lang w:val="en-US"/>
        </w:rPr>
        <w:t>The sponsor has proposed routine risk minimisation only in the form of PI and CMI for some of the safety concerns and no additional risk minimisation activities have been proposed. At round 2, the sponsor has amended the PI, CMI and ASA as requested. The risk minimisation plans for Ospomyv and Xborso are acceptable from an RMP perspective.</w:t>
      </w:r>
      <w:bookmarkStart w:id="81" w:name="2.5.2._Recommended_condition/s_of_regist"/>
      <w:bookmarkStart w:id="82" w:name="_Toc103679299"/>
      <w:bookmarkEnd w:id="81"/>
    </w:p>
    <w:p w14:paraId="456C7934" w14:textId="23AEF6F8" w:rsidR="00FA1BC9" w:rsidRDefault="00FA1BC9" w:rsidP="00B10009">
      <w:r w:rsidRPr="00BD5DBD">
        <w:t xml:space="preserve">Further information regarding the TGA’s risk management approach can be found in </w:t>
      </w:r>
      <w:hyperlink r:id="rId40" w:history="1">
        <w:r w:rsidRPr="00BD5DBD">
          <w:rPr>
            <w:rStyle w:val="Hyperlink"/>
            <w:szCs w:val="22"/>
          </w:rPr>
          <w:t>risk management plans for medicines and biologicals</w:t>
        </w:r>
      </w:hyperlink>
      <w:r w:rsidRPr="00BD5DBD">
        <w:t xml:space="preserve"> and </w:t>
      </w:r>
      <w:hyperlink r:id="rId41" w:history="1">
        <w:r w:rsidRPr="00BD5DBD">
          <w:rPr>
            <w:rStyle w:val="Hyperlink"/>
            <w:szCs w:val="22"/>
          </w:rPr>
          <w:t>the TGA's risk management approach</w:t>
        </w:r>
      </w:hyperlink>
      <w:r w:rsidRPr="00BD5DBD">
        <w:t xml:space="preserve">. Information on the </w:t>
      </w:r>
      <w:hyperlink r:id="rId42" w:history="1">
        <w:r w:rsidRPr="00BD5DBD">
          <w:rPr>
            <w:rStyle w:val="Hyperlink"/>
            <w:szCs w:val="22"/>
          </w:rPr>
          <w:t>Australia</w:t>
        </w:r>
        <w:r w:rsidR="00C57CEA">
          <w:rPr>
            <w:rStyle w:val="Hyperlink"/>
            <w:szCs w:val="22"/>
          </w:rPr>
          <w:t>-</w:t>
        </w:r>
        <w:r w:rsidRPr="00BD5DBD">
          <w:rPr>
            <w:rStyle w:val="Hyperlink"/>
            <w:szCs w:val="22"/>
          </w:rPr>
          <w:t>specific annex</w:t>
        </w:r>
      </w:hyperlink>
      <w:r w:rsidRPr="00BD5DBD">
        <w:t xml:space="preserve"> (</w:t>
      </w:r>
      <w:hyperlink r:id="rId43" w:history="1">
        <w:r w:rsidRPr="00BD5DBD">
          <w:rPr>
            <w:rStyle w:val="Hyperlink"/>
            <w:szCs w:val="22"/>
          </w:rPr>
          <w:t>ASA</w:t>
        </w:r>
      </w:hyperlink>
      <w:r w:rsidRPr="00BD5DBD">
        <w:t>) can be found on the TGA website.</w:t>
      </w:r>
    </w:p>
    <w:p w14:paraId="74A4F87F" w14:textId="77777777" w:rsidR="00C22214" w:rsidRDefault="00C22214" w:rsidP="00B10009">
      <w:pPr>
        <w:pStyle w:val="Heading3"/>
      </w:pPr>
      <w:bookmarkStart w:id="83" w:name="_Toc221616617"/>
      <w:r>
        <w:lastRenderedPageBreak/>
        <w:t xml:space="preserve">Risk-benefit </w:t>
      </w:r>
      <w:r w:rsidRPr="00B10009">
        <w:t>analysis</w:t>
      </w:r>
      <w:bookmarkEnd w:id="74"/>
      <w:bookmarkEnd w:id="75"/>
      <w:bookmarkEnd w:id="82"/>
      <w:bookmarkEnd w:id="83"/>
    </w:p>
    <w:p w14:paraId="77DE2655" w14:textId="77777777" w:rsidR="00C22214" w:rsidRDefault="00C22214" w:rsidP="00B10009">
      <w:pPr>
        <w:pStyle w:val="Heading4"/>
      </w:pPr>
      <w:bookmarkStart w:id="84" w:name="_Toc98931932"/>
      <w:bookmarkStart w:id="85" w:name="_Toc221616618"/>
      <w:r>
        <w:t xml:space="preserve">Delegate’s </w:t>
      </w:r>
      <w:r w:rsidRPr="00B10009">
        <w:t>considerations</w:t>
      </w:r>
      <w:bookmarkEnd w:id="84"/>
      <w:bookmarkEnd w:id="85"/>
    </w:p>
    <w:p w14:paraId="02A9E526" w14:textId="77777777" w:rsidR="009F5302" w:rsidRDefault="009F5302" w:rsidP="00B10009">
      <w:pPr>
        <w:pStyle w:val="Heading5"/>
      </w:pPr>
      <w:r>
        <w:t>Clinical</w:t>
      </w:r>
      <w:r>
        <w:rPr>
          <w:spacing w:val="-4"/>
        </w:rPr>
        <w:t xml:space="preserve"> </w:t>
      </w:r>
      <w:r>
        <w:t>trial</w:t>
      </w:r>
      <w:r>
        <w:rPr>
          <w:spacing w:val="-4"/>
        </w:rPr>
        <w:t xml:space="preserve"> </w:t>
      </w:r>
      <w:r w:rsidRPr="00B10009">
        <w:t>program</w:t>
      </w:r>
    </w:p>
    <w:p w14:paraId="4AC88B57" w14:textId="50522D0F" w:rsidR="009F5302" w:rsidRDefault="009F5302" w:rsidP="00B10009">
      <w:r>
        <w:t>The clinical trial program consisted of one phase I study (Study SB16-1001) and one phase III study (Study SB16-3001). Pharmacology and clinical safety data (pharmacokinetic and pharmacodynamic)</w:t>
      </w:r>
      <w:r>
        <w:rPr>
          <w:spacing w:val="-4"/>
        </w:rPr>
        <w:t xml:space="preserve"> </w:t>
      </w:r>
      <w:r>
        <w:t>were</w:t>
      </w:r>
      <w:r>
        <w:rPr>
          <w:spacing w:val="-5"/>
        </w:rPr>
        <w:t xml:space="preserve"> </w:t>
      </w:r>
      <w:r>
        <w:t>obtained</w:t>
      </w:r>
      <w:r>
        <w:rPr>
          <w:spacing w:val="-4"/>
        </w:rPr>
        <w:t xml:space="preserve"> </w:t>
      </w:r>
      <w:r>
        <w:t>from</w:t>
      </w:r>
      <w:r>
        <w:rPr>
          <w:spacing w:val="-3"/>
        </w:rPr>
        <w:t xml:space="preserve"> </w:t>
      </w:r>
      <w:r>
        <w:t>both</w:t>
      </w:r>
      <w:r>
        <w:rPr>
          <w:spacing w:val="-3"/>
        </w:rPr>
        <w:t xml:space="preserve"> </w:t>
      </w:r>
      <w:r>
        <w:t>studies,</w:t>
      </w:r>
      <w:r>
        <w:rPr>
          <w:spacing w:val="-4"/>
        </w:rPr>
        <w:t xml:space="preserve"> </w:t>
      </w:r>
      <w:r>
        <w:t>with</w:t>
      </w:r>
      <w:r>
        <w:rPr>
          <w:spacing w:val="-3"/>
        </w:rPr>
        <w:t xml:space="preserve"> </w:t>
      </w:r>
      <w:r>
        <w:t>Study</w:t>
      </w:r>
      <w:r>
        <w:rPr>
          <w:spacing w:val="-6"/>
        </w:rPr>
        <w:t xml:space="preserve"> </w:t>
      </w:r>
      <w:r>
        <w:t>SB16-1001</w:t>
      </w:r>
      <w:r>
        <w:rPr>
          <w:spacing w:val="-5"/>
        </w:rPr>
        <w:t xml:space="preserve"> </w:t>
      </w:r>
      <w:r>
        <w:t>providing</w:t>
      </w:r>
      <w:r>
        <w:rPr>
          <w:spacing w:val="-3"/>
        </w:rPr>
        <w:t xml:space="preserve"> </w:t>
      </w:r>
      <w:r>
        <w:t>evidence for PK biosimilarity. Clinical efficacy data were obtained from the SB16-3001 study in patient</w:t>
      </w:r>
      <w:r w:rsidR="00873162">
        <w:t>s</w:t>
      </w:r>
      <w:r>
        <w:t xml:space="preserve"> with osteoporosis that provided evidence for clinical equivalence, including data on switching </w:t>
      </w:r>
      <w:r>
        <w:rPr>
          <w:spacing w:val="-2"/>
        </w:rPr>
        <w:t>agents.</w:t>
      </w:r>
    </w:p>
    <w:p w14:paraId="0A966CB7" w14:textId="77777777" w:rsidR="009F5302" w:rsidRPr="00454A90" w:rsidRDefault="009F5302" w:rsidP="00B10009">
      <w:pPr>
        <w:pStyle w:val="Heading6"/>
      </w:pPr>
      <w:bookmarkStart w:id="86" w:name="Quality_and_bridging"/>
      <w:bookmarkEnd w:id="86"/>
      <w:r w:rsidRPr="00454A90">
        <w:t>Quality</w:t>
      </w:r>
      <w:r w:rsidRPr="00454A90">
        <w:rPr>
          <w:spacing w:val="-4"/>
        </w:rPr>
        <w:t xml:space="preserve"> </w:t>
      </w:r>
      <w:r w:rsidRPr="00454A90">
        <w:t>and</w:t>
      </w:r>
      <w:r w:rsidRPr="00454A90">
        <w:rPr>
          <w:spacing w:val="-3"/>
        </w:rPr>
        <w:t xml:space="preserve"> </w:t>
      </w:r>
      <w:r w:rsidRPr="00454A90">
        <w:rPr>
          <w:spacing w:val="-2"/>
        </w:rPr>
        <w:t>bridging</w:t>
      </w:r>
    </w:p>
    <w:p w14:paraId="47D5665F" w14:textId="541BA531" w:rsidR="009F5302" w:rsidRDefault="009F5302" w:rsidP="00B10009">
      <w:r>
        <w:t>The clinical trial program used US-licensed (Study SB16-1001) and EU-licensed Prolia (Studies SB16-1001 and SB16-3001) rather than AU-licenced Prolia or Xgeva. The sponsor has demonstrated that O</w:t>
      </w:r>
      <w:r w:rsidR="00EF26C8">
        <w:t>spomyv</w:t>
      </w:r>
      <w:r>
        <w:t>/X</w:t>
      </w:r>
      <w:r w:rsidR="0069384B">
        <w:t>borso</w:t>
      </w:r>
      <w:r>
        <w:t xml:space="preserve"> (denosumab) is comparable to EU P</w:t>
      </w:r>
      <w:r w:rsidR="0069384B">
        <w:t>rolia/</w:t>
      </w:r>
      <w:r>
        <w:t>X</w:t>
      </w:r>
      <w:r w:rsidR="0023182F">
        <w:t>geva</w:t>
      </w:r>
      <w:r>
        <w:t xml:space="preserve"> (denosumab) in terms of structure, species, function and degradation profile. An additional</w:t>
      </w:r>
      <w:r>
        <w:rPr>
          <w:spacing w:val="-3"/>
        </w:rPr>
        <w:t xml:space="preserve"> </w:t>
      </w:r>
      <w:r>
        <w:t>bridging</w:t>
      </w:r>
      <w:r>
        <w:rPr>
          <w:spacing w:val="-4"/>
        </w:rPr>
        <w:t xml:space="preserve"> </w:t>
      </w:r>
      <w:r>
        <w:t>comparability</w:t>
      </w:r>
      <w:r>
        <w:rPr>
          <w:spacing w:val="-4"/>
        </w:rPr>
        <w:t xml:space="preserve"> </w:t>
      </w:r>
      <w:r>
        <w:t>study</w:t>
      </w:r>
      <w:r>
        <w:rPr>
          <w:spacing w:val="-4"/>
        </w:rPr>
        <w:t xml:space="preserve"> </w:t>
      </w:r>
      <w:r>
        <w:t>between</w:t>
      </w:r>
      <w:r>
        <w:rPr>
          <w:spacing w:val="-4"/>
        </w:rPr>
        <w:t xml:space="preserve"> </w:t>
      </w:r>
      <w:r>
        <w:t>the</w:t>
      </w:r>
      <w:r>
        <w:rPr>
          <w:spacing w:val="-3"/>
        </w:rPr>
        <w:t xml:space="preserve"> </w:t>
      </w:r>
      <w:r>
        <w:t>EU</w:t>
      </w:r>
      <w:r>
        <w:rPr>
          <w:spacing w:val="-2"/>
        </w:rPr>
        <w:t xml:space="preserve"> </w:t>
      </w:r>
      <w:r>
        <w:t>and</w:t>
      </w:r>
      <w:r>
        <w:rPr>
          <w:spacing w:val="-3"/>
        </w:rPr>
        <w:t xml:space="preserve"> </w:t>
      </w:r>
      <w:r>
        <w:t>AU</w:t>
      </w:r>
      <w:r>
        <w:rPr>
          <w:spacing w:val="-2"/>
        </w:rPr>
        <w:t xml:space="preserve"> </w:t>
      </w:r>
      <w:r>
        <w:t>Prolia/Xgeva</w:t>
      </w:r>
      <w:r>
        <w:rPr>
          <w:spacing w:val="-2"/>
        </w:rPr>
        <w:t xml:space="preserve"> </w:t>
      </w:r>
      <w:r>
        <w:t>demonstrated</w:t>
      </w:r>
      <w:r>
        <w:rPr>
          <w:spacing w:val="-3"/>
        </w:rPr>
        <w:t xml:space="preserve"> </w:t>
      </w:r>
      <w:r>
        <w:t>EU Prolia/Xgeva to be representative of the Australian registered product (AU Prolia/Xgeva).</w:t>
      </w:r>
    </w:p>
    <w:p w14:paraId="4218212E" w14:textId="1354FA65" w:rsidR="00C06572" w:rsidRDefault="009F5302" w:rsidP="00674E5F">
      <w:r>
        <w:t>There</w:t>
      </w:r>
      <w:r>
        <w:rPr>
          <w:spacing w:val="-3"/>
        </w:rPr>
        <w:t xml:space="preserve"> </w:t>
      </w:r>
      <w:r>
        <w:t>were</w:t>
      </w:r>
      <w:r>
        <w:rPr>
          <w:spacing w:val="-3"/>
        </w:rPr>
        <w:t xml:space="preserve"> </w:t>
      </w:r>
      <w:r>
        <w:t>no</w:t>
      </w:r>
      <w:r>
        <w:rPr>
          <w:spacing w:val="-3"/>
        </w:rPr>
        <w:t xml:space="preserve"> </w:t>
      </w:r>
      <w:r>
        <w:t>objections</w:t>
      </w:r>
      <w:r>
        <w:rPr>
          <w:spacing w:val="-4"/>
        </w:rPr>
        <w:t xml:space="preserve"> </w:t>
      </w:r>
      <w:r>
        <w:t>on</w:t>
      </w:r>
      <w:r>
        <w:rPr>
          <w:spacing w:val="-4"/>
        </w:rPr>
        <w:t xml:space="preserve"> </w:t>
      </w:r>
      <w:r>
        <w:t>quality</w:t>
      </w:r>
      <w:r>
        <w:rPr>
          <w:spacing w:val="-4"/>
        </w:rPr>
        <w:t xml:space="preserve"> </w:t>
      </w:r>
      <w:r>
        <w:t>grounds</w:t>
      </w:r>
      <w:r>
        <w:rPr>
          <w:spacing w:val="-2"/>
        </w:rPr>
        <w:t xml:space="preserve"> </w:t>
      </w:r>
      <w:r>
        <w:t>to</w:t>
      </w:r>
      <w:r>
        <w:rPr>
          <w:spacing w:val="-3"/>
        </w:rPr>
        <w:t xml:space="preserve"> </w:t>
      </w:r>
      <w:r>
        <w:t>the</w:t>
      </w:r>
      <w:r>
        <w:rPr>
          <w:spacing w:val="-5"/>
        </w:rPr>
        <w:t xml:space="preserve"> </w:t>
      </w:r>
      <w:r>
        <w:t>approval</w:t>
      </w:r>
      <w:r>
        <w:rPr>
          <w:spacing w:val="-3"/>
        </w:rPr>
        <w:t xml:space="preserve"> </w:t>
      </w:r>
      <w:r>
        <w:t>of</w:t>
      </w:r>
      <w:r>
        <w:rPr>
          <w:spacing w:val="-3"/>
        </w:rPr>
        <w:t xml:space="preserve"> </w:t>
      </w:r>
      <w:r>
        <w:t>O</w:t>
      </w:r>
      <w:r w:rsidR="0023182F">
        <w:t>spo</w:t>
      </w:r>
      <w:r w:rsidR="00674E5F">
        <w:t>myv</w:t>
      </w:r>
      <w:r>
        <w:rPr>
          <w:spacing w:val="-2"/>
        </w:rPr>
        <w:t xml:space="preserve"> </w:t>
      </w:r>
      <w:r>
        <w:t>(denosumab)</w:t>
      </w:r>
      <w:r>
        <w:rPr>
          <w:spacing w:val="-3"/>
        </w:rPr>
        <w:t xml:space="preserve"> </w:t>
      </w:r>
      <w:r>
        <w:t>and X</w:t>
      </w:r>
      <w:r w:rsidR="00674E5F">
        <w:t>borso</w:t>
      </w:r>
      <w:r>
        <w:t xml:space="preserve"> (denosumab).</w:t>
      </w:r>
    </w:p>
    <w:p w14:paraId="671E0B12" w14:textId="77777777" w:rsidR="00357F32" w:rsidRDefault="00357F32" w:rsidP="0014694D">
      <w:pPr>
        <w:pStyle w:val="Heading5"/>
      </w:pPr>
      <w:r>
        <w:t>Pharmacology</w:t>
      </w:r>
    </w:p>
    <w:p w14:paraId="069BA036" w14:textId="77777777" w:rsidR="00357F32" w:rsidRDefault="00357F32" w:rsidP="00B10009">
      <w:r>
        <w:t>Based</w:t>
      </w:r>
      <w:r>
        <w:rPr>
          <w:spacing w:val="-3"/>
        </w:rPr>
        <w:t xml:space="preserve"> </w:t>
      </w:r>
      <w:r>
        <w:t>on</w:t>
      </w:r>
      <w:r>
        <w:rPr>
          <w:spacing w:val="-4"/>
        </w:rPr>
        <w:t xml:space="preserve"> </w:t>
      </w:r>
      <w:r>
        <w:t>the</w:t>
      </w:r>
      <w:r>
        <w:rPr>
          <w:spacing w:val="-3"/>
        </w:rPr>
        <w:t xml:space="preserve"> </w:t>
      </w:r>
      <w:r>
        <w:t>PK</w:t>
      </w:r>
      <w:r>
        <w:rPr>
          <w:spacing w:val="-3"/>
        </w:rPr>
        <w:t xml:space="preserve"> </w:t>
      </w:r>
      <w:r>
        <w:t>data</w:t>
      </w:r>
      <w:r>
        <w:rPr>
          <w:spacing w:val="-3"/>
        </w:rPr>
        <w:t xml:space="preserve"> </w:t>
      </w:r>
      <w:r>
        <w:t>provided,</w:t>
      </w:r>
      <w:r>
        <w:rPr>
          <w:spacing w:val="-3"/>
        </w:rPr>
        <w:t xml:space="preserve"> </w:t>
      </w:r>
      <w:r>
        <w:t>the</w:t>
      </w:r>
      <w:r>
        <w:rPr>
          <w:spacing w:val="-3"/>
        </w:rPr>
        <w:t xml:space="preserve"> </w:t>
      </w:r>
      <w:r>
        <w:t>serum</w:t>
      </w:r>
      <w:r>
        <w:rPr>
          <w:spacing w:val="-2"/>
        </w:rPr>
        <w:t xml:space="preserve"> </w:t>
      </w:r>
      <w:r>
        <w:t>denosumab</w:t>
      </w:r>
      <w:r>
        <w:rPr>
          <w:spacing w:val="-4"/>
        </w:rPr>
        <w:t xml:space="preserve"> </w:t>
      </w:r>
      <w:r>
        <w:t>concentrations</w:t>
      </w:r>
      <w:r>
        <w:rPr>
          <w:spacing w:val="-2"/>
        </w:rPr>
        <w:t xml:space="preserve"> </w:t>
      </w:r>
      <w:r>
        <w:t>and</w:t>
      </w:r>
      <w:r>
        <w:rPr>
          <w:spacing w:val="-3"/>
        </w:rPr>
        <w:t xml:space="preserve"> </w:t>
      </w:r>
      <w:r>
        <w:t>PK</w:t>
      </w:r>
      <w:r>
        <w:rPr>
          <w:spacing w:val="-3"/>
        </w:rPr>
        <w:t xml:space="preserve"> </w:t>
      </w:r>
      <w:r>
        <w:t>parameters</w:t>
      </w:r>
      <w:r>
        <w:rPr>
          <w:spacing w:val="-2"/>
        </w:rPr>
        <w:t xml:space="preserve"> </w:t>
      </w:r>
      <w:r>
        <w:t xml:space="preserve">were generally consistent between those who received SB16 and Prolia and PK biosimilarity was </w:t>
      </w:r>
      <w:r>
        <w:rPr>
          <w:spacing w:val="-2"/>
        </w:rPr>
        <w:t>established.</w:t>
      </w:r>
    </w:p>
    <w:p w14:paraId="1B5DF5F6" w14:textId="77777777" w:rsidR="00357F32" w:rsidRDefault="00357F32" w:rsidP="0014694D">
      <w:pPr>
        <w:pStyle w:val="Heading5"/>
      </w:pPr>
      <w:bookmarkStart w:id="87" w:name="2.6.3._Efficacy"/>
      <w:bookmarkEnd w:id="87"/>
      <w:r>
        <w:t>Efficacy</w:t>
      </w:r>
    </w:p>
    <w:p w14:paraId="7EB196A3" w14:textId="77777777" w:rsidR="00357F32" w:rsidRPr="00454A90" w:rsidRDefault="00357F32" w:rsidP="00B10009">
      <w:pPr>
        <w:pStyle w:val="Heading6"/>
      </w:pPr>
      <w:bookmarkStart w:id="88" w:name="Study_design_and_primary_endpoint"/>
      <w:bookmarkEnd w:id="88"/>
      <w:r w:rsidRPr="00454A90">
        <w:t>Study</w:t>
      </w:r>
      <w:r w:rsidRPr="00454A90">
        <w:rPr>
          <w:spacing w:val="-5"/>
        </w:rPr>
        <w:t xml:space="preserve"> </w:t>
      </w:r>
      <w:r w:rsidRPr="00454A90">
        <w:t>design</w:t>
      </w:r>
      <w:r w:rsidRPr="00454A90">
        <w:rPr>
          <w:spacing w:val="-4"/>
        </w:rPr>
        <w:t xml:space="preserve"> </w:t>
      </w:r>
      <w:r w:rsidRPr="00454A90">
        <w:t>and</w:t>
      </w:r>
      <w:r w:rsidRPr="00454A90">
        <w:rPr>
          <w:spacing w:val="-4"/>
        </w:rPr>
        <w:t xml:space="preserve"> </w:t>
      </w:r>
      <w:r w:rsidRPr="00454A90">
        <w:t>primary</w:t>
      </w:r>
      <w:r w:rsidRPr="00454A90">
        <w:rPr>
          <w:spacing w:val="-6"/>
        </w:rPr>
        <w:t xml:space="preserve"> </w:t>
      </w:r>
      <w:r w:rsidRPr="00454A90">
        <w:rPr>
          <w:spacing w:val="-2"/>
        </w:rPr>
        <w:t>endpoint</w:t>
      </w:r>
    </w:p>
    <w:p w14:paraId="7DECD4DC" w14:textId="77777777" w:rsidR="00357F32" w:rsidRDefault="00357F32" w:rsidP="00B10009">
      <w:r>
        <w:t>There</w:t>
      </w:r>
      <w:r>
        <w:rPr>
          <w:spacing w:val="-4"/>
        </w:rPr>
        <w:t xml:space="preserve"> </w:t>
      </w:r>
      <w:r>
        <w:t>were</w:t>
      </w:r>
      <w:r>
        <w:rPr>
          <w:spacing w:val="-4"/>
        </w:rPr>
        <w:t xml:space="preserve"> </w:t>
      </w:r>
      <w:r>
        <w:t>no</w:t>
      </w:r>
      <w:r>
        <w:rPr>
          <w:spacing w:val="-5"/>
        </w:rPr>
        <w:t xml:space="preserve"> </w:t>
      </w:r>
      <w:r>
        <w:t>significant</w:t>
      </w:r>
      <w:r>
        <w:rPr>
          <w:spacing w:val="-4"/>
        </w:rPr>
        <w:t xml:space="preserve"> </w:t>
      </w:r>
      <w:r>
        <w:t>objections</w:t>
      </w:r>
      <w:r>
        <w:rPr>
          <w:spacing w:val="-3"/>
        </w:rPr>
        <w:t xml:space="preserve"> </w:t>
      </w:r>
      <w:r>
        <w:t>to</w:t>
      </w:r>
      <w:r>
        <w:rPr>
          <w:spacing w:val="-3"/>
        </w:rPr>
        <w:t xml:space="preserve"> </w:t>
      </w:r>
      <w:r>
        <w:t>the</w:t>
      </w:r>
      <w:r>
        <w:rPr>
          <w:spacing w:val="-4"/>
        </w:rPr>
        <w:t xml:space="preserve"> </w:t>
      </w:r>
      <w:r>
        <w:t>study</w:t>
      </w:r>
      <w:r>
        <w:rPr>
          <w:spacing w:val="-4"/>
        </w:rPr>
        <w:t xml:space="preserve"> </w:t>
      </w:r>
      <w:r>
        <w:rPr>
          <w:spacing w:val="-2"/>
        </w:rPr>
        <w:t>design.</w:t>
      </w:r>
    </w:p>
    <w:p w14:paraId="01AF00A0" w14:textId="00F56735" w:rsidR="00357F32" w:rsidRDefault="00357F32" w:rsidP="0014694D">
      <w:r>
        <w:t>The applicant has justified the indication/patient population investigated in the clinical study SB16-3001 (osteoporosis in postmenopausal women as the most appropriate population)</w:t>
      </w:r>
      <w:r w:rsidR="00CC0306">
        <w:t xml:space="preserve">. </w:t>
      </w:r>
      <w:r>
        <w:t>This</w:t>
      </w:r>
      <w:r>
        <w:rPr>
          <w:spacing w:val="-1"/>
        </w:rPr>
        <w:t xml:space="preserve"> </w:t>
      </w:r>
      <w:r>
        <w:t>is</w:t>
      </w:r>
      <w:r>
        <w:rPr>
          <w:spacing w:val="-1"/>
        </w:rPr>
        <w:t xml:space="preserve"> </w:t>
      </w:r>
      <w:r>
        <w:t xml:space="preserve">considered </w:t>
      </w:r>
      <w:r>
        <w:rPr>
          <w:spacing w:val="-2"/>
        </w:rPr>
        <w:t>acceptable.</w:t>
      </w:r>
    </w:p>
    <w:p w14:paraId="31B7A19D" w14:textId="562F7C4C" w:rsidR="00357F32" w:rsidRDefault="00357F32" w:rsidP="0014694D">
      <w:r>
        <w:t>In Study SB16-3001, the primary efficacy endpoint was the percent change from baseline in BMD for lumbar spine at Month 12. That chosen variable differed from the primary efficacy variable in the pivotal trial for the reference product Prolia, which was the incidence of new vertebral</w:t>
      </w:r>
      <w:r>
        <w:rPr>
          <w:spacing w:val="-3"/>
        </w:rPr>
        <w:t xml:space="preserve"> </w:t>
      </w:r>
      <w:r>
        <w:t>fractures.</w:t>
      </w:r>
      <w:r>
        <w:rPr>
          <w:spacing w:val="-3"/>
        </w:rPr>
        <w:t xml:space="preserve"> </w:t>
      </w:r>
      <w:r>
        <w:t>However,</w:t>
      </w:r>
      <w:r>
        <w:rPr>
          <w:spacing w:val="-3"/>
        </w:rPr>
        <w:t xml:space="preserve"> </w:t>
      </w:r>
      <w:r>
        <w:t>the</w:t>
      </w:r>
      <w:r>
        <w:rPr>
          <w:spacing w:val="-3"/>
        </w:rPr>
        <w:t xml:space="preserve"> </w:t>
      </w:r>
      <w:r>
        <w:t>applicant</w:t>
      </w:r>
      <w:r>
        <w:rPr>
          <w:spacing w:val="-3"/>
        </w:rPr>
        <w:t xml:space="preserve"> </w:t>
      </w:r>
      <w:r>
        <w:t>has</w:t>
      </w:r>
      <w:r>
        <w:rPr>
          <w:spacing w:val="-4"/>
        </w:rPr>
        <w:t xml:space="preserve"> </w:t>
      </w:r>
      <w:r>
        <w:t>justified</w:t>
      </w:r>
      <w:r>
        <w:rPr>
          <w:spacing w:val="-3"/>
        </w:rPr>
        <w:t xml:space="preserve"> </w:t>
      </w:r>
      <w:r>
        <w:t>the</w:t>
      </w:r>
      <w:r>
        <w:rPr>
          <w:spacing w:val="-5"/>
        </w:rPr>
        <w:t xml:space="preserve"> </w:t>
      </w:r>
      <w:r>
        <w:t>choice</w:t>
      </w:r>
      <w:r>
        <w:rPr>
          <w:spacing w:val="-3"/>
        </w:rPr>
        <w:t xml:space="preserve"> </w:t>
      </w:r>
      <w:r>
        <w:t>of</w:t>
      </w:r>
      <w:r>
        <w:rPr>
          <w:spacing w:val="-3"/>
        </w:rPr>
        <w:t xml:space="preserve"> </w:t>
      </w:r>
      <w:r>
        <w:t>endpoint</w:t>
      </w:r>
      <w:r w:rsidR="00DE68B8">
        <w:t>.</w:t>
      </w:r>
    </w:p>
    <w:p w14:paraId="6CBFD34F" w14:textId="77777777" w:rsidR="00357F32" w:rsidRDefault="00357F32" w:rsidP="00B10009">
      <w:r>
        <w:t>For the initial registration of an agent targeting osteoporosis, the use of the incidence of new vertebral fractures as an endpoint variable is still preferred, but for biosimilarity assessments, an</w:t>
      </w:r>
      <w:r>
        <w:rPr>
          <w:spacing w:val="-4"/>
        </w:rPr>
        <w:t xml:space="preserve"> </w:t>
      </w:r>
      <w:r>
        <w:t>appropriately</w:t>
      </w:r>
      <w:r>
        <w:rPr>
          <w:spacing w:val="-4"/>
        </w:rPr>
        <w:t xml:space="preserve"> </w:t>
      </w:r>
      <w:r>
        <w:t>designed</w:t>
      </w:r>
      <w:r>
        <w:rPr>
          <w:spacing w:val="-3"/>
        </w:rPr>
        <w:t xml:space="preserve"> </w:t>
      </w:r>
      <w:r>
        <w:t>BMD</w:t>
      </w:r>
      <w:r>
        <w:rPr>
          <w:spacing w:val="-3"/>
        </w:rPr>
        <w:t xml:space="preserve"> </w:t>
      </w:r>
      <w:r>
        <w:t>endpoint</w:t>
      </w:r>
      <w:r>
        <w:rPr>
          <w:spacing w:val="-3"/>
        </w:rPr>
        <w:t xml:space="preserve"> </w:t>
      </w:r>
      <w:r>
        <w:t>was</w:t>
      </w:r>
      <w:r>
        <w:rPr>
          <w:spacing w:val="-2"/>
        </w:rPr>
        <w:t xml:space="preserve"> </w:t>
      </w:r>
      <w:r>
        <w:t>considered</w:t>
      </w:r>
      <w:r>
        <w:rPr>
          <w:spacing w:val="-5"/>
        </w:rPr>
        <w:t xml:space="preserve"> </w:t>
      </w:r>
      <w:r>
        <w:t>suitable.</w:t>
      </w:r>
      <w:r>
        <w:rPr>
          <w:spacing w:val="-3"/>
        </w:rPr>
        <w:t xml:space="preserve"> </w:t>
      </w:r>
      <w:r>
        <w:t>However,</w:t>
      </w:r>
      <w:r>
        <w:rPr>
          <w:spacing w:val="-5"/>
        </w:rPr>
        <w:t xml:space="preserve"> </w:t>
      </w:r>
      <w:r>
        <w:t>incidences</w:t>
      </w:r>
      <w:r>
        <w:rPr>
          <w:spacing w:val="-2"/>
        </w:rPr>
        <w:t xml:space="preserve"> </w:t>
      </w:r>
      <w:r>
        <w:t>of</w:t>
      </w:r>
      <w:r>
        <w:rPr>
          <w:spacing w:val="-3"/>
        </w:rPr>
        <w:t xml:space="preserve"> </w:t>
      </w:r>
      <w:r>
        <w:t xml:space="preserve">new vertebral, nonvertebral, and hip fractures should have been included as other endpoints in the </w:t>
      </w:r>
      <w:r>
        <w:rPr>
          <w:spacing w:val="-2"/>
        </w:rPr>
        <w:t>study.</w:t>
      </w:r>
    </w:p>
    <w:p w14:paraId="161A754A" w14:textId="77777777" w:rsidR="00357F32" w:rsidRPr="00454A90" w:rsidRDefault="00357F32" w:rsidP="00B10009">
      <w:pPr>
        <w:pStyle w:val="Heading6"/>
      </w:pPr>
      <w:bookmarkStart w:id="89" w:name="Equivalence_margin"/>
      <w:bookmarkEnd w:id="89"/>
      <w:r w:rsidRPr="00454A90">
        <w:t>Equivalence</w:t>
      </w:r>
      <w:r w:rsidRPr="00454A90">
        <w:rPr>
          <w:spacing w:val="-6"/>
        </w:rPr>
        <w:t xml:space="preserve"> </w:t>
      </w:r>
      <w:r w:rsidRPr="00454A90">
        <w:rPr>
          <w:spacing w:val="-2"/>
        </w:rPr>
        <w:t>margin</w:t>
      </w:r>
    </w:p>
    <w:p w14:paraId="32BC49DB" w14:textId="0180E831" w:rsidR="00357F32" w:rsidRDefault="00357F32" w:rsidP="00B10009">
      <w:r>
        <w:t>Therapeutic</w:t>
      </w:r>
      <w:r>
        <w:rPr>
          <w:spacing w:val="-4"/>
        </w:rPr>
        <w:t xml:space="preserve"> </w:t>
      </w:r>
      <w:r>
        <w:t>equivalence</w:t>
      </w:r>
      <w:r>
        <w:rPr>
          <w:spacing w:val="-5"/>
        </w:rPr>
        <w:t xml:space="preserve"> </w:t>
      </w:r>
      <w:r>
        <w:t>was</w:t>
      </w:r>
      <w:r>
        <w:rPr>
          <w:spacing w:val="-2"/>
        </w:rPr>
        <w:t xml:space="preserve"> </w:t>
      </w:r>
      <w:r>
        <w:t>based</w:t>
      </w:r>
      <w:r>
        <w:rPr>
          <w:spacing w:val="-3"/>
        </w:rPr>
        <w:t xml:space="preserve"> </w:t>
      </w:r>
      <w:r>
        <w:t>on</w:t>
      </w:r>
      <w:r>
        <w:rPr>
          <w:spacing w:val="-4"/>
        </w:rPr>
        <w:t xml:space="preserve"> </w:t>
      </w:r>
      <w:r>
        <w:t>whether</w:t>
      </w:r>
      <w:r>
        <w:rPr>
          <w:spacing w:val="-3"/>
        </w:rPr>
        <w:t xml:space="preserve"> </w:t>
      </w:r>
      <w:r>
        <w:t>the</w:t>
      </w:r>
      <w:r>
        <w:rPr>
          <w:spacing w:val="-5"/>
        </w:rPr>
        <w:t xml:space="preserve"> </w:t>
      </w:r>
      <w:r>
        <w:t>primary</w:t>
      </w:r>
      <w:r>
        <w:rPr>
          <w:spacing w:val="-4"/>
        </w:rPr>
        <w:t xml:space="preserve"> </w:t>
      </w:r>
      <w:r>
        <w:t>efficacy</w:t>
      </w:r>
      <w:r>
        <w:rPr>
          <w:spacing w:val="-4"/>
        </w:rPr>
        <w:t xml:space="preserve"> </w:t>
      </w:r>
      <w:r>
        <w:t>endpoint</w:t>
      </w:r>
      <w:r>
        <w:rPr>
          <w:spacing w:val="-3"/>
        </w:rPr>
        <w:t xml:space="preserve"> </w:t>
      </w:r>
      <w:r>
        <w:t>(percent</w:t>
      </w:r>
      <w:r>
        <w:rPr>
          <w:spacing w:val="-3"/>
        </w:rPr>
        <w:t xml:space="preserve"> </w:t>
      </w:r>
      <w:r>
        <w:t xml:space="preserve">change from baseline in BMD for lumbar spine at Month 12) 2-sided 95% confidence interval (CI) of </w:t>
      </w:r>
      <w:r>
        <w:lastRenderedPageBreak/>
        <w:t>least</w:t>
      </w:r>
      <w:r>
        <w:rPr>
          <w:spacing w:val="-1"/>
        </w:rPr>
        <w:t xml:space="preserve"> </w:t>
      </w:r>
      <w:r>
        <w:t>squares means for the treatment difference between Ospomyv and Prolia falls within the predefined equivalence margin of (-2.0%, 2.0%).</w:t>
      </w:r>
      <w:r w:rsidR="00705E41">
        <w:t xml:space="preserve"> </w:t>
      </w:r>
      <w:r>
        <w:t>This</w:t>
      </w:r>
      <w:r>
        <w:rPr>
          <w:spacing w:val="-3"/>
        </w:rPr>
        <w:t xml:space="preserve"> </w:t>
      </w:r>
      <w:r>
        <w:t>margin</w:t>
      </w:r>
      <w:r>
        <w:rPr>
          <w:spacing w:val="-3"/>
        </w:rPr>
        <w:t xml:space="preserve"> </w:t>
      </w:r>
      <w:r>
        <w:t>has been sufficiently justified with margins previously used by the comparative studies with denosumab or alendronate. Despite the justification, the equivalence margin is considered</w:t>
      </w:r>
      <w:r w:rsidR="00113C2D">
        <w:t xml:space="preserve"> </w:t>
      </w:r>
      <w:r>
        <w:t>rather</w:t>
      </w:r>
      <w:r>
        <w:rPr>
          <w:spacing w:val="-2"/>
        </w:rPr>
        <w:t xml:space="preserve"> </w:t>
      </w:r>
      <w:r w:rsidR="00C23D24">
        <w:t>wide,</w:t>
      </w:r>
      <w:r>
        <w:rPr>
          <w:spacing w:val="-2"/>
        </w:rPr>
        <w:t xml:space="preserve"> </w:t>
      </w:r>
      <w:r>
        <w:t>and</w:t>
      </w:r>
      <w:r>
        <w:rPr>
          <w:spacing w:val="-2"/>
        </w:rPr>
        <w:t xml:space="preserve"> </w:t>
      </w:r>
      <w:r>
        <w:t>a</w:t>
      </w:r>
      <w:r>
        <w:rPr>
          <w:spacing w:val="-2"/>
        </w:rPr>
        <w:t xml:space="preserve"> </w:t>
      </w:r>
      <w:r>
        <w:t>tighter</w:t>
      </w:r>
      <w:r>
        <w:rPr>
          <w:spacing w:val="-4"/>
        </w:rPr>
        <w:t xml:space="preserve"> </w:t>
      </w:r>
      <w:r>
        <w:t>margin</w:t>
      </w:r>
      <w:r>
        <w:rPr>
          <w:spacing w:val="-3"/>
        </w:rPr>
        <w:t xml:space="preserve"> </w:t>
      </w:r>
      <w:r>
        <w:t>would</w:t>
      </w:r>
      <w:r>
        <w:rPr>
          <w:spacing w:val="-2"/>
        </w:rPr>
        <w:t xml:space="preserve"> </w:t>
      </w:r>
      <w:r>
        <w:t>have</w:t>
      </w:r>
      <w:r>
        <w:rPr>
          <w:spacing w:val="-2"/>
        </w:rPr>
        <w:t xml:space="preserve"> </w:t>
      </w:r>
      <w:r>
        <w:t>been</w:t>
      </w:r>
      <w:r>
        <w:rPr>
          <w:spacing w:val="-3"/>
        </w:rPr>
        <w:t xml:space="preserve"> </w:t>
      </w:r>
      <w:r>
        <w:t>ultimately</w:t>
      </w:r>
      <w:r>
        <w:rPr>
          <w:spacing w:val="-3"/>
        </w:rPr>
        <w:t xml:space="preserve"> </w:t>
      </w:r>
      <w:r>
        <w:t>preferable,</w:t>
      </w:r>
      <w:r>
        <w:rPr>
          <w:spacing w:val="-2"/>
        </w:rPr>
        <w:t xml:space="preserve"> </w:t>
      </w:r>
      <w:r w:rsidR="00C23D24">
        <w:t>for example</w:t>
      </w:r>
      <w:r>
        <w:rPr>
          <w:spacing w:val="-4"/>
        </w:rPr>
        <w:t xml:space="preserve"> </w:t>
      </w:r>
      <w:r>
        <w:t>(-1.5%,</w:t>
      </w:r>
      <w:r>
        <w:rPr>
          <w:spacing w:val="-2"/>
        </w:rPr>
        <w:t xml:space="preserve"> </w:t>
      </w:r>
      <w:r>
        <w:t>1.5%).</w:t>
      </w:r>
      <w:r>
        <w:rPr>
          <w:spacing w:val="-2"/>
        </w:rPr>
        <w:t xml:space="preserve"> </w:t>
      </w:r>
      <w:r>
        <w:t>It</w:t>
      </w:r>
      <w:r>
        <w:rPr>
          <w:spacing w:val="-2"/>
        </w:rPr>
        <w:t xml:space="preserve"> </w:t>
      </w:r>
      <w:r>
        <w:t xml:space="preserve">is noted that an equivalence margin of (-1.45%, 1.45%), and (-1.503%, 1.503%) had been accepted previously for </w:t>
      </w:r>
      <w:proofErr w:type="spellStart"/>
      <w:r>
        <w:t>J</w:t>
      </w:r>
      <w:r w:rsidR="00C42185">
        <w:t>ubbonti</w:t>
      </w:r>
      <w:proofErr w:type="spellEnd"/>
      <w:r>
        <w:t>/</w:t>
      </w:r>
      <w:proofErr w:type="spellStart"/>
      <w:r>
        <w:t>W</w:t>
      </w:r>
      <w:r w:rsidR="00592CB0">
        <w:t>yost</w:t>
      </w:r>
      <w:proofErr w:type="spellEnd"/>
      <w:r>
        <w:t xml:space="preserve">, and </w:t>
      </w:r>
      <w:proofErr w:type="spellStart"/>
      <w:r>
        <w:t>S</w:t>
      </w:r>
      <w:r w:rsidR="00592CB0">
        <w:t>toboclo</w:t>
      </w:r>
      <w:proofErr w:type="spellEnd"/>
      <w:r>
        <w:t>/</w:t>
      </w:r>
      <w:proofErr w:type="spellStart"/>
      <w:r>
        <w:t>O</w:t>
      </w:r>
      <w:r w:rsidR="00592CB0">
        <w:t>senvelt</w:t>
      </w:r>
      <w:proofErr w:type="spellEnd"/>
      <w:r w:rsidR="00AA1352">
        <w:t xml:space="preserve">, </w:t>
      </w:r>
      <w:r>
        <w:t>respectively. Furthermore, it is noted that the 95% CI of the primary endpoint result in SB16-3001 was entirely contained in the tighter margins used in the other Prolia/Xgeva biosimilar applications.</w:t>
      </w:r>
    </w:p>
    <w:p w14:paraId="7C6A199E" w14:textId="77777777" w:rsidR="00357F32" w:rsidRPr="00454A90" w:rsidRDefault="00357F32" w:rsidP="00B10009">
      <w:pPr>
        <w:pStyle w:val="Heading6"/>
      </w:pPr>
      <w:bookmarkStart w:id="90" w:name="Efficacy_results"/>
      <w:bookmarkEnd w:id="90"/>
      <w:r w:rsidRPr="00454A90">
        <w:t>Efficacy</w:t>
      </w:r>
      <w:r w:rsidRPr="00454A90">
        <w:rPr>
          <w:spacing w:val="-4"/>
        </w:rPr>
        <w:t xml:space="preserve"> </w:t>
      </w:r>
      <w:r w:rsidRPr="00454A90">
        <w:rPr>
          <w:spacing w:val="-2"/>
        </w:rPr>
        <w:t>results</w:t>
      </w:r>
    </w:p>
    <w:p w14:paraId="0D65B20C" w14:textId="0960CF64" w:rsidR="00357F32" w:rsidRDefault="00357F32" w:rsidP="00B10009">
      <w:r>
        <w:t>In</w:t>
      </w:r>
      <w:r>
        <w:rPr>
          <w:spacing w:val="-3"/>
        </w:rPr>
        <w:t xml:space="preserve"> </w:t>
      </w:r>
      <w:r>
        <w:t>Study</w:t>
      </w:r>
      <w:r>
        <w:rPr>
          <w:spacing w:val="-3"/>
        </w:rPr>
        <w:t xml:space="preserve"> </w:t>
      </w:r>
      <w:r>
        <w:t>SB16-3001,</w:t>
      </w:r>
      <w:r>
        <w:rPr>
          <w:spacing w:val="-4"/>
        </w:rPr>
        <w:t xml:space="preserve"> </w:t>
      </w:r>
      <w:r>
        <w:t>in</w:t>
      </w:r>
      <w:r>
        <w:rPr>
          <w:spacing w:val="-3"/>
        </w:rPr>
        <w:t xml:space="preserve"> </w:t>
      </w:r>
      <w:r w:rsidRPr="00841F37">
        <w:t>the</w:t>
      </w:r>
      <w:r w:rsidRPr="00841F37">
        <w:rPr>
          <w:spacing w:val="-1"/>
        </w:rPr>
        <w:t xml:space="preserve"> </w:t>
      </w:r>
      <w:r w:rsidRPr="00841F37">
        <w:t>PPS</w:t>
      </w:r>
      <w:r w:rsidRPr="00841F37">
        <w:rPr>
          <w:spacing w:val="-1"/>
        </w:rPr>
        <w:t xml:space="preserve"> </w:t>
      </w:r>
      <w:r w:rsidRPr="00841F37">
        <w:t>analysis,</w:t>
      </w:r>
      <w:r w:rsidRPr="00841F37">
        <w:rPr>
          <w:spacing w:val="-2"/>
        </w:rPr>
        <w:t xml:space="preserve"> </w:t>
      </w:r>
      <w:r w:rsidRPr="00841F37">
        <w:t>the</w:t>
      </w:r>
      <w:r w:rsidRPr="00841F37">
        <w:rPr>
          <w:spacing w:val="-2"/>
        </w:rPr>
        <w:t xml:space="preserve"> </w:t>
      </w:r>
      <w:r w:rsidRPr="00841F37">
        <w:t>LS</w:t>
      </w:r>
      <w:r>
        <w:rPr>
          <w:spacing w:val="-3"/>
        </w:rPr>
        <w:t xml:space="preserve"> </w:t>
      </w:r>
      <w:r>
        <w:t>mean</w:t>
      </w:r>
      <w:r>
        <w:rPr>
          <w:spacing w:val="-3"/>
        </w:rPr>
        <w:t xml:space="preserve"> </w:t>
      </w:r>
      <w:r>
        <w:t>difference</w:t>
      </w:r>
      <w:r>
        <w:rPr>
          <w:spacing w:val="-2"/>
        </w:rPr>
        <w:t xml:space="preserve"> </w:t>
      </w:r>
      <w:r>
        <w:t>(95%</w:t>
      </w:r>
      <w:r>
        <w:rPr>
          <w:spacing w:val="-2"/>
        </w:rPr>
        <w:t xml:space="preserve"> </w:t>
      </w:r>
      <w:r>
        <w:t>CI)</w:t>
      </w:r>
      <w:r>
        <w:rPr>
          <w:spacing w:val="-2"/>
        </w:rPr>
        <w:t xml:space="preserve"> </w:t>
      </w:r>
      <w:r>
        <w:t>between</w:t>
      </w:r>
      <w:r>
        <w:rPr>
          <w:spacing w:val="-3"/>
        </w:rPr>
        <w:t xml:space="preserve"> </w:t>
      </w:r>
      <w:r>
        <w:t>SB16</w:t>
      </w:r>
      <w:r>
        <w:rPr>
          <w:spacing w:val="-2"/>
        </w:rPr>
        <w:t xml:space="preserve"> </w:t>
      </w:r>
      <w:r>
        <w:t>and Prolia treatment groups was 0.39 (–0.36, 1.13) and thus contained within the pre-specified equivalence margin of (–2.0, 2.0). This result is supported by the FAS analysis and by the secondary endpoints.</w:t>
      </w:r>
    </w:p>
    <w:p w14:paraId="116C1C5A" w14:textId="77777777" w:rsidR="00357F32" w:rsidRDefault="00357F32" w:rsidP="00113C2D">
      <w:pPr>
        <w:pStyle w:val="Heading5"/>
      </w:pPr>
      <w:bookmarkStart w:id="91" w:name="2.6.4._Safety"/>
      <w:bookmarkEnd w:id="91"/>
      <w:r>
        <w:t>Safety</w:t>
      </w:r>
    </w:p>
    <w:p w14:paraId="7B885FB0" w14:textId="77777777" w:rsidR="00357F32" w:rsidRDefault="00357F32" w:rsidP="00B10009">
      <w:r>
        <w:t>The</w:t>
      </w:r>
      <w:r>
        <w:rPr>
          <w:spacing w:val="-8"/>
        </w:rPr>
        <w:t xml:space="preserve"> </w:t>
      </w:r>
      <w:r>
        <w:t>safety</w:t>
      </w:r>
      <w:r>
        <w:rPr>
          <w:spacing w:val="-4"/>
        </w:rPr>
        <w:t xml:space="preserve"> </w:t>
      </w:r>
      <w:r>
        <w:t>profile</w:t>
      </w:r>
      <w:r>
        <w:rPr>
          <w:spacing w:val="-3"/>
        </w:rPr>
        <w:t xml:space="preserve"> </w:t>
      </w:r>
      <w:r>
        <w:t>of</w:t>
      </w:r>
      <w:r>
        <w:rPr>
          <w:spacing w:val="-4"/>
        </w:rPr>
        <w:t xml:space="preserve"> </w:t>
      </w:r>
      <w:r>
        <w:t>the</w:t>
      </w:r>
      <w:r>
        <w:rPr>
          <w:spacing w:val="-3"/>
        </w:rPr>
        <w:t xml:space="preserve"> </w:t>
      </w:r>
      <w:r>
        <w:t>reference</w:t>
      </w:r>
      <w:r>
        <w:rPr>
          <w:spacing w:val="-3"/>
        </w:rPr>
        <w:t xml:space="preserve"> </w:t>
      </w:r>
      <w:r>
        <w:t>product</w:t>
      </w:r>
      <w:r>
        <w:rPr>
          <w:spacing w:val="-4"/>
        </w:rPr>
        <w:t xml:space="preserve"> </w:t>
      </w:r>
      <w:r>
        <w:t>Prolia</w:t>
      </w:r>
      <w:r>
        <w:rPr>
          <w:spacing w:val="-3"/>
        </w:rPr>
        <w:t xml:space="preserve"> </w:t>
      </w:r>
      <w:r>
        <w:t>and</w:t>
      </w:r>
      <w:r>
        <w:rPr>
          <w:spacing w:val="-3"/>
        </w:rPr>
        <w:t xml:space="preserve"> </w:t>
      </w:r>
      <w:r>
        <w:t>Xgeva</w:t>
      </w:r>
      <w:r>
        <w:rPr>
          <w:spacing w:val="-6"/>
        </w:rPr>
        <w:t xml:space="preserve"> </w:t>
      </w:r>
      <w:r>
        <w:t>is</w:t>
      </w:r>
      <w:r>
        <w:rPr>
          <w:spacing w:val="-2"/>
        </w:rPr>
        <w:t xml:space="preserve"> </w:t>
      </w:r>
      <w:r>
        <w:t>well</w:t>
      </w:r>
      <w:r>
        <w:rPr>
          <w:spacing w:val="-3"/>
        </w:rPr>
        <w:t xml:space="preserve"> </w:t>
      </w:r>
      <w:r>
        <w:rPr>
          <w:spacing w:val="-2"/>
        </w:rPr>
        <w:t>characterised.</w:t>
      </w:r>
    </w:p>
    <w:p w14:paraId="39CBEF94" w14:textId="77777777" w:rsidR="00357F32" w:rsidRPr="00454A90" w:rsidRDefault="00357F32" w:rsidP="00B10009">
      <w:pPr>
        <w:pStyle w:val="Heading6"/>
      </w:pPr>
      <w:bookmarkStart w:id="92" w:name="Safety_profile"/>
      <w:bookmarkEnd w:id="92"/>
      <w:r w:rsidRPr="00454A90">
        <w:t>Safety</w:t>
      </w:r>
      <w:r w:rsidRPr="00454A90">
        <w:rPr>
          <w:spacing w:val="-7"/>
        </w:rPr>
        <w:t xml:space="preserve"> </w:t>
      </w:r>
      <w:r w:rsidRPr="00454A90">
        <w:rPr>
          <w:spacing w:val="-2"/>
        </w:rPr>
        <w:t>profile</w:t>
      </w:r>
    </w:p>
    <w:p w14:paraId="5FB2D85B" w14:textId="77777777" w:rsidR="00357F32" w:rsidRDefault="00357F32" w:rsidP="00B10009">
      <w:r>
        <w:t xml:space="preserve">Overall, the safety profiles of Prolia and SB16 </w:t>
      </w:r>
      <w:proofErr w:type="gramStart"/>
      <w:r>
        <w:t>were considered to be</w:t>
      </w:r>
      <w:proofErr w:type="gramEnd"/>
      <w:r>
        <w:t xml:space="preserve"> similar. However, the sample size was not large enough to detect rare adverse events including ONJ or atypical femoral</w:t>
      </w:r>
      <w:r>
        <w:rPr>
          <w:spacing w:val="-3"/>
        </w:rPr>
        <w:t xml:space="preserve"> </w:t>
      </w:r>
      <w:r>
        <w:t>fracture.</w:t>
      </w:r>
      <w:r>
        <w:rPr>
          <w:spacing w:val="-3"/>
        </w:rPr>
        <w:t xml:space="preserve"> </w:t>
      </w:r>
      <w:r>
        <w:t>Furthermore,</w:t>
      </w:r>
      <w:r>
        <w:rPr>
          <w:spacing w:val="-3"/>
        </w:rPr>
        <w:t xml:space="preserve"> </w:t>
      </w:r>
      <w:r>
        <w:t>the</w:t>
      </w:r>
      <w:r>
        <w:rPr>
          <w:spacing w:val="-5"/>
        </w:rPr>
        <w:t xml:space="preserve"> </w:t>
      </w:r>
      <w:r>
        <w:t>study</w:t>
      </w:r>
      <w:r>
        <w:rPr>
          <w:spacing w:val="-4"/>
        </w:rPr>
        <w:t xml:space="preserve"> </w:t>
      </w:r>
      <w:r>
        <w:t>did</w:t>
      </w:r>
      <w:r>
        <w:rPr>
          <w:spacing w:val="-3"/>
        </w:rPr>
        <w:t xml:space="preserve"> </w:t>
      </w:r>
      <w:r>
        <w:t>not</w:t>
      </w:r>
      <w:r>
        <w:rPr>
          <w:spacing w:val="-6"/>
        </w:rPr>
        <w:t xml:space="preserve"> </w:t>
      </w:r>
      <w:r>
        <w:t>assess</w:t>
      </w:r>
      <w:r>
        <w:rPr>
          <w:spacing w:val="-2"/>
        </w:rPr>
        <w:t xml:space="preserve"> </w:t>
      </w:r>
      <w:r>
        <w:t>long-term</w:t>
      </w:r>
      <w:r>
        <w:rPr>
          <w:spacing w:val="-2"/>
        </w:rPr>
        <w:t xml:space="preserve"> </w:t>
      </w:r>
      <w:r>
        <w:t>safety.</w:t>
      </w:r>
      <w:r>
        <w:rPr>
          <w:spacing w:val="-3"/>
        </w:rPr>
        <w:t xml:space="preserve"> </w:t>
      </w:r>
      <w:r>
        <w:t>There</w:t>
      </w:r>
      <w:r>
        <w:rPr>
          <w:spacing w:val="-3"/>
        </w:rPr>
        <w:t xml:space="preserve"> </w:t>
      </w:r>
      <w:r>
        <w:t>are</w:t>
      </w:r>
      <w:r>
        <w:rPr>
          <w:spacing w:val="-3"/>
        </w:rPr>
        <w:t xml:space="preserve"> </w:t>
      </w:r>
      <w:r>
        <w:t>no</w:t>
      </w:r>
      <w:r>
        <w:rPr>
          <w:spacing w:val="-3"/>
        </w:rPr>
        <w:t xml:space="preserve"> </w:t>
      </w:r>
      <w:r>
        <w:t>post-market data available.</w:t>
      </w:r>
    </w:p>
    <w:p w14:paraId="6B2301DC" w14:textId="77777777" w:rsidR="00357F32" w:rsidRDefault="00357F32" w:rsidP="00B10009">
      <w:r>
        <w:t>None</w:t>
      </w:r>
      <w:r>
        <w:rPr>
          <w:spacing w:val="-6"/>
        </w:rPr>
        <w:t xml:space="preserve"> </w:t>
      </w:r>
      <w:r>
        <w:t>of</w:t>
      </w:r>
      <w:r>
        <w:rPr>
          <w:spacing w:val="-3"/>
        </w:rPr>
        <w:t xml:space="preserve"> </w:t>
      </w:r>
      <w:r>
        <w:t>the</w:t>
      </w:r>
      <w:r>
        <w:rPr>
          <w:spacing w:val="-3"/>
        </w:rPr>
        <w:t xml:space="preserve"> </w:t>
      </w:r>
      <w:r>
        <w:t>patients</w:t>
      </w:r>
      <w:r>
        <w:rPr>
          <w:spacing w:val="-2"/>
        </w:rPr>
        <w:t xml:space="preserve"> </w:t>
      </w:r>
      <w:r>
        <w:t>with</w:t>
      </w:r>
      <w:r>
        <w:rPr>
          <w:spacing w:val="-5"/>
        </w:rPr>
        <w:t xml:space="preserve"> </w:t>
      </w:r>
      <w:r>
        <w:t>post-dose</w:t>
      </w:r>
      <w:r>
        <w:rPr>
          <w:spacing w:val="-3"/>
        </w:rPr>
        <w:t xml:space="preserve"> </w:t>
      </w:r>
      <w:r>
        <w:t>ADA</w:t>
      </w:r>
      <w:r>
        <w:rPr>
          <w:spacing w:val="-4"/>
        </w:rPr>
        <w:t xml:space="preserve"> </w:t>
      </w:r>
      <w:r>
        <w:t>positive</w:t>
      </w:r>
      <w:r>
        <w:rPr>
          <w:spacing w:val="-4"/>
        </w:rPr>
        <w:t xml:space="preserve"> </w:t>
      </w:r>
      <w:r>
        <w:t>to</w:t>
      </w:r>
      <w:r>
        <w:rPr>
          <w:spacing w:val="-5"/>
        </w:rPr>
        <w:t xml:space="preserve"> </w:t>
      </w:r>
      <w:r>
        <w:t>denosumab</w:t>
      </w:r>
      <w:r>
        <w:rPr>
          <w:spacing w:val="-4"/>
        </w:rPr>
        <w:t xml:space="preserve"> </w:t>
      </w:r>
      <w:r>
        <w:t>had</w:t>
      </w:r>
      <w:r>
        <w:rPr>
          <w:spacing w:val="-3"/>
        </w:rPr>
        <w:t xml:space="preserve"> </w:t>
      </w:r>
      <w:r>
        <w:t>a</w:t>
      </w:r>
      <w:r>
        <w:rPr>
          <w:spacing w:val="-3"/>
        </w:rPr>
        <w:t xml:space="preserve"> </w:t>
      </w:r>
      <w:r>
        <w:t>positive</w:t>
      </w:r>
      <w:r>
        <w:rPr>
          <w:spacing w:val="-3"/>
        </w:rPr>
        <w:t xml:space="preserve"> </w:t>
      </w:r>
      <w:r>
        <w:t>result</w:t>
      </w:r>
      <w:r>
        <w:rPr>
          <w:spacing w:val="-3"/>
        </w:rPr>
        <w:t xml:space="preserve"> </w:t>
      </w:r>
      <w:r>
        <w:t>for</w:t>
      </w:r>
      <w:r>
        <w:rPr>
          <w:spacing w:val="-3"/>
        </w:rPr>
        <w:t xml:space="preserve"> </w:t>
      </w:r>
      <w:proofErr w:type="spellStart"/>
      <w:r>
        <w:rPr>
          <w:spacing w:val="-2"/>
        </w:rPr>
        <w:t>NAbs</w:t>
      </w:r>
      <w:proofErr w:type="spellEnd"/>
      <w:r>
        <w:rPr>
          <w:spacing w:val="-2"/>
        </w:rPr>
        <w:t>.</w:t>
      </w:r>
    </w:p>
    <w:p w14:paraId="390B36DB" w14:textId="77777777" w:rsidR="00357F32" w:rsidRDefault="00357F32" w:rsidP="00B10009">
      <w:pPr>
        <w:pStyle w:val="Heading5"/>
      </w:pPr>
      <w:bookmarkStart w:id="93" w:name="2.6.5._Regulatory_considerations_and_tra"/>
      <w:bookmarkEnd w:id="93"/>
      <w:r>
        <w:t>Regulatory</w:t>
      </w:r>
      <w:r>
        <w:rPr>
          <w:spacing w:val="-9"/>
        </w:rPr>
        <w:t xml:space="preserve"> </w:t>
      </w:r>
      <w:r w:rsidRPr="00B10009">
        <w:t>considerations</w:t>
      </w:r>
      <w:r>
        <w:rPr>
          <w:spacing w:val="-7"/>
        </w:rPr>
        <w:t xml:space="preserve"> </w:t>
      </w:r>
      <w:r>
        <w:t>and</w:t>
      </w:r>
      <w:r>
        <w:rPr>
          <w:spacing w:val="-7"/>
        </w:rPr>
        <w:t xml:space="preserve"> </w:t>
      </w:r>
      <w:r>
        <w:t>translation</w:t>
      </w:r>
      <w:r>
        <w:rPr>
          <w:spacing w:val="-6"/>
        </w:rPr>
        <w:t xml:space="preserve"> </w:t>
      </w:r>
      <w:r>
        <w:t>to</w:t>
      </w:r>
      <w:r>
        <w:rPr>
          <w:spacing w:val="-7"/>
        </w:rPr>
        <w:t xml:space="preserve"> </w:t>
      </w:r>
      <w:r>
        <w:t>clinical</w:t>
      </w:r>
      <w:r>
        <w:rPr>
          <w:spacing w:val="-6"/>
        </w:rPr>
        <w:t xml:space="preserve"> </w:t>
      </w:r>
      <w:r>
        <w:rPr>
          <w:spacing w:val="-2"/>
        </w:rPr>
        <w:t>practice</w:t>
      </w:r>
    </w:p>
    <w:p w14:paraId="7E44329E" w14:textId="77777777" w:rsidR="00357F32" w:rsidRPr="00454A90" w:rsidRDefault="00357F32" w:rsidP="00B10009">
      <w:pPr>
        <w:pStyle w:val="Heading6"/>
      </w:pPr>
      <w:bookmarkStart w:id="94" w:name="Extrapolation_to_other_indications"/>
      <w:bookmarkEnd w:id="94"/>
      <w:r w:rsidRPr="00454A90">
        <w:t>Extrapolation</w:t>
      </w:r>
      <w:r w:rsidRPr="00454A90">
        <w:rPr>
          <w:spacing w:val="-7"/>
        </w:rPr>
        <w:t xml:space="preserve"> </w:t>
      </w:r>
      <w:r w:rsidRPr="00454A90">
        <w:t>to</w:t>
      </w:r>
      <w:r w:rsidRPr="00454A90">
        <w:rPr>
          <w:spacing w:val="-4"/>
        </w:rPr>
        <w:t xml:space="preserve"> </w:t>
      </w:r>
      <w:r w:rsidRPr="00454A90">
        <w:t>other</w:t>
      </w:r>
      <w:r w:rsidRPr="00454A90">
        <w:rPr>
          <w:spacing w:val="-4"/>
        </w:rPr>
        <w:t xml:space="preserve"> </w:t>
      </w:r>
      <w:r w:rsidRPr="00454A90">
        <w:rPr>
          <w:spacing w:val="-2"/>
        </w:rPr>
        <w:t>indications</w:t>
      </w:r>
    </w:p>
    <w:p w14:paraId="1956C70B" w14:textId="77777777" w:rsidR="00357F32" w:rsidRDefault="00357F32" w:rsidP="00B10009">
      <w:r>
        <w:t>In</w:t>
      </w:r>
      <w:r>
        <w:rPr>
          <w:spacing w:val="-4"/>
        </w:rPr>
        <w:t xml:space="preserve"> </w:t>
      </w:r>
      <w:r>
        <w:t>the</w:t>
      </w:r>
      <w:r>
        <w:rPr>
          <w:spacing w:val="-3"/>
        </w:rPr>
        <w:t xml:space="preserve"> </w:t>
      </w:r>
      <w:r>
        <w:t>clinical</w:t>
      </w:r>
      <w:r>
        <w:rPr>
          <w:spacing w:val="-3"/>
        </w:rPr>
        <w:t xml:space="preserve"> </w:t>
      </w:r>
      <w:r>
        <w:t>trial</w:t>
      </w:r>
      <w:r>
        <w:rPr>
          <w:spacing w:val="-3"/>
        </w:rPr>
        <w:t xml:space="preserve"> </w:t>
      </w:r>
      <w:r>
        <w:t>program,</w:t>
      </w:r>
      <w:r>
        <w:rPr>
          <w:spacing w:val="-3"/>
        </w:rPr>
        <w:t xml:space="preserve"> </w:t>
      </w:r>
      <w:r>
        <w:t>similarity</w:t>
      </w:r>
      <w:r>
        <w:rPr>
          <w:spacing w:val="-4"/>
        </w:rPr>
        <w:t xml:space="preserve"> </w:t>
      </w:r>
      <w:r>
        <w:t>between</w:t>
      </w:r>
      <w:r>
        <w:rPr>
          <w:spacing w:val="-6"/>
        </w:rPr>
        <w:t xml:space="preserve"> </w:t>
      </w:r>
      <w:r>
        <w:t>SB16</w:t>
      </w:r>
      <w:r>
        <w:rPr>
          <w:spacing w:val="-3"/>
        </w:rPr>
        <w:t xml:space="preserve"> </w:t>
      </w:r>
      <w:r>
        <w:t>and</w:t>
      </w:r>
      <w:r>
        <w:rPr>
          <w:spacing w:val="-3"/>
        </w:rPr>
        <w:t xml:space="preserve"> </w:t>
      </w:r>
      <w:r>
        <w:t>Prolia</w:t>
      </w:r>
      <w:r>
        <w:rPr>
          <w:spacing w:val="-3"/>
        </w:rPr>
        <w:t xml:space="preserve"> </w:t>
      </w:r>
      <w:r>
        <w:t>was</w:t>
      </w:r>
      <w:r>
        <w:rPr>
          <w:spacing w:val="-2"/>
        </w:rPr>
        <w:t xml:space="preserve"> </w:t>
      </w:r>
      <w:r>
        <w:t>demonstrated</w:t>
      </w:r>
      <w:r>
        <w:rPr>
          <w:spacing w:val="-3"/>
        </w:rPr>
        <w:t xml:space="preserve"> </w:t>
      </w:r>
      <w:r>
        <w:t>for</w:t>
      </w:r>
      <w:r>
        <w:rPr>
          <w:spacing w:val="-3"/>
        </w:rPr>
        <w:t xml:space="preserve"> </w:t>
      </w:r>
      <w:r>
        <w:t>the treatment of osteoporosis.</w:t>
      </w:r>
    </w:p>
    <w:p w14:paraId="0352DCB2" w14:textId="77777777" w:rsidR="00357F32" w:rsidRDefault="00357F32" w:rsidP="00B10009">
      <w:r>
        <w:t>An</w:t>
      </w:r>
      <w:r>
        <w:rPr>
          <w:spacing w:val="-4"/>
        </w:rPr>
        <w:t xml:space="preserve"> </w:t>
      </w:r>
      <w:r>
        <w:t>unfavourable</w:t>
      </w:r>
      <w:r>
        <w:rPr>
          <w:spacing w:val="-5"/>
        </w:rPr>
        <w:t xml:space="preserve"> </w:t>
      </w:r>
      <w:r>
        <w:t>impact</w:t>
      </w:r>
      <w:r>
        <w:rPr>
          <w:spacing w:val="-3"/>
        </w:rPr>
        <w:t xml:space="preserve"> </w:t>
      </w:r>
      <w:r>
        <w:t>on</w:t>
      </w:r>
      <w:r>
        <w:rPr>
          <w:spacing w:val="-4"/>
        </w:rPr>
        <w:t xml:space="preserve"> </w:t>
      </w:r>
      <w:r>
        <w:t>clinical</w:t>
      </w:r>
      <w:r>
        <w:rPr>
          <w:spacing w:val="-3"/>
        </w:rPr>
        <w:t xml:space="preserve"> </w:t>
      </w:r>
      <w:r>
        <w:t>efficacy</w:t>
      </w:r>
      <w:r>
        <w:rPr>
          <w:spacing w:val="-4"/>
        </w:rPr>
        <w:t xml:space="preserve"> </w:t>
      </w:r>
      <w:r>
        <w:t>and</w:t>
      </w:r>
      <w:r>
        <w:rPr>
          <w:spacing w:val="-3"/>
        </w:rPr>
        <w:t xml:space="preserve"> </w:t>
      </w:r>
      <w:r>
        <w:t>safety</w:t>
      </w:r>
      <w:r>
        <w:rPr>
          <w:spacing w:val="-4"/>
        </w:rPr>
        <w:t xml:space="preserve"> </w:t>
      </w:r>
      <w:r>
        <w:t>in</w:t>
      </w:r>
      <w:r>
        <w:rPr>
          <w:spacing w:val="-4"/>
        </w:rPr>
        <w:t xml:space="preserve"> </w:t>
      </w:r>
      <w:r>
        <w:t>the</w:t>
      </w:r>
      <w:r>
        <w:rPr>
          <w:spacing w:val="-3"/>
        </w:rPr>
        <w:t xml:space="preserve"> </w:t>
      </w:r>
      <w:r>
        <w:t>extrapolated</w:t>
      </w:r>
      <w:r>
        <w:rPr>
          <w:spacing w:val="-3"/>
        </w:rPr>
        <w:t xml:space="preserve"> </w:t>
      </w:r>
      <w:r>
        <w:t>indications</w:t>
      </w:r>
      <w:r>
        <w:rPr>
          <w:spacing w:val="-2"/>
        </w:rPr>
        <w:t xml:space="preserve"> </w:t>
      </w:r>
      <w:r>
        <w:t>is</w:t>
      </w:r>
      <w:r>
        <w:rPr>
          <w:spacing w:val="-2"/>
        </w:rPr>
        <w:t xml:space="preserve"> </w:t>
      </w:r>
      <w:r>
        <w:t>not expected for the biosimilar.</w:t>
      </w:r>
    </w:p>
    <w:p w14:paraId="3916F296" w14:textId="77777777" w:rsidR="00C22214" w:rsidRDefault="00C22214" w:rsidP="00B10009">
      <w:pPr>
        <w:pStyle w:val="Heading4"/>
      </w:pPr>
      <w:bookmarkStart w:id="95" w:name="Approval_indications"/>
      <w:bookmarkStart w:id="96" w:name="2.6.6._Outstanding_issues_and_conclusion"/>
      <w:bookmarkStart w:id="97" w:name="_Toc98931933"/>
      <w:bookmarkStart w:id="98" w:name="_Toc221616619"/>
      <w:bookmarkEnd w:id="95"/>
      <w:bookmarkEnd w:id="96"/>
      <w:r w:rsidRPr="00D23139">
        <w:t xml:space="preserve">Proposed </w:t>
      </w:r>
      <w:r w:rsidRPr="00B10009">
        <w:t>action</w:t>
      </w:r>
      <w:bookmarkEnd w:id="97"/>
      <w:bookmarkEnd w:id="98"/>
    </w:p>
    <w:p w14:paraId="35336175" w14:textId="66E769AC" w:rsidR="000D42B1" w:rsidRDefault="000D42B1" w:rsidP="00A97E1D">
      <w:r w:rsidRPr="000D42B1">
        <w:t>Overall, the extrapolation from the comparative data generated in post-menstrual women with osteoporosis to all approved indications of Prolia and Xgeva was considered acceptable.</w:t>
      </w:r>
    </w:p>
    <w:p w14:paraId="25AAC502" w14:textId="0289061D" w:rsidR="00FA38A0" w:rsidRPr="00A97E1D" w:rsidRDefault="00A97E1D" w:rsidP="00B10009">
      <w:r w:rsidRPr="00A97E1D">
        <w:t xml:space="preserve">There were no outstanding issues, and the applicant agreed to the TGA-requested PI changes. The application was not referred to the ACM, </w:t>
      </w:r>
      <w:proofErr w:type="gramStart"/>
      <w:r w:rsidRPr="00A97E1D">
        <w:t>in particular given</w:t>
      </w:r>
      <w:proofErr w:type="gramEnd"/>
      <w:r w:rsidRPr="00A97E1D">
        <w:t xml:space="preserve"> the regulatory precedent with </w:t>
      </w:r>
      <w:proofErr w:type="spellStart"/>
      <w:r w:rsidR="00FA38A0" w:rsidRPr="00A97E1D">
        <w:t>J</w:t>
      </w:r>
      <w:r w:rsidRPr="00A97E1D">
        <w:t>ubbonti</w:t>
      </w:r>
      <w:proofErr w:type="spellEnd"/>
      <w:r w:rsidRPr="00A97E1D">
        <w:t xml:space="preserve">/ </w:t>
      </w:r>
      <w:proofErr w:type="spellStart"/>
      <w:r w:rsidRPr="00A97E1D">
        <w:t>Wyost</w:t>
      </w:r>
      <w:proofErr w:type="spellEnd"/>
      <w:r w:rsidR="00FA38A0" w:rsidRPr="00A97E1D">
        <w:t xml:space="preserve"> and </w:t>
      </w:r>
      <w:proofErr w:type="spellStart"/>
      <w:r w:rsidR="00FA38A0" w:rsidRPr="00A97E1D">
        <w:t>S</w:t>
      </w:r>
      <w:r w:rsidRPr="00A97E1D">
        <w:t>toboclo</w:t>
      </w:r>
      <w:proofErr w:type="spellEnd"/>
      <w:r w:rsidRPr="00A97E1D">
        <w:t>/</w:t>
      </w:r>
      <w:proofErr w:type="spellStart"/>
      <w:r w:rsidR="00FA38A0" w:rsidRPr="00A97E1D">
        <w:t>O</w:t>
      </w:r>
      <w:r w:rsidRPr="00A97E1D">
        <w:t>senvelt</w:t>
      </w:r>
      <w:proofErr w:type="spellEnd"/>
      <w:r w:rsidR="00FA38A0" w:rsidRPr="00A97E1D">
        <w:t>.</w:t>
      </w:r>
      <w:r w:rsidRPr="00A97E1D">
        <w:rPr>
          <w:lang w:val="en-US"/>
        </w:rPr>
        <w:t xml:space="preserve"> The application was approved on 13 June 2025</w:t>
      </w:r>
      <w:r w:rsidR="008B1CEA">
        <w:rPr>
          <w:lang w:val="en-US"/>
        </w:rPr>
        <w:t>.</w:t>
      </w:r>
    </w:p>
    <w:p w14:paraId="307F236C" w14:textId="7FD19BD3" w:rsidR="00C22214" w:rsidRPr="002E238E" w:rsidRDefault="0046285C" w:rsidP="00B10009">
      <w:pPr>
        <w:pStyle w:val="Heading2"/>
      </w:pPr>
      <w:bookmarkStart w:id="99" w:name="_Toc247691532"/>
      <w:bookmarkStart w:id="100" w:name="_Toc314842516"/>
      <w:bookmarkStart w:id="101" w:name="_Toc103679300"/>
      <w:bookmarkStart w:id="102" w:name="_Toc221616620"/>
      <w:r>
        <w:t>Assessment</w:t>
      </w:r>
      <w:r w:rsidR="00190853">
        <w:t xml:space="preserve"> </w:t>
      </w:r>
      <w:r w:rsidRPr="00B10009">
        <w:t>o</w:t>
      </w:r>
      <w:r w:rsidR="00C22214" w:rsidRPr="00B10009">
        <w:t>utcome</w:t>
      </w:r>
      <w:bookmarkEnd w:id="99"/>
      <w:bookmarkEnd w:id="100"/>
      <w:bookmarkEnd w:id="101"/>
      <w:bookmarkEnd w:id="102"/>
    </w:p>
    <w:p w14:paraId="4EF22939" w14:textId="49908D97" w:rsidR="00C22214" w:rsidRDefault="00C22214" w:rsidP="00B10009">
      <w:r w:rsidRPr="0017005C">
        <w:t xml:space="preserve">Based on a review of quality, safety, and efficacy, the TGA </w:t>
      </w:r>
      <w:r w:rsidR="00B46DFB">
        <w:t>decided to</w:t>
      </w:r>
      <w:r w:rsidRPr="0017005C">
        <w:t xml:space="preserve"> regist</w:t>
      </w:r>
      <w:r w:rsidR="00B46DFB">
        <w:t>er</w:t>
      </w:r>
      <w:r w:rsidR="007628FA" w:rsidRPr="007628FA">
        <w:rPr>
          <w:rFonts w:eastAsia="Cambria" w:cs="Cambria"/>
          <w:sz w:val="21"/>
          <w:szCs w:val="22"/>
          <w:lang w:val="en-US"/>
        </w:rPr>
        <w:t xml:space="preserve"> </w:t>
      </w:r>
      <w:r w:rsidR="007628FA" w:rsidRPr="007628FA">
        <w:rPr>
          <w:lang w:val="en-US"/>
        </w:rPr>
        <w:t>O</w:t>
      </w:r>
      <w:r w:rsidR="007628FA">
        <w:rPr>
          <w:lang w:val="en-US"/>
        </w:rPr>
        <w:t>spomyv</w:t>
      </w:r>
      <w:r w:rsidR="006564AB">
        <w:rPr>
          <w:lang w:val="en-US"/>
        </w:rPr>
        <w:t xml:space="preserve"> </w:t>
      </w:r>
      <w:r w:rsidRPr="0017005C">
        <w:t>(</w:t>
      </w:r>
      <w:r w:rsidR="0069277F">
        <w:t>denosumab</w:t>
      </w:r>
      <w:r w:rsidRPr="0017005C">
        <w:t xml:space="preserve">) </w:t>
      </w:r>
      <w:r w:rsidR="006564AB" w:rsidRPr="006564AB">
        <w:t>60</w:t>
      </w:r>
      <w:r w:rsidR="006564AB">
        <w:t xml:space="preserve"> </w:t>
      </w:r>
      <w:r w:rsidR="006564AB" w:rsidRPr="006564AB">
        <w:t>mg/1</w:t>
      </w:r>
      <w:r w:rsidR="00DD10E8">
        <w:t xml:space="preserve"> </w:t>
      </w:r>
      <w:r w:rsidR="006564AB" w:rsidRPr="006564AB">
        <w:t>mL solution for injection pre-filled syringe</w:t>
      </w:r>
      <w:r w:rsidR="007728A7" w:rsidRPr="007728A7">
        <w:t xml:space="preserve"> and </w:t>
      </w:r>
      <w:r w:rsidR="007728A7" w:rsidRPr="007728A7">
        <w:rPr>
          <w:lang w:val="en-US"/>
        </w:rPr>
        <w:t xml:space="preserve">Xborso </w:t>
      </w:r>
      <w:r w:rsidR="007728A7" w:rsidRPr="007728A7">
        <w:t>(denosumab)</w:t>
      </w:r>
      <w:r w:rsidR="006564AB" w:rsidRPr="006564AB">
        <w:t xml:space="preserve"> 120</w:t>
      </w:r>
      <w:r w:rsidR="007728A7">
        <w:t xml:space="preserve"> </w:t>
      </w:r>
      <w:r w:rsidR="006564AB" w:rsidRPr="006564AB">
        <w:t>mg/1.7</w:t>
      </w:r>
      <w:r w:rsidR="00DD10E8">
        <w:t xml:space="preserve"> </w:t>
      </w:r>
      <w:r w:rsidR="006564AB" w:rsidRPr="006564AB">
        <w:t>mL solution for injection vial</w:t>
      </w:r>
      <w:r w:rsidRPr="0017005C">
        <w:t xml:space="preserve"> indicated for:</w:t>
      </w:r>
    </w:p>
    <w:p w14:paraId="54C44FB4" w14:textId="0A3293A5" w:rsidR="005A6E58" w:rsidRPr="00B10009" w:rsidRDefault="005A6E58" w:rsidP="00B10009">
      <w:pPr>
        <w:rPr>
          <w:i/>
          <w:iCs/>
        </w:rPr>
      </w:pPr>
      <w:r w:rsidRPr="00B10009">
        <w:rPr>
          <w:i/>
          <w:iCs/>
        </w:rPr>
        <w:t xml:space="preserve">The approved indication for OSPYMOV </w:t>
      </w:r>
      <w:proofErr w:type="gramStart"/>
      <w:r w:rsidRPr="00B10009">
        <w:rPr>
          <w:i/>
          <w:iCs/>
        </w:rPr>
        <w:t>are</w:t>
      </w:r>
      <w:proofErr w:type="gramEnd"/>
      <w:r w:rsidRPr="00B10009">
        <w:rPr>
          <w:i/>
          <w:iCs/>
        </w:rPr>
        <w:t>:</w:t>
      </w:r>
    </w:p>
    <w:p w14:paraId="58F51864" w14:textId="6EFC333F" w:rsidR="001F2FAE" w:rsidRPr="00B10009" w:rsidRDefault="00CF177E" w:rsidP="00B10009">
      <w:pPr>
        <w:ind w:left="720"/>
        <w:rPr>
          <w:i/>
          <w:iCs/>
        </w:rPr>
      </w:pPr>
      <w:r w:rsidRPr="00B10009">
        <w:rPr>
          <w:i/>
          <w:iCs/>
        </w:rPr>
        <w:lastRenderedPageBreak/>
        <w:t>The treatment of osteoporosis in postmenopausal women. Ospomyv significantly</w:t>
      </w:r>
      <w:r w:rsidR="00FF20ED" w:rsidRPr="00B10009">
        <w:rPr>
          <w:i/>
          <w:iCs/>
        </w:rPr>
        <w:t xml:space="preserve"> </w:t>
      </w:r>
      <w:r w:rsidRPr="00B10009">
        <w:rPr>
          <w:i/>
          <w:iCs/>
        </w:rPr>
        <w:t>reduces the risk of vertebral, non-vertebral and hip fractures.</w:t>
      </w:r>
      <w:r w:rsidR="001F2FAE" w:rsidRPr="00B10009">
        <w:rPr>
          <w:i/>
          <w:iCs/>
        </w:rPr>
        <w:t xml:space="preserve"> </w:t>
      </w:r>
    </w:p>
    <w:p w14:paraId="70230AAC" w14:textId="16C6B624" w:rsidR="00CF177E" w:rsidRPr="00B10009" w:rsidRDefault="00CF177E" w:rsidP="00B10009">
      <w:pPr>
        <w:ind w:left="720"/>
        <w:rPr>
          <w:i/>
          <w:iCs/>
        </w:rPr>
      </w:pPr>
      <w:r w:rsidRPr="00B10009">
        <w:rPr>
          <w:i/>
          <w:iCs/>
        </w:rPr>
        <w:t>Treatment to increase bone mass in men with osteopaenia receiving androgen</w:t>
      </w:r>
      <w:r w:rsidR="00FF20ED" w:rsidRPr="00B10009">
        <w:rPr>
          <w:i/>
          <w:iCs/>
        </w:rPr>
        <w:t xml:space="preserve"> </w:t>
      </w:r>
      <w:r w:rsidRPr="00B10009">
        <w:rPr>
          <w:i/>
          <w:iCs/>
        </w:rPr>
        <w:t>deprivation therapy for non-metastatic prostate cancer (see section 5.1</w:t>
      </w:r>
      <w:r w:rsidR="00FF20ED" w:rsidRPr="00B10009">
        <w:rPr>
          <w:i/>
          <w:iCs/>
        </w:rPr>
        <w:t xml:space="preserve"> </w:t>
      </w:r>
      <w:r w:rsidRPr="00B10009">
        <w:rPr>
          <w:i/>
          <w:iCs/>
        </w:rPr>
        <w:t>Pharmacodynamic properties, Clinical trials).</w:t>
      </w:r>
    </w:p>
    <w:p w14:paraId="25C2A0DA" w14:textId="77777777" w:rsidR="0077441F" w:rsidRPr="00B10009" w:rsidRDefault="00CF177E" w:rsidP="00B10009">
      <w:pPr>
        <w:ind w:left="720"/>
        <w:rPr>
          <w:i/>
          <w:iCs/>
        </w:rPr>
      </w:pPr>
      <w:r w:rsidRPr="00B10009">
        <w:rPr>
          <w:i/>
          <w:iCs/>
        </w:rPr>
        <w:t xml:space="preserve">Treatment to increase bone mass in men with osteoporosis at increased risk of fracture. </w:t>
      </w:r>
    </w:p>
    <w:p w14:paraId="3B245AB5" w14:textId="4D7865B9" w:rsidR="00C22214" w:rsidRPr="00B10009" w:rsidRDefault="0077441F" w:rsidP="00B10009">
      <w:pPr>
        <w:ind w:left="720"/>
        <w:rPr>
          <w:i/>
          <w:iCs/>
        </w:rPr>
      </w:pPr>
      <w:r w:rsidRPr="00B10009">
        <w:rPr>
          <w:i/>
          <w:iCs/>
        </w:rPr>
        <w:t>T</w:t>
      </w:r>
      <w:r w:rsidR="00CF177E" w:rsidRPr="00B10009">
        <w:rPr>
          <w:i/>
          <w:iCs/>
        </w:rPr>
        <w:t>reatment to increase bone mass in women and men at increased risk of fracture due to</w:t>
      </w:r>
      <w:r w:rsidR="00FF20ED" w:rsidRPr="00B10009">
        <w:rPr>
          <w:i/>
          <w:iCs/>
        </w:rPr>
        <w:t xml:space="preserve"> </w:t>
      </w:r>
      <w:r w:rsidR="00CF177E" w:rsidRPr="00B10009">
        <w:rPr>
          <w:i/>
          <w:iCs/>
        </w:rPr>
        <w:t>long-term systemic glucocorticoid therapy.</w:t>
      </w:r>
    </w:p>
    <w:p w14:paraId="07651CA0" w14:textId="6F5DF352" w:rsidR="0077441F" w:rsidRPr="00B10009" w:rsidRDefault="001F2FAE" w:rsidP="00B10009">
      <w:pPr>
        <w:rPr>
          <w:i/>
          <w:iCs/>
        </w:rPr>
      </w:pPr>
      <w:r w:rsidRPr="00B10009">
        <w:rPr>
          <w:i/>
          <w:iCs/>
        </w:rPr>
        <w:t xml:space="preserve">The approved indication for XBORSO </w:t>
      </w:r>
      <w:proofErr w:type="gramStart"/>
      <w:r w:rsidRPr="00B10009">
        <w:rPr>
          <w:i/>
          <w:iCs/>
        </w:rPr>
        <w:t>are</w:t>
      </w:r>
      <w:proofErr w:type="gramEnd"/>
      <w:r w:rsidRPr="00B10009">
        <w:rPr>
          <w:i/>
          <w:iCs/>
        </w:rPr>
        <w:t>:</w:t>
      </w:r>
    </w:p>
    <w:p w14:paraId="0EA54866" w14:textId="06EED775" w:rsidR="001F2FAE" w:rsidRPr="00B10009" w:rsidRDefault="001F2FAE" w:rsidP="00B10009">
      <w:pPr>
        <w:ind w:left="720"/>
        <w:rPr>
          <w:i/>
          <w:iCs/>
        </w:rPr>
      </w:pPr>
      <w:r w:rsidRPr="00B10009">
        <w:rPr>
          <w:i/>
          <w:iCs/>
        </w:rPr>
        <w:t>Prevention of skeletal related events in patients with multiple myeloma and in patients with bone metastases from solid tumours.</w:t>
      </w:r>
    </w:p>
    <w:p w14:paraId="5B3C5495" w14:textId="1D0FCA99" w:rsidR="001F2FAE" w:rsidRPr="00B10009" w:rsidRDefault="001F2FAE" w:rsidP="00B10009">
      <w:pPr>
        <w:ind w:left="720"/>
        <w:rPr>
          <w:i/>
          <w:iCs/>
        </w:rPr>
      </w:pPr>
      <w:r w:rsidRPr="00B10009">
        <w:rPr>
          <w:i/>
          <w:iCs/>
        </w:rPr>
        <w:t>Treatment of giant cell tumour of bone in adults or skeletally mature adolescents that is recurrent, or unresectable, or resectable but associated with severe morbidity.</w:t>
      </w:r>
    </w:p>
    <w:p w14:paraId="738A7B97" w14:textId="69F1184F" w:rsidR="001F2FAE" w:rsidRPr="00B10009" w:rsidRDefault="001F2FAE" w:rsidP="00B10009">
      <w:pPr>
        <w:ind w:left="720"/>
        <w:rPr>
          <w:i/>
          <w:iCs/>
        </w:rPr>
      </w:pPr>
      <w:r w:rsidRPr="00B10009">
        <w:rPr>
          <w:i/>
          <w:iCs/>
        </w:rPr>
        <w:t>Treatment of hypercalcaemia of malignancy that is refractory to intravenous bisphosphonate.</w:t>
      </w:r>
    </w:p>
    <w:p w14:paraId="0D732DA4" w14:textId="74DDEADA" w:rsidR="00854D98" w:rsidRPr="00D23139" w:rsidRDefault="00854D98" w:rsidP="00B10009">
      <w:pPr>
        <w:pStyle w:val="Heading3"/>
      </w:pPr>
      <w:bookmarkStart w:id="103" w:name="_Toc103679301"/>
      <w:bookmarkStart w:id="104" w:name="_Toc221616621"/>
      <w:r w:rsidRPr="00D23139">
        <w:t xml:space="preserve">Specific conditions of </w:t>
      </w:r>
      <w:r w:rsidRPr="00B10009">
        <w:t>registration</w:t>
      </w:r>
      <w:bookmarkEnd w:id="103"/>
      <w:bookmarkEnd w:id="104"/>
    </w:p>
    <w:p w14:paraId="694564EF" w14:textId="07637259" w:rsidR="00F61C25" w:rsidRPr="00F61C25" w:rsidRDefault="00F61C25" w:rsidP="00B10009">
      <w:pPr>
        <w:pStyle w:val="ListBullet"/>
      </w:pPr>
      <w:r w:rsidRPr="00F61C25">
        <w:t xml:space="preserve">The Ospomyv EU-Risk Management Plan (RMP) version 1.2 </w:t>
      </w:r>
      <w:r w:rsidR="00F67F64">
        <w:t>(</w:t>
      </w:r>
      <w:r w:rsidRPr="00F61C25">
        <w:t>dated 09 October 2024,</w:t>
      </w:r>
      <w:r w:rsidR="00DB2C6F">
        <w:t xml:space="preserve"> </w:t>
      </w:r>
      <w:r w:rsidRPr="00F61C25">
        <w:t>data lock point 24 September 2024), with Australia-</w:t>
      </w:r>
      <w:r w:rsidRPr="00B10009">
        <w:t>Specific</w:t>
      </w:r>
      <w:r w:rsidRPr="00F61C25">
        <w:t xml:space="preserve"> Annex (ASA) version 1.1</w:t>
      </w:r>
      <w:r w:rsidR="00DB2C6F">
        <w:t xml:space="preserve"> (</w:t>
      </w:r>
      <w:r w:rsidRPr="00F61C25">
        <w:t>dated 28 November 2024), and Xborso EU-Risk Management Plan (RMP) version 1.2</w:t>
      </w:r>
      <w:r w:rsidR="00DB2C6F">
        <w:t xml:space="preserve"> (</w:t>
      </w:r>
      <w:r w:rsidRPr="00F61C25">
        <w:t>dated 04 October 2024, data lock point 24 September 2024), with Australia-Specific</w:t>
      </w:r>
      <w:r w:rsidR="00DB2C6F">
        <w:t xml:space="preserve"> </w:t>
      </w:r>
      <w:r w:rsidRPr="00F61C25">
        <w:t>Annex (ASA) version 1.1</w:t>
      </w:r>
      <w:r w:rsidR="00DB2C6F">
        <w:t xml:space="preserve"> (</w:t>
      </w:r>
      <w:r w:rsidRPr="00F61C25">
        <w:t>dated 28 November 2024) included with submission PM-</w:t>
      </w:r>
      <w:r w:rsidR="00DB2C6F">
        <w:t xml:space="preserve"> </w:t>
      </w:r>
      <w:r w:rsidRPr="00F61C25">
        <w:t>2024-01517-1-5, and any subsequent revisions, as agreed with the TGA will be</w:t>
      </w:r>
      <w:r w:rsidR="00DB2C6F">
        <w:t xml:space="preserve"> </w:t>
      </w:r>
      <w:r w:rsidRPr="00F61C25">
        <w:t>implemented in Australia.</w:t>
      </w:r>
    </w:p>
    <w:p w14:paraId="075DAF10" w14:textId="4A60E8F5" w:rsidR="00F61C25" w:rsidRPr="00F61C25" w:rsidRDefault="00F61C25" w:rsidP="00B10009">
      <w:pPr>
        <w:pStyle w:val="ListBullet"/>
      </w:pPr>
      <w:r w:rsidRPr="00F61C25">
        <w:t>This approval does not impose any requirement for the submission of Periodic Safety</w:t>
      </w:r>
      <w:r w:rsidR="00F1150C">
        <w:t xml:space="preserve"> </w:t>
      </w:r>
      <w:r w:rsidRPr="00F61C25">
        <w:t>Update reports</w:t>
      </w:r>
      <w:r w:rsidR="00DD2DC2">
        <w:t xml:space="preserve"> (PSURs)</w:t>
      </w:r>
      <w:r w:rsidRPr="00F61C25">
        <w:t xml:space="preserve">. You are reminded that sections 29A </w:t>
      </w:r>
      <w:r w:rsidRPr="00B10009">
        <w:t>and</w:t>
      </w:r>
      <w:r w:rsidRPr="00F61C25">
        <w:t xml:space="preserve"> 29AA of the Therapeutic</w:t>
      </w:r>
      <w:r w:rsidR="00DD2DC2">
        <w:t xml:space="preserve"> </w:t>
      </w:r>
      <w:r w:rsidRPr="00F61C25">
        <w:t>Goods Act 1989 provide for penalties where there has been failure to inform the</w:t>
      </w:r>
      <w:r w:rsidR="00DD2DC2">
        <w:t xml:space="preserve"> </w:t>
      </w:r>
      <w:r w:rsidRPr="00F61C25">
        <w:t>Secretary in writing, as soon as a person has become aware, of:</w:t>
      </w:r>
    </w:p>
    <w:p w14:paraId="31506174" w14:textId="4B05DCC5" w:rsidR="00F61C25" w:rsidRPr="00B10009" w:rsidRDefault="00F61C25" w:rsidP="00B10009">
      <w:pPr>
        <w:pStyle w:val="ListBullet2"/>
      </w:pPr>
      <w:r w:rsidRPr="00B10009">
        <w:t>information that contradicts information already given by the person under this</w:t>
      </w:r>
      <w:r w:rsidR="00DD2DC2" w:rsidRPr="00B10009">
        <w:t xml:space="preserve"> </w:t>
      </w:r>
      <w:proofErr w:type="gramStart"/>
      <w:r w:rsidRPr="00B10009">
        <w:t>Act;</w:t>
      </w:r>
      <w:proofErr w:type="gramEnd"/>
    </w:p>
    <w:p w14:paraId="5D44EDE9" w14:textId="38674AC8" w:rsidR="00F61C25" w:rsidRPr="00B10009" w:rsidRDefault="00F61C25" w:rsidP="00B10009">
      <w:pPr>
        <w:pStyle w:val="ListBullet2"/>
      </w:pPr>
      <w:r w:rsidRPr="00B10009">
        <w:t>information that indicates that the use of the goods in accordance with the</w:t>
      </w:r>
      <w:r w:rsidR="00540027" w:rsidRPr="00B10009">
        <w:t xml:space="preserve"> </w:t>
      </w:r>
      <w:r w:rsidRPr="00B10009">
        <w:t xml:space="preserve">recommendations for their use may have an unintended harmful </w:t>
      </w:r>
      <w:proofErr w:type="gramStart"/>
      <w:r w:rsidRPr="00B10009">
        <w:t>effect;</w:t>
      </w:r>
      <w:proofErr w:type="gramEnd"/>
    </w:p>
    <w:p w14:paraId="48065BA1" w14:textId="1BB66B86" w:rsidR="00F61C25" w:rsidRPr="00B10009" w:rsidRDefault="00F61C25" w:rsidP="00B10009">
      <w:pPr>
        <w:pStyle w:val="ListBullet2"/>
      </w:pPr>
      <w:r w:rsidRPr="00B10009">
        <w:t>information that indicates that the goods, when used in accordance with the</w:t>
      </w:r>
      <w:r w:rsidR="00540027" w:rsidRPr="00B10009">
        <w:t xml:space="preserve"> </w:t>
      </w:r>
      <w:r w:rsidRPr="00B10009">
        <w:t>recommendations for their use, may not be as effective as the application for</w:t>
      </w:r>
      <w:r w:rsidR="00540027" w:rsidRPr="00B10009">
        <w:t xml:space="preserve"> </w:t>
      </w:r>
      <w:r w:rsidRPr="00B10009">
        <w:t>registration or listing of the goods or information already given by the person</w:t>
      </w:r>
      <w:r w:rsidR="00540027" w:rsidRPr="00B10009">
        <w:t xml:space="preserve"> </w:t>
      </w:r>
      <w:r w:rsidRPr="00B10009">
        <w:t xml:space="preserve">under this Act </w:t>
      </w:r>
      <w:proofErr w:type="gramStart"/>
      <w:r w:rsidRPr="00B10009">
        <w:t>suggests;</w:t>
      </w:r>
      <w:proofErr w:type="gramEnd"/>
    </w:p>
    <w:p w14:paraId="1A549039" w14:textId="62FC49C7" w:rsidR="00F61C25" w:rsidRPr="00B10009" w:rsidRDefault="00F61C25" w:rsidP="00B10009">
      <w:pPr>
        <w:pStyle w:val="ListBullet2"/>
      </w:pPr>
      <w:r w:rsidRPr="00B10009">
        <w:t>information that indicates that the quality, safety or efficacy of the goods is</w:t>
      </w:r>
      <w:r w:rsidR="00F51779" w:rsidRPr="00B10009">
        <w:t xml:space="preserve"> </w:t>
      </w:r>
      <w:r w:rsidRPr="00B10009">
        <w:t>unacceptable.</w:t>
      </w:r>
    </w:p>
    <w:p w14:paraId="392D8B56" w14:textId="61857461" w:rsidR="00F61C25" w:rsidRPr="00B10009" w:rsidRDefault="00F61C25" w:rsidP="00B10009">
      <w:pPr>
        <w:pStyle w:val="ListBullet"/>
        <w:rPr>
          <w:b/>
          <w:bCs/>
        </w:rPr>
      </w:pPr>
      <w:r w:rsidRPr="00B10009">
        <w:rPr>
          <w:b/>
          <w:bCs/>
        </w:rPr>
        <w:t>Laboratory testing &amp; compliance with Certified Product Details (CPD)</w:t>
      </w:r>
    </w:p>
    <w:p w14:paraId="6C3A5432" w14:textId="5689BB1F" w:rsidR="00F61C25" w:rsidRPr="00F61C25" w:rsidRDefault="00F61C25" w:rsidP="00222071">
      <w:pPr>
        <w:pStyle w:val="Numberbullet2"/>
      </w:pPr>
      <w:r w:rsidRPr="00F61C25">
        <w:t>All batches of Ospomyv (denosumab) 60 mg/1.0 mL solution for injection in prefilled</w:t>
      </w:r>
      <w:r w:rsidR="00222071">
        <w:t xml:space="preserve"> </w:t>
      </w:r>
      <w:r w:rsidRPr="00F61C25">
        <w:t>syringe and Xborso (denosumab) 120 mg/1.7 mL solution for injection vial</w:t>
      </w:r>
      <w:r w:rsidR="00222071">
        <w:t xml:space="preserve"> </w:t>
      </w:r>
      <w:r w:rsidRPr="00F61C25">
        <w:t>supplied in Australia must comply with the product details and specifications</w:t>
      </w:r>
      <w:r w:rsidR="00222071">
        <w:t xml:space="preserve"> </w:t>
      </w:r>
      <w:r w:rsidRPr="00F61C25">
        <w:t>approved during evaluation and detailed in the Certified Product Details (CPD).</w:t>
      </w:r>
    </w:p>
    <w:p w14:paraId="06C29D78" w14:textId="0AF5FEBE" w:rsidR="00F61C25" w:rsidRDefault="00F61C25" w:rsidP="00D97D11">
      <w:pPr>
        <w:pStyle w:val="Numberbullet2"/>
      </w:pPr>
      <w:r w:rsidRPr="00F61C25">
        <w:t>When requested by the TGA, the Sponsor should be prepared to provide product</w:t>
      </w:r>
      <w:r w:rsidR="00222071">
        <w:t xml:space="preserve"> </w:t>
      </w:r>
      <w:r w:rsidRPr="00F61C25">
        <w:t>samples, specified reference materials and documentary evidence to enable the TGA to</w:t>
      </w:r>
      <w:r w:rsidR="00222071">
        <w:t xml:space="preserve"> </w:t>
      </w:r>
      <w:r w:rsidRPr="00F61C25">
        <w:lastRenderedPageBreak/>
        <w:t>conduct laboratory testing on the Product. Outcomes of laboratory testing are</w:t>
      </w:r>
      <w:r w:rsidR="00222071">
        <w:t xml:space="preserve"> </w:t>
      </w:r>
      <w:r w:rsidRPr="00F61C25">
        <w:t>published biannually in the TGA Database of Laboratory Testing Results</w:t>
      </w:r>
      <w:r w:rsidR="00222071">
        <w:t xml:space="preserve"> </w:t>
      </w:r>
      <w:hyperlink r:id="rId44" w:history="1">
        <w:r w:rsidR="00B10009" w:rsidRPr="008B184A">
          <w:rPr>
            <w:rStyle w:val="Hyperlink"/>
          </w:rPr>
          <w:t>https://www.tga.gov.au/resources/publication/tga-laboratory-testing-reports</w:t>
        </w:r>
      </w:hyperlink>
      <w:r w:rsidR="00B10009">
        <w:t xml:space="preserve"> </w:t>
      </w:r>
      <w:r w:rsidRPr="00F61C25">
        <w:t>and periodically in testing reports on the TGA</w:t>
      </w:r>
      <w:r w:rsidR="00222071">
        <w:t xml:space="preserve"> </w:t>
      </w:r>
      <w:r w:rsidRPr="00F61C25">
        <w:t>website.</w:t>
      </w:r>
    </w:p>
    <w:p w14:paraId="3685E010" w14:textId="370C9D8E" w:rsidR="0030788C" w:rsidRPr="00F61C25" w:rsidRDefault="0030788C" w:rsidP="0030788C">
      <w:pPr>
        <w:pStyle w:val="ListBullet"/>
      </w:pPr>
      <w:r w:rsidRPr="00F61C25">
        <w:t>The actual date of commencement of supply is to be notified to the Branch Head,</w:t>
      </w:r>
      <w:r>
        <w:t xml:space="preserve"> </w:t>
      </w:r>
      <w:r w:rsidRPr="00F61C25">
        <w:t>Prescription Medicines Authorisation Branch, TGA. Should it be decided not to proceed</w:t>
      </w:r>
      <w:r>
        <w:t xml:space="preserve"> </w:t>
      </w:r>
      <w:r w:rsidRPr="00F61C25">
        <w:t>to supply, notification to this effect should be provided.</w:t>
      </w:r>
    </w:p>
    <w:p w14:paraId="731FB7FE" w14:textId="2B54CD56" w:rsidR="00F61C25" w:rsidRPr="00D97D11" w:rsidRDefault="00F61C25" w:rsidP="00D97D11">
      <w:pPr>
        <w:pStyle w:val="ListBullet"/>
        <w:rPr>
          <w:b/>
          <w:bCs/>
        </w:rPr>
      </w:pPr>
      <w:r w:rsidRPr="00D97D11">
        <w:rPr>
          <w:b/>
          <w:bCs/>
        </w:rPr>
        <w:t>Certified Product Details</w:t>
      </w:r>
    </w:p>
    <w:p w14:paraId="3460B939" w14:textId="245D4924" w:rsidR="00F61C25" w:rsidRPr="00F61C25" w:rsidRDefault="00F61C25" w:rsidP="00F61C25">
      <w:r w:rsidRPr="00F61C25">
        <w:t>The Certified Product Details (CPD), as described in Guidance 7: Certified Product</w:t>
      </w:r>
      <w:r w:rsidR="00D97D11">
        <w:t xml:space="preserve"> </w:t>
      </w:r>
      <w:r w:rsidRPr="00F61C25">
        <w:t>Details of the Australian Regulatory Guidelines for Prescription Medicines (ARGPM), in</w:t>
      </w:r>
      <w:r w:rsidR="00D97D11">
        <w:t xml:space="preserve"> </w:t>
      </w:r>
      <w:r w:rsidRPr="00F61C25">
        <w:t>PDF format, for the above products should be provided upon registration of these</w:t>
      </w:r>
      <w:r w:rsidR="00D97D11">
        <w:t xml:space="preserve"> </w:t>
      </w:r>
      <w:r w:rsidRPr="00F61C25">
        <w:t>therapeutic goods. In addition, an updated CPD should be provided when changes to</w:t>
      </w:r>
      <w:r w:rsidR="00D97D11">
        <w:t xml:space="preserve"> </w:t>
      </w:r>
      <w:r w:rsidRPr="00F61C25">
        <w:t>finished product specifications and test methods are approved in a Category 3</w:t>
      </w:r>
      <w:r w:rsidR="00D97D11">
        <w:t xml:space="preserve"> </w:t>
      </w:r>
      <w:r w:rsidRPr="00F61C25">
        <w:t>application or notified through a self-assessable change.</w:t>
      </w:r>
    </w:p>
    <w:p w14:paraId="4129F92C" w14:textId="5BF3BF6C" w:rsidR="00F61C25" w:rsidRPr="00F61C25" w:rsidRDefault="00F61C25" w:rsidP="00F61C25">
      <w:r w:rsidRPr="00F61C25">
        <w:t>A template for preparation of CPD for biological prescription medicines can be</w:t>
      </w:r>
      <w:r w:rsidR="00D97D11">
        <w:t xml:space="preserve"> </w:t>
      </w:r>
      <w:r w:rsidRPr="00F61C25">
        <w:t>obtained from the TGA website</w:t>
      </w:r>
      <w:r w:rsidR="00D97D11">
        <w:t xml:space="preserve"> </w:t>
      </w:r>
      <w:r w:rsidRPr="00F61C25">
        <w:t xml:space="preserve">[for the form] </w:t>
      </w:r>
      <w:hyperlink r:id="rId45" w:history="1">
        <w:r w:rsidR="00E06494" w:rsidRPr="00F61C25">
          <w:rPr>
            <w:rStyle w:val="Hyperlink"/>
          </w:rPr>
          <w:t>https://www.tga.gov.au/form/certified-product-details-cpd-biologicalprescription-medicines</w:t>
        </w:r>
      </w:hyperlink>
      <w:r w:rsidR="00E06494">
        <w:t xml:space="preserve"> </w:t>
      </w:r>
      <w:r w:rsidRPr="00F61C25">
        <w:t xml:space="preserve">[for the CPD guidance] </w:t>
      </w:r>
      <w:hyperlink r:id="rId46" w:history="1">
        <w:r w:rsidR="00E06494" w:rsidRPr="00F61C25">
          <w:rPr>
            <w:rStyle w:val="Hyperlink"/>
          </w:rPr>
          <w:t>https://www.tga.gov.au/guidance-7-certified-product-details</w:t>
        </w:r>
      </w:hyperlink>
      <w:r w:rsidR="00E06494">
        <w:t xml:space="preserve"> </w:t>
      </w:r>
    </w:p>
    <w:p w14:paraId="268763B5" w14:textId="60370367" w:rsidR="00F61C25" w:rsidRPr="00F61C25" w:rsidRDefault="00F61C25" w:rsidP="004B3669">
      <w:pPr>
        <w:pStyle w:val="ListBullet"/>
      </w:pPr>
      <w:r w:rsidRPr="00F61C25">
        <w:t>It is a specific condition of registration for biosimilar medicines that the Product</w:t>
      </w:r>
      <w:r w:rsidR="00E06494">
        <w:t xml:space="preserve"> </w:t>
      </w:r>
      <w:r w:rsidRPr="00F61C25">
        <w:t>Information and Consumer Medicine Information documents be updated within ONE</w:t>
      </w:r>
      <w:r w:rsidR="00E06494">
        <w:t xml:space="preserve"> </w:t>
      </w:r>
      <w:r w:rsidRPr="00F61C25">
        <w:t>month of safety-related changes made by the reference product. It is your</w:t>
      </w:r>
      <w:r w:rsidR="00E06494">
        <w:t xml:space="preserve"> </w:t>
      </w:r>
      <w:r w:rsidRPr="00F61C25">
        <w:t>responsibility to routinely check the TGA website at www.ebs.tga.gov.au for any</w:t>
      </w:r>
      <w:r w:rsidR="00E06494">
        <w:t xml:space="preserve"> </w:t>
      </w:r>
      <w:r w:rsidRPr="00F61C25">
        <w:t>updates to the innovator Product Information.</w:t>
      </w:r>
    </w:p>
    <w:p w14:paraId="0F9C1952" w14:textId="46BD475E" w:rsidR="00BA657C" w:rsidRPr="00BA657C" w:rsidRDefault="00BA657C" w:rsidP="004D4AD5">
      <w:pPr>
        <w:pStyle w:val="Heading3"/>
      </w:pPr>
      <w:bookmarkStart w:id="105" w:name="_Toc221616622"/>
      <w:bookmarkStart w:id="106" w:name="_Toc196738290"/>
      <w:r w:rsidRPr="00BA657C">
        <w:t>Product Information and Consumer Medicine Information</w:t>
      </w:r>
      <w:bookmarkEnd w:id="105"/>
      <w:r w:rsidRPr="00BA657C">
        <w:t xml:space="preserve"> </w:t>
      </w:r>
      <w:bookmarkEnd w:id="106"/>
    </w:p>
    <w:p w14:paraId="5F276616" w14:textId="6667B73D" w:rsidR="004D0933" w:rsidRPr="004D0933" w:rsidRDefault="004D0933" w:rsidP="004D0933">
      <w:bookmarkStart w:id="107" w:name="_Hlk200021736"/>
      <w:r w:rsidRPr="004D0933">
        <w:t xml:space="preserve">For the most recent Product Information (PI) and Consumer Medicine Information (CMI), please refer to the TGA </w:t>
      </w:r>
      <w:hyperlink r:id="rId47" w:history="1">
        <w:r w:rsidRPr="004D0933">
          <w:rPr>
            <w:rStyle w:val="Hyperlink"/>
          </w:rPr>
          <w:t>PI/CMI search facility.</w:t>
        </w:r>
      </w:hyperlink>
    </w:p>
    <w:bookmarkEnd w:id="107"/>
    <w:p w14:paraId="53357BF3" w14:textId="276457B5" w:rsidR="00C22214" w:rsidRDefault="00C22214" w:rsidP="00C22214">
      <w:pPr>
        <w:rPr>
          <w:lang w:eastAsia="ja-JP"/>
        </w:rPr>
        <w:sectPr w:rsidR="00C22214" w:rsidSect="007452E8">
          <w:headerReference w:type="default" r:id="rId48"/>
          <w:footerReference w:type="default" r:id="rId49"/>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7"/>
          <w:bookmarkEnd w:id="8"/>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50"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51" w:history="1">
              <w:r w:rsidRPr="00C4721A">
                <w:rPr>
                  <w:rStyle w:val="Hyperlink"/>
                  <w:b/>
                </w:rPr>
                <w:t>https://www.tga.gov.au</w:t>
              </w:r>
            </w:hyperlink>
          </w:p>
        </w:tc>
      </w:tr>
    </w:tbl>
    <w:p w14:paraId="788B80FD" w14:textId="77777777" w:rsidR="007452E8" w:rsidRDefault="007452E8"/>
    <w:sectPr w:rsidR="007452E8" w:rsidSect="007452E8">
      <w:headerReference w:type="first" r:id="rId52"/>
      <w:footerReference w:type="first" r:id="rId53"/>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2D91F" w14:textId="77777777" w:rsidR="005C5447" w:rsidRDefault="005C5447" w:rsidP="00F02AEC">
      <w:pPr>
        <w:spacing w:after="0" w:line="240" w:lineRule="auto"/>
      </w:pPr>
      <w:r>
        <w:separator/>
      </w:r>
    </w:p>
  </w:endnote>
  <w:endnote w:type="continuationSeparator" w:id="0">
    <w:p w14:paraId="530C7A3A" w14:textId="77777777" w:rsidR="005C5447" w:rsidRDefault="005C5447" w:rsidP="00F02AEC">
      <w:pPr>
        <w:spacing w:after="0" w:line="240" w:lineRule="auto"/>
      </w:pPr>
      <w:r>
        <w:continuationSeparator/>
      </w:r>
    </w:p>
  </w:endnote>
  <w:endnote w:type="continuationNotice" w:id="1">
    <w:p w14:paraId="17B84D29" w14:textId="77777777" w:rsidR="005C5447" w:rsidRDefault="005C54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AA0F23">
                <w:fldChar w:fldCharType="begin"/>
              </w:r>
              <w:r w:rsidR="00AA0F23">
                <w:instrText xml:space="preserve"> NUMPAGES  </w:instrText>
              </w:r>
              <w:r w:rsidR="00AA0F23">
                <w:fldChar w:fldCharType="separate"/>
              </w:r>
              <w:r>
                <w:rPr>
                  <w:noProof/>
                </w:rPr>
                <w:t>2</w:t>
              </w:r>
              <w:r w:rsidR="00AA0F23">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proofErr w:type="spellStart"/>
          <w:r w:rsidRPr="00257138">
            <w:t>V1.0</w:t>
          </w:r>
          <w:proofErr w:type="spellEnd"/>
          <w:r w:rsidRPr="00257138">
            <w:t xml:space="preserve">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45C2C236" w:rsidR="007452E8" w:rsidRPr="004A3084" w:rsidRDefault="007452E8" w:rsidP="007452E8">
          <w:pPr>
            <w:pStyle w:val="Footer"/>
          </w:pPr>
          <w:proofErr w:type="spellStart"/>
          <w:r w:rsidRPr="00487162">
            <w:t>AusPA</w:t>
          </w:r>
          <w:r>
            <w:t>R</w:t>
          </w:r>
          <w:proofErr w:type="spellEnd"/>
          <w:r>
            <w:t xml:space="preserve"> </w:t>
          </w:r>
          <w:r w:rsidR="00664BBB">
            <w:t>–</w:t>
          </w:r>
          <w:r>
            <w:t xml:space="preserve"> </w:t>
          </w:r>
          <w:proofErr w:type="spellStart"/>
          <w:r w:rsidR="00664BBB">
            <w:t>Ospomyv</w:t>
          </w:r>
          <w:proofErr w:type="spellEnd"/>
          <w:r w:rsidR="00664BBB">
            <w:t xml:space="preserve"> and </w:t>
          </w:r>
          <w:proofErr w:type="spellStart"/>
          <w:r w:rsidR="00664BBB">
            <w:t>Xborso</w:t>
          </w:r>
          <w:proofErr w:type="spellEnd"/>
          <w:r>
            <w:t xml:space="preserve"> -</w:t>
          </w:r>
          <w:r w:rsidRPr="00460036">
            <w:t xml:space="preserve"> </w:t>
          </w:r>
          <w:r w:rsidR="00A93106">
            <w:t>denosumab</w:t>
          </w:r>
          <w:r w:rsidRPr="00460036">
            <w:t xml:space="preserve"> </w:t>
          </w:r>
          <w:r w:rsidR="00A93106">
            <w:t>–</w:t>
          </w:r>
          <w:r>
            <w:t xml:space="preserve"> S</w:t>
          </w:r>
          <w:r w:rsidR="00A93106">
            <w:t xml:space="preserve">amsung </w:t>
          </w:r>
          <w:proofErr w:type="spellStart"/>
          <w:r w:rsidR="00A93106">
            <w:t>Bioe</w:t>
          </w:r>
          <w:r w:rsidR="00871781">
            <w:t>pis</w:t>
          </w:r>
          <w:proofErr w:type="spellEnd"/>
          <w:r w:rsidR="00871781">
            <w:t xml:space="preserve"> AU Pty Ltd</w:t>
          </w:r>
          <w:r>
            <w:t xml:space="preserve"> - PM-202</w:t>
          </w:r>
          <w:r w:rsidR="00871781">
            <w:t>4</w:t>
          </w:r>
          <w:r w:rsidRPr="00487162">
            <w:t>-</w:t>
          </w:r>
          <w:r w:rsidR="00871781">
            <w:t>01517</w:t>
          </w:r>
          <w:r w:rsidRPr="00487162">
            <w:t>-</w:t>
          </w:r>
          <w:r w:rsidR="00871781">
            <w:t>1</w:t>
          </w:r>
          <w:r w:rsidRPr="00487162">
            <w:t>-</w:t>
          </w:r>
          <w:r w:rsidR="00871781">
            <w:t>5</w:t>
          </w:r>
          <w:r>
            <w:br/>
          </w:r>
          <w:r w:rsidR="000935BB">
            <w:t xml:space="preserve">Final </w:t>
          </w:r>
          <w:r w:rsidR="00352EA2">
            <w:t>5 February 2026</w:t>
          </w:r>
          <w:r w:rsidRPr="00487162">
            <w:t xml:space="preserve"> </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AA0F23">
                <w:fldChar w:fldCharType="begin"/>
              </w:r>
              <w:r w:rsidR="00AA0F23">
                <w:instrText xml:space="preserve"> NUMPAGES  </w:instrText>
              </w:r>
              <w:r w:rsidR="00AA0F23">
                <w:fldChar w:fldCharType="separate"/>
              </w:r>
              <w:r w:rsidR="006D6B44">
                <w:rPr>
                  <w:noProof/>
                </w:rPr>
                <w:t>17</w:t>
              </w:r>
              <w:r w:rsidR="00AA0F23">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DFB94" w14:textId="77777777" w:rsidR="005C5447" w:rsidRDefault="005C5447" w:rsidP="00F02AEC">
      <w:pPr>
        <w:spacing w:after="0" w:line="240" w:lineRule="auto"/>
      </w:pPr>
      <w:r>
        <w:separator/>
      </w:r>
    </w:p>
  </w:footnote>
  <w:footnote w:type="continuationSeparator" w:id="0">
    <w:p w14:paraId="212EB277" w14:textId="77777777" w:rsidR="005C5447" w:rsidRDefault="005C5447" w:rsidP="00F02AEC">
      <w:pPr>
        <w:spacing w:after="0" w:line="240" w:lineRule="auto"/>
      </w:pPr>
      <w:r>
        <w:continuationSeparator/>
      </w:r>
    </w:p>
  </w:footnote>
  <w:footnote w:type="continuationNotice" w:id="1">
    <w:p w14:paraId="567F8D84" w14:textId="77777777" w:rsidR="005C5447" w:rsidRDefault="005C5447">
      <w:pPr>
        <w:spacing w:after="0" w:line="240" w:lineRule="auto"/>
      </w:pPr>
    </w:p>
  </w:footnote>
  <w:footnote w:id="2">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3">
    <w:p w14:paraId="08A7AC45" w14:textId="3BD2227A" w:rsidR="0096372A" w:rsidRDefault="0096372A">
      <w:pPr>
        <w:pStyle w:val="FootnoteText"/>
      </w:pPr>
      <w:r>
        <w:rPr>
          <w:rStyle w:val="FootnoteReference"/>
        </w:rPr>
        <w:footnoteRef/>
      </w:r>
      <w:r>
        <w:t xml:space="preserve"> </w:t>
      </w:r>
      <w:r w:rsidRPr="0096372A">
        <w:t xml:space="preserve">AusPAR for Denosumab - Prolia – (2019) </w:t>
      </w:r>
      <w:hyperlink r:id="rId1" w:history="1">
        <w:r w:rsidRPr="0096372A">
          <w:rPr>
            <w:rStyle w:val="Hyperlink"/>
          </w:rPr>
          <w:t>Australian Public Assessment Report for Denosumab</w:t>
        </w:r>
      </w:hyperlink>
    </w:p>
  </w:footnote>
  <w:footnote w:id="4">
    <w:p w14:paraId="7CE83904" w14:textId="275EAB1A" w:rsidR="0096372A" w:rsidRDefault="0096372A">
      <w:pPr>
        <w:pStyle w:val="FootnoteText"/>
      </w:pPr>
      <w:r>
        <w:rPr>
          <w:rStyle w:val="FootnoteReference"/>
        </w:rPr>
        <w:footnoteRef/>
      </w:r>
      <w:r>
        <w:t xml:space="preserve"> </w:t>
      </w:r>
      <w:r w:rsidRPr="0096372A">
        <w:t xml:space="preserve">AusPAR for Denosumab – Xgeva (2011) </w:t>
      </w:r>
      <w:hyperlink r:id="rId2" w:history="1">
        <w:r w:rsidRPr="0096372A">
          <w:rPr>
            <w:rStyle w:val="Hyperlink"/>
          </w:rPr>
          <w:t>Australian Public Assessment Report for Denosumab</w:t>
        </w:r>
      </w:hyperlink>
    </w:p>
  </w:footnote>
  <w:footnote w:id="5">
    <w:p w14:paraId="35576B54" w14:textId="02517098" w:rsidR="00392B7D" w:rsidRDefault="00392B7D">
      <w:pPr>
        <w:pStyle w:val="FootnoteText"/>
      </w:pPr>
      <w:r>
        <w:rPr>
          <w:rStyle w:val="FootnoteReference"/>
        </w:rPr>
        <w:footnoteRef/>
      </w:r>
      <w:r>
        <w:t xml:space="preserve"> </w:t>
      </w:r>
      <w:r w:rsidRPr="00392B7D">
        <w:t xml:space="preserve">Langdahl, B., Chung, Y. S., Plebanski, R., Czerwinski, E., </w:t>
      </w:r>
      <w:r w:rsidRPr="00392B7D">
        <w:t>Dokoupilova, E., Supronik, J., Rosa, J., Mydlak, A., Rowińska-Osuch, A., Baek, K. H., Urboniene, A., Mordaka, R., Ahn, S., Rho, Y. H., Ban, J., &amp; Eastell, R. (2025). Proposed Denosumab Biosimilar SB16 vs Reference Denosumab in Postmenopausal Osteoporosis: Phase 3 Results Up to Month 12. </w:t>
      </w:r>
      <w:r w:rsidRPr="00392B7D">
        <w:rPr>
          <w:i/>
          <w:iCs/>
        </w:rPr>
        <w:t>The Journal of clinical endocrinology and metabolism</w:t>
      </w:r>
      <w:r w:rsidRPr="00392B7D">
        <w:t>, </w:t>
      </w:r>
      <w:r w:rsidRPr="00392B7D">
        <w:rPr>
          <w:i/>
          <w:iCs/>
        </w:rPr>
        <w:t>110</w:t>
      </w:r>
      <w:r w:rsidRPr="00392B7D">
        <w:t xml:space="preserve">(6), e1951–e1958. </w:t>
      </w:r>
      <w:hyperlink r:id="rId3" w:history="1">
        <w:r w:rsidRPr="00923A7C">
          <w:rPr>
            <w:rStyle w:val="Hyperlink"/>
          </w:rPr>
          <w:t>https://doi.org/10.1210/clinem/dgae611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D11090"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A60AF"/>
    <w:multiLevelType w:val="hybridMultilevel"/>
    <w:tmpl w:val="AD6C8892"/>
    <w:lvl w:ilvl="0" w:tplc="D7F434C8">
      <w:numFmt w:val="bullet"/>
      <w:lvlText w:val=""/>
      <w:lvlJc w:val="left"/>
      <w:pPr>
        <w:ind w:left="667" w:hanging="361"/>
      </w:pPr>
      <w:rPr>
        <w:rFonts w:ascii="Symbol" w:eastAsia="Symbol" w:hAnsi="Symbol" w:cs="Symbol" w:hint="default"/>
        <w:b w:val="0"/>
        <w:bCs w:val="0"/>
        <w:i w:val="0"/>
        <w:iCs w:val="0"/>
        <w:spacing w:val="0"/>
        <w:w w:val="100"/>
        <w:sz w:val="22"/>
        <w:szCs w:val="22"/>
        <w:lang w:val="en-US" w:eastAsia="en-US" w:bidi="ar-SA"/>
      </w:rPr>
    </w:lvl>
    <w:lvl w:ilvl="1" w:tplc="43184FC6">
      <w:numFmt w:val="bullet"/>
      <w:lvlText w:val=""/>
      <w:lvlJc w:val="left"/>
      <w:pPr>
        <w:ind w:left="1027" w:hanging="361"/>
      </w:pPr>
      <w:rPr>
        <w:rFonts w:ascii="Symbol" w:eastAsia="Symbol" w:hAnsi="Symbol" w:cs="Symbol" w:hint="default"/>
        <w:b w:val="0"/>
        <w:bCs w:val="0"/>
        <w:i w:val="0"/>
        <w:iCs w:val="0"/>
        <w:spacing w:val="0"/>
        <w:w w:val="100"/>
        <w:sz w:val="22"/>
        <w:szCs w:val="22"/>
        <w:lang w:val="en-US" w:eastAsia="en-US" w:bidi="ar-SA"/>
      </w:rPr>
    </w:lvl>
    <w:lvl w:ilvl="2" w:tplc="B67A071A">
      <w:numFmt w:val="bullet"/>
      <w:lvlText w:val="•"/>
      <w:lvlJc w:val="left"/>
      <w:pPr>
        <w:ind w:left="2040" w:hanging="361"/>
      </w:pPr>
      <w:rPr>
        <w:rFonts w:hint="default"/>
        <w:lang w:val="en-US" w:eastAsia="en-US" w:bidi="ar-SA"/>
      </w:rPr>
    </w:lvl>
    <w:lvl w:ilvl="3" w:tplc="CB24B620">
      <w:numFmt w:val="bullet"/>
      <w:lvlText w:val="•"/>
      <w:lvlJc w:val="left"/>
      <w:pPr>
        <w:ind w:left="3061" w:hanging="361"/>
      </w:pPr>
      <w:rPr>
        <w:rFonts w:hint="default"/>
        <w:lang w:val="en-US" w:eastAsia="en-US" w:bidi="ar-SA"/>
      </w:rPr>
    </w:lvl>
    <w:lvl w:ilvl="4" w:tplc="6B16C51A">
      <w:numFmt w:val="bullet"/>
      <w:lvlText w:val="•"/>
      <w:lvlJc w:val="left"/>
      <w:pPr>
        <w:ind w:left="4082" w:hanging="361"/>
      </w:pPr>
      <w:rPr>
        <w:rFonts w:hint="default"/>
        <w:lang w:val="en-US" w:eastAsia="en-US" w:bidi="ar-SA"/>
      </w:rPr>
    </w:lvl>
    <w:lvl w:ilvl="5" w:tplc="05B674CC">
      <w:numFmt w:val="bullet"/>
      <w:lvlText w:val="•"/>
      <w:lvlJc w:val="left"/>
      <w:pPr>
        <w:ind w:left="5103" w:hanging="361"/>
      </w:pPr>
      <w:rPr>
        <w:rFonts w:hint="default"/>
        <w:lang w:val="en-US" w:eastAsia="en-US" w:bidi="ar-SA"/>
      </w:rPr>
    </w:lvl>
    <w:lvl w:ilvl="6" w:tplc="5A8618B6">
      <w:numFmt w:val="bullet"/>
      <w:lvlText w:val="•"/>
      <w:lvlJc w:val="left"/>
      <w:pPr>
        <w:ind w:left="6124" w:hanging="361"/>
      </w:pPr>
      <w:rPr>
        <w:rFonts w:hint="default"/>
        <w:lang w:val="en-US" w:eastAsia="en-US" w:bidi="ar-SA"/>
      </w:rPr>
    </w:lvl>
    <w:lvl w:ilvl="7" w:tplc="48F8E53A">
      <w:numFmt w:val="bullet"/>
      <w:lvlText w:val="•"/>
      <w:lvlJc w:val="left"/>
      <w:pPr>
        <w:ind w:left="7144" w:hanging="361"/>
      </w:pPr>
      <w:rPr>
        <w:rFonts w:hint="default"/>
        <w:lang w:val="en-US" w:eastAsia="en-US" w:bidi="ar-SA"/>
      </w:rPr>
    </w:lvl>
    <w:lvl w:ilvl="8" w:tplc="83AE4370">
      <w:numFmt w:val="bullet"/>
      <w:lvlText w:val="•"/>
      <w:lvlJc w:val="left"/>
      <w:pPr>
        <w:ind w:left="8165" w:hanging="361"/>
      </w:pPr>
      <w:rPr>
        <w:rFonts w:hint="default"/>
        <w:lang w:val="en-US" w:eastAsia="en-US" w:bidi="ar-SA"/>
      </w:rPr>
    </w:lvl>
  </w:abstractNum>
  <w:abstractNum w:abstractNumId="1" w15:restartNumberingAfterBreak="0">
    <w:nsid w:val="0E8E1055"/>
    <w:multiLevelType w:val="multilevel"/>
    <w:tmpl w:val="6A325F9A"/>
    <w:lvl w:ilvl="0">
      <w:start w:val="1"/>
      <w:numFmt w:val="decimal"/>
      <w:lvlText w:val="%1."/>
      <w:lvlJc w:val="left"/>
      <w:pPr>
        <w:ind w:left="873" w:hanging="567"/>
      </w:pPr>
      <w:rPr>
        <w:rFonts w:ascii="Arial" w:eastAsia="Arial" w:hAnsi="Arial" w:cs="Arial" w:hint="default"/>
        <w:b/>
        <w:bCs/>
        <w:i w:val="0"/>
        <w:iCs w:val="0"/>
        <w:color w:val="006FB5"/>
        <w:spacing w:val="0"/>
        <w:w w:val="99"/>
        <w:sz w:val="32"/>
        <w:szCs w:val="32"/>
        <w:lang w:val="en-US" w:eastAsia="en-US" w:bidi="ar-SA"/>
      </w:rPr>
    </w:lvl>
    <w:lvl w:ilvl="1">
      <w:start w:val="1"/>
      <w:numFmt w:val="decimal"/>
      <w:lvlText w:val="%1.%2."/>
      <w:lvlJc w:val="left"/>
      <w:pPr>
        <w:ind w:left="1442" w:hanging="1023"/>
      </w:pPr>
      <w:rPr>
        <w:rFonts w:ascii="Arial" w:eastAsia="Arial" w:hAnsi="Arial" w:cs="Arial" w:hint="default"/>
        <w:b/>
        <w:bCs/>
        <w:i w:val="0"/>
        <w:iCs w:val="0"/>
        <w:spacing w:val="-1"/>
        <w:w w:val="99"/>
        <w:sz w:val="26"/>
        <w:szCs w:val="26"/>
        <w:lang w:val="en-US" w:eastAsia="en-US" w:bidi="ar-SA"/>
      </w:rPr>
    </w:lvl>
    <w:lvl w:ilvl="2">
      <w:start w:val="1"/>
      <w:numFmt w:val="decimal"/>
      <w:lvlText w:val="%1.%2.%3."/>
      <w:lvlJc w:val="left"/>
      <w:pPr>
        <w:ind w:left="1439" w:hanging="963"/>
      </w:pPr>
      <w:rPr>
        <w:rFonts w:ascii="Cambria" w:eastAsia="Cambria" w:hAnsi="Cambria" w:cs="Cambria" w:hint="default"/>
        <w:b/>
        <w:bCs/>
        <w:i w:val="0"/>
        <w:iCs w:val="0"/>
        <w:spacing w:val="-4"/>
        <w:w w:val="100"/>
        <w:sz w:val="22"/>
        <w:szCs w:val="22"/>
        <w:lang w:val="en-US" w:eastAsia="en-US" w:bidi="ar-SA"/>
      </w:rPr>
    </w:lvl>
    <w:lvl w:ilvl="3">
      <w:start w:val="1"/>
      <w:numFmt w:val="decimal"/>
      <w:lvlText w:val="%1.%2.%3.%4."/>
      <w:lvlJc w:val="left"/>
      <w:pPr>
        <w:ind w:left="1725" w:hanging="1191"/>
      </w:pPr>
      <w:rPr>
        <w:rFonts w:ascii="Cambria" w:eastAsia="Cambria" w:hAnsi="Cambria" w:cs="Cambria" w:hint="default"/>
        <w:b/>
        <w:bCs/>
        <w:i/>
        <w:iCs/>
        <w:spacing w:val="-2"/>
        <w:w w:val="100"/>
        <w:sz w:val="22"/>
        <w:szCs w:val="22"/>
        <w:lang w:val="en-US" w:eastAsia="en-US" w:bidi="ar-SA"/>
      </w:rPr>
    </w:lvl>
    <w:lvl w:ilvl="4">
      <w:start w:val="1"/>
      <w:numFmt w:val="decimal"/>
      <w:lvlText w:val="%5."/>
      <w:lvlJc w:val="left"/>
      <w:pPr>
        <w:ind w:left="1027" w:hanging="361"/>
      </w:pPr>
      <w:rPr>
        <w:rFonts w:ascii="Cambria" w:eastAsia="Cambria" w:hAnsi="Cambria" w:cs="Cambria" w:hint="default"/>
        <w:b w:val="0"/>
        <w:bCs w:val="0"/>
        <w:i w:val="0"/>
        <w:iCs w:val="0"/>
        <w:spacing w:val="0"/>
        <w:w w:val="100"/>
        <w:sz w:val="22"/>
        <w:szCs w:val="22"/>
        <w:lang w:val="en-US" w:eastAsia="en-US" w:bidi="ar-SA"/>
      </w:rPr>
    </w:lvl>
    <w:lvl w:ilvl="5">
      <w:start w:val="1"/>
      <w:numFmt w:val="decimal"/>
      <w:lvlText w:val="%6."/>
      <w:lvlJc w:val="left"/>
      <w:pPr>
        <w:ind w:left="1027" w:hanging="361"/>
      </w:pPr>
      <w:rPr>
        <w:rFonts w:ascii="Cambria" w:eastAsia="Cambria" w:hAnsi="Cambria" w:cs="Cambria" w:hint="default"/>
        <w:b w:val="0"/>
        <w:bCs w:val="0"/>
        <w:i w:val="0"/>
        <w:iCs w:val="0"/>
        <w:spacing w:val="0"/>
        <w:w w:val="100"/>
        <w:sz w:val="22"/>
        <w:szCs w:val="22"/>
        <w:lang w:val="en-US" w:eastAsia="en-US" w:bidi="ar-SA"/>
      </w:rPr>
    </w:lvl>
    <w:lvl w:ilvl="6">
      <w:numFmt w:val="bullet"/>
      <w:lvlText w:val=""/>
      <w:lvlJc w:val="left"/>
      <w:pPr>
        <w:ind w:left="1027" w:hanging="361"/>
      </w:pPr>
      <w:rPr>
        <w:rFonts w:ascii="Symbol" w:eastAsia="Symbol" w:hAnsi="Symbol" w:cs="Symbol" w:hint="default"/>
        <w:b w:val="0"/>
        <w:bCs w:val="0"/>
        <w:i w:val="0"/>
        <w:iCs w:val="0"/>
        <w:spacing w:val="0"/>
        <w:w w:val="100"/>
        <w:sz w:val="22"/>
        <w:szCs w:val="22"/>
        <w:lang w:val="en-US" w:eastAsia="en-US" w:bidi="ar-SA"/>
      </w:rPr>
    </w:lvl>
    <w:lvl w:ilvl="7">
      <w:numFmt w:val="bullet"/>
      <w:lvlText w:val="•"/>
      <w:lvlJc w:val="left"/>
      <w:pPr>
        <w:ind w:left="5126" w:hanging="361"/>
      </w:pPr>
      <w:rPr>
        <w:rFonts w:hint="default"/>
        <w:lang w:val="en-US" w:eastAsia="en-US" w:bidi="ar-SA"/>
      </w:rPr>
    </w:lvl>
    <w:lvl w:ilvl="8">
      <w:numFmt w:val="bullet"/>
      <w:lvlText w:val="•"/>
      <w:lvlJc w:val="left"/>
      <w:pPr>
        <w:ind w:left="6820" w:hanging="361"/>
      </w:pPr>
      <w:rPr>
        <w:rFonts w:hint="default"/>
        <w:lang w:val="en-US" w:eastAsia="en-US" w:bidi="ar-SA"/>
      </w:rPr>
    </w:lvl>
  </w:abstractNum>
  <w:abstractNum w:abstractNumId="2"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2B952EEC"/>
    <w:multiLevelType w:val="multilevel"/>
    <w:tmpl w:val="6A325F9A"/>
    <w:lvl w:ilvl="0">
      <w:start w:val="1"/>
      <w:numFmt w:val="decimal"/>
      <w:lvlText w:val="%1."/>
      <w:lvlJc w:val="left"/>
      <w:pPr>
        <w:ind w:left="873" w:hanging="567"/>
      </w:pPr>
      <w:rPr>
        <w:rFonts w:ascii="Arial" w:eastAsia="Arial" w:hAnsi="Arial" w:cs="Arial" w:hint="default"/>
        <w:b/>
        <w:bCs/>
        <w:i w:val="0"/>
        <w:iCs w:val="0"/>
        <w:color w:val="006FB5"/>
        <w:spacing w:val="0"/>
        <w:w w:val="99"/>
        <w:sz w:val="32"/>
        <w:szCs w:val="32"/>
        <w:lang w:val="en-US" w:eastAsia="en-US" w:bidi="ar-SA"/>
      </w:rPr>
    </w:lvl>
    <w:lvl w:ilvl="1">
      <w:start w:val="1"/>
      <w:numFmt w:val="decimal"/>
      <w:lvlText w:val="%1.%2."/>
      <w:lvlJc w:val="left"/>
      <w:pPr>
        <w:ind w:left="1442" w:hanging="1023"/>
      </w:pPr>
      <w:rPr>
        <w:rFonts w:ascii="Arial" w:eastAsia="Arial" w:hAnsi="Arial" w:cs="Arial" w:hint="default"/>
        <w:b/>
        <w:bCs/>
        <w:i w:val="0"/>
        <w:iCs w:val="0"/>
        <w:spacing w:val="-1"/>
        <w:w w:val="99"/>
        <w:sz w:val="26"/>
        <w:szCs w:val="26"/>
        <w:lang w:val="en-US" w:eastAsia="en-US" w:bidi="ar-SA"/>
      </w:rPr>
    </w:lvl>
    <w:lvl w:ilvl="2">
      <w:start w:val="1"/>
      <w:numFmt w:val="decimal"/>
      <w:lvlText w:val="%1.%2.%3."/>
      <w:lvlJc w:val="left"/>
      <w:pPr>
        <w:ind w:left="1439" w:hanging="963"/>
      </w:pPr>
      <w:rPr>
        <w:rFonts w:ascii="Cambria" w:eastAsia="Cambria" w:hAnsi="Cambria" w:cs="Cambria" w:hint="default"/>
        <w:b/>
        <w:bCs/>
        <w:i w:val="0"/>
        <w:iCs w:val="0"/>
        <w:spacing w:val="-4"/>
        <w:w w:val="100"/>
        <w:sz w:val="22"/>
        <w:szCs w:val="22"/>
        <w:lang w:val="en-US" w:eastAsia="en-US" w:bidi="ar-SA"/>
      </w:rPr>
    </w:lvl>
    <w:lvl w:ilvl="3">
      <w:start w:val="1"/>
      <w:numFmt w:val="decimal"/>
      <w:lvlText w:val="%1.%2.%3.%4."/>
      <w:lvlJc w:val="left"/>
      <w:pPr>
        <w:ind w:left="1725" w:hanging="1191"/>
      </w:pPr>
      <w:rPr>
        <w:rFonts w:ascii="Cambria" w:eastAsia="Cambria" w:hAnsi="Cambria" w:cs="Cambria" w:hint="default"/>
        <w:b/>
        <w:bCs/>
        <w:i/>
        <w:iCs/>
        <w:spacing w:val="-2"/>
        <w:w w:val="100"/>
        <w:sz w:val="22"/>
        <w:szCs w:val="22"/>
        <w:lang w:val="en-US" w:eastAsia="en-US" w:bidi="ar-SA"/>
      </w:rPr>
    </w:lvl>
    <w:lvl w:ilvl="4">
      <w:start w:val="1"/>
      <w:numFmt w:val="decimal"/>
      <w:lvlText w:val="%5."/>
      <w:lvlJc w:val="left"/>
      <w:pPr>
        <w:ind w:left="1027" w:hanging="361"/>
      </w:pPr>
      <w:rPr>
        <w:rFonts w:ascii="Cambria" w:eastAsia="Cambria" w:hAnsi="Cambria" w:cs="Cambria" w:hint="default"/>
        <w:b w:val="0"/>
        <w:bCs w:val="0"/>
        <w:i w:val="0"/>
        <w:iCs w:val="0"/>
        <w:spacing w:val="0"/>
        <w:w w:val="100"/>
        <w:sz w:val="22"/>
        <w:szCs w:val="22"/>
        <w:lang w:val="en-US" w:eastAsia="en-US" w:bidi="ar-SA"/>
      </w:rPr>
    </w:lvl>
    <w:lvl w:ilvl="5">
      <w:start w:val="1"/>
      <w:numFmt w:val="decimal"/>
      <w:lvlText w:val="%6."/>
      <w:lvlJc w:val="left"/>
      <w:pPr>
        <w:ind w:left="1027" w:hanging="361"/>
      </w:pPr>
      <w:rPr>
        <w:rFonts w:ascii="Cambria" w:eastAsia="Cambria" w:hAnsi="Cambria" w:cs="Cambria" w:hint="default"/>
        <w:b w:val="0"/>
        <w:bCs w:val="0"/>
        <w:i w:val="0"/>
        <w:iCs w:val="0"/>
        <w:spacing w:val="0"/>
        <w:w w:val="100"/>
        <w:sz w:val="22"/>
        <w:szCs w:val="22"/>
        <w:lang w:val="en-US" w:eastAsia="en-US" w:bidi="ar-SA"/>
      </w:rPr>
    </w:lvl>
    <w:lvl w:ilvl="6">
      <w:numFmt w:val="bullet"/>
      <w:lvlText w:val=""/>
      <w:lvlJc w:val="left"/>
      <w:pPr>
        <w:ind w:left="1027" w:hanging="361"/>
      </w:pPr>
      <w:rPr>
        <w:rFonts w:ascii="Symbol" w:eastAsia="Symbol" w:hAnsi="Symbol" w:cs="Symbol" w:hint="default"/>
        <w:b w:val="0"/>
        <w:bCs w:val="0"/>
        <w:i w:val="0"/>
        <w:iCs w:val="0"/>
        <w:spacing w:val="0"/>
        <w:w w:val="100"/>
        <w:sz w:val="22"/>
        <w:szCs w:val="22"/>
        <w:lang w:val="en-US" w:eastAsia="en-US" w:bidi="ar-SA"/>
      </w:rPr>
    </w:lvl>
    <w:lvl w:ilvl="7">
      <w:numFmt w:val="bullet"/>
      <w:lvlText w:val="•"/>
      <w:lvlJc w:val="left"/>
      <w:pPr>
        <w:ind w:left="5126" w:hanging="361"/>
      </w:pPr>
      <w:rPr>
        <w:rFonts w:hint="default"/>
        <w:lang w:val="en-US" w:eastAsia="en-US" w:bidi="ar-SA"/>
      </w:rPr>
    </w:lvl>
    <w:lvl w:ilvl="8">
      <w:numFmt w:val="bullet"/>
      <w:lvlText w:val="•"/>
      <w:lvlJc w:val="left"/>
      <w:pPr>
        <w:ind w:left="6820" w:hanging="361"/>
      </w:pPr>
      <w:rPr>
        <w:rFonts w:hint="default"/>
        <w:lang w:val="en-US" w:eastAsia="en-US" w:bidi="ar-SA"/>
      </w:rPr>
    </w:lvl>
  </w:abstractNum>
  <w:abstractNum w:abstractNumId="9"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0" w15:restartNumberingAfterBreak="0">
    <w:nsid w:val="492E35EE"/>
    <w:multiLevelType w:val="multilevel"/>
    <w:tmpl w:val="6A325F9A"/>
    <w:lvl w:ilvl="0">
      <w:start w:val="1"/>
      <w:numFmt w:val="decimal"/>
      <w:lvlText w:val="%1."/>
      <w:lvlJc w:val="left"/>
      <w:pPr>
        <w:ind w:left="873" w:hanging="567"/>
      </w:pPr>
      <w:rPr>
        <w:rFonts w:ascii="Arial" w:eastAsia="Arial" w:hAnsi="Arial" w:cs="Arial" w:hint="default"/>
        <w:b/>
        <w:bCs/>
        <w:i w:val="0"/>
        <w:iCs w:val="0"/>
        <w:color w:val="006FB5"/>
        <w:spacing w:val="0"/>
        <w:w w:val="99"/>
        <w:sz w:val="32"/>
        <w:szCs w:val="32"/>
        <w:lang w:val="en-US" w:eastAsia="en-US" w:bidi="ar-SA"/>
      </w:rPr>
    </w:lvl>
    <w:lvl w:ilvl="1">
      <w:start w:val="1"/>
      <w:numFmt w:val="decimal"/>
      <w:lvlText w:val="%1.%2."/>
      <w:lvlJc w:val="left"/>
      <w:pPr>
        <w:ind w:left="1442" w:hanging="1023"/>
      </w:pPr>
      <w:rPr>
        <w:rFonts w:ascii="Arial" w:eastAsia="Arial" w:hAnsi="Arial" w:cs="Arial" w:hint="default"/>
        <w:b/>
        <w:bCs/>
        <w:i w:val="0"/>
        <w:iCs w:val="0"/>
        <w:spacing w:val="-1"/>
        <w:w w:val="99"/>
        <w:sz w:val="26"/>
        <w:szCs w:val="26"/>
        <w:lang w:val="en-US" w:eastAsia="en-US" w:bidi="ar-SA"/>
      </w:rPr>
    </w:lvl>
    <w:lvl w:ilvl="2">
      <w:start w:val="1"/>
      <w:numFmt w:val="decimal"/>
      <w:lvlText w:val="%1.%2.%3."/>
      <w:lvlJc w:val="left"/>
      <w:pPr>
        <w:ind w:left="1439" w:hanging="963"/>
      </w:pPr>
      <w:rPr>
        <w:rFonts w:ascii="Cambria" w:eastAsia="Cambria" w:hAnsi="Cambria" w:cs="Cambria" w:hint="default"/>
        <w:b/>
        <w:bCs/>
        <w:i w:val="0"/>
        <w:iCs w:val="0"/>
        <w:spacing w:val="-4"/>
        <w:w w:val="100"/>
        <w:sz w:val="22"/>
        <w:szCs w:val="22"/>
        <w:lang w:val="en-US" w:eastAsia="en-US" w:bidi="ar-SA"/>
      </w:rPr>
    </w:lvl>
    <w:lvl w:ilvl="3">
      <w:start w:val="1"/>
      <w:numFmt w:val="decimal"/>
      <w:lvlText w:val="%1.%2.%3.%4."/>
      <w:lvlJc w:val="left"/>
      <w:pPr>
        <w:ind w:left="1725" w:hanging="1191"/>
      </w:pPr>
      <w:rPr>
        <w:rFonts w:ascii="Cambria" w:eastAsia="Cambria" w:hAnsi="Cambria" w:cs="Cambria" w:hint="default"/>
        <w:b/>
        <w:bCs/>
        <w:i/>
        <w:iCs/>
        <w:spacing w:val="-2"/>
        <w:w w:val="100"/>
        <w:sz w:val="22"/>
        <w:szCs w:val="22"/>
        <w:lang w:val="en-US" w:eastAsia="en-US" w:bidi="ar-SA"/>
      </w:rPr>
    </w:lvl>
    <w:lvl w:ilvl="4">
      <w:start w:val="1"/>
      <w:numFmt w:val="decimal"/>
      <w:lvlText w:val="%5."/>
      <w:lvlJc w:val="left"/>
      <w:pPr>
        <w:ind w:left="1027" w:hanging="361"/>
      </w:pPr>
      <w:rPr>
        <w:rFonts w:ascii="Cambria" w:eastAsia="Cambria" w:hAnsi="Cambria" w:cs="Cambria" w:hint="default"/>
        <w:b w:val="0"/>
        <w:bCs w:val="0"/>
        <w:i w:val="0"/>
        <w:iCs w:val="0"/>
        <w:spacing w:val="0"/>
        <w:w w:val="100"/>
        <w:sz w:val="22"/>
        <w:szCs w:val="22"/>
        <w:lang w:val="en-US" w:eastAsia="en-US" w:bidi="ar-SA"/>
      </w:rPr>
    </w:lvl>
    <w:lvl w:ilvl="5">
      <w:start w:val="1"/>
      <w:numFmt w:val="decimal"/>
      <w:lvlText w:val="%6."/>
      <w:lvlJc w:val="left"/>
      <w:pPr>
        <w:ind w:left="1027" w:hanging="361"/>
      </w:pPr>
      <w:rPr>
        <w:rFonts w:ascii="Cambria" w:eastAsia="Cambria" w:hAnsi="Cambria" w:cs="Cambria" w:hint="default"/>
        <w:b w:val="0"/>
        <w:bCs w:val="0"/>
        <w:i w:val="0"/>
        <w:iCs w:val="0"/>
        <w:spacing w:val="0"/>
        <w:w w:val="100"/>
        <w:sz w:val="22"/>
        <w:szCs w:val="22"/>
        <w:lang w:val="en-US" w:eastAsia="en-US" w:bidi="ar-SA"/>
      </w:rPr>
    </w:lvl>
    <w:lvl w:ilvl="6">
      <w:numFmt w:val="bullet"/>
      <w:lvlText w:val=""/>
      <w:lvlJc w:val="left"/>
      <w:pPr>
        <w:ind w:left="1027" w:hanging="361"/>
      </w:pPr>
      <w:rPr>
        <w:rFonts w:ascii="Symbol" w:eastAsia="Symbol" w:hAnsi="Symbol" w:cs="Symbol" w:hint="default"/>
        <w:b w:val="0"/>
        <w:bCs w:val="0"/>
        <w:i w:val="0"/>
        <w:iCs w:val="0"/>
        <w:spacing w:val="0"/>
        <w:w w:val="100"/>
        <w:sz w:val="22"/>
        <w:szCs w:val="22"/>
        <w:lang w:val="en-US" w:eastAsia="en-US" w:bidi="ar-SA"/>
      </w:rPr>
    </w:lvl>
    <w:lvl w:ilvl="7">
      <w:numFmt w:val="bullet"/>
      <w:lvlText w:val="•"/>
      <w:lvlJc w:val="left"/>
      <w:pPr>
        <w:ind w:left="5126" w:hanging="361"/>
      </w:pPr>
      <w:rPr>
        <w:rFonts w:hint="default"/>
        <w:lang w:val="en-US" w:eastAsia="en-US" w:bidi="ar-SA"/>
      </w:rPr>
    </w:lvl>
    <w:lvl w:ilvl="8">
      <w:numFmt w:val="bullet"/>
      <w:lvlText w:val="•"/>
      <w:lvlJc w:val="left"/>
      <w:pPr>
        <w:ind w:left="6820" w:hanging="361"/>
      </w:pPr>
      <w:rPr>
        <w:rFonts w:hint="default"/>
        <w:lang w:val="en-US" w:eastAsia="en-US" w:bidi="ar-SA"/>
      </w:rPr>
    </w:lvl>
  </w:abstractNum>
  <w:abstractNum w:abstractNumId="11"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2"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3"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5" w15:restartNumberingAfterBreak="0">
    <w:nsid w:val="5E8B3EB0"/>
    <w:multiLevelType w:val="multilevel"/>
    <w:tmpl w:val="6A325F9A"/>
    <w:lvl w:ilvl="0">
      <w:start w:val="1"/>
      <w:numFmt w:val="decimal"/>
      <w:lvlText w:val="%1."/>
      <w:lvlJc w:val="left"/>
      <w:pPr>
        <w:ind w:left="873" w:hanging="567"/>
      </w:pPr>
      <w:rPr>
        <w:rFonts w:ascii="Arial" w:eastAsia="Arial" w:hAnsi="Arial" w:cs="Arial" w:hint="default"/>
        <w:b/>
        <w:bCs/>
        <w:i w:val="0"/>
        <w:iCs w:val="0"/>
        <w:color w:val="006FB5"/>
        <w:spacing w:val="0"/>
        <w:w w:val="99"/>
        <w:sz w:val="32"/>
        <w:szCs w:val="32"/>
        <w:lang w:val="en-US" w:eastAsia="en-US" w:bidi="ar-SA"/>
      </w:rPr>
    </w:lvl>
    <w:lvl w:ilvl="1">
      <w:start w:val="1"/>
      <w:numFmt w:val="decimal"/>
      <w:lvlText w:val="%1.%2."/>
      <w:lvlJc w:val="left"/>
      <w:pPr>
        <w:ind w:left="1442" w:hanging="1023"/>
      </w:pPr>
      <w:rPr>
        <w:rFonts w:ascii="Arial" w:eastAsia="Arial" w:hAnsi="Arial" w:cs="Arial" w:hint="default"/>
        <w:b/>
        <w:bCs/>
        <w:i w:val="0"/>
        <w:iCs w:val="0"/>
        <w:spacing w:val="-1"/>
        <w:w w:val="99"/>
        <w:sz w:val="26"/>
        <w:szCs w:val="26"/>
        <w:lang w:val="en-US" w:eastAsia="en-US" w:bidi="ar-SA"/>
      </w:rPr>
    </w:lvl>
    <w:lvl w:ilvl="2">
      <w:start w:val="1"/>
      <w:numFmt w:val="decimal"/>
      <w:lvlText w:val="%1.%2.%3."/>
      <w:lvlJc w:val="left"/>
      <w:pPr>
        <w:ind w:left="1439" w:hanging="963"/>
      </w:pPr>
      <w:rPr>
        <w:rFonts w:ascii="Cambria" w:eastAsia="Cambria" w:hAnsi="Cambria" w:cs="Cambria" w:hint="default"/>
        <w:b/>
        <w:bCs/>
        <w:i w:val="0"/>
        <w:iCs w:val="0"/>
        <w:spacing w:val="-4"/>
        <w:w w:val="100"/>
        <w:sz w:val="22"/>
        <w:szCs w:val="22"/>
        <w:lang w:val="en-US" w:eastAsia="en-US" w:bidi="ar-SA"/>
      </w:rPr>
    </w:lvl>
    <w:lvl w:ilvl="3">
      <w:start w:val="1"/>
      <w:numFmt w:val="decimal"/>
      <w:lvlText w:val="%1.%2.%3.%4."/>
      <w:lvlJc w:val="left"/>
      <w:pPr>
        <w:ind w:left="1725" w:hanging="1191"/>
      </w:pPr>
      <w:rPr>
        <w:rFonts w:ascii="Cambria" w:eastAsia="Cambria" w:hAnsi="Cambria" w:cs="Cambria" w:hint="default"/>
        <w:b/>
        <w:bCs/>
        <w:i/>
        <w:iCs/>
        <w:spacing w:val="-2"/>
        <w:w w:val="100"/>
        <w:sz w:val="22"/>
        <w:szCs w:val="22"/>
        <w:lang w:val="en-US" w:eastAsia="en-US" w:bidi="ar-SA"/>
      </w:rPr>
    </w:lvl>
    <w:lvl w:ilvl="4">
      <w:start w:val="1"/>
      <w:numFmt w:val="decimal"/>
      <w:lvlText w:val="%5."/>
      <w:lvlJc w:val="left"/>
      <w:pPr>
        <w:ind w:left="1027" w:hanging="361"/>
      </w:pPr>
      <w:rPr>
        <w:rFonts w:ascii="Cambria" w:eastAsia="Cambria" w:hAnsi="Cambria" w:cs="Cambria" w:hint="default"/>
        <w:b w:val="0"/>
        <w:bCs w:val="0"/>
        <w:i w:val="0"/>
        <w:iCs w:val="0"/>
        <w:spacing w:val="0"/>
        <w:w w:val="100"/>
        <w:sz w:val="22"/>
        <w:szCs w:val="22"/>
        <w:lang w:val="en-US" w:eastAsia="en-US" w:bidi="ar-SA"/>
      </w:rPr>
    </w:lvl>
    <w:lvl w:ilvl="5">
      <w:start w:val="1"/>
      <w:numFmt w:val="decimal"/>
      <w:lvlText w:val="%6."/>
      <w:lvlJc w:val="left"/>
      <w:pPr>
        <w:ind w:left="1027" w:hanging="361"/>
      </w:pPr>
      <w:rPr>
        <w:rFonts w:ascii="Cambria" w:eastAsia="Cambria" w:hAnsi="Cambria" w:cs="Cambria" w:hint="default"/>
        <w:b w:val="0"/>
        <w:bCs w:val="0"/>
        <w:i w:val="0"/>
        <w:iCs w:val="0"/>
        <w:spacing w:val="0"/>
        <w:w w:val="100"/>
        <w:sz w:val="22"/>
        <w:szCs w:val="22"/>
        <w:lang w:val="en-US" w:eastAsia="en-US" w:bidi="ar-SA"/>
      </w:rPr>
    </w:lvl>
    <w:lvl w:ilvl="6">
      <w:numFmt w:val="bullet"/>
      <w:lvlText w:val=""/>
      <w:lvlJc w:val="left"/>
      <w:pPr>
        <w:ind w:left="1027" w:hanging="361"/>
      </w:pPr>
      <w:rPr>
        <w:rFonts w:ascii="Symbol" w:eastAsia="Symbol" w:hAnsi="Symbol" w:cs="Symbol" w:hint="default"/>
        <w:b w:val="0"/>
        <w:bCs w:val="0"/>
        <w:i w:val="0"/>
        <w:iCs w:val="0"/>
        <w:spacing w:val="0"/>
        <w:w w:val="100"/>
        <w:sz w:val="22"/>
        <w:szCs w:val="22"/>
        <w:lang w:val="en-US" w:eastAsia="en-US" w:bidi="ar-SA"/>
      </w:rPr>
    </w:lvl>
    <w:lvl w:ilvl="7">
      <w:numFmt w:val="bullet"/>
      <w:lvlText w:val="•"/>
      <w:lvlJc w:val="left"/>
      <w:pPr>
        <w:ind w:left="5126" w:hanging="361"/>
      </w:pPr>
      <w:rPr>
        <w:rFonts w:hint="default"/>
        <w:lang w:val="en-US" w:eastAsia="en-US" w:bidi="ar-SA"/>
      </w:rPr>
    </w:lvl>
    <w:lvl w:ilvl="8">
      <w:numFmt w:val="bullet"/>
      <w:lvlText w:val="•"/>
      <w:lvlJc w:val="left"/>
      <w:pPr>
        <w:ind w:left="6820" w:hanging="361"/>
      </w:pPr>
      <w:rPr>
        <w:rFonts w:hint="default"/>
        <w:lang w:val="en-US" w:eastAsia="en-US" w:bidi="ar-SA"/>
      </w:rPr>
    </w:lvl>
  </w:abstractNum>
  <w:abstractNum w:abstractNumId="16" w15:restartNumberingAfterBreak="0">
    <w:nsid w:val="79724C25"/>
    <w:multiLevelType w:val="multilevel"/>
    <w:tmpl w:val="6A325F9A"/>
    <w:lvl w:ilvl="0">
      <w:start w:val="1"/>
      <w:numFmt w:val="decimal"/>
      <w:lvlText w:val="%1."/>
      <w:lvlJc w:val="left"/>
      <w:pPr>
        <w:ind w:left="873" w:hanging="567"/>
      </w:pPr>
      <w:rPr>
        <w:rFonts w:ascii="Arial" w:eastAsia="Arial" w:hAnsi="Arial" w:cs="Arial" w:hint="default"/>
        <w:b/>
        <w:bCs/>
        <w:i w:val="0"/>
        <w:iCs w:val="0"/>
        <w:color w:val="006FB5"/>
        <w:spacing w:val="0"/>
        <w:w w:val="99"/>
        <w:sz w:val="32"/>
        <w:szCs w:val="32"/>
        <w:lang w:val="en-US" w:eastAsia="en-US" w:bidi="ar-SA"/>
      </w:rPr>
    </w:lvl>
    <w:lvl w:ilvl="1">
      <w:start w:val="1"/>
      <w:numFmt w:val="decimal"/>
      <w:lvlText w:val="%1.%2."/>
      <w:lvlJc w:val="left"/>
      <w:pPr>
        <w:ind w:left="1442" w:hanging="1023"/>
      </w:pPr>
      <w:rPr>
        <w:rFonts w:ascii="Arial" w:eastAsia="Arial" w:hAnsi="Arial" w:cs="Arial" w:hint="default"/>
        <w:b/>
        <w:bCs/>
        <w:i w:val="0"/>
        <w:iCs w:val="0"/>
        <w:spacing w:val="-1"/>
        <w:w w:val="99"/>
        <w:sz w:val="26"/>
        <w:szCs w:val="26"/>
        <w:lang w:val="en-US" w:eastAsia="en-US" w:bidi="ar-SA"/>
      </w:rPr>
    </w:lvl>
    <w:lvl w:ilvl="2">
      <w:start w:val="1"/>
      <w:numFmt w:val="decimal"/>
      <w:lvlText w:val="%1.%2.%3."/>
      <w:lvlJc w:val="left"/>
      <w:pPr>
        <w:ind w:left="1439" w:hanging="963"/>
      </w:pPr>
      <w:rPr>
        <w:rFonts w:ascii="Cambria" w:eastAsia="Cambria" w:hAnsi="Cambria" w:cs="Cambria" w:hint="default"/>
        <w:b/>
        <w:bCs/>
        <w:i w:val="0"/>
        <w:iCs w:val="0"/>
        <w:spacing w:val="-4"/>
        <w:w w:val="100"/>
        <w:sz w:val="22"/>
        <w:szCs w:val="22"/>
        <w:lang w:val="en-US" w:eastAsia="en-US" w:bidi="ar-SA"/>
      </w:rPr>
    </w:lvl>
    <w:lvl w:ilvl="3">
      <w:start w:val="1"/>
      <w:numFmt w:val="decimal"/>
      <w:lvlText w:val="%1.%2.%3.%4."/>
      <w:lvlJc w:val="left"/>
      <w:pPr>
        <w:ind w:left="1725" w:hanging="1191"/>
      </w:pPr>
      <w:rPr>
        <w:rFonts w:ascii="Cambria" w:eastAsia="Cambria" w:hAnsi="Cambria" w:cs="Cambria" w:hint="default"/>
        <w:b/>
        <w:bCs/>
        <w:i/>
        <w:iCs/>
        <w:spacing w:val="-2"/>
        <w:w w:val="100"/>
        <w:sz w:val="22"/>
        <w:szCs w:val="22"/>
        <w:lang w:val="en-US" w:eastAsia="en-US" w:bidi="ar-SA"/>
      </w:rPr>
    </w:lvl>
    <w:lvl w:ilvl="4">
      <w:start w:val="1"/>
      <w:numFmt w:val="decimal"/>
      <w:lvlText w:val="%5."/>
      <w:lvlJc w:val="left"/>
      <w:pPr>
        <w:ind w:left="1027" w:hanging="361"/>
      </w:pPr>
      <w:rPr>
        <w:rFonts w:ascii="Cambria" w:eastAsia="Cambria" w:hAnsi="Cambria" w:cs="Cambria" w:hint="default"/>
        <w:b w:val="0"/>
        <w:bCs w:val="0"/>
        <w:i w:val="0"/>
        <w:iCs w:val="0"/>
        <w:spacing w:val="0"/>
        <w:w w:val="100"/>
        <w:sz w:val="22"/>
        <w:szCs w:val="22"/>
        <w:lang w:val="en-US" w:eastAsia="en-US" w:bidi="ar-SA"/>
      </w:rPr>
    </w:lvl>
    <w:lvl w:ilvl="5">
      <w:start w:val="1"/>
      <w:numFmt w:val="decimal"/>
      <w:lvlText w:val="%6."/>
      <w:lvlJc w:val="left"/>
      <w:pPr>
        <w:ind w:left="1027" w:hanging="361"/>
      </w:pPr>
      <w:rPr>
        <w:rFonts w:ascii="Cambria" w:eastAsia="Cambria" w:hAnsi="Cambria" w:cs="Cambria" w:hint="default"/>
        <w:b w:val="0"/>
        <w:bCs w:val="0"/>
        <w:i w:val="0"/>
        <w:iCs w:val="0"/>
        <w:spacing w:val="0"/>
        <w:w w:val="100"/>
        <w:sz w:val="22"/>
        <w:szCs w:val="22"/>
        <w:lang w:val="en-US" w:eastAsia="en-US" w:bidi="ar-SA"/>
      </w:rPr>
    </w:lvl>
    <w:lvl w:ilvl="6">
      <w:numFmt w:val="bullet"/>
      <w:lvlText w:val=""/>
      <w:lvlJc w:val="left"/>
      <w:pPr>
        <w:ind w:left="1027" w:hanging="361"/>
      </w:pPr>
      <w:rPr>
        <w:rFonts w:ascii="Symbol" w:eastAsia="Symbol" w:hAnsi="Symbol" w:cs="Symbol" w:hint="default"/>
        <w:b w:val="0"/>
        <w:bCs w:val="0"/>
        <w:i w:val="0"/>
        <w:iCs w:val="0"/>
        <w:spacing w:val="0"/>
        <w:w w:val="100"/>
        <w:sz w:val="22"/>
        <w:szCs w:val="22"/>
        <w:lang w:val="en-US" w:eastAsia="en-US" w:bidi="ar-SA"/>
      </w:rPr>
    </w:lvl>
    <w:lvl w:ilvl="7">
      <w:numFmt w:val="bullet"/>
      <w:lvlText w:val="•"/>
      <w:lvlJc w:val="left"/>
      <w:pPr>
        <w:ind w:left="5126" w:hanging="361"/>
      </w:pPr>
      <w:rPr>
        <w:rFonts w:hint="default"/>
        <w:lang w:val="en-US" w:eastAsia="en-US" w:bidi="ar-SA"/>
      </w:rPr>
    </w:lvl>
    <w:lvl w:ilvl="8">
      <w:numFmt w:val="bullet"/>
      <w:lvlText w:val="•"/>
      <w:lvlJc w:val="left"/>
      <w:pPr>
        <w:ind w:left="6820" w:hanging="361"/>
      </w:pPr>
      <w:rPr>
        <w:rFonts w:hint="default"/>
        <w:lang w:val="en-US" w:eastAsia="en-US" w:bidi="ar-SA"/>
      </w:rPr>
    </w:lvl>
  </w:abstractNum>
  <w:abstractNum w:abstractNumId="17"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703630898">
    <w:abstractNumId w:val="5"/>
  </w:num>
  <w:num w:numId="2" w16cid:durableId="400104621">
    <w:abstractNumId w:val="2"/>
  </w:num>
  <w:num w:numId="3" w16cid:durableId="1762336312">
    <w:abstractNumId w:val="4"/>
  </w:num>
  <w:num w:numId="4" w16cid:durableId="1213879797">
    <w:abstractNumId w:val="13"/>
  </w:num>
  <w:num w:numId="5" w16cid:durableId="469635442">
    <w:abstractNumId w:val="7"/>
  </w:num>
  <w:num w:numId="6" w16cid:durableId="1381513971">
    <w:abstractNumId w:val="11"/>
  </w:num>
  <w:num w:numId="7" w16cid:durableId="632293313">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460143620">
    <w:abstractNumId w:val="12"/>
  </w:num>
  <w:num w:numId="9" w16cid:durableId="1050223846">
    <w:abstractNumId w:val="3"/>
  </w:num>
  <w:num w:numId="10" w16cid:durableId="54815407">
    <w:abstractNumId w:val="6"/>
  </w:num>
  <w:num w:numId="11" w16cid:durableId="686324319">
    <w:abstractNumId w:val="9"/>
  </w:num>
  <w:num w:numId="12" w16cid:durableId="455372485">
    <w:abstractNumId w:val="14"/>
  </w:num>
  <w:num w:numId="13" w16cid:durableId="1613051372">
    <w:abstractNumId w:val="17"/>
  </w:num>
  <w:num w:numId="14" w16cid:durableId="1152795121">
    <w:abstractNumId w:val="10"/>
  </w:num>
  <w:num w:numId="15" w16cid:durableId="137962906">
    <w:abstractNumId w:val="0"/>
  </w:num>
  <w:num w:numId="16" w16cid:durableId="1861891177">
    <w:abstractNumId w:val="16"/>
  </w:num>
  <w:num w:numId="17" w16cid:durableId="1866672170">
    <w:abstractNumId w:val="8"/>
  </w:num>
  <w:num w:numId="18" w16cid:durableId="439378699">
    <w:abstractNumId w:val="15"/>
  </w:num>
  <w:num w:numId="19" w16cid:durableId="78184779">
    <w:abstractNumId w:val="1"/>
  </w:num>
  <w:num w:numId="20" w16cid:durableId="13497976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203E"/>
    <w:rsid w:val="00004431"/>
    <w:rsid w:val="00005062"/>
    <w:rsid w:val="00005DFC"/>
    <w:rsid w:val="0001064C"/>
    <w:rsid w:val="0001384A"/>
    <w:rsid w:val="0001625D"/>
    <w:rsid w:val="00021C13"/>
    <w:rsid w:val="000224A2"/>
    <w:rsid w:val="0002441F"/>
    <w:rsid w:val="0003261C"/>
    <w:rsid w:val="00032A0F"/>
    <w:rsid w:val="00032A5A"/>
    <w:rsid w:val="00040948"/>
    <w:rsid w:val="00040D8D"/>
    <w:rsid w:val="000426EB"/>
    <w:rsid w:val="00043032"/>
    <w:rsid w:val="0004579D"/>
    <w:rsid w:val="000460DB"/>
    <w:rsid w:val="00046423"/>
    <w:rsid w:val="00046EBC"/>
    <w:rsid w:val="000477F5"/>
    <w:rsid w:val="0005067C"/>
    <w:rsid w:val="0006104E"/>
    <w:rsid w:val="000640BD"/>
    <w:rsid w:val="0006458A"/>
    <w:rsid w:val="00065839"/>
    <w:rsid w:val="00065FDF"/>
    <w:rsid w:val="0006693A"/>
    <w:rsid w:val="00071664"/>
    <w:rsid w:val="00077844"/>
    <w:rsid w:val="00080173"/>
    <w:rsid w:val="00080C4A"/>
    <w:rsid w:val="00083763"/>
    <w:rsid w:val="00086246"/>
    <w:rsid w:val="00090510"/>
    <w:rsid w:val="000917AE"/>
    <w:rsid w:val="000935BB"/>
    <w:rsid w:val="00094B81"/>
    <w:rsid w:val="00095C6A"/>
    <w:rsid w:val="000975AA"/>
    <w:rsid w:val="000A6075"/>
    <w:rsid w:val="000B58EB"/>
    <w:rsid w:val="000B6B15"/>
    <w:rsid w:val="000C0D63"/>
    <w:rsid w:val="000C25A7"/>
    <w:rsid w:val="000C275F"/>
    <w:rsid w:val="000C4B4F"/>
    <w:rsid w:val="000C5432"/>
    <w:rsid w:val="000D1256"/>
    <w:rsid w:val="000D42B1"/>
    <w:rsid w:val="000D78EC"/>
    <w:rsid w:val="000D7934"/>
    <w:rsid w:val="000E0C78"/>
    <w:rsid w:val="000E2434"/>
    <w:rsid w:val="000E2597"/>
    <w:rsid w:val="000E3E94"/>
    <w:rsid w:val="000E504E"/>
    <w:rsid w:val="000E6746"/>
    <w:rsid w:val="000E70E3"/>
    <w:rsid w:val="000E7E0D"/>
    <w:rsid w:val="000F7B51"/>
    <w:rsid w:val="00101BEE"/>
    <w:rsid w:val="00101CE6"/>
    <w:rsid w:val="00101FB1"/>
    <w:rsid w:val="00102A04"/>
    <w:rsid w:val="00105499"/>
    <w:rsid w:val="0010558A"/>
    <w:rsid w:val="001101FF"/>
    <w:rsid w:val="00111989"/>
    <w:rsid w:val="00113C2D"/>
    <w:rsid w:val="00113F9F"/>
    <w:rsid w:val="00114025"/>
    <w:rsid w:val="00120C50"/>
    <w:rsid w:val="00122D7B"/>
    <w:rsid w:val="0012473C"/>
    <w:rsid w:val="00127A74"/>
    <w:rsid w:val="00127D02"/>
    <w:rsid w:val="0013132F"/>
    <w:rsid w:val="00131B1B"/>
    <w:rsid w:val="00132BF0"/>
    <w:rsid w:val="0013306D"/>
    <w:rsid w:val="00134A01"/>
    <w:rsid w:val="001351D1"/>
    <w:rsid w:val="0013528C"/>
    <w:rsid w:val="00137C17"/>
    <w:rsid w:val="00141418"/>
    <w:rsid w:val="001442A2"/>
    <w:rsid w:val="0014647A"/>
    <w:rsid w:val="001468CA"/>
    <w:rsid w:val="0014694D"/>
    <w:rsid w:val="001500A8"/>
    <w:rsid w:val="00150172"/>
    <w:rsid w:val="00152BF2"/>
    <w:rsid w:val="00155D85"/>
    <w:rsid w:val="00165D28"/>
    <w:rsid w:val="0017005C"/>
    <w:rsid w:val="00171BCB"/>
    <w:rsid w:val="00172D4F"/>
    <w:rsid w:val="00175CD8"/>
    <w:rsid w:val="00176156"/>
    <w:rsid w:val="00182BD8"/>
    <w:rsid w:val="001845D5"/>
    <w:rsid w:val="001851EA"/>
    <w:rsid w:val="00190853"/>
    <w:rsid w:val="00196D94"/>
    <w:rsid w:val="001A3F1D"/>
    <w:rsid w:val="001A564D"/>
    <w:rsid w:val="001A6032"/>
    <w:rsid w:val="001A686A"/>
    <w:rsid w:val="001A736D"/>
    <w:rsid w:val="001A76F9"/>
    <w:rsid w:val="001B06FF"/>
    <w:rsid w:val="001B1703"/>
    <w:rsid w:val="001B68DB"/>
    <w:rsid w:val="001C1C2E"/>
    <w:rsid w:val="001C31A1"/>
    <w:rsid w:val="001C3FA2"/>
    <w:rsid w:val="001C5EE2"/>
    <w:rsid w:val="001D0077"/>
    <w:rsid w:val="001D1AEB"/>
    <w:rsid w:val="001D23D4"/>
    <w:rsid w:val="001E407B"/>
    <w:rsid w:val="001E7F74"/>
    <w:rsid w:val="001E7FC6"/>
    <w:rsid w:val="001F2502"/>
    <w:rsid w:val="001F2DDF"/>
    <w:rsid w:val="001F2FAE"/>
    <w:rsid w:val="001F5C4F"/>
    <w:rsid w:val="001F70A5"/>
    <w:rsid w:val="001F736E"/>
    <w:rsid w:val="001F775E"/>
    <w:rsid w:val="00200DED"/>
    <w:rsid w:val="00201AF3"/>
    <w:rsid w:val="0020235D"/>
    <w:rsid w:val="0020369B"/>
    <w:rsid w:val="00205E09"/>
    <w:rsid w:val="00207B4D"/>
    <w:rsid w:val="00210F9B"/>
    <w:rsid w:val="002117B1"/>
    <w:rsid w:val="0021189A"/>
    <w:rsid w:val="00213481"/>
    <w:rsid w:val="002150EC"/>
    <w:rsid w:val="00217CCE"/>
    <w:rsid w:val="002203B1"/>
    <w:rsid w:val="00222071"/>
    <w:rsid w:val="00223B75"/>
    <w:rsid w:val="00224F8F"/>
    <w:rsid w:val="002254DF"/>
    <w:rsid w:val="00226AF7"/>
    <w:rsid w:val="00226E6A"/>
    <w:rsid w:val="00226F39"/>
    <w:rsid w:val="0023182F"/>
    <w:rsid w:val="002334AD"/>
    <w:rsid w:val="00235357"/>
    <w:rsid w:val="00236549"/>
    <w:rsid w:val="00241B60"/>
    <w:rsid w:val="00241FF0"/>
    <w:rsid w:val="00242223"/>
    <w:rsid w:val="002427BD"/>
    <w:rsid w:val="00243195"/>
    <w:rsid w:val="00256FE1"/>
    <w:rsid w:val="0025785B"/>
    <w:rsid w:val="00257969"/>
    <w:rsid w:val="00257C6C"/>
    <w:rsid w:val="0026304F"/>
    <w:rsid w:val="00265013"/>
    <w:rsid w:val="00265CD1"/>
    <w:rsid w:val="0027037E"/>
    <w:rsid w:val="00271D89"/>
    <w:rsid w:val="00280048"/>
    <w:rsid w:val="0028335F"/>
    <w:rsid w:val="0028489E"/>
    <w:rsid w:val="002848DE"/>
    <w:rsid w:val="00285843"/>
    <w:rsid w:val="0028794E"/>
    <w:rsid w:val="00291A36"/>
    <w:rsid w:val="0029733B"/>
    <w:rsid w:val="002A272A"/>
    <w:rsid w:val="002A3B73"/>
    <w:rsid w:val="002A5841"/>
    <w:rsid w:val="002A7A17"/>
    <w:rsid w:val="002B1EDF"/>
    <w:rsid w:val="002B2061"/>
    <w:rsid w:val="002B33C3"/>
    <w:rsid w:val="002B6C1A"/>
    <w:rsid w:val="002C1232"/>
    <w:rsid w:val="002C1451"/>
    <w:rsid w:val="002C1E44"/>
    <w:rsid w:val="002C5A7A"/>
    <w:rsid w:val="002C5C92"/>
    <w:rsid w:val="002C5E29"/>
    <w:rsid w:val="002C65E9"/>
    <w:rsid w:val="002D0478"/>
    <w:rsid w:val="002D30B2"/>
    <w:rsid w:val="002D333C"/>
    <w:rsid w:val="002D35BE"/>
    <w:rsid w:val="002D4122"/>
    <w:rsid w:val="002D6ADB"/>
    <w:rsid w:val="002D7127"/>
    <w:rsid w:val="002E32DE"/>
    <w:rsid w:val="002E4A31"/>
    <w:rsid w:val="002F1FBE"/>
    <w:rsid w:val="002F4CE9"/>
    <w:rsid w:val="002F599E"/>
    <w:rsid w:val="002F72F4"/>
    <w:rsid w:val="003008D8"/>
    <w:rsid w:val="00301D9A"/>
    <w:rsid w:val="003035E2"/>
    <w:rsid w:val="00303959"/>
    <w:rsid w:val="00306E72"/>
    <w:rsid w:val="0030726D"/>
    <w:rsid w:val="0030788C"/>
    <w:rsid w:val="00310B60"/>
    <w:rsid w:val="00312AC3"/>
    <w:rsid w:val="00312E92"/>
    <w:rsid w:val="00314430"/>
    <w:rsid w:val="003163BC"/>
    <w:rsid w:val="00317D32"/>
    <w:rsid w:val="003212D9"/>
    <w:rsid w:val="0032351A"/>
    <w:rsid w:val="0032388B"/>
    <w:rsid w:val="00324B33"/>
    <w:rsid w:val="00326B45"/>
    <w:rsid w:val="00327488"/>
    <w:rsid w:val="00327F20"/>
    <w:rsid w:val="00336FE1"/>
    <w:rsid w:val="00337BD8"/>
    <w:rsid w:val="00342D56"/>
    <w:rsid w:val="003456E7"/>
    <w:rsid w:val="00346EC2"/>
    <w:rsid w:val="003477F9"/>
    <w:rsid w:val="00350286"/>
    <w:rsid w:val="00352D3F"/>
    <w:rsid w:val="00352EA2"/>
    <w:rsid w:val="00353DED"/>
    <w:rsid w:val="00354353"/>
    <w:rsid w:val="0035444D"/>
    <w:rsid w:val="00356D62"/>
    <w:rsid w:val="00357089"/>
    <w:rsid w:val="00357F32"/>
    <w:rsid w:val="0036028C"/>
    <w:rsid w:val="00363EE3"/>
    <w:rsid w:val="003641A3"/>
    <w:rsid w:val="00371D15"/>
    <w:rsid w:val="003735F3"/>
    <w:rsid w:val="00374729"/>
    <w:rsid w:val="00380A59"/>
    <w:rsid w:val="00386577"/>
    <w:rsid w:val="00387298"/>
    <w:rsid w:val="00387984"/>
    <w:rsid w:val="00391BD8"/>
    <w:rsid w:val="00392B7D"/>
    <w:rsid w:val="00392FD4"/>
    <w:rsid w:val="003950B4"/>
    <w:rsid w:val="00395140"/>
    <w:rsid w:val="0039634E"/>
    <w:rsid w:val="00396400"/>
    <w:rsid w:val="003A2422"/>
    <w:rsid w:val="003A324A"/>
    <w:rsid w:val="003A6238"/>
    <w:rsid w:val="003B149C"/>
    <w:rsid w:val="003B4FED"/>
    <w:rsid w:val="003B6B93"/>
    <w:rsid w:val="003C0FDB"/>
    <w:rsid w:val="003C1192"/>
    <w:rsid w:val="003C55E2"/>
    <w:rsid w:val="003C63D5"/>
    <w:rsid w:val="003C7AA8"/>
    <w:rsid w:val="003D087F"/>
    <w:rsid w:val="003D1523"/>
    <w:rsid w:val="003D58DC"/>
    <w:rsid w:val="003D6B84"/>
    <w:rsid w:val="003D6C1A"/>
    <w:rsid w:val="003D71A1"/>
    <w:rsid w:val="003E0C21"/>
    <w:rsid w:val="003E1980"/>
    <w:rsid w:val="003E4D8B"/>
    <w:rsid w:val="003E4E09"/>
    <w:rsid w:val="003E5F80"/>
    <w:rsid w:val="003E6035"/>
    <w:rsid w:val="003F060A"/>
    <w:rsid w:val="003F1C0C"/>
    <w:rsid w:val="003F6191"/>
    <w:rsid w:val="003F760A"/>
    <w:rsid w:val="00402BCD"/>
    <w:rsid w:val="00404A1D"/>
    <w:rsid w:val="00405A22"/>
    <w:rsid w:val="004155AB"/>
    <w:rsid w:val="0041688F"/>
    <w:rsid w:val="0042376F"/>
    <w:rsid w:val="004246B8"/>
    <w:rsid w:val="004248F1"/>
    <w:rsid w:val="00426578"/>
    <w:rsid w:val="00433318"/>
    <w:rsid w:val="0043534D"/>
    <w:rsid w:val="00436600"/>
    <w:rsid w:val="004411D9"/>
    <w:rsid w:val="00441C5D"/>
    <w:rsid w:val="00442A56"/>
    <w:rsid w:val="004444B0"/>
    <w:rsid w:val="0045060B"/>
    <w:rsid w:val="00451EB7"/>
    <w:rsid w:val="00452AD0"/>
    <w:rsid w:val="00454A90"/>
    <w:rsid w:val="00454B7E"/>
    <w:rsid w:val="004626FF"/>
    <w:rsid w:val="0046285C"/>
    <w:rsid w:val="00470A52"/>
    <w:rsid w:val="00471BD5"/>
    <w:rsid w:val="00472C58"/>
    <w:rsid w:val="0047593D"/>
    <w:rsid w:val="00477C4E"/>
    <w:rsid w:val="00477F07"/>
    <w:rsid w:val="0048078F"/>
    <w:rsid w:val="00481503"/>
    <w:rsid w:val="00481D12"/>
    <w:rsid w:val="0048424D"/>
    <w:rsid w:val="004854A6"/>
    <w:rsid w:val="00491A55"/>
    <w:rsid w:val="004930D7"/>
    <w:rsid w:val="0049335B"/>
    <w:rsid w:val="00494C3E"/>
    <w:rsid w:val="00497DF1"/>
    <w:rsid w:val="004A318E"/>
    <w:rsid w:val="004A4590"/>
    <w:rsid w:val="004A45D4"/>
    <w:rsid w:val="004A57E8"/>
    <w:rsid w:val="004A690D"/>
    <w:rsid w:val="004B3081"/>
    <w:rsid w:val="004B3FE8"/>
    <w:rsid w:val="004B4A09"/>
    <w:rsid w:val="004B53A3"/>
    <w:rsid w:val="004B68E0"/>
    <w:rsid w:val="004C4067"/>
    <w:rsid w:val="004C41CE"/>
    <w:rsid w:val="004C4895"/>
    <w:rsid w:val="004C631B"/>
    <w:rsid w:val="004C6EB2"/>
    <w:rsid w:val="004C735C"/>
    <w:rsid w:val="004D0933"/>
    <w:rsid w:val="004D2F00"/>
    <w:rsid w:val="004D31D8"/>
    <w:rsid w:val="004D35D1"/>
    <w:rsid w:val="004D4AD5"/>
    <w:rsid w:val="004D5388"/>
    <w:rsid w:val="004D6308"/>
    <w:rsid w:val="004E085E"/>
    <w:rsid w:val="004E0CBC"/>
    <w:rsid w:val="004E2C63"/>
    <w:rsid w:val="004E44AE"/>
    <w:rsid w:val="004E7F16"/>
    <w:rsid w:val="004F18EC"/>
    <w:rsid w:val="004F1AFB"/>
    <w:rsid w:val="004F6FE5"/>
    <w:rsid w:val="00500D68"/>
    <w:rsid w:val="00504593"/>
    <w:rsid w:val="00505322"/>
    <w:rsid w:val="0050575F"/>
    <w:rsid w:val="00512EC2"/>
    <w:rsid w:val="0051347D"/>
    <w:rsid w:val="00516B1B"/>
    <w:rsid w:val="00517337"/>
    <w:rsid w:val="00520919"/>
    <w:rsid w:val="00524867"/>
    <w:rsid w:val="00524E24"/>
    <w:rsid w:val="0053060D"/>
    <w:rsid w:val="0053377D"/>
    <w:rsid w:val="00535DFE"/>
    <w:rsid w:val="005373B5"/>
    <w:rsid w:val="00537833"/>
    <w:rsid w:val="00537AB7"/>
    <w:rsid w:val="00540027"/>
    <w:rsid w:val="00541012"/>
    <w:rsid w:val="0054589A"/>
    <w:rsid w:val="0054669B"/>
    <w:rsid w:val="00546F6B"/>
    <w:rsid w:val="0055074D"/>
    <w:rsid w:val="005543F9"/>
    <w:rsid w:val="0055707D"/>
    <w:rsid w:val="00557684"/>
    <w:rsid w:val="00560EC1"/>
    <w:rsid w:val="005610D1"/>
    <w:rsid w:val="00562F42"/>
    <w:rsid w:val="00564278"/>
    <w:rsid w:val="00564816"/>
    <w:rsid w:val="005651C3"/>
    <w:rsid w:val="005656D3"/>
    <w:rsid w:val="00565739"/>
    <w:rsid w:val="0056766D"/>
    <w:rsid w:val="005676CB"/>
    <w:rsid w:val="00575215"/>
    <w:rsid w:val="005775D0"/>
    <w:rsid w:val="00581138"/>
    <w:rsid w:val="0058575E"/>
    <w:rsid w:val="00585C78"/>
    <w:rsid w:val="00587043"/>
    <w:rsid w:val="0058783C"/>
    <w:rsid w:val="005911AE"/>
    <w:rsid w:val="00591FA4"/>
    <w:rsid w:val="005926E2"/>
    <w:rsid w:val="00592CB0"/>
    <w:rsid w:val="0059313A"/>
    <w:rsid w:val="00593B7C"/>
    <w:rsid w:val="00597C25"/>
    <w:rsid w:val="005A4134"/>
    <w:rsid w:val="005A545D"/>
    <w:rsid w:val="005A54EA"/>
    <w:rsid w:val="005A59E1"/>
    <w:rsid w:val="005A6E58"/>
    <w:rsid w:val="005A72F5"/>
    <w:rsid w:val="005B023F"/>
    <w:rsid w:val="005B02A2"/>
    <w:rsid w:val="005B1417"/>
    <w:rsid w:val="005B69CF"/>
    <w:rsid w:val="005C3F07"/>
    <w:rsid w:val="005C4B46"/>
    <w:rsid w:val="005C4F65"/>
    <w:rsid w:val="005C5447"/>
    <w:rsid w:val="005C5DC5"/>
    <w:rsid w:val="005C7CBA"/>
    <w:rsid w:val="005D0B70"/>
    <w:rsid w:val="005D0E1E"/>
    <w:rsid w:val="005D2089"/>
    <w:rsid w:val="005D54E4"/>
    <w:rsid w:val="005D7514"/>
    <w:rsid w:val="005E0FC6"/>
    <w:rsid w:val="005E1A7B"/>
    <w:rsid w:val="005E231F"/>
    <w:rsid w:val="005E7275"/>
    <w:rsid w:val="005F4C97"/>
    <w:rsid w:val="006010A0"/>
    <w:rsid w:val="00602D6E"/>
    <w:rsid w:val="00605C05"/>
    <w:rsid w:val="00606BDD"/>
    <w:rsid w:val="00606DAE"/>
    <w:rsid w:val="00611351"/>
    <w:rsid w:val="0061217D"/>
    <w:rsid w:val="006129AE"/>
    <w:rsid w:val="00614349"/>
    <w:rsid w:val="00616FAD"/>
    <w:rsid w:val="0062314C"/>
    <w:rsid w:val="006269A7"/>
    <w:rsid w:val="006277A1"/>
    <w:rsid w:val="00633BD7"/>
    <w:rsid w:val="00634580"/>
    <w:rsid w:val="00634884"/>
    <w:rsid w:val="00635168"/>
    <w:rsid w:val="006351D9"/>
    <w:rsid w:val="00637130"/>
    <w:rsid w:val="00637F0E"/>
    <w:rsid w:val="006423F2"/>
    <w:rsid w:val="006428C5"/>
    <w:rsid w:val="00642D39"/>
    <w:rsid w:val="00650234"/>
    <w:rsid w:val="00650CA8"/>
    <w:rsid w:val="006564AB"/>
    <w:rsid w:val="0065742D"/>
    <w:rsid w:val="0066044B"/>
    <w:rsid w:val="006630AA"/>
    <w:rsid w:val="00663544"/>
    <w:rsid w:val="00664AFD"/>
    <w:rsid w:val="00664BBB"/>
    <w:rsid w:val="00666539"/>
    <w:rsid w:val="00666911"/>
    <w:rsid w:val="006745EC"/>
    <w:rsid w:val="00674E5F"/>
    <w:rsid w:val="006756F9"/>
    <w:rsid w:val="00675F81"/>
    <w:rsid w:val="0068143E"/>
    <w:rsid w:val="0068507D"/>
    <w:rsid w:val="00691311"/>
    <w:rsid w:val="00691AF2"/>
    <w:rsid w:val="0069277F"/>
    <w:rsid w:val="00692B80"/>
    <w:rsid w:val="00692CCD"/>
    <w:rsid w:val="00692D51"/>
    <w:rsid w:val="0069384B"/>
    <w:rsid w:val="00694030"/>
    <w:rsid w:val="00694DD7"/>
    <w:rsid w:val="0069636B"/>
    <w:rsid w:val="006A1762"/>
    <w:rsid w:val="006A19CE"/>
    <w:rsid w:val="006A1F0B"/>
    <w:rsid w:val="006A277A"/>
    <w:rsid w:val="006A3059"/>
    <w:rsid w:val="006A3B54"/>
    <w:rsid w:val="006A3C3B"/>
    <w:rsid w:val="006A5973"/>
    <w:rsid w:val="006B04F3"/>
    <w:rsid w:val="006B083B"/>
    <w:rsid w:val="006B1325"/>
    <w:rsid w:val="006B28AC"/>
    <w:rsid w:val="006B5E64"/>
    <w:rsid w:val="006B7126"/>
    <w:rsid w:val="006C3C26"/>
    <w:rsid w:val="006C5036"/>
    <w:rsid w:val="006C6B86"/>
    <w:rsid w:val="006D4553"/>
    <w:rsid w:val="006D4556"/>
    <w:rsid w:val="006D4A35"/>
    <w:rsid w:val="006D67F8"/>
    <w:rsid w:val="006D6B44"/>
    <w:rsid w:val="006E04D8"/>
    <w:rsid w:val="006E0F71"/>
    <w:rsid w:val="006E27FE"/>
    <w:rsid w:val="00701110"/>
    <w:rsid w:val="007027C0"/>
    <w:rsid w:val="00702E91"/>
    <w:rsid w:val="0070330F"/>
    <w:rsid w:val="00703624"/>
    <w:rsid w:val="007046ED"/>
    <w:rsid w:val="0070541F"/>
    <w:rsid w:val="00705E41"/>
    <w:rsid w:val="007072A1"/>
    <w:rsid w:val="007073F1"/>
    <w:rsid w:val="00710302"/>
    <w:rsid w:val="0071060C"/>
    <w:rsid w:val="007107FA"/>
    <w:rsid w:val="00710BC5"/>
    <w:rsid w:val="007121CA"/>
    <w:rsid w:val="00712706"/>
    <w:rsid w:val="00714CD0"/>
    <w:rsid w:val="00714D6A"/>
    <w:rsid w:val="0072003B"/>
    <w:rsid w:val="00721059"/>
    <w:rsid w:val="007211E6"/>
    <w:rsid w:val="00721556"/>
    <w:rsid w:val="007220C4"/>
    <w:rsid w:val="007305ED"/>
    <w:rsid w:val="00730743"/>
    <w:rsid w:val="007311B9"/>
    <w:rsid w:val="00732361"/>
    <w:rsid w:val="007357B9"/>
    <w:rsid w:val="00741AB9"/>
    <w:rsid w:val="00742C9F"/>
    <w:rsid w:val="00742D03"/>
    <w:rsid w:val="0074399B"/>
    <w:rsid w:val="00744216"/>
    <w:rsid w:val="007452E8"/>
    <w:rsid w:val="00746990"/>
    <w:rsid w:val="00746AF6"/>
    <w:rsid w:val="00746E6A"/>
    <w:rsid w:val="00747093"/>
    <w:rsid w:val="00750D70"/>
    <w:rsid w:val="00754ADC"/>
    <w:rsid w:val="007563BE"/>
    <w:rsid w:val="007575D0"/>
    <w:rsid w:val="007628FA"/>
    <w:rsid w:val="00763D05"/>
    <w:rsid w:val="007662E0"/>
    <w:rsid w:val="00770326"/>
    <w:rsid w:val="007728A7"/>
    <w:rsid w:val="0077441F"/>
    <w:rsid w:val="00776E9C"/>
    <w:rsid w:val="007815DE"/>
    <w:rsid w:val="007816D8"/>
    <w:rsid w:val="00784150"/>
    <w:rsid w:val="00784F85"/>
    <w:rsid w:val="00787133"/>
    <w:rsid w:val="00793272"/>
    <w:rsid w:val="0079499A"/>
    <w:rsid w:val="00794B64"/>
    <w:rsid w:val="007967C3"/>
    <w:rsid w:val="007A0A33"/>
    <w:rsid w:val="007A4902"/>
    <w:rsid w:val="007A6FB7"/>
    <w:rsid w:val="007B018D"/>
    <w:rsid w:val="007B04DE"/>
    <w:rsid w:val="007B0AE6"/>
    <w:rsid w:val="007B0B0B"/>
    <w:rsid w:val="007B1057"/>
    <w:rsid w:val="007B6182"/>
    <w:rsid w:val="007C07B9"/>
    <w:rsid w:val="007C0F0B"/>
    <w:rsid w:val="007C2A1F"/>
    <w:rsid w:val="007C57BC"/>
    <w:rsid w:val="007C5EAC"/>
    <w:rsid w:val="007D04CA"/>
    <w:rsid w:val="007D0A2B"/>
    <w:rsid w:val="007D12A1"/>
    <w:rsid w:val="007D332C"/>
    <w:rsid w:val="007D40E5"/>
    <w:rsid w:val="007D4138"/>
    <w:rsid w:val="007D5F71"/>
    <w:rsid w:val="007E336D"/>
    <w:rsid w:val="007E4178"/>
    <w:rsid w:val="007E6443"/>
    <w:rsid w:val="007F0A77"/>
    <w:rsid w:val="007F1E37"/>
    <w:rsid w:val="007F4650"/>
    <w:rsid w:val="007F50D3"/>
    <w:rsid w:val="007F6B1F"/>
    <w:rsid w:val="00800F92"/>
    <w:rsid w:val="008013F0"/>
    <w:rsid w:val="00802053"/>
    <w:rsid w:val="00803926"/>
    <w:rsid w:val="00804897"/>
    <w:rsid w:val="00806777"/>
    <w:rsid w:val="008102CC"/>
    <w:rsid w:val="008107C2"/>
    <w:rsid w:val="00812683"/>
    <w:rsid w:val="00815E9D"/>
    <w:rsid w:val="00823117"/>
    <w:rsid w:val="00824D5F"/>
    <w:rsid w:val="008329DB"/>
    <w:rsid w:val="00833715"/>
    <w:rsid w:val="00834653"/>
    <w:rsid w:val="008353E7"/>
    <w:rsid w:val="00835D42"/>
    <w:rsid w:val="008361C5"/>
    <w:rsid w:val="0083628F"/>
    <w:rsid w:val="0083638B"/>
    <w:rsid w:val="008378BA"/>
    <w:rsid w:val="00837AB9"/>
    <w:rsid w:val="00840F9E"/>
    <w:rsid w:val="00841F37"/>
    <w:rsid w:val="00850637"/>
    <w:rsid w:val="0085229D"/>
    <w:rsid w:val="00852B88"/>
    <w:rsid w:val="00854D98"/>
    <w:rsid w:val="008550D6"/>
    <w:rsid w:val="0085751E"/>
    <w:rsid w:val="00860B29"/>
    <w:rsid w:val="008622E8"/>
    <w:rsid w:val="0086369D"/>
    <w:rsid w:val="008645EE"/>
    <w:rsid w:val="00866979"/>
    <w:rsid w:val="00870144"/>
    <w:rsid w:val="0087072C"/>
    <w:rsid w:val="00871312"/>
    <w:rsid w:val="00871781"/>
    <w:rsid w:val="00873162"/>
    <w:rsid w:val="00873D7A"/>
    <w:rsid w:val="00875260"/>
    <w:rsid w:val="00877CB3"/>
    <w:rsid w:val="008804CF"/>
    <w:rsid w:val="00882D58"/>
    <w:rsid w:val="00882F19"/>
    <w:rsid w:val="00883D35"/>
    <w:rsid w:val="00884569"/>
    <w:rsid w:val="0088756F"/>
    <w:rsid w:val="00887A51"/>
    <w:rsid w:val="0089038A"/>
    <w:rsid w:val="00890D9B"/>
    <w:rsid w:val="0089119E"/>
    <w:rsid w:val="0089167A"/>
    <w:rsid w:val="00891C6C"/>
    <w:rsid w:val="00893CCD"/>
    <w:rsid w:val="008964B3"/>
    <w:rsid w:val="008A06C1"/>
    <w:rsid w:val="008A3262"/>
    <w:rsid w:val="008A38E9"/>
    <w:rsid w:val="008A6FFB"/>
    <w:rsid w:val="008B0C3F"/>
    <w:rsid w:val="008B162D"/>
    <w:rsid w:val="008B1CB5"/>
    <w:rsid w:val="008B1CEA"/>
    <w:rsid w:val="008B1E52"/>
    <w:rsid w:val="008B400C"/>
    <w:rsid w:val="008B5F95"/>
    <w:rsid w:val="008B68F9"/>
    <w:rsid w:val="008C09F7"/>
    <w:rsid w:val="008C2D69"/>
    <w:rsid w:val="008C305B"/>
    <w:rsid w:val="008C4579"/>
    <w:rsid w:val="008C49C6"/>
    <w:rsid w:val="008C6C6A"/>
    <w:rsid w:val="008C726B"/>
    <w:rsid w:val="008C754C"/>
    <w:rsid w:val="008D2C1E"/>
    <w:rsid w:val="008D3A92"/>
    <w:rsid w:val="008D4CAA"/>
    <w:rsid w:val="008D56C9"/>
    <w:rsid w:val="008D56CA"/>
    <w:rsid w:val="008D6A54"/>
    <w:rsid w:val="008E165B"/>
    <w:rsid w:val="008E2585"/>
    <w:rsid w:val="008E2D7A"/>
    <w:rsid w:val="008E3F3C"/>
    <w:rsid w:val="008F1D95"/>
    <w:rsid w:val="008F3215"/>
    <w:rsid w:val="008F4484"/>
    <w:rsid w:val="008F4A62"/>
    <w:rsid w:val="008F5BC1"/>
    <w:rsid w:val="008F7256"/>
    <w:rsid w:val="00902FF8"/>
    <w:rsid w:val="0090424C"/>
    <w:rsid w:val="00904617"/>
    <w:rsid w:val="0090605E"/>
    <w:rsid w:val="00906898"/>
    <w:rsid w:val="00906C74"/>
    <w:rsid w:val="009108CE"/>
    <w:rsid w:val="00915A9F"/>
    <w:rsid w:val="00920387"/>
    <w:rsid w:val="009213C1"/>
    <w:rsid w:val="009220B6"/>
    <w:rsid w:val="009232E0"/>
    <w:rsid w:val="00923C72"/>
    <w:rsid w:val="009266BA"/>
    <w:rsid w:val="00930D58"/>
    <w:rsid w:val="00930ED0"/>
    <w:rsid w:val="00931133"/>
    <w:rsid w:val="009328A2"/>
    <w:rsid w:val="009352E3"/>
    <w:rsid w:val="00935AAA"/>
    <w:rsid w:val="00936D07"/>
    <w:rsid w:val="00940C80"/>
    <w:rsid w:val="00943BED"/>
    <w:rsid w:val="009455B8"/>
    <w:rsid w:val="0095031E"/>
    <w:rsid w:val="009537A9"/>
    <w:rsid w:val="00954297"/>
    <w:rsid w:val="0095436A"/>
    <w:rsid w:val="00955D7B"/>
    <w:rsid w:val="0095688D"/>
    <w:rsid w:val="0095776A"/>
    <w:rsid w:val="00960A56"/>
    <w:rsid w:val="00961B71"/>
    <w:rsid w:val="0096372A"/>
    <w:rsid w:val="00964497"/>
    <w:rsid w:val="0096491A"/>
    <w:rsid w:val="00966EF1"/>
    <w:rsid w:val="00967223"/>
    <w:rsid w:val="00974ABA"/>
    <w:rsid w:val="009751F7"/>
    <w:rsid w:val="00977011"/>
    <w:rsid w:val="00980E89"/>
    <w:rsid w:val="0098168B"/>
    <w:rsid w:val="00981BD3"/>
    <w:rsid w:val="00982A7C"/>
    <w:rsid w:val="0098350E"/>
    <w:rsid w:val="00990C12"/>
    <w:rsid w:val="009934A8"/>
    <w:rsid w:val="0099404F"/>
    <w:rsid w:val="00995C05"/>
    <w:rsid w:val="00996FA5"/>
    <w:rsid w:val="009B5662"/>
    <w:rsid w:val="009C0688"/>
    <w:rsid w:val="009C2211"/>
    <w:rsid w:val="009C3F63"/>
    <w:rsid w:val="009C40E8"/>
    <w:rsid w:val="009C45C5"/>
    <w:rsid w:val="009C724C"/>
    <w:rsid w:val="009D245D"/>
    <w:rsid w:val="009E23DE"/>
    <w:rsid w:val="009E2709"/>
    <w:rsid w:val="009E6858"/>
    <w:rsid w:val="009E6F8C"/>
    <w:rsid w:val="009E7BAE"/>
    <w:rsid w:val="009F405F"/>
    <w:rsid w:val="009F5302"/>
    <w:rsid w:val="009F689D"/>
    <w:rsid w:val="009F6ECB"/>
    <w:rsid w:val="00A01C56"/>
    <w:rsid w:val="00A0464D"/>
    <w:rsid w:val="00A0668E"/>
    <w:rsid w:val="00A1557F"/>
    <w:rsid w:val="00A16F11"/>
    <w:rsid w:val="00A215C4"/>
    <w:rsid w:val="00A25561"/>
    <w:rsid w:val="00A256EF"/>
    <w:rsid w:val="00A314F6"/>
    <w:rsid w:val="00A32C50"/>
    <w:rsid w:val="00A34A9B"/>
    <w:rsid w:val="00A358E7"/>
    <w:rsid w:val="00A360F4"/>
    <w:rsid w:val="00A4380B"/>
    <w:rsid w:val="00A43E28"/>
    <w:rsid w:val="00A51391"/>
    <w:rsid w:val="00A51818"/>
    <w:rsid w:val="00A51A2D"/>
    <w:rsid w:val="00A555D6"/>
    <w:rsid w:val="00A5596B"/>
    <w:rsid w:val="00A57C27"/>
    <w:rsid w:val="00A63C07"/>
    <w:rsid w:val="00A63D9B"/>
    <w:rsid w:val="00A674AD"/>
    <w:rsid w:val="00A704DC"/>
    <w:rsid w:val="00A71786"/>
    <w:rsid w:val="00A73C96"/>
    <w:rsid w:val="00A8612B"/>
    <w:rsid w:val="00A8680B"/>
    <w:rsid w:val="00A906EC"/>
    <w:rsid w:val="00A91735"/>
    <w:rsid w:val="00A91FDB"/>
    <w:rsid w:val="00A93106"/>
    <w:rsid w:val="00A93810"/>
    <w:rsid w:val="00A93DC6"/>
    <w:rsid w:val="00A9411A"/>
    <w:rsid w:val="00A954FC"/>
    <w:rsid w:val="00A96254"/>
    <w:rsid w:val="00A97E1D"/>
    <w:rsid w:val="00AA0F23"/>
    <w:rsid w:val="00AA1352"/>
    <w:rsid w:val="00AA4A4B"/>
    <w:rsid w:val="00AA6682"/>
    <w:rsid w:val="00AB0613"/>
    <w:rsid w:val="00AB2BA8"/>
    <w:rsid w:val="00AB4A7D"/>
    <w:rsid w:val="00AB7C5C"/>
    <w:rsid w:val="00AB7CBF"/>
    <w:rsid w:val="00AC6591"/>
    <w:rsid w:val="00AD0111"/>
    <w:rsid w:val="00AD0B68"/>
    <w:rsid w:val="00AD3877"/>
    <w:rsid w:val="00AD40C3"/>
    <w:rsid w:val="00AD4C72"/>
    <w:rsid w:val="00AD5451"/>
    <w:rsid w:val="00AD57D3"/>
    <w:rsid w:val="00AE1947"/>
    <w:rsid w:val="00AE41E8"/>
    <w:rsid w:val="00AE4A80"/>
    <w:rsid w:val="00AE4F11"/>
    <w:rsid w:val="00AE6142"/>
    <w:rsid w:val="00AF1442"/>
    <w:rsid w:val="00AF1C8B"/>
    <w:rsid w:val="00AF299B"/>
    <w:rsid w:val="00AF3296"/>
    <w:rsid w:val="00AF3423"/>
    <w:rsid w:val="00AF73BF"/>
    <w:rsid w:val="00AF7E43"/>
    <w:rsid w:val="00B02AE0"/>
    <w:rsid w:val="00B03F25"/>
    <w:rsid w:val="00B05326"/>
    <w:rsid w:val="00B10009"/>
    <w:rsid w:val="00B10172"/>
    <w:rsid w:val="00B10405"/>
    <w:rsid w:val="00B13A46"/>
    <w:rsid w:val="00B14116"/>
    <w:rsid w:val="00B14545"/>
    <w:rsid w:val="00B14E60"/>
    <w:rsid w:val="00B16BA5"/>
    <w:rsid w:val="00B17BA2"/>
    <w:rsid w:val="00B21499"/>
    <w:rsid w:val="00B21EA7"/>
    <w:rsid w:val="00B22C1B"/>
    <w:rsid w:val="00B26DC3"/>
    <w:rsid w:val="00B278C4"/>
    <w:rsid w:val="00B30B9D"/>
    <w:rsid w:val="00B32AA3"/>
    <w:rsid w:val="00B368F3"/>
    <w:rsid w:val="00B41822"/>
    <w:rsid w:val="00B41A3C"/>
    <w:rsid w:val="00B44274"/>
    <w:rsid w:val="00B455DA"/>
    <w:rsid w:val="00B4574D"/>
    <w:rsid w:val="00B468E1"/>
    <w:rsid w:val="00B46BC0"/>
    <w:rsid w:val="00B46DFB"/>
    <w:rsid w:val="00B46FE4"/>
    <w:rsid w:val="00B500EB"/>
    <w:rsid w:val="00B505B1"/>
    <w:rsid w:val="00B5141B"/>
    <w:rsid w:val="00B53652"/>
    <w:rsid w:val="00B54BA4"/>
    <w:rsid w:val="00B55681"/>
    <w:rsid w:val="00B55BAC"/>
    <w:rsid w:val="00B56821"/>
    <w:rsid w:val="00B56EAC"/>
    <w:rsid w:val="00B57AAD"/>
    <w:rsid w:val="00B6001A"/>
    <w:rsid w:val="00B6374E"/>
    <w:rsid w:val="00B64C41"/>
    <w:rsid w:val="00B71A63"/>
    <w:rsid w:val="00B71EC6"/>
    <w:rsid w:val="00B72372"/>
    <w:rsid w:val="00B728C5"/>
    <w:rsid w:val="00B72B16"/>
    <w:rsid w:val="00B80408"/>
    <w:rsid w:val="00B81397"/>
    <w:rsid w:val="00B823C4"/>
    <w:rsid w:val="00B85BAE"/>
    <w:rsid w:val="00B925DB"/>
    <w:rsid w:val="00B967FF"/>
    <w:rsid w:val="00B974B9"/>
    <w:rsid w:val="00BA02A1"/>
    <w:rsid w:val="00BA3F6D"/>
    <w:rsid w:val="00BA4256"/>
    <w:rsid w:val="00BA4BE6"/>
    <w:rsid w:val="00BA4FC0"/>
    <w:rsid w:val="00BA61E0"/>
    <w:rsid w:val="00BA657C"/>
    <w:rsid w:val="00BA7F7D"/>
    <w:rsid w:val="00BB0D88"/>
    <w:rsid w:val="00BB18E7"/>
    <w:rsid w:val="00BB1C14"/>
    <w:rsid w:val="00BB28AD"/>
    <w:rsid w:val="00BB5C98"/>
    <w:rsid w:val="00BB6847"/>
    <w:rsid w:val="00BB6CFF"/>
    <w:rsid w:val="00BB7F8F"/>
    <w:rsid w:val="00BC2323"/>
    <w:rsid w:val="00BC2465"/>
    <w:rsid w:val="00BC3055"/>
    <w:rsid w:val="00BC3860"/>
    <w:rsid w:val="00BC58FC"/>
    <w:rsid w:val="00BC716A"/>
    <w:rsid w:val="00BD0309"/>
    <w:rsid w:val="00BD07DF"/>
    <w:rsid w:val="00BD0CB8"/>
    <w:rsid w:val="00BD26F4"/>
    <w:rsid w:val="00BD5DBD"/>
    <w:rsid w:val="00BD5DF6"/>
    <w:rsid w:val="00BE0041"/>
    <w:rsid w:val="00BE55EB"/>
    <w:rsid w:val="00BE6171"/>
    <w:rsid w:val="00BE640F"/>
    <w:rsid w:val="00BE6D2A"/>
    <w:rsid w:val="00BF17D4"/>
    <w:rsid w:val="00BF3AA1"/>
    <w:rsid w:val="00BF4638"/>
    <w:rsid w:val="00BF5130"/>
    <w:rsid w:val="00BF6FDB"/>
    <w:rsid w:val="00C00844"/>
    <w:rsid w:val="00C037A2"/>
    <w:rsid w:val="00C059D0"/>
    <w:rsid w:val="00C06572"/>
    <w:rsid w:val="00C07551"/>
    <w:rsid w:val="00C1109F"/>
    <w:rsid w:val="00C12D65"/>
    <w:rsid w:val="00C133AB"/>
    <w:rsid w:val="00C14236"/>
    <w:rsid w:val="00C16E46"/>
    <w:rsid w:val="00C20764"/>
    <w:rsid w:val="00C20B56"/>
    <w:rsid w:val="00C20F06"/>
    <w:rsid w:val="00C22214"/>
    <w:rsid w:val="00C23D24"/>
    <w:rsid w:val="00C24974"/>
    <w:rsid w:val="00C26F72"/>
    <w:rsid w:val="00C30781"/>
    <w:rsid w:val="00C309A7"/>
    <w:rsid w:val="00C3117E"/>
    <w:rsid w:val="00C3245F"/>
    <w:rsid w:val="00C332BF"/>
    <w:rsid w:val="00C335AB"/>
    <w:rsid w:val="00C34674"/>
    <w:rsid w:val="00C350A0"/>
    <w:rsid w:val="00C407AB"/>
    <w:rsid w:val="00C42185"/>
    <w:rsid w:val="00C4333E"/>
    <w:rsid w:val="00C47B04"/>
    <w:rsid w:val="00C52B7B"/>
    <w:rsid w:val="00C547CD"/>
    <w:rsid w:val="00C570FF"/>
    <w:rsid w:val="00C57CEA"/>
    <w:rsid w:val="00C60FEC"/>
    <w:rsid w:val="00C62B1C"/>
    <w:rsid w:val="00C62F02"/>
    <w:rsid w:val="00C63B77"/>
    <w:rsid w:val="00C6574E"/>
    <w:rsid w:val="00C663D1"/>
    <w:rsid w:val="00C707FD"/>
    <w:rsid w:val="00C70818"/>
    <w:rsid w:val="00C766B1"/>
    <w:rsid w:val="00C76DEB"/>
    <w:rsid w:val="00C801FB"/>
    <w:rsid w:val="00C811D8"/>
    <w:rsid w:val="00C816C6"/>
    <w:rsid w:val="00C81DDB"/>
    <w:rsid w:val="00C83166"/>
    <w:rsid w:val="00C863A7"/>
    <w:rsid w:val="00C87DD3"/>
    <w:rsid w:val="00C912F4"/>
    <w:rsid w:val="00C9156F"/>
    <w:rsid w:val="00C9276F"/>
    <w:rsid w:val="00C9581A"/>
    <w:rsid w:val="00C95E4B"/>
    <w:rsid w:val="00C95FAC"/>
    <w:rsid w:val="00C95FD3"/>
    <w:rsid w:val="00C9672F"/>
    <w:rsid w:val="00C97D29"/>
    <w:rsid w:val="00CA326E"/>
    <w:rsid w:val="00CA3673"/>
    <w:rsid w:val="00CB0550"/>
    <w:rsid w:val="00CB0F09"/>
    <w:rsid w:val="00CB2D45"/>
    <w:rsid w:val="00CB42F1"/>
    <w:rsid w:val="00CB5AD2"/>
    <w:rsid w:val="00CB6813"/>
    <w:rsid w:val="00CC0306"/>
    <w:rsid w:val="00CC4960"/>
    <w:rsid w:val="00CC4FDD"/>
    <w:rsid w:val="00CC5A82"/>
    <w:rsid w:val="00CC664A"/>
    <w:rsid w:val="00CD048B"/>
    <w:rsid w:val="00CD134D"/>
    <w:rsid w:val="00CD1A6C"/>
    <w:rsid w:val="00CD1DA7"/>
    <w:rsid w:val="00CD44BC"/>
    <w:rsid w:val="00CD5797"/>
    <w:rsid w:val="00CE2918"/>
    <w:rsid w:val="00CE7A56"/>
    <w:rsid w:val="00CF177E"/>
    <w:rsid w:val="00CF4F88"/>
    <w:rsid w:val="00CF6A55"/>
    <w:rsid w:val="00CF6DC6"/>
    <w:rsid w:val="00CF6DCF"/>
    <w:rsid w:val="00D01DDB"/>
    <w:rsid w:val="00D02F2A"/>
    <w:rsid w:val="00D03810"/>
    <w:rsid w:val="00D055B6"/>
    <w:rsid w:val="00D05BAA"/>
    <w:rsid w:val="00D06CF4"/>
    <w:rsid w:val="00D078BE"/>
    <w:rsid w:val="00D10E5F"/>
    <w:rsid w:val="00D13F8A"/>
    <w:rsid w:val="00D16F60"/>
    <w:rsid w:val="00D20A5F"/>
    <w:rsid w:val="00D21C2F"/>
    <w:rsid w:val="00D22981"/>
    <w:rsid w:val="00D24D60"/>
    <w:rsid w:val="00D317EF"/>
    <w:rsid w:val="00D32C26"/>
    <w:rsid w:val="00D331DD"/>
    <w:rsid w:val="00D3349B"/>
    <w:rsid w:val="00D418ED"/>
    <w:rsid w:val="00D424A8"/>
    <w:rsid w:val="00D42DE5"/>
    <w:rsid w:val="00D43FDE"/>
    <w:rsid w:val="00D44EFC"/>
    <w:rsid w:val="00D45E3B"/>
    <w:rsid w:val="00D46083"/>
    <w:rsid w:val="00D53FB1"/>
    <w:rsid w:val="00D6036F"/>
    <w:rsid w:val="00D620FF"/>
    <w:rsid w:val="00D62877"/>
    <w:rsid w:val="00D628C1"/>
    <w:rsid w:val="00D6290A"/>
    <w:rsid w:val="00D63760"/>
    <w:rsid w:val="00D65770"/>
    <w:rsid w:val="00D6703F"/>
    <w:rsid w:val="00D700E5"/>
    <w:rsid w:val="00D71E7C"/>
    <w:rsid w:val="00D71F20"/>
    <w:rsid w:val="00D734EB"/>
    <w:rsid w:val="00D7531C"/>
    <w:rsid w:val="00D75890"/>
    <w:rsid w:val="00D76C5B"/>
    <w:rsid w:val="00D809A3"/>
    <w:rsid w:val="00D82713"/>
    <w:rsid w:val="00D86F00"/>
    <w:rsid w:val="00D91129"/>
    <w:rsid w:val="00D918D5"/>
    <w:rsid w:val="00D92A08"/>
    <w:rsid w:val="00D93892"/>
    <w:rsid w:val="00D94C8E"/>
    <w:rsid w:val="00D97D11"/>
    <w:rsid w:val="00DA737C"/>
    <w:rsid w:val="00DB1372"/>
    <w:rsid w:val="00DB192C"/>
    <w:rsid w:val="00DB1CF3"/>
    <w:rsid w:val="00DB2C6F"/>
    <w:rsid w:val="00DB400F"/>
    <w:rsid w:val="00DB4813"/>
    <w:rsid w:val="00DB487E"/>
    <w:rsid w:val="00DB5425"/>
    <w:rsid w:val="00DB590B"/>
    <w:rsid w:val="00DB72A6"/>
    <w:rsid w:val="00DC026A"/>
    <w:rsid w:val="00DC2392"/>
    <w:rsid w:val="00DC33AF"/>
    <w:rsid w:val="00DC4810"/>
    <w:rsid w:val="00DC6611"/>
    <w:rsid w:val="00DD10E8"/>
    <w:rsid w:val="00DD2DC2"/>
    <w:rsid w:val="00DD5AFB"/>
    <w:rsid w:val="00DE1344"/>
    <w:rsid w:val="00DE6653"/>
    <w:rsid w:val="00DE68B8"/>
    <w:rsid w:val="00DE6C98"/>
    <w:rsid w:val="00DE74F2"/>
    <w:rsid w:val="00DF1CFD"/>
    <w:rsid w:val="00DF5BFE"/>
    <w:rsid w:val="00E02520"/>
    <w:rsid w:val="00E03F3D"/>
    <w:rsid w:val="00E04F41"/>
    <w:rsid w:val="00E0523F"/>
    <w:rsid w:val="00E06494"/>
    <w:rsid w:val="00E07EC4"/>
    <w:rsid w:val="00E11F4E"/>
    <w:rsid w:val="00E17BEE"/>
    <w:rsid w:val="00E2208F"/>
    <w:rsid w:val="00E23E50"/>
    <w:rsid w:val="00E2517F"/>
    <w:rsid w:val="00E25366"/>
    <w:rsid w:val="00E26213"/>
    <w:rsid w:val="00E271DA"/>
    <w:rsid w:val="00E274DF"/>
    <w:rsid w:val="00E30DC9"/>
    <w:rsid w:val="00E3241B"/>
    <w:rsid w:val="00E34751"/>
    <w:rsid w:val="00E34D66"/>
    <w:rsid w:val="00E362C4"/>
    <w:rsid w:val="00E363A2"/>
    <w:rsid w:val="00E37E4E"/>
    <w:rsid w:val="00E41A28"/>
    <w:rsid w:val="00E42044"/>
    <w:rsid w:val="00E422D3"/>
    <w:rsid w:val="00E44137"/>
    <w:rsid w:val="00E44177"/>
    <w:rsid w:val="00E44CF9"/>
    <w:rsid w:val="00E4572B"/>
    <w:rsid w:val="00E46CC2"/>
    <w:rsid w:val="00E47890"/>
    <w:rsid w:val="00E47E0C"/>
    <w:rsid w:val="00E50CCE"/>
    <w:rsid w:val="00E50EF3"/>
    <w:rsid w:val="00E51813"/>
    <w:rsid w:val="00E52C0B"/>
    <w:rsid w:val="00E53D3F"/>
    <w:rsid w:val="00E53EA3"/>
    <w:rsid w:val="00E5579B"/>
    <w:rsid w:val="00E558CE"/>
    <w:rsid w:val="00E56C3C"/>
    <w:rsid w:val="00E57FF4"/>
    <w:rsid w:val="00E6235E"/>
    <w:rsid w:val="00E63225"/>
    <w:rsid w:val="00E64ABC"/>
    <w:rsid w:val="00E6701F"/>
    <w:rsid w:val="00E679D1"/>
    <w:rsid w:val="00E67C1C"/>
    <w:rsid w:val="00E7193C"/>
    <w:rsid w:val="00E721A4"/>
    <w:rsid w:val="00E77156"/>
    <w:rsid w:val="00E828C1"/>
    <w:rsid w:val="00E901F0"/>
    <w:rsid w:val="00E90EC8"/>
    <w:rsid w:val="00E91F11"/>
    <w:rsid w:val="00E92B37"/>
    <w:rsid w:val="00E9706D"/>
    <w:rsid w:val="00EA03A3"/>
    <w:rsid w:val="00EA2A33"/>
    <w:rsid w:val="00EA3AF4"/>
    <w:rsid w:val="00EA757C"/>
    <w:rsid w:val="00EB6AE0"/>
    <w:rsid w:val="00EB76C3"/>
    <w:rsid w:val="00EC1E5F"/>
    <w:rsid w:val="00EC2EA0"/>
    <w:rsid w:val="00ED25D2"/>
    <w:rsid w:val="00ED44E9"/>
    <w:rsid w:val="00ED5DDE"/>
    <w:rsid w:val="00EE3A99"/>
    <w:rsid w:val="00EE4B01"/>
    <w:rsid w:val="00EF002A"/>
    <w:rsid w:val="00EF26C8"/>
    <w:rsid w:val="00EF27F3"/>
    <w:rsid w:val="00EF3F0B"/>
    <w:rsid w:val="00EF5583"/>
    <w:rsid w:val="00EF6715"/>
    <w:rsid w:val="00F0289D"/>
    <w:rsid w:val="00F02AEC"/>
    <w:rsid w:val="00F03B48"/>
    <w:rsid w:val="00F056EB"/>
    <w:rsid w:val="00F061D7"/>
    <w:rsid w:val="00F07572"/>
    <w:rsid w:val="00F1150C"/>
    <w:rsid w:val="00F14C2A"/>
    <w:rsid w:val="00F150AD"/>
    <w:rsid w:val="00F157FC"/>
    <w:rsid w:val="00F176B7"/>
    <w:rsid w:val="00F26A5E"/>
    <w:rsid w:val="00F30AF3"/>
    <w:rsid w:val="00F32825"/>
    <w:rsid w:val="00F328C9"/>
    <w:rsid w:val="00F3670D"/>
    <w:rsid w:val="00F43CD1"/>
    <w:rsid w:val="00F44D6B"/>
    <w:rsid w:val="00F45AE0"/>
    <w:rsid w:val="00F46D34"/>
    <w:rsid w:val="00F5074E"/>
    <w:rsid w:val="00F51779"/>
    <w:rsid w:val="00F51F84"/>
    <w:rsid w:val="00F520AA"/>
    <w:rsid w:val="00F526C4"/>
    <w:rsid w:val="00F554FB"/>
    <w:rsid w:val="00F55870"/>
    <w:rsid w:val="00F60CF2"/>
    <w:rsid w:val="00F61C25"/>
    <w:rsid w:val="00F61FAD"/>
    <w:rsid w:val="00F6409E"/>
    <w:rsid w:val="00F657B4"/>
    <w:rsid w:val="00F67F64"/>
    <w:rsid w:val="00F71C19"/>
    <w:rsid w:val="00F72725"/>
    <w:rsid w:val="00F72F52"/>
    <w:rsid w:val="00F75CD2"/>
    <w:rsid w:val="00F7649F"/>
    <w:rsid w:val="00F8083B"/>
    <w:rsid w:val="00F8144E"/>
    <w:rsid w:val="00F82D1B"/>
    <w:rsid w:val="00F8568E"/>
    <w:rsid w:val="00F865A7"/>
    <w:rsid w:val="00F925B3"/>
    <w:rsid w:val="00F94A87"/>
    <w:rsid w:val="00F96F2B"/>
    <w:rsid w:val="00F974E3"/>
    <w:rsid w:val="00FA02A1"/>
    <w:rsid w:val="00FA0754"/>
    <w:rsid w:val="00FA1BC9"/>
    <w:rsid w:val="00FA38A0"/>
    <w:rsid w:val="00FA3D6E"/>
    <w:rsid w:val="00FA49C3"/>
    <w:rsid w:val="00FA5F5B"/>
    <w:rsid w:val="00FB110A"/>
    <w:rsid w:val="00FB236E"/>
    <w:rsid w:val="00FB3EFA"/>
    <w:rsid w:val="00FB3F7B"/>
    <w:rsid w:val="00FB4C2A"/>
    <w:rsid w:val="00FC2107"/>
    <w:rsid w:val="00FC2500"/>
    <w:rsid w:val="00FC35E2"/>
    <w:rsid w:val="00FC45B1"/>
    <w:rsid w:val="00FC48FE"/>
    <w:rsid w:val="00FC6F56"/>
    <w:rsid w:val="00FC7809"/>
    <w:rsid w:val="00FC7870"/>
    <w:rsid w:val="00FD146D"/>
    <w:rsid w:val="00FE087C"/>
    <w:rsid w:val="00FE4140"/>
    <w:rsid w:val="00FE79A0"/>
    <w:rsid w:val="00FF0939"/>
    <w:rsid w:val="00FF1039"/>
    <w:rsid w:val="00FF20ED"/>
    <w:rsid w:val="00FF696B"/>
    <w:rsid w:val="00FF6F8C"/>
    <w:rsid w:val="00FF7BF7"/>
    <w:rsid w:val="00FF7D14"/>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009"/>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3F6191"/>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aliases w:val=" Char2,Annotationtext,Char2,Kommentartext Char"/>
    <w:basedOn w:val="Normal"/>
    <w:link w:val="CommentTextChar"/>
    <w:unhideWhenUsed/>
    <w:qFormat/>
    <w:rsid w:val="00E47E0C"/>
    <w:pPr>
      <w:spacing w:line="240" w:lineRule="auto"/>
    </w:pPr>
  </w:style>
  <w:style w:type="character" w:customStyle="1" w:styleId="CommentTextChar">
    <w:name w:val="Comment Text Char"/>
    <w:aliases w:val=" Char2 Char,Annotationtext Char,Char2 Char,Kommentartext Char Char"/>
    <w:basedOn w:val="DefaultParagraphFont"/>
    <w:link w:val="CommentText"/>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1"/>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styleId="BodyText">
    <w:name w:val="Body Text"/>
    <w:basedOn w:val="Normal"/>
    <w:link w:val="BodyTextChar"/>
    <w:uiPriority w:val="1"/>
    <w:qFormat/>
    <w:rsid w:val="0047593D"/>
    <w:pPr>
      <w:widowControl w:val="0"/>
      <w:autoSpaceDE w:val="0"/>
      <w:autoSpaceDN w:val="0"/>
      <w:spacing w:after="0" w:line="240" w:lineRule="auto"/>
    </w:pPr>
    <w:rPr>
      <w:rFonts w:eastAsia="Cambria" w:cs="Cambria"/>
      <w:szCs w:val="22"/>
      <w:lang w:val="en-US"/>
    </w:rPr>
  </w:style>
  <w:style w:type="character" w:customStyle="1" w:styleId="BodyTextChar">
    <w:name w:val="Body Text Char"/>
    <w:basedOn w:val="DefaultParagraphFont"/>
    <w:link w:val="BodyText"/>
    <w:uiPriority w:val="1"/>
    <w:rsid w:val="0047593D"/>
    <w:rPr>
      <w:rFonts w:ascii="Cambria" w:eastAsia="Cambria" w:hAnsi="Cambria" w:cs="Cambria"/>
      <w:sz w:val="22"/>
      <w:szCs w:val="22"/>
      <w:lang w:val="en-US"/>
    </w:rPr>
  </w:style>
  <w:style w:type="paragraph" w:customStyle="1" w:styleId="TableParagraph">
    <w:name w:val="Table Paragraph"/>
    <w:basedOn w:val="Normal"/>
    <w:uiPriority w:val="1"/>
    <w:qFormat/>
    <w:rsid w:val="00834653"/>
    <w:pPr>
      <w:widowControl w:val="0"/>
      <w:autoSpaceDE w:val="0"/>
      <w:autoSpaceDN w:val="0"/>
      <w:spacing w:before="71" w:after="0" w:line="240" w:lineRule="auto"/>
      <w:ind w:left="107"/>
    </w:pPr>
    <w:rPr>
      <w:rFonts w:ascii="Arial Narrow" w:eastAsia="Arial Narrow" w:hAnsi="Arial Narrow" w:cs="Arial Narrow"/>
      <w:szCs w:val="22"/>
      <w:lang w:val="en-US"/>
    </w:rPr>
  </w:style>
  <w:style w:type="character" w:customStyle="1" w:styleId="Heading7Char">
    <w:name w:val="Heading 7 Char"/>
    <w:basedOn w:val="DefaultParagraphFont"/>
    <w:link w:val="Heading7"/>
    <w:uiPriority w:val="9"/>
    <w:rsid w:val="003F6191"/>
    <w:rPr>
      <w:rFonts w:asciiTheme="majorHAnsi" w:eastAsiaTheme="majorEastAsia" w:hAnsiTheme="majorHAnsi" w:cstheme="majorBidi"/>
      <w:i/>
      <w:iCs/>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122385334">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s://www.tga.gov.au/how-we-regulate/supply-therapeutic-good-0/supply-prescription-medicine/application-process/prescription-medicines-registration-process" TargetMode="External"/><Relationship Id="rId34" Type="http://schemas.openxmlformats.org/officeDocument/2006/relationships/image" Target="media/image16.png"/><Relationship Id="rId42" Type="http://schemas.openxmlformats.org/officeDocument/2006/relationships/hyperlink" Target="https://www.tga.gov.au/resources/resource/guidance/risk-management-plans-medicines-and-biologicals/australia-specific-annex-eu-rmp" TargetMode="External"/><Relationship Id="rId47" Type="http://schemas.openxmlformats.org/officeDocument/2006/relationships/hyperlink" Target="https://www.ebs.tga.gov.au/" TargetMode="External"/><Relationship Id="rId50" Type="http://schemas.openxmlformats.org/officeDocument/2006/relationships/hyperlink" Target="mailto:info@tga.gov.au"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www.tga.gov.au/publication/risk-management-plans-medicines-and-biologicals" TargetMode="External"/><Relationship Id="rId45" Type="http://schemas.openxmlformats.org/officeDocument/2006/relationships/hyperlink" Target="https://www.tga.gov.au/form/certified-product-details-cpd-biologicalprescription-medicines" TargetMode="External"/><Relationship Id="rId53" Type="http://schemas.openxmlformats.org/officeDocument/2006/relationships/footer" Target="foot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tga.gov.au/products/medicines/find-information-about-medicine/prescribing-medicines-pregnancy-database" TargetMode="External"/><Relationship Id="rId31" Type="http://schemas.openxmlformats.org/officeDocument/2006/relationships/image" Target="media/image13.png"/><Relationship Id="rId44" Type="http://schemas.openxmlformats.org/officeDocument/2006/relationships/hyperlink" Target="https://www.tga.gov.au/resources/publication/tga-laboratory-testing-reports" TargetMode="External"/><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www.tga.gov.au/resources/resource/guidance/risk-management-plans-medicines-and-biologicals/australia-specific-annex-eu-rmp" TargetMode="Externa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tga.gov.au"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tga.gov.au/guidance-7-certified-product-details" TargetMode="External"/><Relationship Id="rId20" Type="http://schemas.openxmlformats.org/officeDocument/2006/relationships/hyperlink" Target="https://www.tga.gov.au/obstetric-drug-information-services" TargetMode="External"/><Relationship Id="rId41" Type="http://schemas.openxmlformats.org/officeDocument/2006/relationships/hyperlink" Target="https://www.tga.gov.au/tgas-risk-management-approach"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ga.gov.a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doi.org/10.1210/clinem/dgae611" TargetMode="External"/><Relationship Id="rId2" Type="http://schemas.openxmlformats.org/officeDocument/2006/relationships/hyperlink" Target="https://www.tga.gov.au/sites/default/files/auspar-xgeva.pdf" TargetMode="External"/><Relationship Id="rId1" Type="http://schemas.openxmlformats.org/officeDocument/2006/relationships/hyperlink" Target="https://www.tga.gov.au/sites/default/files/auspar-denosumab-190213.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b2f0e62-4869-4d63-aedf-bfde28fb46c7">
      <UserInfo>
        <DisplayName>윤주원</DisplayName>
        <AccountId>1700</AccountId>
        <AccountType/>
      </UserInfo>
      <UserInfo>
        <DisplayName>염수정(Sujeong Yeom)</DisplayName>
        <AccountId>873</AccountId>
        <AccountType/>
      </UserInfo>
      <UserInfo>
        <DisplayName>서동혁(Donghyuck Seo)</DisplayName>
        <AccountId>354</AccountId>
        <AccountType/>
      </UserInfo>
      <UserInfo>
        <DisplayName>김성은(Sungeun Kim)</DisplayName>
        <AccountId>813</AccountId>
        <AccountType/>
      </UserInfo>
      <UserInfo>
        <DisplayName>정광영(Kwangyeong Jung)</DisplayName>
        <AccountId>222</AccountId>
        <AccountType/>
      </UserInfo>
      <UserInfo>
        <DisplayName>오화석(Hwaseok Oh)</DisplayName>
        <AccountId>391</AccountId>
        <AccountType/>
      </UserInfo>
      <UserInfo>
        <DisplayName>박부영(Bu Young PARK)</DisplayName>
        <AccountId>342</AccountId>
        <AccountType/>
      </UserInfo>
      <UserInfo>
        <DisplayName>김지윤(Jiyoon Kim)</DisplayName>
        <AccountId>216</AccountId>
        <AccountType/>
      </UserInfo>
      <UserInfo>
        <DisplayName>황준성(Junsung Hwang)</DisplayName>
        <AccountId>701</AccountId>
        <AccountType/>
      </UserInfo>
      <UserInfo>
        <DisplayName>김진영(Jinyoung Kim)</DisplayName>
        <AccountId>306</AccountId>
        <AccountType/>
      </UserInfo>
      <UserInfo>
        <DisplayName>이보람(Boram Lee)</DisplayName>
        <AccountId>696</AccountId>
        <AccountType/>
      </UserInfo>
      <UserInfo>
        <DisplayName>정은옥(Eunok JUNG)</DisplayName>
        <AccountId>56</AccountId>
        <AccountType/>
      </UserInfo>
      <UserInfo>
        <DisplayName>김지현(Ji Hyun Kim)</DisplayName>
        <AccountId>80</AccountId>
        <AccountType/>
      </UserInfo>
      <UserInfo>
        <DisplayName>유원재(YOOWonjae)</DisplayName>
        <AccountId>75</AccountId>
        <AccountType/>
      </UserInfo>
      <UserInfo>
        <DisplayName>윤지훈(Jihoon Yun)</DisplayName>
        <AccountId>89</AccountId>
        <AccountType/>
      </UserInfo>
      <UserInfo>
        <DisplayName>박동국(Dong Kuk Park)</DisplayName>
        <AccountId>90</AccountId>
        <AccountType/>
      </UserInfo>
      <UserInfo>
        <DisplayName>김소연(Soyeon Kim)</DisplayName>
        <AccountId>763</AccountId>
        <AccountType/>
      </UserInfo>
      <UserInfo>
        <DisplayName>고아라(Ahra Go)</DisplayName>
        <AccountId>291</AccountId>
        <AccountType/>
      </UserInfo>
      <UserInfo>
        <DisplayName>우영은(Youngeun Woo)</DisplayName>
        <AccountId>275</AccountId>
        <AccountType/>
      </UserInfo>
      <UserInfo>
        <DisplayName>권민경(Minkyeong Kwon)</DisplayName>
        <AccountId>893</AccountId>
        <AccountType/>
      </UserInfo>
      <UserInfo>
        <DisplayName>박진혜(Jinhye Park)</DisplayName>
        <AccountId>139</AccountId>
        <AccountType/>
      </UserInfo>
      <UserInfo>
        <DisplayName>오인영(Inyoung OH)</DisplayName>
        <AccountId>154</AccountId>
        <AccountType/>
      </UserInfo>
      <UserInfo>
        <DisplayName>문효정(Hyo Jung Moon)</DisplayName>
        <AccountId>148</AccountId>
        <AccountType/>
      </UserInfo>
      <UserInfo>
        <DisplayName>박여울(YeoWool Park)</DisplayName>
        <AccountId>1275</AccountId>
        <AccountType/>
      </UserInfo>
      <UserInfo>
        <DisplayName>김지웅(Jeewoong Aiden Kim)</DisplayName>
        <AccountId>146</AccountId>
        <AccountType/>
      </UserInfo>
      <UserInfo>
        <DisplayName>김다은(Daeun Kim)</DisplayName>
        <AccountId>656</AccountId>
        <AccountType/>
      </UserInfo>
      <UserInfo>
        <DisplayName>김유정(KIMYujeong)</DisplayName>
        <AccountId>26</AccountId>
        <AccountType/>
      </UserInfo>
      <UserInfo>
        <DisplayName>원석희(Sukhee Won)</DisplayName>
        <AccountId>29</AccountId>
        <AccountType/>
      </UserInfo>
      <UserInfo>
        <DisplayName>김예슬(Yeseul Kim)</DisplayName>
        <AccountId>157</AccountId>
        <AccountType/>
      </UserInfo>
      <UserInfo>
        <DisplayName>김범수(Beomsu Kim)</DisplayName>
        <AccountId>784</AccountId>
        <AccountType/>
      </UserInfo>
      <UserInfo>
        <DisplayName>이지혜(Jihye Lee)</DisplayName>
        <AccountId>660</AccountId>
        <AccountType/>
      </UserInfo>
      <UserInfo>
        <DisplayName>권병찬(Byeongchan Kwon)</DisplayName>
        <AccountId>945</AccountId>
        <AccountType/>
      </UserInfo>
      <UserInfo>
        <DisplayName>이은우(LEE Eunwoo)</DisplayName>
        <AccountId>277</AccountId>
        <AccountType/>
      </UserInfo>
      <UserInfo>
        <DisplayName>홍은지(Eunji Hong)</DisplayName>
        <AccountId>629</AccountId>
        <AccountType/>
      </UserInfo>
      <UserInfo>
        <DisplayName>정혜연(Hyeyoun Jung)</DisplayName>
        <AccountId>658</AccountId>
        <AccountType/>
      </UserInfo>
      <UserInfo>
        <DisplayName>이인규(Inkyu Lee)</DisplayName>
        <AccountId>647</AccountId>
        <AccountType/>
      </UserInfo>
      <UserInfo>
        <DisplayName>김수정(Sujung Kim)</DisplayName>
        <AccountId>561</AccountId>
        <AccountType/>
      </UserInfo>
      <UserInfo>
        <DisplayName>이현아(Hyeona Lee)</DisplayName>
        <AccountId>1328</AccountId>
        <AccountType/>
      </UserInfo>
      <UserInfo>
        <DisplayName>노영희(Young Hee Rho)</DisplayName>
        <AccountId>382</AccountId>
        <AccountType/>
      </UserInfo>
      <UserInfo>
        <DisplayName>이계휴(Kyehyu Lee)</DisplayName>
        <AccountId>766</AccountId>
        <AccountType/>
      </UserInfo>
      <UserInfo>
        <DisplayName>신영서(Youngseo Shin)</DisplayName>
        <AccountId>775</AccountId>
        <AccountType/>
      </UserInfo>
      <UserInfo>
        <DisplayName>안소희(SoHui Ahn)</DisplayName>
        <AccountId>654</AccountId>
        <AccountType/>
      </UserInfo>
      <UserInfo>
        <DisplayName>서효령(Hyoryeong Seo)</DisplayName>
        <AccountId>655</AccountId>
        <AccountType/>
      </UserInfo>
      <UserInfo>
        <DisplayName>임송현(Songhyun Lim)</DisplayName>
        <AccountId>1127</AccountId>
        <AccountType/>
      </UserInfo>
      <UserInfo>
        <DisplayName>김지연(Ji Yeon KIM)</DisplayName>
        <AccountId>231</AccountId>
        <AccountType/>
      </UserInfo>
      <UserInfo>
        <DisplayName>이영경(Young Kyoung Lee)</DisplayName>
        <AccountId>750</AccountId>
        <AccountType/>
      </UserInfo>
      <UserInfo>
        <DisplayName>홍민성(Minsung Hong)</DisplayName>
        <AccountId>663</AccountId>
        <AccountType/>
      </UserInfo>
      <UserInfo>
        <DisplayName>김보비(Bobi Kim)</DisplayName>
        <AccountId>587</AccountId>
        <AccountType/>
      </UserInfo>
      <UserInfo>
        <DisplayName>김민호(Minho Kim)</DisplayName>
        <AccountId>402</AccountId>
        <AccountType/>
      </UserInfo>
      <UserInfo>
        <DisplayName>김진우(Jinwoo Kim)</DisplayName>
        <AccountId>680</AccountId>
        <AccountType/>
      </UserInfo>
      <UserInfo>
        <DisplayName>최세민(Semin Choi)</DisplayName>
        <AccountId>924</AccountId>
        <AccountType/>
      </UserInfo>
      <UserInfo>
        <DisplayName>김재경(Jae Kyung Kim)</DisplayName>
        <AccountId>346</AccountId>
        <AccountType/>
      </UserInfo>
      <UserInfo>
        <DisplayName>김인애(Inae Kim)</DisplayName>
        <AccountId>13</AccountId>
        <AccountType/>
      </UserInfo>
      <UserInfo>
        <DisplayName>이대성(Daesung Lee)</DisplayName>
        <AccountId>429</AccountId>
        <AccountType/>
      </UserInfo>
      <UserInfo>
        <DisplayName>이재일(Jaeil Lee)</DisplayName>
        <AccountId>158</AccountId>
        <AccountType/>
      </UserInfo>
      <UserInfo>
        <DisplayName>길지훈(Jeehoon Ghil)</DisplayName>
        <AccountId>133</AccountId>
        <AccountType/>
      </UserInfo>
      <UserInfo>
        <DisplayName>김유린(YOORIN KIM)</DisplayName>
        <AccountId>669</AccountId>
        <AccountType/>
      </UserInfo>
      <UserInfo>
        <DisplayName>백인영(Inyoung Baek)</DisplayName>
        <AccountId>545</AccountId>
        <AccountType/>
      </UserInfo>
      <UserInfo>
        <DisplayName>김석의(Seokuee Kim)</DisplayName>
        <AccountId>809</AccountId>
        <AccountType/>
      </UserInfo>
      <UserInfo>
        <DisplayName>김민정(MJ (Minjung) Kim)</DisplayName>
        <AccountId>740</AccountId>
        <AccountType/>
      </UserInfo>
      <UserInfo>
        <DisplayName>손성훈(Sunghun Son)</DisplayName>
        <AccountId>786</AccountId>
        <AccountType/>
      </UserInfo>
      <UserInfo>
        <DisplayName>이석훤(Steven Suk Hwon LEE)</DisplayName>
        <AccountId>478</AccountId>
        <AccountType/>
      </UserInfo>
      <UserInfo>
        <DisplayName>박혜원(HYEWON PARK)</DisplayName>
        <AccountId>384</AccountId>
        <AccountType/>
      </UserInfo>
      <UserInfo>
        <DisplayName>이재희(Jae Hee LEE)</DisplayName>
        <AccountId>112</AccountId>
        <AccountType/>
      </UserInfo>
      <UserInfo>
        <DisplayName>서소연(Soyeon Seo)</DisplayName>
        <AccountId>568</AccountId>
        <AccountType/>
      </UserInfo>
      <UserInfo>
        <DisplayName>차은지(Eunji Cha)</DisplayName>
        <AccountId>584</AccountId>
        <AccountType/>
      </UserInfo>
      <UserInfo>
        <DisplayName>김하나(Hana Kim)</DisplayName>
        <AccountId>332</AccountId>
        <AccountType/>
      </UserInfo>
      <UserInfo>
        <DisplayName>오재왕(Jaewang Oh)</DisplayName>
        <AccountId>331</AccountId>
        <AccountType/>
      </UserInfo>
      <UserInfo>
        <DisplayName>박정현(Jeonghyun Park)</DisplayName>
        <AccountId>1318</AccountId>
        <AccountType/>
      </UserInfo>
      <UserInfo>
        <DisplayName>박정현(Junghyun Park)</DisplayName>
        <AccountId>1521</AccountId>
        <AccountType/>
      </UserInfo>
      <UserInfo>
        <DisplayName>이신정(Shinjung LEE)</DisplayName>
        <AccountId>58</AccountId>
        <AccountType/>
      </UserInfo>
      <UserInfo>
        <DisplayName>이수민(Sumin Lee)</DisplayName>
        <AccountId>369</AccountId>
        <AccountType/>
      </UserInfo>
      <UserInfo>
        <DisplayName>김희연(Heeyeon Kim)</DisplayName>
        <AccountId>1691</AccountId>
        <AccountType/>
      </UserInfo>
      <UserInfo>
        <DisplayName>오은선(Eun Seon Oh)</DisplayName>
        <AccountId>199</AccountId>
        <AccountType/>
      </UserInfo>
      <UserInfo>
        <DisplayName>박희옥(Heeok Park)</DisplayName>
        <AccountId>405</AccountId>
        <AccountType/>
      </UserInfo>
      <UserInfo>
        <DisplayName>김나래(Narae Kim)</DisplayName>
        <AccountId>620</AccountId>
        <AccountType/>
      </UserInfo>
      <UserInfo>
        <DisplayName>유태경(Taekyung Yoo)</DisplayName>
        <AccountId>279</AccountId>
        <AccountType/>
      </UserInfo>
      <UserInfo>
        <DisplayName>김성수(Sungsoo KIM)</DisplayName>
        <AccountId>529</AccountId>
        <AccountType/>
      </UserInfo>
      <UserInfo>
        <DisplayName>김가람(Garam Kim)</DisplayName>
        <AccountId>555</AccountId>
        <AccountType/>
      </UserInfo>
      <UserInfo>
        <DisplayName>아스가리옐다(Yelda Asgari)</DisplayName>
        <AccountId>1561</AccountId>
        <AccountType/>
      </UserInfo>
      <UserInfo>
        <DisplayName>김유림(Youlim KIM)</DisplayName>
        <AccountId>628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문서" ma:contentTypeID="0x010100C4B3179B7499CA48A217F45EB090106B" ma:contentTypeVersion="74" ma:contentTypeDescription="새 문서를 만듭니다." ma:contentTypeScope="" ma:versionID="13a784893ffe31c5424c11b65b10f91b">
  <xsd:schema xmlns:xsd="http://www.w3.org/2001/XMLSchema" xmlns:xs="http://www.w3.org/2001/XMLSchema" xmlns:p="http://schemas.microsoft.com/office/2006/metadata/properties" xmlns:ns2="bb2f0e62-4869-4d63-aedf-bfde28fb46c7" targetNamespace="http://schemas.microsoft.com/office/2006/metadata/properties" ma:root="true" ma:fieldsID="a9dbd2a88c32596ad4395ef28ca659fb" ns2:_="">
    <xsd:import namespace="bb2f0e62-4869-4d63-aedf-bfde28fb46c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f0e62-4869-4d63-aedf-bfde28fb46c7" elementFormDefault="qualified">
    <xsd:import namespace="http://schemas.microsoft.com/office/2006/documentManagement/types"/>
    <xsd:import namespace="http://schemas.microsoft.com/office/infopath/2007/PartnerControls"/>
    <xsd:element name="SharedWithUsers" ma:index="8"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세부 정보 공유"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9355D5-793E-4D37-A9EB-F896FDD93B2F}">
  <ds:schemaRefs>
    <ds:schemaRef ds:uri="http://schemas.microsoft.com/office/2006/metadata/properties"/>
    <ds:schemaRef ds:uri="http://schemas.microsoft.com/office/infopath/2007/PartnerControls"/>
    <ds:schemaRef ds:uri="bb2f0e62-4869-4d63-aedf-bfde28fb46c7"/>
  </ds:schemaRefs>
</ds:datastoreItem>
</file>

<file path=customXml/itemProps2.xml><?xml version="1.0" encoding="utf-8"?>
<ds:datastoreItem xmlns:ds="http://schemas.openxmlformats.org/officeDocument/2006/customXml" ds:itemID="{3DF2AD3F-B882-4D68-99A4-F0337AB1ABC9}">
  <ds:schemaRefs>
    <ds:schemaRef ds:uri="http://schemas.microsoft.com/sharepoint/v3/contenttype/forms"/>
  </ds:schemaRefs>
</ds:datastoreItem>
</file>

<file path=customXml/itemProps3.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4.xml><?xml version="1.0" encoding="utf-8"?>
<ds:datastoreItem xmlns:ds="http://schemas.openxmlformats.org/officeDocument/2006/customXml" ds:itemID="{3599E283-3A23-47F8-97B9-E1338E26D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f0e62-4869-4d63-aedf-bfde28fb46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31</Pages>
  <Words>7010</Words>
  <Characters>40622</Characters>
  <Application>Microsoft Office Word</Application>
  <DocSecurity>0</DocSecurity>
  <Lines>1024</Lines>
  <Paragraphs>517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Australian Public Assessment Report for Ospomyv, Xborso</vt:lpstr>
      <vt:lpstr>Australian public assessment report for</vt:lpstr>
    </vt:vector>
  </TitlesOfParts>
  <Company>Department of Health, Disability and Ageing</Company>
  <LinksUpToDate>false</LinksUpToDate>
  <CharactersWithSpaces>47151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Ospomyv, Xborso</dc:title>
  <dc:subject>Prescription medicines</dc:subject>
  <dc:creator>Therapeutic Goods Administration</dc:creator>
  <cp:keywords/>
  <dc:description/>
  <dcterms:created xsi:type="dcterms:W3CDTF">2026-02-09T04:24:00Z</dcterms:created>
  <dcterms:modified xsi:type="dcterms:W3CDTF">2026-02-10T01:09:00Z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Enabled">
    <vt:lpwstr>true</vt:lpwstr>
  </property>
  <property fmtid="{D5CDD505-2E9C-101B-9397-08002B2CF9AE}" pid="3" name="MSIP_Label_7cd3e8b9-ffed-43a8-b7f4-cc2fa0382d36_SetDate">
    <vt:lpwstr>2025-12-01T03:47:48Z</vt:lpwstr>
  </property>
  <property fmtid="{D5CDD505-2E9C-101B-9397-08002B2CF9AE}" pid="4" name="MSIP_Label_7cd3e8b9-ffed-43a8-b7f4-cc2fa0382d36_Method">
    <vt:lpwstr>Privileged</vt:lpwstr>
  </property>
  <property fmtid="{D5CDD505-2E9C-101B-9397-08002B2CF9AE}" pid="5" name="MSIP_Label_7cd3e8b9-ffed-43a8-b7f4-cc2fa0382d36_Name">
    <vt:lpwstr>O</vt:lpwstr>
  </property>
  <property fmtid="{D5CDD505-2E9C-101B-9397-08002B2CF9AE}" pid="6" name="MSIP_Label_7cd3e8b9-ffed-43a8-b7f4-cc2fa0382d36_SiteId">
    <vt:lpwstr>34a3929c-73cf-4954-abfe-147dc3517892</vt:lpwstr>
  </property>
  <property fmtid="{D5CDD505-2E9C-101B-9397-08002B2CF9AE}" pid="7" name="MSIP_Label_7cd3e8b9-ffed-43a8-b7f4-cc2fa0382d36_ActionId">
    <vt:lpwstr>93f14edd-a9cd-485c-a7b7-a4a0dd485297</vt:lpwstr>
  </property>
  <property fmtid="{D5CDD505-2E9C-101B-9397-08002B2CF9AE}" pid="8" name="MSIP_Label_7cd3e8b9-ffed-43a8-b7f4-cc2fa0382d36_ContentBits">
    <vt:lpwstr>3</vt:lpwstr>
  </property>
  <property fmtid="{D5CDD505-2E9C-101B-9397-08002B2CF9AE}" pid="9" name="MSIP_Label_7cd3e8b9-ffed-43a8-b7f4-cc2fa0382d36_Tag">
    <vt:lpwstr>10, 0, 1, 1</vt:lpwstr>
  </property>
  <property fmtid="{D5CDD505-2E9C-101B-9397-08002B2CF9AE}" pid="10" name="ContentTypeId">
    <vt:lpwstr>0x010100C4B3179B7499CA48A217F45EB090106B</vt:lpwstr>
  </property>
</Properties>
</file>