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6E085" w14:textId="77777777" w:rsidR="006E62CD" w:rsidRPr="00453B94" w:rsidRDefault="006E62CD" w:rsidP="001619FB">
      <w:pPr>
        <w:pStyle w:val="BodyText"/>
        <w:adjustRightInd w:val="0"/>
        <w:snapToGrid w:val="0"/>
        <w:spacing w:before="60" w:after="60" w:line="360" w:lineRule="auto"/>
        <w:ind w:left="0" w:rightChars="30" w:right="66"/>
        <w:rPr>
          <w:rFonts w:ascii="Times New Roman"/>
          <w:sz w:val="3"/>
          <w:lang w:val="en-GB"/>
        </w:rPr>
      </w:pPr>
    </w:p>
    <w:p w14:paraId="3420149A" w14:textId="6D2181EE" w:rsidR="006E62CD" w:rsidRPr="00453B94" w:rsidRDefault="00CB520A" w:rsidP="00453B94">
      <w:pPr>
        <w:pStyle w:val="Heading1"/>
        <w:adjustRightInd w:val="0"/>
        <w:snapToGrid w:val="0"/>
        <w:spacing w:before="60" w:after="60" w:line="360" w:lineRule="auto"/>
        <w:ind w:left="108" w:rightChars="30" w:right="66" w:firstLine="0"/>
        <w:rPr>
          <w:lang w:val="en-GB"/>
        </w:rPr>
      </w:pPr>
      <w:r w:rsidRPr="00453B94">
        <w:rPr>
          <w:lang w:val="en-GB"/>
        </w:rPr>
        <w:t xml:space="preserve">AUSTRALIAN PRODUCT INFORMATION – </w:t>
      </w:r>
      <w:r w:rsidR="008E71EF">
        <w:rPr>
          <w:lang w:val="en-GB"/>
        </w:rPr>
        <w:t>OSPOMYV</w:t>
      </w:r>
      <w:r w:rsidR="00D66049" w:rsidRPr="00D66049">
        <w:rPr>
          <w:vertAlign w:val="superscript"/>
          <w:lang w:val="en-GB"/>
        </w:rPr>
        <w:t>TM</w:t>
      </w:r>
      <w:r w:rsidRPr="00453B94">
        <w:rPr>
          <w:rFonts w:ascii="Times New Roman" w:hAnsi="Times New Roman"/>
          <w:spacing w:val="-67"/>
          <w:lang w:val="en-GB"/>
        </w:rPr>
        <w:t xml:space="preserve"> </w:t>
      </w:r>
      <w:r w:rsidR="00C31B56">
        <w:rPr>
          <w:lang w:val="en-GB"/>
        </w:rPr>
        <w:t>(</w:t>
      </w:r>
      <w:r w:rsidRPr="00453B94">
        <w:rPr>
          <w:lang w:val="en-GB"/>
        </w:rPr>
        <w:t>DENOSUMAB)</w:t>
      </w:r>
      <w:r w:rsidRPr="00453B94">
        <w:rPr>
          <w:spacing w:val="-1"/>
          <w:lang w:val="en-GB"/>
        </w:rPr>
        <w:t xml:space="preserve"> </w:t>
      </w:r>
      <w:r w:rsidRPr="00453B94">
        <w:rPr>
          <w:lang w:val="en-GB"/>
        </w:rPr>
        <w:t>SOLUTION</w:t>
      </w:r>
      <w:r w:rsidRPr="00453B94">
        <w:rPr>
          <w:spacing w:val="-1"/>
          <w:lang w:val="en-GB"/>
        </w:rPr>
        <w:t xml:space="preserve"> </w:t>
      </w:r>
      <w:r w:rsidRPr="00453B94">
        <w:rPr>
          <w:lang w:val="en-GB"/>
        </w:rPr>
        <w:t>FOR</w:t>
      </w:r>
      <w:r w:rsidRPr="00453B94">
        <w:rPr>
          <w:spacing w:val="-2"/>
          <w:lang w:val="en-GB"/>
        </w:rPr>
        <w:t xml:space="preserve"> </w:t>
      </w:r>
      <w:r w:rsidRPr="00453B94">
        <w:rPr>
          <w:lang w:val="en-GB"/>
        </w:rPr>
        <w:t>INJECTION</w:t>
      </w:r>
    </w:p>
    <w:p w14:paraId="21D31F52" w14:textId="62BA0588" w:rsidR="00A04F0C" w:rsidRPr="00453B94" w:rsidRDefault="00CB520A" w:rsidP="00D258EC">
      <w:pPr>
        <w:pStyle w:val="ListParagraph"/>
        <w:numPr>
          <w:ilvl w:val="0"/>
          <w:numId w:val="3"/>
        </w:numPr>
        <w:tabs>
          <w:tab w:val="left" w:pos="1577"/>
          <w:tab w:val="left" w:pos="1578"/>
        </w:tabs>
        <w:adjustRightInd w:val="0"/>
        <w:snapToGrid w:val="0"/>
        <w:spacing w:before="60" w:after="60" w:line="360" w:lineRule="auto"/>
        <w:ind w:left="108" w:rightChars="30" w:right="66" w:firstLine="0"/>
        <w:rPr>
          <w:b/>
          <w:sz w:val="28"/>
          <w:lang w:val="en-GB"/>
        </w:rPr>
      </w:pPr>
      <w:bookmarkStart w:id="0" w:name="1._NAME_OF_THE_MEDICINE"/>
      <w:bookmarkEnd w:id="0"/>
      <w:r w:rsidRPr="00453B94">
        <w:rPr>
          <w:b/>
          <w:sz w:val="28"/>
          <w:lang w:val="en-GB"/>
        </w:rPr>
        <w:t>NAME</w:t>
      </w:r>
      <w:r w:rsidRPr="00453B94">
        <w:rPr>
          <w:b/>
          <w:spacing w:val="-3"/>
          <w:sz w:val="28"/>
          <w:lang w:val="en-GB"/>
        </w:rPr>
        <w:t xml:space="preserve"> </w:t>
      </w:r>
      <w:r w:rsidRPr="00453B94">
        <w:rPr>
          <w:b/>
          <w:sz w:val="28"/>
          <w:lang w:val="en-GB"/>
        </w:rPr>
        <w:t>OF</w:t>
      </w:r>
      <w:r w:rsidRPr="00453B94">
        <w:rPr>
          <w:b/>
          <w:spacing w:val="-2"/>
          <w:sz w:val="28"/>
          <w:lang w:val="en-GB"/>
        </w:rPr>
        <w:t xml:space="preserve"> </w:t>
      </w:r>
      <w:r w:rsidRPr="00453B94">
        <w:rPr>
          <w:b/>
          <w:sz w:val="28"/>
          <w:lang w:val="en-GB"/>
        </w:rPr>
        <w:t>THE</w:t>
      </w:r>
      <w:r w:rsidRPr="00453B94">
        <w:rPr>
          <w:b/>
          <w:spacing w:val="-3"/>
          <w:sz w:val="28"/>
          <w:lang w:val="en-GB"/>
        </w:rPr>
        <w:t xml:space="preserve"> </w:t>
      </w:r>
      <w:r w:rsidRPr="00453B94">
        <w:rPr>
          <w:b/>
          <w:sz w:val="28"/>
          <w:lang w:val="en-GB"/>
        </w:rPr>
        <w:t>MEDICINE</w:t>
      </w:r>
    </w:p>
    <w:p w14:paraId="77C064C0" w14:textId="77777777" w:rsidR="00A04F0C" w:rsidRPr="005B583D" w:rsidRDefault="00A04F0C" w:rsidP="00E54398">
      <w:pPr>
        <w:pStyle w:val="ListParagraph"/>
        <w:tabs>
          <w:tab w:val="left" w:pos="1577"/>
          <w:tab w:val="left" w:pos="1578"/>
        </w:tabs>
        <w:adjustRightInd w:val="0"/>
        <w:snapToGrid w:val="0"/>
        <w:spacing w:before="60" w:after="60" w:line="360" w:lineRule="auto"/>
        <w:ind w:left="108" w:rightChars="30" w:right="66" w:firstLine="0"/>
      </w:pPr>
      <w:r w:rsidRPr="007E1C64">
        <w:t>Denosumab (rch).</w:t>
      </w:r>
    </w:p>
    <w:p w14:paraId="79DB3EF9" w14:textId="445E7BCE" w:rsidR="00A04F0C" w:rsidRPr="005B583D" w:rsidRDefault="00A04F0C" w:rsidP="005B583D">
      <w:pPr>
        <w:pStyle w:val="ListParagraph"/>
        <w:tabs>
          <w:tab w:val="left" w:pos="1577"/>
          <w:tab w:val="left" w:pos="1578"/>
        </w:tabs>
        <w:adjustRightInd w:val="0"/>
        <w:snapToGrid w:val="0"/>
        <w:spacing w:before="60" w:after="60" w:line="360" w:lineRule="auto"/>
        <w:ind w:left="108" w:rightChars="30" w:right="66" w:firstLine="0"/>
      </w:pPr>
      <w:r w:rsidRPr="005B583D">
        <w:t>OSPOMYV (denosumab) (rch) is a biosimilar medicine to PROLIA (denosumab).</w:t>
      </w:r>
    </w:p>
    <w:p w14:paraId="6F27CA93" w14:textId="7577B9B4" w:rsidR="009B026D" w:rsidRPr="005B583D" w:rsidRDefault="00A04F0C" w:rsidP="009B026D">
      <w:pPr>
        <w:pStyle w:val="BodyText"/>
        <w:adjustRightInd w:val="0"/>
        <w:snapToGrid w:val="0"/>
        <w:spacing w:before="60" w:after="60" w:line="360" w:lineRule="auto"/>
        <w:jc w:val="both"/>
      </w:pPr>
      <w:r w:rsidRPr="005B583D">
        <w:t>The comparability of OSPOMYV with PROLIA has been demonstrated with regard to physicochemical characteristics and efficacy and safety outcomes (see section 5.1 Pharmacodynamic properties, Clinical trials and 4.8 Adverse effects (Undesirable effects))</w:t>
      </w:r>
      <w:r w:rsidR="009B026D" w:rsidRPr="005B583D">
        <w:t>.</w:t>
      </w:r>
    </w:p>
    <w:p w14:paraId="16577F76" w14:textId="77777777" w:rsidR="006E62CD" w:rsidRPr="00453B94" w:rsidRDefault="00CB520A" w:rsidP="00D258EC">
      <w:pPr>
        <w:pStyle w:val="ListParagraph"/>
        <w:numPr>
          <w:ilvl w:val="0"/>
          <w:numId w:val="3"/>
        </w:numPr>
        <w:tabs>
          <w:tab w:val="left" w:pos="1577"/>
          <w:tab w:val="left" w:pos="1578"/>
        </w:tabs>
        <w:adjustRightInd w:val="0"/>
        <w:snapToGrid w:val="0"/>
        <w:spacing w:before="60" w:after="60" w:line="360" w:lineRule="auto"/>
        <w:ind w:left="108" w:rightChars="30" w:right="66" w:firstLine="0"/>
        <w:rPr>
          <w:b/>
          <w:sz w:val="28"/>
          <w:lang w:val="en-GB"/>
        </w:rPr>
      </w:pPr>
      <w:bookmarkStart w:id="1" w:name="2._QUALITATIVE_AND_QUANTITATIVE_COMPOSIT"/>
      <w:bookmarkEnd w:id="1"/>
      <w:r w:rsidRPr="00453B94">
        <w:rPr>
          <w:b/>
          <w:sz w:val="28"/>
          <w:lang w:val="en-GB"/>
        </w:rPr>
        <w:t>QUALITATIVE AND QUANTITATIVE COMPOSITION</w:t>
      </w:r>
    </w:p>
    <w:p w14:paraId="35C19C0C" w14:textId="1BB7E5D1"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lang w:val="en-GB"/>
        </w:rPr>
        <w:t>Each 1 mL single-use pre-filled syringe contains 60 mg denosumab.</w:t>
      </w:r>
      <w:r w:rsidR="00391B85">
        <w:rPr>
          <w:lang w:val="en-GB"/>
        </w:rPr>
        <w:t xml:space="preserve"> </w:t>
      </w:r>
      <w:r w:rsidR="00391B85">
        <w:rPr>
          <w:spacing w:val="-59"/>
          <w:lang w:val="en-GB"/>
        </w:rPr>
        <w:t xml:space="preserve"> </w:t>
      </w:r>
      <w:r w:rsidRPr="00453B94">
        <w:rPr>
          <w:lang w:val="en-GB"/>
        </w:rPr>
        <w:t>For</w:t>
      </w:r>
      <w:r w:rsidRPr="00453B94">
        <w:rPr>
          <w:spacing w:val="-1"/>
          <w:lang w:val="en-GB"/>
        </w:rPr>
        <w:t xml:space="preserve"> </w:t>
      </w:r>
      <w:r w:rsidRPr="00453B94">
        <w:rPr>
          <w:lang w:val="en-GB"/>
        </w:rPr>
        <w:t>the</w:t>
      </w:r>
      <w:r w:rsidRPr="00453B94">
        <w:rPr>
          <w:spacing w:val="-1"/>
          <w:lang w:val="en-GB"/>
        </w:rPr>
        <w:t xml:space="preserve"> </w:t>
      </w:r>
      <w:r w:rsidRPr="00453B94">
        <w:rPr>
          <w:lang w:val="en-GB"/>
        </w:rPr>
        <w:t>full</w:t>
      </w:r>
      <w:r w:rsidRPr="00453B94">
        <w:rPr>
          <w:spacing w:val="-1"/>
          <w:lang w:val="en-GB"/>
        </w:rPr>
        <w:t xml:space="preserve"> </w:t>
      </w:r>
      <w:r w:rsidRPr="00453B94">
        <w:rPr>
          <w:lang w:val="en-GB"/>
        </w:rPr>
        <w:t>list</w:t>
      </w:r>
      <w:r w:rsidRPr="00453B94">
        <w:rPr>
          <w:spacing w:val="-1"/>
          <w:lang w:val="en-GB"/>
        </w:rPr>
        <w:t xml:space="preserve"> </w:t>
      </w:r>
      <w:r w:rsidRPr="00453B94">
        <w:rPr>
          <w:lang w:val="en-GB"/>
        </w:rPr>
        <w:t>of</w:t>
      </w:r>
      <w:r w:rsidRPr="00453B94">
        <w:rPr>
          <w:spacing w:val="-1"/>
          <w:lang w:val="en-GB"/>
        </w:rPr>
        <w:t xml:space="preserve"> </w:t>
      </w:r>
      <w:r w:rsidRPr="00453B94">
        <w:rPr>
          <w:lang w:val="en-GB"/>
        </w:rPr>
        <w:t>excipients, see</w:t>
      </w:r>
      <w:r w:rsidRPr="00453B94">
        <w:rPr>
          <w:spacing w:val="-1"/>
          <w:lang w:val="en-GB"/>
        </w:rPr>
        <w:t xml:space="preserve"> </w:t>
      </w:r>
      <w:r w:rsidRPr="00453B94">
        <w:rPr>
          <w:lang w:val="en-GB"/>
        </w:rPr>
        <w:t>section</w:t>
      </w:r>
      <w:r w:rsidRPr="00453B94">
        <w:rPr>
          <w:spacing w:val="-1"/>
          <w:lang w:val="en-GB"/>
        </w:rPr>
        <w:t xml:space="preserve"> </w:t>
      </w:r>
      <w:r w:rsidRPr="00453B94">
        <w:rPr>
          <w:lang w:val="en-GB"/>
        </w:rPr>
        <w:t>6.1</w:t>
      </w:r>
      <w:r w:rsidRPr="00453B94">
        <w:rPr>
          <w:spacing w:val="-1"/>
          <w:lang w:val="en-GB"/>
        </w:rPr>
        <w:t xml:space="preserve"> </w:t>
      </w:r>
      <w:r w:rsidRPr="00453B94">
        <w:rPr>
          <w:lang w:val="en-GB"/>
        </w:rPr>
        <w:t>List</w:t>
      </w:r>
      <w:r w:rsidRPr="00453B94">
        <w:rPr>
          <w:spacing w:val="-2"/>
          <w:lang w:val="en-GB"/>
        </w:rPr>
        <w:t xml:space="preserve"> </w:t>
      </w:r>
      <w:r w:rsidRPr="00453B94">
        <w:rPr>
          <w:lang w:val="en-GB"/>
        </w:rPr>
        <w:t>of excipients.</w:t>
      </w:r>
    </w:p>
    <w:p w14:paraId="5F8C4B74" w14:textId="77777777" w:rsidR="006E62CD" w:rsidRPr="00453B94" w:rsidRDefault="00CB520A" w:rsidP="00D258EC">
      <w:pPr>
        <w:pStyle w:val="ListParagraph"/>
        <w:numPr>
          <w:ilvl w:val="0"/>
          <w:numId w:val="3"/>
        </w:numPr>
        <w:tabs>
          <w:tab w:val="left" w:pos="1577"/>
          <w:tab w:val="left" w:pos="1578"/>
        </w:tabs>
        <w:adjustRightInd w:val="0"/>
        <w:snapToGrid w:val="0"/>
        <w:spacing w:before="60" w:after="60" w:line="360" w:lineRule="auto"/>
        <w:ind w:left="108" w:rightChars="30" w:right="66" w:firstLine="0"/>
        <w:rPr>
          <w:b/>
          <w:sz w:val="28"/>
          <w:lang w:val="en-GB"/>
        </w:rPr>
      </w:pPr>
      <w:bookmarkStart w:id="2" w:name="3._PHARMACEUTICAL_FORM"/>
      <w:bookmarkEnd w:id="2"/>
      <w:r w:rsidRPr="00453B94">
        <w:rPr>
          <w:b/>
          <w:sz w:val="28"/>
          <w:lang w:val="en-GB"/>
        </w:rPr>
        <w:t>PHARMACEUTICAL FORM</w:t>
      </w:r>
    </w:p>
    <w:p w14:paraId="24378BD7" w14:textId="072C7105" w:rsidR="006E62CD" w:rsidRPr="00453B94" w:rsidRDefault="008E71EF" w:rsidP="00D258EC">
      <w:pPr>
        <w:pStyle w:val="BodyText"/>
        <w:adjustRightInd w:val="0"/>
        <w:snapToGrid w:val="0"/>
        <w:spacing w:before="60" w:after="60" w:line="360" w:lineRule="auto"/>
        <w:ind w:left="108" w:rightChars="30" w:right="66"/>
        <w:rPr>
          <w:lang w:val="en-GB"/>
        </w:rPr>
      </w:pPr>
      <w:r>
        <w:rPr>
          <w:lang w:val="en-GB"/>
        </w:rPr>
        <w:t>Ospomyv</w:t>
      </w:r>
      <w:r w:rsidR="00CB520A" w:rsidRPr="00453B94">
        <w:rPr>
          <w:lang w:val="en-GB"/>
        </w:rPr>
        <w:t xml:space="preserve"> is a sterile, preservative-free, clear, colourless to slightly yellow solution for injection at pH 5.2. The solution may contain trace amounts of translucent to white proteinaceous particles.</w:t>
      </w:r>
    </w:p>
    <w:p w14:paraId="01FC83C3" w14:textId="77777777" w:rsidR="006E62CD" w:rsidRPr="00453B94" w:rsidRDefault="00CB520A" w:rsidP="00D258EC">
      <w:pPr>
        <w:pStyle w:val="ListParagraph"/>
        <w:numPr>
          <w:ilvl w:val="0"/>
          <w:numId w:val="3"/>
        </w:numPr>
        <w:tabs>
          <w:tab w:val="left" w:pos="1577"/>
          <w:tab w:val="left" w:pos="1578"/>
        </w:tabs>
        <w:adjustRightInd w:val="0"/>
        <w:snapToGrid w:val="0"/>
        <w:spacing w:before="60" w:after="60" w:line="360" w:lineRule="auto"/>
        <w:ind w:left="108" w:rightChars="30" w:right="66" w:firstLine="0"/>
        <w:rPr>
          <w:b/>
          <w:sz w:val="28"/>
          <w:lang w:val="en-GB"/>
        </w:rPr>
      </w:pPr>
      <w:bookmarkStart w:id="3" w:name="4._CLINICAL_PARTICULARS"/>
      <w:bookmarkEnd w:id="3"/>
      <w:r w:rsidRPr="00453B94">
        <w:rPr>
          <w:b/>
          <w:sz w:val="28"/>
          <w:lang w:val="en-GB"/>
        </w:rPr>
        <w:t>CLINICAL PARTICULARS</w:t>
      </w:r>
    </w:p>
    <w:p w14:paraId="4F577C59" w14:textId="77777777" w:rsidR="006E62CD" w:rsidRPr="00453B94" w:rsidRDefault="00CB520A" w:rsidP="00D258EC">
      <w:pPr>
        <w:pStyle w:val="ListParagraph"/>
        <w:numPr>
          <w:ilvl w:val="1"/>
          <w:numId w:val="3"/>
        </w:numPr>
        <w:tabs>
          <w:tab w:val="left" w:pos="1577"/>
          <w:tab w:val="left" w:pos="1578"/>
        </w:tabs>
        <w:adjustRightInd w:val="0"/>
        <w:snapToGrid w:val="0"/>
        <w:spacing w:before="60" w:after="60" w:line="360" w:lineRule="auto"/>
        <w:ind w:left="108" w:rightChars="30" w:right="66" w:firstLine="0"/>
        <w:rPr>
          <w:b/>
          <w:sz w:val="24"/>
          <w:lang w:val="en-GB"/>
        </w:rPr>
      </w:pPr>
      <w:bookmarkStart w:id="4" w:name="4.1_Therapeutic_indications"/>
      <w:bookmarkEnd w:id="4"/>
      <w:r w:rsidRPr="00453B94">
        <w:rPr>
          <w:b/>
          <w:sz w:val="24"/>
          <w:lang w:val="en-GB"/>
        </w:rPr>
        <w:t>Therapeutic indications</w:t>
      </w:r>
    </w:p>
    <w:p w14:paraId="6A4A3820" w14:textId="1C6BFA28"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lang w:val="en-GB"/>
        </w:rPr>
        <w:t>The treatment of osteoporosis in postmenopausal women.</w:t>
      </w:r>
      <w:r w:rsidRPr="00453B94">
        <w:rPr>
          <w:spacing w:val="1"/>
          <w:lang w:val="en-GB"/>
        </w:rPr>
        <w:t xml:space="preserve"> </w:t>
      </w:r>
      <w:r w:rsidR="008E71EF">
        <w:rPr>
          <w:lang w:val="en-GB"/>
        </w:rPr>
        <w:t>Ospomyv</w:t>
      </w:r>
      <w:r w:rsidRPr="00453B94">
        <w:rPr>
          <w:lang w:val="en-GB"/>
        </w:rPr>
        <w:t xml:space="preserve"> significantly reduces</w:t>
      </w:r>
      <w:r w:rsidR="00A243A6">
        <w:rPr>
          <w:lang w:val="en-GB"/>
        </w:rPr>
        <w:t xml:space="preserve"> t</w:t>
      </w:r>
      <w:r w:rsidRPr="00453B94">
        <w:rPr>
          <w:lang w:val="en-GB"/>
        </w:rPr>
        <w:t>he</w:t>
      </w:r>
      <w:r w:rsidRPr="00453B94">
        <w:rPr>
          <w:spacing w:val="-1"/>
          <w:lang w:val="en-GB"/>
        </w:rPr>
        <w:t xml:space="preserve"> </w:t>
      </w:r>
      <w:r w:rsidRPr="00453B94">
        <w:rPr>
          <w:lang w:val="en-GB"/>
        </w:rPr>
        <w:t>risk of</w:t>
      </w:r>
      <w:r w:rsidRPr="00453B94">
        <w:rPr>
          <w:spacing w:val="-1"/>
          <w:lang w:val="en-GB"/>
        </w:rPr>
        <w:t xml:space="preserve"> </w:t>
      </w:r>
      <w:r w:rsidRPr="00453B94">
        <w:rPr>
          <w:lang w:val="en-GB"/>
        </w:rPr>
        <w:t>vertebral, non-vertebral</w:t>
      </w:r>
      <w:r w:rsidRPr="00453B94">
        <w:rPr>
          <w:spacing w:val="-1"/>
          <w:lang w:val="en-GB"/>
        </w:rPr>
        <w:t xml:space="preserve"> </w:t>
      </w:r>
      <w:r w:rsidRPr="00453B94">
        <w:rPr>
          <w:lang w:val="en-GB"/>
        </w:rPr>
        <w:t>and</w:t>
      </w:r>
      <w:r w:rsidRPr="00453B94">
        <w:rPr>
          <w:spacing w:val="-1"/>
          <w:lang w:val="en-GB"/>
        </w:rPr>
        <w:t xml:space="preserve"> </w:t>
      </w:r>
      <w:r w:rsidRPr="00453B94">
        <w:rPr>
          <w:lang w:val="en-GB"/>
        </w:rPr>
        <w:t>hip</w:t>
      </w:r>
      <w:r w:rsidRPr="00453B94">
        <w:rPr>
          <w:spacing w:val="1"/>
          <w:lang w:val="en-GB"/>
        </w:rPr>
        <w:t xml:space="preserve"> </w:t>
      </w:r>
      <w:r w:rsidRPr="00453B94">
        <w:rPr>
          <w:lang w:val="en-GB"/>
        </w:rPr>
        <w:t>fractures.</w:t>
      </w:r>
    </w:p>
    <w:p w14:paraId="3C5813A5" w14:textId="77777777"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lang w:val="en-GB"/>
        </w:rPr>
        <w:t>Treatment</w:t>
      </w:r>
      <w:r w:rsidRPr="00453B94">
        <w:rPr>
          <w:spacing w:val="-3"/>
          <w:lang w:val="en-GB"/>
        </w:rPr>
        <w:t xml:space="preserve"> </w:t>
      </w:r>
      <w:r w:rsidRPr="00453B94">
        <w:rPr>
          <w:lang w:val="en-GB"/>
        </w:rPr>
        <w:t>to</w:t>
      </w:r>
      <w:r w:rsidRPr="00453B94">
        <w:rPr>
          <w:spacing w:val="-3"/>
          <w:lang w:val="en-GB"/>
        </w:rPr>
        <w:t xml:space="preserve"> </w:t>
      </w:r>
      <w:r w:rsidRPr="00453B94">
        <w:rPr>
          <w:lang w:val="en-GB"/>
        </w:rPr>
        <w:t>increase</w:t>
      </w:r>
      <w:r w:rsidRPr="00453B94">
        <w:rPr>
          <w:spacing w:val="-2"/>
          <w:lang w:val="en-GB"/>
        </w:rPr>
        <w:t xml:space="preserve"> </w:t>
      </w:r>
      <w:r w:rsidRPr="00453B94">
        <w:rPr>
          <w:lang w:val="en-GB"/>
        </w:rPr>
        <w:t>bone</w:t>
      </w:r>
      <w:r w:rsidRPr="00453B94">
        <w:rPr>
          <w:spacing w:val="-2"/>
          <w:lang w:val="en-GB"/>
        </w:rPr>
        <w:t xml:space="preserve"> </w:t>
      </w:r>
      <w:r w:rsidRPr="00453B94">
        <w:rPr>
          <w:lang w:val="en-GB"/>
        </w:rPr>
        <w:t>mass</w:t>
      </w:r>
      <w:r w:rsidRPr="00453B94">
        <w:rPr>
          <w:spacing w:val="-2"/>
          <w:lang w:val="en-GB"/>
        </w:rPr>
        <w:t xml:space="preserve"> </w:t>
      </w:r>
      <w:r w:rsidRPr="00453B94">
        <w:rPr>
          <w:lang w:val="en-GB"/>
        </w:rPr>
        <w:t>in</w:t>
      </w:r>
      <w:r w:rsidRPr="00453B94">
        <w:rPr>
          <w:spacing w:val="-3"/>
          <w:lang w:val="en-GB"/>
        </w:rPr>
        <w:t xml:space="preserve"> </w:t>
      </w:r>
      <w:r w:rsidRPr="00453B94">
        <w:rPr>
          <w:lang w:val="en-GB"/>
        </w:rPr>
        <w:t>men</w:t>
      </w:r>
      <w:r w:rsidRPr="00453B94">
        <w:rPr>
          <w:spacing w:val="-1"/>
          <w:lang w:val="en-GB"/>
        </w:rPr>
        <w:t xml:space="preserve"> </w:t>
      </w:r>
      <w:r w:rsidRPr="00453B94">
        <w:rPr>
          <w:lang w:val="en-GB"/>
        </w:rPr>
        <w:t>with</w:t>
      </w:r>
      <w:r w:rsidRPr="00453B94">
        <w:rPr>
          <w:spacing w:val="-2"/>
          <w:lang w:val="en-GB"/>
        </w:rPr>
        <w:t xml:space="preserve"> </w:t>
      </w:r>
      <w:r w:rsidRPr="00453B94">
        <w:rPr>
          <w:lang w:val="en-GB"/>
        </w:rPr>
        <w:t>osteopaenia</w:t>
      </w:r>
      <w:r w:rsidRPr="00453B94">
        <w:rPr>
          <w:spacing w:val="-3"/>
          <w:lang w:val="en-GB"/>
        </w:rPr>
        <w:t xml:space="preserve"> </w:t>
      </w:r>
      <w:r w:rsidRPr="00453B94">
        <w:rPr>
          <w:lang w:val="en-GB"/>
        </w:rPr>
        <w:t>receiving</w:t>
      </w:r>
      <w:r w:rsidRPr="00453B94">
        <w:rPr>
          <w:spacing w:val="-2"/>
          <w:lang w:val="en-GB"/>
        </w:rPr>
        <w:t xml:space="preserve"> </w:t>
      </w:r>
      <w:r w:rsidRPr="00453B94">
        <w:rPr>
          <w:lang w:val="en-GB"/>
        </w:rPr>
        <w:t>androgen</w:t>
      </w:r>
      <w:r w:rsidRPr="00453B94">
        <w:rPr>
          <w:spacing w:val="-58"/>
          <w:lang w:val="en-GB"/>
        </w:rPr>
        <w:t xml:space="preserve"> </w:t>
      </w:r>
      <w:r w:rsidRPr="00453B94">
        <w:rPr>
          <w:lang w:val="en-GB"/>
        </w:rPr>
        <w:t>deprivation therapy for non-metastatic prostate cancer (see section 5.1</w:t>
      </w:r>
      <w:r w:rsidRPr="00453B94">
        <w:rPr>
          <w:spacing w:val="1"/>
          <w:lang w:val="en-GB"/>
        </w:rPr>
        <w:t xml:space="preserve"> </w:t>
      </w:r>
      <w:r w:rsidRPr="00453B94">
        <w:rPr>
          <w:lang w:val="en-GB"/>
        </w:rPr>
        <w:t>Pharmacodynamic</w:t>
      </w:r>
      <w:r w:rsidRPr="00453B94">
        <w:rPr>
          <w:spacing w:val="-1"/>
          <w:lang w:val="en-GB"/>
        </w:rPr>
        <w:t xml:space="preserve"> </w:t>
      </w:r>
      <w:r w:rsidRPr="00453B94">
        <w:rPr>
          <w:lang w:val="en-GB"/>
        </w:rPr>
        <w:t>properties,</w:t>
      </w:r>
      <w:r w:rsidRPr="00453B94">
        <w:rPr>
          <w:spacing w:val="2"/>
          <w:lang w:val="en-GB"/>
        </w:rPr>
        <w:t xml:space="preserve"> </w:t>
      </w:r>
      <w:r w:rsidRPr="00453B94">
        <w:rPr>
          <w:lang w:val="en-GB"/>
        </w:rPr>
        <w:t>Clinical</w:t>
      </w:r>
      <w:r w:rsidRPr="00453B94">
        <w:rPr>
          <w:spacing w:val="1"/>
          <w:lang w:val="en-GB"/>
        </w:rPr>
        <w:t xml:space="preserve"> </w:t>
      </w:r>
      <w:r w:rsidRPr="00453B94">
        <w:rPr>
          <w:lang w:val="en-GB"/>
        </w:rPr>
        <w:t>trials).</w:t>
      </w:r>
    </w:p>
    <w:p w14:paraId="19F669A0" w14:textId="77777777"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lang w:val="en-GB"/>
        </w:rPr>
        <w:t>Treatment</w:t>
      </w:r>
      <w:r w:rsidRPr="00453B94">
        <w:rPr>
          <w:spacing w:val="-2"/>
          <w:lang w:val="en-GB"/>
        </w:rPr>
        <w:t xml:space="preserve"> </w:t>
      </w:r>
      <w:r w:rsidRPr="00453B94">
        <w:rPr>
          <w:lang w:val="en-GB"/>
        </w:rPr>
        <w:t>to</w:t>
      </w:r>
      <w:r w:rsidRPr="00453B94">
        <w:rPr>
          <w:spacing w:val="-2"/>
          <w:lang w:val="en-GB"/>
        </w:rPr>
        <w:t xml:space="preserve"> </w:t>
      </w:r>
      <w:r w:rsidRPr="00453B94">
        <w:rPr>
          <w:lang w:val="en-GB"/>
        </w:rPr>
        <w:t>increase</w:t>
      </w:r>
      <w:r w:rsidRPr="00453B94">
        <w:rPr>
          <w:spacing w:val="-1"/>
          <w:lang w:val="en-GB"/>
        </w:rPr>
        <w:t xml:space="preserve"> </w:t>
      </w:r>
      <w:r w:rsidRPr="00453B94">
        <w:rPr>
          <w:lang w:val="en-GB"/>
        </w:rPr>
        <w:t>bone</w:t>
      </w:r>
      <w:r w:rsidRPr="00453B94">
        <w:rPr>
          <w:spacing w:val="-1"/>
          <w:lang w:val="en-GB"/>
        </w:rPr>
        <w:t xml:space="preserve"> </w:t>
      </w:r>
      <w:r w:rsidRPr="00453B94">
        <w:rPr>
          <w:lang w:val="en-GB"/>
        </w:rPr>
        <w:t>mass</w:t>
      </w:r>
      <w:r w:rsidRPr="00453B94">
        <w:rPr>
          <w:spacing w:val="-1"/>
          <w:lang w:val="en-GB"/>
        </w:rPr>
        <w:t xml:space="preserve"> </w:t>
      </w:r>
      <w:r w:rsidRPr="00453B94">
        <w:rPr>
          <w:lang w:val="en-GB"/>
        </w:rPr>
        <w:t>in</w:t>
      </w:r>
      <w:r w:rsidRPr="00453B94">
        <w:rPr>
          <w:spacing w:val="-2"/>
          <w:lang w:val="en-GB"/>
        </w:rPr>
        <w:t xml:space="preserve"> </w:t>
      </w:r>
      <w:r w:rsidRPr="00453B94">
        <w:rPr>
          <w:lang w:val="en-GB"/>
        </w:rPr>
        <w:t>men</w:t>
      </w:r>
      <w:r w:rsidRPr="00453B94">
        <w:rPr>
          <w:spacing w:val="-1"/>
          <w:lang w:val="en-GB"/>
        </w:rPr>
        <w:t xml:space="preserve"> </w:t>
      </w:r>
      <w:r w:rsidRPr="00453B94">
        <w:rPr>
          <w:lang w:val="en-GB"/>
        </w:rPr>
        <w:t>with</w:t>
      </w:r>
      <w:r w:rsidRPr="00453B94">
        <w:rPr>
          <w:spacing w:val="-1"/>
          <w:lang w:val="en-GB"/>
        </w:rPr>
        <w:t xml:space="preserve"> </w:t>
      </w:r>
      <w:r w:rsidRPr="00453B94">
        <w:rPr>
          <w:lang w:val="en-GB"/>
        </w:rPr>
        <w:t>osteoporosis</w:t>
      </w:r>
      <w:r w:rsidRPr="00453B94">
        <w:rPr>
          <w:spacing w:val="-2"/>
          <w:lang w:val="en-GB"/>
        </w:rPr>
        <w:t xml:space="preserve"> </w:t>
      </w:r>
      <w:r w:rsidRPr="00453B94">
        <w:rPr>
          <w:lang w:val="en-GB"/>
        </w:rPr>
        <w:t>at</w:t>
      </w:r>
      <w:r w:rsidRPr="00453B94">
        <w:rPr>
          <w:spacing w:val="-2"/>
          <w:lang w:val="en-GB"/>
        </w:rPr>
        <w:t xml:space="preserve"> </w:t>
      </w:r>
      <w:r w:rsidRPr="00453B94">
        <w:rPr>
          <w:lang w:val="en-GB"/>
        </w:rPr>
        <w:t>increased</w:t>
      </w:r>
      <w:r w:rsidRPr="00453B94">
        <w:rPr>
          <w:spacing w:val="-2"/>
          <w:lang w:val="en-GB"/>
        </w:rPr>
        <w:t xml:space="preserve"> </w:t>
      </w:r>
      <w:r w:rsidRPr="00453B94">
        <w:rPr>
          <w:lang w:val="en-GB"/>
        </w:rPr>
        <w:t>risk</w:t>
      </w:r>
      <w:r w:rsidRPr="00453B94">
        <w:rPr>
          <w:spacing w:val="-1"/>
          <w:lang w:val="en-GB"/>
        </w:rPr>
        <w:t xml:space="preserve"> </w:t>
      </w:r>
      <w:r w:rsidRPr="00453B94">
        <w:rPr>
          <w:lang w:val="en-GB"/>
        </w:rPr>
        <w:t>of</w:t>
      </w:r>
      <w:r w:rsidRPr="00453B94">
        <w:rPr>
          <w:spacing w:val="-1"/>
          <w:lang w:val="en-GB"/>
        </w:rPr>
        <w:t xml:space="preserve"> </w:t>
      </w:r>
      <w:r w:rsidRPr="00453B94">
        <w:rPr>
          <w:lang w:val="en-GB"/>
        </w:rPr>
        <w:t>fracture.</w:t>
      </w:r>
    </w:p>
    <w:p w14:paraId="1D3ED9F2" w14:textId="77777777"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lang w:val="en-GB"/>
        </w:rPr>
        <w:t>Treatment to increase bone mass in women and men at increased risk of fracture due to long-term systemic glucocorticoid therapy.</w:t>
      </w:r>
    </w:p>
    <w:p w14:paraId="0F3BE2F2" w14:textId="77777777" w:rsidR="006E62CD" w:rsidRPr="00453B94" w:rsidRDefault="00CB520A" w:rsidP="00D258EC">
      <w:pPr>
        <w:pStyle w:val="ListParagraph"/>
        <w:numPr>
          <w:ilvl w:val="1"/>
          <w:numId w:val="3"/>
        </w:numPr>
        <w:tabs>
          <w:tab w:val="left" w:pos="1577"/>
          <w:tab w:val="left" w:pos="1578"/>
        </w:tabs>
        <w:adjustRightInd w:val="0"/>
        <w:snapToGrid w:val="0"/>
        <w:spacing w:before="60" w:after="60" w:line="360" w:lineRule="auto"/>
        <w:ind w:left="108" w:rightChars="30" w:right="66" w:firstLine="0"/>
        <w:rPr>
          <w:b/>
          <w:sz w:val="24"/>
          <w:lang w:val="en-GB"/>
        </w:rPr>
      </w:pPr>
      <w:bookmarkStart w:id="5" w:name="4.2_Dose_and_method_of_administration"/>
      <w:bookmarkEnd w:id="5"/>
      <w:r w:rsidRPr="00453B94">
        <w:rPr>
          <w:b/>
          <w:sz w:val="24"/>
          <w:lang w:val="en-GB"/>
        </w:rPr>
        <w:t>Dose and method of administration</w:t>
      </w:r>
    </w:p>
    <w:p w14:paraId="077E2314" w14:textId="77777777"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u w:val="single"/>
          <w:lang w:val="en-GB"/>
        </w:rPr>
        <w:t>Dosage</w:t>
      </w:r>
      <w:r w:rsidRPr="00453B94">
        <w:rPr>
          <w:spacing w:val="-1"/>
          <w:u w:val="single"/>
          <w:lang w:val="en-GB"/>
        </w:rPr>
        <w:t xml:space="preserve"> </w:t>
      </w:r>
      <w:r w:rsidRPr="00453B94">
        <w:rPr>
          <w:u w:val="single"/>
          <w:lang w:val="en-GB"/>
        </w:rPr>
        <w:t>(dose</w:t>
      </w:r>
      <w:r w:rsidRPr="00453B94">
        <w:rPr>
          <w:spacing w:val="-2"/>
          <w:u w:val="single"/>
          <w:lang w:val="en-GB"/>
        </w:rPr>
        <w:t xml:space="preserve"> </w:t>
      </w:r>
      <w:r w:rsidRPr="00453B94">
        <w:rPr>
          <w:u w:val="single"/>
          <w:lang w:val="en-GB"/>
        </w:rPr>
        <w:t>and</w:t>
      </w:r>
      <w:r w:rsidRPr="00453B94">
        <w:rPr>
          <w:spacing w:val="-2"/>
          <w:u w:val="single"/>
          <w:lang w:val="en-GB"/>
        </w:rPr>
        <w:t xml:space="preserve"> </w:t>
      </w:r>
      <w:r w:rsidRPr="00453B94">
        <w:rPr>
          <w:u w:val="single"/>
          <w:lang w:val="en-GB"/>
        </w:rPr>
        <w:t>interval)</w:t>
      </w:r>
    </w:p>
    <w:p w14:paraId="0D145C7C" w14:textId="77777777"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lang w:val="en-GB"/>
        </w:rPr>
        <w:t xml:space="preserve">Administration should be performed by an individual who has been adequately trained </w:t>
      </w:r>
      <w:r w:rsidRPr="00453B94">
        <w:rPr>
          <w:lang w:val="en-GB"/>
        </w:rPr>
        <w:lastRenderedPageBreak/>
        <w:t>in injection techniques.</w:t>
      </w:r>
    </w:p>
    <w:p w14:paraId="612CA696" w14:textId="258744F6"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lang w:val="en-GB"/>
        </w:rPr>
        <w:t xml:space="preserve">The recommended dose of </w:t>
      </w:r>
      <w:r w:rsidR="008E71EF">
        <w:rPr>
          <w:lang w:val="en-GB"/>
        </w:rPr>
        <w:t>Ospomyv</w:t>
      </w:r>
      <w:r w:rsidRPr="00453B94">
        <w:rPr>
          <w:lang w:val="en-GB"/>
        </w:rPr>
        <w:t xml:space="preserve"> is a single subcutaneous (SC) injection of 60 mg, once every 6 months. If </w:t>
      </w:r>
      <w:r w:rsidR="008E71EF">
        <w:rPr>
          <w:lang w:val="en-GB"/>
        </w:rPr>
        <w:t>Ospomyv</w:t>
      </w:r>
      <w:r w:rsidRPr="00453B94">
        <w:rPr>
          <w:lang w:val="en-GB"/>
        </w:rPr>
        <w:t xml:space="preserve"> treatment is discontinued, consider transitioning to an alternative antiresorptive therapy.</w:t>
      </w:r>
    </w:p>
    <w:p w14:paraId="08FFA269" w14:textId="0923BDC9"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lang w:val="en-GB"/>
        </w:rPr>
        <w:t xml:space="preserve">To reduce the risk of hypocalcaemia, patients must be adequately supplemented with calcium and vitamin D (see section 4.4 Special warnings and precautions for use, Hypocalcaemia). In the major clinical trials of </w:t>
      </w:r>
      <w:r w:rsidR="00A04F0C">
        <w:t>denosumab</w:t>
      </w:r>
      <w:r w:rsidRPr="00453B94">
        <w:rPr>
          <w:lang w:val="en-GB"/>
        </w:rPr>
        <w:t>, daily supplementation with 1,000 mg of calcium and at least 400 IU vitamin D was recommended.</w:t>
      </w:r>
    </w:p>
    <w:p w14:paraId="56152C80" w14:textId="438B55DD"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u w:val="single"/>
          <w:lang w:val="en-GB"/>
        </w:rPr>
        <w:t>Method</w:t>
      </w:r>
      <w:r w:rsidRPr="00453B94">
        <w:rPr>
          <w:spacing w:val="-2"/>
          <w:u w:val="single"/>
          <w:lang w:val="en-GB"/>
        </w:rPr>
        <w:t xml:space="preserve"> </w:t>
      </w:r>
      <w:r w:rsidRPr="00453B94">
        <w:rPr>
          <w:u w:val="single"/>
          <w:lang w:val="en-GB"/>
        </w:rPr>
        <w:t>of</w:t>
      </w:r>
      <w:r w:rsidRPr="00453B94">
        <w:rPr>
          <w:spacing w:val="-1"/>
          <w:u w:val="single"/>
          <w:lang w:val="en-GB"/>
        </w:rPr>
        <w:t xml:space="preserve"> </w:t>
      </w:r>
      <w:r w:rsidRPr="00453B94">
        <w:rPr>
          <w:u w:val="single"/>
          <w:lang w:val="en-GB"/>
        </w:rPr>
        <w:t>administration</w:t>
      </w:r>
    </w:p>
    <w:p w14:paraId="4718E076" w14:textId="5369D454"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lang w:val="en-GB"/>
        </w:rPr>
        <w:t>For subcutaneous use.</w:t>
      </w:r>
    </w:p>
    <w:p w14:paraId="2067EC9B" w14:textId="67F9C402" w:rsidR="006E62CD" w:rsidRPr="00B852A8" w:rsidRDefault="008E71EF" w:rsidP="00D258EC">
      <w:pPr>
        <w:pStyle w:val="BodyText"/>
        <w:adjustRightInd w:val="0"/>
        <w:snapToGrid w:val="0"/>
        <w:spacing w:before="60" w:after="60" w:line="360" w:lineRule="auto"/>
        <w:ind w:left="108" w:rightChars="30" w:right="66"/>
        <w:rPr>
          <w:lang w:val="en-GB"/>
        </w:rPr>
      </w:pPr>
      <w:r>
        <w:rPr>
          <w:lang w:val="en-GB"/>
        </w:rPr>
        <w:t>Ospomyv</w:t>
      </w:r>
      <w:r w:rsidR="00CB520A" w:rsidRPr="00453B94">
        <w:rPr>
          <w:lang w:val="en-GB"/>
        </w:rPr>
        <w:t xml:space="preserve"> is a sterile and preservative-free </w:t>
      </w:r>
      <w:r w:rsidR="00CB520A" w:rsidRPr="00B852A8">
        <w:rPr>
          <w:lang w:val="en-GB"/>
        </w:rPr>
        <w:t xml:space="preserve">product. Before administration, the </w:t>
      </w:r>
      <w:r>
        <w:rPr>
          <w:lang w:val="en-GB"/>
        </w:rPr>
        <w:t>Ospomyv</w:t>
      </w:r>
      <w:r w:rsidR="00CB520A" w:rsidRPr="00B852A8">
        <w:rPr>
          <w:lang w:val="en-GB"/>
        </w:rPr>
        <w:t xml:space="preserve"> solution should be inspected for particulate matter and discolouration. Do not use if the solution is cloudy or discoloured. Do not excessively shake the pre-filled syringe. To avoid discomfort at the site of injection, allow the pre-filled syringe to reach room temperature (up to 25°C) before injecting, and inject slowly. Inject the entire contents of the pre-filled syringe.</w:t>
      </w:r>
    </w:p>
    <w:p w14:paraId="4DECB2B3" w14:textId="77777777" w:rsidR="006E62CD" w:rsidRPr="00453B94" w:rsidRDefault="00CB520A" w:rsidP="00D258EC">
      <w:pPr>
        <w:pStyle w:val="BodyText"/>
        <w:adjustRightInd w:val="0"/>
        <w:snapToGrid w:val="0"/>
        <w:spacing w:before="60" w:after="60" w:line="360" w:lineRule="auto"/>
        <w:ind w:left="108" w:rightChars="30" w:right="66"/>
        <w:rPr>
          <w:lang w:val="en-GB"/>
        </w:rPr>
      </w:pPr>
      <w:r w:rsidRPr="00B852A8">
        <w:rPr>
          <w:lang w:val="en-GB"/>
        </w:rPr>
        <w:t>Product is for single-use in one patient only.</w:t>
      </w:r>
      <w:r w:rsidRPr="00453B94">
        <w:rPr>
          <w:lang w:val="en-GB"/>
        </w:rPr>
        <w:t xml:space="preserve"> Dispose of any medicinal product remaining in the pre-filled syringe.</w:t>
      </w:r>
    </w:p>
    <w:p w14:paraId="1AB179AF" w14:textId="382590B1"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u w:val="single"/>
          <w:lang w:val="en-GB"/>
        </w:rPr>
        <w:t>Dosage</w:t>
      </w:r>
      <w:r w:rsidRPr="00453B94">
        <w:rPr>
          <w:spacing w:val="-3"/>
          <w:u w:val="single"/>
          <w:lang w:val="en-GB"/>
        </w:rPr>
        <w:t xml:space="preserve"> </w:t>
      </w:r>
      <w:r w:rsidRPr="00453B94">
        <w:rPr>
          <w:u w:val="single"/>
          <w:lang w:val="en-GB"/>
        </w:rPr>
        <w:t>adjustment</w:t>
      </w:r>
    </w:p>
    <w:p w14:paraId="013EE7B6" w14:textId="142C9B8A" w:rsidR="006E62CD" w:rsidRPr="00453B94" w:rsidRDefault="00CB520A" w:rsidP="00D258EC">
      <w:pPr>
        <w:adjustRightInd w:val="0"/>
        <w:snapToGrid w:val="0"/>
        <w:spacing w:before="60" w:after="60" w:line="360" w:lineRule="auto"/>
        <w:ind w:left="108" w:rightChars="30" w:right="66"/>
        <w:rPr>
          <w:i/>
          <w:lang w:val="en-GB"/>
        </w:rPr>
      </w:pPr>
      <w:r w:rsidRPr="00453B94">
        <w:rPr>
          <w:i/>
          <w:lang w:val="en-GB"/>
        </w:rPr>
        <w:t>Elderly</w:t>
      </w:r>
      <w:r w:rsidRPr="00453B94">
        <w:rPr>
          <w:i/>
          <w:spacing w:val="-2"/>
          <w:lang w:val="en-GB"/>
        </w:rPr>
        <w:t xml:space="preserve"> </w:t>
      </w:r>
      <w:r w:rsidRPr="00453B94">
        <w:rPr>
          <w:i/>
          <w:lang w:val="en-GB"/>
        </w:rPr>
        <w:t>patients</w:t>
      </w:r>
    </w:p>
    <w:p w14:paraId="654BD9F3" w14:textId="77777777"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lang w:val="en-GB"/>
        </w:rPr>
        <w:t>No dose adjustment is necessary in elderly patients (see section 4.4 Special warnings and precautions for use, Use in the elderly)</w:t>
      </w:r>
    </w:p>
    <w:p w14:paraId="40888F35" w14:textId="0E57AA51" w:rsidR="006E62CD" w:rsidRPr="00453B94" w:rsidRDefault="00CB520A" w:rsidP="00D258EC">
      <w:pPr>
        <w:adjustRightInd w:val="0"/>
        <w:snapToGrid w:val="0"/>
        <w:spacing w:before="60" w:after="60" w:line="360" w:lineRule="auto"/>
        <w:ind w:left="108" w:rightChars="30" w:right="66"/>
        <w:rPr>
          <w:i/>
          <w:lang w:val="en-GB"/>
        </w:rPr>
      </w:pPr>
      <w:r w:rsidRPr="00453B94">
        <w:rPr>
          <w:i/>
          <w:lang w:val="en-GB"/>
        </w:rPr>
        <w:t>Renal</w:t>
      </w:r>
      <w:r w:rsidRPr="00453B94">
        <w:rPr>
          <w:i/>
          <w:spacing w:val="-3"/>
          <w:lang w:val="en-GB"/>
        </w:rPr>
        <w:t xml:space="preserve"> </w:t>
      </w:r>
      <w:r w:rsidRPr="00453B94">
        <w:rPr>
          <w:i/>
          <w:lang w:val="en-GB"/>
        </w:rPr>
        <w:t>impairment</w:t>
      </w:r>
    </w:p>
    <w:p w14:paraId="51EAC1FD" w14:textId="77777777"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lang w:val="en-GB"/>
        </w:rPr>
        <w:t>No dose adjustment is necessary in patients with renal impairment (see section 4.4 Special warnings and precautions for use, Use in renal impairment).</w:t>
      </w:r>
    </w:p>
    <w:p w14:paraId="27B10809" w14:textId="0021DA75" w:rsidR="006E62CD" w:rsidRPr="00453B94" w:rsidRDefault="00CB520A" w:rsidP="00D258EC">
      <w:pPr>
        <w:pStyle w:val="ListParagraph"/>
        <w:numPr>
          <w:ilvl w:val="1"/>
          <w:numId w:val="3"/>
        </w:numPr>
        <w:tabs>
          <w:tab w:val="left" w:pos="1577"/>
          <w:tab w:val="left" w:pos="1578"/>
        </w:tabs>
        <w:adjustRightInd w:val="0"/>
        <w:snapToGrid w:val="0"/>
        <w:spacing w:before="60" w:after="60" w:line="360" w:lineRule="auto"/>
        <w:ind w:left="108" w:rightChars="30" w:right="66" w:firstLine="0"/>
        <w:rPr>
          <w:b/>
          <w:sz w:val="24"/>
          <w:lang w:val="en-GB"/>
        </w:rPr>
      </w:pPr>
      <w:bookmarkStart w:id="6" w:name="4.3_Contraindications"/>
      <w:bookmarkEnd w:id="6"/>
      <w:r w:rsidRPr="00453B94">
        <w:rPr>
          <w:b/>
          <w:sz w:val="24"/>
          <w:lang w:val="en-GB"/>
        </w:rPr>
        <w:t>Contraindications</w:t>
      </w:r>
    </w:p>
    <w:p w14:paraId="4D8DFC9D" w14:textId="77777777" w:rsidR="006E62CD" w:rsidRPr="00453B94" w:rsidRDefault="00CB520A" w:rsidP="00D258EC">
      <w:pPr>
        <w:pStyle w:val="BodyText"/>
        <w:adjustRightInd w:val="0"/>
        <w:snapToGrid w:val="0"/>
        <w:spacing w:before="60" w:after="60" w:line="360" w:lineRule="auto"/>
        <w:ind w:left="108" w:rightChars="30" w:right="66"/>
        <w:rPr>
          <w:lang w:val="en-GB"/>
        </w:rPr>
      </w:pPr>
      <w:r w:rsidRPr="00453B94">
        <w:rPr>
          <w:lang w:val="en-GB"/>
        </w:rPr>
        <w:t>Hypocalcaemia (see section 4.4 Special warnings and precautions for use).</w:t>
      </w:r>
    </w:p>
    <w:p w14:paraId="185D285C" w14:textId="77777777" w:rsidR="006E62CD" w:rsidRPr="00B852A8" w:rsidRDefault="00CB520A" w:rsidP="00D258EC">
      <w:pPr>
        <w:pStyle w:val="BodyText"/>
        <w:adjustRightInd w:val="0"/>
        <w:snapToGrid w:val="0"/>
        <w:spacing w:before="60" w:after="60" w:line="360" w:lineRule="auto"/>
        <w:ind w:left="108" w:rightChars="30" w:right="66"/>
        <w:rPr>
          <w:lang w:val="en-GB"/>
        </w:rPr>
      </w:pPr>
      <w:r w:rsidRPr="00453B94">
        <w:rPr>
          <w:lang w:val="en-GB"/>
        </w:rPr>
        <w:t>Hypersensitivity to the active substance, to CHO-derived proteins or to any of the excipients (see section 6.1</w:t>
      </w:r>
      <w:r w:rsidRPr="00B852A8">
        <w:rPr>
          <w:lang w:val="en-GB"/>
        </w:rPr>
        <w:t xml:space="preserve"> List of excipients).</w:t>
      </w:r>
    </w:p>
    <w:p w14:paraId="48E2209F" w14:textId="77777777" w:rsidR="006E62CD" w:rsidRPr="00B852A8" w:rsidRDefault="00CB520A" w:rsidP="00D258EC">
      <w:pPr>
        <w:pStyle w:val="BodyText"/>
        <w:adjustRightInd w:val="0"/>
        <w:snapToGrid w:val="0"/>
        <w:spacing w:before="60" w:after="60" w:line="360" w:lineRule="auto"/>
        <w:ind w:left="108" w:rightChars="30" w:right="66"/>
        <w:rPr>
          <w:lang w:val="en-GB"/>
        </w:rPr>
      </w:pPr>
      <w:r w:rsidRPr="00B852A8">
        <w:rPr>
          <w:lang w:val="en-GB"/>
        </w:rPr>
        <w:t>Pregnancy and in women trying to get pregnant (see section 4.6 Fertility, pregnancy and lactation).</w:t>
      </w:r>
    </w:p>
    <w:p w14:paraId="260A4D61" w14:textId="77777777" w:rsidR="006E62CD" w:rsidRPr="00B852A8" w:rsidRDefault="00CB520A" w:rsidP="001619FB">
      <w:pPr>
        <w:pStyle w:val="ListParagraph"/>
        <w:pageBreakBefore/>
        <w:numPr>
          <w:ilvl w:val="1"/>
          <w:numId w:val="3"/>
        </w:numPr>
        <w:tabs>
          <w:tab w:val="left" w:pos="1577"/>
          <w:tab w:val="left" w:pos="1578"/>
        </w:tabs>
        <w:adjustRightInd w:val="0"/>
        <w:snapToGrid w:val="0"/>
        <w:spacing w:before="60" w:after="60" w:line="360" w:lineRule="auto"/>
        <w:ind w:left="108" w:rightChars="30" w:right="66" w:firstLine="0"/>
        <w:rPr>
          <w:b/>
          <w:sz w:val="24"/>
          <w:lang w:val="en-GB"/>
        </w:rPr>
      </w:pPr>
      <w:bookmarkStart w:id="7" w:name="4.4_Special_warnings_and_precautions_for"/>
      <w:bookmarkEnd w:id="7"/>
      <w:r w:rsidRPr="00B852A8">
        <w:rPr>
          <w:b/>
          <w:sz w:val="24"/>
          <w:lang w:val="en-GB"/>
        </w:rPr>
        <w:lastRenderedPageBreak/>
        <w:t>Special warnings and precautions for use</w:t>
      </w:r>
    </w:p>
    <w:p w14:paraId="6C48EF1D" w14:textId="77777777" w:rsidR="006E62CD" w:rsidRPr="00B852A8" w:rsidRDefault="00CB520A" w:rsidP="00D258EC">
      <w:pPr>
        <w:pStyle w:val="BodyText"/>
        <w:adjustRightInd w:val="0"/>
        <w:snapToGrid w:val="0"/>
        <w:spacing w:before="60" w:after="60" w:line="360" w:lineRule="auto"/>
        <w:ind w:left="108" w:rightChars="30" w:right="66"/>
        <w:rPr>
          <w:lang w:val="en-GB"/>
        </w:rPr>
      </w:pPr>
      <w:r w:rsidRPr="00B852A8">
        <w:rPr>
          <w:u w:val="single"/>
          <w:lang w:val="en-GB"/>
        </w:rPr>
        <w:t>Hypocalcaemia</w:t>
      </w:r>
    </w:p>
    <w:p w14:paraId="4D1A0936" w14:textId="3B347DAB" w:rsidR="006E62CD" w:rsidRPr="00B852A8" w:rsidRDefault="00CB520A" w:rsidP="00D258EC">
      <w:pPr>
        <w:pStyle w:val="BodyText"/>
        <w:adjustRightInd w:val="0"/>
        <w:snapToGrid w:val="0"/>
        <w:spacing w:before="60" w:after="60" w:line="360" w:lineRule="auto"/>
        <w:ind w:left="108" w:rightChars="30" w:right="66"/>
        <w:rPr>
          <w:lang w:val="en-GB"/>
        </w:rPr>
      </w:pPr>
      <w:r w:rsidRPr="00B852A8">
        <w:rPr>
          <w:lang w:val="en-GB"/>
        </w:rPr>
        <w:t xml:space="preserve">Hypocalcaemia must be corrected prior to initiating therapy with </w:t>
      </w:r>
      <w:r w:rsidR="00A04F0C">
        <w:t>denosumab</w:t>
      </w:r>
      <w:r w:rsidRPr="00B852A8">
        <w:rPr>
          <w:lang w:val="en-GB"/>
        </w:rPr>
        <w:t>. In the post- marketing setting, severe symptomatic hypocalcaemia (resulting in hospitalisation, life-threatening events and fatal cases) has been reported (see section 4.8 Adverse effects (Undesirable effects)), particularly in patients with severe renal impairment, receiving dialysis or treatment with other calcium lowering drugs. While most cases occurred in the first few weeks of initiating therapy, it has also occurred later. Clinical monitoring of calcium levels is recommended before each dose.</w:t>
      </w:r>
    </w:p>
    <w:p w14:paraId="7AE04510" w14:textId="77777777" w:rsidR="006E62CD" w:rsidRPr="00B852A8" w:rsidRDefault="00CB520A" w:rsidP="00D258EC">
      <w:pPr>
        <w:pStyle w:val="BodyText"/>
        <w:adjustRightInd w:val="0"/>
        <w:snapToGrid w:val="0"/>
        <w:spacing w:before="60" w:after="60" w:line="360" w:lineRule="auto"/>
        <w:ind w:left="108" w:rightChars="30" w:right="66"/>
        <w:rPr>
          <w:lang w:val="en-GB"/>
        </w:rPr>
      </w:pPr>
      <w:r w:rsidRPr="00B852A8">
        <w:rPr>
          <w:lang w:val="en-GB"/>
        </w:rPr>
        <w:t>In patients predisposed to hypocalcaemia (e.g. history of hypoparathyroidism, thyroid surgery, parathyroid surgery, malabsorption syndromes, excision of small intestine, severe renal impairment [creatinine clearance &lt; 30 mL/min], receiving dialysis or treatment with other calcium lowering drugs), clinical monitoring of calcium levels is recommended during treatment, especially in the first two weeks of initiating therapy.</w:t>
      </w:r>
    </w:p>
    <w:p w14:paraId="08C67EF6" w14:textId="589A1A5F" w:rsidR="006E62CD" w:rsidRPr="00B852A8" w:rsidRDefault="00CB520A" w:rsidP="00D258EC">
      <w:pPr>
        <w:pStyle w:val="BodyText"/>
        <w:adjustRightInd w:val="0"/>
        <w:snapToGrid w:val="0"/>
        <w:spacing w:before="60" w:after="60" w:line="360" w:lineRule="auto"/>
        <w:ind w:left="108" w:rightChars="30" w:right="66"/>
        <w:rPr>
          <w:lang w:val="en-GB"/>
        </w:rPr>
      </w:pPr>
      <w:r w:rsidRPr="00B852A8">
        <w:rPr>
          <w:lang w:val="en-GB"/>
        </w:rPr>
        <w:t xml:space="preserve">Hypocalcaemia following </w:t>
      </w:r>
      <w:r w:rsidR="003444E8" w:rsidRPr="00B852A8">
        <w:rPr>
          <w:lang w:val="en-GB"/>
        </w:rPr>
        <w:t xml:space="preserve">denosumab </w:t>
      </w:r>
      <w:r w:rsidRPr="00B852A8">
        <w:rPr>
          <w:lang w:val="en-GB"/>
        </w:rPr>
        <w:t>administration is a significant risk in patients with severe renal impairment [creatinine clearance &lt; 30 mL/min], receiving dialysis or treatment with other calcium lowering drugs. These patients may also develop marked elevations of serum parathyroid hormone (PTH). Concomitant use of calcimimetic drugs may worsen the risk of hypocalcaemia.</w:t>
      </w:r>
    </w:p>
    <w:p w14:paraId="4201587E" w14:textId="77777777" w:rsidR="006E62CD" w:rsidRPr="00B852A8" w:rsidRDefault="00CB520A" w:rsidP="00D258EC">
      <w:pPr>
        <w:pStyle w:val="BodyText"/>
        <w:adjustRightInd w:val="0"/>
        <w:snapToGrid w:val="0"/>
        <w:spacing w:before="60" w:after="60" w:line="360" w:lineRule="auto"/>
        <w:ind w:left="108" w:rightChars="30" w:right="66"/>
        <w:rPr>
          <w:lang w:val="en-GB"/>
        </w:rPr>
      </w:pPr>
      <w:r w:rsidRPr="00B852A8">
        <w:rPr>
          <w:lang w:val="en-GB"/>
        </w:rPr>
        <w:t>Instruct all patients about the symptoms of hypocalcaemia and the importance of maintaining calcium levels with adequate calcium and vitamin D supplementation.</w:t>
      </w:r>
    </w:p>
    <w:p w14:paraId="48ACAB4C" w14:textId="77777777" w:rsidR="006E62CD" w:rsidRPr="00B852A8" w:rsidRDefault="00CB520A" w:rsidP="00D258EC">
      <w:pPr>
        <w:pStyle w:val="BodyText"/>
        <w:adjustRightInd w:val="0"/>
        <w:snapToGrid w:val="0"/>
        <w:spacing w:before="60" w:after="60" w:line="360" w:lineRule="auto"/>
        <w:ind w:left="108" w:rightChars="30" w:right="66"/>
        <w:rPr>
          <w:lang w:val="en-GB"/>
        </w:rPr>
      </w:pPr>
      <w:r w:rsidRPr="00B852A8">
        <w:rPr>
          <w:lang w:val="en-GB"/>
        </w:rPr>
        <w:t>Adequate intake of calcium and vitamin D is important in all patients (see sections 4.2 Dose and method of administration and 4.8 Adverse effects (Undesirable effects)).</w:t>
      </w:r>
    </w:p>
    <w:p w14:paraId="23344E10" w14:textId="77777777" w:rsidR="006E62CD" w:rsidRPr="00B852A8" w:rsidRDefault="00CB520A" w:rsidP="00D258EC">
      <w:pPr>
        <w:pStyle w:val="BodyText"/>
        <w:adjustRightInd w:val="0"/>
        <w:snapToGrid w:val="0"/>
        <w:spacing w:before="60" w:after="60" w:line="360" w:lineRule="auto"/>
        <w:ind w:left="108" w:rightChars="30" w:right="66"/>
        <w:rPr>
          <w:lang w:val="en-GB"/>
        </w:rPr>
      </w:pPr>
      <w:r w:rsidRPr="00B852A8">
        <w:rPr>
          <w:u w:val="single"/>
          <w:lang w:val="en-GB"/>
        </w:rPr>
        <w:t>Skin</w:t>
      </w:r>
      <w:r w:rsidRPr="00B852A8">
        <w:rPr>
          <w:spacing w:val="-2"/>
          <w:u w:val="single"/>
          <w:lang w:val="en-GB"/>
        </w:rPr>
        <w:t xml:space="preserve"> </w:t>
      </w:r>
      <w:r w:rsidRPr="00B852A8">
        <w:rPr>
          <w:u w:val="single"/>
          <w:lang w:val="en-GB"/>
        </w:rPr>
        <w:t>infections</w:t>
      </w:r>
    </w:p>
    <w:p w14:paraId="262F9F29" w14:textId="2AF2923E" w:rsidR="006E62CD" w:rsidRPr="00B852A8" w:rsidRDefault="00CB520A" w:rsidP="00D258EC">
      <w:pPr>
        <w:pStyle w:val="BodyText"/>
        <w:adjustRightInd w:val="0"/>
        <w:snapToGrid w:val="0"/>
        <w:spacing w:before="60" w:after="60" w:line="360" w:lineRule="auto"/>
        <w:ind w:left="108" w:rightChars="30" w:right="66"/>
        <w:rPr>
          <w:lang w:val="en-GB"/>
        </w:rPr>
      </w:pPr>
      <w:r w:rsidRPr="00B852A8">
        <w:rPr>
          <w:lang w:val="en-GB"/>
        </w:rPr>
        <w:t xml:space="preserve">Patients receiving </w:t>
      </w:r>
      <w:r w:rsidR="003444E8" w:rsidRPr="00B852A8">
        <w:rPr>
          <w:lang w:val="en-GB"/>
        </w:rPr>
        <w:t xml:space="preserve">denosumab </w:t>
      </w:r>
      <w:r w:rsidRPr="00B852A8">
        <w:rPr>
          <w:lang w:val="en-GB"/>
        </w:rPr>
        <w:t>may develop skin infections (predominantly cellulitis) leading to</w:t>
      </w:r>
      <w:r w:rsidR="003444E8" w:rsidRPr="00B852A8">
        <w:rPr>
          <w:lang w:val="en-GB"/>
        </w:rPr>
        <w:t xml:space="preserve"> </w:t>
      </w:r>
      <w:r w:rsidRPr="00B852A8">
        <w:rPr>
          <w:lang w:val="en-GB"/>
        </w:rPr>
        <w:t xml:space="preserve"> </w:t>
      </w:r>
      <w:r w:rsidR="003444E8" w:rsidRPr="00B852A8">
        <w:rPr>
          <w:lang w:val="en-GB"/>
        </w:rPr>
        <w:t xml:space="preserve"> </w:t>
      </w:r>
      <w:r w:rsidRPr="00B852A8">
        <w:rPr>
          <w:lang w:val="en-GB"/>
        </w:rPr>
        <w:t>hospitalisation (see section 4.8 Adverse effects (Undesirable effects)). Patients should be advised to seek prompt medical attention if they develop signs or symptoms of cellulitis.</w:t>
      </w:r>
    </w:p>
    <w:p w14:paraId="0BF9BAEB" w14:textId="77777777" w:rsidR="006E62CD" w:rsidRPr="00B852A8" w:rsidRDefault="00CB520A" w:rsidP="00D258EC">
      <w:pPr>
        <w:pStyle w:val="BodyText"/>
        <w:adjustRightInd w:val="0"/>
        <w:snapToGrid w:val="0"/>
        <w:spacing w:before="60" w:after="60" w:line="360" w:lineRule="auto"/>
        <w:ind w:left="108" w:rightChars="30" w:right="66"/>
        <w:rPr>
          <w:lang w:val="en-GB"/>
        </w:rPr>
      </w:pPr>
      <w:r w:rsidRPr="00B852A8">
        <w:rPr>
          <w:u w:val="single"/>
          <w:lang w:val="en-GB"/>
        </w:rPr>
        <w:t>Osteonecrosis</w:t>
      </w:r>
      <w:r w:rsidRPr="00B852A8">
        <w:rPr>
          <w:spacing w:val="-2"/>
          <w:u w:val="single"/>
          <w:lang w:val="en-GB"/>
        </w:rPr>
        <w:t xml:space="preserve"> </w:t>
      </w:r>
      <w:r w:rsidRPr="00B852A8">
        <w:rPr>
          <w:u w:val="single"/>
          <w:lang w:val="en-GB"/>
        </w:rPr>
        <w:t>of</w:t>
      </w:r>
      <w:r w:rsidRPr="00B852A8">
        <w:rPr>
          <w:spacing w:val="-1"/>
          <w:u w:val="single"/>
          <w:lang w:val="en-GB"/>
        </w:rPr>
        <w:t xml:space="preserve"> </w:t>
      </w:r>
      <w:r w:rsidRPr="00B852A8">
        <w:rPr>
          <w:u w:val="single"/>
          <w:lang w:val="en-GB"/>
        </w:rPr>
        <w:t>the</w:t>
      </w:r>
      <w:r w:rsidRPr="00B852A8">
        <w:rPr>
          <w:spacing w:val="-2"/>
          <w:u w:val="single"/>
          <w:lang w:val="en-GB"/>
        </w:rPr>
        <w:t xml:space="preserve"> </w:t>
      </w:r>
      <w:r w:rsidRPr="00B852A8">
        <w:rPr>
          <w:u w:val="single"/>
          <w:lang w:val="en-GB"/>
        </w:rPr>
        <w:t>jaw</w:t>
      </w:r>
    </w:p>
    <w:p w14:paraId="2531D16F" w14:textId="77777777" w:rsidR="006E62CD" w:rsidRPr="00B852A8" w:rsidRDefault="00CB520A" w:rsidP="00D258EC">
      <w:pPr>
        <w:pStyle w:val="BodyText"/>
        <w:adjustRightInd w:val="0"/>
        <w:snapToGrid w:val="0"/>
        <w:spacing w:before="60" w:after="60" w:line="360" w:lineRule="auto"/>
        <w:ind w:left="108" w:rightChars="30" w:right="66"/>
        <w:rPr>
          <w:lang w:val="en-GB"/>
        </w:rPr>
      </w:pPr>
      <w:r w:rsidRPr="00B852A8">
        <w:rPr>
          <w:lang w:val="en-GB"/>
        </w:rPr>
        <w:t>Osteonecrosis of the jaw (ONJ) has been reported in patients treated with denosumab or bisphosphonates, another class of antiresorptive agents. Most cases have been in cancer patients; however some have occurred in patients with osteoporosis.</w:t>
      </w:r>
    </w:p>
    <w:p w14:paraId="033C61D3" w14:textId="77777777" w:rsidR="006E62CD" w:rsidRPr="00B852A8" w:rsidRDefault="00CB520A" w:rsidP="00D258EC">
      <w:pPr>
        <w:pStyle w:val="BodyText"/>
        <w:adjustRightInd w:val="0"/>
        <w:snapToGrid w:val="0"/>
        <w:spacing w:before="60" w:after="60" w:line="360" w:lineRule="auto"/>
        <w:ind w:left="108" w:rightChars="30" w:right="66"/>
        <w:rPr>
          <w:lang w:val="en-GB"/>
        </w:rPr>
      </w:pPr>
      <w:r w:rsidRPr="00B852A8">
        <w:rPr>
          <w:lang w:val="en-GB"/>
        </w:rPr>
        <w:t xml:space="preserve">ONJ has been reported rarely in clinical studies in patients receiving denosumab at a </w:t>
      </w:r>
      <w:r w:rsidRPr="00B852A8">
        <w:rPr>
          <w:lang w:val="en-GB"/>
        </w:rPr>
        <w:lastRenderedPageBreak/>
        <w:t>dose of 60 mg every 6 months for osteoporosis. There have been reports of ONJ in clinical studies in patients with advanced cancer treated with denosumab at the studied dose of 120 mg administered monthly.</w:t>
      </w:r>
    </w:p>
    <w:p w14:paraId="7AEB7C8D" w14:textId="36E1254C"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Known</w:t>
      </w:r>
      <w:r w:rsidRPr="0075756B">
        <w:rPr>
          <w:lang w:val="en-GB"/>
        </w:rPr>
        <w:t xml:space="preserve"> </w:t>
      </w:r>
      <w:r w:rsidRPr="003444E8">
        <w:rPr>
          <w:lang w:val="en-GB"/>
        </w:rPr>
        <w:t>risk</w:t>
      </w:r>
      <w:r w:rsidRPr="0075756B">
        <w:rPr>
          <w:lang w:val="en-GB"/>
        </w:rPr>
        <w:t xml:space="preserve"> </w:t>
      </w:r>
      <w:r w:rsidRPr="003444E8">
        <w:rPr>
          <w:lang w:val="en-GB"/>
        </w:rPr>
        <w:t>factors</w:t>
      </w:r>
      <w:r w:rsidRPr="0075756B">
        <w:rPr>
          <w:lang w:val="en-GB"/>
        </w:rPr>
        <w:t xml:space="preserve"> </w:t>
      </w:r>
      <w:r w:rsidRPr="003444E8">
        <w:rPr>
          <w:lang w:val="en-GB"/>
        </w:rPr>
        <w:t>for</w:t>
      </w:r>
      <w:r w:rsidRPr="0075756B">
        <w:rPr>
          <w:lang w:val="en-GB"/>
        </w:rPr>
        <w:t xml:space="preserve"> </w:t>
      </w:r>
      <w:r w:rsidRPr="003444E8">
        <w:rPr>
          <w:lang w:val="en-GB"/>
        </w:rPr>
        <w:t>ONJ</w:t>
      </w:r>
      <w:r w:rsidRPr="0075756B">
        <w:rPr>
          <w:lang w:val="en-GB"/>
        </w:rPr>
        <w:t xml:space="preserve"> </w:t>
      </w:r>
      <w:r w:rsidRPr="003444E8">
        <w:rPr>
          <w:lang w:val="en-GB"/>
        </w:rPr>
        <w:t>include</w:t>
      </w:r>
      <w:r w:rsidRPr="0075756B">
        <w:rPr>
          <w:lang w:val="en-GB"/>
        </w:rPr>
        <w:t xml:space="preserve"> </w:t>
      </w:r>
      <w:r w:rsidRPr="003444E8">
        <w:rPr>
          <w:lang w:val="en-GB"/>
        </w:rPr>
        <w:t>a</w:t>
      </w:r>
      <w:r w:rsidRPr="0075756B">
        <w:rPr>
          <w:lang w:val="en-GB"/>
        </w:rPr>
        <w:t xml:space="preserve"> </w:t>
      </w:r>
      <w:r w:rsidRPr="003444E8">
        <w:rPr>
          <w:lang w:val="en-GB"/>
        </w:rPr>
        <w:t>diagnosis</w:t>
      </w:r>
      <w:r w:rsidRPr="0075756B">
        <w:rPr>
          <w:lang w:val="en-GB"/>
        </w:rPr>
        <w:t xml:space="preserve"> </w:t>
      </w:r>
      <w:r w:rsidRPr="003444E8">
        <w:rPr>
          <w:lang w:val="en-GB"/>
        </w:rPr>
        <w:t>of</w:t>
      </w:r>
      <w:r w:rsidRPr="0075756B">
        <w:rPr>
          <w:lang w:val="en-GB"/>
        </w:rPr>
        <w:t xml:space="preserve"> </w:t>
      </w:r>
      <w:r w:rsidRPr="003444E8">
        <w:rPr>
          <w:lang w:val="en-GB"/>
        </w:rPr>
        <w:t>cancer</w:t>
      </w:r>
      <w:r w:rsidRPr="0075756B">
        <w:rPr>
          <w:lang w:val="en-GB"/>
        </w:rPr>
        <w:t xml:space="preserve"> </w:t>
      </w:r>
      <w:r w:rsidRPr="003444E8">
        <w:rPr>
          <w:lang w:val="en-GB"/>
        </w:rPr>
        <w:t>with</w:t>
      </w:r>
      <w:r w:rsidRPr="0075756B">
        <w:rPr>
          <w:lang w:val="en-GB"/>
        </w:rPr>
        <w:t xml:space="preserve"> </w:t>
      </w:r>
      <w:r w:rsidRPr="003444E8">
        <w:rPr>
          <w:lang w:val="en-GB"/>
        </w:rPr>
        <w:t>bone</w:t>
      </w:r>
      <w:r w:rsidRPr="0075756B">
        <w:rPr>
          <w:lang w:val="en-GB"/>
        </w:rPr>
        <w:t xml:space="preserve"> </w:t>
      </w:r>
      <w:r w:rsidRPr="003444E8">
        <w:rPr>
          <w:lang w:val="en-GB"/>
        </w:rPr>
        <w:t>lesions,</w:t>
      </w:r>
      <w:r w:rsidRPr="0075756B">
        <w:rPr>
          <w:lang w:val="en-GB"/>
        </w:rPr>
        <w:t xml:space="preserve"> </w:t>
      </w:r>
      <w:r w:rsidRPr="003444E8">
        <w:rPr>
          <w:lang w:val="en-GB"/>
        </w:rPr>
        <w:t>concomitant</w:t>
      </w:r>
      <w:r w:rsidRPr="0075756B">
        <w:rPr>
          <w:lang w:val="en-GB"/>
        </w:rPr>
        <w:t xml:space="preserve"> </w:t>
      </w:r>
      <w:r w:rsidRPr="003444E8">
        <w:rPr>
          <w:lang w:val="en-GB"/>
        </w:rPr>
        <w:t>therapies (e.g. chemotherapy, antiangiogenic biologics, corticosteroids, radiotherapy to</w:t>
      </w:r>
      <w:r w:rsidRPr="0075756B">
        <w:rPr>
          <w:lang w:val="en-GB"/>
        </w:rPr>
        <w:t xml:space="preserve"> </w:t>
      </w:r>
      <w:r w:rsidRPr="003444E8">
        <w:rPr>
          <w:lang w:val="en-GB"/>
        </w:rPr>
        <w:t>head and neck), poor oral hygiene, invasive dental procedures (e.g. tooth extraction),</w:t>
      </w:r>
      <w:r w:rsidRPr="0075756B">
        <w:rPr>
          <w:lang w:val="en-GB"/>
        </w:rPr>
        <w:t xml:space="preserve"> </w:t>
      </w:r>
      <w:r w:rsidRPr="003444E8">
        <w:rPr>
          <w:lang w:val="en-GB"/>
        </w:rPr>
        <w:t>and co-morbid disorders (e.g. pre-existing dental disease, anaemia, coagulopathy,</w:t>
      </w:r>
      <w:r w:rsidRPr="0075756B">
        <w:rPr>
          <w:lang w:val="en-GB"/>
        </w:rPr>
        <w:t xml:space="preserve"> </w:t>
      </w:r>
      <w:r w:rsidRPr="003444E8">
        <w:rPr>
          <w:lang w:val="en-GB"/>
        </w:rPr>
        <w:t>infection).</w:t>
      </w:r>
      <w:r w:rsidRPr="0075756B">
        <w:rPr>
          <w:lang w:val="en-GB"/>
        </w:rPr>
        <w:t xml:space="preserve"> </w:t>
      </w:r>
      <w:r w:rsidRPr="003444E8">
        <w:rPr>
          <w:lang w:val="en-GB"/>
        </w:rPr>
        <w:t>The</w:t>
      </w:r>
      <w:r w:rsidRPr="0075756B">
        <w:rPr>
          <w:lang w:val="en-GB"/>
        </w:rPr>
        <w:t xml:space="preserve"> </w:t>
      </w:r>
      <w:r w:rsidRPr="003444E8">
        <w:rPr>
          <w:lang w:val="en-GB"/>
        </w:rPr>
        <w:t>risk of</w:t>
      </w:r>
      <w:r w:rsidRPr="0075756B">
        <w:rPr>
          <w:lang w:val="en-GB"/>
        </w:rPr>
        <w:t xml:space="preserve"> </w:t>
      </w:r>
      <w:r w:rsidRPr="003444E8">
        <w:rPr>
          <w:lang w:val="en-GB"/>
        </w:rPr>
        <w:t>ONJ</w:t>
      </w:r>
      <w:r w:rsidRPr="0075756B">
        <w:rPr>
          <w:lang w:val="en-GB"/>
        </w:rPr>
        <w:t xml:space="preserve"> </w:t>
      </w:r>
      <w:r w:rsidRPr="003444E8">
        <w:rPr>
          <w:lang w:val="en-GB"/>
        </w:rPr>
        <w:t>may</w:t>
      </w:r>
      <w:r w:rsidRPr="0075756B">
        <w:rPr>
          <w:lang w:val="en-GB"/>
        </w:rPr>
        <w:t xml:space="preserve"> </w:t>
      </w:r>
      <w:r w:rsidRPr="003444E8">
        <w:rPr>
          <w:lang w:val="en-GB"/>
        </w:rPr>
        <w:t>increase</w:t>
      </w:r>
      <w:r w:rsidRPr="0075756B">
        <w:rPr>
          <w:lang w:val="en-GB"/>
        </w:rPr>
        <w:t xml:space="preserve"> </w:t>
      </w:r>
      <w:r w:rsidRPr="003444E8">
        <w:rPr>
          <w:lang w:val="en-GB"/>
        </w:rPr>
        <w:t>with</w:t>
      </w:r>
      <w:r w:rsidRPr="0075756B">
        <w:rPr>
          <w:lang w:val="en-GB"/>
        </w:rPr>
        <w:t xml:space="preserve"> </w:t>
      </w:r>
      <w:r w:rsidRPr="003444E8">
        <w:rPr>
          <w:lang w:val="en-GB"/>
        </w:rPr>
        <w:t>duration of</w:t>
      </w:r>
      <w:r w:rsidRPr="0075756B">
        <w:rPr>
          <w:lang w:val="en-GB"/>
        </w:rPr>
        <w:t xml:space="preserve"> </w:t>
      </w:r>
      <w:r w:rsidRPr="003444E8">
        <w:rPr>
          <w:lang w:val="en-GB"/>
        </w:rPr>
        <w:t>exposure</w:t>
      </w:r>
      <w:r w:rsidRPr="0075756B">
        <w:rPr>
          <w:lang w:val="en-GB"/>
        </w:rPr>
        <w:t xml:space="preserve"> </w:t>
      </w:r>
      <w:r w:rsidRPr="003444E8">
        <w:rPr>
          <w:lang w:val="en-GB"/>
        </w:rPr>
        <w:t>to</w:t>
      </w:r>
      <w:r w:rsidRPr="0075756B">
        <w:rPr>
          <w:lang w:val="en-GB"/>
        </w:rPr>
        <w:t xml:space="preserve"> </w:t>
      </w:r>
      <w:r w:rsidR="003444E8">
        <w:rPr>
          <w:lang w:val="en-GB"/>
        </w:rPr>
        <w:t>denosumab</w:t>
      </w:r>
      <w:r w:rsidRPr="003444E8">
        <w:rPr>
          <w:lang w:val="en-GB"/>
        </w:rPr>
        <w:t>.</w:t>
      </w:r>
    </w:p>
    <w:p w14:paraId="37161620" w14:textId="1C00F2F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It is important to evaluate patients for risk factors for ONJ before starting treatment.</w:t>
      </w:r>
      <w:r w:rsidRPr="0075756B">
        <w:rPr>
          <w:lang w:val="en-GB"/>
        </w:rPr>
        <w:t xml:space="preserve"> </w:t>
      </w:r>
      <w:r w:rsidRPr="003444E8">
        <w:rPr>
          <w:lang w:val="en-GB"/>
        </w:rPr>
        <w:t>If</w:t>
      </w:r>
      <w:r w:rsidRPr="0075756B">
        <w:rPr>
          <w:lang w:val="en-GB"/>
        </w:rPr>
        <w:t xml:space="preserve"> </w:t>
      </w:r>
      <w:r w:rsidRPr="003444E8">
        <w:rPr>
          <w:lang w:val="en-GB"/>
        </w:rPr>
        <w:t>risk</w:t>
      </w:r>
      <w:r w:rsidRPr="0075756B">
        <w:rPr>
          <w:lang w:val="en-GB"/>
        </w:rPr>
        <w:t xml:space="preserve"> </w:t>
      </w:r>
      <w:r w:rsidRPr="003444E8">
        <w:rPr>
          <w:lang w:val="en-GB"/>
        </w:rPr>
        <w:t>factors</w:t>
      </w:r>
      <w:r w:rsidRPr="0075756B">
        <w:rPr>
          <w:lang w:val="en-GB"/>
        </w:rPr>
        <w:t xml:space="preserve"> </w:t>
      </w:r>
      <w:r w:rsidRPr="003444E8">
        <w:rPr>
          <w:lang w:val="en-GB"/>
        </w:rPr>
        <w:t>are</w:t>
      </w:r>
      <w:r w:rsidRPr="0075756B">
        <w:rPr>
          <w:lang w:val="en-GB"/>
        </w:rPr>
        <w:t xml:space="preserve"> </w:t>
      </w:r>
      <w:r w:rsidRPr="003444E8">
        <w:rPr>
          <w:lang w:val="en-GB"/>
        </w:rPr>
        <w:t>identified,</w:t>
      </w:r>
      <w:r w:rsidRPr="0075756B">
        <w:rPr>
          <w:lang w:val="en-GB"/>
        </w:rPr>
        <w:t xml:space="preserve"> </w:t>
      </w:r>
      <w:r w:rsidRPr="003444E8">
        <w:rPr>
          <w:lang w:val="en-GB"/>
        </w:rPr>
        <w:t>a</w:t>
      </w:r>
      <w:r w:rsidRPr="0075756B">
        <w:rPr>
          <w:lang w:val="en-GB"/>
        </w:rPr>
        <w:t xml:space="preserve"> </w:t>
      </w:r>
      <w:r w:rsidRPr="003444E8">
        <w:rPr>
          <w:lang w:val="en-GB"/>
        </w:rPr>
        <w:t>dental</w:t>
      </w:r>
      <w:r w:rsidRPr="0075756B">
        <w:rPr>
          <w:lang w:val="en-GB"/>
        </w:rPr>
        <w:t xml:space="preserve"> </w:t>
      </w:r>
      <w:r w:rsidRPr="003444E8">
        <w:rPr>
          <w:lang w:val="en-GB"/>
        </w:rPr>
        <w:t>examination</w:t>
      </w:r>
      <w:r w:rsidRPr="0075756B">
        <w:rPr>
          <w:lang w:val="en-GB"/>
        </w:rPr>
        <w:t xml:space="preserve"> </w:t>
      </w:r>
      <w:r w:rsidRPr="003444E8">
        <w:rPr>
          <w:lang w:val="en-GB"/>
        </w:rPr>
        <w:t>with</w:t>
      </w:r>
      <w:r w:rsidRPr="0075756B">
        <w:rPr>
          <w:lang w:val="en-GB"/>
        </w:rPr>
        <w:t xml:space="preserve"> </w:t>
      </w:r>
      <w:r w:rsidRPr="003444E8">
        <w:rPr>
          <w:lang w:val="en-GB"/>
        </w:rPr>
        <w:t>appropriate</w:t>
      </w:r>
      <w:r w:rsidRPr="0075756B">
        <w:rPr>
          <w:lang w:val="en-GB"/>
        </w:rPr>
        <w:t xml:space="preserve"> </w:t>
      </w:r>
      <w:r w:rsidRPr="003444E8">
        <w:rPr>
          <w:lang w:val="en-GB"/>
        </w:rPr>
        <w:t>preventive</w:t>
      </w:r>
      <w:r w:rsidRPr="0075756B">
        <w:rPr>
          <w:lang w:val="en-GB"/>
        </w:rPr>
        <w:t xml:space="preserve"> </w:t>
      </w:r>
      <w:r w:rsidRPr="003444E8">
        <w:rPr>
          <w:lang w:val="en-GB"/>
        </w:rPr>
        <w:t>dentistry</w:t>
      </w:r>
      <w:r w:rsidRPr="0075756B">
        <w:rPr>
          <w:lang w:val="en-GB"/>
        </w:rPr>
        <w:t xml:space="preserve"> </w:t>
      </w:r>
      <w:r w:rsidRPr="003444E8">
        <w:rPr>
          <w:lang w:val="en-GB"/>
        </w:rPr>
        <w:t>is</w:t>
      </w:r>
      <w:r w:rsidRPr="0075756B">
        <w:rPr>
          <w:lang w:val="en-GB"/>
        </w:rPr>
        <w:t xml:space="preserve"> </w:t>
      </w:r>
      <w:r w:rsidRPr="003444E8">
        <w:rPr>
          <w:lang w:val="en-GB"/>
        </w:rPr>
        <w:t xml:space="preserve">recommended prior to treatment with </w:t>
      </w:r>
      <w:r w:rsidR="00A04F0C">
        <w:t>denosumab</w:t>
      </w:r>
      <w:r w:rsidRPr="003444E8">
        <w:rPr>
          <w:lang w:val="en-GB"/>
        </w:rPr>
        <w:t>.</w:t>
      </w:r>
      <w:r w:rsidRPr="0075756B">
        <w:rPr>
          <w:lang w:val="en-GB"/>
        </w:rPr>
        <w:t xml:space="preserve"> </w:t>
      </w:r>
      <w:r w:rsidRPr="003444E8">
        <w:rPr>
          <w:lang w:val="en-GB"/>
        </w:rPr>
        <w:t>Good oral hygiene practices should be</w:t>
      </w:r>
      <w:r w:rsidRPr="0075756B">
        <w:rPr>
          <w:lang w:val="en-GB"/>
        </w:rPr>
        <w:t xml:space="preserve"> </w:t>
      </w:r>
      <w:r w:rsidRPr="003444E8">
        <w:rPr>
          <w:lang w:val="en-GB"/>
        </w:rPr>
        <w:t>maintained</w:t>
      </w:r>
      <w:r w:rsidRPr="0075756B">
        <w:rPr>
          <w:lang w:val="en-GB"/>
        </w:rPr>
        <w:t xml:space="preserve"> </w:t>
      </w:r>
      <w:r w:rsidRPr="003444E8">
        <w:rPr>
          <w:lang w:val="en-GB"/>
        </w:rPr>
        <w:t>during</w:t>
      </w:r>
      <w:r w:rsidRPr="0075756B">
        <w:rPr>
          <w:lang w:val="en-GB"/>
        </w:rPr>
        <w:t xml:space="preserve"> </w:t>
      </w:r>
      <w:r w:rsidRPr="003444E8">
        <w:rPr>
          <w:lang w:val="en-GB"/>
        </w:rPr>
        <w:t>treatment with</w:t>
      </w:r>
      <w:r w:rsidRPr="0075756B">
        <w:rPr>
          <w:lang w:val="en-GB"/>
        </w:rPr>
        <w:t xml:space="preserve"> </w:t>
      </w:r>
      <w:r w:rsidR="00A04F0C">
        <w:t>denosumab</w:t>
      </w:r>
      <w:r w:rsidRPr="003444E8">
        <w:rPr>
          <w:lang w:val="en-GB"/>
        </w:rPr>
        <w:t>.</w:t>
      </w:r>
    </w:p>
    <w:p w14:paraId="655B887D" w14:textId="17ECC80E"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Avoid invasive dental procedures during treatment with </w:t>
      </w:r>
      <w:r w:rsidR="00120ACA">
        <w:rPr>
          <w:lang w:val="en-GB"/>
        </w:rPr>
        <w:t>denosumab</w:t>
      </w:r>
      <w:r w:rsidRPr="003444E8">
        <w:rPr>
          <w:lang w:val="en-GB"/>
        </w:rPr>
        <w:t>.</w:t>
      </w:r>
      <w:r w:rsidRPr="0075756B">
        <w:rPr>
          <w:lang w:val="en-GB"/>
        </w:rPr>
        <w:t xml:space="preserve"> </w:t>
      </w:r>
      <w:r w:rsidRPr="003444E8">
        <w:rPr>
          <w:lang w:val="en-GB"/>
        </w:rPr>
        <w:t>For patients in whom invasive dental procedures cannot be avoided, the clinical judgement of the treating</w:t>
      </w:r>
      <w:r w:rsidRPr="0075756B">
        <w:rPr>
          <w:lang w:val="en-GB"/>
        </w:rPr>
        <w:t xml:space="preserve"> </w:t>
      </w:r>
      <w:r w:rsidRPr="003444E8">
        <w:rPr>
          <w:lang w:val="en-GB"/>
        </w:rPr>
        <w:t>physician should guide the management plan of each patient based on individual</w:t>
      </w:r>
      <w:r w:rsidRPr="0075756B">
        <w:rPr>
          <w:lang w:val="en-GB"/>
        </w:rPr>
        <w:t xml:space="preserve"> </w:t>
      </w:r>
      <w:r w:rsidRPr="003444E8">
        <w:rPr>
          <w:lang w:val="en-GB"/>
        </w:rPr>
        <w:t>benefit/risk</w:t>
      </w:r>
      <w:r w:rsidRPr="0075756B">
        <w:rPr>
          <w:lang w:val="en-GB"/>
        </w:rPr>
        <w:t xml:space="preserve"> </w:t>
      </w:r>
      <w:r w:rsidRPr="003444E8">
        <w:rPr>
          <w:lang w:val="en-GB"/>
        </w:rPr>
        <w:t>assessment.</w:t>
      </w:r>
    </w:p>
    <w:p w14:paraId="03900C77" w14:textId="7144B68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Patients who are suspected of having or who develop ONJ while on </w:t>
      </w:r>
      <w:r w:rsidR="00120ACA">
        <w:rPr>
          <w:lang w:val="en-GB"/>
        </w:rPr>
        <w:t>denosumab</w:t>
      </w:r>
      <w:r w:rsidR="003444E8" w:rsidRPr="003444E8">
        <w:rPr>
          <w:lang w:val="en-GB"/>
        </w:rPr>
        <w:t xml:space="preserve"> </w:t>
      </w:r>
      <w:r w:rsidRPr="003444E8">
        <w:rPr>
          <w:lang w:val="en-GB"/>
        </w:rPr>
        <w:t>should</w:t>
      </w:r>
      <w:r w:rsidRPr="00A561C0">
        <w:rPr>
          <w:lang w:val="en-GB"/>
        </w:rPr>
        <w:t xml:space="preserve"> </w:t>
      </w:r>
      <w:r w:rsidRPr="003444E8">
        <w:rPr>
          <w:lang w:val="en-GB"/>
        </w:rPr>
        <w:t>receive care by a dentist or an oral surgeon.</w:t>
      </w:r>
      <w:r w:rsidRPr="00A561C0">
        <w:rPr>
          <w:lang w:val="en-GB"/>
        </w:rPr>
        <w:t xml:space="preserve"> </w:t>
      </w:r>
      <w:r w:rsidRPr="003444E8">
        <w:rPr>
          <w:lang w:val="en-GB"/>
        </w:rPr>
        <w:t>In patients who develop ONJ during</w:t>
      </w:r>
      <w:r w:rsidRPr="00A561C0">
        <w:rPr>
          <w:lang w:val="en-GB"/>
        </w:rPr>
        <w:t xml:space="preserve"> </w:t>
      </w:r>
      <w:r w:rsidRPr="003444E8">
        <w:rPr>
          <w:lang w:val="en-GB"/>
        </w:rPr>
        <w:t xml:space="preserve">treatment with </w:t>
      </w:r>
      <w:r w:rsidR="00120ACA">
        <w:rPr>
          <w:lang w:val="en-GB"/>
        </w:rPr>
        <w:t>denosumab</w:t>
      </w:r>
      <w:r w:rsidRPr="003444E8">
        <w:rPr>
          <w:lang w:val="en-GB"/>
        </w:rPr>
        <w:t>, a temporary interruption of treatment should be considered based</w:t>
      </w:r>
      <w:r w:rsidRPr="00A561C0">
        <w:rPr>
          <w:lang w:val="en-GB"/>
        </w:rPr>
        <w:t xml:space="preserve"> </w:t>
      </w:r>
      <w:r w:rsidRPr="003444E8">
        <w:rPr>
          <w:lang w:val="en-GB"/>
        </w:rPr>
        <w:t>on</w:t>
      </w:r>
      <w:r w:rsidRPr="00A561C0">
        <w:rPr>
          <w:lang w:val="en-GB"/>
        </w:rPr>
        <w:t xml:space="preserve"> </w:t>
      </w:r>
      <w:r w:rsidRPr="003444E8">
        <w:rPr>
          <w:lang w:val="en-GB"/>
        </w:rPr>
        <w:t>individual</w:t>
      </w:r>
      <w:r w:rsidRPr="00A561C0">
        <w:rPr>
          <w:lang w:val="en-GB"/>
        </w:rPr>
        <w:t xml:space="preserve"> </w:t>
      </w:r>
      <w:r w:rsidRPr="003444E8">
        <w:rPr>
          <w:lang w:val="en-GB"/>
        </w:rPr>
        <w:t>risk/benefit</w:t>
      </w:r>
      <w:r w:rsidRPr="00A561C0">
        <w:rPr>
          <w:lang w:val="en-GB"/>
        </w:rPr>
        <w:t xml:space="preserve"> </w:t>
      </w:r>
      <w:r w:rsidRPr="003444E8">
        <w:rPr>
          <w:lang w:val="en-GB"/>
        </w:rPr>
        <w:t>assessment</w:t>
      </w:r>
      <w:r w:rsidRPr="00A561C0">
        <w:rPr>
          <w:lang w:val="en-GB"/>
        </w:rPr>
        <w:t xml:space="preserve"> </w:t>
      </w:r>
      <w:r w:rsidRPr="003444E8">
        <w:rPr>
          <w:lang w:val="en-GB"/>
        </w:rPr>
        <w:t>until the</w:t>
      </w:r>
      <w:r w:rsidRPr="00A561C0">
        <w:rPr>
          <w:lang w:val="en-GB"/>
        </w:rPr>
        <w:t xml:space="preserve"> </w:t>
      </w:r>
      <w:r w:rsidRPr="003444E8">
        <w:rPr>
          <w:lang w:val="en-GB"/>
        </w:rPr>
        <w:t>condition resolves.</w:t>
      </w:r>
    </w:p>
    <w:p w14:paraId="14709BEE" w14:textId="5492DA75"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Atypical</w:t>
      </w:r>
      <w:r w:rsidRPr="003444E8">
        <w:rPr>
          <w:spacing w:val="-2"/>
          <w:u w:val="single"/>
          <w:lang w:val="en-GB"/>
        </w:rPr>
        <w:t xml:space="preserve"> </w:t>
      </w:r>
      <w:r w:rsidRPr="003444E8">
        <w:rPr>
          <w:u w:val="single"/>
          <w:lang w:val="en-GB"/>
        </w:rPr>
        <w:t>femoral</w:t>
      </w:r>
      <w:r w:rsidRPr="003444E8">
        <w:rPr>
          <w:spacing w:val="-2"/>
          <w:u w:val="single"/>
          <w:lang w:val="en-GB"/>
        </w:rPr>
        <w:t xml:space="preserve"> </w:t>
      </w:r>
      <w:r w:rsidRPr="003444E8">
        <w:rPr>
          <w:u w:val="single"/>
          <w:lang w:val="en-GB"/>
        </w:rPr>
        <w:t>fractures</w:t>
      </w:r>
    </w:p>
    <w:p w14:paraId="3F1AC703" w14:textId="6B75A014"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Atypical femoral fractures have been reported in patients receiving </w:t>
      </w:r>
      <w:r w:rsidR="003444E8">
        <w:rPr>
          <w:lang w:val="en-GB"/>
        </w:rPr>
        <w:t>denosumab</w:t>
      </w:r>
      <w:r w:rsidRPr="003444E8">
        <w:rPr>
          <w:lang w:val="en-GB"/>
        </w:rPr>
        <w:t xml:space="preserve">. Atypical femoral fractures may occur with little or no trauma in the subtrochanteric and diaphyseal regions of the femur and may be bilateral. Specific radiographic findings characterise these events. Atypical femoral fractures have also been reported in patients with certain co-morbid conditions (e.g. vitamin D deficiency, rheumatoid arthritis, hypophosphatasia) and with use of certain pharmaceutical agents (e.g. bisphosphonates, glucocorticoids, proton pump inhibitors). These events have also occurred without antiresorptive therapy. During </w:t>
      </w:r>
      <w:r w:rsidR="00A04F0C">
        <w:rPr>
          <w:lang w:val="en-GB"/>
        </w:rPr>
        <w:t>denosumab</w:t>
      </w:r>
      <w:r w:rsidR="00A561C0" w:rsidRPr="003444E8">
        <w:rPr>
          <w:lang w:val="en-GB"/>
        </w:rPr>
        <w:t xml:space="preserve"> </w:t>
      </w:r>
      <w:r w:rsidRPr="003444E8">
        <w:rPr>
          <w:lang w:val="en-GB"/>
        </w:rPr>
        <w:t>treatment, patients should be advised to report new or unusual thigh, hip, or groin pain. Patients presenting with such symptoms should be evaluated for an incomplete femoral fracture, and the contralateral femur should also be examined.</w:t>
      </w:r>
    </w:p>
    <w:p w14:paraId="323B7743" w14:textId="1A8B21DE" w:rsidR="006E62CD" w:rsidRPr="002F6DC4" w:rsidRDefault="00CB520A" w:rsidP="001619FB">
      <w:pPr>
        <w:pStyle w:val="BodyText"/>
        <w:pageBreakBefore/>
        <w:adjustRightInd w:val="0"/>
        <w:snapToGrid w:val="0"/>
        <w:spacing w:before="60" w:after="60" w:line="360" w:lineRule="auto"/>
        <w:ind w:left="108" w:rightChars="30" w:right="66"/>
        <w:rPr>
          <w:lang w:val="en-GB"/>
        </w:rPr>
      </w:pPr>
      <w:r w:rsidRPr="003444E8">
        <w:rPr>
          <w:u w:val="single"/>
          <w:lang w:val="en-GB"/>
        </w:rPr>
        <w:lastRenderedPageBreak/>
        <w:t>Multiple</w:t>
      </w:r>
      <w:r w:rsidRPr="003444E8">
        <w:rPr>
          <w:spacing w:val="-3"/>
          <w:u w:val="single"/>
          <w:lang w:val="en-GB"/>
        </w:rPr>
        <w:t xml:space="preserve"> </w:t>
      </w:r>
      <w:r w:rsidRPr="003444E8">
        <w:rPr>
          <w:u w:val="single"/>
          <w:lang w:val="en-GB"/>
        </w:rPr>
        <w:t>vertebral</w:t>
      </w:r>
      <w:r w:rsidRPr="003444E8">
        <w:rPr>
          <w:spacing w:val="-1"/>
          <w:u w:val="single"/>
          <w:lang w:val="en-GB"/>
        </w:rPr>
        <w:t xml:space="preserve"> </w:t>
      </w:r>
      <w:r w:rsidRPr="003444E8">
        <w:rPr>
          <w:u w:val="single"/>
          <w:lang w:val="en-GB"/>
        </w:rPr>
        <w:t>fractures</w:t>
      </w:r>
      <w:r w:rsidRPr="003444E8">
        <w:rPr>
          <w:spacing w:val="-2"/>
          <w:u w:val="single"/>
          <w:lang w:val="en-GB"/>
        </w:rPr>
        <w:t xml:space="preserve"> </w:t>
      </w:r>
      <w:r w:rsidRPr="003444E8">
        <w:rPr>
          <w:u w:val="single"/>
          <w:lang w:val="en-GB"/>
        </w:rPr>
        <w:t>(MVF)</w:t>
      </w:r>
      <w:r w:rsidRPr="003444E8">
        <w:rPr>
          <w:spacing w:val="-2"/>
          <w:u w:val="single"/>
          <w:lang w:val="en-GB"/>
        </w:rPr>
        <w:t xml:space="preserve"> </w:t>
      </w:r>
      <w:r w:rsidRPr="003444E8">
        <w:rPr>
          <w:u w:val="single"/>
          <w:lang w:val="en-GB"/>
        </w:rPr>
        <w:t>following</w:t>
      </w:r>
      <w:r w:rsidRPr="003444E8">
        <w:rPr>
          <w:spacing w:val="-1"/>
          <w:u w:val="single"/>
          <w:lang w:val="en-GB"/>
        </w:rPr>
        <w:t xml:space="preserve"> </w:t>
      </w:r>
      <w:r w:rsidRPr="003444E8">
        <w:rPr>
          <w:u w:val="single"/>
          <w:lang w:val="en-GB"/>
        </w:rPr>
        <w:t>discontinuation</w:t>
      </w:r>
      <w:r w:rsidRPr="003444E8">
        <w:rPr>
          <w:spacing w:val="-3"/>
          <w:u w:val="single"/>
          <w:lang w:val="en-GB"/>
        </w:rPr>
        <w:t xml:space="preserve"> </w:t>
      </w:r>
      <w:r w:rsidRPr="003444E8">
        <w:rPr>
          <w:u w:val="single"/>
          <w:lang w:val="en-GB"/>
        </w:rPr>
        <w:t>of</w:t>
      </w:r>
      <w:r w:rsidRPr="003444E8">
        <w:rPr>
          <w:spacing w:val="-4"/>
          <w:u w:val="single"/>
          <w:lang w:val="en-GB"/>
        </w:rPr>
        <w:t xml:space="preserve"> </w:t>
      </w:r>
      <w:r w:rsidR="00A04F0C">
        <w:rPr>
          <w:u w:val="single"/>
          <w:lang w:val="en-GB"/>
        </w:rPr>
        <w:t>denosumab</w:t>
      </w:r>
      <w:r w:rsidR="00A561C0" w:rsidRPr="003444E8">
        <w:rPr>
          <w:u w:val="single"/>
          <w:lang w:val="en-GB"/>
        </w:rPr>
        <w:t xml:space="preserve"> </w:t>
      </w:r>
      <w:r w:rsidRPr="003444E8">
        <w:rPr>
          <w:u w:val="single"/>
          <w:lang w:val="en-GB"/>
        </w:rPr>
        <w:t>treatment</w:t>
      </w:r>
    </w:p>
    <w:p w14:paraId="2E5B22DA" w14:textId="669F0C33"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Multiple</w:t>
      </w:r>
      <w:r w:rsidRPr="00A561C0">
        <w:rPr>
          <w:lang w:val="en-GB"/>
        </w:rPr>
        <w:t xml:space="preserve"> </w:t>
      </w:r>
      <w:r w:rsidRPr="003444E8">
        <w:rPr>
          <w:lang w:val="en-GB"/>
        </w:rPr>
        <w:t>vertebral</w:t>
      </w:r>
      <w:r w:rsidRPr="00A561C0">
        <w:rPr>
          <w:lang w:val="en-GB"/>
        </w:rPr>
        <w:t xml:space="preserve"> </w:t>
      </w:r>
      <w:r w:rsidRPr="003444E8">
        <w:rPr>
          <w:lang w:val="en-GB"/>
        </w:rPr>
        <w:t>fractures</w:t>
      </w:r>
      <w:r w:rsidRPr="00A561C0">
        <w:rPr>
          <w:lang w:val="en-GB"/>
        </w:rPr>
        <w:t xml:space="preserve"> </w:t>
      </w:r>
      <w:r w:rsidRPr="003444E8">
        <w:rPr>
          <w:lang w:val="en-GB"/>
        </w:rPr>
        <w:t>(MVF)</w:t>
      </w:r>
      <w:r w:rsidRPr="00A561C0">
        <w:rPr>
          <w:lang w:val="en-GB"/>
        </w:rPr>
        <w:t xml:space="preserve"> </w:t>
      </w:r>
      <w:r w:rsidRPr="003444E8">
        <w:rPr>
          <w:lang w:val="en-GB"/>
        </w:rPr>
        <w:t>may</w:t>
      </w:r>
      <w:r w:rsidRPr="00A561C0">
        <w:rPr>
          <w:lang w:val="en-GB"/>
        </w:rPr>
        <w:t xml:space="preserve"> </w:t>
      </w:r>
      <w:r w:rsidRPr="003444E8">
        <w:rPr>
          <w:lang w:val="en-GB"/>
        </w:rPr>
        <w:t>occur</w:t>
      </w:r>
      <w:r w:rsidRPr="00A561C0">
        <w:rPr>
          <w:lang w:val="en-GB"/>
        </w:rPr>
        <w:t xml:space="preserve"> </w:t>
      </w:r>
      <w:r w:rsidRPr="003444E8">
        <w:rPr>
          <w:lang w:val="en-GB"/>
        </w:rPr>
        <w:t>following</w:t>
      </w:r>
      <w:r w:rsidRPr="00A561C0">
        <w:rPr>
          <w:lang w:val="en-GB"/>
        </w:rPr>
        <w:t xml:space="preserve"> </w:t>
      </w:r>
      <w:r w:rsidRPr="003444E8">
        <w:rPr>
          <w:lang w:val="en-GB"/>
        </w:rPr>
        <w:t>discontinuation</w:t>
      </w:r>
      <w:r w:rsidRPr="00A561C0">
        <w:rPr>
          <w:lang w:val="en-GB"/>
        </w:rPr>
        <w:t xml:space="preserve"> </w:t>
      </w:r>
      <w:r w:rsidRPr="003444E8">
        <w:rPr>
          <w:lang w:val="en-GB"/>
        </w:rPr>
        <w:t>of</w:t>
      </w:r>
      <w:r w:rsidRPr="00A561C0">
        <w:rPr>
          <w:lang w:val="en-GB"/>
        </w:rPr>
        <w:t xml:space="preserve"> </w:t>
      </w:r>
      <w:r w:rsidRPr="003444E8">
        <w:rPr>
          <w:lang w:val="en-GB"/>
        </w:rPr>
        <w:t>treatment</w:t>
      </w:r>
      <w:r w:rsidRPr="00A561C0">
        <w:rPr>
          <w:lang w:val="en-GB"/>
        </w:rPr>
        <w:t xml:space="preserve"> </w:t>
      </w:r>
      <w:r w:rsidRPr="003444E8">
        <w:rPr>
          <w:lang w:val="en-GB"/>
        </w:rPr>
        <w:t>with</w:t>
      </w:r>
      <w:r w:rsidRPr="00A561C0">
        <w:rPr>
          <w:lang w:val="en-GB"/>
        </w:rPr>
        <w:t xml:space="preserve"> </w:t>
      </w:r>
      <w:r w:rsidR="00A04F0C">
        <w:rPr>
          <w:lang w:val="en-GB"/>
        </w:rPr>
        <w:t>denosumab</w:t>
      </w:r>
      <w:r w:rsidRPr="003444E8">
        <w:rPr>
          <w:lang w:val="en-GB"/>
        </w:rPr>
        <w:t>,</w:t>
      </w:r>
      <w:r w:rsidRPr="00A561C0">
        <w:rPr>
          <w:lang w:val="en-GB"/>
        </w:rPr>
        <w:t xml:space="preserve"> </w:t>
      </w:r>
      <w:r w:rsidRPr="003444E8">
        <w:rPr>
          <w:lang w:val="en-GB"/>
        </w:rPr>
        <w:t>particularly in patients</w:t>
      </w:r>
      <w:r w:rsidRPr="00A561C0">
        <w:rPr>
          <w:lang w:val="en-GB"/>
        </w:rPr>
        <w:t xml:space="preserve"> </w:t>
      </w:r>
      <w:r w:rsidRPr="003444E8">
        <w:rPr>
          <w:lang w:val="en-GB"/>
        </w:rPr>
        <w:t>with a</w:t>
      </w:r>
      <w:r w:rsidRPr="00A561C0">
        <w:rPr>
          <w:lang w:val="en-GB"/>
        </w:rPr>
        <w:t xml:space="preserve"> </w:t>
      </w:r>
      <w:r w:rsidRPr="003444E8">
        <w:rPr>
          <w:lang w:val="en-GB"/>
        </w:rPr>
        <w:t>history</w:t>
      </w:r>
      <w:r w:rsidRPr="00A561C0">
        <w:rPr>
          <w:lang w:val="en-GB"/>
        </w:rPr>
        <w:t xml:space="preserve"> </w:t>
      </w:r>
      <w:r w:rsidRPr="003444E8">
        <w:rPr>
          <w:lang w:val="en-GB"/>
        </w:rPr>
        <w:t>of</w:t>
      </w:r>
      <w:r w:rsidRPr="00A561C0">
        <w:rPr>
          <w:lang w:val="en-GB"/>
        </w:rPr>
        <w:t xml:space="preserve"> </w:t>
      </w:r>
      <w:r w:rsidRPr="003444E8">
        <w:rPr>
          <w:lang w:val="en-GB"/>
        </w:rPr>
        <w:t>vertebral fracture.</w:t>
      </w:r>
    </w:p>
    <w:p w14:paraId="6E110564" w14:textId="0A404B6C"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Patients being treated with </w:t>
      </w:r>
      <w:r w:rsidR="00A04F0C">
        <w:rPr>
          <w:lang w:val="en-GB"/>
        </w:rPr>
        <w:t>denosumab</w:t>
      </w:r>
      <w:r w:rsidRPr="003444E8">
        <w:rPr>
          <w:lang w:val="en-GB"/>
        </w:rPr>
        <w:t xml:space="preserve">, should be advised not to interrupt </w:t>
      </w:r>
      <w:r w:rsidR="00A04F0C">
        <w:rPr>
          <w:lang w:val="en-GB"/>
        </w:rPr>
        <w:t>denosumab</w:t>
      </w:r>
      <w:r w:rsidR="00A561C0" w:rsidRPr="003444E8">
        <w:rPr>
          <w:lang w:val="en-GB"/>
        </w:rPr>
        <w:t xml:space="preserve"> </w:t>
      </w:r>
      <w:r w:rsidRPr="003444E8">
        <w:rPr>
          <w:lang w:val="en-GB"/>
        </w:rPr>
        <w:t>therapy</w:t>
      </w:r>
      <w:r w:rsidRPr="00A561C0">
        <w:rPr>
          <w:lang w:val="en-GB"/>
        </w:rPr>
        <w:t xml:space="preserve"> </w:t>
      </w:r>
      <w:r w:rsidRPr="003444E8">
        <w:rPr>
          <w:lang w:val="en-GB"/>
        </w:rPr>
        <w:t>without</w:t>
      </w:r>
      <w:r w:rsidRPr="00A561C0">
        <w:rPr>
          <w:lang w:val="en-GB"/>
        </w:rPr>
        <w:t xml:space="preserve"> </w:t>
      </w:r>
      <w:r w:rsidRPr="003444E8">
        <w:rPr>
          <w:lang w:val="en-GB"/>
        </w:rPr>
        <w:t>prior</w:t>
      </w:r>
      <w:r w:rsidRPr="00A561C0">
        <w:rPr>
          <w:lang w:val="en-GB"/>
        </w:rPr>
        <w:t xml:space="preserve"> </w:t>
      </w:r>
      <w:r w:rsidRPr="003444E8">
        <w:rPr>
          <w:lang w:val="en-GB"/>
        </w:rPr>
        <w:t>consultation with</w:t>
      </w:r>
      <w:r w:rsidRPr="00A561C0">
        <w:rPr>
          <w:lang w:val="en-GB"/>
        </w:rPr>
        <w:t xml:space="preserve"> </w:t>
      </w:r>
      <w:r w:rsidRPr="003444E8">
        <w:rPr>
          <w:lang w:val="en-GB"/>
        </w:rPr>
        <w:t>their</w:t>
      </w:r>
      <w:r w:rsidRPr="00A561C0">
        <w:rPr>
          <w:lang w:val="en-GB"/>
        </w:rPr>
        <w:t xml:space="preserve"> </w:t>
      </w:r>
      <w:r w:rsidRPr="003444E8">
        <w:rPr>
          <w:lang w:val="en-GB"/>
        </w:rPr>
        <w:t>treating</w:t>
      </w:r>
      <w:r w:rsidRPr="00A561C0">
        <w:rPr>
          <w:lang w:val="en-GB"/>
        </w:rPr>
        <w:t xml:space="preserve"> </w:t>
      </w:r>
      <w:r w:rsidRPr="003444E8">
        <w:rPr>
          <w:lang w:val="en-GB"/>
        </w:rPr>
        <w:t>physician.</w:t>
      </w:r>
      <w:r w:rsidRPr="00A561C0">
        <w:rPr>
          <w:lang w:val="en-GB"/>
        </w:rPr>
        <w:t xml:space="preserve"> </w:t>
      </w:r>
      <w:r w:rsidRPr="003444E8">
        <w:rPr>
          <w:lang w:val="en-GB"/>
        </w:rPr>
        <w:t>The</w:t>
      </w:r>
      <w:r w:rsidRPr="00A561C0">
        <w:rPr>
          <w:lang w:val="en-GB"/>
        </w:rPr>
        <w:t xml:space="preserve"> </w:t>
      </w:r>
      <w:r w:rsidRPr="003444E8">
        <w:rPr>
          <w:lang w:val="en-GB"/>
        </w:rPr>
        <w:t>individual</w:t>
      </w:r>
      <w:r w:rsidRPr="00A561C0">
        <w:rPr>
          <w:lang w:val="en-GB"/>
        </w:rPr>
        <w:t xml:space="preserve"> </w:t>
      </w:r>
      <w:r w:rsidRPr="003444E8">
        <w:rPr>
          <w:lang w:val="en-GB"/>
        </w:rPr>
        <w:t>benefit/risk</w:t>
      </w:r>
      <w:r w:rsidRPr="00A561C0">
        <w:rPr>
          <w:lang w:val="en-GB"/>
        </w:rPr>
        <w:t xml:space="preserve"> </w:t>
      </w:r>
      <w:r w:rsidRPr="003444E8">
        <w:rPr>
          <w:lang w:val="en-GB"/>
        </w:rPr>
        <w:t>should</w:t>
      </w:r>
      <w:r w:rsidR="00A561C0" w:rsidRPr="00A561C0">
        <w:rPr>
          <w:rFonts w:hint="eastAsia"/>
          <w:lang w:val="en-GB"/>
        </w:rPr>
        <w:t xml:space="preserve"> </w:t>
      </w:r>
      <w:r w:rsidRPr="003444E8">
        <w:rPr>
          <w:lang w:val="en-GB"/>
        </w:rPr>
        <w:t>be</w:t>
      </w:r>
      <w:r w:rsidRPr="00A561C0">
        <w:rPr>
          <w:lang w:val="en-GB"/>
        </w:rPr>
        <w:t xml:space="preserve"> </w:t>
      </w:r>
      <w:r w:rsidRPr="003444E8">
        <w:rPr>
          <w:lang w:val="en-GB"/>
        </w:rPr>
        <w:t>evaluated</w:t>
      </w:r>
      <w:r w:rsidRPr="00A561C0">
        <w:rPr>
          <w:lang w:val="en-GB"/>
        </w:rPr>
        <w:t xml:space="preserve"> </w:t>
      </w:r>
      <w:r w:rsidRPr="003444E8">
        <w:rPr>
          <w:lang w:val="en-GB"/>
        </w:rPr>
        <w:t>before</w:t>
      </w:r>
      <w:r w:rsidRPr="00A561C0">
        <w:rPr>
          <w:lang w:val="en-GB"/>
        </w:rPr>
        <w:t xml:space="preserve"> </w:t>
      </w:r>
      <w:r w:rsidRPr="003444E8">
        <w:rPr>
          <w:lang w:val="en-GB"/>
        </w:rPr>
        <w:t>discontinuing</w:t>
      </w:r>
      <w:r w:rsidRPr="00A561C0">
        <w:rPr>
          <w:lang w:val="en-GB"/>
        </w:rPr>
        <w:t xml:space="preserve"> </w:t>
      </w:r>
      <w:r w:rsidRPr="003444E8">
        <w:rPr>
          <w:lang w:val="en-GB"/>
        </w:rPr>
        <w:t>treatment</w:t>
      </w:r>
      <w:r w:rsidRPr="00A561C0">
        <w:rPr>
          <w:lang w:val="en-GB"/>
        </w:rPr>
        <w:t xml:space="preserve"> </w:t>
      </w:r>
      <w:r w:rsidRPr="003444E8">
        <w:rPr>
          <w:lang w:val="en-GB"/>
        </w:rPr>
        <w:t>with</w:t>
      </w:r>
      <w:r w:rsidRPr="00A561C0">
        <w:rPr>
          <w:lang w:val="en-GB"/>
        </w:rPr>
        <w:t xml:space="preserve"> </w:t>
      </w:r>
      <w:r w:rsidR="00A04F0C">
        <w:rPr>
          <w:lang w:val="en-GB"/>
        </w:rPr>
        <w:t>denosumab</w:t>
      </w:r>
      <w:r w:rsidRPr="003444E8">
        <w:rPr>
          <w:lang w:val="en-GB"/>
        </w:rPr>
        <w:t>.</w:t>
      </w:r>
      <w:r w:rsidRPr="00A561C0">
        <w:rPr>
          <w:lang w:val="en-GB"/>
        </w:rPr>
        <w:t xml:space="preserve"> </w:t>
      </w:r>
      <w:r w:rsidRPr="003444E8">
        <w:rPr>
          <w:lang w:val="en-GB"/>
        </w:rPr>
        <w:t>If</w:t>
      </w:r>
      <w:r w:rsidRPr="00A561C0">
        <w:rPr>
          <w:lang w:val="en-GB"/>
        </w:rPr>
        <w:t xml:space="preserve"> </w:t>
      </w:r>
      <w:r w:rsidR="00A04F0C">
        <w:rPr>
          <w:lang w:val="en-GB"/>
        </w:rPr>
        <w:t>denosumab</w:t>
      </w:r>
      <w:r w:rsidR="00A561C0" w:rsidRPr="00A561C0">
        <w:rPr>
          <w:lang w:val="en-GB"/>
        </w:rPr>
        <w:t xml:space="preserve"> </w:t>
      </w:r>
      <w:r w:rsidRPr="003444E8">
        <w:rPr>
          <w:lang w:val="en-GB"/>
        </w:rPr>
        <w:t>treatment</w:t>
      </w:r>
      <w:r w:rsidRPr="00A561C0">
        <w:rPr>
          <w:lang w:val="en-GB"/>
        </w:rPr>
        <w:t xml:space="preserve"> </w:t>
      </w:r>
      <w:r w:rsidRPr="003444E8">
        <w:rPr>
          <w:lang w:val="en-GB"/>
        </w:rPr>
        <w:t>is</w:t>
      </w:r>
      <w:r w:rsidRPr="00A561C0">
        <w:rPr>
          <w:lang w:val="en-GB"/>
        </w:rPr>
        <w:t xml:space="preserve"> </w:t>
      </w:r>
      <w:r w:rsidRPr="003444E8">
        <w:rPr>
          <w:lang w:val="en-GB"/>
        </w:rPr>
        <w:t>discontinued,</w:t>
      </w:r>
      <w:r w:rsidRPr="00A561C0">
        <w:rPr>
          <w:lang w:val="en-GB"/>
        </w:rPr>
        <w:t xml:space="preserve"> </w:t>
      </w:r>
      <w:r w:rsidRPr="003444E8">
        <w:rPr>
          <w:lang w:val="en-GB"/>
        </w:rPr>
        <w:t>consider</w:t>
      </w:r>
      <w:r w:rsidRPr="00A561C0">
        <w:rPr>
          <w:lang w:val="en-GB"/>
        </w:rPr>
        <w:t xml:space="preserve"> </w:t>
      </w:r>
      <w:r w:rsidRPr="003444E8">
        <w:rPr>
          <w:lang w:val="en-GB"/>
        </w:rPr>
        <w:t>transitioning</w:t>
      </w:r>
      <w:r w:rsidRPr="00A561C0">
        <w:rPr>
          <w:lang w:val="en-GB"/>
        </w:rPr>
        <w:t xml:space="preserve"> </w:t>
      </w:r>
      <w:r w:rsidRPr="003444E8">
        <w:rPr>
          <w:lang w:val="en-GB"/>
        </w:rPr>
        <w:t>to</w:t>
      </w:r>
      <w:r w:rsidRPr="00A561C0">
        <w:rPr>
          <w:lang w:val="en-GB"/>
        </w:rPr>
        <w:t xml:space="preserve"> </w:t>
      </w:r>
      <w:r w:rsidRPr="003444E8">
        <w:rPr>
          <w:lang w:val="en-GB"/>
        </w:rPr>
        <w:t>an</w:t>
      </w:r>
      <w:r w:rsidRPr="00A561C0">
        <w:rPr>
          <w:lang w:val="en-GB"/>
        </w:rPr>
        <w:t xml:space="preserve"> </w:t>
      </w:r>
      <w:r w:rsidRPr="003444E8">
        <w:rPr>
          <w:lang w:val="en-GB"/>
        </w:rPr>
        <w:t>alternative</w:t>
      </w:r>
      <w:r w:rsidRPr="00A561C0">
        <w:rPr>
          <w:lang w:val="en-GB"/>
        </w:rPr>
        <w:t xml:space="preserve"> </w:t>
      </w:r>
      <w:r w:rsidRPr="003444E8">
        <w:rPr>
          <w:lang w:val="en-GB"/>
        </w:rPr>
        <w:t>antiresorptive</w:t>
      </w:r>
      <w:r w:rsidRPr="00A561C0">
        <w:rPr>
          <w:lang w:val="en-GB"/>
        </w:rPr>
        <w:t xml:space="preserve"> </w:t>
      </w:r>
      <w:r w:rsidRPr="003444E8">
        <w:rPr>
          <w:lang w:val="en-GB"/>
        </w:rPr>
        <w:t>therapy.</w:t>
      </w:r>
    </w:p>
    <w:p w14:paraId="50E4819F" w14:textId="096FFC53" w:rsidR="006E62CD" w:rsidRPr="0075756B" w:rsidRDefault="00CB520A" w:rsidP="001619FB">
      <w:pPr>
        <w:pStyle w:val="BodyText"/>
        <w:adjustRightInd w:val="0"/>
        <w:snapToGrid w:val="0"/>
        <w:spacing w:before="60" w:after="60" w:line="360" w:lineRule="auto"/>
        <w:ind w:left="108" w:rightChars="30" w:right="66"/>
        <w:rPr>
          <w:lang w:val="en-GB"/>
        </w:rPr>
      </w:pPr>
      <w:r w:rsidRPr="003444E8">
        <w:rPr>
          <w:u w:val="single"/>
          <w:lang w:val="en-GB"/>
        </w:rPr>
        <w:t>Hypercalcaemia</w:t>
      </w:r>
      <w:r w:rsidRPr="003444E8">
        <w:rPr>
          <w:spacing w:val="-3"/>
          <w:u w:val="single"/>
          <w:lang w:val="en-GB"/>
        </w:rPr>
        <w:t xml:space="preserve"> </w:t>
      </w:r>
      <w:r w:rsidRPr="003444E8">
        <w:rPr>
          <w:u w:val="single"/>
          <w:lang w:val="en-GB"/>
        </w:rPr>
        <w:t>in</w:t>
      </w:r>
      <w:r w:rsidRPr="003444E8">
        <w:rPr>
          <w:spacing w:val="-2"/>
          <w:u w:val="single"/>
          <w:lang w:val="en-GB"/>
        </w:rPr>
        <w:t xml:space="preserve"> </w:t>
      </w:r>
      <w:r w:rsidRPr="003444E8">
        <w:rPr>
          <w:u w:val="single"/>
          <w:lang w:val="en-GB"/>
        </w:rPr>
        <w:t>paediatric</w:t>
      </w:r>
      <w:r w:rsidRPr="003444E8">
        <w:rPr>
          <w:spacing w:val="-1"/>
          <w:u w:val="single"/>
          <w:lang w:val="en-GB"/>
        </w:rPr>
        <w:t xml:space="preserve"> </w:t>
      </w:r>
      <w:r w:rsidRPr="003444E8">
        <w:rPr>
          <w:u w:val="single"/>
          <w:lang w:val="en-GB"/>
        </w:rPr>
        <w:t>patients</w:t>
      </w:r>
      <w:r w:rsidRPr="003444E8">
        <w:rPr>
          <w:spacing w:val="-3"/>
          <w:u w:val="single"/>
          <w:lang w:val="en-GB"/>
        </w:rPr>
        <w:t xml:space="preserve"> </w:t>
      </w:r>
      <w:r w:rsidRPr="003444E8">
        <w:rPr>
          <w:u w:val="single"/>
          <w:lang w:val="en-GB"/>
        </w:rPr>
        <w:t>with</w:t>
      </w:r>
      <w:r w:rsidRPr="003444E8">
        <w:rPr>
          <w:spacing w:val="-2"/>
          <w:u w:val="single"/>
          <w:lang w:val="en-GB"/>
        </w:rPr>
        <w:t xml:space="preserve"> </w:t>
      </w:r>
      <w:r w:rsidRPr="003444E8">
        <w:rPr>
          <w:u w:val="single"/>
          <w:lang w:val="en-GB"/>
        </w:rPr>
        <w:t>osteogenesis</w:t>
      </w:r>
      <w:r w:rsidRPr="003444E8">
        <w:rPr>
          <w:spacing w:val="-1"/>
          <w:u w:val="single"/>
          <w:lang w:val="en-GB"/>
        </w:rPr>
        <w:t xml:space="preserve"> </w:t>
      </w:r>
      <w:r w:rsidRPr="003444E8">
        <w:rPr>
          <w:u w:val="single"/>
          <w:lang w:val="en-GB"/>
        </w:rPr>
        <w:t>imperfecta</w:t>
      </w:r>
    </w:p>
    <w:p w14:paraId="694D8AAC" w14:textId="5F9A2C93" w:rsidR="006E62CD" w:rsidRPr="003444E8" w:rsidRDefault="00A04F0C" w:rsidP="00D258EC">
      <w:pPr>
        <w:pStyle w:val="BodyText"/>
        <w:adjustRightInd w:val="0"/>
        <w:snapToGrid w:val="0"/>
        <w:spacing w:before="60" w:after="60" w:line="360" w:lineRule="auto"/>
        <w:ind w:left="108" w:rightChars="30" w:right="66"/>
        <w:rPr>
          <w:lang w:val="en-GB"/>
        </w:rPr>
      </w:pPr>
      <w:r>
        <w:rPr>
          <w:lang w:val="en-GB"/>
        </w:rPr>
        <w:t>Denosumab</w:t>
      </w:r>
      <w:r w:rsidR="00CB095A" w:rsidRPr="003444E8">
        <w:rPr>
          <w:lang w:val="en-GB"/>
        </w:rPr>
        <w:t xml:space="preserve"> </w:t>
      </w:r>
      <w:r w:rsidR="00CB520A" w:rsidRPr="003444E8">
        <w:rPr>
          <w:lang w:val="en-GB"/>
        </w:rPr>
        <w:t>is not indicated for use in paediatric patients. In clinical trials, hypercalcaemia has</w:t>
      </w:r>
      <w:r w:rsidR="00CB520A" w:rsidRPr="0075756B">
        <w:rPr>
          <w:lang w:val="en-GB"/>
        </w:rPr>
        <w:t xml:space="preserve"> </w:t>
      </w:r>
      <w:r w:rsidR="00CB520A" w:rsidRPr="003444E8">
        <w:rPr>
          <w:lang w:val="en-GB"/>
        </w:rPr>
        <w:t>been</w:t>
      </w:r>
      <w:r w:rsidR="00CB520A" w:rsidRPr="0075756B">
        <w:rPr>
          <w:lang w:val="en-GB"/>
        </w:rPr>
        <w:t xml:space="preserve"> </w:t>
      </w:r>
      <w:r w:rsidR="00CB520A" w:rsidRPr="003444E8">
        <w:rPr>
          <w:lang w:val="en-GB"/>
        </w:rPr>
        <w:t>reported</w:t>
      </w:r>
      <w:r w:rsidR="00CB520A" w:rsidRPr="0075756B">
        <w:rPr>
          <w:lang w:val="en-GB"/>
        </w:rPr>
        <w:t xml:space="preserve"> </w:t>
      </w:r>
      <w:r w:rsidR="00CB520A" w:rsidRPr="003444E8">
        <w:rPr>
          <w:lang w:val="en-GB"/>
        </w:rPr>
        <w:t>very</w:t>
      </w:r>
      <w:r w:rsidR="00CB520A" w:rsidRPr="0075756B">
        <w:rPr>
          <w:lang w:val="en-GB"/>
        </w:rPr>
        <w:t xml:space="preserve"> </w:t>
      </w:r>
      <w:r w:rsidR="00CB520A" w:rsidRPr="003444E8">
        <w:rPr>
          <w:lang w:val="en-GB"/>
        </w:rPr>
        <w:t>commonly in</w:t>
      </w:r>
      <w:r w:rsidR="00CB520A" w:rsidRPr="0075756B">
        <w:rPr>
          <w:lang w:val="en-GB"/>
        </w:rPr>
        <w:t xml:space="preserve"> </w:t>
      </w:r>
      <w:r w:rsidR="00CB520A" w:rsidRPr="003444E8">
        <w:rPr>
          <w:lang w:val="en-GB"/>
        </w:rPr>
        <w:t>paediatric</w:t>
      </w:r>
      <w:r w:rsidR="00CB520A" w:rsidRPr="0075756B">
        <w:rPr>
          <w:lang w:val="en-GB"/>
        </w:rPr>
        <w:t xml:space="preserve"> </w:t>
      </w:r>
      <w:r w:rsidR="00CB520A" w:rsidRPr="003444E8">
        <w:rPr>
          <w:lang w:val="en-GB"/>
        </w:rPr>
        <w:t>patients</w:t>
      </w:r>
      <w:r w:rsidR="00CB520A" w:rsidRPr="0075756B">
        <w:rPr>
          <w:lang w:val="en-GB"/>
        </w:rPr>
        <w:t xml:space="preserve"> </w:t>
      </w:r>
      <w:r w:rsidR="00CB520A" w:rsidRPr="003444E8">
        <w:rPr>
          <w:lang w:val="en-GB"/>
        </w:rPr>
        <w:t>with</w:t>
      </w:r>
      <w:r w:rsidR="00CB520A" w:rsidRPr="0075756B">
        <w:rPr>
          <w:lang w:val="en-GB"/>
        </w:rPr>
        <w:t xml:space="preserve"> </w:t>
      </w:r>
      <w:r w:rsidR="00CB520A" w:rsidRPr="003444E8">
        <w:rPr>
          <w:lang w:val="en-GB"/>
        </w:rPr>
        <w:t>osteogenesis</w:t>
      </w:r>
      <w:r w:rsidR="00CB520A" w:rsidRPr="0075756B">
        <w:rPr>
          <w:lang w:val="en-GB"/>
        </w:rPr>
        <w:t xml:space="preserve"> </w:t>
      </w:r>
      <w:r w:rsidR="00CB520A" w:rsidRPr="003444E8">
        <w:rPr>
          <w:lang w:val="en-GB"/>
        </w:rPr>
        <w:t>imperfecta</w:t>
      </w:r>
      <w:r w:rsidR="00CB520A" w:rsidRPr="0075756B">
        <w:rPr>
          <w:lang w:val="en-GB"/>
        </w:rPr>
        <w:t xml:space="preserve"> </w:t>
      </w:r>
      <w:r w:rsidR="00CB520A" w:rsidRPr="003444E8">
        <w:rPr>
          <w:lang w:val="en-GB"/>
        </w:rPr>
        <w:t>treated</w:t>
      </w:r>
      <w:r w:rsidR="00CB520A" w:rsidRPr="0075756B">
        <w:rPr>
          <w:lang w:val="en-GB"/>
        </w:rPr>
        <w:t xml:space="preserve"> </w:t>
      </w:r>
      <w:r w:rsidR="00CB520A" w:rsidRPr="003444E8">
        <w:rPr>
          <w:lang w:val="en-GB"/>
        </w:rPr>
        <w:t>with denosumab. Some cases required hospitalisation and were complicated by acute</w:t>
      </w:r>
      <w:r w:rsidR="00CB520A" w:rsidRPr="0075756B">
        <w:rPr>
          <w:lang w:val="en-GB"/>
        </w:rPr>
        <w:t xml:space="preserve"> </w:t>
      </w:r>
      <w:r w:rsidR="00CB520A" w:rsidRPr="003444E8">
        <w:rPr>
          <w:lang w:val="en-GB"/>
        </w:rPr>
        <w:t>renal</w:t>
      </w:r>
      <w:r w:rsidR="00CB520A" w:rsidRPr="0075756B">
        <w:rPr>
          <w:lang w:val="en-GB"/>
        </w:rPr>
        <w:t xml:space="preserve"> </w:t>
      </w:r>
      <w:r w:rsidR="00CB520A" w:rsidRPr="003444E8">
        <w:rPr>
          <w:lang w:val="en-GB"/>
        </w:rPr>
        <w:t>injury (see</w:t>
      </w:r>
      <w:r w:rsidR="00CB520A" w:rsidRPr="0075756B">
        <w:rPr>
          <w:lang w:val="en-GB"/>
        </w:rPr>
        <w:t xml:space="preserve"> </w:t>
      </w:r>
      <w:r w:rsidR="00CB520A" w:rsidRPr="003444E8">
        <w:rPr>
          <w:lang w:val="en-GB"/>
        </w:rPr>
        <w:t>section</w:t>
      </w:r>
      <w:r w:rsidR="00CB520A" w:rsidRPr="0075756B">
        <w:rPr>
          <w:lang w:val="en-GB"/>
        </w:rPr>
        <w:t xml:space="preserve"> </w:t>
      </w:r>
      <w:r w:rsidR="00CB520A" w:rsidRPr="003444E8">
        <w:rPr>
          <w:lang w:val="en-GB"/>
        </w:rPr>
        <w:t>4.4</w:t>
      </w:r>
      <w:r w:rsidR="00CB520A" w:rsidRPr="0075756B">
        <w:rPr>
          <w:lang w:val="en-GB"/>
        </w:rPr>
        <w:t xml:space="preserve"> </w:t>
      </w:r>
      <w:r w:rsidR="00CB520A" w:rsidRPr="003444E8">
        <w:rPr>
          <w:lang w:val="en-GB"/>
        </w:rPr>
        <w:t>Special</w:t>
      </w:r>
      <w:r w:rsidR="00CB520A" w:rsidRPr="0075756B">
        <w:rPr>
          <w:lang w:val="en-GB"/>
        </w:rPr>
        <w:t xml:space="preserve"> </w:t>
      </w:r>
      <w:r w:rsidR="00CB520A" w:rsidRPr="003444E8">
        <w:rPr>
          <w:lang w:val="en-GB"/>
        </w:rPr>
        <w:t>warnings</w:t>
      </w:r>
      <w:r w:rsidR="00CB520A" w:rsidRPr="0075756B">
        <w:rPr>
          <w:lang w:val="en-GB"/>
        </w:rPr>
        <w:t xml:space="preserve"> </w:t>
      </w:r>
      <w:r w:rsidR="00CB520A" w:rsidRPr="003444E8">
        <w:rPr>
          <w:lang w:val="en-GB"/>
        </w:rPr>
        <w:t>and</w:t>
      </w:r>
      <w:r w:rsidR="00CB520A" w:rsidRPr="0075756B">
        <w:rPr>
          <w:lang w:val="en-GB"/>
        </w:rPr>
        <w:t xml:space="preserve"> </w:t>
      </w:r>
      <w:r w:rsidR="00CB520A" w:rsidRPr="003444E8">
        <w:rPr>
          <w:lang w:val="en-GB"/>
        </w:rPr>
        <w:t>precautions</w:t>
      </w:r>
      <w:r w:rsidR="00CB520A" w:rsidRPr="0075756B">
        <w:rPr>
          <w:lang w:val="en-GB"/>
        </w:rPr>
        <w:t xml:space="preserve"> </w:t>
      </w:r>
      <w:r w:rsidR="00CB520A" w:rsidRPr="003444E8">
        <w:rPr>
          <w:lang w:val="en-GB"/>
        </w:rPr>
        <w:t>for</w:t>
      </w:r>
      <w:r w:rsidR="00CB520A" w:rsidRPr="0075756B">
        <w:rPr>
          <w:lang w:val="en-GB"/>
        </w:rPr>
        <w:t xml:space="preserve"> </w:t>
      </w:r>
      <w:r w:rsidR="00CB520A" w:rsidRPr="003444E8">
        <w:rPr>
          <w:lang w:val="en-GB"/>
        </w:rPr>
        <w:t>use,</w:t>
      </w:r>
      <w:r w:rsidR="00CB520A" w:rsidRPr="0075756B">
        <w:rPr>
          <w:lang w:val="en-GB"/>
        </w:rPr>
        <w:t xml:space="preserve"> </w:t>
      </w:r>
      <w:r w:rsidR="00CB520A" w:rsidRPr="003444E8">
        <w:rPr>
          <w:lang w:val="en-GB"/>
        </w:rPr>
        <w:t>Paediatric</w:t>
      </w:r>
      <w:r w:rsidR="00CB520A" w:rsidRPr="0075756B">
        <w:rPr>
          <w:lang w:val="en-GB"/>
        </w:rPr>
        <w:t xml:space="preserve"> </w:t>
      </w:r>
      <w:r w:rsidR="00CB520A" w:rsidRPr="003444E8">
        <w:rPr>
          <w:lang w:val="en-GB"/>
        </w:rPr>
        <w:t>use).</w:t>
      </w:r>
    </w:p>
    <w:p w14:paraId="5ECDE77C"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Drugs</w:t>
      </w:r>
      <w:r w:rsidRPr="003444E8">
        <w:rPr>
          <w:spacing w:val="-2"/>
          <w:u w:val="single"/>
          <w:lang w:val="en-GB"/>
        </w:rPr>
        <w:t xml:space="preserve"> </w:t>
      </w:r>
      <w:r w:rsidRPr="003444E8">
        <w:rPr>
          <w:u w:val="single"/>
          <w:lang w:val="en-GB"/>
        </w:rPr>
        <w:t>with same</w:t>
      </w:r>
      <w:r w:rsidRPr="003444E8">
        <w:rPr>
          <w:spacing w:val="-2"/>
          <w:u w:val="single"/>
          <w:lang w:val="en-GB"/>
        </w:rPr>
        <w:t xml:space="preserve"> </w:t>
      </w:r>
      <w:r w:rsidRPr="003444E8">
        <w:rPr>
          <w:u w:val="single"/>
          <w:lang w:val="en-GB"/>
        </w:rPr>
        <w:t>active</w:t>
      </w:r>
      <w:r w:rsidRPr="003444E8">
        <w:rPr>
          <w:spacing w:val="-1"/>
          <w:u w:val="single"/>
          <w:lang w:val="en-GB"/>
        </w:rPr>
        <w:t xml:space="preserve"> </w:t>
      </w:r>
      <w:r w:rsidRPr="003444E8">
        <w:rPr>
          <w:u w:val="single"/>
          <w:lang w:val="en-GB"/>
        </w:rPr>
        <w:t>ingredient</w:t>
      </w:r>
    </w:p>
    <w:p w14:paraId="713390CF" w14:textId="35E427D2" w:rsidR="006E62CD" w:rsidRPr="003444E8" w:rsidRDefault="00C43264" w:rsidP="00D258EC">
      <w:pPr>
        <w:pStyle w:val="BodyText"/>
        <w:adjustRightInd w:val="0"/>
        <w:snapToGrid w:val="0"/>
        <w:spacing w:before="60" w:after="60" w:line="360" w:lineRule="auto"/>
        <w:ind w:left="108" w:rightChars="30" w:right="66"/>
        <w:rPr>
          <w:lang w:val="en-GB"/>
        </w:rPr>
      </w:pPr>
      <w:r>
        <w:rPr>
          <w:lang w:val="en-GB"/>
        </w:rPr>
        <w:t>Ospomyv</w:t>
      </w:r>
      <w:r w:rsidR="00CB520A" w:rsidRPr="003444E8">
        <w:rPr>
          <w:lang w:val="en-GB"/>
        </w:rPr>
        <w:t xml:space="preserve"> contains the same active ingredient found in </w:t>
      </w:r>
      <w:r w:rsidR="00054701">
        <w:rPr>
          <w:lang w:val="en-GB"/>
        </w:rPr>
        <w:t>other denosumab products</w:t>
      </w:r>
      <w:r w:rsidR="00CB520A" w:rsidRPr="003444E8">
        <w:rPr>
          <w:lang w:val="en-GB"/>
        </w:rPr>
        <w:t>, used for the</w:t>
      </w:r>
      <w:r w:rsidR="00CB520A" w:rsidRPr="0075756B">
        <w:rPr>
          <w:lang w:val="en-GB"/>
        </w:rPr>
        <w:t xml:space="preserve"> </w:t>
      </w:r>
      <w:r w:rsidR="00CB520A" w:rsidRPr="003444E8">
        <w:rPr>
          <w:lang w:val="en-GB"/>
        </w:rPr>
        <w:t>treatment</w:t>
      </w:r>
      <w:r w:rsidR="00CB520A" w:rsidRPr="0075756B">
        <w:rPr>
          <w:lang w:val="en-GB"/>
        </w:rPr>
        <w:t xml:space="preserve"> </w:t>
      </w:r>
      <w:r w:rsidR="00CB520A" w:rsidRPr="003444E8">
        <w:rPr>
          <w:lang w:val="en-GB"/>
        </w:rPr>
        <w:t>of</w:t>
      </w:r>
      <w:r w:rsidR="00CB520A" w:rsidRPr="0075756B">
        <w:rPr>
          <w:lang w:val="en-GB"/>
        </w:rPr>
        <w:t xml:space="preserve"> </w:t>
      </w:r>
      <w:r w:rsidR="00CB520A" w:rsidRPr="003444E8">
        <w:rPr>
          <w:lang w:val="en-GB"/>
        </w:rPr>
        <w:t>skeletal</w:t>
      </w:r>
      <w:r w:rsidR="00CB520A" w:rsidRPr="0075756B">
        <w:rPr>
          <w:lang w:val="en-GB"/>
        </w:rPr>
        <w:t xml:space="preserve"> </w:t>
      </w:r>
      <w:r w:rsidR="00CB520A" w:rsidRPr="003444E8">
        <w:rPr>
          <w:lang w:val="en-GB"/>
        </w:rPr>
        <w:t>related</w:t>
      </w:r>
      <w:r w:rsidR="00CB520A" w:rsidRPr="0075756B">
        <w:rPr>
          <w:lang w:val="en-GB"/>
        </w:rPr>
        <w:t xml:space="preserve"> </w:t>
      </w:r>
      <w:r w:rsidR="00CB520A" w:rsidRPr="003444E8">
        <w:rPr>
          <w:lang w:val="en-GB"/>
        </w:rPr>
        <w:t>events</w:t>
      </w:r>
      <w:r w:rsidR="00CB520A" w:rsidRPr="0075756B">
        <w:rPr>
          <w:lang w:val="en-GB"/>
        </w:rPr>
        <w:t xml:space="preserve"> </w:t>
      </w:r>
      <w:r w:rsidR="00CB520A" w:rsidRPr="003444E8">
        <w:rPr>
          <w:lang w:val="en-GB"/>
        </w:rPr>
        <w:t>in</w:t>
      </w:r>
      <w:r w:rsidR="00CB520A" w:rsidRPr="0075756B">
        <w:rPr>
          <w:lang w:val="en-GB"/>
        </w:rPr>
        <w:t xml:space="preserve"> </w:t>
      </w:r>
      <w:r w:rsidR="00CB520A" w:rsidRPr="003444E8">
        <w:rPr>
          <w:lang w:val="en-GB"/>
        </w:rPr>
        <w:t>patients</w:t>
      </w:r>
      <w:r w:rsidR="00CB520A" w:rsidRPr="0075756B">
        <w:rPr>
          <w:lang w:val="en-GB"/>
        </w:rPr>
        <w:t xml:space="preserve"> </w:t>
      </w:r>
      <w:r w:rsidR="00CB520A" w:rsidRPr="003444E8">
        <w:rPr>
          <w:lang w:val="en-GB"/>
        </w:rPr>
        <w:t>with</w:t>
      </w:r>
      <w:r w:rsidR="00CB520A" w:rsidRPr="0075756B">
        <w:rPr>
          <w:lang w:val="en-GB"/>
        </w:rPr>
        <w:t xml:space="preserve"> </w:t>
      </w:r>
      <w:r w:rsidR="00CB520A" w:rsidRPr="003444E8">
        <w:rPr>
          <w:lang w:val="en-GB"/>
        </w:rPr>
        <w:t>bone</w:t>
      </w:r>
      <w:r w:rsidR="00CB520A" w:rsidRPr="0075756B">
        <w:rPr>
          <w:lang w:val="en-GB"/>
        </w:rPr>
        <w:t xml:space="preserve"> </w:t>
      </w:r>
      <w:r w:rsidR="00CB520A" w:rsidRPr="003444E8">
        <w:rPr>
          <w:lang w:val="en-GB"/>
        </w:rPr>
        <w:t>metastasis</w:t>
      </w:r>
      <w:r w:rsidR="00CB520A" w:rsidRPr="0075756B">
        <w:rPr>
          <w:lang w:val="en-GB"/>
        </w:rPr>
        <w:t xml:space="preserve"> </w:t>
      </w:r>
      <w:r w:rsidR="00CB520A" w:rsidRPr="003444E8">
        <w:rPr>
          <w:lang w:val="en-GB"/>
        </w:rPr>
        <w:t>from</w:t>
      </w:r>
      <w:r w:rsidR="00CB520A" w:rsidRPr="0075756B">
        <w:rPr>
          <w:lang w:val="en-GB"/>
        </w:rPr>
        <w:t xml:space="preserve"> </w:t>
      </w:r>
      <w:r w:rsidR="00CB520A" w:rsidRPr="003444E8">
        <w:rPr>
          <w:lang w:val="en-GB"/>
        </w:rPr>
        <w:t>solid</w:t>
      </w:r>
      <w:r w:rsidR="00CB520A" w:rsidRPr="0075756B">
        <w:rPr>
          <w:lang w:val="en-GB"/>
        </w:rPr>
        <w:t xml:space="preserve"> </w:t>
      </w:r>
      <w:r w:rsidR="00CB520A" w:rsidRPr="003444E8">
        <w:rPr>
          <w:lang w:val="en-GB"/>
        </w:rPr>
        <w:t>tumours.</w:t>
      </w:r>
      <w:r w:rsidR="00CB520A" w:rsidRPr="0075756B">
        <w:rPr>
          <w:lang w:val="en-GB"/>
        </w:rPr>
        <w:t xml:space="preserve"> </w:t>
      </w:r>
      <w:r w:rsidR="00CB520A" w:rsidRPr="003444E8">
        <w:rPr>
          <w:lang w:val="en-GB"/>
        </w:rPr>
        <w:t>Patients</w:t>
      </w:r>
      <w:r w:rsidR="00CB520A" w:rsidRPr="0075756B">
        <w:rPr>
          <w:lang w:val="en-GB"/>
        </w:rPr>
        <w:t xml:space="preserve"> </w:t>
      </w:r>
      <w:r w:rsidR="00CB520A" w:rsidRPr="003444E8">
        <w:rPr>
          <w:lang w:val="en-GB"/>
        </w:rPr>
        <w:t>being</w:t>
      </w:r>
      <w:r w:rsidR="00CB520A" w:rsidRPr="0075756B">
        <w:rPr>
          <w:lang w:val="en-GB"/>
        </w:rPr>
        <w:t xml:space="preserve"> </w:t>
      </w:r>
      <w:r w:rsidR="00CB520A" w:rsidRPr="003444E8">
        <w:rPr>
          <w:lang w:val="en-GB"/>
        </w:rPr>
        <w:t>treated with</w:t>
      </w:r>
      <w:r w:rsidR="00CB520A" w:rsidRPr="0075756B">
        <w:rPr>
          <w:lang w:val="en-GB"/>
        </w:rPr>
        <w:t xml:space="preserve"> </w:t>
      </w:r>
      <w:r w:rsidR="008E71EF">
        <w:rPr>
          <w:lang w:val="en-GB"/>
        </w:rPr>
        <w:t>Ospomyv</w:t>
      </w:r>
      <w:r w:rsidR="00CB095A" w:rsidRPr="003444E8">
        <w:rPr>
          <w:lang w:val="en-GB"/>
        </w:rPr>
        <w:t xml:space="preserve"> </w:t>
      </w:r>
      <w:r w:rsidR="00CB520A" w:rsidRPr="003444E8">
        <w:rPr>
          <w:lang w:val="en-GB"/>
        </w:rPr>
        <w:t>should</w:t>
      </w:r>
      <w:r w:rsidR="00CB520A" w:rsidRPr="0075756B">
        <w:rPr>
          <w:lang w:val="en-GB"/>
        </w:rPr>
        <w:t xml:space="preserve"> </w:t>
      </w:r>
      <w:r w:rsidR="00CB520A" w:rsidRPr="003444E8">
        <w:rPr>
          <w:lang w:val="en-GB"/>
        </w:rPr>
        <w:t>not</w:t>
      </w:r>
      <w:r w:rsidR="00CB520A" w:rsidRPr="0075756B">
        <w:rPr>
          <w:lang w:val="en-GB"/>
        </w:rPr>
        <w:t xml:space="preserve"> </w:t>
      </w:r>
      <w:r w:rsidR="00CB520A" w:rsidRPr="003444E8">
        <w:rPr>
          <w:lang w:val="en-GB"/>
        </w:rPr>
        <w:t>be</w:t>
      </w:r>
      <w:r w:rsidR="00CB520A" w:rsidRPr="0075756B">
        <w:rPr>
          <w:lang w:val="en-GB"/>
        </w:rPr>
        <w:t xml:space="preserve"> </w:t>
      </w:r>
      <w:r w:rsidR="00CB520A" w:rsidRPr="003444E8">
        <w:rPr>
          <w:lang w:val="en-GB"/>
        </w:rPr>
        <w:t>treated</w:t>
      </w:r>
      <w:r w:rsidR="00CB520A" w:rsidRPr="0075756B">
        <w:rPr>
          <w:lang w:val="en-GB"/>
        </w:rPr>
        <w:t xml:space="preserve"> </w:t>
      </w:r>
      <w:r w:rsidR="00CB520A" w:rsidRPr="003444E8">
        <w:rPr>
          <w:lang w:val="en-GB"/>
        </w:rPr>
        <w:t xml:space="preserve">with </w:t>
      </w:r>
      <w:r w:rsidR="00054701">
        <w:rPr>
          <w:lang w:val="en-GB"/>
        </w:rPr>
        <w:t>other denosumab product</w:t>
      </w:r>
      <w:r w:rsidR="00CB520A" w:rsidRPr="0075756B">
        <w:rPr>
          <w:lang w:val="en-GB"/>
        </w:rPr>
        <w:t xml:space="preserve"> </w:t>
      </w:r>
      <w:r w:rsidR="00CB520A" w:rsidRPr="003444E8">
        <w:rPr>
          <w:lang w:val="en-GB"/>
        </w:rPr>
        <w:t>concomitantly.</w:t>
      </w:r>
    </w:p>
    <w:p w14:paraId="624743CB"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Use</w:t>
      </w:r>
      <w:r w:rsidRPr="003444E8">
        <w:rPr>
          <w:spacing w:val="-3"/>
          <w:u w:val="single"/>
          <w:lang w:val="en-GB"/>
        </w:rPr>
        <w:t xml:space="preserve"> </w:t>
      </w:r>
      <w:r w:rsidRPr="003444E8">
        <w:rPr>
          <w:u w:val="single"/>
          <w:lang w:val="en-GB"/>
        </w:rPr>
        <w:t>in</w:t>
      </w:r>
      <w:r w:rsidRPr="003444E8">
        <w:rPr>
          <w:spacing w:val="-1"/>
          <w:u w:val="single"/>
          <w:lang w:val="en-GB"/>
        </w:rPr>
        <w:t xml:space="preserve"> </w:t>
      </w:r>
      <w:r w:rsidRPr="003444E8">
        <w:rPr>
          <w:u w:val="single"/>
          <w:lang w:val="en-GB"/>
        </w:rPr>
        <w:t>glucocorticoid</w:t>
      </w:r>
      <w:r w:rsidRPr="003444E8">
        <w:rPr>
          <w:spacing w:val="-3"/>
          <w:u w:val="single"/>
          <w:lang w:val="en-GB"/>
        </w:rPr>
        <w:t xml:space="preserve"> </w:t>
      </w:r>
      <w:r w:rsidRPr="003444E8">
        <w:rPr>
          <w:u w:val="single"/>
          <w:lang w:val="en-GB"/>
        </w:rPr>
        <w:t>induced</w:t>
      </w:r>
      <w:r w:rsidRPr="003444E8">
        <w:rPr>
          <w:spacing w:val="-2"/>
          <w:u w:val="single"/>
          <w:lang w:val="en-GB"/>
        </w:rPr>
        <w:t xml:space="preserve"> </w:t>
      </w:r>
      <w:r w:rsidRPr="003444E8">
        <w:rPr>
          <w:u w:val="single"/>
          <w:lang w:val="en-GB"/>
        </w:rPr>
        <w:t>osteoporosis</w:t>
      </w:r>
    </w:p>
    <w:p w14:paraId="2A197171"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In GIOP, fractures occur at a higher BMD than postmenopausal osteoporosis.</w:t>
      </w:r>
      <w:r w:rsidRPr="0075756B">
        <w:rPr>
          <w:lang w:val="en-GB"/>
        </w:rPr>
        <w:t xml:space="preserve"> </w:t>
      </w:r>
      <w:r w:rsidRPr="003444E8">
        <w:rPr>
          <w:lang w:val="en-GB"/>
        </w:rPr>
        <w:t>There is</w:t>
      </w:r>
      <w:r w:rsidRPr="0075756B">
        <w:rPr>
          <w:lang w:val="en-GB"/>
        </w:rPr>
        <w:t xml:space="preserve"> </w:t>
      </w:r>
      <w:r w:rsidRPr="003444E8">
        <w:rPr>
          <w:lang w:val="en-GB"/>
        </w:rPr>
        <w:t>limited</w:t>
      </w:r>
      <w:r w:rsidRPr="0075756B">
        <w:rPr>
          <w:lang w:val="en-GB"/>
        </w:rPr>
        <w:t xml:space="preserve"> </w:t>
      </w:r>
      <w:r w:rsidRPr="003444E8">
        <w:rPr>
          <w:lang w:val="en-GB"/>
        </w:rPr>
        <w:t>data</w:t>
      </w:r>
      <w:r w:rsidRPr="0075756B">
        <w:rPr>
          <w:lang w:val="en-GB"/>
        </w:rPr>
        <w:t xml:space="preserve"> </w:t>
      </w:r>
      <w:r w:rsidRPr="003444E8">
        <w:rPr>
          <w:lang w:val="en-GB"/>
        </w:rPr>
        <w:t>about</w:t>
      </w:r>
      <w:r w:rsidRPr="0075756B">
        <w:rPr>
          <w:lang w:val="en-GB"/>
        </w:rPr>
        <w:t xml:space="preserve"> </w:t>
      </w:r>
      <w:r w:rsidRPr="003444E8">
        <w:rPr>
          <w:lang w:val="en-GB"/>
        </w:rPr>
        <w:t>the impact of</w:t>
      </w:r>
      <w:r w:rsidRPr="0075756B">
        <w:rPr>
          <w:lang w:val="en-GB"/>
        </w:rPr>
        <w:t xml:space="preserve"> </w:t>
      </w:r>
      <w:r w:rsidRPr="003444E8">
        <w:rPr>
          <w:lang w:val="en-GB"/>
        </w:rPr>
        <w:t>denosumab</w:t>
      </w:r>
      <w:r w:rsidRPr="0075756B">
        <w:rPr>
          <w:lang w:val="en-GB"/>
        </w:rPr>
        <w:t xml:space="preserve"> </w:t>
      </w:r>
      <w:r w:rsidRPr="003444E8">
        <w:rPr>
          <w:lang w:val="en-GB"/>
        </w:rPr>
        <w:t>on</w:t>
      </w:r>
      <w:r w:rsidRPr="0075756B">
        <w:rPr>
          <w:lang w:val="en-GB"/>
        </w:rPr>
        <w:t xml:space="preserve"> </w:t>
      </w:r>
      <w:r w:rsidRPr="003444E8">
        <w:rPr>
          <w:lang w:val="en-GB"/>
        </w:rPr>
        <w:t>fractures in this</w:t>
      </w:r>
      <w:r w:rsidRPr="0075756B">
        <w:rPr>
          <w:lang w:val="en-GB"/>
        </w:rPr>
        <w:t xml:space="preserve"> </w:t>
      </w:r>
      <w:r w:rsidRPr="003444E8">
        <w:rPr>
          <w:lang w:val="en-GB"/>
        </w:rPr>
        <w:t>setting.</w:t>
      </w:r>
    </w:p>
    <w:p w14:paraId="2D21BEF7"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Use</w:t>
      </w:r>
      <w:r w:rsidRPr="003444E8">
        <w:rPr>
          <w:spacing w:val="-2"/>
          <w:u w:val="single"/>
          <w:lang w:val="en-GB"/>
        </w:rPr>
        <w:t xml:space="preserve"> </w:t>
      </w:r>
      <w:r w:rsidRPr="003444E8">
        <w:rPr>
          <w:u w:val="single"/>
          <w:lang w:val="en-GB"/>
        </w:rPr>
        <w:t>in</w:t>
      </w:r>
      <w:r w:rsidRPr="003444E8">
        <w:rPr>
          <w:spacing w:val="-1"/>
          <w:u w:val="single"/>
          <w:lang w:val="en-GB"/>
        </w:rPr>
        <w:t xml:space="preserve"> </w:t>
      </w:r>
      <w:r w:rsidRPr="003444E8">
        <w:rPr>
          <w:u w:val="single"/>
          <w:lang w:val="en-GB"/>
        </w:rPr>
        <w:t>Special</w:t>
      </w:r>
      <w:r w:rsidRPr="003444E8">
        <w:rPr>
          <w:spacing w:val="-3"/>
          <w:u w:val="single"/>
          <w:lang w:val="en-GB"/>
        </w:rPr>
        <w:t xml:space="preserve"> </w:t>
      </w:r>
      <w:r w:rsidRPr="003444E8">
        <w:rPr>
          <w:u w:val="single"/>
          <w:lang w:val="en-GB"/>
        </w:rPr>
        <w:t>Populations</w:t>
      </w:r>
    </w:p>
    <w:p w14:paraId="79403E58"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Use</w:t>
      </w:r>
      <w:r w:rsidRPr="003444E8">
        <w:rPr>
          <w:spacing w:val="-2"/>
          <w:u w:val="single"/>
          <w:lang w:val="en-GB"/>
        </w:rPr>
        <w:t xml:space="preserve"> </w:t>
      </w:r>
      <w:r w:rsidRPr="003444E8">
        <w:rPr>
          <w:u w:val="single"/>
          <w:lang w:val="en-GB"/>
        </w:rPr>
        <w:t>in</w:t>
      </w:r>
      <w:r w:rsidRPr="003444E8">
        <w:rPr>
          <w:spacing w:val="-1"/>
          <w:u w:val="single"/>
          <w:lang w:val="en-GB"/>
        </w:rPr>
        <w:t xml:space="preserve"> </w:t>
      </w:r>
      <w:r w:rsidRPr="003444E8">
        <w:rPr>
          <w:u w:val="single"/>
          <w:lang w:val="en-GB"/>
        </w:rPr>
        <w:t>hepatic</w:t>
      </w:r>
      <w:r w:rsidRPr="003444E8">
        <w:rPr>
          <w:spacing w:val="-1"/>
          <w:u w:val="single"/>
          <w:lang w:val="en-GB"/>
        </w:rPr>
        <w:t xml:space="preserve"> </w:t>
      </w:r>
      <w:r w:rsidRPr="003444E8">
        <w:rPr>
          <w:u w:val="single"/>
          <w:lang w:val="en-GB"/>
        </w:rPr>
        <w:t>impairment</w:t>
      </w:r>
    </w:p>
    <w:p w14:paraId="38415201" w14:textId="0FC00FF0"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The</w:t>
      </w:r>
      <w:r w:rsidRPr="0075756B">
        <w:rPr>
          <w:lang w:val="en-GB"/>
        </w:rPr>
        <w:t xml:space="preserve"> </w:t>
      </w:r>
      <w:r w:rsidRPr="003444E8">
        <w:rPr>
          <w:lang w:val="en-GB"/>
        </w:rPr>
        <w:t>safety</w:t>
      </w:r>
      <w:r w:rsidRPr="0075756B">
        <w:rPr>
          <w:lang w:val="en-GB"/>
        </w:rPr>
        <w:t xml:space="preserve"> </w:t>
      </w:r>
      <w:r w:rsidRPr="003444E8">
        <w:rPr>
          <w:lang w:val="en-GB"/>
        </w:rPr>
        <w:t>and</w:t>
      </w:r>
      <w:r w:rsidRPr="0075756B">
        <w:rPr>
          <w:lang w:val="en-GB"/>
        </w:rPr>
        <w:t xml:space="preserve"> </w:t>
      </w:r>
      <w:r w:rsidRPr="003444E8">
        <w:rPr>
          <w:lang w:val="en-GB"/>
        </w:rPr>
        <w:t>efficacy</w:t>
      </w:r>
      <w:r w:rsidRPr="0075756B">
        <w:rPr>
          <w:lang w:val="en-GB"/>
        </w:rPr>
        <w:t xml:space="preserve"> </w:t>
      </w:r>
      <w:r w:rsidRPr="003444E8">
        <w:rPr>
          <w:lang w:val="en-GB"/>
        </w:rPr>
        <w:t>of</w:t>
      </w:r>
      <w:r w:rsidRPr="0075756B">
        <w:rPr>
          <w:lang w:val="en-GB"/>
        </w:rPr>
        <w:t xml:space="preserve"> </w:t>
      </w:r>
      <w:r w:rsidR="00CB095A">
        <w:rPr>
          <w:lang w:val="en-GB"/>
        </w:rPr>
        <w:t>denosumab</w:t>
      </w:r>
      <w:r w:rsidR="00CB095A" w:rsidRPr="0075756B">
        <w:rPr>
          <w:lang w:val="en-GB"/>
        </w:rPr>
        <w:t xml:space="preserve"> </w:t>
      </w:r>
      <w:r w:rsidRPr="003444E8">
        <w:rPr>
          <w:lang w:val="en-GB"/>
        </w:rPr>
        <w:t>has</w:t>
      </w:r>
      <w:r w:rsidRPr="0075756B">
        <w:rPr>
          <w:lang w:val="en-GB"/>
        </w:rPr>
        <w:t xml:space="preserve"> </w:t>
      </w:r>
      <w:r w:rsidRPr="003444E8">
        <w:rPr>
          <w:lang w:val="en-GB"/>
        </w:rPr>
        <w:t>not</w:t>
      </w:r>
      <w:r w:rsidRPr="0075756B">
        <w:rPr>
          <w:lang w:val="en-GB"/>
        </w:rPr>
        <w:t xml:space="preserve"> </w:t>
      </w:r>
      <w:r w:rsidRPr="003444E8">
        <w:rPr>
          <w:lang w:val="en-GB"/>
        </w:rPr>
        <w:t>been</w:t>
      </w:r>
      <w:r w:rsidRPr="0075756B">
        <w:rPr>
          <w:lang w:val="en-GB"/>
        </w:rPr>
        <w:t xml:space="preserve"> </w:t>
      </w:r>
      <w:r w:rsidRPr="003444E8">
        <w:rPr>
          <w:lang w:val="en-GB"/>
        </w:rPr>
        <w:t>studied</w:t>
      </w:r>
      <w:r w:rsidRPr="0075756B">
        <w:rPr>
          <w:lang w:val="en-GB"/>
        </w:rPr>
        <w:t xml:space="preserve"> </w:t>
      </w:r>
      <w:r w:rsidRPr="003444E8">
        <w:rPr>
          <w:lang w:val="en-GB"/>
        </w:rPr>
        <w:t>in</w:t>
      </w:r>
      <w:r w:rsidRPr="0075756B">
        <w:rPr>
          <w:lang w:val="en-GB"/>
        </w:rPr>
        <w:t xml:space="preserve"> </w:t>
      </w:r>
      <w:r w:rsidRPr="003444E8">
        <w:rPr>
          <w:lang w:val="en-GB"/>
        </w:rPr>
        <w:t>patients</w:t>
      </w:r>
      <w:r w:rsidRPr="0075756B">
        <w:rPr>
          <w:lang w:val="en-GB"/>
        </w:rPr>
        <w:t xml:space="preserve"> </w:t>
      </w:r>
      <w:r w:rsidRPr="003444E8">
        <w:rPr>
          <w:lang w:val="en-GB"/>
        </w:rPr>
        <w:t>with</w:t>
      </w:r>
      <w:r w:rsidRPr="0075756B">
        <w:rPr>
          <w:lang w:val="en-GB"/>
        </w:rPr>
        <w:t xml:space="preserve"> </w:t>
      </w:r>
      <w:r w:rsidRPr="003444E8">
        <w:rPr>
          <w:lang w:val="en-GB"/>
        </w:rPr>
        <w:t>hepatic</w:t>
      </w:r>
      <w:r w:rsidRPr="0075756B">
        <w:rPr>
          <w:lang w:val="en-GB"/>
        </w:rPr>
        <w:t xml:space="preserve"> </w:t>
      </w:r>
      <w:r w:rsidRPr="003444E8">
        <w:rPr>
          <w:lang w:val="en-GB"/>
        </w:rPr>
        <w:t>impairment.</w:t>
      </w:r>
    </w:p>
    <w:p w14:paraId="3CF3C7E1"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Use</w:t>
      </w:r>
      <w:r w:rsidRPr="003444E8">
        <w:rPr>
          <w:spacing w:val="-2"/>
          <w:u w:val="single"/>
          <w:lang w:val="en-GB"/>
        </w:rPr>
        <w:t xml:space="preserve"> </w:t>
      </w:r>
      <w:r w:rsidRPr="003444E8">
        <w:rPr>
          <w:u w:val="single"/>
          <w:lang w:val="en-GB"/>
        </w:rPr>
        <w:t>in</w:t>
      </w:r>
      <w:r w:rsidRPr="003444E8">
        <w:rPr>
          <w:spacing w:val="-1"/>
          <w:u w:val="single"/>
          <w:lang w:val="en-GB"/>
        </w:rPr>
        <w:t xml:space="preserve"> </w:t>
      </w:r>
      <w:r w:rsidRPr="003444E8">
        <w:rPr>
          <w:u w:val="single"/>
          <w:lang w:val="en-GB"/>
        </w:rPr>
        <w:t>renal</w:t>
      </w:r>
      <w:r w:rsidRPr="003444E8">
        <w:rPr>
          <w:spacing w:val="-2"/>
          <w:u w:val="single"/>
          <w:lang w:val="en-GB"/>
        </w:rPr>
        <w:t xml:space="preserve"> </w:t>
      </w:r>
      <w:r w:rsidRPr="003444E8">
        <w:rPr>
          <w:u w:val="single"/>
          <w:lang w:val="en-GB"/>
        </w:rPr>
        <w:t>impairment</w:t>
      </w:r>
    </w:p>
    <w:p w14:paraId="33CBE118"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No</w:t>
      </w:r>
      <w:r w:rsidRPr="0075756B">
        <w:rPr>
          <w:lang w:val="en-GB"/>
        </w:rPr>
        <w:t xml:space="preserve"> </w:t>
      </w:r>
      <w:r w:rsidRPr="003444E8">
        <w:rPr>
          <w:lang w:val="en-GB"/>
        </w:rPr>
        <w:t>dose</w:t>
      </w:r>
      <w:r w:rsidRPr="0075756B">
        <w:rPr>
          <w:lang w:val="en-GB"/>
        </w:rPr>
        <w:t xml:space="preserve"> </w:t>
      </w:r>
      <w:r w:rsidRPr="003444E8">
        <w:rPr>
          <w:lang w:val="en-GB"/>
        </w:rPr>
        <w:t>adjustment</w:t>
      </w:r>
      <w:r w:rsidRPr="0075756B">
        <w:rPr>
          <w:lang w:val="en-GB"/>
        </w:rPr>
        <w:t xml:space="preserve"> </w:t>
      </w:r>
      <w:r w:rsidRPr="003444E8">
        <w:rPr>
          <w:lang w:val="en-GB"/>
        </w:rPr>
        <w:t>is</w:t>
      </w:r>
      <w:r w:rsidRPr="0075756B">
        <w:rPr>
          <w:lang w:val="en-GB"/>
        </w:rPr>
        <w:t xml:space="preserve"> </w:t>
      </w:r>
      <w:r w:rsidRPr="003444E8">
        <w:rPr>
          <w:lang w:val="en-GB"/>
        </w:rPr>
        <w:t>necessary</w:t>
      </w:r>
      <w:r w:rsidRPr="0075756B">
        <w:rPr>
          <w:lang w:val="en-GB"/>
        </w:rPr>
        <w:t xml:space="preserve"> </w:t>
      </w:r>
      <w:r w:rsidRPr="003444E8">
        <w:rPr>
          <w:lang w:val="en-GB"/>
        </w:rPr>
        <w:t>in</w:t>
      </w:r>
      <w:r w:rsidRPr="0075756B">
        <w:rPr>
          <w:lang w:val="en-GB"/>
        </w:rPr>
        <w:t xml:space="preserve"> </w:t>
      </w:r>
      <w:r w:rsidRPr="003444E8">
        <w:rPr>
          <w:lang w:val="en-GB"/>
        </w:rPr>
        <w:t>patients</w:t>
      </w:r>
      <w:r w:rsidRPr="0075756B">
        <w:rPr>
          <w:lang w:val="en-GB"/>
        </w:rPr>
        <w:t xml:space="preserve"> </w:t>
      </w:r>
      <w:r w:rsidRPr="003444E8">
        <w:rPr>
          <w:lang w:val="en-GB"/>
        </w:rPr>
        <w:t>with</w:t>
      </w:r>
      <w:r w:rsidRPr="0075756B">
        <w:rPr>
          <w:lang w:val="en-GB"/>
        </w:rPr>
        <w:t xml:space="preserve"> </w:t>
      </w:r>
      <w:r w:rsidRPr="003444E8">
        <w:rPr>
          <w:lang w:val="en-GB"/>
        </w:rPr>
        <w:t>renal</w:t>
      </w:r>
      <w:r w:rsidRPr="0075756B">
        <w:rPr>
          <w:lang w:val="en-GB"/>
        </w:rPr>
        <w:t xml:space="preserve"> </w:t>
      </w:r>
      <w:r w:rsidRPr="003444E8">
        <w:rPr>
          <w:lang w:val="en-GB"/>
        </w:rPr>
        <w:t>impairment.</w:t>
      </w:r>
    </w:p>
    <w:p w14:paraId="0F0F10D5" w14:textId="14BD0CEE"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In</w:t>
      </w:r>
      <w:r w:rsidRPr="0075756B">
        <w:rPr>
          <w:lang w:val="en-GB"/>
        </w:rPr>
        <w:t xml:space="preserve"> </w:t>
      </w:r>
      <w:r w:rsidRPr="003444E8">
        <w:rPr>
          <w:lang w:val="en-GB"/>
        </w:rPr>
        <w:t>clinical</w:t>
      </w:r>
      <w:r w:rsidRPr="0075756B">
        <w:rPr>
          <w:lang w:val="en-GB"/>
        </w:rPr>
        <w:t xml:space="preserve"> </w:t>
      </w:r>
      <w:r w:rsidRPr="003444E8">
        <w:rPr>
          <w:lang w:val="en-GB"/>
        </w:rPr>
        <w:t>studies,</w:t>
      </w:r>
      <w:r w:rsidRPr="0075756B">
        <w:rPr>
          <w:lang w:val="en-GB"/>
        </w:rPr>
        <w:t xml:space="preserve"> </w:t>
      </w:r>
      <w:r w:rsidRPr="003444E8">
        <w:rPr>
          <w:lang w:val="en-GB"/>
        </w:rPr>
        <w:t>patients</w:t>
      </w:r>
      <w:r w:rsidRPr="0075756B">
        <w:rPr>
          <w:lang w:val="en-GB"/>
        </w:rPr>
        <w:t xml:space="preserve"> </w:t>
      </w:r>
      <w:r w:rsidRPr="003444E8">
        <w:rPr>
          <w:lang w:val="en-GB"/>
        </w:rPr>
        <w:t>with</w:t>
      </w:r>
      <w:r w:rsidRPr="0075756B">
        <w:rPr>
          <w:lang w:val="en-GB"/>
        </w:rPr>
        <w:t xml:space="preserve"> </w:t>
      </w:r>
      <w:r w:rsidRPr="003444E8">
        <w:rPr>
          <w:lang w:val="en-GB"/>
        </w:rPr>
        <w:t>severe</w:t>
      </w:r>
      <w:r w:rsidRPr="0075756B">
        <w:rPr>
          <w:lang w:val="en-GB"/>
        </w:rPr>
        <w:t xml:space="preserve"> </w:t>
      </w:r>
      <w:r w:rsidRPr="003444E8">
        <w:rPr>
          <w:lang w:val="en-GB"/>
        </w:rPr>
        <w:t>renal</w:t>
      </w:r>
      <w:r w:rsidRPr="0075756B">
        <w:rPr>
          <w:lang w:val="en-GB"/>
        </w:rPr>
        <w:t xml:space="preserve"> </w:t>
      </w:r>
      <w:r w:rsidRPr="003444E8">
        <w:rPr>
          <w:lang w:val="en-GB"/>
        </w:rPr>
        <w:t>impairment</w:t>
      </w:r>
      <w:r w:rsidRPr="0075756B">
        <w:rPr>
          <w:lang w:val="en-GB"/>
        </w:rPr>
        <w:t xml:space="preserve"> </w:t>
      </w:r>
      <w:r w:rsidRPr="003444E8">
        <w:rPr>
          <w:lang w:val="en-GB"/>
        </w:rPr>
        <w:t>(creatinine</w:t>
      </w:r>
      <w:r w:rsidRPr="0075756B">
        <w:rPr>
          <w:lang w:val="en-GB"/>
        </w:rPr>
        <w:t xml:space="preserve"> </w:t>
      </w:r>
      <w:r w:rsidRPr="003444E8">
        <w:rPr>
          <w:lang w:val="en-GB"/>
        </w:rPr>
        <w:t>clearance</w:t>
      </w:r>
      <w:r w:rsidR="00CB095A">
        <w:rPr>
          <w:lang w:val="en-GB"/>
        </w:rPr>
        <w:t xml:space="preserve"> </w:t>
      </w:r>
      <w:r w:rsidRPr="003444E8">
        <w:rPr>
          <w:lang w:val="en-GB"/>
        </w:rPr>
        <w:t>&lt; 30 mL/min) or receiving dialysis were at greater risk of developing hypocalcaemia.</w:t>
      </w:r>
      <w:r w:rsidRPr="0075756B">
        <w:rPr>
          <w:lang w:val="en-GB"/>
        </w:rPr>
        <w:t xml:space="preserve"> </w:t>
      </w:r>
      <w:r w:rsidRPr="003444E8">
        <w:rPr>
          <w:lang w:val="en-GB"/>
        </w:rPr>
        <w:t>Adequate intake of calcium and vitamin D is important in patients with severe renal</w:t>
      </w:r>
      <w:r w:rsidRPr="0075756B">
        <w:rPr>
          <w:lang w:val="en-GB"/>
        </w:rPr>
        <w:t xml:space="preserve"> </w:t>
      </w:r>
      <w:r w:rsidRPr="003444E8">
        <w:rPr>
          <w:lang w:val="en-GB"/>
        </w:rPr>
        <w:t>impairment or receiving dialysis (see section 4.4 Special warnings and precautions for</w:t>
      </w:r>
      <w:r w:rsidRPr="0075756B">
        <w:rPr>
          <w:lang w:val="en-GB"/>
        </w:rPr>
        <w:t xml:space="preserve"> </w:t>
      </w:r>
      <w:r w:rsidRPr="003444E8">
        <w:rPr>
          <w:lang w:val="en-GB"/>
        </w:rPr>
        <w:t>use,</w:t>
      </w:r>
      <w:r w:rsidRPr="0075756B">
        <w:rPr>
          <w:lang w:val="en-GB"/>
        </w:rPr>
        <w:t xml:space="preserve"> </w:t>
      </w:r>
      <w:r w:rsidRPr="003444E8">
        <w:rPr>
          <w:lang w:val="en-GB"/>
        </w:rPr>
        <w:t>Hypocalcaemia).</w:t>
      </w:r>
    </w:p>
    <w:p w14:paraId="50056304"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lastRenderedPageBreak/>
        <w:t>Use</w:t>
      </w:r>
      <w:r w:rsidRPr="003444E8">
        <w:rPr>
          <w:spacing w:val="-1"/>
          <w:u w:val="single"/>
          <w:lang w:val="en-GB"/>
        </w:rPr>
        <w:t xml:space="preserve"> </w:t>
      </w:r>
      <w:r w:rsidRPr="003444E8">
        <w:rPr>
          <w:u w:val="single"/>
          <w:lang w:val="en-GB"/>
        </w:rPr>
        <w:t>in</w:t>
      </w:r>
      <w:r w:rsidRPr="003444E8">
        <w:rPr>
          <w:spacing w:val="-1"/>
          <w:u w:val="single"/>
          <w:lang w:val="en-GB"/>
        </w:rPr>
        <w:t xml:space="preserve"> </w:t>
      </w:r>
      <w:r w:rsidRPr="003444E8">
        <w:rPr>
          <w:u w:val="single"/>
          <w:lang w:val="en-GB"/>
        </w:rPr>
        <w:t>the</w:t>
      </w:r>
      <w:r w:rsidRPr="003444E8">
        <w:rPr>
          <w:spacing w:val="-1"/>
          <w:u w:val="single"/>
          <w:lang w:val="en-GB"/>
        </w:rPr>
        <w:t xml:space="preserve"> </w:t>
      </w:r>
      <w:r w:rsidRPr="003444E8">
        <w:rPr>
          <w:u w:val="single"/>
          <w:lang w:val="en-GB"/>
        </w:rPr>
        <w:t>elderly</w:t>
      </w:r>
    </w:p>
    <w:p w14:paraId="19DFEB1A" w14:textId="38ACE20A"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Of the total number of patients in clinical studies of </w:t>
      </w:r>
      <w:r w:rsidR="00A04F0C">
        <w:t>denosumab</w:t>
      </w:r>
      <w:r w:rsidRPr="003444E8">
        <w:rPr>
          <w:lang w:val="en-GB"/>
        </w:rPr>
        <w:t>, 9,943 patients were ≥ 65</w:t>
      </w:r>
      <w:r w:rsidRPr="0075756B">
        <w:rPr>
          <w:lang w:val="en-GB"/>
        </w:rPr>
        <w:t xml:space="preserve"> </w:t>
      </w:r>
      <w:r w:rsidRPr="003444E8">
        <w:rPr>
          <w:lang w:val="en-GB"/>
        </w:rPr>
        <w:t>years, while 3,576 were ≥ 75 years.</w:t>
      </w:r>
      <w:r w:rsidRPr="0075756B">
        <w:rPr>
          <w:lang w:val="en-GB"/>
        </w:rPr>
        <w:t xml:space="preserve"> </w:t>
      </w:r>
      <w:r w:rsidRPr="003444E8">
        <w:rPr>
          <w:lang w:val="en-GB"/>
        </w:rPr>
        <w:t>No overall differences in safety or efficacy were</w:t>
      </w:r>
      <w:r w:rsidRPr="0075756B">
        <w:rPr>
          <w:lang w:val="en-GB"/>
        </w:rPr>
        <w:t xml:space="preserve"> </w:t>
      </w:r>
      <w:r w:rsidRPr="003444E8">
        <w:rPr>
          <w:lang w:val="en-GB"/>
        </w:rPr>
        <w:t>observed</w:t>
      </w:r>
      <w:r w:rsidRPr="0075756B">
        <w:rPr>
          <w:lang w:val="en-GB"/>
        </w:rPr>
        <w:t xml:space="preserve"> </w:t>
      </w:r>
      <w:r w:rsidRPr="003444E8">
        <w:rPr>
          <w:lang w:val="en-GB"/>
        </w:rPr>
        <w:t>between</w:t>
      </w:r>
      <w:r w:rsidRPr="0075756B">
        <w:rPr>
          <w:lang w:val="en-GB"/>
        </w:rPr>
        <w:t xml:space="preserve"> </w:t>
      </w:r>
      <w:r w:rsidRPr="003444E8">
        <w:rPr>
          <w:lang w:val="en-GB"/>
        </w:rPr>
        <w:t>these</w:t>
      </w:r>
      <w:r w:rsidRPr="0075756B">
        <w:rPr>
          <w:lang w:val="en-GB"/>
        </w:rPr>
        <w:t xml:space="preserve"> </w:t>
      </w:r>
      <w:r w:rsidRPr="003444E8">
        <w:rPr>
          <w:lang w:val="en-GB"/>
        </w:rPr>
        <w:t>patients and</w:t>
      </w:r>
      <w:r w:rsidRPr="0075756B">
        <w:rPr>
          <w:lang w:val="en-GB"/>
        </w:rPr>
        <w:t xml:space="preserve"> </w:t>
      </w:r>
      <w:r w:rsidRPr="003444E8">
        <w:rPr>
          <w:lang w:val="en-GB"/>
        </w:rPr>
        <w:t>younger</w:t>
      </w:r>
      <w:r w:rsidRPr="0075756B">
        <w:rPr>
          <w:lang w:val="en-GB"/>
        </w:rPr>
        <w:t xml:space="preserve"> </w:t>
      </w:r>
      <w:r w:rsidRPr="003444E8">
        <w:rPr>
          <w:lang w:val="en-GB"/>
        </w:rPr>
        <w:t>patients.</w:t>
      </w:r>
    </w:p>
    <w:p w14:paraId="3E4AFDEA"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Of the patients in the osteoporosis study in men, 133 patients (55%) were </w:t>
      </w:r>
      <w:bookmarkStart w:id="8" w:name="_Hlk155171540"/>
      <w:r w:rsidRPr="003444E8">
        <w:rPr>
          <w:lang w:val="en-GB"/>
        </w:rPr>
        <w:t>≥</w:t>
      </w:r>
      <w:bookmarkEnd w:id="8"/>
      <w:r w:rsidRPr="003444E8">
        <w:rPr>
          <w:lang w:val="en-GB"/>
        </w:rPr>
        <w:t xml:space="preserve"> 65 years old,</w:t>
      </w:r>
      <w:r w:rsidRPr="0075756B">
        <w:rPr>
          <w:lang w:val="en-GB"/>
        </w:rPr>
        <w:t xml:space="preserve"> </w:t>
      </w:r>
      <w:r w:rsidRPr="003444E8">
        <w:rPr>
          <w:lang w:val="en-GB"/>
        </w:rPr>
        <w:t>while</w:t>
      </w:r>
      <w:r w:rsidRPr="0075756B">
        <w:rPr>
          <w:lang w:val="en-GB"/>
        </w:rPr>
        <w:t xml:space="preserve"> </w:t>
      </w:r>
      <w:r w:rsidRPr="003444E8">
        <w:rPr>
          <w:lang w:val="en-GB"/>
        </w:rPr>
        <w:t>39 patients (16%)</w:t>
      </w:r>
      <w:r w:rsidRPr="0075756B">
        <w:rPr>
          <w:lang w:val="en-GB"/>
        </w:rPr>
        <w:t xml:space="preserve"> </w:t>
      </w:r>
      <w:r w:rsidRPr="003444E8">
        <w:rPr>
          <w:lang w:val="en-GB"/>
        </w:rPr>
        <w:t>were</w:t>
      </w:r>
      <w:r w:rsidRPr="0075756B">
        <w:rPr>
          <w:lang w:val="en-GB"/>
        </w:rPr>
        <w:t xml:space="preserve"> </w:t>
      </w:r>
      <w:r w:rsidRPr="003444E8">
        <w:rPr>
          <w:lang w:val="en-GB"/>
        </w:rPr>
        <w:t>≥</w:t>
      </w:r>
      <w:r w:rsidRPr="0075756B">
        <w:rPr>
          <w:lang w:val="en-GB"/>
        </w:rPr>
        <w:t xml:space="preserve"> </w:t>
      </w:r>
      <w:r w:rsidRPr="003444E8">
        <w:rPr>
          <w:lang w:val="en-GB"/>
        </w:rPr>
        <w:t>75 years old.</w:t>
      </w:r>
    </w:p>
    <w:p w14:paraId="0EB1836F"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Paediatric</w:t>
      </w:r>
      <w:r w:rsidRPr="003444E8">
        <w:rPr>
          <w:spacing w:val="-1"/>
          <w:u w:val="single"/>
          <w:lang w:val="en-GB"/>
        </w:rPr>
        <w:t xml:space="preserve"> </w:t>
      </w:r>
      <w:r w:rsidRPr="003444E8">
        <w:rPr>
          <w:u w:val="single"/>
          <w:lang w:val="en-GB"/>
        </w:rPr>
        <w:t>use</w:t>
      </w:r>
    </w:p>
    <w:p w14:paraId="2531B302" w14:textId="5B685CEB" w:rsidR="006E62CD" w:rsidRPr="003444E8" w:rsidRDefault="00A04F0C" w:rsidP="00D258EC">
      <w:pPr>
        <w:pStyle w:val="BodyText"/>
        <w:adjustRightInd w:val="0"/>
        <w:snapToGrid w:val="0"/>
        <w:spacing w:before="60" w:after="60" w:line="360" w:lineRule="auto"/>
        <w:ind w:left="108" w:rightChars="30" w:right="66"/>
        <w:rPr>
          <w:lang w:val="en-GB"/>
        </w:rPr>
      </w:pPr>
      <w:r>
        <w:t>Denosumab</w:t>
      </w:r>
      <w:r w:rsidR="00CB095A" w:rsidRPr="003444E8">
        <w:rPr>
          <w:lang w:val="en-GB"/>
        </w:rPr>
        <w:t xml:space="preserve"> </w:t>
      </w:r>
      <w:r w:rsidR="00CB520A" w:rsidRPr="003444E8">
        <w:rPr>
          <w:lang w:val="en-GB"/>
        </w:rPr>
        <w:t>is not indicated for use in paediatric patients.</w:t>
      </w:r>
      <w:r w:rsidR="00CB520A" w:rsidRPr="00CB095A">
        <w:rPr>
          <w:lang w:val="en-GB"/>
        </w:rPr>
        <w:t xml:space="preserve"> </w:t>
      </w:r>
      <w:r w:rsidR="00CB520A" w:rsidRPr="003444E8">
        <w:rPr>
          <w:lang w:val="en-GB"/>
        </w:rPr>
        <w:t>In clinical trials, hypercalcaemia has</w:t>
      </w:r>
      <w:r w:rsidR="00CB520A" w:rsidRPr="00CB095A">
        <w:rPr>
          <w:lang w:val="en-GB"/>
        </w:rPr>
        <w:t xml:space="preserve"> </w:t>
      </w:r>
      <w:r w:rsidR="00CB520A" w:rsidRPr="003444E8">
        <w:rPr>
          <w:lang w:val="en-GB"/>
        </w:rPr>
        <w:t>been</w:t>
      </w:r>
      <w:r w:rsidR="00CB520A" w:rsidRPr="00CB095A">
        <w:rPr>
          <w:lang w:val="en-GB"/>
        </w:rPr>
        <w:t xml:space="preserve"> </w:t>
      </w:r>
      <w:r w:rsidR="00CB520A" w:rsidRPr="003444E8">
        <w:rPr>
          <w:lang w:val="en-GB"/>
        </w:rPr>
        <w:t>reported</w:t>
      </w:r>
      <w:r w:rsidR="00CB520A" w:rsidRPr="00CB095A">
        <w:rPr>
          <w:lang w:val="en-GB"/>
        </w:rPr>
        <w:t xml:space="preserve"> </w:t>
      </w:r>
      <w:r w:rsidR="00CB520A" w:rsidRPr="003444E8">
        <w:rPr>
          <w:lang w:val="en-GB"/>
        </w:rPr>
        <w:t>very</w:t>
      </w:r>
      <w:r w:rsidR="00CB520A" w:rsidRPr="00CB095A">
        <w:rPr>
          <w:lang w:val="en-GB"/>
        </w:rPr>
        <w:t xml:space="preserve"> </w:t>
      </w:r>
      <w:r w:rsidR="00CB520A" w:rsidRPr="003444E8">
        <w:rPr>
          <w:lang w:val="en-GB"/>
        </w:rPr>
        <w:t>commonly</w:t>
      </w:r>
      <w:r w:rsidR="00CB520A" w:rsidRPr="00CB095A">
        <w:rPr>
          <w:lang w:val="en-GB"/>
        </w:rPr>
        <w:t xml:space="preserve"> </w:t>
      </w:r>
      <w:r w:rsidR="00CB520A" w:rsidRPr="003444E8">
        <w:rPr>
          <w:lang w:val="en-GB"/>
        </w:rPr>
        <w:t>in</w:t>
      </w:r>
      <w:r w:rsidR="00CB520A" w:rsidRPr="00CB095A">
        <w:rPr>
          <w:lang w:val="en-GB"/>
        </w:rPr>
        <w:t xml:space="preserve"> </w:t>
      </w:r>
      <w:r w:rsidR="00CB520A" w:rsidRPr="003444E8">
        <w:rPr>
          <w:lang w:val="en-GB"/>
        </w:rPr>
        <w:t>paediatric</w:t>
      </w:r>
      <w:r w:rsidR="00CB520A" w:rsidRPr="00CB095A">
        <w:rPr>
          <w:lang w:val="en-GB"/>
        </w:rPr>
        <w:t xml:space="preserve"> </w:t>
      </w:r>
      <w:r w:rsidR="00CB520A" w:rsidRPr="003444E8">
        <w:rPr>
          <w:lang w:val="en-GB"/>
        </w:rPr>
        <w:t>patients</w:t>
      </w:r>
      <w:r w:rsidR="00CB520A" w:rsidRPr="00CB095A">
        <w:rPr>
          <w:lang w:val="en-GB"/>
        </w:rPr>
        <w:t xml:space="preserve"> </w:t>
      </w:r>
      <w:r w:rsidR="00CB520A" w:rsidRPr="003444E8">
        <w:rPr>
          <w:lang w:val="en-GB"/>
        </w:rPr>
        <w:t>with</w:t>
      </w:r>
      <w:r w:rsidR="00CB520A" w:rsidRPr="00CB095A">
        <w:rPr>
          <w:lang w:val="en-GB"/>
        </w:rPr>
        <w:t xml:space="preserve"> </w:t>
      </w:r>
      <w:r w:rsidR="00CB520A" w:rsidRPr="003444E8">
        <w:rPr>
          <w:lang w:val="en-GB"/>
        </w:rPr>
        <w:t>osteogenesis</w:t>
      </w:r>
      <w:r w:rsidR="00CB520A" w:rsidRPr="00CB095A">
        <w:rPr>
          <w:lang w:val="en-GB"/>
        </w:rPr>
        <w:t xml:space="preserve"> </w:t>
      </w:r>
      <w:r w:rsidR="00CB520A" w:rsidRPr="003444E8">
        <w:rPr>
          <w:lang w:val="en-GB"/>
        </w:rPr>
        <w:t>imperfecta</w:t>
      </w:r>
      <w:r w:rsidR="00CB520A" w:rsidRPr="00CB095A">
        <w:rPr>
          <w:lang w:val="en-GB"/>
        </w:rPr>
        <w:t xml:space="preserve"> </w:t>
      </w:r>
      <w:r w:rsidR="00CB520A" w:rsidRPr="003444E8">
        <w:rPr>
          <w:lang w:val="en-GB"/>
        </w:rPr>
        <w:t>treated</w:t>
      </w:r>
      <w:r w:rsidR="00CB520A" w:rsidRPr="00CB095A">
        <w:rPr>
          <w:lang w:val="en-GB"/>
        </w:rPr>
        <w:t xml:space="preserve"> </w:t>
      </w:r>
      <w:r w:rsidR="00CB520A" w:rsidRPr="003444E8">
        <w:rPr>
          <w:lang w:val="en-GB"/>
        </w:rPr>
        <w:t>with denosumab.</w:t>
      </w:r>
      <w:r w:rsidR="00CB520A" w:rsidRPr="00CB095A">
        <w:rPr>
          <w:lang w:val="en-GB"/>
        </w:rPr>
        <w:t xml:space="preserve"> </w:t>
      </w:r>
      <w:r w:rsidR="00CB520A" w:rsidRPr="003444E8">
        <w:rPr>
          <w:lang w:val="en-GB"/>
        </w:rPr>
        <w:t>Some cases required hospitalisation and were complicated by acute</w:t>
      </w:r>
      <w:r w:rsidR="00CB520A" w:rsidRPr="00CB095A">
        <w:rPr>
          <w:lang w:val="en-GB"/>
        </w:rPr>
        <w:t xml:space="preserve"> </w:t>
      </w:r>
      <w:r w:rsidR="00CB520A" w:rsidRPr="003444E8">
        <w:rPr>
          <w:lang w:val="en-GB"/>
        </w:rPr>
        <w:t>renal injury (see section 4.4 Special warnings and precautions for use, Hypercalcaemia</w:t>
      </w:r>
      <w:r w:rsidR="00CB520A" w:rsidRPr="00CB095A">
        <w:rPr>
          <w:lang w:val="en-GB"/>
        </w:rPr>
        <w:t xml:space="preserve"> </w:t>
      </w:r>
      <w:r w:rsidR="00CB520A" w:rsidRPr="003444E8">
        <w:rPr>
          <w:lang w:val="en-GB"/>
        </w:rPr>
        <w:t>in</w:t>
      </w:r>
      <w:r w:rsidR="00CB520A" w:rsidRPr="00CB095A">
        <w:rPr>
          <w:lang w:val="en-GB"/>
        </w:rPr>
        <w:t xml:space="preserve"> </w:t>
      </w:r>
      <w:r w:rsidR="00CB520A" w:rsidRPr="003444E8">
        <w:rPr>
          <w:lang w:val="en-GB"/>
        </w:rPr>
        <w:t>paediatric patients with</w:t>
      </w:r>
      <w:r w:rsidR="00CB520A" w:rsidRPr="00CB095A">
        <w:rPr>
          <w:lang w:val="en-GB"/>
        </w:rPr>
        <w:t xml:space="preserve"> </w:t>
      </w:r>
      <w:r w:rsidR="00CB520A" w:rsidRPr="003444E8">
        <w:rPr>
          <w:lang w:val="en-GB"/>
        </w:rPr>
        <w:t>osteogenesis</w:t>
      </w:r>
      <w:r w:rsidR="00CB520A" w:rsidRPr="00CB095A">
        <w:rPr>
          <w:lang w:val="en-GB"/>
        </w:rPr>
        <w:t xml:space="preserve"> </w:t>
      </w:r>
      <w:r w:rsidR="00CB520A" w:rsidRPr="003444E8">
        <w:rPr>
          <w:lang w:val="en-GB"/>
        </w:rPr>
        <w:t>imperfecta).</w:t>
      </w:r>
    </w:p>
    <w:p w14:paraId="7EAD0AA5"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Adolescent</w:t>
      </w:r>
      <w:r w:rsidRPr="00CB095A">
        <w:rPr>
          <w:lang w:val="en-GB"/>
        </w:rPr>
        <w:t xml:space="preserve"> </w:t>
      </w:r>
      <w:r w:rsidRPr="003444E8">
        <w:rPr>
          <w:lang w:val="en-GB"/>
        </w:rPr>
        <w:t>primates dosed with</w:t>
      </w:r>
      <w:r w:rsidRPr="00CB095A">
        <w:rPr>
          <w:lang w:val="en-GB"/>
        </w:rPr>
        <w:t xml:space="preserve"> </w:t>
      </w:r>
      <w:r w:rsidRPr="003444E8">
        <w:rPr>
          <w:lang w:val="en-GB"/>
        </w:rPr>
        <w:t>denosumab at</w:t>
      </w:r>
      <w:r w:rsidRPr="00CB095A">
        <w:rPr>
          <w:lang w:val="en-GB"/>
        </w:rPr>
        <w:t xml:space="preserve"> </w:t>
      </w:r>
      <w:r w:rsidRPr="003444E8">
        <w:rPr>
          <w:lang w:val="en-GB"/>
        </w:rPr>
        <w:t>27</w:t>
      </w:r>
      <w:r w:rsidRPr="00CB095A">
        <w:rPr>
          <w:lang w:val="en-GB"/>
        </w:rPr>
        <w:t xml:space="preserve"> </w:t>
      </w:r>
      <w:r w:rsidRPr="003444E8">
        <w:rPr>
          <w:lang w:val="en-GB"/>
        </w:rPr>
        <w:t>and</w:t>
      </w:r>
      <w:r w:rsidRPr="00CB095A">
        <w:rPr>
          <w:lang w:val="en-GB"/>
        </w:rPr>
        <w:t xml:space="preserve"> </w:t>
      </w:r>
      <w:r w:rsidRPr="003444E8">
        <w:rPr>
          <w:lang w:val="en-GB"/>
        </w:rPr>
        <w:t>150</w:t>
      </w:r>
      <w:r w:rsidRPr="00CB095A">
        <w:rPr>
          <w:lang w:val="en-GB"/>
        </w:rPr>
        <w:t xml:space="preserve"> </w:t>
      </w:r>
      <w:r w:rsidRPr="003444E8">
        <w:rPr>
          <w:lang w:val="en-GB"/>
        </w:rPr>
        <w:t>times (10</w:t>
      </w:r>
      <w:r w:rsidRPr="00CB095A">
        <w:rPr>
          <w:lang w:val="en-GB"/>
        </w:rPr>
        <w:t xml:space="preserve"> </w:t>
      </w:r>
      <w:r w:rsidRPr="003444E8">
        <w:rPr>
          <w:lang w:val="en-GB"/>
        </w:rPr>
        <w:t>and</w:t>
      </w:r>
      <w:r w:rsidRPr="00CB095A">
        <w:rPr>
          <w:lang w:val="en-GB"/>
        </w:rPr>
        <w:t xml:space="preserve"> </w:t>
      </w:r>
      <w:r w:rsidRPr="003444E8">
        <w:rPr>
          <w:lang w:val="en-GB"/>
        </w:rPr>
        <w:t>50</w:t>
      </w:r>
      <w:r w:rsidRPr="00CB095A">
        <w:rPr>
          <w:lang w:val="en-GB"/>
        </w:rPr>
        <w:t xml:space="preserve"> </w:t>
      </w:r>
      <w:r w:rsidRPr="003444E8">
        <w:rPr>
          <w:lang w:val="en-GB"/>
        </w:rPr>
        <w:t>mg/kg</w:t>
      </w:r>
      <w:r w:rsidRPr="00CB095A">
        <w:rPr>
          <w:lang w:val="en-GB"/>
        </w:rPr>
        <w:t xml:space="preserve"> </w:t>
      </w:r>
      <w:r w:rsidRPr="003444E8">
        <w:rPr>
          <w:lang w:val="en-GB"/>
        </w:rPr>
        <w:t>dose) the clinical exposure based on AUC had abnormal growth plates.</w:t>
      </w:r>
      <w:r w:rsidRPr="00CB095A">
        <w:rPr>
          <w:lang w:val="en-GB"/>
        </w:rPr>
        <w:t xml:space="preserve"> </w:t>
      </w:r>
      <w:r w:rsidRPr="003444E8">
        <w:rPr>
          <w:lang w:val="en-GB"/>
        </w:rPr>
        <w:t>In neonatal rats,</w:t>
      </w:r>
      <w:r w:rsidRPr="00CB095A">
        <w:rPr>
          <w:lang w:val="en-GB"/>
        </w:rPr>
        <w:t xml:space="preserve"> </w:t>
      </w:r>
      <w:r w:rsidRPr="003444E8">
        <w:rPr>
          <w:lang w:val="en-GB"/>
        </w:rPr>
        <w:t>inhibition of RANKL (target of denosumab therapy) with a construct of osteoprotegerin</w:t>
      </w:r>
      <w:r w:rsidRPr="00CB095A">
        <w:rPr>
          <w:lang w:val="en-GB"/>
        </w:rPr>
        <w:t xml:space="preserve"> </w:t>
      </w:r>
      <w:r w:rsidRPr="003444E8">
        <w:rPr>
          <w:lang w:val="en-GB"/>
        </w:rPr>
        <w:t>bound to immunoglobulin Fc segment (OPG-Fc) at high doses was associated with</w:t>
      </w:r>
      <w:r w:rsidRPr="00CB095A">
        <w:rPr>
          <w:lang w:val="en-GB"/>
        </w:rPr>
        <w:t xml:space="preserve"> </w:t>
      </w:r>
      <w:r w:rsidRPr="003444E8">
        <w:rPr>
          <w:lang w:val="en-GB"/>
        </w:rPr>
        <w:t>inhibition of bone growth and tooth eruption.</w:t>
      </w:r>
      <w:r w:rsidRPr="00CB095A">
        <w:rPr>
          <w:lang w:val="en-GB"/>
        </w:rPr>
        <w:t xml:space="preserve"> </w:t>
      </w:r>
      <w:r w:rsidRPr="003444E8">
        <w:rPr>
          <w:lang w:val="en-GB"/>
        </w:rPr>
        <w:t>Therefore, treatment with denosumab may</w:t>
      </w:r>
      <w:r w:rsidRPr="00CB095A">
        <w:rPr>
          <w:lang w:val="en-GB"/>
        </w:rPr>
        <w:t xml:space="preserve"> </w:t>
      </w:r>
      <w:r w:rsidRPr="003444E8">
        <w:rPr>
          <w:lang w:val="en-GB"/>
        </w:rPr>
        <w:t>impair bone growth in children with open growth plates and may inhibit eruption of</w:t>
      </w:r>
      <w:r w:rsidRPr="00CB095A">
        <w:rPr>
          <w:lang w:val="en-GB"/>
        </w:rPr>
        <w:t xml:space="preserve"> </w:t>
      </w:r>
      <w:r w:rsidRPr="003444E8">
        <w:rPr>
          <w:lang w:val="en-GB"/>
        </w:rPr>
        <w:t>dentition.</w:t>
      </w:r>
    </w:p>
    <w:p w14:paraId="4F7E619D"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Effects</w:t>
      </w:r>
      <w:r w:rsidRPr="003444E8">
        <w:rPr>
          <w:spacing w:val="-2"/>
          <w:u w:val="single"/>
          <w:lang w:val="en-GB"/>
        </w:rPr>
        <w:t xml:space="preserve"> </w:t>
      </w:r>
      <w:r w:rsidRPr="003444E8">
        <w:rPr>
          <w:u w:val="single"/>
          <w:lang w:val="en-GB"/>
        </w:rPr>
        <w:t>on</w:t>
      </w:r>
      <w:r w:rsidRPr="003444E8">
        <w:rPr>
          <w:spacing w:val="-2"/>
          <w:u w:val="single"/>
          <w:lang w:val="en-GB"/>
        </w:rPr>
        <w:t xml:space="preserve"> </w:t>
      </w:r>
      <w:r w:rsidRPr="003444E8">
        <w:rPr>
          <w:u w:val="single"/>
          <w:lang w:val="en-GB"/>
        </w:rPr>
        <w:t>laboratory</w:t>
      </w:r>
      <w:r w:rsidRPr="003444E8">
        <w:rPr>
          <w:spacing w:val="-1"/>
          <w:u w:val="single"/>
          <w:lang w:val="en-GB"/>
        </w:rPr>
        <w:t xml:space="preserve"> </w:t>
      </w:r>
      <w:r w:rsidRPr="003444E8">
        <w:rPr>
          <w:u w:val="single"/>
          <w:lang w:val="en-GB"/>
        </w:rPr>
        <w:t>tests</w:t>
      </w:r>
    </w:p>
    <w:p w14:paraId="74C168F1" w14:textId="28BF6036" w:rsidR="006E62CD" w:rsidRDefault="00CB520A" w:rsidP="00D258EC">
      <w:pPr>
        <w:pStyle w:val="BodyText"/>
        <w:adjustRightInd w:val="0"/>
        <w:snapToGrid w:val="0"/>
        <w:spacing w:before="60" w:after="60" w:line="360" w:lineRule="auto"/>
        <w:ind w:left="108" w:rightChars="30" w:right="66"/>
        <w:rPr>
          <w:lang w:val="en-GB"/>
        </w:rPr>
      </w:pPr>
      <w:r w:rsidRPr="003444E8">
        <w:rPr>
          <w:lang w:val="en-GB"/>
        </w:rPr>
        <w:t>No</w:t>
      </w:r>
      <w:r w:rsidRPr="0075756B">
        <w:rPr>
          <w:lang w:val="en-GB"/>
        </w:rPr>
        <w:t xml:space="preserve"> </w:t>
      </w:r>
      <w:r w:rsidRPr="003444E8">
        <w:rPr>
          <w:lang w:val="en-GB"/>
        </w:rPr>
        <w:t>interactions</w:t>
      </w:r>
      <w:r w:rsidRPr="0075756B">
        <w:rPr>
          <w:lang w:val="en-GB"/>
        </w:rPr>
        <w:t xml:space="preserve"> </w:t>
      </w:r>
      <w:r w:rsidRPr="003444E8">
        <w:rPr>
          <w:lang w:val="en-GB"/>
        </w:rPr>
        <w:t>with</w:t>
      </w:r>
      <w:r w:rsidRPr="0075756B">
        <w:rPr>
          <w:lang w:val="en-GB"/>
        </w:rPr>
        <w:t xml:space="preserve"> </w:t>
      </w:r>
      <w:r w:rsidRPr="003444E8">
        <w:rPr>
          <w:lang w:val="en-GB"/>
        </w:rPr>
        <w:t>laboratory</w:t>
      </w:r>
      <w:r w:rsidRPr="0075756B">
        <w:rPr>
          <w:lang w:val="en-GB"/>
        </w:rPr>
        <w:t xml:space="preserve"> </w:t>
      </w:r>
      <w:r w:rsidRPr="003444E8">
        <w:rPr>
          <w:lang w:val="en-GB"/>
        </w:rPr>
        <w:t>and</w:t>
      </w:r>
      <w:r w:rsidRPr="0075756B">
        <w:rPr>
          <w:lang w:val="en-GB"/>
        </w:rPr>
        <w:t xml:space="preserve"> </w:t>
      </w:r>
      <w:r w:rsidRPr="003444E8">
        <w:rPr>
          <w:lang w:val="en-GB"/>
        </w:rPr>
        <w:t>diagnostic</w:t>
      </w:r>
      <w:r w:rsidRPr="0075756B">
        <w:rPr>
          <w:lang w:val="en-GB"/>
        </w:rPr>
        <w:t xml:space="preserve"> </w:t>
      </w:r>
      <w:r w:rsidRPr="003444E8">
        <w:rPr>
          <w:lang w:val="en-GB"/>
        </w:rPr>
        <w:t>tests</w:t>
      </w:r>
      <w:r w:rsidRPr="0075756B">
        <w:rPr>
          <w:lang w:val="en-GB"/>
        </w:rPr>
        <w:t xml:space="preserve"> </w:t>
      </w:r>
      <w:r w:rsidRPr="003444E8">
        <w:rPr>
          <w:lang w:val="en-GB"/>
        </w:rPr>
        <w:t>have</w:t>
      </w:r>
      <w:r w:rsidRPr="0075756B">
        <w:rPr>
          <w:lang w:val="en-GB"/>
        </w:rPr>
        <w:t xml:space="preserve"> </w:t>
      </w:r>
      <w:r w:rsidRPr="003444E8">
        <w:rPr>
          <w:lang w:val="en-GB"/>
        </w:rPr>
        <w:t>been</w:t>
      </w:r>
      <w:r w:rsidRPr="0075756B">
        <w:rPr>
          <w:lang w:val="en-GB"/>
        </w:rPr>
        <w:t xml:space="preserve"> </w:t>
      </w:r>
      <w:r w:rsidRPr="003444E8">
        <w:rPr>
          <w:lang w:val="en-GB"/>
        </w:rPr>
        <w:t>identified.</w:t>
      </w:r>
    </w:p>
    <w:p w14:paraId="75B66644" w14:textId="77777777" w:rsidR="00A04F0C" w:rsidRPr="005B583D" w:rsidRDefault="00A04F0C" w:rsidP="005B583D">
      <w:pPr>
        <w:pStyle w:val="BodyText"/>
        <w:adjustRightInd w:val="0"/>
        <w:snapToGrid w:val="0"/>
        <w:spacing w:before="60" w:after="60" w:line="360" w:lineRule="auto"/>
        <w:ind w:left="108" w:rightChars="30" w:right="66"/>
        <w:rPr>
          <w:u w:val="single"/>
          <w:lang w:val="en-GB"/>
        </w:rPr>
      </w:pPr>
      <w:r w:rsidRPr="005B583D">
        <w:rPr>
          <w:u w:val="single"/>
          <w:lang w:val="en-GB"/>
        </w:rPr>
        <w:t>Traceability</w:t>
      </w:r>
    </w:p>
    <w:p w14:paraId="50DAD1FB" w14:textId="149BEC4F" w:rsidR="00A04F0C" w:rsidRPr="0081082F" w:rsidRDefault="00A04F0C" w:rsidP="0081082F">
      <w:pPr>
        <w:pStyle w:val="BodyText"/>
        <w:adjustRightInd w:val="0"/>
        <w:snapToGrid w:val="0"/>
        <w:spacing w:before="60" w:after="60" w:line="360" w:lineRule="auto"/>
        <w:ind w:left="108" w:rightChars="30" w:right="66"/>
        <w:rPr>
          <w:lang w:val="en-GB"/>
        </w:rPr>
      </w:pPr>
      <w:r w:rsidRPr="005B583D">
        <w:rPr>
          <w:lang w:val="en-GB"/>
        </w:rPr>
        <w:t>In order to improve the traceability of biological medicines, the trade name and the batch number of the administered product should be clearly recorded in the patient’s medical record and/or dispensing record.</w:t>
      </w:r>
    </w:p>
    <w:p w14:paraId="508DD5EA" w14:textId="77777777" w:rsidR="006E62CD" w:rsidRPr="00F53BC2" w:rsidRDefault="00CB520A" w:rsidP="00D258EC">
      <w:pPr>
        <w:pStyle w:val="ListParagraph"/>
        <w:numPr>
          <w:ilvl w:val="1"/>
          <w:numId w:val="3"/>
        </w:numPr>
        <w:tabs>
          <w:tab w:val="left" w:pos="1577"/>
          <w:tab w:val="left" w:pos="1578"/>
        </w:tabs>
        <w:adjustRightInd w:val="0"/>
        <w:snapToGrid w:val="0"/>
        <w:spacing w:before="60" w:after="60" w:line="360" w:lineRule="auto"/>
        <w:ind w:left="108" w:rightChars="30" w:right="66" w:firstLine="0"/>
        <w:rPr>
          <w:b/>
          <w:sz w:val="24"/>
          <w:lang w:val="en-GB"/>
        </w:rPr>
      </w:pPr>
      <w:bookmarkStart w:id="9" w:name="4.5_Interaction_with_other_medicines_and"/>
      <w:bookmarkEnd w:id="9"/>
      <w:r w:rsidRPr="00F53BC2">
        <w:rPr>
          <w:b/>
          <w:sz w:val="24"/>
          <w:lang w:val="en-GB"/>
        </w:rPr>
        <w:t>Interaction with other medicines and other forms of interaction</w:t>
      </w:r>
    </w:p>
    <w:p w14:paraId="7C724D06"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Calcimimetics:</w:t>
      </w:r>
      <w:r w:rsidRPr="00CB095A">
        <w:rPr>
          <w:lang w:val="en-GB"/>
        </w:rPr>
        <w:t xml:space="preserve"> </w:t>
      </w:r>
      <w:r w:rsidRPr="003444E8">
        <w:rPr>
          <w:lang w:val="en-GB"/>
        </w:rPr>
        <w:t>Concomitant</w:t>
      </w:r>
      <w:r w:rsidRPr="00CB095A">
        <w:rPr>
          <w:lang w:val="en-GB"/>
        </w:rPr>
        <w:t xml:space="preserve"> </w:t>
      </w:r>
      <w:r w:rsidRPr="003444E8">
        <w:rPr>
          <w:lang w:val="en-GB"/>
        </w:rPr>
        <w:t>use</w:t>
      </w:r>
      <w:r w:rsidRPr="00CB095A">
        <w:rPr>
          <w:lang w:val="en-GB"/>
        </w:rPr>
        <w:t xml:space="preserve"> </w:t>
      </w:r>
      <w:r w:rsidRPr="003444E8">
        <w:rPr>
          <w:lang w:val="en-GB"/>
        </w:rPr>
        <w:t>of</w:t>
      </w:r>
      <w:r w:rsidRPr="00CB095A">
        <w:rPr>
          <w:lang w:val="en-GB"/>
        </w:rPr>
        <w:t xml:space="preserve"> </w:t>
      </w:r>
      <w:r w:rsidRPr="003444E8">
        <w:rPr>
          <w:lang w:val="en-GB"/>
        </w:rPr>
        <w:t>calcimimetic</w:t>
      </w:r>
      <w:r w:rsidRPr="00CB095A">
        <w:rPr>
          <w:lang w:val="en-GB"/>
        </w:rPr>
        <w:t xml:space="preserve"> </w:t>
      </w:r>
      <w:r w:rsidRPr="003444E8">
        <w:rPr>
          <w:lang w:val="en-GB"/>
        </w:rPr>
        <w:t>drugs</w:t>
      </w:r>
      <w:r w:rsidRPr="00CB095A">
        <w:rPr>
          <w:lang w:val="en-GB"/>
        </w:rPr>
        <w:t xml:space="preserve"> </w:t>
      </w:r>
      <w:r w:rsidRPr="003444E8">
        <w:rPr>
          <w:lang w:val="en-GB"/>
        </w:rPr>
        <w:t>(e.g.</w:t>
      </w:r>
      <w:r w:rsidRPr="00CB095A">
        <w:rPr>
          <w:lang w:val="en-GB"/>
        </w:rPr>
        <w:t xml:space="preserve"> </w:t>
      </w:r>
      <w:r w:rsidRPr="003444E8">
        <w:rPr>
          <w:lang w:val="en-GB"/>
        </w:rPr>
        <w:t>cinacalcet)</w:t>
      </w:r>
      <w:r w:rsidRPr="00CB095A">
        <w:rPr>
          <w:lang w:val="en-GB"/>
        </w:rPr>
        <w:t xml:space="preserve"> </w:t>
      </w:r>
      <w:r w:rsidRPr="003444E8">
        <w:rPr>
          <w:lang w:val="en-GB"/>
        </w:rPr>
        <w:t>may</w:t>
      </w:r>
      <w:r w:rsidRPr="00CB095A">
        <w:rPr>
          <w:lang w:val="en-GB"/>
        </w:rPr>
        <w:t xml:space="preserve"> </w:t>
      </w:r>
      <w:r w:rsidRPr="003444E8">
        <w:rPr>
          <w:lang w:val="en-GB"/>
        </w:rPr>
        <w:t>worsen</w:t>
      </w:r>
      <w:r w:rsidRPr="00CB095A">
        <w:rPr>
          <w:lang w:val="en-GB"/>
        </w:rPr>
        <w:t xml:space="preserve"> </w:t>
      </w:r>
      <w:r w:rsidRPr="003444E8">
        <w:rPr>
          <w:lang w:val="en-GB"/>
        </w:rPr>
        <w:t>the</w:t>
      </w:r>
      <w:r w:rsidRPr="00CB095A">
        <w:rPr>
          <w:lang w:val="en-GB"/>
        </w:rPr>
        <w:t xml:space="preserve"> </w:t>
      </w:r>
      <w:r w:rsidRPr="003444E8">
        <w:rPr>
          <w:lang w:val="en-GB"/>
        </w:rPr>
        <w:t>risk</w:t>
      </w:r>
      <w:r w:rsidRPr="00CB095A">
        <w:rPr>
          <w:lang w:val="en-GB"/>
        </w:rPr>
        <w:t xml:space="preserve"> </w:t>
      </w:r>
      <w:r w:rsidRPr="003444E8">
        <w:rPr>
          <w:lang w:val="en-GB"/>
        </w:rPr>
        <w:t>of</w:t>
      </w:r>
      <w:r w:rsidRPr="00CB095A">
        <w:rPr>
          <w:lang w:val="en-GB"/>
        </w:rPr>
        <w:t xml:space="preserve"> </w:t>
      </w:r>
      <w:r w:rsidRPr="003444E8">
        <w:rPr>
          <w:lang w:val="en-GB"/>
        </w:rPr>
        <w:t>hypocalcaemia.</w:t>
      </w:r>
    </w:p>
    <w:p w14:paraId="4801C71B" w14:textId="6C3AADBA"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In an interaction study conducted on 17 postmenopausal women with osteoporosis,</w:t>
      </w:r>
      <w:r w:rsidRPr="00CB095A">
        <w:rPr>
          <w:lang w:val="en-GB"/>
        </w:rPr>
        <w:t xml:space="preserve"> </w:t>
      </w:r>
      <w:r w:rsidRPr="003444E8">
        <w:rPr>
          <w:lang w:val="en-GB"/>
        </w:rPr>
        <w:t>midazolam (2 mg oral) was administered two weeks after a single dose of denosumab</w:t>
      </w:r>
      <w:r w:rsidRPr="00CB095A">
        <w:rPr>
          <w:lang w:val="en-GB"/>
        </w:rPr>
        <w:t xml:space="preserve"> </w:t>
      </w:r>
      <w:r w:rsidRPr="003444E8">
        <w:rPr>
          <w:lang w:val="en-GB"/>
        </w:rPr>
        <w:t>(60 mg subcutaneous injection), which approximates the T</w:t>
      </w:r>
      <w:r w:rsidRPr="0075756B">
        <w:rPr>
          <w:vertAlign w:val="subscript"/>
          <w:lang w:val="en-GB"/>
        </w:rPr>
        <w:t>max</w:t>
      </w:r>
      <w:r w:rsidRPr="003444E8">
        <w:rPr>
          <w:lang w:val="en-GB"/>
        </w:rPr>
        <w:t xml:space="preserve"> of denosumab.</w:t>
      </w:r>
      <w:r w:rsidRPr="00CB095A">
        <w:rPr>
          <w:lang w:val="en-GB"/>
        </w:rPr>
        <w:t xml:space="preserve"> </w:t>
      </w:r>
      <w:r w:rsidR="00CB095A">
        <w:rPr>
          <w:lang w:val="en-GB"/>
        </w:rPr>
        <w:lastRenderedPageBreak/>
        <w:t>Denosumab</w:t>
      </w:r>
      <w:r w:rsidR="00CB095A" w:rsidRPr="003444E8">
        <w:rPr>
          <w:lang w:val="en-GB"/>
        </w:rPr>
        <w:t xml:space="preserve"> </w:t>
      </w:r>
      <w:r w:rsidRPr="003444E8">
        <w:rPr>
          <w:lang w:val="en-GB"/>
        </w:rPr>
        <w:t>did</w:t>
      </w:r>
      <w:r w:rsidRPr="00CB095A">
        <w:rPr>
          <w:lang w:val="en-GB"/>
        </w:rPr>
        <w:t xml:space="preserve"> </w:t>
      </w:r>
      <w:r w:rsidRPr="003444E8">
        <w:rPr>
          <w:lang w:val="en-GB"/>
        </w:rPr>
        <w:t>not affect the pharmacokinetics of midazolam, which is metabolised by cytochrome</w:t>
      </w:r>
      <w:r w:rsidRPr="00CB095A">
        <w:rPr>
          <w:lang w:val="en-GB"/>
        </w:rPr>
        <w:t xml:space="preserve"> </w:t>
      </w:r>
      <w:r w:rsidRPr="003444E8">
        <w:rPr>
          <w:lang w:val="en-GB"/>
        </w:rPr>
        <w:t>P450 3A4 (CYP3A4).</w:t>
      </w:r>
      <w:r w:rsidRPr="00CB095A">
        <w:rPr>
          <w:lang w:val="en-GB"/>
        </w:rPr>
        <w:t xml:space="preserve"> </w:t>
      </w:r>
      <w:r w:rsidRPr="003444E8">
        <w:rPr>
          <w:lang w:val="en-GB"/>
        </w:rPr>
        <w:t xml:space="preserve">This indicates that </w:t>
      </w:r>
      <w:r w:rsidR="00CB095A">
        <w:rPr>
          <w:lang w:val="en-GB"/>
        </w:rPr>
        <w:t>denosumab</w:t>
      </w:r>
      <w:r w:rsidR="00CB095A" w:rsidRPr="003444E8">
        <w:rPr>
          <w:lang w:val="en-GB"/>
        </w:rPr>
        <w:t xml:space="preserve"> </w:t>
      </w:r>
      <w:r w:rsidRPr="003444E8">
        <w:rPr>
          <w:lang w:val="en-GB"/>
        </w:rPr>
        <w:t>should not alter the pharmacokinetics of</w:t>
      </w:r>
      <w:r w:rsidRPr="00CB095A">
        <w:rPr>
          <w:lang w:val="en-GB"/>
        </w:rPr>
        <w:t xml:space="preserve"> </w:t>
      </w:r>
      <w:r w:rsidRPr="003444E8">
        <w:rPr>
          <w:lang w:val="en-GB"/>
        </w:rPr>
        <w:t>drugs</w:t>
      </w:r>
      <w:r w:rsidRPr="00CB095A">
        <w:rPr>
          <w:lang w:val="en-GB"/>
        </w:rPr>
        <w:t xml:space="preserve"> </w:t>
      </w:r>
      <w:r w:rsidRPr="003444E8">
        <w:rPr>
          <w:lang w:val="en-GB"/>
        </w:rPr>
        <w:t>metabolised by</w:t>
      </w:r>
      <w:r w:rsidRPr="00CB095A">
        <w:rPr>
          <w:lang w:val="en-GB"/>
        </w:rPr>
        <w:t xml:space="preserve"> </w:t>
      </w:r>
      <w:r w:rsidRPr="003444E8">
        <w:rPr>
          <w:lang w:val="en-GB"/>
        </w:rPr>
        <w:t>CYP3A4.</w:t>
      </w:r>
    </w:p>
    <w:p w14:paraId="07402E41" w14:textId="77777777" w:rsidR="006E62CD" w:rsidRPr="00F53BC2" w:rsidRDefault="00CB520A" w:rsidP="00D258EC">
      <w:pPr>
        <w:pStyle w:val="ListParagraph"/>
        <w:numPr>
          <w:ilvl w:val="1"/>
          <w:numId w:val="3"/>
        </w:numPr>
        <w:tabs>
          <w:tab w:val="left" w:pos="1577"/>
          <w:tab w:val="left" w:pos="1578"/>
        </w:tabs>
        <w:adjustRightInd w:val="0"/>
        <w:snapToGrid w:val="0"/>
        <w:spacing w:before="60" w:after="60" w:line="360" w:lineRule="auto"/>
        <w:ind w:left="108" w:rightChars="30" w:right="66" w:firstLine="0"/>
        <w:rPr>
          <w:b/>
          <w:sz w:val="24"/>
          <w:lang w:val="en-GB"/>
        </w:rPr>
      </w:pPr>
      <w:bookmarkStart w:id="10" w:name="4.6_Fertility,_pregnancy_and_lactation"/>
      <w:bookmarkEnd w:id="10"/>
      <w:r w:rsidRPr="00F53BC2">
        <w:rPr>
          <w:b/>
          <w:sz w:val="24"/>
          <w:lang w:val="en-GB"/>
        </w:rPr>
        <w:t>Fertility, pregnancy and lactation</w:t>
      </w:r>
    </w:p>
    <w:p w14:paraId="2C3210B6"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Effects</w:t>
      </w:r>
      <w:r w:rsidRPr="003444E8">
        <w:rPr>
          <w:spacing w:val="-1"/>
          <w:u w:val="single"/>
          <w:lang w:val="en-GB"/>
        </w:rPr>
        <w:t xml:space="preserve"> </w:t>
      </w:r>
      <w:r w:rsidRPr="003444E8">
        <w:rPr>
          <w:u w:val="single"/>
          <w:lang w:val="en-GB"/>
        </w:rPr>
        <w:t>on</w:t>
      </w:r>
      <w:r w:rsidRPr="003444E8">
        <w:rPr>
          <w:spacing w:val="-1"/>
          <w:u w:val="single"/>
          <w:lang w:val="en-GB"/>
        </w:rPr>
        <w:t xml:space="preserve"> </w:t>
      </w:r>
      <w:r w:rsidRPr="003444E8">
        <w:rPr>
          <w:u w:val="single"/>
          <w:lang w:val="en-GB"/>
        </w:rPr>
        <w:t>fertility</w:t>
      </w:r>
    </w:p>
    <w:p w14:paraId="02F3E46B"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No</w:t>
      </w:r>
      <w:r w:rsidRPr="00CB095A">
        <w:rPr>
          <w:lang w:val="en-GB"/>
        </w:rPr>
        <w:t xml:space="preserve"> </w:t>
      </w:r>
      <w:r w:rsidRPr="003444E8">
        <w:rPr>
          <w:lang w:val="en-GB"/>
        </w:rPr>
        <w:t>data</w:t>
      </w:r>
      <w:r w:rsidRPr="00CB095A">
        <w:rPr>
          <w:lang w:val="en-GB"/>
        </w:rPr>
        <w:t xml:space="preserve"> </w:t>
      </w:r>
      <w:r w:rsidRPr="003444E8">
        <w:rPr>
          <w:lang w:val="en-GB"/>
        </w:rPr>
        <w:t>are</w:t>
      </w:r>
      <w:r w:rsidRPr="00CB095A">
        <w:rPr>
          <w:lang w:val="en-GB"/>
        </w:rPr>
        <w:t xml:space="preserve"> </w:t>
      </w:r>
      <w:r w:rsidRPr="003444E8">
        <w:rPr>
          <w:lang w:val="en-GB"/>
        </w:rPr>
        <w:t>available</w:t>
      </w:r>
      <w:r w:rsidRPr="00CB095A">
        <w:rPr>
          <w:lang w:val="en-GB"/>
        </w:rPr>
        <w:t xml:space="preserve"> </w:t>
      </w:r>
      <w:r w:rsidRPr="003444E8">
        <w:rPr>
          <w:lang w:val="en-GB"/>
        </w:rPr>
        <w:t>on</w:t>
      </w:r>
      <w:r w:rsidRPr="00CB095A">
        <w:rPr>
          <w:lang w:val="en-GB"/>
        </w:rPr>
        <w:t xml:space="preserve"> </w:t>
      </w:r>
      <w:r w:rsidRPr="003444E8">
        <w:rPr>
          <w:lang w:val="en-GB"/>
        </w:rPr>
        <w:t>the</w:t>
      </w:r>
      <w:r w:rsidRPr="00CB095A">
        <w:rPr>
          <w:lang w:val="en-GB"/>
        </w:rPr>
        <w:t xml:space="preserve"> </w:t>
      </w:r>
      <w:r w:rsidRPr="003444E8">
        <w:rPr>
          <w:lang w:val="en-GB"/>
        </w:rPr>
        <w:t>effect</w:t>
      </w:r>
      <w:r w:rsidRPr="00CB095A">
        <w:rPr>
          <w:lang w:val="en-GB"/>
        </w:rPr>
        <w:t xml:space="preserve"> </w:t>
      </w:r>
      <w:r w:rsidRPr="003444E8">
        <w:rPr>
          <w:lang w:val="en-GB"/>
        </w:rPr>
        <w:t>of</w:t>
      </w:r>
      <w:r w:rsidRPr="00CB095A">
        <w:rPr>
          <w:lang w:val="en-GB"/>
        </w:rPr>
        <w:t xml:space="preserve"> </w:t>
      </w:r>
      <w:r w:rsidRPr="003444E8">
        <w:rPr>
          <w:lang w:val="en-GB"/>
        </w:rPr>
        <w:t>denosumab</w:t>
      </w:r>
      <w:r w:rsidRPr="00CB095A">
        <w:rPr>
          <w:lang w:val="en-GB"/>
        </w:rPr>
        <w:t xml:space="preserve"> </w:t>
      </w:r>
      <w:r w:rsidRPr="003444E8">
        <w:rPr>
          <w:lang w:val="en-GB"/>
        </w:rPr>
        <w:t>on</w:t>
      </w:r>
      <w:r w:rsidRPr="00CB095A">
        <w:rPr>
          <w:lang w:val="en-GB"/>
        </w:rPr>
        <w:t xml:space="preserve"> </w:t>
      </w:r>
      <w:r w:rsidRPr="003444E8">
        <w:rPr>
          <w:lang w:val="en-GB"/>
        </w:rPr>
        <w:t>human</w:t>
      </w:r>
      <w:r w:rsidRPr="00CB095A">
        <w:rPr>
          <w:lang w:val="en-GB"/>
        </w:rPr>
        <w:t xml:space="preserve"> </w:t>
      </w:r>
      <w:r w:rsidRPr="003444E8">
        <w:rPr>
          <w:lang w:val="en-GB"/>
        </w:rPr>
        <w:t>fertility.</w:t>
      </w:r>
      <w:r w:rsidRPr="00CB095A">
        <w:rPr>
          <w:lang w:val="en-GB"/>
        </w:rPr>
        <w:t xml:space="preserve"> </w:t>
      </w:r>
      <w:r w:rsidRPr="003444E8">
        <w:rPr>
          <w:lang w:val="en-GB"/>
        </w:rPr>
        <w:t>Denosumab</w:t>
      </w:r>
      <w:r w:rsidRPr="00CB095A">
        <w:rPr>
          <w:lang w:val="en-GB"/>
        </w:rPr>
        <w:t xml:space="preserve"> </w:t>
      </w:r>
      <w:r w:rsidRPr="003444E8">
        <w:rPr>
          <w:lang w:val="en-GB"/>
        </w:rPr>
        <w:t>had</w:t>
      </w:r>
      <w:r w:rsidRPr="00CB095A">
        <w:rPr>
          <w:lang w:val="en-GB"/>
        </w:rPr>
        <w:t xml:space="preserve"> </w:t>
      </w:r>
      <w:r w:rsidRPr="003444E8">
        <w:rPr>
          <w:lang w:val="en-GB"/>
        </w:rPr>
        <w:t>no</w:t>
      </w:r>
      <w:r w:rsidRPr="00CB095A">
        <w:rPr>
          <w:lang w:val="en-GB"/>
        </w:rPr>
        <w:t xml:space="preserve"> </w:t>
      </w:r>
      <w:r w:rsidRPr="003444E8">
        <w:rPr>
          <w:lang w:val="en-GB"/>
        </w:rPr>
        <w:t>effect on female fertility or male reproductive organs or sperm motility in cynomolgus</w:t>
      </w:r>
      <w:r w:rsidRPr="00CB095A">
        <w:rPr>
          <w:lang w:val="en-GB"/>
        </w:rPr>
        <w:t xml:space="preserve"> </w:t>
      </w:r>
      <w:r w:rsidRPr="003444E8">
        <w:rPr>
          <w:lang w:val="en-GB"/>
        </w:rPr>
        <w:t>monkeys at subcutaneous doses up to 12.5 mg/kg/week (females) or 50 mg/kg/month</w:t>
      </w:r>
      <w:r w:rsidRPr="00CB095A">
        <w:rPr>
          <w:lang w:val="en-GB"/>
        </w:rPr>
        <w:t xml:space="preserve"> </w:t>
      </w:r>
      <w:r w:rsidRPr="003444E8">
        <w:rPr>
          <w:lang w:val="en-GB"/>
        </w:rPr>
        <w:t>(males), yielding exposures that were approximately 150-fold higher than the human</w:t>
      </w:r>
      <w:r w:rsidRPr="00CB095A">
        <w:rPr>
          <w:lang w:val="en-GB"/>
        </w:rPr>
        <w:t xml:space="preserve"> </w:t>
      </w:r>
      <w:r w:rsidRPr="003444E8">
        <w:rPr>
          <w:lang w:val="en-GB"/>
        </w:rPr>
        <w:t>exposure</w:t>
      </w:r>
      <w:r w:rsidRPr="00CB095A">
        <w:rPr>
          <w:lang w:val="en-GB"/>
        </w:rPr>
        <w:t xml:space="preserve"> </w:t>
      </w:r>
      <w:r w:rsidRPr="003444E8">
        <w:rPr>
          <w:lang w:val="en-GB"/>
        </w:rPr>
        <w:t>at</w:t>
      </w:r>
      <w:r w:rsidRPr="00CB095A">
        <w:rPr>
          <w:lang w:val="en-GB"/>
        </w:rPr>
        <w:t xml:space="preserve"> </w:t>
      </w:r>
      <w:r w:rsidRPr="003444E8">
        <w:rPr>
          <w:lang w:val="en-GB"/>
        </w:rPr>
        <w:t>60</w:t>
      </w:r>
      <w:r w:rsidRPr="00CB095A">
        <w:rPr>
          <w:lang w:val="en-GB"/>
        </w:rPr>
        <w:t xml:space="preserve"> </w:t>
      </w:r>
      <w:r w:rsidRPr="003444E8">
        <w:rPr>
          <w:lang w:val="en-GB"/>
        </w:rPr>
        <w:t>mg</w:t>
      </w:r>
      <w:r w:rsidRPr="00CB095A">
        <w:rPr>
          <w:lang w:val="en-GB"/>
        </w:rPr>
        <w:t xml:space="preserve"> </w:t>
      </w:r>
      <w:r w:rsidRPr="003444E8">
        <w:rPr>
          <w:lang w:val="en-GB"/>
        </w:rPr>
        <w:t>subcutaneous administered once every</w:t>
      </w:r>
      <w:r w:rsidRPr="00CB095A">
        <w:rPr>
          <w:lang w:val="en-GB"/>
        </w:rPr>
        <w:t xml:space="preserve"> </w:t>
      </w:r>
      <w:r w:rsidRPr="003444E8">
        <w:rPr>
          <w:lang w:val="en-GB"/>
        </w:rPr>
        <w:t>6 months.</w:t>
      </w:r>
    </w:p>
    <w:p w14:paraId="4841DE7D" w14:textId="77777777" w:rsidR="006E62CD" w:rsidRPr="003444E8" w:rsidRDefault="00CB520A" w:rsidP="001619FB">
      <w:pPr>
        <w:pStyle w:val="BodyText"/>
        <w:adjustRightInd w:val="0"/>
        <w:snapToGrid w:val="0"/>
        <w:spacing w:before="60" w:after="60" w:line="360" w:lineRule="auto"/>
        <w:ind w:left="108" w:rightChars="30" w:right="66"/>
        <w:rPr>
          <w:lang w:val="en-GB"/>
        </w:rPr>
      </w:pPr>
      <w:r w:rsidRPr="003444E8">
        <w:rPr>
          <w:u w:val="single"/>
          <w:lang w:val="en-GB"/>
        </w:rPr>
        <w:t>Use</w:t>
      </w:r>
      <w:r w:rsidRPr="003444E8">
        <w:rPr>
          <w:spacing w:val="-1"/>
          <w:u w:val="single"/>
          <w:lang w:val="en-GB"/>
        </w:rPr>
        <w:t xml:space="preserve"> </w:t>
      </w:r>
      <w:r w:rsidRPr="003444E8">
        <w:rPr>
          <w:u w:val="single"/>
          <w:lang w:val="en-GB"/>
        </w:rPr>
        <w:t>in</w:t>
      </w:r>
      <w:r w:rsidRPr="003444E8">
        <w:rPr>
          <w:spacing w:val="-1"/>
          <w:u w:val="single"/>
          <w:lang w:val="en-GB"/>
        </w:rPr>
        <w:t xml:space="preserve"> </w:t>
      </w:r>
      <w:r w:rsidRPr="003444E8">
        <w:rPr>
          <w:u w:val="single"/>
          <w:lang w:val="en-GB"/>
        </w:rPr>
        <w:t>pregnancy</w:t>
      </w:r>
    </w:p>
    <w:p w14:paraId="21F212F4"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Pregnancy</w:t>
      </w:r>
      <w:r w:rsidRPr="0075756B">
        <w:rPr>
          <w:lang w:val="en-GB"/>
        </w:rPr>
        <w:t xml:space="preserve"> </w:t>
      </w:r>
      <w:r w:rsidRPr="003444E8">
        <w:rPr>
          <w:lang w:val="en-GB"/>
        </w:rPr>
        <w:t>Category:</w:t>
      </w:r>
      <w:r w:rsidRPr="0075756B">
        <w:rPr>
          <w:lang w:val="en-GB"/>
        </w:rPr>
        <w:t xml:space="preserve"> </w:t>
      </w:r>
      <w:r w:rsidRPr="003444E8">
        <w:rPr>
          <w:lang w:val="en-GB"/>
        </w:rPr>
        <w:t>D</w:t>
      </w:r>
    </w:p>
    <w:p w14:paraId="1AEFE979" w14:textId="63F4AEC8"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There are no adequate and well-controlled studies of </w:t>
      </w:r>
      <w:r w:rsidR="00BD4CF2">
        <w:rPr>
          <w:lang w:val="en-GB"/>
        </w:rPr>
        <w:t>denosumab</w:t>
      </w:r>
      <w:r w:rsidR="00BD4CF2" w:rsidRPr="003444E8">
        <w:rPr>
          <w:lang w:val="en-GB"/>
        </w:rPr>
        <w:t xml:space="preserve"> </w:t>
      </w:r>
      <w:r w:rsidRPr="003444E8">
        <w:rPr>
          <w:lang w:val="en-GB"/>
        </w:rPr>
        <w:t>in pregnant women.</w:t>
      </w:r>
      <w:r w:rsidRPr="00BD4CF2">
        <w:rPr>
          <w:lang w:val="en-GB"/>
        </w:rPr>
        <w:t xml:space="preserve"> </w:t>
      </w:r>
      <w:r w:rsidR="00BD4CF2">
        <w:rPr>
          <w:lang w:val="en-GB"/>
        </w:rPr>
        <w:t>Denosumab</w:t>
      </w:r>
      <w:r w:rsidR="00BD4CF2" w:rsidRPr="003444E8">
        <w:rPr>
          <w:lang w:val="en-GB"/>
        </w:rPr>
        <w:t xml:space="preserve"> </w:t>
      </w:r>
      <w:r w:rsidRPr="003444E8">
        <w:rPr>
          <w:lang w:val="en-GB"/>
        </w:rPr>
        <w:t>is</w:t>
      </w:r>
      <w:r w:rsidRPr="00BD4CF2">
        <w:rPr>
          <w:lang w:val="en-GB"/>
        </w:rPr>
        <w:t xml:space="preserve"> </w:t>
      </w:r>
      <w:r w:rsidRPr="003444E8">
        <w:rPr>
          <w:lang w:val="en-GB"/>
        </w:rPr>
        <w:t>contraindicated for use</w:t>
      </w:r>
      <w:r w:rsidRPr="00BD4CF2">
        <w:rPr>
          <w:lang w:val="en-GB"/>
        </w:rPr>
        <w:t xml:space="preserve"> </w:t>
      </w:r>
      <w:r w:rsidRPr="003444E8">
        <w:rPr>
          <w:lang w:val="en-GB"/>
        </w:rPr>
        <w:t>during</w:t>
      </w:r>
      <w:r w:rsidRPr="00BD4CF2">
        <w:rPr>
          <w:lang w:val="en-GB"/>
        </w:rPr>
        <w:t xml:space="preserve"> </w:t>
      </w:r>
      <w:r w:rsidRPr="003444E8">
        <w:rPr>
          <w:lang w:val="en-GB"/>
        </w:rPr>
        <w:t>pregnancy</w:t>
      </w:r>
      <w:r w:rsidRPr="00BD4CF2">
        <w:rPr>
          <w:lang w:val="en-GB"/>
        </w:rPr>
        <w:t xml:space="preserve"> </w:t>
      </w:r>
      <w:r w:rsidRPr="003444E8">
        <w:rPr>
          <w:lang w:val="en-GB"/>
        </w:rPr>
        <w:t>and in</w:t>
      </w:r>
      <w:r w:rsidRPr="00BD4CF2">
        <w:rPr>
          <w:lang w:val="en-GB"/>
        </w:rPr>
        <w:t xml:space="preserve"> </w:t>
      </w:r>
      <w:r w:rsidRPr="003444E8">
        <w:rPr>
          <w:lang w:val="en-GB"/>
        </w:rPr>
        <w:t>women</w:t>
      </w:r>
      <w:r w:rsidRPr="00BD4CF2">
        <w:rPr>
          <w:lang w:val="en-GB"/>
        </w:rPr>
        <w:t xml:space="preserve"> </w:t>
      </w:r>
      <w:r w:rsidRPr="003444E8">
        <w:rPr>
          <w:lang w:val="en-GB"/>
        </w:rPr>
        <w:t>trying</w:t>
      </w:r>
      <w:r w:rsidRPr="00BD4CF2">
        <w:rPr>
          <w:lang w:val="en-GB"/>
        </w:rPr>
        <w:t xml:space="preserve"> </w:t>
      </w:r>
      <w:r w:rsidRPr="003444E8">
        <w:rPr>
          <w:lang w:val="en-GB"/>
        </w:rPr>
        <w:t>to get</w:t>
      </w:r>
      <w:r w:rsidRPr="00BD4CF2">
        <w:rPr>
          <w:lang w:val="en-GB"/>
        </w:rPr>
        <w:t xml:space="preserve"> </w:t>
      </w:r>
      <w:r w:rsidRPr="003444E8">
        <w:rPr>
          <w:lang w:val="en-GB"/>
        </w:rPr>
        <w:t>pregnant.</w:t>
      </w:r>
    </w:p>
    <w:p w14:paraId="00DC99D5" w14:textId="4DC1818E"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Premenopausal women with reproductive potential should be advised of the potential</w:t>
      </w:r>
      <w:r w:rsidRPr="00BD4CF2">
        <w:rPr>
          <w:lang w:val="en-GB"/>
        </w:rPr>
        <w:t xml:space="preserve"> </w:t>
      </w:r>
      <w:r w:rsidRPr="003444E8">
        <w:rPr>
          <w:lang w:val="en-GB"/>
        </w:rPr>
        <w:t xml:space="preserve">effects of </w:t>
      </w:r>
      <w:r w:rsidR="00BD4CF2">
        <w:rPr>
          <w:lang w:val="en-GB"/>
        </w:rPr>
        <w:t>denosumab</w:t>
      </w:r>
      <w:r w:rsidR="00BD4CF2" w:rsidRPr="003444E8">
        <w:rPr>
          <w:lang w:val="en-GB"/>
        </w:rPr>
        <w:t xml:space="preserve"> </w:t>
      </w:r>
      <w:r w:rsidRPr="003444E8">
        <w:rPr>
          <w:lang w:val="en-GB"/>
        </w:rPr>
        <w:t>in pregnancy.</w:t>
      </w:r>
      <w:r w:rsidRPr="00BD4CF2">
        <w:rPr>
          <w:lang w:val="en-GB"/>
        </w:rPr>
        <w:t xml:space="preserve"> </w:t>
      </w:r>
      <w:r w:rsidRPr="003444E8">
        <w:rPr>
          <w:lang w:val="en-GB"/>
        </w:rPr>
        <w:t>Contraception should be discussed.</w:t>
      </w:r>
      <w:r w:rsidRPr="00BD4CF2">
        <w:rPr>
          <w:lang w:val="en-GB"/>
        </w:rPr>
        <w:t xml:space="preserve"> </w:t>
      </w:r>
      <w:r w:rsidRPr="003444E8">
        <w:rPr>
          <w:lang w:val="en-GB"/>
        </w:rPr>
        <w:t>Women should be</w:t>
      </w:r>
      <w:r w:rsidRPr="00BD4CF2">
        <w:rPr>
          <w:lang w:val="en-GB"/>
        </w:rPr>
        <w:t xml:space="preserve"> </w:t>
      </w:r>
      <w:r w:rsidRPr="003444E8">
        <w:rPr>
          <w:lang w:val="en-GB"/>
        </w:rPr>
        <w:t>advised not to become pregnant during and for at least 5 months after treatment with</w:t>
      </w:r>
      <w:r w:rsidRPr="00BD4CF2">
        <w:rPr>
          <w:lang w:val="en-GB"/>
        </w:rPr>
        <w:t xml:space="preserve"> </w:t>
      </w:r>
      <w:r w:rsidR="00A04F0C">
        <w:t>denosumab</w:t>
      </w:r>
      <w:r w:rsidRPr="003444E8">
        <w:rPr>
          <w:lang w:val="en-GB"/>
        </w:rPr>
        <w:t>.</w:t>
      </w:r>
    </w:p>
    <w:p w14:paraId="4A64F137" w14:textId="39B3CA4C"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Developmental toxicity studies have been performed with denosumab in cynomolgus</w:t>
      </w:r>
      <w:r w:rsidRPr="00BD4CF2">
        <w:rPr>
          <w:lang w:val="en-GB"/>
        </w:rPr>
        <w:t xml:space="preserve"> </w:t>
      </w:r>
      <w:r w:rsidRPr="003444E8">
        <w:rPr>
          <w:lang w:val="en-GB"/>
        </w:rPr>
        <w:t>monkeys and have shown serious adverse events on development (including foetal and</w:t>
      </w:r>
      <w:r w:rsidRPr="00BD4CF2">
        <w:rPr>
          <w:lang w:val="en-GB"/>
        </w:rPr>
        <w:t xml:space="preserve"> </w:t>
      </w:r>
      <w:r w:rsidRPr="003444E8">
        <w:rPr>
          <w:lang w:val="en-GB"/>
        </w:rPr>
        <w:t>infant</w:t>
      </w:r>
      <w:r w:rsidRPr="00BD4CF2">
        <w:rPr>
          <w:lang w:val="en-GB"/>
        </w:rPr>
        <w:t xml:space="preserve"> </w:t>
      </w:r>
      <w:r w:rsidRPr="003444E8">
        <w:rPr>
          <w:lang w:val="en-GB"/>
        </w:rPr>
        <w:t>lethality).</w:t>
      </w:r>
      <w:r w:rsidRPr="00BD4CF2">
        <w:rPr>
          <w:lang w:val="en-GB"/>
        </w:rPr>
        <w:t xml:space="preserve"> </w:t>
      </w:r>
      <w:r w:rsidRPr="003444E8">
        <w:rPr>
          <w:lang w:val="en-GB"/>
        </w:rPr>
        <w:t>Denosumab</w:t>
      </w:r>
      <w:r w:rsidRPr="00BD4CF2">
        <w:rPr>
          <w:lang w:val="en-GB"/>
        </w:rPr>
        <w:t xml:space="preserve"> </w:t>
      </w:r>
      <w:r w:rsidRPr="003444E8">
        <w:rPr>
          <w:lang w:val="en-GB"/>
        </w:rPr>
        <w:t>was</w:t>
      </w:r>
      <w:r w:rsidRPr="00BD4CF2">
        <w:rPr>
          <w:lang w:val="en-GB"/>
        </w:rPr>
        <w:t xml:space="preserve"> </w:t>
      </w:r>
      <w:r w:rsidRPr="003444E8">
        <w:rPr>
          <w:lang w:val="en-GB"/>
        </w:rPr>
        <w:t>shown</w:t>
      </w:r>
      <w:r w:rsidRPr="00BD4CF2">
        <w:rPr>
          <w:lang w:val="en-GB"/>
        </w:rPr>
        <w:t xml:space="preserve"> </w:t>
      </w:r>
      <w:r w:rsidRPr="003444E8">
        <w:rPr>
          <w:lang w:val="en-GB"/>
        </w:rPr>
        <w:t>to</w:t>
      </w:r>
      <w:r w:rsidRPr="00BD4CF2">
        <w:rPr>
          <w:lang w:val="en-GB"/>
        </w:rPr>
        <w:t xml:space="preserve"> </w:t>
      </w:r>
      <w:r w:rsidRPr="003444E8">
        <w:rPr>
          <w:lang w:val="en-GB"/>
        </w:rPr>
        <w:t>cross</w:t>
      </w:r>
      <w:r w:rsidRPr="00BD4CF2">
        <w:rPr>
          <w:lang w:val="en-GB"/>
        </w:rPr>
        <w:t xml:space="preserve"> </w:t>
      </w:r>
      <w:r w:rsidRPr="003444E8">
        <w:rPr>
          <w:lang w:val="en-GB"/>
        </w:rPr>
        <w:t>the</w:t>
      </w:r>
      <w:r w:rsidRPr="00BD4CF2">
        <w:rPr>
          <w:lang w:val="en-GB"/>
        </w:rPr>
        <w:t xml:space="preserve"> </w:t>
      </w:r>
      <w:r w:rsidRPr="003444E8">
        <w:rPr>
          <w:lang w:val="en-GB"/>
        </w:rPr>
        <w:t>placenta</w:t>
      </w:r>
      <w:r w:rsidRPr="00BD4CF2">
        <w:rPr>
          <w:lang w:val="en-GB"/>
        </w:rPr>
        <w:t xml:space="preserve"> </w:t>
      </w:r>
      <w:r w:rsidRPr="003444E8">
        <w:rPr>
          <w:lang w:val="en-GB"/>
        </w:rPr>
        <w:t>in</w:t>
      </w:r>
      <w:r w:rsidRPr="00BD4CF2">
        <w:rPr>
          <w:lang w:val="en-GB"/>
        </w:rPr>
        <w:t xml:space="preserve"> </w:t>
      </w:r>
      <w:r w:rsidRPr="003444E8">
        <w:rPr>
          <w:lang w:val="en-GB"/>
        </w:rPr>
        <w:t>monkeys</w:t>
      </w:r>
      <w:r w:rsidRPr="00BD4CF2">
        <w:rPr>
          <w:lang w:val="en-GB"/>
        </w:rPr>
        <w:t xml:space="preserve"> </w:t>
      </w:r>
      <w:r w:rsidRPr="003444E8">
        <w:rPr>
          <w:lang w:val="en-GB"/>
        </w:rPr>
        <w:t>(see</w:t>
      </w:r>
      <w:r w:rsidRPr="00BD4CF2">
        <w:rPr>
          <w:lang w:val="en-GB"/>
        </w:rPr>
        <w:t xml:space="preserve"> </w:t>
      </w:r>
      <w:r w:rsidRPr="003444E8">
        <w:rPr>
          <w:lang w:val="en-GB"/>
        </w:rPr>
        <w:t>section</w:t>
      </w:r>
      <w:r w:rsidR="00BD4CF2">
        <w:rPr>
          <w:lang w:val="en-GB"/>
        </w:rPr>
        <w:t xml:space="preserve"> </w:t>
      </w:r>
      <w:r w:rsidRPr="003444E8">
        <w:rPr>
          <w:lang w:val="en-GB"/>
        </w:rPr>
        <w:t>5.3</w:t>
      </w:r>
      <w:r w:rsidRPr="00BD4CF2">
        <w:rPr>
          <w:lang w:val="en-GB"/>
        </w:rPr>
        <w:t xml:space="preserve"> </w:t>
      </w:r>
      <w:r w:rsidRPr="003444E8">
        <w:rPr>
          <w:lang w:val="en-GB"/>
        </w:rPr>
        <w:t>Preclinical</w:t>
      </w:r>
      <w:r w:rsidRPr="00BD4CF2">
        <w:rPr>
          <w:lang w:val="en-GB"/>
        </w:rPr>
        <w:t xml:space="preserve"> </w:t>
      </w:r>
      <w:r w:rsidRPr="003444E8">
        <w:rPr>
          <w:lang w:val="en-GB"/>
        </w:rPr>
        <w:t>safety</w:t>
      </w:r>
      <w:r w:rsidRPr="00BD4CF2">
        <w:rPr>
          <w:lang w:val="en-GB"/>
        </w:rPr>
        <w:t xml:space="preserve"> </w:t>
      </w:r>
      <w:r w:rsidRPr="003444E8">
        <w:rPr>
          <w:lang w:val="en-GB"/>
        </w:rPr>
        <w:t>data,</w:t>
      </w:r>
      <w:r w:rsidRPr="00BD4CF2">
        <w:rPr>
          <w:lang w:val="en-GB"/>
        </w:rPr>
        <w:t xml:space="preserve"> </w:t>
      </w:r>
      <w:r w:rsidRPr="003444E8">
        <w:rPr>
          <w:lang w:val="en-GB"/>
        </w:rPr>
        <w:t>Reproductive</w:t>
      </w:r>
      <w:r w:rsidRPr="00BD4CF2">
        <w:rPr>
          <w:lang w:val="en-GB"/>
        </w:rPr>
        <w:t xml:space="preserve"> </w:t>
      </w:r>
      <w:r w:rsidRPr="003444E8">
        <w:rPr>
          <w:lang w:val="en-GB"/>
        </w:rPr>
        <w:t>toxicity).</w:t>
      </w:r>
    </w:p>
    <w:p w14:paraId="51F0A81D"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Use</w:t>
      </w:r>
      <w:r w:rsidRPr="003444E8">
        <w:rPr>
          <w:spacing w:val="-2"/>
          <w:u w:val="single"/>
          <w:lang w:val="en-GB"/>
        </w:rPr>
        <w:t xml:space="preserve"> </w:t>
      </w:r>
      <w:r w:rsidRPr="003444E8">
        <w:rPr>
          <w:u w:val="single"/>
          <w:lang w:val="en-GB"/>
        </w:rPr>
        <w:t>in</w:t>
      </w:r>
      <w:r w:rsidRPr="003444E8">
        <w:rPr>
          <w:spacing w:val="-1"/>
          <w:u w:val="single"/>
          <w:lang w:val="en-GB"/>
        </w:rPr>
        <w:t xml:space="preserve"> </w:t>
      </w:r>
      <w:r w:rsidRPr="003444E8">
        <w:rPr>
          <w:u w:val="single"/>
          <w:lang w:val="en-GB"/>
        </w:rPr>
        <w:t>lactation</w:t>
      </w:r>
    </w:p>
    <w:p w14:paraId="58DBF9DF" w14:textId="316EB7EF"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It is unknown whether denosumab is excreted in human milk.</w:t>
      </w:r>
      <w:r w:rsidRPr="00BD4CF2">
        <w:rPr>
          <w:lang w:val="en-GB"/>
        </w:rPr>
        <w:t xml:space="preserve"> </w:t>
      </w:r>
      <w:r w:rsidRPr="003444E8">
        <w:rPr>
          <w:lang w:val="en-GB"/>
        </w:rPr>
        <w:t>Only limited excretion of</w:t>
      </w:r>
      <w:r w:rsidRPr="00BD4CF2">
        <w:rPr>
          <w:lang w:val="en-GB"/>
        </w:rPr>
        <w:t xml:space="preserve"> </w:t>
      </w:r>
      <w:r w:rsidRPr="003444E8">
        <w:rPr>
          <w:lang w:val="en-GB"/>
        </w:rPr>
        <w:t>denosumab in milk was observed in a study in monkeys.</w:t>
      </w:r>
      <w:r w:rsidRPr="00BD4CF2">
        <w:rPr>
          <w:lang w:val="en-GB"/>
        </w:rPr>
        <w:t xml:space="preserve"> </w:t>
      </w:r>
      <w:r w:rsidRPr="003444E8">
        <w:rPr>
          <w:lang w:val="en-GB"/>
        </w:rPr>
        <w:t>A decision on whether to</w:t>
      </w:r>
      <w:r w:rsidRPr="00BD4CF2">
        <w:rPr>
          <w:lang w:val="en-GB"/>
        </w:rPr>
        <w:t xml:space="preserve"> </w:t>
      </w:r>
      <w:r w:rsidRPr="003444E8">
        <w:rPr>
          <w:lang w:val="en-GB"/>
        </w:rPr>
        <w:t xml:space="preserve">abstain from breast-feeding or to abstain from therapy with </w:t>
      </w:r>
      <w:r w:rsidR="00A04F0C">
        <w:t>denosumab</w:t>
      </w:r>
      <w:r w:rsidR="00BD4CF2" w:rsidRPr="003444E8">
        <w:rPr>
          <w:lang w:val="en-GB"/>
        </w:rPr>
        <w:t xml:space="preserve"> </w:t>
      </w:r>
      <w:r w:rsidRPr="003444E8">
        <w:rPr>
          <w:lang w:val="en-GB"/>
        </w:rPr>
        <w:t>should be made, taking</w:t>
      </w:r>
      <w:r w:rsidRPr="00BD4CF2">
        <w:rPr>
          <w:lang w:val="en-GB"/>
        </w:rPr>
        <w:t xml:space="preserve"> </w:t>
      </w:r>
      <w:r w:rsidRPr="003444E8">
        <w:rPr>
          <w:lang w:val="en-GB"/>
        </w:rPr>
        <w:t xml:space="preserve">into account the benefit of breast-feeding to the newborn/infant and the benefit of </w:t>
      </w:r>
      <w:r w:rsidR="00A04F0C">
        <w:t>denosumab</w:t>
      </w:r>
      <w:r w:rsidR="00BD4CF2" w:rsidRPr="00BD4CF2">
        <w:rPr>
          <w:lang w:val="en-GB"/>
        </w:rPr>
        <w:t xml:space="preserve"> </w:t>
      </w:r>
      <w:r w:rsidRPr="003444E8">
        <w:rPr>
          <w:lang w:val="en-GB"/>
        </w:rPr>
        <w:t>therapy</w:t>
      </w:r>
      <w:r w:rsidRPr="00BD4CF2">
        <w:rPr>
          <w:lang w:val="en-GB"/>
        </w:rPr>
        <w:t xml:space="preserve"> </w:t>
      </w:r>
      <w:r w:rsidRPr="003444E8">
        <w:rPr>
          <w:lang w:val="en-GB"/>
        </w:rPr>
        <w:t>to</w:t>
      </w:r>
      <w:r w:rsidRPr="00BD4CF2">
        <w:rPr>
          <w:lang w:val="en-GB"/>
        </w:rPr>
        <w:t xml:space="preserve"> </w:t>
      </w:r>
      <w:r w:rsidRPr="003444E8">
        <w:rPr>
          <w:lang w:val="en-GB"/>
        </w:rPr>
        <w:t>the</w:t>
      </w:r>
      <w:r w:rsidRPr="00BD4CF2">
        <w:rPr>
          <w:lang w:val="en-GB"/>
        </w:rPr>
        <w:t xml:space="preserve"> </w:t>
      </w:r>
      <w:r w:rsidRPr="003444E8">
        <w:rPr>
          <w:lang w:val="en-GB"/>
        </w:rPr>
        <w:t>woman.</w:t>
      </w:r>
    </w:p>
    <w:p w14:paraId="0A0DCB8A" w14:textId="77777777" w:rsidR="006E62CD" w:rsidRPr="00F53BC2" w:rsidRDefault="00CB520A" w:rsidP="00D258EC">
      <w:pPr>
        <w:pStyle w:val="ListParagraph"/>
        <w:numPr>
          <w:ilvl w:val="1"/>
          <w:numId w:val="3"/>
        </w:numPr>
        <w:tabs>
          <w:tab w:val="left" w:pos="1577"/>
          <w:tab w:val="left" w:pos="1578"/>
        </w:tabs>
        <w:adjustRightInd w:val="0"/>
        <w:snapToGrid w:val="0"/>
        <w:spacing w:before="60" w:after="60" w:line="360" w:lineRule="auto"/>
        <w:ind w:left="108" w:rightChars="30" w:right="66" w:firstLine="0"/>
        <w:rPr>
          <w:b/>
          <w:sz w:val="24"/>
          <w:lang w:val="en-GB"/>
        </w:rPr>
      </w:pPr>
      <w:bookmarkStart w:id="11" w:name="4.7_Effects_on_ability_to_drive_and_use_"/>
      <w:bookmarkEnd w:id="11"/>
      <w:r w:rsidRPr="00F53BC2">
        <w:rPr>
          <w:b/>
          <w:sz w:val="24"/>
          <w:lang w:val="en-GB"/>
        </w:rPr>
        <w:t>Effects on ability to drive and use machines</w:t>
      </w:r>
    </w:p>
    <w:p w14:paraId="7161093B"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No</w:t>
      </w:r>
      <w:r w:rsidRPr="0075756B">
        <w:rPr>
          <w:lang w:val="en-GB"/>
        </w:rPr>
        <w:t xml:space="preserve"> </w:t>
      </w:r>
      <w:r w:rsidRPr="003444E8">
        <w:rPr>
          <w:lang w:val="en-GB"/>
        </w:rPr>
        <w:t>studies</w:t>
      </w:r>
      <w:r w:rsidRPr="0075756B">
        <w:rPr>
          <w:lang w:val="en-GB"/>
        </w:rPr>
        <w:t xml:space="preserve"> </w:t>
      </w:r>
      <w:r w:rsidRPr="003444E8">
        <w:rPr>
          <w:lang w:val="en-GB"/>
        </w:rPr>
        <w:t>on</w:t>
      </w:r>
      <w:r w:rsidRPr="0075756B">
        <w:rPr>
          <w:lang w:val="en-GB"/>
        </w:rPr>
        <w:t xml:space="preserve"> </w:t>
      </w:r>
      <w:r w:rsidRPr="003444E8">
        <w:rPr>
          <w:lang w:val="en-GB"/>
        </w:rPr>
        <w:t>the</w:t>
      </w:r>
      <w:r w:rsidRPr="0075756B">
        <w:rPr>
          <w:lang w:val="en-GB"/>
        </w:rPr>
        <w:t xml:space="preserve"> </w:t>
      </w:r>
      <w:r w:rsidRPr="003444E8">
        <w:rPr>
          <w:lang w:val="en-GB"/>
        </w:rPr>
        <w:t>effects</w:t>
      </w:r>
      <w:r w:rsidRPr="0075756B">
        <w:rPr>
          <w:lang w:val="en-GB"/>
        </w:rPr>
        <w:t xml:space="preserve"> </w:t>
      </w:r>
      <w:r w:rsidRPr="003444E8">
        <w:rPr>
          <w:lang w:val="en-GB"/>
        </w:rPr>
        <w:t>on</w:t>
      </w:r>
      <w:r w:rsidRPr="0075756B">
        <w:rPr>
          <w:lang w:val="en-GB"/>
        </w:rPr>
        <w:t xml:space="preserve"> </w:t>
      </w:r>
      <w:r w:rsidRPr="003444E8">
        <w:rPr>
          <w:lang w:val="en-GB"/>
        </w:rPr>
        <w:t>the</w:t>
      </w:r>
      <w:r w:rsidRPr="0075756B">
        <w:rPr>
          <w:lang w:val="en-GB"/>
        </w:rPr>
        <w:t xml:space="preserve"> </w:t>
      </w:r>
      <w:r w:rsidRPr="003444E8">
        <w:rPr>
          <w:lang w:val="en-GB"/>
        </w:rPr>
        <w:t>ability</w:t>
      </w:r>
      <w:r w:rsidRPr="0075756B">
        <w:rPr>
          <w:lang w:val="en-GB"/>
        </w:rPr>
        <w:t xml:space="preserve"> </w:t>
      </w:r>
      <w:r w:rsidRPr="003444E8">
        <w:rPr>
          <w:lang w:val="en-GB"/>
        </w:rPr>
        <w:t>to</w:t>
      </w:r>
      <w:r w:rsidRPr="0075756B">
        <w:rPr>
          <w:lang w:val="en-GB"/>
        </w:rPr>
        <w:t xml:space="preserve"> </w:t>
      </w:r>
      <w:r w:rsidRPr="003444E8">
        <w:rPr>
          <w:lang w:val="en-GB"/>
        </w:rPr>
        <w:t>drive</w:t>
      </w:r>
      <w:r w:rsidRPr="0075756B">
        <w:rPr>
          <w:lang w:val="en-GB"/>
        </w:rPr>
        <w:t xml:space="preserve"> </w:t>
      </w:r>
      <w:r w:rsidRPr="003444E8">
        <w:rPr>
          <w:lang w:val="en-GB"/>
        </w:rPr>
        <w:t>or</w:t>
      </w:r>
      <w:r w:rsidRPr="0075756B">
        <w:rPr>
          <w:lang w:val="en-GB"/>
        </w:rPr>
        <w:t xml:space="preserve"> </w:t>
      </w:r>
      <w:r w:rsidRPr="003444E8">
        <w:rPr>
          <w:lang w:val="en-GB"/>
        </w:rPr>
        <w:t>use</w:t>
      </w:r>
      <w:r w:rsidRPr="0075756B">
        <w:rPr>
          <w:lang w:val="en-GB"/>
        </w:rPr>
        <w:t xml:space="preserve"> </w:t>
      </w:r>
      <w:r w:rsidRPr="003444E8">
        <w:rPr>
          <w:lang w:val="en-GB"/>
        </w:rPr>
        <w:t>machinery</w:t>
      </w:r>
      <w:r w:rsidRPr="0075756B">
        <w:rPr>
          <w:lang w:val="en-GB"/>
        </w:rPr>
        <w:t xml:space="preserve"> </w:t>
      </w:r>
      <w:r w:rsidRPr="003444E8">
        <w:rPr>
          <w:lang w:val="en-GB"/>
        </w:rPr>
        <w:t>have</w:t>
      </w:r>
      <w:r w:rsidRPr="0075756B">
        <w:rPr>
          <w:lang w:val="en-GB"/>
        </w:rPr>
        <w:t xml:space="preserve"> </w:t>
      </w:r>
      <w:r w:rsidRPr="003444E8">
        <w:rPr>
          <w:lang w:val="en-GB"/>
        </w:rPr>
        <w:t>been</w:t>
      </w:r>
      <w:r w:rsidRPr="0075756B">
        <w:rPr>
          <w:lang w:val="en-GB"/>
        </w:rPr>
        <w:t xml:space="preserve"> </w:t>
      </w:r>
      <w:r w:rsidRPr="003444E8">
        <w:rPr>
          <w:lang w:val="en-GB"/>
        </w:rPr>
        <w:t>performed.</w:t>
      </w:r>
    </w:p>
    <w:p w14:paraId="0FD64AC3" w14:textId="77777777" w:rsidR="006E62CD" w:rsidRPr="00F53BC2" w:rsidRDefault="00CB520A" w:rsidP="00FE64AF">
      <w:pPr>
        <w:pStyle w:val="ListParagraph"/>
        <w:pageBreakBefore/>
        <w:numPr>
          <w:ilvl w:val="1"/>
          <w:numId w:val="3"/>
        </w:numPr>
        <w:tabs>
          <w:tab w:val="left" w:pos="1577"/>
          <w:tab w:val="left" w:pos="1578"/>
        </w:tabs>
        <w:adjustRightInd w:val="0"/>
        <w:snapToGrid w:val="0"/>
        <w:spacing w:before="60" w:after="60" w:line="360" w:lineRule="auto"/>
        <w:ind w:left="108" w:rightChars="30" w:right="66" w:firstLine="0"/>
        <w:rPr>
          <w:b/>
          <w:sz w:val="24"/>
          <w:lang w:val="en-GB"/>
        </w:rPr>
      </w:pPr>
      <w:bookmarkStart w:id="12" w:name="4.8_Adverse_effects_(Undesirable_effects"/>
      <w:bookmarkEnd w:id="12"/>
      <w:r w:rsidRPr="00F53BC2">
        <w:rPr>
          <w:b/>
          <w:sz w:val="24"/>
          <w:lang w:val="en-GB"/>
        </w:rPr>
        <w:lastRenderedPageBreak/>
        <w:t>Adverse effects (Undesirable effects)</w:t>
      </w:r>
    </w:p>
    <w:p w14:paraId="0B8E72FD"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Treatment</w:t>
      </w:r>
      <w:r w:rsidRPr="003444E8">
        <w:rPr>
          <w:spacing w:val="-3"/>
          <w:u w:val="single"/>
          <w:lang w:val="en-GB"/>
        </w:rPr>
        <w:t xml:space="preserve"> </w:t>
      </w:r>
      <w:r w:rsidRPr="003444E8">
        <w:rPr>
          <w:u w:val="single"/>
          <w:lang w:val="en-GB"/>
        </w:rPr>
        <w:t>of</w:t>
      </w:r>
      <w:r w:rsidRPr="003444E8">
        <w:rPr>
          <w:spacing w:val="-2"/>
          <w:u w:val="single"/>
          <w:lang w:val="en-GB"/>
        </w:rPr>
        <w:t xml:space="preserve"> </w:t>
      </w:r>
      <w:r w:rsidRPr="003444E8">
        <w:rPr>
          <w:u w:val="single"/>
          <w:lang w:val="en-GB"/>
        </w:rPr>
        <w:t>postmenopausal</w:t>
      </w:r>
      <w:r w:rsidRPr="003444E8">
        <w:rPr>
          <w:spacing w:val="-1"/>
          <w:u w:val="single"/>
          <w:lang w:val="en-GB"/>
        </w:rPr>
        <w:t xml:space="preserve"> </w:t>
      </w:r>
      <w:r w:rsidRPr="003444E8">
        <w:rPr>
          <w:u w:val="single"/>
          <w:lang w:val="en-GB"/>
        </w:rPr>
        <w:t>osteoporosis</w:t>
      </w:r>
    </w:p>
    <w:p w14:paraId="4DEA6ED0" w14:textId="7F930969" w:rsidR="006E62CD" w:rsidRPr="003444E8" w:rsidRDefault="00A04F0C" w:rsidP="00D258EC">
      <w:pPr>
        <w:pStyle w:val="BodyText"/>
        <w:adjustRightInd w:val="0"/>
        <w:snapToGrid w:val="0"/>
        <w:spacing w:before="60" w:after="60" w:line="360" w:lineRule="auto"/>
        <w:ind w:left="108" w:rightChars="30" w:right="66"/>
        <w:rPr>
          <w:lang w:val="en-GB"/>
        </w:rPr>
      </w:pPr>
      <w:r>
        <w:rPr>
          <w:lang w:val="en-GB"/>
        </w:rPr>
        <w:t>Denosumab</w:t>
      </w:r>
      <w:r w:rsidR="00BD4CF2" w:rsidRPr="003444E8">
        <w:rPr>
          <w:lang w:val="en-GB"/>
        </w:rPr>
        <w:t xml:space="preserve"> </w:t>
      </w:r>
      <w:r w:rsidR="00CB520A" w:rsidRPr="003444E8">
        <w:rPr>
          <w:lang w:val="en-GB"/>
        </w:rPr>
        <w:t>has been studied in over 10,500 women with postmenopausal osteoporosis in</w:t>
      </w:r>
      <w:r w:rsidR="00CB520A" w:rsidRPr="00E636CC">
        <w:rPr>
          <w:lang w:val="en-GB"/>
        </w:rPr>
        <w:t xml:space="preserve"> clinical trials</w:t>
      </w:r>
      <w:r w:rsidR="00CB520A" w:rsidRPr="003444E8">
        <w:rPr>
          <w:lang w:val="en-GB"/>
        </w:rPr>
        <w:t xml:space="preserve"> </w:t>
      </w:r>
      <w:r w:rsidR="00CB520A" w:rsidRPr="00E636CC">
        <w:rPr>
          <w:lang w:val="en-GB"/>
        </w:rPr>
        <w:t>representing</w:t>
      </w:r>
      <w:r w:rsidR="00CB520A" w:rsidRPr="003444E8">
        <w:rPr>
          <w:lang w:val="en-GB"/>
        </w:rPr>
        <w:t xml:space="preserve"> up to</w:t>
      </w:r>
      <w:r w:rsidR="00CB520A" w:rsidRPr="00E636CC">
        <w:rPr>
          <w:lang w:val="en-GB"/>
        </w:rPr>
        <w:t xml:space="preserve"> </w:t>
      </w:r>
      <w:r w:rsidR="00CB520A" w:rsidRPr="003444E8">
        <w:rPr>
          <w:lang w:val="en-GB"/>
        </w:rPr>
        <w:t>10</w:t>
      </w:r>
      <w:r w:rsidR="00CB520A" w:rsidRPr="00E636CC">
        <w:rPr>
          <w:lang w:val="en-GB"/>
        </w:rPr>
        <w:t xml:space="preserve"> </w:t>
      </w:r>
      <w:r w:rsidR="00CB520A" w:rsidRPr="003444E8">
        <w:rPr>
          <w:lang w:val="en-GB"/>
        </w:rPr>
        <w:t>years of continued</w:t>
      </w:r>
      <w:r w:rsidR="00CB520A" w:rsidRPr="00E636CC">
        <w:rPr>
          <w:lang w:val="en-GB"/>
        </w:rPr>
        <w:t xml:space="preserve"> </w:t>
      </w:r>
      <w:r w:rsidR="00CB520A" w:rsidRPr="003444E8">
        <w:rPr>
          <w:lang w:val="en-GB"/>
        </w:rPr>
        <w:t>Prolia</w:t>
      </w:r>
      <w:r w:rsidR="00CB520A" w:rsidRPr="00E636CC">
        <w:rPr>
          <w:lang w:val="en-GB"/>
        </w:rPr>
        <w:t xml:space="preserve"> </w:t>
      </w:r>
      <w:r w:rsidR="00CB520A" w:rsidRPr="003444E8">
        <w:rPr>
          <w:lang w:val="en-GB"/>
        </w:rPr>
        <w:t>treatment.</w:t>
      </w:r>
    </w:p>
    <w:p w14:paraId="35AA0465" w14:textId="294FB0A6"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The safety of </w:t>
      </w:r>
      <w:r w:rsidR="00A04F0C">
        <w:rPr>
          <w:lang w:val="en-GB"/>
        </w:rPr>
        <w:t>denosumab</w:t>
      </w:r>
      <w:r w:rsidR="00BD4CF2" w:rsidRPr="003444E8">
        <w:rPr>
          <w:lang w:val="en-GB"/>
        </w:rPr>
        <w:t xml:space="preserve"> </w:t>
      </w:r>
      <w:r w:rsidRPr="003444E8">
        <w:rPr>
          <w:lang w:val="en-GB"/>
        </w:rPr>
        <w:t>in the treatment of postmenopausal osteoporosis was assessed in</w:t>
      </w:r>
      <w:r w:rsidRPr="00E636CC">
        <w:rPr>
          <w:lang w:val="en-GB"/>
        </w:rPr>
        <w:t xml:space="preserve"> </w:t>
      </w:r>
      <w:r w:rsidRPr="003444E8">
        <w:rPr>
          <w:lang w:val="en-GB"/>
        </w:rPr>
        <w:t>FREEDOM, a large, 3-year, randomised, double-blind, placebo-controlled, multinational</w:t>
      </w:r>
      <w:r w:rsidRPr="00E636CC">
        <w:rPr>
          <w:lang w:val="en-GB"/>
        </w:rPr>
        <w:t xml:space="preserve"> </w:t>
      </w:r>
      <w:r w:rsidRPr="003444E8">
        <w:rPr>
          <w:lang w:val="en-GB"/>
        </w:rPr>
        <w:t>phase</w:t>
      </w:r>
      <w:r w:rsidRPr="00E636CC">
        <w:rPr>
          <w:lang w:val="en-GB"/>
        </w:rPr>
        <w:t xml:space="preserve"> </w:t>
      </w:r>
      <w:r w:rsidRPr="003444E8">
        <w:rPr>
          <w:lang w:val="en-GB"/>
        </w:rPr>
        <w:t>III</w:t>
      </w:r>
      <w:r w:rsidRPr="00E636CC">
        <w:rPr>
          <w:lang w:val="en-GB"/>
        </w:rPr>
        <w:t xml:space="preserve"> </w:t>
      </w:r>
      <w:r w:rsidRPr="003444E8">
        <w:rPr>
          <w:lang w:val="en-GB"/>
        </w:rPr>
        <w:t>study</w:t>
      </w:r>
      <w:r w:rsidRPr="00E636CC">
        <w:rPr>
          <w:lang w:val="en-GB"/>
        </w:rPr>
        <w:t xml:space="preserve"> </w:t>
      </w:r>
      <w:r w:rsidRPr="003444E8">
        <w:rPr>
          <w:lang w:val="en-GB"/>
        </w:rPr>
        <w:t>of</w:t>
      </w:r>
      <w:r w:rsidRPr="00E636CC">
        <w:rPr>
          <w:lang w:val="en-GB"/>
        </w:rPr>
        <w:t xml:space="preserve"> </w:t>
      </w:r>
      <w:r w:rsidRPr="003444E8">
        <w:rPr>
          <w:lang w:val="en-GB"/>
        </w:rPr>
        <w:t>7,808</w:t>
      </w:r>
      <w:r w:rsidRPr="00E636CC">
        <w:rPr>
          <w:lang w:val="en-GB"/>
        </w:rPr>
        <w:t xml:space="preserve"> </w:t>
      </w:r>
      <w:r w:rsidRPr="003444E8">
        <w:rPr>
          <w:lang w:val="en-GB"/>
        </w:rPr>
        <w:t>postmenopausal</w:t>
      </w:r>
      <w:r w:rsidRPr="00E636CC">
        <w:rPr>
          <w:lang w:val="en-GB"/>
        </w:rPr>
        <w:t xml:space="preserve"> </w:t>
      </w:r>
      <w:r w:rsidRPr="003444E8">
        <w:rPr>
          <w:lang w:val="en-GB"/>
        </w:rPr>
        <w:t>women</w:t>
      </w:r>
      <w:r w:rsidRPr="00E636CC">
        <w:rPr>
          <w:lang w:val="en-GB"/>
        </w:rPr>
        <w:t xml:space="preserve"> </w:t>
      </w:r>
      <w:r w:rsidRPr="003444E8">
        <w:rPr>
          <w:lang w:val="en-GB"/>
        </w:rPr>
        <w:t>aged</w:t>
      </w:r>
      <w:r w:rsidRPr="00E636CC">
        <w:rPr>
          <w:lang w:val="en-GB"/>
        </w:rPr>
        <w:t xml:space="preserve"> </w:t>
      </w:r>
      <w:r w:rsidRPr="003444E8">
        <w:rPr>
          <w:lang w:val="en-GB"/>
        </w:rPr>
        <w:t>60</w:t>
      </w:r>
      <w:r w:rsidRPr="00E636CC">
        <w:rPr>
          <w:lang w:val="en-GB"/>
        </w:rPr>
        <w:t xml:space="preserve"> </w:t>
      </w:r>
      <w:r w:rsidRPr="003444E8">
        <w:rPr>
          <w:lang w:val="en-GB"/>
        </w:rPr>
        <w:t>to</w:t>
      </w:r>
      <w:r w:rsidRPr="00E636CC">
        <w:rPr>
          <w:lang w:val="en-GB"/>
        </w:rPr>
        <w:t xml:space="preserve"> </w:t>
      </w:r>
      <w:r w:rsidRPr="003444E8">
        <w:rPr>
          <w:lang w:val="en-GB"/>
        </w:rPr>
        <w:t>91</w:t>
      </w:r>
      <w:r w:rsidRPr="00E636CC">
        <w:rPr>
          <w:lang w:val="en-GB"/>
        </w:rPr>
        <w:t xml:space="preserve"> </w:t>
      </w:r>
      <w:r w:rsidRPr="003444E8">
        <w:rPr>
          <w:lang w:val="en-GB"/>
        </w:rPr>
        <w:t>years</w:t>
      </w:r>
      <w:r w:rsidRPr="00E636CC">
        <w:rPr>
          <w:lang w:val="en-GB"/>
        </w:rPr>
        <w:t xml:space="preserve"> </w:t>
      </w:r>
      <w:r w:rsidRPr="003444E8">
        <w:rPr>
          <w:lang w:val="en-GB"/>
        </w:rPr>
        <w:t>with</w:t>
      </w:r>
      <w:r w:rsidRPr="00E636CC">
        <w:rPr>
          <w:lang w:val="en-GB"/>
        </w:rPr>
        <w:t xml:space="preserve"> </w:t>
      </w:r>
      <w:r w:rsidRPr="003444E8">
        <w:rPr>
          <w:lang w:val="en-GB"/>
        </w:rPr>
        <w:t>osteoporosis.</w:t>
      </w:r>
      <w:r w:rsidRPr="00E636CC">
        <w:rPr>
          <w:lang w:val="en-GB"/>
        </w:rPr>
        <w:t xml:space="preserve"> </w:t>
      </w:r>
      <w:r w:rsidRPr="003444E8">
        <w:rPr>
          <w:lang w:val="en-GB"/>
        </w:rPr>
        <w:t xml:space="preserve">A total of 3,886 women were exposed to </w:t>
      </w:r>
      <w:r w:rsidR="00A04F0C">
        <w:rPr>
          <w:lang w:val="en-GB"/>
        </w:rPr>
        <w:t>denosumab</w:t>
      </w:r>
      <w:r w:rsidRPr="003444E8">
        <w:rPr>
          <w:lang w:val="en-GB"/>
        </w:rPr>
        <w:t xml:space="preserve"> and 3,876 women were exposed to</w:t>
      </w:r>
      <w:r w:rsidRPr="00E636CC">
        <w:rPr>
          <w:lang w:val="en-GB"/>
        </w:rPr>
        <w:t xml:space="preserve"> </w:t>
      </w:r>
      <w:r w:rsidRPr="003444E8">
        <w:rPr>
          <w:lang w:val="en-GB"/>
        </w:rPr>
        <w:t>placebo</w:t>
      </w:r>
      <w:r w:rsidRPr="00E636CC">
        <w:rPr>
          <w:lang w:val="en-GB"/>
        </w:rPr>
        <w:t xml:space="preserve"> </w:t>
      </w:r>
      <w:r w:rsidRPr="003444E8">
        <w:rPr>
          <w:lang w:val="en-GB"/>
        </w:rPr>
        <w:t>administered</w:t>
      </w:r>
      <w:r w:rsidRPr="00E636CC">
        <w:rPr>
          <w:lang w:val="en-GB"/>
        </w:rPr>
        <w:t xml:space="preserve"> </w:t>
      </w:r>
      <w:r w:rsidRPr="003444E8">
        <w:rPr>
          <w:lang w:val="en-GB"/>
        </w:rPr>
        <w:t>once</w:t>
      </w:r>
      <w:r w:rsidRPr="00E636CC">
        <w:rPr>
          <w:lang w:val="en-GB"/>
        </w:rPr>
        <w:t xml:space="preserve"> </w:t>
      </w:r>
      <w:r w:rsidRPr="003444E8">
        <w:rPr>
          <w:lang w:val="en-GB"/>
        </w:rPr>
        <w:t>every</w:t>
      </w:r>
      <w:r w:rsidRPr="00E636CC">
        <w:rPr>
          <w:lang w:val="en-GB"/>
        </w:rPr>
        <w:t xml:space="preserve"> </w:t>
      </w:r>
      <w:r w:rsidRPr="003444E8">
        <w:rPr>
          <w:lang w:val="en-GB"/>
        </w:rPr>
        <w:t>6</w:t>
      </w:r>
      <w:r w:rsidRPr="00E636CC">
        <w:rPr>
          <w:lang w:val="en-GB"/>
        </w:rPr>
        <w:t xml:space="preserve"> </w:t>
      </w:r>
      <w:r w:rsidRPr="003444E8">
        <w:rPr>
          <w:lang w:val="en-GB"/>
        </w:rPr>
        <w:t>months as</w:t>
      </w:r>
      <w:r w:rsidRPr="00E636CC">
        <w:rPr>
          <w:lang w:val="en-GB"/>
        </w:rPr>
        <w:t xml:space="preserve"> </w:t>
      </w:r>
      <w:r w:rsidRPr="003444E8">
        <w:rPr>
          <w:lang w:val="en-GB"/>
        </w:rPr>
        <w:t>a</w:t>
      </w:r>
      <w:r w:rsidRPr="00E636CC">
        <w:rPr>
          <w:lang w:val="en-GB"/>
        </w:rPr>
        <w:t xml:space="preserve"> </w:t>
      </w:r>
      <w:r w:rsidRPr="003444E8">
        <w:rPr>
          <w:lang w:val="en-GB"/>
        </w:rPr>
        <w:t>single</w:t>
      </w:r>
      <w:r w:rsidRPr="00E636CC">
        <w:rPr>
          <w:lang w:val="en-GB"/>
        </w:rPr>
        <w:t xml:space="preserve"> </w:t>
      </w:r>
      <w:r w:rsidRPr="003444E8">
        <w:rPr>
          <w:lang w:val="en-GB"/>
        </w:rPr>
        <w:t>60</w:t>
      </w:r>
      <w:r w:rsidRPr="00E636CC">
        <w:rPr>
          <w:lang w:val="en-GB"/>
        </w:rPr>
        <w:t xml:space="preserve"> </w:t>
      </w:r>
      <w:r w:rsidRPr="003444E8">
        <w:rPr>
          <w:lang w:val="en-GB"/>
        </w:rPr>
        <w:t>mg</w:t>
      </w:r>
      <w:r w:rsidRPr="00E636CC">
        <w:rPr>
          <w:lang w:val="en-GB"/>
        </w:rPr>
        <w:t xml:space="preserve"> </w:t>
      </w:r>
      <w:r w:rsidRPr="003444E8">
        <w:rPr>
          <w:lang w:val="en-GB"/>
        </w:rPr>
        <w:t>subcutaneous dose.</w:t>
      </w:r>
    </w:p>
    <w:p w14:paraId="3805F311" w14:textId="2146B445"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The</w:t>
      </w:r>
      <w:r w:rsidRPr="00E636CC">
        <w:rPr>
          <w:lang w:val="en-GB"/>
        </w:rPr>
        <w:t xml:space="preserve"> </w:t>
      </w:r>
      <w:r w:rsidRPr="003444E8">
        <w:rPr>
          <w:lang w:val="en-GB"/>
        </w:rPr>
        <w:t>safety</w:t>
      </w:r>
      <w:r w:rsidRPr="00E636CC">
        <w:rPr>
          <w:lang w:val="en-GB"/>
        </w:rPr>
        <w:t xml:space="preserve"> </w:t>
      </w:r>
      <w:r w:rsidRPr="003444E8">
        <w:rPr>
          <w:lang w:val="en-GB"/>
        </w:rPr>
        <w:t xml:space="preserve">of </w:t>
      </w:r>
      <w:r w:rsidR="00A04F0C">
        <w:rPr>
          <w:lang w:val="en-GB"/>
        </w:rPr>
        <w:t>denosumab</w:t>
      </w:r>
      <w:r w:rsidR="00E636CC" w:rsidRPr="00E636CC">
        <w:rPr>
          <w:lang w:val="en-GB"/>
        </w:rPr>
        <w:t xml:space="preserve"> </w:t>
      </w:r>
      <w:r w:rsidRPr="003444E8">
        <w:rPr>
          <w:lang w:val="en-GB"/>
        </w:rPr>
        <w:t>was</w:t>
      </w:r>
      <w:r w:rsidRPr="00E636CC">
        <w:rPr>
          <w:lang w:val="en-GB"/>
        </w:rPr>
        <w:t xml:space="preserve"> </w:t>
      </w:r>
      <w:r w:rsidRPr="003444E8">
        <w:rPr>
          <w:lang w:val="en-GB"/>
        </w:rPr>
        <w:t>also</w:t>
      </w:r>
      <w:r w:rsidRPr="00E636CC">
        <w:rPr>
          <w:lang w:val="en-GB"/>
        </w:rPr>
        <w:t xml:space="preserve"> </w:t>
      </w:r>
      <w:r w:rsidRPr="003444E8">
        <w:rPr>
          <w:lang w:val="en-GB"/>
        </w:rPr>
        <w:t>assessed</w:t>
      </w:r>
      <w:r w:rsidRPr="00E636CC">
        <w:rPr>
          <w:lang w:val="en-GB"/>
        </w:rPr>
        <w:t xml:space="preserve"> </w:t>
      </w:r>
      <w:r w:rsidRPr="003444E8">
        <w:rPr>
          <w:lang w:val="en-GB"/>
        </w:rPr>
        <w:t>in</w:t>
      </w:r>
      <w:r w:rsidRPr="00E636CC">
        <w:rPr>
          <w:lang w:val="en-GB"/>
        </w:rPr>
        <w:t xml:space="preserve"> </w:t>
      </w:r>
      <w:r w:rsidRPr="003444E8">
        <w:rPr>
          <w:lang w:val="en-GB"/>
        </w:rPr>
        <w:t>a</w:t>
      </w:r>
      <w:r w:rsidRPr="00E636CC">
        <w:rPr>
          <w:lang w:val="en-GB"/>
        </w:rPr>
        <w:t xml:space="preserve"> </w:t>
      </w:r>
      <w:r w:rsidRPr="003444E8">
        <w:rPr>
          <w:lang w:val="en-GB"/>
        </w:rPr>
        <w:t>second</w:t>
      </w:r>
      <w:r w:rsidRPr="00E636CC">
        <w:rPr>
          <w:lang w:val="en-GB"/>
        </w:rPr>
        <w:t xml:space="preserve"> </w:t>
      </w:r>
      <w:r w:rsidRPr="003444E8">
        <w:rPr>
          <w:lang w:val="en-GB"/>
        </w:rPr>
        <w:t>phase</w:t>
      </w:r>
      <w:r w:rsidRPr="00E636CC">
        <w:rPr>
          <w:lang w:val="en-GB"/>
        </w:rPr>
        <w:t xml:space="preserve"> </w:t>
      </w:r>
      <w:r w:rsidRPr="003444E8">
        <w:rPr>
          <w:lang w:val="en-GB"/>
        </w:rPr>
        <w:t>3</w:t>
      </w:r>
      <w:r w:rsidRPr="00E636CC">
        <w:rPr>
          <w:lang w:val="en-GB"/>
        </w:rPr>
        <w:t xml:space="preserve"> </w:t>
      </w:r>
      <w:r w:rsidRPr="003444E8">
        <w:rPr>
          <w:lang w:val="en-GB"/>
        </w:rPr>
        <w:t>study</w:t>
      </w:r>
      <w:r w:rsidRPr="00E636CC">
        <w:rPr>
          <w:lang w:val="en-GB"/>
        </w:rPr>
        <w:t xml:space="preserve"> </w:t>
      </w:r>
      <w:r w:rsidRPr="003444E8">
        <w:rPr>
          <w:lang w:val="en-GB"/>
        </w:rPr>
        <w:t>of</w:t>
      </w:r>
      <w:r w:rsidRPr="00E636CC">
        <w:rPr>
          <w:lang w:val="en-GB"/>
        </w:rPr>
        <w:t xml:space="preserve"> </w:t>
      </w:r>
      <w:r w:rsidRPr="003444E8">
        <w:rPr>
          <w:lang w:val="en-GB"/>
        </w:rPr>
        <w:t>similar</w:t>
      </w:r>
      <w:r w:rsidRPr="00E636CC">
        <w:rPr>
          <w:lang w:val="en-GB"/>
        </w:rPr>
        <w:t xml:space="preserve"> </w:t>
      </w:r>
      <w:r w:rsidRPr="003444E8">
        <w:rPr>
          <w:lang w:val="en-GB"/>
        </w:rPr>
        <w:t>design.</w:t>
      </w:r>
      <w:r w:rsidRPr="00E636CC">
        <w:rPr>
          <w:lang w:val="en-GB"/>
        </w:rPr>
        <w:t xml:space="preserve"> </w:t>
      </w:r>
      <w:r w:rsidRPr="003444E8">
        <w:rPr>
          <w:lang w:val="en-GB"/>
        </w:rPr>
        <w:t>A</w:t>
      </w:r>
      <w:r w:rsidRPr="00E636CC">
        <w:rPr>
          <w:lang w:val="en-GB"/>
        </w:rPr>
        <w:t xml:space="preserve"> </w:t>
      </w:r>
      <w:r w:rsidRPr="003444E8">
        <w:rPr>
          <w:lang w:val="en-GB"/>
        </w:rPr>
        <w:t>total of 322 postmenopausal women aged 43 to 83 years with low bone mass were</w:t>
      </w:r>
      <w:r w:rsidRPr="00E636CC">
        <w:rPr>
          <w:lang w:val="en-GB"/>
        </w:rPr>
        <w:t xml:space="preserve"> </w:t>
      </w:r>
      <w:r w:rsidRPr="003444E8">
        <w:rPr>
          <w:lang w:val="en-GB"/>
        </w:rPr>
        <w:t>enrolled</w:t>
      </w:r>
      <w:r w:rsidRPr="00E636CC">
        <w:rPr>
          <w:lang w:val="en-GB"/>
        </w:rPr>
        <w:t xml:space="preserve"> </w:t>
      </w:r>
      <w:r w:rsidRPr="003444E8">
        <w:rPr>
          <w:lang w:val="en-GB"/>
        </w:rPr>
        <w:t>in</w:t>
      </w:r>
      <w:r w:rsidRPr="00E636CC">
        <w:rPr>
          <w:lang w:val="en-GB"/>
        </w:rPr>
        <w:t xml:space="preserve"> </w:t>
      </w:r>
      <w:r w:rsidRPr="003444E8">
        <w:rPr>
          <w:lang w:val="en-GB"/>
        </w:rPr>
        <w:t>this</w:t>
      </w:r>
      <w:r w:rsidRPr="00E636CC">
        <w:rPr>
          <w:lang w:val="en-GB"/>
        </w:rPr>
        <w:t xml:space="preserve"> </w:t>
      </w:r>
      <w:r w:rsidRPr="003444E8">
        <w:rPr>
          <w:lang w:val="en-GB"/>
        </w:rPr>
        <w:t>2-year</w:t>
      </w:r>
      <w:r w:rsidRPr="00E636CC">
        <w:rPr>
          <w:lang w:val="en-GB"/>
        </w:rPr>
        <w:t xml:space="preserve"> </w:t>
      </w:r>
      <w:r w:rsidRPr="003444E8">
        <w:rPr>
          <w:lang w:val="en-GB"/>
        </w:rPr>
        <w:t>study.</w:t>
      </w:r>
      <w:r w:rsidRPr="00E636CC">
        <w:rPr>
          <w:lang w:val="en-GB"/>
        </w:rPr>
        <w:t xml:space="preserve"> </w:t>
      </w:r>
      <w:r w:rsidRPr="003444E8">
        <w:rPr>
          <w:lang w:val="en-GB"/>
        </w:rPr>
        <w:t>A</w:t>
      </w:r>
      <w:r w:rsidRPr="00E636CC">
        <w:rPr>
          <w:lang w:val="en-GB"/>
        </w:rPr>
        <w:t xml:space="preserve"> </w:t>
      </w:r>
      <w:r w:rsidRPr="003444E8">
        <w:rPr>
          <w:lang w:val="en-GB"/>
        </w:rPr>
        <w:t>total</w:t>
      </w:r>
      <w:r w:rsidRPr="00E636CC">
        <w:rPr>
          <w:lang w:val="en-GB"/>
        </w:rPr>
        <w:t xml:space="preserve"> </w:t>
      </w:r>
      <w:r w:rsidRPr="003444E8">
        <w:rPr>
          <w:lang w:val="en-GB"/>
        </w:rPr>
        <w:t>of</w:t>
      </w:r>
      <w:r w:rsidRPr="00E636CC">
        <w:rPr>
          <w:lang w:val="en-GB"/>
        </w:rPr>
        <w:t xml:space="preserve"> </w:t>
      </w:r>
      <w:r w:rsidRPr="003444E8">
        <w:rPr>
          <w:lang w:val="en-GB"/>
        </w:rPr>
        <w:t>164</w:t>
      </w:r>
      <w:r w:rsidRPr="00E636CC">
        <w:rPr>
          <w:lang w:val="en-GB"/>
        </w:rPr>
        <w:t xml:space="preserve"> </w:t>
      </w:r>
      <w:r w:rsidRPr="003444E8">
        <w:rPr>
          <w:lang w:val="en-GB"/>
        </w:rPr>
        <w:t>women</w:t>
      </w:r>
      <w:r w:rsidRPr="00E636CC">
        <w:rPr>
          <w:lang w:val="en-GB"/>
        </w:rPr>
        <w:t xml:space="preserve"> </w:t>
      </w:r>
      <w:r w:rsidRPr="003444E8">
        <w:rPr>
          <w:lang w:val="en-GB"/>
        </w:rPr>
        <w:t>were exposed</w:t>
      </w:r>
      <w:r w:rsidRPr="00E636CC">
        <w:rPr>
          <w:lang w:val="en-GB"/>
        </w:rPr>
        <w:t xml:space="preserve"> </w:t>
      </w:r>
      <w:r w:rsidRPr="003444E8">
        <w:rPr>
          <w:lang w:val="en-GB"/>
        </w:rPr>
        <w:t>to</w:t>
      </w:r>
      <w:r w:rsidRPr="00E636CC">
        <w:rPr>
          <w:lang w:val="en-GB"/>
        </w:rPr>
        <w:t xml:space="preserve"> </w:t>
      </w:r>
      <w:r w:rsidR="00A04F0C">
        <w:rPr>
          <w:lang w:val="en-GB"/>
        </w:rPr>
        <w:t>denosumab</w:t>
      </w:r>
      <w:r w:rsidR="00E636CC" w:rsidRPr="00E636CC">
        <w:rPr>
          <w:lang w:val="en-GB"/>
        </w:rPr>
        <w:t xml:space="preserve"> </w:t>
      </w:r>
      <w:r w:rsidRPr="003444E8">
        <w:rPr>
          <w:lang w:val="en-GB"/>
        </w:rPr>
        <w:t>and</w:t>
      </w:r>
      <w:r w:rsidRPr="00E636CC">
        <w:rPr>
          <w:lang w:val="en-GB"/>
        </w:rPr>
        <w:t xml:space="preserve"> </w:t>
      </w:r>
      <w:r w:rsidRPr="003444E8">
        <w:rPr>
          <w:lang w:val="en-GB"/>
        </w:rPr>
        <w:t>165</w:t>
      </w:r>
      <w:r w:rsidR="00E636CC">
        <w:rPr>
          <w:lang w:val="en-GB"/>
        </w:rPr>
        <w:t xml:space="preserve"> </w:t>
      </w:r>
      <w:r w:rsidRPr="003444E8">
        <w:rPr>
          <w:lang w:val="en-GB"/>
        </w:rPr>
        <w:t>women were exposed to placebo administered once every 6 months as a single 60 mg</w:t>
      </w:r>
      <w:r w:rsidRPr="00695F5D">
        <w:rPr>
          <w:lang w:val="en-GB"/>
        </w:rPr>
        <w:t xml:space="preserve"> </w:t>
      </w:r>
      <w:r w:rsidRPr="003444E8">
        <w:rPr>
          <w:lang w:val="en-GB"/>
        </w:rPr>
        <w:t>subcutaneous</w:t>
      </w:r>
      <w:r w:rsidRPr="00695F5D">
        <w:rPr>
          <w:lang w:val="en-GB"/>
        </w:rPr>
        <w:t xml:space="preserve"> </w:t>
      </w:r>
      <w:r w:rsidRPr="003444E8">
        <w:rPr>
          <w:lang w:val="en-GB"/>
        </w:rPr>
        <w:t>dose.</w:t>
      </w:r>
    </w:p>
    <w:p w14:paraId="574AB422"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In both studies, all women received at least 1,000 mg of calcium and 400 IU of vitamin D</w:t>
      </w:r>
      <w:r w:rsidRPr="00695F5D">
        <w:rPr>
          <w:lang w:val="en-GB"/>
        </w:rPr>
        <w:t xml:space="preserve"> </w:t>
      </w:r>
      <w:r w:rsidRPr="003444E8">
        <w:rPr>
          <w:lang w:val="en-GB"/>
        </w:rPr>
        <w:t>supplementation</w:t>
      </w:r>
      <w:r w:rsidRPr="00695F5D">
        <w:rPr>
          <w:lang w:val="en-GB"/>
        </w:rPr>
        <w:t xml:space="preserve"> </w:t>
      </w:r>
      <w:r w:rsidRPr="003444E8">
        <w:rPr>
          <w:lang w:val="en-GB"/>
        </w:rPr>
        <w:t>per</w:t>
      </w:r>
      <w:r w:rsidRPr="00695F5D">
        <w:rPr>
          <w:lang w:val="en-GB"/>
        </w:rPr>
        <w:t xml:space="preserve"> </w:t>
      </w:r>
      <w:r w:rsidRPr="003444E8">
        <w:rPr>
          <w:lang w:val="en-GB"/>
        </w:rPr>
        <w:t>day.</w:t>
      </w:r>
    </w:p>
    <w:p w14:paraId="67ED57D6" w14:textId="1D098AFE"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Across the two phase III studies the incidence of all-cause mortality was 1.7% (n = 70) in</w:t>
      </w:r>
      <w:r w:rsidRPr="00695F5D">
        <w:rPr>
          <w:lang w:val="en-GB"/>
        </w:rPr>
        <w:t xml:space="preserve"> </w:t>
      </w:r>
      <w:r w:rsidRPr="003444E8">
        <w:rPr>
          <w:lang w:val="en-GB"/>
        </w:rPr>
        <w:t xml:space="preserve">the </w:t>
      </w:r>
      <w:r w:rsidR="00A04F0C">
        <w:rPr>
          <w:lang w:val="en-GB"/>
        </w:rPr>
        <w:t>denosumab</w:t>
      </w:r>
      <w:r w:rsidRPr="003444E8">
        <w:rPr>
          <w:lang w:val="en-GB"/>
        </w:rPr>
        <w:t xml:space="preserve"> group and 2.2% (n = 90) in the placebo group.</w:t>
      </w:r>
      <w:r w:rsidRPr="00695F5D">
        <w:rPr>
          <w:lang w:val="en-GB"/>
        </w:rPr>
        <w:t xml:space="preserve"> </w:t>
      </w:r>
      <w:r w:rsidRPr="003444E8">
        <w:rPr>
          <w:lang w:val="en-GB"/>
        </w:rPr>
        <w:t>The incidence of serious</w:t>
      </w:r>
      <w:r w:rsidRPr="00695F5D">
        <w:rPr>
          <w:lang w:val="en-GB"/>
        </w:rPr>
        <w:t xml:space="preserve"> </w:t>
      </w:r>
      <w:r w:rsidRPr="003444E8">
        <w:rPr>
          <w:lang w:val="en-GB"/>
        </w:rPr>
        <w:t xml:space="preserve">adverse events was 25.3% in the </w:t>
      </w:r>
      <w:r w:rsidR="00A04F0C">
        <w:rPr>
          <w:lang w:val="en-GB"/>
        </w:rPr>
        <w:t>denosumab</w:t>
      </w:r>
      <w:r w:rsidR="00695F5D" w:rsidRPr="003444E8">
        <w:rPr>
          <w:lang w:val="en-GB"/>
        </w:rPr>
        <w:t xml:space="preserve"> </w:t>
      </w:r>
      <w:r w:rsidRPr="003444E8">
        <w:rPr>
          <w:lang w:val="en-GB"/>
        </w:rPr>
        <w:t>group and 24.3% in the placebo group.</w:t>
      </w:r>
      <w:r w:rsidRPr="00695F5D">
        <w:rPr>
          <w:lang w:val="en-GB"/>
        </w:rPr>
        <w:t xml:space="preserve"> </w:t>
      </w:r>
      <w:r w:rsidRPr="003444E8">
        <w:rPr>
          <w:lang w:val="en-GB"/>
        </w:rPr>
        <w:t>The</w:t>
      </w:r>
      <w:r w:rsidRPr="00695F5D">
        <w:rPr>
          <w:lang w:val="en-GB"/>
        </w:rPr>
        <w:t xml:space="preserve"> </w:t>
      </w:r>
      <w:r w:rsidRPr="003444E8">
        <w:rPr>
          <w:lang w:val="en-GB"/>
        </w:rPr>
        <w:t>percentage of patients who withdrew from the studies due to adverse events was 2.3%</w:t>
      </w:r>
      <w:r w:rsidRPr="00695F5D">
        <w:rPr>
          <w:lang w:val="en-GB"/>
        </w:rPr>
        <w:t xml:space="preserve"> </w:t>
      </w:r>
      <w:r w:rsidRPr="003444E8">
        <w:rPr>
          <w:lang w:val="en-GB"/>
        </w:rPr>
        <w:t>and</w:t>
      </w:r>
      <w:r w:rsidRPr="00695F5D">
        <w:rPr>
          <w:lang w:val="en-GB"/>
        </w:rPr>
        <w:t xml:space="preserve"> </w:t>
      </w:r>
      <w:r w:rsidRPr="003444E8">
        <w:rPr>
          <w:lang w:val="en-GB"/>
        </w:rPr>
        <w:t>2.1% for the</w:t>
      </w:r>
      <w:r w:rsidRPr="00695F5D">
        <w:rPr>
          <w:lang w:val="en-GB"/>
        </w:rPr>
        <w:t xml:space="preserve"> </w:t>
      </w:r>
      <w:r w:rsidR="00A04F0C">
        <w:rPr>
          <w:lang w:val="en-GB"/>
        </w:rPr>
        <w:t>denosumab</w:t>
      </w:r>
      <w:r w:rsidR="00695F5D" w:rsidRPr="00695F5D">
        <w:rPr>
          <w:lang w:val="en-GB"/>
        </w:rPr>
        <w:t xml:space="preserve"> </w:t>
      </w:r>
      <w:r w:rsidRPr="003444E8">
        <w:rPr>
          <w:lang w:val="en-GB"/>
        </w:rPr>
        <w:t>and placebo</w:t>
      </w:r>
      <w:r w:rsidRPr="00695F5D">
        <w:rPr>
          <w:lang w:val="en-GB"/>
        </w:rPr>
        <w:t xml:space="preserve"> </w:t>
      </w:r>
      <w:r w:rsidRPr="003444E8">
        <w:rPr>
          <w:lang w:val="en-GB"/>
        </w:rPr>
        <w:t>groups, respectively.</w:t>
      </w:r>
    </w:p>
    <w:p w14:paraId="174FA4A1" w14:textId="62025BD6"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The most common adverse events reported in studies of women with postmenopausal</w:t>
      </w:r>
      <w:r w:rsidRPr="00695F5D">
        <w:rPr>
          <w:lang w:val="en-GB"/>
        </w:rPr>
        <w:t xml:space="preserve"> </w:t>
      </w:r>
      <w:r w:rsidRPr="003444E8">
        <w:rPr>
          <w:lang w:val="en-GB"/>
        </w:rPr>
        <w:t>osteoporosis or low bone mass (n = 8,091), occurring in ≥ 10% of patients either in the</w:t>
      </w:r>
      <w:r w:rsidRPr="00695F5D">
        <w:rPr>
          <w:lang w:val="en-GB"/>
        </w:rPr>
        <w:t xml:space="preserve"> </w:t>
      </w:r>
      <w:r w:rsidR="00A04F0C">
        <w:rPr>
          <w:lang w:val="en-GB"/>
        </w:rPr>
        <w:t>denosumab</w:t>
      </w:r>
      <w:r w:rsidRPr="003444E8">
        <w:rPr>
          <w:lang w:val="en-GB"/>
        </w:rPr>
        <w:t xml:space="preserve">-treated or placebo group, were back pain (34.1% </w:t>
      </w:r>
      <w:r w:rsidR="00A04F0C">
        <w:rPr>
          <w:lang w:val="en-GB"/>
        </w:rPr>
        <w:t>denosumab</w:t>
      </w:r>
      <w:r w:rsidRPr="003444E8">
        <w:rPr>
          <w:lang w:val="en-GB"/>
        </w:rPr>
        <w:t>, 34.0% placebo),</w:t>
      </w:r>
      <w:r w:rsidRPr="00695F5D">
        <w:rPr>
          <w:lang w:val="en-GB"/>
        </w:rPr>
        <w:t xml:space="preserve"> </w:t>
      </w:r>
      <w:r w:rsidRPr="003444E8">
        <w:rPr>
          <w:lang w:val="en-GB"/>
        </w:rPr>
        <w:t xml:space="preserve">arthralgia (20.4% in each group), hypertension (15.3% </w:t>
      </w:r>
      <w:r w:rsidR="00A04F0C">
        <w:rPr>
          <w:lang w:val="en-GB"/>
        </w:rPr>
        <w:t>denosumab</w:t>
      </w:r>
      <w:r w:rsidRPr="003444E8">
        <w:rPr>
          <w:lang w:val="en-GB"/>
        </w:rPr>
        <w:t>, 16.1% placebo),</w:t>
      </w:r>
      <w:r w:rsidRPr="00695F5D">
        <w:rPr>
          <w:lang w:val="en-GB"/>
        </w:rPr>
        <w:t xml:space="preserve"> </w:t>
      </w:r>
      <w:r w:rsidRPr="003444E8">
        <w:rPr>
          <w:lang w:val="en-GB"/>
        </w:rPr>
        <w:t>nasopharyngitis</w:t>
      </w:r>
      <w:r w:rsidRPr="00695F5D">
        <w:rPr>
          <w:lang w:val="en-GB"/>
        </w:rPr>
        <w:t xml:space="preserve"> </w:t>
      </w:r>
      <w:r w:rsidRPr="003444E8">
        <w:rPr>
          <w:lang w:val="en-GB"/>
        </w:rPr>
        <w:t>(14.8%</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15.6%</w:t>
      </w:r>
      <w:r w:rsidRPr="00695F5D">
        <w:rPr>
          <w:lang w:val="en-GB"/>
        </w:rPr>
        <w:t xml:space="preserve"> </w:t>
      </w:r>
      <w:r w:rsidRPr="003444E8">
        <w:rPr>
          <w:lang w:val="en-GB"/>
        </w:rPr>
        <w:t>placebo),</w:t>
      </w:r>
      <w:r w:rsidRPr="00695F5D">
        <w:rPr>
          <w:lang w:val="en-GB"/>
        </w:rPr>
        <w:t xml:space="preserve"> </w:t>
      </w:r>
      <w:r w:rsidRPr="003444E8">
        <w:rPr>
          <w:lang w:val="en-GB"/>
        </w:rPr>
        <w:t>pain</w:t>
      </w:r>
      <w:r w:rsidRPr="00695F5D">
        <w:rPr>
          <w:lang w:val="en-GB"/>
        </w:rPr>
        <w:t xml:space="preserve"> </w:t>
      </w:r>
      <w:r w:rsidRPr="003444E8">
        <w:rPr>
          <w:lang w:val="en-GB"/>
        </w:rPr>
        <w:t>in</w:t>
      </w:r>
      <w:r w:rsidRPr="00695F5D">
        <w:rPr>
          <w:lang w:val="en-GB"/>
        </w:rPr>
        <w:t xml:space="preserve"> </w:t>
      </w:r>
      <w:r w:rsidRPr="003444E8">
        <w:rPr>
          <w:lang w:val="en-GB"/>
        </w:rPr>
        <w:t>extremity</w:t>
      </w:r>
      <w:r w:rsidRPr="00695F5D">
        <w:rPr>
          <w:lang w:val="en-GB"/>
        </w:rPr>
        <w:t xml:space="preserve"> </w:t>
      </w:r>
      <w:r w:rsidRPr="003444E8">
        <w:rPr>
          <w:lang w:val="en-GB"/>
        </w:rPr>
        <w:t>(11.8%</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11.2%</w:t>
      </w:r>
      <w:r w:rsidRPr="00695F5D">
        <w:rPr>
          <w:lang w:val="en-GB"/>
        </w:rPr>
        <w:t xml:space="preserve"> </w:t>
      </w:r>
      <w:r w:rsidRPr="003444E8">
        <w:rPr>
          <w:lang w:val="en-GB"/>
        </w:rPr>
        <w:t>placebo)</w:t>
      </w:r>
      <w:r w:rsidRPr="00695F5D">
        <w:rPr>
          <w:lang w:val="en-GB"/>
        </w:rPr>
        <w:t xml:space="preserve"> </w:t>
      </w:r>
      <w:r w:rsidRPr="003444E8">
        <w:rPr>
          <w:lang w:val="en-GB"/>
        </w:rPr>
        <w:t>and</w:t>
      </w:r>
      <w:r w:rsidRPr="00695F5D">
        <w:rPr>
          <w:lang w:val="en-GB"/>
        </w:rPr>
        <w:t xml:space="preserve"> </w:t>
      </w:r>
      <w:r w:rsidRPr="003444E8">
        <w:rPr>
          <w:lang w:val="en-GB"/>
        </w:rPr>
        <w:t>osteoarthritis (10.9%</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11.1%</w:t>
      </w:r>
      <w:r w:rsidRPr="00695F5D">
        <w:rPr>
          <w:lang w:val="en-GB"/>
        </w:rPr>
        <w:t xml:space="preserve"> </w:t>
      </w:r>
      <w:r w:rsidRPr="003444E8">
        <w:rPr>
          <w:lang w:val="en-GB"/>
        </w:rPr>
        <w:t>placebo).</w:t>
      </w:r>
    </w:p>
    <w:p w14:paraId="68181704" w14:textId="3821907A"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Adverse events reported in at least 2% of postmenopausal women with osteoporosis or</w:t>
      </w:r>
      <w:r w:rsidRPr="00695F5D">
        <w:rPr>
          <w:lang w:val="en-GB"/>
        </w:rPr>
        <w:t xml:space="preserve"> </w:t>
      </w:r>
      <w:r w:rsidRPr="003444E8">
        <w:rPr>
          <w:lang w:val="en-GB"/>
        </w:rPr>
        <w:t xml:space="preserve">low bone mass (n = 8,091) and at least 1% more frequently in the </w:t>
      </w:r>
      <w:r w:rsidR="00A04F0C">
        <w:rPr>
          <w:lang w:val="en-GB"/>
        </w:rPr>
        <w:t>denosumab</w:t>
      </w:r>
      <w:r w:rsidRPr="003444E8">
        <w:rPr>
          <w:lang w:val="en-GB"/>
        </w:rPr>
        <w:t>-treated women</w:t>
      </w:r>
      <w:r w:rsidRPr="00695F5D">
        <w:rPr>
          <w:lang w:val="en-GB"/>
        </w:rPr>
        <w:t xml:space="preserve"> </w:t>
      </w:r>
      <w:r w:rsidRPr="003444E8">
        <w:rPr>
          <w:lang w:val="en-GB"/>
        </w:rPr>
        <w:t>than</w:t>
      </w:r>
      <w:r w:rsidRPr="00695F5D">
        <w:rPr>
          <w:lang w:val="en-GB"/>
        </w:rPr>
        <w:t xml:space="preserve"> </w:t>
      </w:r>
      <w:r w:rsidRPr="003444E8">
        <w:rPr>
          <w:lang w:val="en-GB"/>
        </w:rPr>
        <w:t>in</w:t>
      </w:r>
      <w:r w:rsidRPr="00695F5D">
        <w:rPr>
          <w:lang w:val="en-GB"/>
        </w:rPr>
        <w:t xml:space="preserve"> </w:t>
      </w:r>
      <w:r w:rsidRPr="003444E8">
        <w:rPr>
          <w:lang w:val="en-GB"/>
        </w:rPr>
        <w:t>the</w:t>
      </w:r>
      <w:r w:rsidRPr="00695F5D">
        <w:rPr>
          <w:lang w:val="en-GB"/>
        </w:rPr>
        <w:t xml:space="preserve"> </w:t>
      </w:r>
      <w:r w:rsidRPr="003444E8">
        <w:rPr>
          <w:lang w:val="en-GB"/>
        </w:rPr>
        <w:t>placebo-treated</w:t>
      </w:r>
      <w:r w:rsidRPr="00695F5D">
        <w:rPr>
          <w:lang w:val="en-GB"/>
        </w:rPr>
        <w:t xml:space="preserve"> </w:t>
      </w:r>
      <w:r w:rsidRPr="003444E8">
        <w:rPr>
          <w:lang w:val="en-GB"/>
        </w:rPr>
        <w:t>women</w:t>
      </w:r>
      <w:r w:rsidRPr="00695F5D">
        <w:rPr>
          <w:lang w:val="en-GB"/>
        </w:rPr>
        <w:t xml:space="preserve"> </w:t>
      </w:r>
      <w:r w:rsidRPr="003444E8">
        <w:rPr>
          <w:lang w:val="en-GB"/>
        </w:rPr>
        <w:t>were:</w:t>
      </w:r>
      <w:r w:rsidRPr="00695F5D">
        <w:rPr>
          <w:lang w:val="en-GB"/>
        </w:rPr>
        <w:t xml:space="preserve"> </w:t>
      </w:r>
      <w:r w:rsidRPr="003444E8">
        <w:rPr>
          <w:lang w:val="en-GB"/>
        </w:rPr>
        <w:t>hypercholesterolaemia (7.0%</w:t>
      </w:r>
      <w:r w:rsidRPr="00695F5D">
        <w:rPr>
          <w:lang w:val="en-GB"/>
        </w:rPr>
        <w:t xml:space="preserve"> </w:t>
      </w:r>
      <w:r w:rsidR="00A04F0C">
        <w:rPr>
          <w:lang w:val="en-GB"/>
        </w:rPr>
        <w:t>denosumab</w:t>
      </w:r>
      <w:r w:rsidRPr="003444E8">
        <w:rPr>
          <w:lang w:val="en-GB"/>
        </w:rPr>
        <w:t>,</w:t>
      </w:r>
      <w:r w:rsidR="00695F5D">
        <w:rPr>
          <w:lang w:val="en-GB"/>
        </w:rPr>
        <w:t xml:space="preserve"> </w:t>
      </w:r>
      <w:r w:rsidRPr="003444E8">
        <w:rPr>
          <w:lang w:val="en-GB"/>
        </w:rPr>
        <w:t>5.9% placebo) and eczema (includes dermatitis, allergic dermatitis, atopic dermatitis and</w:t>
      </w:r>
      <w:r w:rsidRPr="00695F5D">
        <w:rPr>
          <w:lang w:val="en-GB"/>
        </w:rPr>
        <w:t xml:space="preserve"> </w:t>
      </w:r>
      <w:r w:rsidRPr="003444E8">
        <w:rPr>
          <w:lang w:val="en-GB"/>
        </w:rPr>
        <w:t>contact</w:t>
      </w:r>
      <w:r w:rsidRPr="00695F5D">
        <w:rPr>
          <w:lang w:val="en-GB"/>
        </w:rPr>
        <w:t xml:space="preserve"> </w:t>
      </w:r>
      <w:r w:rsidRPr="003444E8">
        <w:rPr>
          <w:lang w:val="en-GB"/>
        </w:rPr>
        <w:t xml:space="preserve">dermatitis) (3.1% </w:t>
      </w:r>
      <w:r w:rsidR="00A04F0C">
        <w:rPr>
          <w:lang w:val="en-GB"/>
        </w:rPr>
        <w:t>denosumab</w:t>
      </w:r>
      <w:r w:rsidRPr="003444E8">
        <w:rPr>
          <w:lang w:val="en-GB"/>
        </w:rPr>
        <w:t>,</w:t>
      </w:r>
      <w:r w:rsidRPr="00695F5D">
        <w:rPr>
          <w:lang w:val="en-GB"/>
        </w:rPr>
        <w:t xml:space="preserve"> </w:t>
      </w:r>
      <w:r w:rsidRPr="003444E8">
        <w:rPr>
          <w:lang w:val="en-GB"/>
        </w:rPr>
        <w:t>1.7%</w:t>
      </w:r>
      <w:r w:rsidRPr="00695F5D">
        <w:rPr>
          <w:lang w:val="en-GB"/>
        </w:rPr>
        <w:t xml:space="preserve"> </w:t>
      </w:r>
      <w:r w:rsidRPr="003444E8">
        <w:rPr>
          <w:lang w:val="en-GB"/>
        </w:rPr>
        <w:t>placebo).</w:t>
      </w:r>
      <w:r w:rsidR="00FE64AF">
        <w:rPr>
          <w:lang w:val="en-GB"/>
        </w:rPr>
        <w:t xml:space="preserve"> </w:t>
      </w:r>
    </w:p>
    <w:p w14:paraId="7F37E5D1" w14:textId="2E38AD38"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lastRenderedPageBreak/>
        <w:t>In STAND, a double-blind, randomised, alendronate-controlled, study in postmenopausal</w:t>
      </w:r>
      <w:r w:rsidRPr="00695F5D">
        <w:rPr>
          <w:lang w:val="en-GB"/>
        </w:rPr>
        <w:t xml:space="preserve"> </w:t>
      </w:r>
      <w:r w:rsidRPr="003444E8">
        <w:rPr>
          <w:lang w:val="en-GB"/>
        </w:rPr>
        <w:t>women with low bone mass who had received alendronate for at least 6 months</w:t>
      </w:r>
      <w:r w:rsidRPr="00695F5D">
        <w:rPr>
          <w:lang w:val="en-GB"/>
        </w:rPr>
        <w:t xml:space="preserve"> </w:t>
      </w:r>
      <w:r w:rsidRPr="003444E8">
        <w:rPr>
          <w:lang w:val="en-GB"/>
        </w:rPr>
        <w:t xml:space="preserve">preceding study entry, patients received either </w:t>
      </w:r>
      <w:r w:rsidR="00A04F0C">
        <w:rPr>
          <w:lang w:val="en-GB"/>
        </w:rPr>
        <w:t>denosumab</w:t>
      </w:r>
      <w:r w:rsidRPr="003444E8">
        <w:rPr>
          <w:lang w:val="en-GB"/>
        </w:rPr>
        <w:t xml:space="preserve"> 60 mg Q6M SC (n = 253) or</w:t>
      </w:r>
      <w:r w:rsidRPr="00695F5D">
        <w:rPr>
          <w:lang w:val="en-GB"/>
        </w:rPr>
        <w:t xml:space="preserve"> </w:t>
      </w:r>
      <w:r w:rsidRPr="003444E8">
        <w:rPr>
          <w:lang w:val="en-GB"/>
        </w:rPr>
        <w:t>alendronate orally 70 mg weekly for 12 months (n = 249).</w:t>
      </w:r>
      <w:r w:rsidRPr="00695F5D">
        <w:rPr>
          <w:lang w:val="en-GB"/>
        </w:rPr>
        <w:t xml:space="preserve"> </w:t>
      </w:r>
      <w:r w:rsidRPr="003444E8">
        <w:rPr>
          <w:lang w:val="en-GB"/>
        </w:rPr>
        <w:t>The safety profile was similar</w:t>
      </w:r>
      <w:r w:rsidRPr="00695F5D">
        <w:rPr>
          <w:lang w:val="en-GB"/>
        </w:rPr>
        <w:t xml:space="preserve"> </w:t>
      </w:r>
      <w:r w:rsidRPr="003444E8">
        <w:rPr>
          <w:lang w:val="en-GB"/>
        </w:rPr>
        <w:t xml:space="preserve">for patients transitioning from alendronate to </w:t>
      </w:r>
      <w:r w:rsidR="00A04F0C">
        <w:rPr>
          <w:lang w:val="en-GB"/>
        </w:rPr>
        <w:t>denosumab</w:t>
      </w:r>
      <w:r w:rsidRPr="003444E8">
        <w:rPr>
          <w:lang w:val="en-GB"/>
        </w:rPr>
        <w:t xml:space="preserve"> and those continuing on</w:t>
      </w:r>
      <w:r w:rsidRPr="00695F5D">
        <w:rPr>
          <w:lang w:val="en-GB"/>
        </w:rPr>
        <w:t xml:space="preserve"> </w:t>
      </w:r>
      <w:r w:rsidRPr="003444E8">
        <w:rPr>
          <w:lang w:val="en-GB"/>
        </w:rPr>
        <w:t>alendronate therapy, including the overall incidence of adverse events and serious</w:t>
      </w:r>
      <w:r w:rsidRPr="00695F5D">
        <w:rPr>
          <w:lang w:val="en-GB"/>
        </w:rPr>
        <w:t xml:space="preserve"> </w:t>
      </w:r>
      <w:r w:rsidRPr="003444E8">
        <w:rPr>
          <w:lang w:val="en-GB"/>
        </w:rPr>
        <w:t>adverse events.</w:t>
      </w:r>
      <w:r w:rsidRPr="00695F5D">
        <w:rPr>
          <w:lang w:val="en-GB"/>
        </w:rPr>
        <w:t xml:space="preserve"> </w:t>
      </w:r>
      <w:r w:rsidRPr="003444E8">
        <w:rPr>
          <w:lang w:val="en-GB"/>
        </w:rPr>
        <w:t xml:space="preserve">Eight patients (3.2%) in the </w:t>
      </w:r>
      <w:r w:rsidR="00A04F0C">
        <w:rPr>
          <w:lang w:val="en-GB"/>
        </w:rPr>
        <w:t>denosumab</w:t>
      </w:r>
      <w:r w:rsidR="00695F5D" w:rsidRPr="003444E8">
        <w:rPr>
          <w:lang w:val="en-GB"/>
        </w:rPr>
        <w:t xml:space="preserve"> </w:t>
      </w:r>
      <w:r w:rsidRPr="003444E8">
        <w:rPr>
          <w:lang w:val="en-GB"/>
        </w:rPr>
        <w:t>group and 4 patients (1.6%) in the</w:t>
      </w:r>
      <w:r w:rsidRPr="00695F5D">
        <w:rPr>
          <w:lang w:val="en-GB"/>
        </w:rPr>
        <w:t xml:space="preserve"> </w:t>
      </w:r>
      <w:r w:rsidRPr="003444E8">
        <w:rPr>
          <w:lang w:val="en-GB"/>
        </w:rPr>
        <w:t>alendronate</w:t>
      </w:r>
      <w:r w:rsidRPr="00695F5D">
        <w:rPr>
          <w:lang w:val="en-GB"/>
        </w:rPr>
        <w:t xml:space="preserve"> </w:t>
      </w:r>
      <w:r w:rsidRPr="003444E8">
        <w:rPr>
          <w:lang w:val="en-GB"/>
        </w:rPr>
        <w:t>group reported</w:t>
      </w:r>
      <w:r w:rsidRPr="00695F5D">
        <w:rPr>
          <w:lang w:val="en-GB"/>
        </w:rPr>
        <w:t xml:space="preserve"> </w:t>
      </w:r>
      <w:r w:rsidRPr="003444E8">
        <w:rPr>
          <w:lang w:val="en-GB"/>
        </w:rPr>
        <w:t>adverse</w:t>
      </w:r>
      <w:r w:rsidRPr="00695F5D">
        <w:rPr>
          <w:lang w:val="en-GB"/>
        </w:rPr>
        <w:t xml:space="preserve"> </w:t>
      </w:r>
      <w:r w:rsidRPr="003444E8">
        <w:rPr>
          <w:lang w:val="en-GB"/>
        </w:rPr>
        <w:t>events of</w:t>
      </w:r>
      <w:r w:rsidRPr="00695F5D">
        <w:rPr>
          <w:lang w:val="en-GB"/>
        </w:rPr>
        <w:t xml:space="preserve"> </w:t>
      </w:r>
      <w:r w:rsidRPr="003444E8">
        <w:rPr>
          <w:lang w:val="en-GB"/>
        </w:rPr>
        <w:t>fracture.</w:t>
      </w:r>
    </w:p>
    <w:p w14:paraId="1E787C50" w14:textId="77777777" w:rsidR="006E62CD" w:rsidRPr="003444E8" w:rsidRDefault="00CB520A" w:rsidP="00D258EC">
      <w:pPr>
        <w:adjustRightInd w:val="0"/>
        <w:snapToGrid w:val="0"/>
        <w:spacing w:before="60" w:after="60" w:line="360" w:lineRule="auto"/>
        <w:ind w:left="108" w:rightChars="30" w:right="66"/>
        <w:rPr>
          <w:i/>
          <w:lang w:val="en-GB"/>
        </w:rPr>
      </w:pPr>
      <w:r w:rsidRPr="003444E8">
        <w:rPr>
          <w:i/>
          <w:lang w:val="en-GB"/>
        </w:rPr>
        <w:t>Hypocalcaemia</w:t>
      </w:r>
    </w:p>
    <w:p w14:paraId="2EED1510" w14:textId="4F5A007B" w:rsidR="006E62CD" w:rsidRPr="0075756B" w:rsidRDefault="00CB520A" w:rsidP="00D258EC">
      <w:pPr>
        <w:pStyle w:val="BodyText"/>
        <w:adjustRightInd w:val="0"/>
        <w:snapToGrid w:val="0"/>
        <w:spacing w:before="60" w:after="60" w:line="360" w:lineRule="auto"/>
        <w:ind w:left="108" w:rightChars="30" w:right="66"/>
        <w:rPr>
          <w:lang w:val="en-GB"/>
        </w:rPr>
      </w:pPr>
      <w:r w:rsidRPr="003444E8">
        <w:rPr>
          <w:lang w:val="en-GB"/>
        </w:rPr>
        <w:t>In two phase III placebo-controlled clinical trials in postmenopausal women with</w:t>
      </w:r>
      <w:r w:rsidRPr="0075756B">
        <w:rPr>
          <w:lang w:val="en-GB"/>
        </w:rPr>
        <w:t xml:space="preserve"> </w:t>
      </w:r>
      <w:r w:rsidRPr="003444E8">
        <w:rPr>
          <w:lang w:val="en-GB"/>
        </w:rPr>
        <w:t>osteoporosis, approximately 0.05% (2 of 4,050) of patients had declines of serum</w:t>
      </w:r>
      <w:r w:rsidRPr="0075756B">
        <w:rPr>
          <w:lang w:val="en-GB"/>
        </w:rPr>
        <w:t xml:space="preserve"> </w:t>
      </w:r>
      <w:r w:rsidRPr="003444E8">
        <w:rPr>
          <w:lang w:val="en-GB"/>
        </w:rPr>
        <w:t>calcium</w:t>
      </w:r>
      <w:r w:rsidRPr="0075756B">
        <w:rPr>
          <w:lang w:val="en-GB"/>
        </w:rPr>
        <w:t xml:space="preserve"> </w:t>
      </w:r>
      <w:r w:rsidRPr="003444E8">
        <w:rPr>
          <w:lang w:val="en-GB"/>
        </w:rPr>
        <w:t>levels (less</w:t>
      </w:r>
      <w:r w:rsidRPr="0075756B">
        <w:rPr>
          <w:lang w:val="en-GB"/>
        </w:rPr>
        <w:t xml:space="preserve"> </w:t>
      </w:r>
      <w:r w:rsidRPr="003444E8">
        <w:rPr>
          <w:lang w:val="en-GB"/>
        </w:rPr>
        <w:t>than</w:t>
      </w:r>
      <w:r w:rsidRPr="0075756B">
        <w:rPr>
          <w:lang w:val="en-GB"/>
        </w:rPr>
        <w:t xml:space="preserve"> </w:t>
      </w:r>
      <w:r w:rsidRPr="003444E8">
        <w:rPr>
          <w:lang w:val="en-GB"/>
        </w:rPr>
        <w:t>1.88</w:t>
      </w:r>
      <w:r w:rsidRPr="0075756B">
        <w:rPr>
          <w:lang w:val="en-GB"/>
        </w:rPr>
        <w:t xml:space="preserve"> </w:t>
      </w:r>
      <w:r w:rsidRPr="003444E8">
        <w:rPr>
          <w:lang w:val="en-GB"/>
        </w:rPr>
        <w:t>mmol/L)</w:t>
      </w:r>
      <w:r w:rsidRPr="0075756B">
        <w:rPr>
          <w:lang w:val="en-GB"/>
        </w:rPr>
        <w:t xml:space="preserve"> </w:t>
      </w:r>
      <w:r w:rsidRPr="003444E8">
        <w:rPr>
          <w:lang w:val="en-GB"/>
        </w:rPr>
        <w:t>following</w:t>
      </w:r>
      <w:r w:rsidRPr="0075756B">
        <w:rPr>
          <w:lang w:val="en-GB"/>
        </w:rPr>
        <w:t xml:space="preserve"> </w:t>
      </w:r>
      <w:r w:rsidR="00A04F0C">
        <w:rPr>
          <w:lang w:val="en-GB"/>
        </w:rPr>
        <w:t>denosumab</w:t>
      </w:r>
      <w:r w:rsidR="00695F5D" w:rsidRPr="0075756B">
        <w:rPr>
          <w:lang w:val="en-GB"/>
        </w:rPr>
        <w:t xml:space="preserve"> </w:t>
      </w:r>
      <w:r w:rsidRPr="003444E8">
        <w:rPr>
          <w:lang w:val="en-GB"/>
        </w:rPr>
        <w:t>administration</w:t>
      </w:r>
      <w:r w:rsidR="00695F5D">
        <w:rPr>
          <w:lang w:val="en-GB"/>
        </w:rPr>
        <w:t>.</w:t>
      </w:r>
    </w:p>
    <w:p w14:paraId="584DE510" w14:textId="77777777" w:rsidR="006E62CD" w:rsidRPr="003444E8" w:rsidRDefault="00CB520A" w:rsidP="00D258EC">
      <w:pPr>
        <w:adjustRightInd w:val="0"/>
        <w:snapToGrid w:val="0"/>
        <w:spacing w:before="60" w:after="60" w:line="360" w:lineRule="auto"/>
        <w:ind w:left="108" w:rightChars="30" w:right="66"/>
        <w:rPr>
          <w:i/>
          <w:lang w:val="en-GB"/>
        </w:rPr>
      </w:pPr>
      <w:r w:rsidRPr="003444E8">
        <w:rPr>
          <w:i/>
          <w:lang w:val="en-GB"/>
        </w:rPr>
        <w:t>Skin</w:t>
      </w:r>
      <w:r w:rsidRPr="003444E8">
        <w:rPr>
          <w:i/>
          <w:spacing w:val="-2"/>
          <w:lang w:val="en-GB"/>
        </w:rPr>
        <w:t xml:space="preserve"> </w:t>
      </w:r>
      <w:r w:rsidRPr="003444E8">
        <w:rPr>
          <w:i/>
          <w:lang w:val="en-GB"/>
        </w:rPr>
        <w:t>infections</w:t>
      </w:r>
    </w:p>
    <w:p w14:paraId="65E03141" w14:textId="58681EE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In two phase III placebo-controlled clinical trials in postmenopausal women with</w:t>
      </w:r>
      <w:r w:rsidRPr="0075756B">
        <w:rPr>
          <w:lang w:val="en-GB"/>
        </w:rPr>
        <w:t xml:space="preserve"> </w:t>
      </w:r>
      <w:r w:rsidRPr="003444E8">
        <w:rPr>
          <w:lang w:val="en-GB"/>
        </w:rPr>
        <w:t>osteoporosis, skin infections leading to hospitalisation were reported more frequently in</w:t>
      </w:r>
      <w:r w:rsidRPr="0075756B">
        <w:rPr>
          <w:lang w:val="en-GB"/>
        </w:rPr>
        <w:t xml:space="preserve"> </w:t>
      </w:r>
      <w:r w:rsidRPr="003444E8">
        <w:rPr>
          <w:lang w:val="en-GB"/>
        </w:rPr>
        <w:t>the</w:t>
      </w:r>
      <w:r w:rsidRPr="0075756B">
        <w:rPr>
          <w:lang w:val="en-GB"/>
        </w:rPr>
        <w:t xml:space="preserve"> </w:t>
      </w:r>
      <w:r w:rsidR="00A04F0C">
        <w:rPr>
          <w:lang w:val="en-GB"/>
        </w:rPr>
        <w:t>denosumab</w:t>
      </w:r>
      <w:r w:rsidR="00695F5D" w:rsidRPr="003444E8">
        <w:rPr>
          <w:lang w:val="en-GB"/>
        </w:rPr>
        <w:t xml:space="preserve"> </w:t>
      </w:r>
      <w:r w:rsidRPr="003444E8">
        <w:rPr>
          <w:lang w:val="en-GB"/>
        </w:rPr>
        <w:t>(0.4%,</w:t>
      </w:r>
      <w:r w:rsidRPr="0075756B">
        <w:rPr>
          <w:lang w:val="en-GB"/>
        </w:rPr>
        <w:t xml:space="preserve"> </w:t>
      </w:r>
      <w:r w:rsidRPr="003444E8">
        <w:rPr>
          <w:lang w:val="en-GB"/>
        </w:rPr>
        <w:t>16</w:t>
      </w:r>
      <w:r w:rsidRPr="0075756B">
        <w:rPr>
          <w:lang w:val="en-GB"/>
        </w:rPr>
        <w:t xml:space="preserve"> </w:t>
      </w:r>
      <w:r w:rsidRPr="003444E8">
        <w:rPr>
          <w:lang w:val="en-GB"/>
        </w:rPr>
        <w:t>of</w:t>
      </w:r>
      <w:r w:rsidRPr="0075756B">
        <w:rPr>
          <w:lang w:val="en-GB"/>
        </w:rPr>
        <w:t xml:space="preserve"> </w:t>
      </w:r>
      <w:r w:rsidRPr="003444E8">
        <w:rPr>
          <w:lang w:val="en-GB"/>
        </w:rPr>
        <w:t>4,050)</w:t>
      </w:r>
      <w:r w:rsidRPr="0075756B">
        <w:rPr>
          <w:lang w:val="en-GB"/>
        </w:rPr>
        <w:t xml:space="preserve"> </w:t>
      </w:r>
      <w:r w:rsidRPr="003444E8">
        <w:rPr>
          <w:lang w:val="en-GB"/>
        </w:rPr>
        <w:t>versus</w:t>
      </w:r>
      <w:r w:rsidRPr="0075756B">
        <w:rPr>
          <w:lang w:val="en-GB"/>
        </w:rPr>
        <w:t xml:space="preserve"> </w:t>
      </w:r>
      <w:r w:rsidRPr="003444E8">
        <w:rPr>
          <w:lang w:val="en-GB"/>
        </w:rPr>
        <w:t>the</w:t>
      </w:r>
      <w:r w:rsidRPr="0075756B">
        <w:rPr>
          <w:lang w:val="en-GB"/>
        </w:rPr>
        <w:t xml:space="preserve"> </w:t>
      </w:r>
      <w:r w:rsidRPr="003444E8">
        <w:rPr>
          <w:lang w:val="en-GB"/>
        </w:rPr>
        <w:t>placebo</w:t>
      </w:r>
      <w:r w:rsidRPr="0075756B">
        <w:rPr>
          <w:lang w:val="en-GB"/>
        </w:rPr>
        <w:t xml:space="preserve"> </w:t>
      </w:r>
      <w:r w:rsidRPr="003444E8">
        <w:rPr>
          <w:lang w:val="en-GB"/>
        </w:rPr>
        <w:t>(0.1%,</w:t>
      </w:r>
      <w:r w:rsidRPr="0075756B">
        <w:rPr>
          <w:lang w:val="en-GB"/>
        </w:rPr>
        <w:t xml:space="preserve"> </w:t>
      </w:r>
      <w:r w:rsidRPr="003444E8">
        <w:rPr>
          <w:lang w:val="en-GB"/>
        </w:rPr>
        <w:t>3</w:t>
      </w:r>
      <w:r w:rsidRPr="0075756B">
        <w:rPr>
          <w:lang w:val="en-GB"/>
        </w:rPr>
        <w:t xml:space="preserve"> </w:t>
      </w:r>
      <w:r w:rsidRPr="003444E8">
        <w:rPr>
          <w:lang w:val="en-GB"/>
        </w:rPr>
        <w:t>of</w:t>
      </w:r>
      <w:r w:rsidRPr="0075756B">
        <w:rPr>
          <w:lang w:val="en-GB"/>
        </w:rPr>
        <w:t xml:space="preserve"> </w:t>
      </w:r>
      <w:r w:rsidRPr="003444E8">
        <w:rPr>
          <w:lang w:val="en-GB"/>
        </w:rPr>
        <w:t>4,041)</w:t>
      </w:r>
      <w:r w:rsidRPr="0075756B">
        <w:rPr>
          <w:lang w:val="en-GB"/>
        </w:rPr>
        <w:t xml:space="preserve"> </w:t>
      </w:r>
      <w:r w:rsidRPr="003444E8">
        <w:rPr>
          <w:lang w:val="en-GB"/>
        </w:rPr>
        <w:t>groups,</w:t>
      </w:r>
      <w:r w:rsidRPr="0075756B">
        <w:rPr>
          <w:lang w:val="en-GB"/>
        </w:rPr>
        <w:t xml:space="preserve"> </w:t>
      </w:r>
      <w:r w:rsidRPr="003444E8">
        <w:rPr>
          <w:lang w:val="en-GB"/>
        </w:rPr>
        <w:t>respectively.</w:t>
      </w:r>
      <w:r w:rsidRPr="0075756B">
        <w:rPr>
          <w:lang w:val="en-GB"/>
        </w:rPr>
        <w:t xml:space="preserve"> </w:t>
      </w:r>
      <w:r w:rsidRPr="003444E8">
        <w:rPr>
          <w:lang w:val="en-GB"/>
        </w:rPr>
        <w:t>These cases were predominantly cellulitis.</w:t>
      </w:r>
      <w:r w:rsidRPr="0075756B">
        <w:rPr>
          <w:lang w:val="en-GB"/>
        </w:rPr>
        <w:t xml:space="preserve"> </w:t>
      </w:r>
      <w:r w:rsidRPr="003444E8">
        <w:rPr>
          <w:lang w:val="en-GB"/>
        </w:rPr>
        <w:t>The overall incidence of skin infections was</w:t>
      </w:r>
      <w:r w:rsidRPr="0075756B">
        <w:rPr>
          <w:lang w:val="en-GB"/>
        </w:rPr>
        <w:t xml:space="preserve"> </w:t>
      </w:r>
      <w:r w:rsidRPr="003444E8">
        <w:rPr>
          <w:lang w:val="en-GB"/>
        </w:rPr>
        <w:t>similar</w:t>
      </w:r>
      <w:r w:rsidRPr="0075756B">
        <w:rPr>
          <w:lang w:val="en-GB"/>
        </w:rPr>
        <w:t xml:space="preserve"> </w:t>
      </w:r>
      <w:r w:rsidRPr="003444E8">
        <w:rPr>
          <w:lang w:val="en-GB"/>
        </w:rPr>
        <w:t>between</w:t>
      </w:r>
      <w:r w:rsidRPr="0075756B">
        <w:rPr>
          <w:lang w:val="en-GB"/>
        </w:rPr>
        <w:t xml:space="preserve"> </w:t>
      </w:r>
      <w:r w:rsidRPr="003444E8">
        <w:rPr>
          <w:lang w:val="en-GB"/>
        </w:rPr>
        <w:t xml:space="preserve">the </w:t>
      </w:r>
      <w:r w:rsidR="00A04F0C">
        <w:rPr>
          <w:lang w:val="en-GB"/>
        </w:rPr>
        <w:t>denosumab</w:t>
      </w:r>
      <w:r w:rsidR="00695F5D" w:rsidRPr="003444E8">
        <w:rPr>
          <w:lang w:val="en-GB"/>
        </w:rPr>
        <w:t xml:space="preserve"> </w:t>
      </w:r>
      <w:r w:rsidRPr="003444E8">
        <w:rPr>
          <w:lang w:val="en-GB"/>
        </w:rPr>
        <w:t>(1.5%,</w:t>
      </w:r>
      <w:r w:rsidRPr="0075756B">
        <w:rPr>
          <w:lang w:val="en-GB"/>
        </w:rPr>
        <w:t xml:space="preserve"> </w:t>
      </w:r>
      <w:r w:rsidRPr="003444E8">
        <w:rPr>
          <w:lang w:val="en-GB"/>
        </w:rPr>
        <w:t>59</w:t>
      </w:r>
      <w:r w:rsidRPr="0075756B">
        <w:rPr>
          <w:lang w:val="en-GB"/>
        </w:rPr>
        <w:t xml:space="preserve"> </w:t>
      </w:r>
      <w:r w:rsidRPr="003444E8">
        <w:rPr>
          <w:lang w:val="en-GB"/>
        </w:rPr>
        <w:t>of</w:t>
      </w:r>
      <w:r w:rsidRPr="0075756B">
        <w:rPr>
          <w:lang w:val="en-GB"/>
        </w:rPr>
        <w:t xml:space="preserve"> </w:t>
      </w:r>
      <w:r w:rsidRPr="003444E8">
        <w:rPr>
          <w:lang w:val="en-GB"/>
        </w:rPr>
        <w:t>4,050)</w:t>
      </w:r>
      <w:r w:rsidRPr="0075756B">
        <w:rPr>
          <w:lang w:val="en-GB"/>
        </w:rPr>
        <w:t xml:space="preserve"> </w:t>
      </w:r>
      <w:r w:rsidRPr="003444E8">
        <w:rPr>
          <w:lang w:val="en-GB"/>
        </w:rPr>
        <w:t>and</w:t>
      </w:r>
      <w:r w:rsidRPr="0075756B">
        <w:rPr>
          <w:lang w:val="en-GB"/>
        </w:rPr>
        <w:t xml:space="preserve"> </w:t>
      </w:r>
      <w:r w:rsidRPr="003444E8">
        <w:rPr>
          <w:lang w:val="en-GB"/>
        </w:rPr>
        <w:t>placebo groups</w:t>
      </w:r>
      <w:r w:rsidRPr="0075756B">
        <w:rPr>
          <w:lang w:val="en-GB"/>
        </w:rPr>
        <w:t xml:space="preserve"> </w:t>
      </w:r>
      <w:r w:rsidRPr="003444E8">
        <w:rPr>
          <w:lang w:val="en-GB"/>
        </w:rPr>
        <w:t>(1.2%,</w:t>
      </w:r>
      <w:r w:rsidRPr="0075756B">
        <w:rPr>
          <w:lang w:val="en-GB"/>
        </w:rPr>
        <w:t xml:space="preserve"> </w:t>
      </w:r>
      <w:r w:rsidRPr="003444E8">
        <w:rPr>
          <w:lang w:val="en-GB"/>
        </w:rPr>
        <w:t>50</w:t>
      </w:r>
      <w:r w:rsidRPr="0075756B">
        <w:rPr>
          <w:lang w:val="en-GB"/>
        </w:rPr>
        <w:t xml:space="preserve"> </w:t>
      </w:r>
      <w:r w:rsidRPr="003444E8">
        <w:rPr>
          <w:lang w:val="en-GB"/>
        </w:rPr>
        <w:t>of</w:t>
      </w:r>
      <w:r w:rsidRPr="0075756B">
        <w:rPr>
          <w:lang w:val="en-GB"/>
        </w:rPr>
        <w:t xml:space="preserve"> </w:t>
      </w:r>
      <w:r w:rsidRPr="003444E8">
        <w:rPr>
          <w:lang w:val="en-GB"/>
        </w:rPr>
        <w:t>4,041).</w:t>
      </w:r>
    </w:p>
    <w:p w14:paraId="64CE6619" w14:textId="77777777" w:rsidR="006E62CD" w:rsidRPr="003444E8" w:rsidRDefault="00CB520A" w:rsidP="00D258EC">
      <w:pPr>
        <w:adjustRightInd w:val="0"/>
        <w:snapToGrid w:val="0"/>
        <w:spacing w:before="60" w:after="60" w:line="360" w:lineRule="auto"/>
        <w:ind w:left="108" w:rightChars="30" w:right="66"/>
        <w:rPr>
          <w:i/>
          <w:lang w:val="en-GB"/>
        </w:rPr>
      </w:pPr>
      <w:r w:rsidRPr="003444E8">
        <w:rPr>
          <w:i/>
          <w:lang w:val="en-GB"/>
        </w:rPr>
        <w:t>Pancreatitis</w:t>
      </w:r>
    </w:p>
    <w:p w14:paraId="0CA4298D" w14:textId="2D767A15"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Pancreatitis</w:t>
      </w:r>
      <w:r w:rsidRPr="00695F5D">
        <w:rPr>
          <w:lang w:val="en-GB"/>
        </w:rPr>
        <w:t xml:space="preserve"> </w:t>
      </w:r>
      <w:r w:rsidRPr="003444E8">
        <w:rPr>
          <w:lang w:val="en-GB"/>
        </w:rPr>
        <w:t>was</w:t>
      </w:r>
      <w:r w:rsidRPr="00695F5D">
        <w:rPr>
          <w:lang w:val="en-GB"/>
        </w:rPr>
        <w:t xml:space="preserve"> </w:t>
      </w:r>
      <w:r w:rsidRPr="003444E8">
        <w:rPr>
          <w:lang w:val="en-GB"/>
        </w:rPr>
        <w:t>reported</w:t>
      </w:r>
      <w:r w:rsidRPr="00695F5D">
        <w:rPr>
          <w:lang w:val="en-GB"/>
        </w:rPr>
        <w:t xml:space="preserve"> </w:t>
      </w:r>
      <w:r w:rsidRPr="003444E8">
        <w:rPr>
          <w:lang w:val="en-GB"/>
        </w:rPr>
        <w:t>in</w:t>
      </w:r>
      <w:r w:rsidRPr="00695F5D">
        <w:rPr>
          <w:lang w:val="en-GB"/>
        </w:rPr>
        <w:t xml:space="preserve"> </w:t>
      </w:r>
      <w:r w:rsidRPr="003444E8">
        <w:rPr>
          <w:lang w:val="en-GB"/>
        </w:rPr>
        <w:t>4</w:t>
      </w:r>
      <w:r w:rsidRPr="00695F5D">
        <w:rPr>
          <w:lang w:val="en-GB"/>
        </w:rPr>
        <w:t xml:space="preserve"> </w:t>
      </w:r>
      <w:r w:rsidRPr="003444E8">
        <w:rPr>
          <w:lang w:val="en-GB"/>
        </w:rPr>
        <w:t>patients</w:t>
      </w:r>
      <w:r w:rsidRPr="00695F5D">
        <w:rPr>
          <w:lang w:val="en-GB"/>
        </w:rPr>
        <w:t xml:space="preserve"> </w:t>
      </w:r>
      <w:r w:rsidRPr="003444E8">
        <w:rPr>
          <w:lang w:val="en-GB"/>
        </w:rPr>
        <w:t>(0.1%)</w:t>
      </w:r>
      <w:r w:rsidRPr="00695F5D">
        <w:rPr>
          <w:lang w:val="en-GB"/>
        </w:rPr>
        <w:t xml:space="preserve"> </w:t>
      </w:r>
      <w:r w:rsidRPr="003444E8">
        <w:rPr>
          <w:lang w:val="en-GB"/>
        </w:rPr>
        <w:t>in</w:t>
      </w:r>
      <w:r w:rsidRPr="00695F5D">
        <w:rPr>
          <w:lang w:val="en-GB"/>
        </w:rPr>
        <w:t xml:space="preserve"> </w:t>
      </w:r>
      <w:r w:rsidRPr="003444E8">
        <w:rPr>
          <w:lang w:val="en-GB"/>
        </w:rPr>
        <w:t>the</w:t>
      </w:r>
      <w:r w:rsidRPr="00695F5D">
        <w:rPr>
          <w:lang w:val="en-GB"/>
        </w:rPr>
        <w:t xml:space="preserve"> </w:t>
      </w:r>
      <w:r w:rsidRPr="003444E8">
        <w:rPr>
          <w:lang w:val="en-GB"/>
        </w:rPr>
        <w:t>placebo</w:t>
      </w:r>
      <w:r w:rsidRPr="00695F5D">
        <w:rPr>
          <w:lang w:val="en-GB"/>
        </w:rPr>
        <w:t xml:space="preserve"> </w:t>
      </w:r>
      <w:r w:rsidRPr="003444E8">
        <w:rPr>
          <w:lang w:val="en-GB"/>
        </w:rPr>
        <w:t>and</w:t>
      </w:r>
      <w:r w:rsidRPr="00695F5D">
        <w:rPr>
          <w:lang w:val="en-GB"/>
        </w:rPr>
        <w:t xml:space="preserve"> </w:t>
      </w:r>
      <w:r w:rsidRPr="003444E8">
        <w:rPr>
          <w:lang w:val="en-GB"/>
        </w:rPr>
        <w:t>8</w:t>
      </w:r>
      <w:r w:rsidRPr="00695F5D">
        <w:rPr>
          <w:lang w:val="en-GB"/>
        </w:rPr>
        <w:t xml:space="preserve"> </w:t>
      </w:r>
      <w:r w:rsidRPr="003444E8">
        <w:rPr>
          <w:lang w:val="en-GB"/>
        </w:rPr>
        <w:t>patients</w:t>
      </w:r>
      <w:r w:rsidRPr="00695F5D">
        <w:rPr>
          <w:lang w:val="en-GB"/>
        </w:rPr>
        <w:t xml:space="preserve"> </w:t>
      </w:r>
      <w:r w:rsidRPr="003444E8">
        <w:rPr>
          <w:lang w:val="en-GB"/>
        </w:rPr>
        <w:t>(0.2%)</w:t>
      </w:r>
      <w:r w:rsidRPr="00695F5D">
        <w:rPr>
          <w:lang w:val="en-GB"/>
        </w:rPr>
        <w:t xml:space="preserve"> </w:t>
      </w:r>
      <w:r w:rsidRPr="003444E8">
        <w:rPr>
          <w:lang w:val="en-GB"/>
        </w:rPr>
        <w:t>in</w:t>
      </w:r>
      <w:r w:rsidRPr="00695F5D">
        <w:rPr>
          <w:lang w:val="en-GB"/>
        </w:rPr>
        <w:t xml:space="preserve"> </w:t>
      </w:r>
      <w:r w:rsidRPr="003444E8">
        <w:rPr>
          <w:lang w:val="en-GB"/>
        </w:rPr>
        <w:t>the</w:t>
      </w:r>
      <w:r w:rsidRPr="00695F5D">
        <w:rPr>
          <w:lang w:val="en-GB"/>
        </w:rPr>
        <w:t xml:space="preserve"> </w:t>
      </w:r>
      <w:r w:rsidR="00A04F0C">
        <w:rPr>
          <w:lang w:val="en-GB"/>
        </w:rPr>
        <w:t>denosumab</w:t>
      </w:r>
      <w:r w:rsidR="00695F5D" w:rsidRPr="003444E8">
        <w:rPr>
          <w:lang w:val="en-GB"/>
        </w:rPr>
        <w:t xml:space="preserve"> </w:t>
      </w:r>
      <w:r w:rsidRPr="003444E8">
        <w:rPr>
          <w:lang w:val="en-GB"/>
        </w:rPr>
        <w:t>groups.</w:t>
      </w:r>
      <w:r w:rsidRPr="00695F5D">
        <w:rPr>
          <w:lang w:val="en-GB"/>
        </w:rPr>
        <w:t xml:space="preserve"> </w:t>
      </w:r>
      <w:r w:rsidRPr="003444E8">
        <w:rPr>
          <w:lang w:val="en-GB"/>
        </w:rPr>
        <w:t>Several patients had a prior history of pancreatitis or a confounding event</w:t>
      </w:r>
      <w:r w:rsidRPr="00695F5D">
        <w:rPr>
          <w:lang w:val="en-GB"/>
        </w:rPr>
        <w:t xml:space="preserve"> </w:t>
      </w:r>
      <w:r w:rsidRPr="003444E8">
        <w:rPr>
          <w:lang w:val="en-GB"/>
        </w:rPr>
        <w:t>(e.g.</w:t>
      </w:r>
      <w:r w:rsidRPr="00695F5D">
        <w:rPr>
          <w:lang w:val="en-GB"/>
        </w:rPr>
        <w:t xml:space="preserve"> </w:t>
      </w:r>
      <w:r w:rsidRPr="003444E8">
        <w:rPr>
          <w:lang w:val="en-GB"/>
        </w:rPr>
        <w:t>gallstones).</w:t>
      </w:r>
      <w:r w:rsidRPr="00695F5D">
        <w:rPr>
          <w:lang w:val="en-GB"/>
        </w:rPr>
        <w:t xml:space="preserve"> </w:t>
      </w:r>
      <w:r w:rsidRPr="003444E8">
        <w:rPr>
          <w:lang w:val="en-GB"/>
        </w:rPr>
        <w:t>The</w:t>
      </w:r>
      <w:r w:rsidRPr="00695F5D">
        <w:rPr>
          <w:lang w:val="en-GB"/>
        </w:rPr>
        <w:t xml:space="preserve"> </w:t>
      </w:r>
      <w:r w:rsidRPr="003444E8">
        <w:rPr>
          <w:lang w:val="en-GB"/>
        </w:rPr>
        <w:t>time</w:t>
      </w:r>
      <w:r w:rsidRPr="00695F5D">
        <w:rPr>
          <w:lang w:val="en-GB"/>
        </w:rPr>
        <w:t xml:space="preserve"> </w:t>
      </w:r>
      <w:r w:rsidRPr="003444E8">
        <w:rPr>
          <w:lang w:val="en-GB"/>
        </w:rPr>
        <w:t>from</w:t>
      </w:r>
      <w:r w:rsidRPr="00695F5D">
        <w:rPr>
          <w:lang w:val="en-GB"/>
        </w:rPr>
        <w:t xml:space="preserve"> </w:t>
      </w:r>
      <w:r w:rsidRPr="003444E8">
        <w:rPr>
          <w:lang w:val="en-GB"/>
        </w:rPr>
        <w:t>product</w:t>
      </w:r>
      <w:r w:rsidRPr="00695F5D">
        <w:rPr>
          <w:lang w:val="en-GB"/>
        </w:rPr>
        <w:t xml:space="preserve"> </w:t>
      </w:r>
      <w:r w:rsidRPr="003444E8">
        <w:rPr>
          <w:lang w:val="en-GB"/>
        </w:rPr>
        <w:t>administration</w:t>
      </w:r>
      <w:r w:rsidRPr="00695F5D">
        <w:rPr>
          <w:lang w:val="en-GB"/>
        </w:rPr>
        <w:t xml:space="preserve"> </w:t>
      </w:r>
      <w:r w:rsidRPr="003444E8">
        <w:rPr>
          <w:lang w:val="en-GB"/>
        </w:rPr>
        <w:t>to</w:t>
      </w:r>
      <w:r w:rsidRPr="00695F5D">
        <w:rPr>
          <w:lang w:val="en-GB"/>
        </w:rPr>
        <w:t xml:space="preserve"> </w:t>
      </w:r>
      <w:r w:rsidRPr="003444E8">
        <w:rPr>
          <w:lang w:val="en-GB"/>
        </w:rPr>
        <w:t>event</w:t>
      </w:r>
      <w:r w:rsidRPr="0075756B">
        <w:rPr>
          <w:lang w:val="en-GB"/>
        </w:rPr>
        <w:t xml:space="preserve"> </w:t>
      </w:r>
      <w:r w:rsidRPr="003444E8">
        <w:rPr>
          <w:lang w:val="en-GB"/>
        </w:rPr>
        <w:t>occurrence</w:t>
      </w:r>
      <w:r w:rsidRPr="0075756B">
        <w:rPr>
          <w:lang w:val="en-GB"/>
        </w:rPr>
        <w:t xml:space="preserve"> </w:t>
      </w:r>
      <w:r w:rsidRPr="003444E8">
        <w:rPr>
          <w:lang w:val="en-GB"/>
        </w:rPr>
        <w:t>was</w:t>
      </w:r>
      <w:r w:rsidRPr="0075756B">
        <w:rPr>
          <w:lang w:val="en-GB"/>
        </w:rPr>
        <w:t xml:space="preserve"> </w:t>
      </w:r>
      <w:r w:rsidRPr="003444E8">
        <w:rPr>
          <w:lang w:val="en-GB"/>
        </w:rPr>
        <w:t>variable.</w:t>
      </w:r>
    </w:p>
    <w:p w14:paraId="10DAB654" w14:textId="77777777" w:rsidR="006E62CD" w:rsidRPr="003444E8" w:rsidRDefault="00CB520A" w:rsidP="00D258EC">
      <w:pPr>
        <w:adjustRightInd w:val="0"/>
        <w:snapToGrid w:val="0"/>
        <w:spacing w:before="60" w:after="60" w:line="360" w:lineRule="auto"/>
        <w:ind w:left="108" w:rightChars="30" w:right="66"/>
        <w:rPr>
          <w:i/>
          <w:lang w:val="en-GB"/>
        </w:rPr>
      </w:pPr>
      <w:r w:rsidRPr="003444E8">
        <w:rPr>
          <w:i/>
          <w:lang w:val="en-GB"/>
        </w:rPr>
        <w:t>Osteonecrosis</w:t>
      </w:r>
      <w:r w:rsidRPr="003444E8">
        <w:rPr>
          <w:i/>
          <w:spacing w:val="-2"/>
          <w:lang w:val="en-GB"/>
        </w:rPr>
        <w:t xml:space="preserve"> </w:t>
      </w:r>
      <w:r w:rsidRPr="003444E8">
        <w:rPr>
          <w:i/>
          <w:lang w:val="en-GB"/>
        </w:rPr>
        <w:t>of</w:t>
      </w:r>
      <w:r w:rsidRPr="003444E8">
        <w:rPr>
          <w:i/>
          <w:spacing w:val="-1"/>
          <w:lang w:val="en-GB"/>
        </w:rPr>
        <w:t xml:space="preserve"> </w:t>
      </w:r>
      <w:r w:rsidRPr="003444E8">
        <w:rPr>
          <w:i/>
          <w:lang w:val="en-GB"/>
        </w:rPr>
        <w:t>the jaw</w:t>
      </w:r>
      <w:r w:rsidRPr="003444E8">
        <w:rPr>
          <w:i/>
          <w:spacing w:val="-2"/>
          <w:lang w:val="en-GB"/>
        </w:rPr>
        <w:t xml:space="preserve"> </w:t>
      </w:r>
      <w:r w:rsidRPr="003444E8">
        <w:rPr>
          <w:i/>
          <w:lang w:val="en-GB"/>
        </w:rPr>
        <w:t>(ONJ)</w:t>
      </w:r>
    </w:p>
    <w:p w14:paraId="35D5E457" w14:textId="35363C44"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In the osteoporosis clinical trial program, ONJ was reported rarely in patients treated with</w:t>
      </w:r>
      <w:r w:rsidRPr="00695F5D">
        <w:rPr>
          <w:lang w:val="en-GB"/>
        </w:rPr>
        <w:t xml:space="preserve"> </w:t>
      </w:r>
      <w:r w:rsidR="00A04F0C">
        <w:rPr>
          <w:lang w:val="en-GB"/>
        </w:rPr>
        <w:t>denosumab</w:t>
      </w:r>
      <w:r w:rsidRPr="003444E8">
        <w:rPr>
          <w:lang w:val="en-GB"/>
        </w:rPr>
        <w:t>.</w:t>
      </w:r>
    </w:p>
    <w:p w14:paraId="69A59AF8" w14:textId="77777777" w:rsidR="006E62CD" w:rsidRPr="003444E8" w:rsidRDefault="00CB520A" w:rsidP="00D258EC">
      <w:pPr>
        <w:adjustRightInd w:val="0"/>
        <w:snapToGrid w:val="0"/>
        <w:spacing w:before="60" w:after="60" w:line="360" w:lineRule="auto"/>
        <w:ind w:left="108" w:rightChars="30" w:right="66"/>
        <w:rPr>
          <w:i/>
          <w:lang w:val="en-GB"/>
        </w:rPr>
      </w:pPr>
      <w:r w:rsidRPr="003444E8">
        <w:rPr>
          <w:i/>
          <w:lang w:val="en-GB"/>
        </w:rPr>
        <w:t>Atypical</w:t>
      </w:r>
      <w:r w:rsidRPr="003444E8">
        <w:rPr>
          <w:i/>
          <w:spacing w:val="-2"/>
          <w:lang w:val="en-GB"/>
        </w:rPr>
        <w:t xml:space="preserve"> </w:t>
      </w:r>
      <w:r w:rsidRPr="003444E8">
        <w:rPr>
          <w:i/>
          <w:lang w:val="en-GB"/>
        </w:rPr>
        <w:t>femoral</w:t>
      </w:r>
      <w:r w:rsidRPr="003444E8">
        <w:rPr>
          <w:i/>
          <w:spacing w:val="-2"/>
          <w:lang w:val="en-GB"/>
        </w:rPr>
        <w:t xml:space="preserve"> </w:t>
      </w:r>
      <w:r w:rsidRPr="003444E8">
        <w:rPr>
          <w:i/>
          <w:lang w:val="en-GB"/>
        </w:rPr>
        <w:t>fractures</w:t>
      </w:r>
    </w:p>
    <w:p w14:paraId="08E990EF" w14:textId="7CB2BEDD"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In</w:t>
      </w:r>
      <w:r w:rsidRPr="00695F5D">
        <w:rPr>
          <w:lang w:val="en-GB"/>
        </w:rPr>
        <w:t xml:space="preserve"> </w:t>
      </w:r>
      <w:r w:rsidRPr="003444E8">
        <w:rPr>
          <w:lang w:val="en-GB"/>
        </w:rPr>
        <w:t>the</w:t>
      </w:r>
      <w:r w:rsidRPr="00695F5D">
        <w:rPr>
          <w:lang w:val="en-GB"/>
        </w:rPr>
        <w:t xml:space="preserve"> </w:t>
      </w:r>
      <w:r w:rsidRPr="003444E8">
        <w:rPr>
          <w:lang w:val="en-GB"/>
        </w:rPr>
        <w:t>osteoporosis</w:t>
      </w:r>
      <w:r w:rsidRPr="00695F5D">
        <w:rPr>
          <w:lang w:val="en-GB"/>
        </w:rPr>
        <w:t xml:space="preserve"> </w:t>
      </w:r>
      <w:r w:rsidRPr="003444E8">
        <w:rPr>
          <w:lang w:val="en-GB"/>
        </w:rPr>
        <w:t>clinical</w:t>
      </w:r>
      <w:r w:rsidRPr="00695F5D">
        <w:rPr>
          <w:lang w:val="en-GB"/>
        </w:rPr>
        <w:t xml:space="preserve"> </w:t>
      </w:r>
      <w:r w:rsidRPr="003444E8">
        <w:rPr>
          <w:lang w:val="en-GB"/>
        </w:rPr>
        <w:t>trial</w:t>
      </w:r>
      <w:r w:rsidRPr="00695F5D">
        <w:rPr>
          <w:lang w:val="en-GB"/>
        </w:rPr>
        <w:t xml:space="preserve"> </w:t>
      </w:r>
      <w:r w:rsidRPr="003444E8">
        <w:rPr>
          <w:lang w:val="en-GB"/>
        </w:rPr>
        <w:t>program,</w:t>
      </w:r>
      <w:r w:rsidRPr="00695F5D">
        <w:rPr>
          <w:lang w:val="en-GB"/>
        </w:rPr>
        <w:t xml:space="preserve"> </w:t>
      </w:r>
      <w:r w:rsidRPr="003444E8">
        <w:rPr>
          <w:lang w:val="en-GB"/>
        </w:rPr>
        <w:t>atypical</w:t>
      </w:r>
      <w:r w:rsidRPr="00695F5D">
        <w:rPr>
          <w:lang w:val="en-GB"/>
        </w:rPr>
        <w:t xml:space="preserve"> </w:t>
      </w:r>
      <w:r w:rsidRPr="003444E8">
        <w:rPr>
          <w:lang w:val="en-GB"/>
        </w:rPr>
        <w:t>femoral</w:t>
      </w:r>
      <w:r w:rsidRPr="00695F5D">
        <w:rPr>
          <w:lang w:val="en-GB"/>
        </w:rPr>
        <w:t xml:space="preserve"> </w:t>
      </w:r>
      <w:r w:rsidRPr="003444E8">
        <w:rPr>
          <w:lang w:val="en-GB"/>
        </w:rPr>
        <w:t>fractures</w:t>
      </w:r>
      <w:r w:rsidRPr="00695F5D">
        <w:rPr>
          <w:lang w:val="en-GB"/>
        </w:rPr>
        <w:t xml:space="preserve"> </w:t>
      </w:r>
      <w:r w:rsidRPr="003444E8">
        <w:rPr>
          <w:lang w:val="en-GB"/>
        </w:rPr>
        <w:t>were</w:t>
      </w:r>
      <w:r w:rsidRPr="00695F5D">
        <w:rPr>
          <w:lang w:val="en-GB"/>
        </w:rPr>
        <w:t xml:space="preserve"> </w:t>
      </w:r>
      <w:r w:rsidRPr="003444E8">
        <w:rPr>
          <w:lang w:val="en-GB"/>
        </w:rPr>
        <w:t>reported</w:t>
      </w:r>
      <w:r w:rsidRPr="00695F5D">
        <w:rPr>
          <w:lang w:val="en-GB"/>
        </w:rPr>
        <w:t xml:space="preserve"> </w:t>
      </w:r>
      <w:r w:rsidRPr="003444E8">
        <w:rPr>
          <w:lang w:val="en-GB"/>
        </w:rPr>
        <w:t>rarely</w:t>
      </w:r>
      <w:r w:rsidRPr="00695F5D">
        <w:rPr>
          <w:lang w:val="en-GB"/>
        </w:rPr>
        <w:t xml:space="preserve"> </w:t>
      </w:r>
      <w:r w:rsidRPr="003444E8">
        <w:rPr>
          <w:lang w:val="en-GB"/>
        </w:rPr>
        <w:t>in</w:t>
      </w:r>
      <w:r w:rsidRPr="00695F5D">
        <w:rPr>
          <w:lang w:val="en-GB"/>
        </w:rPr>
        <w:t xml:space="preserve"> </w:t>
      </w:r>
      <w:r w:rsidRPr="003444E8">
        <w:rPr>
          <w:lang w:val="en-GB"/>
        </w:rPr>
        <w:t xml:space="preserve">patients treated with </w:t>
      </w:r>
      <w:r w:rsidR="00A04F0C">
        <w:rPr>
          <w:lang w:val="en-GB"/>
        </w:rPr>
        <w:t>denosumab</w:t>
      </w:r>
      <w:r w:rsidRPr="003444E8">
        <w:rPr>
          <w:lang w:val="en-GB"/>
        </w:rPr>
        <w:t>.</w:t>
      </w:r>
    </w:p>
    <w:p w14:paraId="0369D3C8" w14:textId="70510D08" w:rsidR="006E62CD" w:rsidRPr="00695F5D" w:rsidRDefault="00CB520A" w:rsidP="00D258EC">
      <w:pPr>
        <w:pStyle w:val="BodyText"/>
        <w:adjustRightInd w:val="0"/>
        <w:snapToGrid w:val="0"/>
        <w:spacing w:before="60" w:after="60" w:line="360" w:lineRule="auto"/>
        <w:ind w:left="108" w:rightChars="30" w:right="66"/>
        <w:rPr>
          <w:lang w:val="en-GB"/>
        </w:rPr>
      </w:pPr>
      <w:r w:rsidRPr="00695F5D">
        <w:rPr>
          <w:lang w:val="en-GB"/>
        </w:rPr>
        <w:t xml:space="preserve">Multiple vertebral fractures (MVF) following discontinuation of </w:t>
      </w:r>
      <w:r w:rsidR="00A04F0C">
        <w:rPr>
          <w:lang w:val="en-GB"/>
        </w:rPr>
        <w:t>denosumab</w:t>
      </w:r>
      <w:r w:rsidRPr="00695F5D">
        <w:rPr>
          <w:lang w:val="en-GB"/>
        </w:rPr>
        <w:t xml:space="preserve"> treatment</w:t>
      </w:r>
    </w:p>
    <w:p w14:paraId="082F311A" w14:textId="706DE9B5"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In the osteoporosis clinical trial program, MVF were reported in patients following</w:t>
      </w:r>
      <w:r w:rsidRPr="00695F5D">
        <w:rPr>
          <w:lang w:val="en-GB"/>
        </w:rPr>
        <w:t xml:space="preserve"> </w:t>
      </w:r>
      <w:r w:rsidRPr="003444E8">
        <w:rPr>
          <w:lang w:val="en-GB"/>
        </w:rPr>
        <w:t>discontinuation</w:t>
      </w:r>
      <w:r w:rsidRPr="00695F5D">
        <w:rPr>
          <w:lang w:val="en-GB"/>
        </w:rPr>
        <w:t xml:space="preserve"> </w:t>
      </w:r>
      <w:r w:rsidRPr="003444E8">
        <w:rPr>
          <w:lang w:val="en-GB"/>
        </w:rPr>
        <w:t>of</w:t>
      </w:r>
      <w:r w:rsidRPr="00695F5D">
        <w:rPr>
          <w:lang w:val="en-GB"/>
        </w:rPr>
        <w:t xml:space="preserve"> </w:t>
      </w:r>
      <w:r w:rsidRPr="003444E8">
        <w:rPr>
          <w:lang w:val="en-GB"/>
        </w:rPr>
        <w:t>treatment</w:t>
      </w:r>
      <w:r w:rsidRPr="00695F5D">
        <w:rPr>
          <w:lang w:val="en-GB"/>
        </w:rPr>
        <w:t xml:space="preserve"> </w:t>
      </w:r>
      <w:r w:rsidRPr="003444E8">
        <w:rPr>
          <w:lang w:val="en-GB"/>
        </w:rPr>
        <w:t>with</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particularly</w:t>
      </w:r>
      <w:r w:rsidRPr="00695F5D">
        <w:rPr>
          <w:lang w:val="en-GB"/>
        </w:rPr>
        <w:t xml:space="preserve"> </w:t>
      </w:r>
      <w:r w:rsidRPr="003444E8">
        <w:rPr>
          <w:lang w:val="en-GB"/>
        </w:rPr>
        <w:t>in</w:t>
      </w:r>
      <w:r w:rsidRPr="00695F5D">
        <w:rPr>
          <w:lang w:val="en-GB"/>
        </w:rPr>
        <w:t xml:space="preserve"> </w:t>
      </w:r>
      <w:r w:rsidRPr="003444E8">
        <w:rPr>
          <w:lang w:val="en-GB"/>
        </w:rPr>
        <w:t>those</w:t>
      </w:r>
      <w:r w:rsidRPr="00695F5D">
        <w:rPr>
          <w:lang w:val="en-GB"/>
        </w:rPr>
        <w:t xml:space="preserve"> </w:t>
      </w:r>
      <w:r w:rsidRPr="003444E8">
        <w:rPr>
          <w:lang w:val="en-GB"/>
        </w:rPr>
        <w:t>with</w:t>
      </w:r>
      <w:r w:rsidRPr="00695F5D">
        <w:rPr>
          <w:lang w:val="en-GB"/>
        </w:rPr>
        <w:t xml:space="preserve"> </w:t>
      </w:r>
      <w:r w:rsidRPr="003444E8">
        <w:rPr>
          <w:lang w:val="en-GB"/>
        </w:rPr>
        <w:t>a</w:t>
      </w:r>
      <w:r w:rsidRPr="00695F5D">
        <w:rPr>
          <w:lang w:val="en-GB"/>
        </w:rPr>
        <w:t xml:space="preserve"> </w:t>
      </w:r>
      <w:r w:rsidRPr="003444E8">
        <w:rPr>
          <w:lang w:val="en-GB"/>
        </w:rPr>
        <w:t>history</w:t>
      </w:r>
      <w:r w:rsidRPr="00695F5D">
        <w:rPr>
          <w:lang w:val="en-GB"/>
        </w:rPr>
        <w:t xml:space="preserve"> </w:t>
      </w:r>
      <w:r w:rsidRPr="003444E8">
        <w:rPr>
          <w:lang w:val="en-GB"/>
        </w:rPr>
        <w:t>of</w:t>
      </w:r>
      <w:r w:rsidRPr="00695F5D">
        <w:rPr>
          <w:lang w:val="en-GB"/>
        </w:rPr>
        <w:t xml:space="preserve"> </w:t>
      </w:r>
      <w:r w:rsidRPr="003444E8">
        <w:rPr>
          <w:lang w:val="en-GB"/>
        </w:rPr>
        <w:lastRenderedPageBreak/>
        <w:t>vertebral</w:t>
      </w:r>
      <w:r w:rsidRPr="00695F5D">
        <w:rPr>
          <w:lang w:val="en-GB"/>
        </w:rPr>
        <w:t xml:space="preserve"> </w:t>
      </w:r>
      <w:r w:rsidRPr="003444E8">
        <w:rPr>
          <w:lang w:val="en-GB"/>
        </w:rPr>
        <w:t>fracture.</w:t>
      </w:r>
    </w:p>
    <w:p w14:paraId="157B57B0" w14:textId="77777777" w:rsidR="006E62CD" w:rsidRPr="003444E8" w:rsidRDefault="00CB520A" w:rsidP="00D258EC">
      <w:pPr>
        <w:adjustRightInd w:val="0"/>
        <w:snapToGrid w:val="0"/>
        <w:spacing w:before="60" w:after="60" w:line="360" w:lineRule="auto"/>
        <w:ind w:left="108" w:rightChars="30" w:right="66"/>
        <w:rPr>
          <w:i/>
          <w:lang w:val="en-GB"/>
        </w:rPr>
      </w:pPr>
      <w:r w:rsidRPr="003444E8">
        <w:rPr>
          <w:i/>
          <w:lang w:val="en-GB"/>
        </w:rPr>
        <w:t>Long-term</w:t>
      </w:r>
      <w:r w:rsidRPr="003444E8">
        <w:rPr>
          <w:i/>
          <w:spacing w:val="-4"/>
          <w:lang w:val="en-GB"/>
        </w:rPr>
        <w:t xml:space="preserve"> </w:t>
      </w:r>
      <w:r w:rsidRPr="003444E8">
        <w:rPr>
          <w:i/>
          <w:lang w:val="en-GB"/>
        </w:rPr>
        <w:t>safety</w:t>
      </w:r>
      <w:r w:rsidRPr="003444E8">
        <w:rPr>
          <w:i/>
          <w:spacing w:val="-2"/>
          <w:lang w:val="en-GB"/>
        </w:rPr>
        <w:t xml:space="preserve"> </w:t>
      </w:r>
      <w:r w:rsidRPr="003444E8">
        <w:rPr>
          <w:i/>
          <w:lang w:val="en-GB"/>
        </w:rPr>
        <w:t>in</w:t>
      </w:r>
      <w:r w:rsidRPr="003444E8">
        <w:rPr>
          <w:i/>
          <w:spacing w:val="-1"/>
          <w:lang w:val="en-GB"/>
        </w:rPr>
        <w:t xml:space="preserve"> </w:t>
      </w:r>
      <w:r w:rsidRPr="003444E8">
        <w:rPr>
          <w:i/>
          <w:lang w:val="en-GB"/>
        </w:rPr>
        <w:t>postmenopausal osteoporosis</w:t>
      </w:r>
    </w:p>
    <w:p w14:paraId="481712AF" w14:textId="2F8D3E4E"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A total of 4,550 women who completed FREEDOM (Study 20030216, N = 7,808)</w:t>
      </w:r>
      <w:r w:rsidRPr="00695F5D">
        <w:rPr>
          <w:lang w:val="en-GB"/>
        </w:rPr>
        <w:t xml:space="preserve"> </w:t>
      </w:r>
      <w:r w:rsidRPr="003444E8">
        <w:rPr>
          <w:lang w:val="en-GB"/>
        </w:rPr>
        <w:t>enrolled into FREEDOM Extension (Study 20060289), a 7-year, multinational,</w:t>
      </w:r>
      <w:r w:rsidRPr="00695F5D">
        <w:rPr>
          <w:lang w:val="en-GB"/>
        </w:rPr>
        <w:t xml:space="preserve"> </w:t>
      </w:r>
      <w:r w:rsidRPr="003444E8">
        <w:rPr>
          <w:lang w:val="en-GB"/>
        </w:rPr>
        <w:t>multicentre, open-label, single-arm extension study to evaluate the long-term safety and</w:t>
      </w:r>
      <w:r w:rsidRPr="00695F5D">
        <w:rPr>
          <w:lang w:val="en-GB"/>
        </w:rPr>
        <w:t xml:space="preserve"> efficacy of </w:t>
      </w:r>
      <w:r w:rsidR="00A04F0C">
        <w:rPr>
          <w:lang w:val="en-GB"/>
        </w:rPr>
        <w:t>denosumab</w:t>
      </w:r>
      <w:r w:rsidRPr="00695F5D">
        <w:rPr>
          <w:lang w:val="en-GB"/>
        </w:rPr>
        <w:t>.</w:t>
      </w:r>
      <w:r w:rsidRPr="003444E8">
        <w:rPr>
          <w:lang w:val="en-GB"/>
        </w:rPr>
        <w:t xml:space="preserve"> </w:t>
      </w:r>
      <w:r w:rsidRPr="00695F5D">
        <w:rPr>
          <w:lang w:val="en-GB"/>
        </w:rPr>
        <w:t xml:space="preserve">All </w:t>
      </w:r>
      <w:r w:rsidRPr="003444E8">
        <w:rPr>
          <w:lang w:val="en-GB"/>
        </w:rPr>
        <w:t xml:space="preserve">patients in the extension study received </w:t>
      </w:r>
      <w:r w:rsidR="00A04F0C">
        <w:rPr>
          <w:lang w:val="en-GB"/>
        </w:rPr>
        <w:t>denosumab</w:t>
      </w:r>
      <w:r w:rsidR="00695F5D" w:rsidRPr="003444E8">
        <w:rPr>
          <w:lang w:val="en-GB"/>
        </w:rPr>
        <w:t xml:space="preserve"> </w:t>
      </w:r>
      <w:r w:rsidRPr="003444E8">
        <w:rPr>
          <w:lang w:val="en-GB"/>
        </w:rPr>
        <w:t>every 6 months as a</w:t>
      </w:r>
      <w:r w:rsidRPr="00695F5D">
        <w:rPr>
          <w:lang w:val="en-GB"/>
        </w:rPr>
        <w:t xml:space="preserve"> </w:t>
      </w:r>
      <w:r w:rsidRPr="003444E8">
        <w:rPr>
          <w:lang w:val="en-GB"/>
        </w:rPr>
        <w:t>single</w:t>
      </w:r>
      <w:r w:rsidRPr="00695F5D">
        <w:rPr>
          <w:lang w:val="en-GB"/>
        </w:rPr>
        <w:t xml:space="preserve"> </w:t>
      </w:r>
      <w:r w:rsidRPr="003444E8">
        <w:rPr>
          <w:lang w:val="en-GB"/>
        </w:rPr>
        <w:t>SC</w:t>
      </w:r>
      <w:r w:rsidRPr="00695F5D">
        <w:rPr>
          <w:lang w:val="en-GB"/>
        </w:rPr>
        <w:t xml:space="preserve"> </w:t>
      </w:r>
      <w:r w:rsidRPr="003444E8">
        <w:rPr>
          <w:lang w:val="en-GB"/>
        </w:rPr>
        <w:t>60</w:t>
      </w:r>
      <w:r w:rsidRPr="00695F5D">
        <w:rPr>
          <w:lang w:val="en-GB"/>
        </w:rPr>
        <w:t xml:space="preserve"> </w:t>
      </w:r>
      <w:r w:rsidRPr="003444E8">
        <w:rPr>
          <w:lang w:val="en-GB"/>
        </w:rPr>
        <w:t>mg</w:t>
      </w:r>
      <w:r w:rsidRPr="00695F5D">
        <w:rPr>
          <w:lang w:val="en-GB"/>
        </w:rPr>
        <w:t xml:space="preserve"> </w:t>
      </w:r>
      <w:r w:rsidRPr="003444E8">
        <w:rPr>
          <w:lang w:val="en-GB"/>
        </w:rPr>
        <w:t>dose,</w:t>
      </w:r>
      <w:r w:rsidRPr="00695F5D">
        <w:rPr>
          <w:lang w:val="en-GB"/>
        </w:rPr>
        <w:t xml:space="preserve"> </w:t>
      </w:r>
      <w:r w:rsidRPr="003444E8">
        <w:rPr>
          <w:lang w:val="en-GB"/>
        </w:rPr>
        <w:t>as well</w:t>
      </w:r>
      <w:r w:rsidRPr="00695F5D">
        <w:rPr>
          <w:lang w:val="en-GB"/>
        </w:rPr>
        <w:t xml:space="preserve"> </w:t>
      </w:r>
      <w:r w:rsidRPr="003444E8">
        <w:rPr>
          <w:lang w:val="en-GB"/>
        </w:rPr>
        <w:t>as daily</w:t>
      </w:r>
      <w:r w:rsidRPr="00695F5D">
        <w:rPr>
          <w:lang w:val="en-GB"/>
        </w:rPr>
        <w:t xml:space="preserve"> </w:t>
      </w:r>
      <w:r w:rsidRPr="003444E8">
        <w:rPr>
          <w:lang w:val="en-GB"/>
        </w:rPr>
        <w:t>calcium</w:t>
      </w:r>
      <w:r w:rsidRPr="00695F5D">
        <w:rPr>
          <w:lang w:val="en-GB"/>
        </w:rPr>
        <w:t xml:space="preserve"> </w:t>
      </w:r>
      <w:r w:rsidRPr="003444E8">
        <w:rPr>
          <w:lang w:val="en-GB"/>
        </w:rPr>
        <w:t>(1,000</w:t>
      </w:r>
      <w:r w:rsidRPr="00695F5D">
        <w:rPr>
          <w:lang w:val="en-GB"/>
        </w:rPr>
        <w:t xml:space="preserve"> </w:t>
      </w:r>
      <w:r w:rsidRPr="003444E8">
        <w:rPr>
          <w:lang w:val="en-GB"/>
        </w:rPr>
        <w:t>mg)</w:t>
      </w:r>
      <w:r w:rsidRPr="00695F5D">
        <w:rPr>
          <w:lang w:val="en-GB"/>
        </w:rPr>
        <w:t xml:space="preserve"> </w:t>
      </w:r>
      <w:r w:rsidRPr="003444E8">
        <w:rPr>
          <w:lang w:val="en-GB"/>
        </w:rPr>
        <w:t>and</w:t>
      </w:r>
      <w:r w:rsidRPr="00695F5D">
        <w:rPr>
          <w:lang w:val="en-GB"/>
        </w:rPr>
        <w:t xml:space="preserve"> </w:t>
      </w:r>
      <w:r w:rsidRPr="003444E8">
        <w:rPr>
          <w:lang w:val="en-GB"/>
        </w:rPr>
        <w:t>vitamin</w:t>
      </w:r>
      <w:r w:rsidRPr="00695F5D">
        <w:rPr>
          <w:lang w:val="en-GB"/>
        </w:rPr>
        <w:t xml:space="preserve"> </w:t>
      </w:r>
      <w:r w:rsidRPr="003444E8">
        <w:rPr>
          <w:lang w:val="en-GB"/>
        </w:rPr>
        <w:t>D</w:t>
      </w:r>
      <w:r w:rsidRPr="00695F5D">
        <w:rPr>
          <w:lang w:val="en-GB"/>
        </w:rPr>
        <w:t xml:space="preserve"> </w:t>
      </w:r>
      <w:r w:rsidRPr="003444E8">
        <w:rPr>
          <w:lang w:val="en-GB"/>
        </w:rPr>
        <w:t>(at least</w:t>
      </w:r>
      <w:r w:rsidR="00695F5D">
        <w:rPr>
          <w:lang w:val="en-GB"/>
        </w:rPr>
        <w:t xml:space="preserve"> </w:t>
      </w:r>
      <w:r w:rsidRPr="003444E8">
        <w:rPr>
          <w:lang w:val="en-GB"/>
        </w:rPr>
        <w:t>400</w:t>
      </w:r>
      <w:r w:rsidRPr="00695F5D">
        <w:rPr>
          <w:lang w:val="en-GB"/>
        </w:rPr>
        <w:t xml:space="preserve"> </w:t>
      </w:r>
      <w:r w:rsidRPr="003444E8">
        <w:rPr>
          <w:lang w:val="en-GB"/>
        </w:rPr>
        <w:t>IU).</w:t>
      </w:r>
    </w:p>
    <w:p w14:paraId="55F4F844"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During the FREEDOM Extension study, the rates of adverse events observed through</w:t>
      </w:r>
      <w:r w:rsidRPr="00695F5D">
        <w:rPr>
          <w:lang w:val="en-GB"/>
        </w:rPr>
        <w:t xml:space="preserve"> </w:t>
      </w:r>
      <w:r w:rsidRPr="003444E8">
        <w:rPr>
          <w:lang w:val="en-GB"/>
        </w:rPr>
        <w:t>month 84 have not shown an increase over time and were similar to those observed in</w:t>
      </w:r>
      <w:r w:rsidRPr="00695F5D">
        <w:rPr>
          <w:lang w:val="en-GB"/>
        </w:rPr>
        <w:t xml:space="preserve"> </w:t>
      </w:r>
      <w:r w:rsidRPr="003444E8">
        <w:rPr>
          <w:lang w:val="en-GB"/>
        </w:rPr>
        <w:t>the initial 3 years of FREEDOM.</w:t>
      </w:r>
      <w:r w:rsidRPr="00695F5D">
        <w:rPr>
          <w:lang w:val="en-GB"/>
        </w:rPr>
        <w:t xml:space="preserve"> </w:t>
      </w:r>
      <w:r w:rsidRPr="003444E8">
        <w:rPr>
          <w:lang w:val="en-GB"/>
        </w:rPr>
        <w:t>Thirteen adjudicated cases of osteonecrosis of the jaw</w:t>
      </w:r>
      <w:r w:rsidRPr="00695F5D">
        <w:rPr>
          <w:lang w:val="en-GB"/>
        </w:rPr>
        <w:t xml:space="preserve"> </w:t>
      </w:r>
      <w:r w:rsidRPr="003444E8">
        <w:rPr>
          <w:lang w:val="en-GB"/>
        </w:rPr>
        <w:t>(ONJ)</w:t>
      </w:r>
      <w:r w:rsidRPr="00695F5D">
        <w:rPr>
          <w:lang w:val="en-GB"/>
        </w:rPr>
        <w:t xml:space="preserve"> </w:t>
      </w:r>
      <w:r w:rsidRPr="003444E8">
        <w:rPr>
          <w:lang w:val="en-GB"/>
        </w:rPr>
        <w:t>and</w:t>
      </w:r>
      <w:r w:rsidRPr="00695F5D">
        <w:rPr>
          <w:lang w:val="en-GB"/>
        </w:rPr>
        <w:t xml:space="preserve"> </w:t>
      </w:r>
      <w:r w:rsidRPr="003444E8">
        <w:rPr>
          <w:lang w:val="en-GB"/>
        </w:rPr>
        <w:t>two</w:t>
      </w:r>
      <w:r w:rsidRPr="00695F5D">
        <w:rPr>
          <w:lang w:val="en-GB"/>
        </w:rPr>
        <w:t xml:space="preserve"> </w:t>
      </w:r>
      <w:r w:rsidRPr="003444E8">
        <w:rPr>
          <w:lang w:val="en-GB"/>
        </w:rPr>
        <w:t>atypical</w:t>
      </w:r>
      <w:r w:rsidRPr="00695F5D">
        <w:rPr>
          <w:lang w:val="en-GB"/>
        </w:rPr>
        <w:t xml:space="preserve"> </w:t>
      </w:r>
      <w:r w:rsidRPr="003444E8">
        <w:rPr>
          <w:lang w:val="en-GB"/>
        </w:rPr>
        <w:t>fractures</w:t>
      </w:r>
      <w:r w:rsidRPr="00695F5D">
        <w:rPr>
          <w:lang w:val="en-GB"/>
        </w:rPr>
        <w:t xml:space="preserve"> </w:t>
      </w:r>
      <w:r w:rsidRPr="003444E8">
        <w:rPr>
          <w:lang w:val="en-GB"/>
        </w:rPr>
        <w:t>of</w:t>
      </w:r>
      <w:r w:rsidRPr="00695F5D">
        <w:rPr>
          <w:lang w:val="en-GB"/>
        </w:rPr>
        <w:t xml:space="preserve"> </w:t>
      </w:r>
      <w:r w:rsidRPr="003444E8">
        <w:rPr>
          <w:lang w:val="en-GB"/>
        </w:rPr>
        <w:t>the</w:t>
      </w:r>
      <w:r w:rsidRPr="00695F5D">
        <w:rPr>
          <w:lang w:val="en-GB"/>
        </w:rPr>
        <w:t xml:space="preserve"> </w:t>
      </w:r>
      <w:r w:rsidRPr="003444E8">
        <w:rPr>
          <w:lang w:val="en-GB"/>
        </w:rPr>
        <w:t>femur</w:t>
      </w:r>
      <w:r w:rsidRPr="00695F5D">
        <w:rPr>
          <w:lang w:val="en-GB"/>
        </w:rPr>
        <w:t xml:space="preserve"> </w:t>
      </w:r>
      <w:r w:rsidRPr="003444E8">
        <w:rPr>
          <w:lang w:val="en-GB"/>
        </w:rPr>
        <w:t>have</w:t>
      </w:r>
      <w:r w:rsidRPr="00695F5D">
        <w:rPr>
          <w:lang w:val="en-GB"/>
        </w:rPr>
        <w:t xml:space="preserve"> </w:t>
      </w:r>
      <w:r w:rsidRPr="003444E8">
        <w:rPr>
          <w:lang w:val="en-GB"/>
        </w:rPr>
        <w:t>occurred</w:t>
      </w:r>
      <w:r w:rsidRPr="00695F5D">
        <w:rPr>
          <w:lang w:val="en-GB"/>
        </w:rPr>
        <w:t xml:space="preserve"> </w:t>
      </w:r>
      <w:r w:rsidRPr="003444E8">
        <w:rPr>
          <w:lang w:val="en-GB"/>
        </w:rPr>
        <w:t>during</w:t>
      </w:r>
      <w:r w:rsidRPr="00695F5D">
        <w:rPr>
          <w:lang w:val="en-GB"/>
        </w:rPr>
        <w:t xml:space="preserve"> </w:t>
      </w:r>
      <w:r w:rsidRPr="003444E8">
        <w:rPr>
          <w:lang w:val="en-GB"/>
        </w:rPr>
        <w:t>the</w:t>
      </w:r>
      <w:r w:rsidRPr="00695F5D">
        <w:rPr>
          <w:lang w:val="en-GB"/>
        </w:rPr>
        <w:t xml:space="preserve"> </w:t>
      </w:r>
      <w:r w:rsidRPr="003444E8">
        <w:rPr>
          <w:lang w:val="en-GB"/>
        </w:rPr>
        <w:t>extension</w:t>
      </w:r>
      <w:r w:rsidRPr="00695F5D">
        <w:rPr>
          <w:lang w:val="en-GB"/>
        </w:rPr>
        <w:t xml:space="preserve"> </w:t>
      </w:r>
      <w:r w:rsidRPr="003444E8">
        <w:rPr>
          <w:lang w:val="en-GB"/>
        </w:rPr>
        <w:t>study.</w:t>
      </w:r>
    </w:p>
    <w:p w14:paraId="7CBE7041"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Treatment</w:t>
      </w:r>
      <w:r w:rsidRPr="003444E8">
        <w:rPr>
          <w:spacing w:val="-3"/>
          <w:u w:val="single"/>
          <w:lang w:val="en-GB"/>
        </w:rPr>
        <w:t xml:space="preserve"> </w:t>
      </w:r>
      <w:r w:rsidRPr="003444E8">
        <w:rPr>
          <w:u w:val="single"/>
          <w:lang w:val="en-GB"/>
        </w:rPr>
        <w:t>of</w:t>
      </w:r>
      <w:r w:rsidRPr="003444E8">
        <w:rPr>
          <w:spacing w:val="-1"/>
          <w:u w:val="single"/>
          <w:lang w:val="en-GB"/>
        </w:rPr>
        <w:t xml:space="preserve"> </w:t>
      </w:r>
      <w:r w:rsidRPr="003444E8">
        <w:rPr>
          <w:u w:val="single"/>
          <w:lang w:val="en-GB"/>
        </w:rPr>
        <w:t>osteoporosis</w:t>
      </w:r>
      <w:r w:rsidRPr="003444E8">
        <w:rPr>
          <w:spacing w:val="-2"/>
          <w:u w:val="single"/>
          <w:lang w:val="en-GB"/>
        </w:rPr>
        <w:t xml:space="preserve"> </w:t>
      </w:r>
      <w:r w:rsidRPr="003444E8">
        <w:rPr>
          <w:u w:val="single"/>
          <w:lang w:val="en-GB"/>
        </w:rPr>
        <w:t>in</w:t>
      </w:r>
      <w:r w:rsidRPr="003444E8">
        <w:rPr>
          <w:spacing w:val="-1"/>
          <w:u w:val="single"/>
          <w:lang w:val="en-GB"/>
        </w:rPr>
        <w:t xml:space="preserve"> </w:t>
      </w:r>
      <w:r w:rsidRPr="003444E8">
        <w:rPr>
          <w:u w:val="single"/>
          <w:lang w:val="en-GB"/>
        </w:rPr>
        <w:t>men</w:t>
      </w:r>
    </w:p>
    <w:p w14:paraId="6E030D77" w14:textId="730923D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The</w:t>
      </w:r>
      <w:r w:rsidRPr="00695F5D">
        <w:rPr>
          <w:lang w:val="en-GB"/>
        </w:rPr>
        <w:t xml:space="preserve"> </w:t>
      </w:r>
      <w:r w:rsidRPr="003444E8">
        <w:rPr>
          <w:lang w:val="en-GB"/>
        </w:rPr>
        <w:t>safety</w:t>
      </w:r>
      <w:r w:rsidRPr="00695F5D">
        <w:rPr>
          <w:lang w:val="en-GB"/>
        </w:rPr>
        <w:t xml:space="preserve"> </w:t>
      </w:r>
      <w:r w:rsidRPr="003444E8">
        <w:rPr>
          <w:lang w:val="en-GB"/>
        </w:rPr>
        <w:t>of</w:t>
      </w:r>
      <w:r w:rsidRPr="00695F5D">
        <w:rPr>
          <w:lang w:val="en-GB"/>
        </w:rPr>
        <w:t xml:space="preserve"> </w:t>
      </w:r>
      <w:r w:rsidR="00A04F0C">
        <w:rPr>
          <w:lang w:val="en-GB"/>
        </w:rPr>
        <w:t>denosumab</w:t>
      </w:r>
      <w:r w:rsidR="00695F5D" w:rsidRPr="00695F5D">
        <w:rPr>
          <w:lang w:val="en-GB"/>
        </w:rPr>
        <w:t xml:space="preserve"> </w:t>
      </w:r>
      <w:r w:rsidRPr="003444E8">
        <w:rPr>
          <w:lang w:val="en-GB"/>
        </w:rPr>
        <w:t>in</w:t>
      </w:r>
      <w:r w:rsidRPr="00695F5D">
        <w:rPr>
          <w:lang w:val="en-GB"/>
        </w:rPr>
        <w:t xml:space="preserve"> </w:t>
      </w:r>
      <w:r w:rsidRPr="003444E8">
        <w:rPr>
          <w:lang w:val="en-GB"/>
        </w:rPr>
        <w:t>the</w:t>
      </w:r>
      <w:r w:rsidRPr="00695F5D">
        <w:rPr>
          <w:lang w:val="en-GB"/>
        </w:rPr>
        <w:t xml:space="preserve"> </w:t>
      </w:r>
      <w:r w:rsidRPr="003444E8">
        <w:rPr>
          <w:lang w:val="en-GB"/>
        </w:rPr>
        <w:t>treatment</w:t>
      </w:r>
      <w:r w:rsidRPr="00695F5D">
        <w:rPr>
          <w:lang w:val="en-GB"/>
        </w:rPr>
        <w:t xml:space="preserve"> </w:t>
      </w:r>
      <w:r w:rsidRPr="003444E8">
        <w:rPr>
          <w:lang w:val="en-GB"/>
        </w:rPr>
        <w:t>of</w:t>
      </w:r>
      <w:r w:rsidRPr="00695F5D">
        <w:rPr>
          <w:lang w:val="en-GB"/>
        </w:rPr>
        <w:t xml:space="preserve"> </w:t>
      </w:r>
      <w:r w:rsidRPr="003444E8">
        <w:rPr>
          <w:lang w:val="en-GB"/>
        </w:rPr>
        <w:t>men</w:t>
      </w:r>
      <w:r w:rsidRPr="00695F5D">
        <w:rPr>
          <w:lang w:val="en-GB"/>
        </w:rPr>
        <w:t xml:space="preserve"> </w:t>
      </w:r>
      <w:r w:rsidRPr="003444E8">
        <w:rPr>
          <w:lang w:val="en-GB"/>
        </w:rPr>
        <w:t>with</w:t>
      </w:r>
      <w:r w:rsidRPr="00695F5D">
        <w:rPr>
          <w:lang w:val="en-GB"/>
        </w:rPr>
        <w:t xml:space="preserve"> </w:t>
      </w:r>
      <w:r w:rsidRPr="003444E8">
        <w:rPr>
          <w:lang w:val="en-GB"/>
        </w:rPr>
        <w:t>osteoporosis</w:t>
      </w:r>
      <w:r w:rsidRPr="00695F5D">
        <w:rPr>
          <w:lang w:val="en-GB"/>
        </w:rPr>
        <w:t xml:space="preserve"> </w:t>
      </w:r>
      <w:r w:rsidRPr="003444E8">
        <w:rPr>
          <w:lang w:val="en-GB"/>
        </w:rPr>
        <w:t>was</w:t>
      </w:r>
      <w:r w:rsidRPr="00695F5D">
        <w:rPr>
          <w:lang w:val="en-GB"/>
        </w:rPr>
        <w:t xml:space="preserve"> </w:t>
      </w:r>
      <w:r w:rsidRPr="003444E8">
        <w:rPr>
          <w:lang w:val="en-GB"/>
        </w:rPr>
        <w:t>assessed</w:t>
      </w:r>
      <w:r w:rsidRPr="00695F5D">
        <w:rPr>
          <w:lang w:val="en-GB"/>
        </w:rPr>
        <w:t xml:space="preserve"> </w:t>
      </w:r>
      <w:r w:rsidRPr="003444E8">
        <w:rPr>
          <w:lang w:val="en-GB"/>
        </w:rPr>
        <w:t>in</w:t>
      </w:r>
      <w:r w:rsidRPr="00695F5D">
        <w:rPr>
          <w:lang w:val="en-GB"/>
        </w:rPr>
        <w:t xml:space="preserve"> </w:t>
      </w:r>
      <w:r w:rsidRPr="003444E8">
        <w:rPr>
          <w:lang w:val="en-GB"/>
        </w:rPr>
        <w:t>ADAMO,</w:t>
      </w:r>
      <w:r w:rsidRPr="00695F5D">
        <w:rPr>
          <w:lang w:val="en-GB"/>
        </w:rPr>
        <w:t xml:space="preserve"> </w:t>
      </w:r>
      <w:r w:rsidRPr="003444E8">
        <w:rPr>
          <w:lang w:val="en-GB"/>
        </w:rPr>
        <w:t>a randomised, double-blind, placebo-controlled study; a 1 year double-blind phase</w:t>
      </w:r>
      <w:r w:rsidRPr="00695F5D">
        <w:rPr>
          <w:lang w:val="en-GB"/>
        </w:rPr>
        <w:t xml:space="preserve"> </w:t>
      </w:r>
      <w:r w:rsidRPr="003444E8">
        <w:rPr>
          <w:lang w:val="en-GB"/>
        </w:rPr>
        <w:t>followed by a 1 year open-label extension.</w:t>
      </w:r>
      <w:r w:rsidRPr="00695F5D">
        <w:rPr>
          <w:lang w:val="en-GB"/>
        </w:rPr>
        <w:t xml:space="preserve"> </w:t>
      </w:r>
      <w:r w:rsidRPr="003444E8">
        <w:rPr>
          <w:lang w:val="en-GB"/>
        </w:rPr>
        <w:t>During the double-blind phase, a total of 120</w:t>
      </w:r>
      <w:r w:rsidRPr="00695F5D">
        <w:rPr>
          <w:lang w:val="en-GB"/>
        </w:rPr>
        <w:t xml:space="preserve"> </w:t>
      </w:r>
      <w:r w:rsidRPr="003444E8">
        <w:rPr>
          <w:lang w:val="en-GB"/>
        </w:rPr>
        <w:t xml:space="preserve">men were exposed to </w:t>
      </w:r>
      <w:r w:rsidR="00A04F0C">
        <w:rPr>
          <w:lang w:val="en-GB"/>
        </w:rPr>
        <w:t>denosumab</w:t>
      </w:r>
      <w:r w:rsidR="00695F5D" w:rsidRPr="003444E8">
        <w:rPr>
          <w:lang w:val="en-GB"/>
        </w:rPr>
        <w:t xml:space="preserve"> </w:t>
      </w:r>
      <w:r w:rsidRPr="003444E8">
        <w:rPr>
          <w:lang w:val="en-GB"/>
        </w:rPr>
        <w:t>and 120 men were exposed to placebo administered</w:t>
      </w:r>
      <w:r w:rsidRPr="00695F5D">
        <w:rPr>
          <w:lang w:val="en-GB"/>
        </w:rPr>
        <w:t xml:space="preserve"> </w:t>
      </w:r>
      <w:r w:rsidRPr="003444E8">
        <w:rPr>
          <w:lang w:val="en-GB"/>
        </w:rPr>
        <w:t>subcutaneously once every 6 months as a single 60 mg dose.</w:t>
      </w:r>
      <w:r w:rsidRPr="00695F5D">
        <w:rPr>
          <w:lang w:val="en-GB"/>
        </w:rPr>
        <w:t xml:space="preserve"> </w:t>
      </w:r>
      <w:r w:rsidRPr="003444E8">
        <w:rPr>
          <w:lang w:val="en-GB"/>
        </w:rPr>
        <w:t>All men were instructed</w:t>
      </w:r>
      <w:r w:rsidRPr="00695F5D">
        <w:rPr>
          <w:lang w:val="en-GB"/>
        </w:rPr>
        <w:t xml:space="preserve"> </w:t>
      </w:r>
      <w:r w:rsidRPr="003444E8">
        <w:rPr>
          <w:lang w:val="en-GB"/>
        </w:rPr>
        <w:t>to</w:t>
      </w:r>
      <w:r w:rsidRPr="00695F5D">
        <w:rPr>
          <w:lang w:val="en-GB"/>
        </w:rPr>
        <w:t xml:space="preserve"> </w:t>
      </w:r>
      <w:r w:rsidRPr="003444E8">
        <w:rPr>
          <w:lang w:val="en-GB"/>
        </w:rPr>
        <w:t>take</w:t>
      </w:r>
      <w:r w:rsidRPr="00695F5D">
        <w:rPr>
          <w:lang w:val="en-GB"/>
        </w:rPr>
        <w:t xml:space="preserve"> </w:t>
      </w:r>
      <w:r w:rsidRPr="003444E8">
        <w:rPr>
          <w:lang w:val="en-GB"/>
        </w:rPr>
        <w:t>at</w:t>
      </w:r>
      <w:r w:rsidRPr="00695F5D">
        <w:rPr>
          <w:lang w:val="en-GB"/>
        </w:rPr>
        <w:t xml:space="preserve"> </w:t>
      </w:r>
      <w:r w:rsidRPr="003444E8">
        <w:rPr>
          <w:lang w:val="en-GB"/>
        </w:rPr>
        <w:t>least</w:t>
      </w:r>
      <w:r w:rsidRPr="00695F5D">
        <w:rPr>
          <w:lang w:val="en-GB"/>
        </w:rPr>
        <w:t xml:space="preserve"> </w:t>
      </w:r>
      <w:r w:rsidRPr="003444E8">
        <w:rPr>
          <w:lang w:val="en-GB"/>
        </w:rPr>
        <w:t>1,000</w:t>
      </w:r>
      <w:r w:rsidRPr="00695F5D">
        <w:rPr>
          <w:lang w:val="en-GB"/>
        </w:rPr>
        <w:t xml:space="preserve"> </w:t>
      </w:r>
      <w:r w:rsidRPr="003444E8">
        <w:rPr>
          <w:lang w:val="en-GB"/>
        </w:rPr>
        <w:t>mg</w:t>
      </w:r>
      <w:r w:rsidRPr="00695F5D">
        <w:rPr>
          <w:lang w:val="en-GB"/>
        </w:rPr>
        <w:t xml:space="preserve"> </w:t>
      </w:r>
      <w:r w:rsidRPr="003444E8">
        <w:rPr>
          <w:lang w:val="en-GB"/>
        </w:rPr>
        <w:t>of</w:t>
      </w:r>
      <w:r w:rsidRPr="00695F5D">
        <w:rPr>
          <w:lang w:val="en-GB"/>
        </w:rPr>
        <w:t xml:space="preserve"> </w:t>
      </w:r>
      <w:r w:rsidRPr="003444E8">
        <w:rPr>
          <w:lang w:val="en-GB"/>
        </w:rPr>
        <w:t>calcium</w:t>
      </w:r>
      <w:r w:rsidRPr="00695F5D">
        <w:rPr>
          <w:lang w:val="en-GB"/>
        </w:rPr>
        <w:t xml:space="preserve"> </w:t>
      </w:r>
      <w:r w:rsidRPr="003444E8">
        <w:rPr>
          <w:lang w:val="en-GB"/>
        </w:rPr>
        <w:t>and</w:t>
      </w:r>
      <w:r w:rsidRPr="00695F5D">
        <w:rPr>
          <w:lang w:val="en-GB"/>
        </w:rPr>
        <w:t xml:space="preserve"> </w:t>
      </w:r>
      <w:r w:rsidRPr="003444E8">
        <w:rPr>
          <w:lang w:val="en-GB"/>
        </w:rPr>
        <w:t>800 IU</w:t>
      </w:r>
      <w:r w:rsidRPr="00695F5D">
        <w:rPr>
          <w:lang w:val="en-GB"/>
        </w:rPr>
        <w:t xml:space="preserve"> </w:t>
      </w:r>
      <w:r w:rsidRPr="003444E8">
        <w:rPr>
          <w:lang w:val="en-GB"/>
        </w:rPr>
        <w:t>of</w:t>
      </w:r>
      <w:r w:rsidRPr="00695F5D">
        <w:rPr>
          <w:lang w:val="en-GB"/>
        </w:rPr>
        <w:t xml:space="preserve"> </w:t>
      </w:r>
      <w:r w:rsidRPr="003444E8">
        <w:rPr>
          <w:lang w:val="en-GB"/>
        </w:rPr>
        <w:t>vitamin</w:t>
      </w:r>
      <w:r w:rsidRPr="00695F5D">
        <w:rPr>
          <w:lang w:val="en-GB"/>
        </w:rPr>
        <w:t xml:space="preserve"> </w:t>
      </w:r>
      <w:r w:rsidRPr="003444E8">
        <w:rPr>
          <w:lang w:val="en-GB"/>
        </w:rPr>
        <w:t>D</w:t>
      </w:r>
      <w:r w:rsidRPr="00695F5D">
        <w:rPr>
          <w:lang w:val="en-GB"/>
        </w:rPr>
        <w:t xml:space="preserve"> </w:t>
      </w:r>
      <w:r w:rsidRPr="003444E8">
        <w:rPr>
          <w:lang w:val="en-GB"/>
        </w:rPr>
        <w:t>supplementation</w:t>
      </w:r>
      <w:r w:rsidRPr="00695F5D">
        <w:rPr>
          <w:lang w:val="en-GB"/>
        </w:rPr>
        <w:t xml:space="preserve"> </w:t>
      </w:r>
      <w:r w:rsidRPr="003444E8">
        <w:rPr>
          <w:lang w:val="en-GB"/>
        </w:rPr>
        <w:t>per</w:t>
      </w:r>
      <w:r w:rsidRPr="00695F5D">
        <w:rPr>
          <w:lang w:val="en-GB"/>
        </w:rPr>
        <w:t xml:space="preserve"> </w:t>
      </w:r>
      <w:r w:rsidRPr="003444E8">
        <w:rPr>
          <w:lang w:val="en-GB"/>
        </w:rPr>
        <w:t>day.</w:t>
      </w:r>
    </w:p>
    <w:p w14:paraId="5997508E" w14:textId="6A569539"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The</w:t>
      </w:r>
      <w:r w:rsidRPr="00695F5D">
        <w:rPr>
          <w:lang w:val="en-GB"/>
        </w:rPr>
        <w:t xml:space="preserve"> </w:t>
      </w:r>
      <w:r w:rsidRPr="003444E8">
        <w:rPr>
          <w:lang w:val="en-GB"/>
        </w:rPr>
        <w:t>incidence</w:t>
      </w:r>
      <w:r w:rsidRPr="00695F5D">
        <w:rPr>
          <w:lang w:val="en-GB"/>
        </w:rPr>
        <w:t xml:space="preserve"> </w:t>
      </w:r>
      <w:r w:rsidRPr="003444E8">
        <w:rPr>
          <w:lang w:val="en-GB"/>
        </w:rPr>
        <w:t>of</w:t>
      </w:r>
      <w:r w:rsidRPr="00695F5D">
        <w:rPr>
          <w:lang w:val="en-GB"/>
        </w:rPr>
        <w:t xml:space="preserve"> </w:t>
      </w:r>
      <w:r w:rsidRPr="003444E8">
        <w:rPr>
          <w:lang w:val="en-GB"/>
        </w:rPr>
        <w:t>all-cause</w:t>
      </w:r>
      <w:r w:rsidRPr="00695F5D">
        <w:rPr>
          <w:lang w:val="en-GB"/>
        </w:rPr>
        <w:t xml:space="preserve"> </w:t>
      </w:r>
      <w:r w:rsidRPr="003444E8">
        <w:rPr>
          <w:lang w:val="en-GB"/>
        </w:rPr>
        <w:t>mortality</w:t>
      </w:r>
      <w:r w:rsidRPr="00695F5D">
        <w:rPr>
          <w:lang w:val="en-GB"/>
        </w:rPr>
        <w:t xml:space="preserve"> </w:t>
      </w:r>
      <w:r w:rsidRPr="003444E8">
        <w:rPr>
          <w:lang w:val="en-GB"/>
        </w:rPr>
        <w:t>was</w:t>
      </w:r>
      <w:r w:rsidRPr="00695F5D">
        <w:rPr>
          <w:lang w:val="en-GB"/>
        </w:rPr>
        <w:t xml:space="preserve"> </w:t>
      </w:r>
      <w:r w:rsidRPr="003444E8">
        <w:rPr>
          <w:lang w:val="en-GB"/>
        </w:rPr>
        <w:t>0.8%</w:t>
      </w:r>
      <w:r w:rsidRPr="00695F5D">
        <w:rPr>
          <w:lang w:val="en-GB"/>
        </w:rPr>
        <w:t xml:space="preserve"> </w:t>
      </w:r>
      <w:r w:rsidRPr="003444E8">
        <w:rPr>
          <w:lang w:val="en-GB"/>
        </w:rPr>
        <w:t>(n</w:t>
      </w:r>
      <w:r w:rsidRPr="00695F5D">
        <w:rPr>
          <w:lang w:val="en-GB"/>
        </w:rPr>
        <w:t xml:space="preserve"> </w:t>
      </w:r>
      <w:r w:rsidRPr="003444E8">
        <w:rPr>
          <w:lang w:val="en-GB"/>
        </w:rPr>
        <w:t>=</w:t>
      </w:r>
      <w:r w:rsidRPr="00695F5D">
        <w:rPr>
          <w:lang w:val="en-GB"/>
        </w:rPr>
        <w:t xml:space="preserve"> </w:t>
      </w:r>
      <w:r w:rsidRPr="003444E8">
        <w:rPr>
          <w:lang w:val="en-GB"/>
        </w:rPr>
        <w:t>1)</w:t>
      </w:r>
      <w:r w:rsidRPr="00695F5D">
        <w:rPr>
          <w:lang w:val="en-GB"/>
        </w:rPr>
        <w:t xml:space="preserve"> </w:t>
      </w:r>
      <w:r w:rsidRPr="003444E8">
        <w:rPr>
          <w:lang w:val="en-GB"/>
        </w:rPr>
        <w:t>in</w:t>
      </w:r>
      <w:r w:rsidRPr="00695F5D">
        <w:rPr>
          <w:lang w:val="en-GB"/>
        </w:rPr>
        <w:t xml:space="preserve"> </w:t>
      </w:r>
      <w:r w:rsidRPr="003444E8">
        <w:rPr>
          <w:lang w:val="en-GB"/>
        </w:rPr>
        <w:t>the</w:t>
      </w:r>
      <w:r w:rsidRPr="00695F5D">
        <w:rPr>
          <w:lang w:val="en-GB"/>
        </w:rPr>
        <w:t xml:space="preserve"> </w:t>
      </w:r>
      <w:r w:rsidR="00A04F0C">
        <w:rPr>
          <w:lang w:val="en-GB"/>
        </w:rPr>
        <w:t>denosumab</w:t>
      </w:r>
      <w:r w:rsidR="00695F5D" w:rsidRPr="00695F5D">
        <w:rPr>
          <w:lang w:val="en-GB"/>
        </w:rPr>
        <w:t xml:space="preserve"> </w:t>
      </w:r>
      <w:r w:rsidRPr="003444E8">
        <w:rPr>
          <w:lang w:val="en-GB"/>
        </w:rPr>
        <w:t>group</w:t>
      </w:r>
      <w:r w:rsidRPr="00695F5D">
        <w:rPr>
          <w:lang w:val="en-GB"/>
        </w:rPr>
        <w:t xml:space="preserve"> </w:t>
      </w:r>
      <w:r w:rsidRPr="003444E8">
        <w:rPr>
          <w:lang w:val="en-GB"/>
        </w:rPr>
        <w:t>and</w:t>
      </w:r>
      <w:r w:rsidRPr="00695F5D">
        <w:rPr>
          <w:lang w:val="en-GB"/>
        </w:rPr>
        <w:t xml:space="preserve"> </w:t>
      </w:r>
      <w:r w:rsidRPr="003444E8">
        <w:rPr>
          <w:lang w:val="en-GB"/>
        </w:rPr>
        <w:t>0.8%</w:t>
      </w:r>
      <w:r w:rsidR="00695F5D">
        <w:rPr>
          <w:lang w:val="en-GB"/>
        </w:rPr>
        <w:t xml:space="preserve"> </w:t>
      </w:r>
      <w:r w:rsidRPr="003444E8">
        <w:rPr>
          <w:lang w:val="en-GB"/>
        </w:rPr>
        <w:t>(n</w:t>
      </w:r>
      <w:r w:rsidRPr="00695F5D">
        <w:rPr>
          <w:lang w:val="en-GB"/>
        </w:rPr>
        <w:t xml:space="preserve"> </w:t>
      </w:r>
      <w:r w:rsidRPr="003444E8">
        <w:rPr>
          <w:lang w:val="en-GB"/>
        </w:rPr>
        <w:t>=</w:t>
      </w:r>
      <w:r w:rsidRPr="00695F5D">
        <w:rPr>
          <w:lang w:val="en-GB"/>
        </w:rPr>
        <w:t xml:space="preserve"> </w:t>
      </w:r>
      <w:r w:rsidRPr="003444E8">
        <w:rPr>
          <w:lang w:val="en-GB"/>
        </w:rPr>
        <w:t>1)</w:t>
      </w:r>
      <w:r w:rsidRPr="00695F5D">
        <w:rPr>
          <w:lang w:val="en-GB"/>
        </w:rPr>
        <w:t xml:space="preserve"> </w:t>
      </w:r>
      <w:r w:rsidRPr="003444E8">
        <w:rPr>
          <w:lang w:val="en-GB"/>
        </w:rPr>
        <w:t>in</w:t>
      </w:r>
      <w:r w:rsidRPr="00695F5D">
        <w:rPr>
          <w:lang w:val="en-GB"/>
        </w:rPr>
        <w:t xml:space="preserve"> </w:t>
      </w:r>
      <w:r w:rsidRPr="003444E8">
        <w:rPr>
          <w:lang w:val="en-GB"/>
        </w:rPr>
        <w:t>the</w:t>
      </w:r>
      <w:r w:rsidRPr="00695F5D">
        <w:rPr>
          <w:lang w:val="en-GB"/>
        </w:rPr>
        <w:t xml:space="preserve"> </w:t>
      </w:r>
      <w:r w:rsidRPr="003444E8">
        <w:rPr>
          <w:lang w:val="en-GB"/>
        </w:rPr>
        <w:t>placebo</w:t>
      </w:r>
      <w:r w:rsidRPr="00695F5D">
        <w:rPr>
          <w:lang w:val="en-GB"/>
        </w:rPr>
        <w:t xml:space="preserve"> </w:t>
      </w:r>
      <w:r w:rsidRPr="003444E8">
        <w:rPr>
          <w:lang w:val="en-GB"/>
        </w:rPr>
        <w:t>group.</w:t>
      </w:r>
      <w:r w:rsidRPr="00695F5D">
        <w:rPr>
          <w:lang w:val="en-GB"/>
        </w:rPr>
        <w:t xml:space="preserve"> </w:t>
      </w:r>
      <w:r w:rsidRPr="003444E8">
        <w:rPr>
          <w:lang w:val="en-GB"/>
        </w:rPr>
        <w:t>The</w:t>
      </w:r>
      <w:r w:rsidRPr="00695F5D">
        <w:rPr>
          <w:lang w:val="en-GB"/>
        </w:rPr>
        <w:t xml:space="preserve"> </w:t>
      </w:r>
      <w:r w:rsidRPr="003444E8">
        <w:rPr>
          <w:lang w:val="en-GB"/>
        </w:rPr>
        <w:t>incidence</w:t>
      </w:r>
      <w:r w:rsidRPr="00695F5D">
        <w:rPr>
          <w:lang w:val="en-GB"/>
        </w:rPr>
        <w:t xml:space="preserve"> </w:t>
      </w:r>
      <w:r w:rsidRPr="003444E8">
        <w:rPr>
          <w:lang w:val="en-GB"/>
        </w:rPr>
        <w:t>of</w:t>
      </w:r>
      <w:r w:rsidRPr="00695F5D">
        <w:rPr>
          <w:lang w:val="en-GB"/>
        </w:rPr>
        <w:t xml:space="preserve"> </w:t>
      </w:r>
      <w:r w:rsidRPr="003444E8">
        <w:rPr>
          <w:lang w:val="en-GB"/>
        </w:rPr>
        <w:t>serious</w:t>
      </w:r>
      <w:r w:rsidRPr="00695F5D">
        <w:rPr>
          <w:lang w:val="en-GB"/>
        </w:rPr>
        <w:t xml:space="preserve"> </w:t>
      </w:r>
      <w:r w:rsidRPr="003444E8">
        <w:rPr>
          <w:lang w:val="en-GB"/>
        </w:rPr>
        <w:t>adverse</w:t>
      </w:r>
      <w:r w:rsidRPr="00695F5D">
        <w:rPr>
          <w:lang w:val="en-GB"/>
        </w:rPr>
        <w:t xml:space="preserve"> </w:t>
      </w:r>
      <w:r w:rsidRPr="003444E8">
        <w:rPr>
          <w:lang w:val="en-GB"/>
        </w:rPr>
        <w:t>events</w:t>
      </w:r>
      <w:r w:rsidRPr="00695F5D">
        <w:rPr>
          <w:lang w:val="en-GB"/>
        </w:rPr>
        <w:t xml:space="preserve"> </w:t>
      </w:r>
      <w:r w:rsidRPr="003444E8">
        <w:rPr>
          <w:lang w:val="en-GB"/>
        </w:rPr>
        <w:t>was</w:t>
      </w:r>
      <w:r w:rsidRPr="00695F5D">
        <w:rPr>
          <w:lang w:val="en-GB"/>
        </w:rPr>
        <w:t xml:space="preserve"> </w:t>
      </w:r>
      <w:r w:rsidRPr="003444E8">
        <w:rPr>
          <w:lang w:val="en-GB"/>
        </w:rPr>
        <w:t>9.2%</w:t>
      </w:r>
      <w:r w:rsidRPr="00695F5D">
        <w:rPr>
          <w:lang w:val="en-GB"/>
        </w:rPr>
        <w:t xml:space="preserve"> </w:t>
      </w:r>
      <w:r w:rsidRPr="003444E8">
        <w:rPr>
          <w:lang w:val="en-GB"/>
        </w:rPr>
        <w:t>in</w:t>
      </w:r>
      <w:r w:rsidRPr="00695F5D">
        <w:rPr>
          <w:lang w:val="en-GB"/>
        </w:rPr>
        <w:t xml:space="preserve"> </w:t>
      </w:r>
      <w:r w:rsidRPr="003444E8">
        <w:rPr>
          <w:lang w:val="en-GB"/>
        </w:rPr>
        <w:t>the</w:t>
      </w:r>
      <w:r w:rsidRPr="00695F5D">
        <w:rPr>
          <w:lang w:val="en-GB"/>
        </w:rPr>
        <w:t xml:space="preserve"> </w:t>
      </w:r>
      <w:r w:rsidR="00A04F0C">
        <w:rPr>
          <w:lang w:val="en-GB"/>
        </w:rPr>
        <w:t>denosumab</w:t>
      </w:r>
      <w:r w:rsidR="00695F5D" w:rsidRPr="003444E8">
        <w:rPr>
          <w:lang w:val="en-GB"/>
        </w:rPr>
        <w:t xml:space="preserve"> </w:t>
      </w:r>
      <w:r w:rsidRPr="003444E8">
        <w:rPr>
          <w:lang w:val="en-GB"/>
        </w:rPr>
        <w:t>group and 8.3% in the placebo group.</w:t>
      </w:r>
      <w:r w:rsidRPr="00695F5D">
        <w:rPr>
          <w:lang w:val="en-GB"/>
        </w:rPr>
        <w:t xml:space="preserve"> </w:t>
      </w:r>
      <w:r w:rsidRPr="003444E8">
        <w:rPr>
          <w:lang w:val="en-GB"/>
        </w:rPr>
        <w:t>The percentage of patients who withdrew</w:t>
      </w:r>
      <w:r w:rsidRPr="00695F5D">
        <w:rPr>
          <w:lang w:val="en-GB"/>
        </w:rPr>
        <w:t xml:space="preserve"> </w:t>
      </w:r>
      <w:r w:rsidRPr="003444E8">
        <w:rPr>
          <w:lang w:val="en-GB"/>
        </w:rPr>
        <w:t xml:space="preserve">from the study due to adverse events was 2.5% and 0% for the </w:t>
      </w:r>
      <w:r w:rsidR="00A04F0C">
        <w:rPr>
          <w:lang w:val="en-GB"/>
        </w:rPr>
        <w:t>denosumab</w:t>
      </w:r>
      <w:r w:rsidR="00695F5D" w:rsidRPr="003444E8">
        <w:rPr>
          <w:lang w:val="en-GB"/>
        </w:rPr>
        <w:t xml:space="preserve"> </w:t>
      </w:r>
      <w:r w:rsidRPr="003444E8">
        <w:rPr>
          <w:lang w:val="en-GB"/>
        </w:rPr>
        <w:t>and placebo</w:t>
      </w:r>
      <w:r w:rsidRPr="00695F5D">
        <w:rPr>
          <w:lang w:val="en-GB"/>
        </w:rPr>
        <w:t xml:space="preserve"> </w:t>
      </w:r>
      <w:r w:rsidRPr="003444E8">
        <w:rPr>
          <w:lang w:val="en-GB"/>
        </w:rPr>
        <w:t>groups,</w:t>
      </w:r>
      <w:r w:rsidRPr="00695F5D">
        <w:rPr>
          <w:lang w:val="en-GB"/>
        </w:rPr>
        <w:t xml:space="preserve"> </w:t>
      </w:r>
      <w:r w:rsidRPr="003444E8">
        <w:rPr>
          <w:lang w:val="en-GB"/>
        </w:rPr>
        <w:t>respectively.</w:t>
      </w:r>
    </w:p>
    <w:p w14:paraId="46BF8354" w14:textId="0BF742BB"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Adverse events in men with osteoporosis (n = 240) occurring in at least 5% of </w:t>
      </w:r>
      <w:r w:rsidR="00A04F0C">
        <w:rPr>
          <w:lang w:val="en-GB"/>
        </w:rPr>
        <w:t>denosumab</w:t>
      </w:r>
      <w:r w:rsidRPr="003444E8">
        <w:rPr>
          <w:lang w:val="en-GB"/>
        </w:rPr>
        <w:t>-treated men and more frequently than in the placebo-treated patients were: back pain</w:t>
      </w:r>
      <w:r w:rsidRPr="00695F5D">
        <w:rPr>
          <w:lang w:val="en-GB"/>
        </w:rPr>
        <w:t xml:space="preserve"> </w:t>
      </w:r>
      <w:r w:rsidRPr="003444E8">
        <w:rPr>
          <w:lang w:val="en-GB"/>
        </w:rPr>
        <w:t>(8.3%</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6.7%</w:t>
      </w:r>
      <w:r w:rsidRPr="00695F5D">
        <w:rPr>
          <w:lang w:val="en-GB"/>
        </w:rPr>
        <w:t xml:space="preserve"> </w:t>
      </w:r>
      <w:r w:rsidRPr="003444E8">
        <w:rPr>
          <w:lang w:val="en-GB"/>
        </w:rPr>
        <w:t>placebo),</w:t>
      </w:r>
      <w:r w:rsidRPr="00695F5D">
        <w:rPr>
          <w:lang w:val="en-GB"/>
        </w:rPr>
        <w:t xml:space="preserve"> </w:t>
      </w:r>
      <w:r w:rsidRPr="003444E8">
        <w:rPr>
          <w:lang w:val="en-GB"/>
        </w:rPr>
        <w:t>arthralgia</w:t>
      </w:r>
      <w:r w:rsidRPr="00695F5D">
        <w:rPr>
          <w:lang w:val="en-GB"/>
        </w:rPr>
        <w:t xml:space="preserve"> </w:t>
      </w:r>
      <w:r w:rsidRPr="003444E8">
        <w:rPr>
          <w:lang w:val="en-GB"/>
        </w:rPr>
        <w:t>(6.7%</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5.8%</w:t>
      </w:r>
      <w:r w:rsidRPr="00695F5D">
        <w:rPr>
          <w:lang w:val="en-GB"/>
        </w:rPr>
        <w:t xml:space="preserve"> </w:t>
      </w:r>
      <w:r w:rsidRPr="003444E8">
        <w:rPr>
          <w:lang w:val="en-GB"/>
        </w:rPr>
        <w:t>placebo),</w:t>
      </w:r>
      <w:r w:rsidRPr="00695F5D">
        <w:rPr>
          <w:lang w:val="en-GB"/>
        </w:rPr>
        <w:t xml:space="preserve"> </w:t>
      </w:r>
      <w:r w:rsidRPr="003444E8">
        <w:rPr>
          <w:lang w:val="en-GB"/>
        </w:rPr>
        <w:t>and</w:t>
      </w:r>
      <w:r w:rsidRPr="00695F5D">
        <w:rPr>
          <w:lang w:val="en-GB"/>
        </w:rPr>
        <w:t xml:space="preserve"> </w:t>
      </w:r>
      <w:r w:rsidRPr="003444E8">
        <w:rPr>
          <w:lang w:val="en-GB"/>
        </w:rPr>
        <w:t>nasopharyngitis</w:t>
      </w:r>
      <w:r w:rsidR="00695F5D">
        <w:rPr>
          <w:lang w:val="en-GB"/>
        </w:rPr>
        <w:t xml:space="preserve"> </w:t>
      </w:r>
      <w:r w:rsidRPr="003444E8">
        <w:rPr>
          <w:lang w:val="en-GB"/>
        </w:rPr>
        <w:t>(6.7%</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5.8%</w:t>
      </w:r>
      <w:r w:rsidRPr="00695F5D">
        <w:rPr>
          <w:lang w:val="en-GB"/>
        </w:rPr>
        <w:t xml:space="preserve"> </w:t>
      </w:r>
      <w:r w:rsidRPr="003444E8">
        <w:rPr>
          <w:lang w:val="en-GB"/>
        </w:rPr>
        <w:t>placebo).</w:t>
      </w:r>
    </w:p>
    <w:p w14:paraId="6691654A"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Treatment</w:t>
      </w:r>
      <w:r w:rsidRPr="003444E8">
        <w:rPr>
          <w:spacing w:val="-3"/>
          <w:u w:val="single"/>
          <w:lang w:val="en-GB"/>
        </w:rPr>
        <w:t xml:space="preserve"> </w:t>
      </w:r>
      <w:r w:rsidRPr="003444E8">
        <w:rPr>
          <w:u w:val="single"/>
          <w:lang w:val="en-GB"/>
        </w:rPr>
        <w:t>of</w:t>
      </w:r>
      <w:r w:rsidRPr="003444E8">
        <w:rPr>
          <w:spacing w:val="-2"/>
          <w:u w:val="single"/>
          <w:lang w:val="en-GB"/>
        </w:rPr>
        <w:t xml:space="preserve"> </w:t>
      </w:r>
      <w:r w:rsidRPr="003444E8">
        <w:rPr>
          <w:u w:val="single"/>
          <w:lang w:val="en-GB"/>
        </w:rPr>
        <w:t>bone</w:t>
      </w:r>
      <w:r w:rsidRPr="003444E8">
        <w:rPr>
          <w:spacing w:val="-2"/>
          <w:u w:val="single"/>
          <w:lang w:val="en-GB"/>
        </w:rPr>
        <w:t xml:space="preserve"> </w:t>
      </w:r>
      <w:r w:rsidRPr="003444E8">
        <w:rPr>
          <w:u w:val="single"/>
          <w:lang w:val="en-GB"/>
        </w:rPr>
        <w:t>loss</w:t>
      </w:r>
      <w:r w:rsidRPr="003444E8">
        <w:rPr>
          <w:spacing w:val="-2"/>
          <w:u w:val="single"/>
          <w:lang w:val="en-GB"/>
        </w:rPr>
        <w:t xml:space="preserve"> </w:t>
      </w:r>
      <w:r w:rsidRPr="003444E8">
        <w:rPr>
          <w:u w:val="single"/>
          <w:lang w:val="en-GB"/>
        </w:rPr>
        <w:t>associated</w:t>
      </w:r>
      <w:r w:rsidRPr="003444E8">
        <w:rPr>
          <w:spacing w:val="-3"/>
          <w:u w:val="single"/>
          <w:lang w:val="en-GB"/>
        </w:rPr>
        <w:t xml:space="preserve"> </w:t>
      </w:r>
      <w:r w:rsidRPr="003444E8">
        <w:rPr>
          <w:u w:val="single"/>
          <w:lang w:val="en-GB"/>
        </w:rPr>
        <w:t>with</w:t>
      </w:r>
      <w:r w:rsidRPr="003444E8">
        <w:rPr>
          <w:spacing w:val="-2"/>
          <w:u w:val="single"/>
          <w:lang w:val="en-GB"/>
        </w:rPr>
        <w:t xml:space="preserve"> </w:t>
      </w:r>
      <w:r w:rsidRPr="003444E8">
        <w:rPr>
          <w:u w:val="single"/>
          <w:lang w:val="en-GB"/>
        </w:rPr>
        <w:t>androgen</w:t>
      </w:r>
      <w:r w:rsidRPr="003444E8">
        <w:rPr>
          <w:spacing w:val="-3"/>
          <w:u w:val="single"/>
          <w:lang w:val="en-GB"/>
        </w:rPr>
        <w:t xml:space="preserve"> </w:t>
      </w:r>
      <w:r w:rsidRPr="003444E8">
        <w:rPr>
          <w:u w:val="single"/>
          <w:lang w:val="en-GB"/>
        </w:rPr>
        <w:t>deprivation</w:t>
      </w:r>
    </w:p>
    <w:p w14:paraId="3EB1FFA9" w14:textId="53C573F8"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The</w:t>
      </w:r>
      <w:r w:rsidRPr="00695F5D">
        <w:rPr>
          <w:lang w:val="en-GB"/>
        </w:rPr>
        <w:t xml:space="preserve"> </w:t>
      </w:r>
      <w:r w:rsidRPr="003444E8">
        <w:rPr>
          <w:lang w:val="en-GB"/>
        </w:rPr>
        <w:t>safety</w:t>
      </w:r>
      <w:r w:rsidRPr="00695F5D">
        <w:rPr>
          <w:lang w:val="en-GB"/>
        </w:rPr>
        <w:t xml:space="preserve"> </w:t>
      </w:r>
      <w:r w:rsidRPr="003444E8">
        <w:rPr>
          <w:lang w:val="en-GB"/>
        </w:rPr>
        <w:t>of</w:t>
      </w:r>
      <w:r w:rsidRPr="00695F5D">
        <w:rPr>
          <w:lang w:val="en-GB"/>
        </w:rPr>
        <w:t xml:space="preserve"> </w:t>
      </w:r>
      <w:r w:rsidR="00A04F0C">
        <w:rPr>
          <w:lang w:val="en-GB"/>
        </w:rPr>
        <w:t>denosumab</w:t>
      </w:r>
      <w:r w:rsidR="00695F5D" w:rsidRPr="00695F5D">
        <w:rPr>
          <w:lang w:val="en-GB"/>
        </w:rPr>
        <w:t xml:space="preserve"> </w:t>
      </w:r>
      <w:r w:rsidRPr="003444E8">
        <w:rPr>
          <w:lang w:val="en-GB"/>
        </w:rPr>
        <w:t>in</w:t>
      </w:r>
      <w:r w:rsidRPr="00695F5D">
        <w:rPr>
          <w:lang w:val="en-GB"/>
        </w:rPr>
        <w:t xml:space="preserve"> </w:t>
      </w:r>
      <w:r w:rsidRPr="003444E8">
        <w:rPr>
          <w:lang w:val="en-GB"/>
        </w:rPr>
        <w:t>the</w:t>
      </w:r>
      <w:r w:rsidRPr="00695F5D">
        <w:rPr>
          <w:lang w:val="en-GB"/>
        </w:rPr>
        <w:t xml:space="preserve"> </w:t>
      </w:r>
      <w:r w:rsidRPr="003444E8">
        <w:rPr>
          <w:lang w:val="en-GB"/>
        </w:rPr>
        <w:t>treatment</w:t>
      </w:r>
      <w:r w:rsidRPr="00695F5D">
        <w:rPr>
          <w:lang w:val="en-GB"/>
        </w:rPr>
        <w:t xml:space="preserve"> </w:t>
      </w:r>
      <w:r w:rsidRPr="003444E8">
        <w:rPr>
          <w:lang w:val="en-GB"/>
        </w:rPr>
        <w:t>of</w:t>
      </w:r>
      <w:r w:rsidRPr="00695F5D">
        <w:rPr>
          <w:lang w:val="en-GB"/>
        </w:rPr>
        <w:t xml:space="preserve"> </w:t>
      </w:r>
      <w:r w:rsidRPr="003444E8">
        <w:rPr>
          <w:lang w:val="en-GB"/>
        </w:rPr>
        <w:t>bone</w:t>
      </w:r>
      <w:r w:rsidRPr="00695F5D">
        <w:rPr>
          <w:lang w:val="en-GB"/>
        </w:rPr>
        <w:t xml:space="preserve"> </w:t>
      </w:r>
      <w:r w:rsidRPr="003444E8">
        <w:rPr>
          <w:lang w:val="en-GB"/>
        </w:rPr>
        <w:t>loss</w:t>
      </w:r>
      <w:r w:rsidRPr="00695F5D">
        <w:rPr>
          <w:lang w:val="en-GB"/>
        </w:rPr>
        <w:t xml:space="preserve"> </w:t>
      </w:r>
      <w:r w:rsidRPr="003444E8">
        <w:rPr>
          <w:lang w:val="en-GB"/>
        </w:rPr>
        <w:t>associated</w:t>
      </w:r>
      <w:r w:rsidRPr="00695F5D">
        <w:rPr>
          <w:lang w:val="en-GB"/>
        </w:rPr>
        <w:t xml:space="preserve"> </w:t>
      </w:r>
      <w:r w:rsidRPr="003444E8">
        <w:rPr>
          <w:lang w:val="en-GB"/>
        </w:rPr>
        <w:t>with</w:t>
      </w:r>
      <w:r w:rsidRPr="00695F5D">
        <w:rPr>
          <w:lang w:val="en-GB"/>
        </w:rPr>
        <w:t xml:space="preserve"> </w:t>
      </w:r>
      <w:r w:rsidRPr="003444E8">
        <w:rPr>
          <w:lang w:val="en-GB"/>
        </w:rPr>
        <w:t>androgen</w:t>
      </w:r>
      <w:r w:rsidRPr="00695F5D">
        <w:rPr>
          <w:lang w:val="en-GB"/>
        </w:rPr>
        <w:t xml:space="preserve"> </w:t>
      </w:r>
      <w:r w:rsidRPr="003444E8">
        <w:rPr>
          <w:lang w:val="en-GB"/>
        </w:rPr>
        <w:t>deprivation</w:t>
      </w:r>
      <w:r w:rsidRPr="00695F5D">
        <w:rPr>
          <w:lang w:val="en-GB"/>
        </w:rPr>
        <w:t xml:space="preserve"> </w:t>
      </w:r>
      <w:r w:rsidRPr="003444E8">
        <w:rPr>
          <w:lang w:val="en-GB"/>
        </w:rPr>
        <w:t>in</w:t>
      </w:r>
      <w:r w:rsidRPr="00695F5D">
        <w:rPr>
          <w:lang w:val="en-GB"/>
        </w:rPr>
        <w:t xml:space="preserve"> </w:t>
      </w:r>
      <w:r w:rsidRPr="003444E8">
        <w:rPr>
          <w:lang w:val="en-GB"/>
        </w:rPr>
        <w:t>men with non-metastatic prostate cancer was assessed in a 3-year, randomised, double-</w:t>
      </w:r>
      <w:r w:rsidRPr="00695F5D">
        <w:rPr>
          <w:lang w:val="en-GB"/>
        </w:rPr>
        <w:t xml:space="preserve"> </w:t>
      </w:r>
      <w:r w:rsidRPr="003444E8">
        <w:rPr>
          <w:lang w:val="en-GB"/>
        </w:rPr>
        <w:t xml:space="preserve">blind, placebo-controlled, multinational study of 1,468 men aged </w:t>
      </w:r>
      <w:r w:rsidRPr="003444E8">
        <w:rPr>
          <w:lang w:val="en-GB"/>
        </w:rPr>
        <w:lastRenderedPageBreak/>
        <w:t>48 to 97 years.</w:t>
      </w:r>
      <w:r w:rsidRPr="00695F5D">
        <w:rPr>
          <w:lang w:val="en-GB"/>
        </w:rPr>
        <w:t xml:space="preserve"> </w:t>
      </w:r>
      <w:r w:rsidRPr="003444E8">
        <w:rPr>
          <w:lang w:val="en-GB"/>
        </w:rPr>
        <w:t>A total</w:t>
      </w:r>
      <w:r w:rsidRPr="00695F5D">
        <w:rPr>
          <w:lang w:val="en-GB"/>
        </w:rPr>
        <w:t xml:space="preserve"> </w:t>
      </w:r>
      <w:r w:rsidRPr="003444E8">
        <w:rPr>
          <w:lang w:val="en-GB"/>
        </w:rPr>
        <w:t xml:space="preserve">of 731 men were exposed to </w:t>
      </w:r>
      <w:r w:rsidR="00A04F0C">
        <w:rPr>
          <w:lang w:val="en-GB"/>
        </w:rPr>
        <w:t>denosumab</w:t>
      </w:r>
      <w:r w:rsidR="00695F5D" w:rsidRPr="003444E8">
        <w:rPr>
          <w:lang w:val="en-GB"/>
        </w:rPr>
        <w:t xml:space="preserve"> </w:t>
      </w:r>
      <w:r w:rsidRPr="003444E8">
        <w:rPr>
          <w:lang w:val="en-GB"/>
        </w:rPr>
        <w:t>and 725 men were exposed to placebo administered</w:t>
      </w:r>
      <w:r w:rsidRPr="00695F5D">
        <w:rPr>
          <w:lang w:val="en-GB"/>
        </w:rPr>
        <w:t xml:space="preserve"> </w:t>
      </w:r>
      <w:r w:rsidRPr="003444E8">
        <w:rPr>
          <w:lang w:val="en-GB"/>
        </w:rPr>
        <w:t>once every 6 months as a single 60 mg subcutaneous dose.</w:t>
      </w:r>
      <w:r w:rsidRPr="00695F5D">
        <w:rPr>
          <w:lang w:val="en-GB"/>
        </w:rPr>
        <w:t xml:space="preserve"> </w:t>
      </w:r>
      <w:r w:rsidRPr="003444E8">
        <w:rPr>
          <w:lang w:val="en-GB"/>
        </w:rPr>
        <w:t>The incidence of all-cause</w:t>
      </w:r>
      <w:r w:rsidRPr="00695F5D">
        <w:rPr>
          <w:lang w:val="en-GB"/>
        </w:rPr>
        <w:t xml:space="preserve"> </w:t>
      </w:r>
      <w:r w:rsidRPr="003444E8">
        <w:rPr>
          <w:lang w:val="en-GB"/>
        </w:rPr>
        <w:t>mortality</w:t>
      </w:r>
      <w:r w:rsidRPr="00695F5D">
        <w:rPr>
          <w:lang w:val="en-GB"/>
        </w:rPr>
        <w:t xml:space="preserve"> </w:t>
      </w:r>
      <w:r w:rsidRPr="003444E8">
        <w:rPr>
          <w:lang w:val="en-GB"/>
        </w:rPr>
        <w:t>was</w:t>
      </w:r>
      <w:r w:rsidRPr="00695F5D">
        <w:rPr>
          <w:lang w:val="en-GB"/>
        </w:rPr>
        <w:t xml:space="preserve"> </w:t>
      </w:r>
      <w:r w:rsidRPr="003444E8">
        <w:rPr>
          <w:lang w:val="en-GB"/>
        </w:rPr>
        <w:t>6.0%</w:t>
      </w:r>
      <w:r w:rsidRPr="00695F5D">
        <w:rPr>
          <w:lang w:val="en-GB"/>
        </w:rPr>
        <w:t xml:space="preserve"> </w:t>
      </w:r>
      <w:r w:rsidRPr="003444E8">
        <w:rPr>
          <w:lang w:val="en-GB"/>
        </w:rPr>
        <w:t>(n</w:t>
      </w:r>
      <w:r w:rsidRPr="00695F5D">
        <w:rPr>
          <w:lang w:val="en-GB"/>
        </w:rPr>
        <w:t xml:space="preserve"> </w:t>
      </w:r>
      <w:r w:rsidRPr="003444E8">
        <w:rPr>
          <w:lang w:val="en-GB"/>
        </w:rPr>
        <w:t>=</w:t>
      </w:r>
      <w:r w:rsidRPr="00695F5D">
        <w:rPr>
          <w:lang w:val="en-GB"/>
        </w:rPr>
        <w:t xml:space="preserve"> </w:t>
      </w:r>
      <w:r w:rsidRPr="003444E8">
        <w:rPr>
          <w:lang w:val="en-GB"/>
        </w:rPr>
        <w:t>44)</w:t>
      </w:r>
      <w:r w:rsidRPr="00695F5D">
        <w:rPr>
          <w:lang w:val="en-GB"/>
        </w:rPr>
        <w:t xml:space="preserve"> </w:t>
      </w:r>
      <w:r w:rsidRPr="003444E8">
        <w:rPr>
          <w:lang w:val="en-GB"/>
        </w:rPr>
        <w:t>in</w:t>
      </w:r>
      <w:r w:rsidRPr="00695F5D">
        <w:rPr>
          <w:lang w:val="en-GB"/>
        </w:rPr>
        <w:t xml:space="preserve"> </w:t>
      </w:r>
      <w:r w:rsidRPr="003444E8">
        <w:rPr>
          <w:lang w:val="en-GB"/>
        </w:rPr>
        <w:t xml:space="preserve">the </w:t>
      </w:r>
      <w:r w:rsidR="00A04F0C">
        <w:rPr>
          <w:lang w:val="en-GB"/>
        </w:rPr>
        <w:t>denosumab</w:t>
      </w:r>
      <w:r w:rsidR="00695F5D" w:rsidRPr="00695F5D">
        <w:rPr>
          <w:lang w:val="en-GB"/>
        </w:rPr>
        <w:t xml:space="preserve"> </w:t>
      </w:r>
      <w:r w:rsidRPr="003444E8">
        <w:rPr>
          <w:lang w:val="en-GB"/>
        </w:rPr>
        <w:t>group</w:t>
      </w:r>
      <w:r w:rsidRPr="00695F5D">
        <w:rPr>
          <w:lang w:val="en-GB"/>
        </w:rPr>
        <w:t xml:space="preserve"> </w:t>
      </w:r>
      <w:r w:rsidRPr="003444E8">
        <w:rPr>
          <w:lang w:val="en-GB"/>
        </w:rPr>
        <w:t>and 6.3%</w:t>
      </w:r>
      <w:r w:rsidRPr="00695F5D">
        <w:rPr>
          <w:lang w:val="en-GB"/>
        </w:rPr>
        <w:t xml:space="preserve"> </w:t>
      </w:r>
      <w:r w:rsidRPr="003444E8">
        <w:rPr>
          <w:lang w:val="en-GB"/>
        </w:rPr>
        <w:t>(n</w:t>
      </w:r>
      <w:r w:rsidRPr="00695F5D">
        <w:rPr>
          <w:lang w:val="en-GB"/>
        </w:rPr>
        <w:t xml:space="preserve"> </w:t>
      </w:r>
      <w:r w:rsidRPr="003444E8">
        <w:rPr>
          <w:lang w:val="en-GB"/>
        </w:rPr>
        <w:t>=</w:t>
      </w:r>
      <w:r w:rsidRPr="00695F5D">
        <w:rPr>
          <w:lang w:val="en-GB"/>
        </w:rPr>
        <w:t xml:space="preserve"> </w:t>
      </w:r>
      <w:r w:rsidRPr="003444E8">
        <w:rPr>
          <w:lang w:val="en-GB"/>
        </w:rPr>
        <w:t>46) in</w:t>
      </w:r>
      <w:r w:rsidRPr="00695F5D">
        <w:rPr>
          <w:lang w:val="en-GB"/>
        </w:rPr>
        <w:t xml:space="preserve"> </w:t>
      </w:r>
      <w:r w:rsidRPr="003444E8">
        <w:rPr>
          <w:lang w:val="en-GB"/>
        </w:rPr>
        <w:t>the</w:t>
      </w:r>
      <w:r w:rsidRPr="00695F5D">
        <w:rPr>
          <w:lang w:val="en-GB"/>
        </w:rPr>
        <w:t xml:space="preserve"> </w:t>
      </w:r>
      <w:r w:rsidRPr="003444E8">
        <w:rPr>
          <w:lang w:val="en-GB"/>
        </w:rPr>
        <w:t>placebo</w:t>
      </w:r>
      <w:r w:rsidRPr="00695F5D">
        <w:rPr>
          <w:lang w:val="en-GB"/>
        </w:rPr>
        <w:t xml:space="preserve"> </w:t>
      </w:r>
      <w:r w:rsidRPr="003444E8">
        <w:rPr>
          <w:lang w:val="en-GB"/>
        </w:rPr>
        <w:t>group.</w:t>
      </w:r>
    </w:p>
    <w:p w14:paraId="4DA9C033" w14:textId="4567FA35"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The incidence of serious adverse events was 34.6% in the </w:t>
      </w:r>
      <w:r w:rsidR="00A04F0C">
        <w:rPr>
          <w:lang w:val="en-GB"/>
        </w:rPr>
        <w:t>denosumab</w:t>
      </w:r>
      <w:r w:rsidR="00695F5D" w:rsidRPr="003444E8">
        <w:rPr>
          <w:lang w:val="en-GB"/>
        </w:rPr>
        <w:t xml:space="preserve"> </w:t>
      </w:r>
      <w:r w:rsidRPr="003444E8">
        <w:rPr>
          <w:lang w:val="en-GB"/>
        </w:rPr>
        <w:t>group and 30.6% in the</w:t>
      </w:r>
      <w:r w:rsidRPr="00695F5D">
        <w:rPr>
          <w:lang w:val="en-GB"/>
        </w:rPr>
        <w:t xml:space="preserve"> </w:t>
      </w:r>
      <w:r w:rsidRPr="003444E8">
        <w:rPr>
          <w:lang w:val="en-GB"/>
        </w:rPr>
        <w:t>placebo group.</w:t>
      </w:r>
      <w:r w:rsidRPr="00695F5D">
        <w:rPr>
          <w:lang w:val="en-GB"/>
        </w:rPr>
        <w:t xml:space="preserve"> </w:t>
      </w:r>
      <w:r w:rsidRPr="003444E8">
        <w:rPr>
          <w:lang w:val="en-GB"/>
        </w:rPr>
        <w:t>The percentage of patients who withdrew from the study due to adverse</w:t>
      </w:r>
      <w:r w:rsidRPr="00695F5D">
        <w:rPr>
          <w:lang w:val="en-GB"/>
        </w:rPr>
        <w:t xml:space="preserve"> </w:t>
      </w:r>
      <w:r w:rsidRPr="003444E8">
        <w:rPr>
          <w:lang w:val="en-GB"/>
        </w:rPr>
        <w:t>events</w:t>
      </w:r>
      <w:r w:rsidRPr="00695F5D">
        <w:rPr>
          <w:lang w:val="en-GB"/>
        </w:rPr>
        <w:t xml:space="preserve"> </w:t>
      </w:r>
      <w:r w:rsidRPr="003444E8">
        <w:rPr>
          <w:lang w:val="en-GB"/>
        </w:rPr>
        <w:t>was</w:t>
      </w:r>
      <w:r w:rsidRPr="00695F5D">
        <w:rPr>
          <w:lang w:val="en-GB"/>
        </w:rPr>
        <w:t xml:space="preserve"> </w:t>
      </w:r>
      <w:r w:rsidRPr="003444E8">
        <w:rPr>
          <w:lang w:val="en-GB"/>
        </w:rPr>
        <w:t>7.0%</w:t>
      </w:r>
      <w:r w:rsidRPr="00695F5D">
        <w:rPr>
          <w:lang w:val="en-GB"/>
        </w:rPr>
        <w:t xml:space="preserve"> </w:t>
      </w:r>
      <w:r w:rsidRPr="003444E8">
        <w:rPr>
          <w:lang w:val="en-GB"/>
        </w:rPr>
        <w:t>and 6.1%</w:t>
      </w:r>
      <w:r w:rsidRPr="00695F5D">
        <w:rPr>
          <w:lang w:val="en-GB"/>
        </w:rPr>
        <w:t xml:space="preserve"> </w:t>
      </w:r>
      <w:r w:rsidRPr="003444E8">
        <w:rPr>
          <w:lang w:val="en-GB"/>
        </w:rPr>
        <w:t xml:space="preserve">for the </w:t>
      </w:r>
      <w:r w:rsidR="00A04F0C">
        <w:rPr>
          <w:lang w:val="en-GB"/>
        </w:rPr>
        <w:t>denosumab</w:t>
      </w:r>
      <w:r w:rsidR="00695F5D" w:rsidRPr="00695F5D">
        <w:rPr>
          <w:lang w:val="en-GB"/>
        </w:rPr>
        <w:t xml:space="preserve"> </w:t>
      </w:r>
      <w:r w:rsidRPr="003444E8">
        <w:rPr>
          <w:lang w:val="en-GB"/>
        </w:rPr>
        <w:t>and</w:t>
      </w:r>
      <w:r w:rsidRPr="00695F5D">
        <w:rPr>
          <w:lang w:val="en-GB"/>
        </w:rPr>
        <w:t xml:space="preserve"> </w:t>
      </w:r>
      <w:r w:rsidRPr="003444E8">
        <w:rPr>
          <w:lang w:val="en-GB"/>
        </w:rPr>
        <w:t>placebo</w:t>
      </w:r>
      <w:r w:rsidRPr="00695F5D">
        <w:rPr>
          <w:lang w:val="en-GB"/>
        </w:rPr>
        <w:t xml:space="preserve"> </w:t>
      </w:r>
      <w:r w:rsidRPr="003444E8">
        <w:rPr>
          <w:lang w:val="en-GB"/>
        </w:rPr>
        <w:t>groups,</w:t>
      </w:r>
      <w:r w:rsidRPr="00695F5D">
        <w:rPr>
          <w:lang w:val="en-GB"/>
        </w:rPr>
        <w:t xml:space="preserve"> </w:t>
      </w:r>
      <w:r w:rsidRPr="003444E8">
        <w:rPr>
          <w:lang w:val="en-GB"/>
        </w:rPr>
        <w:t>respectively.</w:t>
      </w:r>
    </w:p>
    <w:p w14:paraId="043F3B26" w14:textId="40F697C6"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Adverse</w:t>
      </w:r>
      <w:r w:rsidRPr="00695F5D">
        <w:rPr>
          <w:lang w:val="en-GB"/>
        </w:rPr>
        <w:t xml:space="preserve"> </w:t>
      </w:r>
      <w:r w:rsidRPr="003444E8">
        <w:rPr>
          <w:lang w:val="en-GB"/>
        </w:rPr>
        <w:t>events</w:t>
      </w:r>
      <w:r w:rsidRPr="00695F5D">
        <w:rPr>
          <w:lang w:val="en-GB"/>
        </w:rPr>
        <w:t xml:space="preserve"> </w:t>
      </w:r>
      <w:r w:rsidRPr="003444E8">
        <w:rPr>
          <w:lang w:val="en-GB"/>
        </w:rPr>
        <w:t>reported</w:t>
      </w:r>
      <w:r w:rsidRPr="00695F5D">
        <w:rPr>
          <w:lang w:val="en-GB"/>
        </w:rPr>
        <w:t xml:space="preserve"> </w:t>
      </w:r>
      <w:r w:rsidRPr="003444E8">
        <w:rPr>
          <w:lang w:val="en-GB"/>
        </w:rPr>
        <w:t>in</w:t>
      </w:r>
      <w:r w:rsidRPr="00695F5D">
        <w:rPr>
          <w:lang w:val="en-GB"/>
        </w:rPr>
        <w:t xml:space="preserve"> </w:t>
      </w:r>
      <w:r w:rsidRPr="003444E8">
        <w:rPr>
          <w:lang w:val="en-GB"/>
        </w:rPr>
        <w:t>men</w:t>
      </w:r>
      <w:r w:rsidRPr="00695F5D">
        <w:rPr>
          <w:lang w:val="en-GB"/>
        </w:rPr>
        <w:t xml:space="preserve"> </w:t>
      </w:r>
      <w:r w:rsidRPr="003444E8">
        <w:rPr>
          <w:lang w:val="en-GB"/>
        </w:rPr>
        <w:t>with</w:t>
      </w:r>
      <w:r w:rsidRPr="00695F5D">
        <w:rPr>
          <w:lang w:val="en-GB"/>
        </w:rPr>
        <w:t xml:space="preserve"> </w:t>
      </w:r>
      <w:r w:rsidRPr="003444E8">
        <w:rPr>
          <w:lang w:val="en-GB"/>
        </w:rPr>
        <w:t>bone</w:t>
      </w:r>
      <w:r w:rsidRPr="00695F5D">
        <w:rPr>
          <w:lang w:val="en-GB"/>
        </w:rPr>
        <w:t xml:space="preserve"> </w:t>
      </w:r>
      <w:r w:rsidRPr="003444E8">
        <w:rPr>
          <w:lang w:val="en-GB"/>
        </w:rPr>
        <w:t>loss</w:t>
      </w:r>
      <w:r w:rsidRPr="00695F5D">
        <w:rPr>
          <w:lang w:val="en-GB"/>
        </w:rPr>
        <w:t xml:space="preserve"> </w:t>
      </w:r>
      <w:r w:rsidRPr="003444E8">
        <w:rPr>
          <w:lang w:val="en-GB"/>
        </w:rPr>
        <w:t>associated</w:t>
      </w:r>
      <w:r w:rsidRPr="00695F5D">
        <w:rPr>
          <w:lang w:val="en-GB"/>
        </w:rPr>
        <w:t xml:space="preserve"> </w:t>
      </w:r>
      <w:r w:rsidRPr="003444E8">
        <w:rPr>
          <w:lang w:val="en-GB"/>
        </w:rPr>
        <w:t>with</w:t>
      </w:r>
      <w:r w:rsidRPr="00695F5D">
        <w:rPr>
          <w:lang w:val="en-GB"/>
        </w:rPr>
        <w:t xml:space="preserve"> </w:t>
      </w:r>
      <w:r w:rsidRPr="003444E8">
        <w:rPr>
          <w:lang w:val="en-GB"/>
        </w:rPr>
        <w:t>androgen</w:t>
      </w:r>
      <w:r w:rsidRPr="00695F5D">
        <w:rPr>
          <w:lang w:val="en-GB"/>
        </w:rPr>
        <w:t xml:space="preserve"> </w:t>
      </w:r>
      <w:r w:rsidRPr="003444E8">
        <w:rPr>
          <w:lang w:val="en-GB"/>
        </w:rPr>
        <w:t>deprivation</w:t>
      </w:r>
      <w:r w:rsidRPr="00695F5D">
        <w:rPr>
          <w:lang w:val="en-GB"/>
        </w:rPr>
        <w:t xml:space="preserve"> </w:t>
      </w:r>
      <w:r w:rsidRPr="003444E8">
        <w:rPr>
          <w:lang w:val="en-GB"/>
        </w:rPr>
        <w:t>(n</w:t>
      </w:r>
      <w:r w:rsidRPr="00695F5D">
        <w:rPr>
          <w:lang w:val="en-GB"/>
        </w:rPr>
        <w:t xml:space="preserve"> </w:t>
      </w:r>
      <w:r w:rsidRPr="003444E8">
        <w:rPr>
          <w:lang w:val="en-GB"/>
        </w:rPr>
        <w:t>= 1,456)</w:t>
      </w:r>
      <w:r w:rsidRPr="00695F5D">
        <w:rPr>
          <w:lang w:val="en-GB"/>
        </w:rPr>
        <w:t xml:space="preserve"> </w:t>
      </w:r>
      <w:r w:rsidRPr="003444E8">
        <w:rPr>
          <w:lang w:val="en-GB"/>
        </w:rPr>
        <w:t>occurring</w:t>
      </w:r>
      <w:r w:rsidRPr="00695F5D">
        <w:rPr>
          <w:lang w:val="en-GB"/>
        </w:rPr>
        <w:t xml:space="preserve"> </w:t>
      </w:r>
      <w:r w:rsidRPr="003444E8">
        <w:rPr>
          <w:lang w:val="en-GB"/>
        </w:rPr>
        <w:t>in</w:t>
      </w:r>
      <w:r w:rsidRPr="00695F5D">
        <w:rPr>
          <w:lang w:val="en-GB"/>
        </w:rPr>
        <w:t xml:space="preserve"> </w:t>
      </w:r>
      <w:r w:rsidRPr="003444E8">
        <w:rPr>
          <w:lang w:val="en-GB"/>
        </w:rPr>
        <w:t>at</w:t>
      </w:r>
      <w:r w:rsidRPr="00695F5D">
        <w:rPr>
          <w:lang w:val="en-GB"/>
        </w:rPr>
        <w:t xml:space="preserve"> </w:t>
      </w:r>
      <w:r w:rsidRPr="003444E8">
        <w:rPr>
          <w:lang w:val="en-GB"/>
        </w:rPr>
        <w:t>least</w:t>
      </w:r>
      <w:r w:rsidRPr="00695F5D">
        <w:rPr>
          <w:lang w:val="en-GB"/>
        </w:rPr>
        <w:t xml:space="preserve"> </w:t>
      </w:r>
      <w:r w:rsidRPr="003444E8">
        <w:rPr>
          <w:lang w:val="en-GB"/>
        </w:rPr>
        <w:t>2%</w:t>
      </w:r>
      <w:r w:rsidRPr="00695F5D">
        <w:rPr>
          <w:lang w:val="en-GB"/>
        </w:rPr>
        <w:t xml:space="preserve"> </w:t>
      </w:r>
      <w:r w:rsidRPr="003444E8">
        <w:rPr>
          <w:lang w:val="en-GB"/>
        </w:rPr>
        <w:t>of</w:t>
      </w:r>
      <w:r w:rsidRPr="00695F5D">
        <w:rPr>
          <w:lang w:val="en-GB"/>
        </w:rPr>
        <w:t xml:space="preserve"> </w:t>
      </w:r>
      <w:r w:rsidR="00A04F0C">
        <w:rPr>
          <w:lang w:val="en-GB"/>
        </w:rPr>
        <w:t>denosumab</w:t>
      </w:r>
      <w:r w:rsidRPr="003444E8">
        <w:rPr>
          <w:lang w:val="en-GB"/>
        </w:rPr>
        <w:t>-treated</w:t>
      </w:r>
      <w:r w:rsidRPr="00695F5D">
        <w:rPr>
          <w:lang w:val="en-GB"/>
        </w:rPr>
        <w:t xml:space="preserve"> </w:t>
      </w:r>
      <w:r w:rsidRPr="003444E8">
        <w:rPr>
          <w:lang w:val="en-GB"/>
        </w:rPr>
        <w:t>men) and</w:t>
      </w:r>
      <w:r w:rsidRPr="00695F5D">
        <w:rPr>
          <w:lang w:val="en-GB"/>
        </w:rPr>
        <w:t xml:space="preserve"> </w:t>
      </w:r>
      <w:r w:rsidRPr="003444E8">
        <w:rPr>
          <w:lang w:val="en-GB"/>
        </w:rPr>
        <w:t>at least</w:t>
      </w:r>
      <w:r w:rsidRPr="00695F5D">
        <w:rPr>
          <w:lang w:val="en-GB"/>
        </w:rPr>
        <w:t xml:space="preserve"> </w:t>
      </w:r>
      <w:r w:rsidRPr="003444E8">
        <w:rPr>
          <w:lang w:val="en-GB"/>
        </w:rPr>
        <w:t>1% more</w:t>
      </w:r>
      <w:r w:rsidR="00FA58F2">
        <w:rPr>
          <w:lang w:val="en-GB"/>
        </w:rPr>
        <w:t xml:space="preserve"> </w:t>
      </w:r>
    </w:p>
    <w:p w14:paraId="1B0638C9" w14:textId="772FCD98"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frequently in </w:t>
      </w:r>
      <w:r w:rsidR="00A04F0C">
        <w:rPr>
          <w:lang w:val="en-GB"/>
        </w:rPr>
        <w:t>denosumab</w:t>
      </w:r>
      <w:r w:rsidRPr="003444E8">
        <w:rPr>
          <w:lang w:val="en-GB"/>
        </w:rPr>
        <w:t xml:space="preserve">-treated men than placebo-treated men were: arthralgia (12.6% </w:t>
      </w:r>
      <w:r w:rsidR="00A04F0C">
        <w:rPr>
          <w:lang w:val="en-GB"/>
        </w:rPr>
        <w:t>denosumab</w:t>
      </w:r>
      <w:r w:rsidRPr="003444E8">
        <w:rPr>
          <w:lang w:val="en-GB"/>
        </w:rPr>
        <w:t>,</w:t>
      </w:r>
      <w:r w:rsidRPr="00695F5D">
        <w:rPr>
          <w:lang w:val="en-GB"/>
        </w:rPr>
        <w:t xml:space="preserve"> </w:t>
      </w:r>
      <w:r w:rsidRPr="003444E8">
        <w:rPr>
          <w:lang w:val="en-GB"/>
        </w:rPr>
        <w:t xml:space="preserve">11.0% placebo), pain in extremity (9.0% </w:t>
      </w:r>
      <w:r w:rsidR="00A04F0C">
        <w:rPr>
          <w:lang w:val="en-GB"/>
        </w:rPr>
        <w:t>denosumab</w:t>
      </w:r>
      <w:r w:rsidRPr="003444E8">
        <w:rPr>
          <w:lang w:val="en-GB"/>
        </w:rPr>
        <w:t>, 7.0% placebo), musculoskeletal pain</w:t>
      </w:r>
      <w:r w:rsidRPr="00695F5D">
        <w:rPr>
          <w:lang w:val="en-GB"/>
        </w:rPr>
        <w:t xml:space="preserve"> </w:t>
      </w:r>
      <w:r w:rsidRPr="003444E8">
        <w:rPr>
          <w:lang w:val="en-GB"/>
        </w:rPr>
        <w:t>(5.6%</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3.6%</w:t>
      </w:r>
      <w:r w:rsidRPr="00695F5D">
        <w:rPr>
          <w:lang w:val="en-GB"/>
        </w:rPr>
        <w:t xml:space="preserve"> </w:t>
      </w:r>
      <w:r w:rsidRPr="003444E8">
        <w:rPr>
          <w:lang w:val="en-GB"/>
        </w:rPr>
        <w:t>placebo),</w:t>
      </w:r>
      <w:r w:rsidRPr="00695F5D">
        <w:rPr>
          <w:lang w:val="en-GB"/>
        </w:rPr>
        <w:t xml:space="preserve"> </w:t>
      </w:r>
      <w:r w:rsidRPr="003444E8">
        <w:rPr>
          <w:lang w:val="en-GB"/>
        </w:rPr>
        <w:t>dizziness</w:t>
      </w:r>
      <w:r w:rsidRPr="00695F5D">
        <w:rPr>
          <w:lang w:val="en-GB"/>
        </w:rPr>
        <w:t xml:space="preserve"> </w:t>
      </w:r>
      <w:r w:rsidRPr="003444E8">
        <w:rPr>
          <w:lang w:val="en-GB"/>
        </w:rPr>
        <w:t>(5.6%</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4.3%</w:t>
      </w:r>
      <w:r w:rsidRPr="00695F5D">
        <w:rPr>
          <w:lang w:val="en-GB"/>
        </w:rPr>
        <w:t xml:space="preserve"> </w:t>
      </w:r>
      <w:r w:rsidRPr="003444E8">
        <w:rPr>
          <w:lang w:val="en-GB"/>
        </w:rPr>
        <w:t>placebo),</w:t>
      </w:r>
      <w:r w:rsidRPr="00695F5D">
        <w:rPr>
          <w:lang w:val="en-GB"/>
        </w:rPr>
        <w:t xml:space="preserve"> </w:t>
      </w:r>
      <w:r w:rsidRPr="003444E8">
        <w:rPr>
          <w:lang w:val="en-GB"/>
        </w:rPr>
        <w:t>metastases</w:t>
      </w:r>
      <w:r w:rsidRPr="00695F5D">
        <w:rPr>
          <w:lang w:val="en-GB"/>
        </w:rPr>
        <w:t xml:space="preserve"> </w:t>
      </w:r>
      <w:r w:rsidRPr="003444E8">
        <w:rPr>
          <w:lang w:val="en-GB"/>
        </w:rPr>
        <w:t>to</w:t>
      </w:r>
      <w:r w:rsidRPr="00695F5D">
        <w:rPr>
          <w:lang w:val="en-GB"/>
        </w:rPr>
        <w:t xml:space="preserve"> </w:t>
      </w:r>
      <w:r w:rsidRPr="003444E8">
        <w:rPr>
          <w:lang w:val="en-GB"/>
        </w:rPr>
        <w:t>bone</w:t>
      </w:r>
      <w:r w:rsidR="00695F5D">
        <w:rPr>
          <w:lang w:val="en-GB"/>
        </w:rPr>
        <w:t xml:space="preserve"> </w:t>
      </w:r>
      <w:r w:rsidRPr="003444E8">
        <w:rPr>
          <w:lang w:val="en-GB"/>
        </w:rPr>
        <w:t>(4.7%</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3.4%</w:t>
      </w:r>
      <w:r w:rsidRPr="00695F5D">
        <w:rPr>
          <w:lang w:val="en-GB"/>
        </w:rPr>
        <w:t xml:space="preserve"> </w:t>
      </w:r>
      <w:r w:rsidRPr="003444E8">
        <w:rPr>
          <w:lang w:val="en-GB"/>
        </w:rPr>
        <w:t>placebo),</w:t>
      </w:r>
      <w:r w:rsidRPr="00695F5D">
        <w:rPr>
          <w:lang w:val="en-GB"/>
        </w:rPr>
        <w:t xml:space="preserve"> </w:t>
      </w:r>
      <w:r w:rsidRPr="003444E8">
        <w:rPr>
          <w:lang w:val="en-GB"/>
        </w:rPr>
        <w:t>osteoarthritis</w:t>
      </w:r>
      <w:r w:rsidRPr="00695F5D">
        <w:rPr>
          <w:lang w:val="en-GB"/>
        </w:rPr>
        <w:t xml:space="preserve"> </w:t>
      </w:r>
      <w:r w:rsidRPr="003444E8">
        <w:rPr>
          <w:lang w:val="en-GB"/>
        </w:rPr>
        <w:t>(4.2%</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3.2%</w:t>
      </w:r>
      <w:r w:rsidRPr="00695F5D">
        <w:rPr>
          <w:lang w:val="en-GB"/>
        </w:rPr>
        <w:t xml:space="preserve"> </w:t>
      </w:r>
      <w:r w:rsidRPr="003444E8">
        <w:rPr>
          <w:lang w:val="en-GB"/>
        </w:rPr>
        <w:t>placebo),</w:t>
      </w:r>
      <w:r w:rsidRPr="00695F5D">
        <w:rPr>
          <w:lang w:val="en-GB"/>
        </w:rPr>
        <w:t xml:space="preserve"> </w:t>
      </w:r>
      <w:r w:rsidRPr="003444E8">
        <w:rPr>
          <w:lang w:val="en-GB"/>
        </w:rPr>
        <w:t>cataract</w:t>
      </w:r>
      <w:r w:rsidRPr="00695F5D">
        <w:rPr>
          <w:lang w:val="en-GB"/>
        </w:rPr>
        <w:t xml:space="preserve"> </w:t>
      </w:r>
      <w:r w:rsidRPr="003444E8">
        <w:rPr>
          <w:lang w:val="en-GB"/>
        </w:rPr>
        <w:t>(4.7%</w:t>
      </w:r>
      <w:r w:rsid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1.2%</w:t>
      </w:r>
      <w:r w:rsidRPr="00695F5D">
        <w:rPr>
          <w:lang w:val="en-GB"/>
        </w:rPr>
        <w:t xml:space="preserve"> </w:t>
      </w:r>
      <w:r w:rsidRPr="003444E8">
        <w:rPr>
          <w:lang w:val="en-GB"/>
        </w:rPr>
        <w:t>placebo),</w:t>
      </w:r>
      <w:r w:rsidRPr="00695F5D">
        <w:rPr>
          <w:lang w:val="en-GB"/>
        </w:rPr>
        <w:t xml:space="preserve"> </w:t>
      </w:r>
      <w:r w:rsidRPr="003444E8">
        <w:rPr>
          <w:lang w:val="en-GB"/>
        </w:rPr>
        <w:t>bronchitis</w:t>
      </w:r>
      <w:r w:rsidRPr="00695F5D">
        <w:rPr>
          <w:lang w:val="en-GB"/>
        </w:rPr>
        <w:t xml:space="preserve"> </w:t>
      </w:r>
      <w:r w:rsidRPr="003444E8">
        <w:rPr>
          <w:lang w:val="en-GB"/>
        </w:rPr>
        <w:t>(4.1%</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2.9%</w:t>
      </w:r>
      <w:r w:rsidRPr="00695F5D">
        <w:rPr>
          <w:lang w:val="en-GB"/>
        </w:rPr>
        <w:t xml:space="preserve"> </w:t>
      </w:r>
      <w:r w:rsidRPr="003444E8">
        <w:rPr>
          <w:lang w:val="en-GB"/>
        </w:rPr>
        <w:t>placebo),</w:t>
      </w:r>
      <w:r w:rsidRPr="00695F5D">
        <w:rPr>
          <w:lang w:val="en-GB"/>
        </w:rPr>
        <w:t xml:space="preserve"> </w:t>
      </w:r>
      <w:r w:rsidRPr="003444E8">
        <w:rPr>
          <w:lang w:val="en-GB"/>
        </w:rPr>
        <w:t>urinary</w:t>
      </w:r>
      <w:r w:rsidRPr="00695F5D">
        <w:rPr>
          <w:lang w:val="en-GB"/>
        </w:rPr>
        <w:t xml:space="preserve"> </w:t>
      </w:r>
      <w:r w:rsidRPr="003444E8">
        <w:rPr>
          <w:lang w:val="en-GB"/>
        </w:rPr>
        <w:t>retention</w:t>
      </w:r>
      <w:r w:rsidRPr="00695F5D">
        <w:rPr>
          <w:lang w:val="en-GB"/>
        </w:rPr>
        <w:t xml:space="preserve"> </w:t>
      </w:r>
      <w:r w:rsidRPr="003444E8">
        <w:rPr>
          <w:lang w:val="en-GB"/>
        </w:rPr>
        <w:t>(3.1%</w:t>
      </w:r>
      <w:r w:rsid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1.5%</w:t>
      </w:r>
      <w:r w:rsidRPr="00695F5D">
        <w:rPr>
          <w:lang w:val="en-GB"/>
        </w:rPr>
        <w:t xml:space="preserve"> </w:t>
      </w:r>
      <w:r w:rsidRPr="003444E8">
        <w:rPr>
          <w:lang w:val="en-GB"/>
        </w:rPr>
        <w:t>placebo),</w:t>
      </w:r>
      <w:r w:rsidRPr="00695F5D">
        <w:rPr>
          <w:lang w:val="en-GB"/>
        </w:rPr>
        <w:t xml:space="preserve"> </w:t>
      </w:r>
      <w:r w:rsidRPr="003444E8">
        <w:rPr>
          <w:lang w:val="en-GB"/>
        </w:rPr>
        <w:t>angina</w:t>
      </w:r>
      <w:r w:rsidRPr="00695F5D">
        <w:rPr>
          <w:lang w:val="en-GB"/>
        </w:rPr>
        <w:t xml:space="preserve"> </w:t>
      </w:r>
      <w:r w:rsidRPr="003444E8">
        <w:rPr>
          <w:lang w:val="en-GB"/>
        </w:rPr>
        <w:t>pectoris</w:t>
      </w:r>
      <w:r w:rsidRPr="00695F5D">
        <w:rPr>
          <w:lang w:val="en-GB"/>
        </w:rPr>
        <w:t xml:space="preserve"> </w:t>
      </w:r>
      <w:r w:rsidRPr="003444E8">
        <w:rPr>
          <w:lang w:val="en-GB"/>
        </w:rPr>
        <w:t>(2.3%</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1.1%</w:t>
      </w:r>
      <w:r w:rsidRPr="00695F5D">
        <w:rPr>
          <w:lang w:val="en-GB"/>
        </w:rPr>
        <w:t xml:space="preserve"> </w:t>
      </w:r>
      <w:r w:rsidRPr="003444E8">
        <w:rPr>
          <w:lang w:val="en-GB"/>
        </w:rPr>
        <w:t>placebo)</w:t>
      </w:r>
      <w:r w:rsidRPr="00695F5D">
        <w:rPr>
          <w:lang w:val="en-GB"/>
        </w:rPr>
        <w:t xml:space="preserve"> </w:t>
      </w:r>
      <w:r w:rsidRPr="003444E8">
        <w:rPr>
          <w:lang w:val="en-GB"/>
        </w:rPr>
        <w:t>and</w:t>
      </w:r>
      <w:r w:rsidRPr="00695F5D">
        <w:rPr>
          <w:lang w:val="en-GB"/>
        </w:rPr>
        <w:t xml:space="preserve"> </w:t>
      </w:r>
      <w:r w:rsidRPr="003444E8">
        <w:rPr>
          <w:lang w:val="en-GB"/>
        </w:rPr>
        <w:t>procedural</w:t>
      </w:r>
      <w:r w:rsidRPr="00695F5D">
        <w:rPr>
          <w:lang w:val="en-GB"/>
        </w:rPr>
        <w:t xml:space="preserve"> </w:t>
      </w:r>
      <w:r w:rsidRPr="003444E8">
        <w:rPr>
          <w:lang w:val="en-GB"/>
        </w:rPr>
        <w:t>pain</w:t>
      </w:r>
      <w:r w:rsidRPr="00695F5D">
        <w:rPr>
          <w:lang w:val="en-GB"/>
        </w:rPr>
        <w:t xml:space="preserve"> </w:t>
      </w:r>
      <w:r w:rsidRPr="003444E8">
        <w:rPr>
          <w:lang w:val="en-GB"/>
        </w:rPr>
        <w:t>(2.1%</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0.4% placebo).</w:t>
      </w:r>
    </w:p>
    <w:p w14:paraId="58BD416C"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Treatment</w:t>
      </w:r>
      <w:r w:rsidRPr="003444E8">
        <w:rPr>
          <w:spacing w:val="-3"/>
          <w:u w:val="single"/>
          <w:lang w:val="en-GB"/>
        </w:rPr>
        <w:t xml:space="preserve"> </w:t>
      </w:r>
      <w:r w:rsidRPr="003444E8">
        <w:rPr>
          <w:u w:val="single"/>
          <w:lang w:val="en-GB"/>
        </w:rPr>
        <w:t>of</w:t>
      </w:r>
      <w:r w:rsidRPr="003444E8">
        <w:rPr>
          <w:spacing w:val="-3"/>
          <w:u w:val="single"/>
          <w:lang w:val="en-GB"/>
        </w:rPr>
        <w:t xml:space="preserve"> </w:t>
      </w:r>
      <w:r w:rsidRPr="003444E8">
        <w:rPr>
          <w:u w:val="single"/>
          <w:lang w:val="en-GB"/>
        </w:rPr>
        <w:t>bone</w:t>
      </w:r>
      <w:r w:rsidRPr="003444E8">
        <w:rPr>
          <w:spacing w:val="-1"/>
          <w:u w:val="single"/>
          <w:lang w:val="en-GB"/>
        </w:rPr>
        <w:t xml:space="preserve"> </w:t>
      </w:r>
      <w:r w:rsidRPr="003444E8">
        <w:rPr>
          <w:u w:val="single"/>
          <w:lang w:val="en-GB"/>
        </w:rPr>
        <w:t>loss</w:t>
      </w:r>
      <w:r w:rsidRPr="003444E8">
        <w:rPr>
          <w:spacing w:val="-3"/>
          <w:u w:val="single"/>
          <w:lang w:val="en-GB"/>
        </w:rPr>
        <w:t xml:space="preserve"> </w:t>
      </w:r>
      <w:r w:rsidRPr="003444E8">
        <w:rPr>
          <w:u w:val="single"/>
          <w:lang w:val="en-GB"/>
        </w:rPr>
        <w:t>associated</w:t>
      </w:r>
      <w:r w:rsidRPr="003444E8">
        <w:rPr>
          <w:spacing w:val="-2"/>
          <w:u w:val="single"/>
          <w:lang w:val="en-GB"/>
        </w:rPr>
        <w:t xml:space="preserve"> </w:t>
      </w:r>
      <w:r w:rsidRPr="003444E8">
        <w:rPr>
          <w:u w:val="single"/>
          <w:lang w:val="en-GB"/>
        </w:rPr>
        <w:t>with</w:t>
      </w:r>
      <w:r w:rsidRPr="003444E8">
        <w:rPr>
          <w:spacing w:val="-3"/>
          <w:u w:val="single"/>
          <w:lang w:val="en-GB"/>
        </w:rPr>
        <w:t xml:space="preserve"> </w:t>
      </w:r>
      <w:r w:rsidRPr="003444E8">
        <w:rPr>
          <w:u w:val="single"/>
          <w:lang w:val="en-GB"/>
        </w:rPr>
        <w:t>systemic</w:t>
      </w:r>
      <w:r w:rsidRPr="003444E8">
        <w:rPr>
          <w:spacing w:val="-2"/>
          <w:u w:val="single"/>
          <w:lang w:val="en-GB"/>
        </w:rPr>
        <w:t xml:space="preserve"> </w:t>
      </w:r>
      <w:r w:rsidRPr="003444E8">
        <w:rPr>
          <w:u w:val="single"/>
          <w:lang w:val="en-GB"/>
        </w:rPr>
        <w:t>glucocorticoid</w:t>
      </w:r>
      <w:r w:rsidRPr="003444E8">
        <w:rPr>
          <w:spacing w:val="-2"/>
          <w:u w:val="single"/>
          <w:lang w:val="en-GB"/>
        </w:rPr>
        <w:t xml:space="preserve"> </w:t>
      </w:r>
      <w:r w:rsidRPr="003444E8">
        <w:rPr>
          <w:u w:val="single"/>
          <w:lang w:val="en-GB"/>
        </w:rPr>
        <w:t>therapy</w:t>
      </w:r>
    </w:p>
    <w:p w14:paraId="2AA64022" w14:textId="19B7F346"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The safety of </w:t>
      </w:r>
      <w:r w:rsidR="00A04F0C">
        <w:rPr>
          <w:lang w:val="en-GB"/>
        </w:rPr>
        <w:t>denosumab</w:t>
      </w:r>
      <w:r w:rsidR="00695F5D" w:rsidRPr="003444E8">
        <w:rPr>
          <w:lang w:val="en-GB"/>
        </w:rPr>
        <w:t xml:space="preserve"> </w:t>
      </w:r>
      <w:r w:rsidRPr="003444E8">
        <w:rPr>
          <w:lang w:val="en-GB"/>
        </w:rPr>
        <w:t>in the treatment of bone loss associated with systemic glucocorticoid</w:t>
      </w:r>
      <w:r w:rsidRPr="00695F5D">
        <w:rPr>
          <w:lang w:val="en-GB"/>
        </w:rPr>
        <w:t xml:space="preserve"> </w:t>
      </w:r>
      <w:r w:rsidRPr="003444E8">
        <w:rPr>
          <w:lang w:val="en-GB"/>
        </w:rPr>
        <w:t>therapy in men and women was assessed over the first 12 months of a 24 month,</w:t>
      </w:r>
      <w:r w:rsidRPr="00695F5D">
        <w:rPr>
          <w:lang w:val="en-GB"/>
        </w:rPr>
        <w:t xml:space="preserve"> </w:t>
      </w:r>
      <w:r w:rsidRPr="003444E8">
        <w:rPr>
          <w:lang w:val="en-GB"/>
        </w:rPr>
        <w:t>randomised, double-blind, double-dummy, active-controlled study.</w:t>
      </w:r>
      <w:r w:rsidRPr="00695F5D">
        <w:rPr>
          <w:lang w:val="en-GB"/>
        </w:rPr>
        <w:t xml:space="preserve"> </w:t>
      </w:r>
      <w:r w:rsidRPr="003444E8">
        <w:rPr>
          <w:lang w:val="en-GB"/>
        </w:rPr>
        <w:t>Subjects received</w:t>
      </w:r>
      <w:r w:rsidRPr="00695F5D">
        <w:rPr>
          <w:lang w:val="en-GB"/>
        </w:rPr>
        <w:t xml:space="preserve"> </w:t>
      </w:r>
      <w:r w:rsidRPr="003444E8">
        <w:rPr>
          <w:lang w:val="en-GB"/>
        </w:rPr>
        <w:t xml:space="preserve">either </w:t>
      </w:r>
      <w:r w:rsidR="00A04F0C">
        <w:rPr>
          <w:lang w:val="en-GB"/>
        </w:rPr>
        <w:t>denosumab</w:t>
      </w:r>
      <w:r w:rsidR="00695F5D" w:rsidRPr="003444E8">
        <w:rPr>
          <w:lang w:val="en-GB"/>
        </w:rPr>
        <w:t xml:space="preserve"> </w:t>
      </w:r>
      <w:r w:rsidRPr="003444E8">
        <w:rPr>
          <w:lang w:val="en-GB"/>
        </w:rPr>
        <w:t>60 mg Q6M SC (n = 394) or risedronate orally 5 mg daily (n = 384).</w:t>
      </w:r>
      <w:r w:rsidRPr="00695F5D">
        <w:rPr>
          <w:lang w:val="en-GB"/>
        </w:rPr>
        <w:t xml:space="preserve"> </w:t>
      </w:r>
      <w:r w:rsidRPr="003444E8">
        <w:rPr>
          <w:lang w:val="en-GB"/>
        </w:rPr>
        <w:t>All</w:t>
      </w:r>
      <w:r w:rsidRPr="00695F5D">
        <w:rPr>
          <w:lang w:val="en-GB"/>
        </w:rPr>
        <w:t xml:space="preserve"> </w:t>
      </w:r>
      <w:r w:rsidRPr="003444E8">
        <w:rPr>
          <w:lang w:val="en-GB"/>
        </w:rPr>
        <w:t>subjects were instructed to take at least 1,000 mg of calcium and 800 IU of vitamin D</w:t>
      </w:r>
      <w:r w:rsidRPr="00695F5D">
        <w:rPr>
          <w:lang w:val="en-GB"/>
        </w:rPr>
        <w:t xml:space="preserve"> </w:t>
      </w:r>
      <w:r w:rsidRPr="003444E8">
        <w:rPr>
          <w:lang w:val="en-GB"/>
        </w:rPr>
        <w:t>supplementation</w:t>
      </w:r>
      <w:r w:rsidRPr="00695F5D">
        <w:rPr>
          <w:lang w:val="en-GB"/>
        </w:rPr>
        <w:t xml:space="preserve"> </w:t>
      </w:r>
      <w:r w:rsidRPr="003444E8">
        <w:rPr>
          <w:lang w:val="en-GB"/>
        </w:rPr>
        <w:t>per</w:t>
      </w:r>
      <w:r w:rsidRPr="00695F5D">
        <w:rPr>
          <w:lang w:val="en-GB"/>
        </w:rPr>
        <w:t xml:space="preserve"> </w:t>
      </w:r>
      <w:r w:rsidRPr="003444E8">
        <w:rPr>
          <w:lang w:val="en-GB"/>
        </w:rPr>
        <w:t>day.</w:t>
      </w:r>
    </w:p>
    <w:p w14:paraId="1281682B" w14:textId="3AD6C4A5"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The incidence of all-cause mortality during the first 12 months of the study was 1.5%</w:t>
      </w:r>
      <w:r w:rsidRPr="00695F5D">
        <w:rPr>
          <w:lang w:val="en-GB"/>
        </w:rPr>
        <w:t xml:space="preserve"> </w:t>
      </w:r>
      <w:r w:rsidRPr="003444E8">
        <w:rPr>
          <w:lang w:val="en-GB"/>
        </w:rPr>
        <w:t xml:space="preserve">(n = 6) in the </w:t>
      </w:r>
      <w:r w:rsidR="00A04F0C">
        <w:rPr>
          <w:lang w:val="en-GB"/>
        </w:rPr>
        <w:t>denosumab</w:t>
      </w:r>
      <w:r w:rsidR="00035996" w:rsidRPr="003444E8">
        <w:rPr>
          <w:lang w:val="en-GB"/>
        </w:rPr>
        <w:t xml:space="preserve"> </w:t>
      </w:r>
      <w:r w:rsidRPr="003444E8">
        <w:rPr>
          <w:lang w:val="en-GB"/>
        </w:rPr>
        <w:t>group and 0.5% (n = 2) in the risedronate group.</w:t>
      </w:r>
      <w:r w:rsidRPr="00695F5D">
        <w:rPr>
          <w:lang w:val="en-GB"/>
        </w:rPr>
        <w:t xml:space="preserve"> </w:t>
      </w:r>
      <w:r w:rsidRPr="003444E8">
        <w:rPr>
          <w:lang w:val="en-GB"/>
        </w:rPr>
        <w:t>Three additional</w:t>
      </w:r>
      <w:r w:rsidRPr="00695F5D">
        <w:rPr>
          <w:lang w:val="en-GB"/>
        </w:rPr>
        <w:t xml:space="preserve"> </w:t>
      </w:r>
      <w:r w:rsidRPr="003444E8">
        <w:rPr>
          <w:lang w:val="en-GB"/>
        </w:rPr>
        <w:t>deaths were reported for subjects in the risedronate group but were not included</w:t>
      </w:r>
      <w:r w:rsidRPr="00695F5D">
        <w:rPr>
          <w:lang w:val="en-GB"/>
        </w:rPr>
        <w:t xml:space="preserve"> </w:t>
      </w:r>
      <w:r w:rsidRPr="003444E8">
        <w:rPr>
          <w:lang w:val="en-GB"/>
        </w:rPr>
        <w:t>because it was not possible to confirm exposure to risedronate during the study.</w:t>
      </w:r>
      <w:r w:rsidRPr="00695F5D">
        <w:rPr>
          <w:lang w:val="en-GB"/>
        </w:rPr>
        <w:t xml:space="preserve"> </w:t>
      </w:r>
      <w:r w:rsidRPr="003444E8">
        <w:rPr>
          <w:lang w:val="en-GB"/>
        </w:rPr>
        <w:t>The</w:t>
      </w:r>
      <w:r w:rsidRPr="00695F5D">
        <w:rPr>
          <w:lang w:val="en-GB"/>
        </w:rPr>
        <w:t xml:space="preserve"> </w:t>
      </w:r>
      <w:r w:rsidRPr="003444E8">
        <w:rPr>
          <w:lang w:val="en-GB"/>
        </w:rPr>
        <w:t xml:space="preserve">incidence of serious adverse events was 16.0% in the </w:t>
      </w:r>
      <w:r w:rsidR="00A04F0C">
        <w:rPr>
          <w:lang w:val="en-GB"/>
        </w:rPr>
        <w:t>denosumab</w:t>
      </w:r>
      <w:r w:rsidR="00035996" w:rsidRPr="003444E8">
        <w:rPr>
          <w:lang w:val="en-GB"/>
        </w:rPr>
        <w:t xml:space="preserve"> </w:t>
      </w:r>
      <w:r w:rsidRPr="003444E8">
        <w:rPr>
          <w:lang w:val="en-GB"/>
        </w:rPr>
        <w:t>group and 16.9% in the</w:t>
      </w:r>
      <w:r w:rsidRPr="00695F5D">
        <w:rPr>
          <w:lang w:val="en-GB"/>
        </w:rPr>
        <w:t xml:space="preserve"> </w:t>
      </w:r>
      <w:r w:rsidRPr="003444E8">
        <w:rPr>
          <w:lang w:val="en-GB"/>
        </w:rPr>
        <w:t>risedronate</w:t>
      </w:r>
      <w:r w:rsidRPr="00695F5D">
        <w:rPr>
          <w:lang w:val="en-GB"/>
        </w:rPr>
        <w:t xml:space="preserve"> </w:t>
      </w:r>
      <w:r w:rsidRPr="003444E8">
        <w:rPr>
          <w:lang w:val="en-GB"/>
        </w:rPr>
        <w:t>group.</w:t>
      </w:r>
      <w:r w:rsidRPr="00695F5D">
        <w:rPr>
          <w:lang w:val="en-GB"/>
        </w:rPr>
        <w:t xml:space="preserve"> </w:t>
      </w:r>
      <w:r w:rsidRPr="003444E8">
        <w:rPr>
          <w:lang w:val="en-GB"/>
        </w:rPr>
        <w:t>The</w:t>
      </w:r>
      <w:r w:rsidRPr="00695F5D">
        <w:rPr>
          <w:lang w:val="en-GB"/>
        </w:rPr>
        <w:t xml:space="preserve"> </w:t>
      </w:r>
      <w:r w:rsidRPr="003444E8">
        <w:rPr>
          <w:lang w:val="en-GB"/>
        </w:rPr>
        <w:t>percentage</w:t>
      </w:r>
      <w:r w:rsidRPr="00695F5D">
        <w:rPr>
          <w:lang w:val="en-GB"/>
        </w:rPr>
        <w:t xml:space="preserve"> </w:t>
      </w:r>
      <w:r w:rsidRPr="003444E8">
        <w:rPr>
          <w:lang w:val="en-GB"/>
        </w:rPr>
        <w:t>of</w:t>
      </w:r>
      <w:r w:rsidRPr="00695F5D">
        <w:rPr>
          <w:lang w:val="en-GB"/>
        </w:rPr>
        <w:t xml:space="preserve"> </w:t>
      </w:r>
      <w:r w:rsidRPr="003444E8">
        <w:rPr>
          <w:lang w:val="en-GB"/>
        </w:rPr>
        <w:t>patients</w:t>
      </w:r>
      <w:r w:rsidRPr="00695F5D">
        <w:rPr>
          <w:lang w:val="en-GB"/>
        </w:rPr>
        <w:t xml:space="preserve"> </w:t>
      </w:r>
      <w:r w:rsidRPr="003444E8">
        <w:rPr>
          <w:lang w:val="en-GB"/>
        </w:rPr>
        <w:t>who</w:t>
      </w:r>
      <w:r w:rsidRPr="00695F5D">
        <w:rPr>
          <w:lang w:val="en-GB"/>
        </w:rPr>
        <w:t xml:space="preserve"> </w:t>
      </w:r>
      <w:r w:rsidRPr="003444E8">
        <w:rPr>
          <w:lang w:val="en-GB"/>
        </w:rPr>
        <w:t>withdrew</w:t>
      </w:r>
      <w:r w:rsidRPr="00695F5D">
        <w:rPr>
          <w:lang w:val="en-GB"/>
        </w:rPr>
        <w:t xml:space="preserve"> </w:t>
      </w:r>
      <w:r w:rsidRPr="003444E8">
        <w:rPr>
          <w:lang w:val="en-GB"/>
        </w:rPr>
        <w:t>from</w:t>
      </w:r>
      <w:r w:rsidRPr="00695F5D">
        <w:rPr>
          <w:lang w:val="en-GB"/>
        </w:rPr>
        <w:t xml:space="preserve"> </w:t>
      </w:r>
      <w:r w:rsidRPr="003444E8">
        <w:rPr>
          <w:lang w:val="en-GB"/>
        </w:rPr>
        <w:t>the study</w:t>
      </w:r>
      <w:r w:rsidRPr="00695F5D">
        <w:rPr>
          <w:lang w:val="en-GB"/>
        </w:rPr>
        <w:t xml:space="preserve"> </w:t>
      </w:r>
      <w:r w:rsidRPr="003444E8">
        <w:rPr>
          <w:lang w:val="en-GB"/>
        </w:rPr>
        <w:t>due to</w:t>
      </w:r>
      <w:r w:rsidR="00035996">
        <w:rPr>
          <w:lang w:val="en-GB"/>
        </w:rPr>
        <w:t xml:space="preserve"> </w:t>
      </w:r>
      <w:r w:rsidRPr="003444E8">
        <w:rPr>
          <w:lang w:val="en-GB"/>
        </w:rPr>
        <w:t xml:space="preserve">adverse events was 3.8% and 3.6% for the </w:t>
      </w:r>
      <w:r w:rsidR="00A04F0C">
        <w:rPr>
          <w:lang w:val="en-GB"/>
        </w:rPr>
        <w:t>denosumab</w:t>
      </w:r>
      <w:r w:rsidR="00035996" w:rsidRPr="003444E8">
        <w:rPr>
          <w:lang w:val="en-GB"/>
        </w:rPr>
        <w:t xml:space="preserve"> </w:t>
      </w:r>
      <w:r w:rsidRPr="003444E8">
        <w:rPr>
          <w:lang w:val="en-GB"/>
        </w:rPr>
        <w:t>and risedronate groups, respectively.</w:t>
      </w:r>
      <w:r w:rsidRPr="00695F5D">
        <w:rPr>
          <w:lang w:val="en-GB"/>
        </w:rPr>
        <w:t xml:space="preserve"> </w:t>
      </w:r>
      <w:r w:rsidRPr="003444E8">
        <w:rPr>
          <w:lang w:val="en-GB"/>
        </w:rPr>
        <w:t>The percentage of patients who discontinued investigational product due to adverse</w:t>
      </w:r>
      <w:r w:rsidRPr="00695F5D">
        <w:rPr>
          <w:lang w:val="en-GB"/>
        </w:rPr>
        <w:t xml:space="preserve"> </w:t>
      </w:r>
      <w:r w:rsidRPr="003444E8">
        <w:rPr>
          <w:lang w:val="en-GB"/>
        </w:rPr>
        <w:t>events</w:t>
      </w:r>
      <w:r w:rsidRPr="00695F5D">
        <w:rPr>
          <w:lang w:val="en-GB"/>
        </w:rPr>
        <w:t xml:space="preserve"> </w:t>
      </w:r>
      <w:r w:rsidRPr="003444E8">
        <w:rPr>
          <w:lang w:val="en-GB"/>
        </w:rPr>
        <w:t>was</w:t>
      </w:r>
      <w:r w:rsidRPr="00695F5D">
        <w:rPr>
          <w:lang w:val="en-GB"/>
        </w:rPr>
        <w:t xml:space="preserve"> </w:t>
      </w:r>
      <w:r w:rsidRPr="003444E8">
        <w:rPr>
          <w:lang w:val="en-GB"/>
        </w:rPr>
        <w:t>6.3 %</w:t>
      </w:r>
      <w:r w:rsidRPr="00695F5D">
        <w:rPr>
          <w:lang w:val="en-GB"/>
        </w:rPr>
        <w:t xml:space="preserve"> </w:t>
      </w:r>
      <w:r w:rsidRPr="003444E8">
        <w:rPr>
          <w:lang w:val="en-GB"/>
        </w:rPr>
        <w:t>and 7.6</w:t>
      </w:r>
      <w:r w:rsidRPr="00695F5D">
        <w:rPr>
          <w:lang w:val="en-GB"/>
        </w:rPr>
        <w:t xml:space="preserve"> </w:t>
      </w:r>
      <w:r w:rsidRPr="003444E8">
        <w:rPr>
          <w:lang w:val="en-GB"/>
        </w:rPr>
        <w:t>%</w:t>
      </w:r>
      <w:r w:rsidRPr="00695F5D">
        <w:rPr>
          <w:lang w:val="en-GB"/>
        </w:rPr>
        <w:t xml:space="preserve"> </w:t>
      </w:r>
      <w:r w:rsidRPr="003444E8">
        <w:rPr>
          <w:lang w:val="en-GB"/>
        </w:rPr>
        <w:t>for</w:t>
      </w:r>
      <w:r w:rsidRPr="00695F5D">
        <w:rPr>
          <w:lang w:val="en-GB"/>
        </w:rPr>
        <w:t xml:space="preserve"> </w:t>
      </w:r>
      <w:r w:rsidR="00A04F0C">
        <w:rPr>
          <w:lang w:val="en-GB"/>
        </w:rPr>
        <w:t>denosumab</w:t>
      </w:r>
      <w:r w:rsidR="00035996" w:rsidRPr="003444E8">
        <w:rPr>
          <w:lang w:val="en-GB"/>
        </w:rPr>
        <w:t xml:space="preserve"> </w:t>
      </w:r>
      <w:r w:rsidRPr="003444E8">
        <w:rPr>
          <w:lang w:val="en-GB"/>
        </w:rPr>
        <w:lastRenderedPageBreak/>
        <w:t>and</w:t>
      </w:r>
      <w:r w:rsidRPr="00695F5D">
        <w:rPr>
          <w:lang w:val="en-GB"/>
        </w:rPr>
        <w:t xml:space="preserve"> </w:t>
      </w:r>
      <w:r w:rsidRPr="003444E8">
        <w:rPr>
          <w:lang w:val="en-GB"/>
        </w:rPr>
        <w:t>risedronate</w:t>
      </w:r>
      <w:r w:rsidRPr="00695F5D">
        <w:rPr>
          <w:lang w:val="en-GB"/>
        </w:rPr>
        <w:t xml:space="preserve"> </w:t>
      </w:r>
      <w:r w:rsidRPr="003444E8">
        <w:rPr>
          <w:lang w:val="en-GB"/>
        </w:rPr>
        <w:t>respectively.</w:t>
      </w:r>
    </w:p>
    <w:p w14:paraId="576F64A9" w14:textId="007467CE"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Adverse events occurring in subjects during the first 12 months of the study in at least</w:t>
      </w:r>
      <w:r w:rsidRPr="00695F5D">
        <w:rPr>
          <w:lang w:val="en-GB"/>
        </w:rPr>
        <w:t xml:space="preserve"> </w:t>
      </w:r>
      <w:r w:rsidRPr="003444E8">
        <w:rPr>
          <w:lang w:val="en-GB"/>
        </w:rPr>
        <w:t xml:space="preserve">3% of </w:t>
      </w:r>
      <w:r w:rsidR="00A04F0C">
        <w:rPr>
          <w:lang w:val="en-GB"/>
        </w:rPr>
        <w:t>denosumab</w:t>
      </w:r>
      <w:r w:rsidRPr="003444E8">
        <w:rPr>
          <w:lang w:val="en-GB"/>
        </w:rPr>
        <w:t xml:space="preserve">-treated subjects and more frequently in the </w:t>
      </w:r>
      <w:r w:rsidR="00A04F0C">
        <w:rPr>
          <w:lang w:val="en-GB"/>
        </w:rPr>
        <w:t>denosumab</w:t>
      </w:r>
      <w:r w:rsidRPr="003444E8">
        <w:rPr>
          <w:lang w:val="en-GB"/>
        </w:rPr>
        <w:t>-treated group were: back</w:t>
      </w:r>
      <w:r w:rsidRPr="00695F5D">
        <w:rPr>
          <w:lang w:val="en-GB"/>
        </w:rPr>
        <w:t xml:space="preserve"> </w:t>
      </w:r>
      <w:r w:rsidRPr="003444E8">
        <w:rPr>
          <w:lang w:val="en-GB"/>
        </w:rPr>
        <w:t>pain</w:t>
      </w:r>
      <w:r w:rsidRPr="00695F5D">
        <w:rPr>
          <w:lang w:val="en-GB"/>
        </w:rPr>
        <w:t xml:space="preserve"> </w:t>
      </w:r>
      <w:r w:rsidRPr="003444E8">
        <w:rPr>
          <w:lang w:val="en-GB"/>
        </w:rPr>
        <w:t>(4.6%</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4.4%</w:t>
      </w:r>
      <w:r w:rsidRPr="00695F5D">
        <w:rPr>
          <w:lang w:val="en-GB"/>
        </w:rPr>
        <w:t xml:space="preserve"> </w:t>
      </w:r>
      <w:r w:rsidRPr="003444E8">
        <w:rPr>
          <w:lang w:val="en-GB"/>
        </w:rPr>
        <w:t>risedronate),</w:t>
      </w:r>
      <w:r w:rsidRPr="00695F5D">
        <w:rPr>
          <w:lang w:val="en-GB"/>
        </w:rPr>
        <w:t xml:space="preserve"> </w:t>
      </w:r>
      <w:r w:rsidRPr="003444E8">
        <w:rPr>
          <w:lang w:val="en-GB"/>
        </w:rPr>
        <w:t>hypertension</w:t>
      </w:r>
      <w:r w:rsidRPr="00695F5D">
        <w:rPr>
          <w:lang w:val="en-GB"/>
        </w:rPr>
        <w:t xml:space="preserve"> </w:t>
      </w:r>
      <w:r w:rsidRPr="003444E8">
        <w:rPr>
          <w:lang w:val="en-GB"/>
        </w:rPr>
        <w:t>(3.8%</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3.4%</w:t>
      </w:r>
      <w:r w:rsidRPr="00695F5D">
        <w:rPr>
          <w:lang w:val="en-GB"/>
        </w:rPr>
        <w:t xml:space="preserve"> </w:t>
      </w:r>
      <w:r w:rsidRPr="003444E8">
        <w:rPr>
          <w:lang w:val="en-GB"/>
        </w:rPr>
        <w:t>risedronate),</w:t>
      </w:r>
      <w:r w:rsidR="00035996">
        <w:rPr>
          <w:lang w:val="en-GB"/>
        </w:rPr>
        <w:t xml:space="preserve"> </w:t>
      </w:r>
      <w:r w:rsidRPr="003444E8">
        <w:rPr>
          <w:lang w:val="en-GB"/>
        </w:rPr>
        <w:t>bronchitis</w:t>
      </w:r>
      <w:r w:rsidRPr="00695F5D">
        <w:rPr>
          <w:lang w:val="en-GB"/>
        </w:rPr>
        <w:t xml:space="preserve"> </w:t>
      </w:r>
      <w:r w:rsidRPr="003444E8">
        <w:rPr>
          <w:lang w:val="en-GB"/>
        </w:rPr>
        <w:t>(3.8%</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2.9%</w:t>
      </w:r>
      <w:r w:rsidRPr="00695F5D">
        <w:rPr>
          <w:lang w:val="en-GB"/>
        </w:rPr>
        <w:t xml:space="preserve"> </w:t>
      </w:r>
      <w:r w:rsidRPr="003444E8">
        <w:rPr>
          <w:lang w:val="en-GB"/>
        </w:rPr>
        <w:t>risedronate),</w:t>
      </w:r>
      <w:r w:rsidRPr="00695F5D">
        <w:rPr>
          <w:lang w:val="en-GB"/>
        </w:rPr>
        <w:t xml:space="preserve"> </w:t>
      </w:r>
      <w:r w:rsidRPr="003444E8">
        <w:rPr>
          <w:lang w:val="en-GB"/>
        </w:rPr>
        <w:t>headache</w:t>
      </w:r>
      <w:r w:rsidRPr="00695F5D">
        <w:rPr>
          <w:lang w:val="en-GB"/>
        </w:rPr>
        <w:t xml:space="preserve"> </w:t>
      </w:r>
      <w:r w:rsidRPr="003444E8">
        <w:rPr>
          <w:lang w:val="en-GB"/>
        </w:rPr>
        <w:t>(3.6%</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1.8%</w:t>
      </w:r>
      <w:r w:rsidRPr="00695F5D">
        <w:rPr>
          <w:lang w:val="en-GB"/>
        </w:rPr>
        <w:t xml:space="preserve"> </w:t>
      </w:r>
      <w:r w:rsidRPr="003444E8">
        <w:rPr>
          <w:lang w:val="en-GB"/>
        </w:rPr>
        <w:t>risedronate),</w:t>
      </w:r>
      <w:r w:rsidR="00035996">
        <w:rPr>
          <w:lang w:val="en-GB"/>
        </w:rPr>
        <w:t xml:space="preserve"> </w:t>
      </w:r>
      <w:r w:rsidRPr="003444E8">
        <w:rPr>
          <w:lang w:val="en-GB"/>
        </w:rPr>
        <w:t xml:space="preserve">dyspepsia (3.0% </w:t>
      </w:r>
      <w:r w:rsidR="00A04F0C">
        <w:rPr>
          <w:lang w:val="en-GB"/>
        </w:rPr>
        <w:t>denosumab</w:t>
      </w:r>
      <w:r w:rsidRPr="003444E8">
        <w:rPr>
          <w:lang w:val="en-GB"/>
        </w:rPr>
        <w:t xml:space="preserve">, 2.6% risedronate), urinary tract infection (3.0% </w:t>
      </w:r>
      <w:r w:rsidR="00A04F0C">
        <w:rPr>
          <w:lang w:val="en-GB"/>
        </w:rPr>
        <w:t>denosumab</w:t>
      </w:r>
      <w:r w:rsidRPr="003444E8">
        <w:rPr>
          <w:lang w:val="en-GB"/>
        </w:rPr>
        <w:t>, 2.1%</w:t>
      </w:r>
      <w:r w:rsidRPr="00695F5D">
        <w:rPr>
          <w:lang w:val="en-GB"/>
        </w:rPr>
        <w:t xml:space="preserve"> </w:t>
      </w:r>
      <w:r w:rsidRPr="003444E8">
        <w:rPr>
          <w:lang w:val="en-GB"/>
        </w:rPr>
        <w:t xml:space="preserve">risedronate), upper abdominal pain (3.0% </w:t>
      </w:r>
      <w:r w:rsidR="00A04F0C">
        <w:rPr>
          <w:lang w:val="en-GB"/>
        </w:rPr>
        <w:t>denosumab</w:t>
      </w:r>
      <w:r w:rsidRPr="003444E8">
        <w:rPr>
          <w:lang w:val="en-GB"/>
        </w:rPr>
        <w:t>, 1.8% risedronate) and bone pain (1.0%</w:t>
      </w:r>
      <w:r w:rsidRPr="00695F5D">
        <w:rPr>
          <w:lang w:val="en-GB"/>
        </w:rPr>
        <w:t xml:space="preserve"> </w:t>
      </w:r>
      <w:r w:rsidR="00A04F0C">
        <w:rPr>
          <w:lang w:val="en-GB"/>
        </w:rPr>
        <w:t>denosumab</w:t>
      </w:r>
      <w:r w:rsidRPr="003444E8">
        <w:rPr>
          <w:lang w:val="en-GB"/>
        </w:rPr>
        <w:t>,</w:t>
      </w:r>
      <w:r w:rsidRPr="00695F5D">
        <w:rPr>
          <w:lang w:val="en-GB"/>
        </w:rPr>
        <w:t xml:space="preserve"> </w:t>
      </w:r>
      <w:r w:rsidRPr="003444E8">
        <w:rPr>
          <w:lang w:val="en-GB"/>
        </w:rPr>
        <w:t>0%</w:t>
      </w:r>
      <w:r w:rsidRPr="00695F5D">
        <w:rPr>
          <w:lang w:val="en-GB"/>
        </w:rPr>
        <w:t xml:space="preserve"> </w:t>
      </w:r>
      <w:r w:rsidRPr="003444E8">
        <w:rPr>
          <w:lang w:val="en-GB"/>
        </w:rPr>
        <w:t>risedronate).</w:t>
      </w:r>
      <w:r w:rsidRPr="00695F5D">
        <w:rPr>
          <w:lang w:val="en-GB"/>
        </w:rPr>
        <w:t xml:space="preserve"> </w:t>
      </w:r>
      <w:r w:rsidRPr="003444E8">
        <w:rPr>
          <w:lang w:val="en-GB"/>
        </w:rPr>
        <w:t>Subject</w:t>
      </w:r>
      <w:r w:rsidRPr="00695F5D">
        <w:rPr>
          <w:lang w:val="en-GB"/>
        </w:rPr>
        <w:t xml:space="preserve"> </w:t>
      </w:r>
      <w:r w:rsidRPr="003444E8">
        <w:rPr>
          <w:lang w:val="en-GB"/>
        </w:rPr>
        <w:t>incidence of</w:t>
      </w:r>
      <w:r w:rsidRPr="00695F5D">
        <w:rPr>
          <w:lang w:val="en-GB"/>
        </w:rPr>
        <w:t xml:space="preserve"> </w:t>
      </w:r>
      <w:r w:rsidRPr="003444E8">
        <w:rPr>
          <w:lang w:val="en-GB"/>
        </w:rPr>
        <w:t>fractures are</w:t>
      </w:r>
      <w:r w:rsidRPr="00695F5D">
        <w:rPr>
          <w:lang w:val="en-GB"/>
        </w:rPr>
        <w:t xml:space="preserve"> </w:t>
      </w:r>
      <w:r w:rsidRPr="003444E8">
        <w:rPr>
          <w:lang w:val="en-GB"/>
        </w:rPr>
        <w:t>shown</w:t>
      </w:r>
      <w:r w:rsidRPr="00695F5D">
        <w:rPr>
          <w:lang w:val="en-GB"/>
        </w:rPr>
        <w:t xml:space="preserve"> </w:t>
      </w:r>
      <w:r w:rsidRPr="003444E8">
        <w:rPr>
          <w:lang w:val="en-GB"/>
        </w:rPr>
        <w:t>in</w:t>
      </w:r>
      <w:r w:rsidRPr="00695F5D">
        <w:rPr>
          <w:lang w:val="en-GB"/>
        </w:rPr>
        <w:t xml:space="preserve"> </w:t>
      </w:r>
      <w:r w:rsidRPr="003444E8">
        <w:rPr>
          <w:lang w:val="en-GB"/>
        </w:rPr>
        <w:t>Table</w:t>
      </w:r>
      <w:r w:rsidRPr="00695F5D">
        <w:rPr>
          <w:lang w:val="en-GB"/>
        </w:rPr>
        <w:t xml:space="preserve"> </w:t>
      </w:r>
      <w:r w:rsidRPr="003444E8">
        <w:rPr>
          <w:lang w:val="en-GB"/>
        </w:rPr>
        <w:t>1.</w:t>
      </w:r>
    </w:p>
    <w:p w14:paraId="253E8631" w14:textId="0CBEF8E5" w:rsidR="006E62CD" w:rsidRPr="003444E8" w:rsidRDefault="00CB520A" w:rsidP="00D258EC">
      <w:pPr>
        <w:pStyle w:val="Heading3"/>
        <w:adjustRightInd w:val="0"/>
        <w:snapToGrid w:val="0"/>
        <w:spacing w:before="60" w:after="60" w:line="360" w:lineRule="auto"/>
        <w:ind w:left="108" w:rightChars="30" w:right="66"/>
        <w:rPr>
          <w:lang w:val="en-GB"/>
        </w:rPr>
      </w:pPr>
      <w:r w:rsidRPr="003444E8">
        <w:rPr>
          <w:lang w:val="en-GB"/>
        </w:rPr>
        <w:t>Table 1. Subject incidence of fractures at Month 12 in Women and Men with Bone</w:t>
      </w:r>
      <w:r w:rsidRPr="003444E8">
        <w:rPr>
          <w:spacing w:val="-60"/>
          <w:lang w:val="en-GB"/>
        </w:rPr>
        <w:t xml:space="preserve"> </w:t>
      </w:r>
      <w:r w:rsidRPr="003444E8">
        <w:rPr>
          <w:spacing w:val="-1"/>
          <w:lang w:val="en-GB"/>
        </w:rPr>
        <w:t>Loss</w:t>
      </w:r>
      <w:r w:rsidRPr="003444E8">
        <w:rPr>
          <w:lang w:val="en-GB"/>
        </w:rPr>
        <w:t xml:space="preserve"> </w:t>
      </w:r>
      <w:r w:rsidRPr="003444E8">
        <w:rPr>
          <w:spacing w:val="-1"/>
          <w:lang w:val="en-GB"/>
        </w:rPr>
        <w:t>associated</w:t>
      </w:r>
      <w:r w:rsidRPr="003444E8">
        <w:rPr>
          <w:lang w:val="en-GB"/>
        </w:rPr>
        <w:t xml:space="preserve"> </w:t>
      </w:r>
      <w:r w:rsidRPr="003444E8">
        <w:rPr>
          <w:spacing w:val="-1"/>
          <w:lang w:val="en-GB"/>
        </w:rPr>
        <w:t xml:space="preserve">with </w:t>
      </w:r>
      <w:r w:rsidRPr="003444E8">
        <w:rPr>
          <w:lang w:val="en-GB"/>
        </w:rPr>
        <w:t>Glucocorticoid Therapy</w:t>
      </w:r>
      <w:r w:rsidRPr="003444E8">
        <w:rPr>
          <w:spacing w:val="1"/>
          <w:lang w:val="en-GB"/>
        </w:rPr>
        <w:t xml:space="preserve"> </w:t>
      </w:r>
      <w:r w:rsidRPr="003444E8">
        <w:rPr>
          <w:lang w:val="en-GB"/>
        </w:rPr>
        <w:t>(</w:t>
      </w:r>
      <w:r w:rsidR="00A04F0C">
        <w:rPr>
          <w:lang w:val="en-GB"/>
        </w:rPr>
        <w:t>Denosumab</w:t>
      </w:r>
      <w:r w:rsidR="00035996" w:rsidRPr="003444E8">
        <w:rPr>
          <w:lang w:val="en-GB"/>
        </w:rPr>
        <w:t xml:space="preserve"> </w:t>
      </w:r>
      <w:r w:rsidRPr="003444E8">
        <w:rPr>
          <w:lang w:val="en-GB"/>
        </w:rPr>
        <w:t>vs Risedronate)</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18"/>
        <w:gridCol w:w="2481"/>
        <w:gridCol w:w="2479"/>
      </w:tblGrid>
      <w:tr w:rsidR="00FA4FC4" w:rsidRPr="003444E8" w14:paraId="037794FA" w14:textId="77777777" w:rsidTr="00A9501F">
        <w:trPr>
          <w:trHeight w:val="50"/>
        </w:trPr>
        <w:tc>
          <w:tcPr>
            <w:tcW w:w="2109" w:type="pct"/>
          </w:tcPr>
          <w:p w14:paraId="4D205DCA" w14:textId="77777777" w:rsidR="006E62CD" w:rsidRPr="003444E8" w:rsidRDefault="006E62CD" w:rsidP="00D258EC">
            <w:pPr>
              <w:pStyle w:val="TableParagraph"/>
              <w:adjustRightInd w:val="0"/>
              <w:snapToGrid w:val="0"/>
              <w:spacing w:after="60" w:line="360" w:lineRule="auto"/>
              <w:ind w:left="108" w:rightChars="30" w:right="66"/>
              <w:rPr>
                <w:rFonts w:ascii="Times New Roman"/>
                <w:sz w:val="20"/>
                <w:lang w:val="en-GB"/>
              </w:rPr>
            </w:pPr>
          </w:p>
        </w:tc>
        <w:tc>
          <w:tcPr>
            <w:tcW w:w="1446" w:type="pct"/>
          </w:tcPr>
          <w:p w14:paraId="062310EA" w14:textId="5B8EF00F" w:rsidR="00035996" w:rsidRDefault="00CB520A" w:rsidP="00D258EC">
            <w:pPr>
              <w:pStyle w:val="TableParagraph"/>
              <w:adjustRightInd w:val="0"/>
              <w:snapToGrid w:val="0"/>
              <w:spacing w:after="60" w:line="360" w:lineRule="auto"/>
              <w:ind w:left="108" w:rightChars="30" w:right="66"/>
              <w:jc w:val="center"/>
              <w:rPr>
                <w:spacing w:val="-53"/>
                <w:sz w:val="20"/>
                <w:lang w:val="en-GB"/>
              </w:rPr>
            </w:pPr>
            <w:r w:rsidRPr="003444E8">
              <w:rPr>
                <w:sz w:val="20"/>
                <w:lang w:val="en-GB"/>
              </w:rPr>
              <w:t>Risedronate</w:t>
            </w:r>
            <w:r w:rsidR="00035996">
              <w:rPr>
                <w:sz w:val="20"/>
                <w:lang w:val="en-GB"/>
              </w:rPr>
              <w:t xml:space="preserve"> </w:t>
            </w:r>
          </w:p>
          <w:p w14:paraId="6DBAF9E7" w14:textId="5E087951" w:rsidR="006E62CD" w:rsidRPr="003444E8" w:rsidRDefault="00CB520A" w:rsidP="00D258EC">
            <w:pPr>
              <w:pStyle w:val="TableParagraph"/>
              <w:adjustRightInd w:val="0"/>
              <w:snapToGrid w:val="0"/>
              <w:spacing w:after="60" w:line="360" w:lineRule="auto"/>
              <w:ind w:left="108" w:rightChars="30" w:right="66"/>
              <w:jc w:val="center"/>
              <w:rPr>
                <w:sz w:val="20"/>
                <w:lang w:val="en-GB"/>
              </w:rPr>
            </w:pPr>
            <w:r w:rsidRPr="003444E8">
              <w:rPr>
                <w:sz w:val="20"/>
                <w:lang w:val="en-GB"/>
              </w:rPr>
              <w:t>5</w:t>
            </w:r>
            <w:r w:rsidRPr="003444E8">
              <w:rPr>
                <w:spacing w:val="-1"/>
                <w:sz w:val="20"/>
                <w:lang w:val="en-GB"/>
              </w:rPr>
              <w:t xml:space="preserve"> </w:t>
            </w:r>
            <w:r w:rsidRPr="003444E8">
              <w:rPr>
                <w:sz w:val="20"/>
                <w:lang w:val="en-GB"/>
              </w:rPr>
              <w:t>mg QD</w:t>
            </w:r>
          </w:p>
        </w:tc>
        <w:tc>
          <w:tcPr>
            <w:tcW w:w="1445" w:type="pct"/>
          </w:tcPr>
          <w:p w14:paraId="391205DC" w14:textId="155F1F5E" w:rsidR="006E62CD" w:rsidRPr="003444E8" w:rsidRDefault="00A04F0C" w:rsidP="00D258EC">
            <w:pPr>
              <w:pStyle w:val="TableParagraph"/>
              <w:adjustRightInd w:val="0"/>
              <w:snapToGrid w:val="0"/>
              <w:spacing w:after="60" w:line="360" w:lineRule="auto"/>
              <w:ind w:left="108" w:rightChars="30" w:right="66"/>
              <w:jc w:val="center"/>
              <w:rPr>
                <w:sz w:val="20"/>
                <w:lang w:val="en-GB"/>
              </w:rPr>
            </w:pPr>
            <w:r>
              <w:rPr>
                <w:sz w:val="20"/>
                <w:lang w:val="en-GB"/>
              </w:rPr>
              <w:t>Denosumab</w:t>
            </w:r>
            <w:r w:rsidR="00035996">
              <w:rPr>
                <w:sz w:val="20"/>
                <w:lang w:val="en-GB"/>
              </w:rPr>
              <w:t xml:space="preserve"> </w:t>
            </w:r>
            <w:r w:rsidR="00035996">
              <w:rPr>
                <w:spacing w:val="-53"/>
                <w:sz w:val="20"/>
                <w:lang w:val="en-GB"/>
              </w:rPr>
              <w:br/>
            </w:r>
            <w:r w:rsidR="00CB520A" w:rsidRPr="003444E8">
              <w:rPr>
                <w:sz w:val="20"/>
                <w:lang w:val="en-GB"/>
              </w:rPr>
              <w:t>60</w:t>
            </w:r>
            <w:r w:rsidR="00CB520A" w:rsidRPr="003444E8">
              <w:rPr>
                <w:spacing w:val="-1"/>
                <w:sz w:val="20"/>
                <w:lang w:val="en-GB"/>
              </w:rPr>
              <w:t xml:space="preserve"> </w:t>
            </w:r>
            <w:r w:rsidR="00CB520A" w:rsidRPr="003444E8">
              <w:rPr>
                <w:sz w:val="20"/>
                <w:lang w:val="en-GB"/>
              </w:rPr>
              <w:t>mg</w:t>
            </w:r>
            <w:r w:rsidR="00CB520A" w:rsidRPr="003444E8">
              <w:rPr>
                <w:spacing w:val="1"/>
                <w:sz w:val="20"/>
                <w:lang w:val="en-GB"/>
              </w:rPr>
              <w:t xml:space="preserve"> </w:t>
            </w:r>
            <w:r w:rsidR="00CB520A" w:rsidRPr="003444E8">
              <w:rPr>
                <w:sz w:val="20"/>
                <w:lang w:val="en-GB"/>
              </w:rPr>
              <w:t>Q6M</w:t>
            </w:r>
          </w:p>
        </w:tc>
      </w:tr>
      <w:tr w:rsidR="00FA4FC4" w:rsidRPr="003444E8" w14:paraId="55C1D900" w14:textId="77777777" w:rsidTr="00A9501F">
        <w:trPr>
          <w:trHeight w:val="360"/>
        </w:trPr>
        <w:tc>
          <w:tcPr>
            <w:tcW w:w="2109" w:type="pct"/>
          </w:tcPr>
          <w:p w14:paraId="1D9AFC4F"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New vertebral</w:t>
            </w:r>
            <w:r w:rsidRPr="003444E8">
              <w:rPr>
                <w:spacing w:val="-1"/>
                <w:sz w:val="20"/>
                <w:lang w:val="en-GB"/>
              </w:rPr>
              <w:t xml:space="preserve"> </w:t>
            </w:r>
            <w:r w:rsidRPr="003444E8">
              <w:rPr>
                <w:sz w:val="20"/>
                <w:lang w:val="en-GB"/>
              </w:rPr>
              <w:t>fracture</w:t>
            </w:r>
            <w:r w:rsidRPr="003444E8">
              <w:rPr>
                <w:spacing w:val="-1"/>
                <w:sz w:val="20"/>
                <w:lang w:val="en-GB"/>
              </w:rPr>
              <w:t xml:space="preserve"> </w:t>
            </w:r>
            <w:r w:rsidRPr="003444E8">
              <w:rPr>
                <w:sz w:val="20"/>
                <w:lang w:val="en-GB"/>
              </w:rPr>
              <w:t>- n /</w:t>
            </w:r>
            <w:r w:rsidRPr="003444E8">
              <w:rPr>
                <w:spacing w:val="-1"/>
                <w:sz w:val="20"/>
                <w:lang w:val="en-GB"/>
              </w:rPr>
              <w:t xml:space="preserve"> </w:t>
            </w:r>
            <w:r w:rsidRPr="003444E8">
              <w:rPr>
                <w:sz w:val="20"/>
                <w:lang w:val="en-GB"/>
              </w:rPr>
              <w:t>N1 (%)</w:t>
            </w:r>
          </w:p>
        </w:tc>
        <w:tc>
          <w:tcPr>
            <w:tcW w:w="1446" w:type="pct"/>
          </w:tcPr>
          <w:p w14:paraId="5DCE3319" w14:textId="77777777" w:rsidR="006E62CD" w:rsidRPr="003444E8" w:rsidRDefault="00CB520A" w:rsidP="00D258EC">
            <w:pPr>
              <w:pStyle w:val="TableParagraph"/>
              <w:adjustRightInd w:val="0"/>
              <w:snapToGrid w:val="0"/>
              <w:spacing w:after="60" w:line="360" w:lineRule="auto"/>
              <w:ind w:left="108" w:rightChars="30" w:right="66"/>
              <w:jc w:val="center"/>
              <w:rPr>
                <w:sz w:val="20"/>
                <w:lang w:val="en-GB"/>
              </w:rPr>
            </w:pPr>
            <w:r w:rsidRPr="003444E8">
              <w:rPr>
                <w:sz w:val="20"/>
                <w:lang w:val="en-GB"/>
              </w:rPr>
              <w:t>11</w:t>
            </w:r>
            <w:r w:rsidRPr="003444E8">
              <w:rPr>
                <w:spacing w:val="-1"/>
                <w:sz w:val="20"/>
                <w:lang w:val="en-GB"/>
              </w:rPr>
              <w:t xml:space="preserve"> </w:t>
            </w:r>
            <w:r w:rsidRPr="003444E8">
              <w:rPr>
                <w:sz w:val="20"/>
                <w:lang w:val="en-GB"/>
              </w:rPr>
              <w:t>/</w:t>
            </w:r>
            <w:r w:rsidRPr="003444E8">
              <w:rPr>
                <w:spacing w:val="-1"/>
                <w:sz w:val="20"/>
                <w:lang w:val="en-GB"/>
              </w:rPr>
              <w:t xml:space="preserve"> </w:t>
            </w:r>
            <w:r w:rsidRPr="003444E8">
              <w:rPr>
                <w:sz w:val="20"/>
                <w:lang w:val="en-GB"/>
              </w:rPr>
              <w:t>342 (3.2)</w:t>
            </w:r>
          </w:p>
        </w:tc>
        <w:tc>
          <w:tcPr>
            <w:tcW w:w="1445" w:type="pct"/>
          </w:tcPr>
          <w:p w14:paraId="4A8B1C19" w14:textId="77777777" w:rsidR="006E62CD" w:rsidRPr="003444E8" w:rsidRDefault="00CB520A" w:rsidP="00D258EC">
            <w:pPr>
              <w:pStyle w:val="TableParagraph"/>
              <w:adjustRightInd w:val="0"/>
              <w:snapToGrid w:val="0"/>
              <w:spacing w:after="60" w:line="360" w:lineRule="auto"/>
              <w:ind w:left="108" w:rightChars="30" w:right="66"/>
              <w:jc w:val="center"/>
              <w:rPr>
                <w:sz w:val="20"/>
                <w:lang w:val="en-GB"/>
              </w:rPr>
            </w:pPr>
            <w:r w:rsidRPr="003444E8">
              <w:rPr>
                <w:sz w:val="20"/>
                <w:lang w:val="en-GB"/>
              </w:rPr>
              <w:t>9 /</w:t>
            </w:r>
            <w:r w:rsidRPr="003444E8">
              <w:rPr>
                <w:spacing w:val="-1"/>
                <w:sz w:val="20"/>
                <w:lang w:val="en-GB"/>
              </w:rPr>
              <w:t xml:space="preserve"> </w:t>
            </w:r>
            <w:r w:rsidRPr="003444E8">
              <w:rPr>
                <w:sz w:val="20"/>
                <w:lang w:val="en-GB"/>
              </w:rPr>
              <w:t>333</w:t>
            </w:r>
            <w:r w:rsidRPr="003444E8">
              <w:rPr>
                <w:spacing w:val="1"/>
                <w:sz w:val="20"/>
                <w:lang w:val="en-GB"/>
              </w:rPr>
              <w:t xml:space="preserve"> </w:t>
            </w:r>
            <w:r w:rsidRPr="003444E8">
              <w:rPr>
                <w:sz w:val="20"/>
                <w:lang w:val="en-GB"/>
              </w:rPr>
              <w:t>(2.7)</w:t>
            </w:r>
          </w:p>
        </w:tc>
      </w:tr>
      <w:tr w:rsidR="00FA4FC4" w:rsidRPr="003444E8" w14:paraId="3DA27E43" w14:textId="77777777" w:rsidTr="00A9501F">
        <w:trPr>
          <w:trHeight w:val="359"/>
        </w:trPr>
        <w:tc>
          <w:tcPr>
            <w:tcW w:w="2109" w:type="pct"/>
          </w:tcPr>
          <w:p w14:paraId="08AEC0C0"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Clinical</w:t>
            </w:r>
            <w:r w:rsidRPr="003444E8">
              <w:rPr>
                <w:spacing w:val="-1"/>
                <w:sz w:val="20"/>
                <w:lang w:val="en-GB"/>
              </w:rPr>
              <w:t xml:space="preserve"> </w:t>
            </w:r>
            <w:r w:rsidRPr="003444E8">
              <w:rPr>
                <w:sz w:val="20"/>
                <w:lang w:val="en-GB"/>
              </w:rPr>
              <w:t>fracture -</w:t>
            </w:r>
            <w:r w:rsidRPr="003444E8">
              <w:rPr>
                <w:spacing w:val="-1"/>
                <w:sz w:val="20"/>
                <w:lang w:val="en-GB"/>
              </w:rPr>
              <w:t xml:space="preserve"> </w:t>
            </w:r>
            <w:r w:rsidRPr="003444E8">
              <w:rPr>
                <w:sz w:val="20"/>
                <w:lang w:val="en-GB"/>
              </w:rPr>
              <w:t>n /</w:t>
            </w:r>
            <w:r w:rsidRPr="003444E8">
              <w:rPr>
                <w:spacing w:val="-2"/>
                <w:sz w:val="20"/>
                <w:lang w:val="en-GB"/>
              </w:rPr>
              <w:t xml:space="preserve"> </w:t>
            </w:r>
            <w:r w:rsidRPr="003444E8">
              <w:rPr>
                <w:sz w:val="20"/>
                <w:lang w:val="en-GB"/>
              </w:rPr>
              <w:t>N (%)</w:t>
            </w:r>
          </w:p>
        </w:tc>
        <w:tc>
          <w:tcPr>
            <w:tcW w:w="1446" w:type="pct"/>
          </w:tcPr>
          <w:p w14:paraId="332540DF" w14:textId="77777777" w:rsidR="006E62CD" w:rsidRPr="003444E8" w:rsidRDefault="00CB520A" w:rsidP="00D258EC">
            <w:pPr>
              <w:pStyle w:val="TableParagraph"/>
              <w:adjustRightInd w:val="0"/>
              <w:snapToGrid w:val="0"/>
              <w:spacing w:after="60" w:line="360" w:lineRule="auto"/>
              <w:ind w:left="108" w:rightChars="30" w:right="66"/>
              <w:jc w:val="center"/>
              <w:rPr>
                <w:sz w:val="20"/>
                <w:lang w:val="en-GB"/>
              </w:rPr>
            </w:pPr>
            <w:r w:rsidRPr="003444E8">
              <w:rPr>
                <w:sz w:val="20"/>
                <w:lang w:val="en-GB"/>
              </w:rPr>
              <w:t>15</w:t>
            </w:r>
            <w:r w:rsidRPr="003444E8">
              <w:rPr>
                <w:spacing w:val="-1"/>
                <w:sz w:val="20"/>
                <w:lang w:val="en-GB"/>
              </w:rPr>
              <w:t xml:space="preserve"> </w:t>
            </w:r>
            <w:r w:rsidRPr="003444E8">
              <w:rPr>
                <w:sz w:val="20"/>
                <w:lang w:val="en-GB"/>
              </w:rPr>
              <w:t>/</w:t>
            </w:r>
            <w:r w:rsidRPr="003444E8">
              <w:rPr>
                <w:spacing w:val="-1"/>
                <w:sz w:val="20"/>
                <w:lang w:val="en-GB"/>
              </w:rPr>
              <w:t xml:space="preserve"> </w:t>
            </w:r>
            <w:r w:rsidRPr="003444E8">
              <w:rPr>
                <w:sz w:val="20"/>
                <w:lang w:val="en-GB"/>
              </w:rPr>
              <w:t>397 (3.8)</w:t>
            </w:r>
          </w:p>
        </w:tc>
        <w:tc>
          <w:tcPr>
            <w:tcW w:w="1445" w:type="pct"/>
          </w:tcPr>
          <w:p w14:paraId="37366A8D" w14:textId="77777777" w:rsidR="006E62CD" w:rsidRPr="003444E8" w:rsidRDefault="00CB520A" w:rsidP="00D258EC">
            <w:pPr>
              <w:pStyle w:val="TableParagraph"/>
              <w:adjustRightInd w:val="0"/>
              <w:snapToGrid w:val="0"/>
              <w:spacing w:after="60" w:line="360" w:lineRule="auto"/>
              <w:ind w:left="108" w:rightChars="30" w:right="66"/>
              <w:jc w:val="center"/>
              <w:rPr>
                <w:sz w:val="20"/>
                <w:lang w:val="en-GB"/>
              </w:rPr>
            </w:pPr>
            <w:r w:rsidRPr="003444E8">
              <w:rPr>
                <w:sz w:val="20"/>
                <w:lang w:val="en-GB"/>
              </w:rPr>
              <w:t>19</w:t>
            </w:r>
            <w:r w:rsidRPr="003444E8">
              <w:rPr>
                <w:spacing w:val="-1"/>
                <w:sz w:val="20"/>
                <w:lang w:val="en-GB"/>
              </w:rPr>
              <w:t xml:space="preserve"> </w:t>
            </w:r>
            <w:r w:rsidRPr="003444E8">
              <w:rPr>
                <w:sz w:val="20"/>
                <w:lang w:val="en-GB"/>
              </w:rPr>
              <w:t>/</w:t>
            </w:r>
            <w:r w:rsidRPr="003444E8">
              <w:rPr>
                <w:spacing w:val="-1"/>
                <w:sz w:val="20"/>
                <w:lang w:val="en-GB"/>
              </w:rPr>
              <w:t xml:space="preserve"> </w:t>
            </w:r>
            <w:r w:rsidRPr="003444E8">
              <w:rPr>
                <w:sz w:val="20"/>
                <w:lang w:val="en-GB"/>
              </w:rPr>
              <w:t>398 (4.8)</w:t>
            </w:r>
          </w:p>
        </w:tc>
      </w:tr>
      <w:tr w:rsidR="00FA4FC4" w:rsidRPr="003444E8" w14:paraId="665B4EAA" w14:textId="77777777" w:rsidTr="00A9501F">
        <w:trPr>
          <w:trHeight w:val="50"/>
        </w:trPr>
        <w:tc>
          <w:tcPr>
            <w:tcW w:w="2109" w:type="pct"/>
          </w:tcPr>
          <w:p w14:paraId="1DD29E6B"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Non-vertebral</w:t>
            </w:r>
            <w:r w:rsidRPr="003444E8">
              <w:rPr>
                <w:spacing w:val="-3"/>
                <w:sz w:val="20"/>
                <w:lang w:val="en-GB"/>
              </w:rPr>
              <w:t xml:space="preserve"> </w:t>
            </w:r>
            <w:r w:rsidRPr="003444E8">
              <w:rPr>
                <w:sz w:val="20"/>
                <w:lang w:val="en-GB"/>
              </w:rPr>
              <w:t>fracture</w:t>
            </w:r>
          </w:p>
        </w:tc>
        <w:tc>
          <w:tcPr>
            <w:tcW w:w="1446" w:type="pct"/>
          </w:tcPr>
          <w:p w14:paraId="34142CB0" w14:textId="77777777" w:rsidR="006E62CD" w:rsidRPr="003444E8" w:rsidRDefault="00CB520A" w:rsidP="00D258EC">
            <w:pPr>
              <w:pStyle w:val="TableParagraph"/>
              <w:adjustRightInd w:val="0"/>
              <w:snapToGrid w:val="0"/>
              <w:spacing w:after="60" w:line="360" w:lineRule="auto"/>
              <w:ind w:left="108" w:rightChars="30" w:right="66"/>
              <w:jc w:val="center"/>
              <w:rPr>
                <w:sz w:val="20"/>
                <w:lang w:val="en-GB"/>
              </w:rPr>
            </w:pPr>
            <w:r w:rsidRPr="003444E8">
              <w:rPr>
                <w:sz w:val="20"/>
                <w:lang w:val="en-GB"/>
              </w:rPr>
              <w:t>10</w:t>
            </w:r>
            <w:r w:rsidRPr="003444E8">
              <w:rPr>
                <w:spacing w:val="-1"/>
                <w:sz w:val="20"/>
                <w:lang w:val="en-GB"/>
              </w:rPr>
              <w:t xml:space="preserve"> </w:t>
            </w:r>
            <w:r w:rsidRPr="003444E8">
              <w:rPr>
                <w:sz w:val="20"/>
                <w:lang w:val="en-GB"/>
              </w:rPr>
              <w:t>/</w:t>
            </w:r>
            <w:r w:rsidRPr="003444E8">
              <w:rPr>
                <w:spacing w:val="-1"/>
                <w:sz w:val="20"/>
                <w:lang w:val="en-GB"/>
              </w:rPr>
              <w:t xml:space="preserve"> </w:t>
            </w:r>
            <w:r w:rsidRPr="003444E8">
              <w:rPr>
                <w:sz w:val="20"/>
                <w:lang w:val="en-GB"/>
              </w:rPr>
              <w:t>397 (2.5)</w:t>
            </w:r>
          </w:p>
        </w:tc>
        <w:tc>
          <w:tcPr>
            <w:tcW w:w="1445" w:type="pct"/>
          </w:tcPr>
          <w:p w14:paraId="05033029" w14:textId="77777777" w:rsidR="006E62CD" w:rsidRPr="003444E8" w:rsidRDefault="00CB520A" w:rsidP="00D258EC">
            <w:pPr>
              <w:pStyle w:val="TableParagraph"/>
              <w:adjustRightInd w:val="0"/>
              <w:snapToGrid w:val="0"/>
              <w:spacing w:after="60" w:line="360" w:lineRule="auto"/>
              <w:ind w:left="108" w:rightChars="30" w:right="66"/>
              <w:jc w:val="center"/>
              <w:rPr>
                <w:sz w:val="20"/>
                <w:lang w:val="en-GB"/>
              </w:rPr>
            </w:pPr>
            <w:r w:rsidRPr="003444E8">
              <w:rPr>
                <w:sz w:val="20"/>
                <w:lang w:val="en-GB"/>
              </w:rPr>
              <w:t>17</w:t>
            </w:r>
            <w:r w:rsidRPr="003444E8">
              <w:rPr>
                <w:spacing w:val="-1"/>
                <w:sz w:val="20"/>
                <w:lang w:val="en-GB"/>
              </w:rPr>
              <w:t xml:space="preserve"> </w:t>
            </w:r>
            <w:r w:rsidRPr="003444E8">
              <w:rPr>
                <w:sz w:val="20"/>
                <w:lang w:val="en-GB"/>
              </w:rPr>
              <w:t>/</w:t>
            </w:r>
            <w:r w:rsidRPr="003444E8">
              <w:rPr>
                <w:spacing w:val="-1"/>
                <w:sz w:val="20"/>
                <w:lang w:val="en-GB"/>
              </w:rPr>
              <w:t xml:space="preserve"> </w:t>
            </w:r>
            <w:r w:rsidRPr="003444E8">
              <w:rPr>
                <w:sz w:val="20"/>
                <w:lang w:val="en-GB"/>
              </w:rPr>
              <w:t>398 (4.3)</w:t>
            </w:r>
          </w:p>
        </w:tc>
      </w:tr>
    </w:tbl>
    <w:p w14:paraId="57E5AB52" w14:textId="77777777" w:rsidR="006E62CD" w:rsidRPr="003444E8" w:rsidRDefault="00CB520A" w:rsidP="00D258EC">
      <w:pPr>
        <w:adjustRightInd w:val="0"/>
        <w:snapToGrid w:val="0"/>
        <w:spacing w:after="120"/>
        <w:ind w:left="108" w:rightChars="30" w:right="66"/>
        <w:contextualSpacing/>
        <w:rPr>
          <w:sz w:val="18"/>
          <w:lang w:val="en-GB"/>
        </w:rPr>
      </w:pPr>
      <w:r w:rsidRPr="003444E8">
        <w:rPr>
          <w:sz w:val="18"/>
          <w:lang w:val="en-GB"/>
        </w:rPr>
        <w:t>N1 = Number of subjects randomised with a baseline assessment and at least one post baseline</w:t>
      </w:r>
      <w:r w:rsidRPr="003444E8">
        <w:rPr>
          <w:spacing w:val="-47"/>
          <w:sz w:val="18"/>
          <w:lang w:val="en-GB"/>
        </w:rPr>
        <w:t xml:space="preserve"> </w:t>
      </w:r>
      <w:r w:rsidRPr="003444E8">
        <w:rPr>
          <w:sz w:val="18"/>
          <w:lang w:val="en-GB"/>
        </w:rPr>
        <w:t>assessment</w:t>
      </w:r>
      <w:r w:rsidRPr="003444E8">
        <w:rPr>
          <w:spacing w:val="-1"/>
          <w:sz w:val="18"/>
          <w:lang w:val="en-GB"/>
        </w:rPr>
        <w:t xml:space="preserve"> </w:t>
      </w:r>
      <w:r w:rsidRPr="003444E8">
        <w:rPr>
          <w:sz w:val="18"/>
          <w:lang w:val="en-GB"/>
        </w:rPr>
        <w:t>of vertebral fracture at or before the</w:t>
      </w:r>
      <w:r w:rsidRPr="003444E8">
        <w:rPr>
          <w:spacing w:val="-2"/>
          <w:sz w:val="18"/>
          <w:lang w:val="en-GB"/>
        </w:rPr>
        <w:t xml:space="preserve"> </w:t>
      </w:r>
      <w:r w:rsidRPr="003444E8">
        <w:rPr>
          <w:sz w:val="18"/>
          <w:lang w:val="en-GB"/>
        </w:rPr>
        <w:t>time</w:t>
      </w:r>
      <w:r w:rsidRPr="003444E8">
        <w:rPr>
          <w:spacing w:val="-1"/>
          <w:sz w:val="18"/>
          <w:lang w:val="en-GB"/>
        </w:rPr>
        <w:t xml:space="preserve"> </w:t>
      </w:r>
      <w:r w:rsidRPr="003444E8">
        <w:rPr>
          <w:sz w:val="18"/>
          <w:lang w:val="en-GB"/>
        </w:rPr>
        <w:t>point of interest</w:t>
      </w:r>
    </w:p>
    <w:p w14:paraId="20EA4148" w14:textId="77777777" w:rsidR="006E62CD" w:rsidRPr="003444E8" w:rsidRDefault="00CB520A" w:rsidP="00D258EC">
      <w:pPr>
        <w:adjustRightInd w:val="0"/>
        <w:snapToGrid w:val="0"/>
        <w:spacing w:after="120"/>
        <w:ind w:left="108" w:rightChars="30" w:right="66"/>
        <w:contextualSpacing/>
        <w:rPr>
          <w:sz w:val="18"/>
          <w:lang w:val="en-GB"/>
        </w:rPr>
      </w:pPr>
      <w:r w:rsidRPr="003444E8">
        <w:rPr>
          <w:sz w:val="18"/>
          <w:lang w:val="en-GB"/>
        </w:rPr>
        <w:t>N</w:t>
      </w:r>
      <w:r w:rsidRPr="003444E8">
        <w:rPr>
          <w:spacing w:val="-2"/>
          <w:sz w:val="18"/>
          <w:lang w:val="en-GB"/>
        </w:rPr>
        <w:t xml:space="preserve"> </w:t>
      </w:r>
      <w:r w:rsidRPr="003444E8">
        <w:rPr>
          <w:sz w:val="18"/>
          <w:lang w:val="en-GB"/>
        </w:rPr>
        <w:t>=</w:t>
      </w:r>
      <w:r w:rsidRPr="003444E8">
        <w:rPr>
          <w:spacing w:val="-1"/>
          <w:sz w:val="18"/>
          <w:lang w:val="en-GB"/>
        </w:rPr>
        <w:t xml:space="preserve"> </w:t>
      </w:r>
      <w:r w:rsidRPr="003444E8">
        <w:rPr>
          <w:sz w:val="18"/>
          <w:lang w:val="en-GB"/>
        </w:rPr>
        <w:t>Number</w:t>
      </w:r>
      <w:r w:rsidRPr="003444E8">
        <w:rPr>
          <w:spacing w:val="-1"/>
          <w:sz w:val="18"/>
          <w:lang w:val="en-GB"/>
        </w:rPr>
        <w:t xml:space="preserve"> </w:t>
      </w:r>
      <w:r w:rsidRPr="003444E8">
        <w:rPr>
          <w:sz w:val="18"/>
          <w:lang w:val="en-GB"/>
        </w:rPr>
        <w:t>of</w:t>
      </w:r>
      <w:r w:rsidRPr="003444E8">
        <w:rPr>
          <w:spacing w:val="-1"/>
          <w:sz w:val="18"/>
          <w:lang w:val="en-GB"/>
        </w:rPr>
        <w:t xml:space="preserve"> </w:t>
      </w:r>
      <w:r w:rsidRPr="003444E8">
        <w:rPr>
          <w:sz w:val="18"/>
          <w:lang w:val="en-GB"/>
        </w:rPr>
        <w:t>subjects</w:t>
      </w:r>
      <w:r w:rsidRPr="003444E8">
        <w:rPr>
          <w:spacing w:val="-1"/>
          <w:sz w:val="18"/>
          <w:lang w:val="en-GB"/>
        </w:rPr>
        <w:t xml:space="preserve"> </w:t>
      </w:r>
      <w:r w:rsidRPr="003444E8">
        <w:rPr>
          <w:sz w:val="18"/>
          <w:lang w:val="en-GB"/>
        </w:rPr>
        <w:t>randomised</w:t>
      </w:r>
    </w:p>
    <w:p w14:paraId="55D72E7D" w14:textId="77777777" w:rsidR="006E62CD" w:rsidRPr="003444E8" w:rsidRDefault="00CB520A" w:rsidP="00D258EC">
      <w:pPr>
        <w:adjustRightInd w:val="0"/>
        <w:snapToGrid w:val="0"/>
        <w:spacing w:after="120"/>
        <w:ind w:left="108" w:rightChars="30" w:right="66"/>
        <w:contextualSpacing/>
        <w:rPr>
          <w:sz w:val="18"/>
          <w:lang w:val="en-GB"/>
        </w:rPr>
      </w:pPr>
      <w:r w:rsidRPr="003444E8">
        <w:rPr>
          <w:sz w:val="18"/>
          <w:lang w:val="en-GB"/>
        </w:rPr>
        <w:t>n</w:t>
      </w:r>
      <w:r w:rsidRPr="003444E8">
        <w:rPr>
          <w:spacing w:val="-1"/>
          <w:sz w:val="18"/>
          <w:lang w:val="en-GB"/>
        </w:rPr>
        <w:t xml:space="preserve"> </w:t>
      </w:r>
      <w:r w:rsidRPr="003444E8">
        <w:rPr>
          <w:sz w:val="18"/>
          <w:lang w:val="en-GB"/>
        </w:rPr>
        <w:t>=</w:t>
      </w:r>
      <w:r w:rsidRPr="003444E8">
        <w:rPr>
          <w:spacing w:val="-1"/>
          <w:sz w:val="18"/>
          <w:lang w:val="en-GB"/>
        </w:rPr>
        <w:t xml:space="preserve"> </w:t>
      </w:r>
      <w:r w:rsidRPr="003444E8">
        <w:rPr>
          <w:sz w:val="18"/>
          <w:lang w:val="en-GB"/>
        </w:rPr>
        <w:t>Number of</w:t>
      </w:r>
      <w:r w:rsidRPr="003444E8">
        <w:rPr>
          <w:spacing w:val="-1"/>
          <w:sz w:val="18"/>
          <w:lang w:val="en-GB"/>
        </w:rPr>
        <w:t xml:space="preserve"> </w:t>
      </w:r>
      <w:r w:rsidRPr="003444E8">
        <w:rPr>
          <w:sz w:val="18"/>
          <w:lang w:val="en-GB"/>
        </w:rPr>
        <w:t>subjects with</w:t>
      </w:r>
      <w:r w:rsidRPr="003444E8">
        <w:rPr>
          <w:spacing w:val="-2"/>
          <w:sz w:val="18"/>
          <w:lang w:val="en-GB"/>
        </w:rPr>
        <w:t xml:space="preserve"> </w:t>
      </w:r>
      <w:r w:rsidRPr="003444E8">
        <w:rPr>
          <w:sz w:val="18"/>
          <w:lang w:val="en-GB"/>
        </w:rPr>
        <w:t>at least</w:t>
      </w:r>
      <w:r w:rsidRPr="003444E8">
        <w:rPr>
          <w:spacing w:val="-1"/>
          <w:sz w:val="18"/>
          <w:lang w:val="en-GB"/>
        </w:rPr>
        <w:t xml:space="preserve"> </w:t>
      </w:r>
      <w:r w:rsidRPr="003444E8">
        <w:rPr>
          <w:sz w:val="18"/>
          <w:lang w:val="en-GB"/>
        </w:rPr>
        <w:t>one fracture</w:t>
      </w:r>
    </w:p>
    <w:p w14:paraId="7BCBE1E6" w14:textId="77777777" w:rsidR="00A9501F" w:rsidRDefault="00A9501F" w:rsidP="00D258EC">
      <w:pPr>
        <w:pStyle w:val="BodyText"/>
        <w:adjustRightInd w:val="0"/>
        <w:snapToGrid w:val="0"/>
        <w:spacing w:before="60" w:after="60" w:line="360" w:lineRule="auto"/>
        <w:ind w:left="108" w:rightChars="30" w:right="66"/>
        <w:rPr>
          <w:u w:val="single"/>
          <w:lang w:val="en-GB"/>
        </w:rPr>
      </w:pPr>
    </w:p>
    <w:p w14:paraId="05B45680" w14:textId="6C89C15C"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Post-marketing</w:t>
      </w:r>
      <w:r w:rsidRPr="003444E8">
        <w:rPr>
          <w:spacing w:val="-3"/>
          <w:u w:val="single"/>
          <w:lang w:val="en-GB"/>
        </w:rPr>
        <w:t xml:space="preserve"> </w:t>
      </w:r>
      <w:r w:rsidRPr="003444E8">
        <w:rPr>
          <w:u w:val="single"/>
          <w:lang w:val="en-GB"/>
        </w:rPr>
        <w:t>experience</w:t>
      </w:r>
    </w:p>
    <w:p w14:paraId="7B05D72F"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Rare events of drug-related hypersensitivity reactions: rash, urticaria, facial swelling,</w:t>
      </w:r>
      <w:r w:rsidRPr="00A9501F">
        <w:rPr>
          <w:lang w:val="en-GB"/>
        </w:rPr>
        <w:t xml:space="preserve"> </w:t>
      </w:r>
      <w:r w:rsidRPr="003444E8">
        <w:rPr>
          <w:lang w:val="en-GB"/>
        </w:rPr>
        <w:t>erythema</w:t>
      </w:r>
      <w:r w:rsidRPr="00A9501F">
        <w:rPr>
          <w:lang w:val="en-GB"/>
        </w:rPr>
        <w:t xml:space="preserve"> </w:t>
      </w:r>
      <w:r w:rsidRPr="003444E8">
        <w:rPr>
          <w:lang w:val="en-GB"/>
        </w:rPr>
        <w:t>and anaphylactic reactions.</w:t>
      </w:r>
    </w:p>
    <w:p w14:paraId="2A1D2B13" w14:textId="13E16E5A"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Rare events of severe symptomatic hypocalcaemia (resulting in hospitalisation, life-</w:t>
      </w:r>
      <w:r w:rsidRPr="00A9501F">
        <w:rPr>
          <w:lang w:val="en-GB"/>
        </w:rPr>
        <w:t xml:space="preserve"> </w:t>
      </w:r>
      <w:r w:rsidRPr="003444E8">
        <w:rPr>
          <w:lang w:val="en-GB"/>
        </w:rPr>
        <w:t>threatening events, and fatal cases) have been reported predominantly in patients at</w:t>
      </w:r>
      <w:r w:rsidRPr="00A9501F">
        <w:rPr>
          <w:lang w:val="en-GB"/>
        </w:rPr>
        <w:t xml:space="preserve"> </w:t>
      </w:r>
      <w:r w:rsidRPr="003444E8">
        <w:rPr>
          <w:lang w:val="en-GB"/>
        </w:rPr>
        <w:t>increased risk of hypocalcaemia, particularly in patients with severe renal impairment,</w:t>
      </w:r>
      <w:r w:rsidRPr="00A9501F">
        <w:rPr>
          <w:lang w:val="en-GB"/>
        </w:rPr>
        <w:t xml:space="preserve"> </w:t>
      </w:r>
      <w:r w:rsidRPr="003444E8">
        <w:rPr>
          <w:lang w:val="en-GB"/>
        </w:rPr>
        <w:t xml:space="preserve">receiving dialysis or treatment with other calcium lowering drugs receiving </w:t>
      </w:r>
      <w:r w:rsidR="00A04F0C">
        <w:rPr>
          <w:lang w:val="en-GB"/>
        </w:rPr>
        <w:t>denosumab</w:t>
      </w:r>
      <w:r w:rsidRPr="003444E8">
        <w:rPr>
          <w:lang w:val="en-GB"/>
        </w:rPr>
        <w:t>. Most</w:t>
      </w:r>
      <w:r w:rsidRPr="00A9501F">
        <w:rPr>
          <w:lang w:val="en-GB"/>
        </w:rPr>
        <w:t xml:space="preserve"> </w:t>
      </w:r>
      <w:r w:rsidRPr="003444E8">
        <w:rPr>
          <w:lang w:val="en-GB"/>
        </w:rPr>
        <w:t>cases occurred in the first weeks of initiating therapy.</w:t>
      </w:r>
      <w:r w:rsidRPr="00A9501F">
        <w:rPr>
          <w:lang w:val="en-GB"/>
        </w:rPr>
        <w:t xml:space="preserve"> </w:t>
      </w:r>
      <w:r w:rsidRPr="003444E8">
        <w:rPr>
          <w:lang w:val="en-GB"/>
        </w:rPr>
        <w:t>Examples of the clinical</w:t>
      </w:r>
      <w:r w:rsidRPr="00A9501F">
        <w:rPr>
          <w:lang w:val="en-GB"/>
        </w:rPr>
        <w:t xml:space="preserve"> </w:t>
      </w:r>
      <w:r w:rsidRPr="003444E8">
        <w:rPr>
          <w:lang w:val="en-GB"/>
        </w:rPr>
        <w:t>manifestations of severe symptomatic hypocalcaemia have included QT prolongation,</w:t>
      </w:r>
      <w:r w:rsidRPr="00A9501F">
        <w:rPr>
          <w:lang w:val="en-GB"/>
        </w:rPr>
        <w:t xml:space="preserve"> </w:t>
      </w:r>
      <w:r w:rsidRPr="003444E8">
        <w:rPr>
          <w:lang w:val="en-GB"/>
        </w:rPr>
        <w:t>tetany, seizures and altered mental status (see section 4.4 Special warnings and</w:t>
      </w:r>
      <w:r w:rsidRPr="00A9501F">
        <w:rPr>
          <w:lang w:val="en-GB"/>
        </w:rPr>
        <w:t xml:space="preserve"> </w:t>
      </w:r>
      <w:r w:rsidRPr="003444E8">
        <w:rPr>
          <w:lang w:val="en-GB"/>
        </w:rPr>
        <w:t>precautions for use, Hypocalcaemia).</w:t>
      </w:r>
      <w:r w:rsidRPr="00A9501F">
        <w:rPr>
          <w:lang w:val="en-GB"/>
        </w:rPr>
        <w:t xml:space="preserve"> </w:t>
      </w:r>
      <w:r w:rsidRPr="003444E8">
        <w:rPr>
          <w:lang w:val="en-GB"/>
        </w:rPr>
        <w:t xml:space="preserve">Symptoms of hypocalcaemia in </w:t>
      </w:r>
      <w:r w:rsidR="00A04F0C">
        <w:rPr>
          <w:lang w:val="en-GB"/>
        </w:rPr>
        <w:t>denosumab</w:t>
      </w:r>
      <w:r w:rsidRPr="00A9501F">
        <w:rPr>
          <w:lang w:val="en-GB"/>
        </w:rPr>
        <w:t xml:space="preserve"> </w:t>
      </w:r>
      <w:r w:rsidRPr="003444E8">
        <w:rPr>
          <w:lang w:val="en-GB"/>
        </w:rPr>
        <w:t>clinical studies included paraesthesia, muscle stiffness, twitching, spasms and muscle</w:t>
      </w:r>
      <w:r w:rsidRPr="00A9501F">
        <w:rPr>
          <w:lang w:val="en-GB"/>
        </w:rPr>
        <w:t xml:space="preserve"> </w:t>
      </w:r>
      <w:r w:rsidRPr="003444E8">
        <w:rPr>
          <w:lang w:val="en-GB"/>
        </w:rPr>
        <w:t>cramps.</w:t>
      </w:r>
    </w:p>
    <w:p w14:paraId="3C0A3B43" w14:textId="73483384"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Musculoskeletal</w:t>
      </w:r>
      <w:r w:rsidRPr="00A9501F">
        <w:rPr>
          <w:lang w:val="en-GB"/>
        </w:rPr>
        <w:t xml:space="preserve"> </w:t>
      </w:r>
      <w:r w:rsidRPr="003444E8">
        <w:rPr>
          <w:lang w:val="en-GB"/>
        </w:rPr>
        <w:t>pain,</w:t>
      </w:r>
      <w:r w:rsidRPr="00A9501F">
        <w:rPr>
          <w:lang w:val="en-GB"/>
        </w:rPr>
        <w:t xml:space="preserve"> </w:t>
      </w:r>
      <w:r w:rsidRPr="003444E8">
        <w:rPr>
          <w:lang w:val="en-GB"/>
        </w:rPr>
        <w:t>including</w:t>
      </w:r>
      <w:r w:rsidRPr="00A9501F">
        <w:rPr>
          <w:lang w:val="en-GB"/>
        </w:rPr>
        <w:t xml:space="preserve"> </w:t>
      </w:r>
      <w:r w:rsidRPr="003444E8">
        <w:rPr>
          <w:lang w:val="en-GB"/>
        </w:rPr>
        <w:t>severe</w:t>
      </w:r>
      <w:r w:rsidRPr="00A9501F">
        <w:rPr>
          <w:lang w:val="en-GB"/>
        </w:rPr>
        <w:t xml:space="preserve"> </w:t>
      </w:r>
      <w:r w:rsidRPr="003444E8">
        <w:rPr>
          <w:lang w:val="en-GB"/>
        </w:rPr>
        <w:t>cases,</w:t>
      </w:r>
      <w:r w:rsidRPr="00A9501F">
        <w:rPr>
          <w:lang w:val="en-GB"/>
        </w:rPr>
        <w:t xml:space="preserve"> </w:t>
      </w:r>
      <w:r w:rsidRPr="003444E8">
        <w:rPr>
          <w:lang w:val="en-GB"/>
        </w:rPr>
        <w:t>has</w:t>
      </w:r>
      <w:r w:rsidRPr="00A9501F">
        <w:rPr>
          <w:lang w:val="en-GB"/>
        </w:rPr>
        <w:t xml:space="preserve"> </w:t>
      </w:r>
      <w:r w:rsidRPr="003444E8">
        <w:rPr>
          <w:lang w:val="en-GB"/>
        </w:rPr>
        <w:t>been</w:t>
      </w:r>
      <w:r w:rsidRPr="00A9501F">
        <w:rPr>
          <w:lang w:val="en-GB"/>
        </w:rPr>
        <w:t xml:space="preserve"> </w:t>
      </w:r>
      <w:r w:rsidRPr="003444E8">
        <w:rPr>
          <w:lang w:val="en-GB"/>
        </w:rPr>
        <w:t>reported</w:t>
      </w:r>
      <w:r w:rsidRPr="00A9501F">
        <w:rPr>
          <w:lang w:val="en-GB"/>
        </w:rPr>
        <w:t xml:space="preserve"> </w:t>
      </w:r>
      <w:r w:rsidRPr="003444E8">
        <w:rPr>
          <w:lang w:val="en-GB"/>
        </w:rPr>
        <w:t>in</w:t>
      </w:r>
      <w:r w:rsidRPr="00A9501F">
        <w:rPr>
          <w:lang w:val="en-GB"/>
        </w:rPr>
        <w:t xml:space="preserve"> </w:t>
      </w:r>
      <w:r w:rsidRPr="003444E8">
        <w:rPr>
          <w:lang w:val="en-GB"/>
        </w:rPr>
        <w:t>patients</w:t>
      </w:r>
      <w:r w:rsidRPr="00A9501F">
        <w:rPr>
          <w:lang w:val="en-GB"/>
        </w:rPr>
        <w:t xml:space="preserve"> </w:t>
      </w:r>
      <w:r w:rsidRPr="003444E8">
        <w:rPr>
          <w:lang w:val="en-GB"/>
        </w:rPr>
        <w:t>receiving</w:t>
      </w:r>
      <w:r w:rsidRPr="00A9501F">
        <w:rPr>
          <w:lang w:val="en-GB"/>
        </w:rPr>
        <w:t xml:space="preserve"> </w:t>
      </w:r>
      <w:r w:rsidR="00A04F0C">
        <w:rPr>
          <w:lang w:val="en-GB"/>
        </w:rPr>
        <w:lastRenderedPageBreak/>
        <w:t>denosumab</w:t>
      </w:r>
      <w:r w:rsidRPr="003444E8">
        <w:rPr>
          <w:lang w:val="en-GB"/>
        </w:rPr>
        <w:t>.</w:t>
      </w:r>
      <w:r w:rsidRPr="00A9501F">
        <w:rPr>
          <w:lang w:val="en-GB"/>
        </w:rPr>
        <w:t xml:space="preserve"> </w:t>
      </w:r>
      <w:r w:rsidRPr="003444E8">
        <w:rPr>
          <w:lang w:val="en-GB"/>
        </w:rPr>
        <w:t>There have been reports of osteonecrosis of the external auditory canal in</w:t>
      </w:r>
      <w:r w:rsidRPr="00A9501F">
        <w:rPr>
          <w:lang w:val="en-GB"/>
        </w:rPr>
        <w:t xml:space="preserve"> </w:t>
      </w:r>
      <w:r w:rsidRPr="003444E8">
        <w:rPr>
          <w:lang w:val="en-GB"/>
        </w:rPr>
        <w:t>patients</w:t>
      </w:r>
      <w:r w:rsidRPr="00A9501F">
        <w:rPr>
          <w:lang w:val="en-GB"/>
        </w:rPr>
        <w:t xml:space="preserve"> </w:t>
      </w:r>
      <w:r w:rsidRPr="003444E8">
        <w:rPr>
          <w:lang w:val="en-GB"/>
        </w:rPr>
        <w:t xml:space="preserve">using </w:t>
      </w:r>
      <w:r w:rsidR="00A04F0C">
        <w:rPr>
          <w:lang w:val="en-GB"/>
        </w:rPr>
        <w:t>denosumab</w:t>
      </w:r>
      <w:r w:rsidRPr="003444E8">
        <w:rPr>
          <w:lang w:val="en-GB"/>
        </w:rPr>
        <w:t>.</w:t>
      </w:r>
    </w:p>
    <w:p w14:paraId="6F905E7E"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Very</w:t>
      </w:r>
      <w:r w:rsidRPr="00A9501F">
        <w:rPr>
          <w:lang w:val="en-GB"/>
        </w:rPr>
        <w:t xml:space="preserve"> </w:t>
      </w:r>
      <w:r w:rsidRPr="003444E8">
        <w:rPr>
          <w:lang w:val="en-GB"/>
        </w:rPr>
        <w:t>rare events</w:t>
      </w:r>
      <w:r w:rsidRPr="00A9501F">
        <w:rPr>
          <w:lang w:val="en-GB"/>
        </w:rPr>
        <w:t xml:space="preserve"> </w:t>
      </w:r>
      <w:r w:rsidRPr="003444E8">
        <w:rPr>
          <w:lang w:val="en-GB"/>
        </w:rPr>
        <w:t>of</w:t>
      </w:r>
      <w:r w:rsidRPr="00A9501F">
        <w:rPr>
          <w:lang w:val="en-GB"/>
        </w:rPr>
        <w:t xml:space="preserve"> </w:t>
      </w:r>
      <w:r w:rsidRPr="003444E8">
        <w:rPr>
          <w:lang w:val="en-GB"/>
        </w:rPr>
        <w:t>hypersensitivity</w:t>
      </w:r>
      <w:r w:rsidRPr="00A9501F">
        <w:rPr>
          <w:lang w:val="en-GB"/>
        </w:rPr>
        <w:t xml:space="preserve"> </w:t>
      </w:r>
      <w:r w:rsidRPr="003444E8">
        <w:rPr>
          <w:lang w:val="en-GB"/>
        </w:rPr>
        <w:t>vasculitis.</w:t>
      </w:r>
    </w:p>
    <w:p w14:paraId="7C69478D"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Uncommon events of lichenoid drug eruptions (e.g. lichen planus-like reactions) have</w:t>
      </w:r>
      <w:r w:rsidRPr="00A9501F">
        <w:rPr>
          <w:lang w:val="en-GB"/>
        </w:rPr>
        <w:t xml:space="preserve"> </w:t>
      </w:r>
      <w:r w:rsidRPr="003444E8">
        <w:rPr>
          <w:lang w:val="en-GB"/>
        </w:rPr>
        <w:t>been</w:t>
      </w:r>
      <w:r w:rsidRPr="00A9501F">
        <w:rPr>
          <w:lang w:val="en-GB"/>
        </w:rPr>
        <w:t xml:space="preserve"> </w:t>
      </w:r>
      <w:r w:rsidRPr="003444E8">
        <w:rPr>
          <w:lang w:val="en-GB"/>
        </w:rPr>
        <w:t>observed.</w:t>
      </w:r>
    </w:p>
    <w:p w14:paraId="6DEAF9FC"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Drug reaction with eosinophilia and systemic symptoms (DRESS) syndrome has been</w:t>
      </w:r>
      <w:r w:rsidRPr="00A9501F">
        <w:rPr>
          <w:lang w:val="en-GB"/>
        </w:rPr>
        <w:t xml:space="preserve"> </w:t>
      </w:r>
      <w:r w:rsidRPr="003444E8">
        <w:rPr>
          <w:lang w:val="en-GB"/>
        </w:rPr>
        <w:t>observed.</w:t>
      </w:r>
    </w:p>
    <w:p w14:paraId="6A852BDC"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Common</w:t>
      </w:r>
      <w:r w:rsidRPr="00A9501F">
        <w:rPr>
          <w:lang w:val="en-GB"/>
        </w:rPr>
        <w:t xml:space="preserve"> </w:t>
      </w:r>
      <w:r w:rsidRPr="003444E8">
        <w:rPr>
          <w:lang w:val="en-GB"/>
        </w:rPr>
        <w:t>events</w:t>
      </w:r>
      <w:r w:rsidRPr="00A9501F">
        <w:rPr>
          <w:lang w:val="en-GB"/>
        </w:rPr>
        <w:t xml:space="preserve"> </w:t>
      </w:r>
      <w:r w:rsidRPr="003444E8">
        <w:rPr>
          <w:lang w:val="en-GB"/>
        </w:rPr>
        <w:t>of</w:t>
      </w:r>
      <w:r w:rsidRPr="00A9501F">
        <w:rPr>
          <w:lang w:val="en-GB"/>
        </w:rPr>
        <w:t xml:space="preserve"> </w:t>
      </w:r>
      <w:r w:rsidRPr="003444E8">
        <w:rPr>
          <w:lang w:val="en-GB"/>
        </w:rPr>
        <w:t>alopecia</w:t>
      </w:r>
      <w:r w:rsidRPr="00A9501F">
        <w:rPr>
          <w:lang w:val="en-GB"/>
        </w:rPr>
        <w:t xml:space="preserve"> </w:t>
      </w:r>
      <w:r w:rsidRPr="003444E8">
        <w:rPr>
          <w:lang w:val="en-GB"/>
        </w:rPr>
        <w:t>have</w:t>
      </w:r>
      <w:r w:rsidRPr="00A9501F">
        <w:rPr>
          <w:lang w:val="en-GB"/>
        </w:rPr>
        <w:t xml:space="preserve"> </w:t>
      </w:r>
      <w:r w:rsidRPr="003444E8">
        <w:rPr>
          <w:lang w:val="en-GB"/>
        </w:rPr>
        <w:t>been</w:t>
      </w:r>
      <w:r w:rsidRPr="00A9501F">
        <w:rPr>
          <w:lang w:val="en-GB"/>
        </w:rPr>
        <w:t xml:space="preserve"> </w:t>
      </w:r>
      <w:r w:rsidRPr="003444E8">
        <w:rPr>
          <w:lang w:val="en-GB"/>
        </w:rPr>
        <w:t>reported.</w:t>
      </w:r>
    </w:p>
    <w:p w14:paraId="17E44873" w14:textId="33ED3DEC" w:rsidR="00E54398" w:rsidRDefault="00CB520A" w:rsidP="00E54398">
      <w:pPr>
        <w:pStyle w:val="BodyText"/>
        <w:adjustRightInd w:val="0"/>
        <w:snapToGrid w:val="0"/>
        <w:spacing w:before="60" w:after="60" w:line="360" w:lineRule="auto"/>
        <w:ind w:left="108" w:rightChars="30" w:right="66"/>
        <w:rPr>
          <w:lang w:val="en-GB"/>
        </w:rPr>
      </w:pPr>
      <w:r w:rsidRPr="003444E8">
        <w:rPr>
          <w:lang w:val="en-GB"/>
        </w:rPr>
        <w:t>The development or progression of lens opacification events (cataracts) were</w:t>
      </w:r>
      <w:r w:rsidRPr="00A9501F">
        <w:rPr>
          <w:lang w:val="en-GB"/>
        </w:rPr>
        <w:t xml:space="preserve"> </w:t>
      </w:r>
      <w:r w:rsidRPr="003444E8">
        <w:rPr>
          <w:lang w:val="en-GB"/>
        </w:rPr>
        <w:t xml:space="preserve">comparable between patients treated with </w:t>
      </w:r>
      <w:r w:rsidR="00A04F0C">
        <w:rPr>
          <w:lang w:val="en-GB"/>
        </w:rPr>
        <w:t>denosumab</w:t>
      </w:r>
      <w:r w:rsidR="00A9501F" w:rsidRPr="003444E8">
        <w:rPr>
          <w:lang w:val="en-GB"/>
        </w:rPr>
        <w:t xml:space="preserve"> </w:t>
      </w:r>
      <w:r w:rsidRPr="003444E8">
        <w:rPr>
          <w:lang w:val="en-GB"/>
        </w:rPr>
        <w:t>and those receiving placebo for up to</w:t>
      </w:r>
      <w:r w:rsidRPr="00A9501F">
        <w:rPr>
          <w:lang w:val="en-GB"/>
        </w:rPr>
        <w:t xml:space="preserve"> </w:t>
      </w:r>
      <w:r w:rsidRPr="003444E8">
        <w:rPr>
          <w:lang w:val="en-GB"/>
        </w:rPr>
        <w:t>12 months in a clinical study in men with non-metastatic prostate cancer with bone loss</w:t>
      </w:r>
      <w:r w:rsidRPr="00A9501F">
        <w:rPr>
          <w:lang w:val="en-GB"/>
        </w:rPr>
        <w:t xml:space="preserve"> </w:t>
      </w:r>
      <w:r w:rsidRPr="003444E8">
        <w:rPr>
          <w:lang w:val="en-GB"/>
        </w:rPr>
        <w:t>due</w:t>
      </w:r>
      <w:r w:rsidRPr="00A9501F">
        <w:rPr>
          <w:lang w:val="en-GB"/>
        </w:rPr>
        <w:t xml:space="preserve"> </w:t>
      </w:r>
      <w:r w:rsidRPr="003444E8">
        <w:rPr>
          <w:lang w:val="en-GB"/>
        </w:rPr>
        <w:t>to androgen deprivation therapy.</w:t>
      </w:r>
    </w:p>
    <w:p w14:paraId="63FE435A" w14:textId="3A70E3EA" w:rsidR="00A04F0C" w:rsidRPr="005B583D" w:rsidRDefault="00A04F0C" w:rsidP="005B583D">
      <w:pPr>
        <w:pStyle w:val="BodyText"/>
        <w:adjustRightInd w:val="0"/>
        <w:snapToGrid w:val="0"/>
        <w:spacing w:before="60" w:after="60" w:line="360" w:lineRule="auto"/>
        <w:ind w:left="108" w:rightChars="30" w:right="66"/>
        <w:rPr>
          <w:lang w:val="en-GB"/>
        </w:rPr>
      </w:pPr>
      <w:r w:rsidRPr="00BC0D07">
        <w:rPr>
          <w:i/>
          <w:iCs/>
          <w:u w:val="single"/>
        </w:rPr>
        <w:t>Comparability of OSPOMYV with PROLIA</w:t>
      </w:r>
    </w:p>
    <w:p w14:paraId="34D82B34" w14:textId="2C6ACF41" w:rsidR="00A04F0C" w:rsidRPr="003444E8" w:rsidRDefault="00A04F0C" w:rsidP="00A04F0C">
      <w:pPr>
        <w:pStyle w:val="BodyText"/>
        <w:adjustRightInd w:val="0"/>
        <w:snapToGrid w:val="0"/>
        <w:spacing w:before="60" w:after="60" w:line="360" w:lineRule="auto"/>
        <w:ind w:left="108" w:rightChars="30" w:right="66"/>
        <w:rPr>
          <w:lang w:val="en-GB"/>
        </w:rPr>
      </w:pPr>
      <w:r>
        <w:t xml:space="preserve">There were no notable differences in the safety profile between the </w:t>
      </w:r>
      <w:r w:rsidRPr="009F2295">
        <w:rPr>
          <w:u w:val="single"/>
        </w:rPr>
        <w:t xml:space="preserve">OSPOMYV </w:t>
      </w:r>
      <w:r>
        <w:t>and PROLIA treatment groups in the comparative clinical studies.</w:t>
      </w:r>
    </w:p>
    <w:p w14:paraId="7C5DDE5D" w14:textId="77777777" w:rsidR="006E62CD" w:rsidRPr="003444E8" w:rsidRDefault="00CB520A" w:rsidP="00D258EC">
      <w:pPr>
        <w:adjustRightInd w:val="0"/>
        <w:snapToGrid w:val="0"/>
        <w:spacing w:before="60" w:after="60" w:line="360" w:lineRule="auto"/>
        <w:ind w:left="108" w:rightChars="30" w:right="66"/>
        <w:rPr>
          <w:i/>
          <w:lang w:val="en-GB"/>
        </w:rPr>
      </w:pPr>
      <w:r w:rsidRPr="003444E8">
        <w:rPr>
          <w:i/>
          <w:lang w:val="en-GB"/>
        </w:rPr>
        <w:t>Reporting</w:t>
      </w:r>
      <w:r w:rsidRPr="003444E8">
        <w:rPr>
          <w:i/>
          <w:spacing w:val="-2"/>
          <w:lang w:val="en-GB"/>
        </w:rPr>
        <w:t xml:space="preserve"> </w:t>
      </w:r>
      <w:r w:rsidRPr="003444E8">
        <w:rPr>
          <w:i/>
          <w:lang w:val="en-GB"/>
        </w:rPr>
        <w:t>of</w:t>
      </w:r>
      <w:r w:rsidRPr="003444E8">
        <w:rPr>
          <w:i/>
          <w:spacing w:val="-2"/>
          <w:lang w:val="en-GB"/>
        </w:rPr>
        <w:t xml:space="preserve"> </w:t>
      </w:r>
      <w:r w:rsidRPr="003444E8">
        <w:rPr>
          <w:i/>
          <w:lang w:val="en-GB"/>
        </w:rPr>
        <w:t>suspected</w:t>
      </w:r>
      <w:r w:rsidRPr="003444E8">
        <w:rPr>
          <w:i/>
          <w:spacing w:val="-2"/>
          <w:lang w:val="en-GB"/>
        </w:rPr>
        <w:t xml:space="preserve"> </w:t>
      </w:r>
      <w:r w:rsidRPr="003444E8">
        <w:rPr>
          <w:i/>
          <w:lang w:val="en-GB"/>
        </w:rPr>
        <w:t>adverse</w:t>
      </w:r>
      <w:r w:rsidRPr="003444E8">
        <w:rPr>
          <w:i/>
          <w:spacing w:val="1"/>
          <w:lang w:val="en-GB"/>
        </w:rPr>
        <w:t xml:space="preserve"> </w:t>
      </w:r>
      <w:r w:rsidRPr="003444E8">
        <w:rPr>
          <w:i/>
          <w:lang w:val="en-GB"/>
        </w:rPr>
        <w:t>effects</w:t>
      </w:r>
    </w:p>
    <w:p w14:paraId="04CA6238"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Reporting suspected adverse reactions after registration of the medicinal product is</w:t>
      </w:r>
      <w:r w:rsidRPr="00A9501F">
        <w:rPr>
          <w:lang w:val="en-GB"/>
        </w:rPr>
        <w:t xml:space="preserve"> </w:t>
      </w:r>
      <w:r w:rsidRPr="003444E8">
        <w:rPr>
          <w:lang w:val="en-GB"/>
        </w:rPr>
        <w:t>important.</w:t>
      </w:r>
      <w:r w:rsidRPr="00A9501F">
        <w:rPr>
          <w:lang w:val="en-GB"/>
        </w:rPr>
        <w:t xml:space="preserve"> </w:t>
      </w:r>
      <w:r w:rsidRPr="003444E8">
        <w:rPr>
          <w:lang w:val="en-GB"/>
        </w:rPr>
        <w:t>It allows continued monitoring of the benefit-risk balance of the medicinal</w:t>
      </w:r>
      <w:r w:rsidRPr="00A9501F">
        <w:rPr>
          <w:lang w:val="en-GB"/>
        </w:rPr>
        <w:t xml:space="preserve"> </w:t>
      </w:r>
      <w:r w:rsidRPr="003444E8">
        <w:rPr>
          <w:lang w:val="en-GB"/>
        </w:rPr>
        <w:t>product.</w:t>
      </w:r>
      <w:r w:rsidRPr="00A9501F">
        <w:rPr>
          <w:lang w:val="en-GB"/>
        </w:rPr>
        <w:t xml:space="preserve"> </w:t>
      </w:r>
      <w:r w:rsidRPr="003444E8">
        <w:rPr>
          <w:lang w:val="en-GB"/>
        </w:rPr>
        <w:t>Healthcare</w:t>
      </w:r>
      <w:r w:rsidRPr="00A9501F">
        <w:rPr>
          <w:lang w:val="en-GB"/>
        </w:rPr>
        <w:t xml:space="preserve"> </w:t>
      </w:r>
      <w:r w:rsidRPr="003444E8">
        <w:rPr>
          <w:lang w:val="en-GB"/>
        </w:rPr>
        <w:t>professionals</w:t>
      </w:r>
      <w:r w:rsidRPr="00A9501F">
        <w:rPr>
          <w:lang w:val="en-GB"/>
        </w:rPr>
        <w:t xml:space="preserve"> </w:t>
      </w:r>
      <w:r w:rsidRPr="003444E8">
        <w:rPr>
          <w:lang w:val="en-GB"/>
        </w:rPr>
        <w:t>are</w:t>
      </w:r>
      <w:r w:rsidRPr="00A9501F">
        <w:rPr>
          <w:lang w:val="en-GB"/>
        </w:rPr>
        <w:t xml:space="preserve"> </w:t>
      </w:r>
      <w:r w:rsidRPr="003444E8">
        <w:rPr>
          <w:lang w:val="en-GB"/>
        </w:rPr>
        <w:t>asked</w:t>
      </w:r>
      <w:r w:rsidRPr="00A9501F">
        <w:rPr>
          <w:lang w:val="en-GB"/>
        </w:rPr>
        <w:t xml:space="preserve"> </w:t>
      </w:r>
      <w:r w:rsidRPr="003444E8">
        <w:rPr>
          <w:lang w:val="en-GB"/>
        </w:rPr>
        <w:t>to</w:t>
      </w:r>
      <w:r w:rsidRPr="00A9501F">
        <w:rPr>
          <w:lang w:val="en-GB"/>
        </w:rPr>
        <w:t xml:space="preserve"> </w:t>
      </w:r>
      <w:r w:rsidRPr="003444E8">
        <w:rPr>
          <w:lang w:val="en-GB"/>
        </w:rPr>
        <w:t>report</w:t>
      </w:r>
      <w:r w:rsidRPr="00A9501F">
        <w:rPr>
          <w:lang w:val="en-GB"/>
        </w:rPr>
        <w:t xml:space="preserve"> </w:t>
      </w:r>
      <w:r w:rsidRPr="003444E8">
        <w:rPr>
          <w:lang w:val="en-GB"/>
        </w:rPr>
        <w:t>any</w:t>
      </w:r>
      <w:r w:rsidRPr="00A9501F">
        <w:rPr>
          <w:lang w:val="en-GB"/>
        </w:rPr>
        <w:t xml:space="preserve"> </w:t>
      </w:r>
      <w:r w:rsidRPr="003444E8">
        <w:rPr>
          <w:lang w:val="en-GB"/>
        </w:rPr>
        <w:t>suspected</w:t>
      </w:r>
      <w:r w:rsidRPr="00A9501F">
        <w:rPr>
          <w:lang w:val="en-GB"/>
        </w:rPr>
        <w:t xml:space="preserve"> </w:t>
      </w:r>
      <w:r w:rsidRPr="003444E8">
        <w:rPr>
          <w:lang w:val="en-GB"/>
        </w:rPr>
        <w:t>adverse</w:t>
      </w:r>
      <w:r w:rsidRPr="00A9501F">
        <w:rPr>
          <w:lang w:val="en-GB"/>
        </w:rPr>
        <w:t xml:space="preserve"> </w:t>
      </w:r>
      <w:r w:rsidRPr="003444E8">
        <w:rPr>
          <w:lang w:val="en-GB"/>
        </w:rPr>
        <w:t>reactions</w:t>
      </w:r>
      <w:r w:rsidRPr="00A9501F">
        <w:rPr>
          <w:lang w:val="en-GB"/>
        </w:rPr>
        <w:t xml:space="preserve"> </w:t>
      </w:r>
      <w:r w:rsidRPr="003444E8">
        <w:rPr>
          <w:lang w:val="en-GB"/>
        </w:rPr>
        <w:t>at</w:t>
      </w:r>
      <w:r w:rsidRPr="003444E8">
        <w:rPr>
          <w:spacing w:val="-1"/>
          <w:lang w:val="en-GB"/>
        </w:rPr>
        <w:t xml:space="preserve"> </w:t>
      </w:r>
      <w:hyperlink r:id="rId8">
        <w:r w:rsidRPr="003444E8">
          <w:rPr>
            <w:color w:val="0000FF"/>
            <w:u w:val="single" w:color="0000FF"/>
            <w:lang w:val="en-GB"/>
          </w:rPr>
          <w:t>http://www.tga.gov.au/reporting-problems</w:t>
        </w:r>
      </w:hyperlink>
      <w:r w:rsidRPr="003444E8">
        <w:rPr>
          <w:color w:val="0000FF"/>
          <w:u w:val="single" w:color="0000FF"/>
          <w:lang w:val="en-GB"/>
        </w:rPr>
        <w:t>.</w:t>
      </w:r>
    </w:p>
    <w:p w14:paraId="3B1ABCDF" w14:textId="436C2D43" w:rsidR="006E62CD" w:rsidRPr="00F53BC2" w:rsidRDefault="00CB520A" w:rsidP="00D258EC">
      <w:pPr>
        <w:pStyle w:val="ListParagraph"/>
        <w:numPr>
          <w:ilvl w:val="1"/>
          <w:numId w:val="3"/>
        </w:numPr>
        <w:tabs>
          <w:tab w:val="left" w:pos="1577"/>
          <w:tab w:val="left" w:pos="1578"/>
        </w:tabs>
        <w:adjustRightInd w:val="0"/>
        <w:snapToGrid w:val="0"/>
        <w:spacing w:before="60" w:after="60" w:line="360" w:lineRule="auto"/>
        <w:ind w:left="108" w:rightChars="30" w:right="66" w:firstLine="0"/>
        <w:rPr>
          <w:b/>
          <w:sz w:val="24"/>
          <w:lang w:val="en-GB"/>
        </w:rPr>
      </w:pPr>
      <w:bookmarkStart w:id="13" w:name="4.9_Overdose"/>
      <w:bookmarkEnd w:id="13"/>
      <w:r w:rsidRPr="00F53BC2">
        <w:rPr>
          <w:b/>
          <w:sz w:val="24"/>
          <w:lang w:val="en-GB"/>
        </w:rPr>
        <w:tab/>
        <w:t>Overdose</w:t>
      </w:r>
    </w:p>
    <w:p w14:paraId="4181D101" w14:textId="5D5C4529"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There is no experience with overdosage with </w:t>
      </w:r>
      <w:r w:rsidR="00A9501F">
        <w:rPr>
          <w:lang w:val="en-GB"/>
        </w:rPr>
        <w:t>denosumab</w:t>
      </w:r>
      <w:r w:rsidRPr="003444E8">
        <w:rPr>
          <w:lang w:val="en-GB"/>
        </w:rPr>
        <w:t>.</w:t>
      </w:r>
      <w:r w:rsidRPr="00A9501F">
        <w:rPr>
          <w:lang w:val="en-GB"/>
        </w:rPr>
        <w:t xml:space="preserve"> </w:t>
      </w:r>
      <w:r w:rsidR="00A9501F">
        <w:rPr>
          <w:lang w:val="en-GB"/>
        </w:rPr>
        <w:t>denosumab</w:t>
      </w:r>
      <w:r w:rsidR="00A9501F" w:rsidRPr="003444E8">
        <w:rPr>
          <w:lang w:val="en-GB"/>
        </w:rPr>
        <w:t xml:space="preserve"> </w:t>
      </w:r>
      <w:r w:rsidRPr="003444E8">
        <w:rPr>
          <w:lang w:val="en-GB"/>
        </w:rPr>
        <w:t>has been administered in</w:t>
      </w:r>
      <w:r w:rsidRPr="00A9501F">
        <w:rPr>
          <w:lang w:val="en-GB"/>
        </w:rPr>
        <w:t xml:space="preserve"> </w:t>
      </w:r>
      <w:r w:rsidRPr="003444E8">
        <w:rPr>
          <w:lang w:val="en-GB"/>
        </w:rPr>
        <w:t>clinical studies using doses up to 180 mg every 4 weeks (cumulative doses up to</w:t>
      </w:r>
      <w:r w:rsidRPr="00A9501F">
        <w:rPr>
          <w:lang w:val="en-GB"/>
        </w:rPr>
        <w:t xml:space="preserve"> </w:t>
      </w:r>
      <w:r w:rsidRPr="003444E8">
        <w:rPr>
          <w:lang w:val="en-GB"/>
        </w:rPr>
        <w:t>1,080</w:t>
      </w:r>
      <w:r w:rsidRPr="00A9501F">
        <w:rPr>
          <w:lang w:val="en-GB"/>
        </w:rPr>
        <w:t xml:space="preserve"> </w:t>
      </w:r>
      <w:r w:rsidRPr="003444E8">
        <w:rPr>
          <w:lang w:val="en-GB"/>
        </w:rPr>
        <w:t>mg</w:t>
      </w:r>
      <w:r w:rsidRPr="00A9501F">
        <w:rPr>
          <w:lang w:val="en-GB"/>
        </w:rPr>
        <w:t xml:space="preserve"> </w:t>
      </w:r>
      <w:r w:rsidRPr="003444E8">
        <w:rPr>
          <w:lang w:val="en-GB"/>
        </w:rPr>
        <w:t>over</w:t>
      </w:r>
      <w:r w:rsidRPr="00A9501F">
        <w:rPr>
          <w:lang w:val="en-GB"/>
        </w:rPr>
        <w:t xml:space="preserve"> </w:t>
      </w:r>
      <w:r w:rsidRPr="003444E8">
        <w:rPr>
          <w:lang w:val="en-GB"/>
        </w:rPr>
        <w:t>6 months), and</w:t>
      </w:r>
      <w:r w:rsidRPr="00A9501F">
        <w:rPr>
          <w:lang w:val="en-GB"/>
        </w:rPr>
        <w:t xml:space="preserve"> </w:t>
      </w:r>
      <w:r w:rsidRPr="003444E8">
        <w:rPr>
          <w:lang w:val="en-GB"/>
        </w:rPr>
        <w:t>no additional</w:t>
      </w:r>
      <w:r w:rsidRPr="00A9501F">
        <w:rPr>
          <w:lang w:val="en-GB"/>
        </w:rPr>
        <w:t xml:space="preserve"> </w:t>
      </w:r>
      <w:r w:rsidRPr="003444E8">
        <w:rPr>
          <w:lang w:val="en-GB"/>
        </w:rPr>
        <w:t>adverse effects</w:t>
      </w:r>
      <w:r w:rsidRPr="00A9501F">
        <w:rPr>
          <w:lang w:val="en-GB"/>
        </w:rPr>
        <w:t xml:space="preserve"> </w:t>
      </w:r>
      <w:r w:rsidRPr="003444E8">
        <w:rPr>
          <w:lang w:val="en-GB"/>
        </w:rPr>
        <w:t>were</w:t>
      </w:r>
      <w:r w:rsidRPr="00A9501F">
        <w:rPr>
          <w:lang w:val="en-GB"/>
        </w:rPr>
        <w:t xml:space="preserve"> </w:t>
      </w:r>
      <w:r w:rsidRPr="003444E8">
        <w:rPr>
          <w:lang w:val="en-GB"/>
        </w:rPr>
        <w:t>observed.</w:t>
      </w:r>
    </w:p>
    <w:p w14:paraId="2C3BFD8A"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For information on the management of overdose, contact the Poisons Information Centre</w:t>
      </w:r>
      <w:r w:rsidRPr="00A9501F">
        <w:rPr>
          <w:lang w:val="en-GB"/>
        </w:rPr>
        <w:t xml:space="preserve"> </w:t>
      </w:r>
      <w:r w:rsidRPr="003444E8">
        <w:rPr>
          <w:lang w:val="en-GB"/>
        </w:rPr>
        <w:t>on</w:t>
      </w:r>
      <w:r w:rsidRPr="00A9501F">
        <w:rPr>
          <w:lang w:val="en-GB"/>
        </w:rPr>
        <w:t xml:space="preserve"> </w:t>
      </w:r>
      <w:r w:rsidRPr="003444E8">
        <w:rPr>
          <w:lang w:val="en-GB"/>
        </w:rPr>
        <w:t>131126 (Australia).</w:t>
      </w:r>
    </w:p>
    <w:p w14:paraId="147A595F" w14:textId="77777777" w:rsidR="006E62CD" w:rsidRPr="003444E8" w:rsidRDefault="00CB520A" w:rsidP="00D258EC">
      <w:pPr>
        <w:pStyle w:val="Heading1"/>
        <w:numPr>
          <w:ilvl w:val="0"/>
          <w:numId w:val="3"/>
        </w:numPr>
        <w:tabs>
          <w:tab w:val="left" w:pos="1577"/>
          <w:tab w:val="left" w:pos="1578"/>
        </w:tabs>
        <w:adjustRightInd w:val="0"/>
        <w:snapToGrid w:val="0"/>
        <w:spacing w:before="60" w:after="60" w:line="360" w:lineRule="auto"/>
        <w:ind w:left="108" w:rightChars="30" w:right="66" w:firstLine="0"/>
        <w:rPr>
          <w:lang w:val="en-GB"/>
        </w:rPr>
      </w:pPr>
      <w:bookmarkStart w:id="14" w:name="5._PHARMACOLOGICAL_PROPERTIES"/>
      <w:bookmarkEnd w:id="14"/>
      <w:r w:rsidRPr="003444E8">
        <w:rPr>
          <w:lang w:val="en-GB"/>
        </w:rPr>
        <w:t>PHARMACOLOGICAL</w:t>
      </w:r>
      <w:r w:rsidRPr="003444E8">
        <w:rPr>
          <w:spacing w:val="-7"/>
          <w:lang w:val="en-GB"/>
        </w:rPr>
        <w:t xml:space="preserve"> </w:t>
      </w:r>
      <w:r w:rsidRPr="003444E8">
        <w:rPr>
          <w:lang w:val="en-GB"/>
        </w:rPr>
        <w:t>PROPERTIES</w:t>
      </w:r>
    </w:p>
    <w:p w14:paraId="4581C9D2"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Denosumab is a fully human IgG2 monoclonal antibody with high affinity and specificity</w:t>
      </w:r>
      <w:r w:rsidRPr="00A9501F">
        <w:rPr>
          <w:lang w:val="en-GB"/>
        </w:rPr>
        <w:t xml:space="preserve"> </w:t>
      </w:r>
      <w:r w:rsidRPr="003444E8">
        <w:rPr>
          <w:lang w:val="en-GB"/>
        </w:rPr>
        <w:t>for</w:t>
      </w:r>
      <w:r w:rsidRPr="00A9501F">
        <w:rPr>
          <w:lang w:val="en-GB"/>
        </w:rPr>
        <w:t xml:space="preserve"> </w:t>
      </w:r>
      <w:r w:rsidRPr="003444E8">
        <w:rPr>
          <w:lang w:val="en-GB"/>
        </w:rPr>
        <w:t>RANK</w:t>
      </w:r>
      <w:r w:rsidRPr="00A9501F">
        <w:rPr>
          <w:lang w:val="en-GB"/>
        </w:rPr>
        <w:t xml:space="preserve"> </w:t>
      </w:r>
      <w:r w:rsidRPr="003444E8">
        <w:rPr>
          <w:lang w:val="en-GB"/>
        </w:rPr>
        <w:t>ligand (RANKL).</w:t>
      </w:r>
    </w:p>
    <w:p w14:paraId="1F284898" w14:textId="77777777" w:rsidR="006E62CD" w:rsidRPr="003444E8" w:rsidRDefault="00CB520A" w:rsidP="00FE64AF">
      <w:pPr>
        <w:pStyle w:val="Heading2"/>
        <w:pageBreakBefore/>
        <w:numPr>
          <w:ilvl w:val="1"/>
          <w:numId w:val="3"/>
        </w:numPr>
        <w:tabs>
          <w:tab w:val="left" w:pos="1577"/>
          <w:tab w:val="left" w:pos="1578"/>
        </w:tabs>
        <w:adjustRightInd w:val="0"/>
        <w:snapToGrid w:val="0"/>
        <w:spacing w:before="60" w:after="60" w:line="360" w:lineRule="auto"/>
        <w:ind w:left="108" w:rightChars="30" w:right="66" w:firstLine="0"/>
        <w:rPr>
          <w:lang w:val="en-GB"/>
        </w:rPr>
      </w:pPr>
      <w:bookmarkStart w:id="15" w:name="5.1_Pharmacodynamic_properties"/>
      <w:bookmarkEnd w:id="15"/>
      <w:r w:rsidRPr="003444E8">
        <w:rPr>
          <w:lang w:val="en-GB"/>
        </w:rPr>
        <w:lastRenderedPageBreak/>
        <w:t>Pharmacodynamic</w:t>
      </w:r>
      <w:r w:rsidRPr="003444E8">
        <w:rPr>
          <w:spacing w:val="-4"/>
          <w:lang w:val="en-GB"/>
        </w:rPr>
        <w:t xml:space="preserve"> </w:t>
      </w:r>
      <w:r w:rsidRPr="003444E8">
        <w:rPr>
          <w:lang w:val="en-GB"/>
        </w:rPr>
        <w:t>properties</w:t>
      </w:r>
    </w:p>
    <w:p w14:paraId="2A1713FF"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Mechanism</w:t>
      </w:r>
      <w:r w:rsidRPr="003444E8">
        <w:rPr>
          <w:spacing w:val="-3"/>
          <w:u w:val="single"/>
          <w:lang w:val="en-GB"/>
        </w:rPr>
        <w:t xml:space="preserve"> </w:t>
      </w:r>
      <w:r w:rsidRPr="003444E8">
        <w:rPr>
          <w:u w:val="single"/>
          <w:lang w:val="en-GB"/>
        </w:rPr>
        <w:t>of</w:t>
      </w:r>
      <w:r w:rsidRPr="003444E8">
        <w:rPr>
          <w:spacing w:val="-1"/>
          <w:u w:val="single"/>
          <w:lang w:val="en-GB"/>
        </w:rPr>
        <w:t xml:space="preserve"> </w:t>
      </w:r>
      <w:r w:rsidRPr="003444E8">
        <w:rPr>
          <w:u w:val="single"/>
          <w:lang w:val="en-GB"/>
        </w:rPr>
        <w:t>action</w:t>
      </w:r>
    </w:p>
    <w:p w14:paraId="520E820E"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RANKL exists as a transmembrane or soluble protein.</w:t>
      </w:r>
      <w:r w:rsidRPr="00A9501F">
        <w:rPr>
          <w:lang w:val="en-GB"/>
        </w:rPr>
        <w:t xml:space="preserve"> </w:t>
      </w:r>
      <w:r w:rsidRPr="003444E8">
        <w:rPr>
          <w:lang w:val="en-GB"/>
        </w:rPr>
        <w:t>RANKL is essential for the</w:t>
      </w:r>
      <w:r w:rsidRPr="00A9501F">
        <w:rPr>
          <w:lang w:val="en-GB"/>
        </w:rPr>
        <w:t xml:space="preserve"> </w:t>
      </w:r>
      <w:r w:rsidRPr="003444E8">
        <w:rPr>
          <w:lang w:val="en-GB"/>
        </w:rPr>
        <w:t>formation, function and survival of osteoclasts, the sole cell type responsible for bone</w:t>
      </w:r>
      <w:r w:rsidRPr="00A9501F">
        <w:rPr>
          <w:lang w:val="en-GB"/>
        </w:rPr>
        <w:t xml:space="preserve"> </w:t>
      </w:r>
      <w:r w:rsidRPr="003444E8">
        <w:rPr>
          <w:lang w:val="en-GB"/>
        </w:rPr>
        <w:t>resorption.</w:t>
      </w:r>
      <w:r w:rsidRPr="00A9501F">
        <w:rPr>
          <w:lang w:val="en-GB"/>
        </w:rPr>
        <w:t xml:space="preserve"> </w:t>
      </w:r>
      <w:r w:rsidRPr="003444E8">
        <w:rPr>
          <w:lang w:val="en-GB"/>
        </w:rPr>
        <w:t>Osteoclasts play an important role in bone loss associated with</w:t>
      </w:r>
      <w:r w:rsidRPr="00A9501F">
        <w:rPr>
          <w:lang w:val="en-GB"/>
        </w:rPr>
        <w:t xml:space="preserve"> </w:t>
      </w:r>
      <w:r w:rsidRPr="003444E8">
        <w:rPr>
          <w:lang w:val="en-GB"/>
        </w:rPr>
        <w:t>postmenopausal osteoporosis and hormone ablation.</w:t>
      </w:r>
      <w:r w:rsidRPr="00A9501F">
        <w:rPr>
          <w:lang w:val="en-GB"/>
        </w:rPr>
        <w:t xml:space="preserve"> </w:t>
      </w:r>
      <w:r w:rsidRPr="003444E8">
        <w:rPr>
          <w:lang w:val="en-GB"/>
        </w:rPr>
        <w:t>Denosumab binds with high</w:t>
      </w:r>
      <w:r w:rsidRPr="00A9501F">
        <w:rPr>
          <w:lang w:val="en-GB"/>
        </w:rPr>
        <w:t xml:space="preserve"> </w:t>
      </w:r>
      <w:r w:rsidRPr="003444E8">
        <w:rPr>
          <w:lang w:val="en-GB"/>
        </w:rPr>
        <w:t>affinity and specificity to RANKL, preventing RANKL from activating its only receptor,</w:t>
      </w:r>
      <w:r w:rsidRPr="00A9501F">
        <w:rPr>
          <w:lang w:val="en-GB"/>
        </w:rPr>
        <w:t xml:space="preserve"> </w:t>
      </w:r>
      <w:r w:rsidRPr="003444E8">
        <w:rPr>
          <w:lang w:val="en-GB"/>
        </w:rPr>
        <w:t>RANK,</w:t>
      </w:r>
      <w:r w:rsidRPr="00A9501F">
        <w:rPr>
          <w:lang w:val="en-GB"/>
        </w:rPr>
        <w:t xml:space="preserve"> </w:t>
      </w:r>
      <w:r w:rsidRPr="003444E8">
        <w:rPr>
          <w:lang w:val="en-GB"/>
        </w:rPr>
        <w:t>on</w:t>
      </w:r>
      <w:r w:rsidRPr="00A9501F">
        <w:rPr>
          <w:lang w:val="en-GB"/>
        </w:rPr>
        <w:t xml:space="preserve"> </w:t>
      </w:r>
      <w:r w:rsidRPr="003444E8">
        <w:rPr>
          <w:lang w:val="en-GB"/>
        </w:rPr>
        <w:t>the</w:t>
      </w:r>
      <w:r w:rsidRPr="00A9501F">
        <w:rPr>
          <w:lang w:val="en-GB"/>
        </w:rPr>
        <w:t xml:space="preserve"> </w:t>
      </w:r>
      <w:r w:rsidRPr="003444E8">
        <w:rPr>
          <w:lang w:val="en-GB"/>
        </w:rPr>
        <w:t>surface</w:t>
      </w:r>
      <w:r w:rsidRPr="00A9501F">
        <w:rPr>
          <w:lang w:val="en-GB"/>
        </w:rPr>
        <w:t xml:space="preserve"> </w:t>
      </w:r>
      <w:r w:rsidRPr="003444E8">
        <w:rPr>
          <w:lang w:val="en-GB"/>
        </w:rPr>
        <w:t>of</w:t>
      </w:r>
      <w:r w:rsidRPr="00A9501F">
        <w:rPr>
          <w:lang w:val="en-GB"/>
        </w:rPr>
        <w:t xml:space="preserve"> </w:t>
      </w:r>
      <w:r w:rsidRPr="003444E8">
        <w:rPr>
          <w:lang w:val="en-GB"/>
        </w:rPr>
        <w:t>osteoclasts</w:t>
      </w:r>
      <w:r w:rsidRPr="00A9501F">
        <w:rPr>
          <w:lang w:val="en-GB"/>
        </w:rPr>
        <w:t xml:space="preserve"> </w:t>
      </w:r>
      <w:r w:rsidRPr="003444E8">
        <w:rPr>
          <w:lang w:val="en-GB"/>
        </w:rPr>
        <w:t>and</w:t>
      </w:r>
      <w:r w:rsidRPr="00A9501F">
        <w:rPr>
          <w:lang w:val="en-GB"/>
        </w:rPr>
        <w:t xml:space="preserve"> </w:t>
      </w:r>
      <w:r w:rsidRPr="003444E8">
        <w:rPr>
          <w:lang w:val="en-GB"/>
        </w:rPr>
        <w:t>their</w:t>
      </w:r>
      <w:r w:rsidRPr="00A9501F">
        <w:rPr>
          <w:lang w:val="en-GB"/>
        </w:rPr>
        <w:t xml:space="preserve"> </w:t>
      </w:r>
      <w:r w:rsidRPr="003444E8">
        <w:rPr>
          <w:lang w:val="en-GB"/>
        </w:rPr>
        <w:t>precursors,</w:t>
      </w:r>
      <w:r w:rsidRPr="00A9501F">
        <w:rPr>
          <w:lang w:val="en-GB"/>
        </w:rPr>
        <w:t xml:space="preserve"> </w:t>
      </w:r>
      <w:r w:rsidRPr="003444E8">
        <w:rPr>
          <w:lang w:val="en-GB"/>
        </w:rPr>
        <w:t>independent</w:t>
      </w:r>
      <w:r w:rsidRPr="00A9501F">
        <w:rPr>
          <w:lang w:val="en-GB"/>
        </w:rPr>
        <w:t xml:space="preserve"> </w:t>
      </w:r>
      <w:r w:rsidRPr="003444E8">
        <w:rPr>
          <w:lang w:val="en-GB"/>
        </w:rPr>
        <w:t>of</w:t>
      </w:r>
      <w:r w:rsidRPr="00A9501F">
        <w:rPr>
          <w:lang w:val="en-GB"/>
        </w:rPr>
        <w:t xml:space="preserve"> </w:t>
      </w:r>
      <w:r w:rsidRPr="003444E8">
        <w:rPr>
          <w:lang w:val="en-GB"/>
        </w:rPr>
        <w:t>bone</w:t>
      </w:r>
      <w:r w:rsidRPr="00A9501F">
        <w:rPr>
          <w:lang w:val="en-GB"/>
        </w:rPr>
        <w:t xml:space="preserve"> </w:t>
      </w:r>
      <w:r w:rsidRPr="003444E8">
        <w:rPr>
          <w:lang w:val="en-GB"/>
        </w:rPr>
        <w:t>surface.</w:t>
      </w:r>
      <w:r w:rsidRPr="00A9501F">
        <w:rPr>
          <w:lang w:val="en-GB"/>
        </w:rPr>
        <w:t xml:space="preserve"> </w:t>
      </w:r>
      <w:r w:rsidRPr="003444E8">
        <w:rPr>
          <w:lang w:val="en-GB"/>
        </w:rPr>
        <w:t>Prevention of RANKL/RANK interaction inhibits osteoclast formation, function and</w:t>
      </w:r>
      <w:r w:rsidRPr="00A9501F">
        <w:rPr>
          <w:lang w:val="en-GB"/>
        </w:rPr>
        <w:t xml:space="preserve"> </w:t>
      </w:r>
      <w:r w:rsidRPr="003444E8">
        <w:rPr>
          <w:lang w:val="en-GB"/>
        </w:rPr>
        <w:t>survival, thereby decreasing bone resorption and increasing bone mass and strength in</w:t>
      </w:r>
      <w:r w:rsidRPr="00A9501F">
        <w:rPr>
          <w:lang w:val="en-GB"/>
        </w:rPr>
        <w:t xml:space="preserve"> </w:t>
      </w:r>
      <w:r w:rsidRPr="003444E8">
        <w:rPr>
          <w:lang w:val="en-GB"/>
        </w:rPr>
        <w:t>both</w:t>
      </w:r>
      <w:r w:rsidRPr="00A9501F">
        <w:rPr>
          <w:lang w:val="en-GB"/>
        </w:rPr>
        <w:t xml:space="preserve"> </w:t>
      </w:r>
      <w:r w:rsidRPr="003444E8">
        <w:rPr>
          <w:lang w:val="en-GB"/>
        </w:rPr>
        <w:t>cortical</w:t>
      </w:r>
      <w:r w:rsidRPr="00A9501F">
        <w:rPr>
          <w:lang w:val="en-GB"/>
        </w:rPr>
        <w:t xml:space="preserve"> </w:t>
      </w:r>
      <w:r w:rsidRPr="003444E8">
        <w:rPr>
          <w:lang w:val="en-GB"/>
        </w:rPr>
        <w:t>and</w:t>
      </w:r>
      <w:r w:rsidRPr="00A9501F">
        <w:rPr>
          <w:lang w:val="en-GB"/>
        </w:rPr>
        <w:t xml:space="preserve"> </w:t>
      </w:r>
      <w:r w:rsidRPr="003444E8">
        <w:rPr>
          <w:lang w:val="en-GB"/>
        </w:rPr>
        <w:t>trabecular bone.</w:t>
      </w:r>
    </w:p>
    <w:p w14:paraId="11A026B6"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Pharmacodynamics</w:t>
      </w:r>
    </w:p>
    <w:p w14:paraId="63004366" w14:textId="47B5D7B0"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In clinical studies, treatment with 60 mg of </w:t>
      </w:r>
      <w:r w:rsidR="00E54398">
        <w:rPr>
          <w:lang w:val="en-GB"/>
        </w:rPr>
        <w:t>denosumab</w:t>
      </w:r>
      <w:r w:rsidR="00A9501F" w:rsidRPr="003444E8">
        <w:rPr>
          <w:lang w:val="en-GB"/>
        </w:rPr>
        <w:t xml:space="preserve"> </w:t>
      </w:r>
      <w:r w:rsidRPr="003444E8">
        <w:rPr>
          <w:lang w:val="en-GB"/>
        </w:rPr>
        <w:t>resulted in rapid reduction in the bone</w:t>
      </w:r>
      <w:r w:rsidRPr="00A9501F">
        <w:rPr>
          <w:lang w:val="en-GB"/>
        </w:rPr>
        <w:t xml:space="preserve"> </w:t>
      </w:r>
      <w:r w:rsidRPr="003444E8">
        <w:rPr>
          <w:lang w:val="en-GB"/>
        </w:rPr>
        <w:t>resorption marker serum type 1 C-telopeptides (CTX) within 6 hours of SC administration</w:t>
      </w:r>
      <w:r w:rsidRPr="00A9501F">
        <w:rPr>
          <w:lang w:val="en-GB"/>
        </w:rPr>
        <w:t xml:space="preserve"> </w:t>
      </w:r>
      <w:r w:rsidRPr="003444E8">
        <w:rPr>
          <w:lang w:val="en-GB"/>
        </w:rPr>
        <w:t>by approximately 70%, with reductions of approximately 85% occurring by 3 days.</w:t>
      </w:r>
      <w:r w:rsidRPr="00A9501F">
        <w:rPr>
          <w:lang w:val="en-GB"/>
        </w:rPr>
        <w:t xml:space="preserve"> </w:t>
      </w:r>
      <w:r w:rsidRPr="003444E8">
        <w:rPr>
          <w:lang w:val="en-GB"/>
        </w:rPr>
        <w:t>CTX</w:t>
      </w:r>
      <w:r w:rsidRPr="00A9501F">
        <w:rPr>
          <w:lang w:val="en-GB"/>
        </w:rPr>
        <w:t xml:space="preserve"> </w:t>
      </w:r>
      <w:r w:rsidRPr="003444E8">
        <w:rPr>
          <w:lang w:val="en-GB"/>
        </w:rPr>
        <w:t>reductions were maintained over the 6-month dosing interval.</w:t>
      </w:r>
      <w:r w:rsidRPr="00A9501F">
        <w:rPr>
          <w:lang w:val="en-GB"/>
        </w:rPr>
        <w:t xml:space="preserve"> </w:t>
      </w:r>
      <w:r w:rsidRPr="003444E8">
        <w:rPr>
          <w:lang w:val="en-GB"/>
        </w:rPr>
        <w:t>At the end of each dosing</w:t>
      </w:r>
      <w:r w:rsidRPr="00A9501F">
        <w:rPr>
          <w:lang w:val="en-GB"/>
        </w:rPr>
        <w:t xml:space="preserve"> </w:t>
      </w:r>
      <w:r w:rsidRPr="003444E8">
        <w:rPr>
          <w:lang w:val="en-GB"/>
        </w:rPr>
        <w:t>interval,</w:t>
      </w:r>
      <w:r w:rsidRPr="00A9501F">
        <w:rPr>
          <w:lang w:val="en-GB"/>
        </w:rPr>
        <w:t xml:space="preserve"> </w:t>
      </w:r>
      <w:r w:rsidRPr="003444E8">
        <w:rPr>
          <w:lang w:val="en-GB"/>
        </w:rPr>
        <w:t>CTX</w:t>
      </w:r>
      <w:r w:rsidRPr="00A9501F">
        <w:rPr>
          <w:lang w:val="en-GB"/>
        </w:rPr>
        <w:t xml:space="preserve"> </w:t>
      </w:r>
      <w:r w:rsidRPr="003444E8">
        <w:rPr>
          <w:lang w:val="en-GB"/>
        </w:rPr>
        <w:t>reductions</w:t>
      </w:r>
      <w:r w:rsidRPr="00A9501F">
        <w:rPr>
          <w:lang w:val="en-GB"/>
        </w:rPr>
        <w:t xml:space="preserve"> </w:t>
      </w:r>
      <w:r w:rsidRPr="003444E8">
        <w:rPr>
          <w:lang w:val="en-GB"/>
        </w:rPr>
        <w:t>were</w:t>
      </w:r>
      <w:r w:rsidRPr="00A9501F">
        <w:rPr>
          <w:lang w:val="en-GB"/>
        </w:rPr>
        <w:t xml:space="preserve"> </w:t>
      </w:r>
      <w:r w:rsidRPr="003444E8">
        <w:rPr>
          <w:lang w:val="en-GB"/>
        </w:rPr>
        <w:t>partially</w:t>
      </w:r>
      <w:r w:rsidRPr="00A9501F">
        <w:rPr>
          <w:lang w:val="en-GB"/>
        </w:rPr>
        <w:t xml:space="preserve"> </w:t>
      </w:r>
      <w:r w:rsidRPr="003444E8">
        <w:rPr>
          <w:lang w:val="en-GB"/>
        </w:rPr>
        <w:t>attenuated</w:t>
      </w:r>
      <w:r w:rsidRPr="00A9501F">
        <w:rPr>
          <w:lang w:val="en-GB"/>
        </w:rPr>
        <w:t xml:space="preserve"> </w:t>
      </w:r>
      <w:r w:rsidRPr="003444E8">
        <w:rPr>
          <w:lang w:val="en-GB"/>
        </w:rPr>
        <w:t>from</w:t>
      </w:r>
      <w:r w:rsidRPr="00A9501F">
        <w:rPr>
          <w:lang w:val="en-GB"/>
        </w:rPr>
        <w:t xml:space="preserve"> </w:t>
      </w:r>
      <w:r w:rsidRPr="003444E8">
        <w:rPr>
          <w:lang w:val="en-GB"/>
        </w:rPr>
        <w:t>maximal</w:t>
      </w:r>
      <w:r w:rsidRPr="00A9501F">
        <w:rPr>
          <w:lang w:val="en-GB"/>
        </w:rPr>
        <w:t xml:space="preserve"> </w:t>
      </w:r>
      <w:r w:rsidRPr="003444E8">
        <w:rPr>
          <w:lang w:val="en-GB"/>
        </w:rPr>
        <w:t>reduction</w:t>
      </w:r>
      <w:r w:rsidRPr="00A9501F">
        <w:rPr>
          <w:lang w:val="en-GB"/>
        </w:rPr>
        <w:t xml:space="preserve"> </w:t>
      </w:r>
      <w:r w:rsidRPr="003444E8">
        <w:rPr>
          <w:lang w:val="en-GB"/>
        </w:rPr>
        <w:t>of</w:t>
      </w:r>
      <w:r w:rsidRPr="00A9501F">
        <w:rPr>
          <w:lang w:val="en-GB"/>
        </w:rPr>
        <w:t xml:space="preserve"> </w:t>
      </w:r>
      <w:r w:rsidRPr="003444E8">
        <w:rPr>
          <w:lang w:val="en-GB"/>
        </w:rPr>
        <w:t>≥</w:t>
      </w:r>
      <w:r w:rsidRPr="00A9501F">
        <w:rPr>
          <w:lang w:val="en-GB"/>
        </w:rPr>
        <w:t xml:space="preserve"> </w:t>
      </w:r>
      <w:r w:rsidRPr="003444E8">
        <w:rPr>
          <w:lang w:val="en-GB"/>
        </w:rPr>
        <w:t>87%</w:t>
      </w:r>
      <w:r w:rsidRPr="00A9501F">
        <w:rPr>
          <w:lang w:val="en-GB"/>
        </w:rPr>
        <w:t xml:space="preserve"> </w:t>
      </w:r>
      <w:r w:rsidRPr="003444E8">
        <w:rPr>
          <w:lang w:val="en-GB"/>
        </w:rPr>
        <w:t>to</w:t>
      </w:r>
      <w:r w:rsidR="00A9501F">
        <w:rPr>
          <w:lang w:val="en-GB"/>
        </w:rPr>
        <w:t xml:space="preserve"> </w:t>
      </w:r>
      <w:r w:rsidRPr="003444E8">
        <w:rPr>
          <w:lang w:val="en-GB"/>
        </w:rPr>
        <w:t xml:space="preserve">≥ 45% (range 45% to 80%), reflecting the reversibility of the effects of </w:t>
      </w:r>
      <w:r w:rsidR="00E54398">
        <w:rPr>
          <w:lang w:val="en-GB"/>
        </w:rPr>
        <w:t>denosumab</w:t>
      </w:r>
      <w:r w:rsidR="00A9501F" w:rsidRPr="003444E8">
        <w:rPr>
          <w:lang w:val="en-GB"/>
        </w:rPr>
        <w:t xml:space="preserve"> </w:t>
      </w:r>
      <w:r w:rsidRPr="003444E8">
        <w:rPr>
          <w:lang w:val="en-GB"/>
        </w:rPr>
        <w:t>on bone</w:t>
      </w:r>
      <w:r w:rsidRPr="00A9501F">
        <w:rPr>
          <w:lang w:val="en-GB"/>
        </w:rPr>
        <w:t xml:space="preserve"> </w:t>
      </w:r>
      <w:r w:rsidRPr="003444E8">
        <w:rPr>
          <w:lang w:val="en-GB"/>
        </w:rPr>
        <w:t xml:space="preserve">remodelling once serum </w:t>
      </w:r>
      <w:r w:rsidR="00E54398">
        <w:rPr>
          <w:lang w:val="en-GB"/>
        </w:rPr>
        <w:t>denosumab</w:t>
      </w:r>
      <w:r w:rsidRPr="003444E8">
        <w:rPr>
          <w:lang w:val="en-GB"/>
        </w:rPr>
        <w:t xml:space="preserve"> levels diminish.</w:t>
      </w:r>
      <w:r w:rsidRPr="00A9501F">
        <w:rPr>
          <w:lang w:val="en-GB"/>
        </w:rPr>
        <w:t xml:space="preserve"> </w:t>
      </w:r>
      <w:r w:rsidRPr="003444E8">
        <w:rPr>
          <w:lang w:val="en-GB"/>
        </w:rPr>
        <w:t>These effects were sustained with</w:t>
      </w:r>
      <w:r w:rsidRPr="00A9501F">
        <w:rPr>
          <w:lang w:val="en-GB"/>
        </w:rPr>
        <w:t xml:space="preserve"> </w:t>
      </w:r>
      <w:r w:rsidRPr="003444E8">
        <w:rPr>
          <w:lang w:val="en-GB"/>
        </w:rPr>
        <w:t>continued treatment.</w:t>
      </w:r>
      <w:r w:rsidRPr="00A9501F">
        <w:rPr>
          <w:lang w:val="en-GB"/>
        </w:rPr>
        <w:t xml:space="preserve"> </w:t>
      </w:r>
      <w:r w:rsidRPr="003444E8">
        <w:rPr>
          <w:lang w:val="en-GB"/>
        </w:rPr>
        <w:t>Consistent with the physiological coupling of bone formation and</w:t>
      </w:r>
      <w:r w:rsidRPr="00A9501F">
        <w:rPr>
          <w:lang w:val="en-GB"/>
        </w:rPr>
        <w:t xml:space="preserve"> </w:t>
      </w:r>
      <w:r w:rsidRPr="003444E8">
        <w:rPr>
          <w:lang w:val="en-GB"/>
        </w:rPr>
        <w:t>resorption in skeletal remodelling, subsequent reductions in bone formation markers</w:t>
      </w:r>
      <w:r w:rsidRPr="00A9501F">
        <w:rPr>
          <w:lang w:val="en-GB"/>
        </w:rPr>
        <w:t xml:space="preserve"> </w:t>
      </w:r>
      <w:r w:rsidRPr="003444E8">
        <w:rPr>
          <w:lang w:val="en-GB"/>
        </w:rPr>
        <w:t>(e.g. bone specific alkaline phosphatase [BSAP] and serum N-terminal propeptide of</w:t>
      </w:r>
      <w:r w:rsidRPr="00A9501F">
        <w:rPr>
          <w:lang w:val="en-GB"/>
        </w:rPr>
        <w:t xml:space="preserve"> </w:t>
      </w:r>
      <w:r w:rsidRPr="003444E8">
        <w:rPr>
          <w:lang w:val="en-GB"/>
        </w:rPr>
        <w:t>type 1</w:t>
      </w:r>
      <w:r w:rsidRPr="00A9501F">
        <w:rPr>
          <w:lang w:val="en-GB"/>
        </w:rPr>
        <w:t xml:space="preserve"> </w:t>
      </w:r>
      <w:r w:rsidRPr="003444E8">
        <w:rPr>
          <w:lang w:val="en-GB"/>
        </w:rPr>
        <w:t>collagen</w:t>
      </w:r>
      <w:r w:rsidRPr="00A9501F">
        <w:rPr>
          <w:lang w:val="en-GB"/>
        </w:rPr>
        <w:t xml:space="preserve"> </w:t>
      </w:r>
      <w:r w:rsidRPr="003444E8">
        <w:rPr>
          <w:lang w:val="en-GB"/>
        </w:rPr>
        <w:t>[P1NP]) were</w:t>
      </w:r>
      <w:r w:rsidRPr="00A9501F">
        <w:rPr>
          <w:lang w:val="en-GB"/>
        </w:rPr>
        <w:t xml:space="preserve"> </w:t>
      </w:r>
      <w:r w:rsidRPr="003444E8">
        <w:rPr>
          <w:lang w:val="en-GB"/>
        </w:rPr>
        <w:t>observed</w:t>
      </w:r>
      <w:r w:rsidRPr="00A9501F">
        <w:rPr>
          <w:lang w:val="en-GB"/>
        </w:rPr>
        <w:t xml:space="preserve"> </w:t>
      </w:r>
      <w:r w:rsidRPr="003444E8">
        <w:rPr>
          <w:lang w:val="en-GB"/>
        </w:rPr>
        <w:t>beginning</w:t>
      </w:r>
      <w:r w:rsidRPr="00A9501F">
        <w:rPr>
          <w:lang w:val="en-GB"/>
        </w:rPr>
        <w:t xml:space="preserve"> </w:t>
      </w:r>
      <w:r w:rsidRPr="003444E8">
        <w:rPr>
          <w:lang w:val="en-GB"/>
        </w:rPr>
        <w:t>1</w:t>
      </w:r>
      <w:r w:rsidRPr="00A9501F">
        <w:rPr>
          <w:lang w:val="en-GB"/>
        </w:rPr>
        <w:t xml:space="preserve"> </w:t>
      </w:r>
      <w:r w:rsidRPr="003444E8">
        <w:rPr>
          <w:lang w:val="en-GB"/>
        </w:rPr>
        <w:t>month</w:t>
      </w:r>
      <w:r w:rsidRPr="00A9501F">
        <w:rPr>
          <w:lang w:val="en-GB"/>
        </w:rPr>
        <w:t xml:space="preserve"> </w:t>
      </w:r>
      <w:r w:rsidRPr="003444E8">
        <w:rPr>
          <w:lang w:val="en-GB"/>
        </w:rPr>
        <w:t>after</w:t>
      </w:r>
      <w:r w:rsidRPr="00A9501F">
        <w:rPr>
          <w:lang w:val="en-GB"/>
        </w:rPr>
        <w:t xml:space="preserve"> </w:t>
      </w:r>
      <w:r w:rsidRPr="003444E8">
        <w:rPr>
          <w:lang w:val="en-GB"/>
        </w:rPr>
        <w:t>the</w:t>
      </w:r>
      <w:r w:rsidRPr="00A9501F">
        <w:rPr>
          <w:lang w:val="en-GB"/>
        </w:rPr>
        <w:t xml:space="preserve"> </w:t>
      </w:r>
      <w:r w:rsidRPr="003444E8">
        <w:rPr>
          <w:lang w:val="en-GB"/>
        </w:rPr>
        <w:t>first</w:t>
      </w:r>
      <w:r w:rsidRPr="00A9501F">
        <w:rPr>
          <w:lang w:val="en-GB"/>
        </w:rPr>
        <w:t xml:space="preserve"> </w:t>
      </w:r>
      <w:r w:rsidRPr="003444E8">
        <w:rPr>
          <w:lang w:val="en-GB"/>
        </w:rPr>
        <w:t>dose</w:t>
      </w:r>
      <w:r w:rsidRPr="00A9501F">
        <w:rPr>
          <w:lang w:val="en-GB"/>
        </w:rPr>
        <w:t xml:space="preserve"> </w:t>
      </w:r>
      <w:r w:rsidRPr="003444E8">
        <w:rPr>
          <w:lang w:val="en-GB"/>
        </w:rPr>
        <w:t>of</w:t>
      </w:r>
      <w:r w:rsidRPr="00A9501F">
        <w:rPr>
          <w:lang w:val="en-GB"/>
        </w:rPr>
        <w:t xml:space="preserve"> </w:t>
      </w:r>
      <w:r w:rsidR="00E54398">
        <w:rPr>
          <w:lang w:val="en-GB"/>
        </w:rPr>
        <w:t>denosumab</w:t>
      </w:r>
      <w:r w:rsidRPr="003444E8">
        <w:rPr>
          <w:lang w:val="en-GB"/>
        </w:rPr>
        <w:t>.</w:t>
      </w:r>
    </w:p>
    <w:p w14:paraId="545EAE92" w14:textId="41D9E289"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Bone turnover markers (bone resorption and formation markers) generally reached</w:t>
      </w:r>
      <w:r w:rsidRPr="00A9501F">
        <w:rPr>
          <w:lang w:val="en-GB"/>
        </w:rPr>
        <w:t xml:space="preserve"> </w:t>
      </w:r>
      <w:r w:rsidRPr="003444E8">
        <w:rPr>
          <w:lang w:val="en-GB"/>
        </w:rPr>
        <w:t>pretreatment levels within 9 months after the last 60 mg subcutaneous dose.</w:t>
      </w:r>
      <w:r w:rsidRPr="00A9501F">
        <w:rPr>
          <w:lang w:val="en-GB"/>
        </w:rPr>
        <w:t xml:space="preserve"> </w:t>
      </w:r>
      <w:r w:rsidRPr="003444E8">
        <w:rPr>
          <w:lang w:val="en-GB"/>
        </w:rPr>
        <w:t>Upon re-</w:t>
      </w:r>
      <w:r w:rsidRPr="00A9501F">
        <w:rPr>
          <w:lang w:val="en-GB"/>
        </w:rPr>
        <w:t xml:space="preserve"> </w:t>
      </w:r>
      <w:r w:rsidRPr="003444E8">
        <w:rPr>
          <w:lang w:val="en-GB"/>
        </w:rPr>
        <w:t xml:space="preserve">initiation, the degree of inhibition of CTX by </w:t>
      </w:r>
      <w:r w:rsidR="00E54398">
        <w:rPr>
          <w:lang w:val="en-GB"/>
        </w:rPr>
        <w:t>denosumab</w:t>
      </w:r>
      <w:r w:rsidR="00A9501F" w:rsidRPr="003444E8">
        <w:rPr>
          <w:lang w:val="en-GB"/>
        </w:rPr>
        <w:t xml:space="preserve"> </w:t>
      </w:r>
      <w:r w:rsidRPr="003444E8">
        <w:rPr>
          <w:lang w:val="en-GB"/>
        </w:rPr>
        <w:t>was similar to those observed in</w:t>
      </w:r>
      <w:r w:rsidRPr="00A9501F">
        <w:rPr>
          <w:lang w:val="en-GB"/>
        </w:rPr>
        <w:t xml:space="preserve"> </w:t>
      </w:r>
      <w:r w:rsidRPr="003444E8">
        <w:rPr>
          <w:lang w:val="en-GB"/>
        </w:rPr>
        <w:t>patients</w:t>
      </w:r>
      <w:r w:rsidRPr="00A9501F">
        <w:rPr>
          <w:lang w:val="en-GB"/>
        </w:rPr>
        <w:t xml:space="preserve"> </w:t>
      </w:r>
      <w:r w:rsidRPr="003444E8">
        <w:rPr>
          <w:lang w:val="en-GB"/>
        </w:rPr>
        <w:t xml:space="preserve">initiating </w:t>
      </w:r>
      <w:r w:rsidR="00E54398">
        <w:rPr>
          <w:lang w:val="en-GB"/>
        </w:rPr>
        <w:t>denosumab</w:t>
      </w:r>
      <w:r w:rsidRPr="003444E8">
        <w:rPr>
          <w:lang w:val="en-GB"/>
        </w:rPr>
        <w:t>.</w:t>
      </w:r>
    </w:p>
    <w:p w14:paraId="4F5BEF3B" w14:textId="0860FC6A" w:rsidR="006E62CD" w:rsidRDefault="00CB520A" w:rsidP="00D258EC">
      <w:pPr>
        <w:pStyle w:val="BodyText"/>
        <w:adjustRightInd w:val="0"/>
        <w:snapToGrid w:val="0"/>
        <w:spacing w:before="60" w:after="60" w:line="360" w:lineRule="auto"/>
        <w:ind w:left="108" w:rightChars="30" w:right="66"/>
        <w:rPr>
          <w:lang w:val="en-GB"/>
        </w:rPr>
      </w:pPr>
      <w:r w:rsidRPr="003444E8">
        <w:rPr>
          <w:lang w:val="en-GB"/>
        </w:rPr>
        <w:t>In a clinical study of postmenopausal women with low bone mass (n = 504) who were</w:t>
      </w:r>
      <w:r w:rsidRPr="00A9501F">
        <w:rPr>
          <w:lang w:val="en-GB"/>
        </w:rPr>
        <w:t xml:space="preserve"> </w:t>
      </w:r>
      <w:r w:rsidRPr="003444E8">
        <w:rPr>
          <w:lang w:val="en-GB"/>
        </w:rPr>
        <w:t>previously</w:t>
      </w:r>
      <w:r w:rsidRPr="00A9501F">
        <w:rPr>
          <w:lang w:val="en-GB"/>
        </w:rPr>
        <w:t xml:space="preserve"> </w:t>
      </w:r>
      <w:r w:rsidRPr="003444E8">
        <w:rPr>
          <w:lang w:val="en-GB"/>
        </w:rPr>
        <w:t>treated</w:t>
      </w:r>
      <w:r w:rsidRPr="00A9501F">
        <w:rPr>
          <w:lang w:val="en-GB"/>
        </w:rPr>
        <w:t xml:space="preserve"> </w:t>
      </w:r>
      <w:r w:rsidRPr="003444E8">
        <w:rPr>
          <w:lang w:val="en-GB"/>
        </w:rPr>
        <w:t>with</w:t>
      </w:r>
      <w:r w:rsidRPr="00A9501F">
        <w:rPr>
          <w:lang w:val="en-GB"/>
        </w:rPr>
        <w:t xml:space="preserve"> </w:t>
      </w:r>
      <w:r w:rsidRPr="003444E8">
        <w:rPr>
          <w:lang w:val="en-GB"/>
        </w:rPr>
        <w:t>alendronate</w:t>
      </w:r>
      <w:r w:rsidRPr="00A9501F">
        <w:rPr>
          <w:lang w:val="en-GB"/>
        </w:rPr>
        <w:t xml:space="preserve"> </w:t>
      </w:r>
      <w:r w:rsidRPr="003444E8">
        <w:rPr>
          <w:lang w:val="en-GB"/>
        </w:rPr>
        <w:t>for</w:t>
      </w:r>
      <w:r w:rsidRPr="00A9501F">
        <w:rPr>
          <w:lang w:val="en-GB"/>
        </w:rPr>
        <w:t xml:space="preserve"> </w:t>
      </w:r>
      <w:r w:rsidRPr="003444E8">
        <w:rPr>
          <w:lang w:val="en-GB"/>
        </w:rPr>
        <w:t>a</w:t>
      </w:r>
      <w:r w:rsidRPr="00A9501F">
        <w:rPr>
          <w:lang w:val="en-GB"/>
        </w:rPr>
        <w:t xml:space="preserve"> </w:t>
      </w:r>
      <w:r w:rsidRPr="003444E8">
        <w:rPr>
          <w:lang w:val="en-GB"/>
        </w:rPr>
        <w:t>median</w:t>
      </w:r>
      <w:r w:rsidRPr="00A9501F">
        <w:rPr>
          <w:lang w:val="en-GB"/>
        </w:rPr>
        <w:t xml:space="preserve"> </w:t>
      </w:r>
      <w:r w:rsidRPr="003444E8">
        <w:rPr>
          <w:lang w:val="en-GB"/>
        </w:rPr>
        <w:t>of</w:t>
      </w:r>
      <w:r w:rsidRPr="00A9501F">
        <w:rPr>
          <w:lang w:val="en-GB"/>
        </w:rPr>
        <w:t xml:space="preserve"> </w:t>
      </w:r>
      <w:r w:rsidRPr="003444E8">
        <w:rPr>
          <w:lang w:val="en-GB"/>
        </w:rPr>
        <w:t>3</w:t>
      </w:r>
      <w:r w:rsidRPr="00A9501F">
        <w:rPr>
          <w:lang w:val="en-GB"/>
        </w:rPr>
        <w:t xml:space="preserve"> </w:t>
      </w:r>
      <w:r w:rsidRPr="003444E8">
        <w:rPr>
          <w:lang w:val="en-GB"/>
        </w:rPr>
        <w:t>years,</w:t>
      </w:r>
      <w:r w:rsidRPr="00A9501F">
        <w:rPr>
          <w:lang w:val="en-GB"/>
        </w:rPr>
        <w:t xml:space="preserve"> </w:t>
      </w:r>
      <w:r w:rsidRPr="003444E8">
        <w:rPr>
          <w:lang w:val="en-GB"/>
        </w:rPr>
        <w:t>those</w:t>
      </w:r>
      <w:r w:rsidRPr="00A9501F">
        <w:rPr>
          <w:lang w:val="en-GB"/>
        </w:rPr>
        <w:t xml:space="preserve"> </w:t>
      </w:r>
      <w:r w:rsidRPr="003444E8">
        <w:rPr>
          <w:lang w:val="en-GB"/>
        </w:rPr>
        <w:t>transitioning</w:t>
      </w:r>
      <w:r w:rsidRPr="00A9501F">
        <w:rPr>
          <w:lang w:val="en-GB"/>
        </w:rPr>
        <w:t xml:space="preserve"> </w:t>
      </w:r>
      <w:r w:rsidRPr="003444E8">
        <w:rPr>
          <w:lang w:val="en-GB"/>
        </w:rPr>
        <w:t>to</w:t>
      </w:r>
      <w:r w:rsidRPr="00A9501F">
        <w:rPr>
          <w:lang w:val="en-GB"/>
        </w:rPr>
        <w:t xml:space="preserve"> </w:t>
      </w:r>
      <w:r w:rsidRPr="003444E8">
        <w:rPr>
          <w:lang w:val="en-GB"/>
        </w:rPr>
        <w:t>receive</w:t>
      </w:r>
      <w:r w:rsidRPr="00A9501F">
        <w:rPr>
          <w:lang w:val="en-GB"/>
        </w:rPr>
        <w:t xml:space="preserve"> </w:t>
      </w:r>
      <w:r w:rsidR="00C10643">
        <w:rPr>
          <w:lang w:val="en-GB"/>
        </w:rPr>
        <w:t>Prolia</w:t>
      </w:r>
      <w:r w:rsidR="00A9501F" w:rsidRPr="003444E8">
        <w:rPr>
          <w:lang w:val="en-GB"/>
        </w:rPr>
        <w:t xml:space="preserve"> </w:t>
      </w:r>
      <w:r w:rsidRPr="003444E8">
        <w:rPr>
          <w:lang w:val="en-GB"/>
        </w:rPr>
        <w:t>experienced additional reductions in serum CTX, compared with women who</w:t>
      </w:r>
      <w:r w:rsidRPr="00A9501F">
        <w:rPr>
          <w:lang w:val="en-GB"/>
        </w:rPr>
        <w:t xml:space="preserve"> </w:t>
      </w:r>
      <w:r w:rsidRPr="003444E8">
        <w:rPr>
          <w:lang w:val="en-GB"/>
        </w:rPr>
        <w:t>remained on alendronate.</w:t>
      </w:r>
      <w:r w:rsidRPr="00A9501F">
        <w:rPr>
          <w:lang w:val="en-GB"/>
        </w:rPr>
        <w:t xml:space="preserve"> </w:t>
      </w:r>
      <w:r w:rsidRPr="003444E8">
        <w:rPr>
          <w:lang w:val="en-GB"/>
        </w:rPr>
        <w:t>In this study, the changes in serum calcium were similar</w:t>
      </w:r>
      <w:r w:rsidRPr="00A9501F">
        <w:rPr>
          <w:lang w:val="en-GB"/>
        </w:rPr>
        <w:t xml:space="preserve"> </w:t>
      </w:r>
      <w:r w:rsidRPr="003444E8">
        <w:rPr>
          <w:lang w:val="en-GB"/>
        </w:rPr>
        <w:t>between</w:t>
      </w:r>
      <w:r w:rsidRPr="00A9501F">
        <w:rPr>
          <w:lang w:val="en-GB"/>
        </w:rPr>
        <w:t xml:space="preserve"> </w:t>
      </w:r>
      <w:r w:rsidRPr="003444E8">
        <w:rPr>
          <w:lang w:val="en-GB"/>
        </w:rPr>
        <w:t>the two</w:t>
      </w:r>
      <w:r w:rsidRPr="00A9501F">
        <w:rPr>
          <w:lang w:val="en-GB"/>
        </w:rPr>
        <w:t xml:space="preserve"> </w:t>
      </w:r>
      <w:r w:rsidRPr="003444E8">
        <w:rPr>
          <w:lang w:val="en-GB"/>
        </w:rPr>
        <w:t>groups.</w:t>
      </w:r>
    </w:p>
    <w:p w14:paraId="5D27697C" w14:textId="77777777" w:rsidR="00E54398" w:rsidRPr="005B583D" w:rsidRDefault="00E54398" w:rsidP="00FE64AF">
      <w:pPr>
        <w:pStyle w:val="BodyText"/>
        <w:pageBreakBefore/>
        <w:adjustRightInd w:val="0"/>
        <w:snapToGrid w:val="0"/>
        <w:spacing w:before="60" w:after="60" w:line="360" w:lineRule="auto"/>
        <w:ind w:left="108" w:rightChars="30" w:right="66"/>
        <w:rPr>
          <w:i/>
        </w:rPr>
      </w:pPr>
      <w:r w:rsidRPr="005B583D">
        <w:rPr>
          <w:i/>
        </w:rPr>
        <w:lastRenderedPageBreak/>
        <w:t>Comparability of Ospomyv with Prolia</w:t>
      </w:r>
    </w:p>
    <w:p w14:paraId="34DFAC11" w14:textId="1F019372" w:rsidR="00E54398" w:rsidRDefault="00E54398" w:rsidP="00FE64AF">
      <w:pPr>
        <w:pStyle w:val="BodyText"/>
        <w:adjustRightInd w:val="0"/>
        <w:snapToGrid w:val="0"/>
        <w:spacing w:before="60" w:after="60" w:line="360" w:lineRule="auto"/>
        <w:ind w:left="108" w:rightChars="30" w:right="66"/>
      </w:pPr>
      <w:r>
        <w:t>In the clinical Phase I study (SB16-1001), the pharmacodynamic (PD) properties of Ospomyv, EU Prolia, and US Prolia were also evaluated in healthy male subjects. The arithmetic means area under the effective curve from time zero to Day 197 (AUEC</w:t>
      </w:r>
      <w:r w:rsidRPr="005B583D">
        <w:rPr>
          <w:vertAlign w:val="subscript"/>
        </w:rPr>
        <w:t>0- D197</w:t>
      </w:r>
      <w:r>
        <w:t>) for CTX percent inhibition for Ospomyv, EU Prolia, and US Prolia were comparable (352205.95 %inhibition·h, 348254.45 %inhibition·h, and</w:t>
      </w:r>
      <w:r w:rsidR="00FE64AF">
        <w:t xml:space="preserve"> </w:t>
      </w:r>
      <w:r>
        <w:t>374823.13 %inhibition·h, respectively).</w:t>
      </w:r>
    </w:p>
    <w:p w14:paraId="0BC01BD8" w14:textId="03D8DAAD" w:rsidR="00E54398" w:rsidRPr="005B583D" w:rsidRDefault="00E54398" w:rsidP="00E54398">
      <w:pPr>
        <w:pStyle w:val="BodyText"/>
        <w:adjustRightInd w:val="0"/>
        <w:snapToGrid w:val="0"/>
        <w:spacing w:before="60" w:after="60" w:line="360" w:lineRule="auto"/>
        <w:ind w:left="108" w:rightChars="30" w:right="66"/>
      </w:pPr>
      <w:r>
        <w:t>In the clinical Phase III study (SB16-3001), for the PD assessment, the serum CTX and P1NP concentrations were also assessed in patients with postmenopausal osteoporosis. The median percent change from baseline in serum CTX and the median percent change from baseline in serum P1NP concentrations were comparable between the SB16 and Prolia treatment groups up to Month 12, and also across the Ospomyv+Ospomyv, Prolia+Ospomyv and Prolia+Prolia treatment groups after transition, up to Month 18. AUEC</w:t>
      </w:r>
      <w:r w:rsidRPr="005B583D">
        <w:rPr>
          <w:vertAlign w:val="subscript"/>
        </w:rPr>
        <w:t>0-M6</w:t>
      </w:r>
      <w:r>
        <w:t xml:space="preserve"> in percent change from baseline in serum CTX was comparable between the Ospomyv and Prolia treatment groups. The ratio of the geometric LSMeans of AUEC</w:t>
      </w:r>
      <w:r w:rsidRPr="005B583D">
        <w:rPr>
          <w:vertAlign w:val="subscript"/>
        </w:rPr>
        <w:t>0-M6</w:t>
      </w:r>
      <w:r>
        <w:t xml:space="preserve"> in percent change from baseline in serum CTX concentrations between the SB16 and Prolia treatment groups for the PDS was 0.98, (90% CI [0.94, 1.03]).</w:t>
      </w:r>
    </w:p>
    <w:p w14:paraId="14F57C42"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u w:val="single"/>
          <w:lang w:val="en-GB"/>
        </w:rPr>
        <w:t>Clinical</w:t>
      </w:r>
      <w:r w:rsidRPr="003444E8">
        <w:rPr>
          <w:spacing w:val="-3"/>
          <w:u w:val="single"/>
          <w:lang w:val="en-GB"/>
        </w:rPr>
        <w:t xml:space="preserve"> </w:t>
      </w:r>
      <w:r w:rsidRPr="003444E8">
        <w:rPr>
          <w:u w:val="single"/>
          <w:lang w:val="en-GB"/>
        </w:rPr>
        <w:t>trials</w:t>
      </w:r>
    </w:p>
    <w:p w14:paraId="040CD38A" w14:textId="7A90D32D" w:rsidR="006E62CD" w:rsidRPr="003444E8" w:rsidRDefault="00CB520A" w:rsidP="00D258EC">
      <w:pPr>
        <w:adjustRightInd w:val="0"/>
        <w:snapToGrid w:val="0"/>
        <w:spacing w:before="60" w:after="60" w:line="360" w:lineRule="auto"/>
        <w:ind w:left="108" w:rightChars="30" w:right="66"/>
        <w:rPr>
          <w:i/>
          <w:lang w:val="en-GB"/>
        </w:rPr>
      </w:pPr>
      <w:r w:rsidRPr="003444E8">
        <w:rPr>
          <w:i/>
          <w:lang w:val="en-GB"/>
        </w:rPr>
        <w:t>Treatment</w:t>
      </w:r>
      <w:r w:rsidRPr="003444E8">
        <w:rPr>
          <w:i/>
          <w:spacing w:val="-3"/>
          <w:lang w:val="en-GB"/>
        </w:rPr>
        <w:t xml:space="preserve"> </w:t>
      </w:r>
      <w:r w:rsidRPr="003444E8">
        <w:rPr>
          <w:i/>
          <w:lang w:val="en-GB"/>
        </w:rPr>
        <w:t>of</w:t>
      </w:r>
      <w:r w:rsidRPr="003444E8">
        <w:rPr>
          <w:i/>
          <w:spacing w:val="-3"/>
          <w:lang w:val="en-GB"/>
        </w:rPr>
        <w:t xml:space="preserve"> </w:t>
      </w:r>
      <w:r w:rsidRPr="003444E8">
        <w:rPr>
          <w:i/>
          <w:lang w:val="en-GB"/>
        </w:rPr>
        <w:t>osteoporosis</w:t>
      </w:r>
      <w:r w:rsidRPr="003444E8">
        <w:rPr>
          <w:i/>
          <w:spacing w:val="-2"/>
          <w:lang w:val="en-GB"/>
        </w:rPr>
        <w:t xml:space="preserve"> </w:t>
      </w:r>
      <w:r w:rsidRPr="003444E8">
        <w:rPr>
          <w:i/>
          <w:lang w:val="en-GB"/>
        </w:rPr>
        <w:t>in</w:t>
      </w:r>
      <w:r w:rsidRPr="003444E8">
        <w:rPr>
          <w:i/>
          <w:spacing w:val="-2"/>
          <w:lang w:val="en-GB"/>
        </w:rPr>
        <w:t xml:space="preserve"> </w:t>
      </w:r>
      <w:r w:rsidRPr="003444E8">
        <w:rPr>
          <w:i/>
          <w:lang w:val="en-GB"/>
        </w:rPr>
        <w:t>postmenopausal</w:t>
      </w:r>
      <w:r w:rsidRPr="003444E8">
        <w:rPr>
          <w:i/>
          <w:spacing w:val="-3"/>
          <w:lang w:val="en-GB"/>
        </w:rPr>
        <w:t xml:space="preserve"> </w:t>
      </w:r>
      <w:r w:rsidRPr="003444E8">
        <w:rPr>
          <w:i/>
          <w:lang w:val="en-GB"/>
        </w:rPr>
        <w:t>women</w:t>
      </w:r>
    </w:p>
    <w:p w14:paraId="7B83715C" w14:textId="77777777"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Independent risk factors, for example, low bone mineral density (BMD), age, the</w:t>
      </w:r>
      <w:r w:rsidRPr="00A9501F">
        <w:rPr>
          <w:lang w:val="en-GB"/>
        </w:rPr>
        <w:t xml:space="preserve"> </w:t>
      </w:r>
      <w:r w:rsidRPr="003444E8">
        <w:rPr>
          <w:lang w:val="en-GB"/>
        </w:rPr>
        <w:t>existence of previous fracture, family history of hip fractures, high bone turnover and low</w:t>
      </w:r>
      <w:r w:rsidRPr="00A9501F">
        <w:rPr>
          <w:lang w:val="en-GB"/>
        </w:rPr>
        <w:t xml:space="preserve"> </w:t>
      </w:r>
      <w:r w:rsidRPr="003444E8">
        <w:rPr>
          <w:lang w:val="en-GB"/>
        </w:rPr>
        <w:t>body</w:t>
      </w:r>
      <w:r w:rsidRPr="00A9501F">
        <w:rPr>
          <w:lang w:val="en-GB"/>
        </w:rPr>
        <w:t xml:space="preserve"> </w:t>
      </w:r>
      <w:r w:rsidRPr="003444E8">
        <w:rPr>
          <w:lang w:val="en-GB"/>
        </w:rPr>
        <w:t>mass</w:t>
      </w:r>
      <w:r w:rsidRPr="00A9501F">
        <w:rPr>
          <w:lang w:val="en-GB"/>
        </w:rPr>
        <w:t xml:space="preserve"> </w:t>
      </w:r>
      <w:r w:rsidRPr="003444E8">
        <w:rPr>
          <w:lang w:val="en-GB"/>
        </w:rPr>
        <w:t>index</w:t>
      </w:r>
      <w:r w:rsidRPr="00A9501F">
        <w:rPr>
          <w:lang w:val="en-GB"/>
        </w:rPr>
        <w:t xml:space="preserve"> </w:t>
      </w:r>
      <w:r w:rsidRPr="003444E8">
        <w:rPr>
          <w:lang w:val="en-GB"/>
        </w:rPr>
        <w:t>(BMI)</w:t>
      </w:r>
      <w:r w:rsidRPr="00A9501F">
        <w:rPr>
          <w:lang w:val="en-GB"/>
        </w:rPr>
        <w:t xml:space="preserve"> </w:t>
      </w:r>
      <w:r w:rsidRPr="003444E8">
        <w:rPr>
          <w:lang w:val="en-GB"/>
        </w:rPr>
        <w:t>should</w:t>
      </w:r>
      <w:r w:rsidRPr="00A9501F">
        <w:rPr>
          <w:lang w:val="en-GB"/>
        </w:rPr>
        <w:t xml:space="preserve"> </w:t>
      </w:r>
      <w:r w:rsidRPr="003444E8">
        <w:rPr>
          <w:lang w:val="en-GB"/>
        </w:rPr>
        <w:t>be</w:t>
      </w:r>
      <w:r w:rsidRPr="00A9501F">
        <w:rPr>
          <w:lang w:val="en-GB"/>
        </w:rPr>
        <w:t xml:space="preserve"> </w:t>
      </w:r>
      <w:r w:rsidRPr="003444E8">
        <w:rPr>
          <w:lang w:val="en-GB"/>
        </w:rPr>
        <w:t>considered</w:t>
      </w:r>
      <w:r w:rsidRPr="00A9501F">
        <w:rPr>
          <w:lang w:val="en-GB"/>
        </w:rPr>
        <w:t xml:space="preserve"> </w:t>
      </w:r>
      <w:r w:rsidRPr="003444E8">
        <w:rPr>
          <w:lang w:val="en-GB"/>
        </w:rPr>
        <w:t>in</w:t>
      </w:r>
      <w:r w:rsidRPr="00A9501F">
        <w:rPr>
          <w:lang w:val="en-GB"/>
        </w:rPr>
        <w:t xml:space="preserve"> </w:t>
      </w:r>
      <w:r w:rsidRPr="003444E8">
        <w:rPr>
          <w:lang w:val="en-GB"/>
        </w:rPr>
        <w:t>order</w:t>
      </w:r>
      <w:r w:rsidRPr="00A9501F">
        <w:rPr>
          <w:lang w:val="en-GB"/>
        </w:rPr>
        <w:t xml:space="preserve"> </w:t>
      </w:r>
      <w:r w:rsidRPr="003444E8">
        <w:rPr>
          <w:lang w:val="en-GB"/>
        </w:rPr>
        <w:t>to</w:t>
      </w:r>
      <w:r w:rsidRPr="00A9501F">
        <w:rPr>
          <w:lang w:val="en-GB"/>
        </w:rPr>
        <w:t xml:space="preserve"> </w:t>
      </w:r>
      <w:r w:rsidRPr="003444E8">
        <w:rPr>
          <w:lang w:val="en-GB"/>
        </w:rPr>
        <w:t>identify</w:t>
      </w:r>
      <w:r w:rsidRPr="00A9501F">
        <w:rPr>
          <w:lang w:val="en-GB"/>
        </w:rPr>
        <w:t xml:space="preserve"> </w:t>
      </w:r>
      <w:r w:rsidRPr="003444E8">
        <w:rPr>
          <w:lang w:val="en-GB"/>
        </w:rPr>
        <w:t>women</w:t>
      </w:r>
      <w:r w:rsidRPr="00A9501F">
        <w:rPr>
          <w:lang w:val="en-GB"/>
        </w:rPr>
        <w:t xml:space="preserve"> </w:t>
      </w:r>
      <w:r w:rsidRPr="003444E8">
        <w:rPr>
          <w:lang w:val="en-GB"/>
        </w:rPr>
        <w:t>at</w:t>
      </w:r>
      <w:r w:rsidRPr="00A9501F">
        <w:rPr>
          <w:lang w:val="en-GB"/>
        </w:rPr>
        <w:t xml:space="preserve"> </w:t>
      </w:r>
      <w:r w:rsidRPr="003444E8">
        <w:rPr>
          <w:lang w:val="en-GB"/>
        </w:rPr>
        <w:t>increased</w:t>
      </w:r>
      <w:r w:rsidRPr="00A9501F">
        <w:rPr>
          <w:lang w:val="en-GB"/>
        </w:rPr>
        <w:t xml:space="preserve"> </w:t>
      </w:r>
      <w:r w:rsidRPr="003444E8">
        <w:rPr>
          <w:lang w:val="en-GB"/>
        </w:rPr>
        <w:t>risk</w:t>
      </w:r>
      <w:r w:rsidRPr="00A9501F">
        <w:rPr>
          <w:lang w:val="en-GB"/>
        </w:rPr>
        <w:t xml:space="preserve"> </w:t>
      </w:r>
      <w:r w:rsidRPr="003444E8">
        <w:rPr>
          <w:lang w:val="en-GB"/>
        </w:rPr>
        <w:t>of</w:t>
      </w:r>
      <w:r w:rsidRPr="00A9501F">
        <w:rPr>
          <w:lang w:val="en-GB"/>
        </w:rPr>
        <w:t xml:space="preserve"> </w:t>
      </w:r>
      <w:r w:rsidRPr="003444E8">
        <w:rPr>
          <w:lang w:val="en-GB"/>
        </w:rPr>
        <w:t>osteoporotic fractures</w:t>
      </w:r>
      <w:r w:rsidRPr="00A9501F">
        <w:rPr>
          <w:lang w:val="en-GB"/>
        </w:rPr>
        <w:t xml:space="preserve"> </w:t>
      </w:r>
      <w:r w:rsidRPr="003444E8">
        <w:rPr>
          <w:lang w:val="en-GB"/>
        </w:rPr>
        <w:t>who</w:t>
      </w:r>
      <w:r w:rsidRPr="00A9501F">
        <w:rPr>
          <w:lang w:val="en-GB"/>
        </w:rPr>
        <w:t xml:space="preserve"> </w:t>
      </w:r>
      <w:r w:rsidRPr="003444E8">
        <w:rPr>
          <w:lang w:val="en-GB"/>
        </w:rPr>
        <w:t>could</w:t>
      </w:r>
      <w:r w:rsidRPr="00A9501F">
        <w:rPr>
          <w:lang w:val="en-GB"/>
        </w:rPr>
        <w:t xml:space="preserve"> </w:t>
      </w:r>
      <w:r w:rsidRPr="003444E8">
        <w:rPr>
          <w:lang w:val="en-GB"/>
        </w:rPr>
        <w:t>benefit</w:t>
      </w:r>
      <w:r w:rsidRPr="00A9501F">
        <w:rPr>
          <w:lang w:val="en-GB"/>
        </w:rPr>
        <w:t xml:space="preserve"> </w:t>
      </w:r>
      <w:r w:rsidRPr="003444E8">
        <w:rPr>
          <w:lang w:val="en-GB"/>
        </w:rPr>
        <w:t>from</w:t>
      </w:r>
      <w:r w:rsidRPr="00A9501F">
        <w:rPr>
          <w:lang w:val="en-GB"/>
        </w:rPr>
        <w:t xml:space="preserve"> </w:t>
      </w:r>
      <w:r w:rsidRPr="003444E8">
        <w:rPr>
          <w:lang w:val="en-GB"/>
        </w:rPr>
        <w:t>treatment.</w:t>
      </w:r>
    </w:p>
    <w:p w14:paraId="7CA0DAD1" w14:textId="7D98EBA8" w:rsidR="006E62CD" w:rsidRPr="003444E8" w:rsidRDefault="00CB520A" w:rsidP="00D258EC">
      <w:pPr>
        <w:pStyle w:val="BodyText"/>
        <w:adjustRightInd w:val="0"/>
        <w:snapToGrid w:val="0"/>
        <w:spacing w:before="60" w:after="60" w:line="360" w:lineRule="auto"/>
        <w:ind w:left="108" w:rightChars="30" w:right="66"/>
        <w:rPr>
          <w:lang w:val="en-GB"/>
        </w:rPr>
      </w:pPr>
      <w:r w:rsidRPr="00A9501F">
        <w:rPr>
          <w:lang w:val="en-GB"/>
        </w:rPr>
        <w:t>F</w:t>
      </w:r>
      <w:r w:rsidRPr="003444E8">
        <w:rPr>
          <w:lang w:val="en-GB"/>
        </w:rPr>
        <w:t xml:space="preserve">racture </w:t>
      </w:r>
      <w:r w:rsidRPr="00A9501F">
        <w:rPr>
          <w:lang w:val="en-GB"/>
        </w:rPr>
        <w:t>RE</w:t>
      </w:r>
      <w:r w:rsidRPr="003444E8">
        <w:rPr>
          <w:lang w:val="en-GB"/>
        </w:rPr>
        <w:t xml:space="preserve">duction </w:t>
      </w:r>
      <w:r w:rsidRPr="00A9501F">
        <w:rPr>
          <w:lang w:val="en-GB"/>
        </w:rPr>
        <w:t>E</w:t>
      </w:r>
      <w:r w:rsidRPr="003444E8">
        <w:rPr>
          <w:lang w:val="en-GB"/>
        </w:rPr>
        <w:t xml:space="preserve">valuation of </w:t>
      </w:r>
      <w:r w:rsidR="00E54398">
        <w:rPr>
          <w:lang w:val="en-GB"/>
        </w:rPr>
        <w:t>denosumab</w:t>
      </w:r>
      <w:r w:rsidRPr="003444E8">
        <w:rPr>
          <w:lang w:val="en-GB"/>
        </w:rPr>
        <w:t xml:space="preserve"> in </w:t>
      </w:r>
      <w:r w:rsidRPr="00A9501F">
        <w:rPr>
          <w:lang w:val="en-GB"/>
        </w:rPr>
        <w:t>O</w:t>
      </w:r>
      <w:r w:rsidRPr="003444E8">
        <w:rPr>
          <w:lang w:val="en-GB"/>
        </w:rPr>
        <w:t xml:space="preserve">steoporosis every 6 </w:t>
      </w:r>
      <w:r w:rsidRPr="00A9501F">
        <w:rPr>
          <w:lang w:val="en-GB"/>
        </w:rPr>
        <w:t>M</w:t>
      </w:r>
      <w:r w:rsidRPr="003444E8">
        <w:rPr>
          <w:lang w:val="en-GB"/>
        </w:rPr>
        <w:t>onths</w:t>
      </w:r>
      <w:r w:rsidRPr="00A9501F">
        <w:rPr>
          <w:lang w:val="en-GB"/>
        </w:rPr>
        <w:t xml:space="preserve"> </w:t>
      </w:r>
      <w:r w:rsidRPr="003444E8">
        <w:rPr>
          <w:lang w:val="en-GB"/>
        </w:rPr>
        <w:t>(FREEDOM):</w:t>
      </w:r>
      <w:r w:rsidRPr="00A9501F">
        <w:rPr>
          <w:lang w:val="en-GB"/>
        </w:rPr>
        <w:t xml:space="preserve"> </w:t>
      </w:r>
      <w:r w:rsidRPr="003444E8">
        <w:rPr>
          <w:lang w:val="en-GB"/>
        </w:rPr>
        <w:t xml:space="preserve">The efficacy and safety of </w:t>
      </w:r>
      <w:r w:rsidR="00E54398">
        <w:rPr>
          <w:lang w:val="en-GB"/>
        </w:rPr>
        <w:t>denosumab</w:t>
      </w:r>
      <w:r w:rsidR="00A9501F" w:rsidRPr="003444E8">
        <w:rPr>
          <w:lang w:val="en-GB"/>
        </w:rPr>
        <w:t xml:space="preserve"> </w:t>
      </w:r>
      <w:r w:rsidRPr="003444E8">
        <w:rPr>
          <w:lang w:val="en-GB"/>
        </w:rPr>
        <w:t>in the treatment of postmenopausal</w:t>
      </w:r>
      <w:r w:rsidRPr="00A9501F">
        <w:rPr>
          <w:lang w:val="en-GB"/>
        </w:rPr>
        <w:t xml:space="preserve"> </w:t>
      </w:r>
      <w:r w:rsidRPr="003444E8">
        <w:rPr>
          <w:lang w:val="en-GB"/>
        </w:rPr>
        <w:t>osteoporosis was demonstrated in FREEDOM (Study 20030216), a 3-year, randomised,</w:t>
      </w:r>
      <w:r w:rsidRPr="00A9501F">
        <w:rPr>
          <w:lang w:val="en-GB"/>
        </w:rPr>
        <w:t xml:space="preserve"> </w:t>
      </w:r>
      <w:r w:rsidRPr="003444E8">
        <w:rPr>
          <w:lang w:val="en-GB"/>
        </w:rPr>
        <w:t>double-blind, placebo-controlled, multinational study of women with baseline BMD T-</w:t>
      </w:r>
      <w:r w:rsidRPr="00A9501F">
        <w:rPr>
          <w:lang w:val="en-GB"/>
        </w:rPr>
        <w:t xml:space="preserve"> </w:t>
      </w:r>
      <w:r w:rsidRPr="003444E8">
        <w:rPr>
          <w:lang w:val="en-GB"/>
        </w:rPr>
        <w:t>scores at the lumbar spine or total hip between -2.5 and -4.0.</w:t>
      </w:r>
      <w:r w:rsidRPr="00A9501F">
        <w:rPr>
          <w:lang w:val="en-GB"/>
        </w:rPr>
        <w:t xml:space="preserve"> </w:t>
      </w:r>
      <w:r w:rsidRPr="003444E8">
        <w:rPr>
          <w:lang w:val="en-GB"/>
        </w:rPr>
        <w:t>7,808 women aged 60 to</w:t>
      </w:r>
      <w:r w:rsidRPr="00A9501F">
        <w:rPr>
          <w:lang w:val="en-GB"/>
        </w:rPr>
        <w:t xml:space="preserve"> </w:t>
      </w:r>
      <w:r w:rsidRPr="003444E8">
        <w:rPr>
          <w:lang w:val="en-GB"/>
        </w:rPr>
        <w:t>91 years were enrolled of whom 23.6% had prevalent vertebral fractures.</w:t>
      </w:r>
      <w:r w:rsidRPr="00A9501F">
        <w:rPr>
          <w:lang w:val="en-GB"/>
        </w:rPr>
        <w:t xml:space="preserve"> </w:t>
      </w:r>
      <w:r w:rsidRPr="003444E8">
        <w:rPr>
          <w:lang w:val="en-GB"/>
        </w:rPr>
        <w:t>Women with</w:t>
      </w:r>
      <w:r w:rsidRPr="00A9501F">
        <w:rPr>
          <w:lang w:val="en-GB"/>
        </w:rPr>
        <w:t xml:space="preserve"> </w:t>
      </w:r>
      <w:r w:rsidRPr="003444E8">
        <w:rPr>
          <w:lang w:val="en-GB"/>
        </w:rPr>
        <w:t>other diseases or on therapies that may affect bone (e.g. rheumatoid arthritis,</w:t>
      </w:r>
      <w:r w:rsidRPr="00A9501F">
        <w:rPr>
          <w:lang w:val="en-GB"/>
        </w:rPr>
        <w:t xml:space="preserve"> </w:t>
      </w:r>
      <w:r w:rsidRPr="003444E8">
        <w:rPr>
          <w:lang w:val="en-GB"/>
        </w:rPr>
        <w:t>osteogenesis</w:t>
      </w:r>
      <w:r w:rsidRPr="00A9501F">
        <w:rPr>
          <w:lang w:val="en-GB"/>
        </w:rPr>
        <w:t xml:space="preserve"> </w:t>
      </w:r>
      <w:r w:rsidRPr="003444E8">
        <w:rPr>
          <w:lang w:val="en-GB"/>
        </w:rPr>
        <w:t>imperfecta</w:t>
      </w:r>
      <w:r w:rsidRPr="00A9501F">
        <w:rPr>
          <w:lang w:val="en-GB"/>
        </w:rPr>
        <w:t xml:space="preserve"> </w:t>
      </w:r>
      <w:r w:rsidRPr="003444E8">
        <w:rPr>
          <w:lang w:val="en-GB"/>
        </w:rPr>
        <w:t>and</w:t>
      </w:r>
      <w:r w:rsidRPr="00A9501F">
        <w:rPr>
          <w:lang w:val="en-GB"/>
        </w:rPr>
        <w:t xml:space="preserve"> </w:t>
      </w:r>
      <w:r w:rsidRPr="003444E8">
        <w:rPr>
          <w:lang w:val="en-GB"/>
        </w:rPr>
        <w:t>Paget’s</w:t>
      </w:r>
      <w:r w:rsidRPr="00A9501F">
        <w:rPr>
          <w:lang w:val="en-GB"/>
        </w:rPr>
        <w:t xml:space="preserve"> </w:t>
      </w:r>
      <w:r w:rsidRPr="003444E8">
        <w:rPr>
          <w:lang w:val="en-GB"/>
        </w:rPr>
        <w:t>disease)</w:t>
      </w:r>
      <w:r w:rsidRPr="00A9501F">
        <w:rPr>
          <w:lang w:val="en-GB"/>
        </w:rPr>
        <w:t xml:space="preserve"> </w:t>
      </w:r>
      <w:r w:rsidRPr="003444E8">
        <w:rPr>
          <w:lang w:val="en-GB"/>
        </w:rPr>
        <w:t>were</w:t>
      </w:r>
      <w:r w:rsidRPr="00A9501F">
        <w:rPr>
          <w:lang w:val="en-GB"/>
        </w:rPr>
        <w:t xml:space="preserve"> </w:t>
      </w:r>
      <w:r w:rsidRPr="003444E8">
        <w:rPr>
          <w:lang w:val="en-GB"/>
        </w:rPr>
        <w:t>excluded</w:t>
      </w:r>
      <w:r w:rsidRPr="00A9501F">
        <w:rPr>
          <w:lang w:val="en-GB"/>
        </w:rPr>
        <w:t xml:space="preserve"> </w:t>
      </w:r>
      <w:r w:rsidRPr="003444E8">
        <w:rPr>
          <w:lang w:val="en-GB"/>
        </w:rPr>
        <w:t>from</w:t>
      </w:r>
      <w:r w:rsidRPr="00A9501F">
        <w:rPr>
          <w:lang w:val="en-GB"/>
        </w:rPr>
        <w:t xml:space="preserve"> </w:t>
      </w:r>
      <w:r w:rsidRPr="003444E8">
        <w:rPr>
          <w:lang w:val="en-GB"/>
        </w:rPr>
        <w:t>this</w:t>
      </w:r>
      <w:r w:rsidRPr="00A9501F">
        <w:rPr>
          <w:lang w:val="en-GB"/>
        </w:rPr>
        <w:t xml:space="preserve"> </w:t>
      </w:r>
      <w:r w:rsidRPr="003444E8">
        <w:rPr>
          <w:lang w:val="en-GB"/>
        </w:rPr>
        <w:t>study.</w:t>
      </w:r>
    </w:p>
    <w:p w14:paraId="4F5B3A52" w14:textId="490968CE"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BMD and other individual risk factors were collected for women enrolled in the</w:t>
      </w:r>
      <w:r w:rsidRPr="00A9501F">
        <w:rPr>
          <w:lang w:val="en-GB"/>
        </w:rPr>
        <w:t xml:space="preserve"> </w:t>
      </w:r>
      <w:r w:rsidRPr="003444E8">
        <w:rPr>
          <w:lang w:val="en-GB"/>
        </w:rPr>
        <w:lastRenderedPageBreak/>
        <w:t>FREEDOM study.</w:t>
      </w:r>
      <w:r w:rsidRPr="00A9501F">
        <w:rPr>
          <w:lang w:val="en-GB"/>
        </w:rPr>
        <w:t xml:space="preserve"> </w:t>
      </w:r>
      <w:r w:rsidRPr="003444E8">
        <w:rPr>
          <w:lang w:val="en-GB"/>
        </w:rPr>
        <w:t>The mean absolute 10-year fracture probability for women enrolled</w:t>
      </w:r>
      <w:r w:rsidRPr="00A9501F">
        <w:rPr>
          <w:lang w:val="en-GB"/>
        </w:rPr>
        <w:t xml:space="preserve"> </w:t>
      </w:r>
      <w:r w:rsidRPr="003444E8">
        <w:rPr>
          <w:lang w:val="en-GB"/>
        </w:rPr>
        <w:t>was</w:t>
      </w:r>
      <w:r w:rsidRPr="00A9501F">
        <w:rPr>
          <w:lang w:val="en-GB"/>
        </w:rPr>
        <w:t xml:space="preserve"> </w:t>
      </w:r>
      <w:r w:rsidRPr="003444E8">
        <w:rPr>
          <w:lang w:val="en-GB"/>
        </w:rPr>
        <w:t>18.60%</w:t>
      </w:r>
      <w:r w:rsidRPr="00A9501F">
        <w:rPr>
          <w:lang w:val="en-GB"/>
        </w:rPr>
        <w:t xml:space="preserve"> </w:t>
      </w:r>
      <w:r w:rsidRPr="003444E8">
        <w:rPr>
          <w:lang w:val="en-GB"/>
        </w:rPr>
        <w:t>(deciles:</w:t>
      </w:r>
      <w:r w:rsidRPr="00A9501F">
        <w:rPr>
          <w:lang w:val="en-GB"/>
        </w:rPr>
        <w:t xml:space="preserve"> </w:t>
      </w:r>
      <w:r w:rsidRPr="003444E8">
        <w:rPr>
          <w:lang w:val="en-GB"/>
        </w:rPr>
        <w:t>7.9 -</w:t>
      </w:r>
      <w:r w:rsidRPr="00A9501F">
        <w:rPr>
          <w:lang w:val="en-GB"/>
        </w:rPr>
        <w:t xml:space="preserve"> </w:t>
      </w:r>
      <w:r w:rsidRPr="003444E8">
        <w:rPr>
          <w:lang w:val="en-GB"/>
        </w:rPr>
        <w:t>32.4%)</w:t>
      </w:r>
      <w:r w:rsidRPr="00A9501F">
        <w:rPr>
          <w:lang w:val="en-GB"/>
        </w:rPr>
        <w:t xml:space="preserve"> </w:t>
      </w:r>
      <w:r w:rsidRPr="003444E8">
        <w:rPr>
          <w:lang w:val="en-GB"/>
        </w:rPr>
        <w:t>for</w:t>
      </w:r>
      <w:r w:rsidRPr="00A9501F">
        <w:rPr>
          <w:lang w:val="en-GB"/>
        </w:rPr>
        <w:t xml:space="preserve"> </w:t>
      </w:r>
      <w:r w:rsidRPr="003444E8">
        <w:rPr>
          <w:lang w:val="en-GB"/>
        </w:rPr>
        <w:t>major</w:t>
      </w:r>
      <w:r w:rsidRPr="00A9501F">
        <w:rPr>
          <w:lang w:val="en-GB"/>
        </w:rPr>
        <w:t xml:space="preserve"> </w:t>
      </w:r>
      <w:r w:rsidRPr="003444E8">
        <w:rPr>
          <w:lang w:val="en-GB"/>
        </w:rPr>
        <w:t>osteoporotic</w:t>
      </w:r>
      <w:r w:rsidRPr="00A9501F">
        <w:rPr>
          <w:lang w:val="en-GB"/>
        </w:rPr>
        <w:t xml:space="preserve"> </w:t>
      </w:r>
      <w:r w:rsidRPr="003444E8">
        <w:rPr>
          <w:lang w:val="en-GB"/>
        </w:rPr>
        <w:t>fracture</w:t>
      </w:r>
      <w:r w:rsidRPr="00A9501F">
        <w:rPr>
          <w:lang w:val="en-GB"/>
        </w:rPr>
        <w:t xml:space="preserve"> </w:t>
      </w:r>
      <w:r w:rsidRPr="003444E8">
        <w:rPr>
          <w:lang w:val="en-GB"/>
        </w:rPr>
        <w:t>and</w:t>
      </w:r>
      <w:r w:rsidRPr="00A9501F">
        <w:rPr>
          <w:lang w:val="en-GB"/>
        </w:rPr>
        <w:t xml:space="preserve"> </w:t>
      </w:r>
      <w:r w:rsidRPr="003444E8">
        <w:rPr>
          <w:lang w:val="en-GB"/>
        </w:rPr>
        <w:t>7.22%</w:t>
      </w:r>
      <w:r w:rsidRPr="00A9501F">
        <w:rPr>
          <w:lang w:val="en-GB"/>
        </w:rPr>
        <w:t xml:space="preserve"> </w:t>
      </w:r>
      <w:r w:rsidRPr="003444E8">
        <w:rPr>
          <w:lang w:val="en-GB"/>
        </w:rPr>
        <w:t>(deciles:</w:t>
      </w:r>
      <w:r w:rsidR="00A9501F">
        <w:rPr>
          <w:lang w:val="en-GB"/>
        </w:rPr>
        <w:t xml:space="preserve"> </w:t>
      </w:r>
      <w:r w:rsidRPr="003444E8">
        <w:rPr>
          <w:lang w:val="en-GB"/>
        </w:rPr>
        <w:t>1.4 - 14.9%) for hip fracture, as derived from FRAX, the WHO Fracture Risk</w:t>
      </w:r>
      <w:r w:rsidRPr="00A9501F">
        <w:rPr>
          <w:lang w:val="en-GB"/>
        </w:rPr>
        <w:t xml:space="preserve"> </w:t>
      </w:r>
      <w:r w:rsidRPr="003444E8">
        <w:rPr>
          <w:lang w:val="en-GB"/>
        </w:rPr>
        <w:t>Assessment</w:t>
      </w:r>
      <w:r w:rsidRPr="00A9501F">
        <w:rPr>
          <w:lang w:val="en-GB"/>
        </w:rPr>
        <w:t xml:space="preserve"> </w:t>
      </w:r>
      <w:r w:rsidRPr="003444E8">
        <w:rPr>
          <w:lang w:val="en-GB"/>
        </w:rPr>
        <w:t>Tool algorithm.</w:t>
      </w:r>
    </w:p>
    <w:p w14:paraId="1EBFBE15" w14:textId="6E958F4E"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Women</w:t>
      </w:r>
      <w:r w:rsidRPr="00A9501F">
        <w:rPr>
          <w:lang w:val="en-GB"/>
        </w:rPr>
        <w:t xml:space="preserve"> </w:t>
      </w:r>
      <w:r w:rsidRPr="003444E8">
        <w:rPr>
          <w:lang w:val="en-GB"/>
        </w:rPr>
        <w:t>were</w:t>
      </w:r>
      <w:r w:rsidRPr="00A9501F">
        <w:rPr>
          <w:lang w:val="en-GB"/>
        </w:rPr>
        <w:t xml:space="preserve"> </w:t>
      </w:r>
      <w:r w:rsidRPr="003444E8">
        <w:rPr>
          <w:lang w:val="en-GB"/>
        </w:rPr>
        <w:t>randomised</w:t>
      </w:r>
      <w:r w:rsidRPr="00A9501F">
        <w:rPr>
          <w:lang w:val="en-GB"/>
        </w:rPr>
        <w:t xml:space="preserve"> </w:t>
      </w:r>
      <w:r w:rsidRPr="003444E8">
        <w:rPr>
          <w:lang w:val="en-GB"/>
        </w:rPr>
        <w:t>to</w:t>
      </w:r>
      <w:r w:rsidRPr="00A9501F">
        <w:rPr>
          <w:lang w:val="en-GB"/>
        </w:rPr>
        <w:t xml:space="preserve"> </w:t>
      </w:r>
      <w:r w:rsidRPr="003444E8">
        <w:rPr>
          <w:lang w:val="en-GB"/>
        </w:rPr>
        <w:t>receive</w:t>
      </w:r>
      <w:r w:rsidRPr="00A9501F">
        <w:rPr>
          <w:lang w:val="en-GB"/>
        </w:rPr>
        <w:t xml:space="preserve"> </w:t>
      </w:r>
      <w:r w:rsidRPr="003444E8">
        <w:rPr>
          <w:lang w:val="en-GB"/>
        </w:rPr>
        <w:t>subcutaneous</w:t>
      </w:r>
      <w:r w:rsidRPr="00A9501F">
        <w:rPr>
          <w:lang w:val="en-GB"/>
        </w:rPr>
        <w:t xml:space="preserve"> </w:t>
      </w:r>
      <w:r w:rsidRPr="003444E8">
        <w:rPr>
          <w:lang w:val="en-GB"/>
        </w:rPr>
        <w:t>injections</w:t>
      </w:r>
      <w:r w:rsidRPr="00A9501F">
        <w:rPr>
          <w:lang w:val="en-GB"/>
        </w:rPr>
        <w:t xml:space="preserve"> </w:t>
      </w:r>
      <w:r w:rsidRPr="003444E8">
        <w:rPr>
          <w:lang w:val="en-GB"/>
        </w:rPr>
        <w:t>of</w:t>
      </w:r>
      <w:r w:rsidRPr="00A9501F">
        <w:rPr>
          <w:lang w:val="en-GB"/>
        </w:rPr>
        <w:t xml:space="preserve"> </w:t>
      </w:r>
      <w:r w:rsidRPr="003444E8">
        <w:rPr>
          <w:lang w:val="en-GB"/>
        </w:rPr>
        <w:t>either</w:t>
      </w:r>
      <w:r w:rsidRPr="00A9501F">
        <w:rPr>
          <w:lang w:val="en-GB"/>
        </w:rPr>
        <w:t xml:space="preserve"> </w:t>
      </w:r>
      <w:r w:rsidR="00E54398">
        <w:rPr>
          <w:lang w:val="en-GB"/>
        </w:rPr>
        <w:t>denosumab</w:t>
      </w:r>
      <w:r w:rsidR="00A9501F" w:rsidRPr="003444E8">
        <w:rPr>
          <w:lang w:val="en-GB"/>
        </w:rPr>
        <w:t xml:space="preserve"> </w:t>
      </w:r>
      <w:r w:rsidRPr="003444E8">
        <w:rPr>
          <w:lang w:val="en-GB"/>
        </w:rPr>
        <w:t>60</w:t>
      </w:r>
      <w:r w:rsidRPr="00A9501F">
        <w:rPr>
          <w:lang w:val="en-GB"/>
        </w:rPr>
        <w:t xml:space="preserve"> </w:t>
      </w:r>
      <w:r w:rsidRPr="003444E8">
        <w:rPr>
          <w:lang w:val="en-GB"/>
        </w:rPr>
        <w:t>mg</w:t>
      </w:r>
      <w:r w:rsidR="00A9501F">
        <w:rPr>
          <w:lang w:val="en-GB"/>
        </w:rPr>
        <w:t xml:space="preserve"> </w:t>
      </w:r>
      <w:r w:rsidRPr="003444E8">
        <w:rPr>
          <w:lang w:val="en-GB"/>
        </w:rPr>
        <w:t>(n = 3,902) or placebo (n = 3,906) once every 6 months.</w:t>
      </w:r>
      <w:r w:rsidRPr="00A9501F">
        <w:rPr>
          <w:lang w:val="en-GB"/>
        </w:rPr>
        <w:t xml:space="preserve"> </w:t>
      </w:r>
      <w:r w:rsidRPr="003444E8">
        <w:rPr>
          <w:lang w:val="en-GB"/>
        </w:rPr>
        <w:t>Women received calcium (at</w:t>
      </w:r>
      <w:r w:rsidRPr="00A9501F">
        <w:rPr>
          <w:lang w:val="en-GB"/>
        </w:rPr>
        <w:t xml:space="preserve"> </w:t>
      </w:r>
      <w:r w:rsidRPr="003444E8">
        <w:rPr>
          <w:lang w:val="en-GB"/>
        </w:rPr>
        <w:t>least 1,000 mg) and vitamin D (at least 400 IU) supplementation daily.</w:t>
      </w:r>
      <w:r w:rsidRPr="00A9501F">
        <w:rPr>
          <w:lang w:val="en-GB"/>
        </w:rPr>
        <w:t xml:space="preserve"> </w:t>
      </w:r>
      <w:r w:rsidRPr="003444E8">
        <w:rPr>
          <w:lang w:val="en-GB"/>
        </w:rPr>
        <w:t>The primary</w:t>
      </w:r>
      <w:r w:rsidRPr="00A9501F">
        <w:rPr>
          <w:lang w:val="en-GB"/>
        </w:rPr>
        <w:t xml:space="preserve"> </w:t>
      </w:r>
      <w:r w:rsidRPr="003444E8">
        <w:rPr>
          <w:lang w:val="en-GB"/>
        </w:rPr>
        <w:t>efficacy variable was the incidence of new vertebral fractures.</w:t>
      </w:r>
      <w:r w:rsidRPr="00A9501F">
        <w:rPr>
          <w:lang w:val="en-GB"/>
        </w:rPr>
        <w:t xml:space="preserve"> </w:t>
      </w:r>
      <w:r w:rsidRPr="003444E8">
        <w:rPr>
          <w:lang w:val="en-GB"/>
        </w:rPr>
        <w:t>Secondary efficacy</w:t>
      </w:r>
      <w:r w:rsidRPr="00A9501F">
        <w:rPr>
          <w:lang w:val="en-GB"/>
        </w:rPr>
        <w:t xml:space="preserve"> </w:t>
      </w:r>
      <w:r w:rsidRPr="003444E8">
        <w:rPr>
          <w:lang w:val="en-GB"/>
        </w:rPr>
        <w:t>variables included the incidence of non-vertebral fractures and hip fractures, assessed at</w:t>
      </w:r>
      <w:r w:rsidRPr="00A9501F">
        <w:rPr>
          <w:lang w:val="en-GB"/>
        </w:rPr>
        <w:t xml:space="preserve"> </w:t>
      </w:r>
      <w:r w:rsidRPr="003444E8">
        <w:rPr>
          <w:lang w:val="en-GB"/>
        </w:rPr>
        <w:t>3</w:t>
      </w:r>
      <w:r w:rsidRPr="00A9501F">
        <w:rPr>
          <w:lang w:val="en-GB"/>
        </w:rPr>
        <w:t xml:space="preserve"> </w:t>
      </w:r>
      <w:r w:rsidRPr="003444E8">
        <w:rPr>
          <w:lang w:val="en-GB"/>
        </w:rPr>
        <w:t>years.</w:t>
      </w:r>
    </w:p>
    <w:p w14:paraId="428C692D" w14:textId="77777777" w:rsidR="006E62CD" w:rsidRPr="003444E8" w:rsidRDefault="00CB520A" w:rsidP="00D258EC">
      <w:pPr>
        <w:pStyle w:val="Heading3"/>
        <w:adjustRightInd w:val="0"/>
        <w:snapToGrid w:val="0"/>
        <w:spacing w:before="60" w:after="60" w:line="360" w:lineRule="auto"/>
        <w:ind w:left="108" w:rightChars="30" w:right="66"/>
        <w:rPr>
          <w:lang w:val="en-GB"/>
        </w:rPr>
      </w:pPr>
      <w:r w:rsidRPr="003444E8">
        <w:rPr>
          <w:lang w:val="en-GB"/>
        </w:rPr>
        <w:t>Effect</w:t>
      </w:r>
      <w:r w:rsidRPr="003444E8">
        <w:rPr>
          <w:spacing w:val="-3"/>
          <w:lang w:val="en-GB"/>
        </w:rPr>
        <w:t xml:space="preserve"> </w:t>
      </w:r>
      <w:r w:rsidRPr="003444E8">
        <w:rPr>
          <w:lang w:val="en-GB"/>
        </w:rPr>
        <w:t>on</w:t>
      </w:r>
      <w:r w:rsidRPr="003444E8">
        <w:rPr>
          <w:spacing w:val="-1"/>
          <w:lang w:val="en-GB"/>
        </w:rPr>
        <w:t xml:space="preserve"> </w:t>
      </w:r>
      <w:r w:rsidRPr="003444E8">
        <w:rPr>
          <w:lang w:val="en-GB"/>
        </w:rPr>
        <w:t>vertebral</w:t>
      </w:r>
      <w:r w:rsidRPr="003444E8">
        <w:rPr>
          <w:spacing w:val="-1"/>
          <w:lang w:val="en-GB"/>
        </w:rPr>
        <w:t xml:space="preserve"> </w:t>
      </w:r>
      <w:r w:rsidRPr="003444E8">
        <w:rPr>
          <w:lang w:val="en-GB"/>
        </w:rPr>
        <w:t>fractures</w:t>
      </w:r>
    </w:p>
    <w:p w14:paraId="1B184584" w14:textId="7AA7862A" w:rsidR="006E62CD" w:rsidRPr="003444E8" w:rsidRDefault="00E54398" w:rsidP="00D258EC">
      <w:pPr>
        <w:pStyle w:val="BodyText"/>
        <w:adjustRightInd w:val="0"/>
        <w:snapToGrid w:val="0"/>
        <w:spacing w:before="60" w:after="60" w:line="360" w:lineRule="auto"/>
        <w:ind w:left="108" w:rightChars="30" w:right="66"/>
        <w:rPr>
          <w:lang w:val="en-GB"/>
        </w:rPr>
      </w:pPr>
      <w:r>
        <w:rPr>
          <w:lang w:val="en-GB"/>
        </w:rPr>
        <w:t>Denosumab</w:t>
      </w:r>
      <w:r w:rsidR="00A9501F" w:rsidRPr="003444E8">
        <w:rPr>
          <w:lang w:val="en-GB"/>
        </w:rPr>
        <w:t xml:space="preserve"> </w:t>
      </w:r>
      <w:r w:rsidR="00CB520A" w:rsidRPr="003444E8">
        <w:rPr>
          <w:lang w:val="en-GB"/>
        </w:rPr>
        <w:t>significantly reduced the risk of new vertebral fractures at 1, 2 and 3 years</w:t>
      </w:r>
      <w:r w:rsidR="00CB520A" w:rsidRPr="00A9501F">
        <w:rPr>
          <w:lang w:val="en-GB"/>
        </w:rPr>
        <w:t xml:space="preserve"> </w:t>
      </w:r>
      <w:r w:rsidR="00CB520A" w:rsidRPr="003444E8">
        <w:rPr>
          <w:lang w:val="en-GB"/>
        </w:rPr>
        <w:t>(p</w:t>
      </w:r>
      <w:r w:rsidR="00CB520A" w:rsidRPr="00A9501F">
        <w:rPr>
          <w:lang w:val="en-GB"/>
        </w:rPr>
        <w:t xml:space="preserve"> </w:t>
      </w:r>
      <w:r w:rsidR="00CB520A" w:rsidRPr="003444E8">
        <w:rPr>
          <w:lang w:val="en-GB"/>
        </w:rPr>
        <w:t>&lt; 0.0001) (see Table 2).</w:t>
      </w:r>
    </w:p>
    <w:p w14:paraId="24B2FAB5" w14:textId="07D2E994" w:rsidR="006E62CD" w:rsidRPr="003444E8" w:rsidRDefault="00CB520A" w:rsidP="004923C5">
      <w:pPr>
        <w:pStyle w:val="Heading3"/>
        <w:adjustRightInd w:val="0"/>
        <w:snapToGrid w:val="0"/>
        <w:spacing w:before="60" w:after="60" w:line="360" w:lineRule="auto"/>
        <w:ind w:left="108" w:rightChars="30" w:right="66"/>
        <w:rPr>
          <w:lang w:val="en-GB"/>
        </w:rPr>
      </w:pPr>
      <w:r w:rsidRPr="003444E8">
        <w:rPr>
          <w:lang w:val="en-GB"/>
        </w:rPr>
        <w:t>Table</w:t>
      </w:r>
      <w:r w:rsidRPr="003444E8">
        <w:rPr>
          <w:spacing w:val="-2"/>
          <w:lang w:val="en-GB"/>
        </w:rPr>
        <w:t xml:space="preserve"> </w:t>
      </w:r>
      <w:r w:rsidRPr="003444E8">
        <w:rPr>
          <w:lang w:val="en-GB"/>
        </w:rPr>
        <w:t>2.</w:t>
      </w:r>
      <w:r w:rsidRPr="003444E8">
        <w:rPr>
          <w:spacing w:val="-2"/>
          <w:lang w:val="en-GB"/>
        </w:rPr>
        <w:t xml:space="preserve"> </w:t>
      </w:r>
      <w:r w:rsidRPr="003444E8">
        <w:rPr>
          <w:lang w:val="en-GB"/>
        </w:rPr>
        <w:t>The</w:t>
      </w:r>
      <w:r w:rsidRPr="003444E8">
        <w:rPr>
          <w:spacing w:val="-1"/>
          <w:lang w:val="en-GB"/>
        </w:rPr>
        <w:t xml:space="preserve"> </w:t>
      </w:r>
      <w:r w:rsidRPr="003444E8">
        <w:rPr>
          <w:lang w:val="en-GB"/>
        </w:rPr>
        <w:t>Effect</w:t>
      </w:r>
      <w:r w:rsidRPr="003444E8">
        <w:rPr>
          <w:spacing w:val="-2"/>
          <w:lang w:val="en-GB"/>
        </w:rPr>
        <w:t xml:space="preserve"> </w:t>
      </w:r>
      <w:r w:rsidRPr="003444E8">
        <w:rPr>
          <w:lang w:val="en-GB"/>
        </w:rPr>
        <w:t xml:space="preserve">of </w:t>
      </w:r>
      <w:r w:rsidR="00E54398">
        <w:rPr>
          <w:lang w:val="en-GB"/>
        </w:rPr>
        <w:t>Denosumab</w:t>
      </w:r>
      <w:r w:rsidR="00A9501F" w:rsidRPr="003444E8">
        <w:rPr>
          <w:lang w:val="en-GB"/>
        </w:rPr>
        <w:t xml:space="preserve"> </w:t>
      </w:r>
      <w:r w:rsidRPr="003444E8">
        <w:rPr>
          <w:lang w:val="en-GB"/>
        </w:rPr>
        <w:t>on</w:t>
      </w:r>
      <w:r w:rsidRPr="003444E8">
        <w:rPr>
          <w:spacing w:val="-1"/>
          <w:lang w:val="en-GB"/>
        </w:rPr>
        <w:t xml:space="preserve"> </w:t>
      </w:r>
      <w:r w:rsidRPr="003444E8">
        <w:rPr>
          <w:lang w:val="en-GB"/>
        </w:rPr>
        <w:t>the</w:t>
      </w:r>
      <w:r w:rsidRPr="003444E8">
        <w:rPr>
          <w:spacing w:val="-1"/>
          <w:lang w:val="en-GB"/>
        </w:rPr>
        <w:t xml:space="preserve"> </w:t>
      </w:r>
      <w:r w:rsidRPr="003444E8">
        <w:rPr>
          <w:lang w:val="en-GB"/>
        </w:rPr>
        <w:t>Risk</w:t>
      </w:r>
      <w:r w:rsidRPr="003444E8">
        <w:rPr>
          <w:spacing w:val="-1"/>
          <w:lang w:val="en-GB"/>
        </w:rPr>
        <w:t xml:space="preserve"> </w:t>
      </w:r>
      <w:r w:rsidRPr="003444E8">
        <w:rPr>
          <w:lang w:val="en-GB"/>
        </w:rPr>
        <w:t>of</w:t>
      </w:r>
      <w:r w:rsidRPr="003444E8">
        <w:rPr>
          <w:spacing w:val="-2"/>
          <w:lang w:val="en-GB"/>
        </w:rPr>
        <w:t xml:space="preserve"> </w:t>
      </w:r>
      <w:r w:rsidRPr="003444E8">
        <w:rPr>
          <w:lang w:val="en-GB"/>
        </w:rPr>
        <w:t>New</w:t>
      </w:r>
      <w:r w:rsidRPr="003444E8">
        <w:rPr>
          <w:spacing w:val="-2"/>
          <w:lang w:val="en-GB"/>
        </w:rPr>
        <w:t xml:space="preserve"> </w:t>
      </w:r>
      <w:r w:rsidRPr="003444E8">
        <w:rPr>
          <w:lang w:val="en-GB"/>
        </w:rPr>
        <w:t>Vertebral Fractures</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827"/>
        <w:gridCol w:w="1827"/>
        <w:gridCol w:w="1832"/>
        <w:gridCol w:w="1832"/>
      </w:tblGrid>
      <w:tr w:rsidR="00FA4FC4" w:rsidRPr="003444E8" w14:paraId="30CE1DCD" w14:textId="77777777" w:rsidTr="004923C5">
        <w:trPr>
          <w:trHeight w:val="360"/>
        </w:trPr>
        <w:tc>
          <w:tcPr>
            <w:tcW w:w="734" w:type="pct"/>
            <w:vMerge w:val="restart"/>
          </w:tcPr>
          <w:p w14:paraId="0148AED3" w14:textId="77777777" w:rsidR="006E62CD" w:rsidRPr="003444E8" w:rsidRDefault="006E62CD" w:rsidP="00D258EC">
            <w:pPr>
              <w:pStyle w:val="TableParagraph"/>
              <w:adjustRightInd w:val="0"/>
              <w:snapToGrid w:val="0"/>
              <w:spacing w:after="60" w:line="360" w:lineRule="auto"/>
              <w:ind w:leftChars="50" w:left="110" w:rightChars="30" w:right="66"/>
              <w:rPr>
                <w:rFonts w:ascii="Times New Roman"/>
                <w:sz w:val="20"/>
                <w:lang w:val="en-GB"/>
              </w:rPr>
            </w:pPr>
          </w:p>
        </w:tc>
        <w:tc>
          <w:tcPr>
            <w:tcW w:w="2130" w:type="pct"/>
            <w:gridSpan w:val="2"/>
          </w:tcPr>
          <w:p w14:paraId="5C67898D"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Proportion of</w:t>
            </w:r>
            <w:r w:rsidRPr="003444E8">
              <w:rPr>
                <w:spacing w:val="-1"/>
                <w:sz w:val="20"/>
                <w:lang w:val="en-GB"/>
              </w:rPr>
              <w:t xml:space="preserve"> </w:t>
            </w:r>
            <w:r w:rsidRPr="003444E8">
              <w:rPr>
                <w:sz w:val="20"/>
                <w:lang w:val="en-GB"/>
              </w:rPr>
              <w:t>women with fracture</w:t>
            </w:r>
            <w:r w:rsidRPr="003444E8">
              <w:rPr>
                <w:spacing w:val="-2"/>
                <w:sz w:val="20"/>
                <w:lang w:val="en-GB"/>
              </w:rPr>
              <w:t xml:space="preserve"> </w:t>
            </w:r>
            <w:r w:rsidRPr="003444E8">
              <w:rPr>
                <w:sz w:val="20"/>
                <w:lang w:val="en-GB"/>
              </w:rPr>
              <w:t>(%)</w:t>
            </w:r>
          </w:p>
        </w:tc>
        <w:tc>
          <w:tcPr>
            <w:tcW w:w="1068" w:type="pct"/>
            <w:vMerge w:val="restart"/>
          </w:tcPr>
          <w:p w14:paraId="58CE499A" w14:textId="77777777" w:rsidR="00A9501F"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Absolute risk</w:t>
            </w:r>
            <w:r w:rsidRPr="003444E8">
              <w:rPr>
                <w:spacing w:val="-53"/>
                <w:sz w:val="20"/>
                <w:lang w:val="en-GB"/>
              </w:rPr>
              <w:t xml:space="preserve"> </w:t>
            </w:r>
            <w:r w:rsidRPr="003444E8">
              <w:rPr>
                <w:sz w:val="20"/>
                <w:lang w:val="en-GB"/>
              </w:rPr>
              <w:t>reduction</w:t>
            </w:r>
            <w:r w:rsidRPr="003444E8">
              <w:rPr>
                <w:spacing w:val="-13"/>
                <w:sz w:val="20"/>
                <w:lang w:val="en-GB"/>
              </w:rPr>
              <w:t xml:space="preserve"> </w:t>
            </w:r>
            <w:r w:rsidRPr="003444E8">
              <w:rPr>
                <w:sz w:val="20"/>
                <w:lang w:val="en-GB"/>
              </w:rPr>
              <w:t>(%)</w:t>
            </w:r>
            <w:r w:rsidR="00A9501F">
              <w:rPr>
                <w:sz w:val="20"/>
                <w:lang w:val="en-GB"/>
              </w:rPr>
              <w:t xml:space="preserve"> </w:t>
            </w:r>
          </w:p>
          <w:p w14:paraId="3777B32C" w14:textId="6BB6A469"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(95% CI)</w:t>
            </w:r>
          </w:p>
        </w:tc>
        <w:tc>
          <w:tcPr>
            <w:tcW w:w="1068" w:type="pct"/>
            <w:vMerge w:val="restart"/>
          </w:tcPr>
          <w:p w14:paraId="4BCBFD77" w14:textId="77777777" w:rsidR="00A9501F"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Relative risk</w:t>
            </w:r>
            <w:r w:rsidRPr="003444E8">
              <w:rPr>
                <w:spacing w:val="1"/>
                <w:sz w:val="20"/>
                <w:lang w:val="en-GB"/>
              </w:rPr>
              <w:t xml:space="preserve"> </w:t>
            </w:r>
            <w:r w:rsidRPr="003444E8">
              <w:rPr>
                <w:sz w:val="20"/>
                <w:lang w:val="en-GB"/>
              </w:rPr>
              <w:t>reduction</w:t>
            </w:r>
            <w:r w:rsidRPr="003444E8">
              <w:rPr>
                <w:spacing w:val="-13"/>
                <w:sz w:val="20"/>
                <w:lang w:val="en-GB"/>
              </w:rPr>
              <w:t xml:space="preserve"> </w:t>
            </w:r>
            <w:r w:rsidRPr="003444E8">
              <w:rPr>
                <w:sz w:val="20"/>
                <w:lang w:val="en-GB"/>
              </w:rPr>
              <w:t>(%)</w:t>
            </w:r>
            <w:r w:rsidR="00A9501F">
              <w:rPr>
                <w:sz w:val="20"/>
                <w:lang w:val="en-GB"/>
              </w:rPr>
              <w:t xml:space="preserve"> </w:t>
            </w:r>
          </w:p>
          <w:p w14:paraId="4B44FDEC" w14:textId="7CEA83B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(95% CI)</w:t>
            </w:r>
          </w:p>
        </w:tc>
      </w:tr>
      <w:tr w:rsidR="00E05623" w:rsidRPr="003444E8" w14:paraId="7222384F" w14:textId="77777777" w:rsidTr="004923C5">
        <w:trPr>
          <w:trHeight w:val="203"/>
        </w:trPr>
        <w:tc>
          <w:tcPr>
            <w:tcW w:w="734" w:type="pct"/>
            <w:vMerge/>
            <w:tcBorders>
              <w:top w:val="nil"/>
            </w:tcBorders>
          </w:tcPr>
          <w:p w14:paraId="6E5A1DDB" w14:textId="77777777" w:rsidR="006E62CD" w:rsidRPr="003444E8" w:rsidRDefault="006E62CD" w:rsidP="00D258EC">
            <w:pPr>
              <w:adjustRightInd w:val="0"/>
              <w:snapToGrid w:val="0"/>
              <w:spacing w:before="60" w:after="60" w:line="360" w:lineRule="auto"/>
              <w:ind w:leftChars="50" w:left="110" w:rightChars="30" w:right="66"/>
              <w:rPr>
                <w:sz w:val="2"/>
                <w:szCs w:val="2"/>
                <w:lang w:val="en-GB"/>
              </w:rPr>
            </w:pPr>
          </w:p>
        </w:tc>
        <w:tc>
          <w:tcPr>
            <w:tcW w:w="1065" w:type="pct"/>
          </w:tcPr>
          <w:p w14:paraId="12385957" w14:textId="41579108" w:rsidR="006E62CD" w:rsidRDefault="00E54398" w:rsidP="00D258EC">
            <w:pPr>
              <w:pStyle w:val="TableParagraph"/>
              <w:adjustRightInd w:val="0"/>
              <w:snapToGrid w:val="0"/>
              <w:spacing w:after="60" w:line="360" w:lineRule="auto"/>
              <w:ind w:leftChars="50" w:left="110" w:rightChars="30" w:right="66"/>
              <w:rPr>
                <w:sz w:val="20"/>
                <w:lang w:val="en-GB"/>
              </w:rPr>
            </w:pPr>
            <w:r>
              <w:rPr>
                <w:sz w:val="20"/>
                <w:lang w:val="en-GB"/>
              </w:rPr>
              <w:t>Denosumab</w:t>
            </w:r>
            <w:r w:rsidR="00A9501F" w:rsidRPr="00A9501F">
              <w:rPr>
                <w:sz w:val="20"/>
                <w:lang w:val="en-GB"/>
              </w:rPr>
              <w:t xml:space="preserve"> </w:t>
            </w:r>
          </w:p>
          <w:p w14:paraId="16C81EF9" w14:textId="1A45EAEF"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n = 3,902</w:t>
            </w:r>
            <w:r w:rsidR="00A9501F">
              <w:rPr>
                <w:sz w:val="20"/>
                <w:lang w:val="en-GB"/>
              </w:rPr>
              <w:t xml:space="preserve"> </w:t>
            </w:r>
            <w:r w:rsidRPr="003444E8">
              <w:rPr>
                <w:spacing w:val="-53"/>
                <w:sz w:val="20"/>
                <w:lang w:val="en-GB"/>
              </w:rPr>
              <w:t xml:space="preserve"> </w:t>
            </w:r>
            <w:r w:rsidRPr="003444E8">
              <w:rPr>
                <w:sz w:val="20"/>
                <w:lang w:val="en-GB"/>
              </w:rPr>
              <w:t>(%)</w:t>
            </w:r>
          </w:p>
        </w:tc>
        <w:tc>
          <w:tcPr>
            <w:tcW w:w="1065" w:type="pct"/>
          </w:tcPr>
          <w:p w14:paraId="0877B5CA" w14:textId="77777777" w:rsidR="00A9501F" w:rsidRDefault="00CB520A" w:rsidP="00D258EC">
            <w:pPr>
              <w:pStyle w:val="TableParagraph"/>
              <w:adjustRightInd w:val="0"/>
              <w:snapToGrid w:val="0"/>
              <w:spacing w:after="60" w:line="360" w:lineRule="auto"/>
              <w:ind w:leftChars="50" w:left="110" w:rightChars="30" w:right="66"/>
              <w:rPr>
                <w:spacing w:val="1"/>
                <w:sz w:val="20"/>
                <w:lang w:val="en-GB"/>
              </w:rPr>
            </w:pPr>
            <w:r w:rsidRPr="003444E8">
              <w:rPr>
                <w:sz w:val="20"/>
                <w:lang w:val="en-GB"/>
              </w:rPr>
              <w:t>Placebo</w:t>
            </w:r>
            <w:r w:rsidRPr="003444E8">
              <w:rPr>
                <w:spacing w:val="1"/>
                <w:sz w:val="20"/>
                <w:lang w:val="en-GB"/>
              </w:rPr>
              <w:t xml:space="preserve"> </w:t>
            </w:r>
          </w:p>
          <w:p w14:paraId="1658EB0F" w14:textId="7385B67C"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n = 3,906</w:t>
            </w:r>
            <w:r w:rsidR="00A9501F">
              <w:rPr>
                <w:sz w:val="20"/>
                <w:lang w:val="en-GB"/>
              </w:rPr>
              <w:t xml:space="preserve"> </w:t>
            </w:r>
            <w:r w:rsidRPr="003444E8">
              <w:rPr>
                <w:spacing w:val="-53"/>
                <w:sz w:val="20"/>
                <w:lang w:val="en-GB"/>
              </w:rPr>
              <w:t xml:space="preserve"> </w:t>
            </w:r>
            <w:r w:rsidRPr="003444E8">
              <w:rPr>
                <w:sz w:val="20"/>
                <w:lang w:val="en-GB"/>
              </w:rPr>
              <w:t>(%)</w:t>
            </w:r>
          </w:p>
        </w:tc>
        <w:tc>
          <w:tcPr>
            <w:tcW w:w="1068" w:type="pct"/>
            <w:vMerge/>
            <w:tcBorders>
              <w:top w:val="nil"/>
            </w:tcBorders>
          </w:tcPr>
          <w:p w14:paraId="6C3E658E" w14:textId="77777777" w:rsidR="006E62CD" w:rsidRPr="003444E8" w:rsidRDefault="006E62CD" w:rsidP="00D258EC">
            <w:pPr>
              <w:adjustRightInd w:val="0"/>
              <w:snapToGrid w:val="0"/>
              <w:spacing w:before="60" w:after="60" w:line="360" w:lineRule="auto"/>
              <w:ind w:leftChars="50" w:left="110" w:rightChars="30" w:right="66"/>
              <w:rPr>
                <w:sz w:val="2"/>
                <w:szCs w:val="2"/>
                <w:lang w:val="en-GB"/>
              </w:rPr>
            </w:pPr>
          </w:p>
        </w:tc>
        <w:tc>
          <w:tcPr>
            <w:tcW w:w="1068" w:type="pct"/>
            <w:vMerge/>
            <w:tcBorders>
              <w:top w:val="nil"/>
            </w:tcBorders>
          </w:tcPr>
          <w:p w14:paraId="30CAE0E3" w14:textId="77777777" w:rsidR="006E62CD" w:rsidRPr="003444E8" w:rsidRDefault="006E62CD" w:rsidP="00D258EC">
            <w:pPr>
              <w:adjustRightInd w:val="0"/>
              <w:snapToGrid w:val="0"/>
              <w:spacing w:before="60" w:after="60" w:line="360" w:lineRule="auto"/>
              <w:ind w:leftChars="50" w:left="110" w:rightChars="30" w:right="66"/>
              <w:rPr>
                <w:sz w:val="2"/>
                <w:szCs w:val="2"/>
                <w:lang w:val="en-GB"/>
              </w:rPr>
            </w:pPr>
          </w:p>
        </w:tc>
      </w:tr>
      <w:tr w:rsidR="00FA4FC4" w:rsidRPr="003444E8" w14:paraId="4116203F" w14:textId="77777777" w:rsidTr="004923C5">
        <w:trPr>
          <w:trHeight w:val="50"/>
        </w:trPr>
        <w:tc>
          <w:tcPr>
            <w:tcW w:w="734" w:type="pct"/>
          </w:tcPr>
          <w:p w14:paraId="25D7125B"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0-1</w:t>
            </w:r>
            <w:r w:rsidRPr="003444E8">
              <w:rPr>
                <w:spacing w:val="-1"/>
                <w:sz w:val="20"/>
                <w:lang w:val="en-GB"/>
              </w:rPr>
              <w:t xml:space="preserve"> </w:t>
            </w:r>
            <w:r w:rsidRPr="003444E8">
              <w:rPr>
                <w:sz w:val="20"/>
                <w:lang w:val="en-GB"/>
              </w:rPr>
              <w:t>Year</w:t>
            </w:r>
          </w:p>
        </w:tc>
        <w:tc>
          <w:tcPr>
            <w:tcW w:w="1065" w:type="pct"/>
          </w:tcPr>
          <w:p w14:paraId="46E7F703"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0.9</w:t>
            </w:r>
          </w:p>
        </w:tc>
        <w:tc>
          <w:tcPr>
            <w:tcW w:w="1065" w:type="pct"/>
          </w:tcPr>
          <w:p w14:paraId="4BFC12A5"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2.2</w:t>
            </w:r>
          </w:p>
        </w:tc>
        <w:tc>
          <w:tcPr>
            <w:tcW w:w="1068" w:type="pct"/>
          </w:tcPr>
          <w:p w14:paraId="206414A4"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1.4</w:t>
            </w:r>
            <w:r w:rsidRPr="003444E8">
              <w:rPr>
                <w:spacing w:val="-1"/>
                <w:sz w:val="20"/>
                <w:lang w:val="en-GB"/>
              </w:rPr>
              <w:t xml:space="preserve"> </w:t>
            </w:r>
            <w:r w:rsidRPr="003444E8">
              <w:rPr>
                <w:sz w:val="20"/>
                <w:lang w:val="en-GB"/>
              </w:rPr>
              <w:t>(0.8,</w:t>
            </w:r>
            <w:r w:rsidRPr="003444E8">
              <w:rPr>
                <w:spacing w:val="-1"/>
                <w:sz w:val="20"/>
                <w:lang w:val="en-GB"/>
              </w:rPr>
              <w:t xml:space="preserve"> </w:t>
            </w:r>
            <w:r w:rsidRPr="003444E8">
              <w:rPr>
                <w:sz w:val="20"/>
                <w:lang w:val="en-GB"/>
              </w:rPr>
              <w:t>1.9)</w:t>
            </w:r>
          </w:p>
        </w:tc>
        <w:tc>
          <w:tcPr>
            <w:tcW w:w="1068" w:type="pct"/>
          </w:tcPr>
          <w:p w14:paraId="3A78A31B"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61 (42,</w:t>
            </w:r>
            <w:r w:rsidRPr="003444E8">
              <w:rPr>
                <w:spacing w:val="-1"/>
                <w:sz w:val="20"/>
                <w:lang w:val="en-GB"/>
              </w:rPr>
              <w:t xml:space="preserve"> </w:t>
            </w:r>
            <w:r w:rsidRPr="003444E8">
              <w:rPr>
                <w:sz w:val="20"/>
                <w:lang w:val="en-GB"/>
              </w:rPr>
              <w:t>74)*</w:t>
            </w:r>
          </w:p>
        </w:tc>
      </w:tr>
      <w:tr w:rsidR="00FA4FC4" w:rsidRPr="003444E8" w14:paraId="3C64BBDF" w14:textId="77777777" w:rsidTr="004923C5">
        <w:trPr>
          <w:trHeight w:val="50"/>
        </w:trPr>
        <w:tc>
          <w:tcPr>
            <w:tcW w:w="734" w:type="pct"/>
          </w:tcPr>
          <w:p w14:paraId="08DFD7C6"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0-2</w:t>
            </w:r>
            <w:r w:rsidRPr="003444E8">
              <w:rPr>
                <w:spacing w:val="-1"/>
                <w:sz w:val="20"/>
                <w:lang w:val="en-GB"/>
              </w:rPr>
              <w:t xml:space="preserve"> </w:t>
            </w:r>
            <w:r w:rsidRPr="003444E8">
              <w:rPr>
                <w:sz w:val="20"/>
                <w:lang w:val="en-GB"/>
              </w:rPr>
              <w:t>Years</w:t>
            </w:r>
          </w:p>
        </w:tc>
        <w:tc>
          <w:tcPr>
            <w:tcW w:w="1065" w:type="pct"/>
          </w:tcPr>
          <w:p w14:paraId="0E6573F7"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1.4</w:t>
            </w:r>
          </w:p>
        </w:tc>
        <w:tc>
          <w:tcPr>
            <w:tcW w:w="1065" w:type="pct"/>
          </w:tcPr>
          <w:p w14:paraId="651E8493"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5.0</w:t>
            </w:r>
          </w:p>
        </w:tc>
        <w:tc>
          <w:tcPr>
            <w:tcW w:w="1068" w:type="pct"/>
          </w:tcPr>
          <w:p w14:paraId="5ED0DDEE"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3.5</w:t>
            </w:r>
            <w:r w:rsidRPr="003444E8">
              <w:rPr>
                <w:spacing w:val="-1"/>
                <w:sz w:val="20"/>
                <w:lang w:val="en-GB"/>
              </w:rPr>
              <w:t xml:space="preserve"> </w:t>
            </w:r>
            <w:r w:rsidRPr="003444E8">
              <w:rPr>
                <w:sz w:val="20"/>
                <w:lang w:val="en-GB"/>
              </w:rPr>
              <w:t>(2.7,</w:t>
            </w:r>
            <w:r w:rsidRPr="003444E8">
              <w:rPr>
                <w:spacing w:val="-1"/>
                <w:sz w:val="20"/>
                <w:lang w:val="en-GB"/>
              </w:rPr>
              <w:t xml:space="preserve"> </w:t>
            </w:r>
            <w:r w:rsidRPr="003444E8">
              <w:rPr>
                <w:sz w:val="20"/>
                <w:lang w:val="en-GB"/>
              </w:rPr>
              <w:t>4.3)</w:t>
            </w:r>
          </w:p>
        </w:tc>
        <w:tc>
          <w:tcPr>
            <w:tcW w:w="1068" w:type="pct"/>
          </w:tcPr>
          <w:p w14:paraId="0DDEEE32"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71 (61,</w:t>
            </w:r>
            <w:r w:rsidRPr="003444E8">
              <w:rPr>
                <w:spacing w:val="-1"/>
                <w:sz w:val="20"/>
                <w:lang w:val="en-GB"/>
              </w:rPr>
              <w:t xml:space="preserve"> </w:t>
            </w:r>
            <w:r w:rsidRPr="003444E8">
              <w:rPr>
                <w:sz w:val="20"/>
                <w:lang w:val="en-GB"/>
              </w:rPr>
              <w:t>79)*</w:t>
            </w:r>
          </w:p>
        </w:tc>
      </w:tr>
      <w:tr w:rsidR="00FA4FC4" w:rsidRPr="003444E8" w14:paraId="754560E8" w14:textId="77777777" w:rsidTr="004923C5">
        <w:trPr>
          <w:trHeight w:val="50"/>
        </w:trPr>
        <w:tc>
          <w:tcPr>
            <w:tcW w:w="734" w:type="pct"/>
          </w:tcPr>
          <w:p w14:paraId="7F882D54"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0-3</w:t>
            </w:r>
            <w:r w:rsidRPr="003444E8">
              <w:rPr>
                <w:spacing w:val="-1"/>
                <w:sz w:val="20"/>
                <w:lang w:val="en-GB"/>
              </w:rPr>
              <w:t xml:space="preserve"> </w:t>
            </w:r>
            <w:r w:rsidRPr="003444E8">
              <w:rPr>
                <w:sz w:val="20"/>
                <w:lang w:val="en-GB"/>
              </w:rPr>
              <w:t>Years</w:t>
            </w:r>
          </w:p>
        </w:tc>
        <w:tc>
          <w:tcPr>
            <w:tcW w:w="1065" w:type="pct"/>
          </w:tcPr>
          <w:p w14:paraId="263FEF1F"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2.3</w:t>
            </w:r>
          </w:p>
        </w:tc>
        <w:tc>
          <w:tcPr>
            <w:tcW w:w="1065" w:type="pct"/>
          </w:tcPr>
          <w:p w14:paraId="7DC5389F"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7.2</w:t>
            </w:r>
          </w:p>
        </w:tc>
        <w:tc>
          <w:tcPr>
            <w:tcW w:w="1068" w:type="pct"/>
          </w:tcPr>
          <w:p w14:paraId="121A2D17"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4.8</w:t>
            </w:r>
            <w:r w:rsidRPr="003444E8">
              <w:rPr>
                <w:spacing w:val="-1"/>
                <w:sz w:val="20"/>
                <w:lang w:val="en-GB"/>
              </w:rPr>
              <w:t xml:space="preserve"> </w:t>
            </w:r>
            <w:r w:rsidRPr="003444E8">
              <w:rPr>
                <w:sz w:val="20"/>
                <w:lang w:val="en-GB"/>
              </w:rPr>
              <w:t>(3.9,</w:t>
            </w:r>
            <w:r w:rsidRPr="003444E8">
              <w:rPr>
                <w:spacing w:val="-1"/>
                <w:sz w:val="20"/>
                <w:lang w:val="en-GB"/>
              </w:rPr>
              <w:t xml:space="preserve"> </w:t>
            </w:r>
            <w:r w:rsidRPr="003444E8">
              <w:rPr>
                <w:sz w:val="20"/>
                <w:lang w:val="en-GB"/>
              </w:rPr>
              <w:t>5.8)</w:t>
            </w:r>
          </w:p>
        </w:tc>
        <w:tc>
          <w:tcPr>
            <w:tcW w:w="1068" w:type="pct"/>
          </w:tcPr>
          <w:p w14:paraId="1140929E" w14:textId="77777777" w:rsidR="006E62CD" w:rsidRPr="003444E8" w:rsidRDefault="00CB520A" w:rsidP="00D258EC">
            <w:pPr>
              <w:pStyle w:val="TableParagraph"/>
              <w:adjustRightInd w:val="0"/>
              <w:snapToGrid w:val="0"/>
              <w:spacing w:after="60" w:line="360" w:lineRule="auto"/>
              <w:ind w:leftChars="50" w:left="110" w:rightChars="30" w:right="66"/>
              <w:rPr>
                <w:sz w:val="20"/>
                <w:lang w:val="en-GB"/>
              </w:rPr>
            </w:pPr>
            <w:r w:rsidRPr="003444E8">
              <w:rPr>
                <w:sz w:val="20"/>
                <w:lang w:val="en-GB"/>
              </w:rPr>
              <w:t>68 (59,</w:t>
            </w:r>
            <w:r w:rsidRPr="003444E8">
              <w:rPr>
                <w:spacing w:val="-1"/>
                <w:sz w:val="20"/>
                <w:lang w:val="en-GB"/>
              </w:rPr>
              <w:t xml:space="preserve"> </w:t>
            </w:r>
            <w:r w:rsidRPr="003444E8">
              <w:rPr>
                <w:sz w:val="20"/>
                <w:lang w:val="en-GB"/>
              </w:rPr>
              <w:t>74)*</w:t>
            </w:r>
          </w:p>
        </w:tc>
      </w:tr>
    </w:tbl>
    <w:p w14:paraId="01A39640" w14:textId="77777777" w:rsidR="006E62CD" w:rsidRPr="003444E8" w:rsidRDefault="00CB520A" w:rsidP="00D258EC">
      <w:pPr>
        <w:adjustRightInd w:val="0"/>
        <w:snapToGrid w:val="0"/>
        <w:spacing w:after="120"/>
        <w:ind w:left="108" w:rightChars="30" w:right="66"/>
        <w:contextualSpacing/>
        <w:rPr>
          <w:sz w:val="18"/>
          <w:lang w:val="en-GB"/>
        </w:rPr>
      </w:pPr>
      <w:r w:rsidRPr="003444E8">
        <w:rPr>
          <w:sz w:val="18"/>
          <w:lang w:val="en-GB"/>
        </w:rPr>
        <w:t>*p</w:t>
      </w:r>
      <w:r w:rsidRPr="003444E8">
        <w:rPr>
          <w:spacing w:val="-2"/>
          <w:sz w:val="18"/>
          <w:lang w:val="en-GB"/>
        </w:rPr>
        <w:t xml:space="preserve"> </w:t>
      </w:r>
      <w:r w:rsidRPr="003444E8">
        <w:rPr>
          <w:sz w:val="18"/>
          <w:lang w:val="en-GB"/>
        </w:rPr>
        <w:t>&lt;</w:t>
      </w:r>
      <w:r w:rsidRPr="003444E8">
        <w:rPr>
          <w:spacing w:val="-1"/>
          <w:sz w:val="18"/>
          <w:lang w:val="en-GB"/>
        </w:rPr>
        <w:t xml:space="preserve"> </w:t>
      </w:r>
      <w:r w:rsidRPr="003444E8">
        <w:rPr>
          <w:sz w:val="18"/>
          <w:lang w:val="en-GB"/>
        </w:rPr>
        <w:t>0.0001</w:t>
      </w:r>
    </w:p>
    <w:p w14:paraId="7BC7D35D" w14:textId="5763B792" w:rsidR="006E62CD" w:rsidRPr="003444E8" w:rsidRDefault="00CB520A" w:rsidP="00D258EC">
      <w:pPr>
        <w:pStyle w:val="BodyText"/>
        <w:adjustRightInd w:val="0"/>
        <w:snapToGrid w:val="0"/>
        <w:spacing w:before="60" w:after="60" w:line="360" w:lineRule="auto"/>
        <w:ind w:left="108" w:rightChars="30" w:right="66"/>
        <w:rPr>
          <w:lang w:val="en-GB"/>
        </w:rPr>
      </w:pPr>
      <w:r w:rsidRPr="003444E8">
        <w:rPr>
          <w:lang w:val="en-GB"/>
        </w:rPr>
        <w:t xml:space="preserve">The reductions in the risk of new vertebral fractures by </w:t>
      </w:r>
      <w:r w:rsidR="00E54398">
        <w:rPr>
          <w:lang w:val="en-GB"/>
        </w:rPr>
        <w:t>denosumab</w:t>
      </w:r>
      <w:r w:rsidR="00A9501F" w:rsidRPr="003444E8">
        <w:rPr>
          <w:lang w:val="en-GB"/>
        </w:rPr>
        <w:t xml:space="preserve"> </w:t>
      </w:r>
      <w:r w:rsidRPr="003444E8">
        <w:rPr>
          <w:lang w:val="en-GB"/>
        </w:rPr>
        <w:t>over 3 years were</w:t>
      </w:r>
      <w:r w:rsidRPr="00A9501F">
        <w:rPr>
          <w:lang w:val="en-GB"/>
        </w:rPr>
        <w:t xml:space="preserve"> </w:t>
      </w:r>
      <w:r w:rsidRPr="003444E8">
        <w:rPr>
          <w:lang w:val="en-GB"/>
        </w:rPr>
        <w:t>consistent and significant regardless of whether or not women had a prevalent vertebral</w:t>
      </w:r>
      <w:r w:rsidRPr="00A9501F">
        <w:rPr>
          <w:lang w:val="en-GB"/>
        </w:rPr>
        <w:t xml:space="preserve"> </w:t>
      </w:r>
      <w:r w:rsidRPr="003444E8">
        <w:rPr>
          <w:lang w:val="en-GB"/>
        </w:rPr>
        <w:t>fracture or history of a non-vertebral fracture, and regardless of baseline age, BMD, bone</w:t>
      </w:r>
      <w:r w:rsidRPr="00A9501F">
        <w:rPr>
          <w:lang w:val="en-GB"/>
        </w:rPr>
        <w:t xml:space="preserve"> </w:t>
      </w:r>
      <w:r w:rsidRPr="003444E8">
        <w:rPr>
          <w:lang w:val="en-GB"/>
        </w:rPr>
        <w:t>turnover</w:t>
      </w:r>
      <w:r w:rsidRPr="00A9501F">
        <w:rPr>
          <w:lang w:val="en-GB"/>
        </w:rPr>
        <w:t xml:space="preserve"> </w:t>
      </w:r>
      <w:r w:rsidRPr="003444E8">
        <w:rPr>
          <w:lang w:val="en-GB"/>
        </w:rPr>
        <w:t>level</w:t>
      </w:r>
      <w:r w:rsidRPr="00A9501F">
        <w:rPr>
          <w:lang w:val="en-GB"/>
        </w:rPr>
        <w:t xml:space="preserve"> </w:t>
      </w:r>
      <w:r w:rsidRPr="003444E8">
        <w:rPr>
          <w:lang w:val="en-GB"/>
        </w:rPr>
        <w:t>and prior</w:t>
      </w:r>
      <w:r w:rsidRPr="00A9501F">
        <w:rPr>
          <w:lang w:val="en-GB"/>
        </w:rPr>
        <w:t xml:space="preserve"> </w:t>
      </w:r>
      <w:r w:rsidRPr="003444E8">
        <w:rPr>
          <w:lang w:val="en-GB"/>
        </w:rPr>
        <w:t>use</w:t>
      </w:r>
      <w:r w:rsidRPr="00A9501F">
        <w:rPr>
          <w:lang w:val="en-GB"/>
        </w:rPr>
        <w:t xml:space="preserve"> </w:t>
      </w:r>
      <w:r w:rsidRPr="003444E8">
        <w:rPr>
          <w:lang w:val="en-GB"/>
        </w:rPr>
        <w:t>of</w:t>
      </w:r>
      <w:r w:rsidRPr="00A9501F">
        <w:rPr>
          <w:lang w:val="en-GB"/>
        </w:rPr>
        <w:t xml:space="preserve"> </w:t>
      </w:r>
      <w:r w:rsidRPr="003444E8">
        <w:rPr>
          <w:lang w:val="en-GB"/>
        </w:rPr>
        <w:t>a medicinal</w:t>
      </w:r>
      <w:r w:rsidRPr="00A9501F">
        <w:rPr>
          <w:lang w:val="en-GB"/>
        </w:rPr>
        <w:t xml:space="preserve"> </w:t>
      </w:r>
      <w:r w:rsidRPr="003444E8">
        <w:rPr>
          <w:lang w:val="en-GB"/>
        </w:rPr>
        <w:t>product</w:t>
      </w:r>
      <w:r w:rsidRPr="00A9501F">
        <w:rPr>
          <w:lang w:val="en-GB"/>
        </w:rPr>
        <w:t xml:space="preserve"> </w:t>
      </w:r>
      <w:r w:rsidRPr="003444E8">
        <w:rPr>
          <w:lang w:val="en-GB"/>
        </w:rPr>
        <w:t>for</w:t>
      </w:r>
      <w:r w:rsidRPr="00A9501F">
        <w:rPr>
          <w:lang w:val="en-GB"/>
        </w:rPr>
        <w:t xml:space="preserve"> </w:t>
      </w:r>
      <w:r w:rsidRPr="003444E8">
        <w:rPr>
          <w:lang w:val="en-GB"/>
        </w:rPr>
        <w:t>osteoporosis.</w:t>
      </w:r>
    </w:p>
    <w:p w14:paraId="14B740EE" w14:textId="278649D0" w:rsidR="006E62CD" w:rsidRPr="003444E8" w:rsidRDefault="00E54398" w:rsidP="00D258EC">
      <w:pPr>
        <w:pStyle w:val="BodyText"/>
        <w:adjustRightInd w:val="0"/>
        <w:snapToGrid w:val="0"/>
        <w:spacing w:before="60" w:after="60" w:line="360" w:lineRule="auto"/>
        <w:ind w:left="108" w:rightChars="30" w:right="66"/>
        <w:rPr>
          <w:lang w:val="en-GB"/>
        </w:rPr>
      </w:pPr>
      <w:r>
        <w:rPr>
          <w:lang w:val="en-GB"/>
        </w:rPr>
        <w:t>Denosumab</w:t>
      </w:r>
      <w:r w:rsidR="00EE2E24" w:rsidRPr="003444E8">
        <w:rPr>
          <w:lang w:val="en-GB"/>
        </w:rPr>
        <w:t xml:space="preserve"> </w:t>
      </w:r>
      <w:r w:rsidR="00CB520A" w:rsidRPr="003444E8">
        <w:rPr>
          <w:lang w:val="en-GB"/>
        </w:rPr>
        <w:t>also reduced the risk of new vertebral fracture by 65% (6.5% absolute risk</w:t>
      </w:r>
      <w:r w:rsidR="00CB520A" w:rsidRPr="00A9501F">
        <w:rPr>
          <w:lang w:val="en-GB"/>
        </w:rPr>
        <w:t xml:space="preserve"> </w:t>
      </w:r>
      <w:r w:rsidR="00CB520A" w:rsidRPr="003444E8">
        <w:rPr>
          <w:lang w:val="en-GB"/>
        </w:rPr>
        <w:t>reduction,</w:t>
      </w:r>
      <w:r w:rsidR="00CB520A" w:rsidRPr="00A9501F">
        <w:rPr>
          <w:lang w:val="en-GB"/>
        </w:rPr>
        <w:t xml:space="preserve"> </w:t>
      </w:r>
      <w:r w:rsidR="00CB520A" w:rsidRPr="003444E8">
        <w:rPr>
          <w:lang w:val="en-GB"/>
        </w:rPr>
        <w:t>p</w:t>
      </w:r>
      <w:r w:rsidR="00CB520A" w:rsidRPr="00A9501F">
        <w:rPr>
          <w:lang w:val="en-GB"/>
        </w:rPr>
        <w:t xml:space="preserve"> </w:t>
      </w:r>
      <w:r w:rsidR="00CB520A" w:rsidRPr="003444E8">
        <w:rPr>
          <w:lang w:val="en-GB"/>
        </w:rPr>
        <w:t>&lt;</w:t>
      </w:r>
      <w:r w:rsidR="00CB520A" w:rsidRPr="00A9501F">
        <w:rPr>
          <w:lang w:val="en-GB"/>
        </w:rPr>
        <w:t xml:space="preserve"> </w:t>
      </w:r>
      <w:r w:rsidR="00CB520A" w:rsidRPr="003444E8">
        <w:rPr>
          <w:lang w:val="en-GB"/>
        </w:rPr>
        <w:t>0.0001)</w:t>
      </w:r>
      <w:r w:rsidR="00CB520A" w:rsidRPr="00A9501F">
        <w:rPr>
          <w:lang w:val="en-GB"/>
        </w:rPr>
        <w:t xml:space="preserve"> </w:t>
      </w:r>
      <w:r w:rsidR="00CB520A" w:rsidRPr="003444E8">
        <w:rPr>
          <w:lang w:val="en-GB"/>
        </w:rPr>
        <w:t>in</w:t>
      </w:r>
      <w:r w:rsidR="00CB520A" w:rsidRPr="00A9501F">
        <w:rPr>
          <w:lang w:val="en-GB"/>
        </w:rPr>
        <w:t xml:space="preserve"> </w:t>
      </w:r>
      <w:r w:rsidR="00CB520A" w:rsidRPr="003444E8">
        <w:rPr>
          <w:lang w:val="en-GB"/>
        </w:rPr>
        <w:t>patients</w:t>
      </w:r>
      <w:r w:rsidR="00CB520A" w:rsidRPr="00A9501F">
        <w:rPr>
          <w:lang w:val="en-GB"/>
        </w:rPr>
        <w:t xml:space="preserve"> </w:t>
      </w:r>
      <w:r w:rsidR="00CB520A" w:rsidRPr="003444E8">
        <w:rPr>
          <w:lang w:val="en-GB"/>
        </w:rPr>
        <w:t>at</w:t>
      </w:r>
      <w:r w:rsidR="00CB520A" w:rsidRPr="00A9501F">
        <w:rPr>
          <w:lang w:val="en-GB"/>
        </w:rPr>
        <w:t xml:space="preserve"> </w:t>
      </w:r>
      <w:r w:rsidR="00CB520A" w:rsidRPr="003444E8">
        <w:rPr>
          <w:lang w:val="en-GB"/>
        </w:rPr>
        <w:t>high</w:t>
      </w:r>
      <w:r w:rsidR="00CB520A" w:rsidRPr="00A9501F">
        <w:rPr>
          <w:lang w:val="en-GB"/>
        </w:rPr>
        <w:t xml:space="preserve"> </w:t>
      </w:r>
      <w:r w:rsidR="00CB520A" w:rsidRPr="003444E8">
        <w:rPr>
          <w:lang w:val="en-GB"/>
        </w:rPr>
        <w:t>risk</w:t>
      </w:r>
      <w:r w:rsidR="00CB520A" w:rsidRPr="00A9501F">
        <w:rPr>
          <w:lang w:val="en-GB"/>
        </w:rPr>
        <w:t xml:space="preserve"> </w:t>
      </w:r>
      <w:r w:rsidR="00CB520A" w:rsidRPr="003444E8">
        <w:rPr>
          <w:lang w:val="en-GB"/>
        </w:rPr>
        <w:t>of</w:t>
      </w:r>
      <w:r w:rsidR="00CB520A" w:rsidRPr="00A9501F">
        <w:rPr>
          <w:lang w:val="en-GB"/>
        </w:rPr>
        <w:t xml:space="preserve"> </w:t>
      </w:r>
      <w:r w:rsidR="00CB520A" w:rsidRPr="003444E8">
        <w:rPr>
          <w:lang w:val="en-GB"/>
        </w:rPr>
        <w:t>fractures</w:t>
      </w:r>
      <w:r w:rsidR="00CB520A" w:rsidRPr="00A9501F">
        <w:rPr>
          <w:lang w:val="en-GB"/>
        </w:rPr>
        <w:t xml:space="preserve"> </w:t>
      </w:r>
      <w:r w:rsidR="00CB520A" w:rsidRPr="003444E8">
        <w:rPr>
          <w:lang w:val="en-GB"/>
        </w:rPr>
        <w:t>(defined</w:t>
      </w:r>
      <w:r w:rsidR="00CB520A" w:rsidRPr="00A9501F">
        <w:rPr>
          <w:lang w:val="en-GB"/>
        </w:rPr>
        <w:t xml:space="preserve"> </w:t>
      </w:r>
      <w:r w:rsidR="00CB520A" w:rsidRPr="003444E8">
        <w:rPr>
          <w:lang w:val="en-GB"/>
        </w:rPr>
        <w:t>as</w:t>
      </w:r>
      <w:r w:rsidR="00CB520A" w:rsidRPr="00A9501F">
        <w:rPr>
          <w:lang w:val="en-GB"/>
        </w:rPr>
        <w:t xml:space="preserve"> </w:t>
      </w:r>
      <w:r w:rsidR="00CB520A" w:rsidRPr="003444E8">
        <w:rPr>
          <w:lang w:val="en-GB"/>
        </w:rPr>
        <w:t>women</w:t>
      </w:r>
      <w:r w:rsidR="00CB520A" w:rsidRPr="00A9501F">
        <w:rPr>
          <w:lang w:val="en-GB"/>
        </w:rPr>
        <w:t xml:space="preserve"> </w:t>
      </w:r>
      <w:r w:rsidR="00CB520A" w:rsidRPr="003444E8">
        <w:rPr>
          <w:lang w:val="en-GB"/>
        </w:rPr>
        <w:t>who</w:t>
      </w:r>
      <w:r w:rsidR="00CB520A" w:rsidRPr="00A9501F">
        <w:rPr>
          <w:lang w:val="en-GB"/>
        </w:rPr>
        <w:t xml:space="preserve"> </w:t>
      </w:r>
      <w:r w:rsidR="00CB520A" w:rsidRPr="003444E8">
        <w:rPr>
          <w:lang w:val="en-GB"/>
        </w:rPr>
        <w:t>met</w:t>
      </w:r>
      <w:r w:rsidR="00EE2E24">
        <w:rPr>
          <w:lang w:val="en-GB"/>
        </w:rPr>
        <w:t xml:space="preserve"> </w:t>
      </w:r>
      <w:r w:rsidR="00CB520A" w:rsidRPr="003444E8">
        <w:rPr>
          <w:lang w:val="en-GB"/>
        </w:rPr>
        <w:t>≥ 2 of the 3 following criteria at baseline: age ≥ 70 years, BMD T-score ≤ -3.0 [at lumbar</w:t>
      </w:r>
      <w:r w:rsidR="00CB520A" w:rsidRPr="00A9501F">
        <w:rPr>
          <w:lang w:val="en-GB"/>
        </w:rPr>
        <w:t xml:space="preserve"> </w:t>
      </w:r>
      <w:r w:rsidR="00CB520A" w:rsidRPr="003444E8">
        <w:rPr>
          <w:lang w:val="en-GB"/>
        </w:rPr>
        <w:t>spine,</w:t>
      </w:r>
      <w:r w:rsidR="00CB520A" w:rsidRPr="00A9501F">
        <w:rPr>
          <w:lang w:val="en-GB"/>
        </w:rPr>
        <w:t xml:space="preserve"> </w:t>
      </w:r>
      <w:r w:rsidR="00CB520A" w:rsidRPr="003444E8">
        <w:rPr>
          <w:lang w:val="en-GB"/>
        </w:rPr>
        <w:t>total</w:t>
      </w:r>
      <w:r w:rsidR="00CB520A" w:rsidRPr="00A9501F">
        <w:rPr>
          <w:lang w:val="en-GB"/>
        </w:rPr>
        <w:t xml:space="preserve"> </w:t>
      </w:r>
      <w:r w:rsidR="00CB520A" w:rsidRPr="003444E8">
        <w:rPr>
          <w:lang w:val="en-GB"/>
        </w:rPr>
        <w:t>hip, or</w:t>
      </w:r>
      <w:r w:rsidR="00CB520A" w:rsidRPr="00A9501F">
        <w:rPr>
          <w:lang w:val="en-GB"/>
        </w:rPr>
        <w:t xml:space="preserve"> </w:t>
      </w:r>
      <w:r w:rsidR="00CB520A" w:rsidRPr="003444E8">
        <w:rPr>
          <w:lang w:val="en-GB"/>
        </w:rPr>
        <w:t>femoral</w:t>
      </w:r>
      <w:r w:rsidR="00CB520A" w:rsidRPr="00A9501F">
        <w:rPr>
          <w:lang w:val="en-GB"/>
        </w:rPr>
        <w:t xml:space="preserve"> </w:t>
      </w:r>
      <w:r w:rsidR="00CB520A" w:rsidRPr="003444E8">
        <w:rPr>
          <w:lang w:val="en-GB"/>
        </w:rPr>
        <w:t>neck]</w:t>
      </w:r>
      <w:r w:rsidR="00CB520A" w:rsidRPr="00A9501F">
        <w:rPr>
          <w:lang w:val="en-GB"/>
        </w:rPr>
        <w:t xml:space="preserve"> </w:t>
      </w:r>
      <w:r w:rsidR="00CB520A" w:rsidRPr="003444E8">
        <w:rPr>
          <w:lang w:val="en-GB"/>
        </w:rPr>
        <w:t>or</w:t>
      </w:r>
      <w:r w:rsidR="00CB520A" w:rsidRPr="00A9501F">
        <w:rPr>
          <w:lang w:val="en-GB"/>
        </w:rPr>
        <w:t xml:space="preserve"> </w:t>
      </w:r>
      <w:r w:rsidR="00CB520A" w:rsidRPr="003444E8">
        <w:rPr>
          <w:lang w:val="en-GB"/>
        </w:rPr>
        <w:t>prevalent</w:t>
      </w:r>
      <w:r w:rsidR="00CB520A" w:rsidRPr="00A9501F">
        <w:rPr>
          <w:lang w:val="en-GB"/>
        </w:rPr>
        <w:t xml:space="preserve"> </w:t>
      </w:r>
      <w:r w:rsidR="00CB520A" w:rsidRPr="003444E8">
        <w:rPr>
          <w:lang w:val="en-GB"/>
        </w:rPr>
        <w:t>vertebral</w:t>
      </w:r>
      <w:r w:rsidR="00CB520A" w:rsidRPr="00A9501F">
        <w:rPr>
          <w:lang w:val="en-GB"/>
        </w:rPr>
        <w:t xml:space="preserve"> </w:t>
      </w:r>
      <w:r w:rsidR="00CB520A" w:rsidRPr="003444E8">
        <w:rPr>
          <w:lang w:val="en-GB"/>
        </w:rPr>
        <w:t>fracture).</w:t>
      </w:r>
    </w:p>
    <w:p w14:paraId="5542A01C" w14:textId="65CA6802" w:rsidR="006E62CD" w:rsidRPr="003444E8" w:rsidRDefault="00E54398" w:rsidP="00D258EC">
      <w:pPr>
        <w:pStyle w:val="BodyText"/>
        <w:adjustRightInd w:val="0"/>
        <w:snapToGrid w:val="0"/>
        <w:spacing w:before="60" w:after="60" w:line="360" w:lineRule="auto"/>
        <w:ind w:left="108" w:rightChars="30" w:right="66"/>
        <w:rPr>
          <w:lang w:val="en-GB"/>
        </w:rPr>
      </w:pPr>
      <w:r>
        <w:rPr>
          <w:lang w:val="en-GB"/>
        </w:rPr>
        <w:t>Denosumab</w:t>
      </w:r>
      <w:r w:rsidR="00EE2E24" w:rsidRPr="003444E8">
        <w:rPr>
          <w:lang w:val="en-GB"/>
        </w:rPr>
        <w:t xml:space="preserve"> </w:t>
      </w:r>
      <w:r w:rsidR="00CB520A" w:rsidRPr="003444E8">
        <w:rPr>
          <w:lang w:val="en-GB"/>
        </w:rPr>
        <w:t>also</w:t>
      </w:r>
      <w:r w:rsidR="00CB520A" w:rsidRPr="00A9501F">
        <w:rPr>
          <w:lang w:val="en-GB"/>
        </w:rPr>
        <w:t xml:space="preserve"> </w:t>
      </w:r>
      <w:r w:rsidR="00CB520A" w:rsidRPr="003444E8">
        <w:rPr>
          <w:lang w:val="en-GB"/>
        </w:rPr>
        <w:t>reduced</w:t>
      </w:r>
      <w:r w:rsidR="00CB520A" w:rsidRPr="00A9501F">
        <w:rPr>
          <w:lang w:val="en-GB"/>
        </w:rPr>
        <w:t xml:space="preserve"> </w:t>
      </w:r>
      <w:r w:rsidR="00CB520A" w:rsidRPr="003444E8">
        <w:rPr>
          <w:lang w:val="en-GB"/>
        </w:rPr>
        <w:t>the</w:t>
      </w:r>
      <w:r w:rsidR="00CB520A" w:rsidRPr="00A9501F">
        <w:rPr>
          <w:lang w:val="en-GB"/>
        </w:rPr>
        <w:t xml:space="preserve"> </w:t>
      </w:r>
      <w:r w:rsidR="00CB520A" w:rsidRPr="003444E8">
        <w:rPr>
          <w:lang w:val="en-GB"/>
        </w:rPr>
        <w:t>risk</w:t>
      </w:r>
      <w:r w:rsidR="00CB520A" w:rsidRPr="00A9501F">
        <w:rPr>
          <w:lang w:val="en-GB"/>
        </w:rPr>
        <w:t xml:space="preserve"> </w:t>
      </w:r>
      <w:r w:rsidR="00CB520A" w:rsidRPr="003444E8">
        <w:rPr>
          <w:lang w:val="en-GB"/>
        </w:rPr>
        <w:t>of</w:t>
      </w:r>
      <w:r w:rsidR="00CB520A" w:rsidRPr="00A9501F">
        <w:rPr>
          <w:lang w:val="en-GB"/>
        </w:rPr>
        <w:t xml:space="preserve"> </w:t>
      </w:r>
      <w:r w:rsidR="00CB520A" w:rsidRPr="003444E8">
        <w:rPr>
          <w:lang w:val="en-GB"/>
        </w:rPr>
        <w:t>new</w:t>
      </w:r>
      <w:r w:rsidR="00CB520A" w:rsidRPr="00A9501F">
        <w:rPr>
          <w:lang w:val="en-GB"/>
        </w:rPr>
        <w:t xml:space="preserve"> </w:t>
      </w:r>
      <w:r w:rsidR="00CB520A" w:rsidRPr="003444E8">
        <w:rPr>
          <w:lang w:val="en-GB"/>
        </w:rPr>
        <w:t>and</w:t>
      </w:r>
      <w:r w:rsidR="00CB520A" w:rsidRPr="00A9501F">
        <w:rPr>
          <w:lang w:val="en-GB"/>
        </w:rPr>
        <w:t xml:space="preserve"> </w:t>
      </w:r>
      <w:r w:rsidR="00CB520A" w:rsidRPr="003444E8">
        <w:rPr>
          <w:lang w:val="en-GB"/>
        </w:rPr>
        <w:t>worsening</w:t>
      </w:r>
      <w:r w:rsidR="00CB520A" w:rsidRPr="00A9501F">
        <w:rPr>
          <w:lang w:val="en-GB"/>
        </w:rPr>
        <w:t xml:space="preserve"> </w:t>
      </w:r>
      <w:r w:rsidR="00CB520A" w:rsidRPr="003444E8">
        <w:rPr>
          <w:lang w:val="en-GB"/>
        </w:rPr>
        <w:t>vertebral</w:t>
      </w:r>
      <w:r w:rsidR="00CB520A" w:rsidRPr="00A9501F">
        <w:rPr>
          <w:lang w:val="en-GB"/>
        </w:rPr>
        <w:t xml:space="preserve"> </w:t>
      </w:r>
      <w:r w:rsidR="00CB520A" w:rsidRPr="003444E8">
        <w:rPr>
          <w:lang w:val="en-GB"/>
        </w:rPr>
        <w:t>fractures</w:t>
      </w:r>
      <w:r w:rsidR="00CB520A" w:rsidRPr="00A9501F">
        <w:rPr>
          <w:lang w:val="en-GB"/>
        </w:rPr>
        <w:t xml:space="preserve"> </w:t>
      </w:r>
      <w:r w:rsidR="00CB520A" w:rsidRPr="003444E8">
        <w:rPr>
          <w:lang w:val="en-GB"/>
        </w:rPr>
        <w:t>(67%</w:t>
      </w:r>
      <w:r w:rsidR="00CB520A" w:rsidRPr="00A9501F">
        <w:rPr>
          <w:lang w:val="en-GB"/>
        </w:rPr>
        <w:t xml:space="preserve"> </w:t>
      </w:r>
      <w:r w:rsidR="00CB520A" w:rsidRPr="003444E8">
        <w:rPr>
          <w:lang w:val="en-GB"/>
        </w:rPr>
        <w:t>relative</w:t>
      </w:r>
      <w:r w:rsidR="00CB520A" w:rsidRPr="00A9501F">
        <w:rPr>
          <w:lang w:val="en-GB"/>
        </w:rPr>
        <w:t xml:space="preserve"> </w:t>
      </w:r>
      <w:r w:rsidR="00CB520A" w:rsidRPr="003444E8">
        <w:rPr>
          <w:lang w:val="en-GB"/>
        </w:rPr>
        <w:t>risk</w:t>
      </w:r>
      <w:r w:rsidR="00CB520A" w:rsidRPr="00A9501F">
        <w:rPr>
          <w:lang w:val="en-GB"/>
        </w:rPr>
        <w:t xml:space="preserve"> </w:t>
      </w:r>
      <w:r w:rsidR="00CB520A" w:rsidRPr="003444E8">
        <w:rPr>
          <w:lang w:val="en-GB"/>
        </w:rPr>
        <w:t>reduction, 4.8% absolute risk reduction) as well as multiple vertebral fractures (61%</w:t>
      </w:r>
      <w:r w:rsidR="00CB520A" w:rsidRPr="00A9501F">
        <w:rPr>
          <w:lang w:val="en-GB"/>
        </w:rPr>
        <w:t xml:space="preserve"> </w:t>
      </w:r>
      <w:r w:rsidR="00CB520A" w:rsidRPr="003444E8">
        <w:rPr>
          <w:lang w:val="en-GB"/>
        </w:rPr>
        <w:t>relative risk reduction, 1.0% absolute risk reduction) at 3 years, when compared to</w:t>
      </w:r>
      <w:r w:rsidR="00CB520A" w:rsidRPr="00A9501F">
        <w:rPr>
          <w:lang w:val="en-GB"/>
        </w:rPr>
        <w:t xml:space="preserve"> </w:t>
      </w:r>
      <w:r w:rsidR="00CB520A" w:rsidRPr="003444E8">
        <w:rPr>
          <w:lang w:val="en-GB"/>
        </w:rPr>
        <w:t>placebo</w:t>
      </w:r>
      <w:r w:rsidR="00CB520A" w:rsidRPr="00A9501F">
        <w:rPr>
          <w:lang w:val="en-GB"/>
        </w:rPr>
        <w:t xml:space="preserve"> </w:t>
      </w:r>
      <w:r w:rsidR="00CB520A" w:rsidRPr="003444E8">
        <w:rPr>
          <w:lang w:val="en-GB"/>
        </w:rPr>
        <w:t>(all</w:t>
      </w:r>
      <w:r w:rsidR="00CB520A" w:rsidRPr="00A9501F">
        <w:rPr>
          <w:lang w:val="en-GB"/>
        </w:rPr>
        <w:t xml:space="preserve"> </w:t>
      </w:r>
      <w:r w:rsidR="00CB520A" w:rsidRPr="003444E8">
        <w:rPr>
          <w:lang w:val="en-GB"/>
        </w:rPr>
        <w:t>p &lt; 0.0001).</w:t>
      </w:r>
    </w:p>
    <w:p w14:paraId="78052E1B" w14:textId="77777777" w:rsidR="006E62CD" w:rsidRPr="003444E8" w:rsidRDefault="00CB520A" w:rsidP="00D258EC">
      <w:pPr>
        <w:pStyle w:val="Heading3"/>
        <w:adjustRightInd w:val="0"/>
        <w:snapToGrid w:val="0"/>
        <w:spacing w:before="60" w:after="60" w:line="360" w:lineRule="auto"/>
        <w:ind w:left="108" w:rightChars="30" w:right="66"/>
        <w:rPr>
          <w:lang w:val="en-GB"/>
        </w:rPr>
      </w:pPr>
      <w:r w:rsidRPr="003444E8">
        <w:rPr>
          <w:lang w:val="en-GB"/>
        </w:rPr>
        <w:lastRenderedPageBreak/>
        <w:t>Effect</w:t>
      </w:r>
      <w:r w:rsidRPr="003444E8">
        <w:rPr>
          <w:spacing w:val="-3"/>
          <w:lang w:val="en-GB"/>
        </w:rPr>
        <w:t xml:space="preserve"> </w:t>
      </w:r>
      <w:r w:rsidRPr="003444E8">
        <w:rPr>
          <w:lang w:val="en-GB"/>
        </w:rPr>
        <w:t>on</w:t>
      </w:r>
      <w:r w:rsidRPr="003444E8">
        <w:rPr>
          <w:spacing w:val="-1"/>
          <w:lang w:val="en-GB"/>
        </w:rPr>
        <w:t xml:space="preserve"> </w:t>
      </w:r>
      <w:r w:rsidRPr="003444E8">
        <w:rPr>
          <w:lang w:val="en-GB"/>
        </w:rPr>
        <w:t>hip</w:t>
      </w:r>
      <w:r w:rsidRPr="003444E8">
        <w:rPr>
          <w:spacing w:val="-2"/>
          <w:lang w:val="en-GB"/>
        </w:rPr>
        <w:t xml:space="preserve"> </w:t>
      </w:r>
      <w:r w:rsidRPr="003444E8">
        <w:rPr>
          <w:lang w:val="en-GB"/>
        </w:rPr>
        <w:t>fractures</w:t>
      </w:r>
    </w:p>
    <w:p w14:paraId="5852E751" w14:textId="57A266EE" w:rsidR="006E62CD" w:rsidRPr="003444E8" w:rsidRDefault="00E54398" w:rsidP="00D258EC">
      <w:pPr>
        <w:pStyle w:val="BodyText"/>
        <w:adjustRightInd w:val="0"/>
        <w:snapToGrid w:val="0"/>
        <w:spacing w:before="60" w:after="60" w:line="360" w:lineRule="auto"/>
        <w:ind w:left="108" w:rightChars="30" w:right="66"/>
        <w:rPr>
          <w:lang w:val="en-GB"/>
        </w:rPr>
      </w:pPr>
      <w:r>
        <w:rPr>
          <w:lang w:val="en-GB"/>
        </w:rPr>
        <w:t>Denosumab</w:t>
      </w:r>
      <w:r w:rsidR="00EE2E24" w:rsidRPr="003444E8">
        <w:rPr>
          <w:lang w:val="en-GB"/>
        </w:rPr>
        <w:t xml:space="preserve"> </w:t>
      </w:r>
      <w:r w:rsidR="00CB520A" w:rsidRPr="003444E8">
        <w:rPr>
          <w:lang w:val="en-GB"/>
        </w:rPr>
        <w:t>demonstrated</w:t>
      </w:r>
      <w:r w:rsidR="00CB520A" w:rsidRPr="00A9501F">
        <w:rPr>
          <w:lang w:val="en-GB"/>
        </w:rPr>
        <w:t xml:space="preserve"> </w:t>
      </w:r>
      <w:r w:rsidR="00CB520A" w:rsidRPr="003444E8">
        <w:rPr>
          <w:lang w:val="en-GB"/>
        </w:rPr>
        <w:t>a</w:t>
      </w:r>
      <w:r w:rsidR="00CB520A" w:rsidRPr="00A9501F">
        <w:rPr>
          <w:lang w:val="en-GB"/>
        </w:rPr>
        <w:t xml:space="preserve"> </w:t>
      </w:r>
      <w:r w:rsidR="00CB520A" w:rsidRPr="003444E8">
        <w:rPr>
          <w:lang w:val="en-GB"/>
        </w:rPr>
        <w:t>40%</w:t>
      </w:r>
      <w:r w:rsidR="00CB520A" w:rsidRPr="00A9501F">
        <w:rPr>
          <w:lang w:val="en-GB"/>
        </w:rPr>
        <w:t xml:space="preserve"> </w:t>
      </w:r>
      <w:r w:rsidR="00CB520A" w:rsidRPr="003444E8">
        <w:rPr>
          <w:lang w:val="en-GB"/>
        </w:rPr>
        <w:t>relative</w:t>
      </w:r>
      <w:r w:rsidR="00CB520A" w:rsidRPr="00A9501F">
        <w:rPr>
          <w:lang w:val="en-GB"/>
        </w:rPr>
        <w:t xml:space="preserve"> </w:t>
      </w:r>
      <w:r w:rsidR="00CB520A" w:rsidRPr="003444E8">
        <w:rPr>
          <w:lang w:val="en-GB"/>
        </w:rPr>
        <w:t>reduction</w:t>
      </w:r>
      <w:r w:rsidR="00CB520A" w:rsidRPr="00A9501F">
        <w:rPr>
          <w:lang w:val="en-GB"/>
        </w:rPr>
        <w:t xml:space="preserve"> </w:t>
      </w:r>
      <w:r w:rsidR="00CB520A" w:rsidRPr="003444E8">
        <w:rPr>
          <w:lang w:val="en-GB"/>
        </w:rPr>
        <w:t>(0.5%</w:t>
      </w:r>
      <w:r w:rsidR="00CB520A" w:rsidRPr="00A9501F">
        <w:rPr>
          <w:lang w:val="en-GB"/>
        </w:rPr>
        <w:t xml:space="preserve"> </w:t>
      </w:r>
      <w:r w:rsidR="00CB520A" w:rsidRPr="003444E8">
        <w:rPr>
          <w:lang w:val="en-GB"/>
        </w:rPr>
        <w:t>absolute</w:t>
      </w:r>
      <w:r w:rsidR="00CB520A" w:rsidRPr="00A9501F">
        <w:rPr>
          <w:lang w:val="en-GB"/>
        </w:rPr>
        <w:t xml:space="preserve"> </w:t>
      </w:r>
      <w:r w:rsidR="00CB520A" w:rsidRPr="003444E8">
        <w:rPr>
          <w:lang w:val="en-GB"/>
        </w:rPr>
        <w:t>risk</w:t>
      </w:r>
      <w:r w:rsidR="00CB520A" w:rsidRPr="00A9501F">
        <w:rPr>
          <w:lang w:val="en-GB"/>
        </w:rPr>
        <w:t xml:space="preserve"> </w:t>
      </w:r>
      <w:r w:rsidR="00CB520A" w:rsidRPr="003444E8">
        <w:rPr>
          <w:lang w:val="en-GB"/>
        </w:rPr>
        <w:t>reduction)</w:t>
      </w:r>
      <w:r w:rsidR="00CB520A" w:rsidRPr="00A9501F">
        <w:rPr>
          <w:lang w:val="en-GB"/>
        </w:rPr>
        <w:t xml:space="preserve"> </w:t>
      </w:r>
      <w:r w:rsidR="00CB520A" w:rsidRPr="003444E8">
        <w:rPr>
          <w:lang w:val="en-GB"/>
        </w:rPr>
        <w:t>in</w:t>
      </w:r>
      <w:r w:rsidR="00CB520A" w:rsidRPr="00A9501F">
        <w:rPr>
          <w:lang w:val="en-GB"/>
        </w:rPr>
        <w:t xml:space="preserve"> </w:t>
      </w:r>
      <w:r w:rsidR="00CB520A" w:rsidRPr="003444E8">
        <w:rPr>
          <w:lang w:val="en-GB"/>
        </w:rPr>
        <w:t>the</w:t>
      </w:r>
      <w:r w:rsidR="00CB520A" w:rsidRPr="00A9501F">
        <w:rPr>
          <w:lang w:val="en-GB"/>
        </w:rPr>
        <w:t xml:space="preserve"> </w:t>
      </w:r>
      <w:r w:rsidR="00CB520A" w:rsidRPr="003444E8">
        <w:rPr>
          <w:lang w:val="en-GB"/>
        </w:rPr>
        <w:t>risk</w:t>
      </w:r>
      <w:r w:rsidR="00CB520A" w:rsidRPr="00A9501F">
        <w:rPr>
          <w:lang w:val="en-GB"/>
        </w:rPr>
        <w:t xml:space="preserve"> </w:t>
      </w:r>
      <w:r w:rsidR="00CB520A" w:rsidRPr="003444E8">
        <w:rPr>
          <w:lang w:val="en-GB"/>
        </w:rPr>
        <w:t>of</w:t>
      </w:r>
      <w:r w:rsidR="00CB520A" w:rsidRPr="00A9501F">
        <w:rPr>
          <w:lang w:val="en-GB"/>
        </w:rPr>
        <w:t xml:space="preserve"> </w:t>
      </w:r>
      <w:r w:rsidR="00CB520A" w:rsidRPr="003444E8">
        <w:rPr>
          <w:lang w:val="en-GB"/>
        </w:rPr>
        <w:t>hip fracture over 3 years (p &lt; 0.05) (see Figure 1).</w:t>
      </w:r>
      <w:r w:rsidR="00CB520A" w:rsidRPr="00A9501F">
        <w:rPr>
          <w:lang w:val="en-GB"/>
        </w:rPr>
        <w:t xml:space="preserve"> </w:t>
      </w:r>
      <w:r w:rsidR="00CB520A" w:rsidRPr="003444E8">
        <w:rPr>
          <w:lang w:val="en-GB"/>
        </w:rPr>
        <w:t>The incidence of hip fracture was</w:t>
      </w:r>
      <w:r w:rsidR="00CB520A" w:rsidRPr="00A9501F">
        <w:rPr>
          <w:lang w:val="en-GB"/>
        </w:rPr>
        <w:t xml:space="preserve"> </w:t>
      </w:r>
      <w:r w:rsidR="00CB520A" w:rsidRPr="003444E8">
        <w:rPr>
          <w:lang w:val="en-GB"/>
        </w:rPr>
        <w:t>0.7%</w:t>
      </w:r>
      <w:r w:rsidR="00CB520A" w:rsidRPr="00A9501F">
        <w:rPr>
          <w:lang w:val="en-GB"/>
        </w:rPr>
        <w:t xml:space="preserve"> </w:t>
      </w:r>
      <w:r w:rsidR="00CB520A" w:rsidRPr="003444E8">
        <w:rPr>
          <w:lang w:val="en-GB"/>
        </w:rPr>
        <w:t>in</w:t>
      </w:r>
      <w:r w:rsidR="00CB520A" w:rsidRPr="00A9501F">
        <w:rPr>
          <w:lang w:val="en-GB"/>
        </w:rPr>
        <w:t xml:space="preserve"> </w:t>
      </w:r>
      <w:r w:rsidR="00CB520A" w:rsidRPr="003444E8">
        <w:rPr>
          <w:lang w:val="en-GB"/>
        </w:rPr>
        <w:t>the</w:t>
      </w:r>
      <w:r w:rsidR="00CB520A" w:rsidRPr="00A9501F">
        <w:rPr>
          <w:lang w:val="en-GB"/>
        </w:rPr>
        <w:t xml:space="preserve"> </w:t>
      </w:r>
      <w:r>
        <w:rPr>
          <w:lang w:val="en-GB"/>
        </w:rPr>
        <w:t>denosumab</w:t>
      </w:r>
      <w:r w:rsidR="00EE2E24" w:rsidRPr="003444E8">
        <w:rPr>
          <w:lang w:val="en-GB"/>
        </w:rPr>
        <w:t xml:space="preserve"> </w:t>
      </w:r>
      <w:r w:rsidR="00CB520A" w:rsidRPr="003444E8">
        <w:rPr>
          <w:lang w:val="en-GB"/>
        </w:rPr>
        <w:t>group compared</w:t>
      </w:r>
      <w:r w:rsidR="00CB520A" w:rsidRPr="00A9501F">
        <w:rPr>
          <w:lang w:val="en-GB"/>
        </w:rPr>
        <w:t xml:space="preserve"> </w:t>
      </w:r>
      <w:r w:rsidR="00CB520A" w:rsidRPr="003444E8">
        <w:rPr>
          <w:lang w:val="en-GB"/>
        </w:rPr>
        <w:t>to</w:t>
      </w:r>
      <w:r w:rsidR="00CB520A" w:rsidRPr="00A9501F">
        <w:rPr>
          <w:lang w:val="en-GB"/>
        </w:rPr>
        <w:t xml:space="preserve"> </w:t>
      </w:r>
      <w:r w:rsidR="00CB520A" w:rsidRPr="003444E8">
        <w:rPr>
          <w:lang w:val="en-GB"/>
        </w:rPr>
        <w:t>1.2%</w:t>
      </w:r>
      <w:r w:rsidR="00CB520A" w:rsidRPr="00A9501F">
        <w:rPr>
          <w:lang w:val="en-GB"/>
        </w:rPr>
        <w:t xml:space="preserve"> </w:t>
      </w:r>
      <w:r w:rsidR="00CB520A" w:rsidRPr="003444E8">
        <w:rPr>
          <w:lang w:val="en-GB"/>
        </w:rPr>
        <w:t>in</w:t>
      </w:r>
      <w:r w:rsidR="00CB520A" w:rsidRPr="00A9501F">
        <w:rPr>
          <w:lang w:val="en-GB"/>
        </w:rPr>
        <w:t xml:space="preserve"> </w:t>
      </w:r>
      <w:r w:rsidR="00CB520A" w:rsidRPr="003444E8">
        <w:rPr>
          <w:lang w:val="en-GB"/>
        </w:rPr>
        <w:t>the placebo</w:t>
      </w:r>
      <w:r w:rsidR="00CB520A" w:rsidRPr="00A9501F">
        <w:rPr>
          <w:lang w:val="en-GB"/>
        </w:rPr>
        <w:t xml:space="preserve"> </w:t>
      </w:r>
      <w:r w:rsidR="00CB520A" w:rsidRPr="003444E8">
        <w:rPr>
          <w:lang w:val="en-GB"/>
        </w:rPr>
        <w:t>group at</w:t>
      </w:r>
      <w:r w:rsidR="00CB520A" w:rsidRPr="00A9501F">
        <w:rPr>
          <w:lang w:val="en-GB"/>
        </w:rPr>
        <w:t xml:space="preserve"> </w:t>
      </w:r>
      <w:r w:rsidR="00CB520A" w:rsidRPr="003444E8">
        <w:rPr>
          <w:lang w:val="en-GB"/>
        </w:rPr>
        <w:t>3 years.</w:t>
      </w:r>
    </w:p>
    <w:p w14:paraId="5390439C" w14:textId="77777777" w:rsidR="006E62CD" w:rsidRPr="00EE2E24" w:rsidRDefault="00CB520A" w:rsidP="00D258EC">
      <w:pPr>
        <w:pStyle w:val="BodyText"/>
        <w:adjustRightInd w:val="0"/>
        <w:snapToGrid w:val="0"/>
        <w:spacing w:before="60" w:after="60" w:line="360" w:lineRule="auto"/>
        <w:ind w:left="108" w:rightChars="30" w:right="66"/>
        <w:rPr>
          <w:sz w:val="9"/>
          <w:lang w:val="en-GB"/>
        </w:rPr>
      </w:pPr>
      <w:r w:rsidRPr="00EE2E24">
        <w:rPr>
          <w:noProof/>
          <w:lang w:val="en-GB"/>
        </w:rPr>
        <w:drawing>
          <wp:anchor distT="0" distB="0" distL="0" distR="0" simplePos="0" relativeHeight="251656192" behindDoc="0" locked="0" layoutInCell="1" allowOverlap="1" wp14:anchorId="207C3848" wp14:editId="6A2CE86B">
            <wp:simplePos x="0" y="0"/>
            <wp:positionH relativeFrom="page">
              <wp:posOffset>2463193</wp:posOffset>
            </wp:positionH>
            <wp:positionV relativeFrom="paragraph">
              <wp:posOffset>83565</wp:posOffset>
            </wp:positionV>
            <wp:extent cx="2886098" cy="2071116"/>
            <wp:effectExtent l="0" t="0" r="0" b="0"/>
            <wp:wrapTopAndBottom/>
            <wp:docPr id="1" name="image1.jpeg" descr="Figure 1 Cumulative incidence of hip fractures over 3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Figure 1 Cumulative incidence of hip fractures over 3 years"/>
                    <pic:cNvPicPr/>
                  </pic:nvPicPr>
                  <pic:blipFill>
                    <a:blip r:embed="rId9" cstate="print"/>
                    <a:stretch>
                      <a:fillRect/>
                    </a:stretch>
                  </pic:blipFill>
                  <pic:spPr>
                    <a:xfrm>
                      <a:off x="0" y="0"/>
                      <a:ext cx="2886098" cy="2071116"/>
                    </a:xfrm>
                    <a:prstGeom prst="rect">
                      <a:avLst/>
                    </a:prstGeom>
                  </pic:spPr>
                </pic:pic>
              </a:graphicData>
            </a:graphic>
          </wp:anchor>
        </w:drawing>
      </w:r>
    </w:p>
    <w:p w14:paraId="7122D176" w14:textId="77777777" w:rsidR="006E62CD" w:rsidRPr="00EE2E24" w:rsidRDefault="00CB520A" w:rsidP="00D258EC">
      <w:pPr>
        <w:pStyle w:val="Heading3"/>
        <w:adjustRightInd w:val="0"/>
        <w:snapToGrid w:val="0"/>
        <w:spacing w:before="60" w:after="60" w:line="360" w:lineRule="auto"/>
        <w:ind w:left="108" w:rightChars="30" w:right="66"/>
        <w:jc w:val="center"/>
        <w:rPr>
          <w:lang w:val="en-GB"/>
        </w:rPr>
      </w:pPr>
      <w:r w:rsidRPr="00EE2E24">
        <w:rPr>
          <w:lang w:val="en-GB"/>
        </w:rPr>
        <w:t>Figure</w:t>
      </w:r>
      <w:r w:rsidRPr="00EE2E24">
        <w:rPr>
          <w:spacing w:val="-3"/>
          <w:lang w:val="en-GB"/>
        </w:rPr>
        <w:t xml:space="preserve"> </w:t>
      </w:r>
      <w:r w:rsidRPr="00EE2E24">
        <w:rPr>
          <w:lang w:val="en-GB"/>
        </w:rPr>
        <w:t>1</w:t>
      </w:r>
      <w:r w:rsidRPr="00EE2E24">
        <w:rPr>
          <w:spacing w:val="-1"/>
          <w:lang w:val="en-GB"/>
        </w:rPr>
        <w:t xml:space="preserve"> </w:t>
      </w:r>
      <w:r w:rsidRPr="00EE2E24">
        <w:rPr>
          <w:lang w:val="en-GB"/>
        </w:rPr>
        <w:t>Cumulative</w:t>
      </w:r>
      <w:r w:rsidRPr="00EE2E24">
        <w:rPr>
          <w:spacing w:val="-1"/>
          <w:lang w:val="en-GB"/>
        </w:rPr>
        <w:t xml:space="preserve"> </w:t>
      </w:r>
      <w:r w:rsidRPr="00EE2E24">
        <w:rPr>
          <w:lang w:val="en-GB"/>
        </w:rPr>
        <w:t>incidence</w:t>
      </w:r>
      <w:r w:rsidRPr="00EE2E24">
        <w:rPr>
          <w:spacing w:val="-1"/>
          <w:lang w:val="en-GB"/>
        </w:rPr>
        <w:t xml:space="preserve"> </w:t>
      </w:r>
      <w:r w:rsidRPr="00EE2E24">
        <w:rPr>
          <w:lang w:val="en-GB"/>
        </w:rPr>
        <w:t>of</w:t>
      </w:r>
      <w:r w:rsidRPr="00EE2E24">
        <w:rPr>
          <w:spacing w:val="-2"/>
          <w:lang w:val="en-GB"/>
        </w:rPr>
        <w:t xml:space="preserve"> </w:t>
      </w:r>
      <w:r w:rsidRPr="00EE2E24">
        <w:rPr>
          <w:lang w:val="en-GB"/>
        </w:rPr>
        <w:t>hip</w:t>
      </w:r>
      <w:r w:rsidRPr="00EE2E24">
        <w:rPr>
          <w:spacing w:val="-2"/>
          <w:lang w:val="en-GB"/>
        </w:rPr>
        <w:t xml:space="preserve"> </w:t>
      </w:r>
      <w:r w:rsidRPr="00EE2E24">
        <w:rPr>
          <w:lang w:val="en-GB"/>
        </w:rPr>
        <w:t>fractures</w:t>
      </w:r>
      <w:r w:rsidRPr="00EE2E24">
        <w:rPr>
          <w:spacing w:val="-2"/>
          <w:lang w:val="en-GB"/>
        </w:rPr>
        <w:t xml:space="preserve"> </w:t>
      </w:r>
      <w:r w:rsidRPr="00EE2E24">
        <w:rPr>
          <w:lang w:val="en-GB"/>
        </w:rPr>
        <w:t>over</w:t>
      </w:r>
      <w:r w:rsidRPr="00EE2E24">
        <w:rPr>
          <w:spacing w:val="-2"/>
          <w:lang w:val="en-GB"/>
        </w:rPr>
        <w:t xml:space="preserve"> </w:t>
      </w:r>
      <w:r w:rsidRPr="00EE2E24">
        <w:rPr>
          <w:lang w:val="en-GB"/>
        </w:rPr>
        <w:t>3</w:t>
      </w:r>
      <w:r w:rsidRPr="00EE2E24">
        <w:rPr>
          <w:spacing w:val="-1"/>
          <w:lang w:val="en-GB"/>
        </w:rPr>
        <w:t xml:space="preserve"> </w:t>
      </w:r>
      <w:r w:rsidRPr="00EE2E24">
        <w:rPr>
          <w:lang w:val="en-GB"/>
        </w:rPr>
        <w:t>years</w:t>
      </w:r>
    </w:p>
    <w:p w14:paraId="1C84EB93" w14:textId="0C539A8C"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In women with high fracture risk as defined above by baseline age, BMD and prevalent</w:t>
      </w:r>
      <w:r w:rsidRPr="0075756B">
        <w:rPr>
          <w:lang w:val="en-GB"/>
        </w:rPr>
        <w:t xml:space="preserve"> </w:t>
      </w:r>
      <w:r w:rsidRPr="00EE2E24">
        <w:rPr>
          <w:lang w:val="en-GB"/>
        </w:rPr>
        <w:t xml:space="preserve">vertebral fracture, a 48% relative risk reduction was observed with </w:t>
      </w:r>
      <w:r w:rsidR="00E54398">
        <w:rPr>
          <w:lang w:val="en-GB"/>
        </w:rPr>
        <w:t>denosumab</w:t>
      </w:r>
      <w:r w:rsidR="00EE2E24" w:rsidRPr="003444E8">
        <w:rPr>
          <w:lang w:val="en-GB"/>
        </w:rPr>
        <w:t xml:space="preserve"> </w:t>
      </w:r>
      <w:r w:rsidRPr="00EE2E24">
        <w:rPr>
          <w:lang w:val="en-GB"/>
        </w:rPr>
        <w:t>(1.1% absolute</w:t>
      </w:r>
      <w:r w:rsidRPr="0075756B">
        <w:rPr>
          <w:lang w:val="en-GB"/>
        </w:rPr>
        <w:t xml:space="preserve"> </w:t>
      </w:r>
      <w:r w:rsidRPr="00EE2E24">
        <w:rPr>
          <w:lang w:val="en-GB"/>
        </w:rPr>
        <w:t>risk</w:t>
      </w:r>
      <w:r w:rsidRPr="0075756B">
        <w:rPr>
          <w:lang w:val="en-GB"/>
        </w:rPr>
        <w:t xml:space="preserve"> </w:t>
      </w:r>
      <w:r w:rsidRPr="00EE2E24">
        <w:rPr>
          <w:lang w:val="en-GB"/>
        </w:rPr>
        <w:t>reduction,</w:t>
      </w:r>
      <w:r w:rsidRPr="0075756B">
        <w:rPr>
          <w:lang w:val="en-GB"/>
        </w:rPr>
        <w:t xml:space="preserve"> </w:t>
      </w:r>
      <w:r w:rsidRPr="00EE2E24">
        <w:rPr>
          <w:lang w:val="en-GB"/>
        </w:rPr>
        <w:t>p</w:t>
      </w:r>
      <w:r w:rsidRPr="00EE2E24">
        <w:rPr>
          <w:spacing w:val="1"/>
          <w:lang w:val="en-GB"/>
        </w:rPr>
        <w:t xml:space="preserve"> </w:t>
      </w:r>
      <w:r w:rsidRPr="00EE2E24">
        <w:rPr>
          <w:lang w:val="en-GB"/>
        </w:rPr>
        <w:t>&lt; 0.05).</w:t>
      </w:r>
    </w:p>
    <w:p w14:paraId="324E1CE0" w14:textId="77777777" w:rsidR="006E62CD" w:rsidRPr="00EE2E24" w:rsidRDefault="00CB520A" w:rsidP="00D258EC">
      <w:pPr>
        <w:pStyle w:val="Heading3"/>
        <w:adjustRightInd w:val="0"/>
        <w:snapToGrid w:val="0"/>
        <w:spacing w:before="60" w:after="60" w:line="360" w:lineRule="auto"/>
        <w:ind w:left="108" w:rightChars="30" w:right="66"/>
        <w:rPr>
          <w:lang w:val="en-GB"/>
        </w:rPr>
      </w:pPr>
      <w:r w:rsidRPr="00EE2E24">
        <w:rPr>
          <w:lang w:val="en-GB"/>
        </w:rPr>
        <w:t>Effect</w:t>
      </w:r>
      <w:r w:rsidRPr="00EE2E24">
        <w:rPr>
          <w:spacing w:val="-2"/>
          <w:lang w:val="en-GB"/>
        </w:rPr>
        <w:t xml:space="preserve"> </w:t>
      </w:r>
      <w:r w:rsidRPr="00EE2E24">
        <w:rPr>
          <w:lang w:val="en-GB"/>
        </w:rPr>
        <w:t>on</w:t>
      </w:r>
      <w:r w:rsidRPr="00EE2E24">
        <w:rPr>
          <w:spacing w:val="-1"/>
          <w:lang w:val="en-GB"/>
        </w:rPr>
        <w:t xml:space="preserve"> </w:t>
      </w:r>
      <w:r w:rsidRPr="00EE2E24">
        <w:rPr>
          <w:lang w:val="en-GB"/>
        </w:rPr>
        <w:t>all</w:t>
      </w:r>
      <w:r w:rsidRPr="00EE2E24">
        <w:rPr>
          <w:spacing w:val="-1"/>
          <w:lang w:val="en-GB"/>
        </w:rPr>
        <w:t xml:space="preserve"> </w:t>
      </w:r>
      <w:r w:rsidRPr="00EE2E24">
        <w:rPr>
          <w:lang w:val="en-GB"/>
        </w:rPr>
        <w:t>clinical</w:t>
      </w:r>
      <w:r w:rsidRPr="00EE2E24">
        <w:rPr>
          <w:spacing w:val="-2"/>
          <w:lang w:val="en-GB"/>
        </w:rPr>
        <w:t xml:space="preserve"> </w:t>
      </w:r>
      <w:r w:rsidRPr="00EE2E24">
        <w:rPr>
          <w:lang w:val="en-GB"/>
        </w:rPr>
        <w:t>fractures</w:t>
      </w:r>
    </w:p>
    <w:p w14:paraId="6D218728" w14:textId="7E5C976A" w:rsidR="006E62CD" w:rsidRPr="00EE2E24" w:rsidRDefault="00E54398" w:rsidP="00D258EC">
      <w:pPr>
        <w:pStyle w:val="BodyText"/>
        <w:adjustRightInd w:val="0"/>
        <w:snapToGrid w:val="0"/>
        <w:spacing w:before="60" w:after="60" w:line="360" w:lineRule="auto"/>
        <w:ind w:left="108" w:rightChars="30" w:right="66"/>
        <w:rPr>
          <w:lang w:val="en-GB"/>
        </w:rPr>
      </w:pPr>
      <w:r>
        <w:rPr>
          <w:lang w:val="en-GB"/>
        </w:rPr>
        <w:t>Denosumab</w:t>
      </w:r>
      <w:r w:rsidR="00F01672" w:rsidRPr="003444E8">
        <w:rPr>
          <w:lang w:val="en-GB"/>
        </w:rPr>
        <w:t xml:space="preserve"> </w:t>
      </w:r>
      <w:r w:rsidR="00CB520A" w:rsidRPr="00EE2E24">
        <w:rPr>
          <w:lang w:val="en-GB"/>
        </w:rPr>
        <w:t>demonstrated superiority to placebo in reducing the risk of any clinical fractures,</w:t>
      </w:r>
      <w:r w:rsidR="00CB520A" w:rsidRPr="0075756B">
        <w:rPr>
          <w:lang w:val="en-GB"/>
        </w:rPr>
        <w:t xml:space="preserve"> </w:t>
      </w:r>
      <w:r w:rsidR="00CB520A" w:rsidRPr="00EE2E24">
        <w:rPr>
          <w:lang w:val="en-GB"/>
        </w:rPr>
        <w:t>clinical (symptomatic) vertebral fractures, non-vertebral fractures (including hip), major</w:t>
      </w:r>
      <w:r w:rsidR="00CB520A" w:rsidRPr="0075756B">
        <w:rPr>
          <w:lang w:val="en-GB"/>
        </w:rPr>
        <w:t xml:space="preserve"> </w:t>
      </w:r>
      <w:r w:rsidR="00CB520A" w:rsidRPr="00EE2E24">
        <w:rPr>
          <w:lang w:val="en-GB"/>
        </w:rPr>
        <w:t>non-vertebral</w:t>
      </w:r>
      <w:r w:rsidR="00CB520A" w:rsidRPr="0075756B">
        <w:rPr>
          <w:lang w:val="en-GB"/>
        </w:rPr>
        <w:t xml:space="preserve"> </w:t>
      </w:r>
      <w:r w:rsidR="00CB520A" w:rsidRPr="00EE2E24">
        <w:rPr>
          <w:lang w:val="en-GB"/>
        </w:rPr>
        <w:t>fractures</w:t>
      </w:r>
      <w:r w:rsidR="00CB520A" w:rsidRPr="0075756B">
        <w:rPr>
          <w:lang w:val="en-GB"/>
        </w:rPr>
        <w:t xml:space="preserve"> </w:t>
      </w:r>
      <w:r w:rsidR="00CB520A" w:rsidRPr="00EE2E24">
        <w:rPr>
          <w:lang w:val="en-GB"/>
        </w:rPr>
        <w:t>and</w:t>
      </w:r>
      <w:r w:rsidR="00CB520A" w:rsidRPr="0075756B">
        <w:rPr>
          <w:lang w:val="en-GB"/>
        </w:rPr>
        <w:t xml:space="preserve"> </w:t>
      </w:r>
      <w:r w:rsidR="00CB520A" w:rsidRPr="00EE2E24">
        <w:rPr>
          <w:lang w:val="en-GB"/>
        </w:rPr>
        <w:t>major</w:t>
      </w:r>
      <w:r w:rsidR="00CB520A" w:rsidRPr="0075756B">
        <w:rPr>
          <w:lang w:val="en-GB"/>
        </w:rPr>
        <w:t xml:space="preserve"> </w:t>
      </w:r>
      <w:r w:rsidR="00CB520A" w:rsidRPr="00EE2E24">
        <w:rPr>
          <w:lang w:val="en-GB"/>
        </w:rPr>
        <w:t>osteoporotic</w:t>
      </w:r>
      <w:r w:rsidR="00CB520A" w:rsidRPr="0075756B">
        <w:rPr>
          <w:lang w:val="en-GB"/>
        </w:rPr>
        <w:t xml:space="preserve"> </w:t>
      </w:r>
      <w:r w:rsidR="00CB520A" w:rsidRPr="00EE2E24">
        <w:rPr>
          <w:lang w:val="en-GB"/>
        </w:rPr>
        <w:t>fractures (see</w:t>
      </w:r>
      <w:r w:rsidR="00CB520A" w:rsidRPr="0075756B">
        <w:rPr>
          <w:lang w:val="en-GB"/>
        </w:rPr>
        <w:t xml:space="preserve"> </w:t>
      </w:r>
      <w:r w:rsidR="00CB520A" w:rsidRPr="00EE2E24">
        <w:rPr>
          <w:lang w:val="en-GB"/>
        </w:rPr>
        <w:t>Table</w:t>
      </w:r>
      <w:r w:rsidR="00CB520A" w:rsidRPr="0075756B">
        <w:rPr>
          <w:lang w:val="en-GB"/>
        </w:rPr>
        <w:t xml:space="preserve"> </w:t>
      </w:r>
      <w:r w:rsidR="00CB520A" w:rsidRPr="00EE2E24">
        <w:rPr>
          <w:lang w:val="en-GB"/>
        </w:rPr>
        <w:t>3).</w:t>
      </w:r>
    </w:p>
    <w:p w14:paraId="6C457D18" w14:textId="4129C44E" w:rsidR="006E62CD" w:rsidRPr="00EE2E24" w:rsidRDefault="00CB520A" w:rsidP="00D258EC">
      <w:pPr>
        <w:pStyle w:val="Heading3"/>
        <w:adjustRightInd w:val="0"/>
        <w:snapToGrid w:val="0"/>
        <w:spacing w:before="60" w:after="60" w:line="360" w:lineRule="auto"/>
        <w:ind w:left="108" w:rightChars="30" w:right="66"/>
        <w:rPr>
          <w:lang w:val="en-GB"/>
        </w:rPr>
      </w:pPr>
      <w:r w:rsidRPr="00EE2E24">
        <w:rPr>
          <w:lang w:val="en-GB"/>
        </w:rPr>
        <w:t>Table</w:t>
      </w:r>
      <w:r w:rsidRPr="00EE2E24">
        <w:rPr>
          <w:spacing w:val="-2"/>
          <w:lang w:val="en-GB"/>
        </w:rPr>
        <w:t xml:space="preserve"> </w:t>
      </w:r>
      <w:r w:rsidRPr="00EE2E24">
        <w:rPr>
          <w:lang w:val="en-GB"/>
        </w:rPr>
        <w:t>3.</w:t>
      </w:r>
      <w:r w:rsidRPr="00EE2E24">
        <w:rPr>
          <w:spacing w:val="-2"/>
          <w:lang w:val="en-GB"/>
        </w:rPr>
        <w:t xml:space="preserve"> </w:t>
      </w:r>
      <w:r w:rsidRPr="00EE2E24">
        <w:rPr>
          <w:lang w:val="en-GB"/>
        </w:rPr>
        <w:t>The</w:t>
      </w:r>
      <w:r w:rsidRPr="00EE2E24">
        <w:rPr>
          <w:spacing w:val="-1"/>
          <w:lang w:val="en-GB"/>
        </w:rPr>
        <w:t xml:space="preserve"> </w:t>
      </w:r>
      <w:r w:rsidRPr="00EE2E24">
        <w:rPr>
          <w:lang w:val="en-GB"/>
        </w:rPr>
        <w:t>Effect</w:t>
      </w:r>
      <w:r w:rsidRPr="00EE2E24">
        <w:rPr>
          <w:spacing w:val="-2"/>
          <w:lang w:val="en-GB"/>
        </w:rPr>
        <w:t xml:space="preserve"> </w:t>
      </w:r>
      <w:r w:rsidRPr="00EE2E24">
        <w:rPr>
          <w:lang w:val="en-GB"/>
        </w:rPr>
        <w:t>of</w:t>
      </w:r>
      <w:r w:rsidRPr="00EE2E24">
        <w:rPr>
          <w:spacing w:val="-1"/>
          <w:lang w:val="en-GB"/>
        </w:rPr>
        <w:t xml:space="preserve"> </w:t>
      </w:r>
      <w:r w:rsidR="00E54398">
        <w:rPr>
          <w:lang w:val="en-GB"/>
        </w:rPr>
        <w:t>Denosumab</w:t>
      </w:r>
      <w:r w:rsidRPr="00EE2E24">
        <w:rPr>
          <w:spacing w:val="-1"/>
          <w:lang w:val="en-GB"/>
        </w:rPr>
        <w:t xml:space="preserve"> </w:t>
      </w:r>
      <w:r w:rsidRPr="00EE2E24">
        <w:rPr>
          <w:lang w:val="en-GB"/>
        </w:rPr>
        <w:t>on</w:t>
      </w:r>
      <w:r w:rsidRPr="00EE2E24">
        <w:rPr>
          <w:spacing w:val="-2"/>
          <w:lang w:val="en-GB"/>
        </w:rPr>
        <w:t xml:space="preserve"> </w:t>
      </w:r>
      <w:r w:rsidRPr="00EE2E24">
        <w:rPr>
          <w:lang w:val="en-GB"/>
        </w:rPr>
        <w:t>the</w:t>
      </w:r>
      <w:r w:rsidRPr="00EE2E24">
        <w:rPr>
          <w:spacing w:val="1"/>
          <w:lang w:val="en-GB"/>
        </w:rPr>
        <w:t xml:space="preserve"> </w:t>
      </w:r>
      <w:r w:rsidRPr="00EE2E24">
        <w:rPr>
          <w:lang w:val="en-GB"/>
        </w:rPr>
        <w:t>Risk</w:t>
      </w:r>
      <w:r w:rsidRPr="00EE2E24">
        <w:rPr>
          <w:spacing w:val="-1"/>
          <w:lang w:val="en-GB"/>
        </w:rPr>
        <w:t xml:space="preserve"> </w:t>
      </w:r>
      <w:r w:rsidRPr="00EE2E24">
        <w:rPr>
          <w:lang w:val="en-GB"/>
        </w:rPr>
        <w:t>of</w:t>
      </w:r>
      <w:r w:rsidRPr="00EE2E24">
        <w:rPr>
          <w:spacing w:val="-1"/>
          <w:lang w:val="en-GB"/>
        </w:rPr>
        <w:t xml:space="preserve"> </w:t>
      </w:r>
      <w:r w:rsidRPr="00EE2E24">
        <w:rPr>
          <w:lang w:val="en-GB"/>
        </w:rPr>
        <w:t>Clinical</w:t>
      </w:r>
      <w:r w:rsidRPr="00EE2E24">
        <w:rPr>
          <w:spacing w:val="-2"/>
          <w:lang w:val="en-GB"/>
        </w:rPr>
        <w:t xml:space="preserve"> </w:t>
      </w:r>
      <w:r w:rsidRPr="00EE2E24">
        <w:rPr>
          <w:lang w:val="en-GB"/>
        </w:rPr>
        <w:t>Fractures Over</w:t>
      </w:r>
      <w:r w:rsidRPr="00EE2E24">
        <w:rPr>
          <w:spacing w:val="-2"/>
          <w:lang w:val="en-GB"/>
        </w:rPr>
        <w:t xml:space="preserve"> </w:t>
      </w:r>
      <w:r w:rsidRPr="00EE2E24">
        <w:rPr>
          <w:lang w:val="en-GB"/>
        </w:rPr>
        <w:t>3</w:t>
      </w:r>
      <w:r w:rsidRPr="00EE2E24">
        <w:rPr>
          <w:spacing w:val="1"/>
          <w:lang w:val="en-GB"/>
        </w:rPr>
        <w:t xml:space="preserve"> </w:t>
      </w:r>
      <w:r w:rsidRPr="00EE2E24">
        <w:rPr>
          <w:lang w:val="en-GB"/>
        </w:rPr>
        <w:t>Years</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8"/>
        <w:gridCol w:w="1582"/>
        <w:gridCol w:w="1364"/>
        <w:gridCol w:w="1539"/>
        <w:gridCol w:w="1535"/>
      </w:tblGrid>
      <w:tr w:rsidR="00FA4FC4" w:rsidRPr="00EE2E24" w14:paraId="5DBB07E0" w14:textId="77777777" w:rsidTr="00FE64AF">
        <w:trPr>
          <w:trHeight w:val="50"/>
          <w:tblHeader/>
        </w:trPr>
        <w:tc>
          <w:tcPr>
            <w:tcW w:w="1491" w:type="pct"/>
            <w:vMerge w:val="restart"/>
          </w:tcPr>
          <w:p w14:paraId="75301F7D" w14:textId="77777777" w:rsidR="006E62CD" w:rsidRPr="00FF4465" w:rsidRDefault="006E62CD" w:rsidP="00D258EC">
            <w:pPr>
              <w:pStyle w:val="TableParagraph"/>
              <w:adjustRightInd w:val="0"/>
              <w:snapToGrid w:val="0"/>
              <w:spacing w:after="60" w:line="360" w:lineRule="auto"/>
              <w:ind w:left="108" w:rightChars="30" w:right="66"/>
              <w:rPr>
                <w:rFonts w:ascii="Times New Roman"/>
                <w:sz w:val="20"/>
                <w:szCs w:val="20"/>
                <w:lang w:val="en-GB"/>
              </w:rPr>
            </w:pPr>
          </w:p>
        </w:tc>
        <w:tc>
          <w:tcPr>
            <w:tcW w:w="1717" w:type="pct"/>
            <w:gridSpan w:val="2"/>
          </w:tcPr>
          <w:p w14:paraId="4C024E7A" w14:textId="77777777" w:rsidR="00F01672"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 xml:space="preserve">Proportion of women with </w:t>
            </w:r>
          </w:p>
          <w:p w14:paraId="5234E85C" w14:textId="6034287E"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fracture (%)</w:t>
            </w:r>
            <w:r w:rsidRPr="004923C5">
              <w:rPr>
                <w:sz w:val="20"/>
                <w:szCs w:val="20"/>
                <w:vertAlign w:val="superscript"/>
                <w:lang w:val="en-GB"/>
              </w:rPr>
              <w:t>+</w:t>
            </w:r>
          </w:p>
        </w:tc>
        <w:tc>
          <w:tcPr>
            <w:tcW w:w="897" w:type="pct"/>
            <w:vMerge w:val="restart"/>
          </w:tcPr>
          <w:p w14:paraId="52C2E54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Absolute risk</w:t>
            </w:r>
            <w:r w:rsidRPr="004923C5">
              <w:rPr>
                <w:spacing w:val="-59"/>
                <w:sz w:val="20"/>
                <w:szCs w:val="20"/>
                <w:lang w:val="en-GB"/>
              </w:rPr>
              <w:t xml:space="preserve"> </w:t>
            </w:r>
            <w:r w:rsidRPr="004923C5">
              <w:rPr>
                <w:sz w:val="20"/>
                <w:szCs w:val="20"/>
                <w:lang w:val="en-GB"/>
              </w:rPr>
              <w:t>reduction</w:t>
            </w:r>
            <w:r w:rsidRPr="004923C5">
              <w:rPr>
                <w:spacing w:val="-14"/>
                <w:sz w:val="20"/>
                <w:szCs w:val="20"/>
                <w:lang w:val="en-GB"/>
              </w:rPr>
              <w:t xml:space="preserve"> </w:t>
            </w:r>
            <w:r w:rsidRPr="004923C5">
              <w:rPr>
                <w:sz w:val="20"/>
                <w:szCs w:val="20"/>
                <w:lang w:val="en-GB"/>
              </w:rPr>
              <w:t>(%)</w:t>
            </w:r>
          </w:p>
          <w:p w14:paraId="19E2455C"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(95%</w:t>
            </w:r>
            <w:r w:rsidRPr="004923C5">
              <w:rPr>
                <w:spacing w:val="-2"/>
                <w:sz w:val="20"/>
                <w:szCs w:val="20"/>
                <w:lang w:val="en-GB"/>
              </w:rPr>
              <w:t xml:space="preserve"> </w:t>
            </w:r>
            <w:r w:rsidRPr="004923C5">
              <w:rPr>
                <w:sz w:val="20"/>
                <w:szCs w:val="20"/>
                <w:lang w:val="en-GB"/>
              </w:rPr>
              <w:t>CI)</w:t>
            </w:r>
          </w:p>
        </w:tc>
        <w:tc>
          <w:tcPr>
            <w:tcW w:w="895" w:type="pct"/>
            <w:vMerge w:val="restart"/>
          </w:tcPr>
          <w:p w14:paraId="188BA43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Relative risk</w:t>
            </w:r>
            <w:r w:rsidRPr="004923C5">
              <w:rPr>
                <w:spacing w:val="1"/>
                <w:sz w:val="20"/>
                <w:szCs w:val="20"/>
                <w:lang w:val="en-GB"/>
              </w:rPr>
              <w:t xml:space="preserve"> </w:t>
            </w:r>
            <w:r w:rsidRPr="004923C5">
              <w:rPr>
                <w:sz w:val="20"/>
                <w:szCs w:val="20"/>
                <w:lang w:val="en-GB"/>
              </w:rPr>
              <w:t>reduction</w:t>
            </w:r>
            <w:r w:rsidRPr="004923C5">
              <w:rPr>
                <w:spacing w:val="-14"/>
                <w:sz w:val="20"/>
                <w:szCs w:val="20"/>
                <w:lang w:val="en-GB"/>
              </w:rPr>
              <w:t xml:space="preserve"> </w:t>
            </w:r>
            <w:r w:rsidRPr="004923C5">
              <w:rPr>
                <w:sz w:val="20"/>
                <w:szCs w:val="20"/>
                <w:lang w:val="en-GB"/>
              </w:rPr>
              <w:t>(%)</w:t>
            </w:r>
          </w:p>
          <w:p w14:paraId="40281BB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(95%</w:t>
            </w:r>
            <w:r w:rsidRPr="004923C5">
              <w:rPr>
                <w:spacing w:val="-2"/>
                <w:sz w:val="20"/>
                <w:szCs w:val="20"/>
                <w:lang w:val="en-GB"/>
              </w:rPr>
              <w:t xml:space="preserve"> </w:t>
            </w:r>
            <w:r w:rsidRPr="004923C5">
              <w:rPr>
                <w:sz w:val="20"/>
                <w:szCs w:val="20"/>
                <w:lang w:val="en-GB"/>
              </w:rPr>
              <w:t>CI)</w:t>
            </w:r>
          </w:p>
        </w:tc>
      </w:tr>
      <w:tr w:rsidR="00E05623" w:rsidRPr="00EE2E24" w14:paraId="06620B07" w14:textId="77777777" w:rsidTr="00FE64AF">
        <w:trPr>
          <w:trHeight w:val="313"/>
          <w:tblHeader/>
        </w:trPr>
        <w:tc>
          <w:tcPr>
            <w:tcW w:w="1491" w:type="pct"/>
            <w:vMerge/>
            <w:tcBorders>
              <w:top w:val="nil"/>
            </w:tcBorders>
          </w:tcPr>
          <w:p w14:paraId="6B2A0D84" w14:textId="77777777" w:rsidR="006E62CD" w:rsidRPr="004923C5" w:rsidRDefault="006E62CD" w:rsidP="00D258EC">
            <w:pPr>
              <w:adjustRightInd w:val="0"/>
              <w:snapToGrid w:val="0"/>
              <w:spacing w:before="60" w:after="60" w:line="360" w:lineRule="auto"/>
              <w:ind w:left="108" w:rightChars="30" w:right="66"/>
              <w:rPr>
                <w:sz w:val="20"/>
                <w:szCs w:val="20"/>
                <w:lang w:val="en-GB"/>
              </w:rPr>
            </w:pPr>
          </w:p>
        </w:tc>
        <w:tc>
          <w:tcPr>
            <w:tcW w:w="922" w:type="pct"/>
          </w:tcPr>
          <w:p w14:paraId="4755656F" w14:textId="7A5CB57B" w:rsidR="006E62CD" w:rsidRPr="004923C5" w:rsidRDefault="00E54398" w:rsidP="00D258EC">
            <w:pPr>
              <w:pStyle w:val="TableParagraph"/>
              <w:adjustRightInd w:val="0"/>
              <w:snapToGrid w:val="0"/>
              <w:spacing w:after="60" w:line="360" w:lineRule="auto"/>
              <w:ind w:left="108" w:rightChars="30" w:right="66"/>
              <w:rPr>
                <w:sz w:val="20"/>
                <w:szCs w:val="20"/>
                <w:lang w:val="en-GB"/>
              </w:rPr>
            </w:pPr>
            <w:r>
              <w:rPr>
                <w:sz w:val="20"/>
                <w:szCs w:val="20"/>
                <w:lang w:val="en-GB"/>
              </w:rPr>
              <w:t>Denosumab</w:t>
            </w:r>
          </w:p>
          <w:p w14:paraId="32211D21" w14:textId="6C03B8A1"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 = 3,902</w:t>
            </w:r>
            <w:r w:rsidR="00F01672" w:rsidRPr="004923C5">
              <w:rPr>
                <w:sz w:val="20"/>
                <w:szCs w:val="20"/>
                <w:lang w:val="en-GB"/>
              </w:rPr>
              <w:t xml:space="preserve"> </w:t>
            </w:r>
            <w:r w:rsidRPr="004923C5">
              <w:rPr>
                <w:sz w:val="20"/>
                <w:szCs w:val="20"/>
                <w:lang w:val="en-GB"/>
              </w:rPr>
              <w:t>(%)</w:t>
            </w:r>
          </w:p>
        </w:tc>
        <w:tc>
          <w:tcPr>
            <w:tcW w:w="795" w:type="pct"/>
          </w:tcPr>
          <w:p w14:paraId="130005E7" w14:textId="77777777" w:rsidR="00F01672" w:rsidRPr="004923C5" w:rsidRDefault="00CB520A" w:rsidP="00D258EC">
            <w:pPr>
              <w:pStyle w:val="TableParagraph"/>
              <w:adjustRightInd w:val="0"/>
              <w:snapToGrid w:val="0"/>
              <w:spacing w:after="60" w:line="360" w:lineRule="auto"/>
              <w:ind w:left="108" w:rightChars="30" w:right="66"/>
              <w:rPr>
                <w:spacing w:val="1"/>
                <w:sz w:val="20"/>
                <w:szCs w:val="20"/>
                <w:lang w:val="en-GB"/>
              </w:rPr>
            </w:pPr>
            <w:r w:rsidRPr="004923C5">
              <w:rPr>
                <w:sz w:val="20"/>
                <w:szCs w:val="20"/>
                <w:lang w:val="en-GB"/>
              </w:rPr>
              <w:t>Placebo</w:t>
            </w:r>
            <w:r w:rsidRPr="004923C5">
              <w:rPr>
                <w:spacing w:val="1"/>
                <w:sz w:val="20"/>
                <w:szCs w:val="20"/>
                <w:lang w:val="en-GB"/>
              </w:rPr>
              <w:t xml:space="preserve"> </w:t>
            </w:r>
          </w:p>
          <w:p w14:paraId="3B67519B" w14:textId="41D4925E"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w:t>
            </w:r>
            <w:r w:rsidRPr="004923C5">
              <w:rPr>
                <w:spacing w:val="-8"/>
                <w:sz w:val="20"/>
                <w:szCs w:val="20"/>
                <w:lang w:val="en-GB"/>
              </w:rPr>
              <w:t xml:space="preserve"> </w:t>
            </w:r>
            <w:r w:rsidRPr="004923C5">
              <w:rPr>
                <w:sz w:val="20"/>
                <w:szCs w:val="20"/>
                <w:lang w:val="en-GB"/>
              </w:rPr>
              <w:t>=</w:t>
            </w:r>
            <w:r w:rsidRPr="004923C5">
              <w:rPr>
                <w:spacing w:val="-7"/>
                <w:sz w:val="20"/>
                <w:szCs w:val="20"/>
                <w:lang w:val="en-GB"/>
              </w:rPr>
              <w:t xml:space="preserve"> </w:t>
            </w:r>
            <w:r w:rsidRPr="004923C5">
              <w:rPr>
                <w:sz w:val="20"/>
                <w:szCs w:val="20"/>
                <w:lang w:val="en-GB"/>
              </w:rPr>
              <w:t>3,906</w:t>
            </w:r>
          </w:p>
        </w:tc>
        <w:tc>
          <w:tcPr>
            <w:tcW w:w="897" w:type="pct"/>
            <w:vMerge/>
            <w:tcBorders>
              <w:top w:val="nil"/>
            </w:tcBorders>
          </w:tcPr>
          <w:p w14:paraId="05B28041" w14:textId="77777777" w:rsidR="006E62CD" w:rsidRPr="004923C5" w:rsidRDefault="006E62CD" w:rsidP="00D258EC">
            <w:pPr>
              <w:adjustRightInd w:val="0"/>
              <w:snapToGrid w:val="0"/>
              <w:spacing w:before="60" w:after="60" w:line="360" w:lineRule="auto"/>
              <w:ind w:left="108" w:rightChars="30" w:right="66"/>
              <w:rPr>
                <w:sz w:val="20"/>
                <w:szCs w:val="20"/>
                <w:lang w:val="en-GB"/>
              </w:rPr>
            </w:pPr>
          </w:p>
        </w:tc>
        <w:tc>
          <w:tcPr>
            <w:tcW w:w="895" w:type="pct"/>
            <w:vMerge/>
            <w:tcBorders>
              <w:top w:val="nil"/>
            </w:tcBorders>
          </w:tcPr>
          <w:p w14:paraId="2BEEE208" w14:textId="77777777" w:rsidR="006E62CD" w:rsidRPr="004923C5" w:rsidRDefault="006E62CD" w:rsidP="00D258EC">
            <w:pPr>
              <w:adjustRightInd w:val="0"/>
              <w:snapToGrid w:val="0"/>
              <w:spacing w:before="60" w:after="60" w:line="360" w:lineRule="auto"/>
              <w:ind w:left="108" w:rightChars="30" w:right="66"/>
              <w:rPr>
                <w:sz w:val="20"/>
                <w:szCs w:val="20"/>
                <w:lang w:val="en-GB"/>
              </w:rPr>
            </w:pPr>
          </w:p>
        </w:tc>
      </w:tr>
      <w:tr w:rsidR="00FA4FC4" w:rsidRPr="00EE2E24" w14:paraId="7F6D97F3" w14:textId="77777777" w:rsidTr="00F01672">
        <w:trPr>
          <w:trHeight w:val="50"/>
        </w:trPr>
        <w:tc>
          <w:tcPr>
            <w:tcW w:w="1491" w:type="pct"/>
          </w:tcPr>
          <w:p w14:paraId="7A4DAEE8" w14:textId="4597090A"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Any</w:t>
            </w:r>
            <w:r w:rsidRPr="004923C5">
              <w:rPr>
                <w:spacing w:val="-1"/>
                <w:sz w:val="20"/>
                <w:szCs w:val="20"/>
                <w:lang w:val="en-GB"/>
              </w:rPr>
              <w:t xml:space="preserve"> </w:t>
            </w:r>
            <w:r w:rsidRPr="004923C5">
              <w:rPr>
                <w:sz w:val="20"/>
                <w:szCs w:val="20"/>
                <w:lang w:val="en-GB"/>
              </w:rPr>
              <w:t>clinical</w:t>
            </w:r>
            <w:r w:rsidRPr="004923C5">
              <w:rPr>
                <w:spacing w:val="-1"/>
                <w:sz w:val="20"/>
                <w:szCs w:val="20"/>
                <w:lang w:val="en-GB"/>
              </w:rPr>
              <w:t xml:space="preserve"> </w:t>
            </w:r>
            <w:r w:rsidRPr="004923C5">
              <w:rPr>
                <w:sz w:val="20"/>
                <w:szCs w:val="20"/>
                <w:lang w:val="en-GB"/>
              </w:rPr>
              <w:t>fracture</w:t>
            </w:r>
            <w:r w:rsidR="009C2859" w:rsidRPr="004923C5">
              <w:rPr>
                <w:sz w:val="20"/>
                <w:szCs w:val="20"/>
                <w:vertAlign w:val="superscript"/>
                <w:lang w:val="en-GB"/>
              </w:rPr>
              <w:t>1</w:t>
            </w:r>
          </w:p>
        </w:tc>
        <w:tc>
          <w:tcPr>
            <w:tcW w:w="922" w:type="pct"/>
          </w:tcPr>
          <w:p w14:paraId="113BF04C"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7.2</w:t>
            </w:r>
          </w:p>
        </w:tc>
        <w:tc>
          <w:tcPr>
            <w:tcW w:w="795" w:type="pct"/>
          </w:tcPr>
          <w:p w14:paraId="437E4A6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10.2</w:t>
            </w:r>
          </w:p>
        </w:tc>
        <w:tc>
          <w:tcPr>
            <w:tcW w:w="897" w:type="pct"/>
          </w:tcPr>
          <w:p w14:paraId="5EF862F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2.9</w:t>
            </w:r>
            <w:r w:rsidRPr="004923C5">
              <w:rPr>
                <w:spacing w:val="-1"/>
                <w:sz w:val="20"/>
                <w:szCs w:val="20"/>
                <w:lang w:val="en-GB"/>
              </w:rPr>
              <w:t xml:space="preserve"> </w:t>
            </w:r>
            <w:r w:rsidRPr="004923C5">
              <w:rPr>
                <w:sz w:val="20"/>
                <w:szCs w:val="20"/>
                <w:lang w:val="en-GB"/>
              </w:rPr>
              <w:t>(1.6,</w:t>
            </w:r>
            <w:r w:rsidRPr="004923C5">
              <w:rPr>
                <w:spacing w:val="-2"/>
                <w:sz w:val="20"/>
                <w:szCs w:val="20"/>
                <w:lang w:val="en-GB"/>
              </w:rPr>
              <w:t xml:space="preserve"> </w:t>
            </w:r>
            <w:r w:rsidRPr="004923C5">
              <w:rPr>
                <w:sz w:val="20"/>
                <w:szCs w:val="20"/>
                <w:lang w:val="en-GB"/>
              </w:rPr>
              <w:t>4.2)</w:t>
            </w:r>
          </w:p>
        </w:tc>
        <w:tc>
          <w:tcPr>
            <w:tcW w:w="895" w:type="pct"/>
          </w:tcPr>
          <w:p w14:paraId="79F9CE5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30</w:t>
            </w:r>
            <w:r w:rsidRPr="004923C5">
              <w:rPr>
                <w:spacing w:val="-1"/>
                <w:sz w:val="20"/>
                <w:szCs w:val="20"/>
                <w:lang w:val="en-GB"/>
              </w:rPr>
              <w:t xml:space="preserve"> </w:t>
            </w:r>
            <w:r w:rsidRPr="004923C5">
              <w:rPr>
                <w:sz w:val="20"/>
                <w:szCs w:val="20"/>
                <w:lang w:val="en-GB"/>
              </w:rPr>
              <w:t>(19,</w:t>
            </w:r>
            <w:r w:rsidRPr="004923C5">
              <w:rPr>
                <w:spacing w:val="-2"/>
                <w:sz w:val="20"/>
                <w:szCs w:val="20"/>
                <w:lang w:val="en-GB"/>
              </w:rPr>
              <w:t xml:space="preserve"> </w:t>
            </w:r>
            <w:r w:rsidRPr="004923C5">
              <w:rPr>
                <w:sz w:val="20"/>
                <w:szCs w:val="20"/>
                <w:lang w:val="en-GB"/>
              </w:rPr>
              <w:t>41)***</w:t>
            </w:r>
          </w:p>
        </w:tc>
      </w:tr>
      <w:tr w:rsidR="00FA4FC4" w:rsidRPr="00EE2E24" w14:paraId="6E65CA5B" w14:textId="77777777" w:rsidTr="00F01672">
        <w:trPr>
          <w:trHeight w:val="50"/>
        </w:trPr>
        <w:tc>
          <w:tcPr>
            <w:tcW w:w="1491" w:type="pct"/>
          </w:tcPr>
          <w:p w14:paraId="2A6B35E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Clinical</w:t>
            </w:r>
            <w:r w:rsidRPr="004923C5">
              <w:rPr>
                <w:spacing w:val="-15"/>
                <w:sz w:val="20"/>
                <w:szCs w:val="20"/>
                <w:lang w:val="en-GB"/>
              </w:rPr>
              <w:t xml:space="preserve"> </w:t>
            </w:r>
            <w:r w:rsidRPr="004923C5">
              <w:rPr>
                <w:sz w:val="20"/>
                <w:szCs w:val="20"/>
                <w:lang w:val="en-GB"/>
              </w:rPr>
              <w:t>vertebral</w:t>
            </w:r>
            <w:r w:rsidRPr="004923C5">
              <w:rPr>
                <w:spacing w:val="-58"/>
                <w:sz w:val="20"/>
                <w:szCs w:val="20"/>
                <w:lang w:val="en-GB"/>
              </w:rPr>
              <w:t xml:space="preserve"> </w:t>
            </w:r>
            <w:r w:rsidRPr="004923C5">
              <w:rPr>
                <w:sz w:val="20"/>
                <w:szCs w:val="20"/>
                <w:lang w:val="en-GB"/>
              </w:rPr>
              <w:t>fracture</w:t>
            </w:r>
          </w:p>
        </w:tc>
        <w:tc>
          <w:tcPr>
            <w:tcW w:w="922" w:type="pct"/>
          </w:tcPr>
          <w:p w14:paraId="6DFF6C5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0.8</w:t>
            </w:r>
          </w:p>
        </w:tc>
        <w:tc>
          <w:tcPr>
            <w:tcW w:w="795" w:type="pct"/>
          </w:tcPr>
          <w:p w14:paraId="7AEBC00F"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2.6</w:t>
            </w:r>
          </w:p>
        </w:tc>
        <w:tc>
          <w:tcPr>
            <w:tcW w:w="897" w:type="pct"/>
          </w:tcPr>
          <w:p w14:paraId="4133EED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1.8</w:t>
            </w:r>
            <w:r w:rsidRPr="004923C5">
              <w:rPr>
                <w:spacing w:val="-1"/>
                <w:sz w:val="20"/>
                <w:szCs w:val="20"/>
                <w:lang w:val="en-GB"/>
              </w:rPr>
              <w:t xml:space="preserve"> </w:t>
            </w:r>
            <w:r w:rsidRPr="004923C5">
              <w:rPr>
                <w:sz w:val="20"/>
                <w:szCs w:val="20"/>
                <w:lang w:val="en-GB"/>
              </w:rPr>
              <w:t>(1.2,</w:t>
            </w:r>
            <w:r w:rsidRPr="004923C5">
              <w:rPr>
                <w:spacing w:val="-2"/>
                <w:sz w:val="20"/>
                <w:szCs w:val="20"/>
                <w:lang w:val="en-GB"/>
              </w:rPr>
              <w:t xml:space="preserve"> </w:t>
            </w:r>
            <w:r w:rsidRPr="004923C5">
              <w:rPr>
                <w:sz w:val="20"/>
                <w:szCs w:val="20"/>
                <w:lang w:val="en-GB"/>
              </w:rPr>
              <w:t>2.4)</w:t>
            </w:r>
          </w:p>
        </w:tc>
        <w:tc>
          <w:tcPr>
            <w:tcW w:w="895" w:type="pct"/>
          </w:tcPr>
          <w:p w14:paraId="005F9863"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69</w:t>
            </w:r>
            <w:r w:rsidRPr="004923C5">
              <w:rPr>
                <w:spacing w:val="-1"/>
                <w:sz w:val="20"/>
                <w:szCs w:val="20"/>
                <w:lang w:val="en-GB"/>
              </w:rPr>
              <w:t xml:space="preserve"> </w:t>
            </w:r>
            <w:r w:rsidRPr="004923C5">
              <w:rPr>
                <w:sz w:val="20"/>
                <w:szCs w:val="20"/>
                <w:lang w:val="en-GB"/>
              </w:rPr>
              <w:t>(53,</w:t>
            </w:r>
            <w:r w:rsidRPr="004923C5">
              <w:rPr>
                <w:spacing w:val="-2"/>
                <w:sz w:val="20"/>
                <w:szCs w:val="20"/>
                <w:lang w:val="en-GB"/>
              </w:rPr>
              <w:t xml:space="preserve"> </w:t>
            </w:r>
            <w:r w:rsidRPr="004923C5">
              <w:rPr>
                <w:sz w:val="20"/>
                <w:szCs w:val="20"/>
                <w:lang w:val="en-GB"/>
              </w:rPr>
              <w:t>80)***</w:t>
            </w:r>
          </w:p>
        </w:tc>
      </w:tr>
      <w:tr w:rsidR="00FA4FC4" w:rsidRPr="00EE2E24" w14:paraId="628B6CE0" w14:textId="77777777" w:rsidTr="00F01672">
        <w:trPr>
          <w:trHeight w:val="50"/>
        </w:trPr>
        <w:tc>
          <w:tcPr>
            <w:tcW w:w="1491" w:type="pct"/>
          </w:tcPr>
          <w:p w14:paraId="5210EE55" w14:textId="4E42A66A"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Non-vertebral</w:t>
            </w:r>
            <w:r w:rsidRPr="004923C5">
              <w:rPr>
                <w:spacing w:val="-60"/>
                <w:sz w:val="20"/>
                <w:szCs w:val="20"/>
                <w:lang w:val="en-GB"/>
              </w:rPr>
              <w:t xml:space="preserve"> </w:t>
            </w:r>
            <w:r w:rsidRPr="004923C5">
              <w:rPr>
                <w:sz w:val="20"/>
                <w:szCs w:val="20"/>
                <w:lang w:val="en-GB"/>
              </w:rPr>
              <w:t>fracture</w:t>
            </w:r>
            <w:r w:rsidR="009C2859" w:rsidRPr="004923C5">
              <w:rPr>
                <w:sz w:val="20"/>
                <w:szCs w:val="20"/>
                <w:vertAlign w:val="superscript"/>
                <w:lang w:val="en-GB"/>
              </w:rPr>
              <w:t>2</w:t>
            </w:r>
          </w:p>
        </w:tc>
        <w:tc>
          <w:tcPr>
            <w:tcW w:w="922" w:type="pct"/>
          </w:tcPr>
          <w:p w14:paraId="6E94230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6.5</w:t>
            </w:r>
          </w:p>
        </w:tc>
        <w:tc>
          <w:tcPr>
            <w:tcW w:w="795" w:type="pct"/>
          </w:tcPr>
          <w:p w14:paraId="441159F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8.0</w:t>
            </w:r>
          </w:p>
        </w:tc>
        <w:tc>
          <w:tcPr>
            <w:tcW w:w="897" w:type="pct"/>
          </w:tcPr>
          <w:p w14:paraId="68B5A4C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1.5</w:t>
            </w:r>
            <w:r w:rsidRPr="004923C5">
              <w:rPr>
                <w:spacing w:val="-1"/>
                <w:sz w:val="20"/>
                <w:szCs w:val="20"/>
                <w:lang w:val="en-GB"/>
              </w:rPr>
              <w:t xml:space="preserve"> </w:t>
            </w:r>
            <w:r w:rsidRPr="004923C5">
              <w:rPr>
                <w:sz w:val="20"/>
                <w:szCs w:val="20"/>
                <w:lang w:val="en-GB"/>
              </w:rPr>
              <w:t>(0.3,</w:t>
            </w:r>
            <w:r w:rsidRPr="004923C5">
              <w:rPr>
                <w:spacing w:val="-2"/>
                <w:sz w:val="20"/>
                <w:szCs w:val="20"/>
                <w:lang w:val="en-GB"/>
              </w:rPr>
              <w:t xml:space="preserve"> </w:t>
            </w:r>
            <w:r w:rsidRPr="004923C5">
              <w:rPr>
                <w:sz w:val="20"/>
                <w:szCs w:val="20"/>
                <w:lang w:val="en-GB"/>
              </w:rPr>
              <w:t>2.7)</w:t>
            </w:r>
          </w:p>
        </w:tc>
        <w:tc>
          <w:tcPr>
            <w:tcW w:w="895" w:type="pct"/>
          </w:tcPr>
          <w:p w14:paraId="1B7E979F"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20</w:t>
            </w:r>
            <w:r w:rsidRPr="004923C5">
              <w:rPr>
                <w:spacing w:val="-1"/>
                <w:sz w:val="20"/>
                <w:szCs w:val="20"/>
                <w:lang w:val="en-GB"/>
              </w:rPr>
              <w:t xml:space="preserve"> </w:t>
            </w:r>
            <w:r w:rsidRPr="004923C5">
              <w:rPr>
                <w:sz w:val="20"/>
                <w:szCs w:val="20"/>
                <w:lang w:val="en-GB"/>
              </w:rPr>
              <w:t>(5,</w:t>
            </w:r>
            <w:r w:rsidRPr="004923C5">
              <w:rPr>
                <w:spacing w:val="-1"/>
                <w:sz w:val="20"/>
                <w:szCs w:val="20"/>
                <w:lang w:val="en-GB"/>
              </w:rPr>
              <w:t xml:space="preserve"> </w:t>
            </w:r>
            <w:r w:rsidRPr="004923C5">
              <w:rPr>
                <w:sz w:val="20"/>
                <w:szCs w:val="20"/>
                <w:lang w:val="en-GB"/>
              </w:rPr>
              <w:t>33)**</w:t>
            </w:r>
          </w:p>
        </w:tc>
      </w:tr>
      <w:tr w:rsidR="00FA4FC4" w:rsidRPr="00EE2E24" w14:paraId="7674C622" w14:textId="77777777" w:rsidTr="00F01672">
        <w:trPr>
          <w:trHeight w:val="50"/>
        </w:trPr>
        <w:tc>
          <w:tcPr>
            <w:tcW w:w="1491" w:type="pct"/>
          </w:tcPr>
          <w:p w14:paraId="19DCBD78" w14:textId="6DF70BEB"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Major non-vertebral</w:t>
            </w:r>
            <w:r w:rsidRPr="004923C5">
              <w:rPr>
                <w:spacing w:val="-60"/>
                <w:sz w:val="20"/>
                <w:szCs w:val="20"/>
                <w:lang w:val="en-GB"/>
              </w:rPr>
              <w:t xml:space="preserve"> </w:t>
            </w:r>
            <w:r w:rsidRPr="004923C5">
              <w:rPr>
                <w:sz w:val="20"/>
                <w:szCs w:val="20"/>
                <w:lang w:val="en-GB"/>
              </w:rPr>
              <w:t>fracture</w:t>
            </w:r>
            <w:r w:rsidR="009C2859" w:rsidRPr="004923C5">
              <w:rPr>
                <w:sz w:val="20"/>
                <w:szCs w:val="20"/>
                <w:vertAlign w:val="superscript"/>
                <w:lang w:val="en-GB"/>
              </w:rPr>
              <w:t>3</w:t>
            </w:r>
          </w:p>
        </w:tc>
        <w:tc>
          <w:tcPr>
            <w:tcW w:w="922" w:type="pct"/>
          </w:tcPr>
          <w:p w14:paraId="445D743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5.2</w:t>
            </w:r>
          </w:p>
        </w:tc>
        <w:tc>
          <w:tcPr>
            <w:tcW w:w="795" w:type="pct"/>
          </w:tcPr>
          <w:p w14:paraId="50414B9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6.4</w:t>
            </w:r>
          </w:p>
        </w:tc>
        <w:tc>
          <w:tcPr>
            <w:tcW w:w="897" w:type="pct"/>
          </w:tcPr>
          <w:p w14:paraId="73FD83E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1.2</w:t>
            </w:r>
            <w:r w:rsidRPr="004923C5">
              <w:rPr>
                <w:spacing w:val="-1"/>
                <w:sz w:val="20"/>
                <w:szCs w:val="20"/>
                <w:lang w:val="en-GB"/>
              </w:rPr>
              <w:t xml:space="preserve"> </w:t>
            </w:r>
            <w:r w:rsidRPr="004923C5">
              <w:rPr>
                <w:sz w:val="20"/>
                <w:szCs w:val="20"/>
                <w:lang w:val="en-GB"/>
              </w:rPr>
              <w:t>(0.1,</w:t>
            </w:r>
            <w:r w:rsidRPr="004923C5">
              <w:rPr>
                <w:spacing w:val="-2"/>
                <w:sz w:val="20"/>
                <w:szCs w:val="20"/>
                <w:lang w:val="en-GB"/>
              </w:rPr>
              <w:t xml:space="preserve"> </w:t>
            </w:r>
            <w:r w:rsidRPr="004923C5">
              <w:rPr>
                <w:sz w:val="20"/>
                <w:szCs w:val="20"/>
                <w:lang w:val="en-GB"/>
              </w:rPr>
              <w:t>2.2)</w:t>
            </w:r>
          </w:p>
        </w:tc>
        <w:tc>
          <w:tcPr>
            <w:tcW w:w="895" w:type="pct"/>
          </w:tcPr>
          <w:p w14:paraId="5FB9D03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20</w:t>
            </w:r>
            <w:r w:rsidRPr="004923C5">
              <w:rPr>
                <w:spacing w:val="-1"/>
                <w:sz w:val="20"/>
                <w:szCs w:val="20"/>
                <w:lang w:val="en-GB"/>
              </w:rPr>
              <w:t xml:space="preserve"> </w:t>
            </w:r>
            <w:r w:rsidRPr="004923C5">
              <w:rPr>
                <w:sz w:val="20"/>
                <w:szCs w:val="20"/>
                <w:lang w:val="en-GB"/>
              </w:rPr>
              <w:t>(3,</w:t>
            </w:r>
            <w:r w:rsidRPr="004923C5">
              <w:rPr>
                <w:spacing w:val="-1"/>
                <w:sz w:val="20"/>
                <w:szCs w:val="20"/>
                <w:lang w:val="en-GB"/>
              </w:rPr>
              <w:t xml:space="preserve"> </w:t>
            </w:r>
            <w:r w:rsidRPr="004923C5">
              <w:rPr>
                <w:sz w:val="20"/>
                <w:szCs w:val="20"/>
                <w:lang w:val="en-GB"/>
              </w:rPr>
              <w:t>34)*</w:t>
            </w:r>
          </w:p>
        </w:tc>
      </w:tr>
      <w:tr w:rsidR="00FA4FC4" w:rsidRPr="00EE2E24" w14:paraId="4E33F936" w14:textId="77777777" w:rsidTr="00F01672">
        <w:trPr>
          <w:trHeight w:val="50"/>
        </w:trPr>
        <w:tc>
          <w:tcPr>
            <w:tcW w:w="1491" w:type="pct"/>
          </w:tcPr>
          <w:p w14:paraId="78E1FA7D" w14:textId="3991274A"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lastRenderedPageBreak/>
              <w:t>Major osteoporotic</w:t>
            </w:r>
            <w:r w:rsidRPr="004923C5">
              <w:rPr>
                <w:spacing w:val="-60"/>
                <w:sz w:val="20"/>
                <w:szCs w:val="20"/>
                <w:lang w:val="en-GB"/>
              </w:rPr>
              <w:t xml:space="preserve"> </w:t>
            </w:r>
            <w:r w:rsidRPr="004923C5">
              <w:rPr>
                <w:sz w:val="20"/>
                <w:szCs w:val="20"/>
                <w:lang w:val="en-GB"/>
              </w:rPr>
              <w:t>fracture</w:t>
            </w:r>
            <w:r w:rsidR="009C2859" w:rsidRPr="004923C5">
              <w:rPr>
                <w:sz w:val="20"/>
                <w:szCs w:val="20"/>
                <w:vertAlign w:val="superscript"/>
                <w:lang w:val="en-GB"/>
              </w:rPr>
              <w:t>4</w:t>
            </w:r>
          </w:p>
        </w:tc>
        <w:tc>
          <w:tcPr>
            <w:tcW w:w="922" w:type="pct"/>
          </w:tcPr>
          <w:p w14:paraId="10537C3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5.3</w:t>
            </w:r>
          </w:p>
        </w:tc>
        <w:tc>
          <w:tcPr>
            <w:tcW w:w="795" w:type="pct"/>
          </w:tcPr>
          <w:p w14:paraId="6DD1AFC8"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8.0</w:t>
            </w:r>
          </w:p>
        </w:tc>
        <w:tc>
          <w:tcPr>
            <w:tcW w:w="897" w:type="pct"/>
          </w:tcPr>
          <w:p w14:paraId="20518F6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2.7</w:t>
            </w:r>
            <w:r w:rsidRPr="004923C5">
              <w:rPr>
                <w:spacing w:val="-1"/>
                <w:sz w:val="20"/>
                <w:szCs w:val="20"/>
                <w:lang w:val="en-GB"/>
              </w:rPr>
              <w:t xml:space="preserve"> </w:t>
            </w:r>
            <w:r w:rsidRPr="004923C5">
              <w:rPr>
                <w:sz w:val="20"/>
                <w:szCs w:val="20"/>
                <w:lang w:val="en-GB"/>
              </w:rPr>
              <w:t>(1.6,</w:t>
            </w:r>
            <w:r w:rsidRPr="004923C5">
              <w:rPr>
                <w:spacing w:val="-2"/>
                <w:sz w:val="20"/>
                <w:szCs w:val="20"/>
                <w:lang w:val="en-GB"/>
              </w:rPr>
              <w:t xml:space="preserve"> </w:t>
            </w:r>
            <w:r w:rsidRPr="004923C5">
              <w:rPr>
                <w:sz w:val="20"/>
                <w:szCs w:val="20"/>
                <w:lang w:val="en-GB"/>
              </w:rPr>
              <w:t>3.9)</w:t>
            </w:r>
          </w:p>
        </w:tc>
        <w:tc>
          <w:tcPr>
            <w:tcW w:w="895" w:type="pct"/>
          </w:tcPr>
          <w:p w14:paraId="73F662A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35</w:t>
            </w:r>
            <w:r w:rsidRPr="004923C5">
              <w:rPr>
                <w:spacing w:val="-1"/>
                <w:sz w:val="20"/>
                <w:szCs w:val="20"/>
                <w:lang w:val="en-GB"/>
              </w:rPr>
              <w:t xml:space="preserve"> </w:t>
            </w:r>
            <w:r w:rsidRPr="004923C5">
              <w:rPr>
                <w:sz w:val="20"/>
                <w:szCs w:val="20"/>
                <w:lang w:val="en-GB"/>
              </w:rPr>
              <w:t>(22,</w:t>
            </w:r>
            <w:r w:rsidRPr="004923C5">
              <w:rPr>
                <w:spacing w:val="-2"/>
                <w:sz w:val="20"/>
                <w:szCs w:val="20"/>
                <w:lang w:val="en-GB"/>
              </w:rPr>
              <w:t xml:space="preserve"> </w:t>
            </w:r>
            <w:r w:rsidRPr="004923C5">
              <w:rPr>
                <w:sz w:val="20"/>
                <w:szCs w:val="20"/>
                <w:lang w:val="en-GB"/>
              </w:rPr>
              <w:t>45)***</w:t>
            </w:r>
          </w:p>
        </w:tc>
      </w:tr>
    </w:tbl>
    <w:p w14:paraId="3AEC645C" w14:textId="77777777" w:rsidR="006E62CD" w:rsidRPr="00F01672" w:rsidRDefault="00CB520A" w:rsidP="00D258EC">
      <w:pPr>
        <w:adjustRightInd w:val="0"/>
        <w:snapToGrid w:val="0"/>
        <w:spacing w:after="120"/>
        <w:ind w:left="108" w:rightChars="30" w:right="66"/>
        <w:contextualSpacing/>
        <w:rPr>
          <w:sz w:val="18"/>
          <w:szCs w:val="18"/>
          <w:lang w:val="en-GB"/>
        </w:rPr>
      </w:pPr>
      <w:r w:rsidRPr="00F01672">
        <w:rPr>
          <w:sz w:val="18"/>
          <w:szCs w:val="18"/>
          <w:lang w:val="en-GB"/>
        </w:rPr>
        <w:t>*p</w:t>
      </w:r>
      <w:r w:rsidRPr="00F01672">
        <w:rPr>
          <w:spacing w:val="-2"/>
          <w:sz w:val="18"/>
          <w:szCs w:val="18"/>
          <w:lang w:val="en-GB"/>
        </w:rPr>
        <w:t xml:space="preserve"> </w:t>
      </w:r>
      <w:r w:rsidRPr="00F01672">
        <w:rPr>
          <w:sz w:val="18"/>
          <w:szCs w:val="18"/>
          <w:lang w:val="en-GB"/>
        </w:rPr>
        <w:t>≤</w:t>
      </w:r>
      <w:r w:rsidRPr="00F01672">
        <w:rPr>
          <w:spacing w:val="-1"/>
          <w:sz w:val="18"/>
          <w:szCs w:val="18"/>
          <w:lang w:val="en-GB"/>
        </w:rPr>
        <w:t xml:space="preserve"> </w:t>
      </w:r>
      <w:r w:rsidRPr="00F01672">
        <w:rPr>
          <w:sz w:val="18"/>
          <w:szCs w:val="18"/>
          <w:lang w:val="en-GB"/>
        </w:rPr>
        <w:t>0.05;</w:t>
      </w:r>
      <w:r w:rsidRPr="00F01672">
        <w:rPr>
          <w:spacing w:val="-1"/>
          <w:sz w:val="18"/>
          <w:szCs w:val="18"/>
          <w:lang w:val="en-GB"/>
        </w:rPr>
        <w:t xml:space="preserve"> </w:t>
      </w:r>
      <w:r w:rsidRPr="00F01672">
        <w:rPr>
          <w:sz w:val="18"/>
          <w:szCs w:val="18"/>
          <w:lang w:val="en-GB"/>
        </w:rPr>
        <w:t>**p =</w:t>
      </w:r>
      <w:r w:rsidRPr="00F01672">
        <w:rPr>
          <w:spacing w:val="-1"/>
          <w:sz w:val="18"/>
          <w:szCs w:val="18"/>
          <w:lang w:val="en-GB"/>
        </w:rPr>
        <w:t xml:space="preserve"> </w:t>
      </w:r>
      <w:r w:rsidRPr="00F01672">
        <w:rPr>
          <w:sz w:val="18"/>
          <w:szCs w:val="18"/>
          <w:lang w:val="en-GB"/>
        </w:rPr>
        <w:t>0.0106,</w:t>
      </w:r>
      <w:r w:rsidRPr="00F01672">
        <w:rPr>
          <w:spacing w:val="-1"/>
          <w:sz w:val="18"/>
          <w:szCs w:val="18"/>
          <w:lang w:val="en-GB"/>
        </w:rPr>
        <w:t xml:space="preserve"> </w:t>
      </w:r>
      <w:r w:rsidRPr="00F01672">
        <w:rPr>
          <w:sz w:val="18"/>
          <w:szCs w:val="18"/>
          <w:lang w:val="en-GB"/>
        </w:rPr>
        <w:t>***p</w:t>
      </w:r>
      <w:r w:rsidRPr="00F01672">
        <w:rPr>
          <w:spacing w:val="-1"/>
          <w:sz w:val="18"/>
          <w:szCs w:val="18"/>
          <w:lang w:val="en-GB"/>
        </w:rPr>
        <w:t xml:space="preserve"> </w:t>
      </w:r>
      <w:r w:rsidRPr="00F01672">
        <w:rPr>
          <w:sz w:val="18"/>
          <w:szCs w:val="18"/>
          <w:lang w:val="en-GB"/>
        </w:rPr>
        <w:t>≤ 0.0001</w:t>
      </w:r>
    </w:p>
    <w:p w14:paraId="19D2EBCD" w14:textId="77777777" w:rsidR="006E62CD" w:rsidRPr="00F01672" w:rsidRDefault="00CB520A" w:rsidP="00D258EC">
      <w:pPr>
        <w:adjustRightInd w:val="0"/>
        <w:snapToGrid w:val="0"/>
        <w:spacing w:after="120"/>
        <w:ind w:left="108" w:rightChars="30" w:right="66"/>
        <w:contextualSpacing/>
        <w:rPr>
          <w:sz w:val="18"/>
          <w:szCs w:val="18"/>
          <w:lang w:val="en-GB"/>
        </w:rPr>
      </w:pPr>
      <w:r w:rsidRPr="00F01672">
        <w:rPr>
          <w:sz w:val="18"/>
          <w:szCs w:val="18"/>
          <w:lang w:val="en-GB"/>
        </w:rPr>
        <w:t>+</w:t>
      </w:r>
      <w:r w:rsidRPr="00F01672">
        <w:rPr>
          <w:spacing w:val="-1"/>
          <w:sz w:val="18"/>
          <w:szCs w:val="18"/>
          <w:lang w:val="en-GB"/>
        </w:rPr>
        <w:t xml:space="preserve"> </w:t>
      </w:r>
      <w:r w:rsidRPr="00F01672">
        <w:rPr>
          <w:sz w:val="18"/>
          <w:szCs w:val="18"/>
          <w:lang w:val="en-GB"/>
        </w:rPr>
        <w:t>Event</w:t>
      </w:r>
      <w:r w:rsidRPr="00F01672">
        <w:rPr>
          <w:spacing w:val="-1"/>
          <w:sz w:val="18"/>
          <w:szCs w:val="18"/>
          <w:lang w:val="en-GB"/>
        </w:rPr>
        <w:t xml:space="preserve"> </w:t>
      </w:r>
      <w:r w:rsidRPr="00F01672">
        <w:rPr>
          <w:sz w:val="18"/>
          <w:szCs w:val="18"/>
          <w:lang w:val="en-GB"/>
        </w:rPr>
        <w:t>rates based</w:t>
      </w:r>
      <w:r w:rsidRPr="00F01672">
        <w:rPr>
          <w:spacing w:val="-2"/>
          <w:sz w:val="18"/>
          <w:szCs w:val="18"/>
          <w:lang w:val="en-GB"/>
        </w:rPr>
        <w:t xml:space="preserve"> </w:t>
      </w:r>
      <w:r w:rsidRPr="00F01672">
        <w:rPr>
          <w:sz w:val="18"/>
          <w:szCs w:val="18"/>
          <w:lang w:val="en-GB"/>
        </w:rPr>
        <w:t>on</w:t>
      </w:r>
      <w:r w:rsidRPr="00F01672">
        <w:rPr>
          <w:spacing w:val="-1"/>
          <w:sz w:val="18"/>
          <w:szCs w:val="18"/>
          <w:lang w:val="en-GB"/>
        </w:rPr>
        <w:t xml:space="preserve"> </w:t>
      </w:r>
      <w:r w:rsidRPr="00F01672">
        <w:rPr>
          <w:sz w:val="18"/>
          <w:szCs w:val="18"/>
          <w:lang w:val="en-GB"/>
        </w:rPr>
        <w:t>Kaplan-Meier estimates</w:t>
      </w:r>
      <w:r w:rsidRPr="00F01672">
        <w:rPr>
          <w:spacing w:val="-1"/>
          <w:sz w:val="18"/>
          <w:szCs w:val="18"/>
          <w:lang w:val="en-GB"/>
        </w:rPr>
        <w:t xml:space="preserve"> </w:t>
      </w:r>
      <w:r w:rsidRPr="00F01672">
        <w:rPr>
          <w:sz w:val="18"/>
          <w:szCs w:val="18"/>
          <w:lang w:val="en-GB"/>
        </w:rPr>
        <w:t>at</w:t>
      </w:r>
      <w:r w:rsidRPr="00F01672">
        <w:rPr>
          <w:spacing w:val="-1"/>
          <w:sz w:val="18"/>
          <w:szCs w:val="18"/>
          <w:lang w:val="en-GB"/>
        </w:rPr>
        <w:t xml:space="preserve"> </w:t>
      </w:r>
      <w:r w:rsidRPr="00F01672">
        <w:rPr>
          <w:sz w:val="18"/>
          <w:szCs w:val="18"/>
          <w:lang w:val="en-GB"/>
        </w:rPr>
        <w:t>3 years</w:t>
      </w:r>
    </w:p>
    <w:p w14:paraId="4BACCACC" w14:textId="77777777" w:rsidR="006E62CD" w:rsidRPr="00F01672" w:rsidRDefault="00CB520A" w:rsidP="00D258EC">
      <w:pPr>
        <w:adjustRightInd w:val="0"/>
        <w:snapToGrid w:val="0"/>
        <w:spacing w:after="120"/>
        <w:ind w:left="108" w:rightChars="30" w:right="66"/>
        <w:contextualSpacing/>
        <w:rPr>
          <w:sz w:val="18"/>
          <w:szCs w:val="18"/>
          <w:lang w:val="en-GB"/>
        </w:rPr>
      </w:pPr>
      <w:r w:rsidRPr="00F01672">
        <w:rPr>
          <w:position w:val="6"/>
          <w:sz w:val="18"/>
          <w:szCs w:val="18"/>
          <w:vertAlign w:val="superscript"/>
          <w:lang w:val="en-GB"/>
        </w:rPr>
        <w:t>1</w:t>
      </w:r>
      <w:r w:rsidRPr="00F01672">
        <w:rPr>
          <w:spacing w:val="16"/>
          <w:position w:val="6"/>
          <w:sz w:val="18"/>
          <w:szCs w:val="18"/>
          <w:lang w:val="en-GB"/>
        </w:rPr>
        <w:t xml:space="preserve"> </w:t>
      </w:r>
      <w:r w:rsidRPr="00F01672">
        <w:rPr>
          <w:sz w:val="18"/>
          <w:szCs w:val="18"/>
          <w:lang w:val="en-GB"/>
        </w:rPr>
        <w:t>Includes</w:t>
      </w:r>
      <w:r w:rsidRPr="00F01672">
        <w:rPr>
          <w:spacing w:val="-1"/>
          <w:sz w:val="18"/>
          <w:szCs w:val="18"/>
          <w:lang w:val="en-GB"/>
        </w:rPr>
        <w:t xml:space="preserve"> </w:t>
      </w:r>
      <w:r w:rsidRPr="00F01672">
        <w:rPr>
          <w:sz w:val="18"/>
          <w:szCs w:val="18"/>
          <w:lang w:val="en-GB"/>
        </w:rPr>
        <w:t>clinical</w:t>
      </w:r>
      <w:r w:rsidRPr="00F01672">
        <w:rPr>
          <w:spacing w:val="-2"/>
          <w:sz w:val="18"/>
          <w:szCs w:val="18"/>
          <w:lang w:val="en-GB"/>
        </w:rPr>
        <w:t xml:space="preserve"> </w:t>
      </w:r>
      <w:r w:rsidRPr="00F01672">
        <w:rPr>
          <w:sz w:val="18"/>
          <w:szCs w:val="18"/>
          <w:lang w:val="en-GB"/>
        </w:rPr>
        <w:t>vertebral</w:t>
      </w:r>
      <w:r w:rsidRPr="00F01672">
        <w:rPr>
          <w:spacing w:val="-2"/>
          <w:sz w:val="18"/>
          <w:szCs w:val="18"/>
          <w:lang w:val="en-GB"/>
        </w:rPr>
        <w:t xml:space="preserve"> </w:t>
      </w:r>
      <w:r w:rsidRPr="00F01672">
        <w:rPr>
          <w:sz w:val="18"/>
          <w:szCs w:val="18"/>
          <w:lang w:val="en-GB"/>
        </w:rPr>
        <w:t>fractures</w:t>
      </w:r>
      <w:r w:rsidRPr="00F01672">
        <w:rPr>
          <w:spacing w:val="-1"/>
          <w:sz w:val="18"/>
          <w:szCs w:val="18"/>
          <w:lang w:val="en-GB"/>
        </w:rPr>
        <w:t xml:space="preserve"> </w:t>
      </w:r>
      <w:r w:rsidRPr="00F01672">
        <w:rPr>
          <w:sz w:val="18"/>
          <w:szCs w:val="18"/>
          <w:lang w:val="en-GB"/>
        </w:rPr>
        <w:t>and</w:t>
      </w:r>
      <w:r w:rsidRPr="00F01672">
        <w:rPr>
          <w:spacing w:val="-1"/>
          <w:sz w:val="18"/>
          <w:szCs w:val="18"/>
          <w:lang w:val="en-GB"/>
        </w:rPr>
        <w:t xml:space="preserve"> </w:t>
      </w:r>
      <w:r w:rsidRPr="00F01672">
        <w:rPr>
          <w:sz w:val="18"/>
          <w:szCs w:val="18"/>
          <w:lang w:val="en-GB"/>
        </w:rPr>
        <w:t>non-vertebral</w:t>
      </w:r>
      <w:r w:rsidRPr="00F01672">
        <w:rPr>
          <w:spacing w:val="-2"/>
          <w:sz w:val="18"/>
          <w:szCs w:val="18"/>
          <w:lang w:val="en-GB"/>
        </w:rPr>
        <w:t xml:space="preserve"> </w:t>
      </w:r>
      <w:r w:rsidRPr="00F01672">
        <w:rPr>
          <w:sz w:val="18"/>
          <w:szCs w:val="18"/>
          <w:lang w:val="en-GB"/>
        </w:rPr>
        <w:t>fractures</w:t>
      </w:r>
    </w:p>
    <w:p w14:paraId="3EECDE35" w14:textId="77777777" w:rsidR="006E62CD" w:rsidRPr="00F01672" w:rsidRDefault="00CB520A" w:rsidP="00D258EC">
      <w:pPr>
        <w:adjustRightInd w:val="0"/>
        <w:snapToGrid w:val="0"/>
        <w:spacing w:after="120"/>
        <w:ind w:left="108" w:rightChars="30" w:right="66"/>
        <w:contextualSpacing/>
        <w:rPr>
          <w:sz w:val="18"/>
          <w:szCs w:val="18"/>
          <w:lang w:val="en-GB"/>
        </w:rPr>
      </w:pPr>
      <w:r w:rsidRPr="00F01672">
        <w:rPr>
          <w:position w:val="6"/>
          <w:sz w:val="18"/>
          <w:szCs w:val="18"/>
          <w:vertAlign w:val="superscript"/>
          <w:lang w:val="en-GB"/>
        </w:rPr>
        <w:t>2</w:t>
      </w:r>
      <w:r w:rsidRPr="00F01672">
        <w:rPr>
          <w:spacing w:val="16"/>
          <w:position w:val="6"/>
          <w:sz w:val="18"/>
          <w:szCs w:val="18"/>
          <w:lang w:val="en-GB"/>
        </w:rPr>
        <w:t xml:space="preserve"> </w:t>
      </w:r>
      <w:r w:rsidRPr="00F01672">
        <w:rPr>
          <w:sz w:val="18"/>
          <w:szCs w:val="18"/>
          <w:lang w:val="en-GB"/>
        </w:rPr>
        <w:t>Excludes</w:t>
      </w:r>
      <w:r w:rsidRPr="00F01672">
        <w:rPr>
          <w:spacing w:val="-1"/>
          <w:sz w:val="18"/>
          <w:szCs w:val="18"/>
          <w:lang w:val="en-GB"/>
        </w:rPr>
        <w:t xml:space="preserve"> </w:t>
      </w:r>
      <w:r w:rsidRPr="00F01672">
        <w:rPr>
          <w:sz w:val="18"/>
          <w:szCs w:val="18"/>
          <w:lang w:val="en-GB"/>
        </w:rPr>
        <w:t>those of</w:t>
      </w:r>
      <w:r w:rsidRPr="00F01672">
        <w:rPr>
          <w:spacing w:val="-1"/>
          <w:sz w:val="18"/>
          <w:szCs w:val="18"/>
          <w:lang w:val="en-GB"/>
        </w:rPr>
        <w:t xml:space="preserve"> </w:t>
      </w:r>
      <w:r w:rsidRPr="00F01672">
        <w:rPr>
          <w:sz w:val="18"/>
          <w:szCs w:val="18"/>
          <w:lang w:val="en-GB"/>
        </w:rPr>
        <w:t>the</w:t>
      </w:r>
      <w:r w:rsidRPr="00F01672">
        <w:rPr>
          <w:spacing w:val="-2"/>
          <w:sz w:val="18"/>
          <w:szCs w:val="18"/>
          <w:lang w:val="en-GB"/>
        </w:rPr>
        <w:t xml:space="preserve"> </w:t>
      </w:r>
      <w:r w:rsidRPr="00F01672">
        <w:rPr>
          <w:sz w:val="18"/>
          <w:szCs w:val="18"/>
          <w:lang w:val="en-GB"/>
        </w:rPr>
        <w:t>vertebrae</w:t>
      </w:r>
      <w:r w:rsidRPr="00F01672">
        <w:rPr>
          <w:spacing w:val="-2"/>
          <w:sz w:val="18"/>
          <w:szCs w:val="18"/>
          <w:lang w:val="en-GB"/>
        </w:rPr>
        <w:t xml:space="preserve"> </w:t>
      </w:r>
      <w:r w:rsidRPr="00F01672">
        <w:rPr>
          <w:sz w:val="18"/>
          <w:szCs w:val="18"/>
          <w:lang w:val="en-GB"/>
        </w:rPr>
        <w:t>(cervical, thoracic, and</w:t>
      </w:r>
      <w:r w:rsidRPr="00F01672">
        <w:rPr>
          <w:spacing w:val="-1"/>
          <w:sz w:val="18"/>
          <w:szCs w:val="18"/>
          <w:lang w:val="en-GB"/>
        </w:rPr>
        <w:t xml:space="preserve"> </w:t>
      </w:r>
      <w:r w:rsidRPr="00F01672">
        <w:rPr>
          <w:sz w:val="18"/>
          <w:szCs w:val="18"/>
          <w:lang w:val="en-GB"/>
        </w:rPr>
        <w:t>lumbar),</w:t>
      </w:r>
      <w:r w:rsidRPr="00F01672">
        <w:rPr>
          <w:spacing w:val="-1"/>
          <w:sz w:val="18"/>
          <w:szCs w:val="18"/>
          <w:lang w:val="en-GB"/>
        </w:rPr>
        <w:t xml:space="preserve"> </w:t>
      </w:r>
      <w:r w:rsidRPr="00F01672">
        <w:rPr>
          <w:sz w:val="18"/>
          <w:szCs w:val="18"/>
          <w:lang w:val="en-GB"/>
        </w:rPr>
        <w:t>skull,</w:t>
      </w:r>
      <w:r w:rsidRPr="00F01672">
        <w:rPr>
          <w:spacing w:val="-1"/>
          <w:sz w:val="18"/>
          <w:szCs w:val="18"/>
          <w:lang w:val="en-GB"/>
        </w:rPr>
        <w:t xml:space="preserve"> </w:t>
      </w:r>
      <w:r w:rsidRPr="00F01672">
        <w:rPr>
          <w:sz w:val="18"/>
          <w:szCs w:val="18"/>
          <w:lang w:val="en-GB"/>
        </w:rPr>
        <w:t>facial, mandible,</w:t>
      </w:r>
      <w:r w:rsidRPr="00F01672">
        <w:rPr>
          <w:spacing w:val="-1"/>
          <w:sz w:val="18"/>
          <w:szCs w:val="18"/>
          <w:lang w:val="en-GB"/>
        </w:rPr>
        <w:t xml:space="preserve"> </w:t>
      </w:r>
      <w:r w:rsidRPr="00F01672">
        <w:rPr>
          <w:sz w:val="18"/>
          <w:szCs w:val="18"/>
          <w:lang w:val="en-GB"/>
        </w:rPr>
        <w:t>metacarpus,</w:t>
      </w:r>
      <w:r w:rsidRPr="00F01672">
        <w:rPr>
          <w:spacing w:val="-1"/>
          <w:sz w:val="18"/>
          <w:szCs w:val="18"/>
          <w:lang w:val="en-GB"/>
        </w:rPr>
        <w:t xml:space="preserve"> </w:t>
      </w:r>
      <w:r w:rsidRPr="00F01672">
        <w:rPr>
          <w:sz w:val="18"/>
          <w:szCs w:val="18"/>
          <w:lang w:val="en-GB"/>
        </w:rPr>
        <w:t>and</w:t>
      </w:r>
      <w:r w:rsidRPr="00F01672">
        <w:rPr>
          <w:spacing w:val="-47"/>
          <w:sz w:val="18"/>
          <w:szCs w:val="18"/>
          <w:lang w:val="en-GB"/>
        </w:rPr>
        <w:t xml:space="preserve"> </w:t>
      </w:r>
      <w:r w:rsidRPr="00F01672">
        <w:rPr>
          <w:sz w:val="18"/>
          <w:szCs w:val="18"/>
          <w:lang w:val="en-GB"/>
        </w:rPr>
        <w:t>finger</w:t>
      </w:r>
      <w:r w:rsidRPr="00F01672">
        <w:rPr>
          <w:spacing w:val="-1"/>
          <w:sz w:val="18"/>
          <w:szCs w:val="18"/>
          <w:lang w:val="en-GB"/>
        </w:rPr>
        <w:t xml:space="preserve"> </w:t>
      </w:r>
      <w:r w:rsidRPr="00F01672">
        <w:rPr>
          <w:sz w:val="18"/>
          <w:szCs w:val="18"/>
          <w:lang w:val="en-GB"/>
        </w:rPr>
        <w:t>and</w:t>
      </w:r>
      <w:r w:rsidRPr="00F01672">
        <w:rPr>
          <w:spacing w:val="-1"/>
          <w:sz w:val="18"/>
          <w:szCs w:val="18"/>
          <w:lang w:val="en-GB"/>
        </w:rPr>
        <w:t xml:space="preserve"> </w:t>
      </w:r>
      <w:r w:rsidRPr="00F01672">
        <w:rPr>
          <w:sz w:val="18"/>
          <w:szCs w:val="18"/>
          <w:lang w:val="en-GB"/>
        </w:rPr>
        <w:t>toe phalanges</w:t>
      </w:r>
    </w:p>
    <w:p w14:paraId="00AC155A" w14:textId="77777777" w:rsidR="006E62CD" w:rsidRPr="00EE2E24" w:rsidRDefault="00CB520A" w:rsidP="00D258EC">
      <w:pPr>
        <w:adjustRightInd w:val="0"/>
        <w:snapToGrid w:val="0"/>
        <w:spacing w:after="120"/>
        <w:ind w:left="108" w:rightChars="30" w:right="66"/>
        <w:contextualSpacing/>
        <w:rPr>
          <w:sz w:val="18"/>
          <w:lang w:val="en-GB"/>
        </w:rPr>
      </w:pPr>
      <w:r w:rsidRPr="00F01672">
        <w:rPr>
          <w:position w:val="6"/>
          <w:sz w:val="18"/>
          <w:szCs w:val="18"/>
          <w:vertAlign w:val="superscript"/>
          <w:lang w:val="en-GB"/>
        </w:rPr>
        <w:t>3</w:t>
      </w:r>
      <w:r w:rsidRPr="00F01672">
        <w:rPr>
          <w:spacing w:val="16"/>
          <w:position w:val="6"/>
          <w:sz w:val="18"/>
          <w:szCs w:val="18"/>
          <w:lang w:val="en-GB"/>
        </w:rPr>
        <w:t xml:space="preserve"> </w:t>
      </w:r>
      <w:r w:rsidRPr="00F01672">
        <w:rPr>
          <w:sz w:val="18"/>
          <w:szCs w:val="18"/>
          <w:lang w:val="en-GB"/>
        </w:rPr>
        <w:t>Includes</w:t>
      </w:r>
      <w:r w:rsidRPr="00F01672">
        <w:rPr>
          <w:spacing w:val="-1"/>
          <w:sz w:val="18"/>
          <w:szCs w:val="18"/>
          <w:lang w:val="en-GB"/>
        </w:rPr>
        <w:t xml:space="preserve"> </w:t>
      </w:r>
      <w:r w:rsidRPr="00F01672">
        <w:rPr>
          <w:sz w:val="18"/>
          <w:szCs w:val="18"/>
          <w:lang w:val="en-GB"/>
        </w:rPr>
        <w:t>pelvis, distal</w:t>
      </w:r>
      <w:r w:rsidRPr="00F01672">
        <w:rPr>
          <w:spacing w:val="-1"/>
          <w:sz w:val="18"/>
          <w:szCs w:val="18"/>
          <w:lang w:val="en-GB"/>
        </w:rPr>
        <w:t xml:space="preserve"> </w:t>
      </w:r>
      <w:r w:rsidRPr="00F01672">
        <w:rPr>
          <w:sz w:val="18"/>
          <w:szCs w:val="18"/>
          <w:lang w:val="en-GB"/>
        </w:rPr>
        <w:t>femur</w:t>
      </w:r>
      <w:r w:rsidRPr="00F01672">
        <w:rPr>
          <w:spacing w:val="-1"/>
          <w:sz w:val="18"/>
          <w:szCs w:val="18"/>
          <w:lang w:val="en-GB"/>
        </w:rPr>
        <w:t xml:space="preserve"> </w:t>
      </w:r>
      <w:r w:rsidRPr="00F01672">
        <w:rPr>
          <w:sz w:val="18"/>
          <w:szCs w:val="18"/>
          <w:lang w:val="en-GB"/>
        </w:rPr>
        <w:t>(i.e.</w:t>
      </w:r>
      <w:r w:rsidRPr="00F01672">
        <w:rPr>
          <w:spacing w:val="-1"/>
          <w:sz w:val="18"/>
          <w:szCs w:val="18"/>
          <w:lang w:val="en-GB"/>
        </w:rPr>
        <w:t xml:space="preserve"> </w:t>
      </w:r>
      <w:r w:rsidRPr="00F01672">
        <w:rPr>
          <w:sz w:val="18"/>
          <w:szCs w:val="18"/>
          <w:lang w:val="en-GB"/>
        </w:rPr>
        <w:t>femur excluding</w:t>
      </w:r>
      <w:r w:rsidRPr="00F01672">
        <w:rPr>
          <w:spacing w:val="-2"/>
          <w:sz w:val="18"/>
          <w:szCs w:val="18"/>
          <w:lang w:val="en-GB"/>
        </w:rPr>
        <w:t xml:space="preserve"> </w:t>
      </w:r>
      <w:r w:rsidRPr="00F01672">
        <w:rPr>
          <w:sz w:val="18"/>
          <w:szCs w:val="18"/>
          <w:lang w:val="en-GB"/>
        </w:rPr>
        <w:t>hip),</w:t>
      </w:r>
      <w:r w:rsidRPr="00F01672">
        <w:rPr>
          <w:spacing w:val="-1"/>
          <w:sz w:val="18"/>
          <w:szCs w:val="18"/>
          <w:lang w:val="en-GB"/>
        </w:rPr>
        <w:t xml:space="preserve"> </w:t>
      </w:r>
      <w:r w:rsidRPr="00F01672">
        <w:rPr>
          <w:sz w:val="18"/>
          <w:szCs w:val="18"/>
          <w:lang w:val="en-GB"/>
        </w:rPr>
        <w:t>proximal tibia</w:t>
      </w:r>
      <w:r w:rsidRPr="00F01672">
        <w:rPr>
          <w:spacing w:val="-1"/>
          <w:sz w:val="18"/>
          <w:szCs w:val="18"/>
          <w:lang w:val="en-GB"/>
        </w:rPr>
        <w:t xml:space="preserve"> </w:t>
      </w:r>
      <w:r w:rsidRPr="00F01672">
        <w:rPr>
          <w:sz w:val="18"/>
          <w:szCs w:val="18"/>
          <w:lang w:val="en-GB"/>
        </w:rPr>
        <w:t>(i.e.</w:t>
      </w:r>
      <w:r w:rsidRPr="00F01672">
        <w:rPr>
          <w:spacing w:val="-1"/>
          <w:sz w:val="18"/>
          <w:szCs w:val="18"/>
          <w:lang w:val="en-GB"/>
        </w:rPr>
        <w:t xml:space="preserve"> </w:t>
      </w:r>
      <w:r w:rsidRPr="00F01672">
        <w:rPr>
          <w:sz w:val="18"/>
          <w:szCs w:val="18"/>
          <w:lang w:val="en-GB"/>
        </w:rPr>
        <w:t>tibia</w:t>
      </w:r>
      <w:r w:rsidRPr="00F01672">
        <w:rPr>
          <w:spacing w:val="-1"/>
          <w:sz w:val="18"/>
          <w:szCs w:val="18"/>
          <w:lang w:val="en-GB"/>
        </w:rPr>
        <w:t xml:space="preserve"> </w:t>
      </w:r>
      <w:r w:rsidRPr="00F01672">
        <w:rPr>
          <w:sz w:val="18"/>
          <w:szCs w:val="18"/>
          <w:lang w:val="en-GB"/>
        </w:rPr>
        <w:t>excluding ankle),</w:t>
      </w:r>
      <w:r w:rsidRPr="00F01672">
        <w:rPr>
          <w:spacing w:val="-1"/>
          <w:sz w:val="18"/>
          <w:szCs w:val="18"/>
          <w:lang w:val="en-GB"/>
        </w:rPr>
        <w:t xml:space="preserve"> </w:t>
      </w:r>
      <w:r w:rsidRPr="00F01672">
        <w:rPr>
          <w:sz w:val="18"/>
          <w:szCs w:val="18"/>
          <w:lang w:val="en-GB"/>
        </w:rPr>
        <w:t>ribs,</w:t>
      </w:r>
      <w:r w:rsidRPr="00F01672">
        <w:rPr>
          <w:spacing w:val="-47"/>
          <w:sz w:val="18"/>
          <w:szCs w:val="18"/>
          <w:lang w:val="en-GB"/>
        </w:rPr>
        <w:t xml:space="preserve"> </w:t>
      </w:r>
      <w:r w:rsidRPr="00F01672">
        <w:rPr>
          <w:sz w:val="18"/>
          <w:szCs w:val="18"/>
          <w:lang w:val="en-GB"/>
        </w:rPr>
        <w:t>proximal</w:t>
      </w:r>
      <w:r w:rsidRPr="00F01672">
        <w:rPr>
          <w:spacing w:val="-1"/>
          <w:sz w:val="18"/>
          <w:szCs w:val="18"/>
          <w:lang w:val="en-GB"/>
        </w:rPr>
        <w:t xml:space="preserve"> </w:t>
      </w:r>
      <w:r w:rsidRPr="00F01672">
        <w:rPr>
          <w:sz w:val="18"/>
          <w:szCs w:val="18"/>
          <w:lang w:val="en-GB"/>
        </w:rPr>
        <w:t>humerus (i.e.</w:t>
      </w:r>
      <w:r w:rsidRPr="00EE2E24">
        <w:rPr>
          <w:sz w:val="18"/>
          <w:lang w:val="en-GB"/>
        </w:rPr>
        <w:t xml:space="preserve"> humerus excluding elbow), forearm,</w:t>
      </w:r>
      <w:r w:rsidRPr="00EE2E24">
        <w:rPr>
          <w:spacing w:val="1"/>
          <w:sz w:val="18"/>
          <w:lang w:val="en-GB"/>
        </w:rPr>
        <w:t xml:space="preserve"> </w:t>
      </w:r>
      <w:r w:rsidRPr="00EE2E24">
        <w:rPr>
          <w:sz w:val="18"/>
          <w:lang w:val="en-GB"/>
        </w:rPr>
        <w:t>and hip</w:t>
      </w:r>
    </w:p>
    <w:p w14:paraId="64BBC63B" w14:textId="77777777" w:rsidR="006E62CD" w:rsidRPr="00F01672" w:rsidRDefault="00CB520A" w:rsidP="00D258EC">
      <w:pPr>
        <w:adjustRightInd w:val="0"/>
        <w:snapToGrid w:val="0"/>
        <w:spacing w:after="120"/>
        <w:ind w:left="108" w:rightChars="30" w:right="66"/>
        <w:contextualSpacing/>
        <w:rPr>
          <w:sz w:val="18"/>
          <w:szCs w:val="18"/>
          <w:lang w:val="en-GB"/>
        </w:rPr>
      </w:pPr>
      <w:r w:rsidRPr="00F01672">
        <w:rPr>
          <w:position w:val="6"/>
          <w:sz w:val="18"/>
          <w:szCs w:val="18"/>
          <w:lang w:val="en-GB"/>
        </w:rPr>
        <w:t>4</w:t>
      </w:r>
      <w:r w:rsidRPr="00F01672">
        <w:rPr>
          <w:spacing w:val="16"/>
          <w:position w:val="6"/>
          <w:sz w:val="18"/>
          <w:szCs w:val="18"/>
          <w:lang w:val="en-GB"/>
        </w:rPr>
        <w:t xml:space="preserve"> </w:t>
      </w:r>
      <w:r w:rsidRPr="00F01672">
        <w:rPr>
          <w:sz w:val="18"/>
          <w:szCs w:val="18"/>
          <w:lang w:val="en-GB"/>
        </w:rPr>
        <w:t>Includes</w:t>
      </w:r>
      <w:r w:rsidRPr="00F01672">
        <w:rPr>
          <w:spacing w:val="-1"/>
          <w:sz w:val="18"/>
          <w:szCs w:val="18"/>
          <w:lang w:val="en-GB"/>
        </w:rPr>
        <w:t xml:space="preserve"> </w:t>
      </w:r>
      <w:r w:rsidRPr="00F01672">
        <w:rPr>
          <w:sz w:val="18"/>
          <w:szCs w:val="18"/>
          <w:lang w:val="en-GB"/>
        </w:rPr>
        <w:t>clinical</w:t>
      </w:r>
      <w:r w:rsidRPr="00F01672">
        <w:rPr>
          <w:spacing w:val="-1"/>
          <w:sz w:val="18"/>
          <w:szCs w:val="18"/>
          <w:lang w:val="en-GB"/>
        </w:rPr>
        <w:t xml:space="preserve"> </w:t>
      </w:r>
      <w:r w:rsidRPr="00F01672">
        <w:rPr>
          <w:sz w:val="18"/>
          <w:szCs w:val="18"/>
          <w:lang w:val="en-GB"/>
        </w:rPr>
        <w:t>vertebral,</w:t>
      </w:r>
      <w:r w:rsidRPr="00F01672">
        <w:rPr>
          <w:spacing w:val="-1"/>
          <w:sz w:val="18"/>
          <w:szCs w:val="18"/>
          <w:lang w:val="en-GB"/>
        </w:rPr>
        <w:t xml:space="preserve"> </w:t>
      </w:r>
      <w:r w:rsidRPr="00F01672">
        <w:rPr>
          <w:sz w:val="18"/>
          <w:szCs w:val="18"/>
          <w:lang w:val="en-GB"/>
        </w:rPr>
        <w:t>hip, forearm,</w:t>
      </w:r>
      <w:r w:rsidRPr="00F01672">
        <w:rPr>
          <w:spacing w:val="-1"/>
          <w:sz w:val="18"/>
          <w:szCs w:val="18"/>
          <w:lang w:val="en-GB"/>
        </w:rPr>
        <w:t xml:space="preserve"> </w:t>
      </w:r>
      <w:r w:rsidRPr="00F01672">
        <w:rPr>
          <w:sz w:val="18"/>
          <w:szCs w:val="18"/>
          <w:lang w:val="en-GB"/>
        </w:rPr>
        <w:t>and</w:t>
      </w:r>
      <w:r w:rsidRPr="00F01672">
        <w:rPr>
          <w:spacing w:val="-1"/>
          <w:sz w:val="18"/>
          <w:szCs w:val="18"/>
          <w:lang w:val="en-GB"/>
        </w:rPr>
        <w:t xml:space="preserve"> </w:t>
      </w:r>
      <w:r w:rsidRPr="00F01672">
        <w:rPr>
          <w:sz w:val="18"/>
          <w:szCs w:val="18"/>
          <w:lang w:val="en-GB"/>
        </w:rPr>
        <w:t>humerus</w:t>
      </w:r>
      <w:r w:rsidRPr="00F01672">
        <w:rPr>
          <w:spacing w:val="-1"/>
          <w:sz w:val="18"/>
          <w:szCs w:val="18"/>
          <w:lang w:val="en-GB"/>
        </w:rPr>
        <w:t xml:space="preserve"> </w:t>
      </w:r>
      <w:r w:rsidRPr="00F01672">
        <w:rPr>
          <w:sz w:val="18"/>
          <w:szCs w:val="18"/>
          <w:lang w:val="en-GB"/>
        </w:rPr>
        <w:t>fractures,</w:t>
      </w:r>
      <w:r w:rsidRPr="00F01672">
        <w:rPr>
          <w:spacing w:val="-1"/>
          <w:sz w:val="18"/>
          <w:szCs w:val="18"/>
          <w:lang w:val="en-GB"/>
        </w:rPr>
        <w:t xml:space="preserve"> </w:t>
      </w:r>
      <w:r w:rsidRPr="00F01672">
        <w:rPr>
          <w:sz w:val="18"/>
          <w:szCs w:val="18"/>
          <w:lang w:val="en-GB"/>
        </w:rPr>
        <w:t>as</w:t>
      </w:r>
      <w:r w:rsidRPr="00F01672">
        <w:rPr>
          <w:spacing w:val="-1"/>
          <w:sz w:val="18"/>
          <w:szCs w:val="18"/>
          <w:lang w:val="en-GB"/>
        </w:rPr>
        <w:t xml:space="preserve"> </w:t>
      </w:r>
      <w:r w:rsidRPr="00F01672">
        <w:rPr>
          <w:sz w:val="18"/>
          <w:szCs w:val="18"/>
          <w:lang w:val="en-GB"/>
        </w:rPr>
        <w:t>defined</w:t>
      </w:r>
      <w:r w:rsidRPr="00F01672">
        <w:rPr>
          <w:spacing w:val="-1"/>
          <w:sz w:val="18"/>
          <w:szCs w:val="18"/>
          <w:lang w:val="en-GB"/>
        </w:rPr>
        <w:t xml:space="preserve"> </w:t>
      </w:r>
      <w:r w:rsidRPr="00F01672">
        <w:rPr>
          <w:sz w:val="18"/>
          <w:szCs w:val="18"/>
          <w:lang w:val="en-GB"/>
        </w:rPr>
        <w:t>by the</w:t>
      </w:r>
      <w:r w:rsidRPr="00F01672">
        <w:rPr>
          <w:spacing w:val="-2"/>
          <w:sz w:val="18"/>
          <w:szCs w:val="18"/>
          <w:lang w:val="en-GB"/>
        </w:rPr>
        <w:t xml:space="preserve"> </w:t>
      </w:r>
      <w:r w:rsidRPr="00F01672">
        <w:rPr>
          <w:sz w:val="18"/>
          <w:szCs w:val="18"/>
          <w:lang w:val="en-GB"/>
        </w:rPr>
        <w:t>WHO</w:t>
      </w:r>
    </w:p>
    <w:p w14:paraId="1E64EBDA" w14:textId="51AB2505"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Women in the FREEDOM study had a mean baseline BMD T-score of -2.2 at the femoral</w:t>
      </w:r>
      <w:r w:rsidRPr="008C7AC6">
        <w:rPr>
          <w:lang w:val="en-GB"/>
        </w:rPr>
        <w:t xml:space="preserve"> </w:t>
      </w:r>
      <w:r w:rsidRPr="00EE2E24">
        <w:rPr>
          <w:lang w:val="en-GB"/>
        </w:rPr>
        <w:t>neck.</w:t>
      </w:r>
      <w:r w:rsidRPr="008C7AC6">
        <w:rPr>
          <w:lang w:val="en-GB"/>
        </w:rPr>
        <w:t xml:space="preserve"> </w:t>
      </w:r>
      <w:r w:rsidRPr="00EE2E24">
        <w:rPr>
          <w:lang w:val="en-GB"/>
        </w:rPr>
        <w:t xml:space="preserve">In women with baseline femoral neck BMD ≤ -2.5, </w:t>
      </w:r>
      <w:r w:rsidR="00E54398">
        <w:rPr>
          <w:lang w:val="en-GB"/>
        </w:rPr>
        <w:t>denosumab</w:t>
      </w:r>
      <w:r w:rsidR="008C7AC6" w:rsidRPr="003444E8">
        <w:rPr>
          <w:lang w:val="en-GB"/>
        </w:rPr>
        <w:t xml:space="preserve"> </w:t>
      </w:r>
      <w:r w:rsidRPr="00EE2E24">
        <w:rPr>
          <w:lang w:val="en-GB"/>
        </w:rPr>
        <w:t>reduced the incidence of</w:t>
      </w:r>
      <w:r w:rsidRPr="008C7AC6">
        <w:rPr>
          <w:lang w:val="en-GB"/>
        </w:rPr>
        <w:t xml:space="preserve"> </w:t>
      </w:r>
      <w:r w:rsidRPr="00EE2E24">
        <w:rPr>
          <w:lang w:val="en-GB"/>
        </w:rPr>
        <w:t>non-vertebral</w:t>
      </w:r>
      <w:r w:rsidRPr="008C7AC6">
        <w:rPr>
          <w:lang w:val="en-GB"/>
        </w:rPr>
        <w:t xml:space="preserve"> </w:t>
      </w:r>
      <w:r w:rsidRPr="00EE2E24">
        <w:rPr>
          <w:lang w:val="en-GB"/>
        </w:rPr>
        <w:t>fracture</w:t>
      </w:r>
      <w:r w:rsidRPr="008C7AC6">
        <w:rPr>
          <w:lang w:val="en-GB"/>
        </w:rPr>
        <w:t xml:space="preserve"> </w:t>
      </w:r>
      <w:r w:rsidRPr="00EE2E24">
        <w:rPr>
          <w:lang w:val="en-GB"/>
        </w:rPr>
        <w:t>(35%</w:t>
      </w:r>
      <w:r w:rsidRPr="008C7AC6">
        <w:rPr>
          <w:lang w:val="en-GB"/>
        </w:rPr>
        <w:t xml:space="preserve"> </w:t>
      </w:r>
      <w:r w:rsidRPr="00EE2E24">
        <w:rPr>
          <w:lang w:val="en-GB"/>
        </w:rPr>
        <w:t>relative</w:t>
      </w:r>
      <w:r w:rsidRPr="008C7AC6">
        <w:rPr>
          <w:lang w:val="en-GB"/>
        </w:rPr>
        <w:t xml:space="preserve"> </w:t>
      </w:r>
      <w:r w:rsidRPr="00EE2E24">
        <w:rPr>
          <w:lang w:val="en-GB"/>
        </w:rPr>
        <w:t>risk</w:t>
      </w:r>
      <w:r w:rsidRPr="008C7AC6">
        <w:rPr>
          <w:lang w:val="en-GB"/>
        </w:rPr>
        <w:t xml:space="preserve"> </w:t>
      </w:r>
      <w:r w:rsidRPr="00EE2E24">
        <w:rPr>
          <w:lang w:val="en-GB"/>
        </w:rPr>
        <w:t>reduction,</w:t>
      </w:r>
      <w:r w:rsidRPr="008C7AC6">
        <w:rPr>
          <w:lang w:val="en-GB"/>
        </w:rPr>
        <w:t xml:space="preserve"> </w:t>
      </w:r>
      <w:r w:rsidRPr="00EE2E24">
        <w:rPr>
          <w:lang w:val="en-GB"/>
        </w:rPr>
        <w:t>4.1%</w:t>
      </w:r>
      <w:r w:rsidRPr="008C7AC6">
        <w:rPr>
          <w:lang w:val="en-GB"/>
        </w:rPr>
        <w:t xml:space="preserve"> </w:t>
      </w:r>
      <w:r w:rsidRPr="00EE2E24">
        <w:rPr>
          <w:lang w:val="en-GB"/>
        </w:rPr>
        <w:t>absolute</w:t>
      </w:r>
      <w:r w:rsidRPr="008C7AC6">
        <w:rPr>
          <w:lang w:val="en-GB"/>
        </w:rPr>
        <w:t xml:space="preserve"> </w:t>
      </w:r>
      <w:r w:rsidRPr="00EE2E24">
        <w:rPr>
          <w:lang w:val="en-GB"/>
        </w:rPr>
        <w:t>risk</w:t>
      </w:r>
      <w:r w:rsidRPr="008C7AC6">
        <w:rPr>
          <w:lang w:val="en-GB"/>
        </w:rPr>
        <w:t xml:space="preserve"> </w:t>
      </w:r>
      <w:r w:rsidRPr="00EE2E24">
        <w:rPr>
          <w:lang w:val="en-GB"/>
        </w:rPr>
        <w:t>reduction,</w:t>
      </w:r>
      <w:r w:rsidR="008C7AC6">
        <w:rPr>
          <w:lang w:val="en-GB"/>
        </w:rPr>
        <w:t xml:space="preserve"> </w:t>
      </w:r>
      <w:r w:rsidRPr="00EE2E24">
        <w:rPr>
          <w:lang w:val="en-GB"/>
        </w:rPr>
        <w:t>p</w:t>
      </w:r>
      <w:r w:rsidRPr="008C7AC6">
        <w:rPr>
          <w:lang w:val="en-GB"/>
        </w:rPr>
        <w:t xml:space="preserve"> </w:t>
      </w:r>
      <w:r w:rsidRPr="00EE2E24">
        <w:rPr>
          <w:lang w:val="en-GB"/>
        </w:rPr>
        <w:t>&lt;</w:t>
      </w:r>
      <w:r w:rsidRPr="008C7AC6">
        <w:rPr>
          <w:lang w:val="en-GB"/>
        </w:rPr>
        <w:t xml:space="preserve"> </w:t>
      </w:r>
      <w:r w:rsidRPr="00EE2E24">
        <w:rPr>
          <w:lang w:val="en-GB"/>
        </w:rPr>
        <w:t>0.001).</w:t>
      </w:r>
    </w:p>
    <w:p w14:paraId="6AAD3D04" w14:textId="2DB81C0A"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The reduction in the incidence of new vertebral fractures, hip fractures and non-vertebral</w:t>
      </w:r>
      <w:r w:rsidRPr="008C7AC6">
        <w:rPr>
          <w:lang w:val="en-GB"/>
        </w:rPr>
        <w:t xml:space="preserve"> </w:t>
      </w:r>
      <w:r w:rsidRPr="00EE2E24">
        <w:rPr>
          <w:lang w:val="en-GB"/>
        </w:rPr>
        <w:t xml:space="preserve">fractures by </w:t>
      </w:r>
      <w:r w:rsidR="00E54398">
        <w:rPr>
          <w:lang w:val="en-GB"/>
        </w:rPr>
        <w:t>denosumab</w:t>
      </w:r>
      <w:r w:rsidR="008C7AC6" w:rsidRPr="003444E8">
        <w:rPr>
          <w:lang w:val="en-GB"/>
        </w:rPr>
        <w:t xml:space="preserve"> </w:t>
      </w:r>
      <w:r w:rsidRPr="00EE2E24">
        <w:rPr>
          <w:lang w:val="en-GB"/>
        </w:rPr>
        <w:t>over 3 years were consistent regardless of the 10-year baseline</w:t>
      </w:r>
      <w:r w:rsidRPr="008C7AC6">
        <w:rPr>
          <w:lang w:val="en-GB"/>
        </w:rPr>
        <w:t xml:space="preserve"> </w:t>
      </w:r>
      <w:r w:rsidRPr="00EE2E24">
        <w:rPr>
          <w:lang w:val="en-GB"/>
        </w:rPr>
        <w:t>fracture</w:t>
      </w:r>
      <w:r w:rsidRPr="008C7AC6">
        <w:rPr>
          <w:lang w:val="en-GB"/>
        </w:rPr>
        <w:t xml:space="preserve"> </w:t>
      </w:r>
      <w:r w:rsidRPr="00EE2E24">
        <w:rPr>
          <w:lang w:val="en-GB"/>
        </w:rPr>
        <w:t>risk</w:t>
      </w:r>
      <w:r w:rsidRPr="008C7AC6">
        <w:rPr>
          <w:lang w:val="en-GB"/>
        </w:rPr>
        <w:t xml:space="preserve"> </w:t>
      </w:r>
      <w:r w:rsidRPr="00EE2E24">
        <w:rPr>
          <w:lang w:val="en-GB"/>
        </w:rPr>
        <w:t>as assessed</w:t>
      </w:r>
      <w:r w:rsidRPr="008C7AC6">
        <w:rPr>
          <w:lang w:val="en-GB"/>
        </w:rPr>
        <w:t xml:space="preserve"> </w:t>
      </w:r>
      <w:r w:rsidRPr="00EE2E24">
        <w:rPr>
          <w:lang w:val="en-GB"/>
        </w:rPr>
        <w:t>by FRAX.</w:t>
      </w:r>
    </w:p>
    <w:p w14:paraId="130AB16D" w14:textId="77777777" w:rsidR="006E62CD" w:rsidRPr="00EE2E24" w:rsidRDefault="00CB520A" w:rsidP="00D258EC">
      <w:pPr>
        <w:pStyle w:val="Heading3"/>
        <w:adjustRightInd w:val="0"/>
        <w:snapToGrid w:val="0"/>
        <w:spacing w:before="60" w:after="60" w:line="360" w:lineRule="auto"/>
        <w:ind w:left="108" w:rightChars="30" w:right="66"/>
        <w:rPr>
          <w:lang w:val="en-GB"/>
        </w:rPr>
      </w:pPr>
      <w:r w:rsidRPr="00EE2E24">
        <w:rPr>
          <w:lang w:val="en-GB"/>
        </w:rPr>
        <w:t>Effect</w:t>
      </w:r>
      <w:r w:rsidRPr="00EE2E24">
        <w:rPr>
          <w:spacing w:val="-3"/>
          <w:lang w:val="en-GB"/>
        </w:rPr>
        <w:t xml:space="preserve"> </w:t>
      </w:r>
      <w:r w:rsidRPr="00EE2E24">
        <w:rPr>
          <w:lang w:val="en-GB"/>
        </w:rPr>
        <w:t>on</w:t>
      </w:r>
      <w:r w:rsidRPr="00EE2E24">
        <w:rPr>
          <w:spacing w:val="-1"/>
          <w:lang w:val="en-GB"/>
        </w:rPr>
        <w:t xml:space="preserve"> </w:t>
      </w:r>
      <w:r w:rsidRPr="00EE2E24">
        <w:rPr>
          <w:lang w:val="en-GB"/>
        </w:rPr>
        <w:t>bone</w:t>
      </w:r>
      <w:r w:rsidRPr="00EE2E24">
        <w:rPr>
          <w:spacing w:val="-2"/>
          <w:lang w:val="en-GB"/>
        </w:rPr>
        <w:t xml:space="preserve"> </w:t>
      </w:r>
      <w:r w:rsidRPr="00EE2E24">
        <w:rPr>
          <w:lang w:val="en-GB"/>
        </w:rPr>
        <w:t>mineral</w:t>
      </w:r>
      <w:r w:rsidRPr="00EE2E24">
        <w:rPr>
          <w:spacing w:val="-2"/>
          <w:lang w:val="en-GB"/>
        </w:rPr>
        <w:t xml:space="preserve"> </w:t>
      </w:r>
      <w:r w:rsidRPr="00EE2E24">
        <w:rPr>
          <w:lang w:val="en-GB"/>
        </w:rPr>
        <w:t>density</w:t>
      </w:r>
    </w:p>
    <w:p w14:paraId="2B1247EE" w14:textId="5B6DD4D4" w:rsidR="006E62CD" w:rsidRPr="00EE2E24" w:rsidRDefault="00E54398" w:rsidP="00D258EC">
      <w:pPr>
        <w:pStyle w:val="BodyText"/>
        <w:adjustRightInd w:val="0"/>
        <w:snapToGrid w:val="0"/>
        <w:spacing w:before="60" w:after="60" w:line="360" w:lineRule="auto"/>
        <w:ind w:left="108" w:rightChars="30" w:right="66"/>
        <w:rPr>
          <w:lang w:val="en-GB"/>
        </w:rPr>
      </w:pPr>
      <w:r>
        <w:rPr>
          <w:lang w:val="en-GB"/>
        </w:rPr>
        <w:t>Denosumab</w:t>
      </w:r>
      <w:r w:rsidR="00F53BC2" w:rsidRPr="003444E8">
        <w:rPr>
          <w:lang w:val="en-GB"/>
        </w:rPr>
        <w:t xml:space="preserve"> </w:t>
      </w:r>
      <w:r w:rsidR="00CB520A" w:rsidRPr="00EE2E24">
        <w:rPr>
          <w:lang w:val="en-GB"/>
        </w:rPr>
        <w:t>significantly increased BMD at all clinical sites measured, relative to treatment with</w:t>
      </w:r>
      <w:r w:rsidR="00CB520A" w:rsidRPr="00F53BC2">
        <w:rPr>
          <w:lang w:val="en-GB"/>
        </w:rPr>
        <w:t xml:space="preserve"> </w:t>
      </w:r>
      <w:r w:rsidR="00CB520A" w:rsidRPr="00EE2E24">
        <w:rPr>
          <w:lang w:val="en-GB"/>
        </w:rPr>
        <w:t>placebo at 1, 2 and 3 years in FREEDOM.</w:t>
      </w:r>
      <w:r w:rsidR="00CB520A" w:rsidRPr="00F53BC2">
        <w:rPr>
          <w:lang w:val="en-GB"/>
        </w:rPr>
        <w:t xml:space="preserve"> </w:t>
      </w:r>
      <w:r>
        <w:rPr>
          <w:lang w:val="en-GB"/>
        </w:rPr>
        <w:t>Denosumab</w:t>
      </w:r>
      <w:r w:rsidR="00F53BC2" w:rsidRPr="003444E8">
        <w:rPr>
          <w:lang w:val="en-GB"/>
        </w:rPr>
        <w:t xml:space="preserve"> </w:t>
      </w:r>
      <w:r w:rsidR="00CB520A" w:rsidRPr="00EE2E24">
        <w:rPr>
          <w:lang w:val="en-GB"/>
        </w:rPr>
        <w:t>increased BMD by 9.2% at the lumbar</w:t>
      </w:r>
      <w:r w:rsidR="00CB520A" w:rsidRPr="00F53BC2">
        <w:rPr>
          <w:lang w:val="en-GB"/>
        </w:rPr>
        <w:t xml:space="preserve"> </w:t>
      </w:r>
      <w:r w:rsidR="00CB520A" w:rsidRPr="00EE2E24">
        <w:rPr>
          <w:lang w:val="en-GB"/>
        </w:rPr>
        <w:t>spine, 6.0% at the total hip, 4.8% at the femoral neck, 7.9% at the hip trochanter, 3.5% at</w:t>
      </w:r>
      <w:r w:rsidR="00CB520A" w:rsidRPr="00F53BC2">
        <w:rPr>
          <w:lang w:val="en-GB"/>
        </w:rPr>
        <w:t xml:space="preserve"> </w:t>
      </w:r>
      <w:r w:rsidR="00CB520A" w:rsidRPr="00EE2E24">
        <w:rPr>
          <w:lang w:val="en-GB"/>
        </w:rPr>
        <w:t>the</w:t>
      </w:r>
      <w:r w:rsidR="00CB520A" w:rsidRPr="00F53BC2">
        <w:rPr>
          <w:lang w:val="en-GB"/>
        </w:rPr>
        <w:t xml:space="preserve"> </w:t>
      </w:r>
      <w:r w:rsidR="00CB520A" w:rsidRPr="00EE2E24">
        <w:rPr>
          <w:lang w:val="en-GB"/>
        </w:rPr>
        <w:t>distal</w:t>
      </w:r>
      <w:r w:rsidR="00CB520A" w:rsidRPr="00F53BC2">
        <w:rPr>
          <w:lang w:val="en-GB"/>
        </w:rPr>
        <w:t xml:space="preserve"> </w:t>
      </w:r>
      <w:r w:rsidR="00CB520A" w:rsidRPr="00EE2E24">
        <w:rPr>
          <w:lang w:val="en-GB"/>
        </w:rPr>
        <w:t>1/3</w:t>
      </w:r>
      <w:r w:rsidR="00CB520A" w:rsidRPr="00F53BC2">
        <w:rPr>
          <w:lang w:val="en-GB"/>
        </w:rPr>
        <w:t xml:space="preserve"> </w:t>
      </w:r>
      <w:r w:rsidR="00CB520A" w:rsidRPr="00EE2E24">
        <w:rPr>
          <w:lang w:val="en-GB"/>
        </w:rPr>
        <w:t>radius</w:t>
      </w:r>
      <w:r w:rsidR="00CB520A" w:rsidRPr="00F53BC2">
        <w:rPr>
          <w:lang w:val="en-GB"/>
        </w:rPr>
        <w:t xml:space="preserve"> </w:t>
      </w:r>
      <w:r w:rsidR="00CB520A" w:rsidRPr="00EE2E24">
        <w:rPr>
          <w:lang w:val="en-GB"/>
        </w:rPr>
        <w:t>and</w:t>
      </w:r>
      <w:r w:rsidR="00CB520A" w:rsidRPr="00F53BC2">
        <w:rPr>
          <w:lang w:val="en-GB"/>
        </w:rPr>
        <w:t xml:space="preserve"> </w:t>
      </w:r>
      <w:r w:rsidR="00CB520A" w:rsidRPr="00EE2E24">
        <w:rPr>
          <w:lang w:val="en-GB"/>
        </w:rPr>
        <w:t>4.1%</w:t>
      </w:r>
      <w:r w:rsidR="00CB520A" w:rsidRPr="00F53BC2">
        <w:rPr>
          <w:lang w:val="en-GB"/>
        </w:rPr>
        <w:t xml:space="preserve"> </w:t>
      </w:r>
      <w:r w:rsidR="00CB520A" w:rsidRPr="00EE2E24">
        <w:rPr>
          <w:lang w:val="en-GB"/>
        </w:rPr>
        <w:t>at the</w:t>
      </w:r>
      <w:r w:rsidR="00CB520A" w:rsidRPr="00F53BC2">
        <w:rPr>
          <w:lang w:val="en-GB"/>
        </w:rPr>
        <w:t xml:space="preserve"> </w:t>
      </w:r>
      <w:r w:rsidR="00CB520A" w:rsidRPr="00EE2E24">
        <w:rPr>
          <w:lang w:val="en-GB"/>
        </w:rPr>
        <w:t>total</w:t>
      </w:r>
      <w:r w:rsidR="00CB520A" w:rsidRPr="00F53BC2">
        <w:rPr>
          <w:lang w:val="en-GB"/>
        </w:rPr>
        <w:t xml:space="preserve"> </w:t>
      </w:r>
      <w:r w:rsidR="00CB520A" w:rsidRPr="00EE2E24">
        <w:rPr>
          <w:lang w:val="en-GB"/>
        </w:rPr>
        <w:t>body</w:t>
      </w:r>
      <w:r w:rsidR="00CB520A" w:rsidRPr="00F53BC2">
        <w:rPr>
          <w:lang w:val="en-GB"/>
        </w:rPr>
        <w:t xml:space="preserve"> </w:t>
      </w:r>
      <w:r w:rsidR="00CB520A" w:rsidRPr="00EE2E24">
        <w:rPr>
          <w:lang w:val="en-GB"/>
        </w:rPr>
        <w:t>over</w:t>
      </w:r>
      <w:r w:rsidR="00CB520A" w:rsidRPr="00F53BC2">
        <w:rPr>
          <w:lang w:val="en-GB"/>
        </w:rPr>
        <w:t xml:space="preserve"> </w:t>
      </w:r>
      <w:r w:rsidR="00CB520A" w:rsidRPr="00EE2E24">
        <w:rPr>
          <w:lang w:val="en-GB"/>
        </w:rPr>
        <w:t>3</w:t>
      </w:r>
      <w:r w:rsidR="00CB520A" w:rsidRPr="00F53BC2">
        <w:rPr>
          <w:lang w:val="en-GB"/>
        </w:rPr>
        <w:t xml:space="preserve"> </w:t>
      </w:r>
      <w:r w:rsidR="00CB520A" w:rsidRPr="00EE2E24">
        <w:rPr>
          <w:lang w:val="en-GB"/>
        </w:rPr>
        <w:t>years</w:t>
      </w:r>
      <w:r w:rsidR="00CB520A" w:rsidRPr="00F53BC2">
        <w:rPr>
          <w:lang w:val="en-GB"/>
        </w:rPr>
        <w:t xml:space="preserve"> </w:t>
      </w:r>
      <w:r w:rsidR="00CB520A" w:rsidRPr="00EE2E24">
        <w:rPr>
          <w:lang w:val="en-GB"/>
        </w:rPr>
        <w:t>(all</w:t>
      </w:r>
      <w:r w:rsidR="00CB520A" w:rsidRPr="00F53BC2">
        <w:rPr>
          <w:lang w:val="en-GB"/>
        </w:rPr>
        <w:t xml:space="preserve"> </w:t>
      </w:r>
      <w:r w:rsidR="00CB520A" w:rsidRPr="00EE2E24">
        <w:rPr>
          <w:lang w:val="en-GB"/>
        </w:rPr>
        <w:t>p</w:t>
      </w:r>
      <w:r w:rsidR="00CB520A" w:rsidRPr="00F53BC2">
        <w:rPr>
          <w:lang w:val="en-GB"/>
        </w:rPr>
        <w:t xml:space="preserve"> </w:t>
      </w:r>
      <w:r w:rsidR="00CB520A" w:rsidRPr="00EE2E24">
        <w:rPr>
          <w:lang w:val="en-GB"/>
        </w:rPr>
        <w:t>&lt;</w:t>
      </w:r>
      <w:r w:rsidR="00CB520A" w:rsidRPr="00F53BC2">
        <w:rPr>
          <w:lang w:val="en-GB"/>
        </w:rPr>
        <w:t xml:space="preserve"> </w:t>
      </w:r>
      <w:r w:rsidR="00CB520A" w:rsidRPr="00EE2E24">
        <w:rPr>
          <w:lang w:val="en-GB"/>
        </w:rPr>
        <w:t>0.0001). Increases</w:t>
      </w:r>
      <w:r w:rsidR="00CB520A" w:rsidRPr="00F53BC2">
        <w:rPr>
          <w:lang w:val="en-GB"/>
        </w:rPr>
        <w:t xml:space="preserve"> </w:t>
      </w:r>
      <w:r w:rsidR="00CB520A" w:rsidRPr="00EE2E24">
        <w:rPr>
          <w:lang w:val="en-GB"/>
        </w:rPr>
        <w:t>in BMD at lumbar spine, total hip and hip trochanter were observed as early as 1 month</w:t>
      </w:r>
      <w:r w:rsidR="00CB520A" w:rsidRPr="00F53BC2">
        <w:rPr>
          <w:lang w:val="en-GB"/>
        </w:rPr>
        <w:t xml:space="preserve"> </w:t>
      </w:r>
      <w:r w:rsidR="00CB520A" w:rsidRPr="00EE2E24">
        <w:rPr>
          <w:lang w:val="en-GB"/>
        </w:rPr>
        <w:t>after the initial dose.</w:t>
      </w:r>
      <w:r w:rsidR="00CB520A" w:rsidRPr="00F53BC2">
        <w:rPr>
          <w:lang w:val="en-GB"/>
        </w:rPr>
        <w:t xml:space="preserve"> </w:t>
      </w:r>
      <w:r>
        <w:rPr>
          <w:lang w:val="en-GB"/>
        </w:rPr>
        <w:t>Denosumab</w:t>
      </w:r>
      <w:r w:rsidR="00F53BC2" w:rsidRPr="003444E8">
        <w:rPr>
          <w:lang w:val="en-GB"/>
        </w:rPr>
        <w:t xml:space="preserve"> </w:t>
      </w:r>
      <w:r w:rsidR="00CB520A" w:rsidRPr="00EE2E24">
        <w:rPr>
          <w:lang w:val="en-GB"/>
        </w:rPr>
        <w:t>increased lumbar spine BMD from baseline in 95% of</w:t>
      </w:r>
      <w:r w:rsidR="00CB520A" w:rsidRPr="00F53BC2">
        <w:rPr>
          <w:lang w:val="en-GB"/>
        </w:rPr>
        <w:t xml:space="preserve"> </w:t>
      </w:r>
      <w:r w:rsidR="00CB520A" w:rsidRPr="00EE2E24">
        <w:rPr>
          <w:lang w:val="en-GB"/>
        </w:rPr>
        <w:t>postmenopausal women at 3 years.</w:t>
      </w:r>
      <w:r w:rsidR="00CB520A" w:rsidRPr="00F53BC2">
        <w:rPr>
          <w:lang w:val="en-GB"/>
        </w:rPr>
        <w:t xml:space="preserve"> </w:t>
      </w:r>
      <w:r w:rsidR="00CB520A" w:rsidRPr="00EE2E24">
        <w:rPr>
          <w:lang w:val="en-GB"/>
        </w:rPr>
        <w:t>Consistent effects on BMD were observed at the</w:t>
      </w:r>
      <w:r w:rsidR="00CB520A" w:rsidRPr="00F53BC2">
        <w:rPr>
          <w:lang w:val="en-GB"/>
        </w:rPr>
        <w:t xml:space="preserve"> </w:t>
      </w:r>
      <w:r w:rsidR="00CB520A" w:rsidRPr="00EE2E24">
        <w:rPr>
          <w:lang w:val="en-GB"/>
        </w:rPr>
        <w:t>lumbar</w:t>
      </w:r>
      <w:r w:rsidR="00CB520A" w:rsidRPr="00F53BC2">
        <w:rPr>
          <w:lang w:val="en-GB"/>
        </w:rPr>
        <w:t xml:space="preserve"> </w:t>
      </w:r>
      <w:r w:rsidR="00CB520A" w:rsidRPr="00EE2E24">
        <w:rPr>
          <w:lang w:val="en-GB"/>
        </w:rPr>
        <w:t>spine</w:t>
      </w:r>
      <w:r w:rsidR="00CB520A" w:rsidRPr="00F53BC2">
        <w:rPr>
          <w:lang w:val="en-GB"/>
        </w:rPr>
        <w:t xml:space="preserve"> </w:t>
      </w:r>
      <w:r w:rsidR="00CB520A" w:rsidRPr="00EE2E24">
        <w:rPr>
          <w:lang w:val="en-GB"/>
        </w:rPr>
        <w:t>regardless</w:t>
      </w:r>
      <w:r w:rsidR="00CB520A" w:rsidRPr="00F53BC2">
        <w:rPr>
          <w:lang w:val="en-GB"/>
        </w:rPr>
        <w:t xml:space="preserve"> </w:t>
      </w:r>
      <w:r w:rsidR="00CB520A" w:rsidRPr="00EE2E24">
        <w:rPr>
          <w:lang w:val="en-GB"/>
        </w:rPr>
        <w:t>of</w:t>
      </w:r>
      <w:r w:rsidR="00CB520A" w:rsidRPr="00F53BC2">
        <w:rPr>
          <w:lang w:val="en-GB"/>
        </w:rPr>
        <w:t xml:space="preserve"> </w:t>
      </w:r>
      <w:r w:rsidR="00CB520A" w:rsidRPr="00EE2E24">
        <w:rPr>
          <w:lang w:val="en-GB"/>
        </w:rPr>
        <w:t>baseline</w:t>
      </w:r>
      <w:r w:rsidR="00CB520A" w:rsidRPr="00F53BC2">
        <w:rPr>
          <w:lang w:val="en-GB"/>
        </w:rPr>
        <w:t xml:space="preserve"> </w:t>
      </w:r>
      <w:r w:rsidR="00CB520A" w:rsidRPr="00EE2E24">
        <w:rPr>
          <w:lang w:val="en-GB"/>
        </w:rPr>
        <w:t>age,</w:t>
      </w:r>
      <w:r w:rsidR="00CB520A" w:rsidRPr="00F53BC2">
        <w:rPr>
          <w:lang w:val="en-GB"/>
        </w:rPr>
        <w:t xml:space="preserve"> </w:t>
      </w:r>
      <w:r w:rsidR="00CB520A" w:rsidRPr="00EE2E24">
        <w:rPr>
          <w:lang w:val="en-GB"/>
        </w:rPr>
        <w:t>race,</w:t>
      </w:r>
      <w:r w:rsidR="00CB520A" w:rsidRPr="00F53BC2">
        <w:rPr>
          <w:lang w:val="en-GB"/>
        </w:rPr>
        <w:t xml:space="preserve"> </w:t>
      </w:r>
      <w:r w:rsidR="00CB520A" w:rsidRPr="00EE2E24">
        <w:rPr>
          <w:lang w:val="en-GB"/>
        </w:rPr>
        <w:t>weight/BMI,</w:t>
      </w:r>
      <w:r w:rsidR="00CB520A" w:rsidRPr="00F53BC2">
        <w:rPr>
          <w:lang w:val="en-GB"/>
        </w:rPr>
        <w:t xml:space="preserve"> </w:t>
      </w:r>
      <w:r w:rsidR="00CB520A" w:rsidRPr="00EE2E24">
        <w:rPr>
          <w:lang w:val="en-GB"/>
        </w:rPr>
        <w:t>BMD</w:t>
      </w:r>
      <w:r w:rsidR="00CB520A" w:rsidRPr="00F53BC2">
        <w:rPr>
          <w:lang w:val="en-GB"/>
        </w:rPr>
        <w:t xml:space="preserve"> </w:t>
      </w:r>
      <w:r w:rsidR="00CB520A" w:rsidRPr="00EE2E24">
        <w:rPr>
          <w:lang w:val="en-GB"/>
        </w:rPr>
        <w:t>and</w:t>
      </w:r>
      <w:r w:rsidR="00CB520A" w:rsidRPr="00F53BC2">
        <w:rPr>
          <w:lang w:val="en-GB"/>
        </w:rPr>
        <w:t xml:space="preserve"> </w:t>
      </w:r>
      <w:r w:rsidR="00CB520A" w:rsidRPr="00EE2E24">
        <w:rPr>
          <w:lang w:val="en-GB"/>
        </w:rPr>
        <w:t>bone</w:t>
      </w:r>
      <w:r w:rsidR="00CB520A" w:rsidRPr="00F53BC2">
        <w:rPr>
          <w:lang w:val="en-GB"/>
        </w:rPr>
        <w:t xml:space="preserve"> </w:t>
      </w:r>
      <w:r w:rsidR="00CB520A" w:rsidRPr="00EE2E24">
        <w:rPr>
          <w:lang w:val="en-GB"/>
        </w:rPr>
        <w:t>turnover</w:t>
      </w:r>
      <w:r w:rsidR="00CB520A" w:rsidRPr="00F53BC2">
        <w:rPr>
          <w:lang w:val="en-GB"/>
        </w:rPr>
        <w:t xml:space="preserve"> </w:t>
      </w:r>
      <w:r w:rsidR="00CB520A" w:rsidRPr="00EE2E24">
        <w:rPr>
          <w:lang w:val="en-GB"/>
        </w:rPr>
        <w:t>level.</w:t>
      </w:r>
      <w:r w:rsidR="00CB520A" w:rsidRPr="00F53BC2">
        <w:rPr>
          <w:lang w:val="en-GB"/>
        </w:rPr>
        <w:t xml:space="preserve"> </w:t>
      </w:r>
      <w:r w:rsidR="00CB520A" w:rsidRPr="00EE2E24">
        <w:rPr>
          <w:lang w:val="en-GB"/>
        </w:rPr>
        <w:t xml:space="preserve">The effects of </w:t>
      </w:r>
      <w:r>
        <w:rPr>
          <w:lang w:val="en-GB"/>
        </w:rPr>
        <w:t>denosumab</w:t>
      </w:r>
      <w:r w:rsidR="00F53BC2" w:rsidRPr="003444E8">
        <w:rPr>
          <w:lang w:val="en-GB"/>
        </w:rPr>
        <w:t xml:space="preserve"> </w:t>
      </w:r>
      <w:r w:rsidR="00CB520A" w:rsidRPr="00EE2E24">
        <w:rPr>
          <w:lang w:val="en-GB"/>
        </w:rPr>
        <w:t>on bone architecture were evaluated using quantitative</w:t>
      </w:r>
      <w:r w:rsidR="00CB520A" w:rsidRPr="00F53BC2">
        <w:rPr>
          <w:lang w:val="en-GB"/>
        </w:rPr>
        <w:t xml:space="preserve"> </w:t>
      </w:r>
      <w:r w:rsidR="00CB520A" w:rsidRPr="00EE2E24">
        <w:rPr>
          <w:lang w:val="en-GB"/>
        </w:rPr>
        <w:t>computed</w:t>
      </w:r>
      <w:r w:rsidR="00CB520A" w:rsidRPr="00F53BC2">
        <w:rPr>
          <w:lang w:val="en-GB"/>
        </w:rPr>
        <w:t xml:space="preserve"> </w:t>
      </w:r>
      <w:r w:rsidR="00CB520A" w:rsidRPr="00EE2E24">
        <w:rPr>
          <w:lang w:val="en-GB"/>
        </w:rPr>
        <w:t>tomography</w:t>
      </w:r>
      <w:r w:rsidR="00CB520A" w:rsidRPr="00F53BC2">
        <w:rPr>
          <w:lang w:val="en-GB"/>
        </w:rPr>
        <w:t xml:space="preserve"> </w:t>
      </w:r>
      <w:r w:rsidR="00CB520A" w:rsidRPr="00EE2E24">
        <w:rPr>
          <w:lang w:val="en-GB"/>
        </w:rPr>
        <w:t>(QCT)</w:t>
      </w:r>
      <w:r w:rsidR="00CB520A" w:rsidRPr="00F53BC2">
        <w:rPr>
          <w:lang w:val="en-GB"/>
        </w:rPr>
        <w:t xml:space="preserve"> </w:t>
      </w:r>
      <w:r w:rsidR="00CB520A" w:rsidRPr="00EE2E24">
        <w:rPr>
          <w:lang w:val="en-GB"/>
        </w:rPr>
        <w:t>in</w:t>
      </w:r>
      <w:r w:rsidR="00CB520A" w:rsidRPr="00F53BC2">
        <w:rPr>
          <w:lang w:val="en-GB"/>
        </w:rPr>
        <w:t xml:space="preserve"> </w:t>
      </w:r>
      <w:r w:rsidR="00CB520A" w:rsidRPr="00EE2E24">
        <w:rPr>
          <w:lang w:val="en-GB"/>
        </w:rPr>
        <w:t>postmenopausal</w:t>
      </w:r>
      <w:r w:rsidR="00CB520A" w:rsidRPr="00F53BC2">
        <w:rPr>
          <w:lang w:val="en-GB"/>
        </w:rPr>
        <w:t xml:space="preserve"> </w:t>
      </w:r>
      <w:r w:rsidR="00CB520A" w:rsidRPr="00EE2E24">
        <w:rPr>
          <w:lang w:val="en-GB"/>
        </w:rPr>
        <w:t>women</w:t>
      </w:r>
      <w:r w:rsidR="00CB520A" w:rsidRPr="00F53BC2">
        <w:rPr>
          <w:lang w:val="en-GB"/>
        </w:rPr>
        <w:t xml:space="preserve"> </w:t>
      </w:r>
      <w:r w:rsidR="00CB520A" w:rsidRPr="00EE2E24">
        <w:rPr>
          <w:lang w:val="en-GB"/>
        </w:rPr>
        <w:t>with</w:t>
      </w:r>
      <w:r w:rsidR="00CB520A" w:rsidRPr="00F53BC2">
        <w:rPr>
          <w:lang w:val="en-GB"/>
        </w:rPr>
        <w:t xml:space="preserve"> </w:t>
      </w:r>
      <w:r w:rsidR="00CB520A" w:rsidRPr="00EE2E24">
        <w:rPr>
          <w:lang w:val="en-GB"/>
        </w:rPr>
        <w:t>BMD</w:t>
      </w:r>
      <w:r w:rsidR="00CB520A" w:rsidRPr="00F53BC2">
        <w:rPr>
          <w:lang w:val="en-GB"/>
        </w:rPr>
        <w:t xml:space="preserve"> </w:t>
      </w:r>
      <w:r w:rsidR="00CB520A" w:rsidRPr="00EE2E24">
        <w:rPr>
          <w:lang w:val="en-GB"/>
        </w:rPr>
        <w:t>T-score</w:t>
      </w:r>
      <w:r w:rsidR="00CB520A" w:rsidRPr="00F53BC2">
        <w:rPr>
          <w:lang w:val="en-GB"/>
        </w:rPr>
        <w:t xml:space="preserve"> </w:t>
      </w:r>
      <w:r w:rsidR="00CB520A" w:rsidRPr="00EE2E24">
        <w:rPr>
          <w:lang w:val="en-GB"/>
        </w:rPr>
        <w:t>below</w:t>
      </w:r>
      <w:r w:rsidR="00CB520A" w:rsidRPr="00F53BC2">
        <w:rPr>
          <w:lang w:val="en-GB"/>
        </w:rPr>
        <w:t xml:space="preserve"> </w:t>
      </w:r>
      <w:r w:rsidR="00CB520A" w:rsidRPr="00EE2E24">
        <w:rPr>
          <w:lang w:val="en-GB"/>
        </w:rPr>
        <w:t>-2.5</w:t>
      </w:r>
      <w:r w:rsidR="00CB520A" w:rsidRPr="00F53BC2">
        <w:rPr>
          <w:lang w:val="en-GB"/>
        </w:rPr>
        <w:t xml:space="preserve"> </w:t>
      </w:r>
      <w:r w:rsidR="00CB520A" w:rsidRPr="00EE2E24">
        <w:rPr>
          <w:lang w:val="en-GB"/>
        </w:rPr>
        <w:t>at the lumbar spine or total hip.</w:t>
      </w:r>
      <w:r w:rsidR="00CB520A" w:rsidRPr="00F53BC2">
        <w:rPr>
          <w:lang w:val="en-GB"/>
        </w:rPr>
        <w:t xml:space="preserve"> </w:t>
      </w:r>
      <w:r w:rsidR="00CB520A" w:rsidRPr="00EE2E24">
        <w:rPr>
          <w:lang w:val="en-GB"/>
        </w:rPr>
        <w:t xml:space="preserve">Treatment with </w:t>
      </w:r>
      <w:r>
        <w:rPr>
          <w:lang w:val="en-GB"/>
        </w:rPr>
        <w:t>denosumab</w:t>
      </w:r>
      <w:r w:rsidR="00F53BC2" w:rsidRPr="003444E8">
        <w:rPr>
          <w:lang w:val="en-GB"/>
        </w:rPr>
        <w:t xml:space="preserve"> </w:t>
      </w:r>
      <w:r w:rsidR="00CB520A" w:rsidRPr="00EE2E24">
        <w:rPr>
          <w:lang w:val="en-GB"/>
        </w:rPr>
        <w:t>increased volumetric trabecular</w:t>
      </w:r>
      <w:r w:rsidR="00CB520A" w:rsidRPr="00F53BC2">
        <w:rPr>
          <w:lang w:val="en-GB"/>
        </w:rPr>
        <w:t xml:space="preserve"> </w:t>
      </w:r>
      <w:r w:rsidR="00CB520A" w:rsidRPr="00EE2E24">
        <w:rPr>
          <w:lang w:val="en-GB"/>
        </w:rPr>
        <w:t>BMD at</w:t>
      </w:r>
      <w:r w:rsidR="00CB520A" w:rsidRPr="00F53BC2">
        <w:rPr>
          <w:lang w:val="en-GB"/>
        </w:rPr>
        <w:t xml:space="preserve"> </w:t>
      </w:r>
      <w:r w:rsidR="00CB520A" w:rsidRPr="00EE2E24">
        <w:rPr>
          <w:lang w:val="en-GB"/>
        </w:rPr>
        <w:t>the</w:t>
      </w:r>
      <w:r w:rsidR="00CB520A" w:rsidRPr="00F53BC2">
        <w:rPr>
          <w:lang w:val="en-GB"/>
        </w:rPr>
        <w:t xml:space="preserve"> </w:t>
      </w:r>
      <w:r w:rsidR="00CB520A" w:rsidRPr="00EE2E24">
        <w:rPr>
          <w:lang w:val="en-GB"/>
        </w:rPr>
        <w:t>lumbar</w:t>
      </w:r>
      <w:r w:rsidR="00CB520A" w:rsidRPr="00F53BC2">
        <w:rPr>
          <w:lang w:val="en-GB"/>
        </w:rPr>
        <w:t xml:space="preserve"> </w:t>
      </w:r>
      <w:r w:rsidR="00CB520A" w:rsidRPr="00EE2E24">
        <w:rPr>
          <w:lang w:val="en-GB"/>
        </w:rPr>
        <w:t>spine,</w:t>
      </w:r>
      <w:r w:rsidR="00CB520A" w:rsidRPr="00F53BC2">
        <w:rPr>
          <w:lang w:val="en-GB"/>
        </w:rPr>
        <w:t xml:space="preserve"> </w:t>
      </w:r>
      <w:r w:rsidR="00CB520A" w:rsidRPr="00EE2E24">
        <w:rPr>
          <w:lang w:val="en-GB"/>
        </w:rPr>
        <w:t>volumetric BMD</w:t>
      </w:r>
      <w:r w:rsidR="00CB520A" w:rsidRPr="00F53BC2">
        <w:rPr>
          <w:lang w:val="en-GB"/>
        </w:rPr>
        <w:t xml:space="preserve"> </w:t>
      </w:r>
      <w:r w:rsidR="00CB520A" w:rsidRPr="00EE2E24">
        <w:rPr>
          <w:lang w:val="en-GB"/>
        </w:rPr>
        <w:t>at the</w:t>
      </w:r>
      <w:r w:rsidR="00CB520A" w:rsidRPr="00F53BC2">
        <w:rPr>
          <w:lang w:val="en-GB"/>
        </w:rPr>
        <w:t xml:space="preserve"> </w:t>
      </w:r>
      <w:r w:rsidR="00CB520A" w:rsidRPr="00EE2E24">
        <w:rPr>
          <w:lang w:val="en-GB"/>
        </w:rPr>
        <w:t>total</w:t>
      </w:r>
      <w:r w:rsidR="00CB520A" w:rsidRPr="00F53BC2">
        <w:rPr>
          <w:lang w:val="en-GB"/>
        </w:rPr>
        <w:t xml:space="preserve"> </w:t>
      </w:r>
      <w:r w:rsidR="00CB520A" w:rsidRPr="00EE2E24">
        <w:rPr>
          <w:lang w:val="en-GB"/>
        </w:rPr>
        <w:t>hip</w:t>
      </w:r>
      <w:r w:rsidR="00CB520A" w:rsidRPr="00F53BC2">
        <w:rPr>
          <w:lang w:val="en-GB"/>
        </w:rPr>
        <w:t xml:space="preserve"> </w:t>
      </w:r>
      <w:r w:rsidR="00CB520A" w:rsidRPr="00EE2E24">
        <w:rPr>
          <w:lang w:val="en-GB"/>
        </w:rPr>
        <w:t>and</w:t>
      </w:r>
      <w:r w:rsidR="00CB520A" w:rsidRPr="00F53BC2">
        <w:rPr>
          <w:lang w:val="en-GB"/>
        </w:rPr>
        <w:t xml:space="preserve"> </w:t>
      </w:r>
      <w:r w:rsidR="00CB520A" w:rsidRPr="00EE2E24">
        <w:rPr>
          <w:lang w:val="en-GB"/>
        </w:rPr>
        <w:t>the</w:t>
      </w:r>
      <w:r w:rsidR="00CB520A" w:rsidRPr="00F53BC2">
        <w:rPr>
          <w:lang w:val="en-GB"/>
        </w:rPr>
        <w:t xml:space="preserve"> </w:t>
      </w:r>
      <w:r w:rsidR="00CB520A" w:rsidRPr="00EE2E24">
        <w:rPr>
          <w:lang w:val="en-GB"/>
        </w:rPr>
        <w:t>volumetric</w:t>
      </w:r>
      <w:r w:rsidR="00CB520A" w:rsidRPr="00F53BC2">
        <w:rPr>
          <w:lang w:val="en-GB"/>
        </w:rPr>
        <w:t xml:space="preserve"> </w:t>
      </w:r>
      <w:r w:rsidR="00CB520A" w:rsidRPr="00EE2E24">
        <w:rPr>
          <w:lang w:val="en-GB"/>
        </w:rPr>
        <w:t>cortical</w:t>
      </w:r>
      <w:r w:rsidR="00CB520A" w:rsidRPr="00F53BC2">
        <w:rPr>
          <w:lang w:val="en-GB"/>
        </w:rPr>
        <w:t xml:space="preserve"> </w:t>
      </w:r>
      <w:r w:rsidR="00CB520A" w:rsidRPr="00EE2E24">
        <w:rPr>
          <w:lang w:val="en-GB"/>
        </w:rPr>
        <w:t>BMD</w:t>
      </w:r>
      <w:r w:rsidR="00CB520A" w:rsidRPr="00F53BC2">
        <w:rPr>
          <w:lang w:val="en-GB"/>
        </w:rPr>
        <w:t xml:space="preserve"> </w:t>
      </w:r>
      <w:r w:rsidR="00CB520A" w:rsidRPr="00EE2E24">
        <w:rPr>
          <w:lang w:val="en-GB"/>
        </w:rPr>
        <w:t>and</w:t>
      </w:r>
      <w:r w:rsidR="00CB520A" w:rsidRPr="00F53BC2">
        <w:rPr>
          <w:lang w:val="en-GB"/>
        </w:rPr>
        <w:t xml:space="preserve"> </w:t>
      </w:r>
      <w:r w:rsidR="00CB520A" w:rsidRPr="00EE2E24">
        <w:rPr>
          <w:lang w:val="en-GB"/>
        </w:rPr>
        <w:t>cortical</w:t>
      </w:r>
      <w:r w:rsidR="00CB520A" w:rsidRPr="00F53BC2">
        <w:rPr>
          <w:lang w:val="en-GB"/>
        </w:rPr>
        <w:t xml:space="preserve"> </w:t>
      </w:r>
      <w:r w:rsidR="00CB520A" w:rsidRPr="00EE2E24">
        <w:rPr>
          <w:lang w:val="en-GB"/>
        </w:rPr>
        <w:t>thickness at</w:t>
      </w:r>
      <w:r w:rsidR="00CB520A" w:rsidRPr="00F53BC2">
        <w:rPr>
          <w:lang w:val="en-GB"/>
        </w:rPr>
        <w:t xml:space="preserve"> </w:t>
      </w:r>
      <w:r w:rsidR="00CB520A" w:rsidRPr="00EE2E24">
        <w:rPr>
          <w:lang w:val="en-GB"/>
        </w:rPr>
        <w:t>the distal radius.</w:t>
      </w:r>
    </w:p>
    <w:p w14:paraId="775E3A3E" w14:textId="185F792E" w:rsidR="006E62CD" w:rsidRPr="00EE2E24" w:rsidRDefault="00CB520A" w:rsidP="00D258EC">
      <w:pPr>
        <w:pStyle w:val="BodyText"/>
        <w:adjustRightInd w:val="0"/>
        <w:snapToGrid w:val="0"/>
        <w:spacing w:before="60" w:after="60" w:line="360" w:lineRule="auto"/>
        <w:ind w:left="108" w:rightChars="30" w:right="66"/>
        <w:rPr>
          <w:lang w:val="en-GB"/>
        </w:rPr>
      </w:pPr>
      <w:r w:rsidRPr="00F53BC2">
        <w:rPr>
          <w:lang w:val="en-GB"/>
        </w:rPr>
        <w:lastRenderedPageBreak/>
        <w:t>S</w:t>
      </w:r>
      <w:r w:rsidRPr="00EE2E24">
        <w:rPr>
          <w:lang w:val="en-GB"/>
        </w:rPr>
        <w:t xml:space="preserve">tudy of </w:t>
      </w:r>
      <w:r w:rsidRPr="00F53BC2">
        <w:rPr>
          <w:lang w:val="en-GB"/>
        </w:rPr>
        <w:t>T</w:t>
      </w:r>
      <w:r w:rsidRPr="00EE2E24">
        <w:rPr>
          <w:lang w:val="en-GB"/>
        </w:rPr>
        <w:t xml:space="preserve">ransitioning from </w:t>
      </w:r>
      <w:r w:rsidRPr="00F53BC2">
        <w:rPr>
          <w:lang w:val="en-GB"/>
        </w:rPr>
        <w:t>A</w:t>
      </w:r>
      <w:r w:rsidRPr="00EE2E24">
        <w:rPr>
          <w:lang w:val="en-GB"/>
        </w:rPr>
        <w:t>le</w:t>
      </w:r>
      <w:r w:rsidRPr="00F53BC2">
        <w:rPr>
          <w:lang w:val="en-GB"/>
        </w:rPr>
        <w:t>n</w:t>
      </w:r>
      <w:r w:rsidRPr="00EE2E24">
        <w:rPr>
          <w:lang w:val="en-GB"/>
        </w:rPr>
        <w:t xml:space="preserve">dronate to </w:t>
      </w:r>
      <w:r w:rsidR="00E54398">
        <w:rPr>
          <w:lang w:val="en-GB"/>
        </w:rPr>
        <w:t>denosumab</w:t>
      </w:r>
      <w:r w:rsidRPr="00EE2E24">
        <w:rPr>
          <w:lang w:val="en-GB"/>
        </w:rPr>
        <w:t xml:space="preserve"> (STAND, Study 20050234) was</w:t>
      </w:r>
      <w:r w:rsidRPr="00F53BC2">
        <w:rPr>
          <w:lang w:val="en-GB"/>
        </w:rPr>
        <w:t xml:space="preserve"> </w:t>
      </w:r>
      <w:r w:rsidRPr="00EE2E24">
        <w:rPr>
          <w:lang w:val="en-GB"/>
        </w:rPr>
        <w:t>a double-blind, randomised, alendronate-controlled, study in postmenopausal women</w:t>
      </w:r>
      <w:r w:rsidRPr="00F53BC2">
        <w:rPr>
          <w:lang w:val="en-GB"/>
        </w:rPr>
        <w:t xml:space="preserve"> </w:t>
      </w:r>
      <w:r w:rsidRPr="00EE2E24">
        <w:rPr>
          <w:lang w:val="en-GB"/>
        </w:rPr>
        <w:t>with low BMD (T-score between -2.0 and -4.0 at the lumbar spine or total hip) who had</w:t>
      </w:r>
      <w:r w:rsidRPr="00F53BC2">
        <w:rPr>
          <w:lang w:val="en-GB"/>
        </w:rPr>
        <w:t xml:space="preserve"> </w:t>
      </w:r>
      <w:r w:rsidRPr="00EE2E24">
        <w:rPr>
          <w:lang w:val="en-GB"/>
        </w:rPr>
        <w:t>received alendronate (70 mg weekly [or equivalent] orally) for at least 6 months</w:t>
      </w:r>
      <w:r w:rsidRPr="00F53BC2">
        <w:rPr>
          <w:lang w:val="en-GB"/>
        </w:rPr>
        <w:t xml:space="preserve"> </w:t>
      </w:r>
      <w:r w:rsidRPr="00EE2E24">
        <w:rPr>
          <w:lang w:val="en-GB"/>
        </w:rPr>
        <w:t>preceding study entry.</w:t>
      </w:r>
      <w:r w:rsidRPr="00F53BC2">
        <w:rPr>
          <w:lang w:val="en-GB"/>
        </w:rPr>
        <w:t xml:space="preserve"> </w:t>
      </w:r>
      <w:r w:rsidRPr="00EE2E24">
        <w:rPr>
          <w:lang w:val="en-GB"/>
        </w:rPr>
        <w:t xml:space="preserve">Patients received either </w:t>
      </w:r>
      <w:r w:rsidR="00E54398">
        <w:rPr>
          <w:lang w:val="en-GB"/>
        </w:rPr>
        <w:t>denosumab</w:t>
      </w:r>
      <w:r w:rsidRPr="00EE2E24">
        <w:rPr>
          <w:lang w:val="en-GB"/>
        </w:rPr>
        <w:t xml:space="preserve"> 60 mg Q6M SC (n = 253) or</w:t>
      </w:r>
      <w:r w:rsidRPr="00F53BC2">
        <w:rPr>
          <w:lang w:val="en-GB"/>
        </w:rPr>
        <w:t xml:space="preserve"> </w:t>
      </w:r>
      <w:r w:rsidRPr="00EE2E24">
        <w:rPr>
          <w:lang w:val="en-GB"/>
        </w:rPr>
        <w:t>alendronate</w:t>
      </w:r>
      <w:r w:rsidRPr="00F53BC2">
        <w:rPr>
          <w:lang w:val="en-GB"/>
        </w:rPr>
        <w:t xml:space="preserve"> </w:t>
      </w:r>
      <w:r w:rsidRPr="00EE2E24">
        <w:rPr>
          <w:lang w:val="en-GB"/>
        </w:rPr>
        <w:t>orally 70</w:t>
      </w:r>
      <w:r w:rsidRPr="00F53BC2">
        <w:rPr>
          <w:lang w:val="en-GB"/>
        </w:rPr>
        <w:t xml:space="preserve"> </w:t>
      </w:r>
      <w:r w:rsidRPr="00EE2E24">
        <w:rPr>
          <w:lang w:val="en-GB"/>
        </w:rPr>
        <w:t>mg</w:t>
      </w:r>
      <w:r w:rsidRPr="00F53BC2">
        <w:rPr>
          <w:lang w:val="en-GB"/>
        </w:rPr>
        <w:t xml:space="preserve"> </w:t>
      </w:r>
      <w:r w:rsidRPr="00EE2E24">
        <w:rPr>
          <w:lang w:val="en-GB"/>
        </w:rPr>
        <w:t>weekly for</w:t>
      </w:r>
      <w:r w:rsidRPr="00F53BC2">
        <w:rPr>
          <w:lang w:val="en-GB"/>
        </w:rPr>
        <w:t xml:space="preserve"> </w:t>
      </w:r>
      <w:r w:rsidRPr="00EE2E24">
        <w:rPr>
          <w:lang w:val="en-GB"/>
        </w:rPr>
        <w:t>12</w:t>
      </w:r>
      <w:r w:rsidRPr="00F53BC2">
        <w:rPr>
          <w:lang w:val="en-GB"/>
        </w:rPr>
        <w:t xml:space="preserve"> </w:t>
      </w:r>
      <w:r w:rsidRPr="00EE2E24">
        <w:rPr>
          <w:lang w:val="en-GB"/>
        </w:rPr>
        <w:t>months (n = 251).</w:t>
      </w:r>
    </w:p>
    <w:p w14:paraId="7617EAA2" w14:textId="4185CB2B"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 xml:space="preserve">Women who transitioned to receive </w:t>
      </w:r>
      <w:r w:rsidR="00E54398">
        <w:rPr>
          <w:lang w:val="en-GB"/>
        </w:rPr>
        <w:t>denosumab</w:t>
      </w:r>
      <w:r w:rsidR="00F53BC2" w:rsidRPr="00EE2E24">
        <w:rPr>
          <w:lang w:val="en-GB"/>
        </w:rPr>
        <w:t xml:space="preserve"> </w:t>
      </w:r>
      <w:r w:rsidRPr="00EE2E24">
        <w:rPr>
          <w:lang w:val="en-GB"/>
        </w:rPr>
        <w:t>had greater increases in BMD at the total hip</w:t>
      </w:r>
      <w:r w:rsidRPr="00F53BC2">
        <w:rPr>
          <w:lang w:val="en-GB"/>
        </w:rPr>
        <w:t xml:space="preserve"> </w:t>
      </w:r>
      <w:r w:rsidRPr="00EE2E24">
        <w:rPr>
          <w:lang w:val="en-GB"/>
        </w:rPr>
        <w:t>(1.9% versus 1.1%, p &lt; 0.001; primary efficacy endpoint) after 1 year, compared to those</w:t>
      </w:r>
      <w:r w:rsidRPr="00F53BC2">
        <w:rPr>
          <w:lang w:val="en-GB"/>
        </w:rPr>
        <w:t xml:space="preserve"> </w:t>
      </w:r>
      <w:r w:rsidRPr="00EE2E24">
        <w:rPr>
          <w:lang w:val="en-GB"/>
        </w:rPr>
        <w:t>who continued to receive alendronate therapy.</w:t>
      </w:r>
      <w:r w:rsidRPr="00F53BC2">
        <w:rPr>
          <w:lang w:val="en-GB"/>
        </w:rPr>
        <w:t xml:space="preserve"> </w:t>
      </w:r>
      <w:r w:rsidRPr="00EE2E24">
        <w:rPr>
          <w:lang w:val="en-GB"/>
        </w:rPr>
        <w:t>Consistently greater increases in BMD</w:t>
      </w:r>
      <w:r w:rsidRPr="00F53BC2">
        <w:rPr>
          <w:lang w:val="en-GB"/>
        </w:rPr>
        <w:t xml:space="preserve"> </w:t>
      </w:r>
      <w:r w:rsidRPr="00EE2E24">
        <w:rPr>
          <w:lang w:val="en-GB"/>
        </w:rPr>
        <w:t>were</w:t>
      </w:r>
      <w:r w:rsidRPr="00F53BC2">
        <w:rPr>
          <w:lang w:val="en-GB"/>
        </w:rPr>
        <w:t xml:space="preserve"> </w:t>
      </w:r>
      <w:r w:rsidRPr="00EE2E24">
        <w:rPr>
          <w:lang w:val="en-GB"/>
        </w:rPr>
        <w:t>also</w:t>
      </w:r>
      <w:r w:rsidRPr="00F53BC2">
        <w:rPr>
          <w:lang w:val="en-GB"/>
        </w:rPr>
        <w:t xml:space="preserve"> </w:t>
      </w:r>
      <w:r w:rsidRPr="00EE2E24">
        <w:rPr>
          <w:lang w:val="en-GB"/>
        </w:rPr>
        <w:t>seen</w:t>
      </w:r>
      <w:r w:rsidRPr="00F53BC2">
        <w:rPr>
          <w:lang w:val="en-GB"/>
        </w:rPr>
        <w:t xml:space="preserve"> </w:t>
      </w:r>
      <w:r w:rsidRPr="00EE2E24">
        <w:rPr>
          <w:lang w:val="en-GB"/>
        </w:rPr>
        <w:t>at</w:t>
      </w:r>
      <w:r w:rsidRPr="00F53BC2">
        <w:rPr>
          <w:lang w:val="en-GB"/>
        </w:rPr>
        <w:t xml:space="preserve"> </w:t>
      </w:r>
      <w:r w:rsidRPr="00EE2E24">
        <w:rPr>
          <w:lang w:val="en-GB"/>
        </w:rPr>
        <w:t>the</w:t>
      </w:r>
      <w:r w:rsidRPr="00F53BC2">
        <w:rPr>
          <w:lang w:val="en-GB"/>
        </w:rPr>
        <w:t xml:space="preserve"> </w:t>
      </w:r>
      <w:r w:rsidRPr="00EE2E24">
        <w:rPr>
          <w:lang w:val="en-GB"/>
        </w:rPr>
        <w:t>lumbar</w:t>
      </w:r>
      <w:r w:rsidRPr="00F53BC2">
        <w:rPr>
          <w:lang w:val="en-GB"/>
        </w:rPr>
        <w:t xml:space="preserve"> </w:t>
      </w:r>
      <w:r w:rsidRPr="00EE2E24">
        <w:rPr>
          <w:lang w:val="en-GB"/>
        </w:rPr>
        <w:t>spine,</w:t>
      </w:r>
      <w:r w:rsidRPr="00F53BC2">
        <w:rPr>
          <w:lang w:val="en-GB"/>
        </w:rPr>
        <w:t xml:space="preserve"> </w:t>
      </w:r>
      <w:r w:rsidRPr="00EE2E24">
        <w:rPr>
          <w:lang w:val="en-GB"/>
        </w:rPr>
        <w:t>femoral</w:t>
      </w:r>
      <w:r w:rsidRPr="00F53BC2">
        <w:rPr>
          <w:lang w:val="en-GB"/>
        </w:rPr>
        <w:t xml:space="preserve"> </w:t>
      </w:r>
      <w:r w:rsidRPr="00EE2E24">
        <w:rPr>
          <w:lang w:val="en-GB"/>
        </w:rPr>
        <w:t>neck,</w:t>
      </w:r>
      <w:r w:rsidRPr="00F53BC2">
        <w:rPr>
          <w:lang w:val="en-GB"/>
        </w:rPr>
        <w:t xml:space="preserve"> </w:t>
      </w:r>
      <w:r w:rsidRPr="00EE2E24">
        <w:rPr>
          <w:lang w:val="en-GB"/>
        </w:rPr>
        <w:t>hip</w:t>
      </w:r>
      <w:r w:rsidRPr="00F53BC2">
        <w:rPr>
          <w:lang w:val="en-GB"/>
        </w:rPr>
        <w:t xml:space="preserve"> </w:t>
      </w:r>
      <w:r w:rsidRPr="00EE2E24">
        <w:rPr>
          <w:lang w:val="en-GB"/>
        </w:rPr>
        <w:t>trochanter,</w:t>
      </w:r>
      <w:r w:rsidRPr="00F53BC2">
        <w:rPr>
          <w:lang w:val="en-GB"/>
        </w:rPr>
        <w:t xml:space="preserve"> </w:t>
      </w:r>
      <w:r w:rsidRPr="00EE2E24">
        <w:rPr>
          <w:lang w:val="en-GB"/>
        </w:rPr>
        <w:t>and</w:t>
      </w:r>
      <w:r w:rsidRPr="00F53BC2">
        <w:rPr>
          <w:lang w:val="en-GB"/>
        </w:rPr>
        <w:t xml:space="preserve"> </w:t>
      </w:r>
      <w:r w:rsidRPr="00EE2E24">
        <w:rPr>
          <w:lang w:val="en-GB"/>
        </w:rPr>
        <w:t>distal</w:t>
      </w:r>
      <w:r w:rsidRPr="00F53BC2">
        <w:rPr>
          <w:lang w:val="en-GB"/>
        </w:rPr>
        <w:t xml:space="preserve"> </w:t>
      </w:r>
      <w:r w:rsidRPr="00EE2E24">
        <w:rPr>
          <w:lang w:val="en-GB"/>
        </w:rPr>
        <w:t>1/3</w:t>
      </w:r>
      <w:r w:rsidRPr="00F53BC2">
        <w:rPr>
          <w:lang w:val="en-GB"/>
        </w:rPr>
        <w:t xml:space="preserve"> </w:t>
      </w:r>
      <w:r w:rsidRPr="00EE2E24">
        <w:rPr>
          <w:lang w:val="en-GB"/>
        </w:rPr>
        <w:t>radius</w:t>
      </w:r>
      <w:r w:rsidRPr="00F53BC2">
        <w:rPr>
          <w:lang w:val="en-GB"/>
        </w:rPr>
        <w:t xml:space="preserve"> </w:t>
      </w:r>
      <w:r w:rsidRPr="00EE2E24">
        <w:rPr>
          <w:lang w:val="en-GB"/>
        </w:rPr>
        <w:t>in</w:t>
      </w:r>
      <w:r w:rsidR="00F53BC2">
        <w:rPr>
          <w:lang w:val="en-GB"/>
        </w:rPr>
        <w:t xml:space="preserve"> </w:t>
      </w:r>
      <w:r w:rsidRPr="00EE2E24">
        <w:rPr>
          <w:lang w:val="en-GB"/>
        </w:rPr>
        <w:t xml:space="preserve">women treated with </w:t>
      </w:r>
      <w:r w:rsidR="00E54398">
        <w:rPr>
          <w:lang w:val="en-GB"/>
        </w:rPr>
        <w:t>denosumab</w:t>
      </w:r>
      <w:r w:rsidRPr="00EE2E24">
        <w:rPr>
          <w:lang w:val="en-GB"/>
        </w:rPr>
        <w:t>, compared to those who continued to receive alendronate</w:t>
      </w:r>
      <w:r w:rsidRPr="00F53BC2">
        <w:rPr>
          <w:lang w:val="en-GB"/>
        </w:rPr>
        <w:t xml:space="preserve"> </w:t>
      </w:r>
      <w:r w:rsidRPr="00EE2E24">
        <w:rPr>
          <w:lang w:val="en-GB"/>
        </w:rPr>
        <w:t>therapy</w:t>
      </w:r>
      <w:r w:rsidRPr="00F53BC2">
        <w:rPr>
          <w:lang w:val="en-GB"/>
        </w:rPr>
        <w:t xml:space="preserve"> </w:t>
      </w:r>
      <w:r w:rsidRPr="00EE2E24">
        <w:rPr>
          <w:lang w:val="en-GB"/>
        </w:rPr>
        <w:t>(all</w:t>
      </w:r>
      <w:r w:rsidRPr="00F53BC2">
        <w:rPr>
          <w:lang w:val="en-GB"/>
        </w:rPr>
        <w:t xml:space="preserve"> </w:t>
      </w:r>
      <w:r w:rsidRPr="00EE2E24">
        <w:rPr>
          <w:lang w:val="en-GB"/>
        </w:rPr>
        <w:t>p &lt; 0.05).</w:t>
      </w:r>
    </w:p>
    <w:p w14:paraId="0E9134AD" w14:textId="4FDA2756"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 xml:space="preserve">In clinical studies examining the effects of discontinuation of </w:t>
      </w:r>
      <w:r w:rsidR="00E54398">
        <w:rPr>
          <w:lang w:val="en-GB"/>
        </w:rPr>
        <w:t>denosumab</w:t>
      </w:r>
      <w:r w:rsidRPr="00EE2E24">
        <w:rPr>
          <w:lang w:val="en-GB"/>
        </w:rPr>
        <w:t>, BMD returned to</w:t>
      </w:r>
      <w:r w:rsidRPr="00F53BC2">
        <w:rPr>
          <w:lang w:val="en-GB"/>
        </w:rPr>
        <w:t xml:space="preserve"> </w:t>
      </w:r>
      <w:r w:rsidRPr="00EE2E24">
        <w:rPr>
          <w:lang w:val="en-GB"/>
        </w:rPr>
        <w:t>approximately pre-treatment levels and remained above placebo within 18 months of the</w:t>
      </w:r>
      <w:r w:rsidRPr="00F53BC2">
        <w:rPr>
          <w:lang w:val="en-GB"/>
        </w:rPr>
        <w:t xml:space="preserve"> </w:t>
      </w:r>
      <w:r w:rsidRPr="00EE2E24">
        <w:rPr>
          <w:lang w:val="en-GB"/>
        </w:rPr>
        <w:t>last dose.</w:t>
      </w:r>
      <w:r w:rsidRPr="00F53BC2">
        <w:rPr>
          <w:lang w:val="en-GB"/>
        </w:rPr>
        <w:t xml:space="preserve"> </w:t>
      </w:r>
      <w:r w:rsidRPr="00EE2E24">
        <w:rPr>
          <w:lang w:val="en-GB"/>
        </w:rPr>
        <w:t xml:space="preserve">These data indicate that continued treatment with </w:t>
      </w:r>
      <w:r w:rsidR="00E54398">
        <w:rPr>
          <w:lang w:val="en-GB"/>
        </w:rPr>
        <w:t>denosumab</w:t>
      </w:r>
      <w:r w:rsidR="00F53BC2" w:rsidRPr="003444E8">
        <w:rPr>
          <w:lang w:val="en-GB"/>
        </w:rPr>
        <w:t xml:space="preserve"> </w:t>
      </w:r>
      <w:r w:rsidRPr="00EE2E24">
        <w:rPr>
          <w:lang w:val="en-GB"/>
        </w:rPr>
        <w:t>is required to</w:t>
      </w:r>
      <w:r w:rsidRPr="00F53BC2">
        <w:rPr>
          <w:lang w:val="en-GB"/>
        </w:rPr>
        <w:t xml:space="preserve"> </w:t>
      </w:r>
      <w:r w:rsidRPr="00EE2E24">
        <w:rPr>
          <w:lang w:val="en-GB"/>
        </w:rPr>
        <w:t>maintain the effect of the drug.</w:t>
      </w:r>
      <w:r w:rsidRPr="00F53BC2">
        <w:rPr>
          <w:lang w:val="en-GB"/>
        </w:rPr>
        <w:t xml:space="preserve"> </w:t>
      </w:r>
      <w:r w:rsidRPr="00EE2E24">
        <w:rPr>
          <w:lang w:val="en-GB"/>
        </w:rPr>
        <w:t xml:space="preserve">Re-initiation of </w:t>
      </w:r>
      <w:r w:rsidR="00E54398">
        <w:rPr>
          <w:lang w:val="en-GB"/>
        </w:rPr>
        <w:t>denosumab</w:t>
      </w:r>
      <w:r w:rsidR="00F53BC2" w:rsidRPr="003444E8">
        <w:rPr>
          <w:lang w:val="en-GB"/>
        </w:rPr>
        <w:t xml:space="preserve"> </w:t>
      </w:r>
      <w:r w:rsidRPr="00EE2E24">
        <w:rPr>
          <w:lang w:val="en-GB"/>
        </w:rPr>
        <w:t>resulted in gains in BMD similar to</w:t>
      </w:r>
      <w:r w:rsidRPr="00F53BC2">
        <w:rPr>
          <w:lang w:val="en-GB"/>
        </w:rPr>
        <w:t xml:space="preserve"> </w:t>
      </w:r>
      <w:r w:rsidRPr="00EE2E24">
        <w:rPr>
          <w:lang w:val="en-GB"/>
        </w:rPr>
        <w:t>those</w:t>
      </w:r>
      <w:r w:rsidRPr="00F53BC2">
        <w:rPr>
          <w:lang w:val="en-GB"/>
        </w:rPr>
        <w:t xml:space="preserve"> </w:t>
      </w:r>
      <w:r w:rsidRPr="00EE2E24">
        <w:rPr>
          <w:lang w:val="en-GB"/>
        </w:rPr>
        <w:t>when</w:t>
      </w:r>
      <w:r w:rsidRPr="00F53BC2">
        <w:rPr>
          <w:lang w:val="en-GB"/>
        </w:rPr>
        <w:t xml:space="preserve"> </w:t>
      </w:r>
      <w:r w:rsidR="00E54398">
        <w:rPr>
          <w:lang w:val="en-GB"/>
        </w:rPr>
        <w:t>denosumab</w:t>
      </w:r>
      <w:r w:rsidR="00F53BC2" w:rsidRPr="003444E8">
        <w:rPr>
          <w:lang w:val="en-GB"/>
        </w:rPr>
        <w:t xml:space="preserve"> </w:t>
      </w:r>
      <w:r w:rsidRPr="00EE2E24">
        <w:rPr>
          <w:lang w:val="en-GB"/>
        </w:rPr>
        <w:t>was first</w:t>
      </w:r>
      <w:r w:rsidRPr="00F53BC2">
        <w:rPr>
          <w:lang w:val="en-GB"/>
        </w:rPr>
        <w:t xml:space="preserve"> </w:t>
      </w:r>
      <w:r w:rsidRPr="00EE2E24">
        <w:rPr>
          <w:lang w:val="en-GB"/>
        </w:rPr>
        <w:t>administered.</w:t>
      </w:r>
    </w:p>
    <w:p w14:paraId="739E9302" w14:textId="77777777" w:rsidR="006E62CD" w:rsidRPr="00EE2E24" w:rsidRDefault="00CB520A" w:rsidP="00D258EC">
      <w:pPr>
        <w:pStyle w:val="Heading3"/>
        <w:adjustRightInd w:val="0"/>
        <w:snapToGrid w:val="0"/>
        <w:spacing w:before="60" w:after="60" w:line="360" w:lineRule="auto"/>
        <w:ind w:left="108" w:rightChars="30" w:right="66"/>
        <w:rPr>
          <w:lang w:val="en-GB"/>
        </w:rPr>
      </w:pPr>
      <w:r w:rsidRPr="00EE2E24">
        <w:rPr>
          <w:lang w:val="en-GB"/>
        </w:rPr>
        <w:t>Open-label extension study in the treatment of postmenopausal osteoporosis</w:t>
      </w:r>
      <w:r w:rsidRPr="00F53BC2">
        <w:rPr>
          <w:lang w:val="en-GB"/>
        </w:rPr>
        <w:t xml:space="preserve"> </w:t>
      </w:r>
      <w:r w:rsidRPr="00EE2E24">
        <w:rPr>
          <w:lang w:val="en-GB"/>
        </w:rPr>
        <w:t>(FREEDOM Extension</w:t>
      </w:r>
      <w:r w:rsidRPr="00F53BC2">
        <w:rPr>
          <w:lang w:val="en-GB"/>
        </w:rPr>
        <w:t xml:space="preserve"> </w:t>
      </w:r>
      <w:r w:rsidRPr="00EE2E24">
        <w:rPr>
          <w:lang w:val="en-GB"/>
        </w:rPr>
        <w:t>Study)</w:t>
      </w:r>
    </w:p>
    <w:p w14:paraId="257A9C7A" w14:textId="5305F85C"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 xml:space="preserve">A total of 4,550 women, (2,343 </w:t>
      </w:r>
      <w:r w:rsidR="00E54398">
        <w:rPr>
          <w:lang w:val="en-GB"/>
        </w:rPr>
        <w:t>denosumab</w:t>
      </w:r>
      <w:r w:rsidRPr="00EE2E24">
        <w:rPr>
          <w:lang w:val="en-GB"/>
        </w:rPr>
        <w:t xml:space="preserve"> and 2,207 placebo) who missed no more than one</w:t>
      </w:r>
      <w:r w:rsidRPr="00F53BC2">
        <w:rPr>
          <w:lang w:val="en-GB"/>
        </w:rPr>
        <w:t xml:space="preserve"> </w:t>
      </w:r>
      <w:r w:rsidRPr="00EE2E24">
        <w:rPr>
          <w:lang w:val="en-GB"/>
        </w:rPr>
        <w:t xml:space="preserve">dose of </w:t>
      </w:r>
      <w:r w:rsidR="00E54398">
        <w:rPr>
          <w:lang w:val="en-GB"/>
        </w:rPr>
        <w:t>denosumab</w:t>
      </w:r>
      <w:r w:rsidR="00F53BC2" w:rsidRPr="003444E8">
        <w:rPr>
          <w:lang w:val="en-GB"/>
        </w:rPr>
        <w:t xml:space="preserve"> </w:t>
      </w:r>
      <w:r w:rsidRPr="00EE2E24">
        <w:rPr>
          <w:lang w:val="en-GB"/>
        </w:rPr>
        <w:t>in the FREEDOM pivotal study (Study 20030216, N = 7,808) and</w:t>
      </w:r>
      <w:r w:rsidRPr="00F53BC2">
        <w:rPr>
          <w:lang w:val="en-GB"/>
        </w:rPr>
        <w:t xml:space="preserve"> </w:t>
      </w:r>
      <w:r w:rsidRPr="00EE2E24">
        <w:rPr>
          <w:lang w:val="en-GB"/>
        </w:rPr>
        <w:t>completed the month 36 study visit, enrolled in FREEDOM Extension (Study 20060289),</w:t>
      </w:r>
      <w:r w:rsidRPr="00F53BC2">
        <w:rPr>
          <w:lang w:val="en-GB"/>
        </w:rPr>
        <w:t xml:space="preserve"> </w:t>
      </w:r>
      <w:r w:rsidRPr="00EE2E24">
        <w:rPr>
          <w:lang w:val="en-GB"/>
        </w:rPr>
        <w:t>a 7-year, multinational, multicentre, open-label, single-arm extension study to evaluate</w:t>
      </w:r>
      <w:r w:rsidRPr="00F53BC2">
        <w:rPr>
          <w:lang w:val="en-GB"/>
        </w:rPr>
        <w:t xml:space="preserve"> </w:t>
      </w:r>
      <w:r w:rsidRPr="00EE2E24">
        <w:rPr>
          <w:lang w:val="en-GB"/>
        </w:rPr>
        <w:t xml:space="preserve">the long-term safety and efficacy of </w:t>
      </w:r>
      <w:r w:rsidR="00E54398">
        <w:rPr>
          <w:lang w:val="en-GB"/>
        </w:rPr>
        <w:t>denosumab</w:t>
      </w:r>
      <w:r w:rsidRPr="00EE2E24">
        <w:rPr>
          <w:lang w:val="en-GB"/>
        </w:rPr>
        <w:t>.</w:t>
      </w:r>
      <w:r w:rsidRPr="00F53BC2">
        <w:rPr>
          <w:lang w:val="en-GB"/>
        </w:rPr>
        <w:t xml:space="preserve"> </w:t>
      </w:r>
      <w:r w:rsidRPr="00EE2E24">
        <w:rPr>
          <w:lang w:val="en-GB"/>
        </w:rPr>
        <w:t>All women in the FREEDOM Extension study</w:t>
      </w:r>
      <w:r w:rsidRPr="00F53BC2">
        <w:rPr>
          <w:lang w:val="en-GB"/>
        </w:rPr>
        <w:t xml:space="preserve"> </w:t>
      </w:r>
      <w:r w:rsidRPr="00EE2E24">
        <w:rPr>
          <w:lang w:val="en-GB"/>
        </w:rPr>
        <w:t xml:space="preserve">were to receive </w:t>
      </w:r>
      <w:r w:rsidR="00E54398">
        <w:rPr>
          <w:lang w:val="en-GB"/>
        </w:rPr>
        <w:t>denosumab</w:t>
      </w:r>
      <w:r w:rsidR="00F53BC2" w:rsidRPr="003444E8">
        <w:rPr>
          <w:lang w:val="en-GB"/>
        </w:rPr>
        <w:t xml:space="preserve"> </w:t>
      </w:r>
      <w:r w:rsidRPr="00EE2E24">
        <w:rPr>
          <w:lang w:val="en-GB"/>
        </w:rPr>
        <w:t>every 6 months in an open-label manner as a single 60 mg SC</w:t>
      </w:r>
      <w:r w:rsidRPr="00F53BC2">
        <w:rPr>
          <w:lang w:val="en-GB"/>
        </w:rPr>
        <w:t xml:space="preserve"> </w:t>
      </w:r>
      <w:r w:rsidRPr="00EE2E24">
        <w:rPr>
          <w:lang w:val="en-GB"/>
        </w:rPr>
        <w:t>dose, as well as daily calcium (at least 1,000 mg) and vitamin D (at least 400 IU).</w:t>
      </w:r>
      <w:r w:rsidRPr="00F53BC2">
        <w:rPr>
          <w:lang w:val="en-GB"/>
        </w:rPr>
        <w:t xml:space="preserve"> </w:t>
      </w:r>
      <w:r w:rsidRPr="00EE2E24">
        <w:rPr>
          <w:lang w:val="en-GB"/>
        </w:rPr>
        <w:t>Safety</w:t>
      </w:r>
      <w:r w:rsidRPr="00F53BC2">
        <w:rPr>
          <w:lang w:val="en-GB"/>
        </w:rPr>
        <w:t xml:space="preserve"> </w:t>
      </w:r>
      <w:r w:rsidRPr="00EE2E24">
        <w:rPr>
          <w:lang w:val="en-GB"/>
        </w:rPr>
        <w:t>was the primary endpoint; BMD and fracture incidence were two of the many secondary</w:t>
      </w:r>
      <w:r w:rsidRPr="00F53BC2">
        <w:rPr>
          <w:lang w:val="en-GB"/>
        </w:rPr>
        <w:t xml:space="preserve"> </w:t>
      </w:r>
      <w:r w:rsidRPr="00EE2E24">
        <w:rPr>
          <w:lang w:val="en-GB"/>
        </w:rPr>
        <w:t>endpoints.</w:t>
      </w:r>
      <w:r w:rsidRPr="00F53BC2">
        <w:rPr>
          <w:lang w:val="en-GB"/>
        </w:rPr>
        <w:t xml:space="preserve"> </w:t>
      </w:r>
      <w:r w:rsidRPr="00EE2E24">
        <w:rPr>
          <w:lang w:val="en-GB"/>
        </w:rPr>
        <w:t xml:space="preserve">At month 84 of the extension study, after 10 years of </w:t>
      </w:r>
      <w:r w:rsidR="00E54398">
        <w:rPr>
          <w:lang w:val="en-GB"/>
        </w:rPr>
        <w:t>denosumab</w:t>
      </w:r>
      <w:r w:rsidR="00F53BC2" w:rsidRPr="003444E8">
        <w:rPr>
          <w:lang w:val="en-GB"/>
        </w:rPr>
        <w:t xml:space="preserve"> </w:t>
      </w:r>
      <w:r w:rsidRPr="00EE2E24">
        <w:rPr>
          <w:lang w:val="en-GB"/>
        </w:rPr>
        <w:t>treatment, the</w:t>
      </w:r>
      <w:r w:rsidRPr="00F53BC2">
        <w:rPr>
          <w:lang w:val="en-GB"/>
        </w:rPr>
        <w:t xml:space="preserve"> </w:t>
      </w:r>
      <w:r w:rsidRPr="00EE2E24">
        <w:rPr>
          <w:lang w:val="en-GB"/>
        </w:rPr>
        <w:t>long-term</w:t>
      </w:r>
      <w:r w:rsidRPr="00F53BC2">
        <w:rPr>
          <w:lang w:val="en-GB"/>
        </w:rPr>
        <w:t xml:space="preserve"> </w:t>
      </w:r>
      <w:r w:rsidRPr="00EE2E24">
        <w:rPr>
          <w:lang w:val="en-GB"/>
        </w:rPr>
        <w:t>group</w:t>
      </w:r>
      <w:r w:rsidRPr="00F53BC2">
        <w:rPr>
          <w:lang w:val="en-GB"/>
        </w:rPr>
        <w:t xml:space="preserve"> </w:t>
      </w:r>
      <w:r w:rsidRPr="00EE2E24">
        <w:rPr>
          <w:lang w:val="en-GB"/>
        </w:rPr>
        <w:t>increased</w:t>
      </w:r>
      <w:r w:rsidRPr="00F53BC2">
        <w:rPr>
          <w:lang w:val="en-GB"/>
        </w:rPr>
        <w:t xml:space="preserve"> </w:t>
      </w:r>
      <w:r w:rsidRPr="00EE2E24">
        <w:rPr>
          <w:lang w:val="en-GB"/>
        </w:rPr>
        <w:t>BMD by</w:t>
      </w:r>
      <w:r w:rsidRPr="00F53BC2">
        <w:rPr>
          <w:lang w:val="en-GB"/>
        </w:rPr>
        <w:t xml:space="preserve"> </w:t>
      </w:r>
      <w:r w:rsidRPr="00EE2E24">
        <w:rPr>
          <w:lang w:val="en-GB"/>
        </w:rPr>
        <w:t>21.7% (95% CI:</w:t>
      </w:r>
      <w:r w:rsidRPr="00F53BC2">
        <w:rPr>
          <w:lang w:val="en-GB"/>
        </w:rPr>
        <w:t xml:space="preserve"> </w:t>
      </w:r>
      <w:r w:rsidRPr="00EE2E24">
        <w:rPr>
          <w:lang w:val="en-GB"/>
        </w:rPr>
        <w:t>21.2,</w:t>
      </w:r>
      <w:r w:rsidRPr="00F53BC2">
        <w:rPr>
          <w:lang w:val="en-GB"/>
        </w:rPr>
        <w:t xml:space="preserve"> </w:t>
      </w:r>
      <w:r w:rsidRPr="00EE2E24">
        <w:rPr>
          <w:lang w:val="en-GB"/>
        </w:rPr>
        <w:t>22.2)</w:t>
      </w:r>
      <w:r w:rsidRPr="00F53BC2">
        <w:rPr>
          <w:lang w:val="en-GB"/>
        </w:rPr>
        <w:t xml:space="preserve"> </w:t>
      </w:r>
      <w:r w:rsidRPr="00EE2E24">
        <w:rPr>
          <w:lang w:val="en-GB"/>
        </w:rPr>
        <w:t>at the</w:t>
      </w:r>
      <w:r w:rsidRPr="00F53BC2">
        <w:rPr>
          <w:lang w:val="en-GB"/>
        </w:rPr>
        <w:t xml:space="preserve"> </w:t>
      </w:r>
      <w:r w:rsidRPr="00EE2E24">
        <w:rPr>
          <w:lang w:val="en-GB"/>
        </w:rPr>
        <w:t>lumbar spine,</w:t>
      </w:r>
      <w:r w:rsidRPr="00F53BC2">
        <w:rPr>
          <w:lang w:val="en-GB"/>
        </w:rPr>
        <w:t xml:space="preserve"> </w:t>
      </w:r>
      <w:r w:rsidRPr="00EE2E24">
        <w:rPr>
          <w:lang w:val="en-GB"/>
        </w:rPr>
        <w:t>9.2% (8.9, 9.5)</w:t>
      </w:r>
      <w:r w:rsidRPr="00F53BC2">
        <w:rPr>
          <w:lang w:val="en-GB"/>
        </w:rPr>
        <w:t xml:space="preserve"> </w:t>
      </w:r>
      <w:r w:rsidRPr="00EE2E24">
        <w:rPr>
          <w:lang w:val="en-GB"/>
        </w:rPr>
        <w:t>at the</w:t>
      </w:r>
      <w:r w:rsidRPr="00F53BC2">
        <w:rPr>
          <w:lang w:val="en-GB"/>
        </w:rPr>
        <w:t xml:space="preserve"> </w:t>
      </w:r>
      <w:r w:rsidRPr="00EE2E24">
        <w:rPr>
          <w:lang w:val="en-GB"/>
        </w:rPr>
        <w:t>total hip,</w:t>
      </w:r>
      <w:r w:rsidRPr="00F53BC2">
        <w:rPr>
          <w:lang w:val="en-GB"/>
        </w:rPr>
        <w:t xml:space="preserve"> </w:t>
      </w:r>
      <w:r w:rsidRPr="00EE2E24">
        <w:rPr>
          <w:lang w:val="en-GB"/>
        </w:rPr>
        <w:t>9.0%</w:t>
      </w:r>
      <w:r w:rsidRPr="00F53BC2">
        <w:rPr>
          <w:lang w:val="en-GB"/>
        </w:rPr>
        <w:t xml:space="preserve"> </w:t>
      </w:r>
      <w:r w:rsidRPr="00EE2E24">
        <w:rPr>
          <w:lang w:val="en-GB"/>
        </w:rPr>
        <w:t>(8.6,</w:t>
      </w:r>
      <w:r w:rsidRPr="00F53BC2">
        <w:rPr>
          <w:lang w:val="en-GB"/>
        </w:rPr>
        <w:t xml:space="preserve"> </w:t>
      </w:r>
      <w:r w:rsidRPr="00EE2E24">
        <w:rPr>
          <w:lang w:val="en-GB"/>
        </w:rPr>
        <w:t>9.4) at</w:t>
      </w:r>
      <w:r w:rsidRPr="00F53BC2">
        <w:rPr>
          <w:lang w:val="en-GB"/>
        </w:rPr>
        <w:t xml:space="preserve"> </w:t>
      </w:r>
      <w:r w:rsidRPr="00EE2E24">
        <w:rPr>
          <w:lang w:val="en-GB"/>
        </w:rPr>
        <w:t>the femoral neck</w:t>
      </w:r>
      <w:r w:rsidRPr="00F53BC2">
        <w:rPr>
          <w:lang w:val="en-GB"/>
        </w:rPr>
        <w:t xml:space="preserve"> </w:t>
      </w:r>
      <w:r w:rsidRPr="00EE2E24">
        <w:rPr>
          <w:lang w:val="en-GB"/>
        </w:rPr>
        <w:t>and</w:t>
      </w:r>
      <w:r w:rsidRPr="00F53BC2">
        <w:rPr>
          <w:lang w:val="en-GB"/>
        </w:rPr>
        <w:t xml:space="preserve"> </w:t>
      </w:r>
      <w:r w:rsidRPr="00EE2E24">
        <w:rPr>
          <w:lang w:val="en-GB"/>
        </w:rPr>
        <w:t>13.0%</w:t>
      </w:r>
      <w:r w:rsidRPr="00F53BC2">
        <w:rPr>
          <w:lang w:val="en-GB"/>
        </w:rPr>
        <w:t xml:space="preserve"> </w:t>
      </w:r>
      <w:r w:rsidRPr="00EE2E24">
        <w:rPr>
          <w:lang w:val="en-GB"/>
        </w:rPr>
        <w:t>(12.6,</w:t>
      </w:r>
      <w:r w:rsidRPr="00F53BC2">
        <w:rPr>
          <w:lang w:val="en-GB"/>
        </w:rPr>
        <w:t xml:space="preserve"> </w:t>
      </w:r>
      <w:r w:rsidRPr="00EE2E24">
        <w:rPr>
          <w:lang w:val="en-GB"/>
        </w:rPr>
        <w:t>13.4) at the trochanter from the pivotal FREEDOM study baseline.</w:t>
      </w:r>
      <w:r w:rsidRPr="00F53BC2">
        <w:rPr>
          <w:lang w:val="en-GB"/>
        </w:rPr>
        <w:t xml:space="preserve"> </w:t>
      </w:r>
      <w:r w:rsidRPr="00EE2E24">
        <w:rPr>
          <w:lang w:val="en-GB"/>
        </w:rPr>
        <w:t>In years 4 through 10</w:t>
      </w:r>
      <w:r w:rsidRPr="00F53BC2">
        <w:rPr>
          <w:lang w:val="en-GB"/>
        </w:rPr>
        <w:t xml:space="preserve"> </w:t>
      </w:r>
      <w:r w:rsidRPr="00EE2E24">
        <w:rPr>
          <w:lang w:val="en-GB"/>
        </w:rPr>
        <w:t xml:space="preserve">of </w:t>
      </w:r>
      <w:r w:rsidR="00E54398">
        <w:rPr>
          <w:lang w:val="en-GB"/>
        </w:rPr>
        <w:t>denosumab</w:t>
      </w:r>
      <w:r w:rsidR="00F53BC2" w:rsidRPr="003444E8">
        <w:rPr>
          <w:lang w:val="en-GB"/>
        </w:rPr>
        <w:t xml:space="preserve"> </w:t>
      </w:r>
      <w:r w:rsidRPr="00EE2E24">
        <w:rPr>
          <w:lang w:val="en-GB"/>
        </w:rPr>
        <w:t>treatment, the rates of new vertebral and non-vertebral fractures did not</w:t>
      </w:r>
      <w:r w:rsidRPr="00F53BC2">
        <w:rPr>
          <w:lang w:val="en-GB"/>
        </w:rPr>
        <w:t xml:space="preserve"> </w:t>
      </w:r>
      <w:r w:rsidRPr="00EE2E24">
        <w:rPr>
          <w:lang w:val="en-GB"/>
        </w:rPr>
        <w:t>increase</w:t>
      </w:r>
      <w:r w:rsidRPr="00F53BC2">
        <w:rPr>
          <w:lang w:val="en-GB"/>
        </w:rPr>
        <w:t xml:space="preserve"> </w:t>
      </w:r>
      <w:r w:rsidRPr="00EE2E24">
        <w:rPr>
          <w:lang w:val="en-GB"/>
        </w:rPr>
        <w:t>over</w:t>
      </w:r>
      <w:r w:rsidRPr="00F53BC2">
        <w:rPr>
          <w:lang w:val="en-GB"/>
        </w:rPr>
        <w:t xml:space="preserve"> </w:t>
      </w:r>
      <w:r w:rsidRPr="00EE2E24">
        <w:rPr>
          <w:lang w:val="en-GB"/>
        </w:rPr>
        <w:t>time;</w:t>
      </w:r>
      <w:r w:rsidRPr="00F53BC2">
        <w:rPr>
          <w:lang w:val="en-GB"/>
        </w:rPr>
        <w:t xml:space="preserve"> </w:t>
      </w:r>
      <w:r w:rsidRPr="00EE2E24">
        <w:rPr>
          <w:lang w:val="en-GB"/>
        </w:rPr>
        <w:t>annualised</w:t>
      </w:r>
      <w:r w:rsidRPr="00F53BC2">
        <w:rPr>
          <w:lang w:val="en-GB"/>
        </w:rPr>
        <w:t xml:space="preserve"> </w:t>
      </w:r>
      <w:r w:rsidRPr="00EE2E24">
        <w:rPr>
          <w:lang w:val="en-GB"/>
        </w:rPr>
        <w:t>rates</w:t>
      </w:r>
      <w:r w:rsidRPr="00F53BC2">
        <w:rPr>
          <w:lang w:val="en-GB"/>
        </w:rPr>
        <w:t xml:space="preserve"> </w:t>
      </w:r>
      <w:r w:rsidRPr="00EE2E24">
        <w:rPr>
          <w:lang w:val="en-GB"/>
        </w:rPr>
        <w:t>were</w:t>
      </w:r>
      <w:r w:rsidRPr="00F53BC2">
        <w:rPr>
          <w:lang w:val="en-GB"/>
        </w:rPr>
        <w:t xml:space="preserve"> </w:t>
      </w:r>
      <w:r w:rsidRPr="00EE2E24">
        <w:rPr>
          <w:lang w:val="en-GB"/>
        </w:rPr>
        <w:t>approximately</w:t>
      </w:r>
      <w:r w:rsidRPr="00F53BC2">
        <w:rPr>
          <w:lang w:val="en-GB"/>
        </w:rPr>
        <w:t xml:space="preserve"> </w:t>
      </w:r>
      <w:r w:rsidRPr="00EE2E24">
        <w:rPr>
          <w:lang w:val="en-GB"/>
        </w:rPr>
        <w:t>1.0%</w:t>
      </w:r>
      <w:r w:rsidRPr="00F53BC2">
        <w:rPr>
          <w:lang w:val="en-GB"/>
        </w:rPr>
        <w:t xml:space="preserve"> </w:t>
      </w:r>
      <w:r w:rsidRPr="00EE2E24">
        <w:rPr>
          <w:lang w:val="en-GB"/>
        </w:rPr>
        <w:t>and</w:t>
      </w:r>
      <w:r w:rsidRPr="00F53BC2">
        <w:rPr>
          <w:lang w:val="en-GB"/>
        </w:rPr>
        <w:t xml:space="preserve"> </w:t>
      </w:r>
      <w:r w:rsidRPr="00EE2E24">
        <w:rPr>
          <w:lang w:val="en-GB"/>
        </w:rPr>
        <w:t>1.3%</w:t>
      </w:r>
      <w:r w:rsidRPr="00F53BC2">
        <w:rPr>
          <w:lang w:val="en-GB"/>
        </w:rPr>
        <w:t xml:space="preserve"> </w:t>
      </w:r>
      <w:r w:rsidRPr="00EE2E24">
        <w:rPr>
          <w:lang w:val="en-GB"/>
        </w:rPr>
        <w:t>respectively.</w:t>
      </w:r>
    </w:p>
    <w:p w14:paraId="6BD1CBC2" w14:textId="77777777" w:rsidR="006E62CD" w:rsidRPr="00EE2E24" w:rsidRDefault="00CB520A" w:rsidP="00D258EC">
      <w:pPr>
        <w:pStyle w:val="Heading3"/>
        <w:adjustRightInd w:val="0"/>
        <w:snapToGrid w:val="0"/>
        <w:spacing w:before="60" w:after="60" w:line="360" w:lineRule="auto"/>
        <w:ind w:left="108" w:rightChars="30" w:right="66"/>
        <w:rPr>
          <w:lang w:val="en-GB"/>
        </w:rPr>
      </w:pPr>
      <w:r w:rsidRPr="00EE2E24">
        <w:rPr>
          <w:lang w:val="en-GB"/>
        </w:rPr>
        <w:lastRenderedPageBreak/>
        <w:t>Bone</w:t>
      </w:r>
      <w:r w:rsidRPr="00EE2E24">
        <w:rPr>
          <w:spacing w:val="-2"/>
          <w:lang w:val="en-GB"/>
        </w:rPr>
        <w:t xml:space="preserve"> </w:t>
      </w:r>
      <w:r w:rsidRPr="00EE2E24">
        <w:rPr>
          <w:lang w:val="en-GB"/>
        </w:rPr>
        <w:t>histology</w:t>
      </w:r>
    </w:p>
    <w:p w14:paraId="378D73B7" w14:textId="0BA05E45" w:rsidR="006E62CD" w:rsidRPr="00EE2E24" w:rsidRDefault="00CB520A" w:rsidP="00D258EC">
      <w:pPr>
        <w:pStyle w:val="BodyText"/>
        <w:adjustRightInd w:val="0"/>
        <w:snapToGrid w:val="0"/>
        <w:spacing w:before="60" w:after="60" w:line="360" w:lineRule="auto"/>
        <w:ind w:left="108" w:rightChars="30" w:right="66"/>
        <w:rPr>
          <w:lang w:val="en-GB"/>
        </w:rPr>
      </w:pPr>
      <w:r w:rsidRPr="00F53BC2">
        <w:rPr>
          <w:lang w:val="en-GB"/>
        </w:rPr>
        <w:t xml:space="preserve">Fifty-three transiliac crest bone biopsy specimens were obtained at either 2 years and/or 3 years from 47 postmenopausal women with osteoporosis treated with </w:t>
      </w:r>
      <w:r w:rsidR="00E54398">
        <w:rPr>
          <w:lang w:val="en-GB"/>
        </w:rPr>
        <w:t>denosumab</w:t>
      </w:r>
      <w:r w:rsidR="00660140" w:rsidRPr="003444E8">
        <w:rPr>
          <w:lang w:val="en-GB"/>
        </w:rPr>
        <w:t xml:space="preserve"> </w:t>
      </w:r>
      <w:r w:rsidRPr="00F53BC2">
        <w:rPr>
          <w:lang w:val="en-GB"/>
        </w:rPr>
        <w:t xml:space="preserve">in the FREEDOM study. Fifteen bone biopsy specimens were also obtained after 1 year of treatment with </w:t>
      </w:r>
      <w:r w:rsidR="00E54398">
        <w:rPr>
          <w:lang w:val="en-GB"/>
        </w:rPr>
        <w:t>denosumab</w:t>
      </w:r>
      <w:r w:rsidR="00660140" w:rsidRPr="003444E8">
        <w:rPr>
          <w:lang w:val="en-GB"/>
        </w:rPr>
        <w:t xml:space="preserve"> </w:t>
      </w:r>
      <w:r w:rsidRPr="00F53BC2">
        <w:rPr>
          <w:lang w:val="en-GB"/>
        </w:rPr>
        <w:t>from 15 postmenopausal women with low bone mass who had transitioned from previous alendronate therapy. Histology</w:t>
      </w:r>
      <w:r w:rsidRPr="00EE2E24">
        <w:rPr>
          <w:lang w:val="en-GB"/>
        </w:rPr>
        <w:t xml:space="preserve"> assessments in both studies</w:t>
      </w:r>
      <w:r w:rsidRPr="00F53BC2">
        <w:rPr>
          <w:lang w:val="en-GB"/>
        </w:rPr>
        <w:t xml:space="preserve"> </w:t>
      </w:r>
      <w:r w:rsidRPr="00EE2E24">
        <w:rPr>
          <w:lang w:val="en-GB"/>
        </w:rPr>
        <w:t>showed bone of normal architecture and quality, as well as the expected decrease in</w:t>
      </w:r>
      <w:r w:rsidRPr="00F53BC2">
        <w:rPr>
          <w:lang w:val="en-GB"/>
        </w:rPr>
        <w:t xml:space="preserve"> </w:t>
      </w:r>
      <w:r w:rsidRPr="00EE2E24">
        <w:rPr>
          <w:lang w:val="en-GB"/>
        </w:rPr>
        <w:t>bone turnover relative to placebo treatment.</w:t>
      </w:r>
      <w:r w:rsidRPr="00F53BC2">
        <w:rPr>
          <w:lang w:val="en-GB"/>
        </w:rPr>
        <w:t xml:space="preserve"> </w:t>
      </w:r>
      <w:r w:rsidRPr="00EE2E24">
        <w:rPr>
          <w:lang w:val="en-GB"/>
        </w:rPr>
        <w:t>There was no evidence of mineralisation</w:t>
      </w:r>
      <w:r w:rsidRPr="00F53BC2">
        <w:rPr>
          <w:lang w:val="en-GB"/>
        </w:rPr>
        <w:t xml:space="preserve"> </w:t>
      </w:r>
      <w:r w:rsidRPr="00EE2E24">
        <w:rPr>
          <w:lang w:val="en-GB"/>
        </w:rPr>
        <w:t>defects,</w:t>
      </w:r>
      <w:r w:rsidRPr="00F53BC2">
        <w:rPr>
          <w:lang w:val="en-GB"/>
        </w:rPr>
        <w:t xml:space="preserve"> </w:t>
      </w:r>
      <w:r w:rsidRPr="00EE2E24">
        <w:rPr>
          <w:lang w:val="en-GB"/>
        </w:rPr>
        <w:t>woven</w:t>
      </w:r>
      <w:r w:rsidRPr="00F53BC2">
        <w:rPr>
          <w:lang w:val="en-GB"/>
        </w:rPr>
        <w:t xml:space="preserve"> </w:t>
      </w:r>
      <w:r w:rsidRPr="00EE2E24">
        <w:rPr>
          <w:lang w:val="en-GB"/>
        </w:rPr>
        <w:t>bone or marrow</w:t>
      </w:r>
      <w:r w:rsidRPr="00F53BC2">
        <w:rPr>
          <w:lang w:val="en-GB"/>
        </w:rPr>
        <w:t xml:space="preserve"> </w:t>
      </w:r>
      <w:r w:rsidRPr="00EE2E24">
        <w:rPr>
          <w:lang w:val="en-GB"/>
        </w:rPr>
        <w:t>fibrosis.</w:t>
      </w:r>
    </w:p>
    <w:p w14:paraId="1CC8240C" w14:textId="224D29A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Fifty-nine women participated in the bone biopsy sub-study at month 24 (N = 41) and/or</w:t>
      </w:r>
      <w:r w:rsidRPr="00F53BC2">
        <w:rPr>
          <w:lang w:val="en-GB"/>
        </w:rPr>
        <w:t xml:space="preserve"> </w:t>
      </w:r>
      <w:r w:rsidRPr="00EE2E24">
        <w:rPr>
          <w:lang w:val="en-GB"/>
        </w:rPr>
        <w:t>month</w:t>
      </w:r>
      <w:r w:rsidRPr="00F53BC2">
        <w:rPr>
          <w:lang w:val="en-GB"/>
        </w:rPr>
        <w:t xml:space="preserve"> </w:t>
      </w:r>
      <w:r w:rsidRPr="00EE2E24">
        <w:rPr>
          <w:lang w:val="en-GB"/>
        </w:rPr>
        <w:t>84</w:t>
      </w:r>
      <w:r w:rsidRPr="00F53BC2">
        <w:rPr>
          <w:lang w:val="en-GB"/>
        </w:rPr>
        <w:t xml:space="preserve"> </w:t>
      </w:r>
      <w:r w:rsidRPr="00EE2E24">
        <w:rPr>
          <w:lang w:val="en-GB"/>
        </w:rPr>
        <w:t>(N =</w:t>
      </w:r>
      <w:r w:rsidRPr="00F53BC2">
        <w:rPr>
          <w:lang w:val="en-GB"/>
        </w:rPr>
        <w:t xml:space="preserve"> </w:t>
      </w:r>
      <w:r w:rsidRPr="00EE2E24">
        <w:rPr>
          <w:lang w:val="en-GB"/>
        </w:rPr>
        <w:t>22)</w:t>
      </w:r>
      <w:r w:rsidRPr="00F53BC2">
        <w:rPr>
          <w:lang w:val="en-GB"/>
        </w:rPr>
        <w:t xml:space="preserve"> </w:t>
      </w:r>
      <w:r w:rsidRPr="00EE2E24">
        <w:rPr>
          <w:lang w:val="en-GB"/>
        </w:rPr>
        <w:t>of</w:t>
      </w:r>
      <w:r w:rsidRPr="00F53BC2">
        <w:rPr>
          <w:lang w:val="en-GB"/>
        </w:rPr>
        <w:t xml:space="preserve"> </w:t>
      </w:r>
      <w:r w:rsidRPr="00EE2E24">
        <w:rPr>
          <w:lang w:val="en-GB"/>
        </w:rPr>
        <w:t>the</w:t>
      </w:r>
      <w:r w:rsidRPr="00F53BC2">
        <w:rPr>
          <w:lang w:val="en-GB"/>
        </w:rPr>
        <w:t xml:space="preserve"> </w:t>
      </w:r>
      <w:r w:rsidRPr="00EE2E24">
        <w:rPr>
          <w:lang w:val="en-GB"/>
        </w:rPr>
        <w:t>FREEDOM</w:t>
      </w:r>
      <w:r w:rsidRPr="00F53BC2">
        <w:rPr>
          <w:lang w:val="en-GB"/>
        </w:rPr>
        <w:t xml:space="preserve"> </w:t>
      </w:r>
      <w:r w:rsidRPr="00EE2E24">
        <w:rPr>
          <w:lang w:val="en-GB"/>
        </w:rPr>
        <w:t>extension</w:t>
      </w:r>
      <w:r w:rsidRPr="00F53BC2">
        <w:rPr>
          <w:lang w:val="en-GB"/>
        </w:rPr>
        <w:t xml:space="preserve"> </w:t>
      </w:r>
      <w:r w:rsidRPr="00EE2E24">
        <w:rPr>
          <w:lang w:val="en-GB"/>
        </w:rPr>
        <w:t>study,</w:t>
      </w:r>
      <w:r w:rsidRPr="00F53BC2">
        <w:rPr>
          <w:lang w:val="en-GB"/>
        </w:rPr>
        <w:t xml:space="preserve"> </w:t>
      </w:r>
      <w:r w:rsidRPr="00EE2E24">
        <w:rPr>
          <w:lang w:val="en-GB"/>
        </w:rPr>
        <w:t>representing</w:t>
      </w:r>
      <w:r w:rsidRPr="00F53BC2">
        <w:rPr>
          <w:lang w:val="en-GB"/>
        </w:rPr>
        <w:t xml:space="preserve"> </w:t>
      </w:r>
      <w:r w:rsidRPr="00EE2E24">
        <w:rPr>
          <w:lang w:val="en-GB"/>
        </w:rPr>
        <w:t>up</w:t>
      </w:r>
      <w:r w:rsidRPr="00F53BC2">
        <w:rPr>
          <w:lang w:val="en-GB"/>
        </w:rPr>
        <w:t xml:space="preserve"> </w:t>
      </w:r>
      <w:r w:rsidRPr="00EE2E24">
        <w:rPr>
          <w:lang w:val="en-GB"/>
        </w:rPr>
        <w:t>to</w:t>
      </w:r>
      <w:r w:rsidRPr="00F53BC2">
        <w:rPr>
          <w:lang w:val="en-GB"/>
        </w:rPr>
        <w:t xml:space="preserve"> </w:t>
      </w:r>
      <w:r w:rsidRPr="00EE2E24">
        <w:rPr>
          <w:lang w:val="en-GB"/>
        </w:rPr>
        <w:t>5</w:t>
      </w:r>
      <w:r w:rsidRPr="00F53BC2">
        <w:rPr>
          <w:lang w:val="en-GB"/>
        </w:rPr>
        <w:t xml:space="preserve"> </w:t>
      </w:r>
      <w:r w:rsidRPr="00EE2E24">
        <w:rPr>
          <w:lang w:val="en-GB"/>
        </w:rPr>
        <w:t>and</w:t>
      </w:r>
      <w:r w:rsidRPr="00F53BC2">
        <w:rPr>
          <w:lang w:val="en-GB"/>
        </w:rPr>
        <w:t xml:space="preserve"> </w:t>
      </w:r>
      <w:r w:rsidRPr="00EE2E24">
        <w:rPr>
          <w:lang w:val="en-GB"/>
        </w:rPr>
        <w:t>10</w:t>
      </w:r>
      <w:r w:rsidRPr="00F53BC2">
        <w:rPr>
          <w:lang w:val="en-GB"/>
        </w:rPr>
        <w:t xml:space="preserve"> </w:t>
      </w:r>
      <w:r w:rsidRPr="00EE2E24">
        <w:rPr>
          <w:lang w:val="en-GB"/>
        </w:rPr>
        <w:t>years</w:t>
      </w:r>
      <w:r w:rsidR="00660140" w:rsidRPr="0075756B">
        <w:rPr>
          <w:rFonts w:hint="eastAsia"/>
          <w:lang w:val="en-GB"/>
        </w:rPr>
        <w:t xml:space="preserve"> </w:t>
      </w:r>
      <w:r w:rsidRPr="00EE2E24">
        <w:rPr>
          <w:lang w:val="en-GB"/>
        </w:rPr>
        <w:t xml:space="preserve">of treatment with </w:t>
      </w:r>
      <w:r w:rsidR="00E54398">
        <w:rPr>
          <w:lang w:val="en-GB"/>
        </w:rPr>
        <w:t>denosumab</w:t>
      </w:r>
      <w:r w:rsidRPr="00EE2E24">
        <w:rPr>
          <w:lang w:val="en-GB"/>
        </w:rPr>
        <w:t>, respectively.</w:t>
      </w:r>
      <w:r w:rsidRPr="00F53BC2">
        <w:rPr>
          <w:lang w:val="en-GB"/>
        </w:rPr>
        <w:t xml:space="preserve"> </w:t>
      </w:r>
      <w:r w:rsidRPr="00EE2E24">
        <w:rPr>
          <w:lang w:val="en-GB"/>
        </w:rPr>
        <w:t>Bone biopsy results showed bone of normal</w:t>
      </w:r>
      <w:r w:rsidRPr="00F53BC2">
        <w:rPr>
          <w:lang w:val="en-GB"/>
        </w:rPr>
        <w:t xml:space="preserve"> </w:t>
      </w:r>
      <w:r w:rsidRPr="00EE2E24">
        <w:rPr>
          <w:lang w:val="en-GB"/>
        </w:rPr>
        <w:t>architecture and quality with no evidence of mineralisation defects, woven bone or</w:t>
      </w:r>
      <w:r w:rsidRPr="00F53BC2">
        <w:rPr>
          <w:lang w:val="en-GB"/>
        </w:rPr>
        <w:t xml:space="preserve"> </w:t>
      </w:r>
      <w:r w:rsidRPr="00EE2E24">
        <w:rPr>
          <w:lang w:val="en-GB"/>
        </w:rPr>
        <w:t>marrow</w:t>
      </w:r>
      <w:r w:rsidRPr="00F53BC2">
        <w:rPr>
          <w:lang w:val="en-GB"/>
        </w:rPr>
        <w:t xml:space="preserve"> </w:t>
      </w:r>
      <w:r w:rsidRPr="00EE2E24">
        <w:rPr>
          <w:lang w:val="en-GB"/>
        </w:rPr>
        <w:t>fibrosis as</w:t>
      </w:r>
      <w:r w:rsidRPr="00F53BC2">
        <w:rPr>
          <w:lang w:val="en-GB"/>
        </w:rPr>
        <w:t xml:space="preserve"> </w:t>
      </w:r>
      <w:r w:rsidRPr="00EE2E24">
        <w:rPr>
          <w:lang w:val="en-GB"/>
        </w:rPr>
        <w:t>well</w:t>
      </w:r>
      <w:r w:rsidRPr="00F53BC2">
        <w:rPr>
          <w:lang w:val="en-GB"/>
        </w:rPr>
        <w:t xml:space="preserve"> </w:t>
      </w:r>
      <w:r w:rsidRPr="00EE2E24">
        <w:rPr>
          <w:lang w:val="en-GB"/>
        </w:rPr>
        <w:t>as</w:t>
      </w:r>
      <w:r w:rsidRPr="00F53BC2">
        <w:rPr>
          <w:lang w:val="en-GB"/>
        </w:rPr>
        <w:t xml:space="preserve"> </w:t>
      </w:r>
      <w:r w:rsidRPr="00EE2E24">
        <w:rPr>
          <w:lang w:val="en-GB"/>
        </w:rPr>
        <w:t>the expected</w:t>
      </w:r>
      <w:r w:rsidRPr="00F53BC2">
        <w:rPr>
          <w:lang w:val="en-GB"/>
        </w:rPr>
        <w:t xml:space="preserve"> </w:t>
      </w:r>
      <w:r w:rsidRPr="00EE2E24">
        <w:rPr>
          <w:lang w:val="en-GB"/>
        </w:rPr>
        <w:t>decrease</w:t>
      </w:r>
      <w:r w:rsidRPr="00F53BC2">
        <w:rPr>
          <w:lang w:val="en-GB"/>
        </w:rPr>
        <w:t xml:space="preserve"> </w:t>
      </w:r>
      <w:r w:rsidRPr="00EE2E24">
        <w:rPr>
          <w:lang w:val="en-GB"/>
        </w:rPr>
        <w:t>in bone</w:t>
      </w:r>
      <w:r w:rsidRPr="00F53BC2">
        <w:rPr>
          <w:lang w:val="en-GB"/>
        </w:rPr>
        <w:t xml:space="preserve"> </w:t>
      </w:r>
      <w:r w:rsidRPr="00EE2E24">
        <w:rPr>
          <w:lang w:val="en-GB"/>
        </w:rPr>
        <w:t>turnover.</w:t>
      </w:r>
    </w:p>
    <w:p w14:paraId="451BA60B" w14:textId="0543A212"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Histomorphometry</w:t>
      </w:r>
      <w:r w:rsidRPr="00F53BC2">
        <w:rPr>
          <w:lang w:val="en-GB"/>
        </w:rPr>
        <w:t xml:space="preserve"> </w:t>
      </w:r>
      <w:r w:rsidRPr="00EE2E24">
        <w:rPr>
          <w:lang w:val="en-GB"/>
        </w:rPr>
        <w:t>findings</w:t>
      </w:r>
      <w:r w:rsidRPr="00F53BC2">
        <w:rPr>
          <w:lang w:val="en-GB"/>
        </w:rPr>
        <w:t xml:space="preserve"> </w:t>
      </w:r>
      <w:r w:rsidRPr="00EE2E24">
        <w:rPr>
          <w:lang w:val="en-GB"/>
        </w:rPr>
        <w:t>in</w:t>
      </w:r>
      <w:r w:rsidRPr="00F53BC2">
        <w:rPr>
          <w:lang w:val="en-GB"/>
        </w:rPr>
        <w:t xml:space="preserve"> </w:t>
      </w:r>
      <w:r w:rsidRPr="00EE2E24">
        <w:rPr>
          <w:lang w:val="en-GB"/>
        </w:rPr>
        <w:t>the</w:t>
      </w:r>
      <w:r w:rsidRPr="00F53BC2">
        <w:rPr>
          <w:lang w:val="en-GB"/>
        </w:rPr>
        <w:t xml:space="preserve"> </w:t>
      </w:r>
      <w:r w:rsidRPr="00EE2E24">
        <w:rPr>
          <w:lang w:val="en-GB"/>
        </w:rPr>
        <w:t>FREEDOM</w:t>
      </w:r>
      <w:r w:rsidRPr="00F53BC2">
        <w:rPr>
          <w:lang w:val="en-GB"/>
        </w:rPr>
        <w:t xml:space="preserve"> </w:t>
      </w:r>
      <w:r w:rsidRPr="00EE2E24">
        <w:rPr>
          <w:lang w:val="en-GB"/>
        </w:rPr>
        <w:t>extension</w:t>
      </w:r>
      <w:r w:rsidRPr="00F53BC2">
        <w:rPr>
          <w:lang w:val="en-GB"/>
        </w:rPr>
        <w:t xml:space="preserve"> </w:t>
      </w:r>
      <w:r w:rsidRPr="00EE2E24">
        <w:rPr>
          <w:lang w:val="en-GB"/>
        </w:rPr>
        <w:t>study</w:t>
      </w:r>
      <w:r w:rsidRPr="00F53BC2">
        <w:rPr>
          <w:lang w:val="en-GB"/>
        </w:rPr>
        <w:t xml:space="preserve"> </w:t>
      </w:r>
      <w:r w:rsidRPr="00EE2E24">
        <w:rPr>
          <w:lang w:val="en-GB"/>
        </w:rPr>
        <w:t>in</w:t>
      </w:r>
      <w:r w:rsidRPr="00F53BC2">
        <w:rPr>
          <w:lang w:val="en-GB"/>
        </w:rPr>
        <w:t xml:space="preserve"> </w:t>
      </w:r>
      <w:r w:rsidRPr="00EE2E24">
        <w:rPr>
          <w:lang w:val="en-GB"/>
        </w:rPr>
        <w:t>postmenopausal</w:t>
      </w:r>
      <w:r w:rsidRPr="00F53BC2">
        <w:rPr>
          <w:lang w:val="en-GB"/>
        </w:rPr>
        <w:t xml:space="preserve"> </w:t>
      </w:r>
      <w:r w:rsidRPr="00EE2E24">
        <w:rPr>
          <w:lang w:val="en-GB"/>
        </w:rPr>
        <w:t>women</w:t>
      </w:r>
      <w:r w:rsidRPr="00F53BC2">
        <w:rPr>
          <w:lang w:val="en-GB"/>
        </w:rPr>
        <w:t xml:space="preserve"> </w:t>
      </w:r>
      <w:r w:rsidRPr="00EE2E24">
        <w:rPr>
          <w:lang w:val="en-GB"/>
        </w:rPr>
        <w:t xml:space="preserve">with osteoporosis showed that the antiresorptive effects of </w:t>
      </w:r>
      <w:r w:rsidR="00E54398">
        <w:rPr>
          <w:lang w:val="en-GB"/>
        </w:rPr>
        <w:t>denosumab</w:t>
      </w:r>
      <w:r w:rsidRPr="00EE2E24">
        <w:rPr>
          <w:lang w:val="en-GB"/>
        </w:rPr>
        <w:t>, as measured by</w:t>
      </w:r>
      <w:r w:rsidRPr="00F53BC2">
        <w:rPr>
          <w:lang w:val="en-GB"/>
        </w:rPr>
        <w:t xml:space="preserve"> </w:t>
      </w:r>
      <w:r w:rsidRPr="00EE2E24">
        <w:rPr>
          <w:lang w:val="en-GB"/>
        </w:rPr>
        <w:t>activation</w:t>
      </w:r>
      <w:r w:rsidRPr="00F53BC2">
        <w:rPr>
          <w:lang w:val="en-GB"/>
        </w:rPr>
        <w:t xml:space="preserve"> </w:t>
      </w:r>
      <w:r w:rsidRPr="00EE2E24">
        <w:rPr>
          <w:lang w:val="en-GB"/>
        </w:rPr>
        <w:t>frequency and</w:t>
      </w:r>
      <w:r w:rsidRPr="00F53BC2">
        <w:rPr>
          <w:lang w:val="en-GB"/>
        </w:rPr>
        <w:t xml:space="preserve"> </w:t>
      </w:r>
      <w:r w:rsidRPr="00EE2E24">
        <w:rPr>
          <w:lang w:val="en-GB"/>
        </w:rPr>
        <w:t>bone</w:t>
      </w:r>
      <w:r w:rsidRPr="00F53BC2">
        <w:rPr>
          <w:lang w:val="en-GB"/>
        </w:rPr>
        <w:t xml:space="preserve"> </w:t>
      </w:r>
      <w:r w:rsidRPr="00EE2E24">
        <w:rPr>
          <w:lang w:val="en-GB"/>
        </w:rPr>
        <w:t>formation</w:t>
      </w:r>
      <w:r w:rsidRPr="00F53BC2">
        <w:rPr>
          <w:lang w:val="en-GB"/>
        </w:rPr>
        <w:t xml:space="preserve"> </w:t>
      </w:r>
      <w:r w:rsidRPr="00EE2E24">
        <w:rPr>
          <w:lang w:val="en-GB"/>
        </w:rPr>
        <w:t>rates,</w:t>
      </w:r>
      <w:r w:rsidRPr="00F53BC2">
        <w:rPr>
          <w:lang w:val="en-GB"/>
        </w:rPr>
        <w:t xml:space="preserve"> </w:t>
      </w:r>
      <w:r w:rsidRPr="00EE2E24">
        <w:rPr>
          <w:lang w:val="en-GB"/>
        </w:rPr>
        <w:t>were</w:t>
      </w:r>
      <w:r w:rsidRPr="00F53BC2">
        <w:rPr>
          <w:lang w:val="en-GB"/>
        </w:rPr>
        <w:t xml:space="preserve"> </w:t>
      </w:r>
      <w:r w:rsidRPr="00EE2E24">
        <w:rPr>
          <w:lang w:val="en-GB"/>
        </w:rPr>
        <w:t>maintained over</w:t>
      </w:r>
      <w:r w:rsidRPr="00F53BC2">
        <w:rPr>
          <w:lang w:val="en-GB"/>
        </w:rPr>
        <w:t xml:space="preserve"> </w:t>
      </w:r>
      <w:r w:rsidRPr="00EE2E24">
        <w:rPr>
          <w:lang w:val="en-GB"/>
        </w:rPr>
        <w:t>time.</w:t>
      </w:r>
    </w:p>
    <w:p w14:paraId="50BDCAFD" w14:textId="77777777" w:rsidR="006E62CD" w:rsidRPr="0075756B" w:rsidRDefault="00CB520A" w:rsidP="00D258EC">
      <w:pPr>
        <w:pStyle w:val="BodyText"/>
        <w:adjustRightInd w:val="0"/>
        <w:snapToGrid w:val="0"/>
        <w:spacing w:before="60" w:after="60" w:line="360" w:lineRule="auto"/>
        <w:ind w:left="108" w:rightChars="30" w:right="66"/>
        <w:rPr>
          <w:lang w:val="en-GB"/>
        </w:rPr>
      </w:pPr>
      <w:r w:rsidRPr="0075756B">
        <w:rPr>
          <w:lang w:val="en-GB"/>
        </w:rPr>
        <w:t>Treatment of osteoporosis in men</w:t>
      </w:r>
    </w:p>
    <w:p w14:paraId="3E08700D" w14:textId="0EAD3B13"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A Multicentre Randomised Double-blind Placebo-Controlled Study to Compare the</w:t>
      </w:r>
      <w:r w:rsidRPr="00F53BC2">
        <w:rPr>
          <w:lang w:val="en-GB"/>
        </w:rPr>
        <w:t xml:space="preserve"> </w:t>
      </w:r>
      <w:r w:rsidRPr="00EE2E24">
        <w:rPr>
          <w:lang w:val="en-GB"/>
        </w:rPr>
        <w:t xml:space="preserve">Efficacy and Safety of </w:t>
      </w:r>
      <w:r w:rsidR="00E54398">
        <w:rPr>
          <w:lang w:val="en-GB"/>
        </w:rPr>
        <w:t>denosumab</w:t>
      </w:r>
      <w:r w:rsidRPr="00EE2E24">
        <w:rPr>
          <w:lang w:val="en-GB"/>
        </w:rPr>
        <w:t xml:space="preserve"> versus Placebo in Males with Osteoporosis</w:t>
      </w:r>
      <w:r w:rsidRPr="00F53BC2">
        <w:rPr>
          <w:lang w:val="en-GB"/>
        </w:rPr>
        <w:t xml:space="preserve"> </w:t>
      </w:r>
      <w:r w:rsidRPr="00EE2E24">
        <w:rPr>
          <w:lang w:val="en-GB"/>
        </w:rPr>
        <w:t>(ADAMO):</w:t>
      </w:r>
    </w:p>
    <w:p w14:paraId="64BF8913" w14:textId="26BFF3AA"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 xml:space="preserve">The efficacy and safety of </w:t>
      </w:r>
      <w:r w:rsidR="00E54398">
        <w:rPr>
          <w:lang w:val="en-GB"/>
        </w:rPr>
        <w:t>denosumab</w:t>
      </w:r>
      <w:r w:rsidR="00660140" w:rsidRPr="003444E8">
        <w:rPr>
          <w:lang w:val="en-GB"/>
        </w:rPr>
        <w:t xml:space="preserve"> </w:t>
      </w:r>
      <w:r w:rsidRPr="00EE2E24">
        <w:rPr>
          <w:lang w:val="en-GB"/>
        </w:rPr>
        <w:t>in the treatment of men with osteoporosis was</w:t>
      </w:r>
      <w:r w:rsidRPr="00F53BC2">
        <w:rPr>
          <w:lang w:val="en-GB"/>
        </w:rPr>
        <w:t xml:space="preserve"> </w:t>
      </w:r>
      <w:r w:rsidRPr="00EE2E24">
        <w:rPr>
          <w:lang w:val="en-GB"/>
        </w:rPr>
        <w:t>demonstrated in ADAMO (Study 20080098), a 1-year, multinational study of men with</w:t>
      </w:r>
      <w:r w:rsidRPr="00F53BC2">
        <w:rPr>
          <w:lang w:val="en-GB"/>
        </w:rPr>
        <w:t xml:space="preserve"> </w:t>
      </w:r>
      <w:r w:rsidRPr="00EE2E24">
        <w:rPr>
          <w:lang w:val="en-GB"/>
        </w:rPr>
        <w:t>low bone mass, who had a baseline BMD T-score between -2.0 and -3.5 at the lumbar</w:t>
      </w:r>
      <w:r w:rsidRPr="00F53BC2">
        <w:rPr>
          <w:lang w:val="en-GB"/>
        </w:rPr>
        <w:t xml:space="preserve"> </w:t>
      </w:r>
      <w:r w:rsidRPr="00EE2E24">
        <w:rPr>
          <w:lang w:val="en-GB"/>
        </w:rPr>
        <w:t>spine or femoral neck.</w:t>
      </w:r>
      <w:r w:rsidRPr="00F53BC2">
        <w:rPr>
          <w:lang w:val="en-GB"/>
        </w:rPr>
        <w:t xml:space="preserve"> </w:t>
      </w:r>
      <w:r w:rsidRPr="00EE2E24">
        <w:rPr>
          <w:lang w:val="en-GB"/>
        </w:rPr>
        <w:t>Men with a BMD T-score between -1.0 and -3.5 at the lumbar</w:t>
      </w:r>
      <w:r w:rsidRPr="00F53BC2">
        <w:rPr>
          <w:lang w:val="en-GB"/>
        </w:rPr>
        <w:t xml:space="preserve"> </w:t>
      </w:r>
      <w:r w:rsidRPr="00EE2E24">
        <w:rPr>
          <w:lang w:val="en-GB"/>
        </w:rPr>
        <w:t>spine or femoral neck and with history of prior fragility fracture were also enrolled.</w:t>
      </w:r>
      <w:r w:rsidRPr="00F53BC2">
        <w:rPr>
          <w:lang w:val="en-GB"/>
        </w:rPr>
        <w:t xml:space="preserve"> </w:t>
      </w:r>
      <w:r w:rsidRPr="00EE2E24">
        <w:rPr>
          <w:lang w:val="en-GB"/>
        </w:rPr>
        <w:t>Men</w:t>
      </w:r>
      <w:r w:rsidRPr="00F53BC2">
        <w:rPr>
          <w:lang w:val="en-GB"/>
        </w:rPr>
        <w:t xml:space="preserve"> </w:t>
      </w:r>
      <w:r w:rsidRPr="00EE2E24">
        <w:rPr>
          <w:lang w:val="en-GB"/>
        </w:rPr>
        <w:t>with</w:t>
      </w:r>
      <w:r w:rsidRPr="00F53BC2">
        <w:rPr>
          <w:lang w:val="en-GB"/>
        </w:rPr>
        <w:t xml:space="preserve"> </w:t>
      </w:r>
      <w:r w:rsidRPr="00EE2E24">
        <w:rPr>
          <w:lang w:val="en-GB"/>
        </w:rPr>
        <w:t>other</w:t>
      </w:r>
      <w:r w:rsidRPr="00F53BC2">
        <w:rPr>
          <w:lang w:val="en-GB"/>
        </w:rPr>
        <w:t xml:space="preserve"> </w:t>
      </w:r>
      <w:r w:rsidRPr="00EE2E24">
        <w:rPr>
          <w:lang w:val="en-GB"/>
        </w:rPr>
        <w:t>diseases</w:t>
      </w:r>
      <w:r w:rsidRPr="00F53BC2">
        <w:rPr>
          <w:lang w:val="en-GB"/>
        </w:rPr>
        <w:t xml:space="preserve"> </w:t>
      </w:r>
      <w:r w:rsidRPr="00EE2E24">
        <w:rPr>
          <w:lang w:val="en-GB"/>
        </w:rPr>
        <w:t>(such</w:t>
      </w:r>
      <w:r w:rsidRPr="00F53BC2">
        <w:rPr>
          <w:lang w:val="en-GB"/>
        </w:rPr>
        <w:t xml:space="preserve"> </w:t>
      </w:r>
      <w:r w:rsidRPr="00EE2E24">
        <w:rPr>
          <w:lang w:val="en-GB"/>
        </w:rPr>
        <w:t>as</w:t>
      </w:r>
      <w:r w:rsidRPr="00F53BC2">
        <w:rPr>
          <w:lang w:val="en-GB"/>
        </w:rPr>
        <w:t xml:space="preserve"> </w:t>
      </w:r>
      <w:r w:rsidRPr="00EE2E24">
        <w:rPr>
          <w:lang w:val="en-GB"/>
        </w:rPr>
        <w:t>rheumatoid</w:t>
      </w:r>
      <w:r w:rsidRPr="00F53BC2">
        <w:rPr>
          <w:lang w:val="en-GB"/>
        </w:rPr>
        <w:t xml:space="preserve"> </w:t>
      </w:r>
      <w:r w:rsidRPr="00EE2E24">
        <w:rPr>
          <w:lang w:val="en-GB"/>
        </w:rPr>
        <w:t>arthritis,</w:t>
      </w:r>
      <w:r w:rsidRPr="00F53BC2">
        <w:rPr>
          <w:lang w:val="en-GB"/>
        </w:rPr>
        <w:t xml:space="preserve"> </w:t>
      </w:r>
      <w:r w:rsidRPr="00EE2E24">
        <w:rPr>
          <w:lang w:val="en-GB"/>
        </w:rPr>
        <w:t>osteogenesis</w:t>
      </w:r>
      <w:r w:rsidRPr="00F53BC2">
        <w:rPr>
          <w:lang w:val="en-GB"/>
        </w:rPr>
        <w:t xml:space="preserve"> </w:t>
      </w:r>
      <w:r w:rsidRPr="00EE2E24">
        <w:rPr>
          <w:lang w:val="en-GB"/>
        </w:rPr>
        <w:t>imperfecta,</w:t>
      </w:r>
      <w:r w:rsidRPr="00F53BC2">
        <w:rPr>
          <w:lang w:val="en-GB"/>
        </w:rPr>
        <w:t xml:space="preserve"> </w:t>
      </w:r>
      <w:r w:rsidRPr="00EE2E24">
        <w:rPr>
          <w:lang w:val="en-GB"/>
        </w:rPr>
        <w:t>and</w:t>
      </w:r>
      <w:r w:rsidRPr="00F53BC2">
        <w:rPr>
          <w:lang w:val="en-GB"/>
        </w:rPr>
        <w:t xml:space="preserve"> </w:t>
      </w:r>
      <w:r w:rsidRPr="00EE2E24">
        <w:rPr>
          <w:lang w:val="en-GB"/>
        </w:rPr>
        <w:t>Paget’s</w:t>
      </w:r>
      <w:r w:rsidRPr="00F53BC2">
        <w:rPr>
          <w:lang w:val="en-GB"/>
        </w:rPr>
        <w:t xml:space="preserve"> </w:t>
      </w:r>
      <w:r w:rsidRPr="00EE2E24">
        <w:rPr>
          <w:lang w:val="en-GB"/>
        </w:rPr>
        <w:t>disease), or with significantly impaired renal function (GFR of ≤ 30 mL/min), or on</w:t>
      </w:r>
      <w:r w:rsidRPr="00F53BC2">
        <w:rPr>
          <w:lang w:val="en-GB"/>
        </w:rPr>
        <w:t xml:space="preserve"> </w:t>
      </w:r>
      <w:r w:rsidRPr="00EE2E24">
        <w:rPr>
          <w:lang w:val="en-GB"/>
        </w:rPr>
        <w:t>therapies</w:t>
      </w:r>
      <w:r w:rsidRPr="00F53BC2">
        <w:rPr>
          <w:lang w:val="en-GB"/>
        </w:rPr>
        <w:t xml:space="preserve"> </w:t>
      </w:r>
      <w:r w:rsidRPr="00EE2E24">
        <w:rPr>
          <w:lang w:val="en-GB"/>
        </w:rPr>
        <w:t>that</w:t>
      </w:r>
      <w:r w:rsidRPr="00F53BC2">
        <w:rPr>
          <w:lang w:val="en-GB"/>
        </w:rPr>
        <w:t xml:space="preserve"> </w:t>
      </w:r>
      <w:r w:rsidRPr="00EE2E24">
        <w:rPr>
          <w:lang w:val="en-GB"/>
        </w:rPr>
        <w:t>may affect</w:t>
      </w:r>
      <w:r w:rsidRPr="00F53BC2">
        <w:rPr>
          <w:lang w:val="en-GB"/>
        </w:rPr>
        <w:t xml:space="preserve"> </w:t>
      </w:r>
      <w:r w:rsidRPr="00EE2E24">
        <w:rPr>
          <w:lang w:val="en-GB"/>
        </w:rPr>
        <w:t>bone</w:t>
      </w:r>
      <w:r w:rsidRPr="00F53BC2">
        <w:rPr>
          <w:lang w:val="en-GB"/>
        </w:rPr>
        <w:t xml:space="preserve"> </w:t>
      </w:r>
      <w:r w:rsidRPr="00EE2E24">
        <w:rPr>
          <w:lang w:val="en-GB"/>
        </w:rPr>
        <w:t>were excluded</w:t>
      </w:r>
      <w:r w:rsidRPr="00F53BC2">
        <w:rPr>
          <w:lang w:val="en-GB"/>
        </w:rPr>
        <w:t xml:space="preserve"> </w:t>
      </w:r>
      <w:r w:rsidRPr="00EE2E24">
        <w:rPr>
          <w:lang w:val="en-GB"/>
        </w:rPr>
        <w:t>from</w:t>
      </w:r>
      <w:r w:rsidRPr="00F53BC2">
        <w:rPr>
          <w:lang w:val="en-GB"/>
        </w:rPr>
        <w:t xml:space="preserve"> </w:t>
      </w:r>
      <w:r w:rsidRPr="00EE2E24">
        <w:rPr>
          <w:lang w:val="en-GB"/>
        </w:rPr>
        <w:t>this</w:t>
      </w:r>
      <w:r w:rsidRPr="00F53BC2">
        <w:rPr>
          <w:lang w:val="en-GB"/>
        </w:rPr>
        <w:t xml:space="preserve"> </w:t>
      </w:r>
      <w:r w:rsidRPr="00EE2E24">
        <w:rPr>
          <w:lang w:val="en-GB"/>
        </w:rPr>
        <w:t>study.</w:t>
      </w:r>
    </w:p>
    <w:p w14:paraId="78B37C46" w14:textId="7DDE1E3E" w:rsidR="006E62CD" w:rsidRPr="00660140" w:rsidRDefault="00CB520A" w:rsidP="00FE64AF">
      <w:pPr>
        <w:pStyle w:val="Heading3"/>
        <w:pageBreakBefore/>
        <w:adjustRightInd w:val="0"/>
        <w:snapToGrid w:val="0"/>
        <w:spacing w:before="60" w:after="60" w:line="360" w:lineRule="auto"/>
        <w:ind w:left="108" w:rightChars="30" w:right="66"/>
        <w:rPr>
          <w:lang w:val="en-GB"/>
        </w:rPr>
      </w:pPr>
      <w:r w:rsidRPr="00EE2E24">
        <w:rPr>
          <w:lang w:val="en-GB"/>
        </w:rPr>
        <w:lastRenderedPageBreak/>
        <w:t>Table</w:t>
      </w:r>
      <w:r w:rsidRPr="00EE2E24">
        <w:rPr>
          <w:spacing w:val="-2"/>
          <w:lang w:val="en-GB"/>
        </w:rPr>
        <w:t xml:space="preserve"> </w:t>
      </w:r>
      <w:r w:rsidRPr="00EE2E24">
        <w:rPr>
          <w:lang w:val="en-GB"/>
        </w:rPr>
        <w:t>4.</w:t>
      </w:r>
      <w:r w:rsidRPr="00EE2E24">
        <w:rPr>
          <w:spacing w:val="-1"/>
          <w:lang w:val="en-GB"/>
        </w:rPr>
        <w:t xml:space="preserve"> </w:t>
      </w:r>
      <w:r w:rsidRPr="00EE2E24">
        <w:rPr>
          <w:lang w:val="en-GB"/>
        </w:rPr>
        <w:t>Baseline</w:t>
      </w:r>
      <w:r w:rsidRPr="00EE2E24">
        <w:rPr>
          <w:spacing w:val="-2"/>
          <w:lang w:val="en-GB"/>
        </w:rPr>
        <w:t xml:space="preserve"> </w:t>
      </w:r>
      <w:r w:rsidRPr="00EE2E24">
        <w:rPr>
          <w:lang w:val="en-GB"/>
        </w:rPr>
        <w:t>BMD</w:t>
      </w:r>
      <w:r w:rsidRPr="00EE2E24">
        <w:rPr>
          <w:spacing w:val="-2"/>
          <w:lang w:val="en-GB"/>
        </w:rPr>
        <w:t xml:space="preserve"> </w:t>
      </w:r>
      <w:r w:rsidRPr="00EE2E24">
        <w:rPr>
          <w:lang w:val="en-GB"/>
        </w:rPr>
        <w:t>T-scores</w:t>
      </w:r>
      <w:r w:rsidRPr="00EE2E24">
        <w:rPr>
          <w:spacing w:val="-2"/>
          <w:lang w:val="en-GB"/>
        </w:rPr>
        <w:t xml:space="preserve"> </w:t>
      </w:r>
      <w:r w:rsidRPr="00EE2E24">
        <w:rPr>
          <w:lang w:val="en-GB"/>
        </w:rPr>
        <w:t>(Randomised</w:t>
      </w:r>
      <w:r w:rsidRPr="00EE2E24">
        <w:rPr>
          <w:spacing w:val="-2"/>
          <w:lang w:val="en-GB"/>
        </w:rPr>
        <w:t xml:space="preserve"> </w:t>
      </w:r>
      <w:r w:rsidRPr="00EE2E24">
        <w:rPr>
          <w:lang w:val="en-GB"/>
        </w:rPr>
        <w:t>Subjects)</w:t>
      </w:r>
    </w:p>
    <w:tbl>
      <w:tblPr>
        <w:tblStyle w:val="NormalTable0"/>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5"/>
        <w:gridCol w:w="1764"/>
        <w:gridCol w:w="1764"/>
        <w:gridCol w:w="1764"/>
      </w:tblGrid>
      <w:tr w:rsidR="00FA4FC4" w:rsidRPr="00EE2E24" w14:paraId="2DE424FD" w14:textId="77777777" w:rsidTr="004923C5">
        <w:trPr>
          <w:trHeight w:val="685"/>
        </w:trPr>
        <w:tc>
          <w:tcPr>
            <w:tcW w:w="3105" w:type="dxa"/>
          </w:tcPr>
          <w:p w14:paraId="18B36EF6" w14:textId="77777777" w:rsidR="006E62CD" w:rsidRPr="00FF4465" w:rsidRDefault="006E62CD" w:rsidP="00D258EC">
            <w:pPr>
              <w:pStyle w:val="TableParagraph"/>
              <w:adjustRightInd w:val="0"/>
              <w:snapToGrid w:val="0"/>
              <w:spacing w:after="60" w:line="360" w:lineRule="auto"/>
              <w:ind w:left="108" w:rightChars="30" w:right="66"/>
              <w:rPr>
                <w:rFonts w:ascii="Times New Roman"/>
                <w:sz w:val="20"/>
                <w:szCs w:val="20"/>
                <w:lang w:val="en-GB"/>
              </w:rPr>
            </w:pPr>
          </w:p>
        </w:tc>
        <w:tc>
          <w:tcPr>
            <w:tcW w:w="1764" w:type="dxa"/>
          </w:tcPr>
          <w:p w14:paraId="36B48BA4" w14:textId="2CF3773B" w:rsidR="006E62CD" w:rsidRPr="004923C5" w:rsidRDefault="00E54398" w:rsidP="00D258EC">
            <w:pPr>
              <w:pStyle w:val="TableParagraph"/>
              <w:adjustRightInd w:val="0"/>
              <w:snapToGrid w:val="0"/>
              <w:spacing w:after="60" w:line="360" w:lineRule="auto"/>
              <w:ind w:left="108" w:rightChars="30" w:right="66"/>
              <w:rPr>
                <w:sz w:val="20"/>
                <w:szCs w:val="20"/>
                <w:lang w:val="en-GB"/>
              </w:rPr>
            </w:pPr>
            <w:r>
              <w:rPr>
                <w:sz w:val="20"/>
                <w:szCs w:val="20"/>
                <w:lang w:val="en-GB"/>
              </w:rPr>
              <w:t>Denosumab</w:t>
            </w:r>
          </w:p>
          <w:p w14:paraId="475DD5DD"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 121)</w:t>
            </w:r>
          </w:p>
        </w:tc>
        <w:tc>
          <w:tcPr>
            <w:tcW w:w="1764" w:type="dxa"/>
          </w:tcPr>
          <w:p w14:paraId="265B2F6E" w14:textId="77777777" w:rsidR="00660140" w:rsidRPr="004923C5" w:rsidRDefault="00CB520A" w:rsidP="00D258EC">
            <w:pPr>
              <w:pStyle w:val="TableParagraph"/>
              <w:adjustRightInd w:val="0"/>
              <w:snapToGrid w:val="0"/>
              <w:spacing w:after="60" w:line="360" w:lineRule="auto"/>
              <w:ind w:left="108" w:rightChars="30" w:right="66"/>
              <w:rPr>
                <w:spacing w:val="1"/>
                <w:sz w:val="20"/>
                <w:szCs w:val="20"/>
                <w:lang w:val="en-GB"/>
              </w:rPr>
            </w:pPr>
            <w:r w:rsidRPr="004923C5">
              <w:rPr>
                <w:sz w:val="20"/>
                <w:szCs w:val="20"/>
                <w:lang w:val="en-GB"/>
              </w:rPr>
              <w:t>Placebo</w:t>
            </w:r>
            <w:r w:rsidRPr="004923C5">
              <w:rPr>
                <w:spacing w:val="1"/>
                <w:sz w:val="20"/>
                <w:szCs w:val="20"/>
                <w:lang w:val="en-GB"/>
              </w:rPr>
              <w:t xml:space="preserve"> </w:t>
            </w:r>
          </w:p>
          <w:p w14:paraId="75E25D78" w14:textId="1DF3A059"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w:t>
            </w:r>
            <w:r w:rsidRPr="004923C5">
              <w:rPr>
                <w:spacing w:val="-8"/>
                <w:sz w:val="20"/>
                <w:szCs w:val="20"/>
                <w:lang w:val="en-GB"/>
              </w:rPr>
              <w:t xml:space="preserve"> </w:t>
            </w:r>
            <w:r w:rsidRPr="004923C5">
              <w:rPr>
                <w:sz w:val="20"/>
                <w:szCs w:val="20"/>
                <w:lang w:val="en-GB"/>
              </w:rPr>
              <w:t>=</w:t>
            </w:r>
            <w:r w:rsidRPr="004923C5">
              <w:rPr>
                <w:spacing w:val="-7"/>
                <w:sz w:val="20"/>
                <w:szCs w:val="20"/>
                <w:lang w:val="en-GB"/>
              </w:rPr>
              <w:t xml:space="preserve"> </w:t>
            </w:r>
            <w:r w:rsidRPr="004923C5">
              <w:rPr>
                <w:sz w:val="20"/>
                <w:szCs w:val="20"/>
                <w:lang w:val="en-GB"/>
              </w:rPr>
              <w:t>121)</w:t>
            </w:r>
          </w:p>
        </w:tc>
        <w:tc>
          <w:tcPr>
            <w:tcW w:w="1764" w:type="dxa"/>
          </w:tcPr>
          <w:p w14:paraId="0828AACD"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All</w:t>
            </w:r>
          </w:p>
          <w:p w14:paraId="1B2D24A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 242)</w:t>
            </w:r>
          </w:p>
        </w:tc>
      </w:tr>
      <w:tr w:rsidR="00FA4FC4" w:rsidRPr="00EE2E24" w14:paraId="6DC3E1D2" w14:textId="77777777" w:rsidTr="004923C5">
        <w:trPr>
          <w:trHeight w:val="624"/>
        </w:trPr>
        <w:tc>
          <w:tcPr>
            <w:tcW w:w="3105" w:type="dxa"/>
          </w:tcPr>
          <w:p w14:paraId="246BBD3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Minimum BMD T-score at</w:t>
            </w:r>
            <w:r w:rsidRPr="004923C5">
              <w:rPr>
                <w:spacing w:val="1"/>
                <w:sz w:val="20"/>
                <w:szCs w:val="20"/>
                <w:lang w:val="en-GB"/>
              </w:rPr>
              <w:t xml:space="preserve"> </w:t>
            </w:r>
            <w:r w:rsidRPr="004923C5">
              <w:rPr>
                <w:sz w:val="20"/>
                <w:szCs w:val="20"/>
                <w:lang w:val="en-GB"/>
              </w:rPr>
              <w:t>lumbar</w:t>
            </w:r>
            <w:r w:rsidRPr="004923C5">
              <w:rPr>
                <w:spacing w:val="-5"/>
                <w:sz w:val="20"/>
                <w:szCs w:val="20"/>
                <w:lang w:val="en-GB"/>
              </w:rPr>
              <w:t xml:space="preserve"> </w:t>
            </w:r>
            <w:r w:rsidRPr="004923C5">
              <w:rPr>
                <w:sz w:val="20"/>
                <w:szCs w:val="20"/>
                <w:lang w:val="en-GB"/>
              </w:rPr>
              <w:t>spine</w:t>
            </w:r>
            <w:r w:rsidRPr="004923C5">
              <w:rPr>
                <w:spacing w:val="-4"/>
                <w:sz w:val="20"/>
                <w:szCs w:val="20"/>
                <w:lang w:val="en-GB"/>
              </w:rPr>
              <w:t xml:space="preserve"> </w:t>
            </w:r>
            <w:r w:rsidRPr="004923C5">
              <w:rPr>
                <w:sz w:val="20"/>
                <w:szCs w:val="20"/>
                <w:lang w:val="en-GB"/>
              </w:rPr>
              <w:t>or</w:t>
            </w:r>
            <w:r w:rsidRPr="004923C5">
              <w:rPr>
                <w:spacing w:val="-3"/>
                <w:sz w:val="20"/>
                <w:szCs w:val="20"/>
                <w:lang w:val="en-GB"/>
              </w:rPr>
              <w:t xml:space="preserve"> </w:t>
            </w:r>
            <w:r w:rsidRPr="004923C5">
              <w:rPr>
                <w:sz w:val="20"/>
                <w:szCs w:val="20"/>
                <w:lang w:val="en-GB"/>
              </w:rPr>
              <w:t>femoral</w:t>
            </w:r>
            <w:r w:rsidRPr="004923C5">
              <w:rPr>
                <w:spacing w:val="-4"/>
                <w:sz w:val="20"/>
                <w:szCs w:val="20"/>
                <w:lang w:val="en-GB"/>
              </w:rPr>
              <w:t xml:space="preserve"> </w:t>
            </w:r>
            <w:r w:rsidRPr="004923C5">
              <w:rPr>
                <w:sz w:val="20"/>
                <w:szCs w:val="20"/>
                <w:lang w:val="en-GB"/>
              </w:rPr>
              <w:t>neck</w:t>
            </w:r>
          </w:p>
        </w:tc>
        <w:tc>
          <w:tcPr>
            <w:tcW w:w="1764" w:type="dxa"/>
          </w:tcPr>
          <w:p w14:paraId="5447203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w:t>
            </w:r>
          </w:p>
        </w:tc>
        <w:tc>
          <w:tcPr>
            <w:tcW w:w="1764" w:type="dxa"/>
          </w:tcPr>
          <w:p w14:paraId="47AB455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w:t>
            </w:r>
          </w:p>
        </w:tc>
        <w:tc>
          <w:tcPr>
            <w:tcW w:w="1764" w:type="dxa"/>
          </w:tcPr>
          <w:p w14:paraId="108F8A93"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w:t>
            </w:r>
          </w:p>
        </w:tc>
      </w:tr>
      <w:tr w:rsidR="00FA4FC4" w:rsidRPr="00EE2E24" w14:paraId="3E2FED35" w14:textId="77777777" w:rsidTr="004923C5">
        <w:trPr>
          <w:trHeight w:val="374"/>
        </w:trPr>
        <w:tc>
          <w:tcPr>
            <w:tcW w:w="3105" w:type="dxa"/>
          </w:tcPr>
          <w:p w14:paraId="0EBB2CE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w:t>
            </w:r>
            <w:r w:rsidRPr="004923C5">
              <w:rPr>
                <w:spacing w:val="-2"/>
                <w:sz w:val="20"/>
                <w:szCs w:val="20"/>
                <w:lang w:val="en-GB"/>
              </w:rPr>
              <w:t xml:space="preserve"> </w:t>
            </w:r>
            <w:r w:rsidRPr="004923C5">
              <w:rPr>
                <w:sz w:val="20"/>
                <w:szCs w:val="20"/>
                <w:lang w:val="en-GB"/>
              </w:rPr>
              <w:t>-2.5</w:t>
            </w:r>
          </w:p>
        </w:tc>
        <w:tc>
          <w:tcPr>
            <w:tcW w:w="1764" w:type="dxa"/>
          </w:tcPr>
          <w:p w14:paraId="3DB5635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61</w:t>
            </w:r>
            <w:r w:rsidRPr="004923C5">
              <w:rPr>
                <w:spacing w:val="-1"/>
                <w:sz w:val="20"/>
                <w:szCs w:val="20"/>
                <w:lang w:val="en-GB"/>
              </w:rPr>
              <w:t xml:space="preserve"> </w:t>
            </w:r>
            <w:r w:rsidRPr="004923C5">
              <w:rPr>
                <w:sz w:val="20"/>
                <w:szCs w:val="20"/>
                <w:lang w:val="en-GB"/>
              </w:rPr>
              <w:t>(50)</w:t>
            </w:r>
          </w:p>
        </w:tc>
        <w:tc>
          <w:tcPr>
            <w:tcW w:w="1764" w:type="dxa"/>
          </w:tcPr>
          <w:p w14:paraId="72B0016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56</w:t>
            </w:r>
            <w:r w:rsidRPr="004923C5">
              <w:rPr>
                <w:spacing w:val="-1"/>
                <w:sz w:val="20"/>
                <w:szCs w:val="20"/>
                <w:lang w:val="en-GB"/>
              </w:rPr>
              <w:t xml:space="preserve"> </w:t>
            </w:r>
            <w:r w:rsidRPr="004923C5">
              <w:rPr>
                <w:sz w:val="20"/>
                <w:szCs w:val="20"/>
                <w:lang w:val="en-GB"/>
              </w:rPr>
              <w:t>(46)</w:t>
            </w:r>
          </w:p>
        </w:tc>
        <w:tc>
          <w:tcPr>
            <w:tcW w:w="1764" w:type="dxa"/>
          </w:tcPr>
          <w:p w14:paraId="6531AFB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117</w:t>
            </w:r>
            <w:r w:rsidRPr="004923C5">
              <w:rPr>
                <w:spacing w:val="-1"/>
                <w:sz w:val="20"/>
                <w:szCs w:val="20"/>
                <w:lang w:val="en-GB"/>
              </w:rPr>
              <w:t xml:space="preserve"> </w:t>
            </w:r>
            <w:r w:rsidRPr="004923C5">
              <w:rPr>
                <w:sz w:val="20"/>
                <w:szCs w:val="20"/>
                <w:lang w:val="en-GB"/>
              </w:rPr>
              <w:t>(48)</w:t>
            </w:r>
          </w:p>
        </w:tc>
      </w:tr>
      <w:tr w:rsidR="00FA4FC4" w:rsidRPr="00EE2E24" w14:paraId="2CDDAB6F" w14:textId="77777777" w:rsidTr="004923C5">
        <w:trPr>
          <w:trHeight w:val="372"/>
        </w:trPr>
        <w:tc>
          <w:tcPr>
            <w:tcW w:w="3105" w:type="dxa"/>
          </w:tcPr>
          <w:p w14:paraId="4FABD448"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&gt;</w:t>
            </w:r>
            <w:r w:rsidRPr="004923C5">
              <w:rPr>
                <w:spacing w:val="-1"/>
                <w:sz w:val="20"/>
                <w:szCs w:val="20"/>
                <w:lang w:val="en-GB"/>
              </w:rPr>
              <w:t xml:space="preserve"> </w:t>
            </w:r>
            <w:r w:rsidRPr="004923C5">
              <w:rPr>
                <w:sz w:val="20"/>
                <w:szCs w:val="20"/>
                <w:lang w:val="en-GB"/>
              </w:rPr>
              <w:t>-2.5</w:t>
            </w:r>
          </w:p>
        </w:tc>
        <w:tc>
          <w:tcPr>
            <w:tcW w:w="1764" w:type="dxa"/>
          </w:tcPr>
          <w:p w14:paraId="0DFBB9AF"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60</w:t>
            </w:r>
            <w:r w:rsidRPr="004923C5">
              <w:rPr>
                <w:spacing w:val="-1"/>
                <w:sz w:val="20"/>
                <w:szCs w:val="20"/>
                <w:lang w:val="en-GB"/>
              </w:rPr>
              <w:t xml:space="preserve"> </w:t>
            </w:r>
            <w:r w:rsidRPr="004923C5">
              <w:rPr>
                <w:sz w:val="20"/>
                <w:szCs w:val="20"/>
                <w:lang w:val="en-GB"/>
              </w:rPr>
              <w:t>(50)</w:t>
            </w:r>
          </w:p>
        </w:tc>
        <w:tc>
          <w:tcPr>
            <w:tcW w:w="1764" w:type="dxa"/>
          </w:tcPr>
          <w:p w14:paraId="0D0F14C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65</w:t>
            </w:r>
            <w:r w:rsidRPr="004923C5">
              <w:rPr>
                <w:spacing w:val="-1"/>
                <w:sz w:val="20"/>
                <w:szCs w:val="20"/>
                <w:lang w:val="en-GB"/>
              </w:rPr>
              <w:t xml:space="preserve"> </w:t>
            </w:r>
            <w:r w:rsidRPr="004923C5">
              <w:rPr>
                <w:sz w:val="20"/>
                <w:szCs w:val="20"/>
                <w:lang w:val="en-GB"/>
              </w:rPr>
              <w:t>(54)</w:t>
            </w:r>
          </w:p>
        </w:tc>
        <w:tc>
          <w:tcPr>
            <w:tcW w:w="1764" w:type="dxa"/>
          </w:tcPr>
          <w:p w14:paraId="169D554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125</w:t>
            </w:r>
            <w:r w:rsidRPr="004923C5">
              <w:rPr>
                <w:spacing w:val="-1"/>
                <w:sz w:val="20"/>
                <w:szCs w:val="20"/>
                <w:lang w:val="en-GB"/>
              </w:rPr>
              <w:t xml:space="preserve"> </w:t>
            </w:r>
            <w:r w:rsidRPr="004923C5">
              <w:rPr>
                <w:sz w:val="20"/>
                <w:szCs w:val="20"/>
                <w:lang w:val="en-GB"/>
              </w:rPr>
              <w:t>(52)</w:t>
            </w:r>
          </w:p>
        </w:tc>
      </w:tr>
    </w:tbl>
    <w:p w14:paraId="4F0699F7" w14:textId="77777777" w:rsidR="006E62CD" w:rsidRPr="00EE2E24" w:rsidRDefault="00CB520A" w:rsidP="00D258EC">
      <w:pPr>
        <w:adjustRightInd w:val="0"/>
        <w:snapToGrid w:val="0"/>
        <w:spacing w:after="120"/>
        <w:ind w:left="108" w:rightChars="30" w:right="66"/>
        <w:contextualSpacing/>
        <w:rPr>
          <w:sz w:val="18"/>
          <w:lang w:val="en-GB"/>
        </w:rPr>
      </w:pPr>
      <w:r w:rsidRPr="00EE2E24">
        <w:rPr>
          <w:sz w:val="18"/>
          <w:lang w:val="en-GB"/>
        </w:rPr>
        <w:t>N</w:t>
      </w:r>
      <w:r w:rsidRPr="002F6DC4">
        <w:rPr>
          <w:sz w:val="18"/>
          <w:lang w:val="en-GB"/>
        </w:rPr>
        <w:t xml:space="preserve"> </w:t>
      </w:r>
      <w:r w:rsidRPr="00EE2E24">
        <w:rPr>
          <w:sz w:val="18"/>
          <w:lang w:val="en-GB"/>
        </w:rPr>
        <w:t>=</w:t>
      </w:r>
      <w:r w:rsidRPr="002F6DC4">
        <w:rPr>
          <w:sz w:val="18"/>
          <w:lang w:val="en-GB"/>
        </w:rPr>
        <w:t xml:space="preserve"> </w:t>
      </w:r>
      <w:r w:rsidRPr="00EE2E24">
        <w:rPr>
          <w:sz w:val="18"/>
          <w:lang w:val="en-GB"/>
        </w:rPr>
        <w:t>number</w:t>
      </w:r>
      <w:r w:rsidRPr="002F6DC4">
        <w:rPr>
          <w:sz w:val="18"/>
          <w:lang w:val="en-GB"/>
        </w:rPr>
        <w:t xml:space="preserve"> </w:t>
      </w:r>
      <w:r w:rsidRPr="00EE2E24">
        <w:rPr>
          <w:sz w:val="18"/>
          <w:lang w:val="en-GB"/>
        </w:rPr>
        <w:t>of</w:t>
      </w:r>
      <w:r w:rsidRPr="002F6DC4">
        <w:rPr>
          <w:sz w:val="18"/>
          <w:lang w:val="en-GB"/>
        </w:rPr>
        <w:t xml:space="preserve"> </w:t>
      </w:r>
      <w:r w:rsidRPr="00EE2E24">
        <w:rPr>
          <w:sz w:val="18"/>
          <w:lang w:val="en-GB"/>
        </w:rPr>
        <w:t>subjects</w:t>
      </w:r>
      <w:r w:rsidRPr="002F6DC4">
        <w:rPr>
          <w:sz w:val="18"/>
          <w:lang w:val="en-GB"/>
        </w:rPr>
        <w:t xml:space="preserve"> </w:t>
      </w:r>
      <w:r w:rsidRPr="00EE2E24">
        <w:rPr>
          <w:sz w:val="18"/>
          <w:lang w:val="en-GB"/>
        </w:rPr>
        <w:t>randomised.</w:t>
      </w:r>
    </w:p>
    <w:p w14:paraId="4B4D6E00" w14:textId="1331EE4C" w:rsidR="006E62CD" w:rsidRPr="00EE2E24" w:rsidRDefault="00CB520A" w:rsidP="00D258EC">
      <w:pPr>
        <w:pStyle w:val="BodyText"/>
        <w:adjustRightInd w:val="0"/>
        <w:snapToGrid w:val="0"/>
        <w:spacing w:before="60" w:after="60" w:line="360" w:lineRule="auto"/>
        <w:ind w:left="108" w:rightChars="30" w:right="66"/>
        <w:rPr>
          <w:lang w:val="en-GB"/>
        </w:rPr>
      </w:pPr>
      <w:r w:rsidRPr="00F53BC2">
        <w:rPr>
          <w:lang w:val="en-GB"/>
        </w:rPr>
        <w:t xml:space="preserve">The 242 men enrolled in the ADAMO study ranged in age from 31 to 84 years and were </w:t>
      </w:r>
      <w:r w:rsidRPr="00EE2E24">
        <w:rPr>
          <w:lang w:val="en-GB"/>
        </w:rPr>
        <w:t xml:space="preserve">randomised to receive subcutaneous injections of either </w:t>
      </w:r>
      <w:r w:rsidR="00E54398">
        <w:rPr>
          <w:lang w:val="en-GB"/>
        </w:rPr>
        <w:t>denosumab</w:t>
      </w:r>
      <w:r w:rsidR="00660140" w:rsidRPr="003444E8">
        <w:rPr>
          <w:lang w:val="en-GB"/>
        </w:rPr>
        <w:t xml:space="preserve"> </w:t>
      </w:r>
      <w:r w:rsidRPr="00EE2E24">
        <w:rPr>
          <w:lang w:val="en-GB"/>
        </w:rPr>
        <w:t>60 mg (n = 121) or</w:t>
      </w:r>
      <w:r w:rsidRPr="00F53BC2">
        <w:rPr>
          <w:lang w:val="en-GB"/>
        </w:rPr>
        <w:t xml:space="preserve"> placebo (n = 121) once every 6 months. Men received calcium (at least 1,000 mg) and </w:t>
      </w:r>
      <w:r w:rsidRPr="00EE2E24">
        <w:rPr>
          <w:lang w:val="en-GB"/>
        </w:rPr>
        <w:t>vitamin</w:t>
      </w:r>
      <w:r w:rsidRPr="00F53BC2">
        <w:rPr>
          <w:lang w:val="en-GB"/>
        </w:rPr>
        <w:t xml:space="preserve"> </w:t>
      </w:r>
      <w:r w:rsidRPr="00EE2E24">
        <w:rPr>
          <w:lang w:val="en-GB"/>
        </w:rPr>
        <w:t>D</w:t>
      </w:r>
      <w:r w:rsidRPr="00F53BC2">
        <w:rPr>
          <w:lang w:val="en-GB"/>
        </w:rPr>
        <w:t xml:space="preserve"> </w:t>
      </w:r>
      <w:r w:rsidRPr="00EE2E24">
        <w:rPr>
          <w:lang w:val="en-GB"/>
        </w:rPr>
        <w:t>(at least</w:t>
      </w:r>
      <w:r w:rsidRPr="00F53BC2">
        <w:rPr>
          <w:lang w:val="en-GB"/>
        </w:rPr>
        <w:t xml:space="preserve"> </w:t>
      </w:r>
      <w:r w:rsidRPr="00EE2E24">
        <w:rPr>
          <w:lang w:val="en-GB"/>
        </w:rPr>
        <w:t>800</w:t>
      </w:r>
      <w:r w:rsidRPr="00F53BC2">
        <w:rPr>
          <w:lang w:val="en-GB"/>
        </w:rPr>
        <w:t xml:space="preserve"> </w:t>
      </w:r>
      <w:r w:rsidRPr="00EE2E24">
        <w:rPr>
          <w:lang w:val="en-GB"/>
        </w:rPr>
        <w:t>IU)</w:t>
      </w:r>
      <w:r w:rsidRPr="00F53BC2">
        <w:rPr>
          <w:lang w:val="en-GB"/>
        </w:rPr>
        <w:t xml:space="preserve"> </w:t>
      </w:r>
      <w:r w:rsidRPr="00EE2E24">
        <w:rPr>
          <w:lang w:val="en-GB"/>
        </w:rPr>
        <w:t>supplementation</w:t>
      </w:r>
      <w:r w:rsidRPr="00F53BC2">
        <w:rPr>
          <w:lang w:val="en-GB"/>
        </w:rPr>
        <w:t xml:space="preserve"> </w:t>
      </w:r>
      <w:r w:rsidRPr="00EE2E24">
        <w:rPr>
          <w:lang w:val="en-GB"/>
        </w:rPr>
        <w:t>daily.</w:t>
      </w:r>
    </w:p>
    <w:p w14:paraId="7481C499"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The primary efficacy variable was percent change in lumbar spine BMD at 1 year.</w:t>
      </w:r>
      <w:r w:rsidRPr="00F53BC2">
        <w:rPr>
          <w:lang w:val="en-GB"/>
        </w:rPr>
        <w:t xml:space="preserve"> </w:t>
      </w:r>
      <w:r w:rsidRPr="00EE2E24">
        <w:rPr>
          <w:lang w:val="en-GB"/>
        </w:rPr>
        <w:t>Secondary</w:t>
      </w:r>
      <w:r w:rsidRPr="00F53BC2">
        <w:rPr>
          <w:lang w:val="en-GB"/>
        </w:rPr>
        <w:t xml:space="preserve"> </w:t>
      </w:r>
      <w:r w:rsidRPr="00EE2E24">
        <w:rPr>
          <w:lang w:val="en-GB"/>
        </w:rPr>
        <w:t>efficacy</w:t>
      </w:r>
      <w:r w:rsidRPr="00F53BC2">
        <w:rPr>
          <w:lang w:val="en-GB"/>
        </w:rPr>
        <w:t xml:space="preserve"> </w:t>
      </w:r>
      <w:r w:rsidRPr="00EE2E24">
        <w:rPr>
          <w:lang w:val="en-GB"/>
        </w:rPr>
        <w:t>variables</w:t>
      </w:r>
      <w:r w:rsidRPr="00F53BC2">
        <w:rPr>
          <w:lang w:val="en-GB"/>
        </w:rPr>
        <w:t xml:space="preserve"> </w:t>
      </w:r>
      <w:r w:rsidRPr="00EE2E24">
        <w:rPr>
          <w:lang w:val="en-GB"/>
        </w:rPr>
        <w:t>included</w:t>
      </w:r>
      <w:r w:rsidRPr="00F53BC2">
        <w:rPr>
          <w:lang w:val="en-GB"/>
        </w:rPr>
        <w:t xml:space="preserve"> </w:t>
      </w:r>
      <w:r w:rsidRPr="00EE2E24">
        <w:rPr>
          <w:lang w:val="en-GB"/>
        </w:rPr>
        <w:t>percent</w:t>
      </w:r>
      <w:r w:rsidRPr="00F53BC2">
        <w:rPr>
          <w:lang w:val="en-GB"/>
        </w:rPr>
        <w:t xml:space="preserve"> </w:t>
      </w:r>
      <w:r w:rsidRPr="00EE2E24">
        <w:rPr>
          <w:lang w:val="en-GB"/>
        </w:rPr>
        <w:t>change</w:t>
      </w:r>
      <w:r w:rsidRPr="00F53BC2">
        <w:rPr>
          <w:lang w:val="en-GB"/>
        </w:rPr>
        <w:t xml:space="preserve"> </w:t>
      </w:r>
      <w:r w:rsidRPr="00EE2E24">
        <w:rPr>
          <w:lang w:val="en-GB"/>
        </w:rPr>
        <w:t>in</w:t>
      </w:r>
      <w:r w:rsidRPr="00F53BC2">
        <w:rPr>
          <w:lang w:val="en-GB"/>
        </w:rPr>
        <w:t xml:space="preserve"> </w:t>
      </w:r>
      <w:r w:rsidRPr="00EE2E24">
        <w:rPr>
          <w:lang w:val="en-GB"/>
        </w:rPr>
        <w:t>total</w:t>
      </w:r>
      <w:r w:rsidRPr="00F53BC2">
        <w:rPr>
          <w:lang w:val="en-GB"/>
        </w:rPr>
        <w:t xml:space="preserve"> </w:t>
      </w:r>
      <w:r w:rsidRPr="00EE2E24">
        <w:rPr>
          <w:lang w:val="en-GB"/>
        </w:rPr>
        <w:t>hip,</w:t>
      </w:r>
      <w:r w:rsidRPr="00F53BC2">
        <w:rPr>
          <w:lang w:val="en-GB"/>
        </w:rPr>
        <w:t xml:space="preserve"> </w:t>
      </w:r>
      <w:r w:rsidRPr="00EE2E24">
        <w:rPr>
          <w:lang w:val="en-GB"/>
        </w:rPr>
        <w:t>hip</w:t>
      </w:r>
      <w:r w:rsidRPr="00F53BC2">
        <w:rPr>
          <w:lang w:val="en-GB"/>
        </w:rPr>
        <w:t xml:space="preserve"> </w:t>
      </w:r>
      <w:r w:rsidRPr="00EE2E24">
        <w:rPr>
          <w:lang w:val="en-GB"/>
        </w:rPr>
        <w:t>trochanter,</w:t>
      </w:r>
      <w:r w:rsidRPr="00F53BC2">
        <w:rPr>
          <w:lang w:val="en-GB"/>
        </w:rPr>
        <w:t xml:space="preserve"> </w:t>
      </w:r>
      <w:r w:rsidRPr="00EE2E24">
        <w:rPr>
          <w:lang w:val="en-GB"/>
        </w:rPr>
        <w:t>femoral</w:t>
      </w:r>
      <w:r w:rsidRPr="00F53BC2">
        <w:rPr>
          <w:lang w:val="en-GB"/>
        </w:rPr>
        <w:t xml:space="preserve"> </w:t>
      </w:r>
      <w:r w:rsidRPr="00EE2E24">
        <w:rPr>
          <w:lang w:val="en-GB"/>
        </w:rPr>
        <w:t>neck,</w:t>
      </w:r>
      <w:r w:rsidRPr="00F53BC2">
        <w:rPr>
          <w:lang w:val="en-GB"/>
        </w:rPr>
        <w:t xml:space="preserve"> </w:t>
      </w:r>
      <w:r w:rsidRPr="00EE2E24">
        <w:rPr>
          <w:lang w:val="en-GB"/>
        </w:rPr>
        <w:t>and</w:t>
      </w:r>
      <w:r w:rsidRPr="00F53BC2">
        <w:rPr>
          <w:lang w:val="en-GB"/>
        </w:rPr>
        <w:t xml:space="preserve"> </w:t>
      </w:r>
      <w:r w:rsidRPr="00EE2E24">
        <w:rPr>
          <w:lang w:val="en-GB"/>
        </w:rPr>
        <w:t>distal</w:t>
      </w:r>
      <w:r w:rsidRPr="00F53BC2">
        <w:rPr>
          <w:lang w:val="en-GB"/>
        </w:rPr>
        <w:t xml:space="preserve"> </w:t>
      </w:r>
      <w:r w:rsidRPr="00EE2E24">
        <w:rPr>
          <w:lang w:val="en-GB"/>
        </w:rPr>
        <w:t>1/3 radius BMD</w:t>
      </w:r>
      <w:r w:rsidRPr="00F53BC2">
        <w:rPr>
          <w:lang w:val="en-GB"/>
        </w:rPr>
        <w:t xml:space="preserve"> </w:t>
      </w:r>
      <w:r w:rsidRPr="00EE2E24">
        <w:rPr>
          <w:lang w:val="en-GB"/>
        </w:rPr>
        <w:t>at</w:t>
      </w:r>
      <w:r w:rsidRPr="00F53BC2">
        <w:rPr>
          <w:lang w:val="en-GB"/>
        </w:rPr>
        <w:t xml:space="preserve"> </w:t>
      </w:r>
      <w:r w:rsidRPr="00EE2E24">
        <w:rPr>
          <w:lang w:val="en-GB"/>
        </w:rPr>
        <w:t>1</w:t>
      </w:r>
      <w:r w:rsidRPr="00F53BC2">
        <w:rPr>
          <w:lang w:val="en-GB"/>
        </w:rPr>
        <w:t xml:space="preserve"> </w:t>
      </w:r>
      <w:r w:rsidRPr="00EE2E24">
        <w:rPr>
          <w:lang w:val="en-GB"/>
        </w:rPr>
        <w:t>year,</w:t>
      </w:r>
      <w:r w:rsidRPr="00F53BC2">
        <w:rPr>
          <w:lang w:val="en-GB"/>
        </w:rPr>
        <w:t xml:space="preserve"> </w:t>
      </w:r>
      <w:r w:rsidRPr="00EE2E24">
        <w:rPr>
          <w:lang w:val="en-GB"/>
        </w:rPr>
        <w:t>and</w:t>
      </w:r>
      <w:r w:rsidRPr="00F53BC2">
        <w:rPr>
          <w:lang w:val="en-GB"/>
        </w:rPr>
        <w:t xml:space="preserve"> </w:t>
      </w:r>
      <w:r w:rsidRPr="00EE2E24">
        <w:rPr>
          <w:lang w:val="en-GB"/>
        </w:rPr>
        <w:t>change in</w:t>
      </w:r>
      <w:r w:rsidRPr="00F53BC2">
        <w:rPr>
          <w:lang w:val="en-GB"/>
        </w:rPr>
        <w:t xml:space="preserve"> </w:t>
      </w:r>
      <w:r w:rsidRPr="00EE2E24">
        <w:rPr>
          <w:lang w:val="en-GB"/>
        </w:rPr>
        <w:t>CTX</w:t>
      </w:r>
      <w:r w:rsidRPr="00F53BC2">
        <w:rPr>
          <w:lang w:val="en-GB"/>
        </w:rPr>
        <w:t xml:space="preserve"> </w:t>
      </w:r>
      <w:r w:rsidRPr="00EE2E24">
        <w:rPr>
          <w:lang w:val="en-GB"/>
        </w:rPr>
        <w:t>at day</w:t>
      </w:r>
      <w:r w:rsidRPr="00F53BC2">
        <w:rPr>
          <w:lang w:val="en-GB"/>
        </w:rPr>
        <w:t xml:space="preserve"> </w:t>
      </w:r>
      <w:r w:rsidRPr="00EE2E24">
        <w:rPr>
          <w:lang w:val="en-GB"/>
        </w:rPr>
        <w:t>15.</w:t>
      </w:r>
    </w:p>
    <w:p w14:paraId="7A944462" w14:textId="0B1DE8E3" w:rsidR="006E62CD" w:rsidRPr="00EE2E24" w:rsidRDefault="00E54398" w:rsidP="00D258EC">
      <w:pPr>
        <w:pStyle w:val="BodyText"/>
        <w:adjustRightInd w:val="0"/>
        <w:snapToGrid w:val="0"/>
        <w:spacing w:before="60" w:after="60" w:line="360" w:lineRule="auto"/>
        <w:ind w:left="108" w:rightChars="30" w:right="66"/>
        <w:rPr>
          <w:lang w:val="en-GB"/>
        </w:rPr>
      </w:pPr>
      <w:r>
        <w:rPr>
          <w:lang w:val="en-GB"/>
        </w:rPr>
        <w:t>Denosumab</w:t>
      </w:r>
      <w:r w:rsidR="00CB520A" w:rsidRPr="00EE2E24">
        <w:rPr>
          <w:lang w:val="en-GB"/>
        </w:rPr>
        <w:t xml:space="preserve"> significantly increased BMD at all clinical sites measured, relative to treatment with</w:t>
      </w:r>
      <w:r w:rsidR="00CB520A" w:rsidRPr="00F53BC2">
        <w:rPr>
          <w:lang w:val="en-GB"/>
        </w:rPr>
        <w:t xml:space="preserve"> </w:t>
      </w:r>
      <w:r w:rsidR="00CB520A" w:rsidRPr="00EE2E24">
        <w:rPr>
          <w:lang w:val="en-GB"/>
        </w:rPr>
        <w:t>placebo</w:t>
      </w:r>
      <w:r w:rsidR="00CB520A" w:rsidRPr="00F53BC2">
        <w:rPr>
          <w:lang w:val="en-GB"/>
        </w:rPr>
        <w:t xml:space="preserve"> </w:t>
      </w:r>
      <w:r w:rsidR="00CB520A" w:rsidRPr="00EE2E24">
        <w:rPr>
          <w:lang w:val="en-GB"/>
        </w:rPr>
        <w:t>at</w:t>
      </w:r>
      <w:r w:rsidR="00CB520A" w:rsidRPr="00F53BC2">
        <w:rPr>
          <w:lang w:val="en-GB"/>
        </w:rPr>
        <w:t xml:space="preserve"> </w:t>
      </w:r>
      <w:r w:rsidR="00CB520A" w:rsidRPr="00EE2E24">
        <w:rPr>
          <w:lang w:val="en-GB"/>
        </w:rPr>
        <w:t>1</w:t>
      </w:r>
      <w:r w:rsidR="00CB520A" w:rsidRPr="00F53BC2">
        <w:rPr>
          <w:lang w:val="en-GB"/>
        </w:rPr>
        <w:t xml:space="preserve"> </w:t>
      </w:r>
      <w:r w:rsidR="00CB520A" w:rsidRPr="00EE2E24">
        <w:rPr>
          <w:lang w:val="en-GB"/>
        </w:rPr>
        <w:t>year</w:t>
      </w:r>
      <w:r w:rsidR="00CB520A" w:rsidRPr="00F53BC2">
        <w:rPr>
          <w:lang w:val="en-GB"/>
        </w:rPr>
        <w:t xml:space="preserve"> </w:t>
      </w:r>
      <w:r w:rsidR="00CB520A" w:rsidRPr="00EE2E24">
        <w:rPr>
          <w:lang w:val="en-GB"/>
        </w:rPr>
        <w:t>in</w:t>
      </w:r>
      <w:r w:rsidR="00CB520A" w:rsidRPr="00F53BC2">
        <w:rPr>
          <w:lang w:val="en-GB"/>
        </w:rPr>
        <w:t xml:space="preserve"> </w:t>
      </w:r>
      <w:r w:rsidR="00CB520A" w:rsidRPr="00EE2E24">
        <w:rPr>
          <w:lang w:val="en-GB"/>
        </w:rPr>
        <w:t>men</w:t>
      </w:r>
      <w:r w:rsidR="00CB520A" w:rsidRPr="00F53BC2">
        <w:rPr>
          <w:lang w:val="en-GB"/>
        </w:rPr>
        <w:t xml:space="preserve"> </w:t>
      </w:r>
      <w:r w:rsidR="00CB520A" w:rsidRPr="00EE2E24">
        <w:rPr>
          <w:lang w:val="en-GB"/>
        </w:rPr>
        <w:t>with</w:t>
      </w:r>
      <w:r w:rsidR="00CB520A" w:rsidRPr="00F53BC2">
        <w:rPr>
          <w:lang w:val="en-GB"/>
        </w:rPr>
        <w:t xml:space="preserve"> </w:t>
      </w:r>
      <w:r w:rsidR="00CB520A" w:rsidRPr="00EE2E24">
        <w:rPr>
          <w:lang w:val="en-GB"/>
        </w:rPr>
        <w:t>osteoporosis.</w:t>
      </w:r>
      <w:r w:rsidR="00CB520A" w:rsidRPr="00F53BC2">
        <w:rPr>
          <w:lang w:val="en-GB"/>
        </w:rPr>
        <w:t xml:space="preserve"> </w:t>
      </w:r>
      <w:r>
        <w:rPr>
          <w:lang w:val="en-GB"/>
        </w:rPr>
        <w:t>Denosumab</w:t>
      </w:r>
      <w:r w:rsidR="00660140" w:rsidRPr="003444E8">
        <w:rPr>
          <w:lang w:val="en-GB"/>
        </w:rPr>
        <w:t xml:space="preserve"> </w:t>
      </w:r>
      <w:r w:rsidR="00CB520A" w:rsidRPr="00EE2E24">
        <w:rPr>
          <w:lang w:val="en-GB"/>
        </w:rPr>
        <w:t>increased</w:t>
      </w:r>
      <w:r w:rsidR="00CB520A" w:rsidRPr="00F53BC2">
        <w:rPr>
          <w:lang w:val="en-GB"/>
        </w:rPr>
        <w:t xml:space="preserve"> </w:t>
      </w:r>
      <w:r w:rsidR="00CB520A" w:rsidRPr="00EE2E24">
        <w:rPr>
          <w:lang w:val="en-GB"/>
        </w:rPr>
        <w:t>BMD</w:t>
      </w:r>
      <w:r w:rsidR="00CB520A" w:rsidRPr="00F53BC2">
        <w:rPr>
          <w:lang w:val="en-GB"/>
        </w:rPr>
        <w:t xml:space="preserve"> </w:t>
      </w:r>
      <w:r w:rsidR="00CB520A" w:rsidRPr="00EE2E24">
        <w:rPr>
          <w:lang w:val="en-GB"/>
        </w:rPr>
        <w:t>by</w:t>
      </w:r>
      <w:r w:rsidR="00CB520A" w:rsidRPr="00F53BC2">
        <w:rPr>
          <w:lang w:val="en-GB"/>
        </w:rPr>
        <w:t xml:space="preserve"> </w:t>
      </w:r>
      <w:r w:rsidR="00CB520A" w:rsidRPr="00EE2E24">
        <w:rPr>
          <w:lang w:val="en-GB"/>
        </w:rPr>
        <w:t>4.8%</w:t>
      </w:r>
      <w:r w:rsidR="00CB520A" w:rsidRPr="00F53BC2">
        <w:rPr>
          <w:lang w:val="en-GB"/>
        </w:rPr>
        <w:t xml:space="preserve"> </w:t>
      </w:r>
      <w:r w:rsidR="00CB520A" w:rsidRPr="00EE2E24">
        <w:rPr>
          <w:lang w:val="en-GB"/>
        </w:rPr>
        <w:t>at</w:t>
      </w:r>
      <w:r w:rsidR="00CB520A" w:rsidRPr="00F53BC2">
        <w:rPr>
          <w:lang w:val="en-GB"/>
        </w:rPr>
        <w:t xml:space="preserve"> </w:t>
      </w:r>
      <w:r w:rsidR="00CB520A" w:rsidRPr="00EE2E24">
        <w:rPr>
          <w:lang w:val="en-GB"/>
        </w:rPr>
        <w:t>the</w:t>
      </w:r>
      <w:r w:rsidR="00CB520A" w:rsidRPr="00F53BC2">
        <w:rPr>
          <w:lang w:val="en-GB"/>
        </w:rPr>
        <w:t xml:space="preserve"> </w:t>
      </w:r>
      <w:r w:rsidR="00CB520A" w:rsidRPr="00EE2E24">
        <w:rPr>
          <w:lang w:val="en-GB"/>
        </w:rPr>
        <w:t>lumbar spine, 2.0% at the total hip, 2.3% at the hip trochanter, 2.2% at the femoral neck</w:t>
      </w:r>
      <w:r w:rsidR="00CB520A" w:rsidRPr="00F53BC2">
        <w:rPr>
          <w:lang w:val="en-GB"/>
        </w:rPr>
        <w:t xml:space="preserve"> </w:t>
      </w:r>
      <w:r w:rsidR="00CB520A" w:rsidRPr="00EE2E24">
        <w:rPr>
          <w:lang w:val="en-GB"/>
        </w:rPr>
        <w:t>and 0.9% at the distal 1/3 radius, relative to placebo.</w:t>
      </w:r>
      <w:r w:rsidR="00CB520A" w:rsidRPr="00F53BC2">
        <w:rPr>
          <w:lang w:val="en-GB"/>
        </w:rPr>
        <w:t xml:space="preserve"> </w:t>
      </w:r>
      <w:r w:rsidR="00CB520A" w:rsidRPr="00EE2E24">
        <w:rPr>
          <w:lang w:val="en-GB"/>
        </w:rPr>
        <w:t>Consistent effects on BMD were</w:t>
      </w:r>
      <w:r w:rsidR="00CB520A" w:rsidRPr="00F53BC2">
        <w:rPr>
          <w:lang w:val="en-GB"/>
        </w:rPr>
        <w:t xml:space="preserve"> </w:t>
      </w:r>
      <w:r w:rsidR="00CB520A" w:rsidRPr="00EE2E24">
        <w:rPr>
          <w:lang w:val="en-GB"/>
        </w:rPr>
        <w:t>observed at the lumbar spine regardless of baseline age, race, weight/body mass index</w:t>
      </w:r>
      <w:r w:rsidR="00CB520A" w:rsidRPr="00F53BC2">
        <w:rPr>
          <w:lang w:val="en-GB"/>
        </w:rPr>
        <w:t xml:space="preserve"> </w:t>
      </w:r>
      <w:r w:rsidR="00CB520A" w:rsidRPr="00EE2E24">
        <w:rPr>
          <w:lang w:val="en-GB"/>
        </w:rPr>
        <w:t>(BMI),</w:t>
      </w:r>
      <w:r w:rsidR="00CB520A" w:rsidRPr="00F53BC2">
        <w:rPr>
          <w:lang w:val="en-GB"/>
        </w:rPr>
        <w:t xml:space="preserve"> </w:t>
      </w:r>
      <w:r w:rsidR="00CB520A" w:rsidRPr="00EE2E24">
        <w:rPr>
          <w:lang w:val="en-GB"/>
        </w:rPr>
        <w:t>BMD,</w:t>
      </w:r>
      <w:r w:rsidR="00CB520A" w:rsidRPr="00F53BC2">
        <w:rPr>
          <w:lang w:val="en-GB"/>
        </w:rPr>
        <w:t xml:space="preserve"> </w:t>
      </w:r>
      <w:r w:rsidR="00CB520A" w:rsidRPr="00EE2E24">
        <w:rPr>
          <w:lang w:val="en-GB"/>
        </w:rPr>
        <w:t>and</w:t>
      </w:r>
      <w:r w:rsidR="00CB520A" w:rsidRPr="00F53BC2">
        <w:rPr>
          <w:lang w:val="en-GB"/>
        </w:rPr>
        <w:t xml:space="preserve"> </w:t>
      </w:r>
      <w:r w:rsidR="00CB520A" w:rsidRPr="00EE2E24">
        <w:rPr>
          <w:lang w:val="en-GB"/>
        </w:rPr>
        <w:t>level of</w:t>
      </w:r>
      <w:r w:rsidR="00CB520A" w:rsidRPr="00F53BC2">
        <w:rPr>
          <w:lang w:val="en-GB"/>
        </w:rPr>
        <w:t xml:space="preserve"> </w:t>
      </w:r>
      <w:r w:rsidR="00CB520A" w:rsidRPr="00EE2E24">
        <w:rPr>
          <w:lang w:val="en-GB"/>
        </w:rPr>
        <w:t>bone turnover.</w:t>
      </w:r>
    </w:p>
    <w:p w14:paraId="25104CE1" w14:textId="77777777" w:rsidR="006E62CD" w:rsidRPr="00EE2E24" w:rsidRDefault="00CB520A" w:rsidP="00D258EC">
      <w:pPr>
        <w:pStyle w:val="Heading3"/>
        <w:adjustRightInd w:val="0"/>
        <w:snapToGrid w:val="0"/>
        <w:spacing w:before="60" w:after="60" w:line="360" w:lineRule="auto"/>
        <w:ind w:left="108" w:rightChars="30" w:right="66"/>
        <w:rPr>
          <w:lang w:val="en-GB"/>
        </w:rPr>
      </w:pPr>
      <w:r w:rsidRPr="00EE2E24">
        <w:rPr>
          <w:lang w:val="en-GB"/>
        </w:rPr>
        <w:t>Bone</w:t>
      </w:r>
      <w:r w:rsidRPr="00EE2E24">
        <w:rPr>
          <w:spacing w:val="-2"/>
          <w:lang w:val="en-GB"/>
        </w:rPr>
        <w:t xml:space="preserve"> </w:t>
      </w:r>
      <w:r w:rsidRPr="00EE2E24">
        <w:rPr>
          <w:lang w:val="en-GB"/>
        </w:rPr>
        <w:t>histology</w:t>
      </w:r>
    </w:p>
    <w:p w14:paraId="35EC4CF2" w14:textId="157BFE72"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A total of 29 trans-iliac crest bone biopsy specimens were obtained from men with</w:t>
      </w:r>
      <w:r w:rsidRPr="00F53BC2">
        <w:rPr>
          <w:lang w:val="en-GB"/>
        </w:rPr>
        <w:t xml:space="preserve"> </w:t>
      </w:r>
      <w:r w:rsidRPr="00EE2E24">
        <w:rPr>
          <w:lang w:val="en-GB"/>
        </w:rPr>
        <w:t xml:space="preserve">osteoporosis at 12 months (17 specimens in </w:t>
      </w:r>
      <w:r w:rsidR="00E54398">
        <w:rPr>
          <w:lang w:val="en-GB"/>
        </w:rPr>
        <w:t>denosumab</w:t>
      </w:r>
      <w:r w:rsidR="00660140" w:rsidRPr="003444E8">
        <w:rPr>
          <w:lang w:val="en-GB"/>
        </w:rPr>
        <w:t xml:space="preserve"> </w:t>
      </w:r>
      <w:r w:rsidRPr="00EE2E24">
        <w:rPr>
          <w:lang w:val="en-GB"/>
        </w:rPr>
        <w:t>group, 12 specimens in placebo</w:t>
      </w:r>
      <w:r w:rsidRPr="00F53BC2">
        <w:rPr>
          <w:lang w:val="en-GB"/>
        </w:rPr>
        <w:t xml:space="preserve"> </w:t>
      </w:r>
      <w:r w:rsidRPr="00EE2E24">
        <w:rPr>
          <w:lang w:val="en-GB"/>
        </w:rPr>
        <w:t>group).</w:t>
      </w:r>
      <w:r w:rsidRPr="00F53BC2">
        <w:rPr>
          <w:lang w:val="en-GB"/>
        </w:rPr>
        <w:t xml:space="preserve"> </w:t>
      </w:r>
      <w:r w:rsidRPr="00EE2E24">
        <w:rPr>
          <w:lang w:val="en-GB"/>
        </w:rPr>
        <w:t>Qualitative</w:t>
      </w:r>
      <w:r w:rsidRPr="00F53BC2">
        <w:rPr>
          <w:lang w:val="en-GB"/>
        </w:rPr>
        <w:t xml:space="preserve"> </w:t>
      </w:r>
      <w:r w:rsidRPr="00EE2E24">
        <w:rPr>
          <w:lang w:val="en-GB"/>
        </w:rPr>
        <w:t>histology</w:t>
      </w:r>
      <w:r w:rsidRPr="00F53BC2">
        <w:rPr>
          <w:lang w:val="en-GB"/>
        </w:rPr>
        <w:t xml:space="preserve"> </w:t>
      </w:r>
      <w:r w:rsidRPr="00EE2E24">
        <w:rPr>
          <w:lang w:val="en-GB"/>
        </w:rPr>
        <w:t>assessments</w:t>
      </w:r>
      <w:r w:rsidRPr="00F53BC2">
        <w:rPr>
          <w:lang w:val="en-GB"/>
        </w:rPr>
        <w:t xml:space="preserve"> </w:t>
      </w:r>
      <w:r w:rsidRPr="00EE2E24">
        <w:rPr>
          <w:lang w:val="en-GB"/>
        </w:rPr>
        <w:t>showed</w:t>
      </w:r>
      <w:r w:rsidRPr="00F53BC2">
        <w:rPr>
          <w:lang w:val="en-GB"/>
        </w:rPr>
        <w:t xml:space="preserve"> </w:t>
      </w:r>
      <w:r w:rsidRPr="00EE2E24">
        <w:rPr>
          <w:lang w:val="en-GB"/>
        </w:rPr>
        <w:t>normal</w:t>
      </w:r>
      <w:r w:rsidRPr="00F53BC2">
        <w:rPr>
          <w:lang w:val="en-GB"/>
        </w:rPr>
        <w:t xml:space="preserve"> </w:t>
      </w:r>
      <w:r w:rsidRPr="00EE2E24">
        <w:rPr>
          <w:lang w:val="en-GB"/>
        </w:rPr>
        <w:t>architecture</w:t>
      </w:r>
      <w:r w:rsidRPr="00F53BC2">
        <w:rPr>
          <w:lang w:val="en-GB"/>
        </w:rPr>
        <w:t xml:space="preserve"> </w:t>
      </w:r>
      <w:r w:rsidRPr="00EE2E24">
        <w:rPr>
          <w:lang w:val="en-GB"/>
        </w:rPr>
        <w:t>and</w:t>
      </w:r>
      <w:r w:rsidRPr="00F53BC2">
        <w:rPr>
          <w:lang w:val="en-GB"/>
        </w:rPr>
        <w:t xml:space="preserve"> </w:t>
      </w:r>
      <w:r w:rsidRPr="00EE2E24">
        <w:rPr>
          <w:lang w:val="en-GB"/>
        </w:rPr>
        <w:t>quality</w:t>
      </w:r>
      <w:r w:rsidRPr="00F53BC2">
        <w:rPr>
          <w:lang w:val="en-GB"/>
        </w:rPr>
        <w:t xml:space="preserve"> </w:t>
      </w:r>
      <w:r w:rsidRPr="00EE2E24">
        <w:rPr>
          <w:lang w:val="en-GB"/>
        </w:rPr>
        <w:t>with</w:t>
      </w:r>
      <w:r w:rsidRPr="00F53BC2">
        <w:rPr>
          <w:lang w:val="en-GB"/>
        </w:rPr>
        <w:t xml:space="preserve"> </w:t>
      </w:r>
      <w:r w:rsidRPr="00EE2E24">
        <w:rPr>
          <w:lang w:val="en-GB"/>
        </w:rPr>
        <w:t>no</w:t>
      </w:r>
      <w:r w:rsidRPr="00F53BC2">
        <w:rPr>
          <w:lang w:val="en-GB"/>
        </w:rPr>
        <w:t xml:space="preserve"> </w:t>
      </w:r>
      <w:r w:rsidRPr="00EE2E24">
        <w:rPr>
          <w:lang w:val="en-GB"/>
        </w:rPr>
        <w:t>evidence</w:t>
      </w:r>
      <w:r w:rsidRPr="00F53BC2">
        <w:rPr>
          <w:lang w:val="en-GB"/>
        </w:rPr>
        <w:t xml:space="preserve"> </w:t>
      </w:r>
      <w:r w:rsidRPr="00EE2E24">
        <w:rPr>
          <w:lang w:val="en-GB"/>
        </w:rPr>
        <w:t>of mineralisation defects,</w:t>
      </w:r>
      <w:r w:rsidRPr="00F53BC2">
        <w:rPr>
          <w:lang w:val="en-GB"/>
        </w:rPr>
        <w:t xml:space="preserve"> </w:t>
      </w:r>
      <w:r w:rsidRPr="00EE2E24">
        <w:rPr>
          <w:lang w:val="en-GB"/>
        </w:rPr>
        <w:t>woven bone,</w:t>
      </w:r>
      <w:r w:rsidRPr="00F53BC2">
        <w:rPr>
          <w:lang w:val="en-GB"/>
        </w:rPr>
        <w:t xml:space="preserve"> </w:t>
      </w:r>
      <w:r w:rsidRPr="00EE2E24">
        <w:rPr>
          <w:lang w:val="en-GB"/>
        </w:rPr>
        <w:t>or marrow</w:t>
      </w:r>
      <w:r w:rsidRPr="00F53BC2">
        <w:rPr>
          <w:lang w:val="en-GB"/>
        </w:rPr>
        <w:t xml:space="preserve"> </w:t>
      </w:r>
      <w:r w:rsidRPr="00EE2E24">
        <w:rPr>
          <w:lang w:val="en-GB"/>
        </w:rPr>
        <w:t>fibrosis.</w:t>
      </w:r>
    </w:p>
    <w:p w14:paraId="4550AA78" w14:textId="77777777" w:rsidR="006E62CD" w:rsidRPr="00EE2E24" w:rsidRDefault="00CB520A" w:rsidP="00D258EC">
      <w:pPr>
        <w:adjustRightInd w:val="0"/>
        <w:snapToGrid w:val="0"/>
        <w:spacing w:before="60" w:after="60" w:line="360" w:lineRule="auto"/>
        <w:ind w:left="108" w:rightChars="30" w:right="66"/>
        <w:rPr>
          <w:i/>
          <w:lang w:val="en-GB"/>
        </w:rPr>
      </w:pPr>
      <w:r w:rsidRPr="00EE2E24">
        <w:rPr>
          <w:i/>
          <w:lang w:val="en-GB"/>
        </w:rPr>
        <w:t>Treatment</w:t>
      </w:r>
      <w:r w:rsidRPr="00EE2E24">
        <w:rPr>
          <w:i/>
          <w:spacing w:val="-3"/>
          <w:lang w:val="en-GB"/>
        </w:rPr>
        <w:t xml:space="preserve"> </w:t>
      </w:r>
      <w:r w:rsidRPr="00EE2E24">
        <w:rPr>
          <w:i/>
          <w:lang w:val="en-GB"/>
        </w:rPr>
        <w:t>of</w:t>
      </w:r>
      <w:r w:rsidRPr="00EE2E24">
        <w:rPr>
          <w:i/>
          <w:spacing w:val="-2"/>
          <w:lang w:val="en-GB"/>
        </w:rPr>
        <w:t xml:space="preserve"> </w:t>
      </w:r>
      <w:r w:rsidRPr="00EE2E24">
        <w:rPr>
          <w:i/>
          <w:lang w:val="en-GB"/>
        </w:rPr>
        <w:t>bone</w:t>
      </w:r>
      <w:r w:rsidRPr="00EE2E24">
        <w:rPr>
          <w:i/>
          <w:spacing w:val="-1"/>
          <w:lang w:val="en-GB"/>
        </w:rPr>
        <w:t xml:space="preserve"> </w:t>
      </w:r>
      <w:r w:rsidRPr="00EE2E24">
        <w:rPr>
          <w:i/>
          <w:lang w:val="en-GB"/>
        </w:rPr>
        <w:t>loss</w:t>
      </w:r>
      <w:r w:rsidRPr="00EE2E24">
        <w:rPr>
          <w:i/>
          <w:spacing w:val="-2"/>
          <w:lang w:val="en-GB"/>
        </w:rPr>
        <w:t xml:space="preserve"> </w:t>
      </w:r>
      <w:r w:rsidRPr="00EE2E24">
        <w:rPr>
          <w:i/>
          <w:lang w:val="en-GB"/>
        </w:rPr>
        <w:t>associated</w:t>
      </w:r>
      <w:r w:rsidRPr="00EE2E24">
        <w:rPr>
          <w:i/>
          <w:spacing w:val="-3"/>
          <w:lang w:val="en-GB"/>
        </w:rPr>
        <w:t xml:space="preserve"> </w:t>
      </w:r>
      <w:r w:rsidRPr="00EE2E24">
        <w:rPr>
          <w:i/>
          <w:lang w:val="en-GB"/>
        </w:rPr>
        <w:t>with</w:t>
      </w:r>
      <w:r w:rsidRPr="00EE2E24">
        <w:rPr>
          <w:i/>
          <w:spacing w:val="-2"/>
          <w:lang w:val="en-GB"/>
        </w:rPr>
        <w:t xml:space="preserve"> </w:t>
      </w:r>
      <w:r w:rsidRPr="00EE2E24">
        <w:rPr>
          <w:i/>
          <w:lang w:val="en-GB"/>
        </w:rPr>
        <w:t>androgen</w:t>
      </w:r>
      <w:r w:rsidRPr="00EE2E24">
        <w:rPr>
          <w:i/>
          <w:spacing w:val="-3"/>
          <w:lang w:val="en-GB"/>
        </w:rPr>
        <w:t xml:space="preserve"> </w:t>
      </w:r>
      <w:r w:rsidRPr="00EE2E24">
        <w:rPr>
          <w:i/>
          <w:lang w:val="en-GB"/>
        </w:rPr>
        <w:t>deprivation</w:t>
      </w:r>
    </w:p>
    <w:p w14:paraId="573C80B6" w14:textId="1F3A3F41"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 xml:space="preserve">The efficacy and safety of </w:t>
      </w:r>
      <w:r w:rsidR="00E54398">
        <w:rPr>
          <w:lang w:val="en-GB"/>
        </w:rPr>
        <w:t>denosumab</w:t>
      </w:r>
      <w:r w:rsidR="00660140" w:rsidRPr="003444E8">
        <w:rPr>
          <w:lang w:val="en-GB"/>
        </w:rPr>
        <w:t xml:space="preserve"> </w:t>
      </w:r>
      <w:r w:rsidRPr="00EE2E24">
        <w:rPr>
          <w:lang w:val="en-GB"/>
        </w:rPr>
        <w:t>in the treatment of bone loss associated with androgen</w:t>
      </w:r>
      <w:r w:rsidRPr="00F53BC2">
        <w:rPr>
          <w:lang w:val="en-GB"/>
        </w:rPr>
        <w:t xml:space="preserve"> </w:t>
      </w:r>
      <w:r w:rsidRPr="00EE2E24">
        <w:rPr>
          <w:lang w:val="en-GB"/>
        </w:rPr>
        <w:t>deprivation was assessed in a 3-year randomised, double-blind, placebo-controlled,</w:t>
      </w:r>
      <w:r w:rsidRPr="00F53BC2">
        <w:rPr>
          <w:lang w:val="en-GB"/>
        </w:rPr>
        <w:t xml:space="preserve"> </w:t>
      </w:r>
      <w:r w:rsidRPr="00EE2E24">
        <w:rPr>
          <w:lang w:val="en-GB"/>
        </w:rPr>
        <w:t>multinational study of 1,468 men with non-metastatic prostate cancer aged 48 to 97</w:t>
      </w:r>
      <w:r w:rsidRPr="00F53BC2">
        <w:rPr>
          <w:lang w:val="en-GB"/>
        </w:rPr>
        <w:t xml:space="preserve"> </w:t>
      </w:r>
      <w:r w:rsidRPr="00EE2E24">
        <w:rPr>
          <w:lang w:val="en-GB"/>
        </w:rPr>
        <w:t>years.</w:t>
      </w:r>
      <w:r w:rsidRPr="00F53BC2">
        <w:rPr>
          <w:lang w:val="en-GB"/>
        </w:rPr>
        <w:t xml:space="preserve"> </w:t>
      </w:r>
      <w:r w:rsidRPr="00EE2E24">
        <w:rPr>
          <w:lang w:val="en-GB"/>
        </w:rPr>
        <w:t>All men regardless of age had histologically confirmed prostate cancer.</w:t>
      </w:r>
      <w:r w:rsidRPr="00F53BC2">
        <w:rPr>
          <w:lang w:val="en-GB"/>
        </w:rPr>
        <w:t xml:space="preserve"> </w:t>
      </w:r>
      <w:r w:rsidRPr="00EE2E24">
        <w:rPr>
          <w:lang w:val="en-GB"/>
        </w:rPr>
        <w:t>Men less</w:t>
      </w:r>
      <w:r w:rsidRPr="00F53BC2">
        <w:rPr>
          <w:lang w:val="en-GB"/>
        </w:rPr>
        <w:t xml:space="preserve"> </w:t>
      </w:r>
      <w:r w:rsidRPr="00EE2E24">
        <w:rPr>
          <w:lang w:val="en-GB"/>
        </w:rPr>
        <w:t>than 70 years of age also had either a BMD T-score at the lumbar spine, total hip, or</w:t>
      </w:r>
      <w:r w:rsidRPr="00F53BC2">
        <w:rPr>
          <w:lang w:val="en-GB"/>
        </w:rPr>
        <w:t xml:space="preserve"> </w:t>
      </w:r>
      <w:r w:rsidRPr="00EE2E24">
        <w:rPr>
          <w:lang w:val="en-GB"/>
        </w:rPr>
        <w:t>femoral neck &lt; -1.0 or a history of an osteoporotic fracture.</w:t>
      </w:r>
      <w:r w:rsidRPr="00F53BC2">
        <w:rPr>
          <w:lang w:val="en-GB"/>
        </w:rPr>
        <w:t xml:space="preserve"> </w:t>
      </w:r>
      <w:r w:rsidRPr="00EE2E24">
        <w:rPr>
          <w:lang w:val="en-GB"/>
        </w:rPr>
        <w:t xml:space="preserve">Men over the </w:t>
      </w:r>
      <w:r w:rsidRPr="00EE2E24">
        <w:rPr>
          <w:lang w:val="en-GB"/>
        </w:rPr>
        <w:lastRenderedPageBreak/>
        <w:t>age of 70</w:t>
      </w:r>
      <w:r w:rsidRPr="00F53BC2">
        <w:rPr>
          <w:lang w:val="en-GB"/>
        </w:rPr>
        <w:t xml:space="preserve"> </w:t>
      </w:r>
      <w:r w:rsidRPr="00EE2E24">
        <w:rPr>
          <w:lang w:val="en-GB"/>
        </w:rPr>
        <w:t>years did not have to meet the latter requirements.</w:t>
      </w:r>
      <w:r w:rsidRPr="00F53BC2">
        <w:rPr>
          <w:lang w:val="en-GB"/>
        </w:rPr>
        <w:t xml:space="preserve"> </w:t>
      </w:r>
      <w:r w:rsidRPr="00EE2E24">
        <w:rPr>
          <w:lang w:val="en-GB"/>
        </w:rPr>
        <w:t>Men were randomised to receive</w:t>
      </w:r>
      <w:r w:rsidRPr="00F53BC2">
        <w:rPr>
          <w:lang w:val="en-GB"/>
        </w:rPr>
        <w:t xml:space="preserve"> </w:t>
      </w:r>
      <w:r w:rsidRPr="00EE2E24">
        <w:rPr>
          <w:lang w:val="en-GB"/>
        </w:rPr>
        <w:t xml:space="preserve">subcutaneous injections of either </w:t>
      </w:r>
      <w:r w:rsidR="00E54398">
        <w:rPr>
          <w:lang w:val="en-GB"/>
        </w:rPr>
        <w:t>denosumab</w:t>
      </w:r>
      <w:r w:rsidR="00660140" w:rsidRPr="003444E8">
        <w:rPr>
          <w:lang w:val="en-GB"/>
        </w:rPr>
        <w:t xml:space="preserve"> </w:t>
      </w:r>
      <w:r w:rsidRPr="00EE2E24">
        <w:rPr>
          <w:lang w:val="en-GB"/>
        </w:rPr>
        <w:t>60 mg (n = 734) or placebo (n = 734) once every</w:t>
      </w:r>
      <w:r w:rsidRPr="00F53BC2">
        <w:rPr>
          <w:lang w:val="en-GB"/>
        </w:rPr>
        <w:t xml:space="preserve"> </w:t>
      </w:r>
      <w:r w:rsidRPr="00EE2E24">
        <w:rPr>
          <w:lang w:val="en-GB"/>
        </w:rPr>
        <w:t>6 months.</w:t>
      </w:r>
      <w:r w:rsidRPr="00F53BC2">
        <w:rPr>
          <w:lang w:val="en-GB"/>
        </w:rPr>
        <w:t xml:space="preserve"> </w:t>
      </w:r>
      <w:r w:rsidRPr="00EE2E24">
        <w:rPr>
          <w:lang w:val="en-GB"/>
        </w:rPr>
        <w:t>All men received calcium (at least 1,000 mg) and vitamin D (at least 400 IU)</w:t>
      </w:r>
      <w:r w:rsidRPr="00F53BC2">
        <w:rPr>
          <w:lang w:val="en-GB"/>
        </w:rPr>
        <w:t xml:space="preserve"> </w:t>
      </w:r>
      <w:r w:rsidRPr="00EE2E24">
        <w:rPr>
          <w:lang w:val="en-GB"/>
        </w:rPr>
        <w:t>supplementation daily.</w:t>
      </w:r>
      <w:r w:rsidRPr="00F53BC2">
        <w:rPr>
          <w:lang w:val="en-GB"/>
        </w:rPr>
        <w:t xml:space="preserve"> </w:t>
      </w:r>
      <w:r w:rsidRPr="00EE2E24">
        <w:rPr>
          <w:lang w:val="en-GB"/>
        </w:rPr>
        <w:t>The primary efficacy variable was percent change in lumbar</w:t>
      </w:r>
      <w:r w:rsidRPr="00F53BC2">
        <w:rPr>
          <w:lang w:val="en-GB"/>
        </w:rPr>
        <w:t xml:space="preserve"> </w:t>
      </w:r>
      <w:r w:rsidRPr="00EE2E24">
        <w:rPr>
          <w:lang w:val="en-GB"/>
        </w:rPr>
        <w:t>spine</w:t>
      </w:r>
      <w:r w:rsidRPr="00F53BC2">
        <w:rPr>
          <w:lang w:val="en-GB"/>
        </w:rPr>
        <w:t xml:space="preserve"> </w:t>
      </w:r>
      <w:r w:rsidRPr="00EE2E24">
        <w:rPr>
          <w:lang w:val="en-GB"/>
        </w:rPr>
        <w:t>BMD.</w:t>
      </w:r>
    </w:p>
    <w:p w14:paraId="4722BB01" w14:textId="57B06225" w:rsidR="00660140" w:rsidRDefault="00CB520A" w:rsidP="00D258EC">
      <w:pPr>
        <w:pStyle w:val="BodyText"/>
        <w:adjustRightInd w:val="0"/>
        <w:snapToGrid w:val="0"/>
        <w:spacing w:before="60" w:after="60" w:line="360" w:lineRule="auto"/>
        <w:ind w:left="108" w:rightChars="30" w:right="66"/>
        <w:rPr>
          <w:lang w:val="en-GB"/>
        </w:rPr>
      </w:pPr>
      <w:r w:rsidRPr="00EE2E24">
        <w:rPr>
          <w:lang w:val="en-GB"/>
        </w:rPr>
        <w:t>Independent risk factors for osteoporosis other than BMD and advanced age (&gt; 70 years</w:t>
      </w:r>
      <w:r w:rsidRPr="00F53BC2">
        <w:rPr>
          <w:lang w:val="en-GB"/>
        </w:rPr>
        <w:t xml:space="preserve"> </w:t>
      </w:r>
      <w:r w:rsidRPr="00EE2E24">
        <w:rPr>
          <w:lang w:val="en-GB"/>
        </w:rPr>
        <w:t>of age) in males undergoing androgen deprivation, such as family history of hip fracture,</w:t>
      </w:r>
      <w:r w:rsidRPr="00F53BC2">
        <w:rPr>
          <w:lang w:val="en-GB"/>
        </w:rPr>
        <w:t xml:space="preserve"> </w:t>
      </w:r>
      <w:r w:rsidRPr="00EE2E24">
        <w:rPr>
          <w:lang w:val="en-GB"/>
        </w:rPr>
        <w:t>alcohol or tobacco use, have not been validated to the same extent as females with</w:t>
      </w:r>
      <w:r w:rsidRPr="00F53BC2">
        <w:rPr>
          <w:lang w:val="en-GB"/>
        </w:rPr>
        <w:t xml:space="preserve"> </w:t>
      </w:r>
      <w:r w:rsidRPr="00EE2E24">
        <w:rPr>
          <w:lang w:val="en-GB"/>
        </w:rPr>
        <w:t>postmenopausal</w:t>
      </w:r>
      <w:r w:rsidRPr="00F53BC2">
        <w:rPr>
          <w:lang w:val="en-GB"/>
        </w:rPr>
        <w:t xml:space="preserve"> </w:t>
      </w:r>
      <w:r w:rsidRPr="00EE2E24">
        <w:rPr>
          <w:lang w:val="en-GB"/>
        </w:rPr>
        <w:t>osteoporosis.</w:t>
      </w:r>
    </w:p>
    <w:p w14:paraId="405DDC96" w14:textId="5C3D5BB2" w:rsidR="006E62CD" w:rsidRPr="00660140" w:rsidRDefault="00CB520A" w:rsidP="00D258EC">
      <w:pPr>
        <w:pStyle w:val="Heading3"/>
        <w:adjustRightInd w:val="0"/>
        <w:snapToGrid w:val="0"/>
        <w:spacing w:before="60" w:after="60" w:line="360" w:lineRule="auto"/>
        <w:ind w:left="108" w:rightChars="30" w:right="66"/>
        <w:rPr>
          <w:lang w:val="en-GB"/>
        </w:rPr>
      </w:pPr>
      <w:r w:rsidRPr="00EE2E24">
        <w:rPr>
          <w:lang w:val="en-GB"/>
        </w:rPr>
        <w:t>Table</w:t>
      </w:r>
      <w:r w:rsidRPr="00EE2E24">
        <w:rPr>
          <w:spacing w:val="-2"/>
          <w:lang w:val="en-GB"/>
        </w:rPr>
        <w:t xml:space="preserve"> </w:t>
      </w:r>
      <w:r w:rsidRPr="00EE2E24">
        <w:rPr>
          <w:lang w:val="en-GB"/>
        </w:rPr>
        <w:t>5.</w:t>
      </w:r>
      <w:r w:rsidRPr="00EE2E24">
        <w:rPr>
          <w:spacing w:val="-2"/>
          <w:lang w:val="en-GB"/>
        </w:rPr>
        <w:t xml:space="preserve"> </w:t>
      </w:r>
      <w:r w:rsidRPr="00EE2E24">
        <w:rPr>
          <w:lang w:val="en-GB"/>
        </w:rPr>
        <w:t>Baseline</w:t>
      </w:r>
      <w:r w:rsidRPr="00EE2E24">
        <w:rPr>
          <w:spacing w:val="-1"/>
          <w:lang w:val="en-GB"/>
        </w:rPr>
        <w:t xml:space="preserve"> </w:t>
      </w:r>
      <w:r w:rsidRPr="00EE2E24">
        <w:rPr>
          <w:lang w:val="en-GB"/>
        </w:rPr>
        <w:t>Demographics</w:t>
      </w:r>
      <w:r w:rsidRPr="00EE2E24">
        <w:rPr>
          <w:spacing w:val="-3"/>
          <w:lang w:val="en-GB"/>
        </w:rPr>
        <w:t xml:space="preserve"> </w:t>
      </w:r>
      <w:r w:rsidRPr="00EE2E24">
        <w:rPr>
          <w:lang w:val="en-GB"/>
        </w:rPr>
        <w:t>(All</w:t>
      </w:r>
      <w:r w:rsidRPr="00EE2E24">
        <w:rPr>
          <w:spacing w:val="-2"/>
          <w:lang w:val="en-GB"/>
        </w:rPr>
        <w:t xml:space="preserve"> </w:t>
      </w:r>
      <w:r w:rsidRPr="00EE2E24">
        <w:rPr>
          <w:lang w:val="en-GB"/>
        </w:rPr>
        <w:t>Randomised</w:t>
      </w:r>
      <w:r w:rsidRPr="00EE2E24">
        <w:rPr>
          <w:spacing w:val="-1"/>
          <w:lang w:val="en-GB"/>
        </w:rPr>
        <w:t xml:space="preserve"> </w:t>
      </w:r>
      <w:r w:rsidRPr="00EE2E24">
        <w:rPr>
          <w:lang w:val="en-GB"/>
        </w:rPr>
        <w:t>Subjects)</w:t>
      </w:r>
    </w:p>
    <w:tbl>
      <w:tblPr>
        <w:tblStyle w:val="NormalTable0"/>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5"/>
        <w:gridCol w:w="1764"/>
        <w:gridCol w:w="1764"/>
        <w:gridCol w:w="1764"/>
      </w:tblGrid>
      <w:tr w:rsidR="00FA4FC4" w:rsidRPr="00EE2E24" w14:paraId="5230AFDB" w14:textId="77777777" w:rsidTr="004923C5">
        <w:trPr>
          <w:trHeight w:val="686"/>
        </w:trPr>
        <w:tc>
          <w:tcPr>
            <w:tcW w:w="3105" w:type="dxa"/>
          </w:tcPr>
          <w:p w14:paraId="6BE42CEC" w14:textId="77777777" w:rsidR="006E62CD" w:rsidRPr="004923C5" w:rsidRDefault="006E62CD" w:rsidP="00D258EC">
            <w:pPr>
              <w:pStyle w:val="TableParagraph"/>
              <w:adjustRightInd w:val="0"/>
              <w:snapToGrid w:val="0"/>
              <w:spacing w:after="60" w:line="360" w:lineRule="auto"/>
              <w:ind w:left="108" w:rightChars="30" w:right="66"/>
              <w:rPr>
                <w:sz w:val="20"/>
                <w:szCs w:val="20"/>
                <w:lang w:val="en-GB"/>
              </w:rPr>
            </w:pPr>
          </w:p>
        </w:tc>
        <w:tc>
          <w:tcPr>
            <w:tcW w:w="1764" w:type="dxa"/>
          </w:tcPr>
          <w:p w14:paraId="2B9C500C" w14:textId="18996613" w:rsidR="006E62CD" w:rsidRPr="004923C5" w:rsidRDefault="00E54398" w:rsidP="00D258EC">
            <w:pPr>
              <w:pStyle w:val="TableParagraph"/>
              <w:adjustRightInd w:val="0"/>
              <w:snapToGrid w:val="0"/>
              <w:spacing w:after="60" w:line="360" w:lineRule="auto"/>
              <w:ind w:left="108" w:rightChars="30" w:right="66"/>
              <w:rPr>
                <w:sz w:val="20"/>
                <w:szCs w:val="20"/>
                <w:lang w:val="en-GB"/>
              </w:rPr>
            </w:pPr>
            <w:r>
              <w:rPr>
                <w:sz w:val="20"/>
                <w:szCs w:val="20"/>
                <w:lang w:val="en-GB"/>
              </w:rPr>
              <w:t>Denosumab</w:t>
            </w:r>
          </w:p>
          <w:p w14:paraId="26B7AF0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 734)</w:t>
            </w:r>
          </w:p>
        </w:tc>
        <w:tc>
          <w:tcPr>
            <w:tcW w:w="1764" w:type="dxa"/>
          </w:tcPr>
          <w:p w14:paraId="7550F4AC" w14:textId="77777777" w:rsidR="00660140" w:rsidRPr="004923C5" w:rsidRDefault="00CB520A" w:rsidP="00D258EC">
            <w:pPr>
              <w:pStyle w:val="TableParagraph"/>
              <w:adjustRightInd w:val="0"/>
              <w:snapToGrid w:val="0"/>
              <w:spacing w:after="60" w:line="360" w:lineRule="auto"/>
              <w:ind w:left="108" w:rightChars="30" w:right="66"/>
              <w:rPr>
                <w:spacing w:val="1"/>
                <w:sz w:val="20"/>
                <w:szCs w:val="20"/>
                <w:lang w:val="en-GB"/>
              </w:rPr>
            </w:pPr>
            <w:r w:rsidRPr="004923C5">
              <w:rPr>
                <w:sz w:val="20"/>
                <w:szCs w:val="20"/>
                <w:lang w:val="en-GB"/>
              </w:rPr>
              <w:t>Placebo</w:t>
            </w:r>
            <w:r w:rsidRPr="004923C5">
              <w:rPr>
                <w:spacing w:val="1"/>
                <w:sz w:val="20"/>
                <w:szCs w:val="20"/>
                <w:lang w:val="en-GB"/>
              </w:rPr>
              <w:t xml:space="preserve"> </w:t>
            </w:r>
          </w:p>
          <w:p w14:paraId="6FC1A09D" w14:textId="05E3200B"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w:t>
            </w:r>
            <w:r w:rsidRPr="004923C5">
              <w:rPr>
                <w:spacing w:val="-8"/>
                <w:sz w:val="20"/>
                <w:szCs w:val="20"/>
                <w:lang w:val="en-GB"/>
              </w:rPr>
              <w:t xml:space="preserve"> </w:t>
            </w:r>
            <w:r w:rsidRPr="004923C5">
              <w:rPr>
                <w:sz w:val="20"/>
                <w:szCs w:val="20"/>
                <w:lang w:val="en-GB"/>
              </w:rPr>
              <w:t>=</w:t>
            </w:r>
            <w:r w:rsidRPr="004923C5">
              <w:rPr>
                <w:spacing w:val="-7"/>
                <w:sz w:val="20"/>
                <w:szCs w:val="20"/>
                <w:lang w:val="en-GB"/>
              </w:rPr>
              <w:t xml:space="preserve"> </w:t>
            </w:r>
            <w:r w:rsidRPr="004923C5">
              <w:rPr>
                <w:sz w:val="20"/>
                <w:szCs w:val="20"/>
                <w:lang w:val="en-GB"/>
              </w:rPr>
              <w:t>734)</w:t>
            </w:r>
          </w:p>
        </w:tc>
        <w:tc>
          <w:tcPr>
            <w:tcW w:w="1764" w:type="dxa"/>
          </w:tcPr>
          <w:p w14:paraId="723B8C6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All</w:t>
            </w:r>
          </w:p>
          <w:p w14:paraId="71868F3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1,468)</w:t>
            </w:r>
          </w:p>
        </w:tc>
      </w:tr>
      <w:tr w:rsidR="00FA4FC4" w:rsidRPr="00EE2E24" w14:paraId="5720C05E" w14:textId="77777777" w:rsidTr="004923C5">
        <w:trPr>
          <w:trHeight w:val="373"/>
        </w:trPr>
        <w:tc>
          <w:tcPr>
            <w:tcW w:w="3105" w:type="dxa"/>
          </w:tcPr>
          <w:p w14:paraId="30D7490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Age</w:t>
            </w:r>
            <w:r w:rsidRPr="004923C5">
              <w:rPr>
                <w:spacing w:val="-1"/>
                <w:sz w:val="20"/>
                <w:szCs w:val="20"/>
                <w:lang w:val="en-GB"/>
              </w:rPr>
              <w:t xml:space="preserve"> </w:t>
            </w:r>
            <w:r w:rsidRPr="004923C5">
              <w:rPr>
                <w:sz w:val="20"/>
                <w:szCs w:val="20"/>
                <w:lang w:val="en-GB"/>
              </w:rPr>
              <w:t>(years)</w:t>
            </w:r>
          </w:p>
        </w:tc>
        <w:tc>
          <w:tcPr>
            <w:tcW w:w="1764" w:type="dxa"/>
          </w:tcPr>
          <w:p w14:paraId="4E19CE5D" w14:textId="77777777" w:rsidR="006E62CD" w:rsidRPr="004923C5" w:rsidRDefault="006E62CD" w:rsidP="00D258EC">
            <w:pPr>
              <w:pStyle w:val="TableParagraph"/>
              <w:adjustRightInd w:val="0"/>
              <w:snapToGrid w:val="0"/>
              <w:spacing w:after="60" w:line="360" w:lineRule="auto"/>
              <w:ind w:left="108" w:rightChars="30" w:right="66"/>
              <w:rPr>
                <w:sz w:val="20"/>
                <w:szCs w:val="20"/>
                <w:lang w:val="en-GB"/>
              </w:rPr>
            </w:pPr>
          </w:p>
        </w:tc>
        <w:tc>
          <w:tcPr>
            <w:tcW w:w="1764" w:type="dxa"/>
          </w:tcPr>
          <w:p w14:paraId="4F0E956F" w14:textId="77777777" w:rsidR="006E62CD" w:rsidRPr="004923C5" w:rsidRDefault="006E62CD" w:rsidP="00D258EC">
            <w:pPr>
              <w:pStyle w:val="TableParagraph"/>
              <w:adjustRightInd w:val="0"/>
              <w:snapToGrid w:val="0"/>
              <w:spacing w:after="60" w:line="360" w:lineRule="auto"/>
              <w:ind w:left="108" w:rightChars="30" w:right="66"/>
              <w:rPr>
                <w:sz w:val="20"/>
                <w:szCs w:val="20"/>
                <w:lang w:val="en-GB"/>
              </w:rPr>
            </w:pPr>
          </w:p>
        </w:tc>
        <w:tc>
          <w:tcPr>
            <w:tcW w:w="1764" w:type="dxa"/>
          </w:tcPr>
          <w:p w14:paraId="7D87A062" w14:textId="77777777" w:rsidR="006E62CD" w:rsidRPr="004923C5" w:rsidRDefault="006E62CD" w:rsidP="00D258EC">
            <w:pPr>
              <w:pStyle w:val="TableParagraph"/>
              <w:adjustRightInd w:val="0"/>
              <w:snapToGrid w:val="0"/>
              <w:spacing w:after="60" w:line="360" w:lineRule="auto"/>
              <w:ind w:left="108" w:rightChars="30" w:right="66"/>
              <w:rPr>
                <w:sz w:val="20"/>
                <w:szCs w:val="20"/>
                <w:lang w:val="en-GB"/>
              </w:rPr>
            </w:pPr>
          </w:p>
        </w:tc>
      </w:tr>
      <w:tr w:rsidR="00FA4FC4" w:rsidRPr="00EE2E24" w14:paraId="6FB29F5B" w14:textId="77777777" w:rsidTr="004923C5">
        <w:trPr>
          <w:trHeight w:val="372"/>
        </w:trPr>
        <w:tc>
          <w:tcPr>
            <w:tcW w:w="3105" w:type="dxa"/>
          </w:tcPr>
          <w:p w14:paraId="1E80BE3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Mean</w:t>
            </w:r>
          </w:p>
        </w:tc>
        <w:tc>
          <w:tcPr>
            <w:tcW w:w="1764" w:type="dxa"/>
          </w:tcPr>
          <w:p w14:paraId="4C0E760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75.3</w:t>
            </w:r>
          </w:p>
        </w:tc>
        <w:tc>
          <w:tcPr>
            <w:tcW w:w="1764" w:type="dxa"/>
          </w:tcPr>
          <w:p w14:paraId="61D21AB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75.5</w:t>
            </w:r>
          </w:p>
        </w:tc>
        <w:tc>
          <w:tcPr>
            <w:tcW w:w="1764" w:type="dxa"/>
          </w:tcPr>
          <w:p w14:paraId="5458DA1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75.4</w:t>
            </w:r>
          </w:p>
        </w:tc>
      </w:tr>
      <w:tr w:rsidR="00FA4FC4" w:rsidRPr="00EE2E24" w14:paraId="7B333D89" w14:textId="77777777" w:rsidTr="004923C5">
        <w:trPr>
          <w:trHeight w:val="372"/>
        </w:trPr>
        <w:tc>
          <w:tcPr>
            <w:tcW w:w="3105" w:type="dxa"/>
          </w:tcPr>
          <w:p w14:paraId="3298567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SD</w:t>
            </w:r>
          </w:p>
        </w:tc>
        <w:tc>
          <w:tcPr>
            <w:tcW w:w="1764" w:type="dxa"/>
          </w:tcPr>
          <w:p w14:paraId="1939654D"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7.0</w:t>
            </w:r>
          </w:p>
        </w:tc>
        <w:tc>
          <w:tcPr>
            <w:tcW w:w="1764" w:type="dxa"/>
          </w:tcPr>
          <w:p w14:paraId="49F0078D"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7.1</w:t>
            </w:r>
          </w:p>
        </w:tc>
        <w:tc>
          <w:tcPr>
            <w:tcW w:w="1764" w:type="dxa"/>
          </w:tcPr>
          <w:p w14:paraId="185E782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7.1</w:t>
            </w:r>
          </w:p>
        </w:tc>
      </w:tr>
      <w:tr w:rsidR="00FA4FC4" w:rsidRPr="00EE2E24" w14:paraId="4317F9A3" w14:textId="77777777" w:rsidTr="004923C5">
        <w:trPr>
          <w:trHeight w:val="373"/>
        </w:trPr>
        <w:tc>
          <w:tcPr>
            <w:tcW w:w="3105" w:type="dxa"/>
          </w:tcPr>
          <w:p w14:paraId="5A2E7EF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Median</w:t>
            </w:r>
          </w:p>
        </w:tc>
        <w:tc>
          <w:tcPr>
            <w:tcW w:w="1764" w:type="dxa"/>
          </w:tcPr>
          <w:p w14:paraId="44CA542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76.0</w:t>
            </w:r>
          </w:p>
        </w:tc>
        <w:tc>
          <w:tcPr>
            <w:tcW w:w="1764" w:type="dxa"/>
          </w:tcPr>
          <w:p w14:paraId="210BBCE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76.0</w:t>
            </w:r>
          </w:p>
        </w:tc>
        <w:tc>
          <w:tcPr>
            <w:tcW w:w="1764" w:type="dxa"/>
          </w:tcPr>
          <w:p w14:paraId="5A59D39C"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76.0</w:t>
            </w:r>
          </w:p>
        </w:tc>
      </w:tr>
      <w:tr w:rsidR="00FA4FC4" w:rsidRPr="00EE2E24" w14:paraId="1EBE173C" w14:textId="77777777" w:rsidTr="004923C5">
        <w:trPr>
          <w:trHeight w:val="372"/>
        </w:trPr>
        <w:tc>
          <w:tcPr>
            <w:tcW w:w="3105" w:type="dxa"/>
          </w:tcPr>
          <w:p w14:paraId="09D0C69F"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Q1,</w:t>
            </w:r>
            <w:r w:rsidRPr="004923C5">
              <w:rPr>
                <w:spacing w:val="-2"/>
                <w:sz w:val="20"/>
                <w:szCs w:val="20"/>
                <w:lang w:val="en-GB"/>
              </w:rPr>
              <w:t xml:space="preserve"> </w:t>
            </w:r>
            <w:r w:rsidRPr="004923C5">
              <w:rPr>
                <w:sz w:val="20"/>
                <w:szCs w:val="20"/>
                <w:lang w:val="en-GB"/>
              </w:rPr>
              <w:t>Q3</w:t>
            </w:r>
          </w:p>
        </w:tc>
        <w:tc>
          <w:tcPr>
            <w:tcW w:w="1764" w:type="dxa"/>
          </w:tcPr>
          <w:p w14:paraId="29608486"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71.0,</w:t>
            </w:r>
            <w:r w:rsidRPr="004923C5">
              <w:rPr>
                <w:spacing w:val="-1"/>
                <w:sz w:val="20"/>
                <w:szCs w:val="20"/>
                <w:lang w:val="en-GB"/>
              </w:rPr>
              <w:t xml:space="preserve"> </w:t>
            </w:r>
            <w:r w:rsidRPr="004923C5">
              <w:rPr>
                <w:sz w:val="20"/>
                <w:szCs w:val="20"/>
                <w:lang w:val="en-GB"/>
              </w:rPr>
              <w:t>80.0</w:t>
            </w:r>
          </w:p>
        </w:tc>
        <w:tc>
          <w:tcPr>
            <w:tcW w:w="1764" w:type="dxa"/>
          </w:tcPr>
          <w:p w14:paraId="76C8DC7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71.0,</w:t>
            </w:r>
            <w:r w:rsidRPr="004923C5">
              <w:rPr>
                <w:spacing w:val="-1"/>
                <w:sz w:val="20"/>
                <w:szCs w:val="20"/>
                <w:lang w:val="en-GB"/>
              </w:rPr>
              <w:t xml:space="preserve"> </w:t>
            </w:r>
            <w:r w:rsidRPr="004923C5">
              <w:rPr>
                <w:sz w:val="20"/>
                <w:szCs w:val="20"/>
                <w:lang w:val="en-GB"/>
              </w:rPr>
              <w:t>80.0</w:t>
            </w:r>
          </w:p>
        </w:tc>
        <w:tc>
          <w:tcPr>
            <w:tcW w:w="1764" w:type="dxa"/>
          </w:tcPr>
          <w:p w14:paraId="12BE047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71.0,</w:t>
            </w:r>
            <w:r w:rsidRPr="004923C5">
              <w:rPr>
                <w:spacing w:val="-1"/>
                <w:sz w:val="20"/>
                <w:szCs w:val="20"/>
                <w:lang w:val="en-GB"/>
              </w:rPr>
              <w:t xml:space="preserve"> </w:t>
            </w:r>
            <w:r w:rsidRPr="004923C5">
              <w:rPr>
                <w:sz w:val="20"/>
                <w:szCs w:val="20"/>
                <w:lang w:val="en-GB"/>
              </w:rPr>
              <w:t>80.0</w:t>
            </w:r>
          </w:p>
        </w:tc>
      </w:tr>
      <w:tr w:rsidR="00FA4FC4" w:rsidRPr="00EE2E24" w14:paraId="1C88C358" w14:textId="77777777" w:rsidTr="004923C5">
        <w:trPr>
          <w:trHeight w:val="372"/>
        </w:trPr>
        <w:tc>
          <w:tcPr>
            <w:tcW w:w="3105" w:type="dxa"/>
          </w:tcPr>
          <w:p w14:paraId="7D8E0FA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Min,</w:t>
            </w:r>
            <w:r w:rsidRPr="004923C5">
              <w:rPr>
                <w:spacing w:val="-2"/>
                <w:sz w:val="20"/>
                <w:szCs w:val="20"/>
                <w:lang w:val="en-GB"/>
              </w:rPr>
              <w:t xml:space="preserve"> </w:t>
            </w:r>
            <w:r w:rsidRPr="004923C5">
              <w:rPr>
                <w:sz w:val="20"/>
                <w:szCs w:val="20"/>
                <w:lang w:val="en-GB"/>
              </w:rPr>
              <w:t>Max</w:t>
            </w:r>
          </w:p>
        </w:tc>
        <w:tc>
          <w:tcPr>
            <w:tcW w:w="1764" w:type="dxa"/>
          </w:tcPr>
          <w:p w14:paraId="4DFB0548"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48,</w:t>
            </w:r>
            <w:r w:rsidRPr="004923C5">
              <w:rPr>
                <w:spacing w:val="-1"/>
                <w:sz w:val="20"/>
                <w:szCs w:val="20"/>
                <w:lang w:val="en-GB"/>
              </w:rPr>
              <w:t xml:space="preserve"> </w:t>
            </w:r>
            <w:r w:rsidRPr="004923C5">
              <w:rPr>
                <w:sz w:val="20"/>
                <w:szCs w:val="20"/>
                <w:lang w:val="en-GB"/>
              </w:rPr>
              <w:t>92</w:t>
            </w:r>
          </w:p>
        </w:tc>
        <w:tc>
          <w:tcPr>
            <w:tcW w:w="1764" w:type="dxa"/>
          </w:tcPr>
          <w:p w14:paraId="32067AF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50,</w:t>
            </w:r>
            <w:r w:rsidRPr="004923C5">
              <w:rPr>
                <w:spacing w:val="-1"/>
                <w:sz w:val="20"/>
                <w:szCs w:val="20"/>
                <w:lang w:val="en-GB"/>
              </w:rPr>
              <w:t xml:space="preserve"> </w:t>
            </w:r>
            <w:r w:rsidRPr="004923C5">
              <w:rPr>
                <w:sz w:val="20"/>
                <w:szCs w:val="20"/>
                <w:lang w:val="en-GB"/>
              </w:rPr>
              <w:t>97</w:t>
            </w:r>
          </w:p>
        </w:tc>
        <w:tc>
          <w:tcPr>
            <w:tcW w:w="1764" w:type="dxa"/>
          </w:tcPr>
          <w:p w14:paraId="3DA921F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48,</w:t>
            </w:r>
            <w:r w:rsidRPr="004923C5">
              <w:rPr>
                <w:spacing w:val="-1"/>
                <w:sz w:val="20"/>
                <w:szCs w:val="20"/>
                <w:lang w:val="en-GB"/>
              </w:rPr>
              <w:t xml:space="preserve"> </w:t>
            </w:r>
            <w:r w:rsidRPr="004923C5">
              <w:rPr>
                <w:sz w:val="20"/>
                <w:szCs w:val="20"/>
                <w:lang w:val="en-GB"/>
              </w:rPr>
              <w:t>97</w:t>
            </w:r>
          </w:p>
        </w:tc>
      </w:tr>
      <w:tr w:rsidR="00FA4FC4" w:rsidRPr="00EE2E24" w14:paraId="2A4FB967" w14:textId="77777777" w:rsidTr="004923C5">
        <w:trPr>
          <w:trHeight w:val="373"/>
        </w:trPr>
        <w:tc>
          <w:tcPr>
            <w:tcW w:w="8397" w:type="dxa"/>
            <w:gridSpan w:val="4"/>
          </w:tcPr>
          <w:p w14:paraId="45BACCCD"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Age</w:t>
            </w:r>
            <w:r w:rsidRPr="004923C5">
              <w:rPr>
                <w:spacing w:val="-1"/>
                <w:sz w:val="20"/>
                <w:szCs w:val="20"/>
                <w:lang w:val="en-GB"/>
              </w:rPr>
              <w:t xml:space="preserve"> </w:t>
            </w:r>
            <w:r w:rsidRPr="004923C5">
              <w:rPr>
                <w:sz w:val="20"/>
                <w:szCs w:val="20"/>
                <w:lang w:val="en-GB"/>
              </w:rPr>
              <w:t>group – n</w:t>
            </w:r>
            <w:r w:rsidRPr="004923C5">
              <w:rPr>
                <w:spacing w:val="-2"/>
                <w:sz w:val="20"/>
                <w:szCs w:val="20"/>
                <w:lang w:val="en-GB"/>
              </w:rPr>
              <w:t xml:space="preserve"> </w:t>
            </w:r>
            <w:r w:rsidRPr="004923C5">
              <w:rPr>
                <w:sz w:val="20"/>
                <w:szCs w:val="20"/>
                <w:lang w:val="en-GB"/>
              </w:rPr>
              <w:t>(%)</w:t>
            </w:r>
          </w:p>
        </w:tc>
      </w:tr>
      <w:tr w:rsidR="00FA4FC4" w:rsidRPr="00EE2E24" w14:paraId="32A1C339" w14:textId="77777777" w:rsidTr="004923C5">
        <w:trPr>
          <w:trHeight w:val="372"/>
        </w:trPr>
        <w:tc>
          <w:tcPr>
            <w:tcW w:w="3105" w:type="dxa"/>
          </w:tcPr>
          <w:p w14:paraId="4F887198" w14:textId="77777777" w:rsidR="006E62CD" w:rsidRPr="004923C5" w:rsidRDefault="00CB520A" w:rsidP="00FF4465">
            <w:pPr>
              <w:pStyle w:val="TableParagraph"/>
              <w:adjustRightInd w:val="0"/>
              <w:snapToGrid w:val="0"/>
              <w:spacing w:after="60" w:line="360" w:lineRule="auto"/>
              <w:ind w:left="108" w:rightChars="30" w:right="66"/>
              <w:rPr>
                <w:sz w:val="20"/>
                <w:szCs w:val="20"/>
                <w:lang w:val="en-GB"/>
              </w:rPr>
            </w:pPr>
            <w:r w:rsidRPr="004923C5">
              <w:rPr>
                <w:sz w:val="20"/>
                <w:szCs w:val="20"/>
                <w:lang w:val="en-GB"/>
              </w:rPr>
              <w:t>&lt;</w:t>
            </w:r>
            <w:r w:rsidRPr="004923C5">
              <w:rPr>
                <w:spacing w:val="-1"/>
                <w:sz w:val="20"/>
                <w:szCs w:val="20"/>
                <w:lang w:val="en-GB"/>
              </w:rPr>
              <w:t xml:space="preserve"> </w:t>
            </w:r>
            <w:r w:rsidRPr="004923C5">
              <w:rPr>
                <w:sz w:val="20"/>
                <w:szCs w:val="20"/>
                <w:lang w:val="en-GB"/>
              </w:rPr>
              <w:t>50</w:t>
            </w:r>
            <w:r w:rsidRPr="004923C5">
              <w:rPr>
                <w:spacing w:val="-1"/>
                <w:sz w:val="20"/>
                <w:szCs w:val="20"/>
                <w:lang w:val="en-GB"/>
              </w:rPr>
              <w:t xml:space="preserve"> </w:t>
            </w:r>
            <w:r w:rsidRPr="004923C5">
              <w:rPr>
                <w:sz w:val="20"/>
                <w:szCs w:val="20"/>
                <w:lang w:val="en-GB"/>
              </w:rPr>
              <w:t>years</w:t>
            </w:r>
          </w:p>
        </w:tc>
        <w:tc>
          <w:tcPr>
            <w:tcW w:w="1764" w:type="dxa"/>
          </w:tcPr>
          <w:p w14:paraId="407AB18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w:t>
            </w:r>
            <w:r w:rsidRPr="004923C5">
              <w:rPr>
                <w:spacing w:val="-2"/>
                <w:sz w:val="20"/>
                <w:szCs w:val="20"/>
                <w:lang w:val="en-GB"/>
              </w:rPr>
              <w:t xml:space="preserve"> </w:t>
            </w:r>
            <w:r w:rsidRPr="004923C5">
              <w:rPr>
                <w:sz w:val="20"/>
                <w:szCs w:val="20"/>
                <w:lang w:val="en-GB"/>
              </w:rPr>
              <w:t>(0.1)</w:t>
            </w:r>
          </w:p>
        </w:tc>
        <w:tc>
          <w:tcPr>
            <w:tcW w:w="1764" w:type="dxa"/>
          </w:tcPr>
          <w:p w14:paraId="3DF8812C"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w:t>
            </w:r>
            <w:r w:rsidRPr="004923C5">
              <w:rPr>
                <w:spacing w:val="-2"/>
                <w:sz w:val="20"/>
                <w:szCs w:val="20"/>
                <w:lang w:val="en-GB"/>
              </w:rPr>
              <w:t xml:space="preserve"> </w:t>
            </w:r>
            <w:r w:rsidRPr="004923C5">
              <w:rPr>
                <w:sz w:val="20"/>
                <w:szCs w:val="20"/>
                <w:lang w:val="en-GB"/>
              </w:rPr>
              <w:t>(0.0)</w:t>
            </w:r>
          </w:p>
        </w:tc>
        <w:tc>
          <w:tcPr>
            <w:tcW w:w="1764" w:type="dxa"/>
          </w:tcPr>
          <w:p w14:paraId="018050A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w:t>
            </w:r>
            <w:r w:rsidRPr="004923C5">
              <w:rPr>
                <w:spacing w:val="-2"/>
                <w:sz w:val="20"/>
                <w:szCs w:val="20"/>
                <w:lang w:val="en-GB"/>
              </w:rPr>
              <w:t xml:space="preserve"> </w:t>
            </w:r>
            <w:r w:rsidRPr="004923C5">
              <w:rPr>
                <w:sz w:val="20"/>
                <w:szCs w:val="20"/>
                <w:lang w:val="en-GB"/>
              </w:rPr>
              <w:t>(&lt; 0.1)</w:t>
            </w:r>
          </w:p>
        </w:tc>
      </w:tr>
      <w:tr w:rsidR="00FA4FC4" w:rsidRPr="00EE2E24" w14:paraId="70AA4E0B" w14:textId="77777777" w:rsidTr="004923C5">
        <w:trPr>
          <w:trHeight w:val="372"/>
        </w:trPr>
        <w:tc>
          <w:tcPr>
            <w:tcW w:w="3105" w:type="dxa"/>
          </w:tcPr>
          <w:p w14:paraId="02CB24EC" w14:textId="77777777" w:rsidR="006E62CD" w:rsidRPr="004923C5" w:rsidRDefault="00CB520A" w:rsidP="004923C5">
            <w:pPr>
              <w:pStyle w:val="TableParagraph"/>
              <w:adjustRightInd w:val="0"/>
              <w:snapToGrid w:val="0"/>
              <w:spacing w:after="60" w:line="360" w:lineRule="auto"/>
              <w:ind w:left="108" w:rightChars="30" w:right="66"/>
              <w:rPr>
                <w:sz w:val="20"/>
                <w:szCs w:val="20"/>
                <w:lang w:val="en-GB"/>
              </w:rPr>
            </w:pPr>
            <w:r w:rsidRPr="004923C5">
              <w:rPr>
                <w:sz w:val="20"/>
                <w:szCs w:val="20"/>
                <w:lang w:val="en-GB"/>
              </w:rPr>
              <w:t>50</w:t>
            </w:r>
            <w:r w:rsidRPr="004923C5">
              <w:rPr>
                <w:spacing w:val="-1"/>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59</w:t>
            </w:r>
            <w:r w:rsidRPr="004923C5">
              <w:rPr>
                <w:spacing w:val="-1"/>
                <w:sz w:val="20"/>
                <w:szCs w:val="20"/>
                <w:lang w:val="en-GB"/>
              </w:rPr>
              <w:t xml:space="preserve"> </w:t>
            </w:r>
            <w:r w:rsidRPr="004923C5">
              <w:rPr>
                <w:sz w:val="20"/>
                <w:szCs w:val="20"/>
                <w:lang w:val="en-GB"/>
              </w:rPr>
              <w:t>years</w:t>
            </w:r>
          </w:p>
        </w:tc>
        <w:tc>
          <w:tcPr>
            <w:tcW w:w="1764" w:type="dxa"/>
          </w:tcPr>
          <w:p w14:paraId="46542E1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23</w:t>
            </w:r>
            <w:r w:rsidRPr="004923C5">
              <w:rPr>
                <w:spacing w:val="-1"/>
                <w:sz w:val="20"/>
                <w:szCs w:val="20"/>
                <w:lang w:val="en-GB"/>
              </w:rPr>
              <w:t xml:space="preserve"> </w:t>
            </w:r>
            <w:r w:rsidRPr="004923C5">
              <w:rPr>
                <w:sz w:val="20"/>
                <w:szCs w:val="20"/>
                <w:lang w:val="en-GB"/>
              </w:rPr>
              <w:t>(3.1)</w:t>
            </w:r>
          </w:p>
        </w:tc>
        <w:tc>
          <w:tcPr>
            <w:tcW w:w="1764" w:type="dxa"/>
          </w:tcPr>
          <w:p w14:paraId="2678FAF8"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20</w:t>
            </w:r>
            <w:r w:rsidRPr="004923C5">
              <w:rPr>
                <w:spacing w:val="-1"/>
                <w:sz w:val="20"/>
                <w:szCs w:val="20"/>
                <w:lang w:val="en-GB"/>
              </w:rPr>
              <w:t xml:space="preserve"> </w:t>
            </w:r>
            <w:r w:rsidRPr="004923C5">
              <w:rPr>
                <w:sz w:val="20"/>
                <w:szCs w:val="20"/>
                <w:lang w:val="en-GB"/>
              </w:rPr>
              <w:t>(2.7)</w:t>
            </w:r>
          </w:p>
        </w:tc>
        <w:tc>
          <w:tcPr>
            <w:tcW w:w="1764" w:type="dxa"/>
          </w:tcPr>
          <w:p w14:paraId="0A40BD4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43</w:t>
            </w:r>
            <w:r w:rsidRPr="004923C5">
              <w:rPr>
                <w:spacing w:val="-1"/>
                <w:sz w:val="20"/>
                <w:szCs w:val="20"/>
                <w:lang w:val="en-GB"/>
              </w:rPr>
              <w:t xml:space="preserve"> </w:t>
            </w:r>
            <w:r w:rsidRPr="004923C5">
              <w:rPr>
                <w:sz w:val="20"/>
                <w:szCs w:val="20"/>
                <w:lang w:val="en-GB"/>
              </w:rPr>
              <w:t>(2.9)</w:t>
            </w:r>
          </w:p>
        </w:tc>
      </w:tr>
      <w:tr w:rsidR="00FA4FC4" w:rsidRPr="00EE2E24" w14:paraId="457FE983" w14:textId="77777777" w:rsidTr="004923C5">
        <w:trPr>
          <w:trHeight w:val="372"/>
        </w:trPr>
        <w:tc>
          <w:tcPr>
            <w:tcW w:w="3105" w:type="dxa"/>
          </w:tcPr>
          <w:p w14:paraId="5080E27F" w14:textId="77777777" w:rsidR="006E62CD" w:rsidRPr="004923C5" w:rsidRDefault="00CB520A" w:rsidP="004923C5">
            <w:pPr>
              <w:pStyle w:val="TableParagraph"/>
              <w:adjustRightInd w:val="0"/>
              <w:snapToGrid w:val="0"/>
              <w:spacing w:after="60" w:line="360" w:lineRule="auto"/>
              <w:ind w:left="108" w:rightChars="30" w:right="66"/>
              <w:rPr>
                <w:sz w:val="20"/>
                <w:szCs w:val="20"/>
                <w:lang w:val="en-GB"/>
              </w:rPr>
            </w:pPr>
            <w:r w:rsidRPr="004923C5">
              <w:rPr>
                <w:sz w:val="20"/>
                <w:szCs w:val="20"/>
                <w:lang w:val="en-GB"/>
              </w:rPr>
              <w:t>60</w:t>
            </w:r>
            <w:r w:rsidRPr="004923C5">
              <w:rPr>
                <w:spacing w:val="-1"/>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69</w:t>
            </w:r>
            <w:r w:rsidRPr="004923C5">
              <w:rPr>
                <w:spacing w:val="-1"/>
                <w:sz w:val="20"/>
                <w:szCs w:val="20"/>
                <w:lang w:val="en-GB"/>
              </w:rPr>
              <w:t xml:space="preserve"> </w:t>
            </w:r>
            <w:r w:rsidRPr="004923C5">
              <w:rPr>
                <w:sz w:val="20"/>
                <w:szCs w:val="20"/>
                <w:lang w:val="en-GB"/>
              </w:rPr>
              <w:t>years</w:t>
            </w:r>
          </w:p>
        </w:tc>
        <w:tc>
          <w:tcPr>
            <w:tcW w:w="1764" w:type="dxa"/>
          </w:tcPr>
          <w:p w14:paraId="7B7E0E8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100</w:t>
            </w:r>
            <w:r w:rsidRPr="004923C5">
              <w:rPr>
                <w:spacing w:val="-1"/>
                <w:sz w:val="20"/>
                <w:szCs w:val="20"/>
                <w:lang w:val="en-GB"/>
              </w:rPr>
              <w:t xml:space="preserve"> </w:t>
            </w:r>
            <w:r w:rsidRPr="004923C5">
              <w:rPr>
                <w:sz w:val="20"/>
                <w:szCs w:val="20"/>
                <w:lang w:val="en-GB"/>
              </w:rPr>
              <w:t>(13.6)</w:t>
            </w:r>
          </w:p>
        </w:tc>
        <w:tc>
          <w:tcPr>
            <w:tcW w:w="1764" w:type="dxa"/>
          </w:tcPr>
          <w:p w14:paraId="2E01576C"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103</w:t>
            </w:r>
            <w:r w:rsidRPr="004923C5">
              <w:rPr>
                <w:spacing w:val="-1"/>
                <w:sz w:val="20"/>
                <w:szCs w:val="20"/>
                <w:lang w:val="en-GB"/>
              </w:rPr>
              <w:t xml:space="preserve"> </w:t>
            </w:r>
            <w:r w:rsidRPr="004923C5">
              <w:rPr>
                <w:sz w:val="20"/>
                <w:szCs w:val="20"/>
                <w:lang w:val="en-GB"/>
              </w:rPr>
              <w:t>(14.0)</w:t>
            </w:r>
          </w:p>
        </w:tc>
        <w:tc>
          <w:tcPr>
            <w:tcW w:w="1764" w:type="dxa"/>
          </w:tcPr>
          <w:p w14:paraId="04838B33"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203</w:t>
            </w:r>
            <w:r w:rsidRPr="004923C5">
              <w:rPr>
                <w:spacing w:val="-1"/>
                <w:sz w:val="20"/>
                <w:szCs w:val="20"/>
                <w:lang w:val="en-GB"/>
              </w:rPr>
              <w:t xml:space="preserve"> </w:t>
            </w:r>
            <w:r w:rsidRPr="004923C5">
              <w:rPr>
                <w:sz w:val="20"/>
                <w:szCs w:val="20"/>
                <w:lang w:val="en-GB"/>
              </w:rPr>
              <w:t>(13.8)</w:t>
            </w:r>
          </w:p>
        </w:tc>
      </w:tr>
      <w:tr w:rsidR="00FA4FC4" w:rsidRPr="00EE2E24" w14:paraId="54F34AD3" w14:textId="77777777" w:rsidTr="004923C5">
        <w:trPr>
          <w:trHeight w:val="374"/>
        </w:trPr>
        <w:tc>
          <w:tcPr>
            <w:tcW w:w="3105" w:type="dxa"/>
          </w:tcPr>
          <w:p w14:paraId="572E1317" w14:textId="77777777" w:rsidR="006E62CD" w:rsidRPr="004923C5" w:rsidRDefault="00CB520A" w:rsidP="004923C5">
            <w:pPr>
              <w:pStyle w:val="TableParagraph"/>
              <w:adjustRightInd w:val="0"/>
              <w:snapToGrid w:val="0"/>
              <w:spacing w:after="60" w:line="360" w:lineRule="auto"/>
              <w:ind w:left="108" w:rightChars="30" w:right="66"/>
              <w:rPr>
                <w:sz w:val="20"/>
                <w:szCs w:val="20"/>
                <w:lang w:val="en-GB"/>
              </w:rPr>
            </w:pPr>
            <w:r w:rsidRPr="004923C5">
              <w:rPr>
                <w:sz w:val="20"/>
                <w:szCs w:val="20"/>
                <w:lang w:val="en-GB"/>
              </w:rPr>
              <w:t>70</w:t>
            </w:r>
            <w:r w:rsidRPr="004923C5">
              <w:rPr>
                <w:spacing w:val="-1"/>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79</w:t>
            </w:r>
            <w:r w:rsidRPr="004923C5">
              <w:rPr>
                <w:spacing w:val="-1"/>
                <w:sz w:val="20"/>
                <w:szCs w:val="20"/>
                <w:lang w:val="en-GB"/>
              </w:rPr>
              <w:t xml:space="preserve"> </w:t>
            </w:r>
            <w:r w:rsidRPr="004923C5">
              <w:rPr>
                <w:sz w:val="20"/>
                <w:szCs w:val="20"/>
                <w:lang w:val="en-GB"/>
              </w:rPr>
              <w:t>years</w:t>
            </w:r>
          </w:p>
        </w:tc>
        <w:tc>
          <w:tcPr>
            <w:tcW w:w="1764" w:type="dxa"/>
          </w:tcPr>
          <w:p w14:paraId="1D9F44A8"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405</w:t>
            </w:r>
            <w:r w:rsidRPr="004923C5">
              <w:rPr>
                <w:spacing w:val="-1"/>
                <w:sz w:val="20"/>
                <w:szCs w:val="20"/>
                <w:lang w:val="en-GB"/>
              </w:rPr>
              <w:t xml:space="preserve"> </w:t>
            </w:r>
            <w:r w:rsidRPr="004923C5">
              <w:rPr>
                <w:sz w:val="20"/>
                <w:szCs w:val="20"/>
                <w:lang w:val="en-GB"/>
              </w:rPr>
              <w:t>(55.2)</w:t>
            </w:r>
          </w:p>
        </w:tc>
        <w:tc>
          <w:tcPr>
            <w:tcW w:w="1764" w:type="dxa"/>
          </w:tcPr>
          <w:p w14:paraId="021998B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396</w:t>
            </w:r>
            <w:r w:rsidRPr="004923C5">
              <w:rPr>
                <w:spacing w:val="-1"/>
                <w:sz w:val="20"/>
                <w:szCs w:val="20"/>
                <w:lang w:val="en-GB"/>
              </w:rPr>
              <w:t xml:space="preserve"> </w:t>
            </w:r>
            <w:r w:rsidRPr="004923C5">
              <w:rPr>
                <w:sz w:val="20"/>
                <w:szCs w:val="20"/>
                <w:lang w:val="en-GB"/>
              </w:rPr>
              <w:t>(54.0)</w:t>
            </w:r>
          </w:p>
        </w:tc>
        <w:tc>
          <w:tcPr>
            <w:tcW w:w="1764" w:type="dxa"/>
          </w:tcPr>
          <w:p w14:paraId="2B0409A8"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801</w:t>
            </w:r>
            <w:r w:rsidRPr="004923C5">
              <w:rPr>
                <w:spacing w:val="-1"/>
                <w:sz w:val="20"/>
                <w:szCs w:val="20"/>
                <w:lang w:val="en-GB"/>
              </w:rPr>
              <w:t xml:space="preserve"> </w:t>
            </w:r>
            <w:r w:rsidRPr="004923C5">
              <w:rPr>
                <w:sz w:val="20"/>
                <w:szCs w:val="20"/>
                <w:lang w:val="en-GB"/>
              </w:rPr>
              <w:t>(54.6)</w:t>
            </w:r>
          </w:p>
        </w:tc>
      </w:tr>
      <w:tr w:rsidR="00FA4FC4" w:rsidRPr="00EE2E24" w14:paraId="5C2D940B" w14:textId="77777777" w:rsidTr="004923C5">
        <w:trPr>
          <w:trHeight w:val="372"/>
        </w:trPr>
        <w:tc>
          <w:tcPr>
            <w:tcW w:w="3105" w:type="dxa"/>
          </w:tcPr>
          <w:p w14:paraId="148A5480" w14:textId="77777777" w:rsidR="006E62CD" w:rsidRPr="004923C5" w:rsidRDefault="00CB520A" w:rsidP="004923C5">
            <w:pPr>
              <w:pStyle w:val="TableParagraph"/>
              <w:adjustRightInd w:val="0"/>
              <w:snapToGrid w:val="0"/>
              <w:spacing w:after="60" w:line="360" w:lineRule="auto"/>
              <w:ind w:left="108" w:rightChars="30" w:right="66"/>
              <w:rPr>
                <w:sz w:val="20"/>
                <w:szCs w:val="20"/>
                <w:lang w:val="en-GB"/>
              </w:rPr>
            </w:pPr>
            <w:r w:rsidRPr="004923C5">
              <w:rPr>
                <w:sz w:val="20"/>
                <w:szCs w:val="20"/>
                <w:lang w:val="en-GB"/>
              </w:rPr>
              <w:t>80</w:t>
            </w:r>
            <w:r w:rsidRPr="004923C5">
              <w:rPr>
                <w:spacing w:val="-1"/>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89</w:t>
            </w:r>
            <w:r w:rsidRPr="004923C5">
              <w:rPr>
                <w:spacing w:val="-1"/>
                <w:sz w:val="20"/>
                <w:szCs w:val="20"/>
                <w:lang w:val="en-GB"/>
              </w:rPr>
              <w:t xml:space="preserve"> </w:t>
            </w:r>
            <w:r w:rsidRPr="004923C5">
              <w:rPr>
                <w:sz w:val="20"/>
                <w:szCs w:val="20"/>
                <w:lang w:val="en-GB"/>
              </w:rPr>
              <w:t>years</w:t>
            </w:r>
          </w:p>
        </w:tc>
        <w:tc>
          <w:tcPr>
            <w:tcW w:w="1764" w:type="dxa"/>
          </w:tcPr>
          <w:p w14:paraId="19D86FC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197</w:t>
            </w:r>
            <w:r w:rsidRPr="004923C5">
              <w:rPr>
                <w:spacing w:val="-1"/>
                <w:sz w:val="20"/>
                <w:szCs w:val="20"/>
                <w:lang w:val="en-GB"/>
              </w:rPr>
              <w:t xml:space="preserve"> </w:t>
            </w:r>
            <w:r w:rsidRPr="004923C5">
              <w:rPr>
                <w:sz w:val="20"/>
                <w:szCs w:val="20"/>
                <w:lang w:val="en-GB"/>
              </w:rPr>
              <w:t>(26.8)</w:t>
            </w:r>
          </w:p>
        </w:tc>
        <w:tc>
          <w:tcPr>
            <w:tcW w:w="1764" w:type="dxa"/>
          </w:tcPr>
          <w:p w14:paraId="1F45888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205</w:t>
            </w:r>
            <w:r w:rsidRPr="004923C5">
              <w:rPr>
                <w:spacing w:val="-1"/>
                <w:sz w:val="20"/>
                <w:szCs w:val="20"/>
                <w:lang w:val="en-GB"/>
              </w:rPr>
              <w:t xml:space="preserve"> </w:t>
            </w:r>
            <w:r w:rsidRPr="004923C5">
              <w:rPr>
                <w:sz w:val="20"/>
                <w:szCs w:val="20"/>
                <w:lang w:val="en-GB"/>
              </w:rPr>
              <w:t>(27.9)</w:t>
            </w:r>
          </w:p>
        </w:tc>
        <w:tc>
          <w:tcPr>
            <w:tcW w:w="1764" w:type="dxa"/>
          </w:tcPr>
          <w:p w14:paraId="49945FD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402</w:t>
            </w:r>
            <w:r w:rsidRPr="004923C5">
              <w:rPr>
                <w:spacing w:val="-1"/>
                <w:sz w:val="20"/>
                <w:szCs w:val="20"/>
                <w:lang w:val="en-GB"/>
              </w:rPr>
              <w:t xml:space="preserve"> </w:t>
            </w:r>
            <w:r w:rsidRPr="004923C5">
              <w:rPr>
                <w:sz w:val="20"/>
                <w:szCs w:val="20"/>
                <w:lang w:val="en-GB"/>
              </w:rPr>
              <w:t>(27.4)</w:t>
            </w:r>
          </w:p>
        </w:tc>
      </w:tr>
      <w:tr w:rsidR="00FA4FC4" w:rsidRPr="00EE2E24" w14:paraId="76A16E2A" w14:textId="77777777" w:rsidTr="004923C5">
        <w:trPr>
          <w:trHeight w:val="372"/>
        </w:trPr>
        <w:tc>
          <w:tcPr>
            <w:tcW w:w="3105" w:type="dxa"/>
          </w:tcPr>
          <w:p w14:paraId="5B955B23" w14:textId="77777777" w:rsidR="006E62CD" w:rsidRPr="004923C5" w:rsidRDefault="00CB520A" w:rsidP="00FF4465">
            <w:pPr>
              <w:pStyle w:val="TableParagraph"/>
              <w:adjustRightInd w:val="0"/>
              <w:snapToGrid w:val="0"/>
              <w:spacing w:after="60" w:line="360" w:lineRule="auto"/>
              <w:ind w:left="108" w:rightChars="30" w:right="66"/>
              <w:rPr>
                <w:sz w:val="20"/>
                <w:szCs w:val="20"/>
                <w:lang w:val="en-GB"/>
              </w:rPr>
            </w:pPr>
            <w:r w:rsidRPr="004923C5">
              <w:rPr>
                <w:sz w:val="20"/>
                <w:szCs w:val="20"/>
                <w:lang w:val="en-GB"/>
              </w:rPr>
              <w:t>≥</w:t>
            </w:r>
            <w:r w:rsidRPr="004923C5">
              <w:rPr>
                <w:spacing w:val="-2"/>
                <w:sz w:val="20"/>
                <w:szCs w:val="20"/>
                <w:lang w:val="en-GB"/>
              </w:rPr>
              <w:t xml:space="preserve"> </w:t>
            </w:r>
            <w:r w:rsidRPr="004923C5">
              <w:rPr>
                <w:sz w:val="20"/>
                <w:szCs w:val="20"/>
                <w:lang w:val="en-GB"/>
              </w:rPr>
              <w:t>90</w:t>
            </w:r>
            <w:r w:rsidRPr="004923C5">
              <w:rPr>
                <w:spacing w:val="-1"/>
                <w:sz w:val="20"/>
                <w:szCs w:val="20"/>
                <w:lang w:val="en-GB"/>
              </w:rPr>
              <w:t xml:space="preserve"> </w:t>
            </w:r>
            <w:r w:rsidRPr="004923C5">
              <w:rPr>
                <w:sz w:val="20"/>
                <w:szCs w:val="20"/>
                <w:lang w:val="en-GB"/>
              </w:rPr>
              <w:t>years</w:t>
            </w:r>
          </w:p>
        </w:tc>
        <w:tc>
          <w:tcPr>
            <w:tcW w:w="1764" w:type="dxa"/>
          </w:tcPr>
          <w:p w14:paraId="0BD6323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8</w:t>
            </w:r>
            <w:r w:rsidRPr="004923C5">
              <w:rPr>
                <w:spacing w:val="-2"/>
                <w:sz w:val="20"/>
                <w:szCs w:val="20"/>
                <w:lang w:val="en-GB"/>
              </w:rPr>
              <w:t xml:space="preserve"> </w:t>
            </w:r>
            <w:r w:rsidRPr="004923C5">
              <w:rPr>
                <w:sz w:val="20"/>
                <w:szCs w:val="20"/>
                <w:lang w:val="en-GB"/>
              </w:rPr>
              <w:t>(1.1)</w:t>
            </w:r>
          </w:p>
        </w:tc>
        <w:tc>
          <w:tcPr>
            <w:tcW w:w="1764" w:type="dxa"/>
          </w:tcPr>
          <w:p w14:paraId="335071E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10</w:t>
            </w:r>
            <w:r w:rsidRPr="004923C5">
              <w:rPr>
                <w:spacing w:val="-1"/>
                <w:sz w:val="20"/>
                <w:szCs w:val="20"/>
                <w:lang w:val="en-GB"/>
              </w:rPr>
              <w:t xml:space="preserve"> </w:t>
            </w:r>
            <w:r w:rsidRPr="004923C5">
              <w:rPr>
                <w:sz w:val="20"/>
                <w:szCs w:val="20"/>
                <w:lang w:val="en-GB"/>
              </w:rPr>
              <w:t>(1.4)</w:t>
            </w:r>
          </w:p>
        </w:tc>
        <w:tc>
          <w:tcPr>
            <w:tcW w:w="1764" w:type="dxa"/>
          </w:tcPr>
          <w:p w14:paraId="302E2DD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18</w:t>
            </w:r>
            <w:r w:rsidRPr="004923C5">
              <w:rPr>
                <w:spacing w:val="-1"/>
                <w:sz w:val="20"/>
                <w:szCs w:val="20"/>
                <w:lang w:val="en-GB"/>
              </w:rPr>
              <w:t xml:space="preserve"> </w:t>
            </w:r>
            <w:r w:rsidRPr="004923C5">
              <w:rPr>
                <w:sz w:val="20"/>
                <w:szCs w:val="20"/>
                <w:lang w:val="en-GB"/>
              </w:rPr>
              <w:t>(1.2)</w:t>
            </w:r>
          </w:p>
        </w:tc>
      </w:tr>
      <w:tr w:rsidR="00FA4FC4" w:rsidRPr="00EE2E24" w14:paraId="30E7F842" w14:textId="77777777" w:rsidTr="004923C5">
        <w:trPr>
          <w:trHeight w:val="372"/>
        </w:trPr>
        <w:tc>
          <w:tcPr>
            <w:tcW w:w="8397" w:type="dxa"/>
            <w:gridSpan w:val="4"/>
          </w:tcPr>
          <w:p w14:paraId="2A0C320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Geriatric</w:t>
            </w:r>
            <w:r w:rsidRPr="004923C5">
              <w:rPr>
                <w:spacing w:val="-1"/>
                <w:sz w:val="20"/>
                <w:szCs w:val="20"/>
                <w:lang w:val="en-GB"/>
              </w:rPr>
              <w:t xml:space="preserve"> </w:t>
            </w:r>
            <w:r w:rsidRPr="004923C5">
              <w:rPr>
                <w:sz w:val="20"/>
                <w:szCs w:val="20"/>
                <w:lang w:val="en-GB"/>
              </w:rPr>
              <w:t>age</w:t>
            </w:r>
            <w:r w:rsidRPr="004923C5">
              <w:rPr>
                <w:spacing w:val="-1"/>
                <w:sz w:val="20"/>
                <w:szCs w:val="20"/>
                <w:lang w:val="en-GB"/>
              </w:rPr>
              <w:t xml:space="preserve"> </w:t>
            </w:r>
            <w:r w:rsidRPr="004923C5">
              <w:rPr>
                <w:sz w:val="20"/>
                <w:szCs w:val="20"/>
                <w:lang w:val="en-GB"/>
              </w:rPr>
              <w:t>group - n</w:t>
            </w:r>
            <w:r w:rsidRPr="004923C5">
              <w:rPr>
                <w:spacing w:val="-2"/>
                <w:sz w:val="20"/>
                <w:szCs w:val="20"/>
                <w:lang w:val="en-GB"/>
              </w:rPr>
              <w:t xml:space="preserve"> </w:t>
            </w:r>
            <w:r w:rsidRPr="004923C5">
              <w:rPr>
                <w:sz w:val="20"/>
                <w:szCs w:val="20"/>
                <w:lang w:val="en-GB"/>
              </w:rPr>
              <w:t>(%)</w:t>
            </w:r>
          </w:p>
        </w:tc>
      </w:tr>
      <w:tr w:rsidR="00FA4FC4" w:rsidRPr="00EE2E24" w14:paraId="043CAF9A" w14:textId="77777777" w:rsidTr="004923C5">
        <w:trPr>
          <w:trHeight w:val="372"/>
        </w:trPr>
        <w:tc>
          <w:tcPr>
            <w:tcW w:w="3105" w:type="dxa"/>
          </w:tcPr>
          <w:p w14:paraId="4E2BBAE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w:t>
            </w:r>
            <w:r w:rsidRPr="004923C5">
              <w:rPr>
                <w:spacing w:val="-2"/>
                <w:sz w:val="20"/>
                <w:szCs w:val="20"/>
                <w:lang w:val="en-GB"/>
              </w:rPr>
              <w:t xml:space="preserve"> </w:t>
            </w:r>
            <w:r w:rsidRPr="004923C5">
              <w:rPr>
                <w:sz w:val="20"/>
                <w:szCs w:val="20"/>
                <w:lang w:val="en-GB"/>
              </w:rPr>
              <w:t>65</w:t>
            </w:r>
            <w:r w:rsidRPr="004923C5">
              <w:rPr>
                <w:spacing w:val="-1"/>
                <w:sz w:val="20"/>
                <w:szCs w:val="20"/>
                <w:lang w:val="en-GB"/>
              </w:rPr>
              <w:t xml:space="preserve"> </w:t>
            </w:r>
            <w:r w:rsidRPr="004923C5">
              <w:rPr>
                <w:sz w:val="20"/>
                <w:szCs w:val="20"/>
                <w:lang w:val="en-GB"/>
              </w:rPr>
              <w:t>years</w:t>
            </w:r>
          </w:p>
        </w:tc>
        <w:tc>
          <w:tcPr>
            <w:tcW w:w="1764" w:type="dxa"/>
          </w:tcPr>
          <w:p w14:paraId="7EAE9306"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685</w:t>
            </w:r>
            <w:r w:rsidRPr="004923C5">
              <w:rPr>
                <w:spacing w:val="-1"/>
                <w:sz w:val="20"/>
                <w:szCs w:val="20"/>
                <w:lang w:val="en-GB"/>
              </w:rPr>
              <w:t xml:space="preserve"> </w:t>
            </w:r>
            <w:r w:rsidRPr="004923C5">
              <w:rPr>
                <w:sz w:val="20"/>
                <w:szCs w:val="20"/>
                <w:lang w:val="en-GB"/>
              </w:rPr>
              <w:t>(93.3)</w:t>
            </w:r>
          </w:p>
        </w:tc>
        <w:tc>
          <w:tcPr>
            <w:tcW w:w="1764" w:type="dxa"/>
          </w:tcPr>
          <w:p w14:paraId="0A4B3C3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679</w:t>
            </w:r>
            <w:r w:rsidRPr="004923C5">
              <w:rPr>
                <w:spacing w:val="-1"/>
                <w:sz w:val="20"/>
                <w:szCs w:val="20"/>
                <w:lang w:val="en-GB"/>
              </w:rPr>
              <w:t xml:space="preserve"> </w:t>
            </w:r>
            <w:r w:rsidRPr="004923C5">
              <w:rPr>
                <w:sz w:val="20"/>
                <w:szCs w:val="20"/>
                <w:lang w:val="en-GB"/>
              </w:rPr>
              <w:t>(92.5)</w:t>
            </w:r>
          </w:p>
        </w:tc>
        <w:tc>
          <w:tcPr>
            <w:tcW w:w="1764" w:type="dxa"/>
          </w:tcPr>
          <w:p w14:paraId="0352380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1,364</w:t>
            </w:r>
            <w:r w:rsidRPr="004923C5">
              <w:rPr>
                <w:spacing w:val="-1"/>
                <w:sz w:val="20"/>
                <w:szCs w:val="20"/>
                <w:lang w:val="en-GB"/>
              </w:rPr>
              <w:t xml:space="preserve"> </w:t>
            </w:r>
            <w:r w:rsidRPr="004923C5">
              <w:rPr>
                <w:sz w:val="20"/>
                <w:szCs w:val="20"/>
                <w:lang w:val="en-GB"/>
              </w:rPr>
              <w:t>(92.9)</w:t>
            </w:r>
          </w:p>
        </w:tc>
      </w:tr>
      <w:tr w:rsidR="00FA4FC4" w:rsidRPr="00EE2E24" w14:paraId="550A56B4" w14:textId="77777777" w:rsidTr="004923C5">
        <w:trPr>
          <w:trHeight w:val="374"/>
        </w:trPr>
        <w:tc>
          <w:tcPr>
            <w:tcW w:w="3105" w:type="dxa"/>
          </w:tcPr>
          <w:p w14:paraId="272963D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w:t>
            </w:r>
            <w:r w:rsidRPr="004923C5">
              <w:rPr>
                <w:spacing w:val="-2"/>
                <w:sz w:val="20"/>
                <w:szCs w:val="20"/>
                <w:lang w:val="en-GB"/>
              </w:rPr>
              <w:t xml:space="preserve"> </w:t>
            </w:r>
            <w:r w:rsidRPr="004923C5">
              <w:rPr>
                <w:sz w:val="20"/>
                <w:szCs w:val="20"/>
                <w:lang w:val="en-GB"/>
              </w:rPr>
              <w:t>75</w:t>
            </w:r>
            <w:r w:rsidRPr="004923C5">
              <w:rPr>
                <w:spacing w:val="-1"/>
                <w:sz w:val="20"/>
                <w:szCs w:val="20"/>
                <w:lang w:val="en-GB"/>
              </w:rPr>
              <w:t xml:space="preserve"> </w:t>
            </w:r>
            <w:r w:rsidRPr="004923C5">
              <w:rPr>
                <w:sz w:val="20"/>
                <w:szCs w:val="20"/>
                <w:lang w:val="en-GB"/>
              </w:rPr>
              <w:t>years</w:t>
            </w:r>
          </w:p>
        </w:tc>
        <w:tc>
          <w:tcPr>
            <w:tcW w:w="1764" w:type="dxa"/>
          </w:tcPr>
          <w:p w14:paraId="79E8F99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415</w:t>
            </w:r>
            <w:r w:rsidRPr="004923C5">
              <w:rPr>
                <w:spacing w:val="-1"/>
                <w:sz w:val="20"/>
                <w:szCs w:val="20"/>
                <w:lang w:val="en-GB"/>
              </w:rPr>
              <w:t xml:space="preserve"> </w:t>
            </w:r>
            <w:r w:rsidRPr="004923C5">
              <w:rPr>
                <w:sz w:val="20"/>
                <w:szCs w:val="20"/>
                <w:lang w:val="en-GB"/>
              </w:rPr>
              <w:t>(56.5)</w:t>
            </w:r>
          </w:p>
        </w:tc>
        <w:tc>
          <w:tcPr>
            <w:tcW w:w="1764" w:type="dxa"/>
          </w:tcPr>
          <w:p w14:paraId="79BC823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424</w:t>
            </w:r>
            <w:r w:rsidRPr="004923C5">
              <w:rPr>
                <w:spacing w:val="-1"/>
                <w:sz w:val="20"/>
                <w:szCs w:val="20"/>
                <w:lang w:val="en-GB"/>
              </w:rPr>
              <w:t xml:space="preserve"> </w:t>
            </w:r>
            <w:r w:rsidRPr="004923C5">
              <w:rPr>
                <w:sz w:val="20"/>
                <w:szCs w:val="20"/>
                <w:lang w:val="en-GB"/>
              </w:rPr>
              <w:t>(57.8)</w:t>
            </w:r>
          </w:p>
        </w:tc>
        <w:tc>
          <w:tcPr>
            <w:tcW w:w="1764" w:type="dxa"/>
          </w:tcPr>
          <w:p w14:paraId="4FDC648D"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839</w:t>
            </w:r>
            <w:r w:rsidRPr="004923C5">
              <w:rPr>
                <w:spacing w:val="-1"/>
                <w:sz w:val="20"/>
                <w:szCs w:val="20"/>
                <w:lang w:val="en-GB"/>
              </w:rPr>
              <w:t xml:space="preserve"> </w:t>
            </w:r>
            <w:r w:rsidRPr="004923C5">
              <w:rPr>
                <w:sz w:val="20"/>
                <w:szCs w:val="20"/>
                <w:lang w:val="en-GB"/>
              </w:rPr>
              <w:t>(57.2)</w:t>
            </w:r>
          </w:p>
        </w:tc>
      </w:tr>
    </w:tbl>
    <w:p w14:paraId="08AD1D4C" w14:textId="77777777" w:rsidR="006E62CD" w:rsidRPr="00EE2E24" w:rsidRDefault="00CB520A" w:rsidP="00D258EC">
      <w:pPr>
        <w:adjustRightInd w:val="0"/>
        <w:snapToGrid w:val="0"/>
        <w:spacing w:after="120"/>
        <w:ind w:left="108" w:rightChars="30" w:right="66"/>
        <w:contextualSpacing/>
        <w:rPr>
          <w:sz w:val="18"/>
          <w:lang w:val="en-GB"/>
        </w:rPr>
      </w:pPr>
      <w:r w:rsidRPr="00EE2E24">
        <w:rPr>
          <w:sz w:val="18"/>
          <w:lang w:val="en-GB"/>
        </w:rPr>
        <w:t>N</w:t>
      </w:r>
      <w:r w:rsidRPr="002F6DC4">
        <w:rPr>
          <w:sz w:val="18"/>
          <w:lang w:val="en-GB"/>
        </w:rPr>
        <w:t xml:space="preserve"> </w:t>
      </w:r>
      <w:r w:rsidRPr="00EE2E24">
        <w:rPr>
          <w:sz w:val="18"/>
          <w:lang w:val="en-GB"/>
        </w:rPr>
        <w:t>=</w:t>
      </w:r>
      <w:r w:rsidRPr="002F6DC4">
        <w:rPr>
          <w:sz w:val="18"/>
          <w:lang w:val="en-GB"/>
        </w:rPr>
        <w:t xml:space="preserve"> </w:t>
      </w:r>
      <w:r w:rsidRPr="00EE2E24">
        <w:rPr>
          <w:sz w:val="18"/>
          <w:lang w:val="en-GB"/>
        </w:rPr>
        <w:t>Number</w:t>
      </w:r>
      <w:r w:rsidRPr="002F6DC4">
        <w:rPr>
          <w:sz w:val="18"/>
          <w:lang w:val="en-GB"/>
        </w:rPr>
        <w:t xml:space="preserve"> </w:t>
      </w:r>
      <w:r w:rsidRPr="00EE2E24">
        <w:rPr>
          <w:sz w:val="18"/>
          <w:lang w:val="en-GB"/>
        </w:rPr>
        <w:t>of</w:t>
      </w:r>
      <w:r w:rsidRPr="002F6DC4">
        <w:rPr>
          <w:sz w:val="18"/>
          <w:lang w:val="en-GB"/>
        </w:rPr>
        <w:t xml:space="preserve"> </w:t>
      </w:r>
      <w:r w:rsidRPr="00EE2E24">
        <w:rPr>
          <w:sz w:val="18"/>
          <w:lang w:val="en-GB"/>
        </w:rPr>
        <w:t>subjects</w:t>
      </w:r>
      <w:r w:rsidRPr="002F6DC4">
        <w:rPr>
          <w:sz w:val="18"/>
          <w:lang w:val="en-GB"/>
        </w:rPr>
        <w:t xml:space="preserve"> </w:t>
      </w:r>
      <w:r w:rsidRPr="00EE2E24">
        <w:rPr>
          <w:sz w:val="18"/>
          <w:lang w:val="en-GB"/>
        </w:rPr>
        <w:t>randomised.</w:t>
      </w:r>
    </w:p>
    <w:p w14:paraId="47BD3B98" w14:textId="77777777" w:rsidR="006E62CD" w:rsidRPr="00EE2E24" w:rsidRDefault="00CB520A" w:rsidP="00FE64AF">
      <w:pPr>
        <w:pStyle w:val="Heading3"/>
        <w:pageBreakBefore/>
        <w:adjustRightInd w:val="0"/>
        <w:snapToGrid w:val="0"/>
        <w:spacing w:before="60" w:after="60" w:line="360" w:lineRule="auto"/>
        <w:ind w:left="108" w:rightChars="30" w:right="66"/>
        <w:rPr>
          <w:lang w:val="en-GB"/>
        </w:rPr>
      </w:pPr>
      <w:r w:rsidRPr="00EE2E24">
        <w:rPr>
          <w:lang w:val="en-GB"/>
        </w:rPr>
        <w:lastRenderedPageBreak/>
        <w:t>Table</w:t>
      </w:r>
      <w:r w:rsidRPr="00EE2E24">
        <w:rPr>
          <w:spacing w:val="-1"/>
          <w:lang w:val="en-GB"/>
        </w:rPr>
        <w:t xml:space="preserve"> </w:t>
      </w:r>
      <w:r w:rsidRPr="00EE2E24">
        <w:rPr>
          <w:lang w:val="en-GB"/>
        </w:rPr>
        <w:t>6.</w:t>
      </w:r>
      <w:r w:rsidRPr="00EE2E24">
        <w:rPr>
          <w:spacing w:val="-2"/>
          <w:lang w:val="en-GB"/>
        </w:rPr>
        <w:t xml:space="preserve"> </w:t>
      </w:r>
      <w:r w:rsidRPr="00EE2E24">
        <w:rPr>
          <w:lang w:val="en-GB"/>
        </w:rPr>
        <w:t>Baseline</w:t>
      </w:r>
      <w:r w:rsidRPr="00EE2E24">
        <w:rPr>
          <w:spacing w:val="-1"/>
          <w:lang w:val="en-GB"/>
        </w:rPr>
        <w:t xml:space="preserve"> </w:t>
      </w:r>
      <w:r w:rsidRPr="00EE2E24">
        <w:rPr>
          <w:lang w:val="en-GB"/>
        </w:rPr>
        <w:t>Bone</w:t>
      </w:r>
      <w:r w:rsidRPr="00EE2E24">
        <w:rPr>
          <w:spacing w:val="-1"/>
          <w:lang w:val="en-GB"/>
        </w:rPr>
        <w:t xml:space="preserve"> </w:t>
      </w:r>
      <w:r w:rsidRPr="00EE2E24">
        <w:rPr>
          <w:lang w:val="en-GB"/>
        </w:rPr>
        <w:t>Mineral</w:t>
      </w:r>
      <w:r w:rsidRPr="00EE2E24">
        <w:rPr>
          <w:spacing w:val="-1"/>
          <w:lang w:val="en-GB"/>
        </w:rPr>
        <w:t xml:space="preserve"> </w:t>
      </w:r>
      <w:r w:rsidRPr="00EE2E24">
        <w:rPr>
          <w:lang w:val="en-GB"/>
        </w:rPr>
        <w:t>Density</w:t>
      </w:r>
      <w:r w:rsidRPr="00EE2E24">
        <w:rPr>
          <w:spacing w:val="-1"/>
          <w:lang w:val="en-GB"/>
        </w:rPr>
        <w:t xml:space="preserve"> </w:t>
      </w:r>
      <w:r w:rsidRPr="00EE2E24">
        <w:rPr>
          <w:lang w:val="en-GB"/>
        </w:rPr>
        <w:t>T-score</w:t>
      </w:r>
    </w:p>
    <w:tbl>
      <w:tblPr>
        <w:tblStyle w:val="NormalTable0"/>
        <w:tblW w:w="839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7"/>
        <w:gridCol w:w="798"/>
        <w:gridCol w:w="799"/>
        <w:gridCol w:w="799"/>
        <w:gridCol w:w="799"/>
        <w:gridCol w:w="798"/>
        <w:gridCol w:w="799"/>
        <w:gridCol w:w="799"/>
        <w:gridCol w:w="799"/>
      </w:tblGrid>
      <w:tr w:rsidR="00955D5D" w:rsidRPr="009D3CB7" w14:paraId="27BB84F2" w14:textId="77777777" w:rsidTr="00955D5D">
        <w:trPr>
          <w:trHeight w:val="372"/>
        </w:trPr>
        <w:tc>
          <w:tcPr>
            <w:tcW w:w="2007" w:type="dxa"/>
          </w:tcPr>
          <w:p w14:paraId="4F9B4F04" w14:textId="77777777" w:rsidR="006E62CD" w:rsidRPr="009D3CB7" w:rsidRDefault="006E62CD" w:rsidP="00D258EC">
            <w:pPr>
              <w:pStyle w:val="TableParagraph"/>
              <w:adjustRightInd w:val="0"/>
              <w:snapToGrid w:val="0"/>
              <w:spacing w:after="60" w:line="360" w:lineRule="auto"/>
              <w:ind w:left="108" w:rightChars="30" w:right="66"/>
              <w:rPr>
                <w:rFonts w:ascii="Times New Roman"/>
                <w:sz w:val="20"/>
                <w:szCs w:val="20"/>
                <w:lang w:val="en-GB"/>
              </w:rPr>
            </w:pPr>
          </w:p>
        </w:tc>
        <w:tc>
          <w:tcPr>
            <w:tcW w:w="798" w:type="dxa"/>
          </w:tcPr>
          <w:p w14:paraId="1433245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w w:val="99"/>
                <w:sz w:val="20"/>
                <w:szCs w:val="20"/>
                <w:lang w:val="en-GB"/>
              </w:rPr>
              <w:t>n</w:t>
            </w:r>
          </w:p>
        </w:tc>
        <w:tc>
          <w:tcPr>
            <w:tcW w:w="799" w:type="dxa"/>
          </w:tcPr>
          <w:p w14:paraId="0906204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Mean</w:t>
            </w:r>
          </w:p>
        </w:tc>
        <w:tc>
          <w:tcPr>
            <w:tcW w:w="799" w:type="dxa"/>
          </w:tcPr>
          <w:p w14:paraId="4B113B9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SD</w:t>
            </w:r>
          </w:p>
        </w:tc>
        <w:tc>
          <w:tcPr>
            <w:tcW w:w="799" w:type="dxa"/>
          </w:tcPr>
          <w:p w14:paraId="6F286DC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Min.</w:t>
            </w:r>
          </w:p>
        </w:tc>
        <w:tc>
          <w:tcPr>
            <w:tcW w:w="798" w:type="dxa"/>
          </w:tcPr>
          <w:p w14:paraId="7D08DF5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Q1</w:t>
            </w:r>
          </w:p>
        </w:tc>
        <w:tc>
          <w:tcPr>
            <w:tcW w:w="799" w:type="dxa"/>
          </w:tcPr>
          <w:p w14:paraId="586CB0F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Median</w:t>
            </w:r>
          </w:p>
        </w:tc>
        <w:tc>
          <w:tcPr>
            <w:tcW w:w="799" w:type="dxa"/>
          </w:tcPr>
          <w:p w14:paraId="5CCD118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Q3</w:t>
            </w:r>
          </w:p>
        </w:tc>
        <w:tc>
          <w:tcPr>
            <w:tcW w:w="799" w:type="dxa"/>
          </w:tcPr>
          <w:p w14:paraId="4225305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Max.</w:t>
            </w:r>
          </w:p>
        </w:tc>
      </w:tr>
      <w:tr w:rsidR="00FA4FC4" w:rsidRPr="009D3CB7" w14:paraId="604F40B6" w14:textId="77777777" w:rsidTr="004923C5">
        <w:trPr>
          <w:trHeight w:val="374"/>
        </w:trPr>
        <w:tc>
          <w:tcPr>
            <w:tcW w:w="8397" w:type="dxa"/>
            <w:gridSpan w:val="9"/>
          </w:tcPr>
          <w:p w14:paraId="5FE7F28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Lumbar</w:t>
            </w:r>
            <w:r w:rsidRPr="004923C5">
              <w:rPr>
                <w:spacing w:val="-3"/>
                <w:sz w:val="20"/>
                <w:szCs w:val="20"/>
                <w:lang w:val="en-GB"/>
              </w:rPr>
              <w:t xml:space="preserve"> </w:t>
            </w:r>
            <w:r w:rsidRPr="004923C5">
              <w:rPr>
                <w:sz w:val="20"/>
                <w:szCs w:val="20"/>
                <w:lang w:val="en-GB"/>
              </w:rPr>
              <w:t>spine</w:t>
            </w:r>
          </w:p>
        </w:tc>
      </w:tr>
      <w:tr w:rsidR="00955D5D" w:rsidRPr="009D3CB7" w14:paraId="0D82F1F3" w14:textId="77777777" w:rsidTr="00955D5D">
        <w:trPr>
          <w:trHeight w:val="373"/>
        </w:trPr>
        <w:tc>
          <w:tcPr>
            <w:tcW w:w="2007" w:type="dxa"/>
          </w:tcPr>
          <w:p w14:paraId="5B727E00" w14:textId="4FEDA8FD" w:rsidR="006E62CD" w:rsidRPr="004923C5" w:rsidRDefault="00E54398" w:rsidP="00D258EC">
            <w:pPr>
              <w:pStyle w:val="TableParagraph"/>
              <w:adjustRightInd w:val="0"/>
              <w:snapToGrid w:val="0"/>
              <w:spacing w:after="60" w:line="360" w:lineRule="auto"/>
              <w:ind w:left="108" w:rightChars="30" w:right="66"/>
              <w:rPr>
                <w:sz w:val="20"/>
                <w:szCs w:val="20"/>
                <w:lang w:val="en-GB"/>
              </w:rPr>
            </w:pPr>
            <w:r>
              <w:rPr>
                <w:sz w:val="20"/>
                <w:szCs w:val="20"/>
                <w:lang w:val="en-GB"/>
              </w:rPr>
              <w:t>Denosumab</w:t>
            </w:r>
            <w:r w:rsidR="00CB520A" w:rsidRPr="004923C5">
              <w:rPr>
                <w:sz w:val="20"/>
                <w:szCs w:val="20"/>
                <w:lang w:val="en-GB"/>
              </w:rPr>
              <w:t xml:space="preserve"> (N</w:t>
            </w:r>
            <w:r w:rsidR="00CB520A" w:rsidRPr="004923C5">
              <w:rPr>
                <w:spacing w:val="-2"/>
                <w:sz w:val="20"/>
                <w:szCs w:val="20"/>
                <w:lang w:val="en-GB"/>
              </w:rPr>
              <w:t xml:space="preserve"> </w:t>
            </w:r>
            <w:r w:rsidR="00CB520A" w:rsidRPr="004923C5">
              <w:rPr>
                <w:sz w:val="20"/>
                <w:szCs w:val="20"/>
                <w:lang w:val="en-GB"/>
              </w:rPr>
              <w:t>= 734)</w:t>
            </w:r>
          </w:p>
        </w:tc>
        <w:tc>
          <w:tcPr>
            <w:tcW w:w="798" w:type="dxa"/>
          </w:tcPr>
          <w:p w14:paraId="5258B7D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727</w:t>
            </w:r>
          </w:p>
        </w:tc>
        <w:tc>
          <w:tcPr>
            <w:tcW w:w="799" w:type="dxa"/>
          </w:tcPr>
          <w:p w14:paraId="3090A36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-0.31</w:t>
            </w:r>
          </w:p>
        </w:tc>
        <w:tc>
          <w:tcPr>
            <w:tcW w:w="799" w:type="dxa"/>
          </w:tcPr>
          <w:p w14:paraId="37D924B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1.78</w:t>
            </w:r>
          </w:p>
        </w:tc>
        <w:tc>
          <w:tcPr>
            <w:tcW w:w="799" w:type="dxa"/>
          </w:tcPr>
          <w:p w14:paraId="206193B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-6.8</w:t>
            </w:r>
          </w:p>
        </w:tc>
        <w:tc>
          <w:tcPr>
            <w:tcW w:w="798" w:type="dxa"/>
          </w:tcPr>
          <w:p w14:paraId="5A6B844D"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-1.50</w:t>
            </w:r>
          </w:p>
        </w:tc>
        <w:tc>
          <w:tcPr>
            <w:tcW w:w="799" w:type="dxa"/>
          </w:tcPr>
          <w:p w14:paraId="69BF751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-0.50</w:t>
            </w:r>
          </w:p>
        </w:tc>
        <w:tc>
          <w:tcPr>
            <w:tcW w:w="799" w:type="dxa"/>
          </w:tcPr>
          <w:p w14:paraId="70FC85A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0.70</w:t>
            </w:r>
          </w:p>
        </w:tc>
        <w:tc>
          <w:tcPr>
            <w:tcW w:w="799" w:type="dxa"/>
          </w:tcPr>
          <w:p w14:paraId="22A0CA7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7.3</w:t>
            </w:r>
          </w:p>
        </w:tc>
      </w:tr>
      <w:tr w:rsidR="00955D5D" w:rsidRPr="009D3CB7" w14:paraId="4DC695FA" w14:textId="77777777" w:rsidTr="00955D5D">
        <w:trPr>
          <w:trHeight w:val="372"/>
        </w:trPr>
        <w:tc>
          <w:tcPr>
            <w:tcW w:w="2007" w:type="dxa"/>
          </w:tcPr>
          <w:p w14:paraId="7388A0C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Placebo</w:t>
            </w:r>
            <w:r w:rsidRPr="004923C5">
              <w:rPr>
                <w:spacing w:val="-1"/>
                <w:sz w:val="20"/>
                <w:szCs w:val="20"/>
                <w:lang w:val="en-GB"/>
              </w:rPr>
              <w:t xml:space="preserve"> </w:t>
            </w:r>
            <w:r w:rsidRPr="004923C5">
              <w:rPr>
                <w:sz w:val="20"/>
                <w:szCs w:val="20"/>
                <w:lang w:val="en-GB"/>
              </w:rPr>
              <w:t>(N</w:t>
            </w:r>
            <w:r w:rsidRPr="004923C5">
              <w:rPr>
                <w:spacing w:val="-1"/>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734)</w:t>
            </w:r>
          </w:p>
        </w:tc>
        <w:tc>
          <w:tcPr>
            <w:tcW w:w="798" w:type="dxa"/>
          </w:tcPr>
          <w:p w14:paraId="5B8D30FC"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729</w:t>
            </w:r>
          </w:p>
        </w:tc>
        <w:tc>
          <w:tcPr>
            <w:tcW w:w="799" w:type="dxa"/>
          </w:tcPr>
          <w:p w14:paraId="529D1806"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-0.41</w:t>
            </w:r>
          </w:p>
        </w:tc>
        <w:tc>
          <w:tcPr>
            <w:tcW w:w="799" w:type="dxa"/>
          </w:tcPr>
          <w:p w14:paraId="6FAF8E4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1.80</w:t>
            </w:r>
          </w:p>
        </w:tc>
        <w:tc>
          <w:tcPr>
            <w:tcW w:w="799" w:type="dxa"/>
          </w:tcPr>
          <w:p w14:paraId="3CF1E31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-4.8</w:t>
            </w:r>
          </w:p>
        </w:tc>
        <w:tc>
          <w:tcPr>
            <w:tcW w:w="798" w:type="dxa"/>
          </w:tcPr>
          <w:p w14:paraId="26A1536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-1.60</w:t>
            </w:r>
          </w:p>
        </w:tc>
        <w:tc>
          <w:tcPr>
            <w:tcW w:w="799" w:type="dxa"/>
          </w:tcPr>
          <w:p w14:paraId="160967C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-0.60</w:t>
            </w:r>
          </w:p>
        </w:tc>
        <w:tc>
          <w:tcPr>
            <w:tcW w:w="799" w:type="dxa"/>
          </w:tcPr>
          <w:p w14:paraId="01DF944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0.60</w:t>
            </w:r>
          </w:p>
        </w:tc>
        <w:tc>
          <w:tcPr>
            <w:tcW w:w="799" w:type="dxa"/>
          </w:tcPr>
          <w:p w14:paraId="7947AD0C"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7.6</w:t>
            </w:r>
          </w:p>
        </w:tc>
      </w:tr>
      <w:tr w:rsidR="00FA4FC4" w:rsidRPr="009D3CB7" w14:paraId="4FB449FA" w14:textId="77777777" w:rsidTr="004923C5">
        <w:trPr>
          <w:trHeight w:val="372"/>
        </w:trPr>
        <w:tc>
          <w:tcPr>
            <w:tcW w:w="8397" w:type="dxa"/>
            <w:gridSpan w:val="9"/>
          </w:tcPr>
          <w:p w14:paraId="567488E3"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Total</w:t>
            </w:r>
            <w:r w:rsidRPr="004923C5">
              <w:rPr>
                <w:spacing w:val="-1"/>
                <w:sz w:val="20"/>
                <w:szCs w:val="20"/>
                <w:lang w:val="en-GB"/>
              </w:rPr>
              <w:t xml:space="preserve"> </w:t>
            </w:r>
            <w:r w:rsidRPr="004923C5">
              <w:rPr>
                <w:sz w:val="20"/>
                <w:szCs w:val="20"/>
                <w:lang w:val="en-GB"/>
              </w:rPr>
              <w:t>hip</w:t>
            </w:r>
          </w:p>
        </w:tc>
      </w:tr>
      <w:tr w:rsidR="00955D5D" w:rsidRPr="009D3CB7" w14:paraId="340CD489" w14:textId="77777777" w:rsidTr="00955D5D">
        <w:trPr>
          <w:trHeight w:val="372"/>
        </w:trPr>
        <w:tc>
          <w:tcPr>
            <w:tcW w:w="2007" w:type="dxa"/>
          </w:tcPr>
          <w:p w14:paraId="5286C9AC" w14:textId="6B78D3B0" w:rsidR="006E62CD" w:rsidRPr="004923C5" w:rsidRDefault="00E54398" w:rsidP="00D258EC">
            <w:pPr>
              <w:pStyle w:val="TableParagraph"/>
              <w:adjustRightInd w:val="0"/>
              <w:snapToGrid w:val="0"/>
              <w:spacing w:after="60" w:line="360" w:lineRule="auto"/>
              <w:ind w:left="108" w:rightChars="30" w:right="66"/>
              <w:rPr>
                <w:sz w:val="20"/>
                <w:szCs w:val="20"/>
                <w:lang w:val="en-GB"/>
              </w:rPr>
            </w:pPr>
            <w:r>
              <w:rPr>
                <w:sz w:val="20"/>
                <w:szCs w:val="20"/>
                <w:lang w:val="en-GB"/>
              </w:rPr>
              <w:t>Denosumab</w:t>
            </w:r>
            <w:r w:rsidR="00CB520A" w:rsidRPr="004923C5">
              <w:rPr>
                <w:spacing w:val="-1"/>
                <w:sz w:val="20"/>
                <w:szCs w:val="20"/>
                <w:lang w:val="en-GB"/>
              </w:rPr>
              <w:t xml:space="preserve"> </w:t>
            </w:r>
            <w:r w:rsidR="00CB520A" w:rsidRPr="004923C5">
              <w:rPr>
                <w:sz w:val="20"/>
                <w:szCs w:val="20"/>
                <w:lang w:val="en-GB"/>
              </w:rPr>
              <w:t>(N</w:t>
            </w:r>
            <w:r w:rsidR="00CB520A" w:rsidRPr="004923C5">
              <w:rPr>
                <w:spacing w:val="-1"/>
                <w:sz w:val="20"/>
                <w:szCs w:val="20"/>
                <w:lang w:val="en-GB"/>
              </w:rPr>
              <w:t xml:space="preserve"> </w:t>
            </w:r>
            <w:r w:rsidR="00CB520A" w:rsidRPr="004923C5">
              <w:rPr>
                <w:sz w:val="20"/>
                <w:szCs w:val="20"/>
                <w:lang w:val="en-GB"/>
              </w:rPr>
              <w:t>= 734)</w:t>
            </w:r>
          </w:p>
        </w:tc>
        <w:tc>
          <w:tcPr>
            <w:tcW w:w="798" w:type="dxa"/>
          </w:tcPr>
          <w:p w14:paraId="17F39AC3"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712</w:t>
            </w:r>
          </w:p>
        </w:tc>
        <w:tc>
          <w:tcPr>
            <w:tcW w:w="799" w:type="dxa"/>
          </w:tcPr>
          <w:p w14:paraId="7784E50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-0.87</w:t>
            </w:r>
          </w:p>
        </w:tc>
        <w:tc>
          <w:tcPr>
            <w:tcW w:w="799" w:type="dxa"/>
          </w:tcPr>
          <w:p w14:paraId="40544F7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1.00</w:t>
            </w:r>
          </w:p>
        </w:tc>
        <w:tc>
          <w:tcPr>
            <w:tcW w:w="799" w:type="dxa"/>
          </w:tcPr>
          <w:p w14:paraId="7D7921A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-3.6</w:t>
            </w:r>
          </w:p>
        </w:tc>
        <w:tc>
          <w:tcPr>
            <w:tcW w:w="798" w:type="dxa"/>
          </w:tcPr>
          <w:p w14:paraId="2B0C0D6F"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-1.50</w:t>
            </w:r>
          </w:p>
        </w:tc>
        <w:tc>
          <w:tcPr>
            <w:tcW w:w="799" w:type="dxa"/>
          </w:tcPr>
          <w:p w14:paraId="086C1D3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-0.90</w:t>
            </w:r>
          </w:p>
        </w:tc>
        <w:tc>
          <w:tcPr>
            <w:tcW w:w="799" w:type="dxa"/>
          </w:tcPr>
          <w:p w14:paraId="36A8875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-0.30</w:t>
            </w:r>
          </w:p>
        </w:tc>
        <w:tc>
          <w:tcPr>
            <w:tcW w:w="799" w:type="dxa"/>
          </w:tcPr>
          <w:p w14:paraId="7A5BEFD6"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3.3</w:t>
            </w:r>
          </w:p>
        </w:tc>
      </w:tr>
      <w:tr w:rsidR="00955D5D" w:rsidRPr="009D3CB7" w14:paraId="086E5BF8" w14:textId="77777777" w:rsidTr="00955D5D">
        <w:trPr>
          <w:trHeight w:val="372"/>
        </w:trPr>
        <w:tc>
          <w:tcPr>
            <w:tcW w:w="2007" w:type="dxa"/>
          </w:tcPr>
          <w:p w14:paraId="6B4265E8"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Placebo</w:t>
            </w:r>
            <w:r w:rsidRPr="004923C5">
              <w:rPr>
                <w:spacing w:val="-1"/>
                <w:sz w:val="20"/>
                <w:szCs w:val="20"/>
                <w:lang w:val="en-GB"/>
              </w:rPr>
              <w:t xml:space="preserve"> </w:t>
            </w:r>
            <w:r w:rsidRPr="004923C5">
              <w:rPr>
                <w:sz w:val="20"/>
                <w:szCs w:val="20"/>
                <w:lang w:val="en-GB"/>
              </w:rPr>
              <w:t>(N</w:t>
            </w:r>
            <w:r w:rsidRPr="004923C5">
              <w:rPr>
                <w:spacing w:val="-1"/>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734)</w:t>
            </w:r>
          </w:p>
        </w:tc>
        <w:tc>
          <w:tcPr>
            <w:tcW w:w="798" w:type="dxa"/>
          </w:tcPr>
          <w:p w14:paraId="6D4C62D3"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718</w:t>
            </w:r>
          </w:p>
        </w:tc>
        <w:tc>
          <w:tcPr>
            <w:tcW w:w="799" w:type="dxa"/>
          </w:tcPr>
          <w:p w14:paraId="26782813"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-0.88</w:t>
            </w:r>
          </w:p>
        </w:tc>
        <w:tc>
          <w:tcPr>
            <w:tcW w:w="799" w:type="dxa"/>
          </w:tcPr>
          <w:p w14:paraId="6AA61846"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1.03</w:t>
            </w:r>
          </w:p>
        </w:tc>
        <w:tc>
          <w:tcPr>
            <w:tcW w:w="799" w:type="dxa"/>
          </w:tcPr>
          <w:p w14:paraId="00FE183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-3.6</w:t>
            </w:r>
          </w:p>
        </w:tc>
        <w:tc>
          <w:tcPr>
            <w:tcW w:w="798" w:type="dxa"/>
          </w:tcPr>
          <w:p w14:paraId="2EF2AC5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-1.60</w:t>
            </w:r>
          </w:p>
        </w:tc>
        <w:tc>
          <w:tcPr>
            <w:tcW w:w="799" w:type="dxa"/>
          </w:tcPr>
          <w:p w14:paraId="2ECAB40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-0.95</w:t>
            </w:r>
          </w:p>
        </w:tc>
        <w:tc>
          <w:tcPr>
            <w:tcW w:w="799" w:type="dxa"/>
          </w:tcPr>
          <w:p w14:paraId="3169C39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-0.20</w:t>
            </w:r>
          </w:p>
        </w:tc>
        <w:tc>
          <w:tcPr>
            <w:tcW w:w="799" w:type="dxa"/>
          </w:tcPr>
          <w:p w14:paraId="4180E21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3.1</w:t>
            </w:r>
          </w:p>
        </w:tc>
      </w:tr>
      <w:tr w:rsidR="00FA4FC4" w:rsidRPr="009D3CB7" w14:paraId="62B9ADFD" w14:textId="77777777" w:rsidTr="004923C5">
        <w:trPr>
          <w:trHeight w:val="372"/>
        </w:trPr>
        <w:tc>
          <w:tcPr>
            <w:tcW w:w="8397" w:type="dxa"/>
            <w:gridSpan w:val="9"/>
          </w:tcPr>
          <w:p w14:paraId="0CCAFF88"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Femoral</w:t>
            </w:r>
            <w:r w:rsidRPr="004923C5">
              <w:rPr>
                <w:spacing w:val="-3"/>
                <w:sz w:val="20"/>
                <w:szCs w:val="20"/>
                <w:lang w:val="en-GB"/>
              </w:rPr>
              <w:t xml:space="preserve"> </w:t>
            </w:r>
            <w:r w:rsidRPr="004923C5">
              <w:rPr>
                <w:sz w:val="20"/>
                <w:szCs w:val="20"/>
                <w:lang w:val="en-GB"/>
              </w:rPr>
              <w:t>neck</w:t>
            </w:r>
          </w:p>
        </w:tc>
      </w:tr>
      <w:tr w:rsidR="00955D5D" w:rsidRPr="009D3CB7" w14:paraId="2A1157DF" w14:textId="77777777" w:rsidTr="00955D5D">
        <w:trPr>
          <w:trHeight w:val="374"/>
        </w:trPr>
        <w:tc>
          <w:tcPr>
            <w:tcW w:w="2007" w:type="dxa"/>
          </w:tcPr>
          <w:p w14:paraId="0854BBD9" w14:textId="155E08B7" w:rsidR="006E62CD" w:rsidRPr="004923C5" w:rsidRDefault="00E54398" w:rsidP="00D258EC">
            <w:pPr>
              <w:pStyle w:val="TableParagraph"/>
              <w:adjustRightInd w:val="0"/>
              <w:snapToGrid w:val="0"/>
              <w:spacing w:after="60" w:line="360" w:lineRule="auto"/>
              <w:ind w:left="108" w:rightChars="30" w:right="66"/>
              <w:rPr>
                <w:sz w:val="20"/>
                <w:szCs w:val="20"/>
                <w:lang w:val="en-GB"/>
              </w:rPr>
            </w:pPr>
            <w:r>
              <w:rPr>
                <w:sz w:val="20"/>
                <w:szCs w:val="20"/>
                <w:lang w:val="en-GB"/>
              </w:rPr>
              <w:t>Denosumab</w:t>
            </w:r>
            <w:r w:rsidR="00CB520A" w:rsidRPr="004923C5">
              <w:rPr>
                <w:sz w:val="20"/>
                <w:szCs w:val="20"/>
                <w:lang w:val="en-GB"/>
              </w:rPr>
              <w:t xml:space="preserve"> (N</w:t>
            </w:r>
            <w:r w:rsidR="00CB520A" w:rsidRPr="004923C5">
              <w:rPr>
                <w:spacing w:val="-2"/>
                <w:sz w:val="20"/>
                <w:szCs w:val="20"/>
                <w:lang w:val="en-GB"/>
              </w:rPr>
              <w:t xml:space="preserve"> </w:t>
            </w:r>
            <w:r w:rsidR="00CB520A" w:rsidRPr="004923C5">
              <w:rPr>
                <w:sz w:val="20"/>
                <w:szCs w:val="20"/>
                <w:lang w:val="en-GB"/>
              </w:rPr>
              <w:t>= 734)</w:t>
            </w:r>
          </w:p>
        </w:tc>
        <w:tc>
          <w:tcPr>
            <w:tcW w:w="798" w:type="dxa"/>
          </w:tcPr>
          <w:p w14:paraId="35B72DC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712</w:t>
            </w:r>
          </w:p>
        </w:tc>
        <w:tc>
          <w:tcPr>
            <w:tcW w:w="799" w:type="dxa"/>
          </w:tcPr>
          <w:p w14:paraId="4F63084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-1.41</w:t>
            </w:r>
          </w:p>
        </w:tc>
        <w:tc>
          <w:tcPr>
            <w:tcW w:w="799" w:type="dxa"/>
          </w:tcPr>
          <w:p w14:paraId="25404F8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0.86</w:t>
            </w:r>
          </w:p>
        </w:tc>
        <w:tc>
          <w:tcPr>
            <w:tcW w:w="799" w:type="dxa"/>
          </w:tcPr>
          <w:p w14:paraId="2F36A99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-3.8</w:t>
            </w:r>
          </w:p>
        </w:tc>
        <w:tc>
          <w:tcPr>
            <w:tcW w:w="798" w:type="dxa"/>
          </w:tcPr>
          <w:p w14:paraId="5F1488ED"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-2.00</w:t>
            </w:r>
          </w:p>
        </w:tc>
        <w:tc>
          <w:tcPr>
            <w:tcW w:w="799" w:type="dxa"/>
          </w:tcPr>
          <w:p w14:paraId="31D5D71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-1.50</w:t>
            </w:r>
          </w:p>
        </w:tc>
        <w:tc>
          <w:tcPr>
            <w:tcW w:w="799" w:type="dxa"/>
          </w:tcPr>
          <w:p w14:paraId="73A99C3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-0.90</w:t>
            </w:r>
          </w:p>
        </w:tc>
        <w:tc>
          <w:tcPr>
            <w:tcW w:w="799" w:type="dxa"/>
          </w:tcPr>
          <w:p w14:paraId="4CDBDF46"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3.0</w:t>
            </w:r>
          </w:p>
        </w:tc>
      </w:tr>
      <w:tr w:rsidR="00955D5D" w:rsidRPr="009D3CB7" w14:paraId="5B946AFC" w14:textId="77777777" w:rsidTr="00955D5D">
        <w:trPr>
          <w:trHeight w:val="372"/>
        </w:trPr>
        <w:tc>
          <w:tcPr>
            <w:tcW w:w="2007" w:type="dxa"/>
          </w:tcPr>
          <w:p w14:paraId="7664DEE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Placebo</w:t>
            </w:r>
            <w:r w:rsidRPr="004923C5">
              <w:rPr>
                <w:spacing w:val="-1"/>
                <w:sz w:val="20"/>
                <w:szCs w:val="20"/>
                <w:lang w:val="en-GB"/>
              </w:rPr>
              <w:t xml:space="preserve"> </w:t>
            </w:r>
            <w:r w:rsidRPr="004923C5">
              <w:rPr>
                <w:sz w:val="20"/>
                <w:szCs w:val="20"/>
                <w:lang w:val="en-GB"/>
              </w:rPr>
              <w:t>(N</w:t>
            </w:r>
            <w:r w:rsidRPr="004923C5">
              <w:rPr>
                <w:spacing w:val="-1"/>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734)</w:t>
            </w:r>
          </w:p>
        </w:tc>
        <w:tc>
          <w:tcPr>
            <w:tcW w:w="798" w:type="dxa"/>
          </w:tcPr>
          <w:p w14:paraId="16C7218D"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718</w:t>
            </w:r>
          </w:p>
        </w:tc>
        <w:tc>
          <w:tcPr>
            <w:tcW w:w="799" w:type="dxa"/>
          </w:tcPr>
          <w:p w14:paraId="705EE088"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-1.42</w:t>
            </w:r>
          </w:p>
        </w:tc>
        <w:tc>
          <w:tcPr>
            <w:tcW w:w="799" w:type="dxa"/>
          </w:tcPr>
          <w:p w14:paraId="02D8B81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0.91</w:t>
            </w:r>
          </w:p>
        </w:tc>
        <w:tc>
          <w:tcPr>
            <w:tcW w:w="799" w:type="dxa"/>
          </w:tcPr>
          <w:p w14:paraId="4F1B3FC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-3.5</w:t>
            </w:r>
          </w:p>
        </w:tc>
        <w:tc>
          <w:tcPr>
            <w:tcW w:w="798" w:type="dxa"/>
          </w:tcPr>
          <w:p w14:paraId="636A343F"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-2.00</w:t>
            </w:r>
          </w:p>
        </w:tc>
        <w:tc>
          <w:tcPr>
            <w:tcW w:w="799" w:type="dxa"/>
          </w:tcPr>
          <w:p w14:paraId="7C6330E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-1.50</w:t>
            </w:r>
          </w:p>
        </w:tc>
        <w:tc>
          <w:tcPr>
            <w:tcW w:w="799" w:type="dxa"/>
          </w:tcPr>
          <w:p w14:paraId="0457C37F"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-0.90</w:t>
            </w:r>
          </w:p>
        </w:tc>
        <w:tc>
          <w:tcPr>
            <w:tcW w:w="799" w:type="dxa"/>
          </w:tcPr>
          <w:p w14:paraId="35F38DD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1.9</w:t>
            </w:r>
          </w:p>
        </w:tc>
      </w:tr>
      <w:tr w:rsidR="00FA4FC4" w:rsidRPr="009D3CB7" w14:paraId="0ECCB3B1" w14:textId="77777777" w:rsidTr="004923C5">
        <w:trPr>
          <w:trHeight w:val="372"/>
        </w:trPr>
        <w:tc>
          <w:tcPr>
            <w:tcW w:w="8397" w:type="dxa"/>
            <w:gridSpan w:val="9"/>
          </w:tcPr>
          <w:p w14:paraId="67D91A2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Hip</w:t>
            </w:r>
            <w:r w:rsidRPr="004923C5">
              <w:rPr>
                <w:spacing w:val="-3"/>
                <w:sz w:val="20"/>
                <w:szCs w:val="20"/>
                <w:lang w:val="en-GB"/>
              </w:rPr>
              <w:t xml:space="preserve"> </w:t>
            </w:r>
            <w:r w:rsidRPr="004923C5">
              <w:rPr>
                <w:sz w:val="20"/>
                <w:szCs w:val="20"/>
                <w:lang w:val="en-GB"/>
              </w:rPr>
              <w:t>trochanter</w:t>
            </w:r>
          </w:p>
        </w:tc>
      </w:tr>
      <w:tr w:rsidR="00955D5D" w:rsidRPr="009D3CB7" w14:paraId="6D7AC986" w14:textId="77777777" w:rsidTr="00955D5D">
        <w:trPr>
          <w:trHeight w:val="372"/>
        </w:trPr>
        <w:tc>
          <w:tcPr>
            <w:tcW w:w="2007" w:type="dxa"/>
          </w:tcPr>
          <w:p w14:paraId="5E165442" w14:textId="53811F09" w:rsidR="006E62CD" w:rsidRPr="004923C5" w:rsidRDefault="00E54398" w:rsidP="00D258EC">
            <w:pPr>
              <w:pStyle w:val="TableParagraph"/>
              <w:adjustRightInd w:val="0"/>
              <w:snapToGrid w:val="0"/>
              <w:spacing w:after="60" w:line="360" w:lineRule="auto"/>
              <w:ind w:left="108" w:rightChars="30" w:right="66"/>
              <w:rPr>
                <w:sz w:val="20"/>
                <w:szCs w:val="20"/>
                <w:lang w:val="en-GB"/>
              </w:rPr>
            </w:pPr>
            <w:r>
              <w:rPr>
                <w:sz w:val="20"/>
                <w:szCs w:val="20"/>
                <w:lang w:val="en-GB"/>
              </w:rPr>
              <w:t>Denosumab</w:t>
            </w:r>
            <w:r w:rsidR="00CB520A" w:rsidRPr="004923C5">
              <w:rPr>
                <w:sz w:val="20"/>
                <w:szCs w:val="20"/>
                <w:lang w:val="en-GB"/>
              </w:rPr>
              <w:t xml:space="preserve"> (N</w:t>
            </w:r>
            <w:r w:rsidR="00CB520A" w:rsidRPr="004923C5">
              <w:rPr>
                <w:spacing w:val="-2"/>
                <w:sz w:val="20"/>
                <w:szCs w:val="20"/>
                <w:lang w:val="en-GB"/>
              </w:rPr>
              <w:t xml:space="preserve"> </w:t>
            </w:r>
            <w:r w:rsidR="00CB520A" w:rsidRPr="004923C5">
              <w:rPr>
                <w:sz w:val="20"/>
                <w:szCs w:val="20"/>
                <w:lang w:val="en-GB"/>
              </w:rPr>
              <w:t>= 734)</w:t>
            </w:r>
          </w:p>
        </w:tc>
        <w:tc>
          <w:tcPr>
            <w:tcW w:w="798" w:type="dxa"/>
          </w:tcPr>
          <w:p w14:paraId="19AB4258"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712</w:t>
            </w:r>
          </w:p>
        </w:tc>
        <w:tc>
          <w:tcPr>
            <w:tcW w:w="799" w:type="dxa"/>
          </w:tcPr>
          <w:p w14:paraId="5A1CDFB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-0.62</w:t>
            </w:r>
          </w:p>
        </w:tc>
        <w:tc>
          <w:tcPr>
            <w:tcW w:w="799" w:type="dxa"/>
          </w:tcPr>
          <w:p w14:paraId="20BE6C3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1.25</w:t>
            </w:r>
          </w:p>
        </w:tc>
        <w:tc>
          <w:tcPr>
            <w:tcW w:w="799" w:type="dxa"/>
          </w:tcPr>
          <w:p w14:paraId="4449FE1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-4.5</w:t>
            </w:r>
          </w:p>
        </w:tc>
        <w:tc>
          <w:tcPr>
            <w:tcW w:w="798" w:type="dxa"/>
          </w:tcPr>
          <w:p w14:paraId="65A604E8"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-1.40</w:t>
            </w:r>
          </w:p>
        </w:tc>
        <w:tc>
          <w:tcPr>
            <w:tcW w:w="799" w:type="dxa"/>
          </w:tcPr>
          <w:p w14:paraId="2D1733D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-0.70</w:t>
            </w:r>
          </w:p>
        </w:tc>
        <w:tc>
          <w:tcPr>
            <w:tcW w:w="799" w:type="dxa"/>
          </w:tcPr>
          <w:p w14:paraId="6E2C86BC"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0.10</w:t>
            </w:r>
          </w:p>
        </w:tc>
        <w:tc>
          <w:tcPr>
            <w:tcW w:w="799" w:type="dxa"/>
          </w:tcPr>
          <w:p w14:paraId="3D39CD03"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3.5</w:t>
            </w:r>
          </w:p>
        </w:tc>
      </w:tr>
      <w:tr w:rsidR="00955D5D" w:rsidRPr="009D3CB7" w14:paraId="78FFAFDA" w14:textId="77777777" w:rsidTr="00955D5D">
        <w:trPr>
          <w:trHeight w:val="374"/>
        </w:trPr>
        <w:tc>
          <w:tcPr>
            <w:tcW w:w="2007" w:type="dxa"/>
          </w:tcPr>
          <w:p w14:paraId="1A9206E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Placebo</w:t>
            </w:r>
            <w:r w:rsidRPr="004923C5">
              <w:rPr>
                <w:spacing w:val="-1"/>
                <w:sz w:val="20"/>
                <w:szCs w:val="20"/>
                <w:lang w:val="en-GB"/>
              </w:rPr>
              <w:t xml:space="preserve"> </w:t>
            </w:r>
            <w:r w:rsidRPr="004923C5">
              <w:rPr>
                <w:sz w:val="20"/>
                <w:szCs w:val="20"/>
                <w:lang w:val="en-GB"/>
              </w:rPr>
              <w:t>(N</w:t>
            </w:r>
            <w:r w:rsidRPr="004923C5">
              <w:rPr>
                <w:spacing w:val="-1"/>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734)</w:t>
            </w:r>
          </w:p>
        </w:tc>
        <w:tc>
          <w:tcPr>
            <w:tcW w:w="798" w:type="dxa"/>
          </w:tcPr>
          <w:p w14:paraId="6F2085A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718</w:t>
            </w:r>
          </w:p>
        </w:tc>
        <w:tc>
          <w:tcPr>
            <w:tcW w:w="799" w:type="dxa"/>
          </w:tcPr>
          <w:p w14:paraId="4DB3D2B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-0.64</w:t>
            </w:r>
          </w:p>
        </w:tc>
        <w:tc>
          <w:tcPr>
            <w:tcW w:w="799" w:type="dxa"/>
          </w:tcPr>
          <w:p w14:paraId="06A7DDA6"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1.27</w:t>
            </w:r>
          </w:p>
        </w:tc>
        <w:tc>
          <w:tcPr>
            <w:tcW w:w="799" w:type="dxa"/>
          </w:tcPr>
          <w:p w14:paraId="70EEE5F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-4.7</w:t>
            </w:r>
          </w:p>
        </w:tc>
        <w:tc>
          <w:tcPr>
            <w:tcW w:w="798" w:type="dxa"/>
          </w:tcPr>
          <w:p w14:paraId="17FA466C"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-1.50</w:t>
            </w:r>
          </w:p>
        </w:tc>
        <w:tc>
          <w:tcPr>
            <w:tcW w:w="799" w:type="dxa"/>
          </w:tcPr>
          <w:p w14:paraId="776C6E8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-0.70</w:t>
            </w:r>
          </w:p>
        </w:tc>
        <w:tc>
          <w:tcPr>
            <w:tcW w:w="799" w:type="dxa"/>
          </w:tcPr>
          <w:p w14:paraId="15D9345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0.10</w:t>
            </w:r>
          </w:p>
        </w:tc>
        <w:tc>
          <w:tcPr>
            <w:tcW w:w="799" w:type="dxa"/>
          </w:tcPr>
          <w:p w14:paraId="48B8EA4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4.3</w:t>
            </w:r>
          </w:p>
        </w:tc>
      </w:tr>
    </w:tbl>
    <w:p w14:paraId="18985A57" w14:textId="45BBDE2F" w:rsidR="006E62CD" w:rsidRPr="00EE2E24" w:rsidRDefault="00CB520A" w:rsidP="00D258EC">
      <w:pPr>
        <w:adjustRightInd w:val="0"/>
        <w:snapToGrid w:val="0"/>
        <w:spacing w:after="120"/>
        <w:ind w:left="108" w:rightChars="30" w:right="66"/>
        <w:contextualSpacing/>
        <w:rPr>
          <w:sz w:val="18"/>
          <w:lang w:val="en-GB"/>
        </w:rPr>
      </w:pPr>
      <w:r w:rsidRPr="00EE2E24">
        <w:rPr>
          <w:sz w:val="18"/>
          <w:lang w:val="en-GB"/>
        </w:rPr>
        <w:t>N = Number of subjects randomised; SD = standard deviation;</w:t>
      </w:r>
      <w:r w:rsidR="00660140">
        <w:rPr>
          <w:sz w:val="18"/>
          <w:lang w:val="en-GB"/>
        </w:rPr>
        <w:t xml:space="preserve"> </w:t>
      </w:r>
      <w:r w:rsidRPr="002F6DC4">
        <w:rPr>
          <w:sz w:val="18"/>
          <w:lang w:val="en-GB"/>
        </w:rPr>
        <w:t xml:space="preserve"> </w:t>
      </w:r>
      <w:r w:rsidRPr="00EE2E24">
        <w:rPr>
          <w:sz w:val="18"/>
          <w:lang w:val="en-GB"/>
        </w:rPr>
        <w:t>Min.</w:t>
      </w:r>
      <w:r w:rsidRPr="002F6DC4">
        <w:rPr>
          <w:sz w:val="18"/>
          <w:lang w:val="en-GB"/>
        </w:rPr>
        <w:t xml:space="preserve"> </w:t>
      </w:r>
      <w:r w:rsidRPr="00EE2E24">
        <w:rPr>
          <w:sz w:val="18"/>
          <w:lang w:val="en-GB"/>
        </w:rPr>
        <w:t>= minimum; Max. =</w:t>
      </w:r>
      <w:r w:rsidRPr="002F6DC4">
        <w:rPr>
          <w:sz w:val="18"/>
          <w:lang w:val="en-GB"/>
        </w:rPr>
        <w:t xml:space="preserve"> </w:t>
      </w:r>
      <w:r w:rsidRPr="00EE2E24">
        <w:rPr>
          <w:sz w:val="18"/>
          <w:lang w:val="en-GB"/>
        </w:rPr>
        <w:t>Maximum;</w:t>
      </w:r>
      <w:r w:rsidR="00660140">
        <w:rPr>
          <w:sz w:val="18"/>
          <w:lang w:val="en-GB"/>
        </w:rPr>
        <w:t xml:space="preserve"> </w:t>
      </w:r>
      <w:r w:rsidRPr="00EE2E24">
        <w:rPr>
          <w:sz w:val="18"/>
          <w:lang w:val="en-GB"/>
        </w:rPr>
        <w:t>Q1 – quartile 1; Q3 – quartile 3.</w:t>
      </w:r>
      <w:r w:rsidRPr="002F6DC4">
        <w:rPr>
          <w:sz w:val="18"/>
          <w:lang w:val="en-GB"/>
        </w:rPr>
        <w:t xml:space="preserve"> </w:t>
      </w:r>
      <w:r w:rsidRPr="00EE2E24">
        <w:rPr>
          <w:sz w:val="18"/>
          <w:lang w:val="en-GB"/>
        </w:rPr>
        <w:t>Lumbar</w:t>
      </w:r>
      <w:r w:rsidRPr="002F6DC4">
        <w:rPr>
          <w:sz w:val="18"/>
          <w:lang w:val="en-GB"/>
        </w:rPr>
        <w:t xml:space="preserve"> </w:t>
      </w:r>
      <w:r w:rsidRPr="00EE2E24">
        <w:rPr>
          <w:sz w:val="18"/>
          <w:lang w:val="en-GB"/>
        </w:rPr>
        <w:t>spine</w:t>
      </w:r>
      <w:r w:rsidRPr="002F6DC4">
        <w:rPr>
          <w:sz w:val="18"/>
          <w:lang w:val="en-GB"/>
        </w:rPr>
        <w:t xml:space="preserve"> </w:t>
      </w:r>
      <w:r w:rsidRPr="00EE2E24">
        <w:rPr>
          <w:sz w:val="18"/>
          <w:lang w:val="en-GB"/>
        </w:rPr>
        <w:t>includes</w:t>
      </w:r>
      <w:r w:rsidRPr="002F6DC4">
        <w:rPr>
          <w:sz w:val="18"/>
          <w:lang w:val="en-GB"/>
        </w:rPr>
        <w:t xml:space="preserve"> </w:t>
      </w:r>
      <w:r w:rsidRPr="00EE2E24">
        <w:rPr>
          <w:sz w:val="18"/>
          <w:lang w:val="en-GB"/>
        </w:rPr>
        <w:t>L1</w:t>
      </w:r>
      <w:r w:rsidRPr="002F6DC4">
        <w:rPr>
          <w:sz w:val="18"/>
          <w:lang w:val="en-GB"/>
        </w:rPr>
        <w:t xml:space="preserve"> </w:t>
      </w:r>
      <w:r w:rsidRPr="00EE2E24">
        <w:rPr>
          <w:sz w:val="18"/>
          <w:lang w:val="en-GB"/>
        </w:rPr>
        <w:t>through</w:t>
      </w:r>
      <w:r w:rsidRPr="002F6DC4">
        <w:rPr>
          <w:sz w:val="18"/>
          <w:lang w:val="en-GB"/>
        </w:rPr>
        <w:t xml:space="preserve"> </w:t>
      </w:r>
      <w:r w:rsidRPr="00EE2E24">
        <w:rPr>
          <w:sz w:val="18"/>
          <w:lang w:val="en-GB"/>
        </w:rPr>
        <w:t>L4.</w:t>
      </w:r>
    </w:p>
    <w:p w14:paraId="1A988A21" w14:textId="4CCE0521" w:rsidR="006E62CD" w:rsidRPr="00EE2E24" w:rsidRDefault="00CB520A" w:rsidP="00D258EC">
      <w:pPr>
        <w:pStyle w:val="Heading3"/>
        <w:adjustRightInd w:val="0"/>
        <w:snapToGrid w:val="0"/>
        <w:spacing w:before="60" w:after="60" w:line="360" w:lineRule="auto"/>
        <w:ind w:left="108" w:rightChars="30" w:right="66"/>
        <w:rPr>
          <w:b w:val="0"/>
          <w:sz w:val="8"/>
          <w:lang w:val="en-GB"/>
        </w:rPr>
      </w:pPr>
      <w:r w:rsidRPr="00EE2E24">
        <w:rPr>
          <w:lang w:val="en-GB"/>
        </w:rPr>
        <w:t>Table 7. Summary of Treatment Group Comparisons for Primary and Secondary</w:t>
      </w:r>
      <w:r w:rsidRPr="00EE2E24">
        <w:rPr>
          <w:spacing w:val="-59"/>
          <w:lang w:val="en-GB"/>
        </w:rPr>
        <w:t xml:space="preserve"> </w:t>
      </w:r>
      <w:r w:rsidRPr="00EE2E24">
        <w:rPr>
          <w:lang w:val="en-GB"/>
        </w:rPr>
        <w:t>Efficacy</w:t>
      </w:r>
      <w:r w:rsidRPr="00EE2E24">
        <w:rPr>
          <w:spacing w:val="-1"/>
          <w:lang w:val="en-GB"/>
        </w:rPr>
        <w:t xml:space="preserve"> </w:t>
      </w:r>
      <w:r w:rsidRPr="00EE2E24">
        <w:rPr>
          <w:lang w:val="en-GB"/>
        </w:rPr>
        <w:t>Endpoints</w:t>
      </w:r>
    </w:p>
    <w:tbl>
      <w:tblPr>
        <w:tblStyle w:val="NormalTable0"/>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998"/>
        <w:gridCol w:w="999"/>
        <w:gridCol w:w="999"/>
        <w:gridCol w:w="998"/>
        <w:gridCol w:w="999"/>
        <w:gridCol w:w="999"/>
      </w:tblGrid>
      <w:tr w:rsidR="00FA4FC4" w:rsidRPr="00EE2E24" w14:paraId="5C176BE0" w14:textId="77777777" w:rsidTr="00FE64AF">
        <w:trPr>
          <w:trHeight w:val="1201"/>
          <w:tblHeader/>
        </w:trPr>
        <w:tc>
          <w:tcPr>
            <w:tcW w:w="2405" w:type="dxa"/>
          </w:tcPr>
          <w:p w14:paraId="68F7CAD5" w14:textId="77777777" w:rsidR="006E62CD" w:rsidRPr="00EE2E24" w:rsidRDefault="006E62CD" w:rsidP="00D258EC">
            <w:pPr>
              <w:pStyle w:val="TableParagraph"/>
              <w:adjustRightInd w:val="0"/>
              <w:snapToGrid w:val="0"/>
              <w:spacing w:after="60" w:line="360" w:lineRule="auto"/>
              <w:ind w:left="108" w:rightChars="30" w:right="66"/>
              <w:rPr>
                <w:rFonts w:ascii="Times New Roman"/>
                <w:sz w:val="18"/>
                <w:lang w:val="en-GB"/>
              </w:rPr>
            </w:pPr>
          </w:p>
        </w:tc>
        <w:tc>
          <w:tcPr>
            <w:tcW w:w="998" w:type="dxa"/>
          </w:tcPr>
          <w:p w14:paraId="052D4C16" w14:textId="1B906BD9" w:rsidR="006E62CD" w:rsidRPr="00EE2E24" w:rsidRDefault="00E54398" w:rsidP="00D258EC">
            <w:pPr>
              <w:pStyle w:val="TableParagraph"/>
              <w:adjustRightInd w:val="0"/>
              <w:snapToGrid w:val="0"/>
              <w:spacing w:after="60" w:line="360" w:lineRule="auto"/>
              <w:ind w:left="108" w:rightChars="30" w:right="66"/>
              <w:rPr>
                <w:sz w:val="20"/>
                <w:lang w:val="en-GB"/>
              </w:rPr>
            </w:pPr>
            <w:r>
              <w:rPr>
                <w:sz w:val="20"/>
                <w:lang w:val="en-GB"/>
              </w:rPr>
              <w:t>Denosumab</w:t>
            </w:r>
          </w:p>
          <w:p w14:paraId="35CCA163"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(N</w:t>
            </w:r>
            <w:r w:rsidRPr="00EE2E24">
              <w:rPr>
                <w:spacing w:val="-2"/>
                <w:sz w:val="20"/>
                <w:lang w:val="en-GB"/>
              </w:rPr>
              <w:t xml:space="preserve"> </w:t>
            </w:r>
            <w:r w:rsidRPr="00EE2E24">
              <w:rPr>
                <w:sz w:val="20"/>
                <w:lang w:val="en-GB"/>
              </w:rPr>
              <w:t>= 734)</w:t>
            </w:r>
          </w:p>
          <w:p w14:paraId="0658320D"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position w:val="1"/>
                <w:sz w:val="20"/>
                <w:lang w:val="en-GB"/>
              </w:rPr>
              <w:t>N</w:t>
            </w:r>
            <w:r w:rsidRPr="00EE2E24">
              <w:rPr>
                <w:sz w:val="13"/>
                <w:lang w:val="en-GB"/>
              </w:rPr>
              <w:t>1</w:t>
            </w:r>
            <w:r w:rsidRPr="00EE2E24">
              <w:rPr>
                <w:spacing w:val="18"/>
                <w:sz w:val="13"/>
                <w:lang w:val="en-GB"/>
              </w:rPr>
              <w:t xml:space="preserve"> </w:t>
            </w:r>
            <w:r w:rsidRPr="00EE2E24">
              <w:rPr>
                <w:position w:val="1"/>
                <w:sz w:val="20"/>
                <w:lang w:val="en-GB"/>
              </w:rPr>
              <w:t>or</w:t>
            </w:r>
          </w:p>
          <w:p w14:paraId="0084E376"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position w:val="1"/>
                <w:sz w:val="20"/>
                <w:lang w:val="en-GB"/>
              </w:rPr>
              <w:t>%(n/N</w:t>
            </w:r>
            <w:r w:rsidRPr="00EE2E24">
              <w:rPr>
                <w:sz w:val="13"/>
                <w:lang w:val="en-GB"/>
              </w:rPr>
              <w:t>1</w:t>
            </w:r>
            <w:r w:rsidRPr="00EE2E24">
              <w:rPr>
                <w:position w:val="1"/>
                <w:sz w:val="20"/>
                <w:lang w:val="en-GB"/>
              </w:rPr>
              <w:t>)</w:t>
            </w:r>
          </w:p>
        </w:tc>
        <w:tc>
          <w:tcPr>
            <w:tcW w:w="999" w:type="dxa"/>
          </w:tcPr>
          <w:p w14:paraId="0516C4F7"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Placebo</w:t>
            </w:r>
            <w:r w:rsidRPr="00EE2E24">
              <w:rPr>
                <w:spacing w:val="1"/>
                <w:sz w:val="20"/>
                <w:lang w:val="en-GB"/>
              </w:rPr>
              <w:t xml:space="preserve"> </w:t>
            </w:r>
            <w:r w:rsidRPr="00EE2E24">
              <w:rPr>
                <w:sz w:val="20"/>
                <w:lang w:val="en-GB"/>
              </w:rPr>
              <w:t>(N</w:t>
            </w:r>
            <w:r w:rsidRPr="00EE2E24">
              <w:rPr>
                <w:spacing w:val="-8"/>
                <w:sz w:val="20"/>
                <w:lang w:val="en-GB"/>
              </w:rPr>
              <w:t xml:space="preserve"> </w:t>
            </w:r>
            <w:r w:rsidRPr="00EE2E24">
              <w:rPr>
                <w:sz w:val="20"/>
                <w:lang w:val="en-GB"/>
              </w:rPr>
              <w:t>=</w:t>
            </w:r>
            <w:r w:rsidRPr="00EE2E24">
              <w:rPr>
                <w:spacing w:val="-7"/>
                <w:sz w:val="20"/>
                <w:lang w:val="en-GB"/>
              </w:rPr>
              <w:t xml:space="preserve"> </w:t>
            </w:r>
            <w:r w:rsidRPr="00EE2E24">
              <w:rPr>
                <w:sz w:val="20"/>
                <w:lang w:val="en-GB"/>
              </w:rPr>
              <w:t>734)</w:t>
            </w:r>
          </w:p>
          <w:p w14:paraId="558EF9D1"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position w:val="1"/>
                <w:sz w:val="20"/>
                <w:lang w:val="en-GB"/>
              </w:rPr>
              <w:t>N</w:t>
            </w:r>
            <w:r w:rsidRPr="00EE2E24">
              <w:rPr>
                <w:sz w:val="13"/>
                <w:lang w:val="en-GB"/>
              </w:rPr>
              <w:t>1</w:t>
            </w:r>
            <w:r w:rsidRPr="00EE2E24">
              <w:rPr>
                <w:spacing w:val="18"/>
                <w:sz w:val="13"/>
                <w:lang w:val="en-GB"/>
              </w:rPr>
              <w:t xml:space="preserve"> </w:t>
            </w:r>
            <w:r w:rsidRPr="00EE2E24">
              <w:rPr>
                <w:position w:val="1"/>
                <w:sz w:val="20"/>
                <w:lang w:val="en-GB"/>
              </w:rPr>
              <w:t>or</w:t>
            </w:r>
          </w:p>
          <w:p w14:paraId="6912B434"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position w:val="1"/>
                <w:sz w:val="20"/>
                <w:lang w:val="en-GB"/>
              </w:rPr>
              <w:t>%(n/N</w:t>
            </w:r>
            <w:r w:rsidRPr="00EE2E24">
              <w:rPr>
                <w:sz w:val="13"/>
                <w:lang w:val="en-GB"/>
              </w:rPr>
              <w:t>1</w:t>
            </w:r>
            <w:r w:rsidRPr="00EE2E24">
              <w:rPr>
                <w:position w:val="1"/>
                <w:sz w:val="20"/>
                <w:lang w:val="en-GB"/>
              </w:rPr>
              <w:t>)</w:t>
            </w:r>
          </w:p>
        </w:tc>
        <w:tc>
          <w:tcPr>
            <w:tcW w:w="999" w:type="dxa"/>
          </w:tcPr>
          <w:p w14:paraId="0D98115A"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Estimate</w:t>
            </w:r>
          </w:p>
        </w:tc>
        <w:tc>
          <w:tcPr>
            <w:tcW w:w="998" w:type="dxa"/>
          </w:tcPr>
          <w:p w14:paraId="1DDE50BC"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95%</w:t>
            </w:r>
            <w:r w:rsidRPr="00EE2E24">
              <w:rPr>
                <w:spacing w:val="-1"/>
                <w:sz w:val="20"/>
                <w:lang w:val="en-GB"/>
              </w:rPr>
              <w:t xml:space="preserve"> </w:t>
            </w:r>
            <w:r w:rsidRPr="00EE2E24">
              <w:rPr>
                <w:sz w:val="20"/>
                <w:lang w:val="en-GB"/>
              </w:rPr>
              <w:t>CI</w:t>
            </w:r>
          </w:p>
        </w:tc>
        <w:tc>
          <w:tcPr>
            <w:tcW w:w="999" w:type="dxa"/>
          </w:tcPr>
          <w:p w14:paraId="74CC081F"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p-value</w:t>
            </w:r>
          </w:p>
        </w:tc>
        <w:tc>
          <w:tcPr>
            <w:tcW w:w="999" w:type="dxa"/>
          </w:tcPr>
          <w:p w14:paraId="52608692"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Adjusted</w:t>
            </w:r>
            <w:r w:rsidRPr="00EE2E24">
              <w:rPr>
                <w:spacing w:val="-53"/>
                <w:sz w:val="20"/>
                <w:lang w:val="en-GB"/>
              </w:rPr>
              <w:t xml:space="preserve"> </w:t>
            </w:r>
            <w:r w:rsidRPr="00EE2E24">
              <w:rPr>
                <w:sz w:val="20"/>
                <w:lang w:val="en-GB"/>
              </w:rPr>
              <w:t>p-value</w:t>
            </w:r>
            <w:r w:rsidRPr="00EE2E24">
              <w:rPr>
                <w:sz w:val="20"/>
                <w:vertAlign w:val="superscript"/>
                <w:lang w:val="en-GB"/>
              </w:rPr>
              <w:t>d</w:t>
            </w:r>
          </w:p>
        </w:tc>
      </w:tr>
      <w:tr w:rsidR="00FA4FC4" w:rsidRPr="00EE2E24" w14:paraId="204ACA0C" w14:textId="77777777" w:rsidTr="004923C5">
        <w:trPr>
          <w:trHeight w:val="359"/>
        </w:trPr>
        <w:tc>
          <w:tcPr>
            <w:tcW w:w="2405" w:type="dxa"/>
          </w:tcPr>
          <w:p w14:paraId="09924C3E"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Primary Endpoint</w:t>
            </w:r>
          </w:p>
        </w:tc>
        <w:tc>
          <w:tcPr>
            <w:tcW w:w="998" w:type="dxa"/>
          </w:tcPr>
          <w:p w14:paraId="4C838E29" w14:textId="77777777" w:rsidR="006E62CD" w:rsidRPr="00EE2E24" w:rsidRDefault="006E62CD" w:rsidP="00D258EC">
            <w:pPr>
              <w:pStyle w:val="TableParagraph"/>
              <w:adjustRightInd w:val="0"/>
              <w:snapToGrid w:val="0"/>
              <w:spacing w:after="60" w:line="360" w:lineRule="auto"/>
              <w:ind w:left="108" w:rightChars="30" w:right="66"/>
              <w:rPr>
                <w:rFonts w:ascii="Times New Roman"/>
                <w:sz w:val="18"/>
                <w:lang w:val="en-GB"/>
              </w:rPr>
            </w:pPr>
          </w:p>
        </w:tc>
        <w:tc>
          <w:tcPr>
            <w:tcW w:w="999" w:type="dxa"/>
          </w:tcPr>
          <w:p w14:paraId="6DF1981A" w14:textId="77777777" w:rsidR="006E62CD" w:rsidRPr="00EE2E24" w:rsidRDefault="006E62CD" w:rsidP="00D258EC">
            <w:pPr>
              <w:pStyle w:val="TableParagraph"/>
              <w:adjustRightInd w:val="0"/>
              <w:snapToGrid w:val="0"/>
              <w:spacing w:after="60" w:line="360" w:lineRule="auto"/>
              <w:ind w:left="108" w:rightChars="30" w:right="66"/>
              <w:rPr>
                <w:rFonts w:ascii="Times New Roman"/>
                <w:sz w:val="18"/>
                <w:lang w:val="en-GB"/>
              </w:rPr>
            </w:pPr>
          </w:p>
        </w:tc>
        <w:tc>
          <w:tcPr>
            <w:tcW w:w="999" w:type="dxa"/>
          </w:tcPr>
          <w:p w14:paraId="68651C26" w14:textId="77777777" w:rsidR="006E62CD" w:rsidRPr="00EE2E24" w:rsidRDefault="006E62CD" w:rsidP="00D258EC">
            <w:pPr>
              <w:pStyle w:val="TableParagraph"/>
              <w:adjustRightInd w:val="0"/>
              <w:snapToGrid w:val="0"/>
              <w:spacing w:after="60" w:line="360" w:lineRule="auto"/>
              <w:ind w:left="108" w:rightChars="30" w:right="66"/>
              <w:rPr>
                <w:rFonts w:ascii="Times New Roman"/>
                <w:sz w:val="18"/>
                <w:lang w:val="en-GB"/>
              </w:rPr>
            </w:pPr>
          </w:p>
        </w:tc>
        <w:tc>
          <w:tcPr>
            <w:tcW w:w="998" w:type="dxa"/>
          </w:tcPr>
          <w:p w14:paraId="09F5BDA4" w14:textId="77777777" w:rsidR="006E62CD" w:rsidRPr="00EE2E24" w:rsidRDefault="006E62CD" w:rsidP="00D258EC">
            <w:pPr>
              <w:pStyle w:val="TableParagraph"/>
              <w:adjustRightInd w:val="0"/>
              <w:snapToGrid w:val="0"/>
              <w:spacing w:after="60" w:line="360" w:lineRule="auto"/>
              <w:ind w:left="108" w:rightChars="30" w:right="66"/>
              <w:rPr>
                <w:rFonts w:ascii="Times New Roman"/>
                <w:sz w:val="18"/>
                <w:lang w:val="en-GB"/>
              </w:rPr>
            </w:pPr>
          </w:p>
        </w:tc>
        <w:tc>
          <w:tcPr>
            <w:tcW w:w="999" w:type="dxa"/>
          </w:tcPr>
          <w:p w14:paraId="3378FC45" w14:textId="77777777" w:rsidR="006E62CD" w:rsidRPr="00EE2E24" w:rsidRDefault="006E62CD" w:rsidP="00D258EC">
            <w:pPr>
              <w:pStyle w:val="TableParagraph"/>
              <w:adjustRightInd w:val="0"/>
              <w:snapToGrid w:val="0"/>
              <w:spacing w:after="60" w:line="360" w:lineRule="auto"/>
              <w:ind w:left="108" w:rightChars="30" w:right="66"/>
              <w:rPr>
                <w:rFonts w:ascii="Times New Roman"/>
                <w:sz w:val="18"/>
                <w:lang w:val="en-GB"/>
              </w:rPr>
            </w:pPr>
          </w:p>
        </w:tc>
        <w:tc>
          <w:tcPr>
            <w:tcW w:w="999" w:type="dxa"/>
          </w:tcPr>
          <w:p w14:paraId="4372A5AE" w14:textId="77777777" w:rsidR="006E62CD" w:rsidRPr="00EE2E24" w:rsidRDefault="006E62CD" w:rsidP="00D258EC">
            <w:pPr>
              <w:pStyle w:val="TableParagraph"/>
              <w:adjustRightInd w:val="0"/>
              <w:snapToGrid w:val="0"/>
              <w:spacing w:after="60" w:line="360" w:lineRule="auto"/>
              <w:ind w:left="108" w:rightChars="30" w:right="66"/>
              <w:rPr>
                <w:rFonts w:ascii="Times New Roman"/>
                <w:sz w:val="18"/>
                <w:lang w:val="en-GB"/>
              </w:rPr>
            </w:pPr>
          </w:p>
        </w:tc>
      </w:tr>
      <w:tr w:rsidR="00FA4FC4" w:rsidRPr="00EE2E24" w14:paraId="55E93C64" w14:textId="77777777" w:rsidTr="004923C5">
        <w:trPr>
          <w:trHeight w:val="839"/>
        </w:trPr>
        <w:tc>
          <w:tcPr>
            <w:tcW w:w="2405" w:type="dxa"/>
          </w:tcPr>
          <w:p w14:paraId="7035ECEC"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Lumbar spine BMD</w:t>
            </w:r>
            <w:r w:rsidRPr="00EE2E24">
              <w:rPr>
                <w:spacing w:val="1"/>
                <w:sz w:val="20"/>
                <w:lang w:val="en-GB"/>
              </w:rPr>
              <w:t xml:space="preserve"> </w:t>
            </w:r>
            <w:r w:rsidRPr="00EE2E24">
              <w:rPr>
                <w:sz w:val="20"/>
                <w:lang w:val="en-GB"/>
              </w:rPr>
              <w:t>Percent change from</w:t>
            </w:r>
            <w:r w:rsidRPr="00EE2E24">
              <w:rPr>
                <w:spacing w:val="1"/>
                <w:sz w:val="20"/>
                <w:lang w:val="en-GB"/>
              </w:rPr>
              <w:t xml:space="preserve"> </w:t>
            </w:r>
            <w:r w:rsidRPr="00EE2E24">
              <w:rPr>
                <w:sz w:val="20"/>
                <w:lang w:val="en-GB"/>
              </w:rPr>
              <w:lastRenderedPageBreak/>
              <w:t>baseline</w:t>
            </w:r>
            <w:r w:rsidRPr="00EE2E24">
              <w:rPr>
                <w:spacing w:val="-5"/>
                <w:sz w:val="20"/>
                <w:lang w:val="en-GB"/>
              </w:rPr>
              <w:t xml:space="preserve"> </w:t>
            </w:r>
            <w:r w:rsidRPr="00EE2E24">
              <w:rPr>
                <w:sz w:val="20"/>
                <w:lang w:val="en-GB"/>
              </w:rPr>
              <w:t>at</w:t>
            </w:r>
            <w:r w:rsidRPr="00EE2E24">
              <w:rPr>
                <w:spacing w:val="-5"/>
                <w:sz w:val="20"/>
                <w:lang w:val="en-GB"/>
              </w:rPr>
              <w:t xml:space="preserve"> </w:t>
            </w:r>
            <w:r w:rsidRPr="00EE2E24">
              <w:rPr>
                <w:sz w:val="20"/>
                <w:lang w:val="en-GB"/>
              </w:rPr>
              <w:t>Month</w:t>
            </w:r>
            <w:r w:rsidRPr="00EE2E24">
              <w:rPr>
                <w:spacing w:val="-5"/>
                <w:sz w:val="20"/>
                <w:lang w:val="en-GB"/>
              </w:rPr>
              <w:t xml:space="preserve"> </w:t>
            </w:r>
            <w:r w:rsidRPr="00EE2E24">
              <w:rPr>
                <w:sz w:val="20"/>
                <w:lang w:val="en-GB"/>
              </w:rPr>
              <w:t>24</w:t>
            </w:r>
            <w:r w:rsidRPr="00EE2E24">
              <w:rPr>
                <w:sz w:val="20"/>
                <w:vertAlign w:val="superscript"/>
                <w:lang w:val="en-GB"/>
              </w:rPr>
              <w:t>a</w:t>
            </w:r>
          </w:p>
        </w:tc>
        <w:tc>
          <w:tcPr>
            <w:tcW w:w="998" w:type="dxa"/>
          </w:tcPr>
          <w:p w14:paraId="5FCF0D46"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lastRenderedPageBreak/>
              <w:t>714</w:t>
            </w:r>
          </w:p>
        </w:tc>
        <w:tc>
          <w:tcPr>
            <w:tcW w:w="999" w:type="dxa"/>
          </w:tcPr>
          <w:p w14:paraId="253D13DE"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716</w:t>
            </w:r>
          </w:p>
        </w:tc>
        <w:tc>
          <w:tcPr>
            <w:tcW w:w="999" w:type="dxa"/>
          </w:tcPr>
          <w:p w14:paraId="332FF288"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6.7</w:t>
            </w:r>
          </w:p>
        </w:tc>
        <w:tc>
          <w:tcPr>
            <w:tcW w:w="998" w:type="dxa"/>
          </w:tcPr>
          <w:p w14:paraId="51781ECD"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(6.2,</w:t>
            </w:r>
            <w:r w:rsidRPr="00EE2E24">
              <w:rPr>
                <w:spacing w:val="-1"/>
                <w:sz w:val="20"/>
                <w:lang w:val="en-GB"/>
              </w:rPr>
              <w:t xml:space="preserve"> </w:t>
            </w:r>
            <w:r w:rsidRPr="00EE2E24">
              <w:rPr>
                <w:sz w:val="20"/>
                <w:lang w:val="en-GB"/>
              </w:rPr>
              <w:t>7.1)</w:t>
            </w:r>
          </w:p>
        </w:tc>
        <w:tc>
          <w:tcPr>
            <w:tcW w:w="999" w:type="dxa"/>
          </w:tcPr>
          <w:p w14:paraId="08427EAF"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&lt; 0.0001</w:t>
            </w:r>
          </w:p>
        </w:tc>
        <w:tc>
          <w:tcPr>
            <w:tcW w:w="999" w:type="dxa"/>
          </w:tcPr>
          <w:p w14:paraId="7A02BBBD"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&lt; 0.0001</w:t>
            </w:r>
          </w:p>
        </w:tc>
      </w:tr>
      <w:tr w:rsidR="00FA4FC4" w:rsidRPr="00EE2E24" w14:paraId="17172F3B" w14:textId="77777777" w:rsidTr="004923C5">
        <w:trPr>
          <w:trHeight w:val="360"/>
        </w:trPr>
        <w:tc>
          <w:tcPr>
            <w:tcW w:w="2405" w:type="dxa"/>
          </w:tcPr>
          <w:p w14:paraId="6FBEB68C"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Secondary</w:t>
            </w:r>
            <w:r w:rsidRPr="00EE2E24">
              <w:rPr>
                <w:spacing w:val="-2"/>
                <w:sz w:val="20"/>
                <w:lang w:val="en-GB"/>
              </w:rPr>
              <w:t xml:space="preserve"> </w:t>
            </w:r>
            <w:r w:rsidRPr="00EE2E24">
              <w:rPr>
                <w:sz w:val="20"/>
                <w:lang w:val="en-GB"/>
              </w:rPr>
              <w:t>Endpoints</w:t>
            </w:r>
          </w:p>
        </w:tc>
        <w:tc>
          <w:tcPr>
            <w:tcW w:w="998" w:type="dxa"/>
          </w:tcPr>
          <w:p w14:paraId="026DFA1F" w14:textId="77777777" w:rsidR="006E62CD" w:rsidRPr="00EE2E24" w:rsidRDefault="006E62CD" w:rsidP="00D258EC">
            <w:pPr>
              <w:pStyle w:val="TableParagraph"/>
              <w:adjustRightInd w:val="0"/>
              <w:snapToGrid w:val="0"/>
              <w:spacing w:after="60" w:line="360" w:lineRule="auto"/>
              <w:ind w:left="108" w:rightChars="30" w:right="66"/>
              <w:rPr>
                <w:rFonts w:ascii="Times New Roman"/>
                <w:sz w:val="18"/>
                <w:lang w:val="en-GB"/>
              </w:rPr>
            </w:pPr>
          </w:p>
        </w:tc>
        <w:tc>
          <w:tcPr>
            <w:tcW w:w="999" w:type="dxa"/>
          </w:tcPr>
          <w:p w14:paraId="5021220C" w14:textId="77777777" w:rsidR="006E62CD" w:rsidRPr="00EE2E24" w:rsidRDefault="006E62CD" w:rsidP="00D258EC">
            <w:pPr>
              <w:pStyle w:val="TableParagraph"/>
              <w:adjustRightInd w:val="0"/>
              <w:snapToGrid w:val="0"/>
              <w:spacing w:after="60" w:line="360" w:lineRule="auto"/>
              <w:ind w:left="108" w:rightChars="30" w:right="66"/>
              <w:rPr>
                <w:rFonts w:ascii="Times New Roman"/>
                <w:sz w:val="18"/>
                <w:lang w:val="en-GB"/>
              </w:rPr>
            </w:pPr>
          </w:p>
        </w:tc>
        <w:tc>
          <w:tcPr>
            <w:tcW w:w="999" w:type="dxa"/>
          </w:tcPr>
          <w:p w14:paraId="2223F557" w14:textId="77777777" w:rsidR="006E62CD" w:rsidRPr="00EE2E24" w:rsidRDefault="006E62CD" w:rsidP="00D258EC">
            <w:pPr>
              <w:pStyle w:val="TableParagraph"/>
              <w:adjustRightInd w:val="0"/>
              <w:snapToGrid w:val="0"/>
              <w:spacing w:after="60" w:line="360" w:lineRule="auto"/>
              <w:ind w:left="108" w:rightChars="30" w:right="66"/>
              <w:rPr>
                <w:rFonts w:ascii="Times New Roman"/>
                <w:sz w:val="18"/>
                <w:lang w:val="en-GB"/>
              </w:rPr>
            </w:pPr>
          </w:p>
        </w:tc>
        <w:tc>
          <w:tcPr>
            <w:tcW w:w="998" w:type="dxa"/>
          </w:tcPr>
          <w:p w14:paraId="5887BFF4" w14:textId="77777777" w:rsidR="006E62CD" w:rsidRPr="00EE2E24" w:rsidRDefault="006E62CD" w:rsidP="00D258EC">
            <w:pPr>
              <w:pStyle w:val="TableParagraph"/>
              <w:adjustRightInd w:val="0"/>
              <w:snapToGrid w:val="0"/>
              <w:spacing w:after="60" w:line="360" w:lineRule="auto"/>
              <w:ind w:left="108" w:rightChars="30" w:right="66"/>
              <w:rPr>
                <w:rFonts w:ascii="Times New Roman"/>
                <w:sz w:val="18"/>
                <w:lang w:val="en-GB"/>
              </w:rPr>
            </w:pPr>
          </w:p>
        </w:tc>
        <w:tc>
          <w:tcPr>
            <w:tcW w:w="999" w:type="dxa"/>
          </w:tcPr>
          <w:p w14:paraId="6ADBDA11" w14:textId="77777777" w:rsidR="006E62CD" w:rsidRPr="00EE2E24" w:rsidRDefault="006E62CD" w:rsidP="00D258EC">
            <w:pPr>
              <w:pStyle w:val="TableParagraph"/>
              <w:adjustRightInd w:val="0"/>
              <w:snapToGrid w:val="0"/>
              <w:spacing w:after="60" w:line="360" w:lineRule="auto"/>
              <w:ind w:left="108" w:rightChars="30" w:right="66"/>
              <w:rPr>
                <w:rFonts w:ascii="Times New Roman"/>
                <w:sz w:val="18"/>
                <w:lang w:val="en-GB"/>
              </w:rPr>
            </w:pPr>
          </w:p>
        </w:tc>
        <w:tc>
          <w:tcPr>
            <w:tcW w:w="999" w:type="dxa"/>
          </w:tcPr>
          <w:p w14:paraId="0F49A3A2" w14:textId="77777777" w:rsidR="006E62CD" w:rsidRPr="00EE2E24" w:rsidRDefault="006E62CD" w:rsidP="00D258EC">
            <w:pPr>
              <w:pStyle w:val="TableParagraph"/>
              <w:adjustRightInd w:val="0"/>
              <w:snapToGrid w:val="0"/>
              <w:spacing w:after="60" w:line="360" w:lineRule="auto"/>
              <w:ind w:left="108" w:rightChars="30" w:right="66"/>
              <w:rPr>
                <w:rFonts w:ascii="Times New Roman"/>
                <w:sz w:val="18"/>
                <w:lang w:val="en-GB"/>
              </w:rPr>
            </w:pPr>
          </w:p>
        </w:tc>
      </w:tr>
      <w:tr w:rsidR="00FA4FC4" w:rsidRPr="00EE2E24" w14:paraId="62C7F070" w14:textId="77777777" w:rsidTr="004923C5">
        <w:trPr>
          <w:trHeight w:val="899"/>
        </w:trPr>
        <w:tc>
          <w:tcPr>
            <w:tcW w:w="2405" w:type="dxa"/>
          </w:tcPr>
          <w:p w14:paraId="6F7BB8CE"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Femoral</w:t>
            </w:r>
            <w:r w:rsidRPr="00EE2E24">
              <w:rPr>
                <w:spacing w:val="-1"/>
                <w:sz w:val="20"/>
                <w:lang w:val="en-GB"/>
              </w:rPr>
              <w:t xml:space="preserve"> </w:t>
            </w:r>
            <w:r w:rsidRPr="00EE2E24">
              <w:rPr>
                <w:sz w:val="20"/>
                <w:lang w:val="en-GB"/>
              </w:rPr>
              <w:t>neck BMD:</w:t>
            </w:r>
          </w:p>
          <w:p w14:paraId="786DB6E3"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Percent change from</w:t>
            </w:r>
            <w:r w:rsidRPr="00EE2E24">
              <w:rPr>
                <w:spacing w:val="1"/>
                <w:sz w:val="20"/>
                <w:lang w:val="en-GB"/>
              </w:rPr>
              <w:t xml:space="preserve"> </w:t>
            </w:r>
            <w:r w:rsidRPr="00EE2E24">
              <w:rPr>
                <w:sz w:val="20"/>
                <w:lang w:val="en-GB"/>
              </w:rPr>
              <w:t>baseline</w:t>
            </w:r>
            <w:r w:rsidRPr="00EE2E24">
              <w:rPr>
                <w:spacing w:val="-5"/>
                <w:sz w:val="20"/>
                <w:lang w:val="en-GB"/>
              </w:rPr>
              <w:t xml:space="preserve"> </w:t>
            </w:r>
            <w:r w:rsidRPr="00EE2E24">
              <w:rPr>
                <w:sz w:val="20"/>
                <w:lang w:val="en-GB"/>
              </w:rPr>
              <w:t>at</w:t>
            </w:r>
            <w:r w:rsidRPr="00EE2E24">
              <w:rPr>
                <w:spacing w:val="-5"/>
                <w:sz w:val="20"/>
                <w:lang w:val="en-GB"/>
              </w:rPr>
              <w:t xml:space="preserve"> </w:t>
            </w:r>
            <w:r w:rsidRPr="00EE2E24">
              <w:rPr>
                <w:sz w:val="20"/>
                <w:lang w:val="en-GB"/>
              </w:rPr>
              <w:t>Month</w:t>
            </w:r>
            <w:r w:rsidRPr="00EE2E24">
              <w:rPr>
                <w:spacing w:val="-5"/>
                <w:sz w:val="20"/>
                <w:lang w:val="en-GB"/>
              </w:rPr>
              <w:t xml:space="preserve"> </w:t>
            </w:r>
            <w:r w:rsidRPr="00EE2E24">
              <w:rPr>
                <w:sz w:val="20"/>
                <w:lang w:val="en-GB"/>
              </w:rPr>
              <w:t>24</w:t>
            </w:r>
            <w:r w:rsidRPr="00EE2E24">
              <w:rPr>
                <w:sz w:val="20"/>
                <w:vertAlign w:val="superscript"/>
                <w:lang w:val="en-GB"/>
              </w:rPr>
              <w:t>a</w:t>
            </w:r>
          </w:p>
        </w:tc>
        <w:tc>
          <w:tcPr>
            <w:tcW w:w="998" w:type="dxa"/>
          </w:tcPr>
          <w:p w14:paraId="240E0CA4"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701</w:t>
            </w:r>
          </w:p>
        </w:tc>
        <w:tc>
          <w:tcPr>
            <w:tcW w:w="999" w:type="dxa"/>
          </w:tcPr>
          <w:p w14:paraId="4A07B1E4"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706</w:t>
            </w:r>
          </w:p>
        </w:tc>
        <w:tc>
          <w:tcPr>
            <w:tcW w:w="999" w:type="dxa"/>
          </w:tcPr>
          <w:p w14:paraId="24404827"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3.9</w:t>
            </w:r>
          </w:p>
        </w:tc>
        <w:tc>
          <w:tcPr>
            <w:tcW w:w="998" w:type="dxa"/>
          </w:tcPr>
          <w:p w14:paraId="511CCF37"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(3.5,</w:t>
            </w:r>
            <w:r w:rsidRPr="00EE2E24">
              <w:rPr>
                <w:spacing w:val="-1"/>
                <w:sz w:val="20"/>
                <w:lang w:val="en-GB"/>
              </w:rPr>
              <w:t xml:space="preserve"> </w:t>
            </w:r>
            <w:r w:rsidRPr="00EE2E24">
              <w:rPr>
                <w:sz w:val="20"/>
                <w:lang w:val="en-GB"/>
              </w:rPr>
              <w:t>4.4)</w:t>
            </w:r>
          </w:p>
        </w:tc>
        <w:tc>
          <w:tcPr>
            <w:tcW w:w="999" w:type="dxa"/>
          </w:tcPr>
          <w:p w14:paraId="59466305"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&lt; 0.0001</w:t>
            </w:r>
          </w:p>
        </w:tc>
        <w:tc>
          <w:tcPr>
            <w:tcW w:w="999" w:type="dxa"/>
          </w:tcPr>
          <w:p w14:paraId="7C51A22F"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&lt; 0.0001</w:t>
            </w:r>
          </w:p>
        </w:tc>
      </w:tr>
      <w:tr w:rsidR="00FA4FC4" w:rsidRPr="00EE2E24" w14:paraId="37691640" w14:textId="77777777" w:rsidTr="004923C5">
        <w:trPr>
          <w:trHeight w:val="839"/>
        </w:trPr>
        <w:tc>
          <w:tcPr>
            <w:tcW w:w="2405" w:type="dxa"/>
          </w:tcPr>
          <w:p w14:paraId="2B5FF332"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Total hip BMD:</w:t>
            </w:r>
            <w:r w:rsidRPr="00EE2E24">
              <w:rPr>
                <w:spacing w:val="1"/>
                <w:sz w:val="20"/>
                <w:lang w:val="en-GB"/>
              </w:rPr>
              <w:t xml:space="preserve"> </w:t>
            </w:r>
            <w:r w:rsidRPr="00EE2E24">
              <w:rPr>
                <w:sz w:val="20"/>
                <w:lang w:val="en-GB"/>
              </w:rPr>
              <w:t>Percent change from</w:t>
            </w:r>
            <w:r w:rsidRPr="00EE2E24">
              <w:rPr>
                <w:spacing w:val="1"/>
                <w:sz w:val="20"/>
                <w:lang w:val="en-GB"/>
              </w:rPr>
              <w:t xml:space="preserve"> </w:t>
            </w:r>
            <w:r w:rsidRPr="00EE2E24">
              <w:rPr>
                <w:sz w:val="20"/>
                <w:lang w:val="en-GB"/>
              </w:rPr>
              <w:t>baseline</w:t>
            </w:r>
            <w:r w:rsidRPr="00EE2E24">
              <w:rPr>
                <w:spacing w:val="-5"/>
                <w:sz w:val="20"/>
                <w:lang w:val="en-GB"/>
              </w:rPr>
              <w:t xml:space="preserve"> </w:t>
            </w:r>
            <w:r w:rsidRPr="00EE2E24">
              <w:rPr>
                <w:sz w:val="20"/>
                <w:lang w:val="en-GB"/>
              </w:rPr>
              <w:t>at</w:t>
            </w:r>
            <w:r w:rsidRPr="00EE2E24">
              <w:rPr>
                <w:spacing w:val="-5"/>
                <w:sz w:val="20"/>
                <w:lang w:val="en-GB"/>
              </w:rPr>
              <w:t xml:space="preserve"> </w:t>
            </w:r>
            <w:r w:rsidRPr="00EE2E24">
              <w:rPr>
                <w:sz w:val="20"/>
                <w:lang w:val="en-GB"/>
              </w:rPr>
              <w:t>Month</w:t>
            </w:r>
            <w:r w:rsidRPr="00EE2E24">
              <w:rPr>
                <w:spacing w:val="-5"/>
                <w:sz w:val="20"/>
                <w:lang w:val="en-GB"/>
              </w:rPr>
              <w:t xml:space="preserve"> </w:t>
            </w:r>
            <w:r w:rsidRPr="00EE2E24">
              <w:rPr>
                <w:sz w:val="20"/>
                <w:lang w:val="en-GB"/>
              </w:rPr>
              <w:t>24</w:t>
            </w:r>
            <w:r w:rsidRPr="00EE2E24">
              <w:rPr>
                <w:sz w:val="20"/>
                <w:vertAlign w:val="superscript"/>
                <w:lang w:val="en-GB"/>
              </w:rPr>
              <w:t>a</w:t>
            </w:r>
          </w:p>
        </w:tc>
        <w:tc>
          <w:tcPr>
            <w:tcW w:w="998" w:type="dxa"/>
          </w:tcPr>
          <w:p w14:paraId="1B019E55"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701</w:t>
            </w:r>
          </w:p>
        </w:tc>
        <w:tc>
          <w:tcPr>
            <w:tcW w:w="999" w:type="dxa"/>
          </w:tcPr>
          <w:p w14:paraId="2823DC33"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706</w:t>
            </w:r>
          </w:p>
        </w:tc>
        <w:tc>
          <w:tcPr>
            <w:tcW w:w="999" w:type="dxa"/>
          </w:tcPr>
          <w:p w14:paraId="02C368A6"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4.8</w:t>
            </w:r>
          </w:p>
        </w:tc>
        <w:tc>
          <w:tcPr>
            <w:tcW w:w="998" w:type="dxa"/>
          </w:tcPr>
          <w:p w14:paraId="1D924CCC"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(4.4,</w:t>
            </w:r>
            <w:r w:rsidRPr="00EE2E24">
              <w:rPr>
                <w:spacing w:val="-1"/>
                <w:sz w:val="20"/>
                <w:lang w:val="en-GB"/>
              </w:rPr>
              <w:t xml:space="preserve"> </w:t>
            </w:r>
            <w:r w:rsidRPr="00EE2E24">
              <w:rPr>
                <w:sz w:val="20"/>
                <w:lang w:val="en-GB"/>
              </w:rPr>
              <w:t>5.1)</w:t>
            </w:r>
          </w:p>
        </w:tc>
        <w:tc>
          <w:tcPr>
            <w:tcW w:w="999" w:type="dxa"/>
          </w:tcPr>
          <w:p w14:paraId="1098F333"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&lt; 0.0001</w:t>
            </w:r>
          </w:p>
        </w:tc>
        <w:tc>
          <w:tcPr>
            <w:tcW w:w="999" w:type="dxa"/>
          </w:tcPr>
          <w:p w14:paraId="56B6A1C6"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&lt; 0.0001</w:t>
            </w:r>
          </w:p>
        </w:tc>
      </w:tr>
      <w:tr w:rsidR="00FA4FC4" w:rsidRPr="00EE2E24" w14:paraId="107C528D" w14:textId="77777777" w:rsidTr="004923C5">
        <w:trPr>
          <w:trHeight w:val="1080"/>
        </w:trPr>
        <w:tc>
          <w:tcPr>
            <w:tcW w:w="2405" w:type="dxa"/>
          </w:tcPr>
          <w:p w14:paraId="55876F9D"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Lumbar</w:t>
            </w:r>
            <w:r w:rsidRPr="00EE2E24">
              <w:rPr>
                <w:spacing w:val="-1"/>
                <w:sz w:val="20"/>
                <w:lang w:val="en-GB"/>
              </w:rPr>
              <w:t xml:space="preserve"> </w:t>
            </w:r>
            <w:r w:rsidRPr="00EE2E24">
              <w:rPr>
                <w:sz w:val="20"/>
                <w:lang w:val="en-GB"/>
              </w:rPr>
              <w:t>spine:</w:t>
            </w:r>
          </w:p>
          <w:p w14:paraId="47D1B61F"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BMD Percent change</w:t>
            </w:r>
            <w:r w:rsidRPr="00EE2E24">
              <w:rPr>
                <w:spacing w:val="1"/>
                <w:sz w:val="20"/>
                <w:lang w:val="en-GB"/>
              </w:rPr>
              <w:t xml:space="preserve"> </w:t>
            </w:r>
            <w:r w:rsidRPr="00EE2E24">
              <w:rPr>
                <w:sz w:val="20"/>
                <w:lang w:val="en-GB"/>
              </w:rPr>
              <w:t>from baseline at Month</w:t>
            </w:r>
            <w:r w:rsidRPr="00EE2E24">
              <w:rPr>
                <w:spacing w:val="-54"/>
                <w:sz w:val="20"/>
                <w:lang w:val="en-GB"/>
              </w:rPr>
              <w:t xml:space="preserve"> </w:t>
            </w:r>
            <w:r w:rsidRPr="00EE2E24">
              <w:rPr>
                <w:sz w:val="20"/>
                <w:lang w:val="en-GB"/>
              </w:rPr>
              <w:t>36</w:t>
            </w:r>
            <w:r w:rsidRPr="00EE2E24">
              <w:rPr>
                <w:sz w:val="20"/>
                <w:vertAlign w:val="superscript"/>
                <w:lang w:val="en-GB"/>
              </w:rPr>
              <w:t>a</w:t>
            </w:r>
          </w:p>
        </w:tc>
        <w:tc>
          <w:tcPr>
            <w:tcW w:w="998" w:type="dxa"/>
          </w:tcPr>
          <w:p w14:paraId="5344A62B"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714</w:t>
            </w:r>
          </w:p>
        </w:tc>
        <w:tc>
          <w:tcPr>
            <w:tcW w:w="999" w:type="dxa"/>
          </w:tcPr>
          <w:p w14:paraId="0BA79079"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716</w:t>
            </w:r>
          </w:p>
        </w:tc>
        <w:tc>
          <w:tcPr>
            <w:tcW w:w="999" w:type="dxa"/>
          </w:tcPr>
          <w:p w14:paraId="365E250F"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7.9</w:t>
            </w:r>
          </w:p>
        </w:tc>
        <w:tc>
          <w:tcPr>
            <w:tcW w:w="998" w:type="dxa"/>
          </w:tcPr>
          <w:p w14:paraId="54C085A4"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(7.4,</w:t>
            </w:r>
            <w:r w:rsidRPr="00EE2E24">
              <w:rPr>
                <w:spacing w:val="-1"/>
                <w:sz w:val="20"/>
                <w:lang w:val="en-GB"/>
              </w:rPr>
              <w:t xml:space="preserve"> </w:t>
            </w:r>
            <w:r w:rsidRPr="00EE2E24">
              <w:rPr>
                <w:sz w:val="20"/>
                <w:lang w:val="en-GB"/>
              </w:rPr>
              <w:t>8.4)</w:t>
            </w:r>
          </w:p>
        </w:tc>
        <w:tc>
          <w:tcPr>
            <w:tcW w:w="999" w:type="dxa"/>
          </w:tcPr>
          <w:p w14:paraId="78D3D292"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&lt; 0.0001</w:t>
            </w:r>
          </w:p>
        </w:tc>
        <w:tc>
          <w:tcPr>
            <w:tcW w:w="999" w:type="dxa"/>
          </w:tcPr>
          <w:p w14:paraId="71421DC0"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&lt; 0.0001</w:t>
            </w:r>
          </w:p>
        </w:tc>
      </w:tr>
      <w:tr w:rsidR="00FA4FC4" w:rsidRPr="00EE2E24" w14:paraId="0A250F1A" w14:textId="77777777" w:rsidTr="004923C5">
        <w:trPr>
          <w:trHeight w:val="840"/>
        </w:trPr>
        <w:tc>
          <w:tcPr>
            <w:tcW w:w="2405" w:type="dxa"/>
          </w:tcPr>
          <w:p w14:paraId="0C77B22F"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Femoral neck BMD:</w:t>
            </w:r>
            <w:r w:rsidRPr="00EE2E24">
              <w:rPr>
                <w:spacing w:val="1"/>
                <w:sz w:val="20"/>
                <w:lang w:val="en-GB"/>
              </w:rPr>
              <w:t xml:space="preserve"> </w:t>
            </w:r>
            <w:r w:rsidRPr="00EE2E24">
              <w:rPr>
                <w:sz w:val="20"/>
                <w:lang w:val="en-GB"/>
              </w:rPr>
              <w:t>Percent change from</w:t>
            </w:r>
            <w:r w:rsidRPr="00EE2E24">
              <w:rPr>
                <w:spacing w:val="1"/>
                <w:sz w:val="20"/>
                <w:lang w:val="en-GB"/>
              </w:rPr>
              <w:t xml:space="preserve"> </w:t>
            </w:r>
            <w:r w:rsidRPr="00EE2E24">
              <w:rPr>
                <w:sz w:val="20"/>
                <w:lang w:val="en-GB"/>
              </w:rPr>
              <w:t>baseline</w:t>
            </w:r>
            <w:r w:rsidRPr="00EE2E24">
              <w:rPr>
                <w:spacing w:val="-5"/>
                <w:sz w:val="20"/>
                <w:lang w:val="en-GB"/>
              </w:rPr>
              <w:t xml:space="preserve"> </w:t>
            </w:r>
            <w:r w:rsidRPr="00EE2E24">
              <w:rPr>
                <w:sz w:val="20"/>
                <w:lang w:val="en-GB"/>
              </w:rPr>
              <w:t>at</w:t>
            </w:r>
            <w:r w:rsidRPr="00EE2E24">
              <w:rPr>
                <w:spacing w:val="-5"/>
                <w:sz w:val="20"/>
                <w:lang w:val="en-GB"/>
              </w:rPr>
              <w:t xml:space="preserve"> </w:t>
            </w:r>
            <w:r w:rsidRPr="00EE2E24">
              <w:rPr>
                <w:sz w:val="20"/>
                <w:lang w:val="en-GB"/>
              </w:rPr>
              <w:t>Month</w:t>
            </w:r>
            <w:r w:rsidRPr="00EE2E24">
              <w:rPr>
                <w:spacing w:val="-5"/>
                <w:sz w:val="20"/>
                <w:lang w:val="en-GB"/>
              </w:rPr>
              <w:t xml:space="preserve"> </w:t>
            </w:r>
            <w:r w:rsidRPr="00EE2E24">
              <w:rPr>
                <w:sz w:val="20"/>
                <w:lang w:val="en-GB"/>
              </w:rPr>
              <w:t>36</w:t>
            </w:r>
            <w:r w:rsidRPr="00EE2E24">
              <w:rPr>
                <w:sz w:val="20"/>
                <w:vertAlign w:val="superscript"/>
                <w:lang w:val="en-GB"/>
              </w:rPr>
              <w:t>a</w:t>
            </w:r>
          </w:p>
        </w:tc>
        <w:tc>
          <w:tcPr>
            <w:tcW w:w="998" w:type="dxa"/>
          </w:tcPr>
          <w:p w14:paraId="66FB6913"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701</w:t>
            </w:r>
          </w:p>
        </w:tc>
        <w:tc>
          <w:tcPr>
            <w:tcW w:w="999" w:type="dxa"/>
          </w:tcPr>
          <w:p w14:paraId="55FAD9FD"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706</w:t>
            </w:r>
          </w:p>
        </w:tc>
        <w:tc>
          <w:tcPr>
            <w:tcW w:w="999" w:type="dxa"/>
          </w:tcPr>
          <w:p w14:paraId="1389A1D2"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4.9</w:t>
            </w:r>
          </w:p>
        </w:tc>
        <w:tc>
          <w:tcPr>
            <w:tcW w:w="998" w:type="dxa"/>
          </w:tcPr>
          <w:p w14:paraId="22119FC7"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(4.4,</w:t>
            </w:r>
            <w:r w:rsidRPr="00EE2E24">
              <w:rPr>
                <w:spacing w:val="-1"/>
                <w:sz w:val="20"/>
                <w:lang w:val="en-GB"/>
              </w:rPr>
              <w:t xml:space="preserve"> </w:t>
            </w:r>
            <w:r w:rsidRPr="00EE2E24">
              <w:rPr>
                <w:sz w:val="20"/>
                <w:lang w:val="en-GB"/>
              </w:rPr>
              <w:t>5.4)</w:t>
            </w:r>
          </w:p>
        </w:tc>
        <w:tc>
          <w:tcPr>
            <w:tcW w:w="999" w:type="dxa"/>
          </w:tcPr>
          <w:p w14:paraId="192B4866"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&lt; 0.0001</w:t>
            </w:r>
          </w:p>
        </w:tc>
        <w:tc>
          <w:tcPr>
            <w:tcW w:w="999" w:type="dxa"/>
          </w:tcPr>
          <w:p w14:paraId="2C851FE3"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&lt; 0.0001</w:t>
            </w:r>
          </w:p>
        </w:tc>
      </w:tr>
      <w:tr w:rsidR="00FA4FC4" w:rsidRPr="00EE2E24" w14:paraId="096E65AF" w14:textId="77777777" w:rsidTr="004923C5">
        <w:trPr>
          <w:trHeight w:val="839"/>
        </w:trPr>
        <w:tc>
          <w:tcPr>
            <w:tcW w:w="2405" w:type="dxa"/>
          </w:tcPr>
          <w:p w14:paraId="4AC0FE6F"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Total hip BMD:</w:t>
            </w:r>
            <w:r w:rsidRPr="00EE2E24">
              <w:rPr>
                <w:spacing w:val="1"/>
                <w:sz w:val="20"/>
                <w:lang w:val="en-GB"/>
              </w:rPr>
              <w:t xml:space="preserve"> </w:t>
            </w:r>
            <w:r w:rsidRPr="00EE2E24">
              <w:rPr>
                <w:sz w:val="20"/>
                <w:lang w:val="en-GB"/>
              </w:rPr>
              <w:t>Percent change from</w:t>
            </w:r>
            <w:r w:rsidRPr="00EE2E24">
              <w:rPr>
                <w:spacing w:val="1"/>
                <w:sz w:val="20"/>
                <w:lang w:val="en-GB"/>
              </w:rPr>
              <w:t xml:space="preserve"> </w:t>
            </w:r>
            <w:r w:rsidRPr="00EE2E24">
              <w:rPr>
                <w:sz w:val="20"/>
                <w:lang w:val="en-GB"/>
              </w:rPr>
              <w:t>baseline</w:t>
            </w:r>
            <w:r w:rsidRPr="00EE2E24">
              <w:rPr>
                <w:spacing w:val="-5"/>
                <w:sz w:val="20"/>
                <w:lang w:val="en-GB"/>
              </w:rPr>
              <w:t xml:space="preserve"> </w:t>
            </w:r>
            <w:r w:rsidRPr="00EE2E24">
              <w:rPr>
                <w:sz w:val="20"/>
                <w:lang w:val="en-GB"/>
              </w:rPr>
              <w:t>at</w:t>
            </w:r>
            <w:r w:rsidRPr="00EE2E24">
              <w:rPr>
                <w:spacing w:val="-5"/>
                <w:sz w:val="20"/>
                <w:lang w:val="en-GB"/>
              </w:rPr>
              <w:t xml:space="preserve"> </w:t>
            </w:r>
            <w:r w:rsidRPr="00EE2E24">
              <w:rPr>
                <w:sz w:val="20"/>
                <w:lang w:val="en-GB"/>
              </w:rPr>
              <w:t>Month</w:t>
            </w:r>
            <w:r w:rsidRPr="00EE2E24">
              <w:rPr>
                <w:spacing w:val="-5"/>
                <w:sz w:val="20"/>
                <w:lang w:val="en-GB"/>
              </w:rPr>
              <w:t xml:space="preserve"> </w:t>
            </w:r>
            <w:r w:rsidRPr="00EE2E24">
              <w:rPr>
                <w:sz w:val="20"/>
                <w:lang w:val="en-GB"/>
              </w:rPr>
              <w:t>36</w:t>
            </w:r>
            <w:r w:rsidRPr="00EE2E24">
              <w:rPr>
                <w:sz w:val="20"/>
                <w:vertAlign w:val="superscript"/>
                <w:lang w:val="en-GB"/>
              </w:rPr>
              <w:t>a</w:t>
            </w:r>
          </w:p>
        </w:tc>
        <w:tc>
          <w:tcPr>
            <w:tcW w:w="998" w:type="dxa"/>
          </w:tcPr>
          <w:p w14:paraId="68EDC5AF"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701</w:t>
            </w:r>
          </w:p>
        </w:tc>
        <w:tc>
          <w:tcPr>
            <w:tcW w:w="999" w:type="dxa"/>
          </w:tcPr>
          <w:p w14:paraId="04C5B0DB"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706</w:t>
            </w:r>
          </w:p>
        </w:tc>
        <w:tc>
          <w:tcPr>
            <w:tcW w:w="999" w:type="dxa"/>
          </w:tcPr>
          <w:p w14:paraId="2F1E72B7"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5.7</w:t>
            </w:r>
          </w:p>
        </w:tc>
        <w:tc>
          <w:tcPr>
            <w:tcW w:w="998" w:type="dxa"/>
          </w:tcPr>
          <w:p w14:paraId="3E238FF3"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(5.4,</w:t>
            </w:r>
            <w:r w:rsidRPr="00EE2E24">
              <w:rPr>
                <w:spacing w:val="-1"/>
                <w:sz w:val="20"/>
                <w:lang w:val="en-GB"/>
              </w:rPr>
              <w:t xml:space="preserve"> </w:t>
            </w:r>
            <w:r w:rsidRPr="00EE2E24">
              <w:rPr>
                <w:sz w:val="20"/>
                <w:lang w:val="en-GB"/>
              </w:rPr>
              <w:t>6.1)</w:t>
            </w:r>
          </w:p>
        </w:tc>
        <w:tc>
          <w:tcPr>
            <w:tcW w:w="999" w:type="dxa"/>
          </w:tcPr>
          <w:p w14:paraId="75564354"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&lt; 0.0001</w:t>
            </w:r>
          </w:p>
        </w:tc>
        <w:tc>
          <w:tcPr>
            <w:tcW w:w="999" w:type="dxa"/>
          </w:tcPr>
          <w:p w14:paraId="0961D67E"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&lt; 0.0001</w:t>
            </w:r>
          </w:p>
        </w:tc>
      </w:tr>
      <w:tr w:rsidR="00FA4FC4" w:rsidRPr="00EE2E24" w14:paraId="6844BA8C" w14:textId="77777777" w:rsidTr="004923C5">
        <w:trPr>
          <w:trHeight w:val="840"/>
        </w:trPr>
        <w:tc>
          <w:tcPr>
            <w:tcW w:w="2405" w:type="dxa"/>
          </w:tcPr>
          <w:p w14:paraId="6B3FB01B"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Subject incidence of</w:t>
            </w:r>
            <w:r w:rsidRPr="00EE2E24">
              <w:rPr>
                <w:spacing w:val="1"/>
                <w:sz w:val="20"/>
                <w:lang w:val="en-GB"/>
              </w:rPr>
              <w:t xml:space="preserve"> </w:t>
            </w:r>
            <w:r w:rsidRPr="00EE2E24">
              <w:rPr>
                <w:sz w:val="20"/>
                <w:lang w:val="en-GB"/>
              </w:rPr>
              <w:t>new vertebral fracture</w:t>
            </w:r>
            <w:r w:rsidRPr="00EE2E24">
              <w:rPr>
                <w:spacing w:val="-54"/>
                <w:sz w:val="20"/>
                <w:lang w:val="en-GB"/>
              </w:rPr>
              <w:t xml:space="preserve"> </w:t>
            </w:r>
            <w:r w:rsidRPr="00EE2E24">
              <w:rPr>
                <w:sz w:val="20"/>
                <w:lang w:val="en-GB"/>
              </w:rPr>
              <w:t>through</w:t>
            </w:r>
            <w:r w:rsidRPr="00EE2E24">
              <w:rPr>
                <w:spacing w:val="-2"/>
                <w:sz w:val="20"/>
                <w:lang w:val="en-GB"/>
              </w:rPr>
              <w:t xml:space="preserve"> </w:t>
            </w:r>
            <w:r w:rsidRPr="00EE2E24">
              <w:rPr>
                <w:sz w:val="20"/>
                <w:lang w:val="en-GB"/>
              </w:rPr>
              <w:t>Month</w:t>
            </w:r>
            <w:r w:rsidRPr="00EE2E24">
              <w:rPr>
                <w:spacing w:val="-1"/>
                <w:sz w:val="20"/>
                <w:lang w:val="en-GB"/>
              </w:rPr>
              <w:t xml:space="preserve"> </w:t>
            </w:r>
            <w:r w:rsidRPr="00EE2E24">
              <w:rPr>
                <w:sz w:val="20"/>
                <w:lang w:val="en-GB"/>
              </w:rPr>
              <w:t>36</w:t>
            </w:r>
            <w:r w:rsidRPr="00EE2E24">
              <w:rPr>
                <w:sz w:val="20"/>
                <w:vertAlign w:val="superscript"/>
                <w:lang w:val="en-GB"/>
              </w:rPr>
              <w:t>b,e</w:t>
            </w:r>
          </w:p>
        </w:tc>
        <w:tc>
          <w:tcPr>
            <w:tcW w:w="998" w:type="dxa"/>
          </w:tcPr>
          <w:p w14:paraId="0553EB3B"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1.5%</w:t>
            </w:r>
            <w:r w:rsidRPr="00EE2E24">
              <w:rPr>
                <w:spacing w:val="1"/>
                <w:sz w:val="20"/>
                <w:lang w:val="en-GB"/>
              </w:rPr>
              <w:t xml:space="preserve"> </w:t>
            </w:r>
            <w:r w:rsidRPr="00EE2E24">
              <w:rPr>
                <w:sz w:val="20"/>
                <w:lang w:val="en-GB"/>
              </w:rPr>
              <w:t>(10/679)</w:t>
            </w:r>
          </w:p>
        </w:tc>
        <w:tc>
          <w:tcPr>
            <w:tcW w:w="999" w:type="dxa"/>
          </w:tcPr>
          <w:p w14:paraId="7F73EDCD"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3.9%</w:t>
            </w:r>
            <w:r w:rsidRPr="00EE2E24">
              <w:rPr>
                <w:spacing w:val="1"/>
                <w:sz w:val="20"/>
                <w:lang w:val="en-GB"/>
              </w:rPr>
              <w:t xml:space="preserve"> </w:t>
            </w:r>
            <w:r w:rsidRPr="00EE2E24">
              <w:rPr>
                <w:sz w:val="20"/>
                <w:lang w:val="en-GB"/>
              </w:rPr>
              <w:t>(26/673)</w:t>
            </w:r>
          </w:p>
        </w:tc>
        <w:tc>
          <w:tcPr>
            <w:tcW w:w="999" w:type="dxa"/>
          </w:tcPr>
          <w:p w14:paraId="1D76DA98"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0.37</w:t>
            </w:r>
          </w:p>
        </w:tc>
        <w:tc>
          <w:tcPr>
            <w:tcW w:w="998" w:type="dxa"/>
          </w:tcPr>
          <w:p w14:paraId="73ACBC47"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(0.18,</w:t>
            </w:r>
          </w:p>
          <w:p w14:paraId="44BFDF70"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0.78)</w:t>
            </w:r>
          </w:p>
        </w:tc>
        <w:tc>
          <w:tcPr>
            <w:tcW w:w="999" w:type="dxa"/>
          </w:tcPr>
          <w:p w14:paraId="0FEB980B"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0.0063</w:t>
            </w:r>
          </w:p>
        </w:tc>
        <w:tc>
          <w:tcPr>
            <w:tcW w:w="999" w:type="dxa"/>
          </w:tcPr>
          <w:p w14:paraId="5C3494FE"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0.0125</w:t>
            </w:r>
          </w:p>
        </w:tc>
      </w:tr>
      <w:tr w:rsidR="00FA4FC4" w:rsidRPr="00EE2E24" w14:paraId="13D491CC" w14:textId="77777777" w:rsidTr="004923C5">
        <w:trPr>
          <w:trHeight w:val="839"/>
        </w:trPr>
        <w:tc>
          <w:tcPr>
            <w:tcW w:w="2405" w:type="dxa"/>
          </w:tcPr>
          <w:p w14:paraId="2FB58ABD"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Subject incidence of any</w:t>
            </w:r>
            <w:r w:rsidRPr="00EE2E24">
              <w:rPr>
                <w:spacing w:val="-53"/>
                <w:sz w:val="20"/>
                <w:lang w:val="en-GB"/>
              </w:rPr>
              <w:t xml:space="preserve"> </w:t>
            </w:r>
            <w:r w:rsidRPr="00EE2E24">
              <w:rPr>
                <w:sz w:val="20"/>
                <w:lang w:val="en-GB"/>
              </w:rPr>
              <w:t>fracture through Month</w:t>
            </w:r>
            <w:r w:rsidRPr="00EE2E24">
              <w:rPr>
                <w:spacing w:val="1"/>
                <w:sz w:val="20"/>
                <w:lang w:val="en-GB"/>
              </w:rPr>
              <w:t xml:space="preserve"> </w:t>
            </w:r>
            <w:r w:rsidRPr="00EE2E24">
              <w:rPr>
                <w:sz w:val="20"/>
                <w:lang w:val="en-GB"/>
              </w:rPr>
              <w:t>36</w:t>
            </w:r>
            <w:r w:rsidRPr="00EE2E24">
              <w:rPr>
                <w:sz w:val="20"/>
                <w:vertAlign w:val="superscript"/>
                <w:lang w:val="en-GB"/>
              </w:rPr>
              <w:t>b</w:t>
            </w:r>
          </w:p>
        </w:tc>
        <w:tc>
          <w:tcPr>
            <w:tcW w:w="998" w:type="dxa"/>
          </w:tcPr>
          <w:p w14:paraId="6298547E"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5.2%</w:t>
            </w:r>
            <w:r w:rsidRPr="00EE2E24">
              <w:rPr>
                <w:spacing w:val="1"/>
                <w:sz w:val="20"/>
                <w:lang w:val="en-GB"/>
              </w:rPr>
              <w:t xml:space="preserve"> </w:t>
            </w:r>
            <w:r w:rsidRPr="00EE2E24">
              <w:rPr>
                <w:sz w:val="20"/>
                <w:lang w:val="en-GB"/>
              </w:rPr>
              <w:t>(38/734)</w:t>
            </w:r>
          </w:p>
        </w:tc>
        <w:tc>
          <w:tcPr>
            <w:tcW w:w="999" w:type="dxa"/>
          </w:tcPr>
          <w:p w14:paraId="08EE4BD4"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7.2%</w:t>
            </w:r>
            <w:r w:rsidRPr="00EE2E24">
              <w:rPr>
                <w:spacing w:val="1"/>
                <w:sz w:val="20"/>
                <w:lang w:val="en-GB"/>
              </w:rPr>
              <w:t xml:space="preserve"> </w:t>
            </w:r>
            <w:r w:rsidRPr="00EE2E24">
              <w:rPr>
                <w:sz w:val="20"/>
                <w:lang w:val="en-GB"/>
              </w:rPr>
              <w:t>(53/734)</w:t>
            </w:r>
          </w:p>
        </w:tc>
        <w:tc>
          <w:tcPr>
            <w:tcW w:w="999" w:type="dxa"/>
          </w:tcPr>
          <w:p w14:paraId="38DFC6A1"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0.7</w:t>
            </w:r>
          </w:p>
        </w:tc>
        <w:tc>
          <w:tcPr>
            <w:tcW w:w="998" w:type="dxa"/>
          </w:tcPr>
          <w:p w14:paraId="7BD3D451"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(0.46,</w:t>
            </w:r>
          </w:p>
          <w:p w14:paraId="088532B9"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1.08)</w:t>
            </w:r>
          </w:p>
        </w:tc>
        <w:tc>
          <w:tcPr>
            <w:tcW w:w="999" w:type="dxa"/>
          </w:tcPr>
          <w:p w14:paraId="78F78A17"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0.1048</w:t>
            </w:r>
          </w:p>
        </w:tc>
        <w:tc>
          <w:tcPr>
            <w:tcW w:w="999" w:type="dxa"/>
          </w:tcPr>
          <w:p w14:paraId="4B799EF9"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0.1048</w:t>
            </w:r>
          </w:p>
        </w:tc>
      </w:tr>
      <w:tr w:rsidR="00FA4FC4" w:rsidRPr="00EE2E24" w14:paraId="3805E34B" w14:textId="77777777" w:rsidTr="004923C5">
        <w:trPr>
          <w:trHeight w:val="839"/>
        </w:trPr>
        <w:tc>
          <w:tcPr>
            <w:tcW w:w="2405" w:type="dxa"/>
          </w:tcPr>
          <w:p w14:paraId="5CEA02B1"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Time to first clinical</w:t>
            </w:r>
            <w:r w:rsidRPr="00EE2E24">
              <w:rPr>
                <w:spacing w:val="1"/>
                <w:sz w:val="20"/>
                <w:lang w:val="en-GB"/>
              </w:rPr>
              <w:t xml:space="preserve"> </w:t>
            </w:r>
            <w:r w:rsidRPr="00EE2E24">
              <w:rPr>
                <w:sz w:val="20"/>
                <w:lang w:val="en-GB"/>
              </w:rPr>
              <w:t>fracture through Month</w:t>
            </w:r>
            <w:r w:rsidRPr="00EE2E24">
              <w:rPr>
                <w:spacing w:val="-53"/>
                <w:sz w:val="20"/>
                <w:lang w:val="en-GB"/>
              </w:rPr>
              <w:t xml:space="preserve"> </w:t>
            </w:r>
            <w:r w:rsidRPr="00EE2E24">
              <w:rPr>
                <w:sz w:val="20"/>
                <w:lang w:val="en-GB"/>
              </w:rPr>
              <w:lastRenderedPageBreak/>
              <w:t>36</w:t>
            </w:r>
            <w:r w:rsidRPr="00EE2E24">
              <w:rPr>
                <w:sz w:val="20"/>
                <w:vertAlign w:val="superscript"/>
                <w:lang w:val="en-GB"/>
              </w:rPr>
              <w:t>c</w:t>
            </w:r>
          </w:p>
        </w:tc>
        <w:tc>
          <w:tcPr>
            <w:tcW w:w="998" w:type="dxa"/>
          </w:tcPr>
          <w:p w14:paraId="18763A5D"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lastRenderedPageBreak/>
              <w:t>4.1%</w:t>
            </w:r>
            <w:r w:rsidRPr="00EE2E24">
              <w:rPr>
                <w:spacing w:val="1"/>
                <w:sz w:val="20"/>
                <w:lang w:val="en-GB"/>
              </w:rPr>
              <w:t xml:space="preserve"> </w:t>
            </w:r>
            <w:r w:rsidRPr="00EE2E24">
              <w:rPr>
                <w:sz w:val="20"/>
                <w:lang w:val="en-GB"/>
              </w:rPr>
              <w:t>(30/734)</w:t>
            </w:r>
          </w:p>
        </w:tc>
        <w:tc>
          <w:tcPr>
            <w:tcW w:w="999" w:type="dxa"/>
          </w:tcPr>
          <w:p w14:paraId="0AA9B125"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4.2%</w:t>
            </w:r>
            <w:r w:rsidRPr="00EE2E24">
              <w:rPr>
                <w:spacing w:val="1"/>
                <w:sz w:val="20"/>
                <w:lang w:val="en-GB"/>
              </w:rPr>
              <w:t xml:space="preserve"> </w:t>
            </w:r>
            <w:r w:rsidRPr="00EE2E24">
              <w:rPr>
                <w:sz w:val="20"/>
                <w:lang w:val="en-GB"/>
              </w:rPr>
              <w:t>(31/734)</w:t>
            </w:r>
          </w:p>
        </w:tc>
        <w:tc>
          <w:tcPr>
            <w:tcW w:w="999" w:type="dxa"/>
          </w:tcPr>
          <w:p w14:paraId="2AFD8420"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0.94</w:t>
            </w:r>
          </w:p>
        </w:tc>
        <w:tc>
          <w:tcPr>
            <w:tcW w:w="998" w:type="dxa"/>
          </w:tcPr>
          <w:p w14:paraId="5AC2957E"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(0.57,</w:t>
            </w:r>
          </w:p>
          <w:p w14:paraId="75EDE2C1"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1.55)</w:t>
            </w:r>
          </w:p>
        </w:tc>
        <w:tc>
          <w:tcPr>
            <w:tcW w:w="999" w:type="dxa"/>
          </w:tcPr>
          <w:p w14:paraId="4220FA1A"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Not</w:t>
            </w:r>
            <w:r w:rsidRPr="00EE2E24">
              <w:rPr>
                <w:spacing w:val="1"/>
                <w:sz w:val="20"/>
                <w:lang w:val="en-GB"/>
              </w:rPr>
              <w:t xml:space="preserve"> </w:t>
            </w:r>
            <w:r w:rsidRPr="00EE2E24">
              <w:rPr>
                <w:sz w:val="20"/>
                <w:lang w:val="en-GB"/>
              </w:rPr>
              <w:t>tested</w:t>
            </w:r>
          </w:p>
        </w:tc>
        <w:tc>
          <w:tcPr>
            <w:tcW w:w="999" w:type="dxa"/>
          </w:tcPr>
          <w:p w14:paraId="0627982E"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Not</w:t>
            </w:r>
            <w:r w:rsidRPr="00EE2E24">
              <w:rPr>
                <w:spacing w:val="1"/>
                <w:sz w:val="20"/>
                <w:lang w:val="en-GB"/>
              </w:rPr>
              <w:t xml:space="preserve"> </w:t>
            </w:r>
            <w:r w:rsidRPr="00EE2E24">
              <w:rPr>
                <w:sz w:val="20"/>
                <w:lang w:val="en-GB"/>
              </w:rPr>
              <w:t>tested</w:t>
            </w:r>
          </w:p>
        </w:tc>
      </w:tr>
      <w:tr w:rsidR="00FA4FC4" w:rsidRPr="00EE2E24" w14:paraId="7DDE798B" w14:textId="77777777" w:rsidTr="004923C5">
        <w:trPr>
          <w:trHeight w:val="840"/>
        </w:trPr>
        <w:tc>
          <w:tcPr>
            <w:tcW w:w="2405" w:type="dxa"/>
          </w:tcPr>
          <w:p w14:paraId="54ED9221"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Subject incidence of any</w:t>
            </w:r>
            <w:r w:rsidRPr="00EE2E24">
              <w:rPr>
                <w:spacing w:val="-53"/>
                <w:sz w:val="20"/>
                <w:lang w:val="en-GB"/>
              </w:rPr>
              <w:t xml:space="preserve"> </w:t>
            </w:r>
            <w:r w:rsidRPr="00EE2E24">
              <w:rPr>
                <w:sz w:val="20"/>
                <w:lang w:val="en-GB"/>
              </w:rPr>
              <w:t>fracture through Month</w:t>
            </w:r>
            <w:r w:rsidRPr="00EE2E24">
              <w:rPr>
                <w:spacing w:val="1"/>
                <w:sz w:val="20"/>
                <w:lang w:val="en-GB"/>
              </w:rPr>
              <w:t xml:space="preserve"> </w:t>
            </w:r>
            <w:r w:rsidRPr="00EE2E24">
              <w:rPr>
                <w:sz w:val="20"/>
                <w:lang w:val="en-GB"/>
              </w:rPr>
              <w:t>24</w:t>
            </w:r>
            <w:r w:rsidRPr="00EE2E24">
              <w:rPr>
                <w:sz w:val="20"/>
                <w:vertAlign w:val="superscript"/>
                <w:lang w:val="en-GB"/>
              </w:rPr>
              <w:t>b</w:t>
            </w:r>
          </w:p>
        </w:tc>
        <w:tc>
          <w:tcPr>
            <w:tcW w:w="998" w:type="dxa"/>
          </w:tcPr>
          <w:p w14:paraId="390BECAE"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4.4%</w:t>
            </w:r>
            <w:r w:rsidRPr="00EE2E24">
              <w:rPr>
                <w:spacing w:val="1"/>
                <w:sz w:val="20"/>
                <w:lang w:val="en-GB"/>
              </w:rPr>
              <w:t xml:space="preserve"> </w:t>
            </w:r>
            <w:r w:rsidRPr="00EE2E24">
              <w:rPr>
                <w:sz w:val="20"/>
                <w:lang w:val="en-GB"/>
              </w:rPr>
              <w:t>(32/734)</w:t>
            </w:r>
          </w:p>
        </w:tc>
        <w:tc>
          <w:tcPr>
            <w:tcW w:w="999" w:type="dxa"/>
          </w:tcPr>
          <w:p w14:paraId="1983B03F"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6.1%</w:t>
            </w:r>
            <w:r w:rsidRPr="00EE2E24">
              <w:rPr>
                <w:spacing w:val="1"/>
                <w:sz w:val="20"/>
                <w:lang w:val="en-GB"/>
              </w:rPr>
              <w:t xml:space="preserve"> </w:t>
            </w:r>
            <w:r w:rsidRPr="00EE2E24">
              <w:rPr>
                <w:sz w:val="20"/>
                <w:lang w:val="en-GB"/>
              </w:rPr>
              <w:t>(45/734)</w:t>
            </w:r>
          </w:p>
        </w:tc>
        <w:tc>
          <w:tcPr>
            <w:tcW w:w="999" w:type="dxa"/>
          </w:tcPr>
          <w:p w14:paraId="6C0D1CFA"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0.70</w:t>
            </w:r>
          </w:p>
        </w:tc>
        <w:tc>
          <w:tcPr>
            <w:tcW w:w="998" w:type="dxa"/>
          </w:tcPr>
          <w:p w14:paraId="4E1D9696"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(0.44,</w:t>
            </w:r>
          </w:p>
          <w:p w14:paraId="6026C465"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1.11)</w:t>
            </w:r>
          </w:p>
        </w:tc>
        <w:tc>
          <w:tcPr>
            <w:tcW w:w="999" w:type="dxa"/>
          </w:tcPr>
          <w:p w14:paraId="4A49309B"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Not</w:t>
            </w:r>
            <w:r w:rsidRPr="00EE2E24">
              <w:rPr>
                <w:spacing w:val="1"/>
                <w:sz w:val="20"/>
                <w:lang w:val="en-GB"/>
              </w:rPr>
              <w:t xml:space="preserve"> </w:t>
            </w:r>
            <w:r w:rsidRPr="00EE2E24">
              <w:rPr>
                <w:sz w:val="20"/>
                <w:lang w:val="en-GB"/>
              </w:rPr>
              <w:t>tested</w:t>
            </w:r>
          </w:p>
        </w:tc>
        <w:tc>
          <w:tcPr>
            <w:tcW w:w="999" w:type="dxa"/>
          </w:tcPr>
          <w:p w14:paraId="74DA82F2" w14:textId="77777777" w:rsidR="006E62CD" w:rsidRPr="00EE2E24" w:rsidRDefault="00CB520A" w:rsidP="00D258EC">
            <w:pPr>
              <w:pStyle w:val="TableParagraph"/>
              <w:adjustRightInd w:val="0"/>
              <w:snapToGrid w:val="0"/>
              <w:spacing w:after="60" w:line="360" w:lineRule="auto"/>
              <w:ind w:left="108" w:rightChars="30" w:right="66"/>
              <w:rPr>
                <w:sz w:val="20"/>
                <w:lang w:val="en-GB"/>
              </w:rPr>
            </w:pPr>
            <w:r w:rsidRPr="00EE2E24">
              <w:rPr>
                <w:sz w:val="20"/>
                <w:lang w:val="en-GB"/>
              </w:rPr>
              <w:t>Not</w:t>
            </w:r>
            <w:r w:rsidRPr="00EE2E24">
              <w:rPr>
                <w:spacing w:val="1"/>
                <w:sz w:val="20"/>
                <w:lang w:val="en-GB"/>
              </w:rPr>
              <w:t xml:space="preserve"> </w:t>
            </w:r>
            <w:r w:rsidRPr="00EE2E24">
              <w:rPr>
                <w:sz w:val="20"/>
                <w:lang w:val="en-GB"/>
              </w:rPr>
              <w:t>tested</w:t>
            </w:r>
          </w:p>
        </w:tc>
      </w:tr>
    </w:tbl>
    <w:p w14:paraId="5AE9BE9C" w14:textId="77777777" w:rsidR="006E62CD" w:rsidRPr="00EE2E24" w:rsidRDefault="00CB520A" w:rsidP="00D258EC">
      <w:pPr>
        <w:adjustRightInd w:val="0"/>
        <w:snapToGrid w:val="0"/>
        <w:spacing w:after="120"/>
        <w:ind w:left="108" w:rightChars="30" w:right="66"/>
        <w:contextualSpacing/>
        <w:rPr>
          <w:sz w:val="18"/>
          <w:lang w:val="en-GB"/>
        </w:rPr>
      </w:pPr>
      <w:r w:rsidRPr="00EE2E24">
        <w:rPr>
          <w:sz w:val="18"/>
          <w:lang w:val="en-GB"/>
        </w:rPr>
        <w:t>N = Number of subjects randomised; N1 = Number of subjects analysed; n = Number of subjects with</w:t>
      </w:r>
      <w:r w:rsidRPr="00EE2E24">
        <w:rPr>
          <w:spacing w:val="-47"/>
          <w:sz w:val="18"/>
          <w:lang w:val="en-GB"/>
        </w:rPr>
        <w:t xml:space="preserve"> </w:t>
      </w:r>
      <w:r w:rsidRPr="00EE2E24">
        <w:rPr>
          <w:sz w:val="18"/>
          <w:lang w:val="en-GB"/>
        </w:rPr>
        <w:t>fracture</w:t>
      </w:r>
      <w:r w:rsidRPr="00EE2E24">
        <w:rPr>
          <w:spacing w:val="-1"/>
          <w:sz w:val="18"/>
          <w:lang w:val="en-GB"/>
        </w:rPr>
        <w:t xml:space="preserve"> </w:t>
      </w:r>
      <w:r w:rsidRPr="00EE2E24">
        <w:rPr>
          <w:sz w:val="18"/>
          <w:lang w:val="en-GB"/>
        </w:rPr>
        <w:t>events.</w:t>
      </w:r>
    </w:p>
    <w:p w14:paraId="54423CEA" w14:textId="77777777" w:rsidR="006E62CD" w:rsidRPr="00EE2E24" w:rsidRDefault="00CB520A" w:rsidP="00D258EC">
      <w:pPr>
        <w:adjustRightInd w:val="0"/>
        <w:snapToGrid w:val="0"/>
        <w:spacing w:after="120"/>
        <w:ind w:left="108" w:rightChars="30" w:right="66"/>
        <w:contextualSpacing/>
        <w:rPr>
          <w:sz w:val="18"/>
          <w:lang w:val="en-GB"/>
        </w:rPr>
      </w:pPr>
      <w:r w:rsidRPr="00EE2E24">
        <w:rPr>
          <w:position w:val="6"/>
          <w:sz w:val="12"/>
          <w:lang w:val="en-GB"/>
        </w:rPr>
        <w:t>a</w:t>
      </w:r>
      <w:r w:rsidRPr="00EE2E24">
        <w:rPr>
          <w:spacing w:val="1"/>
          <w:position w:val="6"/>
          <w:sz w:val="12"/>
          <w:lang w:val="en-GB"/>
        </w:rPr>
        <w:t xml:space="preserve"> </w:t>
      </w:r>
      <w:r w:rsidRPr="00EE2E24">
        <w:rPr>
          <w:sz w:val="18"/>
          <w:lang w:val="en-GB"/>
        </w:rPr>
        <w:t>Difference from placebo based on ANCOVA model adjusting for age group, ADT duration at study entry,</w:t>
      </w:r>
      <w:r w:rsidRPr="00EE2E24">
        <w:rPr>
          <w:spacing w:val="-47"/>
          <w:sz w:val="18"/>
          <w:lang w:val="en-GB"/>
        </w:rPr>
        <w:t xml:space="preserve"> </w:t>
      </w:r>
      <w:r w:rsidRPr="00EE2E24">
        <w:rPr>
          <w:sz w:val="18"/>
          <w:lang w:val="en-GB"/>
        </w:rPr>
        <w:t>baseline</w:t>
      </w:r>
      <w:r w:rsidRPr="00EE2E24">
        <w:rPr>
          <w:spacing w:val="-1"/>
          <w:sz w:val="18"/>
          <w:lang w:val="en-GB"/>
        </w:rPr>
        <w:t xml:space="preserve"> </w:t>
      </w:r>
      <w:r w:rsidRPr="00EE2E24">
        <w:rPr>
          <w:sz w:val="18"/>
          <w:lang w:val="en-GB"/>
        </w:rPr>
        <w:t>value,</w:t>
      </w:r>
      <w:r w:rsidRPr="00EE2E24">
        <w:rPr>
          <w:spacing w:val="1"/>
          <w:sz w:val="18"/>
          <w:lang w:val="en-GB"/>
        </w:rPr>
        <w:t xml:space="preserve"> </w:t>
      </w:r>
      <w:r w:rsidRPr="00EE2E24">
        <w:rPr>
          <w:sz w:val="18"/>
          <w:lang w:val="en-GB"/>
        </w:rPr>
        <w:t>machine type, and baseline</w:t>
      </w:r>
      <w:r w:rsidRPr="00EE2E24">
        <w:rPr>
          <w:spacing w:val="-1"/>
          <w:sz w:val="18"/>
          <w:lang w:val="en-GB"/>
        </w:rPr>
        <w:t xml:space="preserve"> </w:t>
      </w:r>
      <w:r w:rsidRPr="00EE2E24">
        <w:rPr>
          <w:sz w:val="18"/>
          <w:lang w:val="en-GB"/>
        </w:rPr>
        <w:t>value-by</w:t>
      </w:r>
      <w:r w:rsidRPr="00EE2E24">
        <w:rPr>
          <w:spacing w:val="-1"/>
          <w:sz w:val="18"/>
          <w:lang w:val="en-GB"/>
        </w:rPr>
        <w:t xml:space="preserve"> </w:t>
      </w:r>
      <w:r w:rsidRPr="00EE2E24">
        <w:rPr>
          <w:sz w:val="18"/>
          <w:lang w:val="en-GB"/>
        </w:rPr>
        <w:t>-machine</w:t>
      </w:r>
      <w:r w:rsidRPr="00EE2E24">
        <w:rPr>
          <w:spacing w:val="-1"/>
          <w:sz w:val="18"/>
          <w:lang w:val="en-GB"/>
        </w:rPr>
        <w:t xml:space="preserve"> </w:t>
      </w:r>
      <w:r w:rsidRPr="00EE2E24">
        <w:rPr>
          <w:sz w:val="18"/>
          <w:lang w:val="en-GB"/>
        </w:rPr>
        <w:t>type</w:t>
      </w:r>
      <w:r w:rsidRPr="00EE2E24">
        <w:rPr>
          <w:spacing w:val="-1"/>
          <w:sz w:val="18"/>
          <w:lang w:val="en-GB"/>
        </w:rPr>
        <w:t xml:space="preserve"> </w:t>
      </w:r>
      <w:r w:rsidRPr="00EE2E24">
        <w:rPr>
          <w:sz w:val="18"/>
          <w:lang w:val="en-GB"/>
        </w:rPr>
        <w:t>interaction.</w:t>
      </w:r>
    </w:p>
    <w:p w14:paraId="0C27B979" w14:textId="77777777" w:rsidR="006E62CD" w:rsidRPr="00EE2E24" w:rsidRDefault="00CB520A" w:rsidP="00D258EC">
      <w:pPr>
        <w:adjustRightInd w:val="0"/>
        <w:snapToGrid w:val="0"/>
        <w:spacing w:after="120"/>
        <w:ind w:left="108" w:rightChars="30" w:right="66"/>
        <w:contextualSpacing/>
        <w:rPr>
          <w:sz w:val="18"/>
          <w:lang w:val="en-GB"/>
        </w:rPr>
      </w:pPr>
      <w:r w:rsidRPr="00EE2E24">
        <w:rPr>
          <w:position w:val="6"/>
          <w:sz w:val="12"/>
          <w:lang w:val="en-GB"/>
        </w:rPr>
        <w:t>b</w:t>
      </w:r>
      <w:r w:rsidRPr="00EE2E24">
        <w:rPr>
          <w:spacing w:val="1"/>
          <w:position w:val="6"/>
          <w:sz w:val="12"/>
          <w:lang w:val="en-GB"/>
        </w:rPr>
        <w:t xml:space="preserve"> </w:t>
      </w:r>
      <w:r w:rsidRPr="00EE2E24">
        <w:rPr>
          <w:sz w:val="18"/>
          <w:lang w:val="en-GB"/>
        </w:rPr>
        <w:t>Odds ratio relative to placebo based on logistic regression model adjusting for the stratification variables of</w:t>
      </w:r>
      <w:r w:rsidRPr="00EE2E24">
        <w:rPr>
          <w:spacing w:val="-47"/>
          <w:sz w:val="18"/>
          <w:lang w:val="en-GB"/>
        </w:rPr>
        <w:t xml:space="preserve"> </w:t>
      </w:r>
      <w:r w:rsidRPr="00EE2E24">
        <w:rPr>
          <w:sz w:val="18"/>
          <w:lang w:val="en-GB"/>
        </w:rPr>
        <w:t>age</w:t>
      </w:r>
      <w:r w:rsidRPr="00EE2E24">
        <w:rPr>
          <w:spacing w:val="-1"/>
          <w:sz w:val="18"/>
          <w:lang w:val="en-GB"/>
        </w:rPr>
        <w:t xml:space="preserve"> </w:t>
      </w:r>
      <w:r w:rsidRPr="00EE2E24">
        <w:rPr>
          <w:sz w:val="18"/>
          <w:lang w:val="en-GB"/>
        </w:rPr>
        <w:t>group and ADT duration at study entry.</w:t>
      </w:r>
    </w:p>
    <w:p w14:paraId="6E174CEF" w14:textId="526031F2" w:rsidR="006E62CD" w:rsidRPr="00EE2E24" w:rsidRDefault="00CB520A" w:rsidP="00D258EC">
      <w:pPr>
        <w:adjustRightInd w:val="0"/>
        <w:snapToGrid w:val="0"/>
        <w:spacing w:after="120"/>
        <w:ind w:left="108" w:rightChars="30" w:right="66"/>
        <w:contextualSpacing/>
        <w:rPr>
          <w:sz w:val="3"/>
          <w:lang w:val="en-GB"/>
        </w:rPr>
      </w:pPr>
      <w:r w:rsidRPr="00EE2E24">
        <w:rPr>
          <w:position w:val="6"/>
          <w:sz w:val="12"/>
          <w:lang w:val="en-GB"/>
        </w:rPr>
        <w:t>c</w:t>
      </w:r>
      <w:r w:rsidRPr="00EE2E24">
        <w:rPr>
          <w:spacing w:val="16"/>
          <w:position w:val="6"/>
          <w:sz w:val="12"/>
          <w:lang w:val="en-GB"/>
        </w:rPr>
        <w:t xml:space="preserve"> </w:t>
      </w:r>
      <w:r w:rsidRPr="00EE2E24">
        <w:rPr>
          <w:sz w:val="18"/>
          <w:lang w:val="en-GB"/>
        </w:rPr>
        <w:t>Hazard</w:t>
      </w:r>
      <w:r w:rsidRPr="00EE2E24">
        <w:rPr>
          <w:spacing w:val="-1"/>
          <w:sz w:val="18"/>
          <w:lang w:val="en-GB"/>
        </w:rPr>
        <w:t xml:space="preserve"> </w:t>
      </w:r>
      <w:r w:rsidRPr="00EE2E24">
        <w:rPr>
          <w:sz w:val="18"/>
          <w:lang w:val="en-GB"/>
        </w:rPr>
        <w:t>ratio</w:t>
      </w:r>
      <w:r w:rsidRPr="00EE2E24">
        <w:rPr>
          <w:spacing w:val="-1"/>
          <w:sz w:val="18"/>
          <w:lang w:val="en-GB"/>
        </w:rPr>
        <w:t xml:space="preserve"> </w:t>
      </w:r>
      <w:r w:rsidRPr="00EE2E24">
        <w:rPr>
          <w:sz w:val="18"/>
          <w:lang w:val="en-GB"/>
        </w:rPr>
        <w:t>relative to</w:t>
      </w:r>
      <w:r w:rsidRPr="00EE2E24">
        <w:rPr>
          <w:spacing w:val="-1"/>
          <w:sz w:val="18"/>
          <w:lang w:val="en-GB"/>
        </w:rPr>
        <w:t xml:space="preserve"> </w:t>
      </w:r>
      <w:r w:rsidRPr="00EE2E24">
        <w:rPr>
          <w:sz w:val="18"/>
          <w:lang w:val="en-GB"/>
        </w:rPr>
        <w:t>placebo</w:t>
      </w:r>
      <w:r w:rsidRPr="00EE2E24">
        <w:rPr>
          <w:spacing w:val="-1"/>
          <w:sz w:val="18"/>
          <w:lang w:val="en-GB"/>
        </w:rPr>
        <w:t xml:space="preserve"> </w:t>
      </w:r>
      <w:r w:rsidRPr="00EE2E24">
        <w:rPr>
          <w:sz w:val="18"/>
          <w:lang w:val="en-GB"/>
        </w:rPr>
        <w:t>based on</w:t>
      </w:r>
      <w:r w:rsidRPr="00EE2E24">
        <w:rPr>
          <w:spacing w:val="-2"/>
          <w:sz w:val="18"/>
          <w:lang w:val="en-GB"/>
        </w:rPr>
        <w:t xml:space="preserve"> </w:t>
      </w:r>
      <w:r w:rsidRPr="00EE2E24">
        <w:rPr>
          <w:sz w:val="18"/>
          <w:lang w:val="en-GB"/>
        </w:rPr>
        <w:t>Cox</w:t>
      </w:r>
      <w:r w:rsidRPr="00EE2E24">
        <w:rPr>
          <w:spacing w:val="-1"/>
          <w:sz w:val="18"/>
          <w:lang w:val="en-GB"/>
        </w:rPr>
        <w:t xml:space="preserve"> </w:t>
      </w:r>
      <w:r w:rsidRPr="00EE2E24">
        <w:rPr>
          <w:sz w:val="18"/>
          <w:lang w:val="en-GB"/>
        </w:rPr>
        <w:t>proportional</w:t>
      </w:r>
      <w:r w:rsidRPr="00EE2E24">
        <w:rPr>
          <w:spacing w:val="-1"/>
          <w:sz w:val="18"/>
          <w:lang w:val="en-GB"/>
        </w:rPr>
        <w:t xml:space="preserve"> </w:t>
      </w:r>
      <w:r w:rsidRPr="00EE2E24">
        <w:rPr>
          <w:sz w:val="18"/>
          <w:lang w:val="en-GB"/>
        </w:rPr>
        <w:t>hazards</w:t>
      </w:r>
      <w:r w:rsidRPr="00EE2E24">
        <w:rPr>
          <w:spacing w:val="-1"/>
          <w:sz w:val="18"/>
          <w:lang w:val="en-GB"/>
        </w:rPr>
        <w:t xml:space="preserve"> </w:t>
      </w:r>
      <w:r w:rsidRPr="00EE2E24">
        <w:rPr>
          <w:sz w:val="18"/>
          <w:lang w:val="en-GB"/>
        </w:rPr>
        <w:t>model</w:t>
      </w:r>
      <w:r w:rsidRPr="00EE2E24">
        <w:rPr>
          <w:spacing w:val="-1"/>
          <w:sz w:val="18"/>
          <w:lang w:val="en-GB"/>
        </w:rPr>
        <w:t xml:space="preserve"> </w:t>
      </w:r>
      <w:r w:rsidRPr="00EE2E24">
        <w:rPr>
          <w:sz w:val="18"/>
          <w:lang w:val="en-GB"/>
        </w:rPr>
        <w:t>stratified by</w:t>
      </w:r>
      <w:r w:rsidRPr="00EE2E24">
        <w:rPr>
          <w:spacing w:val="-1"/>
          <w:sz w:val="18"/>
          <w:lang w:val="en-GB"/>
        </w:rPr>
        <w:t xml:space="preserve"> </w:t>
      </w:r>
      <w:r w:rsidRPr="00EE2E24">
        <w:rPr>
          <w:sz w:val="18"/>
          <w:lang w:val="en-GB"/>
        </w:rPr>
        <w:t>the</w:t>
      </w:r>
      <w:r w:rsidRPr="00EE2E24">
        <w:rPr>
          <w:spacing w:val="-1"/>
          <w:sz w:val="18"/>
          <w:lang w:val="en-GB"/>
        </w:rPr>
        <w:t xml:space="preserve"> </w:t>
      </w:r>
      <w:r w:rsidRPr="00EE2E24">
        <w:rPr>
          <w:sz w:val="18"/>
          <w:lang w:val="en-GB"/>
        </w:rPr>
        <w:t>stratification</w:t>
      </w:r>
      <w:r w:rsidRPr="00EE2E24">
        <w:rPr>
          <w:spacing w:val="-47"/>
          <w:sz w:val="18"/>
          <w:lang w:val="en-GB"/>
        </w:rPr>
        <w:t xml:space="preserve"> </w:t>
      </w:r>
      <w:r w:rsidRPr="00EE2E24">
        <w:rPr>
          <w:sz w:val="18"/>
          <w:lang w:val="en-GB"/>
        </w:rPr>
        <w:t>variables</w:t>
      </w:r>
      <w:r w:rsidRPr="00EE2E24">
        <w:rPr>
          <w:spacing w:val="-1"/>
          <w:sz w:val="18"/>
          <w:lang w:val="en-GB"/>
        </w:rPr>
        <w:t xml:space="preserve"> </w:t>
      </w:r>
      <w:r w:rsidRPr="00EE2E24">
        <w:rPr>
          <w:sz w:val="18"/>
          <w:lang w:val="en-GB"/>
        </w:rPr>
        <w:t>of age group and ADT duration at study entry.</w:t>
      </w:r>
    </w:p>
    <w:p w14:paraId="0EEF56DA" w14:textId="77777777" w:rsidR="006E62CD" w:rsidRPr="00EE2E24" w:rsidRDefault="00CB520A" w:rsidP="00D258EC">
      <w:pPr>
        <w:adjustRightInd w:val="0"/>
        <w:snapToGrid w:val="0"/>
        <w:spacing w:after="120"/>
        <w:ind w:left="108" w:rightChars="30" w:right="66"/>
        <w:contextualSpacing/>
        <w:rPr>
          <w:sz w:val="18"/>
          <w:lang w:val="en-GB"/>
        </w:rPr>
      </w:pPr>
      <w:r w:rsidRPr="00EE2E24">
        <w:rPr>
          <w:position w:val="6"/>
          <w:sz w:val="12"/>
          <w:lang w:val="en-GB"/>
        </w:rPr>
        <w:t>d</w:t>
      </w:r>
      <w:r w:rsidRPr="00EE2E24">
        <w:rPr>
          <w:spacing w:val="1"/>
          <w:position w:val="6"/>
          <w:sz w:val="12"/>
          <w:lang w:val="en-GB"/>
        </w:rPr>
        <w:t xml:space="preserve"> </w:t>
      </w:r>
      <w:r w:rsidRPr="00EE2E24">
        <w:rPr>
          <w:sz w:val="18"/>
          <w:lang w:val="en-GB"/>
        </w:rPr>
        <w:t>P-values for the primary and secondary endpoints are adjusted for multiplicity according to a pre-specified</w:t>
      </w:r>
      <w:r w:rsidRPr="00EE2E24">
        <w:rPr>
          <w:spacing w:val="-47"/>
          <w:sz w:val="18"/>
          <w:lang w:val="en-GB"/>
        </w:rPr>
        <w:t xml:space="preserve"> </w:t>
      </w:r>
      <w:r w:rsidRPr="00EE2E24">
        <w:rPr>
          <w:sz w:val="18"/>
          <w:lang w:val="en-GB"/>
        </w:rPr>
        <w:t>sequential testing strategy.</w:t>
      </w:r>
      <w:r w:rsidRPr="00EE2E24">
        <w:rPr>
          <w:spacing w:val="1"/>
          <w:sz w:val="18"/>
          <w:lang w:val="en-GB"/>
        </w:rPr>
        <w:t xml:space="preserve"> </w:t>
      </w:r>
      <w:r w:rsidRPr="00EE2E24">
        <w:rPr>
          <w:sz w:val="18"/>
          <w:lang w:val="en-GB"/>
        </w:rPr>
        <w:t>Subject incidence of any fracture through month 36 did not reach significance;</w:t>
      </w:r>
      <w:r w:rsidRPr="00EE2E24">
        <w:rPr>
          <w:spacing w:val="-47"/>
          <w:sz w:val="18"/>
          <w:lang w:val="en-GB"/>
        </w:rPr>
        <w:t xml:space="preserve"> </w:t>
      </w:r>
      <w:r w:rsidRPr="00EE2E24">
        <w:rPr>
          <w:sz w:val="18"/>
          <w:lang w:val="en-GB"/>
        </w:rPr>
        <w:t>therefore no further testing was performed for time to first clinical fracture through month 36 and subject</w:t>
      </w:r>
      <w:r w:rsidRPr="00EE2E24">
        <w:rPr>
          <w:spacing w:val="1"/>
          <w:sz w:val="18"/>
          <w:lang w:val="en-GB"/>
        </w:rPr>
        <w:t xml:space="preserve"> </w:t>
      </w:r>
      <w:r w:rsidRPr="00EE2E24">
        <w:rPr>
          <w:sz w:val="18"/>
          <w:lang w:val="en-GB"/>
        </w:rPr>
        <w:t>incidence</w:t>
      </w:r>
      <w:r w:rsidRPr="00EE2E24">
        <w:rPr>
          <w:spacing w:val="-1"/>
          <w:sz w:val="18"/>
          <w:lang w:val="en-GB"/>
        </w:rPr>
        <w:t xml:space="preserve"> </w:t>
      </w:r>
      <w:r w:rsidRPr="00EE2E24">
        <w:rPr>
          <w:sz w:val="18"/>
          <w:lang w:val="en-GB"/>
        </w:rPr>
        <w:t>of any fracture</w:t>
      </w:r>
      <w:r w:rsidRPr="00EE2E24">
        <w:rPr>
          <w:spacing w:val="-1"/>
          <w:sz w:val="18"/>
          <w:lang w:val="en-GB"/>
        </w:rPr>
        <w:t xml:space="preserve"> </w:t>
      </w:r>
      <w:r w:rsidRPr="00EE2E24">
        <w:rPr>
          <w:sz w:val="18"/>
          <w:lang w:val="en-GB"/>
        </w:rPr>
        <w:t>through</w:t>
      </w:r>
      <w:r w:rsidRPr="00EE2E24">
        <w:rPr>
          <w:spacing w:val="-1"/>
          <w:sz w:val="18"/>
          <w:lang w:val="en-GB"/>
        </w:rPr>
        <w:t xml:space="preserve"> </w:t>
      </w:r>
      <w:r w:rsidRPr="00EE2E24">
        <w:rPr>
          <w:sz w:val="18"/>
          <w:lang w:val="en-GB"/>
        </w:rPr>
        <w:t>month 24.</w:t>
      </w:r>
    </w:p>
    <w:p w14:paraId="0EE39D93" w14:textId="77777777" w:rsidR="006E62CD" w:rsidRPr="00EE2E24" w:rsidRDefault="00CB520A" w:rsidP="00D258EC">
      <w:pPr>
        <w:adjustRightInd w:val="0"/>
        <w:snapToGrid w:val="0"/>
        <w:spacing w:after="120"/>
        <w:ind w:left="108" w:rightChars="30" w:right="66"/>
        <w:contextualSpacing/>
        <w:rPr>
          <w:sz w:val="18"/>
          <w:lang w:val="en-GB"/>
        </w:rPr>
      </w:pPr>
      <w:r w:rsidRPr="00EE2E24">
        <w:rPr>
          <w:position w:val="6"/>
          <w:sz w:val="12"/>
          <w:lang w:val="en-GB"/>
        </w:rPr>
        <w:t>e</w:t>
      </w:r>
      <w:r w:rsidRPr="00EE2E24">
        <w:rPr>
          <w:spacing w:val="10"/>
          <w:position w:val="6"/>
          <w:sz w:val="12"/>
          <w:lang w:val="en-GB"/>
        </w:rPr>
        <w:t xml:space="preserve"> </w:t>
      </w:r>
      <w:r w:rsidRPr="00EE2E24">
        <w:rPr>
          <w:sz w:val="18"/>
          <w:lang w:val="en-GB"/>
        </w:rPr>
        <w:t>Only</w:t>
      </w:r>
      <w:r w:rsidRPr="00EE2E24">
        <w:rPr>
          <w:spacing w:val="-1"/>
          <w:sz w:val="18"/>
          <w:lang w:val="en-GB"/>
        </w:rPr>
        <w:t xml:space="preserve"> </w:t>
      </w:r>
      <w:r w:rsidRPr="00EE2E24">
        <w:rPr>
          <w:sz w:val="18"/>
          <w:lang w:val="en-GB"/>
        </w:rPr>
        <w:t>subjects</w:t>
      </w:r>
      <w:r w:rsidRPr="00EE2E24">
        <w:rPr>
          <w:spacing w:val="-1"/>
          <w:sz w:val="18"/>
          <w:lang w:val="en-GB"/>
        </w:rPr>
        <w:t xml:space="preserve"> </w:t>
      </w:r>
      <w:r w:rsidRPr="00EE2E24">
        <w:rPr>
          <w:sz w:val="18"/>
          <w:lang w:val="en-GB"/>
        </w:rPr>
        <w:t>with a</w:t>
      </w:r>
      <w:r w:rsidRPr="00EE2E24">
        <w:rPr>
          <w:spacing w:val="-1"/>
          <w:sz w:val="18"/>
          <w:lang w:val="en-GB"/>
        </w:rPr>
        <w:t xml:space="preserve"> </w:t>
      </w:r>
      <w:r w:rsidRPr="00EE2E24">
        <w:rPr>
          <w:sz w:val="18"/>
          <w:lang w:val="en-GB"/>
        </w:rPr>
        <w:t>non-missing</w:t>
      </w:r>
      <w:r w:rsidRPr="00EE2E24">
        <w:rPr>
          <w:spacing w:val="-1"/>
          <w:sz w:val="18"/>
          <w:lang w:val="en-GB"/>
        </w:rPr>
        <w:t xml:space="preserve"> </w:t>
      </w:r>
      <w:r w:rsidRPr="00EE2E24">
        <w:rPr>
          <w:sz w:val="18"/>
          <w:lang w:val="en-GB"/>
        </w:rPr>
        <w:t>baseline and</w:t>
      </w:r>
      <w:r w:rsidRPr="00EE2E24">
        <w:rPr>
          <w:spacing w:val="-1"/>
          <w:sz w:val="18"/>
          <w:lang w:val="en-GB"/>
        </w:rPr>
        <w:t xml:space="preserve"> </w:t>
      </w:r>
      <w:r w:rsidRPr="00EE2E24">
        <w:rPr>
          <w:sz w:val="18"/>
          <w:lang w:val="en-GB"/>
        </w:rPr>
        <w:t>≥</w:t>
      </w:r>
      <w:r w:rsidRPr="00EE2E24">
        <w:rPr>
          <w:spacing w:val="-1"/>
          <w:sz w:val="18"/>
          <w:lang w:val="en-GB"/>
        </w:rPr>
        <w:t xml:space="preserve"> </w:t>
      </w:r>
      <w:r w:rsidRPr="00EE2E24">
        <w:rPr>
          <w:sz w:val="18"/>
          <w:lang w:val="en-GB"/>
        </w:rPr>
        <w:t>1</w:t>
      </w:r>
      <w:r w:rsidRPr="00EE2E24">
        <w:rPr>
          <w:spacing w:val="-1"/>
          <w:sz w:val="18"/>
          <w:lang w:val="en-GB"/>
        </w:rPr>
        <w:t xml:space="preserve"> </w:t>
      </w:r>
      <w:r w:rsidRPr="00EE2E24">
        <w:rPr>
          <w:sz w:val="18"/>
          <w:lang w:val="en-GB"/>
        </w:rPr>
        <w:t>post baseline</w:t>
      </w:r>
      <w:r w:rsidRPr="00EE2E24">
        <w:rPr>
          <w:spacing w:val="-1"/>
          <w:sz w:val="18"/>
          <w:lang w:val="en-GB"/>
        </w:rPr>
        <w:t xml:space="preserve"> </w:t>
      </w:r>
      <w:r w:rsidRPr="00EE2E24">
        <w:rPr>
          <w:sz w:val="18"/>
          <w:lang w:val="en-GB"/>
        </w:rPr>
        <w:t>assessment</w:t>
      </w:r>
      <w:r w:rsidRPr="00EE2E24">
        <w:rPr>
          <w:spacing w:val="-1"/>
          <w:sz w:val="18"/>
          <w:lang w:val="en-GB"/>
        </w:rPr>
        <w:t xml:space="preserve"> </w:t>
      </w:r>
      <w:r w:rsidRPr="00EE2E24">
        <w:rPr>
          <w:sz w:val="18"/>
          <w:lang w:val="en-GB"/>
        </w:rPr>
        <w:t>were included.</w:t>
      </w:r>
    </w:p>
    <w:p w14:paraId="4D20C29B" w14:textId="0E861391" w:rsidR="006E62CD" w:rsidRPr="00EE2E24" w:rsidRDefault="00E54398" w:rsidP="00D258EC">
      <w:pPr>
        <w:pStyle w:val="BodyText"/>
        <w:adjustRightInd w:val="0"/>
        <w:snapToGrid w:val="0"/>
        <w:spacing w:before="60" w:after="60" w:line="360" w:lineRule="auto"/>
        <w:ind w:left="108" w:rightChars="30" w:right="66"/>
        <w:rPr>
          <w:lang w:val="en-GB"/>
        </w:rPr>
      </w:pPr>
      <w:r>
        <w:rPr>
          <w:lang w:val="en-GB"/>
        </w:rPr>
        <w:t>Denosumab</w:t>
      </w:r>
      <w:r w:rsidR="00660140" w:rsidRPr="003444E8">
        <w:rPr>
          <w:lang w:val="en-GB"/>
        </w:rPr>
        <w:t xml:space="preserve"> </w:t>
      </w:r>
      <w:r w:rsidR="00CB520A" w:rsidRPr="00EE2E24">
        <w:rPr>
          <w:lang w:val="en-GB"/>
        </w:rPr>
        <w:t>significantly</w:t>
      </w:r>
      <w:r w:rsidR="00CB520A" w:rsidRPr="00F53BC2">
        <w:rPr>
          <w:lang w:val="en-GB"/>
        </w:rPr>
        <w:t xml:space="preserve"> </w:t>
      </w:r>
      <w:r w:rsidR="00CB520A" w:rsidRPr="00EE2E24">
        <w:rPr>
          <w:lang w:val="en-GB"/>
        </w:rPr>
        <w:t>increased</w:t>
      </w:r>
      <w:r w:rsidR="00CB520A" w:rsidRPr="00F53BC2">
        <w:rPr>
          <w:lang w:val="en-GB"/>
        </w:rPr>
        <w:t xml:space="preserve"> </w:t>
      </w:r>
      <w:r w:rsidR="00CB520A" w:rsidRPr="00EE2E24">
        <w:rPr>
          <w:lang w:val="en-GB"/>
        </w:rPr>
        <w:t>BMD</w:t>
      </w:r>
      <w:r w:rsidR="00CB520A" w:rsidRPr="00F53BC2">
        <w:rPr>
          <w:lang w:val="en-GB"/>
        </w:rPr>
        <w:t xml:space="preserve"> </w:t>
      </w:r>
      <w:r w:rsidR="00CB520A" w:rsidRPr="00EE2E24">
        <w:rPr>
          <w:lang w:val="en-GB"/>
        </w:rPr>
        <w:t>at</w:t>
      </w:r>
      <w:r w:rsidR="00CB520A" w:rsidRPr="00F53BC2">
        <w:rPr>
          <w:lang w:val="en-GB"/>
        </w:rPr>
        <w:t xml:space="preserve"> </w:t>
      </w:r>
      <w:r w:rsidR="00CB520A" w:rsidRPr="00EE2E24">
        <w:rPr>
          <w:lang w:val="en-GB"/>
        </w:rPr>
        <w:t>all</w:t>
      </w:r>
      <w:r w:rsidR="00CB520A" w:rsidRPr="00F53BC2">
        <w:rPr>
          <w:lang w:val="en-GB"/>
        </w:rPr>
        <w:t xml:space="preserve"> </w:t>
      </w:r>
      <w:r w:rsidR="00CB520A" w:rsidRPr="00EE2E24">
        <w:rPr>
          <w:lang w:val="en-GB"/>
        </w:rPr>
        <w:t>clinical</w:t>
      </w:r>
      <w:r w:rsidR="00CB520A" w:rsidRPr="00F53BC2">
        <w:rPr>
          <w:lang w:val="en-GB"/>
        </w:rPr>
        <w:t xml:space="preserve"> </w:t>
      </w:r>
      <w:r w:rsidR="00CB520A" w:rsidRPr="00EE2E24">
        <w:rPr>
          <w:lang w:val="en-GB"/>
        </w:rPr>
        <w:t>sites</w:t>
      </w:r>
      <w:r w:rsidR="00CB520A" w:rsidRPr="00F53BC2">
        <w:rPr>
          <w:lang w:val="en-GB"/>
        </w:rPr>
        <w:t xml:space="preserve"> </w:t>
      </w:r>
      <w:r w:rsidR="00CB520A" w:rsidRPr="00EE2E24">
        <w:rPr>
          <w:lang w:val="en-GB"/>
        </w:rPr>
        <w:t>measured,</w:t>
      </w:r>
      <w:r w:rsidR="00CB520A" w:rsidRPr="00F53BC2">
        <w:rPr>
          <w:lang w:val="en-GB"/>
        </w:rPr>
        <w:t xml:space="preserve"> </w:t>
      </w:r>
      <w:r w:rsidR="00CB520A" w:rsidRPr="00EE2E24">
        <w:rPr>
          <w:lang w:val="en-GB"/>
        </w:rPr>
        <w:t>relative</w:t>
      </w:r>
      <w:r w:rsidR="00CB520A" w:rsidRPr="00F53BC2">
        <w:rPr>
          <w:lang w:val="en-GB"/>
        </w:rPr>
        <w:t xml:space="preserve"> </w:t>
      </w:r>
      <w:r w:rsidR="00CB520A" w:rsidRPr="00EE2E24">
        <w:rPr>
          <w:lang w:val="en-GB"/>
        </w:rPr>
        <w:t>to</w:t>
      </w:r>
      <w:r w:rsidR="00CB520A" w:rsidRPr="00F53BC2">
        <w:rPr>
          <w:lang w:val="en-GB"/>
        </w:rPr>
        <w:t xml:space="preserve"> </w:t>
      </w:r>
      <w:r w:rsidR="00CB520A" w:rsidRPr="00EE2E24">
        <w:rPr>
          <w:lang w:val="en-GB"/>
        </w:rPr>
        <w:t>treatment</w:t>
      </w:r>
      <w:r w:rsidR="00CB520A" w:rsidRPr="00F53BC2">
        <w:rPr>
          <w:lang w:val="en-GB"/>
        </w:rPr>
        <w:t xml:space="preserve"> </w:t>
      </w:r>
      <w:r w:rsidR="00CB520A" w:rsidRPr="00EE2E24">
        <w:rPr>
          <w:lang w:val="en-GB"/>
        </w:rPr>
        <w:t>with</w:t>
      </w:r>
      <w:r w:rsidR="00CB520A" w:rsidRPr="00F53BC2">
        <w:rPr>
          <w:lang w:val="en-GB"/>
        </w:rPr>
        <w:t xml:space="preserve"> </w:t>
      </w:r>
      <w:r w:rsidR="00CB520A" w:rsidRPr="00EE2E24">
        <w:rPr>
          <w:lang w:val="en-GB"/>
        </w:rPr>
        <w:t>placebo at 3 years: 7.9% at the lumbar spine, 5.7% at the total hip, 4.9% at the femoral</w:t>
      </w:r>
      <w:r w:rsidR="00CB520A" w:rsidRPr="00F53BC2">
        <w:rPr>
          <w:lang w:val="en-GB"/>
        </w:rPr>
        <w:t xml:space="preserve"> </w:t>
      </w:r>
      <w:r w:rsidR="00CB520A" w:rsidRPr="00EE2E24">
        <w:rPr>
          <w:lang w:val="en-GB"/>
        </w:rPr>
        <w:t>neck, 6.9% at the hip trochanter, 6.9% at the distal 1/3 radius and 4.7% at the total body</w:t>
      </w:r>
      <w:r w:rsidR="00CB520A" w:rsidRPr="00F53BC2">
        <w:rPr>
          <w:lang w:val="en-GB"/>
        </w:rPr>
        <w:t xml:space="preserve"> </w:t>
      </w:r>
      <w:r w:rsidR="00CB520A" w:rsidRPr="00EE2E24">
        <w:rPr>
          <w:lang w:val="en-GB"/>
        </w:rPr>
        <w:t>(all p &lt; 0.0001).</w:t>
      </w:r>
      <w:r w:rsidR="00CB520A" w:rsidRPr="00F53BC2">
        <w:rPr>
          <w:lang w:val="en-GB"/>
        </w:rPr>
        <w:t xml:space="preserve"> </w:t>
      </w:r>
      <w:r w:rsidR="00CB520A" w:rsidRPr="00EE2E24">
        <w:rPr>
          <w:lang w:val="en-GB"/>
        </w:rPr>
        <w:t>Significant increases in BMD were observed at the lumbar spine, total</w:t>
      </w:r>
      <w:r w:rsidR="00CB520A" w:rsidRPr="00F53BC2">
        <w:rPr>
          <w:lang w:val="en-GB"/>
        </w:rPr>
        <w:t xml:space="preserve"> </w:t>
      </w:r>
      <w:r w:rsidR="00CB520A" w:rsidRPr="00EE2E24">
        <w:rPr>
          <w:lang w:val="en-GB"/>
        </w:rPr>
        <w:t>hip,</w:t>
      </w:r>
      <w:r w:rsidR="00CB520A" w:rsidRPr="00F53BC2">
        <w:rPr>
          <w:lang w:val="en-GB"/>
        </w:rPr>
        <w:t xml:space="preserve"> </w:t>
      </w:r>
      <w:r w:rsidR="00CB520A" w:rsidRPr="00EE2E24">
        <w:rPr>
          <w:lang w:val="en-GB"/>
        </w:rPr>
        <w:t>femoral</w:t>
      </w:r>
      <w:r w:rsidR="00CB520A" w:rsidRPr="00F53BC2">
        <w:rPr>
          <w:lang w:val="en-GB"/>
        </w:rPr>
        <w:t xml:space="preserve"> </w:t>
      </w:r>
      <w:r w:rsidR="00CB520A" w:rsidRPr="00EE2E24">
        <w:rPr>
          <w:lang w:val="en-GB"/>
        </w:rPr>
        <w:t>neck and</w:t>
      </w:r>
      <w:r w:rsidR="00CB520A" w:rsidRPr="00F53BC2">
        <w:rPr>
          <w:lang w:val="en-GB"/>
        </w:rPr>
        <w:t xml:space="preserve"> </w:t>
      </w:r>
      <w:r w:rsidR="00CB520A" w:rsidRPr="00EE2E24">
        <w:rPr>
          <w:lang w:val="en-GB"/>
        </w:rPr>
        <w:t>the</w:t>
      </w:r>
      <w:r w:rsidR="00CB520A" w:rsidRPr="00F53BC2">
        <w:rPr>
          <w:lang w:val="en-GB"/>
        </w:rPr>
        <w:t xml:space="preserve"> </w:t>
      </w:r>
      <w:r w:rsidR="00CB520A" w:rsidRPr="00EE2E24">
        <w:rPr>
          <w:lang w:val="en-GB"/>
        </w:rPr>
        <w:t>hip</w:t>
      </w:r>
      <w:r w:rsidR="00CB520A" w:rsidRPr="00F53BC2">
        <w:rPr>
          <w:lang w:val="en-GB"/>
        </w:rPr>
        <w:t xml:space="preserve"> </w:t>
      </w:r>
      <w:r w:rsidR="00CB520A" w:rsidRPr="00EE2E24">
        <w:rPr>
          <w:lang w:val="en-GB"/>
        </w:rPr>
        <w:t>trochanter</w:t>
      </w:r>
      <w:r w:rsidR="00CB520A" w:rsidRPr="00F53BC2">
        <w:rPr>
          <w:lang w:val="en-GB"/>
        </w:rPr>
        <w:t xml:space="preserve"> </w:t>
      </w:r>
      <w:r w:rsidR="00CB520A" w:rsidRPr="00EE2E24">
        <w:rPr>
          <w:lang w:val="en-GB"/>
        </w:rPr>
        <w:t>as</w:t>
      </w:r>
      <w:r w:rsidR="00CB520A" w:rsidRPr="00F53BC2">
        <w:rPr>
          <w:lang w:val="en-GB"/>
        </w:rPr>
        <w:t xml:space="preserve"> </w:t>
      </w:r>
      <w:r w:rsidR="00CB520A" w:rsidRPr="00EE2E24">
        <w:rPr>
          <w:lang w:val="en-GB"/>
        </w:rPr>
        <w:t>early</w:t>
      </w:r>
      <w:r w:rsidR="00CB520A" w:rsidRPr="00F53BC2">
        <w:rPr>
          <w:lang w:val="en-GB"/>
        </w:rPr>
        <w:t xml:space="preserve"> </w:t>
      </w:r>
      <w:r w:rsidR="00CB520A" w:rsidRPr="00EE2E24">
        <w:rPr>
          <w:lang w:val="en-GB"/>
        </w:rPr>
        <w:t>as</w:t>
      </w:r>
      <w:r w:rsidR="00CB520A" w:rsidRPr="00F53BC2">
        <w:rPr>
          <w:lang w:val="en-GB"/>
        </w:rPr>
        <w:t xml:space="preserve"> </w:t>
      </w:r>
      <w:r w:rsidR="00CB520A" w:rsidRPr="00EE2E24">
        <w:rPr>
          <w:lang w:val="en-GB"/>
        </w:rPr>
        <w:t>1</w:t>
      </w:r>
      <w:r w:rsidR="00CB520A" w:rsidRPr="00F53BC2">
        <w:rPr>
          <w:lang w:val="en-GB"/>
        </w:rPr>
        <w:t xml:space="preserve"> </w:t>
      </w:r>
      <w:r w:rsidR="00CB520A" w:rsidRPr="00EE2E24">
        <w:rPr>
          <w:lang w:val="en-GB"/>
        </w:rPr>
        <w:t>month</w:t>
      </w:r>
      <w:r w:rsidR="00CB520A" w:rsidRPr="00F53BC2">
        <w:rPr>
          <w:lang w:val="en-GB"/>
        </w:rPr>
        <w:t xml:space="preserve"> </w:t>
      </w:r>
      <w:r w:rsidR="00CB520A" w:rsidRPr="00EE2E24">
        <w:rPr>
          <w:lang w:val="en-GB"/>
        </w:rPr>
        <w:t>after the</w:t>
      </w:r>
      <w:r w:rsidR="00CB520A" w:rsidRPr="00F53BC2">
        <w:rPr>
          <w:lang w:val="en-GB"/>
        </w:rPr>
        <w:t xml:space="preserve"> </w:t>
      </w:r>
      <w:r w:rsidR="00CB520A" w:rsidRPr="00EE2E24">
        <w:rPr>
          <w:lang w:val="en-GB"/>
        </w:rPr>
        <w:t>initial dose.</w:t>
      </w:r>
    </w:p>
    <w:p w14:paraId="7CD6829B"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Consistent effects on BMD were observed at the lumbar spine across subgroups of men</w:t>
      </w:r>
      <w:r w:rsidRPr="00F53BC2">
        <w:rPr>
          <w:lang w:val="en-GB"/>
        </w:rPr>
        <w:t xml:space="preserve"> </w:t>
      </w:r>
      <w:r w:rsidRPr="00EE2E24">
        <w:rPr>
          <w:lang w:val="en-GB"/>
        </w:rPr>
        <w:t>regardless of baseline age, race, geographical region, weight/BMI, lumbar spine BMD T-</w:t>
      </w:r>
      <w:r w:rsidRPr="00F53BC2">
        <w:rPr>
          <w:lang w:val="en-GB"/>
        </w:rPr>
        <w:t xml:space="preserve"> </w:t>
      </w:r>
      <w:r w:rsidRPr="00EE2E24">
        <w:rPr>
          <w:lang w:val="en-GB"/>
        </w:rPr>
        <w:t>score, bone turnover level; duration of androgen deprivation and presence of vertebral</w:t>
      </w:r>
      <w:r w:rsidRPr="00F53BC2">
        <w:rPr>
          <w:lang w:val="en-GB"/>
        </w:rPr>
        <w:t xml:space="preserve"> </w:t>
      </w:r>
      <w:r w:rsidRPr="00EE2E24">
        <w:rPr>
          <w:lang w:val="en-GB"/>
        </w:rPr>
        <w:t>fracture</w:t>
      </w:r>
      <w:r w:rsidRPr="00F53BC2">
        <w:rPr>
          <w:lang w:val="en-GB"/>
        </w:rPr>
        <w:t xml:space="preserve"> </w:t>
      </w:r>
      <w:r w:rsidRPr="00EE2E24">
        <w:rPr>
          <w:lang w:val="en-GB"/>
        </w:rPr>
        <w:t>at baseline.</w:t>
      </w:r>
    </w:p>
    <w:p w14:paraId="4C5D6D64" w14:textId="48A949D6" w:rsidR="006E62CD" w:rsidRPr="00EE2E24" w:rsidRDefault="00E54398" w:rsidP="00D258EC">
      <w:pPr>
        <w:pStyle w:val="BodyText"/>
        <w:adjustRightInd w:val="0"/>
        <w:snapToGrid w:val="0"/>
        <w:spacing w:before="60" w:after="60" w:line="360" w:lineRule="auto"/>
        <w:ind w:left="108" w:rightChars="30" w:right="66"/>
        <w:rPr>
          <w:lang w:val="en-GB"/>
        </w:rPr>
      </w:pPr>
      <w:r>
        <w:rPr>
          <w:lang w:val="en-GB"/>
        </w:rPr>
        <w:t>Denosumab</w:t>
      </w:r>
      <w:r w:rsidR="00660140" w:rsidRPr="003444E8">
        <w:rPr>
          <w:lang w:val="en-GB"/>
        </w:rPr>
        <w:t xml:space="preserve"> </w:t>
      </w:r>
      <w:r w:rsidR="00CB520A" w:rsidRPr="00EE2E24">
        <w:rPr>
          <w:lang w:val="en-GB"/>
        </w:rPr>
        <w:t>demonstrated a significant relative risk reduction of new vertebral fractures as</w:t>
      </w:r>
      <w:r w:rsidR="00CB520A" w:rsidRPr="00F53BC2">
        <w:rPr>
          <w:lang w:val="en-GB"/>
        </w:rPr>
        <w:t xml:space="preserve"> </w:t>
      </w:r>
      <w:r w:rsidR="00CB520A" w:rsidRPr="00EE2E24">
        <w:rPr>
          <w:lang w:val="en-GB"/>
        </w:rPr>
        <w:t>early</w:t>
      </w:r>
      <w:r w:rsidR="00CB520A" w:rsidRPr="00F53BC2">
        <w:rPr>
          <w:lang w:val="en-GB"/>
        </w:rPr>
        <w:t xml:space="preserve"> </w:t>
      </w:r>
      <w:r w:rsidR="00CB520A" w:rsidRPr="00EE2E24">
        <w:rPr>
          <w:lang w:val="en-GB"/>
        </w:rPr>
        <w:t>as</w:t>
      </w:r>
      <w:r w:rsidR="00CB520A" w:rsidRPr="00F53BC2">
        <w:rPr>
          <w:lang w:val="en-GB"/>
        </w:rPr>
        <w:t xml:space="preserve"> </w:t>
      </w:r>
      <w:r w:rsidR="00CB520A" w:rsidRPr="00EE2E24">
        <w:rPr>
          <w:lang w:val="en-GB"/>
        </w:rPr>
        <w:t>1</w:t>
      </w:r>
      <w:r w:rsidR="00CB520A" w:rsidRPr="00F53BC2">
        <w:rPr>
          <w:lang w:val="en-GB"/>
        </w:rPr>
        <w:t xml:space="preserve"> </w:t>
      </w:r>
      <w:r w:rsidR="00CB520A" w:rsidRPr="00EE2E24">
        <w:rPr>
          <w:lang w:val="en-GB"/>
        </w:rPr>
        <w:t>year:</w:t>
      </w:r>
      <w:r w:rsidR="00CB520A" w:rsidRPr="00F53BC2">
        <w:rPr>
          <w:lang w:val="en-GB"/>
        </w:rPr>
        <w:t xml:space="preserve"> </w:t>
      </w:r>
      <w:r w:rsidR="00CB520A" w:rsidRPr="00EE2E24">
        <w:rPr>
          <w:lang w:val="en-GB"/>
        </w:rPr>
        <w:t>85%</w:t>
      </w:r>
      <w:r w:rsidR="00CB520A" w:rsidRPr="00F53BC2">
        <w:rPr>
          <w:lang w:val="en-GB"/>
        </w:rPr>
        <w:t xml:space="preserve"> </w:t>
      </w:r>
      <w:r w:rsidR="00CB520A" w:rsidRPr="00EE2E24">
        <w:rPr>
          <w:lang w:val="en-GB"/>
        </w:rPr>
        <w:t>(1.6%</w:t>
      </w:r>
      <w:r w:rsidR="00CB520A" w:rsidRPr="00F53BC2">
        <w:rPr>
          <w:lang w:val="en-GB"/>
        </w:rPr>
        <w:t xml:space="preserve"> </w:t>
      </w:r>
      <w:r w:rsidR="00CB520A" w:rsidRPr="00EE2E24">
        <w:rPr>
          <w:lang w:val="en-GB"/>
        </w:rPr>
        <w:t>absolute</w:t>
      </w:r>
      <w:r w:rsidR="00CB520A" w:rsidRPr="00F53BC2">
        <w:rPr>
          <w:lang w:val="en-GB"/>
        </w:rPr>
        <w:t xml:space="preserve"> </w:t>
      </w:r>
      <w:r w:rsidR="00CB520A" w:rsidRPr="00EE2E24">
        <w:rPr>
          <w:lang w:val="en-GB"/>
        </w:rPr>
        <w:t>risk</w:t>
      </w:r>
      <w:r w:rsidR="00CB520A" w:rsidRPr="00F53BC2">
        <w:rPr>
          <w:lang w:val="en-GB"/>
        </w:rPr>
        <w:t xml:space="preserve"> </w:t>
      </w:r>
      <w:r w:rsidR="00CB520A" w:rsidRPr="00EE2E24">
        <w:rPr>
          <w:lang w:val="en-GB"/>
        </w:rPr>
        <w:t>reduction)</w:t>
      </w:r>
      <w:r w:rsidR="00CB520A" w:rsidRPr="00F53BC2">
        <w:rPr>
          <w:lang w:val="en-GB"/>
        </w:rPr>
        <w:t xml:space="preserve"> </w:t>
      </w:r>
      <w:r w:rsidR="00CB520A" w:rsidRPr="00EE2E24">
        <w:rPr>
          <w:lang w:val="en-GB"/>
        </w:rPr>
        <w:t>at</w:t>
      </w:r>
      <w:r w:rsidR="00CB520A" w:rsidRPr="00F53BC2">
        <w:rPr>
          <w:lang w:val="en-GB"/>
        </w:rPr>
        <w:t xml:space="preserve"> </w:t>
      </w:r>
      <w:r w:rsidR="00CB520A" w:rsidRPr="00EE2E24">
        <w:rPr>
          <w:lang w:val="en-GB"/>
        </w:rPr>
        <w:t>1</w:t>
      </w:r>
      <w:r w:rsidR="00CB520A" w:rsidRPr="00F53BC2">
        <w:rPr>
          <w:lang w:val="en-GB"/>
        </w:rPr>
        <w:t xml:space="preserve"> </w:t>
      </w:r>
      <w:r w:rsidR="00CB520A" w:rsidRPr="00EE2E24">
        <w:rPr>
          <w:lang w:val="en-GB"/>
        </w:rPr>
        <w:t>year,</w:t>
      </w:r>
      <w:r w:rsidR="00CB520A" w:rsidRPr="00F53BC2">
        <w:rPr>
          <w:lang w:val="en-GB"/>
        </w:rPr>
        <w:t xml:space="preserve"> </w:t>
      </w:r>
      <w:r w:rsidR="00CB520A" w:rsidRPr="00EE2E24">
        <w:rPr>
          <w:lang w:val="en-GB"/>
        </w:rPr>
        <w:t>69%</w:t>
      </w:r>
      <w:r w:rsidR="00CB520A" w:rsidRPr="00F53BC2">
        <w:rPr>
          <w:lang w:val="en-GB"/>
        </w:rPr>
        <w:t xml:space="preserve"> </w:t>
      </w:r>
      <w:r w:rsidR="00CB520A" w:rsidRPr="00EE2E24">
        <w:rPr>
          <w:lang w:val="en-GB"/>
        </w:rPr>
        <w:t>(2.2%</w:t>
      </w:r>
      <w:r w:rsidR="00CB520A" w:rsidRPr="00F53BC2">
        <w:rPr>
          <w:lang w:val="en-GB"/>
        </w:rPr>
        <w:t xml:space="preserve"> </w:t>
      </w:r>
      <w:r w:rsidR="00CB520A" w:rsidRPr="00EE2E24">
        <w:rPr>
          <w:lang w:val="en-GB"/>
        </w:rPr>
        <w:t>absolute</w:t>
      </w:r>
      <w:r w:rsidR="00CB520A" w:rsidRPr="00F53BC2">
        <w:rPr>
          <w:lang w:val="en-GB"/>
        </w:rPr>
        <w:t xml:space="preserve"> </w:t>
      </w:r>
      <w:r w:rsidR="00CB520A" w:rsidRPr="00EE2E24">
        <w:rPr>
          <w:lang w:val="en-GB"/>
        </w:rPr>
        <w:t>risk</w:t>
      </w:r>
      <w:r w:rsidR="00CB520A" w:rsidRPr="00F53BC2">
        <w:rPr>
          <w:lang w:val="en-GB"/>
        </w:rPr>
        <w:t xml:space="preserve"> </w:t>
      </w:r>
      <w:r w:rsidR="00CB520A" w:rsidRPr="00EE2E24">
        <w:rPr>
          <w:lang w:val="en-GB"/>
        </w:rPr>
        <w:t>reduction)</w:t>
      </w:r>
      <w:r w:rsidR="00CB520A" w:rsidRPr="00F53BC2">
        <w:rPr>
          <w:lang w:val="en-GB"/>
        </w:rPr>
        <w:t xml:space="preserve"> </w:t>
      </w:r>
      <w:r w:rsidR="00CB520A" w:rsidRPr="00EE2E24">
        <w:rPr>
          <w:lang w:val="en-GB"/>
        </w:rPr>
        <w:t>at</w:t>
      </w:r>
      <w:r w:rsidR="00CB520A" w:rsidRPr="00F53BC2">
        <w:rPr>
          <w:lang w:val="en-GB"/>
        </w:rPr>
        <w:t xml:space="preserve"> </w:t>
      </w:r>
      <w:r w:rsidR="00CB520A" w:rsidRPr="00EE2E24">
        <w:rPr>
          <w:lang w:val="en-GB"/>
        </w:rPr>
        <w:t>2</w:t>
      </w:r>
      <w:r w:rsidR="00CB520A" w:rsidRPr="00F53BC2">
        <w:rPr>
          <w:lang w:val="en-GB"/>
        </w:rPr>
        <w:t xml:space="preserve"> </w:t>
      </w:r>
      <w:r w:rsidR="00CB520A" w:rsidRPr="00EE2E24">
        <w:rPr>
          <w:lang w:val="en-GB"/>
        </w:rPr>
        <w:t>years</w:t>
      </w:r>
      <w:r w:rsidR="00CB520A" w:rsidRPr="00F53BC2">
        <w:rPr>
          <w:lang w:val="en-GB"/>
        </w:rPr>
        <w:t xml:space="preserve"> </w:t>
      </w:r>
      <w:r w:rsidR="00CB520A" w:rsidRPr="00EE2E24">
        <w:rPr>
          <w:lang w:val="en-GB"/>
        </w:rPr>
        <w:t>and</w:t>
      </w:r>
      <w:r w:rsidR="00CB520A" w:rsidRPr="00F53BC2">
        <w:rPr>
          <w:lang w:val="en-GB"/>
        </w:rPr>
        <w:t xml:space="preserve"> </w:t>
      </w:r>
      <w:r w:rsidR="00CB520A" w:rsidRPr="00EE2E24">
        <w:rPr>
          <w:lang w:val="en-GB"/>
        </w:rPr>
        <w:t>62%</w:t>
      </w:r>
      <w:r w:rsidR="00CB520A" w:rsidRPr="00F53BC2">
        <w:rPr>
          <w:lang w:val="en-GB"/>
        </w:rPr>
        <w:t xml:space="preserve"> </w:t>
      </w:r>
      <w:r w:rsidR="00CB520A" w:rsidRPr="00EE2E24">
        <w:rPr>
          <w:lang w:val="en-GB"/>
        </w:rPr>
        <w:t>(2.4%</w:t>
      </w:r>
      <w:r w:rsidR="00CB520A" w:rsidRPr="00F53BC2">
        <w:rPr>
          <w:lang w:val="en-GB"/>
        </w:rPr>
        <w:t xml:space="preserve"> </w:t>
      </w:r>
      <w:r w:rsidR="00CB520A" w:rsidRPr="00EE2E24">
        <w:rPr>
          <w:lang w:val="en-GB"/>
        </w:rPr>
        <w:t>absolute</w:t>
      </w:r>
      <w:r w:rsidR="00CB520A" w:rsidRPr="00F53BC2">
        <w:rPr>
          <w:lang w:val="en-GB"/>
        </w:rPr>
        <w:t xml:space="preserve"> </w:t>
      </w:r>
      <w:r w:rsidR="00CB520A" w:rsidRPr="00EE2E24">
        <w:rPr>
          <w:lang w:val="en-GB"/>
        </w:rPr>
        <w:t>risk</w:t>
      </w:r>
      <w:r w:rsidR="00CB520A" w:rsidRPr="00F53BC2">
        <w:rPr>
          <w:lang w:val="en-GB"/>
        </w:rPr>
        <w:t xml:space="preserve"> </w:t>
      </w:r>
      <w:r w:rsidR="00CB520A" w:rsidRPr="00EE2E24">
        <w:rPr>
          <w:lang w:val="en-GB"/>
        </w:rPr>
        <w:t>reduction)</w:t>
      </w:r>
      <w:r w:rsidR="00CB520A" w:rsidRPr="00F53BC2">
        <w:rPr>
          <w:lang w:val="en-GB"/>
        </w:rPr>
        <w:t xml:space="preserve"> </w:t>
      </w:r>
      <w:r w:rsidR="00CB520A" w:rsidRPr="00EE2E24">
        <w:rPr>
          <w:lang w:val="en-GB"/>
        </w:rPr>
        <w:t>at</w:t>
      </w:r>
      <w:r w:rsidR="00CB520A" w:rsidRPr="00F53BC2">
        <w:rPr>
          <w:lang w:val="en-GB"/>
        </w:rPr>
        <w:t xml:space="preserve"> </w:t>
      </w:r>
      <w:r w:rsidR="00CB520A" w:rsidRPr="00EE2E24">
        <w:rPr>
          <w:lang w:val="en-GB"/>
        </w:rPr>
        <w:t>3</w:t>
      </w:r>
      <w:r w:rsidR="00CB520A" w:rsidRPr="00F53BC2">
        <w:rPr>
          <w:lang w:val="en-GB"/>
        </w:rPr>
        <w:t xml:space="preserve"> </w:t>
      </w:r>
      <w:r w:rsidR="00CB520A" w:rsidRPr="00EE2E24">
        <w:rPr>
          <w:lang w:val="en-GB"/>
        </w:rPr>
        <w:t>years</w:t>
      </w:r>
      <w:r w:rsidR="00CB520A" w:rsidRPr="00F53BC2">
        <w:rPr>
          <w:lang w:val="en-GB"/>
        </w:rPr>
        <w:t xml:space="preserve"> </w:t>
      </w:r>
      <w:r w:rsidR="00CB520A" w:rsidRPr="00EE2E24">
        <w:rPr>
          <w:lang w:val="en-GB"/>
        </w:rPr>
        <w:t>(all</w:t>
      </w:r>
      <w:r w:rsidR="00CB520A" w:rsidRPr="00F53BC2">
        <w:rPr>
          <w:lang w:val="en-GB"/>
        </w:rPr>
        <w:t xml:space="preserve"> </w:t>
      </w:r>
      <w:r w:rsidR="00CB520A" w:rsidRPr="00EE2E24">
        <w:rPr>
          <w:lang w:val="en-GB"/>
        </w:rPr>
        <w:t>p</w:t>
      </w:r>
      <w:r w:rsidR="00CB520A" w:rsidRPr="00F53BC2">
        <w:rPr>
          <w:lang w:val="en-GB"/>
        </w:rPr>
        <w:t xml:space="preserve"> </w:t>
      </w:r>
      <w:r w:rsidR="00CB520A" w:rsidRPr="00EE2E24">
        <w:rPr>
          <w:lang w:val="en-GB"/>
        </w:rPr>
        <w:t>&lt;</w:t>
      </w:r>
      <w:r w:rsidR="00CB520A" w:rsidRPr="00F53BC2">
        <w:rPr>
          <w:lang w:val="en-GB"/>
        </w:rPr>
        <w:t xml:space="preserve"> </w:t>
      </w:r>
      <w:r w:rsidR="00CB520A" w:rsidRPr="00EE2E24">
        <w:rPr>
          <w:lang w:val="en-GB"/>
        </w:rPr>
        <w:t>0.01).</w:t>
      </w:r>
    </w:p>
    <w:p w14:paraId="373A838C" w14:textId="77777777" w:rsidR="006E62CD" w:rsidRPr="00EE2E24" w:rsidRDefault="00CB520A" w:rsidP="00D258EC">
      <w:pPr>
        <w:adjustRightInd w:val="0"/>
        <w:snapToGrid w:val="0"/>
        <w:spacing w:before="60" w:after="60" w:line="360" w:lineRule="auto"/>
        <w:ind w:left="108" w:rightChars="30" w:right="66"/>
        <w:rPr>
          <w:i/>
          <w:lang w:val="en-GB"/>
        </w:rPr>
      </w:pPr>
      <w:r w:rsidRPr="00EE2E24">
        <w:rPr>
          <w:i/>
          <w:lang w:val="en-GB"/>
        </w:rPr>
        <w:t>Treatment</w:t>
      </w:r>
      <w:r w:rsidRPr="00EE2E24">
        <w:rPr>
          <w:i/>
          <w:spacing w:val="-3"/>
          <w:lang w:val="en-GB"/>
        </w:rPr>
        <w:t xml:space="preserve"> </w:t>
      </w:r>
      <w:r w:rsidRPr="00EE2E24">
        <w:rPr>
          <w:i/>
          <w:lang w:val="en-GB"/>
        </w:rPr>
        <w:t>of</w:t>
      </w:r>
      <w:r w:rsidRPr="00EE2E24">
        <w:rPr>
          <w:i/>
          <w:spacing w:val="-3"/>
          <w:lang w:val="en-GB"/>
        </w:rPr>
        <w:t xml:space="preserve"> </w:t>
      </w:r>
      <w:r w:rsidRPr="00EE2E24">
        <w:rPr>
          <w:i/>
          <w:lang w:val="en-GB"/>
        </w:rPr>
        <w:t>bone</w:t>
      </w:r>
      <w:r w:rsidRPr="00EE2E24">
        <w:rPr>
          <w:i/>
          <w:spacing w:val="-1"/>
          <w:lang w:val="en-GB"/>
        </w:rPr>
        <w:t xml:space="preserve"> </w:t>
      </w:r>
      <w:r w:rsidRPr="00EE2E24">
        <w:rPr>
          <w:i/>
          <w:lang w:val="en-GB"/>
        </w:rPr>
        <w:t>loss</w:t>
      </w:r>
      <w:r w:rsidRPr="00EE2E24">
        <w:rPr>
          <w:i/>
          <w:spacing w:val="-3"/>
          <w:lang w:val="en-GB"/>
        </w:rPr>
        <w:t xml:space="preserve"> </w:t>
      </w:r>
      <w:r w:rsidRPr="00EE2E24">
        <w:rPr>
          <w:i/>
          <w:lang w:val="en-GB"/>
        </w:rPr>
        <w:t>associated</w:t>
      </w:r>
      <w:r w:rsidRPr="00EE2E24">
        <w:rPr>
          <w:i/>
          <w:spacing w:val="-2"/>
          <w:lang w:val="en-GB"/>
        </w:rPr>
        <w:t xml:space="preserve"> </w:t>
      </w:r>
      <w:r w:rsidRPr="00EE2E24">
        <w:rPr>
          <w:i/>
          <w:lang w:val="en-GB"/>
        </w:rPr>
        <w:t>with</w:t>
      </w:r>
      <w:r w:rsidRPr="00EE2E24">
        <w:rPr>
          <w:i/>
          <w:spacing w:val="-3"/>
          <w:lang w:val="en-GB"/>
        </w:rPr>
        <w:t xml:space="preserve"> </w:t>
      </w:r>
      <w:r w:rsidRPr="00EE2E24">
        <w:rPr>
          <w:i/>
          <w:lang w:val="en-GB"/>
        </w:rPr>
        <w:t>systemic</w:t>
      </w:r>
      <w:r w:rsidRPr="00EE2E24">
        <w:rPr>
          <w:i/>
          <w:spacing w:val="-2"/>
          <w:lang w:val="en-GB"/>
        </w:rPr>
        <w:t xml:space="preserve"> </w:t>
      </w:r>
      <w:r w:rsidRPr="00EE2E24">
        <w:rPr>
          <w:i/>
          <w:lang w:val="en-GB"/>
        </w:rPr>
        <w:t>glucocorticoid</w:t>
      </w:r>
      <w:r w:rsidRPr="00EE2E24">
        <w:rPr>
          <w:i/>
          <w:spacing w:val="-2"/>
          <w:lang w:val="en-GB"/>
        </w:rPr>
        <w:t xml:space="preserve"> </w:t>
      </w:r>
      <w:r w:rsidRPr="00EE2E24">
        <w:rPr>
          <w:i/>
          <w:lang w:val="en-GB"/>
        </w:rPr>
        <w:t>therapy</w:t>
      </w:r>
    </w:p>
    <w:p w14:paraId="36B13698" w14:textId="1D240EBF"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 xml:space="preserve">The efficacy and safety of </w:t>
      </w:r>
      <w:r w:rsidR="00E54398">
        <w:rPr>
          <w:lang w:val="en-GB"/>
        </w:rPr>
        <w:t>denosumab</w:t>
      </w:r>
      <w:r w:rsidR="00660140" w:rsidRPr="003444E8">
        <w:rPr>
          <w:lang w:val="en-GB"/>
        </w:rPr>
        <w:t xml:space="preserve"> </w:t>
      </w:r>
      <w:r w:rsidRPr="00EE2E24">
        <w:rPr>
          <w:lang w:val="en-GB"/>
        </w:rPr>
        <w:t xml:space="preserve">in the treatment of bone loss associated with </w:t>
      </w:r>
      <w:r w:rsidRPr="00EE2E24">
        <w:rPr>
          <w:lang w:val="en-GB"/>
        </w:rPr>
        <w:lastRenderedPageBreak/>
        <w:t>systemic</w:t>
      </w:r>
      <w:r w:rsidRPr="00F53BC2">
        <w:rPr>
          <w:lang w:val="en-GB"/>
        </w:rPr>
        <w:t xml:space="preserve"> </w:t>
      </w:r>
      <w:r w:rsidRPr="00EE2E24">
        <w:rPr>
          <w:lang w:val="en-GB"/>
        </w:rPr>
        <w:t>glucocorticoid therapy were</w:t>
      </w:r>
      <w:r w:rsidRPr="00F53BC2">
        <w:rPr>
          <w:lang w:val="en-GB"/>
        </w:rPr>
        <w:t xml:space="preserve"> </w:t>
      </w:r>
      <w:r w:rsidRPr="00EE2E24">
        <w:rPr>
          <w:lang w:val="en-GB"/>
        </w:rPr>
        <w:t>demonstrated</w:t>
      </w:r>
      <w:r w:rsidRPr="00F53BC2">
        <w:rPr>
          <w:lang w:val="en-GB"/>
        </w:rPr>
        <w:t xml:space="preserve"> </w:t>
      </w:r>
      <w:r w:rsidRPr="00EE2E24">
        <w:rPr>
          <w:lang w:val="en-GB"/>
        </w:rPr>
        <w:t>by</w:t>
      </w:r>
      <w:r w:rsidRPr="00F53BC2">
        <w:rPr>
          <w:lang w:val="en-GB"/>
        </w:rPr>
        <w:t xml:space="preserve"> </w:t>
      </w:r>
      <w:r w:rsidRPr="00EE2E24">
        <w:rPr>
          <w:lang w:val="en-GB"/>
        </w:rPr>
        <w:t>the</w:t>
      </w:r>
      <w:r w:rsidRPr="00F53BC2">
        <w:rPr>
          <w:lang w:val="en-GB"/>
        </w:rPr>
        <w:t xml:space="preserve"> </w:t>
      </w:r>
      <w:r w:rsidRPr="00EE2E24">
        <w:rPr>
          <w:lang w:val="en-GB"/>
        </w:rPr>
        <w:t>12-month primary</w:t>
      </w:r>
      <w:r w:rsidRPr="00F53BC2">
        <w:rPr>
          <w:lang w:val="en-GB"/>
        </w:rPr>
        <w:t xml:space="preserve"> </w:t>
      </w:r>
      <w:r w:rsidRPr="00EE2E24">
        <w:rPr>
          <w:lang w:val="en-GB"/>
        </w:rPr>
        <w:t>analysis</w:t>
      </w:r>
      <w:r w:rsidRPr="00F53BC2">
        <w:rPr>
          <w:lang w:val="en-GB"/>
        </w:rPr>
        <w:t xml:space="preserve"> </w:t>
      </w:r>
      <w:r w:rsidRPr="00EE2E24">
        <w:rPr>
          <w:lang w:val="en-GB"/>
        </w:rPr>
        <w:t>of</w:t>
      </w:r>
      <w:r w:rsidRPr="00F53BC2">
        <w:rPr>
          <w:lang w:val="en-GB"/>
        </w:rPr>
        <w:t xml:space="preserve"> </w:t>
      </w:r>
      <w:r w:rsidRPr="00EE2E24">
        <w:rPr>
          <w:lang w:val="en-GB"/>
        </w:rPr>
        <w:t>a</w:t>
      </w:r>
      <w:r w:rsidR="00660140">
        <w:rPr>
          <w:lang w:val="en-GB"/>
        </w:rPr>
        <w:t xml:space="preserve"> </w:t>
      </w:r>
      <w:r w:rsidRPr="00EE2E24">
        <w:rPr>
          <w:lang w:val="en-GB"/>
        </w:rPr>
        <w:t>24 month randomised, multicentre, double-blind, double-dummy, parallel-group, active-</w:t>
      </w:r>
      <w:r w:rsidRPr="00F53BC2">
        <w:rPr>
          <w:lang w:val="en-GB"/>
        </w:rPr>
        <w:t xml:space="preserve"> </w:t>
      </w:r>
      <w:r w:rsidRPr="00EE2E24">
        <w:rPr>
          <w:lang w:val="en-GB"/>
        </w:rPr>
        <w:t>controlled study of 795 patients (70% women and 30% men) aged 20 to 94 years (mean</w:t>
      </w:r>
      <w:r w:rsidRPr="00F53BC2">
        <w:rPr>
          <w:lang w:val="en-GB"/>
        </w:rPr>
        <w:t xml:space="preserve"> </w:t>
      </w:r>
      <w:r w:rsidRPr="00EE2E24">
        <w:rPr>
          <w:lang w:val="en-GB"/>
        </w:rPr>
        <w:t>age of 63.1 years) treated with ≥ 7.5 mg daily oral prednisone (or equivalent).</w:t>
      </w:r>
      <w:r w:rsidRPr="00F53BC2">
        <w:rPr>
          <w:lang w:val="en-GB"/>
        </w:rPr>
        <w:t xml:space="preserve"> </w:t>
      </w:r>
      <w:r w:rsidRPr="00EE2E24">
        <w:rPr>
          <w:lang w:val="en-GB"/>
        </w:rPr>
        <w:t>The</w:t>
      </w:r>
      <w:r w:rsidRPr="00F53BC2">
        <w:rPr>
          <w:lang w:val="en-GB"/>
        </w:rPr>
        <w:t xml:space="preserve"> </w:t>
      </w:r>
      <w:r w:rsidRPr="00EE2E24">
        <w:rPr>
          <w:lang w:val="en-GB"/>
        </w:rPr>
        <w:t xml:space="preserve">primary efficacy objective of the study was to demonstrate non-inferiority of </w:t>
      </w:r>
      <w:r w:rsidR="00E54398">
        <w:rPr>
          <w:lang w:val="en-GB"/>
        </w:rPr>
        <w:t>denosumab</w:t>
      </w:r>
      <w:r w:rsidR="00660140" w:rsidRPr="003444E8">
        <w:rPr>
          <w:lang w:val="en-GB"/>
        </w:rPr>
        <w:t xml:space="preserve"> </w:t>
      </w:r>
      <w:r w:rsidRPr="00EE2E24">
        <w:rPr>
          <w:lang w:val="en-GB"/>
        </w:rPr>
        <w:t>to oral</w:t>
      </w:r>
      <w:r w:rsidRPr="00F53BC2">
        <w:rPr>
          <w:lang w:val="en-GB"/>
        </w:rPr>
        <w:t xml:space="preserve"> </w:t>
      </w:r>
      <w:r w:rsidRPr="00EE2E24">
        <w:rPr>
          <w:lang w:val="en-GB"/>
        </w:rPr>
        <w:t>risedronate with respect to percentage change from baseline in lumbar spine BMD at 12</w:t>
      </w:r>
      <w:r w:rsidRPr="00F53BC2">
        <w:rPr>
          <w:lang w:val="en-GB"/>
        </w:rPr>
        <w:t xml:space="preserve"> </w:t>
      </w:r>
      <w:r w:rsidRPr="00EE2E24">
        <w:rPr>
          <w:lang w:val="en-GB"/>
        </w:rPr>
        <w:t>months.</w:t>
      </w:r>
      <w:r w:rsidRPr="00F53BC2">
        <w:rPr>
          <w:lang w:val="en-GB"/>
        </w:rPr>
        <w:t xml:space="preserve"> </w:t>
      </w:r>
      <w:r w:rsidRPr="00EE2E24">
        <w:rPr>
          <w:lang w:val="en-GB"/>
        </w:rPr>
        <w:t>The</w:t>
      </w:r>
      <w:r w:rsidRPr="00F53BC2">
        <w:rPr>
          <w:lang w:val="en-GB"/>
        </w:rPr>
        <w:t xml:space="preserve"> </w:t>
      </w:r>
      <w:r w:rsidRPr="00EE2E24">
        <w:rPr>
          <w:lang w:val="en-GB"/>
        </w:rPr>
        <w:t>secondary</w:t>
      </w:r>
      <w:r w:rsidRPr="00F53BC2">
        <w:rPr>
          <w:lang w:val="en-GB"/>
        </w:rPr>
        <w:t xml:space="preserve"> </w:t>
      </w:r>
      <w:r w:rsidRPr="00EE2E24">
        <w:rPr>
          <w:lang w:val="en-GB"/>
        </w:rPr>
        <w:t>objectives</w:t>
      </w:r>
      <w:r w:rsidRPr="00F53BC2">
        <w:rPr>
          <w:lang w:val="en-GB"/>
        </w:rPr>
        <w:t xml:space="preserve"> </w:t>
      </w:r>
      <w:r w:rsidRPr="00EE2E24">
        <w:rPr>
          <w:lang w:val="en-GB"/>
        </w:rPr>
        <w:t>were</w:t>
      </w:r>
      <w:r w:rsidRPr="00F53BC2">
        <w:rPr>
          <w:lang w:val="en-GB"/>
        </w:rPr>
        <w:t xml:space="preserve"> </w:t>
      </w:r>
      <w:r w:rsidRPr="00EE2E24">
        <w:rPr>
          <w:lang w:val="en-GB"/>
        </w:rPr>
        <w:t>to</w:t>
      </w:r>
      <w:r w:rsidRPr="00F53BC2">
        <w:rPr>
          <w:lang w:val="en-GB"/>
        </w:rPr>
        <w:t xml:space="preserve"> </w:t>
      </w:r>
      <w:r w:rsidRPr="00EE2E24">
        <w:rPr>
          <w:lang w:val="en-GB"/>
        </w:rPr>
        <w:t>compare</w:t>
      </w:r>
      <w:r w:rsidRPr="00F53BC2">
        <w:rPr>
          <w:lang w:val="en-GB"/>
        </w:rPr>
        <w:t xml:space="preserve"> </w:t>
      </w:r>
      <w:r w:rsidRPr="00EE2E24">
        <w:rPr>
          <w:lang w:val="en-GB"/>
        </w:rPr>
        <w:t>percentage</w:t>
      </w:r>
      <w:r w:rsidRPr="00F53BC2">
        <w:rPr>
          <w:lang w:val="en-GB"/>
        </w:rPr>
        <w:t xml:space="preserve"> </w:t>
      </w:r>
      <w:r w:rsidRPr="00EE2E24">
        <w:rPr>
          <w:lang w:val="en-GB"/>
        </w:rPr>
        <w:t>change</w:t>
      </w:r>
      <w:r w:rsidRPr="00F53BC2">
        <w:rPr>
          <w:lang w:val="en-GB"/>
        </w:rPr>
        <w:t xml:space="preserve"> </w:t>
      </w:r>
      <w:r w:rsidRPr="00EE2E24">
        <w:rPr>
          <w:lang w:val="en-GB"/>
        </w:rPr>
        <w:t>from</w:t>
      </w:r>
      <w:r w:rsidRPr="00F53BC2">
        <w:rPr>
          <w:lang w:val="en-GB"/>
        </w:rPr>
        <w:t xml:space="preserve"> </w:t>
      </w:r>
      <w:r w:rsidRPr="00EE2E24">
        <w:rPr>
          <w:lang w:val="en-GB"/>
        </w:rPr>
        <w:t>baseline</w:t>
      </w:r>
      <w:r w:rsidRPr="00F53BC2">
        <w:rPr>
          <w:lang w:val="en-GB"/>
        </w:rPr>
        <w:t xml:space="preserve"> </w:t>
      </w:r>
      <w:r w:rsidRPr="00EE2E24">
        <w:rPr>
          <w:lang w:val="en-GB"/>
        </w:rPr>
        <w:t>in</w:t>
      </w:r>
      <w:r w:rsidRPr="00F53BC2">
        <w:rPr>
          <w:lang w:val="en-GB"/>
        </w:rPr>
        <w:t xml:space="preserve"> </w:t>
      </w:r>
      <w:r w:rsidRPr="00EE2E24">
        <w:rPr>
          <w:lang w:val="en-GB"/>
        </w:rPr>
        <w:t>lumbar</w:t>
      </w:r>
      <w:r w:rsidRPr="00F53BC2">
        <w:rPr>
          <w:lang w:val="en-GB"/>
        </w:rPr>
        <w:t xml:space="preserve"> </w:t>
      </w:r>
      <w:r w:rsidRPr="00EE2E24">
        <w:rPr>
          <w:lang w:val="en-GB"/>
        </w:rPr>
        <w:t>spine</w:t>
      </w:r>
      <w:r w:rsidRPr="00F53BC2">
        <w:rPr>
          <w:lang w:val="en-GB"/>
        </w:rPr>
        <w:t xml:space="preserve"> </w:t>
      </w:r>
      <w:r w:rsidRPr="00EE2E24">
        <w:rPr>
          <w:lang w:val="en-GB"/>
        </w:rPr>
        <w:t>and</w:t>
      </w:r>
      <w:r w:rsidRPr="00F53BC2">
        <w:rPr>
          <w:lang w:val="en-GB"/>
        </w:rPr>
        <w:t xml:space="preserve"> </w:t>
      </w:r>
      <w:r w:rsidRPr="00EE2E24">
        <w:rPr>
          <w:lang w:val="en-GB"/>
        </w:rPr>
        <w:t>total</w:t>
      </w:r>
      <w:r w:rsidRPr="00F53BC2">
        <w:rPr>
          <w:lang w:val="en-GB"/>
        </w:rPr>
        <w:t xml:space="preserve"> </w:t>
      </w:r>
      <w:r w:rsidRPr="00EE2E24">
        <w:rPr>
          <w:lang w:val="en-GB"/>
        </w:rPr>
        <w:t>hip</w:t>
      </w:r>
      <w:r w:rsidRPr="00F53BC2">
        <w:rPr>
          <w:lang w:val="en-GB"/>
        </w:rPr>
        <w:t xml:space="preserve"> </w:t>
      </w:r>
      <w:r w:rsidRPr="00EE2E24">
        <w:rPr>
          <w:lang w:val="en-GB"/>
        </w:rPr>
        <w:t>BMD</w:t>
      </w:r>
      <w:r w:rsidRPr="00F53BC2">
        <w:rPr>
          <w:lang w:val="en-GB"/>
        </w:rPr>
        <w:t xml:space="preserve"> </w:t>
      </w:r>
      <w:r w:rsidRPr="00EE2E24">
        <w:rPr>
          <w:lang w:val="en-GB"/>
        </w:rPr>
        <w:t>between</w:t>
      </w:r>
      <w:r w:rsidRPr="00F53BC2">
        <w:rPr>
          <w:lang w:val="en-GB"/>
        </w:rPr>
        <w:t xml:space="preserve"> </w:t>
      </w:r>
      <w:r w:rsidR="00E54398">
        <w:rPr>
          <w:lang w:val="en-GB"/>
        </w:rPr>
        <w:t>denosumab</w:t>
      </w:r>
      <w:r w:rsidR="00660140" w:rsidRPr="003444E8">
        <w:rPr>
          <w:lang w:val="en-GB"/>
        </w:rPr>
        <w:t xml:space="preserve"> </w:t>
      </w:r>
      <w:r w:rsidRPr="00EE2E24">
        <w:rPr>
          <w:lang w:val="en-GB"/>
        </w:rPr>
        <w:t>and</w:t>
      </w:r>
      <w:r w:rsidRPr="00F53BC2">
        <w:rPr>
          <w:lang w:val="en-GB"/>
        </w:rPr>
        <w:t xml:space="preserve"> </w:t>
      </w:r>
      <w:r w:rsidRPr="00EE2E24">
        <w:rPr>
          <w:lang w:val="en-GB"/>
        </w:rPr>
        <w:t>risedronate</w:t>
      </w:r>
      <w:r w:rsidRPr="00F53BC2">
        <w:rPr>
          <w:lang w:val="en-GB"/>
        </w:rPr>
        <w:t xml:space="preserve"> </w:t>
      </w:r>
      <w:r w:rsidRPr="00EE2E24">
        <w:rPr>
          <w:lang w:val="en-GB"/>
        </w:rPr>
        <w:t>at</w:t>
      </w:r>
      <w:r w:rsidRPr="00F53BC2">
        <w:rPr>
          <w:lang w:val="en-GB"/>
        </w:rPr>
        <w:t xml:space="preserve"> </w:t>
      </w:r>
      <w:r w:rsidRPr="00EE2E24">
        <w:rPr>
          <w:lang w:val="en-GB"/>
        </w:rPr>
        <w:t>12 and</w:t>
      </w:r>
      <w:r w:rsidRPr="00F53BC2">
        <w:rPr>
          <w:lang w:val="en-GB"/>
        </w:rPr>
        <w:t xml:space="preserve"> </w:t>
      </w:r>
      <w:r w:rsidRPr="00EE2E24">
        <w:rPr>
          <w:lang w:val="en-GB"/>
        </w:rPr>
        <w:t>24</w:t>
      </w:r>
      <w:r w:rsidRPr="00F53BC2">
        <w:rPr>
          <w:lang w:val="en-GB"/>
        </w:rPr>
        <w:t xml:space="preserve"> </w:t>
      </w:r>
      <w:r w:rsidRPr="00EE2E24">
        <w:rPr>
          <w:lang w:val="en-GB"/>
        </w:rPr>
        <w:t>months.</w:t>
      </w:r>
    </w:p>
    <w:p w14:paraId="5F8BB35C" w14:textId="0B567BD3" w:rsidR="00660140" w:rsidRDefault="00CB520A" w:rsidP="00D258EC">
      <w:pPr>
        <w:pStyle w:val="BodyText"/>
        <w:adjustRightInd w:val="0"/>
        <w:snapToGrid w:val="0"/>
        <w:spacing w:before="60" w:after="60" w:line="360" w:lineRule="auto"/>
        <w:ind w:left="108" w:rightChars="30" w:right="66"/>
        <w:rPr>
          <w:lang w:val="en-GB"/>
        </w:rPr>
      </w:pPr>
      <w:r w:rsidRPr="00EE2E24">
        <w:rPr>
          <w:lang w:val="en-GB"/>
        </w:rPr>
        <w:t>Two subpopulations</w:t>
      </w:r>
      <w:r w:rsidRPr="00F53BC2">
        <w:rPr>
          <w:lang w:val="en-GB"/>
        </w:rPr>
        <w:t xml:space="preserve"> </w:t>
      </w:r>
      <w:r w:rsidRPr="00EE2E24">
        <w:rPr>
          <w:lang w:val="en-GB"/>
        </w:rPr>
        <w:t>were</w:t>
      </w:r>
      <w:r w:rsidRPr="00F53BC2">
        <w:rPr>
          <w:lang w:val="en-GB"/>
        </w:rPr>
        <w:t xml:space="preserve"> </w:t>
      </w:r>
      <w:r w:rsidRPr="00EE2E24">
        <w:rPr>
          <w:lang w:val="en-GB"/>
        </w:rPr>
        <w:t>studied:</w:t>
      </w:r>
      <w:r w:rsidRPr="00F53BC2">
        <w:rPr>
          <w:lang w:val="en-GB"/>
        </w:rPr>
        <w:t xml:space="preserve"> </w:t>
      </w:r>
      <w:r w:rsidRPr="00EE2E24">
        <w:rPr>
          <w:lang w:val="en-GB"/>
        </w:rPr>
        <w:t>glucocorticoid-continuing</w:t>
      </w:r>
      <w:r w:rsidRPr="00F53BC2">
        <w:rPr>
          <w:lang w:val="en-GB"/>
        </w:rPr>
        <w:t xml:space="preserve"> </w:t>
      </w:r>
      <w:r w:rsidRPr="00EE2E24">
        <w:rPr>
          <w:lang w:val="en-GB"/>
        </w:rPr>
        <w:t>(≥</w:t>
      </w:r>
      <w:r w:rsidRPr="00F53BC2">
        <w:rPr>
          <w:lang w:val="en-GB"/>
        </w:rPr>
        <w:t xml:space="preserve"> </w:t>
      </w:r>
      <w:r w:rsidRPr="00EE2E24">
        <w:rPr>
          <w:lang w:val="en-GB"/>
        </w:rPr>
        <w:t>7.5</w:t>
      </w:r>
      <w:r w:rsidRPr="00F53BC2">
        <w:rPr>
          <w:lang w:val="en-GB"/>
        </w:rPr>
        <w:t xml:space="preserve"> </w:t>
      </w:r>
      <w:r w:rsidRPr="00EE2E24">
        <w:rPr>
          <w:lang w:val="en-GB"/>
        </w:rPr>
        <w:t>mg</w:t>
      </w:r>
      <w:r w:rsidRPr="00F53BC2">
        <w:rPr>
          <w:lang w:val="en-GB"/>
        </w:rPr>
        <w:t xml:space="preserve"> </w:t>
      </w:r>
      <w:r w:rsidRPr="00EE2E24">
        <w:rPr>
          <w:lang w:val="en-GB"/>
        </w:rPr>
        <w:t>daily</w:t>
      </w:r>
      <w:r w:rsidRPr="00F53BC2">
        <w:rPr>
          <w:lang w:val="en-GB"/>
        </w:rPr>
        <w:t xml:space="preserve"> </w:t>
      </w:r>
      <w:r w:rsidRPr="00EE2E24">
        <w:rPr>
          <w:lang w:val="en-GB"/>
        </w:rPr>
        <w:t>prednisone</w:t>
      </w:r>
      <w:r w:rsidRPr="00F53BC2">
        <w:rPr>
          <w:lang w:val="en-GB"/>
        </w:rPr>
        <w:t xml:space="preserve"> </w:t>
      </w:r>
      <w:r w:rsidRPr="00EE2E24">
        <w:rPr>
          <w:lang w:val="en-GB"/>
        </w:rPr>
        <w:t>or its equivalent for ≥ 3 months prior to study enrollment and planning to continue</w:t>
      </w:r>
      <w:r w:rsidRPr="00F53BC2">
        <w:rPr>
          <w:lang w:val="en-GB"/>
        </w:rPr>
        <w:t xml:space="preserve"> </w:t>
      </w:r>
      <w:r w:rsidRPr="00EE2E24">
        <w:rPr>
          <w:lang w:val="en-GB"/>
        </w:rPr>
        <w:t>treatment for a total of at least 6 months; n = 505) and glucocorticoid-initiating (≥ 7.5 mg</w:t>
      </w:r>
      <w:r w:rsidRPr="00F53BC2">
        <w:rPr>
          <w:lang w:val="en-GB"/>
        </w:rPr>
        <w:t xml:space="preserve"> </w:t>
      </w:r>
      <w:r w:rsidRPr="00EE2E24">
        <w:rPr>
          <w:lang w:val="en-GB"/>
        </w:rPr>
        <w:t>daily prednisone or its equivalent for &lt; 3 months prior to study enrollment and planning to</w:t>
      </w:r>
      <w:r w:rsidRPr="00F53BC2">
        <w:rPr>
          <w:lang w:val="en-GB"/>
        </w:rPr>
        <w:t xml:space="preserve"> </w:t>
      </w:r>
      <w:r w:rsidRPr="00EE2E24">
        <w:rPr>
          <w:lang w:val="en-GB"/>
        </w:rPr>
        <w:t>continue treatment for a total of at least 6 months; n = 290).</w:t>
      </w:r>
      <w:r w:rsidRPr="00F53BC2">
        <w:rPr>
          <w:lang w:val="en-GB"/>
        </w:rPr>
        <w:t xml:space="preserve"> </w:t>
      </w:r>
      <w:r w:rsidRPr="00EE2E24">
        <w:rPr>
          <w:lang w:val="en-GB"/>
        </w:rPr>
        <w:t>Within each subpopulation,</w:t>
      </w:r>
      <w:r w:rsidRPr="00F53BC2">
        <w:rPr>
          <w:lang w:val="en-GB"/>
        </w:rPr>
        <w:t xml:space="preserve"> </w:t>
      </w:r>
      <w:r w:rsidRPr="00EE2E24">
        <w:rPr>
          <w:lang w:val="en-GB"/>
        </w:rPr>
        <w:t>randomisation was stratified by gender and patients were randomised (1:1) to receive</w:t>
      </w:r>
      <w:r w:rsidRPr="00F53BC2">
        <w:rPr>
          <w:lang w:val="en-GB"/>
        </w:rPr>
        <w:t xml:space="preserve"> </w:t>
      </w:r>
      <w:r w:rsidRPr="00EE2E24">
        <w:rPr>
          <w:lang w:val="en-GB"/>
        </w:rPr>
        <w:t>either</w:t>
      </w:r>
      <w:r w:rsidRPr="00F53BC2">
        <w:rPr>
          <w:lang w:val="en-GB"/>
        </w:rPr>
        <w:t xml:space="preserve"> </w:t>
      </w:r>
      <w:r w:rsidR="00E54398">
        <w:rPr>
          <w:lang w:val="en-GB"/>
        </w:rPr>
        <w:t>denosumab</w:t>
      </w:r>
      <w:r w:rsidR="00660140" w:rsidRPr="003444E8">
        <w:rPr>
          <w:lang w:val="en-GB"/>
        </w:rPr>
        <w:t xml:space="preserve"> </w:t>
      </w:r>
      <w:r w:rsidRPr="00EE2E24">
        <w:rPr>
          <w:lang w:val="en-GB"/>
        </w:rPr>
        <w:t>60 mg</w:t>
      </w:r>
      <w:r w:rsidRPr="00F53BC2">
        <w:rPr>
          <w:lang w:val="en-GB"/>
        </w:rPr>
        <w:t xml:space="preserve"> </w:t>
      </w:r>
      <w:r w:rsidRPr="00EE2E24">
        <w:rPr>
          <w:lang w:val="en-GB"/>
        </w:rPr>
        <w:t>subcutaneously</w:t>
      </w:r>
      <w:r w:rsidRPr="00F53BC2">
        <w:rPr>
          <w:lang w:val="en-GB"/>
        </w:rPr>
        <w:t xml:space="preserve"> </w:t>
      </w:r>
      <w:r w:rsidRPr="00EE2E24">
        <w:rPr>
          <w:lang w:val="en-GB"/>
        </w:rPr>
        <w:t>once</w:t>
      </w:r>
      <w:r w:rsidRPr="00F53BC2">
        <w:rPr>
          <w:lang w:val="en-GB"/>
        </w:rPr>
        <w:t xml:space="preserve"> </w:t>
      </w:r>
      <w:r w:rsidRPr="00EE2E24">
        <w:rPr>
          <w:lang w:val="en-GB"/>
        </w:rPr>
        <w:t>every</w:t>
      </w:r>
      <w:r w:rsidRPr="00F53BC2">
        <w:rPr>
          <w:lang w:val="en-GB"/>
        </w:rPr>
        <w:t xml:space="preserve"> </w:t>
      </w:r>
      <w:r w:rsidRPr="00EE2E24">
        <w:rPr>
          <w:lang w:val="en-GB"/>
        </w:rPr>
        <w:t>6</w:t>
      </w:r>
      <w:r w:rsidRPr="00F53BC2">
        <w:rPr>
          <w:lang w:val="en-GB"/>
        </w:rPr>
        <w:t xml:space="preserve"> </w:t>
      </w:r>
      <w:r w:rsidRPr="00EE2E24">
        <w:rPr>
          <w:lang w:val="en-GB"/>
        </w:rPr>
        <w:t>months</w:t>
      </w:r>
      <w:r w:rsidRPr="00F53BC2">
        <w:rPr>
          <w:lang w:val="en-GB"/>
        </w:rPr>
        <w:t xml:space="preserve"> </w:t>
      </w:r>
      <w:r w:rsidRPr="00EE2E24">
        <w:rPr>
          <w:lang w:val="en-GB"/>
        </w:rPr>
        <w:t>(n</w:t>
      </w:r>
      <w:r w:rsidRPr="00F53BC2">
        <w:rPr>
          <w:lang w:val="en-GB"/>
        </w:rPr>
        <w:t xml:space="preserve"> </w:t>
      </w:r>
      <w:r w:rsidRPr="00EE2E24">
        <w:rPr>
          <w:lang w:val="en-GB"/>
        </w:rPr>
        <w:t>=</w:t>
      </w:r>
      <w:r w:rsidRPr="00F53BC2">
        <w:rPr>
          <w:lang w:val="en-GB"/>
        </w:rPr>
        <w:t xml:space="preserve"> </w:t>
      </w:r>
      <w:r w:rsidRPr="00EE2E24">
        <w:rPr>
          <w:lang w:val="en-GB"/>
        </w:rPr>
        <w:t>398)</w:t>
      </w:r>
      <w:r w:rsidRPr="00F53BC2">
        <w:rPr>
          <w:lang w:val="en-GB"/>
        </w:rPr>
        <w:t xml:space="preserve"> </w:t>
      </w:r>
      <w:r w:rsidRPr="00EE2E24">
        <w:rPr>
          <w:lang w:val="en-GB"/>
        </w:rPr>
        <w:t>or</w:t>
      </w:r>
      <w:r w:rsidRPr="00F53BC2">
        <w:rPr>
          <w:lang w:val="en-GB"/>
        </w:rPr>
        <w:t xml:space="preserve"> </w:t>
      </w:r>
      <w:r w:rsidRPr="00EE2E24">
        <w:rPr>
          <w:lang w:val="en-GB"/>
        </w:rPr>
        <w:t>oral</w:t>
      </w:r>
      <w:r w:rsidRPr="00F53BC2">
        <w:rPr>
          <w:lang w:val="en-GB"/>
        </w:rPr>
        <w:t xml:space="preserve"> </w:t>
      </w:r>
      <w:r w:rsidRPr="00EE2E24">
        <w:rPr>
          <w:lang w:val="en-GB"/>
        </w:rPr>
        <w:t>risedronate</w:t>
      </w:r>
      <w:r w:rsidR="00660140">
        <w:rPr>
          <w:lang w:val="en-GB"/>
        </w:rPr>
        <w:t xml:space="preserve"> </w:t>
      </w:r>
      <w:r w:rsidRPr="00EE2E24">
        <w:rPr>
          <w:lang w:val="en-GB"/>
        </w:rPr>
        <w:t>5 mg once daily (active control) (n = 397).</w:t>
      </w:r>
      <w:r w:rsidRPr="00F53BC2">
        <w:rPr>
          <w:lang w:val="en-GB"/>
        </w:rPr>
        <w:t xml:space="preserve"> </w:t>
      </w:r>
      <w:r w:rsidRPr="00EE2E24">
        <w:rPr>
          <w:lang w:val="en-GB"/>
        </w:rPr>
        <w:t>All patients were to receive at least 1,000 mg</w:t>
      </w:r>
      <w:r w:rsidRPr="00F53BC2">
        <w:rPr>
          <w:lang w:val="en-GB"/>
        </w:rPr>
        <w:t xml:space="preserve"> </w:t>
      </w:r>
      <w:r w:rsidRPr="00EE2E24">
        <w:rPr>
          <w:lang w:val="en-GB"/>
        </w:rPr>
        <w:t>calcium</w:t>
      </w:r>
      <w:r w:rsidRPr="00F53BC2">
        <w:rPr>
          <w:lang w:val="en-GB"/>
        </w:rPr>
        <w:t xml:space="preserve"> </w:t>
      </w:r>
      <w:r w:rsidRPr="00EE2E24">
        <w:rPr>
          <w:lang w:val="en-GB"/>
        </w:rPr>
        <w:t>and</w:t>
      </w:r>
      <w:r w:rsidRPr="00F53BC2">
        <w:rPr>
          <w:lang w:val="en-GB"/>
        </w:rPr>
        <w:t xml:space="preserve"> </w:t>
      </w:r>
      <w:r w:rsidRPr="00EE2E24">
        <w:rPr>
          <w:lang w:val="en-GB"/>
        </w:rPr>
        <w:t>800</w:t>
      </w:r>
      <w:r w:rsidRPr="00F53BC2">
        <w:rPr>
          <w:lang w:val="en-GB"/>
        </w:rPr>
        <w:t xml:space="preserve"> </w:t>
      </w:r>
      <w:r w:rsidRPr="00EE2E24">
        <w:rPr>
          <w:lang w:val="en-GB"/>
        </w:rPr>
        <w:t>IU</w:t>
      </w:r>
      <w:r w:rsidRPr="00F53BC2">
        <w:rPr>
          <w:lang w:val="en-GB"/>
        </w:rPr>
        <w:t xml:space="preserve"> </w:t>
      </w:r>
      <w:r w:rsidRPr="00EE2E24">
        <w:rPr>
          <w:lang w:val="en-GB"/>
        </w:rPr>
        <w:t>vitamin D</w:t>
      </w:r>
      <w:r w:rsidRPr="00F53BC2">
        <w:rPr>
          <w:lang w:val="en-GB"/>
        </w:rPr>
        <w:t xml:space="preserve"> </w:t>
      </w:r>
      <w:r w:rsidRPr="00EE2E24">
        <w:rPr>
          <w:lang w:val="en-GB"/>
        </w:rPr>
        <w:t>supplementation</w:t>
      </w:r>
      <w:r w:rsidRPr="00F53BC2">
        <w:rPr>
          <w:lang w:val="en-GB"/>
        </w:rPr>
        <w:t xml:space="preserve"> </w:t>
      </w:r>
      <w:r w:rsidRPr="00EE2E24">
        <w:rPr>
          <w:lang w:val="en-GB"/>
        </w:rPr>
        <w:t>daily.</w:t>
      </w:r>
    </w:p>
    <w:p w14:paraId="353E1F7A" w14:textId="5916ECEA"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Enrolled patients &lt; 50 years of age were required to have a history of osteoporotic</w:t>
      </w:r>
      <w:r w:rsidRPr="00F53BC2">
        <w:rPr>
          <w:lang w:val="en-GB"/>
        </w:rPr>
        <w:t xml:space="preserve"> </w:t>
      </w:r>
      <w:r w:rsidRPr="00EE2E24">
        <w:rPr>
          <w:lang w:val="en-GB"/>
        </w:rPr>
        <w:t>fracture.</w:t>
      </w:r>
      <w:r w:rsidRPr="00F53BC2">
        <w:rPr>
          <w:lang w:val="en-GB"/>
        </w:rPr>
        <w:t xml:space="preserve"> </w:t>
      </w:r>
      <w:r w:rsidRPr="00EE2E24">
        <w:rPr>
          <w:lang w:val="en-GB"/>
        </w:rPr>
        <w:t>Enrolled patients ≥ 50 years of age who were in the glucocorticoid-continuing</w:t>
      </w:r>
      <w:r w:rsidRPr="00F53BC2">
        <w:rPr>
          <w:lang w:val="en-GB"/>
        </w:rPr>
        <w:t xml:space="preserve"> </w:t>
      </w:r>
      <w:r w:rsidRPr="00EE2E24">
        <w:rPr>
          <w:lang w:val="en-GB"/>
        </w:rPr>
        <w:t>subpopulation were required to have a baseline BMD T-score of ≤ -2.0 at the lumbar</w:t>
      </w:r>
      <w:r w:rsidRPr="00F53BC2">
        <w:rPr>
          <w:lang w:val="en-GB"/>
        </w:rPr>
        <w:t xml:space="preserve"> </w:t>
      </w:r>
      <w:r w:rsidRPr="00EE2E24">
        <w:rPr>
          <w:lang w:val="en-GB"/>
        </w:rPr>
        <w:t>spine, total hip, or femoral neck; or a BMD T-score ≤ -1.0 at the lumbar spine, total hip,</w:t>
      </w:r>
      <w:r w:rsidRPr="00F53BC2">
        <w:rPr>
          <w:lang w:val="en-GB"/>
        </w:rPr>
        <w:t xml:space="preserve"> </w:t>
      </w:r>
      <w:r w:rsidRPr="00EE2E24">
        <w:rPr>
          <w:lang w:val="en-GB"/>
        </w:rPr>
        <w:t>or</w:t>
      </w:r>
      <w:r w:rsidRPr="00F53BC2">
        <w:rPr>
          <w:lang w:val="en-GB"/>
        </w:rPr>
        <w:t xml:space="preserve"> </w:t>
      </w:r>
      <w:r w:rsidRPr="00EE2E24">
        <w:rPr>
          <w:lang w:val="en-GB"/>
        </w:rPr>
        <w:t>femoral neck and</w:t>
      </w:r>
      <w:r w:rsidRPr="00F53BC2">
        <w:rPr>
          <w:lang w:val="en-GB"/>
        </w:rPr>
        <w:t xml:space="preserve"> </w:t>
      </w:r>
      <w:r w:rsidRPr="00EE2E24">
        <w:rPr>
          <w:lang w:val="en-GB"/>
        </w:rPr>
        <w:t>a history of</w:t>
      </w:r>
      <w:r w:rsidRPr="00F53BC2">
        <w:rPr>
          <w:lang w:val="en-GB"/>
        </w:rPr>
        <w:t xml:space="preserve"> </w:t>
      </w:r>
      <w:r w:rsidRPr="00EE2E24">
        <w:rPr>
          <w:lang w:val="en-GB"/>
        </w:rPr>
        <w:t>osteoporotic fracture.</w:t>
      </w:r>
    </w:p>
    <w:p w14:paraId="3EBBAFA2" w14:textId="0FD8F73E" w:rsidR="006E62CD" w:rsidRPr="001F0CCE" w:rsidRDefault="00CB520A" w:rsidP="00D258EC">
      <w:pPr>
        <w:pStyle w:val="Heading3"/>
        <w:adjustRightInd w:val="0"/>
        <w:snapToGrid w:val="0"/>
        <w:spacing w:before="60" w:after="60" w:line="360" w:lineRule="auto"/>
        <w:ind w:left="108" w:rightChars="30" w:right="66"/>
        <w:rPr>
          <w:lang w:val="en-GB"/>
        </w:rPr>
      </w:pPr>
      <w:r w:rsidRPr="00EE2E24">
        <w:rPr>
          <w:lang w:val="en-GB"/>
        </w:rPr>
        <w:t>Table 8. Baseline Characteristics in Women and Men with Bone Loss Associated</w:t>
      </w:r>
      <w:r w:rsidRPr="00660140">
        <w:rPr>
          <w:lang w:val="en-GB"/>
        </w:rPr>
        <w:t xml:space="preserve"> </w:t>
      </w:r>
      <w:r w:rsidRPr="00EE2E24">
        <w:rPr>
          <w:lang w:val="en-GB"/>
        </w:rPr>
        <w:t>with</w:t>
      </w:r>
      <w:r w:rsidRPr="00660140">
        <w:rPr>
          <w:lang w:val="en-GB"/>
        </w:rPr>
        <w:t xml:space="preserve"> </w:t>
      </w:r>
      <w:r w:rsidRPr="00EE2E24">
        <w:rPr>
          <w:lang w:val="en-GB"/>
        </w:rPr>
        <w:t>Glucocorticoid</w:t>
      </w:r>
      <w:r w:rsidRPr="00660140">
        <w:rPr>
          <w:lang w:val="en-GB"/>
        </w:rPr>
        <w:t xml:space="preserve"> </w:t>
      </w:r>
      <w:r w:rsidRPr="00EE2E24">
        <w:rPr>
          <w:lang w:val="en-GB"/>
        </w:rPr>
        <w:t>Therapy</w:t>
      </w:r>
      <w:r w:rsidRPr="00660140">
        <w:rPr>
          <w:lang w:val="en-GB"/>
        </w:rPr>
        <w:t xml:space="preserve"> </w:t>
      </w:r>
      <w:r w:rsidRPr="00EE2E24">
        <w:rPr>
          <w:lang w:val="en-GB"/>
        </w:rPr>
        <w:t>(</w:t>
      </w:r>
      <w:r w:rsidR="001328D6">
        <w:rPr>
          <w:lang w:val="en-GB"/>
        </w:rPr>
        <w:t>Denosumab</w:t>
      </w:r>
      <w:r w:rsidRPr="00660140">
        <w:rPr>
          <w:lang w:val="en-GB"/>
        </w:rPr>
        <w:t xml:space="preserve"> </w:t>
      </w:r>
      <w:r w:rsidRPr="00EE2E24">
        <w:rPr>
          <w:lang w:val="en-GB"/>
        </w:rPr>
        <w:t>vs Risedronate)</w:t>
      </w:r>
    </w:p>
    <w:tbl>
      <w:tblPr>
        <w:tblStyle w:val="NormalTable0"/>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1617"/>
        <w:gridCol w:w="1618"/>
        <w:gridCol w:w="1618"/>
        <w:gridCol w:w="1618"/>
      </w:tblGrid>
      <w:tr w:rsidR="00FA4FC4" w:rsidRPr="004D78AA" w14:paraId="3B6E8EED" w14:textId="77777777" w:rsidTr="00FE64AF">
        <w:trPr>
          <w:trHeight w:val="360"/>
          <w:tblHeader/>
        </w:trPr>
        <w:tc>
          <w:tcPr>
            <w:tcW w:w="1926" w:type="dxa"/>
          </w:tcPr>
          <w:p w14:paraId="414DA53B" w14:textId="77777777" w:rsidR="006E62CD" w:rsidRPr="00FF4465" w:rsidRDefault="006E62CD" w:rsidP="00D258EC">
            <w:pPr>
              <w:pStyle w:val="TableParagraph"/>
              <w:adjustRightInd w:val="0"/>
              <w:snapToGrid w:val="0"/>
              <w:spacing w:after="60" w:line="360" w:lineRule="auto"/>
              <w:ind w:left="108" w:rightChars="30" w:right="66"/>
              <w:rPr>
                <w:rFonts w:ascii="Times New Roman"/>
                <w:sz w:val="20"/>
                <w:szCs w:val="20"/>
                <w:lang w:val="en-GB"/>
              </w:rPr>
            </w:pPr>
          </w:p>
        </w:tc>
        <w:tc>
          <w:tcPr>
            <w:tcW w:w="3235" w:type="dxa"/>
            <w:gridSpan w:val="2"/>
          </w:tcPr>
          <w:p w14:paraId="5AC897E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Glucocorticoid-initiating</w:t>
            </w:r>
          </w:p>
        </w:tc>
        <w:tc>
          <w:tcPr>
            <w:tcW w:w="3236" w:type="dxa"/>
            <w:gridSpan w:val="2"/>
          </w:tcPr>
          <w:p w14:paraId="5C797AF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Glucocorticoid-continuing</w:t>
            </w:r>
          </w:p>
        </w:tc>
      </w:tr>
      <w:tr w:rsidR="00FA4FC4" w:rsidRPr="004D78AA" w14:paraId="4CD850B3" w14:textId="77777777" w:rsidTr="00FE64AF">
        <w:trPr>
          <w:trHeight w:val="660"/>
          <w:tblHeader/>
        </w:trPr>
        <w:tc>
          <w:tcPr>
            <w:tcW w:w="1926" w:type="dxa"/>
          </w:tcPr>
          <w:p w14:paraId="1B6DDAFD" w14:textId="77777777" w:rsidR="006E62CD" w:rsidRPr="00FF4465" w:rsidRDefault="006E62CD" w:rsidP="00D258EC">
            <w:pPr>
              <w:pStyle w:val="TableParagraph"/>
              <w:adjustRightInd w:val="0"/>
              <w:snapToGrid w:val="0"/>
              <w:spacing w:after="60" w:line="360" w:lineRule="auto"/>
              <w:ind w:left="108" w:rightChars="30" w:right="66"/>
              <w:rPr>
                <w:rFonts w:ascii="Times New Roman"/>
                <w:sz w:val="20"/>
                <w:szCs w:val="20"/>
                <w:lang w:val="en-GB"/>
              </w:rPr>
            </w:pPr>
          </w:p>
        </w:tc>
        <w:tc>
          <w:tcPr>
            <w:tcW w:w="1617" w:type="dxa"/>
          </w:tcPr>
          <w:p w14:paraId="52FEF325" w14:textId="77777777" w:rsidR="001F0CCE" w:rsidRPr="004923C5" w:rsidRDefault="00CB520A" w:rsidP="00D258EC">
            <w:pPr>
              <w:pStyle w:val="TableParagraph"/>
              <w:adjustRightInd w:val="0"/>
              <w:snapToGrid w:val="0"/>
              <w:spacing w:after="60" w:line="360" w:lineRule="auto"/>
              <w:ind w:left="108" w:rightChars="30" w:right="66"/>
              <w:rPr>
                <w:spacing w:val="-53"/>
                <w:sz w:val="20"/>
                <w:szCs w:val="20"/>
                <w:lang w:val="en-GB"/>
              </w:rPr>
            </w:pPr>
            <w:r w:rsidRPr="004923C5">
              <w:rPr>
                <w:sz w:val="20"/>
                <w:szCs w:val="20"/>
                <w:lang w:val="en-GB"/>
              </w:rPr>
              <w:t>Risedronate</w:t>
            </w:r>
            <w:r w:rsidRPr="004923C5">
              <w:rPr>
                <w:spacing w:val="-53"/>
                <w:sz w:val="20"/>
                <w:szCs w:val="20"/>
                <w:lang w:val="en-GB"/>
              </w:rPr>
              <w:t xml:space="preserve"> </w:t>
            </w:r>
          </w:p>
          <w:p w14:paraId="6076DAEC" w14:textId="0C206CEA"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w:t>
            </w:r>
            <w:r w:rsidRPr="004923C5">
              <w:rPr>
                <w:spacing w:val="-1"/>
                <w:sz w:val="20"/>
                <w:szCs w:val="20"/>
                <w:lang w:val="en-GB"/>
              </w:rPr>
              <w:t xml:space="preserve"> </w:t>
            </w:r>
            <w:r w:rsidRPr="004923C5">
              <w:rPr>
                <w:sz w:val="20"/>
                <w:szCs w:val="20"/>
                <w:lang w:val="en-GB"/>
              </w:rPr>
              <w:t>= 145)</w:t>
            </w:r>
          </w:p>
        </w:tc>
        <w:tc>
          <w:tcPr>
            <w:tcW w:w="1618" w:type="dxa"/>
          </w:tcPr>
          <w:p w14:paraId="4AB986B8" w14:textId="1191B1BC" w:rsidR="006E62CD" w:rsidRPr="004923C5" w:rsidRDefault="001328D6" w:rsidP="00D258EC">
            <w:pPr>
              <w:pStyle w:val="TableParagraph"/>
              <w:adjustRightInd w:val="0"/>
              <w:snapToGrid w:val="0"/>
              <w:spacing w:after="60" w:line="360" w:lineRule="auto"/>
              <w:ind w:left="108" w:rightChars="30" w:right="66"/>
              <w:rPr>
                <w:sz w:val="20"/>
                <w:szCs w:val="20"/>
                <w:lang w:val="en-GB"/>
              </w:rPr>
            </w:pPr>
            <w:r>
              <w:rPr>
                <w:sz w:val="20"/>
                <w:szCs w:val="20"/>
                <w:lang w:val="en-GB"/>
              </w:rPr>
              <w:t>Denosumab</w:t>
            </w:r>
          </w:p>
          <w:p w14:paraId="4A722BC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w:t>
            </w:r>
            <w:r w:rsidRPr="004923C5">
              <w:rPr>
                <w:spacing w:val="-1"/>
                <w:sz w:val="20"/>
                <w:szCs w:val="20"/>
                <w:lang w:val="en-GB"/>
              </w:rPr>
              <w:t xml:space="preserve"> </w:t>
            </w:r>
            <w:r w:rsidRPr="004923C5">
              <w:rPr>
                <w:sz w:val="20"/>
                <w:szCs w:val="20"/>
                <w:lang w:val="en-GB"/>
              </w:rPr>
              <w:t>= 145)</w:t>
            </w:r>
          </w:p>
        </w:tc>
        <w:tc>
          <w:tcPr>
            <w:tcW w:w="1618" w:type="dxa"/>
          </w:tcPr>
          <w:p w14:paraId="64A2BEC4" w14:textId="77777777" w:rsidR="001F0CCE" w:rsidRPr="004923C5" w:rsidRDefault="00CB520A" w:rsidP="00D258EC">
            <w:pPr>
              <w:pStyle w:val="TableParagraph"/>
              <w:adjustRightInd w:val="0"/>
              <w:snapToGrid w:val="0"/>
              <w:spacing w:after="60" w:line="360" w:lineRule="auto"/>
              <w:ind w:left="108" w:rightChars="30" w:right="66"/>
              <w:rPr>
                <w:spacing w:val="-53"/>
                <w:sz w:val="20"/>
                <w:szCs w:val="20"/>
                <w:lang w:val="en-GB"/>
              </w:rPr>
            </w:pPr>
            <w:r w:rsidRPr="004923C5">
              <w:rPr>
                <w:sz w:val="20"/>
                <w:szCs w:val="20"/>
                <w:lang w:val="en-GB"/>
              </w:rPr>
              <w:t>Risedronate</w:t>
            </w:r>
            <w:r w:rsidRPr="004923C5">
              <w:rPr>
                <w:spacing w:val="-53"/>
                <w:sz w:val="20"/>
                <w:szCs w:val="20"/>
                <w:lang w:val="en-GB"/>
              </w:rPr>
              <w:t xml:space="preserve"> </w:t>
            </w:r>
          </w:p>
          <w:p w14:paraId="1905DFC3" w14:textId="0F77090C"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w:t>
            </w:r>
            <w:r w:rsidRPr="004923C5">
              <w:rPr>
                <w:spacing w:val="-1"/>
                <w:sz w:val="20"/>
                <w:szCs w:val="20"/>
                <w:lang w:val="en-GB"/>
              </w:rPr>
              <w:t xml:space="preserve"> </w:t>
            </w:r>
            <w:r w:rsidRPr="004923C5">
              <w:rPr>
                <w:sz w:val="20"/>
                <w:szCs w:val="20"/>
                <w:lang w:val="en-GB"/>
              </w:rPr>
              <w:t>= 252)</w:t>
            </w:r>
          </w:p>
        </w:tc>
        <w:tc>
          <w:tcPr>
            <w:tcW w:w="1618" w:type="dxa"/>
          </w:tcPr>
          <w:p w14:paraId="1166025A" w14:textId="1D5C3338" w:rsidR="006E62CD" w:rsidRPr="004923C5" w:rsidRDefault="001328D6" w:rsidP="00D258EC">
            <w:pPr>
              <w:pStyle w:val="TableParagraph"/>
              <w:adjustRightInd w:val="0"/>
              <w:snapToGrid w:val="0"/>
              <w:spacing w:after="60" w:line="360" w:lineRule="auto"/>
              <w:ind w:left="108" w:rightChars="30" w:right="66"/>
              <w:rPr>
                <w:sz w:val="20"/>
                <w:szCs w:val="20"/>
                <w:lang w:val="en-GB"/>
              </w:rPr>
            </w:pPr>
            <w:r>
              <w:rPr>
                <w:sz w:val="20"/>
                <w:szCs w:val="20"/>
                <w:lang w:val="en-GB"/>
              </w:rPr>
              <w:t>Denosumab</w:t>
            </w:r>
          </w:p>
          <w:p w14:paraId="1174E74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(N</w:t>
            </w:r>
            <w:r w:rsidRPr="004923C5">
              <w:rPr>
                <w:spacing w:val="-1"/>
                <w:sz w:val="20"/>
                <w:szCs w:val="20"/>
                <w:lang w:val="en-GB"/>
              </w:rPr>
              <w:t xml:space="preserve"> </w:t>
            </w:r>
            <w:r w:rsidRPr="004923C5">
              <w:rPr>
                <w:sz w:val="20"/>
                <w:szCs w:val="20"/>
                <w:lang w:val="en-GB"/>
              </w:rPr>
              <w:t>= 253)</w:t>
            </w:r>
          </w:p>
        </w:tc>
      </w:tr>
      <w:tr w:rsidR="00FA4FC4" w:rsidRPr="004D78AA" w14:paraId="160BF68E" w14:textId="77777777" w:rsidTr="004923C5">
        <w:trPr>
          <w:trHeight w:val="359"/>
        </w:trPr>
        <w:tc>
          <w:tcPr>
            <w:tcW w:w="8397" w:type="dxa"/>
            <w:gridSpan w:val="5"/>
          </w:tcPr>
          <w:p w14:paraId="219CC3B0" w14:textId="77777777" w:rsidR="006E62CD" w:rsidRPr="004923C5" w:rsidRDefault="00CB520A" w:rsidP="00D258EC">
            <w:pPr>
              <w:pStyle w:val="TableParagraph"/>
              <w:adjustRightInd w:val="0"/>
              <w:snapToGrid w:val="0"/>
              <w:spacing w:after="60" w:line="360" w:lineRule="auto"/>
              <w:ind w:left="108" w:rightChars="30" w:right="66"/>
              <w:rPr>
                <w:b/>
                <w:sz w:val="20"/>
                <w:szCs w:val="20"/>
                <w:lang w:val="en-GB"/>
              </w:rPr>
            </w:pPr>
            <w:r w:rsidRPr="00FF4465">
              <w:rPr>
                <w:b/>
                <w:sz w:val="20"/>
                <w:szCs w:val="20"/>
                <w:lang w:val="en-GB"/>
              </w:rPr>
              <w:t>Gender,</w:t>
            </w:r>
            <w:r w:rsidRPr="00FF4465">
              <w:rPr>
                <w:b/>
                <w:spacing w:val="-1"/>
                <w:sz w:val="20"/>
                <w:szCs w:val="20"/>
                <w:lang w:val="en-GB"/>
              </w:rPr>
              <w:t xml:space="preserve"> </w:t>
            </w:r>
            <w:r w:rsidRPr="000A2300">
              <w:rPr>
                <w:b/>
                <w:sz w:val="20"/>
                <w:szCs w:val="20"/>
                <w:lang w:val="en-GB"/>
              </w:rPr>
              <w:t>n (%)</w:t>
            </w:r>
          </w:p>
        </w:tc>
      </w:tr>
      <w:tr w:rsidR="00FA4FC4" w:rsidRPr="004D78AA" w14:paraId="25A6A59F" w14:textId="77777777" w:rsidTr="004923C5">
        <w:trPr>
          <w:trHeight w:val="360"/>
        </w:trPr>
        <w:tc>
          <w:tcPr>
            <w:tcW w:w="1926" w:type="dxa"/>
          </w:tcPr>
          <w:p w14:paraId="63FE613A" w14:textId="77777777" w:rsidR="006E62CD" w:rsidRPr="00FF4465"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Male</w:t>
            </w:r>
          </w:p>
        </w:tc>
        <w:tc>
          <w:tcPr>
            <w:tcW w:w="1617" w:type="dxa"/>
          </w:tcPr>
          <w:p w14:paraId="30E4DE6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52</w:t>
            </w:r>
            <w:r w:rsidRPr="004923C5">
              <w:rPr>
                <w:spacing w:val="-1"/>
                <w:sz w:val="20"/>
                <w:szCs w:val="20"/>
                <w:lang w:val="en-GB"/>
              </w:rPr>
              <w:t xml:space="preserve"> </w:t>
            </w:r>
            <w:r w:rsidRPr="004923C5">
              <w:rPr>
                <w:sz w:val="20"/>
                <w:szCs w:val="20"/>
                <w:lang w:val="en-GB"/>
              </w:rPr>
              <w:t>(35.9)</w:t>
            </w:r>
          </w:p>
        </w:tc>
        <w:tc>
          <w:tcPr>
            <w:tcW w:w="1618" w:type="dxa"/>
          </w:tcPr>
          <w:p w14:paraId="5734608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52</w:t>
            </w:r>
            <w:r w:rsidRPr="004923C5">
              <w:rPr>
                <w:spacing w:val="-1"/>
                <w:sz w:val="20"/>
                <w:szCs w:val="20"/>
                <w:lang w:val="en-GB"/>
              </w:rPr>
              <w:t xml:space="preserve"> </w:t>
            </w:r>
            <w:r w:rsidRPr="004923C5">
              <w:rPr>
                <w:sz w:val="20"/>
                <w:szCs w:val="20"/>
                <w:lang w:val="en-GB"/>
              </w:rPr>
              <w:t>(35.9)</w:t>
            </w:r>
          </w:p>
        </w:tc>
        <w:tc>
          <w:tcPr>
            <w:tcW w:w="1618" w:type="dxa"/>
          </w:tcPr>
          <w:p w14:paraId="0F679F0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67</w:t>
            </w:r>
            <w:r w:rsidRPr="004923C5">
              <w:rPr>
                <w:spacing w:val="-1"/>
                <w:sz w:val="20"/>
                <w:szCs w:val="20"/>
                <w:lang w:val="en-GB"/>
              </w:rPr>
              <w:t xml:space="preserve"> </w:t>
            </w:r>
            <w:r w:rsidRPr="004923C5">
              <w:rPr>
                <w:sz w:val="20"/>
                <w:szCs w:val="20"/>
                <w:lang w:val="en-GB"/>
              </w:rPr>
              <w:t>(26.6)</w:t>
            </w:r>
          </w:p>
        </w:tc>
        <w:tc>
          <w:tcPr>
            <w:tcW w:w="1618" w:type="dxa"/>
          </w:tcPr>
          <w:p w14:paraId="154C27FC"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68</w:t>
            </w:r>
            <w:r w:rsidRPr="004923C5">
              <w:rPr>
                <w:spacing w:val="-1"/>
                <w:sz w:val="20"/>
                <w:szCs w:val="20"/>
                <w:lang w:val="en-GB"/>
              </w:rPr>
              <w:t xml:space="preserve"> </w:t>
            </w:r>
            <w:r w:rsidRPr="004923C5">
              <w:rPr>
                <w:sz w:val="20"/>
                <w:szCs w:val="20"/>
                <w:lang w:val="en-GB"/>
              </w:rPr>
              <w:t>(26.9)</w:t>
            </w:r>
          </w:p>
        </w:tc>
      </w:tr>
      <w:tr w:rsidR="00FA4FC4" w:rsidRPr="004D78AA" w14:paraId="45BFC265" w14:textId="77777777" w:rsidTr="004923C5">
        <w:trPr>
          <w:trHeight w:val="359"/>
        </w:trPr>
        <w:tc>
          <w:tcPr>
            <w:tcW w:w="1926" w:type="dxa"/>
          </w:tcPr>
          <w:p w14:paraId="052C8BA6" w14:textId="77777777" w:rsidR="006E62CD" w:rsidRPr="00FF4465"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Female</w:t>
            </w:r>
          </w:p>
        </w:tc>
        <w:tc>
          <w:tcPr>
            <w:tcW w:w="1617" w:type="dxa"/>
          </w:tcPr>
          <w:p w14:paraId="18F60C5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93</w:t>
            </w:r>
            <w:r w:rsidRPr="004923C5">
              <w:rPr>
                <w:spacing w:val="-1"/>
                <w:sz w:val="20"/>
                <w:szCs w:val="20"/>
                <w:lang w:val="en-GB"/>
              </w:rPr>
              <w:t xml:space="preserve"> </w:t>
            </w:r>
            <w:r w:rsidRPr="004923C5">
              <w:rPr>
                <w:sz w:val="20"/>
                <w:szCs w:val="20"/>
                <w:lang w:val="en-GB"/>
              </w:rPr>
              <w:t>(64.1)</w:t>
            </w:r>
          </w:p>
        </w:tc>
        <w:tc>
          <w:tcPr>
            <w:tcW w:w="1618" w:type="dxa"/>
          </w:tcPr>
          <w:p w14:paraId="32441F7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93</w:t>
            </w:r>
            <w:r w:rsidRPr="004923C5">
              <w:rPr>
                <w:spacing w:val="-1"/>
                <w:sz w:val="20"/>
                <w:szCs w:val="20"/>
                <w:lang w:val="en-GB"/>
              </w:rPr>
              <w:t xml:space="preserve"> </w:t>
            </w:r>
            <w:r w:rsidRPr="004923C5">
              <w:rPr>
                <w:sz w:val="20"/>
                <w:szCs w:val="20"/>
                <w:lang w:val="en-GB"/>
              </w:rPr>
              <w:t>(64.1)</w:t>
            </w:r>
          </w:p>
        </w:tc>
        <w:tc>
          <w:tcPr>
            <w:tcW w:w="1618" w:type="dxa"/>
          </w:tcPr>
          <w:p w14:paraId="7A77614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185 (73.4)</w:t>
            </w:r>
          </w:p>
        </w:tc>
        <w:tc>
          <w:tcPr>
            <w:tcW w:w="1618" w:type="dxa"/>
          </w:tcPr>
          <w:p w14:paraId="50DCE81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185 (73.1)</w:t>
            </w:r>
          </w:p>
        </w:tc>
      </w:tr>
      <w:tr w:rsidR="00FA4FC4" w:rsidRPr="004D78AA" w14:paraId="3099A447" w14:textId="77777777" w:rsidTr="004923C5">
        <w:trPr>
          <w:trHeight w:val="359"/>
        </w:trPr>
        <w:tc>
          <w:tcPr>
            <w:tcW w:w="8397" w:type="dxa"/>
            <w:gridSpan w:val="5"/>
          </w:tcPr>
          <w:p w14:paraId="68917DF2" w14:textId="77777777" w:rsidR="006E62CD" w:rsidRPr="004923C5" w:rsidRDefault="00CB520A" w:rsidP="00D258EC">
            <w:pPr>
              <w:pStyle w:val="TableParagraph"/>
              <w:adjustRightInd w:val="0"/>
              <w:snapToGrid w:val="0"/>
              <w:spacing w:after="60" w:line="360" w:lineRule="auto"/>
              <w:ind w:left="108" w:rightChars="30" w:right="66"/>
              <w:rPr>
                <w:b/>
                <w:sz w:val="20"/>
                <w:szCs w:val="20"/>
                <w:lang w:val="en-GB"/>
              </w:rPr>
            </w:pPr>
            <w:r w:rsidRPr="00FF4465">
              <w:rPr>
                <w:b/>
                <w:sz w:val="20"/>
                <w:szCs w:val="20"/>
                <w:lang w:val="en-GB"/>
              </w:rPr>
              <w:t>Age</w:t>
            </w:r>
            <w:r w:rsidRPr="00FF4465">
              <w:rPr>
                <w:b/>
                <w:spacing w:val="-1"/>
                <w:sz w:val="20"/>
                <w:szCs w:val="20"/>
                <w:lang w:val="en-GB"/>
              </w:rPr>
              <w:t xml:space="preserve"> </w:t>
            </w:r>
            <w:r w:rsidRPr="000A2300">
              <w:rPr>
                <w:b/>
                <w:sz w:val="20"/>
                <w:szCs w:val="20"/>
                <w:lang w:val="en-GB"/>
              </w:rPr>
              <w:t>group,</w:t>
            </w:r>
            <w:r w:rsidRPr="004923C5">
              <w:rPr>
                <w:b/>
                <w:spacing w:val="-1"/>
                <w:sz w:val="20"/>
                <w:szCs w:val="20"/>
                <w:lang w:val="en-GB"/>
              </w:rPr>
              <w:t xml:space="preserve"> </w:t>
            </w:r>
            <w:r w:rsidRPr="004923C5">
              <w:rPr>
                <w:b/>
                <w:sz w:val="20"/>
                <w:szCs w:val="20"/>
                <w:lang w:val="en-GB"/>
              </w:rPr>
              <w:t>n (%)</w:t>
            </w:r>
          </w:p>
        </w:tc>
      </w:tr>
      <w:tr w:rsidR="00FA4FC4" w:rsidRPr="004D78AA" w14:paraId="64859DD1" w14:textId="77777777" w:rsidTr="004923C5">
        <w:trPr>
          <w:trHeight w:val="360"/>
        </w:trPr>
        <w:tc>
          <w:tcPr>
            <w:tcW w:w="1926" w:type="dxa"/>
          </w:tcPr>
          <w:p w14:paraId="113FF8D5" w14:textId="77777777" w:rsidR="006E62CD" w:rsidRPr="00FF4465"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lastRenderedPageBreak/>
              <w:t>&lt; 50 years</w:t>
            </w:r>
          </w:p>
        </w:tc>
        <w:tc>
          <w:tcPr>
            <w:tcW w:w="1617" w:type="dxa"/>
          </w:tcPr>
          <w:p w14:paraId="5E39D05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5 (3.4)</w:t>
            </w:r>
          </w:p>
        </w:tc>
        <w:tc>
          <w:tcPr>
            <w:tcW w:w="1618" w:type="dxa"/>
          </w:tcPr>
          <w:p w14:paraId="6AFA154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 (1.4)</w:t>
            </w:r>
          </w:p>
        </w:tc>
        <w:tc>
          <w:tcPr>
            <w:tcW w:w="1618" w:type="dxa"/>
          </w:tcPr>
          <w:p w14:paraId="170E70A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26</w:t>
            </w:r>
            <w:r w:rsidRPr="004923C5">
              <w:rPr>
                <w:spacing w:val="-1"/>
                <w:sz w:val="20"/>
                <w:szCs w:val="20"/>
                <w:lang w:val="en-GB"/>
              </w:rPr>
              <w:t xml:space="preserve"> </w:t>
            </w:r>
            <w:r w:rsidRPr="004923C5">
              <w:rPr>
                <w:sz w:val="20"/>
                <w:szCs w:val="20"/>
                <w:lang w:val="en-GB"/>
              </w:rPr>
              <w:t>(10.3)</w:t>
            </w:r>
          </w:p>
        </w:tc>
        <w:tc>
          <w:tcPr>
            <w:tcW w:w="1618" w:type="dxa"/>
          </w:tcPr>
          <w:p w14:paraId="20046AE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33</w:t>
            </w:r>
            <w:r w:rsidRPr="004923C5">
              <w:rPr>
                <w:spacing w:val="-1"/>
                <w:sz w:val="20"/>
                <w:szCs w:val="20"/>
                <w:lang w:val="en-GB"/>
              </w:rPr>
              <w:t xml:space="preserve"> </w:t>
            </w:r>
            <w:r w:rsidRPr="004923C5">
              <w:rPr>
                <w:sz w:val="20"/>
                <w:szCs w:val="20"/>
                <w:lang w:val="en-GB"/>
              </w:rPr>
              <w:t>(13.0)</w:t>
            </w:r>
          </w:p>
        </w:tc>
      </w:tr>
      <w:tr w:rsidR="00FA4FC4" w:rsidRPr="004D78AA" w14:paraId="4BC3AF14" w14:textId="77777777" w:rsidTr="004923C5">
        <w:trPr>
          <w:trHeight w:val="359"/>
        </w:trPr>
        <w:tc>
          <w:tcPr>
            <w:tcW w:w="1926" w:type="dxa"/>
          </w:tcPr>
          <w:p w14:paraId="750457D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50</w:t>
            </w:r>
            <w:r w:rsidRPr="00FF4465">
              <w:rPr>
                <w:spacing w:val="-1"/>
                <w:sz w:val="20"/>
                <w:szCs w:val="20"/>
                <w:lang w:val="en-GB"/>
              </w:rPr>
              <w:t xml:space="preserve"> </w:t>
            </w:r>
            <w:r w:rsidRPr="000A2300">
              <w:rPr>
                <w:sz w:val="20"/>
                <w:szCs w:val="20"/>
                <w:lang w:val="en-GB"/>
              </w:rPr>
              <w:t>- 64</w:t>
            </w:r>
            <w:r w:rsidRPr="004923C5">
              <w:rPr>
                <w:spacing w:val="-2"/>
                <w:sz w:val="20"/>
                <w:szCs w:val="20"/>
                <w:lang w:val="en-GB"/>
              </w:rPr>
              <w:t xml:space="preserve"> </w:t>
            </w:r>
            <w:r w:rsidRPr="004923C5">
              <w:rPr>
                <w:sz w:val="20"/>
                <w:szCs w:val="20"/>
                <w:lang w:val="en-GB"/>
              </w:rPr>
              <w:t>years</w:t>
            </w:r>
          </w:p>
        </w:tc>
        <w:tc>
          <w:tcPr>
            <w:tcW w:w="1617" w:type="dxa"/>
          </w:tcPr>
          <w:p w14:paraId="42AA585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75</w:t>
            </w:r>
            <w:r w:rsidRPr="004923C5">
              <w:rPr>
                <w:spacing w:val="-1"/>
                <w:sz w:val="20"/>
                <w:szCs w:val="20"/>
                <w:lang w:val="en-GB"/>
              </w:rPr>
              <w:t xml:space="preserve"> </w:t>
            </w:r>
            <w:r w:rsidRPr="004923C5">
              <w:rPr>
                <w:sz w:val="20"/>
                <w:szCs w:val="20"/>
                <w:lang w:val="en-GB"/>
              </w:rPr>
              <w:t>(51.7)</w:t>
            </w:r>
          </w:p>
        </w:tc>
        <w:tc>
          <w:tcPr>
            <w:tcW w:w="1618" w:type="dxa"/>
          </w:tcPr>
          <w:p w14:paraId="1C0C43BF"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55</w:t>
            </w:r>
            <w:r w:rsidRPr="004923C5">
              <w:rPr>
                <w:spacing w:val="-1"/>
                <w:sz w:val="20"/>
                <w:szCs w:val="20"/>
                <w:lang w:val="en-GB"/>
              </w:rPr>
              <w:t xml:space="preserve"> </w:t>
            </w:r>
            <w:r w:rsidRPr="004923C5">
              <w:rPr>
                <w:sz w:val="20"/>
                <w:szCs w:val="20"/>
                <w:lang w:val="en-GB"/>
              </w:rPr>
              <w:t>(37.9)</w:t>
            </w:r>
          </w:p>
        </w:tc>
        <w:tc>
          <w:tcPr>
            <w:tcW w:w="1618" w:type="dxa"/>
          </w:tcPr>
          <w:p w14:paraId="1D8FC21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130 (51.6)</w:t>
            </w:r>
          </w:p>
        </w:tc>
        <w:tc>
          <w:tcPr>
            <w:tcW w:w="1618" w:type="dxa"/>
          </w:tcPr>
          <w:p w14:paraId="2F14CB3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114 (45.1)</w:t>
            </w:r>
          </w:p>
        </w:tc>
      </w:tr>
      <w:tr w:rsidR="00FA4FC4" w:rsidRPr="004D78AA" w14:paraId="4AC20130" w14:textId="77777777" w:rsidTr="004923C5">
        <w:trPr>
          <w:trHeight w:val="359"/>
        </w:trPr>
        <w:tc>
          <w:tcPr>
            <w:tcW w:w="1926" w:type="dxa"/>
          </w:tcPr>
          <w:p w14:paraId="2D20666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65</w:t>
            </w:r>
            <w:r w:rsidRPr="00FF4465">
              <w:rPr>
                <w:spacing w:val="-1"/>
                <w:sz w:val="20"/>
                <w:szCs w:val="20"/>
                <w:lang w:val="en-GB"/>
              </w:rPr>
              <w:t xml:space="preserve"> </w:t>
            </w:r>
            <w:r w:rsidRPr="00FF4465">
              <w:rPr>
                <w:sz w:val="20"/>
                <w:szCs w:val="20"/>
                <w:lang w:val="en-GB"/>
              </w:rPr>
              <w:t>- 74</w:t>
            </w:r>
            <w:r w:rsidRPr="000A2300">
              <w:rPr>
                <w:spacing w:val="-2"/>
                <w:sz w:val="20"/>
                <w:szCs w:val="20"/>
                <w:lang w:val="en-GB"/>
              </w:rPr>
              <w:t xml:space="preserve"> </w:t>
            </w:r>
            <w:r w:rsidRPr="004923C5">
              <w:rPr>
                <w:sz w:val="20"/>
                <w:szCs w:val="20"/>
                <w:lang w:val="en-GB"/>
              </w:rPr>
              <w:t>years</w:t>
            </w:r>
          </w:p>
        </w:tc>
        <w:tc>
          <w:tcPr>
            <w:tcW w:w="1617" w:type="dxa"/>
          </w:tcPr>
          <w:p w14:paraId="4F05A34F"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38</w:t>
            </w:r>
            <w:r w:rsidRPr="004923C5">
              <w:rPr>
                <w:spacing w:val="-1"/>
                <w:sz w:val="20"/>
                <w:szCs w:val="20"/>
                <w:lang w:val="en-GB"/>
              </w:rPr>
              <w:t xml:space="preserve"> </w:t>
            </w:r>
            <w:r w:rsidRPr="004923C5">
              <w:rPr>
                <w:sz w:val="20"/>
                <w:szCs w:val="20"/>
                <w:lang w:val="en-GB"/>
              </w:rPr>
              <w:t>(26.2)</w:t>
            </w:r>
          </w:p>
        </w:tc>
        <w:tc>
          <w:tcPr>
            <w:tcW w:w="1618" w:type="dxa"/>
          </w:tcPr>
          <w:p w14:paraId="2656ED6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50</w:t>
            </w:r>
            <w:r w:rsidRPr="004923C5">
              <w:rPr>
                <w:spacing w:val="-2"/>
                <w:sz w:val="20"/>
                <w:szCs w:val="20"/>
                <w:lang w:val="en-GB"/>
              </w:rPr>
              <w:t xml:space="preserve"> </w:t>
            </w:r>
            <w:r w:rsidRPr="004923C5">
              <w:rPr>
                <w:sz w:val="20"/>
                <w:szCs w:val="20"/>
                <w:lang w:val="en-GB"/>
              </w:rPr>
              <w:t>(34.5)</w:t>
            </w:r>
          </w:p>
        </w:tc>
        <w:tc>
          <w:tcPr>
            <w:tcW w:w="1618" w:type="dxa"/>
          </w:tcPr>
          <w:p w14:paraId="6FDDA0B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62</w:t>
            </w:r>
            <w:r w:rsidRPr="004923C5">
              <w:rPr>
                <w:spacing w:val="-1"/>
                <w:sz w:val="20"/>
                <w:szCs w:val="20"/>
                <w:lang w:val="en-GB"/>
              </w:rPr>
              <w:t xml:space="preserve"> </w:t>
            </w:r>
            <w:r w:rsidRPr="004923C5">
              <w:rPr>
                <w:sz w:val="20"/>
                <w:szCs w:val="20"/>
                <w:lang w:val="en-GB"/>
              </w:rPr>
              <w:t>(24.6)</w:t>
            </w:r>
          </w:p>
        </w:tc>
        <w:tc>
          <w:tcPr>
            <w:tcW w:w="1618" w:type="dxa"/>
          </w:tcPr>
          <w:p w14:paraId="246B7DB3"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73</w:t>
            </w:r>
            <w:r w:rsidRPr="004923C5">
              <w:rPr>
                <w:spacing w:val="-1"/>
                <w:sz w:val="20"/>
                <w:szCs w:val="20"/>
                <w:lang w:val="en-GB"/>
              </w:rPr>
              <w:t xml:space="preserve"> </w:t>
            </w:r>
            <w:r w:rsidRPr="004923C5">
              <w:rPr>
                <w:sz w:val="20"/>
                <w:szCs w:val="20"/>
                <w:lang w:val="en-GB"/>
              </w:rPr>
              <w:t>(28.9)</w:t>
            </w:r>
          </w:p>
        </w:tc>
      </w:tr>
      <w:tr w:rsidR="00FA4FC4" w:rsidRPr="004D78AA" w14:paraId="3C82604C" w14:textId="77777777" w:rsidTr="004923C5">
        <w:trPr>
          <w:trHeight w:val="360"/>
        </w:trPr>
        <w:tc>
          <w:tcPr>
            <w:tcW w:w="1926" w:type="dxa"/>
          </w:tcPr>
          <w:p w14:paraId="0FB45B0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w:t>
            </w:r>
            <w:r w:rsidRPr="00FF4465">
              <w:rPr>
                <w:spacing w:val="-2"/>
                <w:sz w:val="20"/>
                <w:szCs w:val="20"/>
                <w:lang w:val="en-GB"/>
              </w:rPr>
              <w:t xml:space="preserve"> </w:t>
            </w:r>
            <w:r w:rsidRPr="00FF4465">
              <w:rPr>
                <w:sz w:val="20"/>
                <w:szCs w:val="20"/>
                <w:lang w:val="en-GB"/>
              </w:rPr>
              <w:t>75</w:t>
            </w:r>
            <w:r w:rsidRPr="000A2300">
              <w:rPr>
                <w:spacing w:val="-1"/>
                <w:sz w:val="20"/>
                <w:szCs w:val="20"/>
                <w:lang w:val="en-GB"/>
              </w:rPr>
              <w:t xml:space="preserve"> </w:t>
            </w:r>
            <w:r w:rsidRPr="004923C5">
              <w:rPr>
                <w:sz w:val="20"/>
                <w:szCs w:val="20"/>
                <w:lang w:val="en-GB"/>
              </w:rPr>
              <w:t>years</w:t>
            </w:r>
          </w:p>
        </w:tc>
        <w:tc>
          <w:tcPr>
            <w:tcW w:w="1617" w:type="dxa"/>
          </w:tcPr>
          <w:p w14:paraId="1514745C"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27</w:t>
            </w:r>
            <w:r w:rsidRPr="004923C5">
              <w:rPr>
                <w:spacing w:val="-1"/>
                <w:sz w:val="20"/>
                <w:szCs w:val="20"/>
                <w:lang w:val="en-GB"/>
              </w:rPr>
              <w:t xml:space="preserve"> </w:t>
            </w:r>
            <w:r w:rsidRPr="004923C5">
              <w:rPr>
                <w:sz w:val="20"/>
                <w:szCs w:val="20"/>
                <w:lang w:val="en-GB"/>
              </w:rPr>
              <w:t>(18.6)</w:t>
            </w:r>
          </w:p>
        </w:tc>
        <w:tc>
          <w:tcPr>
            <w:tcW w:w="1618" w:type="dxa"/>
          </w:tcPr>
          <w:p w14:paraId="4CC0A0F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38</w:t>
            </w:r>
            <w:r w:rsidRPr="004923C5">
              <w:rPr>
                <w:spacing w:val="-1"/>
                <w:sz w:val="20"/>
                <w:szCs w:val="20"/>
                <w:lang w:val="en-GB"/>
              </w:rPr>
              <w:t xml:space="preserve"> </w:t>
            </w:r>
            <w:r w:rsidRPr="004923C5">
              <w:rPr>
                <w:sz w:val="20"/>
                <w:szCs w:val="20"/>
                <w:lang w:val="en-GB"/>
              </w:rPr>
              <w:t>(26.2)</w:t>
            </w:r>
          </w:p>
        </w:tc>
        <w:tc>
          <w:tcPr>
            <w:tcW w:w="1618" w:type="dxa"/>
          </w:tcPr>
          <w:p w14:paraId="14EC491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34</w:t>
            </w:r>
            <w:r w:rsidRPr="004923C5">
              <w:rPr>
                <w:spacing w:val="-1"/>
                <w:sz w:val="20"/>
                <w:szCs w:val="20"/>
                <w:lang w:val="en-GB"/>
              </w:rPr>
              <w:t xml:space="preserve"> </w:t>
            </w:r>
            <w:r w:rsidRPr="004923C5">
              <w:rPr>
                <w:sz w:val="20"/>
                <w:szCs w:val="20"/>
                <w:lang w:val="en-GB"/>
              </w:rPr>
              <w:t>(13.5)</w:t>
            </w:r>
          </w:p>
        </w:tc>
        <w:tc>
          <w:tcPr>
            <w:tcW w:w="1618" w:type="dxa"/>
          </w:tcPr>
          <w:p w14:paraId="47BD195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33</w:t>
            </w:r>
            <w:r w:rsidRPr="004923C5">
              <w:rPr>
                <w:spacing w:val="-1"/>
                <w:sz w:val="20"/>
                <w:szCs w:val="20"/>
                <w:lang w:val="en-GB"/>
              </w:rPr>
              <w:t xml:space="preserve"> </w:t>
            </w:r>
            <w:r w:rsidRPr="004923C5">
              <w:rPr>
                <w:sz w:val="20"/>
                <w:szCs w:val="20"/>
                <w:lang w:val="en-GB"/>
              </w:rPr>
              <w:t>(13.0)</w:t>
            </w:r>
          </w:p>
        </w:tc>
      </w:tr>
      <w:tr w:rsidR="00FA4FC4" w:rsidRPr="004D78AA" w14:paraId="6C9414D7" w14:textId="77777777" w:rsidTr="004923C5">
        <w:trPr>
          <w:trHeight w:val="359"/>
        </w:trPr>
        <w:tc>
          <w:tcPr>
            <w:tcW w:w="8397" w:type="dxa"/>
            <w:gridSpan w:val="5"/>
          </w:tcPr>
          <w:p w14:paraId="70B50BD6" w14:textId="77777777" w:rsidR="006E62CD" w:rsidRPr="000A2300" w:rsidRDefault="00CB520A" w:rsidP="00D258EC">
            <w:pPr>
              <w:pStyle w:val="TableParagraph"/>
              <w:adjustRightInd w:val="0"/>
              <w:snapToGrid w:val="0"/>
              <w:spacing w:after="60" w:line="360" w:lineRule="auto"/>
              <w:ind w:left="108" w:rightChars="30" w:right="66"/>
              <w:rPr>
                <w:b/>
                <w:sz w:val="20"/>
                <w:szCs w:val="20"/>
                <w:lang w:val="en-GB"/>
              </w:rPr>
            </w:pPr>
            <w:r w:rsidRPr="00FF4465">
              <w:rPr>
                <w:b/>
                <w:sz w:val="20"/>
                <w:szCs w:val="20"/>
                <w:lang w:val="en-GB"/>
              </w:rPr>
              <w:t>Menopausal</w:t>
            </w:r>
            <w:r w:rsidRPr="00FF4465">
              <w:rPr>
                <w:b/>
                <w:spacing w:val="-2"/>
                <w:sz w:val="20"/>
                <w:szCs w:val="20"/>
                <w:lang w:val="en-GB"/>
              </w:rPr>
              <w:t xml:space="preserve"> </w:t>
            </w:r>
            <w:r w:rsidRPr="00FF4465">
              <w:rPr>
                <w:b/>
                <w:sz w:val="20"/>
                <w:szCs w:val="20"/>
                <w:lang w:val="en-GB"/>
              </w:rPr>
              <w:t>status, n (%)</w:t>
            </w:r>
          </w:p>
        </w:tc>
      </w:tr>
      <w:tr w:rsidR="00FA4FC4" w:rsidRPr="004D78AA" w14:paraId="09057230" w14:textId="77777777" w:rsidTr="004923C5">
        <w:trPr>
          <w:trHeight w:val="359"/>
        </w:trPr>
        <w:tc>
          <w:tcPr>
            <w:tcW w:w="1926" w:type="dxa"/>
          </w:tcPr>
          <w:p w14:paraId="07F05EF1" w14:textId="77777777" w:rsidR="006E62CD" w:rsidRPr="00FF4465"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Postmenopausal</w:t>
            </w:r>
          </w:p>
        </w:tc>
        <w:tc>
          <w:tcPr>
            <w:tcW w:w="1617" w:type="dxa"/>
          </w:tcPr>
          <w:p w14:paraId="2B76E72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83</w:t>
            </w:r>
            <w:r w:rsidRPr="004923C5">
              <w:rPr>
                <w:spacing w:val="-1"/>
                <w:sz w:val="20"/>
                <w:szCs w:val="20"/>
                <w:lang w:val="en-GB"/>
              </w:rPr>
              <w:t xml:space="preserve"> </w:t>
            </w:r>
            <w:r w:rsidRPr="004923C5">
              <w:rPr>
                <w:sz w:val="20"/>
                <w:szCs w:val="20"/>
                <w:lang w:val="en-GB"/>
              </w:rPr>
              <w:t>(89.2)</w:t>
            </w:r>
          </w:p>
        </w:tc>
        <w:tc>
          <w:tcPr>
            <w:tcW w:w="1618" w:type="dxa"/>
          </w:tcPr>
          <w:p w14:paraId="0B8E34A3"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82</w:t>
            </w:r>
            <w:r w:rsidRPr="004923C5">
              <w:rPr>
                <w:spacing w:val="-1"/>
                <w:sz w:val="20"/>
                <w:szCs w:val="20"/>
                <w:lang w:val="en-GB"/>
              </w:rPr>
              <w:t xml:space="preserve"> </w:t>
            </w:r>
            <w:r w:rsidRPr="004923C5">
              <w:rPr>
                <w:sz w:val="20"/>
                <w:szCs w:val="20"/>
                <w:lang w:val="en-GB"/>
              </w:rPr>
              <w:t>(88.2)</w:t>
            </w:r>
          </w:p>
        </w:tc>
        <w:tc>
          <w:tcPr>
            <w:tcW w:w="1618" w:type="dxa"/>
          </w:tcPr>
          <w:p w14:paraId="6985FB8C"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157 (84.9)</w:t>
            </w:r>
          </w:p>
        </w:tc>
        <w:tc>
          <w:tcPr>
            <w:tcW w:w="1618" w:type="dxa"/>
          </w:tcPr>
          <w:p w14:paraId="54101BC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159 (85.9)</w:t>
            </w:r>
          </w:p>
        </w:tc>
      </w:tr>
      <w:tr w:rsidR="00FA4FC4" w:rsidRPr="004D78AA" w14:paraId="109AB730" w14:textId="77777777" w:rsidTr="004923C5">
        <w:trPr>
          <w:trHeight w:val="360"/>
        </w:trPr>
        <w:tc>
          <w:tcPr>
            <w:tcW w:w="8397" w:type="dxa"/>
            <w:gridSpan w:val="5"/>
          </w:tcPr>
          <w:p w14:paraId="30FA6252" w14:textId="77777777" w:rsidR="006E62CD" w:rsidRPr="004923C5" w:rsidRDefault="00CB520A" w:rsidP="00D258EC">
            <w:pPr>
              <w:pStyle w:val="TableParagraph"/>
              <w:adjustRightInd w:val="0"/>
              <w:snapToGrid w:val="0"/>
              <w:spacing w:after="60" w:line="360" w:lineRule="auto"/>
              <w:ind w:left="108" w:rightChars="30" w:right="66"/>
              <w:rPr>
                <w:b/>
                <w:sz w:val="20"/>
                <w:szCs w:val="20"/>
                <w:lang w:val="en-GB"/>
              </w:rPr>
            </w:pPr>
            <w:r w:rsidRPr="00FF4465">
              <w:rPr>
                <w:b/>
                <w:sz w:val="20"/>
                <w:szCs w:val="20"/>
                <w:lang w:val="en-GB"/>
              </w:rPr>
              <w:t>Daily</w:t>
            </w:r>
            <w:r w:rsidRPr="00FF4465">
              <w:rPr>
                <w:b/>
                <w:spacing w:val="-1"/>
                <w:sz w:val="20"/>
                <w:szCs w:val="20"/>
                <w:lang w:val="en-GB"/>
              </w:rPr>
              <w:t xml:space="preserve"> </w:t>
            </w:r>
            <w:r w:rsidRPr="00FF4465">
              <w:rPr>
                <w:b/>
                <w:sz w:val="20"/>
                <w:szCs w:val="20"/>
                <w:lang w:val="en-GB"/>
              </w:rPr>
              <w:t>oral</w:t>
            </w:r>
            <w:r w:rsidRPr="000A2300">
              <w:rPr>
                <w:b/>
                <w:spacing w:val="-1"/>
                <w:sz w:val="20"/>
                <w:szCs w:val="20"/>
                <w:lang w:val="en-GB"/>
              </w:rPr>
              <w:t xml:space="preserve"> </w:t>
            </w:r>
            <w:r w:rsidRPr="004923C5">
              <w:rPr>
                <w:b/>
                <w:sz w:val="20"/>
                <w:szCs w:val="20"/>
                <w:lang w:val="en-GB"/>
              </w:rPr>
              <w:t>prednisone-equivalent</w:t>
            </w:r>
            <w:r w:rsidRPr="004923C5">
              <w:rPr>
                <w:b/>
                <w:spacing w:val="-1"/>
                <w:sz w:val="20"/>
                <w:szCs w:val="20"/>
                <w:lang w:val="en-GB"/>
              </w:rPr>
              <w:t xml:space="preserve"> </w:t>
            </w:r>
            <w:r w:rsidRPr="004923C5">
              <w:rPr>
                <w:b/>
                <w:sz w:val="20"/>
                <w:szCs w:val="20"/>
                <w:lang w:val="en-GB"/>
              </w:rPr>
              <w:t>dose (mg)</w:t>
            </w:r>
          </w:p>
        </w:tc>
      </w:tr>
      <w:tr w:rsidR="00FA4FC4" w:rsidRPr="004D78AA" w14:paraId="7CAECFAE" w14:textId="77777777" w:rsidTr="004923C5">
        <w:trPr>
          <w:trHeight w:val="359"/>
        </w:trPr>
        <w:tc>
          <w:tcPr>
            <w:tcW w:w="1926" w:type="dxa"/>
          </w:tcPr>
          <w:p w14:paraId="1A726649" w14:textId="77777777" w:rsidR="006E62CD" w:rsidRPr="000A2300"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Mean</w:t>
            </w:r>
            <w:r w:rsidRPr="00FF4465">
              <w:rPr>
                <w:spacing w:val="-1"/>
                <w:sz w:val="20"/>
                <w:szCs w:val="20"/>
                <w:lang w:val="en-GB"/>
              </w:rPr>
              <w:t xml:space="preserve"> </w:t>
            </w:r>
            <w:r w:rsidRPr="00FF4465">
              <w:rPr>
                <w:sz w:val="20"/>
                <w:szCs w:val="20"/>
                <w:lang w:val="en-GB"/>
              </w:rPr>
              <w:t>(SD)</w:t>
            </w:r>
          </w:p>
        </w:tc>
        <w:tc>
          <w:tcPr>
            <w:tcW w:w="1617" w:type="dxa"/>
          </w:tcPr>
          <w:p w14:paraId="31CABAB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15.6</w:t>
            </w:r>
            <w:r w:rsidRPr="004923C5">
              <w:rPr>
                <w:spacing w:val="-1"/>
                <w:sz w:val="20"/>
                <w:szCs w:val="20"/>
                <w:lang w:val="en-GB"/>
              </w:rPr>
              <w:t xml:space="preserve"> </w:t>
            </w:r>
            <w:r w:rsidRPr="004923C5">
              <w:rPr>
                <w:sz w:val="20"/>
                <w:szCs w:val="20"/>
                <w:lang w:val="en-GB"/>
              </w:rPr>
              <w:t>(10.3)</w:t>
            </w:r>
          </w:p>
        </w:tc>
        <w:tc>
          <w:tcPr>
            <w:tcW w:w="1618" w:type="dxa"/>
          </w:tcPr>
          <w:p w14:paraId="4968C64E"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16.6</w:t>
            </w:r>
            <w:r w:rsidRPr="004923C5">
              <w:rPr>
                <w:spacing w:val="-1"/>
                <w:sz w:val="20"/>
                <w:szCs w:val="20"/>
                <w:lang w:val="en-GB"/>
              </w:rPr>
              <w:t xml:space="preserve"> </w:t>
            </w:r>
            <w:r w:rsidRPr="004923C5">
              <w:rPr>
                <w:sz w:val="20"/>
                <w:szCs w:val="20"/>
                <w:lang w:val="en-GB"/>
              </w:rPr>
              <w:t>(13.0)</w:t>
            </w:r>
          </w:p>
        </w:tc>
        <w:tc>
          <w:tcPr>
            <w:tcW w:w="1618" w:type="dxa"/>
          </w:tcPr>
          <w:p w14:paraId="538C8C68"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11.1</w:t>
            </w:r>
            <w:r w:rsidRPr="004923C5">
              <w:rPr>
                <w:spacing w:val="-2"/>
                <w:sz w:val="20"/>
                <w:szCs w:val="20"/>
                <w:lang w:val="en-GB"/>
              </w:rPr>
              <w:t xml:space="preserve"> </w:t>
            </w:r>
            <w:r w:rsidRPr="004923C5">
              <w:rPr>
                <w:sz w:val="20"/>
                <w:szCs w:val="20"/>
                <w:lang w:val="en-GB"/>
              </w:rPr>
              <w:t>(7.7)</w:t>
            </w:r>
          </w:p>
        </w:tc>
        <w:tc>
          <w:tcPr>
            <w:tcW w:w="1618" w:type="dxa"/>
          </w:tcPr>
          <w:p w14:paraId="51F3451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12.3</w:t>
            </w:r>
            <w:r w:rsidRPr="004923C5">
              <w:rPr>
                <w:spacing w:val="-1"/>
                <w:sz w:val="20"/>
                <w:szCs w:val="20"/>
                <w:lang w:val="en-GB"/>
              </w:rPr>
              <w:t xml:space="preserve"> </w:t>
            </w:r>
            <w:r w:rsidRPr="004923C5">
              <w:rPr>
                <w:sz w:val="20"/>
                <w:szCs w:val="20"/>
                <w:lang w:val="en-GB"/>
              </w:rPr>
              <w:t>(8.1)</w:t>
            </w:r>
          </w:p>
        </w:tc>
      </w:tr>
      <w:tr w:rsidR="00FA4FC4" w:rsidRPr="004D78AA" w14:paraId="2C1FAC37" w14:textId="77777777" w:rsidTr="004923C5">
        <w:trPr>
          <w:trHeight w:val="599"/>
        </w:trPr>
        <w:tc>
          <w:tcPr>
            <w:tcW w:w="8397" w:type="dxa"/>
            <w:gridSpan w:val="5"/>
          </w:tcPr>
          <w:p w14:paraId="5962533A" w14:textId="77777777" w:rsidR="006E62CD" w:rsidRPr="004923C5" w:rsidRDefault="00CB520A" w:rsidP="00D258EC">
            <w:pPr>
              <w:pStyle w:val="TableParagraph"/>
              <w:adjustRightInd w:val="0"/>
              <w:snapToGrid w:val="0"/>
              <w:spacing w:after="60" w:line="360" w:lineRule="auto"/>
              <w:ind w:left="108" w:rightChars="30" w:right="66"/>
              <w:rPr>
                <w:b/>
                <w:sz w:val="20"/>
                <w:szCs w:val="20"/>
                <w:lang w:val="en-GB"/>
              </w:rPr>
            </w:pPr>
            <w:r w:rsidRPr="00FF4465">
              <w:rPr>
                <w:b/>
                <w:sz w:val="20"/>
                <w:szCs w:val="20"/>
                <w:lang w:val="en-GB"/>
              </w:rPr>
              <w:t>Duration</w:t>
            </w:r>
            <w:r w:rsidRPr="00FF4465">
              <w:rPr>
                <w:b/>
                <w:spacing w:val="-2"/>
                <w:sz w:val="20"/>
                <w:szCs w:val="20"/>
                <w:lang w:val="en-GB"/>
              </w:rPr>
              <w:t xml:space="preserve"> </w:t>
            </w:r>
            <w:r w:rsidRPr="00FF4465">
              <w:rPr>
                <w:b/>
                <w:sz w:val="20"/>
                <w:szCs w:val="20"/>
                <w:lang w:val="en-GB"/>
              </w:rPr>
              <w:t>of</w:t>
            </w:r>
            <w:r w:rsidRPr="000A2300">
              <w:rPr>
                <w:b/>
                <w:spacing w:val="-3"/>
                <w:sz w:val="20"/>
                <w:szCs w:val="20"/>
                <w:lang w:val="en-GB"/>
              </w:rPr>
              <w:t xml:space="preserve"> </w:t>
            </w:r>
            <w:r w:rsidRPr="004923C5">
              <w:rPr>
                <w:b/>
                <w:sz w:val="20"/>
                <w:szCs w:val="20"/>
                <w:lang w:val="en-GB"/>
              </w:rPr>
              <w:t>prior</w:t>
            </w:r>
            <w:r w:rsidRPr="004923C5">
              <w:rPr>
                <w:b/>
                <w:spacing w:val="-1"/>
                <w:sz w:val="20"/>
                <w:szCs w:val="20"/>
                <w:lang w:val="en-GB"/>
              </w:rPr>
              <w:t xml:space="preserve"> </w:t>
            </w:r>
            <w:r w:rsidRPr="004923C5">
              <w:rPr>
                <w:b/>
                <w:sz w:val="20"/>
                <w:szCs w:val="20"/>
                <w:lang w:val="en-GB"/>
              </w:rPr>
              <w:t>oral</w:t>
            </w:r>
            <w:r w:rsidRPr="004923C5">
              <w:rPr>
                <w:b/>
                <w:spacing w:val="-2"/>
                <w:sz w:val="20"/>
                <w:szCs w:val="20"/>
                <w:lang w:val="en-GB"/>
              </w:rPr>
              <w:t xml:space="preserve"> </w:t>
            </w:r>
            <w:r w:rsidRPr="004923C5">
              <w:rPr>
                <w:b/>
                <w:sz w:val="20"/>
                <w:szCs w:val="20"/>
                <w:lang w:val="en-GB"/>
              </w:rPr>
              <w:t>glucocorticoid</w:t>
            </w:r>
            <w:r w:rsidRPr="004923C5">
              <w:rPr>
                <w:b/>
                <w:spacing w:val="-2"/>
                <w:sz w:val="20"/>
                <w:szCs w:val="20"/>
                <w:lang w:val="en-GB"/>
              </w:rPr>
              <w:t xml:space="preserve"> </w:t>
            </w:r>
            <w:r w:rsidRPr="004923C5">
              <w:rPr>
                <w:b/>
                <w:sz w:val="20"/>
                <w:szCs w:val="20"/>
                <w:lang w:val="en-GB"/>
              </w:rPr>
              <w:t>use</w:t>
            </w:r>
            <w:r w:rsidRPr="004923C5">
              <w:rPr>
                <w:b/>
                <w:spacing w:val="-2"/>
                <w:sz w:val="20"/>
                <w:szCs w:val="20"/>
                <w:lang w:val="en-GB"/>
              </w:rPr>
              <w:t xml:space="preserve"> </w:t>
            </w:r>
            <w:r w:rsidRPr="004923C5">
              <w:rPr>
                <w:b/>
                <w:sz w:val="20"/>
                <w:szCs w:val="20"/>
                <w:lang w:val="en-GB"/>
              </w:rPr>
              <w:t>with ≥</w:t>
            </w:r>
            <w:r w:rsidRPr="004923C5">
              <w:rPr>
                <w:b/>
                <w:spacing w:val="-2"/>
                <w:sz w:val="20"/>
                <w:szCs w:val="20"/>
                <w:lang w:val="en-GB"/>
              </w:rPr>
              <w:t xml:space="preserve"> </w:t>
            </w:r>
            <w:r w:rsidRPr="004923C5">
              <w:rPr>
                <w:b/>
                <w:sz w:val="20"/>
                <w:szCs w:val="20"/>
                <w:lang w:val="en-GB"/>
              </w:rPr>
              <w:t>7.5</w:t>
            </w:r>
            <w:r w:rsidRPr="004923C5">
              <w:rPr>
                <w:b/>
                <w:spacing w:val="-3"/>
                <w:sz w:val="20"/>
                <w:szCs w:val="20"/>
                <w:lang w:val="en-GB"/>
              </w:rPr>
              <w:t xml:space="preserve"> </w:t>
            </w:r>
            <w:r w:rsidRPr="004923C5">
              <w:rPr>
                <w:b/>
                <w:sz w:val="20"/>
                <w:szCs w:val="20"/>
                <w:lang w:val="en-GB"/>
              </w:rPr>
              <w:t>mg daily</w:t>
            </w:r>
            <w:r w:rsidRPr="004923C5">
              <w:rPr>
                <w:b/>
                <w:spacing w:val="-2"/>
                <w:sz w:val="20"/>
                <w:szCs w:val="20"/>
                <w:lang w:val="en-GB"/>
              </w:rPr>
              <w:t xml:space="preserve"> </w:t>
            </w:r>
            <w:r w:rsidRPr="004923C5">
              <w:rPr>
                <w:b/>
                <w:sz w:val="20"/>
                <w:szCs w:val="20"/>
                <w:lang w:val="en-GB"/>
              </w:rPr>
              <w:t>prednisone equivalent</w:t>
            </w:r>
            <w:r w:rsidRPr="004923C5">
              <w:rPr>
                <w:b/>
                <w:spacing w:val="-1"/>
                <w:sz w:val="20"/>
                <w:szCs w:val="20"/>
                <w:lang w:val="en-GB"/>
              </w:rPr>
              <w:t xml:space="preserve"> </w:t>
            </w:r>
            <w:r w:rsidRPr="004923C5">
              <w:rPr>
                <w:b/>
                <w:sz w:val="20"/>
                <w:szCs w:val="20"/>
                <w:lang w:val="en-GB"/>
              </w:rPr>
              <w:t>dose</w:t>
            </w:r>
            <w:r w:rsidRPr="004923C5">
              <w:rPr>
                <w:b/>
                <w:spacing w:val="-52"/>
                <w:sz w:val="20"/>
                <w:szCs w:val="20"/>
                <w:lang w:val="en-GB"/>
              </w:rPr>
              <w:t xml:space="preserve"> </w:t>
            </w:r>
            <w:r w:rsidRPr="004923C5">
              <w:rPr>
                <w:b/>
                <w:sz w:val="20"/>
                <w:szCs w:val="20"/>
                <w:lang w:val="en-GB"/>
              </w:rPr>
              <w:t>level,</w:t>
            </w:r>
            <w:r w:rsidRPr="004923C5">
              <w:rPr>
                <w:b/>
                <w:spacing w:val="-1"/>
                <w:sz w:val="20"/>
                <w:szCs w:val="20"/>
                <w:lang w:val="en-GB"/>
              </w:rPr>
              <w:t xml:space="preserve"> </w:t>
            </w:r>
            <w:r w:rsidRPr="004923C5">
              <w:rPr>
                <w:b/>
                <w:sz w:val="20"/>
                <w:szCs w:val="20"/>
                <w:lang w:val="en-GB"/>
              </w:rPr>
              <w:t>n</w:t>
            </w:r>
            <w:r w:rsidRPr="004923C5">
              <w:rPr>
                <w:b/>
                <w:spacing w:val="-1"/>
                <w:sz w:val="20"/>
                <w:szCs w:val="20"/>
                <w:lang w:val="en-GB"/>
              </w:rPr>
              <w:t xml:space="preserve"> </w:t>
            </w:r>
            <w:r w:rsidRPr="004923C5">
              <w:rPr>
                <w:b/>
                <w:sz w:val="20"/>
                <w:szCs w:val="20"/>
                <w:lang w:val="en-GB"/>
              </w:rPr>
              <w:t>(%)</w:t>
            </w:r>
          </w:p>
        </w:tc>
      </w:tr>
      <w:tr w:rsidR="00FA4FC4" w:rsidRPr="004D78AA" w14:paraId="4B5CAC69" w14:textId="77777777" w:rsidTr="004923C5">
        <w:trPr>
          <w:trHeight w:val="361"/>
        </w:trPr>
        <w:tc>
          <w:tcPr>
            <w:tcW w:w="1926" w:type="dxa"/>
          </w:tcPr>
          <w:p w14:paraId="561E932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0</w:t>
            </w:r>
            <w:r w:rsidRPr="00FF4465">
              <w:rPr>
                <w:spacing w:val="-1"/>
                <w:sz w:val="20"/>
                <w:szCs w:val="20"/>
                <w:lang w:val="en-GB"/>
              </w:rPr>
              <w:t xml:space="preserve"> </w:t>
            </w:r>
            <w:r w:rsidRPr="00FF4465">
              <w:rPr>
                <w:sz w:val="20"/>
                <w:szCs w:val="20"/>
                <w:lang w:val="en-GB"/>
              </w:rPr>
              <w:t>to &lt; 3</w:t>
            </w:r>
            <w:r w:rsidRPr="000A2300">
              <w:rPr>
                <w:spacing w:val="-1"/>
                <w:sz w:val="20"/>
                <w:szCs w:val="20"/>
                <w:lang w:val="en-GB"/>
              </w:rPr>
              <w:t xml:space="preserve"> </w:t>
            </w:r>
            <w:r w:rsidRPr="004923C5">
              <w:rPr>
                <w:sz w:val="20"/>
                <w:szCs w:val="20"/>
                <w:lang w:val="en-GB"/>
              </w:rPr>
              <w:t>months</w:t>
            </w:r>
          </w:p>
        </w:tc>
        <w:tc>
          <w:tcPr>
            <w:tcW w:w="1617" w:type="dxa"/>
          </w:tcPr>
          <w:p w14:paraId="6DFFD21F"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129 (89.0)</w:t>
            </w:r>
          </w:p>
        </w:tc>
        <w:tc>
          <w:tcPr>
            <w:tcW w:w="1618" w:type="dxa"/>
          </w:tcPr>
          <w:p w14:paraId="0A2CEDBF"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133 (91.7)</w:t>
            </w:r>
          </w:p>
        </w:tc>
        <w:tc>
          <w:tcPr>
            <w:tcW w:w="1618" w:type="dxa"/>
          </w:tcPr>
          <w:p w14:paraId="78A95CE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8 (3.2)</w:t>
            </w:r>
          </w:p>
        </w:tc>
        <w:tc>
          <w:tcPr>
            <w:tcW w:w="1618" w:type="dxa"/>
          </w:tcPr>
          <w:p w14:paraId="145CE8D3"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13 (5.1)</w:t>
            </w:r>
          </w:p>
        </w:tc>
      </w:tr>
      <w:tr w:rsidR="00FA4FC4" w:rsidRPr="004D78AA" w14:paraId="74050B27" w14:textId="77777777" w:rsidTr="004923C5">
        <w:trPr>
          <w:trHeight w:val="359"/>
        </w:trPr>
        <w:tc>
          <w:tcPr>
            <w:tcW w:w="1926" w:type="dxa"/>
          </w:tcPr>
          <w:p w14:paraId="3D4F161B" w14:textId="77777777" w:rsidR="006E62CD" w:rsidRPr="000A2300"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3</w:t>
            </w:r>
            <w:r w:rsidRPr="00FF4465">
              <w:rPr>
                <w:spacing w:val="-1"/>
                <w:sz w:val="20"/>
                <w:szCs w:val="20"/>
                <w:lang w:val="en-GB"/>
              </w:rPr>
              <w:t xml:space="preserve"> </w:t>
            </w:r>
            <w:r w:rsidRPr="00FF4465">
              <w:rPr>
                <w:sz w:val="20"/>
                <w:szCs w:val="20"/>
                <w:lang w:val="en-GB"/>
              </w:rPr>
              <w:t>to &lt; 12 months</w:t>
            </w:r>
          </w:p>
        </w:tc>
        <w:tc>
          <w:tcPr>
            <w:tcW w:w="1617" w:type="dxa"/>
          </w:tcPr>
          <w:p w14:paraId="1E0FDB1C"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8 (5.5)</w:t>
            </w:r>
          </w:p>
        </w:tc>
        <w:tc>
          <w:tcPr>
            <w:tcW w:w="1618" w:type="dxa"/>
          </w:tcPr>
          <w:p w14:paraId="615577B8"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 (4.8)</w:t>
            </w:r>
          </w:p>
        </w:tc>
        <w:tc>
          <w:tcPr>
            <w:tcW w:w="1618" w:type="dxa"/>
          </w:tcPr>
          <w:p w14:paraId="26DEB0AD"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75</w:t>
            </w:r>
            <w:r w:rsidRPr="004923C5">
              <w:rPr>
                <w:spacing w:val="-1"/>
                <w:sz w:val="20"/>
                <w:szCs w:val="20"/>
                <w:lang w:val="en-GB"/>
              </w:rPr>
              <w:t xml:space="preserve"> </w:t>
            </w:r>
            <w:r w:rsidRPr="004923C5">
              <w:rPr>
                <w:sz w:val="20"/>
                <w:szCs w:val="20"/>
                <w:lang w:val="en-GB"/>
              </w:rPr>
              <w:t>(29.8)</w:t>
            </w:r>
          </w:p>
        </w:tc>
        <w:tc>
          <w:tcPr>
            <w:tcW w:w="1618" w:type="dxa"/>
          </w:tcPr>
          <w:p w14:paraId="482CA6B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81</w:t>
            </w:r>
            <w:r w:rsidRPr="004923C5">
              <w:rPr>
                <w:spacing w:val="-1"/>
                <w:sz w:val="20"/>
                <w:szCs w:val="20"/>
                <w:lang w:val="en-GB"/>
              </w:rPr>
              <w:t xml:space="preserve"> </w:t>
            </w:r>
            <w:r w:rsidRPr="004923C5">
              <w:rPr>
                <w:sz w:val="20"/>
                <w:szCs w:val="20"/>
                <w:lang w:val="en-GB"/>
              </w:rPr>
              <w:t>(32.0)</w:t>
            </w:r>
          </w:p>
        </w:tc>
      </w:tr>
      <w:tr w:rsidR="00FA4FC4" w:rsidRPr="004D78AA" w14:paraId="0E05E27F" w14:textId="77777777" w:rsidTr="004923C5">
        <w:trPr>
          <w:trHeight w:val="359"/>
        </w:trPr>
        <w:tc>
          <w:tcPr>
            <w:tcW w:w="1926" w:type="dxa"/>
          </w:tcPr>
          <w:p w14:paraId="0089D25B" w14:textId="77777777" w:rsidR="006E62CD" w:rsidRPr="000A2300"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w:t>
            </w:r>
            <w:r w:rsidRPr="00FF4465">
              <w:rPr>
                <w:spacing w:val="-1"/>
                <w:sz w:val="20"/>
                <w:szCs w:val="20"/>
                <w:lang w:val="en-GB"/>
              </w:rPr>
              <w:t xml:space="preserve"> </w:t>
            </w:r>
            <w:r w:rsidRPr="00FF4465">
              <w:rPr>
                <w:sz w:val="20"/>
                <w:szCs w:val="20"/>
                <w:lang w:val="en-GB"/>
              </w:rPr>
              <w:t>12 months</w:t>
            </w:r>
          </w:p>
        </w:tc>
        <w:tc>
          <w:tcPr>
            <w:tcW w:w="1617" w:type="dxa"/>
          </w:tcPr>
          <w:p w14:paraId="425791D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8</w:t>
            </w:r>
            <w:r w:rsidRPr="004923C5">
              <w:rPr>
                <w:spacing w:val="-1"/>
                <w:sz w:val="20"/>
                <w:szCs w:val="20"/>
                <w:lang w:val="en-GB"/>
              </w:rPr>
              <w:t xml:space="preserve"> </w:t>
            </w:r>
            <w:r w:rsidRPr="004923C5">
              <w:rPr>
                <w:sz w:val="20"/>
                <w:szCs w:val="20"/>
                <w:lang w:val="en-GB"/>
              </w:rPr>
              <w:t>(5.5)</w:t>
            </w:r>
          </w:p>
        </w:tc>
        <w:tc>
          <w:tcPr>
            <w:tcW w:w="1618" w:type="dxa"/>
          </w:tcPr>
          <w:p w14:paraId="348312C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3 (2.1)</w:t>
            </w:r>
          </w:p>
        </w:tc>
        <w:tc>
          <w:tcPr>
            <w:tcW w:w="1618" w:type="dxa"/>
          </w:tcPr>
          <w:p w14:paraId="2374B656"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167 (66.3)</w:t>
            </w:r>
          </w:p>
        </w:tc>
        <w:tc>
          <w:tcPr>
            <w:tcW w:w="1618" w:type="dxa"/>
          </w:tcPr>
          <w:p w14:paraId="4F83CABF"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158 (62.5)</w:t>
            </w:r>
          </w:p>
        </w:tc>
      </w:tr>
      <w:tr w:rsidR="00FA4FC4" w:rsidRPr="004D78AA" w14:paraId="0C835FE5" w14:textId="77777777" w:rsidTr="004923C5">
        <w:trPr>
          <w:trHeight w:val="360"/>
        </w:trPr>
        <w:tc>
          <w:tcPr>
            <w:tcW w:w="1926" w:type="dxa"/>
          </w:tcPr>
          <w:p w14:paraId="12CEE533" w14:textId="77777777" w:rsidR="006E62CD" w:rsidRPr="00FF4465"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Missing</w:t>
            </w:r>
          </w:p>
        </w:tc>
        <w:tc>
          <w:tcPr>
            <w:tcW w:w="1617" w:type="dxa"/>
          </w:tcPr>
          <w:p w14:paraId="263B9ECF"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w:t>
            </w:r>
          </w:p>
        </w:tc>
        <w:tc>
          <w:tcPr>
            <w:tcW w:w="1618" w:type="dxa"/>
          </w:tcPr>
          <w:p w14:paraId="58483766"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 (1.4)</w:t>
            </w:r>
          </w:p>
        </w:tc>
        <w:tc>
          <w:tcPr>
            <w:tcW w:w="1618" w:type="dxa"/>
          </w:tcPr>
          <w:p w14:paraId="658239D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 (0.8)</w:t>
            </w:r>
          </w:p>
        </w:tc>
        <w:tc>
          <w:tcPr>
            <w:tcW w:w="1618" w:type="dxa"/>
          </w:tcPr>
          <w:p w14:paraId="4FF1DBA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 (0.4)</w:t>
            </w:r>
          </w:p>
        </w:tc>
      </w:tr>
      <w:tr w:rsidR="00FA4FC4" w:rsidRPr="004D78AA" w14:paraId="290FA64B" w14:textId="77777777" w:rsidTr="004923C5">
        <w:trPr>
          <w:trHeight w:val="359"/>
        </w:trPr>
        <w:tc>
          <w:tcPr>
            <w:tcW w:w="8397" w:type="dxa"/>
            <w:gridSpan w:val="5"/>
          </w:tcPr>
          <w:p w14:paraId="270294B5" w14:textId="77777777" w:rsidR="006E62CD" w:rsidRPr="004923C5" w:rsidRDefault="00CB520A" w:rsidP="00D258EC">
            <w:pPr>
              <w:pStyle w:val="TableParagraph"/>
              <w:adjustRightInd w:val="0"/>
              <w:snapToGrid w:val="0"/>
              <w:spacing w:after="60" w:line="360" w:lineRule="auto"/>
              <w:ind w:left="108" w:rightChars="30" w:right="66"/>
              <w:rPr>
                <w:b/>
                <w:sz w:val="20"/>
                <w:szCs w:val="20"/>
                <w:lang w:val="en-GB"/>
              </w:rPr>
            </w:pPr>
            <w:r w:rsidRPr="00FF4465">
              <w:rPr>
                <w:b/>
                <w:sz w:val="20"/>
                <w:szCs w:val="20"/>
                <w:lang w:val="en-GB"/>
              </w:rPr>
              <w:t>Lumbar</w:t>
            </w:r>
            <w:r w:rsidRPr="00FF4465">
              <w:rPr>
                <w:b/>
                <w:spacing w:val="-1"/>
                <w:sz w:val="20"/>
                <w:szCs w:val="20"/>
                <w:lang w:val="en-GB"/>
              </w:rPr>
              <w:t xml:space="preserve"> </w:t>
            </w:r>
            <w:r w:rsidRPr="00FF4465">
              <w:rPr>
                <w:b/>
                <w:sz w:val="20"/>
                <w:szCs w:val="20"/>
                <w:lang w:val="en-GB"/>
              </w:rPr>
              <w:t>spine</w:t>
            </w:r>
            <w:r w:rsidRPr="000A2300">
              <w:rPr>
                <w:b/>
                <w:spacing w:val="-1"/>
                <w:sz w:val="20"/>
                <w:szCs w:val="20"/>
                <w:lang w:val="en-GB"/>
              </w:rPr>
              <w:t xml:space="preserve"> </w:t>
            </w:r>
            <w:r w:rsidRPr="004923C5">
              <w:rPr>
                <w:b/>
                <w:sz w:val="20"/>
                <w:szCs w:val="20"/>
                <w:lang w:val="en-GB"/>
              </w:rPr>
              <w:t>BMD</w:t>
            </w:r>
            <w:r w:rsidRPr="004923C5">
              <w:rPr>
                <w:b/>
                <w:spacing w:val="-3"/>
                <w:sz w:val="20"/>
                <w:szCs w:val="20"/>
                <w:lang w:val="en-GB"/>
              </w:rPr>
              <w:t xml:space="preserve"> </w:t>
            </w:r>
            <w:r w:rsidRPr="004923C5">
              <w:rPr>
                <w:b/>
                <w:sz w:val="20"/>
                <w:szCs w:val="20"/>
                <w:lang w:val="en-GB"/>
              </w:rPr>
              <w:t>T-score</w:t>
            </w:r>
          </w:p>
        </w:tc>
      </w:tr>
      <w:tr w:rsidR="00FA4FC4" w:rsidRPr="004D78AA" w14:paraId="122A9C0E" w14:textId="77777777" w:rsidTr="004923C5">
        <w:trPr>
          <w:trHeight w:val="359"/>
        </w:trPr>
        <w:tc>
          <w:tcPr>
            <w:tcW w:w="1926" w:type="dxa"/>
          </w:tcPr>
          <w:p w14:paraId="586B4A1C" w14:textId="77777777" w:rsidR="006E62CD" w:rsidRPr="000A2300"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Mean</w:t>
            </w:r>
            <w:r w:rsidRPr="00FF4465">
              <w:rPr>
                <w:spacing w:val="-1"/>
                <w:sz w:val="20"/>
                <w:szCs w:val="20"/>
                <w:lang w:val="en-GB"/>
              </w:rPr>
              <w:t xml:space="preserve"> </w:t>
            </w:r>
            <w:r w:rsidRPr="00FF4465">
              <w:rPr>
                <w:sz w:val="20"/>
                <w:szCs w:val="20"/>
                <w:lang w:val="en-GB"/>
              </w:rPr>
              <w:t>(SD)</w:t>
            </w:r>
          </w:p>
        </w:tc>
        <w:tc>
          <w:tcPr>
            <w:tcW w:w="1617" w:type="dxa"/>
          </w:tcPr>
          <w:p w14:paraId="2706FD3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-1.06</w:t>
            </w:r>
            <w:r w:rsidRPr="004923C5">
              <w:rPr>
                <w:spacing w:val="-1"/>
                <w:sz w:val="20"/>
                <w:szCs w:val="20"/>
                <w:lang w:val="en-GB"/>
              </w:rPr>
              <w:t xml:space="preserve"> </w:t>
            </w:r>
            <w:r w:rsidRPr="004923C5">
              <w:rPr>
                <w:sz w:val="20"/>
                <w:szCs w:val="20"/>
                <w:lang w:val="en-GB"/>
              </w:rPr>
              <w:t>(1.57)</w:t>
            </w:r>
          </w:p>
        </w:tc>
        <w:tc>
          <w:tcPr>
            <w:tcW w:w="1618" w:type="dxa"/>
          </w:tcPr>
          <w:p w14:paraId="522D408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-0.92</w:t>
            </w:r>
            <w:r w:rsidRPr="004923C5">
              <w:rPr>
                <w:spacing w:val="-1"/>
                <w:sz w:val="20"/>
                <w:szCs w:val="20"/>
                <w:lang w:val="en-GB"/>
              </w:rPr>
              <w:t xml:space="preserve"> </w:t>
            </w:r>
            <w:r w:rsidRPr="004923C5">
              <w:rPr>
                <w:sz w:val="20"/>
                <w:szCs w:val="20"/>
                <w:lang w:val="en-GB"/>
              </w:rPr>
              <w:t>(1.86)</w:t>
            </w:r>
          </w:p>
        </w:tc>
        <w:tc>
          <w:tcPr>
            <w:tcW w:w="1618" w:type="dxa"/>
          </w:tcPr>
          <w:p w14:paraId="2D109C0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-1.96</w:t>
            </w:r>
            <w:r w:rsidRPr="004923C5">
              <w:rPr>
                <w:spacing w:val="-1"/>
                <w:sz w:val="20"/>
                <w:szCs w:val="20"/>
                <w:lang w:val="en-GB"/>
              </w:rPr>
              <w:t xml:space="preserve"> </w:t>
            </w:r>
            <w:r w:rsidRPr="004923C5">
              <w:rPr>
                <w:sz w:val="20"/>
                <w:szCs w:val="20"/>
                <w:lang w:val="en-GB"/>
              </w:rPr>
              <w:t>(1.38)</w:t>
            </w:r>
          </w:p>
        </w:tc>
        <w:tc>
          <w:tcPr>
            <w:tcW w:w="1618" w:type="dxa"/>
          </w:tcPr>
          <w:p w14:paraId="713ED2D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-1.92</w:t>
            </w:r>
            <w:r w:rsidRPr="004923C5">
              <w:rPr>
                <w:spacing w:val="-1"/>
                <w:sz w:val="20"/>
                <w:szCs w:val="20"/>
                <w:lang w:val="en-GB"/>
              </w:rPr>
              <w:t xml:space="preserve"> </w:t>
            </w:r>
            <w:r w:rsidRPr="004923C5">
              <w:rPr>
                <w:sz w:val="20"/>
                <w:szCs w:val="20"/>
                <w:lang w:val="en-GB"/>
              </w:rPr>
              <w:t>(1.39)</w:t>
            </w:r>
          </w:p>
        </w:tc>
      </w:tr>
      <w:tr w:rsidR="00FA4FC4" w:rsidRPr="004D78AA" w14:paraId="41EBD5A3" w14:textId="77777777" w:rsidTr="004923C5">
        <w:trPr>
          <w:trHeight w:val="360"/>
        </w:trPr>
        <w:tc>
          <w:tcPr>
            <w:tcW w:w="8397" w:type="dxa"/>
            <w:gridSpan w:val="5"/>
          </w:tcPr>
          <w:p w14:paraId="07B18FF1" w14:textId="77777777" w:rsidR="006E62CD" w:rsidRPr="004923C5" w:rsidRDefault="00CB520A" w:rsidP="00D258EC">
            <w:pPr>
              <w:pStyle w:val="TableParagraph"/>
              <w:adjustRightInd w:val="0"/>
              <w:snapToGrid w:val="0"/>
              <w:spacing w:after="60" w:line="360" w:lineRule="auto"/>
              <w:ind w:left="108" w:rightChars="30" w:right="66"/>
              <w:rPr>
                <w:b/>
                <w:sz w:val="20"/>
                <w:szCs w:val="20"/>
                <w:lang w:val="en-GB"/>
              </w:rPr>
            </w:pPr>
            <w:r w:rsidRPr="00FF4465">
              <w:rPr>
                <w:b/>
                <w:sz w:val="20"/>
                <w:szCs w:val="20"/>
                <w:lang w:val="en-GB"/>
              </w:rPr>
              <w:t>Lumbar</w:t>
            </w:r>
            <w:r w:rsidRPr="00FF4465">
              <w:rPr>
                <w:b/>
                <w:spacing w:val="-1"/>
                <w:sz w:val="20"/>
                <w:szCs w:val="20"/>
                <w:lang w:val="en-GB"/>
              </w:rPr>
              <w:t xml:space="preserve"> </w:t>
            </w:r>
            <w:r w:rsidRPr="00FF4465">
              <w:rPr>
                <w:b/>
                <w:sz w:val="20"/>
                <w:szCs w:val="20"/>
                <w:lang w:val="en-GB"/>
              </w:rPr>
              <w:t>spine BMD</w:t>
            </w:r>
            <w:r w:rsidRPr="000A2300">
              <w:rPr>
                <w:b/>
                <w:spacing w:val="-3"/>
                <w:sz w:val="20"/>
                <w:szCs w:val="20"/>
                <w:lang w:val="en-GB"/>
              </w:rPr>
              <w:t xml:space="preserve"> </w:t>
            </w:r>
            <w:r w:rsidRPr="004923C5">
              <w:rPr>
                <w:b/>
                <w:sz w:val="20"/>
                <w:szCs w:val="20"/>
                <w:lang w:val="en-GB"/>
              </w:rPr>
              <w:t>T-score interval,</w:t>
            </w:r>
            <w:r w:rsidRPr="004923C5">
              <w:rPr>
                <w:b/>
                <w:spacing w:val="-1"/>
                <w:sz w:val="20"/>
                <w:szCs w:val="20"/>
                <w:lang w:val="en-GB"/>
              </w:rPr>
              <w:t xml:space="preserve"> </w:t>
            </w:r>
            <w:r w:rsidRPr="004923C5">
              <w:rPr>
                <w:b/>
                <w:sz w:val="20"/>
                <w:szCs w:val="20"/>
                <w:lang w:val="en-GB"/>
              </w:rPr>
              <w:t>n</w:t>
            </w:r>
            <w:r w:rsidRPr="004923C5">
              <w:rPr>
                <w:b/>
                <w:spacing w:val="-2"/>
                <w:sz w:val="20"/>
                <w:szCs w:val="20"/>
                <w:lang w:val="en-GB"/>
              </w:rPr>
              <w:t xml:space="preserve"> </w:t>
            </w:r>
            <w:r w:rsidRPr="004923C5">
              <w:rPr>
                <w:b/>
                <w:sz w:val="20"/>
                <w:szCs w:val="20"/>
                <w:lang w:val="en-GB"/>
              </w:rPr>
              <w:t>(%)</w:t>
            </w:r>
          </w:p>
        </w:tc>
      </w:tr>
      <w:tr w:rsidR="00FA4FC4" w:rsidRPr="004D78AA" w14:paraId="12CE413B" w14:textId="77777777" w:rsidTr="004923C5">
        <w:trPr>
          <w:trHeight w:val="359"/>
        </w:trPr>
        <w:tc>
          <w:tcPr>
            <w:tcW w:w="1926" w:type="dxa"/>
          </w:tcPr>
          <w:p w14:paraId="0F6F93D4" w14:textId="77777777" w:rsidR="006E62CD" w:rsidRPr="00FF4465"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 -2.5</w:t>
            </w:r>
          </w:p>
        </w:tc>
        <w:tc>
          <w:tcPr>
            <w:tcW w:w="1617" w:type="dxa"/>
          </w:tcPr>
          <w:p w14:paraId="4686D5AD"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27</w:t>
            </w:r>
            <w:r w:rsidRPr="004923C5">
              <w:rPr>
                <w:spacing w:val="-1"/>
                <w:sz w:val="20"/>
                <w:szCs w:val="20"/>
                <w:lang w:val="en-GB"/>
              </w:rPr>
              <w:t xml:space="preserve"> </w:t>
            </w:r>
            <w:r w:rsidRPr="004923C5">
              <w:rPr>
                <w:sz w:val="20"/>
                <w:szCs w:val="20"/>
                <w:lang w:val="en-GB"/>
              </w:rPr>
              <w:t>(18.6)</w:t>
            </w:r>
          </w:p>
        </w:tc>
        <w:tc>
          <w:tcPr>
            <w:tcW w:w="1618" w:type="dxa"/>
          </w:tcPr>
          <w:p w14:paraId="3DC02763"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26</w:t>
            </w:r>
            <w:r w:rsidRPr="004923C5">
              <w:rPr>
                <w:spacing w:val="-1"/>
                <w:sz w:val="20"/>
                <w:szCs w:val="20"/>
                <w:lang w:val="en-GB"/>
              </w:rPr>
              <w:t xml:space="preserve"> </w:t>
            </w:r>
            <w:r w:rsidRPr="004923C5">
              <w:rPr>
                <w:sz w:val="20"/>
                <w:szCs w:val="20"/>
                <w:lang w:val="en-GB"/>
              </w:rPr>
              <w:t>(17.9)</w:t>
            </w:r>
          </w:p>
        </w:tc>
        <w:tc>
          <w:tcPr>
            <w:tcW w:w="1618" w:type="dxa"/>
          </w:tcPr>
          <w:p w14:paraId="0FB3DD2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99</w:t>
            </w:r>
            <w:r w:rsidRPr="004923C5">
              <w:rPr>
                <w:spacing w:val="-1"/>
                <w:sz w:val="20"/>
                <w:szCs w:val="20"/>
                <w:lang w:val="en-GB"/>
              </w:rPr>
              <w:t xml:space="preserve"> </w:t>
            </w:r>
            <w:r w:rsidRPr="004923C5">
              <w:rPr>
                <w:sz w:val="20"/>
                <w:szCs w:val="20"/>
                <w:lang w:val="en-GB"/>
              </w:rPr>
              <w:t>(39.3)</w:t>
            </w:r>
          </w:p>
        </w:tc>
        <w:tc>
          <w:tcPr>
            <w:tcW w:w="1618" w:type="dxa"/>
          </w:tcPr>
          <w:p w14:paraId="0236FE8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95</w:t>
            </w:r>
            <w:r w:rsidRPr="004923C5">
              <w:rPr>
                <w:spacing w:val="-2"/>
                <w:sz w:val="20"/>
                <w:szCs w:val="20"/>
                <w:lang w:val="en-GB"/>
              </w:rPr>
              <w:t xml:space="preserve"> </w:t>
            </w:r>
            <w:r w:rsidRPr="004923C5">
              <w:rPr>
                <w:sz w:val="20"/>
                <w:szCs w:val="20"/>
                <w:lang w:val="en-GB"/>
              </w:rPr>
              <w:t>(37.5)</w:t>
            </w:r>
          </w:p>
        </w:tc>
      </w:tr>
      <w:tr w:rsidR="00FA4FC4" w:rsidRPr="004D78AA" w14:paraId="788549FD" w14:textId="77777777" w:rsidTr="004923C5">
        <w:trPr>
          <w:trHeight w:val="359"/>
        </w:trPr>
        <w:tc>
          <w:tcPr>
            <w:tcW w:w="1926" w:type="dxa"/>
          </w:tcPr>
          <w:p w14:paraId="0DA927E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&gt;</w:t>
            </w:r>
            <w:r w:rsidRPr="00FF4465">
              <w:rPr>
                <w:spacing w:val="-1"/>
                <w:sz w:val="20"/>
                <w:szCs w:val="20"/>
                <w:lang w:val="en-GB"/>
              </w:rPr>
              <w:t xml:space="preserve"> </w:t>
            </w:r>
            <w:r w:rsidRPr="00FF4465">
              <w:rPr>
                <w:sz w:val="20"/>
                <w:szCs w:val="20"/>
                <w:lang w:val="en-GB"/>
              </w:rPr>
              <w:t>-2.5</w:t>
            </w:r>
            <w:r w:rsidRPr="000A2300">
              <w:rPr>
                <w:spacing w:val="-1"/>
                <w:sz w:val="20"/>
                <w:szCs w:val="20"/>
                <w:lang w:val="en-GB"/>
              </w:rPr>
              <w:t xml:space="preserve"> </w:t>
            </w:r>
            <w:r w:rsidRPr="004923C5">
              <w:rPr>
                <w:sz w:val="20"/>
                <w:szCs w:val="20"/>
                <w:lang w:val="en-GB"/>
              </w:rPr>
              <w:t>to</w:t>
            </w:r>
            <w:r w:rsidRPr="004923C5">
              <w:rPr>
                <w:spacing w:val="-1"/>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-1.0</w:t>
            </w:r>
          </w:p>
        </w:tc>
        <w:tc>
          <w:tcPr>
            <w:tcW w:w="1617" w:type="dxa"/>
          </w:tcPr>
          <w:p w14:paraId="2D6CFE5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50</w:t>
            </w:r>
            <w:r w:rsidRPr="004923C5">
              <w:rPr>
                <w:spacing w:val="-1"/>
                <w:sz w:val="20"/>
                <w:szCs w:val="20"/>
                <w:lang w:val="en-GB"/>
              </w:rPr>
              <w:t xml:space="preserve"> </w:t>
            </w:r>
            <w:r w:rsidRPr="004923C5">
              <w:rPr>
                <w:sz w:val="20"/>
                <w:szCs w:val="20"/>
                <w:lang w:val="en-GB"/>
              </w:rPr>
              <w:t>(34.5)</w:t>
            </w:r>
          </w:p>
        </w:tc>
        <w:tc>
          <w:tcPr>
            <w:tcW w:w="1618" w:type="dxa"/>
          </w:tcPr>
          <w:p w14:paraId="4965601D"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51</w:t>
            </w:r>
            <w:r w:rsidRPr="004923C5">
              <w:rPr>
                <w:spacing w:val="-1"/>
                <w:sz w:val="20"/>
                <w:szCs w:val="20"/>
                <w:lang w:val="en-GB"/>
              </w:rPr>
              <w:t xml:space="preserve"> </w:t>
            </w:r>
            <w:r w:rsidRPr="004923C5">
              <w:rPr>
                <w:sz w:val="20"/>
                <w:szCs w:val="20"/>
                <w:lang w:val="en-GB"/>
              </w:rPr>
              <w:t>(35.2)</w:t>
            </w:r>
          </w:p>
        </w:tc>
        <w:tc>
          <w:tcPr>
            <w:tcW w:w="1618" w:type="dxa"/>
          </w:tcPr>
          <w:p w14:paraId="5125079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99</w:t>
            </w:r>
            <w:r w:rsidRPr="004923C5">
              <w:rPr>
                <w:spacing w:val="-1"/>
                <w:sz w:val="20"/>
                <w:szCs w:val="20"/>
                <w:lang w:val="en-GB"/>
              </w:rPr>
              <w:t xml:space="preserve"> </w:t>
            </w:r>
            <w:r w:rsidRPr="004923C5">
              <w:rPr>
                <w:sz w:val="20"/>
                <w:szCs w:val="20"/>
                <w:lang w:val="en-GB"/>
              </w:rPr>
              <w:t>(39.3)</w:t>
            </w:r>
          </w:p>
        </w:tc>
        <w:tc>
          <w:tcPr>
            <w:tcW w:w="1618" w:type="dxa"/>
          </w:tcPr>
          <w:p w14:paraId="14A0D12C"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99</w:t>
            </w:r>
            <w:r w:rsidRPr="004923C5">
              <w:rPr>
                <w:spacing w:val="-1"/>
                <w:sz w:val="20"/>
                <w:szCs w:val="20"/>
                <w:lang w:val="en-GB"/>
              </w:rPr>
              <w:t xml:space="preserve"> </w:t>
            </w:r>
            <w:r w:rsidRPr="004923C5">
              <w:rPr>
                <w:sz w:val="20"/>
                <w:szCs w:val="20"/>
                <w:lang w:val="en-GB"/>
              </w:rPr>
              <w:t>(39.1)</w:t>
            </w:r>
          </w:p>
        </w:tc>
      </w:tr>
      <w:tr w:rsidR="00FA4FC4" w:rsidRPr="004D78AA" w14:paraId="0CFB0FEA" w14:textId="77777777" w:rsidTr="004923C5">
        <w:trPr>
          <w:trHeight w:val="360"/>
        </w:trPr>
        <w:tc>
          <w:tcPr>
            <w:tcW w:w="1926" w:type="dxa"/>
          </w:tcPr>
          <w:p w14:paraId="2C747A47" w14:textId="77777777" w:rsidR="006E62CD" w:rsidRPr="00FF4465"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&gt; -1.0</w:t>
            </w:r>
          </w:p>
        </w:tc>
        <w:tc>
          <w:tcPr>
            <w:tcW w:w="1617" w:type="dxa"/>
          </w:tcPr>
          <w:p w14:paraId="0B83C9F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66</w:t>
            </w:r>
            <w:r w:rsidRPr="004923C5">
              <w:rPr>
                <w:spacing w:val="-1"/>
                <w:sz w:val="20"/>
                <w:szCs w:val="20"/>
                <w:lang w:val="en-GB"/>
              </w:rPr>
              <w:t xml:space="preserve"> </w:t>
            </w:r>
            <w:r w:rsidRPr="004923C5">
              <w:rPr>
                <w:sz w:val="20"/>
                <w:szCs w:val="20"/>
                <w:lang w:val="en-GB"/>
              </w:rPr>
              <w:t>(45.5)</w:t>
            </w:r>
          </w:p>
        </w:tc>
        <w:tc>
          <w:tcPr>
            <w:tcW w:w="1618" w:type="dxa"/>
          </w:tcPr>
          <w:p w14:paraId="59E6D55A"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67</w:t>
            </w:r>
            <w:r w:rsidRPr="004923C5">
              <w:rPr>
                <w:spacing w:val="-1"/>
                <w:sz w:val="20"/>
                <w:szCs w:val="20"/>
                <w:lang w:val="en-GB"/>
              </w:rPr>
              <w:t xml:space="preserve"> </w:t>
            </w:r>
            <w:r w:rsidRPr="004923C5">
              <w:rPr>
                <w:sz w:val="20"/>
                <w:szCs w:val="20"/>
                <w:lang w:val="en-GB"/>
              </w:rPr>
              <w:t>(46.2)</w:t>
            </w:r>
          </w:p>
        </w:tc>
        <w:tc>
          <w:tcPr>
            <w:tcW w:w="1618" w:type="dxa"/>
          </w:tcPr>
          <w:p w14:paraId="0793BD62"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54</w:t>
            </w:r>
            <w:r w:rsidRPr="004923C5">
              <w:rPr>
                <w:spacing w:val="-1"/>
                <w:sz w:val="20"/>
                <w:szCs w:val="20"/>
                <w:lang w:val="en-GB"/>
              </w:rPr>
              <w:t xml:space="preserve"> </w:t>
            </w:r>
            <w:r w:rsidRPr="004923C5">
              <w:rPr>
                <w:sz w:val="20"/>
                <w:szCs w:val="20"/>
                <w:lang w:val="en-GB"/>
              </w:rPr>
              <w:t>(21.4)</w:t>
            </w:r>
          </w:p>
        </w:tc>
        <w:tc>
          <w:tcPr>
            <w:tcW w:w="1618" w:type="dxa"/>
          </w:tcPr>
          <w:p w14:paraId="49D50A5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54</w:t>
            </w:r>
            <w:r w:rsidRPr="004923C5">
              <w:rPr>
                <w:spacing w:val="-1"/>
                <w:sz w:val="20"/>
                <w:szCs w:val="20"/>
                <w:lang w:val="en-GB"/>
              </w:rPr>
              <w:t xml:space="preserve"> </w:t>
            </w:r>
            <w:r w:rsidRPr="004923C5">
              <w:rPr>
                <w:sz w:val="20"/>
                <w:szCs w:val="20"/>
                <w:lang w:val="en-GB"/>
              </w:rPr>
              <w:t>(21.3)</w:t>
            </w:r>
          </w:p>
        </w:tc>
      </w:tr>
      <w:tr w:rsidR="00FA4FC4" w:rsidRPr="004D78AA" w14:paraId="26BEADC3" w14:textId="77777777" w:rsidTr="004923C5">
        <w:trPr>
          <w:trHeight w:val="359"/>
        </w:trPr>
        <w:tc>
          <w:tcPr>
            <w:tcW w:w="1926" w:type="dxa"/>
          </w:tcPr>
          <w:p w14:paraId="169E4918" w14:textId="77777777" w:rsidR="006E62CD" w:rsidRPr="00FF4465"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Missing</w:t>
            </w:r>
          </w:p>
        </w:tc>
        <w:tc>
          <w:tcPr>
            <w:tcW w:w="1617" w:type="dxa"/>
          </w:tcPr>
          <w:p w14:paraId="5166E354"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2 (1.4)</w:t>
            </w:r>
          </w:p>
        </w:tc>
        <w:tc>
          <w:tcPr>
            <w:tcW w:w="1618" w:type="dxa"/>
          </w:tcPr>
          <w:p w14:paraId="732BDD8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1 (0.7)</w:t>
            </w:r>
          </w:p>
        </w:tc>
        <w:tc>
          <w:tcPr>
            <w:tcW w:w="1618" w:type="dxa"/>
          </w:tcPr>
          <w:p w14:paraId="74DED0A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0 (0.0)</w:t>
            </w:r>
          </w:p>
        </w:tc>
        <w:tc>
          <w:tcPr>
            <w:tcW w:w="1618" w:type="dxa"/>
          </w:tcPr>
          <w:p w14:paraId="22F832B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5 (2.0)</w:t>
            </w:r>
          </w:p>
        </w:tc>
      </w:tr>
      <w:tr w:rsidR="00FA4FC4" w:rsidRPr="004D78AA" w14:paraId="7B007599" w14:textId="77777777" w:rsidTr="004923C5">
        <w:trPr>
          <w:trHeight w:val="359"/>
        </w:trPr>
        <w:tc>
          <w:tcPr>
            <w:tcW w:w="8397" w:type="dxa"/>
            <w:gridSpan w:val="5"/>
          </w:tcPr>
          <w:p w14:paraId="7C1CE169" w14:textId="77777777" w:rsidR="006E62CD" w:rsidRPr="004923C5" w:rsidRDefault="00CB520A" w:rsidP="00D258EC">
            <w:pPr>
              <w:pStyle w:val="TableParagraph"/>
              <w:adjustRightInd w:val="0"/>
              <w:snapToGrid w:val="0"/>
              <w:spacing w:after="60" w:line="360" w:lineRule="auto"/>
              <w:ind w:left="108" w:rightChars="30" w:right="66"/>
              <w:rPr>
                <w:b/>
                <w:sz w:val="20"/>
                <w:szCs w:val="20"/>
                <w:lang w:val="en-GB"/>
              </w:rPr>
            </w:pPr>
            <w:r w:rsidRPr="00FF4465">
              <w:rPr>
                <w:b/>
                <w:sz w:val="20"/>
                <w:szCs w:val="20"/>
                <w:lang w:val="en-GB"/>
              </w:rPr>
              <w:t>Underlying</w:t>
            </w:r>
            <w:r w:rsidRPr="00FF4465">
              <w:rPr>
                <w:b/>
                <w:spacing w:val="-1"/>
                <w:sz w:val="20"/>
                <w:szCs w:val="20"/>
                <w:lang w:val="en-GB"/>
              </w:rPr>
              <w:t xml:space="preserve"> </w:t>
            </w:r>
            <w:r w:rsidRPr="00FF4465">
              <w:rPr>
                <w:b/>
                <w:sz w:val="20"/>
                <w:szCs w:val="20"/>
                <w:lang w:val="en-GB"/>
              </w:rPr>
              <w:t>disease requiring glucocorticoid</w:t>
            </w:r>
            <w:r w:rsidRPr="000A2300">
              <w:rPr>
                <w:b/>
                <w:spacing w:val="-1"/>
                <w:sz w:val="20"/>
                <w:szCs w:val="20"/>
                <w:lang w:val="en-GB"/>
              </w:rPr>
              <w:t xml:space="preserve"> </w:t>
            </w:r>
            <w:r w:rsidRPr="004923C5">
              <w:rPr>
                <w:b/>
                <w:sz w:val="20"/>
                <w:szCs w:val="20"/>
                <w:lang w:val="en-GB"/>
              </w:rPr>
              <w:t>use</w:t>
            </w:r>
          </w:p>
        </w:tc>
      </w:tr>
      <w:tr w:rsidR="00FA4FC4" w:rsidRPr="004D78AA" w14:paraId="3617AC78" w14:textId="77777777" w:rsidTr="004923C5">
        <w:trPr>
          <w:trHeight w:val="64"/>
        </w:trPr>
        <w:tc>
          <w:tcPr>
            <w:tcW w:w="1926" w:type="dxa"/>
          </w:tcPr>
          <w:p w14:paraId="5BAC638B"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FF4465">
              <w:rPr>
                <w:sz w:val="20"/>
                <w:szCs w:val="20"/>
                <w:lang w:val="en-GB"/>
              </w:rPr>
              <w:t>Common</w:t>
            </w:r>
            <w:r w:rsidRPr="00FF4465">
              <w:rPr>
                <w:spacing w:val="1"/>
                <w:sz w:val="20"/>
                <w:szCs w:val="20"/>
                <w:lang w:val="en-GB"/>
              </w:rPr>
              <w:t xml:space="preserve"> </w:t>
            </w:r>
            <w:r w:rsidRPr="004923C5">
              <w:rPr>
                <w:sz w:val="20"/>
                <w:szCs w:val="20"/>
                <w:lang w:val="en-GB"/>
              </w:rPr>
              <w:t>underlying</w:t>
            </w:r>
            <w:r w:rsidRPr="004923C5">
              <w:rPr>
                <w:spacing w:val="1"/>
                <w:sz w:val="20"/>
                <w:szCs w:val="20"/>
                <w:lang w:val="en-GB"/>
              </w:rPr>
              <w:t xml:space="preserve"> </w:t>
            </w:r>
            <w:r w:rsidRPr="004923C5">
              <w:rPr>
                <w:sz w:val="20"/>
                <w:szCs w:val="20"/>
                <w:lang w:val="en-GB"/>
              </w:rPr>
              <w:t>diseases</w:t>
            </w:r>
            <w:r w:rsidRPr="004923C5">
              <w:rPr>
                <w:spacing w:val="-12"/>
                <w:sz w:val="20"/>
                <w:szCs w:val="20"/>
                <w:lang w:val="en-GB"/>
              </w:rPr>
              <w:t xml:space="preserve"> </w:t>
            </w:r>
            <w:r w:rsidRPr="004923C5">
              <w:rPr>
                <w:sz w:val="20"/>
                <w:szCs w:val="20"/>
                <w:lang w:val="en-GB"/>
              </w:rPr>
              <w:t>(%)</w:t>
            </w:r>
          </w:p>
        </w:tc>
        <w:tc>
          <w:tcPr>
            <w:tcW w:w="1617" w:type="dxa"/>
          </w:tcPr>
          <w:p w14:paraId="7F73BA29"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Polymyalgia</w:t>
            </w:r>
            <w:r w:rsidRPr="004923C5">
              <w:rPr>
                <w:spacing w:val="-53"/>
                <w:sz w:val="20"/>
                <w:szCs w:val="20"/>
                <w:lang w:val="en-GB"/>
              </w:rPr>
              <w:t xml:space="preserve"> </w:t>
            </w:r>
            <w:r w:rsidRPr="004923C5">
              <w:rPr>
                <w:sz w:val="20"/>
                <w:szCs w:val="20"/>
                <w:lang w:val="en-GB"/>
              </w:rPr>
              <w:t>rheumatica</w:t>
            </w:r>
            <w:r w:rsidRPr="004923C5">
              <w:rPr>
                <w:spacing w:val="1"/>
                <w:sz w:val="20"/>
                <w:szCs w:val="20"/>
                <w:lang w:val="en-GB"/>
              </w:rPr>
              <w:t xml:space="preserve"> </w:t>
            </w:r>
            <w:r w:rsidRPr="004923C5">
              <w:rPr>
                <w:sz w:val="20"/>
                <w:szCs w:val="20"/>
                <w:lang w:val="en-GB"/>
              </w:rPr>
              <w:t>(35.9)</w:t>
            </w:r>
          </w:p>
          <w:p w14:paraId="15B9C1F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Rheumatoid</w:t>
            </w:r>
            <w:r w:rsidRPr="004923C5">
              <w:rPr>
                <w:spacing w:val="1"/>
                <w:sz w:val="20"/>
                <w:szCs w:val="20"/>
                <w:lang w:val="en-GB"/>
              </w:rPr>
              <w:t xml:space="preserve"> </w:t>
            </w:r>
            <w:r w:rsidRPr="004923C5">
              <w:rPr>
                <w:spacing w:val="-1"/>
                <w:sz w:val="20"/>
                <w:szCs w:val="20"/>
                <w:lang w:val="en-GB"/>
              </w:rPr>
              <w:lastRenderedPageBreak/>
              <w:t>arthritis</w:t>
            </w:r>
            <w:r w:rsidRPr="004923C5">
              <w:rPr>
                <w:spacing w:val="-8"/>
                <w:sz w:val="20"/>
                <w:szCs w:val="20"/>
                <w:lang w:val="en-GB"/>
              </w:rPr>
              <w:t xml:space="preserve"> </w:t>
            </w:r>
            <w:r w:rsidRPr="004923C5">
              <w:rPr>
                <w:sz w:val="20"/>
                <w:szCs w:val="20"/>
                <w:lang w:val="en-GB"/>
              </w:rPr>
              <w:t>(29.7)</w:t>
            </w:r>
          </w:p>
          <w:p w14:paraId="1252D90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Arthritis (6.2)</w:t>
            </w:r>
          </w:p>
        </w:tc>
        <w:tc>
          <w:tcPr>
            <w:tcW w:w="1618" w:type="dxa"/>
          </w:tcPr>
          <w:p w14:paraId="0F5BBEA7"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lastRenderedPageBreak/>
              <w:t>Polymyalgia</w:t>
            </w:r>
            <w:r w:rsidRPr="004923C5">
              <w:rPr>
                <w:spacing w:val="-54"/>
                <w:sz w:val="20"/>
                <w:szCs w:val="20"/>
                <w:lang w:val="en-GB"/>
              </w:rPr>
              <w:t xml:space="preserve"> </w:t>
            </w:r>
            <w:r w:rsidRPr="004923C5">
              <w:rPr>
                <w:sz w:val="20"/>
                <w:szCs w:val="20"/>
                <w:lang w:val="en-GB"/>
              </w:rPr>
              <w:t>rheumatica</w:t>
            </w:r>
            <w:r w:rsidRPr="004923C5">
              <w:rPr>
                <w:spacing w:val="1"/>
                <w:sz w:val="20"/>
                <w:szCs w:val="20"/>
                <w:lang w:val="en-GB"/>
              </w:rPr>
              <w:t xml:space="preserve"> </w:t>
            </w:r>
            <w:r w:rsidRPr="004923C5">
              <w:rPr>
                <w:sz w:val="20"/>
                <w:szCs w:val="20"/>
                <w:lang w:val="en-GB"/>
              </w:rPr>
              <w:t>(34.5)</w:t>
            </w:r>
          </w:p>
          <w:p w14:paraId="4DADC47D"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Rheumatoid</w:t>
            </w:r>
            <w:r w:rsidRPr="004923C5">
              <w:rPr>
                <w:spacing w:val="1"/>
                <w:sz w:val="20"/>
                <w:szCs w:val="20"/>
                <w:lang w:val="en-GB"/>
              </w:rPr>
              <w:t xml:space="preserve"> </w:t>
            </w:r>
            <w:r w:rsidRPr="004923C5">
              <w:rPr>
                <w:spacing w:val="-1"/>
                <w:sz w:val="20"/>
                <w:szCs w:val="20"/>
                <w:lang w:val="en-GB"/>
              </w:rPr>
              <w:lastRenderedPageBreak/>
              <w:t>arthritis</w:t>
            </w:r>
            <w:r w:rsidRPr="004923C5">
              <w:rPr>
                <w:spacing w:val="-8"/>
                <w:sz w:val="20"/>
                <w:szCs w:val="20"/>
                <w:lang w:val="en-GB"/>
              </w:rPr>
              <w:t xml:space="preserve"> </w:t>
            </w:r>
            <w:r w:rsidRPr="004923C5">
              <w:rPr>
                <w:sz w:val="20"/>
                <w:szCs w:val="20"/>
                <w:lang w:val="en-GB"/>
              </w:rPr>
              <w:t>(33.1)</w:t>
            </w:r>
          </w:p>
          <w:p w14:paraId="1E57D59D"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Arthritis (7.6)</w:t>
            </w:r>
          </w:p>
        </w:tc>
        <w:tc>
          <w:tcPr>
            <w:tcW w:w="1618" w:type="dxa"/>
          </w:tcPr>
          <w:p w14:paraId="2AAAB896"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lastRenderedPageBreak/>
              <w:t>Rheumatoid</w:t>
            </w:r>
            <w:r w:rsidRPr="004923C5">
              <w:rPr>
                <w:spacing w:val="1"/>
                <w:sz w:val="20"/>
                <w:szCs w:val="20"/>
                <w:lang w:val="en-GB"/>
              </w:rPr>
              <w:t xml:space="preserve"> </w:t>
            </w:r>
            <w:r w:rsidRPr="004923C5">
              <w:rPr>
                <w:sz w:val="20"/>
                <w:szCs w:val="20"/>
                <w:lang w:val="en-GB"/>
              </w:rPr>
              <w:t>arthritis</w:t>
            </w:r>
            <w:r w:rsidRPr="004923C5">
              <w:rPr>
                <w:spacing w:val="-13"/>
                <w:sz w:val="20"/>
                <w:szCs w:val="20"/>
                <w:lang w:val="en-GB"/>
              </w:rPr>
              <w:t xml:space="preserve"> </w:t>
            </w:r>
            <w:r w:rsidRPr="004923C5">
              <w:rPr>
                <w:sz w:val="20"/>
                <w:szCs w:val="20"/>
                <w:lang w:val="en-GB"/>
              </w:rPr>
              <w:t>(46.8)</w:t>
            </w:r>
          </w:p>
          <w:p w14:paraId="72781015"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Polymyalgia</w:t>
            </w:r>
            <w:r w:rsidRPr="004923C5">
              <w:rPr>
                <w:spacing w:val="1"/>
                <w:sz w:val="20"/>
                <w:szCs w:val="20"/>
                <w:lang w:val="en-GB"/>
              </w:rPr>
              <w:t xml:space="preserve"> </w:t>
            </w:r>
            <w:r w:rsidRPr="004923C5">
              <w:rPr>
                <w:sz w:val="20"/>
                <w:szCs w:val="20"/>
                <w:lang w:val="en-GB"/>
              </w:rPr>
              <w:t>rheumatica</w:t>
            </w:r>
            <w:r w:rsidRPr="004923C5">
              <w:rPr>
                <w:spacing w:val="-13"/>
                <w:sz w:val="20"/>
                <w:szCs w:val="20"/>
                <w:lang w:val="en-GB"/>
              </w:rPr>
              <w:t xml:space="preserve"> </w:t>
            </w:r>
            <w:r w:rsidRPr="004923C5">
              <w:rPr>
                <w:sz w:val="20"/>
                <w:szCs w:val="20"/>
                <w:lang w:val="en-GB"/>
              </w:rPr>
              <w:lastRenderedPageBreak/>
              <w:t>(7.1)</w:t>
            </w:r>
          </w:p>
          <w:p w14:paraId="030DDB5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Asthma</w:t>
            </w:r>
            <w:r w:rsidRPr="004923C5">
              <w:rPr>
                <w:spacing w:val="-1"/>
                <w:sz w:val="20"/>
                <w:szCs w:val="20"/>
                <w:lang w:val="en-GB"/>
              </w:rPr>
              <w:t xml:space="preserve"> </w:t>
            </w:r>
            <w:r w:rsidRPr="004923C5">
              <w:rPr>
                <w:sz w:val="20"/>
                <w:szCs w:val="20"/>
                <w:lang w:val="en-GB"/>
              </w:rPr>
              <w:t>(5.6)</w:t>
            </w:r>
          </w:p>
        </w:tc>
        <w:tc>
          <w:tcPr>
            <w:tcW w:w="1618" w:type="dxa"/>
          </w:tcPr>
          <w:p w14:paraId="45A32BE8"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lastRenderedPageBreak/>
              <w:t>Rheumatoid</w:t>
            </w:r>
            <w:r w:rsidRPr="004923C5">
              <w:rPr>
                <w:spacing w:val="1"/>
                <w:sz w:val="20"/>
                <w:szCs w:val="20"/>
                <w:lang w:val="en-GB"/>
              </w:rPr>
              <w:t xml:space="preserve"> </w:t>
            </w:r>
            <w:r w:rsidRPr="004923C5">
              <w:rPr>
                <w:sz w:val="20"/>
                <w:szCs w:val="20"/>
                <w:lang w:val="en-GB"/>
              </w:rPr>
              <w:t>arthritis</w:t>
            </w:r>
            <w:r w:rsidRPr="004923C5">
              <w:rPr>
                <w:spacing w:val="-13"/>
                <w:sz w:val="20"/>
                <w:szCs w:val="20"/>
                <w:lang w:val="en-GB"/>
              </w:rPr>
              <w:t xml:space="preserve"> </w:t>
            </w:r>
            <w:r w:rsidRPr="004923C5">
              <w:rPr>
                <w:sz w:val="20"/>
                <w:szCs w:val="20"/>
                <w:lang w:val="en-GB"/>
              </w:rPr>
              <w:t>(37.9)</w:t>
            </w:r>
          </w:p>
          <w:p w14:paraId="1FD844B1"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Polymyalgia</w:t>
            </w:r>
            <w:r w:rsidRPr="004923C5">
              <w:rPr>
                <w:spacing w:val="1"/>
                <w:sz w:val="20"/>
                <w:szCs w:val="20"/>
                <w:lang w:val="en-GB"/>
              </w:rPr>
              <w:t xml:space="preserve"> </w:t>
            </w:r>
            <w:r w:rsidRPr="004923C5">
              <w:rPr>
                <w:sz w:val="20"/>
                <w:szCs w:val="20"/>
                <w:lang w:val="en-GB"/>
              </w:rPr>
              <w:t>rheumatica</w:t>
            </w:r>
            <w:r w:rsidRPr="004923C5">
              <w:rPr>
                <w:spacing w:val="-13"/>
                <w:sz w:val="20"/>
                <w:szCs w:val="20"/>
                <w:lang w:val="en-GB"/>
              </w:rPr>
              <w:t xml:space="preserve"> </w:t>
            </w:r>
            <w:r w:rsidRPr="004923C5">
              <w:rPr>
                <w:sz w:val="20"/>
                <w:szCs w:val="20"/>
                <w:lang w:val="en-GB"/>
              </w:rPr>
              <w:lastRenderedPageBreak/>
              <w:t>(7.9)</w:t>
            </w:r>
          </w:p>
          <w:p w14:paraId="46D009E0" w14:textId="77777777" w:rsidR="006E62CD" w:rsidRPr="004923C5" w:rsidRDefault="00CB520A" w:rsidP="00D258EC">
            <w:pPr>
              <w:pStyle w:val="TableParagraph"/>
              <w:adjustRightInd w:val="0"/>
              <w:snapToGrid w:val="0"/>
              <w:spacing w:after="60" w:line="360" w:lineRule="auto"/>
              <w:ind w:left="108" w:rightChars="30" w:right="66"/>
              <w:rPr>
                <w:sz w:val="20"/>
                <w:szCs w:val="20"/>
                <w:lang w:val="en-GB"/>
              </w:rPr>
            </w:pPr>
            <w:r w:rsidRPr="004923C5">
              <w:rPr>
                <w:sz w:val="20"/>
                <w:szCs w:val="20"/>
                <w:lang w:val="en-GB"/>
              </w:rPr>
              <w:t>Asthma</w:t>
            </w:r>
            <w:r w:rsidRPr="004923C5">
              <w:rPr>
                <w:spacing w:val="-1"/>
                <w:sz w:val="20"/>
                <w:szCs w:val="20"/>
                <w:lang w:val="en-GB"/>
              </w:rPr>
              <w:t xml:space="preserve"> </w:t>
            </w:r>
            <w:r w:rsidRPr="004923C5">
              <w:rPr>
                <w:sz w:val="20"/>
                <w:szCs w:val="20"/>
                <w:lang w:val="en-GB"/>
              </w:rPr>
              <w:t>(7.5)</w:t>
            </w:r>
          </w:p>
        </w:tc>
      </w:tr>
    </w:tbl>
    <w:p w14:paraId="1BA9AB87" w14:textId="77777777" w:rsidR="00FE64AF" w:rsidRDefault="00FE64AF" w:rsidP="00D258EC">
      <w:pPr>
        <w:adjustRightInd w:val="0"/>
        <w:snapToGrid w:val="0"/>
        <w:spacing w:before="60" w:after="60" w:line="360" w:lineRule="auto"/>
        <w:ind w:left="108" w:rightChars="30" w:right="66"/>
        <w:rPr>
          <w:b/>
          <w:lang w:val="en-GB"/>
        </w:rPr>
      </w:pPr>
    </w:p>
    <w:p w14:paraId="12BBFA8A" w14:textId="6ABE254B" w:rsidR="006E62CD" w:rsidRPr="00EE2E24" w:rsidRDefault="00CB520A" w:rsidP="00D258EC">
      <w:pPr>
        <w:adjustRightInd w:val="0"/>
        <w:snapToGrid w:val="0"/>
        <w:spacing w:before="60" w:after="60" w:line="360" w:lineRule="auto"/>
        <w:ind w:left="108" w:rightChars="30" w:right="66"/>
        <w:rPr>
          <w:b/>
          <w:lang w:val="en-GB"/>
        </w:rPr>
      </w:pPr>
      <w:r w:rsidRPr="00EE2E24">
        <w:rPr>
          <w:b/>
          <w:lang w:val="en-GB"/>
        </w:rPr>
        <w:t>Effect</w:t>
      </w:r>
      <w:r w:rsidRPr="00EE2E24">
        <w:rPr>
          <w:b/>
          <w:spacing w:val="-3"/>
          <w:lang w:val="en-GB"/>
        </w:rPr>
        <w:t xml:space="preserve"> </w:t>
      </w:r>
      <w:r w:rsidRPr="00EE2E24">
        <w:rPr>
          <w:b/>
          <w:lang w:val="en-GB"/>
        </w:rPr>
        <w:t>on</w:t>
      </w:r>
      <w:r w:rsidRPr="00EE2E24">
        <w:rPr>
          <w:b/>
          <w:spacing w:val="-1"/>
          <w:lang w:val="en-GB"/>
        </w:rPr>
        <w:t xml:space="preserve"> </w:t>
      </w:r>
      <w:r w:rsidRPr="00EE2E24">
        <w:rPr>
          <w:b/>
          <w:lang w:val="en-GB"/>
        </w:rPr>
        <w:t>bone</w:t>
      </w:r>
      <w:r w:rsidRPr="00EE2E24">
        <w:rPr>
          <w:b/>
          <w:spacing w:val="-1"/>
          <w:lang w:val="en-GB"/>
        </w:rPr>
        <w:t xml:space="preserve"> </w:t>
      </w:r>
      <w:r w:rsidRPr="00EE2E24">
        <w:rPr>
          <w:b/>
          <w:lang w:val="en-GB"/>
        </w:rPr>
        <w:t>mineral</w:t>
      </w:r>
      <w:r w:rsidRPr="00EE2E24">
        <w:rPr>
          <w:b/>
          <w:spacing w:val="-1"/>
          <w:lang w:val="en-GB"/>
        </w:rPr>
        <w:t xml:space="preserve"> </w:t>
      </w:r>
      <w:r w:rsidRPr="00EE2E24">
        <w:rPr>
          <w:b/>
          <w:lang w:val="en-GB"/>
        </w:rPr>
        <w:t>density</w:t>
      </w:r>
      <w:r w:rsidRPr="00EE2E24">
        <w:rPr>
          <w:b/>
          <w:spacing w:val="-1"/>
          <w:lang w:val="en-GB"/>
        </w:rPr>
        <w:t xml:space="preserve"> </w:t>
      </w:r>
      <w:r w:rsidRPr="00EE2E24">
        <w:rPr>
          <w:b/>
          <w:lang w:val="en-GB"/>
        </w:rPr>
        <w:t>(BMD)</w:t>
      </w:r>
    </w:p>
    <w:p w14:paraId="6F1B6A99" w14:textId="7525AE7A"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The difference in mean percentage change from baseline in lumbar spine BMD at 12</w:t>
      </w:r>
      <w:r w:rsidRPr="00F53BC2">
        <w:rPr>
          <w:lang w:val="en-GB"/>
        </w:rPr>
        <w:t xml:space="preserve"> </w:t>
      </w:r>
      <w:r w:rsidRPr="00EE2E24">
        <w:rPr>
          <w:lang w:val="en-GB"/>
        </w:rPr>
        <w:t>months between treatment groups (</w:t>
      </w:r>
      <w:r w:rsidR="001328D6">
        <w:rPr>
          <w:lang w:val="en-GB"/>
        </w:rPr>
        <w:t>denosumab</w:t>
      </w:r>
      <w:r w:rsidR="001F0CCE" w:rsidRPr="003444E8">
        <w:rPr>
          <w:lang w:val="en-GB"/>
        </w:rPr>
        <w:t xml:space="preserve"> </w:t>
      </w:r>
      <w:r w:rsidRPr="00EE2E24">
        <w:rPr>
          <w:lang w:val="en-GB"/>
        </w:rPr>
        <w:t>– risedronate) was 2.2% (95% CI: 1.4, 3.0) in</w:t>
      </w:r>
      <w:r w:rsidRPr="00F53BC2">
        <w:rPr>
          <w:lang w:val="en-GB"/>
        </w:rPr>
        <w:t xml:space="preserve"> </w:t>
      </w:r>
      <w:r w:rsidRPr="00EE2E24">
        <w:rPr>
          <w:lang w:val="en-GB"/>
        </w:rPr>
        <w:t>the glucocorticoid-continuing subpopulation and 2.9% (95% CI: 2.0, 3.9) in the</w:t>
      </w:r>
      <w:r w:rsidRPr="00F53BC2">
        <w:rPr>
          <w:lang w:val="en-GB"/>
        </w:rPr>
        <w:t xml:space="preserve"> </w:t>
      </w:r>
      <w:r w:rsidRPr="00EE2E24">
        <w:rPr>
          <w:lang w:val="en-GB"/>
        </w:rPr>
        <w:t>glucocorticoid-initiating</w:t>
      </w:r>
      <w:r w:rsidRPr="00F53BC2">
        <w:rPr>
          <w:lang w:val="en-GB"/>
        </w:rPr>
        <w:t xml:space="preserve"> </w:t>
      </w:r>
      <w:r w:rsidRPr="00EE2E24">
        <w:rPr>
          <w:lang w:val="en-GB"/>
        </w:rPr>
        <w:t>subpopulation,</w:t>
      </w:r>
      <w:r w:rsidRPr="00F53BC2">
        <w:rPr>
          <w:lang w:val="en-GB"/>
        </w:rPr>
        <w:t xml:space="preserve"> </w:t>
      </w:r>
      <w:r w:rsidRPr="00EE2E24">
        <w:rPr>
          <w:lang w:val="en-GB"/>
        </w:rPr>
        <w:t>confirming</w:t>
      </w:r>
      <w:r w:rsidRPr="00F53BC2">
        <w:rPr>
          <w:lang w:val="en-GB"/>
        </w:rPr>
        <w:t xml:space="preserve"> </w:t>
      </w:r>
      <w:r w:rsidRPr="00EE2E24">
        <w:rPr>
          <w:lang w:val="en-GB"/>
        </w:rPr>
        <w:t>non-inferiority.</w:t>
      </w:r>
    </w:p>
    <w:p w14:paraId="09D565E6" w14:textId="41A374EF"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The percentage change from baseline in lumbar spine and total hip BMD at 12 months</w:t>
      </w:r>
      <w:r w:rsidRPr="00F53BC2">
        <w:rPr>
          <w:lang w:val="en-GB"/>
        </w:rPr>
        <w:t xml:space="preserve"> </w:t>
      </w:r>
      <w:r w:rsidRPr="00EE2E24">
        <w:rPr>
          <w:lang w:val="en-GB"/>
        </w:rPr>
        <w:t xml:space="preserve">was significantly greater with </w:t>
      </w:r>
      <w:r w:rsidR="001328D6">
        <w:rPr>
          <w:lang w:val="en-GB"/>
        </w:rPr>
        <w:t>denosumab</w:t>
      </w:r>
      <w:r w:rsidRPr="00EE2E24">
        <w:rPr>
          <w:lang w:val="en-GB"/>
        </w:rPr>
        <w:t xml:space="preserve"> treatment than with risedronate treatment in</w:t>
      </w:r>
      <w:r w:rsidRPr="00F53BC2">
        <w:rPr>
          <w:lang w:val="en-GB"/>
        </w:rPr>
        <w:t xml:space="preserve"> </w:t>
      </w:r>
      <w:r w:rsidRPr="00EE2E24">
        <w:rPr>
          <w:lang w:val="en-GB"/>
        </w:rPr>
        <w:t>both</w:t>
      </w:r>
      <w:r w:rsidRPr="00F53BC2">
        <w:rPr>
          <w:lang w:val="en-GB"/>
        </w:rPr>
        <w:t xml:space="preserve"> </w:t>
      </w:r>
      <w:r w:rsidRPr="00EE2E24">
        <w:rPr>
          <w:lang w:val="en-GB"/>
        </w:rPr>
        <w:t>subpopulations (p &lt;</w:t>
      </w:r>
      <w:r w:rsidRPr="00F53BC2">
        <w:rPr>
          <w:lang w:val="en-GB"/>
        </w:rPr>
        <w:t xml:space="preserve"> </w:t>
      </w:r>
      <w:r w:rsidRPr="00EE2E24">
        <w:rPr>
          <w:lang w:val="en-GB"/>
        </w:rPr>
        <w:t>0.001 in all</w:t>
      </w:r>
      <w:r w:rsidRPr="00F53BC2">
        <w:rPr>
          <w:lang w:val="en-GB"/>
        </w:rPr>
        <w:t xml:space="preserve"> </w:t>
      </w:r>
      <w:r w:rsidRPr="00EE2E24">
        <w:rPr>
          <w:lang w:val="en-GB"/>
        </w:rPr>
        <w:t>comparisons)</w:t>
      </w:r>
      <w:r w:rsidRPr="00F53BC2">
        <w:rPr>
          <w:lang w:val="en-GB"/>
        </w:rPr>
        <w:t xml:space="preserve"> </w:t>
      </w:r>
      <w:r w:rsidRPr="00EE2E24">
        <w:rPr>
          <w:lang w:val="en-GB"/>
        </w:rPr>
        <w:t>(see Table</w:t>
      </w:r>
      <w:r w:rsidRPr="00F53BC2">
        <w:rPr>
          <w:lang w:val="en-GB"/>
        </w:rPr>
        <w:t xml:space="preserve"> </w:t>
      </w:r>
      <w:r w:rsidRPr="00EE2E24">
        <w:rPr>
          <w:lang w:val="en-GB"/>
        </w:rPr>
        <w:t>9).</w:t>
      </w:r>
    </w:p>
    <w:p w14:paraId="5AB2D4D6"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Consistent effects on lumbar spine BMD were observed regardless of gender; race;</w:t>
      </w:r>
      <w:r w:rsidRPr="00F53BC2">
        <w:rPr>
          <w:lang w:val="en-GB"/>
        </w:rPr>
        <w:t xml:space="preserve"> </w:t>
      </w:r>
      <w:r w:rsidRPr="00EE2E24">
        <w:rPr>
          <w:lang w:val="en-GB"/>
        </w:rPr>
        <w:t>geographic region; menopausal status; age; and baseline lumbar spine BMD T-score,</w:t>
      </w:r>
      <w:r w:rsidRPr="00F53BC2">
        <w:rPr>
          <w:lang w:val="en-GB"/>
        </w:rPr>
        <w:t xml:space="preserve"> </w:t>
      </w:r>
      <w:r w:rsidRPr="00EE2E24">
        <w:rPr>
          <w:lang w:val="en-GB"/>
        </w:rPr>
        <w:t>and</w:t>
      </w:r>
      <w:r w:rsidRPr="00F53BC2">
        <w:rPr>
          <w:lang w:val="en-GB"/>
        </w:rPr>
        <w:t xml:space="preserve"> </w:t>
      </w:r>
      <w:r w:rsidRPr="00EE2E24">
        <w:rPr>
          <w:lang w:val="en-GB"/>
        </w:rPr>
        <w:t>glucocorticoid dose</w:t>
      </w:r>
      <w:r w:rsidRPr="00F53BC2">
        <w:rPr>
          <w:lang w:val="en-GB"/>
        </w:rPr>
        <w:t xml:space="preserve"> </w:t>
      </w:r>
      <w:r w:rsidRPr="00EE2E24">
        <w:rPr>
          <w:lang w:val="en-GB"/>
        </w:rPr>
        <w:t>within each</w:t>
      </w:r>
      <w:r w:rsidRPr="00F53BC2">
        <w:rPr>
          <w:lang w:val="en-GB"/>
        </w:rPr>
        <w:t xml:space="preserve"> </w:t>
      </w:r>
      <w:r w:rsidRPr="00EE2E24">
        <w:rPr>
          <w:lang w:val="en-GB"/>
        </w:rPr>
        <w:t>subpopulation.</w:t>
      </w:r>
    </w:p>
    <w:p w14:paraId="199BFCFF"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In addition, exploratory endpoints measured the percentage change from baseline in</w:t>
      </w:r>
      <w:r w:rsidRPr="00F53BC2">
        <w:rPr>
          <w:lang w:val="en-GB"/>
        </w:rPr>
        <w:t xml:space="preserve"> </w:t>
      </w:r>
      <w:r w:rsidRPr="00EE2E24">
        <w:rPr>
          <w:lang w:val="en-GB"/>
        </w:rPr>
        <w:t>femoral neck, hip trochanter and distal 1/3 radius BMD at 12 months (see Table 9).</w:t>
      </w:r>
      <w:r w:rsidRPr="00F53BC2">
        <w:rPr>
          <w:lang w:val="en-GB"/>
        </w:rPr>
        <w:t xml:space="preserve"> </w:t>
      </w:r>
      <w:r w:rsidRPr="00EE2E24">
        <w:rPr>
          <w:lang w:val="en-GB"/>
        </w:rPr>
        <w:t>The</w:t>
      </w:r>
      <w:r w:rsidRPr="00F53BC2">
        <w:rPr>
          <w:lang w:val="en-GB"/>
        </w:rPr>
        <w:t xml:space="preserve"> </w:t>
      </w:r>
      <w:r w:rsidRPr="00EE2E24">
        <w:rPr>
          <w:lang w:val="en-GB"/>
        </w:rPr>
        <w:t>study was not powered for reduction in risk of fracture.</w:t>
      </w:r>
      <w:r w:rsidRPr="00F53BC2">
        <w:rPr>
          <w:lang w:val="en-GB"/>
        </w:rPr>
        <w:t xml:space="preserve"> </w:t>
      </w:r>
      <w:r w:rsidRPr="00EE2E24">
        <w:rPr>
          <w:lang w:val="en-GB"/>
        </w:rPr>
        <w:t>The correlation between</w:t>
      </w:r>
      <w:r w:rsidRPr="00F53BC2">
        <w:rPr>
          <w:lang w:val="en-GB"/>
        </w:rPr>
        <w:t xml:space="preserve"> </w:t>
      </w:r>
      <w:r w:rsidRPr="00EE2E24">
        <w:rPr>
          <w:lang w:val="en-GB"/>
        </w:rPr>
        <w:t>increased bone mineral density and reduction of bone fracture incidence in patients with</w:t>
      </w:r>
      <w:r w:rsidRPr="00F53BC2">
        <w:rPr>
          <w:lang w:val="en-GB"/>
        </w:rPr>
        <w:t xml:space="preserve"> </w:t>
      </w:r>
      <w:r w:rsidRPr="00EE2E24">
        <w:rPr>
          <w:lang w:val="en-GB"/>
        </w:rPr>
        <w:t>glucocorticoid-induced</w:t>
      </w:r>
      <w:r w:rsidRPr="00F53BC2">
        <w:rPr>
          <w:lang w:val="en-GB"/>
        </w:rPr>
        <w:t xml:space="preserve"> </w:t>
      </w:r>
      <w:r w:rsidRPr="00EE2E24">
        <w:rPr>
          <w:lang w:val="en-GB"/>
        </w:rPr>
        <w:t>osteoporosis</w:t>
      </w:r>
      <w:r w:rsidRPr="00F53BC2">
        <w:rPr>
          <w:lang w:val="en-GB"/>
        </w:rPr>
        <w:t xml:space="preserve"> </w:t>
      </w:r>
      <w:r w:rsidRPr="00EE2E24">
        <w:rPr>
          <w:lang w:val="en-GB"/>
        </w:rPr>
        <w:t>has</w:t>
      </w:r>
      <w:r w:rsidRPr="00F53BC2">
        <w:rPr>
          <w:lang w:val="en-GB"/>
        </w:rPr>
        <w:t xml:space="preserve"> </w:t>
      </w:r>
      <w:r w:rsidRPr="00EE2E24">
        <w:rPr>
          <w:lang w:val="en-GB"/>
        </w:rPr>
        <w:t>not been</w:t>
      </w:r>
      <w:r w:rsidRPr="00F53BC2">
        <w:rPr>
          <w:lang w:val="en-GB"/>
        </w:rPr>
        <w:t xml:space="preserve"> </w:t>
      </w:r>
      <w:r w:rsidRPr="00EE2E24">
        <w:rPr>
          <w:lang w:val="en-GB"/>
        </w:rPr>
        <w:t>directly</w:t>
      </w:r>
      <w:r w:rsidRPr="00F53BC2">
        <w:rPr>
          <w:lang w:val="en-GB"/>
        </w:rPr>
        <w:t xml:space="preserve"> </w:t>
      </w:r>
      <w:r w:rsidRPr="00EE2E24">
        <w:rPr>
          <w:lang w:val="en-GB"/>
        </w:rPr>
        <w:t>established.</w:t>
      </w:r>
    </w:p>
    <w:p w14:paraId="558BB44A" w14:textId="36C9BCFB" w:rsidR="006E62CD" w:rsidRPr="00EE2E24" w:rsidRDefault="00CB520A" w:rsidP="00D258EC">
      <w:pPr>
        <w:pStyle w:val="Heading3"/>
        <w:adjustRightInd w:val="0"/>
        <w:snapToGrid w:val="0"/>
        <w:spacing w:before="60" w:after="60" w:line="360" w:lineRule="auto"/>
        <w:ind w:left="108" w:rightChars="30" w:right="66"/>
        <w:rPr>
          <w:lang w:val="en-GB"/>
        </w:rPr>
      </w:pPr>
      <w:r w:rsidRPr="00EE2E24">
        <w:rPr>
          <w:lang w:val="en-GB"/>
        </w:rPr>
        <w:t>Table 9. Percent Change in BMD from Baseline to 12 months in Women and Men</w:t>
      </w:r>
      <w:r w:rsidRPr="00EE2E24">
        <w:rPr>
          <w:spacing w:val="-59"/>
          <w:lang w:val="en-GB"/>
        </w:rPr>
        <w:t xml:space="preserve"> </w:t>
      </w:r>
      <w:r w:rsidRPr="00EE2E24">
        <w:rPr>
          <w:lang w:val="en-GB"/>
        </w:rPr>
        <w:t>with</w:t>
      </w:r>
      <w:r w:rsidRPr="00EE2E24">
        <w:rPr>
          <w:spacing w:val="-2"/>
          <w:lang w:val="en-GB"/>
        </w:rPr>
        <w:t xml:space="preserve"> </w:t>
      </w:r>
      <w:r w:rsidRPr="00EE2E24">
        <w:rPr>
          <w:lang w:val="en-GB"/>
        </w:rPr>
        <w:t>Bone Loss</w:t>
      </w:r>
      <w:r w:rsidRPr="00EE2E24">
        <w:rPr>
          <w:spacing w:val="-2"/>
          <w:lang w:val="en-GB"/>
        </w:rPr>
        <w:t xml:space="preserve"> </w:t>
      </w:r>
      <w:r w:rsidRPr="00EE2E24">
        <w:rPr>
          <w:lang w:val="en-GB"/>
        </w:rPr>
        <w:t>associated</w:t>
      </w:r>
      <w:r w:rsidRPr="00EE2E24">
        <w:rPr>
          <w:spacing w:val="-1"/>
          <w:lang w:val="en-GB"/>
        </w:rPr>
        <w:t xml:space="preserve"> </w:t>
      </w:r>
      <w:r w:rsidRPr="00EE2E24">
        <w:rPr>
          <w:lang w:val="en-GB"/>
        </w:rPr>
        <w:t>with Glucocorticoid Therapy</w:t>
      </w:r>
      <w:r w:rsidRPr="00EE2E24">
        <w:rPr>
          <w:spacing w:val="-1"/>
          <w:lang w:val="en-GB"/>
        </w:rPr>
        <w:t xml:space="preserve"> </w:t>
      </w:r>
      <w:r w:rsidRPr="00EE2E24">
        <w:rPr>
          <w:lang w:val="en-GB"/>
        </w:rPr>
        <w:t>(</w:t>
      </w:r>
      <w:r w:rsidR="001328D6">
        <w:rPr>
          <w:lang w:val="en-GB"/>
        </w:rPr>
        <w:t>Denosumab</w:t>
      </w:r>
      <w:r w:rsidR="001F0CCE" w:rsidRPr="003444E8">
        <w:rPr>
          <w:lang w:val="en-GB"/>
        </w:rPr>
        <w:t xml:space="preserve"> </w:t>
      </w:r>
      <w:r w:rsidRPr="00EE2E24">
        <w:rPr>
          <w:lang w:val="en-GB"/>
        </w:rPr>
        <w:t>vs</w:t>
      </w:r>
      <w:r w:rsidRPr="00EE2E24">
        <w:rPr>
          <w:spacing w:val="-1"/>
          <w:lang w:val="en-GB"/>
        </w:rPr>
        <w:t xml:space="preserve"> </w:t>
      </w:r>
      <w:r w:rsidRPr="00EE2E24">
        <w:rPr>
          <w:lang w:val="en-GB"/>
        </w:rPr>
        <w:t>Risedronate)</w:t>
      </w:r>
    </w:p>
    <w:tbl>
      <w:tblPr>
        <w:tblStyle w:val="NormalTable0"/>
        <w:tblW w:w="848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697"/>
        <w:gridCol w:w="1698"/>
        <w:gridCol w:w="1697"/>
        <w:gridCol w:w="1698"/>
      </w:tblGrid>
      <w:tr w:rsidR="00FA4FC4" w:rsidRPr="00522825" w14:paraId="1244E992" w14:textId="77777777" w:rsidTr="00FE64AF">
        <w:trPr>
          <w:trHeight w:val="1312"/>
          <w:tblHeader/>
        </w:trPr>
        <w:tc>
          <w:tcPr>
            <w:tcW w:w="1697" w:type="dxa"/>
            <w:vAlign w:val="center"/>
          </w:tcPr>
          <w:p w14:paraId="6270F659" w14:textId="77777777" w:rsidR="006E62CD" w:rsidRPr="004923C5" w:rsidRDefault="00CB520A" w:rsidP="00D258EC">
            <w:pPr>
              <w:pStyle w:val="TableParagraph"/>
              <w:adjustRightInd w:val="0"/>
              <w:snapToGrid w:val="0"/>
              <w:spacing w:after="60" w:line="360" w:lineRule="auto"/>
              <w:ind w:left="108" w:rightChars="30" w:right="66"/>
              <w:jc w:val="center"/>
              <w:rPr>
                <w:b/>
                <w:sz w:val="20"/>
                <w:szCs w:val="20"/>
                <w:lang w:val="en-GB"/>
              </w:rPr>
            </w:pPr>
            <w:r w:rsidRPr="004923C5">
              <w:rPr>
                <w:b/>
                <w:sz w:val="20"/>
                <w:szCs w:val="20"/>
                <w:lang w:val="en-GB"/>
              </w:rPr>
              <w:t>Sub-</w:t>
            </w:r>
            <w:r w:rsidRPr="004923C5">
              <w:rPr>
                <w:b/>
                <w:spacing w:val="1"/>
                <w:sz w:val="20"/>
                <w:szCs w:val="20"/>
                <w:lang w:val="en-GB"/>
              </w:rPr>
              <w:t xml:space="preserve"> </w:t>
            </w:r>
            <w:r w:rsidRPr="004923C5">
              <w:rPr>
                <w:b/>
                <w:sz w:val="20"/>
                <w:szCs w:val="20"/>
                <w:lang w:val="en-GB"/>
              </w:rPr>
              <w:t>population</w:t>
            </w:r>
          </w:p>
        </w:tc>
        <w:tc>
          <w:tcPr>
            <w:tcW w:w="1697" w:type="dxa"/>
            <w:vAlign w:val="center"/>
          </w:tcPr>
          <w:p w14:paraId="009C775A" w14:textId="77777777" w:rsidR="006E62CD" w:rsidRPr="004923C5" w:rsidRDefault="00CB520A" w:rsidP="00D258EC">
            <w:pPr>
              <w:pStyle w:val="TableParagraph"/>
              <w:adjustRightInd w:val="0"/>
              <w:snapToGrid w:val="0"/>
              <w:spacing w:after="60" w:line="360" w:lineRule="auto"/>
              <w:ind w:left="108" w:rightChars="30" w:right="66"/>
              <w:jc w:val="center"/>
              <w:rPr>
                <w:b/>
                <w:sz w:val="20"/>
                <w:szCs w:val="20"/>
                <w:lang w:val="en-GB"/>
              </w:rPr>
            </w:pPr>
            <w:r w:rsidRPr="004923C5">
              <w:rPr>
                <w:b/>
                <w:sz w:val="20"/>
                <w:szCs w:val="20"/>
                <w:lang w:val="en-GB"/>
              </w:rPr>
              <w:t>Location</w:t>
            </w:r>
          </w:p>
        </w:tc>
        <w:tc>
          <w:tcPr>
            <w:tcW w:w="1698" w:type="dxa"/>
            <w:vAlign w:val="center"/>
          </w:tcPr>
          <w:p w14:paraId="0D9B7045" w14:textId="7463BFF3" w:rsidR="006E62CD" w:rsidRPr="004923C5" w:rsidRDefault="001328D6" w:rsidP="00D258EC">
            <w:pPr>
              <w:pStyle w:val="TableParagraph"/>
              <w:adjustRightInd w:val="0"/>
              <w:snapToGrid w:val="0"/>
              <w:spacing w:after="60" w:line="360" w:lineRule="auto"/>
              <w:ind w:left="108" w:rightChars="30" w:right="66"/>
              <w:jc w:val="center"/>
              <w:rPr>
                <w:b/>
                <w:sz w:val="20"/>
                <w:szCs w:val="20"/>
                <w:lang w:val="en-GB"/>
              </w:rPr>
            </w:pPr>
            <w:r>
              <w:rPr>
                <w:b/>
                <w:sz w:val="20"/>
                <w:szCs w:val="20"/>
                <w:lang w:val="en-GB"/>
              </w:rPr>
              <w:t>Denosumab</w:t>
            </w:r>
            <w:r w:rsidR="00CB520A" w:rsidRPr="004923C5">
              <w:rPr>
                <w:b/>
                <w:spacing w:val="1"/>
                <w:sz w:val="20"/>
                <w:szCs w:val="20"/>
                <w:lang w:val="en-GB"/>
              </w:rPr>
              <w:t xml:space="preserve"> </w:t>
            </w:r>
            <w:r w:rsidR="00CB520A" w:rsidRPr="004923C5">
              <w:rPr>
                <w:b/>
                <w:sz w:val="20"/>
                <w:szCs w:val="20"/>
                <w:lang w:val="en-GB"/>
              </w:rPr>
              <w:t>Mean</w:t>
            </w:r>
            <w:r w:rsidR="00CB520A" w:rsidRPr="004923C5">
              <w:rPr>
                <w:b/>
                <w:spacing w:val="1"/>
                <w:sz w:val="20"/>
                <w:szCs w:val="20"/>
                <w:lang w:val="en-GB"/>
              </w:rPr>
              <w:t xml:space="preserve"> </w:t>
            </w:r>
            <w:r w:rsidR="00CB520A" w:rsidRPr="004923C5">
              <w:rPr>
                <w:b/>
                <w:sz w:val="20"/>
                <w:szCs w:val="20"/>
                <w:lang w:val="en-GB"/>
              </w:rPr>
              <w:t>(95%</w:t>
            </w:r>
            <w:r w:rsidR="00CB520A" w:rsidRPr="004923C5">
              <w:rPr>
                <w:b/>
                <w:spacing w:val="-15"/>
                <w:sz w:val="20"/>
                <w:szCs w:val="20"/>
                <w:lang w:val="en-GB"/>
              </w:rPr>
              <w:t xml:space="preserve"> </w:t>
            </w:r>
            <w:r w:rsidR="00CB520A" w:rsidRPr="004923C5">
              <w:rPr>
                <w:b/>
                <w:sz w:val="20"/>
                <w:szCs w:val="20"/>
                <w:lang w:val="en-GB"/>
              </w:rPr>
              <w:t>CI)</w:t>
            </w:r>
          </w:p>
        </w:tc>
        <w:tc>
          <w:tcPr>
            <w:tcW w:w="1697" w:type="dxa"/>
            <w:vAlign w:val="center"/>
          </w:tcPr>
          <w:p w14:paraId="1F2EBFDE" w14:textId="77777777" w:rsidR="006E62CD" w:rsidRPr="004923C5" w:rsidRDefault="00CB520A" w:rsidP="00D258EC">
            <w:pPr>
              <w:pStyle w:val="TableParagraph"/>
              <w:adjustRightInd w:val="0"/>
              <w:snapToGrid w:val="0"/>
              <w:spacing w:after="60" w:line="360" w:lineRule="auto"/>
              <w:ind w:left="108" w:rightChars="30" w:right="66"/>
              <w:jc w:val="center"/>
              <w:rPr>
                <w:b/>
                <w:sz w:val="20"/>
                <w:szCs w:val="20"/>
                <w:lang w:val="en-GB"/>
              </w:rPr>
            </w:pPr>
            <w:r w:rsidRPr="004923C5">
              <w:rPr>
                <w:b/>
                <w:sz w:val="20"/>
                <w:szCs w:val="20"/>
                <w:lang w:val="en-GB"/>
              </w:rPr>
              <w:t>Risedronate</w:t>
            </w:r>
            <w:r w:rsidRPr="004923C5">
              <w:rPr>
                <w:b/>
                <w:spacing w:val="-60"/>
                <w:sz w:val="20"/>
                <w:szCs w:val="20"/>
                <w:lang w:val="en-GB"/>
              </w:rPr>
              <w:t xml:space="preserve"> </w:t>
            </w:r>
            <w:r w:rsidRPr="004923C5">
              <w:rPr>
                <w:b/>
                <w:sz w:val="20"/>
                <w:szCs w:val="20"/>
                <w:lang w:val="en-GB"/>
              </w:rPr>
              <w:t>Mean</w:t>
            </w:r>
          </w:p>
          <w:p w14:paraId="5F835A7C" w14:textId="77777777" w:rsidR="006E62CD" w:rsidRPr="004923C5" w:rsidRDefault="00CB520A" w:rsidP="00D258EC">
            <w:pPr>
              <w:pStyle w:val="TableParagraph"/>
              <w:adjustRightInd w:val="0"/>
              <w:snapToGrid w:val="0"/>
              <w:spacing w:after="60" w:line="360" w:lineRule="auto"/>
              <w:ind w:left="108" w:rightChars="30" w:right="66"/>
              <w:jc w:val="center"/>
              <w:rPr>
                <w:b/>
                <w:sz w:val="20"/>
                <w:szCs w:val="20"/>
                <w:lang w:val="en-GB"/>
              </w:rPr>
            </w:pPr>
            <w:r w:rsidRPr="004923C5">
              <w:rPr>
                <w:b/>
                <w:sz w:val="20"/>
                <w:szCs w:val="20"/>
                <w:lang w:val="en-GB"/>
              </w:rPr>
              <w:t>(95%</w:t>
            </w:r>
            <w:r w:rsidRPr="004923C5">
              <w:rPr>
                <w:b/>
                <w:spacing w:val="-2"/>
                <w:sz w:val="20"/>
                <w:szCs w:val="20"/>
                <w:lang w:val="en-GB"/>
              </w:rPr>
              <w:t xml:space="preserve"> </w:t>
            </w:r>
            <w:r w:rsidRPr="004923C5">
              <w:rPr>
                <w:b/>
                <w:sz w:val="20"/>
                <w:szCs w:val="20"/>
                <w:lang w:val="en-GB"/>
              </w:rPr>
              <w:t>CI)</w:t>
            </w:r>
          </w:p>
        </w:tc>
        <w:tc>
          <w:tcPr>
            <w:tcW w:w="1698" w:type="dxa"/>
            <w:vAlign w:val="center"/>
          </w:tcPr>
          <w:p w14:paraId="4D333D65" w14:textId="77777777" w:rsidR="006E62CD" w:rsidRPr="004923C5" w:rsidRDefault="00CB520A" w:rsidP="00D258EC">
            <w:pPr>
              <w:pStyle w:val="TableParagraph"/>
              <w:adjustRightInd w:val="0"/>
              <w:snapToGrid w:val="0"/>
              <w:spacing w:after="60" w:line="360" w:lineRule="auto"/>
              <w:ind w:left="108" w:rightChars="30" w:right="66"/>
              <w:jc w:val="center"/>
              <w:rPr>
                <w:b/>
                <w:sz w:val="20"/>
                <w:szCs w:val="20"/>
                <w:lang w:val="en-GB"/>
              </w:rPr>
            </w:pPr>
            <w:r w:rsidRPr="004923C5">
              <w:rPr>
                <w:b/>
                <w:sz w:val="20"/>
                <w:szCs w:val="20"/>
                <w:lang w:val="en-GB"/>
              </w:rPr>
              <w:t>Treatment</w:t>
            </w:r>
            <w:r w:rsidRPr="004923C5">
              <w:rPr>
                <w:b/>
                <w:spacing w:val="-59"/>
                <w:sz w:val="20"/>
                <w:szCs w:val="20"/>
                <w:lang w:val="en-GB"/>
              </w:rPr>
              <w:t xml:space="preserve"> </w:t>
            </w:r>
            <w:r w:rsidRPr="004923C5">
              <w:rPr>
                <w:b/>
                <w:sz w:val="20"/>
                <w:szCs w:val="20"/>
                <w:lang w:val="en-GB"/>
              </w:rPr>
              <w:t>Difference</w:t>
            </w:r>
            <w:r w:rsidRPr="004923C5">
              <w:rPr>
                <w:b/>
                <w:w w:val="99"/>
                <w:sz w:val="20"/>
                <w:szCs w:val="20"/>
                <w:lang w:val="en-GB"/>
              </w:rPr>
              <w:t xml:space="preserve"> </w:t>
            </w:r>
            <w:r w:rsidRPr="004923C5">
              <w:rPr>
                <w:b/>
                <w:sz w:val="20"/>
                <w:szCs w:val="20"/>
                <w:lang w:val="en-GB"/>
              </w:rPr>
              <w:t>Mean</w:t>
            </w:r>
          </w:p>
          <w:p w14:paraId="41C734E4" w14:textId="77777777" w:rsidR="006E62CD" w:rsidRPr="004923C5" w:rsidRDefault="00CB520A" w:rsidP="00D258EC">
            <w:pPr>
              <w:pStyle w:val="TableParagraph"/>
              <w:adjustRightInd w:val="0"/>
              <w:snapToGrid w:val="0"/>
              <w:spacing w:after="60" w:line="360" w:lineRule="auto"/>
              <w:ind w:left="108" w:rightChars="30" w:right="66"/>
              <w:jc w:val="center"/>
              <w:rPr>
                <w:b/>
                <w:sz w:val="20"/>
                <w:szCs w:val="20"/>
                <w:lang w:val="en-GB"/>
              </w:rPr>
            </w:pPr>
            <w:r w:rsidRPr="004923C5">
              <w:rPr>
                <w:b/>
                <w:sz w:val="20"/>
                <w:szCs w:val="20"/>
                <w:lang w:val="en-GB"/>
              </w:rPr>
              <w:t>(95%</w:t>
            </w:r>
            <w:r w:rsidRPr="004923C5">
              <w:rPr>
                <w:b/>
                <w:spacing w:val="-2"/>
                <w:sz w:val="20"/>
                <w:szCs w:val="20"/>
                <w:lang w:val="en-GB"/>
              </w:rPr>
              <w:t xml:space="preserve"> </w:t>
            </w:r>
            <w:r w:rsidRPr="004923C5">
              <w:rPr>
                <w:b/>
                <w:sz w:val="20"/>
                <w:szCs w:val="20"/>
                <w:lang w:val="en-GB"/>
              </w:rPr>
              <w:t>CI)</w:t>
            </w:r>
          </w:p>
        </w:tc>
      </w:tr>
      <w:tr w:rsidR="00E05623" w:rsidRPr="00522825" w14:paraId="5EB50300" w14:textId="77777777" w:rsidTr="004923C5">
        <w:trPr>
          <w:trHeight w:val="346"/>
        </w:trPr>
        <w:tc>
          <w:tcPr>
            <w:tcW w:w="1697" w:type="dxa"/>
            <w:vMerge w:val="restart"/>
            <w:vAlign w:val="center"/>
          </w:tcPr>
          <w:p w14:paraId="78C1383D" w14:textId="33E0C35A" w:rsidR="00375885" w:rsidRPr="00FF446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r w:rsidRPr="004923C5">
              <w:rPr>
                <w:sz w:val="20"/>
                <w:szCs w:val="20"/>
                <w:lang w:val="en-GB"/>
              </w:rPr>
              <w:t>Glucocorticoid-</w:t>
            </w:r>
            <w:r w:rsidRPr="004923C5">
              <w:rPr>
                <w:spacing w:val="-59"/>
                <w:sz w:val="20"/>
                <w:szCs w:val="20"/>
                <w:lang w:val="en-GB"/>
              </w:rPr>
              <w:t xml:space="preserve"> </w:t>
            </w:r>
            <w:r w:rsidRPr="004923C5">
              <w:rPr>
                <w:sz w:val="20"/>
                <w:szCs w:val="20"/>
                <w:lang w:val="en-GB"/>
              </w:rPr>
              <w:t>continuing</w:t>
            </w:r>
          </w:p>
        </w:tc>
        <w:tc>
          <w:tcPr>
            <w:tcW w:w="1697" w:type="dxa"/>
            <w:vMerge w:val="restart"/>
            <w:vAlign w:val="center"/>
          </w:tcPr>
          <w:p w14:paraId="279770D3" w14:textId="119D3D48" w:rsidR="00375885" w:rsidRPr="00FF446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r w:rsidRPr="004923C5">
              <w:rPr>
                <w:sz w:val="20"/>
                <w:szCs w:val="20"/>
                <w:lang w:val="en-GB"/>
              </w:rPr>
              <w:t>Lumbar</w:t>
            </w:r>
            <w:r w:rsidRPr="004923C5">
              <w:rPr>
                <w:spacing w:val="-3"/>
                <w:sz w:val="20"/>
                <w:szCs w:val="20"/>
                <w:lang w:val="en-GB"/>
              </w:rPr>
              <w:t xml:space="preserve"> </w:t>
            </w:r>
            <w:r w:rsidRPr="004923C5">
              <w:rPr>
                <w:sz w:val="20"/>
                <w:szCs w:val="20"/>
                <w:lang w:val="en-GB"/>
              </w:rPr>
              <w:t>Spine</w:t>
            </w:r>
          </w:p>
        </w:tc>
        <w:tc>
          <w:tcPr>
            <w:tcW w:w="1698" w:type="dxa"/>
            <w:tcBorders>
              <w:bottom w:val="nil"/>
            </w:tcBorders>
            <w:vAlign w:val="center"/>
          </w:tcPr>
          <w:p w14:paraId="77D02172"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4.4</w:t>
            </w:r>
          </w:p>
        </w:tc>
        <w:tc>
          <w:tcPr>
            <w:tcW w:w="1697" w:type="dxa"/>
            <w:tcBorders>
              <w:bottom w:val="nil"/>
            </w:tcBorders>
            <w:vAlign w:val="center"/>
          </w:tcPr>
          <w:p w14:paraId="06A0079B"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2.3</w:t>
            </w:r>
          </w:p>
        </w:tc>
        <w:tc>
          <w:tcPr>
            <w:tcW w:w="1698" w:type="dxa"/>
            <w:tcBorders>
              <w:bottom w:val="nil"/>
            </w:tcBorders>
            <w:vAlign w:val="center"/>
          </w:tcPr>
          <w:p w14:paraId="44507C15"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2.2</w:t>
            </w:r>
          </w:p>
        </w:tc>
      </w:tr>
      <w:tr w:rsidR="00E05623" w:rsidRPr="00522825" w14:paraId="4601D583" w14:textId="77777777" w:rsidTr="004923C5">
        <w:trPr>
          <w:trHeight w:val="312"/>
        </w:trPr>
        <w:tc>
          <w:tcPr>
            <w:tcW w:w="1697" w:type="dxa"/>
            <w:vMerge/>
            <w:vAlign w:val="center"/>
          </w:tcPr>
          <w:p w14:paraId="6140FAE1" w14:textId="07431747"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vMerge/>
            <w:vAlign w:val="center"/>
          </w:tcPr>
          <w:p w14:paraId="14E56873" w14:textId="455CBBCB"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p>
        </w:tc>
        <w:tc>
          <w:tcPr>
            <w:tcW w:w="1698" w:type="dxa"/>
            <w:tcBorders>
              <w:top w:val="nil"/>
              <w:bottom w:val="nil"/>
            </w:tcBorders>
            <w:vAlign w:val="center"/>
          </w:tcPr>
          <w:p w14:paraId="3FE4CE08"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(3.8,</w:t>
            </w:r>
            <w:r w:rsidRPr="004923C5">
              <w:rPr>
                <w:spacing w:val="-2"/>
                <w:sz w:val="20"/>
                <w:szCs w:val="20"/>
                <w:lang w:val="en-GB"/>
              </w:rPr>
              <w:t xml:space="preserve"> </w:t>
            </w:r>
            <w:r w:rsidRPr="004923C5">
              <w:rPr>
                <w:sz w:val="20"/>
                <w:szCs w:val="20"/>
                <w:lang w:val="en-GB"/>
              </w:rPr>
              <w:t>5.0)</w:t>
            </w:r>
          </w:p>
        </w:tc>
        <w:tc>
          <w:tcPr>
            <w:tcW w:w="1697" w:type="dxa"/>
            <w:tcBorders>
              <w:top w:val="nil"/>
              <w:bottom w:val="nil"/>
            </w:tcBorders>
            <w:vAlign w:val="center"/>
          </w:tcPr>
          <w:p w14:paraId="47C0E2F8"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(1.7,</w:t>
            </w:r>
            <w:r w:rsidRPr="004923C5">
              <w:rPr>
                <w:spacing w:val="-2"/>
                <w:sz w:val="20"/>
                <w:szCs w:val="20"/>
                <w:lang w:val="en-GB"/>
              </w:rPr>
              <w:t xml:space="preserve"> </w:t>
            </w:r>
            <w:r w:rsidRPr="004923C5">
              <w:rPr>
                <w:sz w:val="20"/>
                <w:szCs w:val="20"/>
                <w:lang w:val="en-GB"/>
              </w:rPr>
              <w:t>2.9)</w:t>
            </w:r>
          </w:p>
        </w:tc>
        <w:tc>
          <w:tcPr>
            <w:tcW w:w="1698" w:type="dxa"/>
            <w:tcBorders>
              <w:top w:val="nil"/>
              <w:bottom w:val="nil"/>
            </w:tcBorders>
            <w:vAlign w:val="center"/>
          </w:tcPr>
          <w:p w14:paraId="4DD02AAC"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(1.4,</w:t>
            </w:r>
            <w:r w:rsidRPr="004923C5">
              <w:rPr>
                <w:spacing w:val="-2"/>
                <w:sz w:val="20"/>
                <w:szCs w:val="20"/>
                <w:lang w:val="en-GB"/>
              </w:rPr>
              <w:t xml:space="preserve"> </w:t>
            </w:r>
            <w:r w:rsidRPr="004923C5">
              <w:rPr>
                <w:sz w:val="20"/>
                <w:szCs w:val="20"/>
                <w:lang w:val="en-GB"/>
              </w:rPr>
              <w:t>3.0)</w:t>
            </w:r>
          </w:p>
        </w:tc>
      </w:tr>
      <w:tr w:rsidR="00E05623" w:rsidRPr="00522825" w14:paraId="0F9AB03D" w14:textId="77777777" w:rsidTr="004923C5">
        <w:trPr>
          <w:trHeight w:val="338"/>
        </w:trPr>
        <w:tc>
          <w:tcPr>
            <w:tcW w:w="1697" w:type="dxa"/>
            <w:vMerge/>
            <w:vAlign w:val="center"/>
          </w:tcPr>
          <w:p w14:paraId="4F68D1F0" w14:textId="39351421"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vMerge/>
            <w:vAlign w:val="center"/>
          </w:tcPr>
          <w:p w14:paraId="034ACBBE" w14:textId="77777777"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8" w:type="dxa"/>
            <w:tcBorders>
              <w:top w:val="nil"/>
            </w:tcBorders>
            <w:vAlign w:val="center"/>
          </w:tcPr>
          <w:p w14:paraId="6776EC8C"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 209)</w:t>
            </w:r>
          </w:p>
        </w:tc>
        <w:tc>
          <w:tcPr>
            <w:tcW w:w="1697" w:type="dxa"/>
            <w:tcBorders>
              <w:top w:val="nil"/>
            </w:tcBorders>
            <w:vAlign w:val="center"/>
          </w:tcPr>
          <w:p w14:paraId="585D9D5D"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 211)</w:t>
            </w:r>
          </w:p>
        </w:tc>
        <w:tc>
          <w:tcPr>
            <w:tcW w:w="1698" w:type="dxa"/>
            <w:tcBorders>
              <w:top w:val="nil"/>
            </w:tcBorders>
            <w:vAlign w:val="center"/>
          </w:tcPr>
          <w:p w14:paraId="1A6AD5D9"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p</w:t>
            </w:r>
            <w:r w:rsidRPr="004923C5">
              <w:rPr>
                <w:spacing w:val="-1"/>
                <w:sz w:val="20"/>
                <w:szCs w:val="20"/>
                <w:lang w:val="en-GB"/>
              </w:rPr>
              <w:t xml:space="preserve"> </w:t>
            </w:r>
            <w:r w:rsidRPr="004923C5">
              <w:rPr>
                <w:sz w:val="20"/>
                <w:szCs w:val="20"/>
                <w:lang w:val="en-GB"/>
              </w:rPr>
              <w:t>&lt;</w:t>
            </w:r>
            <w:r w:rsidRPr="004923C5">
              <w:rPr>
                <w:spacing w:val="-1"/>
                <w:sz w:val="20"/>
                <w:szCs w:val="20"/>
                <w:lang w:val="en-GB"/>
              </w:rPr>
              <w:t xml:space="preserve"> </w:t>
            </w:r>
            <w:r w:rsidRPr="004923C5">
              <w:rPr>
                <w:sz w:val="20"/>
                <w:szCs w:val="20"/>
                <w:lang w:val="en-GB"/>
              </w:rPr>
              <w:t>0.001*</w:t>
            </w:r>
          </w:p>
        </w:tc>
      </w:tr>
      <w:tr w:rsidR="00E05623" w:rsidRPr="00522825" w14:paraId="63E493E0" w14:textId="77777777" w:rsidTr="004923C5">
        <w:trPr>
          <w:trHeight w:val="347"/>
        </w:trPr>
        <w:tc>
          <w:tcPr>
            <w:tcW w:w="1697" w:type="dxa"/>
            <w:vMerge/>
            <w:vAlign w:val="center"/>
          </w:tcPr>
          <w:p w14:paraId="3C67D5CC" w14:textId="7017E83D"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vMerge w:val="restart"/>
            <w:vAlign w:val="center"/>
          </w:tcPr>
          <w:p w14:paraId="7681D171" w14:textId="46743585" w:rsidR="00375885" w:rsidRPr="00FF446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r w:rsidRPr="004923C5">
              <w:rPr>
                <w:sz w:val="20"/>
                <w:szCs w:val="20"/>
                <w:lang w:val="en-GB"/>
              </w:rPr>
              <w:t>Total</w:t>
            </w:r>
            <w:r w:rsidRPr="004923C5">
              <w:rPr>
                <w:spacing w:val="-1"/>
                <w:sz w:val="20"/>
                <w:szCs w:val="20"/>
                <w:lang w:val="en-GB"/>
              </w:rPr>
              <w:t xml:space="preserve"> </w:t>
            </w:r>
            <w:r w:rsidRPr="004923C5">
              <w:rPr>
                <w:sz w:val="20"/>
                <w:szCs w:val="20"/>
                <w:lang w:val="en-GB"/>
              </w:rPr>
              <w:t>hip</w:t>
            </w:r>
          </w:p>
        </w:tc>
        <w:tc>
          <w:tcPr>
            <w:tcW w:w="1698" w:type="dxa"/>
            <w:tcBorders>
              <w:bottom w:val="nil"/>
            </w:tcBorders>
            <w:vAlign w:val="center"/>
          </w:tcPr>
          <w:p w14:paraId="6D4CD030"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2.1</w:t>
            </w:r>
          </w:p>
        </w:tc>
        <w:tc>
          <w:tcPr>
            <w:tcW w:w="1697" w:type="dxa"/>
            <w:tcBorders>
              <w:bottom w:val="nil"/>
            </w:tcBorders>
            <w:vAlign w:val="center"/>
          </w:tcPr>
          <w:p w14:paraId="36DBB042"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0.6</w:t>
            </w:r>
          </w:p>
        </w:tc>
        <w:tc>
          <w:tcPr>
            <w:tcW w:w="1698" w:type="dxa"/>
            <w:tcBorders>
              <w:bottom w:val="nil"/>
            </w:tcBorders>
            <w:vAlign w:val="center"/>
          </w:tcPr>
          <w:p w14:paraId="2505A055"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1.5</w:t>
            </w:r>
          </w:p>
        </w:tc>
      </w:tr>
      <w:tr w:rsidR="00E05623" w:rsidRPr="00522825" w14:paraId="3E855864" w14:textId="77777777" w:rsidTr="004923C5">
        <w:trPr>
          <w:trHeight w:val="312"/>
        </w:trPr>
        <w:tc>
          <w:tcPr>
            <w:tcW w:w="1697" w:type="dxa"/>
            <w:vMerge/>
            <w:vAlign w:val="center"/>
          </w:tcPr>
          <w:p w14:paraId="5309DEA7" w14:textId="45EB903F"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vMerge/>
            <w:vAlign w:val="center"/>
          </w:tcPr>
          <w:p w14:paraId="3CAF842F" w14:textId="34F8C39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p>
        </w:tc>
        <w:tc>
          <w:tcPr>
            <w:tcW w:w="1698" w:type="dxa"/>
            <w:tcBorders>
              <w:top w:val="nil"/>
              <w:bottom w:val="nil"/>
            </w:tcBorders>
            <w:vAlign w:val="center"/>
          </w:tcPr>
          <w:p w14:paraId="346EDEE9"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(1.7,</w:t>
            </w:r>
            <w:r w:rsidRPr="004923C5">
              <w:rPr>
                <w:spacing w:val="-2"/>
                <w:sz w:val="20"/>
                <w:szCs w:val="20"/>
                <w:lang w:val="en-GB"/>
              </w:rPr>
              <w:t xml:space="preserve"> </w:t>
            </w:r>
            <w:r w:rsidRPr="004923C5">
              <w:rPr>
                <w:sz w:val="20"/>
                <w:szCs w:val="20"/>
                <w:lang w:val="en-GB"/>
              </w:rPr>
              <w:t>2.5)</w:t>
            </w:r>
          </w:p>
        </w:tc>
        <w:tc>
          <w:tcPr>
            <w:tcW w:w="1697" w:type="dxa"/>
            <w:tcBorders>
              <w:top w:val="nil"/>
              <w:bottom w:val="nil"/>
            </w:tcBorders>
            <w:vAlign w:val="center"/>
          </w:tcPr>
          <w:p w14:paraId="1C6A5056"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(0.2,</w:t>
            </w:r>
            <w:r w:rsidRPr="004923C5">
              <w:rPr>
                <w:spacing w:val="-2"/>
                <w:sz w:val="20"/>
                <w:szCs w:val="20"/>
                <w:lang w:val="en-GB"/>
              </w:rPr>
              <w:t xml:space="preserve"> </w:t>
            </w:r>
            <w:r w:rsidRPr="004923C5">
              <w:rPr>
                <w:sz w:val="20"/>
                <w:szCs w:val="20"/>
                <w:lang w:val="en-GB"/>
              </w:rPr>
              <w:t>1.0)</w:t>
            </w:r>
          </w:p>
        </w:tc>
        <w:tc>
          <w:tcPr>
            <w:tcW w:w="1698" w:type="dxa"/>
            <w:tcBorders>
              <w:top w:val="nil"/>
              <w:bottom w:val="nil"/>
            </w:tcBorders>
            <w:vAlign w:val="center"/>
          </w:tcPr>
          <w:p w14:paraId="3598B5DB"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(1.0,</w:t>
            </w:r>
            <w:r w:rsidRPr="004923C5">
              <w:rPr>
                <w:spacing w:val="-2"/>
                <w:sz w:val="20"/>
                <w:szCs w:val="20"/>
                <w:lang w:val="en-GB"/>
              </w:rPr>
              <w:t xml:space="preserve"> </w:t>
            </w:r>
            <w:r w:rsidRPr="004923C5">
              <w:rPr>
                <w:sz w:val="20"/>
                <w:szCs w:val="20"/>
                <w:lang w:val="en-GB"/>
              </w:rPr>
              <w:t>2.1)</w:t>
            </w:r>
          </w:p>
        </w:tc>
      </w:tr>
      <w:tr w:rsidR="00E05623" w:rsidRPr="00522825" w14:paraId="694714F7" w14:textId="77777777" w:rsidTr="004923C5">
        <w:trPr>
          <w:trHeight w:val="339"/>
        </w:trPr>
        <w:tc>
          <w:tcPr>
            <w:tcW w:w="1697" w:type="dxa"/>
            <w:vMerge/>
            <w:vAlign w:val="center"/>
          </w:tcPr>
          <w:p w14:paraId="1C9CD942" w14:textId="70EA59CD"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vMerge/>
            <w:vAlign w:val="center"/>
          </w:tcPr>
          <w:p w14:paraId="48478627" w14:textId="77777777"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8" w:type="dxa"/>
            <w:tcBorders>
              <w:top w:val="nil"/>
            </w:tcBorders>
            <w:vAlign w:val="center"/>
          </w:tcPr>
          <w:p w14:paraId="7AF26373"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 217)</w:t>
            </w:r>
          </w:p>
        </w:tc>
        <w:tc>
          <w:tcPr>
            <w:tcW w:w="1697" w:type="dxa"/>
            <w:tcBorders>
              <w:top w:val="nil"/>
            </w:tcBorders>
            <w:vAlign w:val="center"/>
          </w:tcPr>
          <w:p w14:paraId="3FDE3873"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 215)</w:t>
            </w:r>
          </w:p>
        </w:tc>
        <w:tc>
          <w:tcPr>
            <w:tcW w:w="1698" w:type="dxa"/>
            <w:tcBorders>
              <w:top w:val="nil"/>
            </w:tcBorders>
            <w:vAlign w:val="center"/>
          </w:tcPr>
          <w:p w14:paraId="4B286F6A"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p</w:t>
            </w:r>
            <w:r w:rsidRPr="004923C5">
              <w:rPr>
                <w:spacing w:val="-1"/>
                <w:sz w:val="20"/>
                <w:szCs w:val="20"/>
                <w:lang w:val="en-GB"/>
              </w:rPr>
              <w:t xml:space="preserve"> </w:t>
            </w:r>
            <w:r w:rsidRPr="004923C5">
              <w:rPr>
                <w:sz w:val="20"/>
                <w:szCs w:val="20"/>
                <w:lang w:val="en-GB"/>
              </w:rPr>
              <w:t>&lt;</w:t>
            </w:r>
            <w:r w:rsidRPr="004923C5">
              <w:rPr>
                <w:spacing w:val="-1"/>
                <w:sz w:val="20"/>
                <w:szCs w:val="20"/>
                <w:lang w:val="en-GB"/>
              </w:rPr>
              <w:t xml:space="preserve"> </w:t>
            </w:r>
            <w:r w:rsidRPr="004923C5">
              <w:rPr>
                <w:sz w:val="20"/>
                <w:szCs w:val="20"/>
                <w:lang w:val="en-GB"/>
              </w:rPr>
              <w:t>0.001*</w:t>
            </w:r>
          </w:p>
        </w:tc>
      </w:tr>
      <w:tr w:rsidR="00FA4FC4" w:rsidRPr="00522825" w14:paraId="34D3E23A" w14:textId="77777777" w:rsidTr="004923C5">
        <w:trPr>
          <w:trHeight w:val="999"/>
        </w:trPr>
        <w:tc>
          <w:tcPr>
            <w:tcW w:w="1697" w:type="dxa"/>
            <w:vMerge/>
            <w:vAlign w:val="center"/>
          </w:tcPr>
          <w:p w14:paraId="66FC314D" w14:textId="0F02C34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p>
        </w:tc>
        <w:tc>
          <w:tcPr>
            <w:tcW w:w="1697" w:type="dxa"/>
            <w:vAlign w:val="center"/>
          </w:tcPr>
          <w:p w14:paraId="32448F8C"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Femoral</w:t>
            </w:r>
            <w:r w:rsidRPr="004923C5">
              <w:rPr>
                <w:spacing w:val="-3"/>
                <w:sz w:val="20"/>
                <w:szCs w:val="20"/>
                <w:lang w:val="en-GB"/>
              </w:rPr>
              <w:t xml:space="preserve"> </w:t>
            </w:r>
            <w:r w:rsidRPr="004923C5">
              <w:rPr>
                <w:sz w:val="20"/>
                <w:szCs w:val="20"/>
                <w:lang w:val="en-GB"/>
              </w:rPr>
              <w:t>neck**</w:t>
            </w:r>
          </w:p>
        </w:tc>
        <w:tc>
          <w:tcPr>
            <w:tcW w:w="1698" w:type="dxa"/>
            <w:vAlign w:val="center"/>
          </w:tcPr>
          <w:p w14:paraId="0B43BE1C"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1.6</w:t>
            </w:r>
          </w:p>
          <w:p w14:paraId="40E10041"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(1.0,</w:t>
            </w:r>
            <w:r w:rsidRPr="004923C5">
              <w:rPr>
                <w:spacing w:val="-3"/>
                <w:sz w:val="20"/>
                <w:szCs w:val="20"/>
                <w:lang w:val="en-GB"/>
              </w:rPr>
              <w:t xml:space="preserve"> </w:t>
            </w:r>
            <w:r w:rsidRPr="004923C5">
              <w:rPr>
                <w:sz w:val="20"/>
                <w:szCs w:val="20"/>
                <w:lang w:val="en-GB"/>
              </w:rPr>
              <w:t>2.1)</w:t>
            </w:r>
          </w:p>
          <w:p w14:paraId="12D38D6A"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217)</w:t>
            </w:r>
          </w:p>
        </w:tc>
        <w:tc>
          <w:tcPr>
            <w:tcW w:w="1697" w:type="dxa"/>
            <w:vAlign w:val="center"/>
          </w:tcPr>
          <w:p w14:paraId="58E4E024"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0.6</w:t>
            </w:r>
          </w:p>
          <w:p w14:paraId="5F77AD9A"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(0.1,</w:t>
            </w:r>
            <w:r w:rsidRPr="004923C5">
              <w:rPr>
                <w:spacing w:val="-3"/>
                <w:sz w:val="20"/>
                <w:szCs w:val="20"/>
                <w:lang w:val="en-GB"/>
              </w:rPr>
              <w:t xml:space="preserve"> </w:t>
            </w:r>
            <w:r w:rsidRPr="004923C5">
              <w:rPr>
                <w:sz w:val="20"/>
                <w:szCs w:val="20"/>
                <w:lang w:val="en-GB"/>
              </w:rPr>
              <w:t>1.1)</w:t>
            </w:r>
          </w:p>
          <w:p w14:paraId="0D4BD5B3"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215)</w:t>
            </w:r>
          </w:p>
        </w:tc>
        <w:tc>
          <w:tcPr>
            <w:tcW w:w="1698" w:type="dxa"/>
            <w:vAlign w:val="center"/>
          </w:tcPr>
          <w:p w14:paraId="2DC955EF"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1.0</w:t>
            </w:r>
          </w:p>
          <w:p w14:paraId="1FF27DE1"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(0.3,</w:t>
            </w:r>
            <w:r w:rsidRPr="004923C5">
              <w:rPr>
                <w:spacing w:val="-2"/>
                <w:sz w:val="20"/>
                <w:szCs w:val="20"/>
                <w:lang w:val="en-GB"/>
              </w:rPr>
              <w:t xml:space="preserve"> </w:t>
            </w:r>
            <w:r w:rsidRPr="004923C5">
              <w:rPr>
                <w:sz w:val="20"/>
                <w:szCs w:val="20"/>
                <w:lang w:val="en-GB"/>
              </w:rPr>
              <w:t>1.7)</w:t>
            </w:r>
          </w:p>
        </w:tc>
      </w:tr>
      <w:tr w:rsidR="00FA4FC4" w:rsidRPr="00522825" w14:paraId="1E7DFDF5" w14:textId="77777777" w:rsidTr="004923C5">
        <w:trPr>
          <w:trHeight w:val="999"/>
        </w:trPr>
        <w:tc>
          <w:tcPr>
            <w:tcW w:w="1697" w:type="dxa"/>
            <w:vMerge/>
            <w:vAlign w:val="center"/>
          </w:tcPr>
          <w:p w14:paraId="3F9A9B78" w14:textId="77777777"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vAlign w:val="center"/>
          </w:tcPr>
          <w:p w14:paraId="422EEE98"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Hip</w:t>
            </w:r>
            <w:r w:rsidRPr="004923C5">
              <w:rPr>
                <w:spacing w:val="1"/>
                <w:sz w:val="20"/>
                <w:szCs w:val="20"/>
                <w:lang w:val="en-GB"/>
              </w:rPr>
              <w:t xml:space="preserve"> </w:t>
            </w:r>
            <w:r w:rsidRPr="004923C5">
              <w:rPr>
                <w:sz w:val="20"/>
                <w:szCs w:val="20"/>
                <w:lang w:val="en-GB"/>
              </w:rPr>
              <w:t>trochanter**</w:t>
            </w:r>
          </w:p>
        </w:tc>
        <w:tc>
          <w:tcPr>
            <w:tcW w:w="1698" w:type="dxa"/>
            <w:vAlign w:val="center"/>
          </w:tcPr>
          <w:p w14:paraId="1D84029B"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2.9</w:t>
            </w:r>
          </w:p>
          <w:p w14:paraId="6C64AF6D"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(2.2,</w:t>
            </w:r>
            <w:r w:rsidRPr="004923C5">
              <w:rPr>
                <w:spacing w:val="-3"/>
                <w:sz w:val="20"/>
                <w:szCs w:val="20"/>
                <w:lang w:val="en-GB"/>
              </w:rPr>
              <w:t xml:space="preserve"> </w:t>
            </w:r>
            <w:r w:rsidRPr="004923C5">
              <w:rPr>
                <w:sz w:val="20"/>
                <w:szCs w:val="20"/>
                <w:lang w:val="en-GB"/>
              </w:rPr>
              <w:t>3.6)</w:t>
            </w:r>
          </w:p>
          <w:p w14:paraId="6DAACE7F"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217)</w:t>
            </w:r>
          </w:p>
        </w:tc>
        <w:tc>
          <w:tcPr>
            <w:tcW w:w="1697" w:type="dxa"/>
            <w:vAlign w:val="center"/>
          </w:tcPr>
          <w:p w14:paraId="4CC0DF8A"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1.1</w:t>
            </w:r>
          </w:p>
          <w:p w14:paraId="1E4C7F49"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(0.4,</w:t>
            </w:r>
            <w:r w:rsidRPr="004923C5">
              <w:rPr>
                <w:spacing w:val="-3"/>
                <w:sz w:val="20"/>
                <w:szCs w:val="20"/>
                <w:lang w:val="en-GB"/>
              </w:rPr>
              <w:t xml:space="preserve"> </w:t>
            </w:r>
            <w:r w:rsidRPr="004923C5">
              <w:rPr>
                <w:sz w:val="20"/>
                <w:szCs w:val="20"/>
                <w:lang w:val="en-GB"/>
              </w:rPr>
              <w:t>1.8)</w:t>
            </w:r>
          </w:p>
          <w:p w14:paraId="77BBD84D"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215)</w:t>
            </w:r>
          </w:p>
        </w:tc>
        <w:tc>
          <w:tcPr>
            <w:tcW w:w="1698" w:type="dxa"/>
            <w:vAlign w:val="center"/>
          </w:tcPr>
          <w:p w14:paraId="6EF89AE7"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1.8</w:t>
            </w:r>
          </w:p>
          <w:p w14:paraId="525B955D"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(0.8,</w:t>
            </w:r>
            <w:r w:rsidRPr="004923C5">
              <w:rPr>
                <w:spacing w:val="-2"/>
                <w:sz w:val="20"/>
                <w:szCs w:val="20"/>
                <w:lang w:val="en-GB"/>
              </w:rPr>
              <w:t xml:space="preserve"> </w:t>
            </w:r>
            <w:r w:rsidRPr="004923C5">
              <w:rPr>
                <w:sz w:val="20"/>
                <w:szCs w:val="20"/>
                <w:lang w:val="en-GB"/>
              </w:rPr>
              <w:t>2.7)</w:t>
            </w:r>
          </w:p>
        </w:tc>
      </w:tr>
      <w:tr w:rsidR="00E05623" w:rsidRPr="00522825" w14:paraId="64CAB0B7" w14:textId="77777777" w:rsidTr="004923C5">
        <w:trPr>
          <w:trHeight w:val="64"/>
        </w:trPr>
        <w:tc>
          <w:tcPr>
            <w:tcW w:w="1697" w:type="dxa"/>
            <w:vMerge/>
            <w:vAlign w:val="center"/>
          </w:tcPr>
          <w:p w14:paraId="62846C6E" w14:textId="77777777"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tcBorders>
              <w:bottom w:val="nil"/>
            </w:tcBorders>
            <w:vAlign w:val="center"/>
          </w:tcPr>
          <w:p w14:paraId="0D409C4B"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Distal</w:t>
            </w:r>
            <w:r w:rsidRPr="004923C5">
              <w:rPr>
                <w:spacing w:val="-1"/>
                <w:sz w:val="20"/>
                <w:szCs w:val="20"/>
                <w:lang w:val="en-GB"/>
              </w:rPr>
              <w:t xml:space="preserve"> </w:t>
            </w:r>
            <w:r w:rsidRPr="004923C5">
              <w:rPr>
                <w:sz w:val="20"/>
                <w:szCs w:val="20"/>
                <w:lang w:val="en-GB"/>
              </w:rPr>
              <w:t>1/3</w:t>
            </w:r>
          </w:p>
        </w:tc>
        <w:tc>
          <w:tcPr>
            <w:tcW w:w="1698" w:type="dxa"/>
            <w:tcBorders>
              <w:bottom w:val="nil"/>
            </w:tcBorders>
            <w:vAlign w:val="center"/>
          </w:tcPr>
          <w:p w14:paraId="02B8A50B"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0.2</w:t>
            </w:r>
          </w:p>
        </w:tc>
        <w:tc>
          <w:tcPr>
            <w:tcW w:w="1697" w:type="dxa"/>
            <w:tcBorders>
              <w:bottom w:val="nil"/>
            </w:tcBorders>
            <w:vAlign w:val="center"/>
          </w:tcPr>
          <w:p w14:paraId="00A04887"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-0.6</w:t>
            </w:r>
          </w:p>
        </w:tc>
        <w:tc>
          <w:tcPr>
            <w:tcW w:w="1698" w:type="dxa"/>
            <w:tcBorders>
              <w:bottom w:val="nil"/>
            </w:tcBorders>
            <w:vAlign w:val="center"/>
          </w:tcPr>
          <w:p w14:paraId="200B18FF"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0.8</w:t>
            </w:r>
          </w:p>
        </w:tc>
      </w:tr>
      <w:tr w:rsidR="00E05623" w:rsidRPr="00522825" w14:paraId="2B4DC8D2" w14:textId="77777777" w:rsidTr="004923C5">
        <w:trPr>
          <w:trHeight w:val="339"/>
        </w:trPr>
        <w:tc>
          <w:tcPr>
            <w:tcW w:w="1697" w:type="dxa"/>
            <w:vMerge/>
            <w:vAlign w:val="center"/>
          </w:tcPr>
          <w:p w14:paraId="4EEA517B" w14:textId="77777777"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tcBorders>
              <w:top w:val="nil"/>
            </w:tcBorders>
            <w:vAlign w:val="center"/>
          </w:tcPr>
          <w:p w14:paraId="0E44BA8C"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radius**</w:t>
            </w:r>
          </w:p>
        </w:tc>
        <w:tc>
          <w:tcPr>
            <w:tcW w:w="1698" w:type="dxa"/>
            <w:tcBorders>
              <w:top w:val="nil"/>
            </w:tcBorders>
            <w:vAlign w:val="center"/>
          </w:tcPr>
          <w:p w14:paraId="5B2BC87C"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(-0.2,</w:t>
            </w:r>
            <w:r w:rsidRPr="004923C5">
              <w:rPr>
                <w:spacing w:val="-1"/>
                <w:sz w:val="20"/>
                <w:szCs w:val="20"/>
                <w:lang w:val="en-GB"/>
              </w:rPr>
              <w:t xml:space="preserve"> </w:t>
            </w:r>
            <w:r w:rsidRPr="004923C5">
              <w:rPr>
                <w:sz w:val="20"/>
                <w:szCs w:val="20"/>
                <w:lang w:val="en-GB"/>
              </w:rPr>
              <w:t>0.6)</w:t>
            </w:r>
          </w:p>
          <w:p w14:paraId="7DB53EAF" w14:textId="749D14E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 217)</w:t>
            </w:r>
          </w:p>
        </w:tc>
        <w:tc>
          <w:tcPr>
            <w:tcW w:w="1697" w:type="dxa"/>
            <w:tcBorders>
              <w:top w:val="nil"/>
            </w:tcBorders>
            <w:vAlign w:val="center"/>
          </w:tcPr>
          <w:p w14:paraId="2E448CB8"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(-1.1,</w:t>
            </w:r>
            <w:r w:rsidRPr="004923C5">
              <w:rPr>
                <w:spacing w:val="-1"/>
                <w:sz w:val="20"/>
                <w:szCs w:val="20"/>
                <w:lang w:val="en-GB"/>
              </w:rPr>
              <w:t xml:space="preserve"> </w:t>
            </w:r>
            <w:r w:rsidRPr="004923C5">
              <w:rPr>
                <w:sz w:val="20"/>
                <w:szCs w:val="20"/>
                <w:lang w:val="en-GB"/>
              </w:rPr>
              <w:t>-0.2)</w:t>
            </w:r>
          </w:p>
          <w:p w14:paraId="2D32B7C3" w14:textId="7D805E78"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 215)</w:t>
            </w:r>
          </w:p>
        </w:tc>
        <w:tc>
          <w:tcPr>
            <w:tcW w:w="1698" w:type="dxa"/>
            <w:tcBorders>
              <w:top w:val="nil"/>
            </w:tcBorders>
            <w:vAlign w:val="center"/>
          </w:tcPr>
          <w:p w14:paraId="0DC074CE"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(0.2,</w:t>
            </w:r>
            <w:r w:rsidRPr="004923C5">
              <w:rPr>
                <w:spacing w:val="-2"/>
                <w:sz w:val="20"/>
                <w:szCs w:val="20"/>
                <w:lang w:val="en-GB"/>
              </w:rPr>
              <w:t xml:space="preserve"> </w:t>
            </w:r>
            <w:r w:rsidRPr="004923C5">
              <w:rPr>
                <w:sz w:val="20"/>
                <w:szCs w:val="20"/>
                <w:lang w:val="en-GB"/>
              </w:rPr>
              <w:t>1.4)</w:t>
            </w:r>
          </w:p>
        </w:tc>
      </w:tr>
      <w:tr w:rsidR="00E05623" w:rsidRPr="00522825" w14:paraId="6B02E795" w14:textId="77777777" w:rsidTr="004923C5">
        <w:trPr>
          <w:trHeight w:val="346"/>
        </w:trPr>
        <w:tc>
          <w:tcPr>
            <w:tcW w:w="1697" w:type="dxa"/>
            <w:vMerge w:val="restart"/>
            <w:vAlign w:val="center"/>
          </w:tcPr>
          <w:p w14:paraId="31549767" w14:textId="455F4B77" w:rsidR="00375885" w:rsidRPr="00FF446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r w:rsidRPr="004923C5">
              <w:rPr>
                <w:sz w:val="20"/>
                <w:szCs w:val="20"/>
                <w:lang w:val="en-GB"/>
              </w:rPr>
              <w:t>Glucocorticoid-</w:t>
            </w:r>
            <w:r w:rsidRPr="004923C5">
              <w:rPr>
                <w:spacing w:val="-59"/>
                <w:sz w:val="20"/>
                <w:szCs w:val="20"/>
                <w:lang w:val="en-GB"/>
              </w:rPr>
              <w:t xml:space="preserve"> </w:t>
            </w:r>
            <w:r w:rsidRPr="004923C5">
              <w:rPr>
                <w:sz w:val="20"/>
                <w:szCs w:val="20"/>
                <w:lang w:val="en-GB"/>
              </w:rPr>
              <w:t>initiating</w:t>
            </w:r>
          </w:p>
        </w:tc>
        <w:tc>
          <w:tcPr>
            <w:tcW w:w="1697" w:type="dxa"/>
            <w:vMerge w:val="restart"/>
            <w:vAlign w:val="center"/>
          </w:tcPr>
          <w:p w14:paraId="15411400" w14:textId="3FAA1637" w:rsidR="00375885" w:rsidRPr="00FF446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r w:rsidRPr="004923C5">
              <w:rPr>
                <w:sz w:val="20"/>
                <w:szCs w:val="20"/>
                <w:lang w:val="en-GB"/>
              </w:rPr>
              <w:t>Lumbar</w:t>
            </w:r>
            <w:r w:rsidRPr="004923C5">
              <w:rPr>
                <w:spacing w:val="-3"/>
                <w:sz w:val="20"/>
                <w:szCs w:val="20"/>
                <w:lang w:val="en-GB"/>
              </w:rPr>
              <w:t xml:space="preserve"> </w:t>
            </w:r>
            <w:r w:rsidRPr="004923C5">
              <w:rPr>
                <w:sz w:val="20"/>
                <w:szCs w:val="20"/>
                <w:lang w:val="en-GB"/>
              </w:rPr>
              <w:t>Spine</w:t>
            </w:r>
          </w:p>
        </w:tc>
        <w:tc>
          <w:tcPr>
            <w:tcW w:w="1698" w:type="dxa"/>
            <w:tcBorders>
              <w:bottom w:val="nil"/>
            </w:tcBorders>
            <w:vAlign w:val="center"/>
          </w:tcPr>
          <w:p w14:paraId="7CA905B5"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3.8</w:t>
            </w:r>
          </w:p>
        </w:tc>
        <w:tc>
          <w:tcPr>
            <w:tcW w:w="1697" w:type="dxa"/>
            <w:tcBorders>
              <w:bottom w:val="nil"/>
            </w:tcBorders>
            <w:vAlign w:val="center"/>
          </w:tcPr>
          <w:p w14:paraId="7B4CFC6B"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0.8</w:t>
            </w:r>
          </w:p>
        </w:tc>
        <w:tc>
          <w:tcPr>
            <w:tcW w:w="1698" w:type="dxa"/>
            <w:tcBorders>
              <w:bottom w:val="nil"/>
            </w:tcBorders>
            <w:vAlign w:val="center"/>
          </w:tcPr>
          <w:p w14:paraId="537C84E3"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2.9</w:t>
            </w:r>
          </w:p>
        </w:tc>
      </w:tr>
      <w:tr w:rsidR="00E05623" w:rsidRPr="00522825" w14:paraId="6CC5CC77" w14:textId="77777777" w:rsidTr="004923C5">
        <w:trPr>
          <w:trHeight w:val="313"/>
        </w:trPr>
        <w:tc>
          <w:tcPr>
            <w:tcW w:w="1697" w:type="dxa"/>
            <w:vMerge/>
            <w:vAlign w:val="center"/>
          </w:tcPr>
          <w:p w14:paraId="697B2747" w14:textId="3FD58A35"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vMerge/>
            <w:vAlign w:val="center"/>
          </w:tcPr>
          <w:p w14:paraId="349EBB37" w14:textId="6444D4F1"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p>
        </w:tc>
        <w:tc>
          <w:tcPr>
            <w:tcW w:w="1698" w:type="dxa"/>
            <w:tcBorders>
              <w:top w:val="nil"/>
              <w:bottom w:val="nil"/>
            </w:tcBorders>
            <w:vAlign w:val="center"/>
          </w:tcPr>
          <w:p w14:paraId="48810073"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(3.1,</w:t>
            </w:r>
            <w:r w:rsidRPr="004923C5">
              <w:rPr>
                <w:spacing w:val="-2"/>
                <w:sz w:val="20"/>
                <w:szCs w:val="20"/>
                <w:lang w:val="en-GB"/>
              </w:rPr>
              <w:t xml:space="preserve"> </w:t>
            </w:r>
            <w:r w:rsidRPr="004923C5">
              <w:rPr>
                <w:sz w:val="20"/>
                <w:szCs w:val="20"/>
                <w:lang w:val="en-GB"/>
              </w:rPr>
              <w:t>4.5)</w:t>
            </w:r>
          </w:p>
        </w:tc>
        <w:tc>
          <w:tcPr>
            <w:tcW w:w="1697" w:type="dxa"/>
            <w:tcBorders>
              <w:top w:val="nil"/>
              <w:bottom w:val="nil"/>
            </w:tcBorders>
            <w:vAlign w:val="center"/>
          </w:tcPr>
          <w:p w14:paraId="17FB22F5"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(0.2,</w:t>
            </w:r>
            <w:r w:rsidRPr="004923C5">
              <w:rPr>
                <w:spacing w:val="-2"/>
                <w:sz w:val="20"/>
                <w:szCs w:val="20"/>
                <w:lang w:val="en-GB"/>
              </w:rPr>
              <w:t xml:space="preserve"> </w:t>
            </w:r>
            <w:r w:rsidRPr="004923C5">
              <w:rPr>
                <w:sz w:val="20"/>
                <w:szCs w:val="20"/>
                <w:lang w:val="en-GB"/>
              </w:rPr>
              <w:t>1.5)</w:t>
            </w:r>
          </w:p>
        </w:tc>
        <w:tc>
          <w:tcPr>
            <w:tcW w:w="1698" w:type="dxa"/>
            <w:tcBorders>
              <w:top w:val="nil"/>
              <w:bottom w:val="nil"/>
            </w:tcBorders>
            <w:vAlign w:val="center"/>
          </w:tcPr>
          <w:p w14:paraId="1878C90E"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(2.0,</w:t>
            </w:r>
            <w:r w:rsidRPr="004923C5">
              <w:rPr>
                <w:spacing w:val="-2"/>
                <w:sz w:val="20"/>
                <w:szCs w:val="20"/>
                <w:lang w:val="en-GB"/>
              </w:rPr>
              <w:t xml:space="preserve"> </w:t>
            </w:r>
            <w:r w:rsidRPr="004923C5">
              <w:rPr>
                <w:sz w:val="20"/>
                <w:szCs w:val="20"/>
                <w:lang w:val="en-GB"/>
              </w:rPr>
              <w:t>3.9)</w:t>
            </w:r>
          </w:p>
        </w:tc>
      </w:tr>
      <w:tr w:rsidR="00E05623" w:rsidRPr="00522825" w14:paraId="044473C0" w14:textId="77777777" w:rsidTr="004923C5">
        <w:trPr>
          <w:trHeight w:val="339"/>
        </w:trPr>
        <w:tc>
          <w:tcPr>
            <w:tcW w:w="1697" w:type="dxa"/>
            <w:vMerge/>
            <w:vAlign w:val="center"/>
          </w:tcPr>
          <w:p w14:paraId="7B41DBC6" w14:textId="11439E7B"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vMerge/>
            <w:vAlign w:val="center"/>
          </w:tcPr>
          <w:p w14:paraId="28994686" w14:textId="77777777"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8" w:type="dxa"/>
            <w:tcBorders>
              <w:top w:val="nil"/>
            </w:tcBorders>
            <w:vAlign w:val="center"/>
          </w:tcPr>
          <w:p w14:paraId="1B334572"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 119)</w:t>
            </w:r>
          </w:p>
        </w:tc>
        <w:tc>
          <w:tcPr>
            <w:tcW w:w="1697" w:type="dxa"/>
            <w:tcBorders>
              <w:top w:val="nil"/>
            </w:tcBorders>
            <w:vAlign w:val="center"/>
          </w:tcPr>
          <w:p w14:paraId="18FBD3D3"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 126)</w:t>
            </w:r>
          </w:p>
        </w:tc>
        <w:tc>
          <w:tcPr>
            <w:tcW w:w="1698" w:type="dxa"/>
            <w:tcBorders>
              <w:top w:val="nil"/>
            </w:tcBorders>
            <w:vAlign w:val="center"/>
          </w:tcPr>
          <w:p w14:paraId="0FF9FBFB"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p</w:t>
            </w:r>
            <w:r w:rsidRPr="004923C5">
              <w:rPr>
                <w:spacing w:val="-1"/>
                <w:sz w:val="20"/>
                <w:szCs w:val="20"/>
                <w:lang w:val="en-GB"/>
              </w:rPr>
              <w:t xml:space="preserve"> </w:t>
            </w:r>
            <w:r w:rsidRPr="004923C5">
              <w:rPr>
                <w:sz w:val="20"/>
                <w:szCs w:val="20"/>
                <w:lang w:val="en-GB"/>
              </w:rPr>
              <w:t>&lt;</w:t>
            </w:r>
            <w:r w:rsidRPr="004923C5">
              <w:rPr>
                <w:spacing w:val="-1"/>
                <w:sz w:val="20"/>
                <w:szCs w:val="20"/>
                <w:lang w:val="en-GB"/>
              </w:rPr>
              <w:t xml:space="preserve"> </w:t>
            </w:r>
            <w:r w:rsidRPr="004923C5">
              <w:rPr>
                <w:sz w:val="20"/>
                <w:szCs w:val="20"/>
                <w:lang w:val="en-GB"/>
              </w:rPr>
              <w:t>0.001*</w:t>
            </w:r>
          </w:p>
        </w:tc>
      </w:tr>
      <w:tr w:rsidR="00E05623" w:rsidRPr="00522825" w14:paraId="4B267731" w14:textId="77777777" w:rsidTr="004923C5">
        <w:trPr>
          <w:trHeight w:val="346"/>
        </w:trPr>
        <w:tc>
          <w:tcPr>
            <w:tcW w:w="1697" w:type="dxa"/>
            <w:vMerge/>
            <w:vAlign w:val="center"/>
          </w:tcPr>
          <w:p w14:paraId="51193CA1" w14:textId="2B5A2321"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vMerge w:val="restart"/>
            <w:vAlign w:val="center"/>
          </w:tcPr>
          <w:p w14:paraId="5037C8F3" w14:textId="6A974CFA" w:rsidR="00375885" w:rsidRPr="00FF446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r w:rsidRPr="004923C5">
              <w:rPr>
                <w:sz w:val="20"/>
                <w:szCs w:val="20"/>
                <w:lang w:val="en-GB"/>
              </w:rPr>
              <w:t>Total</w:t>
            </w:r>
            <w:r w:rsidRPr="004923C5">
              <w:rPr>
                <w:spacing w:val="-1"/>
                <w:sz w:val="20"/>
                <w:szCs w:val="20"/>
                <w:lang w:val="en-GB"/>
              </w:rPr>
              <w:t xml:space="preserve"> </w:t>
            </w:r>
            <w:r w:rsidRPr="004923C5">
              <w:rPr>
                <w:sz w:val="20"/>
                <w:szCs w:val="20"/>
                <w:lang w:val="en-GB"/>
              </w:rPr>
              <w:t>hip</w:t>
            </w:r>
          </w:p>
        </w:tc>
        <w:tc>
          <w:tcPr>
            <w:tcW w:w="1698" w:type="dxa"/>
            <w:tcBorders>
              <w:bottom w:val="nil"/>
            </w:tcBorders>
            <w:vAlign w:val="center"/>
          </w:tcPr>
          <w:p w14:paraId="0724F1AA"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1.7</w:t>
            </w:r>
          </w:p>
        </w:tc>
        <w:tc>
          <w:tcPr>
            <w:tcW w:w="1697" w:type="dxa"/>
            <w:tcBorders>
              <w:bottom w:val="nil"/>
            </w:tcBorders>
            <w:vAlign w:val="center"/>
          </w:tcPr>
          <w:p w14:paraId="2F57C300"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0.2</w:t>
            </w:r>
          </w:p>
        </w:tc>
        <w:tc>
          <w:tcPr>
            <w:tcW w:w="1698" w:type="dxa"/>
            <w:tcBorders>
              <w:bottom w:val="nil"/>
            </w:tcBorders>
            <w:vAlign w:val="center"/>
          </w:tcPr>
          <w:p w14:paraId="54E0B256"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1.5</w:t>
            </w:r>
          </w:p>
        </w:tc>
      </w:tr>
      <w:tr w:rsidR="00E05623" w:rsidRPr="00522825" w14:paraId="5EAA8A81" w14:textId="77777777" w:rsidTr="004923C5">
        <w:trPr>
          <w:trHeight w:val="313"/>
        </w:trPr>
        <w:tc>
          <w:tcPr>
            <w:tcW w:w="1697" w:type="dxa"/>
            <w:vMerge/>
            <w:vAlign w:val="center"/>
          </w:tcPr>
          <w:p w14:paraId="1DB76680" w14:textId="074C0DA7"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vMerge/>
            <w:vAlign w:val="center"/>
          </w:tcPr>
          <w:p w14:paraId="1FE3EBDB" w14:textId="76E281B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p>
        </w:tc>
        <w:tc>
          <w:tcPr>
            <w:tcW w:w="1698" w:type="dxa"/>
            <w:tcBorders>
              <w:top w:val="nil"/>
              <w:bottom w:val="nil"/>
            </w:tcBorders>
            <w:vAlign w:val="center"/>
          </w:tcPr>
          <w:p w14:paraId="05DC029C"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(1.2,</w:t>
            </w:r>
            <w:r w:rsidRPr="004923C5">
              <w:rPr>
                <w:spacing w:val="-2"/>
                <w:sz w:val="20"/>
                <w:szCs w:val="20"/>
                <w:lang w:val="en-GB"/>
              </w:rPr>
              <w:t xml:space="preserve"> </w:t>
            </w:r>
            <w:r w:rsidRPr="004923C5">
              <w:rPr>
                <w:sz w:val="20"/>
                <w:szCs w:val="20"/>
                <w:lang w:val="en-GB"/>
              </w:rPr>
              <w:t>2.2)</w:t>
            </w:r>
          </w:p>
        </w:tc>
        <w:tc>
          <w:tcPr>
            <w:tcW w:w="1697" w:type="dxa"/>
            <w:tcBorders>
              <w:top w:val="nil"/>
              <w:bottom w:val="nil"/>
            </w:tcBorders>
            <w:vAlign w:val="center"/>
          </w:tcPr>
          <w:p w14:paraId="645CCA2D"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(-0.2,</w:t>
            </w:r>
            <w:r w:rsidRPr="004923C5">
              <w:rPr>
                <w:spacing w:val="-1"/>
                <w:sz w:val="20"/>
                <w:szCs w:val="20"/>
                <w:lang w:val="en-GB"/>
              </w:rPr>
              <w:t xml:space="preserve"> </w:t>
            </w:r>
            <w:r w:rsidRPr="004923C5">
              <w:rPr>
                <w:sz w:val="20"/>
                <w:szCs w:val="20"/>
                <w:lang w:val="en-GB"/>
              </w:rPr>
              <w:t>0.7)</w:t>
            </w:r>
          </w:p>
        </w:tc>
        <w:tc>
          <w:tcPr>
            <w:tcW w:w="1698" w:type="dxa"/>
            <w:tcBorders>
              <w:top w:val="nil"/>
              <w:bottom w:val="nil"/>
            </w:tcBorders>
            <w:vAlign w:val="center"/>
          </w:tcPr>
          <w:p w14:paraId="56C50054"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(0.8,</w:t>
            </w:r>
            <w:r w:rsidRPr="004923C5">
              <w:rPr>
                <w:spacing w:val="-2"/>
                <w:sz w:val="20"/>
                <w:szCs w:val="20"/>
                <w:lang w:val="en-GB"/>
              </w:rPr>
              <w:t xml:space="preserve"> </w:t>
            </w:r>
            <w:r w:rsidRPr="004923C5">
              <w:rPr>
                <w:sz w:val="20"/>
                <w:szCs w:val="20"/>
                <w:lang w:val="en-GB"/>
              </w:rPr>
              <w:t>2.1)</w:t>
            </w:r>
          </w:p>
        </w:tc>
      </w:tr>
      <w:tr w:rsidR="00E05623" w:rsidRPr="00522825" w14:paraId="029950EF" w14:textId="77777777" w:rsidTr="004923C5">
        <w:trPr>
          <w:trHeight w:val="339"/>
        </w:trPr>
        <w:tc>
          <w:tcPr>
            <w:tcW w:w="1697" w:type="dxa"/>
            <w:vMerge/>
            <w:vAlign w:val="center"/>
          </w:tcPr>
          <w:p w14:paraId="4F905798" w14:textId="33175772"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vMerge/>
            <w:vAlign w:val="center"/>
          </w:tcPr>
          <w:p w14:paraId="6F7D4F29" w14:textId="77777777"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8" w:type="dxa"/>
            <w:tcBorders>
              <w:top w:val="nil"/>
            </w:tcBorders>
            <w:vAlign w:val="center"/>
          </w:tcPr>
          <w:p w14:paraId="3552DC25"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 119)</w:t>
            </w:r>
          </w:p>
        </w:tc>
        <w:tc>
          <w:tcPr>
            <w:tcW w:w="1697" w:type="dxa"/>
            <w:tcBorders>
              <w:top w:val="nil"/>
            </w:tcBorders>
            <w:vAlign w:val="center"/>
          </w:tcPr>
          <w:p w14:paraId="46D441D8"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 128)</w:t>
            </w:r>
          </w:p>
        </w:tc>
        <w:tc>
          <w:tcPr>
            <w:tcW w:w="1698" w:type="dxa"/>
            <w:tcBorders>
              <w:top w:val="nil"/>
            </w:tcBorders>
            <w:vAlign w:val="center"/>
          </w:tcPr>
          <w:p w14:paraId="57EEE378"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p</w:t>
            </w:r>
            <w:r w:rsidRPr="004923C5">
              <w:rPr>
                <w:spacing w:val="-1"/>
                <w:sz w:val="20"/>
                <w:szCs w:val="20"/>
                <w:lang w:val="en-GB"/>
              </w:rPr>
              <w:t xml:space="preserve"> </w:t>
            </w:r>
            <w:r w:rsidRPr="004923C5">
              <w:rPr>
                <w:sz w:val="20"/>
                <w:szCs w:val="20"/>
                <w:lang w:val="en-GB"/>
              </w:rPr>
              <w:t>&lt;</w:t>
            </w:r>
            <w:r w:rsidRPr="004923C5">
              <w:rPr>
                <w:spacing w:val="-1"/>
                <w:sz w:val="20"/>
                <w:szCs w:val="20"/>
                <w:lang w:val="en-GB"/>
              </w:rPr>
              <w:t xml:space="preserve"> </w:t>
            </w:r>
            <w:r w:rsidRPr="004923C5">
              <w:rPr>
                <w:sz w:val="20"/>
                <w:szCs w:val="20"/>
                <w:lang w:val="en-GB"/>
              </w:rPr>
              <w:t>0.001*</w:t>
            </w:r>
          </w:p>
        </w:tc>
      </w:tr>
      <w:tr w:rsidR="00FA4FC4" w:rsidRPr="00522825" w14:paraId="249C5D4F" w14:textId="77777777" w:rsidTr="004923C5">
        <w:trPr>
          <w:trHeight w:val="997"/>
        </w:trPr>
        <w:tc>
          <w:tcPr>
            <w:tcW w:w="1697" w:type="dxa"/>
            <w:vMerge/>
            <w:vAlign w:val="center"/>
          </w:tcPr>
          <w:p w14:paraId="17F15479" w14:textId="4DA7672C"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p>
        </w:tc>
        <w:tc>
          <w:tcPr>
            <w:tcW w:w="1697" w:type="dxa"/>
            <w:vAlign w:val="center"/>
          </w:tcPr>
          <w:p w14:paraId="2BC150C2"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Femoral</w:t>
            </w:r>
            <w:r w:rsidRPr="004923C5">
              <w:rPr>
                <w:spacing w:val="-3"/>
                <w:sz w:val="20"/>
                <w:szCs w:val="20"/>
                <w:lang w:val="en-GB"/>
              </w:rPr>
              <w:t xml:space="preserve"> </w:t>
            </w:r>
            <w:r w:rsidRPr="004923C5">
              <w:rPr>
                <w:sz w:val="20"/>
                <w:szCs w:val="20"/>
                <w:lang w:val="en-GB"/>
              </w:rPr>
              <w:t>neck**</w:t>
            </w:r>
          </w:p>
        </w:tc>
        <w:tc>
          <w:tcPr>
            <w:tcW w:w="1698" w:type="dxa"/>
            <w:vAlign w:val="center"/>
          </w:tcPr>
          <w:p w14:paraId="3243E696"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0.9</w:t>
            </w:r>
          </w:p>
          <w:p w14:paraId="71F1E699"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(0.2,</w:t>
            </w:r>
            <w:r w:rsidRPr="004923C5">
              <w:rPr>
                <w:spacing w:val="-3"/>
                <w:sz w:val="20"/>
                <w:szCs w:val="20"/>
                <w:lang w:val="en-GB"/>
              </w:rPr>
              <w:t xml:space="preserve"> </w:t>
            </w:r>
            <w:r w:rsidRPr="004923C5">
              <w:rPr>
                <w:sz w:val="20"/>
                <w:szCs w:val="20"/>
                <w:lang w:val="en-GB"/>
              </w:rPr>
              <w:t>1.7)</w:t>
            </w:r>
          </w:p>
          <w:p w14:paraId="6828812D"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119)</w:t>
            </w:r>
          </w:p>
        </w:tc>
        <w:tc>
          <w:tcPr>
            <w:tcW w:w="1697" w:type="dxa"/>
            <w:vAlign w:val="center"/>
          </w:tcPr>
          <w:p w14:paraId="74F09674"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-0.2</w:t>
            </w:r>
          </w:p>
          <w:p w14:paraId="4CC8CAB0"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(-1.0,</w:t>
            </w:r>
            <w:r w:rsidRPr="004923C5">
              <w:rPr>
                <w:spacing w:val="-2"/>
                <w:sz w:val="20"/>
                <w:szCs w:val="20"/>
                <w:lang w:val="en-GB"/>
              </w:rPr>
              <w:t xml:space="preserve"> </w:t>
            </w:r>
            <w:r w:rsidRPr="004923C5">
              <w:rPr>
                <w:sz w:val="20"/>
                <w:szCs w:val="20"/>
                <w:lang w:val="en-GB"/>
              </w:rPr>
              <w:t>0.5)</w:t>
            </w:r>
          </w:p>
          <w:p w14:paraId="4E14A72A"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128)</w:t>
            </w:r>
          </w:p>
        </w:tc>
        <w:tc>
          <w:tcPr>
            <w:tcW w:w="1698" w:type="dxa"/>
            <w:vAlign w:val="center"/>
          </w:tcPr>
          <w:p w14:paraId="095DDF50"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1.1</w:t>
            </w:r>
          </w:p>
          <w:p w14:paraId="714CA67F"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(0.2,</w:t>
            </w:r>
            <w:r w:rsidRPr="004923C5">
              <w:rPr>
                <w:spacing w:val="-2"/>
                <w:sz w:val="20"/>
                <w:szCs w:val="20"/>
                <w:lang w:val="en-GB"/>
              </w:rPr>
              <w:t xml:space="preserve"> </w:t>
            </w:r>
            <w:r w:rsidRPr="004923C5">
              <w:rPr>
                <w:sz w:val="20"/>
                <w:szCs w:val="20"/>
                <w:lang w:val="en-GB"/>
              </w:rPr>
              <w:t>2.1)</w:t>
            </w:r>
          </w:p>
        </w:tc>
      </w:tr>
      <w:tr w:rsidR="00FA4FC4" w:rsidRPr="00522825" w14:paraId="317E6086" w14:textId="77777777" w:rsidTr="004923C5">
        <w:trPr>
          <w:trHeight w:val="999"/>
        </w:trPr>
        <w:tc>
          <w:tcPr>
            <w:tcW w:w="1697" w:type="dxa"/>
            <w:vMerge/>
            <w:vAlign w:val="center"/>
          </w:tcPr>
          <w:p w14:paraId="1DB46D41" w14:textId="77777777"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vAlign w:val="center"/>
          </w:tcPr>
          <w:p w14:paraId="211D0629"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Hip</w:t>
            </w:r>
            <w:r w:rsidRPr="004923C5">
              <w:rPr>
                <w:spacing w:val="1"/>
                <w:sz w:val="20"/>
                <w:szCs w:val="20"/>
                <w:lang w:val="en-GB"/>
              </w:rPr>
              <w:t xml:space="preserve"> </w:t>
            </w:r>
            <w:r w:rsidRPr="004923C5">
              <w:rPr>
                <w:sz w:val="20"/>
                <w:szCs w:val="20"/>
                <w:lang w:val="en-GB"/>
              </w:rPr>
              <w:t>trochanter**</w:t>
            </w:r>
          </w:p>
        </w:tc>
        <w:tc>
          <w:tcPr>
            <w:tcW w:w="1698" w:type="dxa"/>
            <w:vAlign w:val="center"/>
          </w:tcPr>
          <w:p w14:paraId="71820A0A"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3.0</w:t>
            </w:r>
          </w:p>
          <w:p w14:paraId="24C815D9"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(2.2,</w:t>
            </w:r>
            <w:r w:rsidRPr="004923C5">
              <w:rPr>
                <w:spacing w:val="-3"/>
                <w:sz w:val="20"/>
                <w:szCs w:val="20"/>
                <w:lang w:val="en-GB"/>
              </w:rPr>
              <w:t xml:space="preserve"> </w:t>
            </w:r>
            <w:r w:rsidRPr="004923C5">
              <w:rPr>
                <w:sz w:val="20"/>
                <w:szCs w:val="20"/>
                <w:lang w:val="en-GB"/>
              </w:rPr>
              <w:t>3.8)</w:t>
            </w:r>
          </w:p>
          <w:p w14:paraId="2AFAF52F"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119)</w:t>
            </w:r>
          </w:p>
        </w:tc>
        <w:tc>
          <w:tcPr>
            <w:tcW w:w="1697" w:type="dxa"/>
            <w:vAlign w:val="center"/>
          </w:tcPr>
          <w:p w14:paraId="789CCD42"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0.9</w:t>
            </w:r>
          </w:p>
          <w:p w14:paraId="327B5E3B"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(0.1,</w:t>
            </w:r>
            <w:r w:rsidRPr="004923C5">
              <w:rPr>
                <w:spacing w:val="-3"/>
                <w:sz w:val="20"/>
                <w:szCs w:val="20"/>
                <w:lang w:val="en-GB"/>
              </w:rPr>
              <w:t xml:space="preserve"> </w:t>
            </w:r>
            <w:r w:rsidRPr="004923C5">
              <w:rPr>
                <w:sz w:val="20"/>
                <w:szCs w:val="20"/>
                <w:lang w:val="en-GB"/>
              </w:rPr>
              <w:t>1.7)</w:t>
            </w:r>
          </w:p>
          <w:p w14:paraId="41DABDA6"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(N</w:t>
            </w:r>
            <w:r w:rsidRPr="004923C5">
              <w:rPr>
                <w:spacing w:val="-2"/>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128)</w:t>
            </w:r>
          </w:p>
        </w:tc>
        <w:tc>
          <w:tcPr>
            <w:tcW w:w="1698" w:type="dxa"/>
            <w:vAlign w:val="center"/>
          </w:tcPr>
          <w:p w14:paraId="44BECA3A"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2.1</w:t>
            </w:r>
          </w:p>
          <w:p w14:paraId="6660FAB2"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(1.0,</w:t>
            </w:r>
            <w:r w:rsidRPr="004923C5">
              <w:rPr>
                <w:spacing w:val="-2"/>
                <w:sz w:val="20"/>
                <w:szCs w:val="20"/>
                <w:lang w:val="en-GB"/>
              </w:rPr>
              <w:t xml:space="preserve"> </w:t>
            </w:r>
            <w:r w:rsidRPr="004923C5">
              <w:rPr>
                <w:sz w:val="20"/>
                <w:szCs w:val="20"/>
                <w:lang w:val="en-GB"/>
              </w:rPr>
              <w:t>3.2)</w:t>
            </w:r>
          </w:p>
        </w:tc>
      </w:tr>
      <w:tr w:rsidR="00FA4FC4" w:rsidRPr="00522825" w14:paraId="0F561444" w14:textId="77777777" w:rsidTr="004923C5">
        <w:trPr>
          <w:trHeight w:val="999"/>
        </w:trPr>
        <w:tc>
          <w:tcPr>
            <w:tcW w:w="1697" w:type="dxa"/>
            <w:vMerge/>
            <w:vAlign w:val="center"/>
          </w:tcPr>
          <w:p w14:paraId="5849B0B2" w14:textId="77777777" w:rsidR="00375885" w:rsidRPr="004923C5" w:rsidRDefault="00375885" w:rsidP="00D258EC">
            <w:pPr>
              <w:pStyle w:val="TableParagraph"/>
              <w:adjustRightInd w:val="0"/>
              <w:snapToGrid w:val="0"/>
              <w:spacing w:after="60" w:line="360" w:lineRule="auto"/>
              <w:ind w:left="108" w:rightChars="30" w:right="66"/>
              <w:jc w:val="center"/>
              <w:rPr>
                <w:rFonts w:ascii="Times New Roman"/>
                <w:sz w:val="20"/>
                <w:szCs w:val="20"/>
                <w:lang w:val="en-GB"/>
              </w:rPr>
            </w:pPr>
          </w:p>
        </w:tc>
        <w:tc>
          <w:tcPr>
            <w:tcW w:w="1697" w:type="dxa"/>
            <w:vAlign w:val="center"/>
          </w:tcPr>
          <w:p w14:paraId="620243D0"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Distal 1/3</w:t>
            </w:r>
            <w:r w:rsidRPr="004923C5">
              <w:rPr>
                <w:spacing w:val="-60"/>
                <w:sz w:val="20"/>
                <w:szCs w:val="20"/>
                <w:lang w:val="en-GB"/>
              </w:rPr>
              <w:t xml:space="preserve"> </w:t>
            </w:r>
            <w:r w:rsidRPr="004923C5">
              <w:rPr>
                <w:sz w:val="20"/>
                <w:szCs w:val="20"/>
                <w:lang w:val="en-GB"/>
              </w:rPr>
              <w:t>radius**</w:t>
            </w:r>
          </w:p>
        </w:tc>
        <w:tc>
          <w:tcPr>
            <w:tcW w:w="1698" w:type="dxa"/>
            <w:vAlign w:val="center"/>
          </w:tcPr>
          <w:p w14:paraId="0BF07B80"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-0.1</w:t>
            </w:r>
          </w:p>
          <w:p w14:paraId="23BE976C"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(-0.6,</w:t>
            </w:r>
            <w:r w:rsidRPr="004923C5">
              <w:rPr>
                <w:spacing w:val="-2"/>
                <w:sz w:val="20"/>
                <w:szCs w:val="20"/>
                <w:lang w:val="en-GB"/>
              </w:rPr>
              <w:t xml:space="preserve"> </w:t>
            </w:r>
            <w:r w:rsidRPr="004923C5">
              <w:rPr>
                <w:sz w:val="20"/>
                <w:szCs w:val="20"/>
                <w:lang w:val="en-GB"/>
              </w:rPr>
              <w:t>0.5)</w:t>
            </w:r>
          </w:p>
          <w:p w14:paraId="61C3CD5E"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lastRenderedPageBreak/>
              <w:t>(N</w:t>
            </w:r>
            <w:r w:rsidRPr="004923C5">
              <w:rPr>
                <w:spacing w:val="-2"/>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120)</w:t>
            </w:r>
          </w:p>
        </w:tc>
        <w:tc>
          <w:tcPr>
            <w:tcW w:w="1697" w:type="dxa"/>
            <w:vAlign w:val="center"/>
          </w:tcPr>
          <w:p w14:paraId="2FAA85C3"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lastRenderedPageBreak/>
              <w:t>-0.5</w:t>
            </w:r>
          </w:p>
          <w:p w14:paraId="3BDA51EC"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(-1.0,</w:t>
            </w:r>
            <w:r w:rsidRPr="004923C5">
              <w:rPr>
                <w:spacing w:val="-2"/>
                <w:sz w:val="20"/>
                <w:szCs w:val="20"/>
                <w:lang w:val="en-GB"/>
              </w:rPr>
              <w:t xml:space="preserve"> </w:t>
            </w:r>
            <w:r w:rsidRPr="004923C5">
              <w:rPr>
                <w:sz w:val="20"/>
                <w:szCs w:val="20"/>
                <w:lang w:val="en-GB"/>
              </w:rPr>
              <w:t>0.1)</w:t>
            </w:r>
          </w:p>
          <w:p w14:paraId="41859A89"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lastRenderedPageBreak/>
              <w:t>(N</w:t>
            </w:r>
            <w:r w:rsidRPr="004923C5">
              <w:rPr>
                <w:spacing w:val="-2"/>
                <w:sz w:val="20"/>
                <w:szCs w:val="20"/>
                <w:lang w:val="en-GB"/>
              </w:rPr>
              <w:t xml:space="preserve"> </w:t>
            </w:r>
            <w:r w:rsidRPr="004923C5">
              <w:rPr>
                <w:sz w:val="20"/>
                <w:szCs w:val="20"/>
                <w:lang w:val="en-GB"/>
              </w:rPr>
              <w:t>=</w:t>
            </w:r>
            <w:r w:rsidRPr="004923C5">
              <w:rPr>
                <w:spacing w:val="-1"/>
                <w:sz w:val="20"/>
                <w:szCs w:val="20"/>
                <w:lang w:val="en-GB"/>
              </w:rPr>
              <w:t xml:space="preserve"> </w:t>
            </w:r>
            <w:r w:rsidRPr="004923C5">
              <w:rPr>
                <w:sz w:val="20"/>
                <w:szCs w:val="20"/>
                <w:lang w:val="en-GB"/>
              </w:rPr>
              <w:t>126)</w:t>
            </w:r>
          </w:p>
        </w:tc>
        <w:tc>
          <w:tcPr>
            <w:tcW w:w="1698" w:type="dxa"/>
            <w:vAlign w:val="center"/>
          </w:tcPr>
          <w:p w14:paraId="6214DDF1"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lastRenderedPageBreak/>
              <w:t>0.4</w:t>
            </w:r>
          </w:p>
          <w:p w14:paraId="55934F4D" w14:textId="77777777" w:rsidR="00375885" w:rsidRPr="004923C5" w:rsidRDefault="00375885" w:rsidP="00D258EC">
            <w:pPr>
              <w:pStyle w:val="TableParagraph"/>
              <w:adjustRightInd w:val="0"/>
              <w:snapToGrid w:val="0"/>
              <w:spacing w:after="60" w:line="360" w:lineRule="auto"/>
              <w:ind w:left="108" w:rightChars="30" w:right="66"/>
              <w:jc w:val="center"/>
              <w:rPr>
                <w:sz w:val="20"/>
                <w:szCs w:val="20"/>
                <w:lang w:val="en-GB"/>
              </w:rPr>
            </w:pPr>
            <w:r w:rsidRPr="004923C5">
              <w:rPr>
                <w:sz w:val="20"/>
                <w:szCs w:val="20"/>
                <w:lang w:val="en-GB"/>
              </w:rPr>
              <w:t>(-0.4,</w:t>
            </w:r>
            <w:r w:rsidRPr="004923C5">
              <w:rPr>
                <w:spacing w:val="-1"/>
                <w:sz w:val="20"/>
                <w:szCs w:val="20"/>
                <w:lang w:val="en-GB"/>
              </w:rPr>
              <w:t xml:space="preserve"> </w:t>
            </w:r>
            <w:r w:rsidRPr="004923C5">
              <w:rPr>
                <w:sz w:val="20"/>
                <w:szCs w:val="20"/>
                <w:lang w:val="en-GB"/>
              </w:rPr>
              <w:t>1.2)</w:t>
            </w:r>
          </w:p>
        </w:tc>
      </w:tr>
    </w:tbl>
    <w:p w14:paraId="74543FA1" w14:textId="77777777" w:rsidR="006E62CD" w:rsidRPr="00EE2E24" w:rsidRDefault="00CB520A" w:rsidP="00D258EC">
      <w:pPr>
        <w:adjustRightInd w:val="0"/>
        <w:snapToGrid w:val="0"/>
        <w:spacing w:after="120"/>
        <w:ind w:left="108" w:rightChars="30" w:right="66"/>
        <w:contextualSpacing/>
        <w:rPr>
          <w:sz w:val="18"/>
          <w:lang w:val="en-GB"/>
        </w:rPr>
      </w:pPr>
      <w:r w:rsidRPr="00EE2E24">
        <w:rPr>
          <w:b/>
          <w:sz w:val="18"/>
          <w:lang w:val="en-GB"/>
        </w:rPr>
        <w:t>*</w:t>
      </w:r>
      <w:r w:rsidRPr="00EE2E24">
        <w:rPr>
          <w:b/>
          <w:spacing w:val="-2"/>
          <w:sz w:val="18"/>
          <w:lang w:val="en-GB"/>
        </w:rPr>
        <w:t xml:space="preserve"> </w:t>
      </w:r>
      <w:r w:rsidRPr="00EE2E24">
        <w:rPr>
          <w:sz w:val="18"/>
          <w:lang w:val="en-GB"/>
        </w:rPr>
        <w:t>p-value</w:t>
      </w:r>
      <w:r w:rsidRPr="00EE2E24">
        <w:rPr>
          <w:spacing w:val="-2"/>
          <w:sz w:val="18"/>
          <w:lang w:val="en-GB"/>
        </w:rPr>
        <w:t xml:space="preserve"> </w:t>
      </w:r>
      <w:r w:rsidRPr="00EE2E24">
        <w:rPr>
          <w:sz w:val="18"/>
          <w:lang w:val="en-GB"/>
        </w:rPr>
        <w:t>adjusted</w:t>
      </w:r>
      <w:r w:rsidRPr="00EE2E24">
        <w:rPr>
          <w:spacing w:val="-2"/>
          <w:sz w:val="18"/>
          <w:lang w:val="en-GB"/>
        </w:rPr>
        <w:t xml:space="preserve"> </w:t>
      </w:r>
      <w:r w:rsidRPr="00EE2E24">
        <w:rPr>
          <w:sz w:val="18"/>
          <w:lang w:val="en-GB"/>
        </w:rPr>
        <w:t>for multiplicity</w:t>
      </w:r>
      <w:r w:rsidRPr="00EE2E24">
        <w:rPr>
          <w:spacing w:val="-1"/>
          <w:sz w:val="18"/>
          <w:lang w:val="en-GB"/>
        </w:rPr>
        <w:t xml:space="preserve"> </w:t>
      </w:r>
      <w:r w:rsidRPr="00EE2E24">
        <w:rPr>
          <w:sz w:val="18"/>
          <w:lang w:val="en-GB"/>
        </w:rPr>
        <w:t>within</w:t>
      </w:r>
      <w:r w:rsidRPr="00EE2E24">
        <w:rPr>
          <w:spacing w:val="-1"/>
          <w:sz w:val="18"/>
          <w:lang w:val="en-GB"/>
        </w:rPr>
        <w:t xml:space="preserve"> </w:t>
      </w:r>
      <w:r w:rsidRPr="00EE2E24">
        <w:rPr>
          <w:sz w:val="18"/>
          <w:lang w:val="en-GB"/>
        </w:rPr>
        <w:t>each</w:t>
      </w:r>
      <w:r w:rsidRPr="00EE2E24">
        <w:rPr>
          <w:spacing w:val="-1"/>
          <w:sz w:val="18"/>
          <w:lang w:val="en-GB"/>
        </w:rPr>
        <w:t xml:space="preserve"> </w:t>
      </w:r>
      <w:r w:rsidRPr="00EE2E24">
        <w:rPr>
          <w:sz w:val="18"/>
          <w:lang w:val="en-GB"/>
        </w:rPr>
        <w:t>subpopulation using</w:t>
      </w:r>
      <w:r w:rsidRPr="00EE2E24">
        <w:rPr>
          <w:spacing w:val="-1"/>
          <w:sz w:val="18"/>
          <w:lang w:val="en-GB"/>
        </w:rPr>
        <w:t xml:space="preserve"> </w:t>
      </w:r>
      <w:r w:rsidRPr="00EE2E24">
        <w:rPr>
          <w:sz w:val="18"/>
          <w:lang w:val="en-GB"/>
        </w:rPr>
        <w:t>a</w:t>
      </w:r>
      <w:r w:rsidRPr="00EE2E24">
        <w:rPr>
          <w:spacing w:val="-2"/>
          <w:sz w:val="18"/>
          <w:lang w:val="en-GB"/>
        </w:rPr>
        <w:t xml:space="preserve"> </w:t>
      </w:r>
      <w:r w:rsidRPr="00EE2E24">
        <w:rPr>
          <w:sz w:val="18"/>
          <w:lang w:val="en-GB"/>
        </w:rPr>
        <w:t>fixed</w:t>
      </w:r>
      <w:r w:rsidRPr="00EE2E24">
        <w:rPr>
          <w:spacing w:val="-1"/>
          <w:sz w:val="18"/>
          <w:lang w:val="en-GB"/>
        </w:rPr>
        <w:t xml:space="preserve"> </w:t>
      </w:r>
      <w:r w:rsidRPr="00EE2E24">
        <w:rPr>
          <w:sz w:val="18"/>
          <w:lang w:val="en-GB"/>
        </w:rPr>
        <w:t>sequence testing</w:t>
      </w:r>
      <w:r w:rsidRPr="00EE2E24">
        <w:rPr>
          <w:spacing w:val="-1"/>
          <w:sz w:val="18"/>
          <w:lang w:val="en-GB"/>
        </w:rPr>
        <w:t xml:space="preserve"> </w:t>
      </w:r>
      <w:r w:rsidRPr="00EE2E24">
        <w:rPr>
          <w:sz w:val="18"/>
          <w:lang w:val="en-GB"/>
        </w:rPr>
        <w:t>procedure.</w:t>
      </w:r>
    </w:p>
    <w:p w14:paraId="5F19F5E7" w14:textId="77777777" w:rsidR="006E62CD" w:rsidRPr="00EE2E24" w:rsidRDefault="00CB520A" w:rsidP="00D258EC">
      <w:pPr>
        <w:adjustRightInd w:val="0"/>
        <w:snapToGrid w:val="0"/>
        <w:spacing w:after="120"/>
        <w:ind w:left="108" w:rightChars="30" w:right="66"/>
        <w:contextualSpacing/>
        <w:rPr>
          <w:sz w:val="18"/>
          <w:lang w:val="en-GB"/>
        </w:rPr>
      </w:pPr>
      <w:r w:rsidRPr="00EE2E24">
        <w:rPr>
          <w:sz w:val="18"/>
          <w:lang w:val="en-GB"/>
        </w:rPr>
        <w:t>**</w:t>
      </w:r>
      <w:r w:rsidRPr="00EE2E24">
        <w:rPr>
          <w:spacing w:val="-2"/>
          <w:sz w:val="18"/>
          <w:lang w:val="en-GB"/>
        </w:rPr>
        <w:t xml:space="preserve"> </w:t>
      </w:r>
      <w:r w:rsidRPr="00EE2E24">
        <w:rPr>
          <w:sz w:val="18"/>
          <w:lang w:val="en-GB"/>
        </w:rPr>
        <w:t>Exploratory endpoints</w:t>
      </w:r>
      <w:r w:rsidRPr="00EE2E24">
        <w:rPr>
          <w:spacing w:val="-1"/>
          <w:sz w:val="18"/>
          <w:lang w:val="en-GB"/>
        </w:rPr>
        <w:t xml:space="preserve"> </w:t>
      </w:r>
      <w:r w:rsidRPr="00EE2E24">
        <w:rPr>
          <w:sz w:val="18"/>
          <w:lang w:val="en-GB"/>
        </w:rPr>
        <w:t>(p-values not</w:t>
      </w:r>
      <w:r w:rsidRPr="00EE2E24">
        <w:rPr>
          <w:spacing w:val="-1"/>
          <w:sz w:val="18"/>
          <w:lang w:val="en-GB"/>
        </w:rPr>
        <w:t xml:space="preserve"> </w:t>
      </w:r>
      <w:r w:rsidRPr="00EE2E24">
        <w:rPr>
          <w:sz w:val="18"/>
          <w:lang w:val="en-GB"/>
        </w:rPr>
        <w:t>shown)</w:t>
      </w:r>
    </w:p>
    <w:p w14:paraId="01FB86D9" w14:textId="77777777" w:rsidR="006E62CD" w:rsidRPr="00EE2E24" w:rsidRDefault="00CB520A" w:rsidP="00D258EC">
      <w:pPr>
        <w:pStyle w:val="Heading3"/>
        <w:adjustRightInd w:val="0"/>
        <w:snapToGrid w:val="0"/>
        <w:spacing w:before="60" w:after="60" w:line="360" w:lineRule="auto"/>
        <w:ind w:left="108" w:rightChars="30" w:right="66"/>
        <w:rPr>
          <w:lang w:val="en-GB"/>
        </w:rPr>
      </w:pPr>
      <w:r w:rsidRPr="00EE2E24">
        <w:rPr>
          <w:lang w:val="en-GB"/>
        </w:rPr>
        <w:t>Bone</w:t>
      </w:r>
      <w:r w:rsidRPr="00EE2E24">
        <w:rPr>
          <w:spacing w:val="-2"/>
          <w:lang w:val="en-GB"/>
        </w:rPr>
        <w:t xml:space="preserve"> </w:t>
      </w:r>
      <w:r w:rsidRPr="00EE2E24">
        <w:rPr>
          <w:lang w:val="en-GB"/>
        </w:rPr>
        <w:t>histology</w:t>
      </w:r>
    </w:p>
    <w:p w14:paraId="6AE15AA4" w14:textId="31C7B428"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Bone biopsy specimens evaluable for histology were obtained from 17 patients (6 in the</w:t>
      </w:r>
      <w:r w:rsidRPr="00F53BC2">
        <w:rPr>
          <w:lang w:val="en-GB"/>
        </w:rPr>
        <w:t xml:space="preserve"> </w:t>
      </w:r>
      <w:r w:rsidR="001328D6">
        <w:rPr>
          <w:lang w:val="en-GB"/>
        </w:rPr>
        <w:t>denosumab</w:t>
      </w:r>
      <w:r w:rsidR="00375885" w:rsidRPr="003444E8">
        <w:rPr>
          <w:lang w:val="en-GB"/>
        </w:rPr>
        <w:t xml:space="preserve"> </w:t>
      </w:r>
      <w:r w:rsidRPr="00EE2E24">
        <w:rPr>
          <w:lang w:val="en-GB"/>
        </w:rPr>
        <w:t>treatment</w:t>
      </w:r>
      <w:r w:rsidRPr="00F53BC2">
        <w:rPr>
          <w:lang w:val="en-GB"/>
        </w:rPr>
        <w:t xml:space="preserve"> </w:t>
      </w:r>
      <w:r w:rsidRPr="00EE2E24">
        <w:rPr>
          <w:lang w:val="en-GB"/>
        </w:rPr>
        <w:t>group</w:t>
      </w:r>
      <w:r w:rsidRPr="00F53BC2">
        <w:rPr>
          <w:lang w:val="en-GB"/>
        </w:rPr>
        <w:t xml:space="preserve"> </w:t>
      </w:r>
      <w:r w:rsidRPr="00EE2E24">
        <w:rPr>
          <w:lang w:val="en-GB"/>
        </w:rPr>
        <w:t>and</w:t>
      </w:r>
      <w:r w:rsidRPr="00F53BC2">
        <w:rPr>
          <w:lang w:val="en-GB"/>
        </w:rPr>
        <w:t xml:space="preserve"> </w:t>
      </w:r>
      <w:r w:rsidRPr="00EE2E24">
        <w:rPr>
          <w:lang w:val="en-GB"/>
        </w:rPr>
        <w:t>11</w:t>
      </w:r>
      <w:r w:rsidRPr="00F53BC2">
        <w:rPr>
          <w:lang w:val="en-GB"/>
        </w:rPr>
        <w:t xml:space="preserve"> </w:t>
      </w:r>
      <w:r w:rsidRPr="00EE2E24">
        <w:rPr>
          <w:lang w:val="en-GB"/>
        </w:rPr>
        <w:t>in the</w:t>
      </w:r>
      <w:r w:rsidRPr="00F53BC2">
        <w:rPr>
          <w:lang w:val="en-GB"/>
        </w:rPr>
        <w:t xml:space="preserve"> </w:t>
      </w:r>
      <w:r w:rsidRPr="00EE2E24">
        <w:rPr>
          <w:lang w:val="en-GB"/>
        </w:rPr>
        <w:t>risedronate</w:t>
      </w:r>
      <w:r w:rsidRPr="00F53BC2">
        <w:rPr>
          <w:lang w:val="en-GB"/>
        </w:rPr>
        <w:t xml:space="preserve"> </w:t>
      </w:r>
      <w:r w:rsidRPr="00EE2E24">
        <w:rPr>
          <w:lang w:val="en-GB"/>
        </w:rPr>
        <w:t>treatment</w:t>
      </w:r>
      <w:r w:rsidRPr="00F53BC2">
        <w:rPr>
          <w:lang w:val="en-GB"/>
        </w:rPr>
        <w:t xml:space="preserve"> </w:t>
      </w:r>
      <w:r w:rsidRPr="00EE2E24">
        <w:rPr>
          <w:lang w:val="en-GB"/>
        </w:rPr>
        <w:t>group)</w:t>
      </w:r>
      <w:r w:rsidRPr="00F53BC2">
        <w:rPr>
          <w:lang w:val="en-GB"/>
        </w:rPr>
        <w:t xml:space="preserve"> </w:t>
      </w:r>
      <w:r w:rsidRPr="00EE2E24">
        <w:rPr>
          <w:lang w:val="en-GB"/>
        </w:rPr>
        <w:t>at</w:t>
      </w:r>
      <w:r w:rsidRPr="00F53BC2">
        <w:rPr>
          <w:lang w:val="en-GB"/>
        </w:rPr>
        <w:t xml:space="preserve"> </w:t>
      </w:r>
      <w:r w:rsidRPr="00EE2E24">
        <w:rPr>
          <w:lang w:val="en-GB"/>
        </w:rPr>
        <w:t>month</w:t>
      </w:r>
      <w:r w:rsidRPr="00F53BC2">
        <w:rPr>
          <w:lang w:val="en-GB"/>
        </w:rPr>
        <w:t xml:space="preserve"> </w:t>
      </w:r>
      <w:r w:rsidRPr="00EE2E24">
        <w:rPr>
          <w:lang w:val="en-GB"/>
        </w:rPr>
        <w:t>12.</w:t>
      </w:r>
    </w:p>
    <w:p w14:paraId="625F2483" w14:textId="55572524" w:rsidR="006E62CD" w:rsidRDefault="00CB520A" w:rsidP="00D258EC">
      <w:pPr>
        <w:pStyle w:val="BodyText"/>
        <w:adjustRightInd w:val="0"/>
        <w:snapToGrid w:val="0"/>
        <w:spacing w:before="60" w:after="60" w:line="360" w:lineRule="auto"/>
        <w:ind w:left="108" w:rightChars="30" w:right="66"/>
        <w:rPr>
          <w:lang w:val="en-GB"/>
        </w:rPr>
      </w:pPr>
      <w:r w:rsidRPr="00EE2E24">
        <w:rPr>
          <w:lang w:val="en-GB"/>
        </w:rPr>
        <w:t>Qualitative histology assessments showed normal architecture and quality with no</w:t>
      </w:r>
      <w:r w:rsidRPr="00F53BC2">
        <w:rPr>
          <w:lang w:val="en-GB"/>
        </w:rPr>
        <w:t xml:space="preserve"> </w:t>
      </w:r>
      <w:r w:rsidRPr="00EE2E24">
        <w:rPr>
          <w:lang w:val="en-GB"/>
        </w:rPr>
        <w:t>evidence</w:t>
      </w:r>
      <w:r w:rsidRPr="00F53BC2">
        <w:rPr>
          <w:lang w:val="en-GB"/>
        </w:rPr>
        <w:t xml:space="preserve"> </w:t>
      </w:r>
      <w:r w:rsidRPr="00EE2E24">
        <w:rPr>
          <w:lang w:val="en-GB"/>
        </w:rPr>
        <w:t>of</w:t>
      </w:r>
      <w:r w:rsidRPr="00F53BC2">
        <w:rPr>
          <w:lang w:val="en-GB"/>
        </w:rPr>
        <w:t xml:space="preserve"> </w:t>
      </w:r>
      <w:r w:rsidRPr="00EE2E24">
        <w:rPr>
          <w:lang w:val="en-GB"/>
        </w:rPr>
        <w:t>mineralisation</w:t>
      </w:r>
      <w:r w:rsidRPr="00F53BC2">
        <w:rPr>
          <w:lang w:val="en-GB"/>
        </w:rPr>
        <w:t xml:space="preserve"> </w:t>
      </w:r>
      <w:r w:rsidRPr="00EE2E24">
        <w:rPr>
          <w:lang w:val="en-GB"/>
        </w:rPr>
        <w:t>defects,</w:t>
      </w:r>
      <w:r w:rsidRPr="00F53BC2">
        <w:rPr>
          <w:lang w:val="en-GB"/>
        </w:rPr>
        <w:t xml:space="preserve"> </w:t>
      </w:r>
      <w:r w:rsidRPr="00EE2E24">
        <w:rPr>
          <w:lang w:val="en-GB"/>
        </w:rPr>
        <w:t>woven</w:t>
      </w:r>
      <w:r w:rsidRPr="00F53BC2">
        <w:rPr>
          <w:lang w:val="en-GB"/>
        </w:rPr>
        <w:t xml:space="preserve"> </w:t>
      </w:r>
      <w:r w:rsidRPr="00EE2E24">
        <w:rPr>
          <w:lang w:val="en-GB"/>
        </w:rPr>
        <w:t>bone,</w:t>
      </w:r>
      <w:r w:rsidRPr="00F53BC2">
        <w:rPr>
          <w:lang w:val="en-GB"/>
        </w:rPr>
        <w:t xml:space="preserve"> </w:t>
      </w:r>
      <w:r w:rsidRPr="00EE2E24">
        <w:rPr>
          <w:lang w:val="en-GB"/>
        </w:rPr>
        <w:t>or</w:t>
      </w:r>
      <w:r w:rsidRPr="00F53BC2">
        <w:rPr>
          <w:lang w:val="en-GB"/>
        </w:rPr>
        <w:t xml:space="preserve"> </w:t>
      </w:r>
      <w:r w:rsidRPr="00EE2E24">
        <w:rPr>
          <w:lang w:val="en-GB"/>
        </w:rPr>
        <w:t>marrow</w:t>
      </w:r>
      <w:r w:rsidRPr="00F53BC2">
        <w:rPr>
          <w:lang w:val="en-GB"/>
        </w:rPr>
        <w:t xml:space="preserve"> </w:t>
      </w:r>
      <w:r w:rsidRPr="00EE2E24">
        <w:rPr>
          <w:lang w:val="en-GB"/>
        </w:rPr>
        <w:t>fibrosis</w:t>
      </w:r>
      <w:r w:rsidRPr="00F53BC2">
        <w:rPr>
          <w:lang w:val="en-GB"/>
        </w:rPr>
        <w:t xml:space="preserve"> </w:t>
      </w:r>
      <w:r w:rsidRPr="00EE2E24">
        <w:rPr>
          <w:lang w:val="en-GB"/>
        </w:rPr>
        <w:t>in</w:t>
      </w:r>
      <w:r w:rsidRPr="00F53BC2">
        <w:rPr>
          <w:lang w:val="en-GB"/>
        </w:rPr>
        <w:t xml:space="preserve"> </w:t>
      </w:r>
      <w:r w:rsidRPr="00EE2E24">
        <w:rPr>
          <w:lang w:val="en-GB"/>
        </w:rPr>
        <w:t>patients</w:t>
      </w:r>
      <w:r w:rsidRPr="00F53BC2">
        <w:rPr>
          <w:lang w:val="en-GB"/>
        </w:rPr>
        <w:t xml:space="preserve"> </w:t>
      </w:r>
      <w:r w:rsidRPr="00EE2E24">
        <w:rPr>
          <w:lang w:val="en-GB"/>
        </w:rPr>
        <w:t>treated</w:t>
      </w:r>
      <w:r w:rsidRPr="00F53BC2">
        <w:rPr>
          <w:lang w:val="en-GB"/>
        </w:rPr>
        <w:t xml:space="preserve"> </w:t>
      </w:r>
      <w:r w:rsidRPr="00EE2E24">
        <w:rPr>
          <w:lang w:val="en-GB"/>
        </w:rPr>
        <w:t>with</w:t>
      </w:r>
      <w:r w:rsidRPr="00F53BC2">
        <w:rPr>
          <w:lang w:val="en-GB"/>
        </w:rPr>
        <w:t xml:space="preserve"> </w:t>
      </w:r>
      <w:r w:rsidR="001328D6">
        <w:rPr>
          <w:lang w:val="en-GB"/>
        </w:rPr>
        <w:t>denosumab</w:t>
      </w:r>
      <w:r w:rsidRPr="00EE2E24">
        <w:rPr>
          <w:lang w:val="en-GB"/>
        </w:rPr>
        <w:t>.</w:t>
      </w:r>
    </w:p>
    <w:p w14:paraId="4E69CE44" w14:textId="77777777" w:rsidR="00D11069" w:rsidRDefault="00D11069" w:rsidP="00D258EC">
      <w:pPr>
        <w:pStyle w:val="BodyText"/>
        <w:adjustRightInd w:val="0"/>
        <w:snapToGrid w:val="0"/>
        <w:spacing w:before="60" w:after="60" w:line="360" w:lineRule="auto"/>
        <w:ind w:left="108" w:rightChars="30" w:right="66"/>
        <w:rPr>
          <w:lang w:val="en-GB"/>
        </w:rPr>
      </w:pPr>
    </w:p>
    <w:p w14:paraId="0F6A4CD7" w14:textId="77777777" w:rsidR="00D11069" w:rsidRDefault="00D11069" w:rsidP="00D11069">
      <w:pPr>
        <w:adjustRightInd w:val="0"/>
        <w:snapToGrid w:val="0"/>
        <w:spacing w:before="60" w:after="60" w:line="360" w:lineRule="auto"/>
        <w:ind w:left="108" w:rightChars="30" w:right="66"/>
        <w:rPr>
          <w:i/>
          <w:lang w:val="en-GB"/>
        </w:rPr>
      </w:pPr>
      <w:r w:rsidRPr="0003717C">
        <w:rPr>
          <w:i/>
          <w:lang w:val="en-GB"/>
        </w:rPr>
        <w:t xml:space="preserve">Comparability of </w:t>
      </w:r>
      <w:r>
        <w:rPr>
          <w:i/>
          <w:lang w:val="en-GB"/>
        </w:rPr>
        <w:t>Ospomyv</w:t>
      </w:r>
      <w:r w:rsidRPr="0003717C">
        <w:rPr>
          <w:i/>
          <w:lang w:val="en-GB"/>
        </w:rPr>
        <w:t xml:space="preserve"> with </w:t>
      </w:r>
      <w:r>
        <w:rPr>
          <w:i/>
          <w:lang w:val="en-GB"/>
        </w:rPr>
        <w:t>Prolia</w:t>
      </w:r>
    </w:p>
    <w:p w14:paraId="22FCE926" w14:textId="77777777" w:rsidR="00D11069" w:rsidRDefault="00D11069" w:rsidP="00D11069">
      <w:pPr>
        <w:adjustRightInd w:val="0"/>
        <w:snapToGrid w:val="0"/>
        <w:spacing w:before="60" w:after="60" w:line="360" w:lineRule="auto"/>
        <w:ind w:left="108" w:rightChars="30" w:right="66"/>
        <w:rPr>
          <w:lang w:val="en-GB"/>
        </w:rPr>
      </w:pPr>
      <w:r>
        <w:rPr>
          <w:lang w:val="en-GB"/>
        </w:rPr>
        <w:t>A</w:t>
      </w:r>
      <w:r w:rsidRPr="002873BE">
        <w:rPr>
          <w:lang w:val="en-GB"/>
        </w:rPr>
        <w:t xml:space="preserve"> clinical Phase III study (SB16-3001)</w:t>
      </w:r>
      <w:r>
        <w:rPr>
          <w:lang w:val="en-GB"/>
        </w:rPr>
        <w:t xml:space="preserve"> </w:t>
      </w:r>
      <w:r w:rsidRPr="002873BE">
        <w:rPr>
          <w:lang w:val="en-GB"/>
        </w:rPr>
        <w:t xml:space="preserve">was conducted </w:t>
      </w:r>
      <w:r>
        <w:rPr>
          <w:rFonts w:eastAsiaTheme="minorEastAsia"/>
          <w:lang w:val="en-GB" w:eastAsia="ko-KR"/>
        </w:rPr>
        <w:t>t</w:t>
      </w:r>
      <w:r w:rsidRPr="002873BE">
        <w:rPr>
          <w:lang w:val="en-GB"/>
        </w:rPr>
        <w:t xml:space="preserve">o demonstrate </w:t>
      </w:r>
      <w:r>
        <w:rPr>
          <w:lang w:val="en-GB"/>
        </w:rPr>
        <w:t xml:space="preserve">clinical comparability </w:t>
      </w:r>
      <w:r w:rsidRPr="002873BE">
        <w:rPr>
          <w:lang w:val="en-GB"/>
        </w:rPr>
        <w:t xml:space="preserve">between </w:t>
      </w:r>
      <w:r>
        <w:rPr>
          <w:lang w:val="en-GB"/>
        </w:rPr>
        <w:t>Ospomyv</w:t>
      </w:r>
      <w:r w:rsidRPr="002873BE">
        <w:rPr>
          <w:lang w:val="en-GB"/>
        </w:rPr>
        <w:t xml:space="preserve"> and Prolia</w:t>
      </w:r>
      <w:r>
        <w:rPr>
          <w:lang w:val="en-GB"/>
        </w:rPr>
        <w:t xml:space="preserve"> </w:t>
      </w:r>
      <w:r w:rsidRPr="002873BE">
        <w:rPr>
          <w:lang w:val="en-GB"/>
        </w:rPr>
        <w:t>in patients with postmenopausal osteoporosis.</w:t>
      </w:r>
      <w:r>
        <w:rPr>
          <w:lang w:val="en-GB"/>
        </w:rPr>
        <w:t xml:space="preserve"> </w:t>
      </w:r>
      <w:r w:rsidRPr="00A455A6">
        <w:rPr>
          <w:lang w:val="en-GB"/>
        </w:rPr>
        <w:t xml:space="preserve">The primary efficacy </w:t>
      </w:r>
      <w:r>
        <w:rPr>
          <w:lang w:val="en-GB"/>
        </w:rPr>
        <w:t>endpoint was</w:t>
      </w:r>
      <w:r>
        <w:rPr>
          <w:rFonts w:eastAsiaTheme="minorEastAsia" w:hint="eastAsia"/>
          <w:lang w:val="en-GB" w:eastAsia="ko-KR"/>
        </w:rPr>
        <w:t xml:space="preserve"> </w:t>
      </w:r>
      <w:r>
        <w:rPr>
          <w:rFonts w:eastAsiaTheme="minorEastAsia"/>
          <w:lang w:val="en-GB" w:eastAsia="ko-KR"/>
        </w:rPr>
        <w:t xml:space="preserve">percent </w:t>
      </w:r>
      <w:r w:rsidRPr="00A455A6">
        <w:rPr>
          <w:lang w:val="en-GB"/>
        </w:rPr>
        <w:t xml:space="preserve">change from baseline in lumbar spine </w:t>
      </w:r>
      <w:r w:rsidRPr="002873BE">
        <w:rPr>
          <w:lang w:val="en-GB"/>
        </w:rPr>
        <w:t xml:space="preserve">bone mineral density </w:t>
      </w:r>
      <w:r>
        <w:rPr>
          <w:lang w:val="en-GB"/>
        </w:rPr>
        <w:t>(</w:t>
      </w:r>
      <w:r w:rsidRPr="00A455A6">
        <w:rPr>
          <w:lang w:val="en-GB"/>
        </w:rPr>
        <w:t>BMD</w:t>
      </w:r>
      <w:r>
        <w:rPr>
          <w:lang w:val="en-GB"/>
        </w:rPr>
        <w:t>)</w:t>
      </w:r>
      <w:r w:rsidRPr="00A455A6">
        <w:rPr>
          <w:lang w:val="en-GB"/>
        </w:rPr>
        <w:t xml:space="preserve"> at Month 12</w:t>
      </w:r>
      <w:r>
        <w:rPr>
          <w:lang w:val="en-GB"/>
        </w:rPr>
        <w:t>.</w:t>
      </w:r>
    </w:p>
    <w:p w14:paraId="5B892EB2" w14:textId="77777777" w:rsidR="00D11069" w:rsidRPr="00BF74EE" w:rsidRDefault="00D11069" w:rsidP="00D11069">
      <w:pPr>
        <w:adjustRightInd w:val="0"/>
        <w:snapToGrid w:val="0"/>
        <w:spacing w:before="60" w:after="60" w:line="360" w:lineRule="auto"/>
        <w:ind w:left="108" w:rightChars="30" w:right="66"/>
        <w:rPr>
          <w:lang w:val="en-GB"/>
        </w:rPr>
      </w:pPr>
      <w:r w:rsidRPr="009E5AE8">
        <w:rPr>
          <w:lang w:val="en-GB"/>
        </w:rPr>
        <w:t xml:space="preserve">The percent change from baseline in lumbar spine BMD at Month 12 was equivalent between </w:t>
      </w:r>
      <w:r>
        <w:rPr>
          <w:lang w:val="en-GB"/>
        </w:rPr>
        <w:t>Ospomyv</w:t>
      </w:r>
      <w:r w:rsidRPr="009E5AE8">
        <w:rPr>
          <w:lang w:val="en-GB"/>
        </w:rPr>
        <w:t xml:space="preserve"> and Prolia treatment groups.</w:t>
      </w:r>
      <w:r>
        <w:rPr>
          <w:lang w:val="en-GB"/>
        </w:rPr>
        <w:t xml:space="preserve"> T</w:t>
      </w:r>
      <w:r w:rsidRPr="009E5AE8">
        <w:rPr>
          <w:lang w:val="en-GB"/>
        </w:rPr>
        <w:t xml:space="preserve">he </w:t>
      </w:r>
      <w:r w:rsidRPr="002D7595">
        <w:rPr>
          <w:lang w:val="en-GB"/>
        </w:rPr>
        <w:t>LSMeans</w:t>
      </w:r>
      <w:r>
        <w:rPr>
          <w:lang w:val="en-GB"/>
        </w:rPr>
        <w:t xml:space="preserve"> </w:t>
      </w:r>
      <w:r w:rsidRPr="009E5AE8">
        <w:rPr>
          <w:lang w:val="en-GB"/>
        </w:rPr>
        <w:t xml:space="preserve">difference in percent change from baseline in lumbar spine BMD at Month 12 between </w:t>
      </w:r>
      <w:r>
        <w:rPr>
          <w:lang w:val="en-GB"/>
        </w:rPr>
        <w:t>Ospomyv</w:t>
      </w:r>
      <w:r w:rsidRPr="009E5AE8">
        <w:rPr>
          <w:lang w:val="en-GB"/>
        </w:rPr>
        <w:t xml:space="preserve"> and Prolia treatment groups for the </w:t>
      </w:r>
      <w:r>
        <w:rPr>
          <w:lang w:val="en-GB"/>
        </w:rPr>
        <w:t xml:space="preserve">per-protocol set </w:t>
      </w:r>
      <w:r w:rsidRPr="009E5AE8">
        <w:rPr>
          <w:lang w:val="en-GB"/>
        </w:rPr>
        <w:t xml:space="preserve">was 0.39 (SE: 0.378), and the 95% CI of the treatment difference was </w:t>
      </w:r>
      <w:r>
        <w:rPr>
          <w:lang w:val="en-GB"/>
        </w:rPr>
        <w:t>(-</w:t>
      </w:r>
      <w:r w:rsidRPr="009E5AE8">
        <w:rPr>
          <w:lang w:val="en-GB"/>
        </w:rPr>
        <w:t>0.36, 1.13</w:t>
      </w:r>
      <w:r>
        <w:rPr>
          <w:lang w:val="en-GB"/>
        </w:rPr>
        <w:t>)</w:t>
      </w:r>
      <w:r w:rsidRPr="009E5AE8">
        <w:rPr>
          <w:lang w:val="en-GB"/>
        </w:rPr>
        <w:t xml:space="preserve">, which was completely contained within the equivalence margin of </w:t>
      </w:r>
      <w:r>
        <w:rPr>
          <w:lang w:val="en-GB"/>
        </w:rPr>
        <w:t>(-</w:t>
      </w:r>
      <w:r w:rsidRPr="009E5AE8">
        <w:rPr>
          <w:lang w:val="en-GB"/>
        </w:rPr>
        <w:t>2.0, 2.0</w:t>
      </w:r>
      <w:r>
        <w:rPr>
          <w:lang w:val="en-GB"/>
        </w:rPr>
        <w:t>)</w:t>
      </w:r>
      <w:r w:rsidRPr="009E5AE8">
        <w:rPr>
          <w:lang w:val="en-GB"/>
        </w:rPr>
        <w:t>.</w:t>
      </w:r>
    </w:p>
    <w:p w14:paraId="664C1263" w14:textId="77777777" w:rsidR="00D11069" w:rsidRPr="00EE2E24" w:rsidRDefault="00D11069" w:rsidP="00D258EC">
      <w:pPr>
        <w:pStyle w:val="BodyText"/>
        <w:adjustRightInd w:val="0"/>
        <w:snapToGrid w:val="0"/>
        <w:spacing w:before="60" w:after="60" w:line="360" w:lineRule="auto"/>
        <w:ind w:left="108" w:rightChars="30" w:right="66"/>
        <w:rPr>
          <w:lang w:val="en-GB"/>
        </w:rPr>
      </w:pPr>
    </w:p>
    <w:p w14:paraId="770894D2" w14:textId="77777777" w:rsidR="006E62CD" w:rsidRPr="00EE2E24" w:rsidRDefault="00CB520A" w:rsidP="00D258EC">
      <w:pPr>
        <w:pStyle w:val="Heading2"/>
        <w:numPr>
          <w:ilvl w:val="1"/>
          <w:numId w:val="3"/>
        </w:numPr>
        <w:tabs>
          <w:tab w:val="left" w:pos="1577"/>
          <w:tab w:val="left" w:pos="1578"/>
        </w:tabs>
        <w:adjustRightInd w:val="0"/>
        <w:snapToGrid w:val="0"/>
        <w:spacing w:before="60" w:after="60" w:line="360" w:lineRule="auto"/>
        <w:ind w:left="108" w:rightChars="30" w:right="66" w:firstLine="0"/>
        <w:rPr>
          <w:lang w:val="en-GB"/>
        </w:rPr>
      </w:pPr>
      <w:bookmarkStart w:id="16" w:name="5.2_Pharmacokinetic_properties"/>
      <w:bookmarkEnd w:id="16"/>
      <w:r w:rsidRPr="00EE2E24">
        <w:rPr>
          <w:lang w:val="en-GB"/>
        </w:rPr>
        <w:t>Pharmacokinetic</w:t>
      </w:r>
      <w:r w:rsidRPr="00562449">
        <w:rPr>
          <w:lang w:val="en-GB"/>
        </w:rPr>
        <w:t xml:space="preserve"> </w:t>
      </w:r>
      <w:r w:rsidRPr="00EE2E24">
        <w:rPr>
          <w:lang w:val="en-GB"/>
        </w:rPr>
        <w:t>properties</w:t>
      </w:r>
    </w:p>
    <w:p w14:paraId="4A512885"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u w:val="single"/>
          <w:lang w:val="en-GB"/>
        </w:rPr>
        <w:t>Absorption</w:t>
      </w:r>
    </w:p>
    <w:p w14:paraId="6E900FD9"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Following a 60 mg subcutaneous dose of denosumab, bioavailability was 61% and</w:t>
      </w:r>
      <w:r w:rsidRPr="00F53BC2">
        <w:rPr>
          <w:lang w:val="en-GB"/>
        </w:rPr>
        <w:t xml:space="preserve"> </w:t>
      </w:r>
      <w:r w:rsidRPr="00EE2E24">
        <w:rPr>
          <w:lang w:val="en-GB"/>
        </w:rPr>
        <w:t>maximum serum denosumab concentrations (C</w:t>
      </w:r>
      <w:r w:rsidRPr="00F53BC2">
        <w:rPr>
          <w:lang w:val="en-GB"/>
        </w:rPr>
        <w:t>max</w:t>
      </w:r>
      <w:r w:rsidRPr="00EE2E24">
        <w:rPr>
          <w:lang w:val="en-GB"/>
        </w:rPr>
        <w:t>) of 6 μg/mL (range 1 - 17 μg/mL)</w:t>
      </w:r>
      <w:r w:rsidRPr="00F53BC2">
        <w:rPr>
          <w:lang w:val="en-GB"/>
        </w:rPr>
        <w:t xml:space="preserve"> </w:t>
      </w:r>
      <w:r w:rsidRPr="00EE2E24">
        <w:rPr>
          <w:lang w:val="en-GB"/>
        </w:rPr>
        <w:t>occurred</w:t>
      </w:r>
      <w:r w:rsidRPr="00F53BC2">
        <w:rPr>
          <w:lang w:val="en-GB"/>
        </w:rPr>
        <w:t xml:space="preserve"> </w:t>
      </w:r>
      <w:r w:rsidRPr="00EE2E24">
        <w:rPr>
          <w:lang w:val="en-GB"/>
        </w:rPr>
        <w:t>in</w:t>
      </w:r>
      <w:r w:rsidRPr="00F53BC2">
        <w:rPr>
          <w:lang w:val="en-GB"/>
        </w:rPr>
        <w:t xml:space="preserve"> </w:t>
      </w:r>
      <w:r w:rsidRPr="00EE2E24">
        <w:rPr>
          <w:lang w:val="en-GB"/>
        </w:rPr>
        <w:t>10 days (range</w:t>
      </w:r>
      <w:r w:rsidRPr="00F53BC2">
        <w:rPr>
          <w:lang w:val="en-GB"/>
        </w:rPr>
        <w:t xml:space="preserve"> </w:t>
      </w:r>
      <w:r w:rsidRPr="00EE2E24">
        <w:rPr>
          <w:lang w:val="en-GB"/>
        </w:rPr>
        <w:t>2</w:t>
      </w:r>
      <w:r w:rsidRPr="00F53BC2">
        <w:rPr>
          <w:lang w:val="en-GB"/>
        </w:rPr>
        <w:t xml:space="preserve"> </w:t>
      </w:r>
      <w:r w:rsidRPr="00EE2E24">
        <w:rPr>
          <w:lang w:val="en-GB"/>
        </w:rPr>
        <w:t>- 28 days).</w:t>
      </w:r>
    </w:p>
    <w:p w14:paraId="27BCF783"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u w:val="single"/>
          <w:lang w:val="en-GB"/>
        </w:rPr>
        <w:lastRenderedPageBreak/>
        <w:t>Metabolism</w:t>
      </w:r>
    </w:p>
    <w:p w14:paraId="51C65CFE" w14:textId="7A2C90D5"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Denosumab is composed solely of amino acids and carbohydrates as native</w:t>
      </w:r>
      <w:r w:rsidRPr="00F53BC2">
        <w:rPr>
          <w:lang w:val="en-GB"/>
        </w:rPr>
        <w:t xml:space="preserve"> </w:t>
      </w:r>
      <w:r w:rsidRPr="00EE2E24">
        <w:rPr>
          <w:lang w:val="en-GB"/>
        </w:rPr>
        <w:t>immunoglobulin and is unlikely to be eliminated via hepatic metabolic mechanisms.</w:t>
      </w:r>
      <w:r w:rsidRPr="00F53BC2">
        <w:rPr>
          <w:lang w:val="en-GB"/>
        </w:rPr>
        <w:t xml:space="preserve"> </w:t>
      </w:r>
      <w:r w:rsidRPr="00EE2E24">
        <w:rPr>
          <w:lang w:val="en-GB"/>
        </w:rPr>
        <w:t>Based</w:t>
      </w:r>
      <w:r w:rsidRPr="00F53BC2">
        <w:rPr>
          <w:lang w:val="en-GB"/>
        </w:rPr>
        <w:t xml:space="preserve"> </w:t>
      </w:r>
      <w:r w:rsidRPr="00EE2E24">
        <w:rPr>
          <w:lang w:val="en-GB"/>
        </w:rPr>
        <w:t>on</w:t>
      </w:r>
      <w:r w:rsidRPr="00F53BC2">
        <w:rPr>
          <w:lang w:val="en-GB"/>
        </w:rPr>
        <w:t xml:space="preserve"> </w:t>
      </w:r>
      <w:r w:rsidRPr="00EE2E24">
        <w:rPr>
          <w:lang w:val="en-GB"/>
        </w:rPr>
        <w:t>nonclinical</w:t>
      </w:r>
      <w:r w:rsidRPr="00F53BC2">
        <w:rPr>
          <w:lang w:val="en-GB"/>
        </w:rPr>
        <w:t xml:space="preserve"> </w:t>
      </w:r>
      <w:r w:rsidRPr="00EE2E24">
        <w:rPr>
          <w:lang w:val="en-GB"/>
        </w:rPr>
        <w:t>data,</w:t>
      </w:r>
      <w:r w:rsidRPr="00F53BC2">
        <w:rPr>
          <w:lang w:val="en-GB"/>
        </w:rPr>
        <w:t xml:space="preserve"> </w:t>
      </w:r>
      <w:r w:rsidRPr="00EE2E24">
        <w:rPr>
          <w:lang w:val="en-GB"/>
        </w:rPr>
        <w:t>its</w:t>
      </w:r>
      <w:r w:rsidRPr="00F53BC2">
        <w:rPr>
          <w:lang w:val="en-GB"/>
        </w:rPr>
        <w:t xml:space="preserve"> </w:t>
      </w:r>
      <w:r w:rsidRPr="00EE2E24">
        <w:rPr>
          <w:lang w:val="en-GB"/>
        </w:rPr>
        <w:t>metabolism</w:t>
      </w:r>
      <w:r w:rsidRPr="00F53BC2">
        <w:rPr>
          <w:lang w:val="en-GB"/>
        </w:rPr>
        <w:t xml:space="preserve"> </w:t>
      </w:r>
      <w:r w:rsidRPr="00EE2E24">
        <w:rPr>
          <w:lang w:val="en-GB"/>
        </w:rPr>
        <w:t>and</w:t>
      </w:r>
      <w:r w:rsidRPr="00F53BC2">
        <w:rPr>
          <w:lang w:val="en-GB"/>
        </w:rPr>
        <w:t xml:space="preserve"> </w:t>
      </w:r>
      <w:r w:rsidRPr="00EE2E24">
        <w:rPr>
          <w:lang w:val="en-GB"/>
        </w:rPr>
        <w:t>elimination</w:t>
      </w:r>
      <w:r w:rsidRPr="00F53BC2">
        <w:rPr>
          <w:lang w:val="en-GB"/>
        </w:rPr>
        <w:t xml:space="preserve"> </w:t>
      </w:r>
      <w:r w:rsidRPr="00EE2E24">
        <w:rPr>
          <w:lang w:val="en-GB"/>
        </w:rPr>
        <w:t>are</w:t>
      </w:r>
      <w:r w:rsidRPr="00F53BC2">
        <w:rPr>
          <w:lang w:val="en-GB"/>
        </w:rPr>
        <w:t xml:space="preserve"> </w:t>
      </w:r>
      <w:r w:rsidRPr="00EE2E24">
        <w:rPr>
          <w:lang w:val="en-GB"/>
        </w:rPr>
        <w:t>expected</w:t>
      </w:r>
      <w:r w:rsidRPr="00F53BC2">
        <w:rPr>
          <w:lang w:val="en-GB"/>
        </w:rPr>
        <w:t xml:space="preserve"> </w:t>
      </w:r>
      <w:r w:rsidRPr="00EE2E24">
        <w:rPr>
          <w:lang w:val="en-GB"/>
        </w:rPr>
        <w:t>to</w:t>
      </w:r>
      <w:r w:rsidRPr="00F53BC2">
        <w:rPr>
          <w:lang w:val="en-GB"/>
        </w:rPr>
        <w:t xml:space="preserve"> </w:t>
      </w:r>
      <w:r w:rsidRPr="00EE2E24">
        <w:rPr>
          <w:lang w:val="en-GB"/>
        </w:rPr>
        <w:t>follow</w:t>
      </w:r>
      <w:r w:rsidRPr="00F53BC2">
        <w:rPr>
          <w:lang w:val="en-GB"/>
        </w:rPr>
        <w:t xml:space="preserve"> </w:t>
      </w:r>
      <w:r w:rsidRPr="00EE2E24">
        <w:rPr>
          <w:lang w:val="en-GB"/>
        </w:rPr>
        <w:t>the</w:t>
      </w:r>
      <w:r w:rsidR="00375885">
        <w:rPr>
          <w:lang w:val="en-GB"/>
        </w:rPr>
        <w:t xml:space="preserve"> </w:t>
      </w:r>
      <w:r w:rsidRPr="00EE2E24">
        <w:rPr>
          <w:lang w:val="en-GB"/>
        </w:rPr>
        <w:t>immunoglobulin</w:t>
      </w:r>
      <w:r w:rsidRPr="00F53BC2">
        <w:rPr>
          <w:lang w:val="en-GB"/>
        </w:rPr>
        <w:t xml:space="preserve"> </w:t>
      </w:r>
      <w:r w:rsidRPr="00EE2E24">
        <w:rPr>
          <w:lang w:val="en-GB"/>
        </w:rPr>
        <w:t>clearance</w:t>
      </w:r>
      <w:r w:rsidRPr="00F53BC2">
        <w:rPr>
          <w:lang w:val="en-GB"/>
        </w:rPr>
        <w:t xml:space="preserve"> </w:t>
      </w:r>
      <w:r w:rsidRPr="00EE2E24">
        <w:rPr>
          <w:lang w:val="en-GB"/>
        </w:rPr>
        <w:t>pathways,</w:t>
      </w:r>
      <w:r w:rsidRPr="00F53BC2">
        <w:rPr>
          <w:lang w:val="en-GB"/>
        </w:rPr>
        <w:t xml:space="preserve"> </w:t>
      </w:r>
      <w:r w:rsidRPr="00EE2E24">
        <w:rPr>
          <w:lang w:val="en-GB"/>
        </w:rPr>
        <w:t>resulting</w:t>
      </w:r>
      <w:r w:rsidRPr="00F53BC2">
        <w:rPr>
          <w:lang w:val="en-GB"/>
        </w:rPr>
        <w:t xml:space="preserve"> </w:t>
      </w:r>
      <w:r w:rsidRPr="00EE2E24">
        <w:rPr>
          <w:lang w:val="en-GB"/>
        </w:rPr>
        <w:t>in</w:t>
      </w:r>
      <w:r w:rsidRPr="00F53BC2">
        <w:rPr>
          <w:lang w:val="en-GB"/>
        </w:rPr>
        <w:t xml:space="preserve"> </w:t>
      </w:r>
      <w:r w:rsidRPr="00EE2E24">
        <w:rPr>
          <w:lang w:val="en-GB"/>
        </w:rPr>
        <w:t>degradation</w:t>
      </w:r>
      <w:r w:rsidRPr="00F53BC2">
        <w:rPr>
          <w:lang w:val="en-GB"/>
        </w:rPr>
        <w:t xml:space="preserve"> </w:t>
      </w:r>
      <w:r w:rsidRPr="00EE2E24">
        <w:rPr>
          <w:lang w:val="en-GB"/>
        </w:rPr>
        <w:t>to</w:t>
      </w:r>
      <w:r w:rsidRPr="00F53BC2">
        <w:rPr>
          <w:lang w:val="en-GB"/>
        </w:rPr>
        <w:t xml:space="preserve"> </w:t>
      </w:r>
      <w:r w:rsidRPr="00EE2E24">
        <w:rPr>
          <w:lang w:val="en-GB"/>
        </w:rPr>
        <w:t>small</w:t>
      </w:r>
      <w:r w:rsidRPr="00F53BC2">
        <w:rPr>
          <w:lang w:val="en-GB"/>
        </w:rPr>
        <w:t xml:space="preserve"> </w:t>
      </w:r>
      <w:r w:rsidRPr="00EE2E24">
        <w:rPr>
          <w:lang w:val="en-GB"/>
        </w:rPr>
        <w:t>peptides</w:t>
      </w:r>
      <w:r w:rsidRPr="00F53BC2">
        <w:rPr>
          <w:lang w:val="en-GB"/>
        </w:rPr>
        <w:t xml:space="preserve"> </w:t>
      </w:r>
      <w:r w:rsidRPr="00EE2E24">
        <w:rPr>
          <w:lang w:val="en-GB"/>
        </w:rPr>
        <w:t>and</w:t>
      </w:r>
      <w:r w:rsidRPr="00F53BC2">
        <w:rPr>
          <w:lang w:val="en-GB"/>
        </w:rPr>
        <w:t xml:space="preserve"> </w:t>
      </w:r>
      <w:r w:rsidRPr="00EE2E24">
        <w:rPr>
          <w:lang w:val="en-GB"/>
        </w:rPr>
        <w:t>individual</w:t>
      </w:r>
      <w:r w:rsidRPr="00F53BC2">
        <w:rPr>
          <w:lang w:val="en-GB"/>
        </w:rPr>
        <w:t xml:space="preserve"> </w:t>
      </w:r>
      <w:r w:rsidRPr="00EE2E24">
        <w:rPr>
          <w:lang w:val="en-GB"/>
        </w:rPr>
        <w:t>amino acids.</w:t>
      </w:r>
    </w:p>
    <w:p w14:paraId="41EA670C"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u w:val="single"/>
          <w:lang w:val="en-GB"/>
        </w:rPr>
        <w:t>Excretion</w:t>
      </w:r>
    </w:p>
    <w:p w14:paraId="43320DEF"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After C</w:t>
      </w:r>
      <w:r w:rsidRPr="00375885">
        <w:rPr>
          <w:vertAlign w:val="subscript"/>
          <w:lang w:val="en-GB"/>
        </w:rPr>
        <w:t>max</w:t>
      </w:r>
      <w:r w:rsidRPr="00EE2E24">
        <w:rPr>
          <w:lang w:val="en-GB"/>
        </w:rPr>
        <w:t>, serum levels declined with a half-life of 26 days (range 6 - 52 days) over a</w:t>
      </w:r>
      <w:r w:rsidRPr="00F53BC2">
        <w:rPr>
          <w:lang w:val="en-GB"/>
        </w:rPr>
        <w:t xml:space="preserve"> </w:t>
      </w:r>
      <w:r w:rsidRPr="00EE2E24">
        <w:rPr>
          <w:lang w:val="en-GB"/>
        </w:rPr>
        <w:t>period of 3 months (range 1.5 - 4.5 months).</w:t>
      </w:r>
      <w:r w:rsidRPr="00F53BC2">
        <w:rPr>
          <w:lang w:val="en-GB"/>
        </w:rPr>
        <w:t xml:space="preserve"> </w:t>
      </w:r>
      <w:r w:rsidRPr="00EE2E24">
        <w:rPr>
          <w:lang w:val="en-GB"/>
        </w:rPr>
        <w:t>Fifty-three percent of patients had no</w:t>
      </w:r>
      <w:r w:rsidRPr="00F53BC2">
        <w:rPr>
          <w:lang w:val="en-GB"/>
        </w:rPr>
        <w:t xml:space="preserve"> </w:t>
      </w:r>
      <w:r w:rsidRPr="00EE2E24">
        <w:rPr>
          <w:lang w:val="en-GB"/>
        </w:rPr>
        <w:t>measurable</w:t>
      </w:r>
      <w:r w:rsidRPr="00F53BC2">
        <w:rPr>
          <w:lang w:val="en-GB"/>
        </w:rPr>
        <w:t xml:space="preserve"> </w:t>
      </w:r>
      <w:r w:rsidRPr="00EE2E24">
        <w:rPr>
          <w:lang w:val="en-GB"/>
        </w:rPr>
        <w:t>amounts of denosumab</w:t>
      </w:r>
      <w:r w:rsidRPr="00F53BC2">
        <w:rPr>
          <w:lang w:val="en-GB"/>
        </w:rPr>
        <w:t xml:space="preserve"> </w:t>
      </w:r>
      <w:r w:rsidRPr="00EE2E24">
        <w:rPr>
          <w:lang w:val="en-GB"/>
        </w:rPr>
        <w:t>detected at</w:t>
      </w:r>
      <w:r w:rsidRPr="00F53BC2">
        <w:rPr>
          <w:lang w:val="en-GB"/>
        </w:rPr>
        <w:t xml:space="preserve"> </w:t>
      </w:r>
      <w:r w:rsidRPr="00EE2E24">
        <w:rPr>
          <w:lang w:val="en-GB"/>
        </w:rPr>
        <w:t>6</w:t>
      </w:r>
      <w:r w:rsidRPr="00F53BC2">
        <w:rPr>
          <w:lang w:val="en-GB"/>
        </w:rPr>
        <w:t xml:space="preserve"> </w:t>
      </w:r>
      <w:r w:rsidRPr="00EE2E24">
        <w:rPr>
          <w:lang w:val="en-GB"/>
        </w:rPr>
        <w:t>months post-dose.</w:t>
      </w:r>
    </w:p>
    <w:p w14:paraId="724D5FFD"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No accumulation or change in denosumab pharmacokinetics over time was observed</w:t>
      </w:r>
      <w:r w:rsidRPr="00F53BC2">
        <w:rPr>
          <w:lang w:val="en-GB"/>
        </w:rPr>
        <w:t xml:space="preserve"> </w:t>
      </w:r>
      <w:r w:rsidRPr="00EE2E24">
        <w:rPr>
          <w:lang w:val="en-GB"/>
        </w:rPr>
        <w:t>upon subcutaneous multiple-dosing of 60 mg once every 6 months.</w:t>
      </w:r>
      <w:r w:rsidRPr="00F53BC2">
        <w:rPr>
          <w:lang w:val="en-GB"/>
        </w:rPr>
        <w:t xml:space="preserve"> </w:t>
      </w:r>
      <w:r w:rsidRPr="00EE2E24">
        <w:rPr>
          <w:lang w:val="en-GB"/>
        </w:rPr>
        <w:t>Denosumab</w:t>
      </w:r>
      <w:r w:rsidRPr="00F53BC2">
        <w:rPr>
          <w:lang w:val="en-GB"/>
        </w:rPr>
        <w:t xml:space="preserve"> </w:t>
      </w:r>
      <w:r w:rsidRPr="00EE2E24">
        <w:rPr>
          <w:lang w:val="en-GB"/>
        </w:rPr>
        <w:t>pharmacokinetics</w:t>
      </w:r>
      <w:r w:rsidRPr="00F53BC2">
        <w:rPr>
          <w:lang w:val="en-GB"/>
        </w:rPr>
        <w:t xml:space="preserve"> </w:t>
      </w:r>
      <w:r w:rsidRPr="00EE2E24">
        <w:rPr>
          <w:lang w:val="en-GB"/>
        </w:rPr>
        <w:t>was</w:t>
      </w:r>
      <w:r w:rsidRPr="00F53BC2">
        <w:rPr>
          <w:lang w:val="en-GB"/>
        </w:rPr>
        <w:t xml:space="preserve"> </w:t>
      </w:r>
      <w:r w:rsidRPr="00EE2E24">
        <w:rPr>
          <w:lang w:val="en-GB"/>
        </w:rPr>
        <w:t>not</w:t>
      </w:r>
      <w:r w:rsidRPr="00F53BC2">
        <w:rPr>
          <w:lang w:val="en-GB"/>
        </w:rPr>
        <w:t xml:space="preserve"> </w:t>
      </w:r>
      <w:r w:rsidRPr="00EE2E24">
        <w:rPr>
          <w:lang w:val="en-GB"/>
        </w:rPr>
        <w:t>affected</w:t>
      </w:r>
      <w:r w:rsidRPr="00F53BC2">
        <w:rPr>
          <w:lang w:val="en-GB"/>
        </w:rPr>
        <w:t xml:space="preserve"> </w:t>
      </w:r>
      <w:r w:rsidRPr="00EE2E24">
        <w:rPr>
          <w:lang w:val="en-GB"/>
        </w:rPr>
        <w:t>by</w:t>
      </w:r>
      <w:r w:rsidRPr="00F53BC2">
        <w:rPr>
          <w:lang w:val="en-GB"/>
        </w:rPr>
        <w:t xml:space="preserve"> </w:t>
      </w:r>
      <w:r w:rsidRPr="00EE2E24">
        <w:rPr>
          <w:lang w:val="en-GB"/>
        </w:rPr>
        <w:t>the</w:t>
      </w:r>
      <w:r w:rsidRPr="00F53BC2">
        <w:rPr>
          <w:lang w:val="en-GB"/>
        </w:rPr>
        <w:t xml:space="preserve"> </w:t>
      </w:r>
      <w:r w:rsidRPr="00EE2E24">
        <w:rPr>
          <w:lang w:val="en-GB"/>
        </w:rPr>
        <w:t>formation</w:t>
      </w:r>
      <w:r w:rsidRPr="00F53BC2">
        <w:rPr>
          <w:lang w:val="en-GB"/>
        </w:rPr>
        <w:t xml:space="preserve"> </w:t>
      </w:r>
      <w:r w:rsidRPr="00EE2E24">
        <w:rPr>
          <w:lang w:val="en-GB"/>
        </w:rPr>
        <w:t>of</w:t>
      </w:r>
      <w:r w:rsidRPr="00F53BC2">
        <w:rPr>
          <w:lang w:val="en-GB"/>
        </w:rPr>
        <w:t xml:space="preserve"> </w:t>
      </w:r>
      <w:r w:rsidRPr="00EE2E24">
        <w:rPr>
          <w:lang w:val="en-GB"/>
        </w:rPr>
        <w:t>binding</w:t>
      </w:r>
      <w:r w:rsidRPr="00F53BC2">
        <w:rPr>
          <w:lang w:val="en-GB"/>
        </w:rPr>
        <w:t xml:space="preserve"> </w:t>
      </w:r>
      <w:r w:rsidRPr="00EE2E24">
        <w:rPr>
          <w:lang w:val="en-GB"/>
        </w:rPr>
        <w:t>antibodies</w:t>
      </w:r>
      <w:r w:rsidRPr="00F53BC2">
        <w:rPr>
          <w:lang w:val="en-GB"/>
        </w:rPr>
        <w:t xml:space="preserve"> </w:t>
      </w:r>
      <w:r w:rsidRPr="00EE2E24">
        <w:rPr>
          <w:lang w:val="en-GB"/>
        </w:rPr>
        <w:t>to</w:t>
      </w:r>
      <w:r w:rsidRPr="00F53BC2">
        <w:rPr>
          <w:lang w:val="en-GB"/>
        </w:rPr>
        <w:t xml:space="preserve"> </w:t>
      </w:r>
      <w:r w:rsidRPr="00EE2E24">
        <w:rPr>
          <w:lang w:val="en-GB"/>
        </w:rPr>
        <w:t>denosumab</w:t>
      </w:r>
      <w:r w:rsidRPr="00F53BC2">
        <w:rPr>
          <w:lang w:val="en-GB"/>
        </w:rPr>
        <w:t xml:space="preserve"> </w:t>
      </w:r>
      <w:r w:rsidRPr="00EE2E24">
        <w:rPr>
          <w:lang w:val="en-GB"/>
        </w:rPr>
        <w:t>and</w:t>
      </w:r>
      <w:r w:rsidRPr="00F53BC2">
        <w:rPr>
          <w:lang w:val="en-GB"/>
        </w:rPr>
        <w:t xml:space="preserve"> </w:t>
      </w:r>
      <w:r w:rsidRPr="00EE2E24">
        <w:rPr>
          <w:lang w:val="en-GB"/>
        </w:rPr>
        <w:t>was similar</w:t>
      </w:r>
      <w:r w:rsidRPr="00F53BC2">
        <w:rPr>
          <w:lang w:val="en-GB"/>
        </w:rPr>
        <w:t xml:space="preserve"> </w:t>
      </w:r>
      <w:r w:rsidRPr="00EE2E24">
        <w:rPr>
          <w:lang w:val="en-GB"/>
        </w:rPr>
        <w:t>in</w:t>
      </w:r>
      <w:r w:rsidRPr="00F53BC2">
        <w:rPr>
          <w:lang w:val="en-GB"/>
        </w:rPr>
        <w:t xml:space="preserve"> </w:t>
      </w:r>
      <w:r w:rsidRPr="00EE2E24">
        <w:rPr>
          <w:lang w:val="en-GB"/>
        </w:rPr>
        <w:t>men and women.</w:t>
      </w:r>
    </w:p>
    <w:p w14:paraId="1D6868C5"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Pharmacokinetic analysis was performed to evaluate the effects of demographic</w:t>
      </w:r>
      <w:r w:rsidRPr="00F53BC2">
        <w:rPr>
          <w:lang w:val="en-GB"/>
        </w:rPr>
        <w:t xml:space="preserve"> </w:t>
      </w:r>
      <w:r w:rsidRPr="00EE2E24">
        <w:rPr>
          <w:lang w:val="en-GB"/>
        </w:rPr>
        <w:t>characteristics.</w:t>
      </w:r>
      <w:r w:rsidRPr="00F53BC2">
        <w:rPr>
          <w:lang w:val="en-GB"/>
        </w:rPr>
        <w:t xml:space="preserve"> </w:t>
      </w:r>
      <w:r w:rsidRPr="00EE2E24">
        <w:rPr>
          <w:lang w:val="en-GB"/>
        </w:rPr>
        <w:t>This analysis showed no notable difference in pharmacokinetics with</w:t>
      </w:r>
      <w:r w:rsidRPr="00F53BC2">
        <w:rPr>
          <w:lang w:val="en-GB"/>
        </w:rPr>
        <w:t xml:space="preserve"> </w:t>
      </w:r>
      <w:r w:rsidRPr="00EE2E24">
        <w:rPr>
          <w:lang w:val="en-GB"/>
        </w:rPr>
        <w:t>age (28 to 87 years), race or body weight (36 to 140 kg), or disease state (low bone</w:t>
      </w:r>
      <w:r w:rsidRPr="00F53BC2">
        <w:rPr>
          <w:lang w:val="en-GB"/>
        </w:rPr>
        <w:t xml:space="preserve"> </w:t>
      </w:r>
      <w:r w:rsidRPr="00EE2E24">
        <w:rPr>
          <w:lang w:val="en-GB"/>
        </w:rPr>
        <w:t>mass</w:t>
      </w:r>
      <w:r w:rsidRPr="00F53BC2">
        <w:rPr>
          <w:lang w:val="en-GB"/>
        </w:rPr>
        <w:t xml:space="preserve"> </w:t>
      </w:r>
      <w:r w:rsidRPr="00EE2E24">
        <w:rPr>
          <w:lang w:val="en-GB"/>
        </w:rPr>
        <w:t>or osteoporosis; prostate cancer).</w:t>
      </w:r>
    </w:p>
    <w:p w14:paraId="49880AC8"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u w:val="single"/>
          <w:lang w:val="en-GB"/>
        </w:rPr>
        <w:t>Special</w:t>
      </w:r>
      <w:r w:rsidRPr="00EE2E24">
        <w:rPr>
          <w:spacing w:val="-3"/>
          <w:u w:val="single"/>
          <w:lang w:val="en-GB"/>
        </w:rPr>
        <w:t xml:space="preserve"> </w:t>
      </w:r>
      <w:r w:rsidRPr="00EE2E24">
        <w:rPr>
          <w:u w:val="single"/>
          <w:lang w:val="en-GB"/>
        </w:rPr>
        <w:t>populations</w:t>
      </w:r>
    </w:p>
    <w:p w14:paraId="7859434B" w14:textId="77777777" w:rsidR="006E62CD" w:rsidRPr="00EE2E24" w:rsidRDefault="00CB520A" w:rsidP="00D258EC">
      <w:pPr>
        <w:adjustRightInd w:val="0"/>
        <w:snapToGrid w:val="0"/>
        <w:spacing w:before="60" w:after="60" w:line="360" w:lineRule="auto"/>
        <w:ind w:left="108" w:rightChars="30" w:right="66"/>
        <w:rPr>
          <w:i/>
          <w:lang w:val="en-GB"/>
        </w:rPr>
      </w:pPr>
      <w:r w:rsidRPr="00EE2E24">
        <w:rPr>
          <w:i/>
          <w:lang w:val="en-GB"/>
        </w:rPr>
        <w:t>Elderly</w:t>
      </w:r>
    </w:p>
    <w:p w14:paraId="6D560AB9"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The</w:t>
      </w:r>
      <w:r w:rsidRPr="00F53BC2">
        <w:rPr>
          <w:lang w:val="en-GB"/>
        </w:rPr>
        <w:t xml:space="preserve"> </w:t>
      </w:r>
      <w:r w:rsidRPr="00EE2E24">
        <w:rPr>
          <w:lang w:val="en-GB"/>
        </w:rPr>
        <w:t>pharmacokinetics</w:t>
      </w:r>
      <w:r w:rsidRPr="00F53BC2">
        <w:rPr>
          <w:lang w:val="en-GB"/>
        </w:rPr>
        <w:t xml:space="preserve"> </w:t>
      </w:r>
      <w:r w:rsidRPr="00EE2E24">
        <w:rPr>
          <w:lang w:val="en-GB"/>
        </w:rPr>
        <w:t>of</w:t>
      </w:r>
      <w:r w:rsidRPr="00F53BC2">
        <w:rPr>
          <w:lang w:val="en-GB"/>
        </w:rPr>
        <w:t xml:space="preserve"> </w:t>
      </w:r>
      <w:r w:rsidRPr="00EE2E24">
        <w:rPr>
          <w:lang w:val="en-GB"/>
        </w:rPr>
        <w:t>denosumab</w:t>
      </w:r>
      <w:r w:rsidRPr="00F53BC2">
        <w:rPr>
          <w:lang w:val="en-GB"/>
        </w:rPr>
        <w:t xml:space="preserve"> </w:t>
      </w:r>
      <w:r w:rsidRPr="00EE2E24">
        <w:rPr>
          <w:lang w:val="en-GB"/>
        </w:rPr>
        <w:t>was</w:t>
      </w:r>
      <w:r w:rsidRPr="00F53BC2">
        <w:rPr>
          <w:lang w:val="en-GB"/>
        </w:rPr>
        <w:t xml:space="preserve"> </w:t>
      </w:r>
      <w:r w:rsidRPr="00EE2E24">
        <w:rPr>
          <w:lang w:val="en-GB"/>
        </w:rPr>
        <w:t>not</w:t>
      </w:r>
      <w:r w:rsidRPr="00F53BC2">
        <w:rPr>
          <w:lang w:val="en-GB"/>
        </w:rPr>
        <w:t xml:space="preserve"> </w:t>
      </w:r>
      <w:r w:rsidRPr="00EE2E24">
        <w:rPr>
          <w:lang w:val="en-GB"/>
        </w:rPr>
        <w:t>affected</w:t>
      </w:r>
      <w:r w:rsidRPr="00F53BC2">
        <w:rPr>
          <w:lang w:val="en-GB"/>
        </w:rPr>
        <w:t xml:space="preserve"> </w:t>
      </w:r>
      <w:r w:rsidRPr="00EE2E24">
        <w:rPr>
          <w:lang w:val="en-GB"/>
        </w:rPr>
        <w:t>by</w:t>
      </w:r>
      <w:r w:rsidRPr="00F53BC2">
        <w:rPr>
          <w:lang w:val="en-GB"/>
        </w:rPr>
        <w:t xml:space="preserve"> </w:t>
      </w:r>
      <w:r w:rsidRPr="00EE2E24">
        <w:rPr>
          <w:lang w:val="en-GB"/>
        </w:rPr>
        <w:t>age</w:t>
      </w:r>
      <w:r w:rsidRPr="00F53BC2">
        <w:rPr>
          <w:lang w:val="en-GB"/>
        </w:rPr>
        <w:t xml:space="preserve"> </w:t>
      </w:r>
      <w:r w:rsidRPr="00EE2E24">
        <w:rPr>
          <w:lang w:val="en-GB"/>
        </w:rPr>
        <w:t>(28</w:t>
      </w:r>
      <w:r w:rsidRPr="00F53BC2">
        <w:rPr>
          <w:lang w:val="en-GB"/>
        </w:rPr>
        <w:t xml:space="preserve"> </w:t>
      </w:r>
      <w:r w:rsidRPr="00EE2E24">
        <w:rPr>
          <w:lang w:val="en-GB"/>
        </w:rPr>
        <w:t>to</w:t>
      </w:r>
      <w:r w:rsidRPr="00F53BC2">
        <w:rPr>
          <w:lang w:val="en-GB"/>
        </w:rPr>
        <w:t xml:space="preserve"> </w:t>
      </w:r>
      <w:r w:rsidRPr="00EE2E24">
        <w:rPr>
          <w:lang w:val="en-GB"/>
        </w:rPr>
        <w:t>87</w:t>
      </w:r>
      <w:r w:rsidRPr="00F53BC2">
        <w:rPr>
          <w:lang w:val="en-GB"/>
        </w:rPr>
        <w:t xml:space="preserve"> </w:t>
      </w:r>
      <w:r w:rsidRPr="00EE2E24">
        <w:rPr>
          <w:lang w:val="en-GB"/>
        </w:rPr>
        <w:t>years).</w:t>
      </w:r>
    </w:p>
    <w:p w14:paraId="56EC0CB9" w14:textId="77777777" w:rsidR="006E62CD" w:rsidRPr="00EE2E24" w:rsidRDefault="00CB520A" w:rsidP="00D258EC">
      <w:pPr>
        <w:adjustRightInd w:val="0"/>
        <w:snapToGrid w:val="0"/>
        <w:spacing w:before="60" w:after="60" w:line="360" w:lineRule="auto"/>
        <w:ind w:left="108" w:rightChars="30" w:right="66"/>
        <w:rPr>
          <w:i/>
          <w:lang w:val="en-GB"/>
        </w:rPr>
      </w:pPr>
      <w:r w:rsidRPr="00EE2E24">
        <w:rPr>
          <w:i/>
          <w:lang w:val="en-GB"/>
        </w:rPr>
        <w:t>Paediatric</w:t>
      </w:r>
    </w:p>
    <w:p w14:paraId="77F783B5"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The</w:t>
      </w:r>
      <w:r w:rsidRPr="00F53BC2">
        <w:rPr>
          <w:lang w:val="en-GB"/>
        </w:rPr>
        <w:t xml:space="preserve"> </w:t>
      </w:r>
      <w:r w:rsidRPr="00EE2E24">
        <w:rPr>
          <w:lang w:val="en-GB"/>
        </w:rPr>
        <w:t>pharmacokinetic</w:t>
      </w:r>
      <w:r w:rsidRPr="00F53BC2">
        <w:rPr>
          <w:lang w:val="en-GB"/>
        </w:rPr>
        <w:t xml:space="preserve"> </w:t>
      </w:r>
      <w:r w:rsidRPr="00EE2E24">
        <w:rPr>
          <w:lang w:val="en-GB"/>
        </w:rPr>
        <w:t>profile</w:t>
      </w:r>
      <w:r w:rsidRPr="00F53BC2">
        <w:rPr>
          <w:lang w:val="en-GB"/>
        </w:rPr>
        <w:t xml:space="preserve"> </w:t>
      </w:r>
      <w:r w:rsidRPr="00EE2E24">
        <w:rPr>
          <w:lang w:val="en-GB"/>
        </w:rPr>
        <w:t>has not</w:t>
      </w:r>
      <w:r w:rsidRPr="00F53BC2">
        <w:rPr>
          <w:lang w:val="en-GB"/>
        </w:rPr>
        <w:t xml:space="preserve"> </w:t>
      </w:r>
      <w:r w:rsidRPr="00EE2E24">
        <w:rPr>
          <w:lang w:val="en-GB"/>
        </w:rPr>
        <w:t>been</w:t>
      </w:r>
      <w:r w:rsidRPr="00F53BC2">
        <w:rPr>
          <w:lang w:val="en-GB"/>
        </w:rPr>
        <w:t xml:space="preserve"> </w:t>
      </w:r>
      <w:r w:rsidRPr="00EE2E24">
        <w:rPr>
          <w:lang w:val="en-GB"/>
        </w:rPr>
        <w:t>assessed</w:t>
      </w:r>
      <w:r w:rsidRPr="00F53BC2">
        <w:rPr>
          <w:lang w:val="en-GB"/>
        </w:rPr>
        <w:t xml:space="preserve"> </w:t>
      </w:r>
      <w:r w:rsidRPr="00EE2E24">
        <w:rPr>
          <w:lang w:val="en-GB"/>
        </w:rPr>
        <w:t>in</w:t>
      </w:r>
      <w:r w:rsidRPr="00F53BC2">
        <w:rPr>
          <w:lang w:val="en-GB"/>
        </w:rPr>
        <w:t xml:space="preserve"> </w:t>
      </w:r>
      <w:r w:rsidRPr="00EE2E24">
        <w:rPr>
          <w:lang w:val="en-GB"/>
        </w:rPr>
        <w:t>those</w:t>
      </w:r>
      <w:r w:rsidRPr="00F53BC2">
        <w:rPr>
          <w:lang w:val="en-GB"/>
        </w:rPr>
        <w:t xml:space="preserve"> </w:t>
      </w:r>
      <w:r w:rsidRPr="00EE2E24">
        <w:rPr>
          <w:lang w:val="en-GB"/>
        </w:rPr>
        <w:t>≤</w:t>
      </w:r>
      <w:r w:rsidRPr="00F53BC2">
        <w:rPr>
          <w:lang w:val="en-GB"/>
        </w:rPr>
        <w:t xml:space="preserve"> </w:t>
      </w:r>
      <w:r w:rsidRPr="00EE2E24">
        <w:rPr>
          <w:lang w:val="en-GB"/>
        </w:rPr>
        <w:t>18</w:t>
      </w:r>
      <w:r w:rsidRPr="00F53BC2">
        <w:rPr>
          <w:lang w:val="en-GB"/>
        </w:rPr>
        <w:t xml:space="preserve"> </w:t>
      </w:r>
      <w:r w:rsidRPr="00EE2E24">
        <w:rPr>
          <w:lang w:val="en-GB"/>
        </w:rPr>
        <w:t>years.</w:t>
      </w:r>
    </w:p>
    <w:p w14:paraId="16FB8BB9" w14:textId="77777777" w:rsidR="006E62CD" w:rsidRPr="00EE2E24" w:rsidRDefault="00CB520A" w:rsidP="00D258EC">
      <w:pPr>
        <w:adjustRightInd w:val="0"/>
        <w:snapToGrid w:val="0"/>
        <w:spacing w:before="60" w:after="60" w:line="360" w:lineRule="auto"/>
        <w:ind w:left="108" w:rightChars="30" w:right="66"/>
        <w:rPr>
          <w:i/>
          <w:lang w:val="en-GB"/>
        </w:rPr>
      </w:pPr>
      <w:r w:rsidRPr="00EE2E24">
        <w:rPr>
          <w:i/>
          <w:lang w:val="en-GB"/>
        </w:rPr>
        <w:t>Impaired</w:t>
      </w:r>
      <w:r w:rsidRPr="00EE2E24">
        <w:rPr>
          <w:i/>
          <w:spacing w:val="-2"/>
          <w:lang w:val="en-GB"/>
        </w:rPr>
        <w:t xml:space="preserve"> </w:t>
      </w:r>
      <w:r w:rsidRPr="00EE2E24">
        <w:rPr>
          <w:i/>
          <w:lang w:val="en-GB"/>
        </w:rPr>
        <w:t>hepatic</w:t>
      </w:r>
      <w:r w:rsidRPr="00EE2E24">
        <w:rPr>
          <w:i/>
          <w:spacing w:val="-2"/>
          <w:lang w:val="en-GB"/>
        </w:rPr>
        <w:t xml:space="preserve"> </w:t>
      </w:r>
      <w:r w:rsidRPr="00EE2E24">
        <w:rPr>
          <w:i/>
          <w:lang w:val="en-GB"/>
        </w:rPr>
        <w:t>function</w:t>
      </w:r>
    </w:p>
    <w:p w14:paraId="7005DE58"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The pharmacokinetic profile has not been assessed in patients with impaired hepatic</w:t>
      </w:r>
      <w:r w:rsidRPr="00F53BC2">
        <w:rPr>
          <w:lang w:val="en-GB"/>
        </w:rPr>
        <w:t xml:space="preserve"> </w:t>
      </w:r>
      <w:r w:rsidRPr="00EE2E24">
        <w:rPr>
          <w:lang w:val="en-GB"/>
        </w:rPr>
        <w:t>function.</w:t>
      </w:r>
    </w:p>
    <w:p w14:paraId="2C2FDA38" w14:textId="77777777" w:rsidR="006E62CD" w:rsidRPr="00EE2E24" w:rsidRDefault="00CB520A" w:rsidP="00D258EC">
      <w:pPr>
        <w:adjustRightInd w:val="0"/>
        <w:snapToGrid w:val="0"/>
        <w:spacing w:before="60" w:after="60" w:line="360" w:lineRule="auto"/>
        <w:ind w:left="108" w:rightChars="30" w:right="66"/>
        <w:rPr>
          <w:i/>
          <w:lang w:val="en-GB"/>
        </w:rPr>
      </w:pPr>
      <w:r w:rsidRPr="00EE2E24">
        <w:rPr>
          <w:i/>
          <w:lang w:val="en-GB"/>
        </w:rPr>
        <w:t>Impaired</w:t>
      </w:r>
      <w:r w:rsidRPr="00EE2E24">
        <w:rPr>
          <w:i/>
          <w:spacing w:val="-2"/>
          <w:lang w:val="en-GB"/>
        </w:rPr>
        <w:t xml:space="preserve"> </w:t>
      </w:r>
      <w:r w:rsidRPr="00EE2E24">
        <w:rPr>
          <w:i/>
          <w:lang w:val="en-GB"/>
        </w:rPr>
        <w:t>renal</w:t>
      </w:r>
      <w:r w:rsidRPr="00EE2E24">
        <w:rPr>
          <w:i/>
          <w:spacing w:val="-1"/>
          <w:lang w:val="en-GB"/>
        </w:rPr>
        <w:t xml:space="preserve"> </w:t>
      </w:r>
      <w:r w:rsidRPr="00EE2E24">
        <w:rPr>
          <w:i/>
          <w:lang w:val="en-GB"/>
        </w:rPr>
        <w:t>function</w:t>
      </w:r>
    </w:p>
    <w:p w14:paraId="42336763"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In a study of 55 patients with varying degrees of renal function, including patients on</w:t>
      </w:r>
      <w:r w:rsidRPr="00F53BC2">
        <w:rPr>
          <w:lang w:val="en-GB"/>
        </w:rPr>
        <w:t xml:space="preserve"> </w:t>
      </w:r>
      <w:r w:rsidRPr="00EE2E24">
        <w:rPr>
          <w:lang w:val="en-GB"/>
        </w:rPr>
        <w:t>dialysis, the degree of renal impairment had no effect on the pharmacokinetics of</w:t>
      </w:r>
      <w:r w:rsidRPr="00F53BC2">
        <w:rPr>
          <w:lang w:val="en-GB"/>
        </w:rPr>
        <w:t xml:space="preserve"> </w:t>
      </w:r>
      <w:r w:rsidRPr="00EE2E24">
        <w:rPr>
          <w:lang w:val="en-GB"/>
        </w:rPr>
        <w:t>denosumab (see section 4.4 Special warnings and precautions for use, Hypocalcaemia</w:t>
      </w:r>
      <w:r w:rsidRPr="00F53BC2">
        <w:rPr>
          <w:lang w:val="en-GB"/>
        </w:rPr>
        <w:t xml:space="preserve"> </w:t>
      </w:r>
      <w:r w:rsidRPr="00EE2E24">
        <w:rPr>
          <w:lang w:val="en-GB"/>
        </w:rPr>
        <w:t>and</w:t>
      </w:r>
      <w:r w:rsidRPr="00F53BC2">
        <w:rPr>
          <w:lang w:val="en-GB"/>
        </w:rPr>
        <w:t xml:space="preserve"> </w:t>
      </w:r>
      <w:r w:rsidRPr="00EE2E24">
        <w:rPr>
          <w:lang w:val="en-GB"/>
        </w:rPr>
        <w:t>Use in</w:t>
      </w:r>
      <w:r w:rsidRPr="00F53BC2">
        <w:rPr>
          <w:lang w:val="en-GB"/>
        </w:rPr>
        <w:t xml:space="preserve"> </w:t>
      </w:r>
      <w:r w:rsidRPr="00EE2E24">
        <w:rPr>
          <w:lang w:val="en-GB"/>
        </w:rPr>
        <w:t>renal impairment).</w:t>
      </w:r>
    </w:p>
    <w:p w14:paraId="49121F4D"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u w:val="single"/>
          <w:lang w:val="en-GB"/>
        </w:rPr>
        <w:t>Immunogenicity</w:t>
      </w:r>
    </w:p>
    <w:p w14:paraId="22AB39A1" w14:textId="77777777" w:rsidR="001328D6" w:rsidRDefault="00CB520A" w:rsidP="0081082F">
      <w:pPr>
        <w:pStyle w:val="BodyText"/>
        <w:adjustRightInd w:val="0"/>
        <w:snapToGrid w:val="0"/>
        <w:spacing w:before="60" w:after="60" w:line="360" w:lineRule="auto"/>
        <w:ind w:left="108" w:rightChars="30" w:right="66"/>
        <w:rPr>
          <w:lang w:val="en-GB"/>
        </w:rPr>
      </w:pPr>
      <w:r w:rsidRPr="00EE2E24">
        <w:rPr>
          <w:lang w:val="en-GB"/>
        </w:rPr>
        <w:t>In clinical studies, no neutralising antibodies for denosumab have been observed.</w:t>
      </w:r>
      <w:r w:rsidRPr="00F53BC2">
        <w:rPr>
          <w:lang w:val="en-GB"/>
        </w:rPr>
        <w:t xml:space="preserve"> </w:t>
      </w:r>
      <w:r w:rsidRPr="00EE2E24">
        <w:rPr>
          <w:lang w:val="en-GB"/>
        </w:rPr>
        <w:lastRenderedPageBreak/>
        <w:t>Using</w:t>
      </w:r>
      <w:r w:rsidRPr="00F53BC2">
        <w:rPr>
          <w:lang w:val="en-GB"/>
        </w:rPr>
        <w:t xml:space="preserve"> </w:t>
      </w:r>
      <w:r w:rsidRPr="00EE2E24">
        <w:rPr>
          <w:lang w:val="en-GB"/>
        </w:rPr>
        <w:t>a</w:t>
      </w:r>
      <w:r w:rsidRPr="00F53BC2">
        <w:rPr>
          <w:lang w:val="en-GB"/>
        </w:rPr>
        <w:t xml:space="preserve"> </w:t>
      </w:r>
      <w:r w:rsidRPr="00EE2E24">
        <w:rPr>
          <w:lang w:val="en-GB"/>
        </w:rPr>
        <w:t>sensitive</w:t>
      </w:r>
      <w:r w:rsidRPr="00F53BC2">
        <w:rPr>
          <w:lang w:val="en-GB"/>
        </w:rPr>
        <w:t xml:space="preserve"> </w:t>
      </w:r>
      <w:r w:rsidRPr="00EE2E24">
        <w:rPr>
          <w:lang w:val="en-GB"/>
        </w:rPr>
        <w:t>immunoassay</w:t>
      </w:r>
      <w:r w:rsidRPr="00F53BC2">
        <w:rPr>
          <w:lang w:val="en-GB"/>
        </w:rPr>
        <w:t xml:space="preserve"> </w:t>
      </w:r>
      <w:r w:rsidRPr="00EE2E24">
        <w:rPr>
          <w:lang w:val="en-GB"/>
        </w:rPr>
        <w:t>&lt;</w:t>
      </w:r>
      <w:r w:rsidRPr="00F53BC2">
        <w:rPr>
          <w:lang w:val="en-GB"/>
        </w:rPr>
        <w:t xml:space="preserve"> </w:t>
      </w:r>
      <w:r w:rsidRPr="00EE2E24">
        <w:rPr>
          <w:lang w:val="en-GB"/>
        </w:rPr>
        <w:t>1%</w:t>
      </w:r>
      <w:r w:rsidRPr="00F53BC2">
        <w:rPr>
          <w:lang w:val="en-GB"/>
        </w:rPr>
        <w:t xml:space="preserve"> </w:t>
      </w:r>
      <w:r w:rsidRPr="00EE2E24">
        <w:rPr>
          <w:lang w:val="en-GB"/>
        </w:rPr>
        <w:t>of</w:t>
      </w:r>
      <w:r w:rsidRPr="00F53BC2">
        <w:rPr>
          <w:lang w:val="en-GB"/>
        </w:rPr>
        <w:t xml:space="preserve"> </w:t>
      </w:r>
      <w:r w:rsidRPr="00EE2E24">
        <w:rPr>
          <w:lang w:val="en-GB"/>
        </w:rPr>
        <w:t>patients treated</w:t>
      </w:r>
      <w:r w:rsidRPr="00F53BC2">
        <w:rPr>
          <w:lang w:val="en-GB"/>
        </w:rPr>
        <w:t xml:space="preserve"> </w:t>
      </w:r>
      <w:r w:rsidRPr="00EE2E24">
        <w:rPr>
          <w:lang w:val="en-GB"/>
        </w:rPr>
        <w:t>with</w:t>
      </w:r>
      <w:r w:rsidRPr="00F53BC2">
        <w:rPr>
          <w:lang w:val="en-GB"/>
        </w:rPr>
        <w:t xml:space="preserve"> </w:t>
      </w:r>
      <w:r w:rsidRPr="00EE2E24">
        <w:rPr>
          <w:lang w:val="en-GB"/>
        </w:rPr>
        <w:t>denosumab</w:t>
      </w:r>
      <w:r w:rsidRPr="00F53BC2">
        <w:rPr>
          <w:lang w:val="en-GB"/>
        </w:rPr>
        <w:t xml:space="preserve"> </w:t>
      </w:r>
      <w:r w:rsidRPr="00EE2E24">
        <w:rPr>
          <w:lang w:val="en-GB"/>
        </w:rPr>
        <w:t>for</w:t>
      </w:r>
      <w:r w:rsidRPr="00F53BC2">
        <w:rPr>
          <w:lang w:val="en-GB"/>
        </w:rPr>
        <w:t xml:space="preserve"> </w:t>
      </w:r>
      <w:r w:rsidRPr="00EE2E24">
        <w:rPr>
          <w:lang w:val="en-GB"/>
        </w:rPr>
        <w:t>up</w:t>
      </w:r>
      <w:r w:rsidRPr="00F53BC2">
        <w:rPr>
          <w:lang w:val="en-GB"/>
        </w:rPr>
        <w:t xml:space="preserve"> </w:t>
      </w:r>
      <w:r w:rsidRPr="00EE2E24">
        <w:rPr>
          <w:lang w:val="en-GB"/>
        </w:rPr>
        <w:t>to 5</w:t>
      </w:r>
      <w:r w:rsidRPr="00F53BC2">
        <w:rPr>
          <w:lang w:val="en-GB"/>
        </w:rPr>
        <w:t xml:space="preserve"> </w:t>
      </w:r>
      <w:r w:rsidRPr="00EE2E24">
        <w:rPr>
          <w:lang w:val="en-GB"/>
        </w:rPr>
        <w:t>years</w:t>
      </w:r>
      <w:r w:rsidR="00375885">
        <w:rPr>
          <w:lang w:val="en-GB"/>
        </w:rPr>
        <w:t xml:space="preserve"> </w:t>
      </w:r>
      <w:r w:rsidRPr="00EE2E24">
        <w:rPr>
          <w:lang w:val="en-GB"/>
        </w:rPr>
        <w:t>tested positive for non neutralising binding antibodies with no evidence of altered</w:t>
      </w:r>
      <w:r w:rsidRPr="00F53BC2">
        <w:rPr>
          <w:lang w:val="en-GB"/>
        </w:rPr>
        <w:t xml:space="preserve"> </w:t>
      </w:r>
      <w:r w:rsidRPr="00EE2E24">
        <w:rPr>
          <w:lang w:val="en-GB"/>
        </w:rPr>
        <w:t>pharmacokinetics,</w:t>
      </w:r>
      <w:r w:rsidRPr="00F53BC2">
        <w:rPr>
          <w:lang w:val="en-GB"/>
        </w:rPr>
        <w:t xml:space="preserve"> </w:t>
      </w:r>
      <w:r w:rsidRPr="00EE2E24">
        <w:rPr>
          <w:lang w:val="en-GB"/>
        </w:rPr>
        <w:t>toxicity,</w:t>
      </w:r>
      <w:r w:rsidRPr="00F53BC2">
        <w:rPr>
          <w:lang w:val="en-GB"/>
        </w:rPr>
        <w:t xml:space="preserve"> </w:t>
      </w:r>
      <w:r w:rsidRPr="00EE2E24">
        <w:rPr>
          <w:lang w:val="en-GB"/>
        </w:rPr>
        <w:t>or clinical</w:t>
      </w:r>
      <w:r w:rsidRPr="00F53BC2">
        <w:rPr>
          <w:lang w:val="en-GB"/>
        </w:rPr>
        <w:t xml:space="preserve"> </w:t>
      </w:r>
      <w:r w:rsidRPr="00EE2E24">
        <w:rPr>
          <w:lang w:val="en-GB"/>
        </w:rPr>
        <w:t>response.</w:t>
      </w:r>
    </w:p>
    <w:p w14:paraId="34038E0A" w14:textId="2DA4B472" w:rsidR="001328D6" w:rsidRPr="005B583D" w:rsidRDefault="001328D6" w:rsidP="005B583D">
      <w:pPr>
        <w:adjustRightInd w:val="0"/>
        <w:snapToGrid w:val="0"/>
        <w:spacing w:before="60" w:after="60" w:line="360" w:lineRule="auto"/>
        <w:ind w:left="108" w:rightChars="30" w:right="66"/>
        <w:rPr>
          <w:i/>
          <w:lang w:val="en-GB"/>
        </w:rPr>
      </w:pPr>
      <w:r w:rsidRPr="005B583D">
        <w:rPr>
          <w:i/>
          <w:lang w:val="en-GB"/>
        </w:rPr>
        <w:t>Comparability of Ospomyv with Prolia</w:t>
      </w:r>
    </w:p>
    <w:p w14:paraId="6D74C702" w14:textId="4D8F8593" w:rsidR="001328D6" w:rsidRPr="0081082F" w:rsidRDefault="001328D6" w:rsidP="0081082F">
      <w:pPr>
        <w:pStyle w:val="BodyText"/>
        <w:adjustRightInd w:val="0"/>
        <w:snapToGrid w:val="0"/>
        <w:spacing w:before="60" w:after="60" w:line="360" w:lineRule="auto"/>
        <w:ind w:left="108" w:rightChars="30" w:right="66"/>
        <w:rPr>
          <w:lang w:val="en-GB"/>
        </w:rPr>
      </w:pPr>
      <w:r w:rsidRPr="005B583D">
        <w:rPr>
          <w:lang w:val="en-GB"/>
        </w:rPr>
        <w:t>A clinical Phase I study (SB16-1001) was conducted to demonstrate the pharmacokinetic (PK) comparability between Ospomyv and Prolia in healthy male subjects. The 90% CIs of the geometric least squares means (LSMeans) ratios for the comparison between Ospomyv and EU Prolia, between Ospomyv and US Prolia, and between EU Prolia and US Prolia for primary PK parameters (AUC</w:t>
      </w:r>
      <w:r w:rsidRPr="005B583D">
        <w:rPr>
          <w:vertAlign w:val="subscript"/>
          <w:lang w:val="en-GB"/>
        </w:rPr>
        <w:t>inf</w:t>
      </w:r>
      <w:r w:rsidRPr="005B583D">
        <w:rPr>
          <w:lang w:val="en-GB"/>
        </w:rPr>
        <w:t>, and C</w:t>
      </w:r>
      <w:r w:rsidRPr="005B583D">
        <w:rPr>
          <w:vertAlign w:val="subscript"/>
          <w:lang w:val="en-GB"/>
        </w:rPr>
        <w:t>max</w:t>
      </w:r>
      <w:r w:rsidRPr="005B583D">
        <w:rPr>
          <w:lang w:val="en-GB"/>
        </w:rPr>
        <w:t>) were within the pre-defined equivalence margin of 0.80 to 1.25. The mean serum concentration-time profiles were comparable between Ospomyv and EU Prolia, between Ospomyv and US Prolia, and between EU Prolia and US Prolia.</w:t>
      </w:r>
    </w:p>
    <w:p w14:paraId="7244EF80" w14:textId="77777777" w:rsidR="006E62CD" w:rsidRPr="00EE2E24" w:rsidRDefault="00CB520A" w:rsidP="00D258EC">
      <w:pPr>
        <w:pStyle w:val="Heading2"/>
        <w:numPr>
          <w:ilvl w:val="1"/>
          <w:numId w:val="3"/>
        </w:numPr>
        <w:tabs>
          <w:tab w:val="left" w:pos="1577"/>
          <w:tab w:val="left" w:pos="1578"/>
        </w:tabs>
        <w:adjustRightInd w:val="0"/>
        <w:snapToGrid w:val="0"/>
        <w:spacing w:before="60" w:after="60" w:line="360" w:lineRule="auto"/>
        <w:ind w:left="108" w:rightChars="30" w:right="66" w:firstLine="0"/>
        <w:rPr>
          <w:lang w:val="en-GB"/>
        </w:rPr>
      </w:pPr>
      <w:bookmarkStart w:id="17" w:name="5.3_Preclinical_safety_data"/>
      <w:bookmarkEnd w:id="17"/>
      <w:r w:rsidRPr="00EE2E24">
        <w:rPr>
          <w:lang w:val="en-GB"/>
        </w:rPr>
        <w:t>Preclinical</w:t>
      </w:r>
      <w:r w:rsidRPr="00562449">
        <w:rPr>
          <w:lang w:val="en-GB"/>
        </w:rPr>
        <w:t xml:space="preserve"> </w:t>
      </w:r>
      <w:r w:rsidRPr="00EE2E24">
        <w:rPr>
          <w:lang w:val="en-GB"/>
        </w:rPr>
        <w:t>safety</w:t>
      </w:r>
      <w:r w:rsidRPr="00562449">
        <w:rPr>
          <w:lang w:val="en-GB"/>
        </w:rPr>
        <w:t xml:space="preserve"> </w:t>
      </w:r>
      <w:r w:rsidRPr="00EE2E24">
        <w:rPr>
          <w:lang w:val="en-GB"/>
        </w:rPr>
        <w:t>data</w:t>
      </w:r>
    </w:p>
    <w:p w14:paraId="25BB9C21"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u w:val="single"/>
          <w:lang w:val="en-GB"/>
        </w:rPr>
        <w:t>Genotoxicity</w:t>
      </w:r>
    </w:p>
    <w:p w14:paraId="17875C7F"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The genotoxic potential of denosumab has not been evaluated.</w:t>
      </w:r>
      <w:r w:rsidRPr="00F53BC2">
        <w:rPr>
          <w:lang w:val="en-GB"/>
        </w:rPr>
        <w:t xml:space="preserve"> </w:t>
      </w:r>
      <w:r w:rsidRPr="00EE2E24">
        <w:rPr>
          <w:lang w:val="en-GB"/>
        </w:rPr>
        <w:t>Denosumab is a</w:t>
      </w:r>
      <w:r w:rsidRPr="00F53BC2">
        <w:rPr>
          <w:lang w:val="en-GB"/>
        </w:rPr>
        <w:t xml:space="preserve"> </w:t>
      </w:r>
      <w:r w:rsidRPr="00EE2E24">
        <w:rPr>
          <w:lang w:val="en-GB"/>
        </w:rPr>
        <w:t>recombinant protein comprised entirely of naturally occurring amino acids and contains</w:t>
      </w:r>
      <w:r w:rsidRPr="00F53BC2">
        <w:rPr>
          <w:lang w:val="en-GB"/>
        </w:rPr>
        <w:t xml:space="preserve"> </w:t>
      </w:r>
      <w:r w:rsidRPr="00EE2E24">
        <w:rPr>
          <w:lang w:val="en-GB"/>
        </w:rPr>
        <w:t>no inorganic or synthetic organic linkers or other non-protein portions.</w:t>
      </w:r>
      <w:r w:rsidRPr="00F53BC2">
        <w:rPr>
          <w:lang w:val="en-GB"/>
        </w:rPr>
        <w:t xml:space="preserve"> </w:t>
      </w:r>
      <w:r w:rsidRPr="00EE2E24">
        <w:rPr>
          <w:lang w:val="en-GB"/>
        </w:rPr>
        <w:t>Therefore, it is</w:t>
      </w:r>
      <w:r w:rsidRPr="00F53BC2">
        <w:rPr>
          <w:lang w:val="en-GB"/>
        </w:rPr>
        <w:t xml:space="preserve"> </w:t>
      </w:r>
      <w:r w:rsidRPr="00EE2E24">
        <w:rPr>
          <w:lang w:val="en-GB"/>
        </w:rPr>
        <w:t>unlikely that denosumab or any of its derived fragments would react with DNA or other</w:t>
      </w:r>
      <w:r w:rsidRPr="00F53BC2">
        <w:rPr>
          <w:lang w:val="en-GB"/>
        </w:rPr>
        <w:t xml:space="preserve"> </w:t>
      </w:r>
      <w:r w:rsidRPr="00EE2E24">
        <w:rPr>
          <w:lang w:val="en-GB"/>
        </w:rPr>
        <w:t>chromosomal</w:t>
      </w:r>
      <w:r w:rsidRPr="00F53BC2">
        <w:rPr>
          <w:lang w:val="en-GB"/>
        </w:rPr>
        <w:t xml:space="preserve"> </w:t>
      </w:r>
      <w:r w:rsidRPr="00EE2E24">
        <w:rPr>
          <w:lang w:val="en-GB"/>
        </w:rPr>
        <w:t>material.</w:t>
      </w:r>
    </w:p>
    <w:p w14:paraId="3EF43C85"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u w:val="single"/>
          <w:lang w:val="en-GB"/>
        </w:rPr>
        <w:t>Carcinogenicity</w:t>
      </w:r>
    </w:p>
    <w:p w14:paraId="52A6F7A3"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The carcinogenic potential of denosumab has not been evaluated in long-term animal</w:t>
      </w:r>
      <w:r w:rsidRPr="00F53BC2">
        <w:rPr>
          <w:lang w:val="en-GB"/>
        </w:rPr>
        <w:t xml:space="preserve"> </w:t>
      </w:r>
      <w:r w:rsidRPr="00EE2E24">
        <w:rPr>
          <w:lang w:val="en-GB"/>
        </w:rPr>
        <w:t>studies.</w:t>
      </w:r>
      <w:r w:rsidRPr="00F53BC2">
        <w:rPr>
          <w:lang w:val="en-GB"/>
        </w:rPr>
        <w:t xml:space="preserve"> </w:t>
      </w:r>
      <w:r w:rsidRPr="00EE2E24">
        <w:rPr>
          <w:lang w:val="en-GB"/>
        </w:rPr>
        <w:t>In view of the mechanism of action of denosumab, it is unlikely that the</w:t>
      </w:r>
      <w:r w:rsidRPr="00F53BC2">
        <w:rPr>
          <w:lang w:val="en-GB"/>
        </w:rPr>
        <w:t xml:space="preserve"> </w:t>
      </w:r>
      <w:r w:rsidRPr="00EE2E24">
        <w:rPr>
          <w:lang w:val="en-GB"/>
        </w:rPr>
        <w:t>molecule</w:t>
      </w:r>
      <w:r w:rsidRPr="00F53BC2">
        <w:rPr>
          <w:lang w:val="en-GB"/>
        </w:rPr>
        <w:t xml:space="preserve"> </w:t>
      </w:r>
      <w:r w:rsidRPr="00EE2E24">
        <w:rPr>
          <w:lang w:val="en-GB"/>
        </w:rPr>
        <w:t>would be</w:t>
      </w:r>
      <w:r w:rsidRPr="00F53BC2">
        <w:rPr>
          <w:lang w:val="en-GB"/>
        </w:rPr>
        <w:t xml:space="preserve"> </w:t>
      </w:r>
      <w:r w:rsidRPr="00EE2E24">
        <w:rPr>
          <w:lang w:val="en-GB"/>
        </w:rPr>
        <w:t>capable of</w:t>
      </w:r>
      <w:r w:rsidRPr="00F53BC2">
        <w:rPr>
          <w:lang w:val="en-GB"/>
        </w:rPr>
        <w:t xml:space="preserve"> </w:t>
      </w:r>
      <w:r w:rsidRPr="00EE2E24">
        <w:rPr>
          <w:lang w:val="en-GB"/>
        </w:rPr>
        <w:t>inducing tumour</w:t>
      </w:r>
      <w:r w:rsidRPr="00F53BC2">
        <w:rPr>
          <w:lang w:val="en-GB"/>
        </w:rPr>
        <w:t xml:space="preserve"> </w:t>
      </w:r>
      <w:r w:rsidRPr="00EE2E24">
        <w:rPr>
          <w:lang w:val="en-GB"/>
        </w:rPr>
        <w:t>development or</w:t>
      </w:r>
      <w:r w:rsidRPr="00F53BC2">
        <w:rPr>
          <w:lang w:val="en-GB"/>
        </w:rPr>
        <w:t xml:space="preserve"> </w:t>
      </w:r>
      <w:r w:rsidRPr="00EE2E24">
        <w:rPr>
          <w:lang w:val="en-GB"/>
        </w:rPr>
        <w:t>proliferation.</w:t>
      </w:r>
    </w:p>
    <w:p w14:paraId="6A77123C"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u w:val="single"/>
          <w:lang w:val="en-GB"/>
        </w:rPr>
        <w:t>Reproductive</w:t>
      </w:r>
      <w:r w:rsidRPr="00EE2E24">
        <w:rPr>
          <w:spacing w:val="-4"/>
          <w:u w:val="single"/>
          <w:lang w:val="en-GB"/>
        </w:rPr>
        <w:t xml:space="preserve"> </w:t>
      </w:r>
      <w:r w:rsidRPr="00EE2E24">
        <w:rPr>
          <w:u w:val="single"/>
          <w:lang w:val="en-GB"/>
        </w:rPr>
        <w:t>toxicity</w:t>
      </w:r>
    </w:p>
    <w:p w14:paraId="0608E1C0" w14:textId="4453A0F1"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In</w:t>
      </w:r>
      <w:r w:rsidRPr="00F53BC2">
        <w:rPr>
          <w:lang w:val="en-GB"/>
        </w:rPr>
        <w:t xml:space="preserve"> </w:t>
      </w:r>
      <w:r w:rsidRPr="00EE2E24">
        <w:rPr>
          <w:lang w:val="en-GB"/>
        </w:rPr>
        <w:t>a</w:t>
      </w:r>
      <w:r w:rsidRPr="00F53BC2">
        <w:rPr>
          <w:lang w:val="en-GB"/>
        </w:rPr>
        <w:t xml:space="preserve"> </w:t>
      </w:r>
      <w:r w:rsidRPr="00EE2E24">
        <w:rPr>
          <w:lang w:val="en-GB"/>
        </w:rPr>
        <w:t>study</w:t>
      </w:r>
      <w:r w:rsidRPr="00F53BC2">
        <w:rPr>
          <w:lang w:val="en-GB"/>
        </w:rPr>
        <w:t xml:space="preserve"> </w:t>
      </w:r>
      <w:r w:rsidRPr="00EE2E24">
        <w:rPr>
          <w:lang w:val="en-GB"/>
        </w:rPr>
        <w:t>of</w:t>
      </w:r>
      <w:r w:rsidRPr="00F53BC2">
        <w:rPr>
          <w:lang w:val="en-GB"/>
        </w:rPr>
        <w:t xml:space="preserve"> </w:t>
      </w:r>
      <w:r w:rsidRPr="00EE2E24">
        <w:rPr>
          <w:lang w:val="en-GB"/>
        </w:rPr>
        <w:t>cynomolgus</w:t>
      </w:r>
      <w:r w:rsidRPr="00F53BC2">
        <w:rPr>
          <w:lang w:val="en-GB"/>
        </w:rPr>
        <w:t xml:space="preserve"> </w:t>
      </w:r>
      <w:r w:rsidRPr="00EE2E24">
        <w:rPr>
          <w:lang w:val="en-GB"/>
        </w:rPr>
        <w:t>monkeys</w:t>
      </w:r>
      <w:r w:rsidRPr="00F53BC2">
        <w:rPr>
          <w:lang w:val="en-GB"/>
        </w:rPr>
        <w:t xml:space="preserve"> </w:t>
      </w:r>
      <w:r w:rsidRPr="00EE2E24">
        <w:rPr>
          <w:lang w:val="en-GB"/>
        </w:rPr>
        <w:t>with</w:t>
      </w:r>
      <w:r w:rsidRPr="00F53BC2">
        <w:rPr>
          <w:lang w:val="en-GB"/>
        </w:rPr>
        <w:t xml:space="preserve"> </w:t>
      </w:r>
      <w:r w:rsidRPr="00EE2E24">
        <w:rPr>
          <w:lang w:val="en-GB"/>
        </w:rPr>
        <w:t>denosumab</w:t>
      </w:r>
      <w:r w:rsidRPr="00F53BC2">
        <w:rPr>
          <w:lang w:val="en-GB"/>
        </w:rPr>
        <w:t xml:space="preserve"> </w:t>
      </w:r>
      <w:r w:rsidRPr="00EE2E24">
        <w:rPr>
          <w:lang w:val="en-GB"/>
        </w:rPr>
        <w:t>at</w:t>
      </w:r>
      <w:r w:rsidRPr="00F53BC2">
        <w:rPr>
          <w:lang w:val="en-GB"/>
        </w:rPr>
        <w:t xml:space="preserve"> </w:t>
      </w:r>
      <w:r w:rsidRPr="00EE2E24">
        <w:rPr>
          <w:lang w:val="en-GB"/>
        </w:rPr>
        <w:t>subcutaneous</w:t>
      </w:r>
      <w:r w:rsidRPr="00F53BC2">
        <w:rPr>
          <w:lang w:val="en-GB"/>
        </w:rPr>
        <w:t xml:space="preserve"> </w:t>
      </w:r>
      <w:r w:rsidRPr="00EE2E24">
        <w:rPr>
          <w:lang w:val="en-GB"/>
        </w:rPr>
        <w:t>doses</w:t>
      </w:r>
      <w:r w:rsidRPr="00F53BC2">
        <w:rPr>
          <w:lang w:val="en-GB"/>
        </w:rPr>
        <w:t xml:space="preserve"> </w:t>
      </w:r>
      <w:r w:rsidRPr="00EE2E24">
        <w:rPr>
          <w:lang w:val="en-GB"/>
        </w:rPr>
        <w:t>up</w:t>
      </w:r>
      <w:r w:rsidRPr="00F53BC2">
        <w:rPr>
          <w:lang w:val="en-GB"/>
        </w:rPr>
        <w:t xml:space="preserve"> </w:t>
      </w:r>
      <w:r w:rsidRPr="00EE2E24">
        <w:rPr>
          <w:lang w:val="en-GB"/>
        </w:rPr>
        <w:t>to</w:t>
      </w:r>
      <w:r w:rsidR="00375885">
        <w:rPr>
          <w:lang w:val="en-GB"/>
        </w:rPr>
        <w:t xml:space="preserve"> </w:t>
      </w:r>
      <w:r w:rsidRPr="00EE2E24">
        <w:rPr>
          <w:lang w:val="en-GB"/>
        </w:rPr>
        <w:t>12.5 mg/kg/week given during the period equivalent to the first trimester, and yielding</w:t>
      </w:r>
      <w:r w:rsidRPr="00F53BC2">
        <w:rPr>
          <w:lang w:val="en-GB"/>
        </w:rPr>
        <w:t xml:space="preserve"> </w:t>
      </w:r>
      <w:r w:rsidRPr="00EE2E24">
        <w:rPr>
          <w:lang w:val="en-GB"/>
        </w:rPr>
        <w:t>AUC exposures up to 99-fold higher than the human dose (60 mg every 6 months), there</w:t>
      </w:r>
      <w:r w:rsidRPr="00F53BC2">
        <w:rPr>
          <w:lang w:val="en-GB"/>
        </w:rPr>
        <w:t xml:space="preserve"> </w:t>
      </w:r>
      <w:r w:rsidRPr="00EE2E24">
        <w:rPr>
          <w:lang w:val="en-GB"/>
        </w:rPr>
        <w:t>was no evidence of maternal or foetal harm.</w:t>
      </w:r>
      <w:r w:rsidRPr="00F53BC2">
        <w:rPr>
          <w:lang w:val="en-GB"/>
        </w:rPr>
        <w:t xml:space="preserve"> </w:t>
      </w:r>
      <w:r w:rsidRPr="00EE2E24">
        <w:rPr>
          <w:lang w:val="en-GB"/>
        </w:rPr>
        <w:t>In this study, foetal lymph nodes were not</w:t>
      </w:r>
      <w:r w:rsidRPr="00F53BC2">
        <w:rPr>
          <w:lang w:val="en-GB"/>
        </w:rPr>
        <w:t xml:space="preserve"> </w:t>
      </w:r>
      <w:r w:rsidRPr="00EE2E24">
        <w:rPr>
          <w:lang w:val="en-GB"/>
        </w:rPr>
        <w:t>examined.</w:t>
      </w:r>
    </w:p>
    <w:p w14:paraId="70306950" w14:textId="17E11F5C"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In another study of cynomolgus monkeys dosed with denosumab throughout pregnancy</w:t>
      </w:r>
      <w:r w:rsidRPr="00F53BC2">
        <w:rPr>
          <w:lang w:val="en-GB"/>
        </w:rPr>
        <w:t xml:space="preserve"> </w:t>
      </w:r>
      <w:r w:rsidRPr="00EE2E24">
        <w:rPr>
          <w:lang w:val="en-GB"/>
        </w:rPr>
        <w:t>at 50 mg/kg/month, yielding AUC exposures 119-fold higher than the human exposure,</w:t>
      </w:r>
      <w:r w:rsidRPr="00F53BC2">
        <w:rPr>
          <w:lang w:val="en-GB"/>
        </w:rPr>
        <w:t xml:space="preserve"> </w:t>
      </w:r>
      <w:r w:rsidRPr="00EE2E24">
        <w:rPr>
          <w:lang w:val="en-GB"/>
        </w:rPr>
        <w:t>there</w:t>
      </w:r>
      <w:r w:rsidRPr="00F53BC2">
        <w:rPr>
          <w:lang w:val="en-GB"/>
        </w:rPr>
        <w:t xml:space="preserve"> </w:t>
      </w:r>
      <w:r w:rsidRPr="00EE2E24">
        <w:rPr>
          <w:lang w:val="en-GB"/>
        </w:rPr>
        <w:t>were</w:t>
      </w:r>
      <w:r w:rsidRPr="00F53BC2">
        <w:rPr>
          <w:lang w:val="en-GB"/>
        </w:rPr>
        <w:t xml:space="preserve"> </w:t>
      </w:r>
      <w:r w:rsidRPr="00EE2E24">
        <w:rPr>
          <w:lang w:val="en-GB"/>
        </w:rPr>
        <w:t>increased</w:t>
      </w:r>
      <w:r w:rsidRPr="00F53BC2">
        <w:rPr>
          <w:lang w:val="en-GB"/>
        </w:rPr>
        <w:t xml:space="preserve"> </w:t>
      </w:r>
      <w:r w:rsidRPr="00EE2E24">
        <w:rPr>
          <w:lang w:val="en-GB"/>
        </w:rPr>
        <w:t>stillbirths</w:t>
      </w:r>
      <w:r w:rsidRPr="00F53BC2">
        <w:rPr>
          <w:lang w:val="en-GB"/>
        </w:rPr>
        <w:t xml:space="preserve"> </w:t>
      </w:r>
      <w:r w:rsidRPr="00EE2E24">
        <w:rPr>
          <w:lang w:val="en-GB"/>
        </w:rPr>
        <w:t>and</w:t>
      </w:r>
      <w:r w:rsidRPr="00F53BC2">
        <w:rPr>
          <w:lang w:val="en-GB"/>
        </w:rPr>
        <w:t xml:space="preserve"> </w:t>
      </w:r>
      <w:r w:rsidRPr="00EE2E24">
        <w:rPr>
          <w:lang w:val="en-GB"/>
        </w:rPr>
        <w:t>postnatal</w:t>
      </w:r>
      <w:r w:rsidRPr="00F53BC2">
        <w:rPr>
          <w:lang w:val="en-GB"/>
        </w:rPr>
        <w:t xml:space="preserve"> </w:t>
      </w:r>
      <w:r w:rsidRPr="00EE2E24">
        <w:rPr>
          <w:lang w:val="en-GB"/>
        </w:rPr>
        <w:t>mortality;</w:t>
      </w:r>
      <w:r w:rsidRPr="00F53BC2">
        <w:rPr>
          <w:lang w:val="en-GB"/>
        </w:rPr>
        <w:t xml:space="preserve"> </w:t>
      </w:r>
      <w:r w:rsidRPr="00EE2E24">
        <w:rPr>
          <w:lang w:val="en-GB"/>
        </w:rPr>
        <w:t>abnormal</w:t>
      </w:r>
      <w:r w:rsidRPr="00F53BC2">
        <w:rPr>
          <w:lang w:val="en-GB"/>
        </w:rPr>
        <w:t xml:space="preserve"> </w:t>
      </w:r>
      <w:r w:rsidRPr="00EE2E24">
        <w:rPr>
          <w:lang w:val="en-GB"/>
        </w:rPr>
        <w:t>bone</w:t>
      </w:r>
      <w:r w:rsidRPr="00F53BC2">
        <w:rPr>
          <w:lang w:val="en-GB"/>
        </w:rPr>
        <w:t xml:space="preserve"> </w:t>
      </w:r>
      <w:r w:rsidRPr="00EE2E24">
        <w:rPr>
          <w:lang w:val="en-GB"/>
        </w:rPr>
        <w:t>growth</w:t>
      </w:r>
      <w:r w:rsidRPr="00F53BC2">
        <w:rPr>
          <w:lang w:val="en-GB"/>
        </w:rPr>
        <w:t xml:space="preserve"> </w:t>
      </w:r>
      <w:r w:rsidRPr="00EE2E24">
        <w:rPr>
          <w:lang w:val="en-GB"/>
        </w:rPr>
        <w:t>resulting</w:t>
      </w:r>
      <w:r w:rsidRPr="00F53BC2">
        <w:rPr>
          <w:lang w:val="en-GB"/>
        </w:rPr>
        <w:t xml:space="preserve"> </w:t>
      </w:r>
      <w:r w:rsidRPr="00EE2E24">
        <w:rPr>
          <w:lang w:val="en-GB"/>
        </w:rPr>
        <w:t>in reduced bone strength, almost complete obliteration of bone marrow spaces (leading</w:t>
      </w:r>
      <w:r w:rsidRPr="00F53BC2">
        <w:rPr>
          <w:lang w:val="en-GB"/>
        </w:rPr>
        <w:t xml:space="preserve"> </w:t>
      </w:r>
      <w:r w:rsidRPr="00EE2E24">
        <w:rPr>
          <w:lang w:val="en-GB"/>
        </w:rPr>
        <w:t xml:space="preserve">to reduced haematopoiesis), and tooth malalignment, dental </w:t>
      </w:r>
      <w:r w:rsidRPr="00EE2E24">
        <w:rPr>
          <w:lang w:val="en-GB"/>
        </w:rPr>
        <w:lastRenderedPageBreak/>
        <w:t>dysplasia and a</w:t>
      </w:r>
      <w:r w:rsidRPr="00F53BC2">
        <w:rPr>
          <w:lang w:val="en-GB"/>
        </w:rPr>
        <w:t xml:space="preserve"> </w:t>
      </w:r>
      <w:r w:rsidRPr="00EE2E24">
        <w:rPr>
          <w:lang w:val="en-GB"/>
        </w:rPr>
        <w:t>shortened/straighter dental arch (although no effect on the pattern or date of tooth</w:t>
      </w:r>
      <w:r w:rsidRPr="00F53BC2">
        <w:rPr>
          <w:lang w:val="en-GB"/>
        </w:rPr>
        <w:t xml:space="preserve"> </w:t>
      </w:r>
      <w:r w:rsidRPr="00EE2E24">
        <w:rPr>
          <w:lang w:val="en-GB"/>
        </w:rPr>
        <w:t>eruption);</w:t>
      </w:r>
      <w:r w:rsidRPr="00F53BC2">
        <w:rPr>
          <w:lang w:val="en-GB"/>
        </w:rPr>
        <w:t xml:space="preserve"> </w:t>
      </w:r>
      <w:r w:rsidRPr="00EE2E24">
        <w:rPr>
          <w:lang w:val="en-GB"/>
        </w:rPr>
        <w:t>altered</w:t>
      </w:r>
      <w:r w:rsidRPr="00F53BC2">
        <w:rPr>
          <w:lang w:val="en-GB"/>
        </w:rPr>
        <w:t xml:space="preserve"> </w:t>
      </w:r>
      <w:r w:rsidRPr="00EE2E24">
        <w:rPr>
          <w:lang w:val="en-GB"/>
        </w:rPr>
        <w:t>appearance</w:t>
      </w:r>
      <w:r w:rsidRPr="00F53BC2">
        <w:rPr>
          <w:lang w:val="en-GB"/>
        </w:rPr>
        <w:t xml:space="preserve"> </w:t>
      </w:r>
      <w:r w:rsidRPr="00EE2E24">
        <w:rPr>
          <w:lang w:val="en-GB"/>
        </w:rPr>
        <w:t>of</w:t>
      </w:r>
      <w:r w:rsidRPr="00F53BC2">
        <w:rPr>
          <w:lang w:val="en-GB"/>
        </w:rPr>
        <w:t xml:space="preserve"> </w:t>
      </w:r>
      <w:r w:rsidRPr="00EE2E24">
        <w:rPr>
          <w:lang w:val="en-GB"/>
        </w:rPr>
        <w:t>eyes</w:t>
      </w:r>
      <w:r w:rsidRPr="00F53BC2">
        <w:rPr>
          <w:lang w:val="en-GB"/>
        </w:rPr>
        <w:t xml:space="preserve"> </w:t>
      </w:r>
      <w:r w:rsidRPr="00EE2E24">
        <w:rPr>
          <w:lang w:val="en-GB"/>
        </w:rPr>
        <w:t>(increased</w:t>
      </w:r>
      <w:r w:rsidRPr="00F53BC2">
        <w:rPr>
          <w:lang w:val="en-GB"/>
        </w:rPr>
        <w:t xml:space="preserve"> </w:t>
      </w:r>
      <w:r w:rsidRPr="00EE2E24">
        <w:rPr>
          <w:lang w:val="en-GB"/>
        </w:rPr>
        <w:t>apparent</w:t>
      </w:r>
      <w:r w:rsidRPr="00F53BC2">
        <w:rPr>
          <w:lang w:val="en-GB"/>
        </w:rPr>
        <w:t xml:space="preserve"> </w:t>
      </w:r>
      <w:r w:rsidRPr="00EE2E24">
        <w:rPr>
          <w:lang w:val="en-GB"/>
        </w:rPr>
        <w:t>size,</w:t>
      </w:r>
      <w:r w:rsidRPr="00F53BC2">
        <w:rPr>
          <w:lang w:val="en-GB"/>
        </w:rPr>
        <w:t xml:space="preserve"> </w:t>
      </w:r>
      <w:r w:rsidRPr="00EE2E24">
        <w:rPr>
          <w:lang w:val="en-GB"/>
        </w:rPr>
        <w:t>exophthalmos);</w:t>
      </w:r>
      <w:r w:rsidRPr="00F53BC2">
        <w:rPr>
          <w:lang w:val="en-GB"/>
        </w:rPr>
        <w:t xml:space="preserve"> </w:t>
      </w:r>
      <w:r w:rsidRPr="00EE2E24">
        <w:rPr>
          <w:lang w:val="en-GB"/>
        </w:rPr>
        <w:t>absence</w:t>
      </w:r>
      <w:r w:rsidRPr="00F53BC2">
        <w:rPr>
          <w:lang w:val="en-GB"/>
        </w:rPr>
        <w:t xml:space="preserve"> </w:t>
      </w:r>
      <w:r w:rsidRPr="00EE2E24">
        <w:rPr>
          <w:lang w:val="en-GB"/>
        </w:rPr>
        <w:t>of peripheral lymph nodes; and decreased neonatal growth.</w:t>
      </w:r>
      <w:r w:rsidRPr="00F53BC2">
        <w:rPr>
          <w:lang w:val="en-GB"/>
        </w:rPr>
        <w:t xml:space="preserve"> </w:t>
      </w:r>
      <w:r w:rsidRPr="00EE2E24">
        <w:rPr>
          <w:lang w:val="en-GB"/>
        </w:rPr>
        <w:t>Following a 6 month period</w:t>
      </w:r>
      <w:r w:rsidRPr="00F53BC2">
        <w:rPr>
          <w:lang w:val="en-GB"/>
        </w:rPr>
        <w:t xml:space="preserve"> </w:t>
      </w:r>
      <w:r w:rsidRPr="00EE2E24">
        <w:rPr>
          <w:lang w:val="en-GB"/>
        </w:rPr>
        <w:t>after birth, bone-related changes showed incomplete recovery.</w:t>
      </w:r>
      <w:r w:rsidRPr="00F53BC2">
        <w:rPr>
          <w:lang w:val="en-GB"/>
        </w:rPr>
        <w:t xml:space="preserve"> </w:t>
      </w:r>
      <w:r w:rsidRPr="00EE2E24">
        <w:rPr>
          <w:lang w:val="en-GB"/>
        </w:rPr>
        <w:t>The effects on lymph</w:t>
      </w:r>
      <w:r w:rsidRPr="00F53BC2">
        <w:rPr>
          <w:lang w:val="en-GB"/>
        </w:rPr>
        <w:t xml:space="preserve"> </w:t>
      </w:r>
      <w:r w:rsidRPr="00EE2E24">
        <w:rPr>
          <w:lang w:val="en-GB"/>
        </w:rPr>
        <w:t>nodes, tooth malalignment and dental dysplasia persisted, and minimal to moderate</w:t>
      </w:r>
      <w:r w:rsidRPr="00F53BC2">
        <w:rPr>
          <w:lang w:val="en-GB"/>
        </w:rPr>
        <w:t xml:space="preserve"> </w:t>
      </w:r>
      <w:r w:rsidRPr="00EE2E24">
        <w:rPr>
          <w:lang w:val="en-GB"/>
        </w:rPr>
        <w:t>mineralisation in multiple tissues was seen in one animal.</w:t>
      </w:r>
      <w:r w:rsidRPr="00F53BC2">
        <w:rPr>
          <w:lang w:val="en-GB"/>
        </w:rPr>
        <w:t xml:space="preserve"> </w:t>
      </w:r>
      <w:r w:rsidRPr="00EE2E24">
        <w:rPr>
          <w:lang w:val="en-GB"/>
        </w:rPr>
        <w:t>There was no evidence of</w:t>
      </w:r>
      <w:r w:rsidRPr="00F53BC2">
        <w:rPr>
          <w:lang w:val="en-GB"/>
        </w:rPr>
        <w:t xml:space="preserve"> </w:t>
      </w:r>
      <w:r w:rsidRPr="00EE2E24">
        <w:rPr>
          <w:lang w:val="en-GB"/>
        </w:rPr>
        <w:t>maternal harm prior to labour; adverse maternal effects occurred infrequently during</w:t>
      </w:r>
      <w:r w:rsidRPr="00F53BC2">
        <w:rPr>
          <w:lang w:val="en-GB"/>
        </w:rPr>
        <w:t xml:space="preserve"> </w:t>
      </w:r>
      <w:r w:rsidRPr="00EE2E24">
        <w:rPr>
          <w:lang w:val="en-GB"/>
        </w:rPr>
        <w:t>labour.</w:t>
      </w:r>
      <w:r w:rsidRPr="00F53BC2">
        <w:rPr>
          <w:lang w:val="en-GB"/>
        </w:rPr>
        <w:t xml:space="preserve"> </w:t>
      </w:r>
      <w:r w:rsidRPr="00EE2E24">
        <w:rPr>
          <w:lang w:val="en-GB"/>
        </w:rPr>
        <w:t>Maternal</w:t>
      </w:r>
      <w:r w:rsidRPr="00F53BC2">
        <w:rPr>
          <w:lang w:val="en-GB"/>
        </w:rPr>
        <w:t xml:space="preserve"> </w:t>
      </w:r>
      <w:r w:rsidRPr="00EE2E24">
        <w:rPr>
          <w:lang w:val="en-GB"/>
        </w:rPr>
        <w:t>mammary</w:t>
      </w:r>
      <w:r w:rsidRPr="00F53BC2">
        <w:rPr>
          <w:lang w:val="en-GB"/>
        </w:rPr>
        <w:t xml:space="preserve"> </w:t>
      </w:r>
      <w:r w:rsidRPr="00EE2E24">
        <w:rPr>
          <w:lang w:val="en-GB"/>
        </w:rPr>
        <w:t>gland development</w:t>
      </w:r>
      <w:r w:rsidRPr="00F53BC2">
        <w:rPr>
          <w:lang w:val="en-GB"/>
        </w:rPr>
        <w:t xml:space="preserve"> </w:t>
      </w:r>
      <w:r w:rsidRPr="00EE2E24">
        <w:rPr>
          <w:lang w:val="en-GB"/>
        </w:rPr>
        <w:t>was</w:t>
      </w:r>
      <w:r w:rsidRPr="00F53BC2">
        <w:rPr>
          <w:lang w:val="en-GB"/>
        </w:rPr>
        <w:t xml:space="preserve"> </w:t>
      </w:r>
      <w:r w:rsidRPr="00EE2E24">
        <w:rPr>
          <w:lang w:val="en-GB"/>
        </w:rPr>
        <w:t>normal.</w:t>
      </w:r>
      <w:r w:rsidRPr="00F53BC2">
        <w:rPr>
          <w:lang w:val="en-GB"/>
        </w:rPr>
        <w:t xml:space="preserve"> </w:t>
      </w:r>
      <w:r w:rsidRPr="00EE2E24">
        <w:rPr>
          <w:lang w:val="en-GB"/>
        </w:rPr>
        <w:t>A</w:t>
      </w:r>
      <w:r w:rsidRPr="00F53BC2">
        <w:rPr>
          <w:lang w:val="en-GB"/>
        </w:rPr>
        <w:t xml:space="preserve"> </w:t>
      </w:r>
      <w:r w:rsidRPr="00EE2E24">
        <w:rPr>
          <w:lang w:val="en-GB"/>
        </w:rPr>
        <w:t>no</w:t>
      </w:r>
      <w:r w:rsidRPr="00F53BC2">
        <w:rPr>
          <w:lang w:val="en-GB"/>
        </w:rPr>
        <w:t xml:space="preserve"> </w:t>
      </w:r>
      <w:r w:rsidRPr="00EE2E24">
        <w:rPr>
          <w:lang w:val="en-GB"/>
        </w:rPr>
        <w:t>observed</w:t>
      </w:r>
      <w:r w:rsidRPr="00F53BC2">
        <w:rPr>
          <w:lang w:val="en-GB"/>
        </w:rPr>
        <w:t xml:space="preserve"> </w:t>
      </w:r>
      <w:r w:rsidRPr="00EE2E24">
        <w:rPr>
          <w:lang w:val="en-GB"/>
        </w:rPr>
        <w:t>adverse</w:t>
      </w:r>
      <w:r w:rsidR="00375885">
        <w:rPr>
          <w:lang w:val="en-GB"/>
        </w:rPr>
        <w:t xml:space="preserve"> </w:t>
      </w:r>
      <w:r w:rsidRPr="00EE2E24">
        <w:rPr>
          <w:lang w:val="en-GB"/>
        </w:rPr>
        <w:t>effect</w:t>
      </w:r>
      <w:r w:rsidRPr="00F53BC2">
        <w:rPr>
          <w:lang w:val="en-GB"/>
        </w:rPr>
        <w:t xml:space="preserve"> </w:t>
      </w:r>
      <w:r w:rsidRPr="00EE2E24">
        <w:rPr>
          <w:lang w:val="en-GB"/>
        </w:rPr>
        <w:t>level</w:t>
      </w:r>
      <w:r w:rsidRPr="00F53BC2">
        <w:rPr>
          <w:lang w:val="en-GB"/>
        </w:rPr>
        <w:t xml:space="preserve"> </w:t>
      </w:r>
      <w:r w:rsidRPr="00EE2E24">
        <w:rPr>
          <w:lang w:val="en-GB"/>
        </w:rPr>
        <w:t>has</w:t>
      </w:r>
      <w:r w:rsidRPr="00F53BC2">
        <w:rPr>
          <w:lang w:val="en-GB"/>
        </w:rPr>
        <w:t xml:space="preserve"> </w:t>
      </w:r>
      <w:r w:rsidRPr="00EE2E24">
        <w:rPr>
          <w:lang w:val="en-GB"/>
        </w:rPr>
        <w:t>not</w:t>
      </w:r>
      <w:r w:rsidRPr="00F53BC2">
        <w:rPr>
          <w:lang w:val="en-GB"/>
        </w:rPr>
        <w:t xml:space="preserve"> </w:t>
      </w:r>
      <w:r w:rsidRPr="00EE2E24">
        <w:rPr>
          <w:lang w:val="en-GB"/>
        </w:rPr>
        <w:t>been</w:t>
      </w:r>
      <w:r w:rsidRPr="00F53BC2">
        <w:rPr>
          <w:lang w:val="en-GB"/>
        </w:rPr>
        <w:t xml:space="preserve"> </w:t>
      </w:r>
      <w:r w:rsidRPr="00EE2E24">
        <w:rPr>
          <w:lang w:val="en-GB"/>
        </w:rPr>
        <w:t>established</w:t>
      </w:r>
      <w:r w:rsidRPr="00F53BC2">
        <w:rPr>
          <w:lang w:val="en-GB"/>
        </w:rPr>
        <w:t xml:space="preserve"> </w:t>
      </w:r>
      <w:r w:rsidRPr="00EE2E24">
        <w:rPr>
          <w:lang w:val="en-GB"/>
        </w:rPr>
        <w:t>in</w:t>
      </w:r>
      <w:r w:rsidRPr="00F53BC2">
        <w:rPr>
          <w:lang w:val="en-GB"/>
        </w:rPr>
        <w:t xml:space="preserve"> </w:t>
      </w:r>
      <w:r w:rsidRPr="00EE2E24">
        <w:rPr>
          <w:lang w:val="en-GB"/>
        </w:rPr>
        <w:t>animal</w:t>
      </w:r>
      <w:r w:rsidRPr="00F53BC2">
        <w:rPr>
          <w:lang w:val="en-GB"/>
        </w:rPr>
        <w:t xml:space="preserve"> </w:t>
      </w:r>
      <w:r w:rsidRPr="00EE2E24">
        <w:rPr>
          <w:lang w:val="en-GB"/>
        </w:rPr>
        <w:t>studies</w:t>
      </w:r>
      <w:r w:rsidRPr="00F53BC2">
        <w:rPr>
          <w:lang w:val="en-GB"/>
        </w:rPr>
        <w:t xml:space="preserve"> </w:t>
      </w:r>
      <w:r w:rsidRPr="00EE2E24">
        <w:rPr>
          <w:lang w:val="en-GB"/>
        </w:rPr>
        <w:t>and</w:t>
      </w:r>
      <w:r w:rsidRPr="00F53BC2">
        <w:rPr>
          <w:lang w:val="en-GB"/>
        </w:rPr>
        <w:t xml:space="preserve"> </w:t>
      </w:r>
      <w:r w:rsidRPr="00EE2E24">
        <w:rPr>
          <w:lang w:val="en-GB"/>
        </w:rPr>
        <w:t>the</w:t>
      </w:r>
      <w:r w:rsidRPr="00F53BC2">
        <w:rPr>
          <w:lang w:val="en-GB"/>
        </w:rPr>
        <w:t xml:space="preserve"> </w:t>
      </w:r>
      <w:r w:rsidRPr="00EE2E24">
        <w:rPr>
          <w:lang w:val="en-GB"/>
        </w:rPr>
        <w:t>findings</w:t>
      </w:r>
      <w:r w:rsidRPr="00F53BC2">
        <w:rPr>
          <w:lang w:val="en-GB"/>
        </w:rPr>
        <w:t xml:space="preserve"> </w:t>
      </w:r>
      <w:r w:rsidRPr="00EE2E24">
        <w:rPr>
          <w:lang w:val="en-GB"/>
        </w:rPr>
        <w:t>are</w:t>
      </w:r>
      <w:r w:rsidRPr="00F53BC2">
        <w:rPr>
          <w:lang w:val="en-GB"/>
        </w:rPr>
        <w:t xml:space="preserve"> </w:t>
      </w:r>
      <w:r w:rsidRPr="00EE2E24">
        <w:rPr>
          <w:lang w:val="en-GB"/>
        </w:rPr>
        <w:t>attributable</w:t>
      </w:r>
      <w:r w:rsidRPr="00F53BC2">
        <w:rPr>
          <w:lang w:val="en-GB"/>
        </w:rPr>
        <w:t xml:space="preserve"> </w:t>
      </w:r>
      <w:r w:rsidRPr="00EE2E24">
        <w:rPr>
          <w:lang w:val="en-GB"/>
        </w:rPr>
        <w:t>to</w:t>
      </w:r>
      <w:r w:rsidRPr="00F53BC2">
        <w:rPr>
          <w:lang w:val="en-GB"/>
        </w:rPr>
        <w:t xml:space="preserve"> </w:t>
      </w:r>
      <w:r w:rsidRPr="00EE2E24">
        <w:rPr>
          <w:lang w:val="en-GB"/>
        </w:rPr>
        <w:t>the</w:t>
      </w:r>
      <w:r w:rsidRPr="00F53BC2">
        <w:rPr>
          <w:lang w:val="en-GB"/>
        </w:rPr>
        <w:t xml:space="preserve"> </w:t>
      </w:r>
      <w:r w:rsidRPr="00EE2E24">
        <w:rPr>
          <w:lang w:val="en-GB"/>
        </w:rPr>
        <w:t>primary pharmacological</w:t>
      </w:r>
      <w:r w:rsidRPr="00F53BC2">
        <w:rPr>
          <w:lang w:val="en-GB"/>
        </w:rPr>
        <w:t xml:space="preserve"> </w:t>
      </w:r>
      <w:r w:rsidRPr="00EE2E24">
        <w:rPr>
          <w:lang w:val="en-GB"/>
        </w:rPr>
        <w:t>activity</w:t>
      </w:r>
      <w:r w:rsidRPr="00F53BC2">
        <w:rPr>
          <w:lang w:val="en-GB"/>
        </w:rPr>
        <w:t xml:space="preserve"> </w:t>
      </w:r>
      <w:r w:rsidRPr="00EE2E24">
        <w:rPr>
          <w:lang w:val="en-GB"/>
        </w:rPr>
        <w:t>of</w:t>
      </w:r>
      <w:r w:rsidRPr="00F53BC2">
        <w:rPr>
          <w:lang w:val="en-GB"/>
        </w:rPr>
        <w:t xml:space="preserve"> </w:t>
      </w:r>
      <w:r w:rsidRPr="00EE2E24">
        <w:rPr>
          <w:lang w:val="en-GB"/>
        </w:rPr>
        <w:t>denosumab.</w:t>
      </w:r>
    </w:p>
    <w:p w14:paraId="0C450678"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Preclinical studies in RANK/RANKL knockout mice suggest absence of RANKL could</w:t>
      </w:r>
      <w:r w:rsidRPr="00F53BC2">
        <w:rPr>
          <w:lang w:val="en-GB"/>
        </w:rPr>
        <w:t xml:space="preserve"> </w:t>
      </w:r>
      <w:r w:rsidRPr="00EE2E24">
        <w:rPr>
          <w:lang w:val="en-GB"/>
        </w:rPr>
        <w:t>interfere with the development of lymph nodes in the foetus.</w:t>
      </w:r>
      <w:r w:rsidRPr="00F53BC2">
        <w:rPr>
          <w:lang w:val="en-GB"/>
        </w:rPr>
        <w:t xml:space="preserve"> </w:t>
      </w:r>
      <w:r w:rsidRPr="00EE2E24">
        <w:rPr>
          <w:lang w:val="en-GB"/>
        </w:rPr>
        <w:t>Knockout mice lacking</w:t>
      </w:r>
      <w:r w:rsidRPr="00F53BC2">
        <w:rPr>
          <w:lang w:val="en-GB"/>
        </w:rPr>
        <w:t xml:space="preserve"> </w:t>
      </w:r>
      <w:r w:rsidRPr="00EE2E24">
        <w:rPr>
          <w:lang w:val="en-GB"/>
        </w:rPr>
        <w:t>RANK or RANKL also exhibited decreased body weight, reduced bone growth and a lack</w:t>
      </w:r>
      <w:r w:rsidRPr="00F53BC2">
        <w:rPr>
          <w:lang w:val="en-GB"/>
        </w:rPr>
        <w:t xml:space="preserve"> </w:t>
      </w:r>
      <w:r w:rsidRPr="00EE2E24">
        <w:rPr>
          <w:lang w:val="en-GB"/>
        </w:rPr>
        <w:t>of tooth eruption.</w:t>
      </w:r>
      <w:r w:rsidRPr="00F53BC2">
        <w:rPr>
          <w:lang w:val="en-GB"/>
        </w:rPr>
        <w:t xml:space="preserve"> </w:t>
      </w:r>
      <w:r w:rsidRPr="00EE2E24">
        <w:rPr>
          <w:lang w:val="en-GB"/>
        </w:rPr>
        <w:t>Similar phenotypic changes (inhibition of bone growth and tooth</w:t>
      </w:r>
      <w:r w:rsidRPr="00F53BC2">
        <w:rPr>
          <w:lang w:val="en-GB"/>
        </w:rPr>
        <w:t xml:space="preserve"> </w:t>
      </w:r>
      <w:r w:rsidRPr="00EE2E24">
        <w:rPr>
          <w:lang w:val="en-GB"/>
        </w:rPr>
        <w:t>eruption)</w:t>
      </w:r>
      <w:r w:rsidRPr="00F53BC2">
        <w:rPr>
          <w:lang w:val="en-GB"/>
        </w:rPr>
        <w:t xml:space="preserve"> </w:t>
      </w:r>
      <w:r w:rsidRPr="00EE2E24">
        <w:rPr>
          <w:lang w:val="en-GB"/>
        </w:rPr>
        <w:t>were</w:t>
      </w:r>
      <w:r w:rsidRPr="00F53BC2">
        <w:rPr>
          <w:lang w:val="en-GB"/>
        </w:rPr>
        <w:t xml:space="preserve"> </w:t>
      </w:r>
      <w:r w:rsidRPr="00EE2E24">
        <w:rPr>
          <w:lang w:val="en-GB"/>
        </w:rPr>
        <w:t>observed</w:t>
      </w:r>
      <w:r w:rsidRPr="00F53BC2">
        <w:rPr>
          <w:lang w:val="en-GB"/>
        </w:rPr>
        <w:t xml:space="preserve"> </w:t>
      </w:r>
      <w:r w:rsidRPr="00EE2E24">
        <w:rPr>
          <w:lang w:val="en-GB"/>
        </w:rPr>
        <w:t>in</w:t>
      </w:r>
      <w:r w:rsidRPr="00F53BC2">
        <w:rPr>
          <w:lang w:val="en-GB"/>
        </w:rPr>
        <w:t xml:space="preserve"> </w:t>
      </w:r>
      <w:r w:rsidRPr="00EE2E24">
        <w:rPr>
          <w:lang w:val="en-GB"/>
        </w:rPr>
        <w:t>a</w:t>
      </w:r>
      <w:r w:rsidRPr="00F53BC2">
        <w:rPr>
          <w:lang w:val="en-GB"/>
        </w:rPr>
        <w:t xml:space="preserve"> </w:t>
      </w:r>
      <w:r w:rsidRPr="00EE2E24">
        <w:rPr>
          <w:lang w:val="en-GB"/>
        </w:rPr>
        <w:t>study</w:t>
      </w:r>
      <w:r w:rsidRPr="00F53BC2">
        <w:rPr>
          <w:lang w:val="en-GB"/>
        </w:rPr>
        <w:t xml:space="preserve"> </w:t>
      </w:r>
      <w:r w:rsidRPr="00EE2E24">
        <w:rPr>
          <w:lang w:val="en-GB"/>
        </w:rPr>
        <w:t>in</w:t>
      </w:r>
      <w:r w:rsidRPr="00F53BC2">
        <w:rPr>
          <w:lang w:val="en-GB"/>
        </w:rPr>
        <w:t xml:space="preserve"> </w:t>
      </w:r>
      <w:r w:rsidRPr="00EE2E24">
        <w:rPr>
          <w:lang w:val="en-GB"/>
        </w:rPr>
        <w:t>neonatal</w:t>
      </w:r>
      <w:r w:rsidRPr="00F53BC2">
        <w:rPr>
          <w:lang w:val="en-GB"/>
        </w:rPr>
        <w:t xml:space="preserve"> </w:t>
      </w:r>
      <w:r w:rsidRPr="00EE2E24">
        <w:rPr>
          <w:lang w:val="en-GB"/>
        </w:rPr>
        <w:t>rats</w:t>
      </w:r>
      <w:r w:rsidRPr="00F53BC2">
        <w:rPr>
          <w:lang w:val="en-GB"/>
        </w:rPr>
        <w:t xml:space="preserve"> </w:t>
      </w:r>
      <w:r w:rsidRPr="00EE2E24">
        <w:rPr>
          <w:lang w:val="en-GB"/>
        </w:rPr>
        <w:t>using</w:t>
      </w:r>
      <w:r w:rsidRPr="00F53BC2">
        <w:rPr>
          <w:lang w:val="en-GB"/>
        </w:rPr>
        <w:t xml:space="preserve"> </w:t>
      </w:r>
      <w:r w:rsidRPr="00EE2E24">
        <w:rPr>
          <w:lang w:val="en-GB"/>
        </w:rPr>
        <w:t>a</w:t>
      </w:r>
      <w:r w:rsidRPr="00F53BC2">
        <w:rPr>
          <w:lang w:val="en-GB"/>
        </w:rPr>
        <w:t xml:space="preserve"> </w:t>
      </w:r>
      <w:r w:rsidRPr="00EE2E24">
        <w:rPr>
          <w:lang w:val="en-GB"/>
        </w:rPr>
        <w:t>surrogate</w:t>
      </w:r>
      <w:r w:rsidRPr="00F53BC2">
        <w:rPr>
          <w:lang w:val="en-GB"/>
        </w:rPr>
        <w:t xml:space="preserve"> </w:t>
      </w:r>
      <w:r w:rsidRPr="00EE2E24">
        <w:rPr>
          <w:lang w:val="en-GB"/>
        </w:rPr>
        <w:t>for</w:t>
      </w:r>
      <w:r w:rsidRPr="00F53BC2">
        <w:rPr>
          <w:lang w:val="en-GB"/>
        </w:rPr>
        <w:t xml:space="preserve"> </w:t>
      </w:r>
      <w:r w:rsidRPr="00EE2E24">
        <w:rPr>
          <w:lang w:val="en-GB"/>
        </w:rPr>
        <w:t>denosumab,</w:t>
      </w:r>
      <w:r w:rsidRPr="00F53BC2">
        <w:rPr>
          <w:lang w:val="en-GB"/>
        </w:rPr>
        <w:t xml:space="preserve"> </w:t>
      </w:r>
      <w:r w:rsidRPr="00EE2E24">
        <w:rPr>
          <w:lang w:val="en-GB"/>
        </w:rPr>
        <w:t>the</w:t>
      </w:r>
      <w:r w:rsidRPr="00F53BC2">
        <w:rPr>
          <w:lang w:val="en-GB"/>
        </w:rPr>
        <w:t xml:space="preserve"> </w:t>
      </w:r>
      <w:r w:rsidRPr="00EE2E24">
        <w:rPr>
          <w:lang w:val="en-GB"/>
        </w:rPr>
        <w:t>RANKL inhibitor osteoprotegerin bound to Fc (OPG-Fc).</w:t>
      </w:r>
      <w:r w:rsidRPr="00F53BC2">
        <w:rPr>
          <w:lang w:val="en-GB"/>
        </w:rPr>
        <w:t xml:space="preserve"> </w:t>
      </w:r>
      <w:r w:rsidRPr="00EE2E24">
        <w:rPr>
          <w:lang w:val="en-GB"/>
        </w:rPr>
        <w:t>Therefore, treatment with</w:t>
      </w:r>
      <w:r w:rsidRPr="00F53BC2">
        <w:rPr>
          <w:lang w:val="en-GB"/>
        </w:rPr>
        <w:t xml:space="preserve"> </w:t>
      </w:r>
      <w:r w:rsidRPr="00EE2E24">
        <w:rPr>
          <w:lang w:val="en-GB"/>
        </w:rPr>
        <w:t>denosumab may impair bone growth in children with open growth plates and may inhibit</w:t>
      </w:r>
      <w:r w:rsidRPr="00F53BC2">
        <w:rPr>
          <w:lang w:val="en-GB"/>
        </w:rPr>
        <w:t xml:space="preserve"> </w:t>
      </w:r>
      <w:r w:rsidRPr="00EE2E24">
        <w:rPr>
          <w:lang w:val="en-GB"/>
        </w:rPr>
        <w:t>eruption of dentition.</w:t>
      </w:r>
      <w:r w:rsidRPr="00F53BC2">
        <w:rPr>
          <w:lang w:val="en-GB"/>
        </w:rPr>
        <w:t xml:space="preserve"> </w:t>
      </w:r>
      <w:r w:rsidRPr="00EE2E24">
        <w:rPr>
          <w:lang w:val="en-GB"/>
        </w:rPr>
        <w:t>A study on the reversibility of the effects of OPG-Fc showed</w:t>
      </w:r>
      <w:r w:rsidRPr="00F53BC2">
        <w:rPr>
          <w:lang w:val="en-GB"/>
        </w:rPr>
        <w:t xml:space="preserve"> </w:t>
      </w:r>
      <w:r w:rsidRPr="00EE2E24">
        <w:rPr>
          <w:lang w:val="en-GB"/>
        </w:rPr>
        <w:t>persistence</w:t>
      </w:r>
      <w:r w:rsidRPr="00F53BC2">
        <w:rPr>
          <w:lang w:val="en-GB"/>
        </w:rPr>
        <w:t xml:space="preserve"> </w:t>
      </w:r>
      <w:r w:rsidRPr="00EE2E24">
        <w:rPr>
          <w:lang w:val="en-GB"/>
        </w:rPr>
        <w:t>or</w:t>
      </w:r>
      <w:r w:rsidRPr="00F53BC2">
        <w:rPr>
          <w:lang w:val="en-GB"/>
        </w:rPr>
        <w:t xml:space="preserve"> </w:t>
      </w:r>
      <w:r w:rsidRPr="00EE2E24">
        <w:rPr>
          <w:lang w:val="en-GB"/>
        </w:rPr>
        <w:t>only partial</w:t>
      </w:r>
      <w:r w:rsidRPr="00F53BC2">
        <w:rPr>
          <w:lang w:val="en-GB"/>
        </w:rPr>
        <w:t xml:space="preserve"> </w:t>
      </w:r>
      <w:r w:rsidRPr="00EE2E24">
        <w:rPr>
          <w:lang w:val="en-GB"/>
        </w:rPr>
        <w:t>recovery (assessed</w:t>
      </w:r>
      <w:r w:rsidRPr="00F53BC2">
        <w:rPr>
          <w:lang w:val="en-GB"/>
        </w:rPr>
        <w:t xml:space="preserve"> </w:t>
      </w:r>
      <w:r w:rsidRPr="00EE2E24">
        <w:rPr>
          <w:lang w:val="en-GB"/>
        </w:rPr>
        <w:t>after</w:t>
      </w:r>
      <w:r w:rsidRPr="00F53BC2">
        <w:rPr>
          <w:lang w:val="en-GB"/>
        </w:rPr>
        <w:t xml:space="preserve"> </w:t>
      </w:r>
      <w:r w:rsidRPr="00EE2E24">
        <w:rPr>
          <w:lang w:val="en-GB"/>
        </w:rPr>
        <w:t>10 weeks).</w:t>
      </w:r>
    </w:p>
    <w:p w14:paraId="4F15EC5B"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Preclinical studies in RANK/RANKL knockout mice suggest absence of RANKL during</w:t>
      </w:r>
      <w:r w:rsidRPr="00F53BC2">
        <w:rPr>
          <w:lang w:val="en-GB"/>
        </w:rPr>
        <w:t xml:space="preserve"> </w:t>
      </w:r>
      <w:r w:rsidRPr="00EE2E24">
        <w:rPr>
          <w:lang w:val="en-GB"/>
        </w:rPr>
        <w:t>pregnancy may interfere with maturation of the mammary gland leading to impaired</w:t>
      </w:r>
      <w:r w:rsidRPr="00F53BC2">
        <w:rPr>
          <w:lang w:val="en-GB"/>
        </w:rPr>
        <w:t xml:space="preserve"> </w:t>
      </w:r>
      <w:r w:rsidRPr="00EE2E24">
        <w:rPr>
          <w:lang w:val="en-GB"/>
        </w:rPr>
        <w:t>lactation</w:t>
      </w:r>
      <w:r w:rsidRPr="00F53BC2">
        <w:rPr>
          <w:lang w:val="en-GB"/>
        </w:rPr>
        <w:t xml:space="preserve"> </w:t>
      </w:r>
      <w:r w:rsidRPr="00EE2E24">
        <w:rPr>
          <w:lang w:val="en-GB"/>
        </w:rPr>
        <w:t>post-partum.</w:t>
      </w:r>
    </w:p>
    <w:p w14:paraId="171932D5" w14:textId="77777777" w:rsidR="006E62CD" w:rsidRPr="00EE2E24" w:rsidRDefault="00CB520A" w:rsidP="00D258EC">
      <w:pPr>
        <w:pStyle w:val="Heading1"/>
        <w:numPr>
          <w:ilvl w:val="0"/>
          <w:numId w:val="3"/>
        </w:numPr>
        <w:tabs>
          <w:tab w:val="left" w:pos="1577"/>
          <w:tab w:val="left" w:pos="1578"/>
        </w:tabs>
        <w:adjustRightInd w:val="0"/>
        <w:snapToGrid w:val="0"/>
        <w:spacing w:before="60" w:after="60" w:line="360" w:lineRule="auto"/>
        <w:ind w:left="108" w:rightChars="30" w:right="66" w:firstLine="0"/>
        <w:rPr>
          <w:lang w:val="en-GB"/>
        </w:rPr>
      </w:pPr>
      <w:bookmarkStart w:id="18" w:name="6._PHARMACEUTICAL_PARTICULARS"/>
      <w:bookmarkEnd w:id="18"/>
      <w:r w:rsidRPr="00EE2E24">
        <w:rPr>
          <w:lang w:val="en-GB"/>
        </w:rPr>
        <w:t>PHARMACEUTICAL</w:t>
      </w:r>
      <w:r w:rsidRPr="00562449">
        <w:rPr>
          <w:lang w:val="en-GB"/>
        </w:rPr>
        <w:t xml:space="preserve"> </w:t>
      </w:r>
      <w:r w:rsidRPr="00EE2E24">
        <w:rPr>
          <w:lang w:val="en-GB"/>
        </w:rPr>
        <w:t>PARTICULARS</w:t>
      </w:r>
    </w:p>
    <w:p w14:paraId="24F68651" w14:textId="77777777" w:rsidR="006E62CD" w:rsidRPr="00EE2E24" w:rsidRDefault="00CB520A" w:rsidP="00D258EC">
      <w:pPr>
        <w:pStyle w:val="Heading2"/>
        <w:numPr>
          <w:ilvl w:val="1"/>
          <w:numId w:val="3"/>
        </w:numPr>
        <w:tabs>
          <w:tab w:val="left" w:pos="1577"/>
          <w:tab w:val="left" w:pos="1578"/>
        </w:tabs>
        <w:adjustRightInd w:val="0"/>
        <w:snapToGrid w:val="0"/>
        <w:spacing w:before="60" w:after="60" w:line="360" w:lineRule="auto"/>
        <w:ind w:left="108" w:rightChars="30" w:right="66" w:firstLine="0"/>
        <w:rPr>
          <w:lang w:val="en-GB"/>
        </w:rPr>
      </w:pPr>
      <w:bookmarkStart w:id="19" w:name="6.1_List_of_excipients"/>
      <w:bookmarkEnd w:id="19"/>
      <w:r w:rsidRPr="00EE2E24">
        <w:rPr>
          <w:lang w:val="en-GB"/>
        </w:rPr>
        <w:t>List of</w:t>
      </w:r>
      <w:r w:rsidRPr="00562449">
        <w:rPr>
          <w:lang w:val="en-GB"/>
        </w:rPr>
        <w:t xml:space="preserve"> </w:t>
      </w:r>
      <w:r w:rsidRPr="00EE2E24">
        <w:rPr>
          <w:lang w:val="en-GB"/>
        </w:rPr>
        <w:t>excipients</w:t>
      </w:r>
    </w:p>
    <w:p w14:paraId="28AC2796" w14:textId="1A75CDE5" w:rsidR="006E62CD" w:rsidRPr="00594BF1" w:rsidRDefault="00594BF1" w:rsidP="00D258EC">
      <w:pPr>
        <w:pStyle w:val="BodyText"/>
        <w:adjustRightInd w:val="0"/>
        <w:snapToGrid w:val="0"/>
        <w:spacing w:before="60" w:after="60" w:line="360" w:lineRule="auto"/>
        <w:ind w:left="108" w:rightChars="30" w:right="66"/>
      </w:pPr>
      <w:r w:rsidRPr="00EE2E24">
        <w:rPr>
          <w:lang w:val="en-GB"/>
        </w:rPr>
        <w:t xml:space="preserve">Each 1 mL single-use pre-filled syringe contains: </w:t>
      </w:r>
      <w:r w:rsidRPr="00594BF1">
        <w:rPr>
          <w:lang w:val="en-GB"/>
        </w:rPr>
        <w:t>0.28</w:t>
      </w:r>
      <w:r w:rsidRPr="00EE2E24">
        <w:rPr>
          <w:lang w:val="en-GB"/>
        </w:rPr>
        <w:t xml:space="preserve"> mg </w:t>
      </w:r>
      <w:r>
        <w:rPr>
          <w:lang w:val="en-GB"/>
        </w:rPr>
        <w:t>histidine</w:t>
      </w:r>
      <w:r w:rsidRPr="00EE2E24">
        <w:rPr>
          <w:lang w:val="en-GB"/>
        </w:rPr>
        <w:t xml:space="preserve">, </w:t>
      </w:r>
      <w:r>
        <w:rPr>
          <w:lang w:val="en-GB"/>
        </w:rPr>
        <w:t>3.81 mg histidine hydrochloride monohydrate, 44</w:t>
      </w:r>
      <w:r w:rsidRPr="00EE2E24">
        <w:rPr>
          <w:lang w:val="en-GB"/>
        </w:rPr>
        <w:t xml:space="preserve"> mg sorbitol, </w:t>
      </w:r>
      <w:r>
        <w:rPr>
          <w:lang w:val="en-GB"/>
        </w:rPr>
        <w:t>0.1</w:t>
      </w:r>
      <w:r w:rsidRPr="00EE2E24">
        <w:rPr>
          <w:lang w:val="en-GB"/>
        </w:rPr>
        <w:t xml:space="preserve"> mg</w:t>
      </w:r>
      <w:r w:rsidRPr="00F53BC2">
        <w:rPr>
          <w:lang w:val="en-GB"/>
        </w:rPr>
        <w:t xml:space="preserve"> </w:t>
      </w:r>
      <w:r w:rsidRPr="00EE2E24">
        <w:rPr>
          <w:lang w:val="en-GB"/>
        </w:rPr>
        <w:t>polysorbate</w:t>
      </w:r>
      <w:r w:rsidRPr="00F53BC2">
        <w:rPr>
          <w:lang w:val="en-GB"/>
        </w:rPr>
        <w:t xml:space="preserve"> </w:t>
      </w:r>
      <w:r w:rsidRPr="00EE2E24">
        <w:rPr>
          <w:lang w:val="en-GB"/>
        </w:rPr>
        <w:t>20,</w:t>
      </w:r>
      <w:r w:rsidRPr="00F53BC2">
        <w:rPr>
          <w:lang w:val="en-GB"/>
        </w:rPr>
        <w:t xml:space="preserve"> </w:t>
      </w:r>
      <w:r w:rsidRPr="00EE2E24">
        <w:rPr>
          <w:lang w:val="en-GB"/>
        </w:rPr>
        <w:t>Water</w:t>
      </w:r>
      <w:r w:rsidRPr="00F53BC2">
        <w:rPr>
          <w:lang w:val="en-GB"/>
        </w:rPr>
        <w:t xml:space="preserve"> </w:t>
      </w:r>
      <w:r w:rsidRPr="00EE2E24">
        <w:rPr>
          <w:lang w:val="en-GB"/>
        </w:rPr>
        <w:t>for</w:t>
      </w:r>
      <w:r w:rsidRPr="00F53BC2">
        <w:rPr>
          <w:lang w:val="en-GB"/>
        </w:rPr>
        <w:t xml:space="preserve"> </w:t>
      </w:r>
      <w:r w:rsidRPr="00EE2E24">
        <w:rPr>
          <w:lang w:val="en-GB"/>
        </w:rPr>
        <w:t>Injection</w:t>
      </w:r>
      <w:r w:rsidR="004A2A43">
        <w:rPr>
          <w:lang w:val="en-GB"/>
        </w:rPr>
        <w:t>s</w:t>
      </w:r>
      <w:r w:rsidRPr="00EE2E24">
        <w:rPr>
          <w:lang w:val="en-GB"/>
        </w:rPr>
        <w:t>.</w:t>
      </w:r>
    </w:p>
    <w:p w14:paraId="6F775E83" w14:textId="77777777" w:rsidR="006E62CD" w:rsidRPr="00EE2E24" w:rsidRDefault="00CB520A" w:rsidP="00D258EC">
      <w:pPr>
        <w:pStyle w:val="Heading2"/>
        <w:numPr>
          <w:ilvl w:val="1"/>
          <w:numId w:val="3"/>
        </w:numPr>
        <w:tabs>
          <w:tab w:val="left" w:pos="1577"/>
          <w:tab w:val="left" w:pos="1578"/>
        </w:tabs>
        <w:adjustRightInd w:val="0"/>
        <w:snapToGrid w:val="0"/>
        <w:spacing w:before="60" w:after="60" w:line="360" w:lineRule="auto"/>
        <w:ind w:left="108" w:rightChars="30" w:right="66" w:firstLine="0"/>
        <w:rPr>
          <w:lang w:val="en-GB"/>
        </w:rPr>
      </w:pPr>
      <w:bookmarkStart w:id="20" w:name="6.2_Incompatibilities"/>
      <w:bookmarkEnd w:id="20"/>
      <w:r w:rsidRPr="00EE2E24">
        <w:rPr>
          <w:lang w:val="en-GB"/>
        </w:rPr>
        <w:t>Incompatibilities</w:t>
      </w:r>
    </w:p>
    <w:p w14:paraId="109B1B81"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Incompatibilities were either not assessed or not identified as part of the registration of</w:t>
      </w:r>
      <w:r w:rsidRPr="00F53BC2">
        <w:rPr>
          <w:lang w:val="en-GB"/>
        </w:rPr>
        <w:t xml:space="preserve"> </w:t>
      </w:r>
      <w:r w:rsidRPr="00EE2E24">
        <w:rPr>
          <w:lang w:val="en-GB"/>
        </w:rPr>
        <w:t>this</w:t>
      </w:r>
      <w:r w:rsidRPr="00F53BC2">
        <w:rPr>
          <w:lang w:val="en-GB"/>
        </w:rPr>
        <w:t xml:space="preserve"> </w:t>
      </w:r>
      <w:r w:rsidRPr="00EE2E24">
        <w:rPr>
          <w:lang w:val="en-GB"/>
        </w:rPr>
        <w:t>medicine.</w:t>
      </w:r>
    </w:p>
    <w:p w14:paraId="297AE773" w14:textId="77777777" w:rsidR="006E62CD" w:rsidRPr="00EE2E24" w:rsidRDefault="00CB520A" w:rsidP="00D258EC">
      <w:pPr>
        <w:pStyle w:val="Heading2"/>
        <w:numPr>
          <w:ilvl w:val="1"/>
          <w:numId w:val="3"/>
        </w:numPr>
        <w:tabs>
          <w:tab w:val="left" w:pos="1577"/>
          <w:tab w:val="left" w:pos="1578"/>
        </w:tabs>
        <w:adjustRightInd w:val="0"/>
        <w:snapToGrid w:val="0"/>
        <w:spacing w:before="60" w:after="60" w:line="360" w:lineRule="auto"/>
        <w:ind w:left="108" w:rightChars="30" w:right="66" w:firstLine="0"/>
        <w:rPr>
          <w:lang w:val="en-GB"/>
        </w:rPr>
      </w:pPr>
      <w:bookmarkStart w:id="21" w:name="6.3_Shelf_life"/>
      <w:bookmarkEnd w:id="21"/>
      <w:r w:rsidRPr="00EE2E24">
        <w:rPr>
          <w:lang w:val="en-GB"/>
        </w:rPr>
        <w:t>Shelf</w:t>
      </w:r>
      <w:r w:rsidRPr="00562449">
        <w:rPr>
          <w:lang w:val="en-GB"/>
        </w:rPr>
        <w:t xml:space="preserve"> </w:t>
      </w:r>
      <w:r w:rsidRPr="00EE2E24">
        <w:rPr>
          <w:lang w:val="en-GB"/>
        </w:rPr>
        <w:t>life</w:t>
      </w:r>
    </w:p>
    <w:p w14:paraId="124EC9AE"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In Australia, information on the shelf life can be found on the public summary of the</w:t>
      </w:r>
      <w:r w:rsidRPr="00F53BC2">
        <w:rPr>
          <w:lang w:val="en-GB"/>
        </w:rPr>
        <w:t xml:space="preserve"> </w:t>
      </w:r>
      <w:r w:rsidRPr="00EE2E24">
        <w:rPr>
          <w:lang w:val="en-GB"/>
        </w:rPr>
        <w:lastRenderedPageBreak/>
        <w:t>Australian Register of Therapeutic Goods (ARTG).</w:t>
      </w:r>
      <w:r w:rsidRPr="00F53BC2">
        <w:rPr>
          <w:lang w:val="en-GB"/>
        </w:rPr>
        <w:t xml:space="preserve"> </w:t>
      </w:r>
      <w:r w:rsidRPr="00EE2E24">
        <w:rPr>
          <w:lang w:val="en-GB"/>
        </w:rPr>
        <w:t>The expiry date can be found on the</w:t>
      </w:r>
      <w:r w:rsidRPr="00F53BC2">
        <w:rPr>
          <w:lang w:val="en-GB"/>
        </w:rPr>
        <w:t xml:space="preserve"> </w:t>
      </w:r>
      <w:r w:rsidRPr="00EE2E24">
        <w:rPr>
          <w:lang w:val="en-GB"/>
        </w:rPr>
        <w:t>packaging.</w:t>
      </w:r>
    </w:p>
    <w:p w14:paraId="739BC3E4" w14:textId="4D4304F5" w:rsidR="006E62CD" w:rsidRPr="00EE2E24" w:rsidRDefault="00CB520A" w:rsidP="00D258EC">
      <w:pPr>
        <w:pStyle w:val="Heading2"/>
        <w:numPr>
          <w:ilvl w:val="1"/>
          <w:numId w:val="3"/>
        </w:numPr>
        <w:tabs>
          <w:tab w:val="left" w:pos="1577"/>
          <w:tab w:val="left" w:pos="1578"/>
        </w:tabs>
        <w:adjustRightInd w:val="0"/>
        <w:snapToGrid w:val="0"/>
        <w:spacing w:before="60" w:after="60" w:line="360" w:lineRule="auto"/>
        <w:ind w:left="108" w:rightChars="30" w:right="66" w:firstLine="0"/>
        <w:rPr>
          <w:lang w:val="en-GB"/>
        </w:rPr>
      </w:pPr>
      <w:bookmarkStart w:id="22" w:name="6.4_Special_precautions_for_storage"/>
      <w:bookmarkEnd w:id="22"/>
      <w:r w:rsidRPr="00EE2E24">
        <w:rPr>
          <w:lang w:val="en-GB"/>
        </w:rPr>
        <w:t>Special</w:t>
      </w:r>
      <w:r w:rsidRPr="00562449">
        <w:rPr>
          <w:lang w:val="en-GB"/>
        </w:rPr>
        <w:t xml:space="preserve"> </w:t>
      </w:r>
      <w:r w:rsidRPr="00EE2E24">
        <w:rPr>
          <w:lang w:val="en-GB"/>
        </w:rPr>
        <w:t>precautions</w:t>
      </w:r>
      <w:r w:rsidRPr="00562449">
        <w:rPr>
          <w:lang w:val="en-GB"/>
        </w:rPr>
        <w:t xml:space="preserve"> </w:t>
      </w:r>
      <w:r w:rsidRPr="00EE2E24">
        <w:rPr>
          <w:lang w:val="en-GB"/>
        </w:rPr>
        <w:t xml:space="preserve">for </w:t>
      </w:r>
      <w:r w:rsidR="008C7275" w:rsidRPr="00EE2E24">
        <w:rPr>
          <w:lang w:val="en-GB"/>
        </w:rPr>
        <w:t>storage</w:t>
      </w:r>
    </w:p>
    <w:p w14:paraId="3C3D6595"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It is recommended to store pre-filled syringes in a refrigerator at 2°C to 8°C in the original</w:t>
      </w:r>
      <w:r w:rsidRPr="00F53BC2">
        <w:rPr>
          <w:lang w:val="en-GB"/>
        </w:rPr>
        <w:t xml:space="preserve"> </w:t>
      </w:r>
      <w:r w:rsidRPr="00EE2E24">
        <w:rPr>
          <w:lang w:val="en-GB"/>
        </w:rPr>
        <w:t>carton.</w:t>
      </w:r>
      <w:r w:rsidRPr="00F53BC2">
        <w:rPr>
          <w:lang w:val="en-GB"/>
        </w:rPr>
        <w:t xml:space="preserve"> </w:t>
      </w:r>
      <w:r w:rsidRPr="00EE2E24">
        <w:rPr>
          <w:lang w:val="en-GB"/>
        </w:rPr>
        <w:t>Do not freeze.</w:t>
      </w:r>
      <w:r w:rsidRPr="00F53BC2">
        <w:rPr>
          <w:lang w:val="en-GB"/>
        </w:rPr>
        <w:t xml:space="preserve"> </w:t>
      </w:r>
      <w:r w:rsidRPr="00EE2E24">
        <w:rPr>
          <w:lang w:val="en-GB"/>
        </w:rPr>
        <w:t>Protect from direct light.</w:t>
      </w:r>
      <w:r w:rsidRPr="00F53BC2">
        <w:rPr>
          <w:lang w:val="en-GB"/>
        </w:rPr>
        <w:t xml:space="preserve"> </w:t>
      </w:r>
      <w:r w:rsidRPr="00EE2E24">
        <w:rPr>
          <w:lang w:val="en-GB"/>
        </w:rPr>
        <w:t>Do not excessively shake the pre-filled</w:t>
      </w:r>
      <w:r w:rsidRPr="00F53BC2">
        <w:rPr>
          <w:lang w:val="en-GB"/>
        </w:rPr>
        <w:t xml:space="preserve"> </w:t>
      </w:r>
      <w:r w:rsidRPr="00EE2E24">
        <w:rPr>
          <w:lang w:val="en-GB"/>
        </w:rPr>
        <w:t>syringe.</w:t>
      </w:r>
      <w:r w:rsidRPr="00F53BC2">
        <w:rPr>
          <w:lang w:val="en-GB"/>
        </w:rPr>
        <w:t xml:space="preserve"> </w:t>
      </w:r>
      <w:r w:rsidRPr="00EE2E24">
        <w:rPr>
          <w:lang w:val="en-GB"/>
        </w:rPr>
        <w:t>Do</w:t>
      </w:r>
      <w:r w:rsidRPr="00F53BC2">
        <w:rPr>
          <w:lang w:val="en-GB"/>
        </w:rPr>
        <w:t xml:space="preserve"> </w:t>
      </w:r>
      <w:r w:rsidRPr="00EE2E24">
        <w:rPr>
          <w:lang w:val="en-GB"/>
        </w:rPr>
        <w:t>not</w:t>
      </w:r>
      <w:r w:rsidRPr="00F53BC2">
        <w:rPr>
          <w:lang w:val="en-GB"/>
        </w:rPr>
        <w:t xml:space="preserve"> </w:t>
      </w:r>
      <w:r w:rsidRPr="00EE2E24">
        <w:rPr>
          <w:lang w:val="en-GB"/>
        </w:rPr>
        <w:t>expose</w:t>
      </w:r>
      <w:r w:rsidRPr="00F53BC2">
        <w:rPr>
          <w:lang w:val="en-GB"/>
        </w:rPr>
        <w:t xml:space="preserve"> </w:t>
      </w:r>
      <w:r w:rsidRPr="00EE2E24">
        <w:rPr>
          <w:lang w:val="en-GB"/>
        </w:rPr>
        <w:t>to</w:t>
      </w:r>
      <w:r w:rsidRPr="00F53BC2">
        <w:rPr>
          <w:lang w:val="en-GB"/>
        </w:rPr>
        <w:t xml:space="preserve"> </w:t>
      </w:r>
      <w:r w:rsidRPr="00EE2E24">
        <w:rPr>
          <w:lang w:val="en-GB"/>
        </w:rPr>
        <w:t>temperatures above</w:t>
      </w:r>
      <w:r w:rsidRPr="00F53BC2">
        <w:rPr>
          <w:lang w:val="en-GB"/>
        </w:rPr>
        <w:t xml:space="preserve"> </w:t>
      </w:r>
      <w:r w:rsidRPr="00EE2E24">
        <w:rPr>
          <w:lang w:val="en-GB"/>
        </w:rPr>
        <w:t>25°C.</w:t>
      </w:r>
    </w:p>
    <w:p w14:paraId="1A6EE0B2" w14:textId="7784A46E"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 xml:space="preserve">If removed from the refrigerator, </w:t>
      </w:r>
      <w:r w:rsidR="008E71EF">
        <w:rPr>
          <w:lang w:val="en-GB"/>
        </w:rPr>
        <w:t>Ospomyv</w:t>
      </w:r>
      <w:r w:rsidR="00562449" w:rsidRPr="00EE2E24">
        <w:rPr>
          <w:lang w:val="en-GB"/>
        </w:rPr>
        <w:t xml:space="preserve"> </w:t>
      </w:r>
      <w:r w:rsidR="00562449">
        <w:rPr>
          <w:lang w:val="en-GB"/>
        </w:rPr>
        <w:t>may</w:t>
      </w:r>
      <w:r w:rsidR="00562449" w:rsidRPr="00EE2E24">
        <w:rPr>
          <w:lang w:val="en-GB"/>
        </w:rPr>
        <w:t xml:space="preserve"> </w:t>
      </w:r>
      <w:r w:rsidRPr="00EE2E24">
        <w:rPr>
          <w:lang w:val="en-GB"/>
        </w:rPr>
        <w:t>be kept at room temperature (up to 25°C)</w:t>
      </w:r>
      <w:r w:rsidRPr="00F53BC2">
        <w:rPr>
          <w:lang w:val="en-GB"/>
        </w:rPr>
        <w:t xml:space="preserve"> </w:t>
      </w:r>
      <w:r w:rsidRPr="00EE2E24">
        <w:rPr>
          <w:lang w:val="en-GB"/>
        </w:rPr>
        <w:t>in</w:t>
      </w:r>
      <w:r w:rsidRPr="00F53BC2">
        <w:rPr>
          <w:lang w:val="en-GB"/>
        </w:rPr>
        <w:t xml:space="preserve"> </w:t>
      </w:r>
      <w:r w:rsidRPr="00EE2E24">
        <w:rPr>
          <w:lang w:val="en-GB"/>
        </w:rPr>
        <w:t>the original container</w:t>
      </w:r>
      <w:r w:rsidRPr="00F53BC2">
        <w:rPr>
          <w:lang w:val="en-GB"/>
        </w:rPr>
        <w:t xml:space="preserve"> </w:t>
      </w:r>
      <w:r w:rsidR="00562449">
        <w:rPr>
          <w:lang w:val="en-GB"/>
        </w:rPr>
        <w:t>for a single period of up to 6</w:t>
      </w:r>
      <w:r w:rsidRPr="00EE2E24">
        <w:rPr>
          <w:lang w:val="en-GB"/>
        </w:rPr>
        <w:t>0</w:t>
      </w:r>
      <w:r w:rsidRPr="00F53BC2">
        <w:rPr>
          <w:lang w:val="en-GB"/>
        </w:rPr>
        <w:t xml:space="preserve"> </w:t>
      </w:r>
      <w:r w:rsidRPr="00EE2E24">
        <w:rPr>
          <w:lang w:val="en-GB"/>
        </w:rPr>
        <w:t>days</w:t>
      </w:r>
      <w:r w:rsidR="00794C4D">
        <w:rPr>
          <w:lang w:val="en-GB"/>
        </w:rPr>
        <w:t>, but not exceeding the original expiry date</w:t>
      </w:r>
      <w:r w:rsidRPr="00EE2E24">
        <w:rPr>
          <w:lang w:val="en-GB"/>
        </w:rPr>
        <w:t>.</w:t>
      </w:r>
      <w:r w:rsidR="00562449">
        <w:rPr>
          <w:lang w:val="en-GB"/>
        </w:rPr>
        <w:t xml:space="preserve"> </w:t>
      </w:r>
      <w:bookmarkStart w:id="23" w:name="_Hlk156556613"/>
      <w:r w:rsidR="00562449" w:rsidRPr="0096244F">
        <w:t xml:space="preserve">If not used within this period of up to 60 days, </w:t>
      </w:r>
      <w:r w:rsidR="008E71EF">
        <w:t>Ospomyv</w:t>
      </w:r>
      <w:r w:rsidR="00562449" w:rsidRPr="0096244F">
        <w:t xml:space="preserve"> </w:t>
      </w:r>
      <w:r w:rsidR="003904BC" w:rsidRPr="0096244F">
        <w:t>may</w:t>
      </w:r>
      <w:r w:rsidR="00562449" w:rsidRPr="0096244F">
        <w:t xml:space="preserve"> be </w:t>
      </w:r>
      <w:r w:rsidR="003904BC" w:rsidRPr="0096244F">
        <w:t>returned to</w:t>
      </w:r>
      <w:r w:rsidR="00562449" w:rsidRPr="0096244F">
        <w:t xml:space="preserve"> the refrigerator for future use</w:t>
      </w:r>
      <w:bookmarkStart w:id="24" w:name="_Hlk156337206"/>
      <w:r w:rsidR="00562449" w:rsidRPr="0096244F">
        <w:t>.</w:t>
      </w:r>
      <w:bookmarkEnd w:id="23"/>
      <w:r w:rsidR="008816F2">
        <w:rPr>
          <w:lang w:val="en-GB"/>
        </w:rPr>
        <w:t xml:space="preserve"> </w:t>
      </w:r>
      <w:bookmarkStart w:id="25" w:name="_Hlk156556813"/>
      <w:r w:rsidR="001D5436" w:rsidRPr="001D5436">
        <w:rPr>
          <w:lang w:val="en-GB"/>
        </w:rPr>
        <w:t>Any Ospomyv that has already been exposed to room temperature for a single period of up to 60 days, and is exposed to room temperature the 2nd time, should be used as soon as possible or discarded.</w:t>
      </w:r>
      <w:r w:rsidR="001D5436">
        <w:rPr>
          <w:lang w:val="en-GB"/>
        </w:rPr>
        <w:t xml:space="preserve"> </w:t>
      </w:r>
      <w:r w:rsidR="008816F2" w:rsidRPr="008816F2">
        <w:rPr>
          <w:lang w:val="en-GB"/>
        </w:rPr>
        <w:t xml:space="preserve">Do not use </w:t>
      </w:r>
      <w:r w:rsidR="008E71EF">
        <w:rPr>
          <w:lang w:val="en-GB"/>
        </w:rPr>
        <w:t>Ospomyv</w:t>
      </w:r>
      <w:r w:rsidR="008816F2" w:rsidRPr="008816F2">
        <w:rPr>
          <w:lang w:val="en-GB"/>
        </w:rPr>
        <w:t xml:space="preserve"> after the expiry date printed on the label.</w:t>
      </w:r>
      <w:bookmarkEnd w:id="24"/>
      <w:bookmarkEnd w:id="25"/>
    </w:p>
    <w:p w14:paraId="2ACC8B1C" w14:textId="77777777" w:rsidR="006E62CD" w:rsidRPr="00EE2E24" w:rsidRDefault="00CB520A" w:rsidP="00D258EC">
      <w:pPr>
        <w:pStyle w:val="Heading2"/>
        <w:numPr>
          <w:ilvl w:val="1"/>
          <w:numId w:val="3"/>
        </w:numPr>
        <w:tabs>
          <w:tab w:val="left" w:pos="1577"/>
          <w:tab w:val="left" w:pos="1578"/>
        </w:tabs>
        <w:adjustRightInd w:val="0"/>
        <w:snapToGrid w:val="0"/>
        <w:spacing w:before="60" w:after="60" w:line="360" w:lineRule="auto"/>
        <w:ind w:left="108" w:rightChars="30" w:right="66" w:firstLine="0"/>
        <w:rPr>
          <w:lang w:val="en-GB"/>
        </w:rPr>
      </w:pPr>
      <w:bookmarkStart w:id="26" w:name="6.5_Nature_and_contents_of_container"/>
      <w:bookmarkEnd w:id="26"/>
      <w:r w:rsidRPr="00EE2E24">
        <w:rPr>
          <w:lang w:val="en-GB"/>
        </w:rPr>
        <w:t>Nature</w:t>
      </w:r>
      <w:r w:rsidRPr="00562449">
        <w:rPr>
          <w:lang w:val="en-GB"/>
        </w:rPr>
        <w:t xml:space="preserve"> </w:t>
      </w:r>
      <w:r w:rsidRPr="00EE2E24">
        <w:rPr>
          <w:lang w:val="en-GB"/>
        </w:rPr>
        <w:t>and</w:t>
      </w:r>
      <w:r w:rsidRPr="00562449">
        <w:rPr>
          <w:lang w:val="en-GB"/>
        </w:rPr>
        <w:t xml:space="preserve"> </w:t>
      </w:r>
      <w:r w:rsidRPr="00EE2E24">
        <w:rPr>
          <w:lang w:val="en-GB"/>
        </w:rPr>
        <w:t>contents</w:t>
      </w:r>
      <w:r w:rsidRPr="00562449">
        <w:rPr>
          <w:lang w:val="en-GB"/>
        </w:rPr>
        <w:t xml:space="preserve"> </w:t>
      </w:r>
      <w:r w:rsidRPr="00EE2E24">
        <w:rPr>
          <w:lang w:val="en-GB"/>
        </w:rPr>
        <w:t>of container</w:t>
      </w:r>
    </w:p>
    <w:p w14:paraId="477E8372" w14:textId="57DDAF0F"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u w:val="single"/>
          <w:lang w:val="en-GB"/>
        </w:rPr>
        <w:t>Pre-filled</w:t>
      </w:r>
      <w:r w:rsidRPr="00EE2E24">
        <w:rPr>
          <w:spacing w:val="-3"/>
          <w:u w:val="single"/>
          <w:lang w:val="en-GB"/>
        </w:rPr>
        <w:t xml:space="preserve"> </w:t>
      </w:r>
      <w:r w:rsidRPr="00EE2E24">
        <w:rPr>
          <w:u w:val="single"/>
          <w:lang w:val="en-GB"/>
        </w:rPr>
        <w:t>syringe</w:t>
      </w:r>
      <w:r w:rsidRPr="00EE2E24">
        <w:rPr>
          <w:spacing w:val="-1"/>
          <w:u w:val="single"/>
          <w:lang w:val="en-GB"/>
        </w:rPr>
        <w:t xml:space="preserve"> </w:t>
      </w:r>
      <w:r w:rsidRPr="00EE2E24">
        <w:rPr>
          <w:u w:val="single"/>
          <w:lang w:val="en-GB"/>
        </w:rPr>
        <w:t>with</w:t>
      </w:r>
      <w:r w:rsidRPr="00EE2E24">
        <w:rPr>
          <w:spacing w:val="-1"/>
          <w:u w:val="single"/>
          <w:lang w:val="en-GB"/>
        </w:rPr>
        <w:t xml:space="preserve"> </w:t>
      </w:r>
      <w:r w:rsidRPr="00EE2E24">
        <w:rPr>
          <w:u w:val="single"/>
          <w:lang w:val="en-GB"/>
        </w:rPr>
        <w:t>automatic</w:t>
      </w:r>
      <w:r w:rsidRPr="00EE2E24">
        <w:rPr>
          <w:spacing w:val="-1"/>
          <w:u w:val="single"/>
          <w:lang w:val="en-GB"/>
        </w:rPr>
        <w:t xml:space="preserve"> </w:t>
      </w:r>
      <w:r w:rsidRPr="00EE2E24">
        <w:rPr>
          <w:u w:val="single"/>
          <w:lang w:val="en-GB"/>
        </w:rPr>
        <w:t>needle</w:t>
      </w:r>
      <w:r w:rsidRPr="00EE2E24">
        <w:rPr>
          <w:spacing w:val="-2"/>
          <w:u w:val="single"/>
          <w:lang w:val="en-GB"/>
        </w:rPr>
        <w:t xml:space="preserve"> </w:t>
      </w:r>
      <w:r w:rsidRPr="00EE2E24">
        <w:rPr>
          <w:u w:val="single"/>
          <w:lang w:val="en-GB"/>
        </w:rPr>
        <w:t>guard:</w:t>
      </w:r>
    </w:p>
    <w:p w14:paraId="2E3F88FB" w14:textId="7611C086"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Pack</w:t>
      </w:r>
      <w:r w:rsidRPr="00F53BC2">
        <w:rPr>
          <w:lang w:val="en-GB"/>
        </w:rPr>
        <w:t xml:space="preserve"> </w:t>
      </w:r>
      <w:r w:rsidRPr="00EE2E24">
        <w:rPr>
          <w:lang w:val="en-GB"/>
        </w:rPr>
        <w:t>size</w:t>
      </w:r>
      <w:r w:rsidRPr="00F53BC2">
        <w:rPr>
          <w:lang w:val="en-GB"/>
        </w:rPr>
        <w:t xml:space="preserve"> </w:t>
      </w:r>
      <w:r w:rsidRPr="00EE2E24">
        <w:rPr>
          <w:lang w:val="en-GB"/>
        </w:rPr>
        <w:t>of</w:t>
      </w:r>
      <w:r w:rsidRPr="00F53BC2">
        <w:rPr>
          <w:lang w:val="en-GB"/>
        </w:rPr>
        <w:t xml:space="preserve"> </w:t>
      </w:r>
      <w:r w:rsidRPr="00EE2E24">
        <w:rPr>
          <w:lang w:val="en-GB"/>
        </w:rPr>
        <w:t>one Type</w:t>
      </w:r>
      <w:r w:rsidRPr="00F53BC2">
        <w:rPr>
          <w:lang w:val="en-GB"/>
        </w:rPr>
        <w:t xml:space="preserve"> </w:t>
      </w:r>
      <w:r w:rsidRPr="00EE2E24">
        <w:rPr>
          <w:lang w:val="en-GB"/>
        </w:rPr>
        <w:t>1</w:t>
      </w:r>
      <w:r w:rsidRPr="00F53BC2">
        <w:rPr>
          <w:lang w:val="en-GB"/>
        </w:rPr>
        <w:t xml:space="preserve"> </w:t>
      </w:r>
      <w:r w:rsidRPr="00EE2E24">
        <w:rPr>
          <w:lang w:val="en-GB"/>
        </w:rPr>
        <w:t>glass</w:t>
      </w:r>
      <w:r w:rsidRPr="00F53BC2">
        <w:rPr>
          <w:lang w:val="en-GB"/>
        </w:rPr>
        <w:t xml:space="preserve"> </w:t>
      </w:r>
      <w:r w:rsidRPr="00EE2E24">
        <w:rPr>
          <w:lang w:val="en-GB"/>
        </w:rPr>
        <w:t>syringe</w:t>
      </w:r>
      <w:r w:rsidR="00562449">
        <w:rPr>
          <w:lang w:val="en-GB"/>
        </w:rPr>
        <w:t xml:space="preserve"> with stainless steel needle with needle guard</w:t>
      </w:r>
      <w:r w:rsidRPr="00EE2E24">
        <w:rPr>
          <w:lang w:val="en-GB"/>
        </w:rPr>
        <w:t>.</w:t>
      </w:r>
    </w:p>
    <w:p w14:paraId="01C633E9" w14:textId="700F9091" w:rsidR="00562449" w:rsidRDefault="00CB520A" w:rsidP="00D258EC">
      <w:pPr>
        <w:pStyle w:val="BodyText"/>
        <w:adjustRightInd w:val="0"/>
        <w:snapToGrid w:val="0"/>
        <w:spacing w:before="60" w:after="60" w:line="360" w:lineRule="auto"/>
        <w:ind w:left="108" w:rightChars="30" w:right="66"/>
        <w:rPr>
          <w:lang w:val="en-GB"/>
        </w:rPr>
      </w:pPr>
      <w:r w:rsidRPr="000F401A">
        <w:rPr>
          <w:lang w:val="en-GB"/>
        </w:rPr>
        <w:t>The pre-filled syringe with</w:t>
      </w:r>
      <w:r w:rsidR="002A5F98" w:rsidRPr="000F401A">
        <w:rPr>
          <w:lang w:val="en-GB"/>
        </w:rPr>
        <w:t xml:space="preserve"> automatic</w:t>
      </w:r>
      <w:r w:rsidRPr="000F401A">
        <w:rPr>
          <w:lang w:val="en-GB"/>
        </w:rPr>
        <w:t xml:space="preserve"> needle guard is not made with natural rubber latex.</w:t>
      </w:r>
      <w:r w:rsidRPr="00F53BC2">
        <w:rPr>
          <w:lang w:val="en-GB"/>
        </w:rPr>
        <w:t xml:space="preserve"> </w:t>
      </w:r>
    </w:p>
    <w:p w14:paraId="226F4CAB" w14:textId="77777777" w:rsidR="006E62CD" w:rsidRPr="00EE2E24" w:rsidRDefault="00CB520A" w:rsidP="00D258EC">
      <w:pPr>
        <w:pStyle w:val="Heading2"/>
        <w:numPr>
          <w:ilvl w:val="1"/>
          <w:numId w:val="3"/>
        </w:numPr>
        <w:tabs>
          <w:tab w:val="left" w:pos="1577"/>
          <w:tab w:val="left" w:pos="1578"/>
        </w:tabs>
        <w:adjustRightInd w:val="0"/>
        <w:snapToGrid w:val="0"/>
        <w:spacing w:before="60" w:after="60" w:line="360" w:lineRule="auto"/>
        <w:ind w:left="108" w:rightChars="30" w:right="66" w:firstLine="0"/>
        <w:rPr>
          <w:lang w:val="en-GB"/>
        </w:rPr>
      </w:pPr>
      <w:bookmarkStart w:id="27" w:name="6.6_Special_precautions_for_disposal"/>
      <w:bookmarkEnd w:id="27"/>
      <w:r w:rsidRPr="00EE2E24">
        <w:rPr>
          <w:lang w:val="en-GB"/>
        </w:rPr>
        <w:t>Special</w:t>
      </w:r>
      <w:r w:rsidRPr="00562449">
        <w:rPr>
          <w:lang w:val="en-GB"/>
        </w:rPr>
        <w:t xml:space="preserve"> </w:t>
      </w:r>
      <w:r w:rsidRPr="00EE2E24">
        <w:rPr>
          <w:lang w:val="en-GB"/>
        </w:rPr>
        <w:t>precautions</w:t>
      </w:r>
      <w:r w:rsidRPr="00562449">
        <w:rPr>
          <w:lang w:val="en-GB"/>
        </w:rPr>
        <w:t xml:space="preserve"> </w:t>
      </w:r>
      <w:r w:rsidRPr="00EE2E24">
        <w:rPr>
          <w:lang w:val="en-GB"/>
        </w:rPr>
        <w:t>for</w:t>
      </w:r>
      <w:r w:rsidRPr="00562449">
        <w:rPr>
          <w:lang w:val="en-GB"/>
        </w:rPr>
        <w:t xml:space="preserve"> </w:t>
      </w:r>
      <w:r w:rsidRPr="00EE2E24">
        <w:rPr>
          <w:lang w:val="en-GB"/>
        </w:rPr>
        <w:t>disposal</w:t>
      </w:r>
    </w:p>
    <w:p w14:paraId="125EE10F"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lang w:val="en-GB"/>
        </w:rPr>
        <w:t>In</w:t>
      </w:r>
      <w:r w:rsidRPr="00F53BC2">
        <w:rPr>
          <w:lang w:val="en-GB"/>
        </w:rPr>
        <w:t xml:space="preserve"> </w:t>
      </w:r>
      <w:r w:rsidRPr="00EE2E24">
        <w:rPr>
          <w:lang w:val="en-GB"/>
        </w:rPr>
        <w:t>Australia,</w:t>
      </w:r>
      <w:r w:rsidRPr="00F53BC2">
        <w:rPr>
          <w:lang w:val="en-GB"/>
        </w:rPr>
        <w:t xml:space="preserve"> </w:t>
      </w:r>
      <w:r w:rsidRPr="00EE2E24">
        <w:rPr>
          <w:lang w:val="en-GB"/>
        </w:rPr>
        <w:t>any</w:t>
      </w:r>
      <w:r w:rsidRPr="00F53BC2">
        <w:rPr>
          <w:lang w:val="en-GB"/>
        </w:rPr>
        <w:t xml:space="preserve"> </w:t>
      </w:r>
      <w:r w:rsidRPr="00EE2E24">
        <w:rPr>
          <w:lang w:val="en-GB"/>
        </w:rPr>
        <w:t>unused</w:t>
      </w:r>
      <w:r w:rsidRPr="00F53BC2">
        <w:rPr>
          <w:lang w:val="en-GB"/>
        </w:rPr>
        <w:t xml:space="preserve"> </w:t>
      </w:r>
      <w:r w:rsidRPr="00EE2E24">
        <w:rPr>
          <w:lang w:val="en-GB"/>
        </w:rPr>
        <w:t>medicine</w:t>
      </w:r>
      <w:r w:rsidRPr="00F53BC2">
        <w:rPr>
          <w:lang w:val="en-GB"/>
        </w:rPr>
        <w:t xml:space="preserve"> </w:t>
      </w:r>
      <w:r w:rsidRPr="00EE2E24">
        <w:rPr>
          <w:lang w:val="en-GB"/>
        </w:rPr>
        <w:t>or</w:t>
      </w:r>
      <w:r w:rsidRPr="00F53BC2">
        <w:rPr>
          <w:lang w:val="en-GB"/>
        </w:rPr>
        <w:t xml:space="preserve"> </w:t>
      </w:r>
      <w:r w:rsidRPr="00EE2E24">
        <w:rPr>
          <w:lang w:val="en-GB"/>
        </w:rPr>
        <w:t>waste</w:t>
      </w:r>
      <w:r w:rsidRPr="00F53BC2">
        <w:rPr>
          <w:lang w:val="en-GB"/>
        </w:rPr>
        <w:t xml:space="preserve"> </w:t>
      </w:r>
      <w:r w:rsidRPr="00EE2E24">
        <w:rPr>
          <w:lang w:val="en-GB"/>
        </w:rPr>
        <w:t>material</w:t>
      </w:r>
      <w:r w:rsidRPr="00F53BC2">
        <w:rPr>
          <w:lang w:val="en-GB"/>
        </w:rPr>
        <w:t xml:space="preserve"> </w:t>
      </w:r>
      <w:r w:rsidRPr="00EE2E24">
        <w:rPr>
          <w:lang w:val="en-GB"/>
        </w:rPr>
        <w:t>should</w:t>
      </w:r>
      <w:r w:rsidRPr="00F53BC2">
        <w:rPr>
          <w:lang w:val="en-GB"/>
        </w:rPr>
        <w:t xml:space="preserve"> </w:t>
      </w:r>
      <w:r w:rsidRPr="00EE2E24">
        <w:rPr>
          <w:lang w:val="en-GB"/>
        </w:rPr>
        <w:t>be</w:t>
      </w:r>
      <w:r w:rsidRPr="00F53BC2">
        <w:rPr>
          <w:lang w:val="en-GB"/>
        </w:rPr>
        <w:t xml:space="preserve"> </w:t>
      </w:r>
      <w:r w:rsidRPr="00EE2E24">
        <w:rPr>
          <w:lang w:val="en-GB"/>
        </w:rPr>
        <w:t>disposed</w:t>
      </w:r>
      <w:r w:rsidRPr="00F53BC2">
        <w:rPr>
          <w:lang w:val="en-GB"/>
        </w:rPr>
        <w:t xml:space="preserve"> </w:t>
      </w:r>
      <w:r w:rsidRPr="00EE2E24">
        <w:rPr>
          <w:lang w:val="en-GB"/>
        </w:rPr>
        <w:t>of</w:t>
      </w:r>
      <w:r w:rsidRPr="00F53BC2">
        <w:rPr>
          <w:lang w:val="en-GB"/>
        </w:rPr>
        <w:t xml:space="preserve"> </w:t>
      </w:r>
      <w:r w:rsidRPr="00EE2E24">
        <w:rPr>
          <w:lang w:val="en-GB"/>
        </w:rPr>
        <w:t>by</w:t>
      </w:r>
      <w:r w:rsidRPr="00F53BC2">
        <w:rPr>
          <w:lang w:val="en-GB"/>
        </w:rPr>
        <w:t xml:space="preserve"> </w:t>
      </w:r>
      <w:r w:rsidRPr="00EE2E24">
        <w:rPr>
          <w:lang w:val="en-GB"/>
        </w:rPr>
        <w:t>taking</w:t>
      </w:r>
      <w:r w:rsidRPr="00F53BC2">
        <w:rPr>
          <w:lang w:val="en-GB"/>
        </w:rPr>
        <w:t xml:space="preserve"> </w:t>
      </w:r>
      <w:r w:rsidRPr="00EE2E24">
        <w:rPr>
          <w:lang w:val="en-GB"/>
        </w:rPr>
        <w:t>to</w:t>
      </w:r>
      <w:r w:rsidRPr="00F53BC2">
        <w:rPr>
          <w:lang w:val="en-GB"/>
        </w:rPr>
        <w:t xml:space="preserve"> </w:t>
      </w:r>
      <w:r w:rsidRPr="00EE2E24">
        <w:rPr>
          <w:lang w:val="en-GB"/>
        </w:rPr>
        <w:t>your</w:t>
      </w:r>
      <w:r w:rsidRPr="00F53BC2">
        <w:rPr>
          <w:lang w:val="en-GB"/>
        </w:rPr>
        <w:t xml:space="preserve"> </w:t>
      </w:r>
      <w:r w:rsidRPr="00EE2E24">
        <w:rPr>
          <w:lang w:val="en-GB"/>
        </w:rPr>
        <w:t>local</w:t>
      </w:r>
      <w:r w:rsidRPr="00F53BC2">
        <w:rPr>
          <w:lang w:val="en-GB"/>
        </w:rPr>
        <w:t xml:space="preserve"> </w:t>
      </w:r>
      <w:r w:rsidRPr="00EE2E24">
        <w:rPr>
          <w:lang w:val="en-GB"/>
        </w:rPr>
        <w:t>pharmacy.</w:t>
      </w:r>
    </w:p>
    <w:p w14:paraId="5CECA476" w14:textId="77777777" w:rsidR="006E62CD" w:rsidRPr="00EE2E24" w:rsidRDefault="00CB520A" w:rsidP="00807983">
      <w:pPr>
        <w:pStyle w:val="Heading2"/>
        <w:pageBreakBefore/>
        <w:numPr>
          <w:ilvl w:val="1"/>
          <w:numId w:val="3"/>
        </w:numPr>
        <w:tabs>
          <w:tab w:val="left" w:pos="1577"/>
          <w:tab w:val="left" w:pos="1578"/>
        </w:tabs>
        <w:adjustRightInd w:val="0"/>
        <w:snapToGrid w:val="0"/>
        <w:spacing w:before="60" w:after="60" w:line="360" w:lineRule="auto"/>
        <w:ind w:left="108" w:rightChars="30" w:right="66" w:firstLine="0"/>
        <w:rPr>
          <w:lang w:val="en-GB"/>
        </w:rPr>
      </w:pPr>
      <w:bookmarkStart w:id="28" w:name="6.7_Physicochemical_properties"/>
      <w:bookmarkEnd w:id="28"/>
      <w:r w:rsidRPr="00EE2E24">
        <w:rPr>
          <w:lang w:val="en-GB"/>
        </w:rPr>
        <w:lastRenderedPageBreak/>
        <w:t>Physicochemical</w:t>
      </w:r>
      <w:r w:rsidRPr="00562449">
        <w:rPr>
          <w:lang w:val="en-GB"/>
        </w:rPr>
        <w:t xml:space="preserve"> </w:t>
      </w:r>
      <w:r w:rsidRPr="00EE2E24">
        <w:rPr>
          <w:lang w:val="en-GB"/>
        </w:rPr>
        <w:t>properties</w:t>
      </w:r>
    </w:p>
    <w:p w14:paraId="044A5DB0" w14:textId="77777777" w:rsidR="006E62CD" w:rsidRPr="00EE2E24" w:rsidRDefault="00CB520A" w:rsidP="00D258EC">
      <w:pPr>
        <w:pStyle w:val="BodyText"/>
        <w:adjustRightInd w:val="0"/>
        <w:snapToGrid w:val="0"/>
        <w:spacing w:before="60" w:after="60" w:line="360" w:lineRule="auto"/>
        <w:ind w:left="108" w:rightChars="30" w:right="66"/>
        <w:rPr>
          <w:lang w:val="en-GB"/>
        </w:rPr>
      </w:pPr>
      <w:r w:rsidRPr="00EE2E24">
        <w:rPr>
          <w:u w:val="single"/>
          <w:lang w:val="en-GB"/>
        </w:rPr>
        <w:t>Chemical</w:t>
      </w:r>
      <w:r w:rsidRPr="00EE2E24">
        <w:rPr>
          <w:spacing w:val="-1"/>
          <w:u w:val="single"/>
          <w:lang w:val="en-GB"/>
        </w:rPr>
        <w:t xml:space="preserve"> </w:t>
      </w:r>
      <w:r w:rsidRPr="00EE2E24">
        <w:rPr>
          <w:u w:val="single"/>
          <w:lang w:val="en-GB"/>
        </w:rPr>
        <w:t>structure</w:t>
      </w:r>
    </w:p>
    <w:p w14:paraId="30A4E2BB" w14:textId="074320B7" w:rsidR="006E62CD" w:rsidRPr="004E5B92" w:rsidRDefault="00CB520A" w:rsidP="00D258EC">
      <w:pPr>
        <w:pStyle w:val="BodyText"/>
        <w:adjustRightInd w:val="0"/>
        <w:snapToGrid w:val="0"/>
        <w:spacing w:before="60" w:after="60" w:line="360" w:lineRule="auto"/>
        <w:ind w:left="108" w:rightChars="30" w:right="66"/>
        <w:rPr>
          <w:lang w:val="en-GB"/>
        </w:rPr>
      </w:pPr>
      <w:r w:rsidRPr="00911EE8">
        <w:rPr>
          <w:noProof/>
          <w:lang w:val="en-GB"/>
        </w:rPr>
        <w:drawing>
          <wp:anchor distT="0" distB="0" distL="0" distR="0" simplePos="0" relativeHeight="251660288" behindDoc="0" locked="0" layoutInCell="1" allowOverlap="1" wp14:anchorId="0343FF24" wp14:editId="1A7B2123">
            <wp:simplePos x="0" y="0"/>
            <wp:positionH relativeFrom="page">
              <wp:posOffset>1177713</wp:posOffset>
            </wp:positionH>
            <wp:positionV relativeFrom="paragraph">
              <wp:posOffset>156951</wp:posOffset>
            </wp:positionV>
            <wp:extent cx="3441493" cy="3328415"/>
            <wp:effectExtent l="0" t="0" r="0" b="0"/>
            <wp:wrapTopAndBottom/>
            <wp:docPr id="3" name="image2.jpeg"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Chemical structure"/>
                    <pic:cNvPicPr/>
                  </pic:nvPicPr>
                  <pic:blipFill>
                    <a:blip r:embed="rId10" cstate="print"/>
                    <a:stretch>
                      <a:fillRect/>
                    </a:stretch>
                  </pic:blipFill>
                  <pic:spPr>
                    <a:xfrm>
                      <a:off x="0" y="0"/>
                      <a:ext cx="3441493" cy="3328415"/>
                    </a:xfrm>
                    <a:prstGeom prst="rect">
                      <a:avLst/>
                    </a:prstGeom>
                  </pic:spPr>
                </pic:pic>
              </a:graphicData>
            </a:graphic>
          </wp:anchor>
        </w:drawing>
      </w:r>
      <w:r w:rsidRPr="00375885">
        <w:rPr>
          <w:lang w:val="en-GB"/>
        </w:rPr>
        <w:t xml:space="preserve">Denosumab </w:t>
      </w:r>
      <w:r w:rsidRPr="004E5B92">
        <w:rPr>
          <w:lang w:val="en-GB"/>
        </w:rPr>
        <w:t>has an approximate molecular weight of 147 kDa and is produced in genetically engineered mammalian (Chinese Hamster Ovary, CHO) cells.</w:t>
      </w:r>
    </w:p>
    <w:p w14:paraId="409AEED5" w14:textId="77777777" w:rsidR="006E62CD" w:rsidRPr="004E5B92" w:rsidRDefault="00CB520A" w:rsidP="00D258EC">
      <w:pPr>
        <w:pStyle w:val="BodyText"/>
        <w:adjustRightInd w:val="0"/>
        <w:snapToGrid w:val="0"/>
        <w:spacing w:before="60" w:after="60" w:line="360" w:lineRule="auto"/>
        <w:ind w:left="108" w:rightChars="30" w:right="66"/>
        <w:rPr>
          <w:lang w:val="en-GB"/>
        </w:rPr>
      </w:pPr>
      <w:r w:rsidRPr="004E5B92">
        <w:rPr>
          <w:u w:val="single"/>
          <w:lang w:val="en-GB"/>
        </w:rPr>
        <w:t>CAS</w:t>
      </w:r>
      <w:r w:rsidRPr="004E5B92">
        <w:rPr>
          <w:spacing w:val="-3"/>
          <w:u w:val="single"/>
          <w:lang w:val="en-GB"/>
        </w:rPr>
        <w:t xml:space="preserve"> </w:t>
      </w:r>
      <w:r w:rsidRPr="004E5B92">
        <w:rPr>
          <w:u w:val="single"/>
          <w:lang w:val="en-GB"/>
        </w:rPr>
        <w:t>number</w:t>
      </w:r>
    </w:p>
    <w:p w14:paraId="4E7B734C" w14:textId="77777777" w:rsidR="006E62CD" w:rsidRPr="004E5B92" w:rsidRDefault="00CB520A" w:rsidP="00D258EC">
      <w:pPr>
        <w:pStyle w:val="BodyText"/>
        <w:adjustRightInd w:val="0"/>
        <w:snapToGrid w:val="0"/>
        <w:spacing w:before="60" w:after="60" w:line="360" w:lineRule="auto"/>
        <w:ind w:left="108" w:rightChars="30" w:right="66"/>
        <w:rPr>
          <w:lang w:val="en-GB"/>
        </w:rPr>
      </w:pPr>
      <w:r w:rsidRPr="004E5B92">
        <w:rPr>
          <w:lang w:val="en-GB"/>
        </w:rPr>
        <w:t>615258-40-7</w:t>
      </w:r>
    </w:p>
    <w:p w14:paraId="3C84710B" w14:textId="77777777" w:rsidR="006E62CD" w:rsidRPr="004E5B92" w:rsidRDefault="00CB520A" w:rsidP="00D258EC">
      <w:pPr>
        <w:pStyle w:val="Heading1"/>
        <w:numPr>
          <w:ilvl w:val="0"/>
          <w:numId w:val="3"/>
        </w:numPr>
        <w:tabs>
          <w:tab w:val="left" w:pos="1577"/>
          <w:tab w:val="left" w:pos="1578"/>
        </w:tabs>
        <w:adjustRightInd w:val="0"/>
        <w:snapToGrid w:val="0"/>
        <w:spacing w:before="60" w:after="60" w:line="360" w:lineRule="auto"/>
        <w:ind w:left="108" w:rightChars="30" w:right="66" w:firstLine="0"/>
        <w:rPr>
          <w:lang w:val="en-GB"/>
        </w:rPr>
      </w:pPr>
      <w:bookmarkStart w:id="29" w:name="7._MEDICINE_SCHEDULE_(POISONS_STANDARD)"/>
      <w:bookmarkEnd w:id="29"/>
      <w:r w:rsidRPr="004E5B92">
        <w:rPr>
          <w:lang w:val="en-GB"/>
        </w:rPr>
        <w:t>MEDICINE SCHEDULE (POISONS STANDARD)</w:t>
      </w:r>
    </w:p>
    <w:p w14:paraId="32108FC4" w14:textId="77777777" w:rsidR="006E62CD" w:rsidRPr="004E5B92" w:rsidRDefault="00CB520A" w:rsidP="00D258EC">
      <w:pPr>
        <w:pStyle w:val="BodyText"/>
        <w:adjustRightInd w:val="0"/>
        <w:snapToGrid w:val="0"/>
        <w:spacing w:before="60" w:after="60" w:line="360" w:lineRule="auto"/>
        <w:ind w:left="108" w:rightChars="30" w:right="66"/>
        <w:rPr>
          <w:lang w:val="en-GB"/>
        </w:rPr>
      </w:pPr>
      <w:r w:rsidRPr="004E5B92">
        <w:rPr>
          <w:lang w:val="en-GB"/>
        </w:rPr>
        <w:t>S4 Prescription Medicine</w:t>
      </w:r>
    </w:p>
    <w:p w14:paraId="77601450" w14:textId="77777777" w:rsidR="006E62CD" w:rsidRPr="004E5B92" w:rsidRDefault="00CB520A" w:rsidP="00D258EC">
      <w:pPr>
        <w:pStyle w:val="Heading1"/>
        <w:numPr>
          <w:ilvl w:val="0"/>
          <w:numId w:val="3"/>
        </w:numPr>
        <w:tabs>
          <w:tab w:val="left" w:pos="1577"/>
          <w:tab w:val="left" w:pos="1578"/>
        </w:tabs>
        <w:adjustRightInd w:val="0"/>
        <w:snapToGrid w:val="0"/>
        <w:spacing w:before="60" w:after="60" w:line="360" w:lineRule="auto"/>
        <w:ind w:left="108" w:rightChars="30" w:right="66" w:firstLine="0"/>
        <w:rPr>
          <w:lang w:val="en-GB"/>
        </w:rPr>
      </w:pPr>
      <w:bookmarkStart w:id="30" w:name="8._SPONSOR"/>
      <w:bookmarkEnd w:id="30"/>
      <w:r w:rsidRPr="004E5B92">
        <w:rPr>
          <w:lang w:val="en-GB"/>
        </w:rPr>
        <w:t>SPONSOR</w:t>
      </w:r>
    </w:p>
    <w:p w14:paraId="31E0FDF0" w14:textId="33481B03" w:rsidR="004E5B92" w:rsidRDefault="004E5B92" w:rsidP="00D258EC">
      <w:pPr>
        <w:pStyle w:val="BodyText"/>
        <w:adjustRightInd w:val="0"/>
        <w:snapToGrid w:val="0"/>
        <w:spacing w:before="60" w:after="60" w:line="360" w:lineRule="auto"/>
        <w:ind w:left="108" w:rightChars="30" w:right="66"/>
        <w:rPr>
          <w:lang w:val="en-GB"/>
        </w:rPr>
      </w:pPr>
      <w:r>
        <w:rPr>
          <w:lang w:val="en-GB"/>
        </w:rPr>
        <w:t>Samsung Bioepis AU</w:t>
      </w:r>
      <w:r w:rsidR="00EB40AF">
        <w:rPr>
          <w:lang w:val="en-GB"/>
        </w:rPr>
        <w:t xml:space="preserve"> PTY LTD</w:t>
      </w:r>
    </w:p>
    <w:p w14:paraId="457DEBBC" w14:textId="21249685" w:rsidR="00304580" w:rsidRPr="00304580" w:rsidRDefault="21AEACBB" w:rsidP="00304580">
      <w:pPr>
        <w:pStyle w:val="BodyText"/>
        <w:adjustRightInd w:val="0"/>
        <w:snapToGrid w:val="0"/>
        <w:spacing w:before="60" w:after="60" w:line="360" w:lineRule="auto"/>
        <w:ind w:left="108" w:rightChars="30" w:right="66"/>
        <w:rPr>
          <w:lang w:val="en-GB"/>
        </w:rPr>
      </w:pPr>
      <w:r w:rsidRPr="6DD3F7DB">
        <w:rPr>
          <w:lang w:val="en-GB"/>
        </w:rPr>
        <w:t>Suite 1, Level 11, 66 Goulburn Street,</w:t>
      </w:r>
    </w:p>
    <w:p w14:paraId="0AC964EA" w14:textId="77777777" w:rsidR="00304580" w:rsidRPr="00304580" w:rsidRDefault="00304580" w:rsidP="00304580">
      <w:pPr>
        <w:pStyle w:val="BodyText"/>
        <w:adjustRightInd w:val="0"/>
        <w:snapToGrid w:val="0"/>
        <w:spacing w:before="60" w:after="60" w:line="360" w:lineRule="auto"/>
        <w:ind w:left="108" w:rightChars="30" w:right="66"/>
        <w:rPr>
          <w:lang w:val="en-GB"/>
        </w:rPr>
      </w:pPr>
      <w:r w:rsidRPr="00304580">
        <w:rPr>
          <w:lang w:val="en-GB"/>
        </w:rPr>
        <w:t>Sydney NSW 2000</w:t>
      </w:r>
    </w:p>
    <w:p w14:paraId="6B3121C6" w14:textId="77777777" w:rsidR="00304580" w:rsidRPr="00304580" w:rsidRDefault="00304580" w:rsidP="00304580">
      <w:pPr>
        <w:pStyle w:val="BodyText"/>
        <w:adjustRightInd w:val="0"/>
        <w:snapToGrid w:val="0"/>
        <w:spacing w:before="60" w:after="60" w:line="360" w:lineRule="auto"/>
        <w:ind w:left="108" w:rightChars="30" w:right="66"/>
        <w:rPr>
          <w:lang w:val="en-GB"/>
        </w:rPr>
      </w:pPr>
      <w:r w:rsidRPr="00304580">
        <w:rPr>
          <w:lang w:val="en-GB"/>
        </w:rPr>
        <w:t>Australia</w:t>
      </w:r>
    </w:p>
    <w:p w14:paraId="1CAB6470" w14:textId="095D2209" w:rsidR="00304580" w:rsidRPr="00B852A8" w:rsidRDefault="00304580" w:rsidP="00D258EC">
      <w:pPr>
        <w:pStyle w:val="BodyText"/>
        <w:adjustRightInd w:val="0"/>
        <w:snapToGrid w:val="0"/>
        <w:spacing w:before="60" w:after="60" w:line="360" w:lineRule="auto"/>
        <w:ind w:left="108" w:rightChars="30" w:right="66"/>
        <w:rPr>
          <w:lang w:val="en-GB"/>
        </w:rPr>
      </w:pPr>
      <w:r w:rsidRPr="00794C4D">
        <w:rPr>
          <w:lang w:val="en-GB"/>
        </w:rPr>
        <w:t>Telephone: TBD</w:t>
      </w:r>
    </w:p>
    <w:p w14:paraId="1944CEB2" w14:textId="0AD50FD7" w:rsidR="006E62CD" w:rsidRPr="004E5B92" w:rsidRDefault="00CB520A" w:rsidP="00D258EC">
      <w:pPr>
        <w:pStyle w:val="BodyText"/>
        <w:adjustRightInd w:val="0"/>
        <w:snapToGrid w:val="0"/>
        <w:spacing w:before="60" w:after="60" w:line="360" w:lineRule="auto"/>
        <w:ind w:left="108" w:rightChars="30" w:right="66"/>
      </w:pPr>
      <w:r w:rsidRPr="00794C4D">
        <w:rPr>
          <w:lang w:val="en-GB"/>
        </w:rPr>
        <w:t>Email:</w:t>
      </w:r>
      <w:r w:rsidR="00304580" w:rsidRPr="00794C4D">
        <w:rPr>
          <w:lang w:val="en-GB"/>
        </w:rPr>
        <w:t xml:space="preserve"> TBD</w:t>
      </w:r>
    </w:p>
    <w:p w14:paraId="27905FAC" w14:textId="77777777" w:rsidR="006E62CD" w:rsidRPr="004E5B92" w:rsidRDefault="00CB520A" w:rsidP="00D258EC">
      <w:pPr>
        <w:pStyle w:val="Heading1"/>
        <w:numPr>
          <w:ilvl w:val="0"/>
          <w:numId w:val="3"/>
        </w:numPr>
        <w:tabs>
          <w:tab w:val="left" w:pos="1577"/>
          <w:tab w:val="left" w:pos="1578"/>
        </w:tabs>
        <w:adjustRightInd w:val="0"/>
        <w:snapToGrid w:val="0"/>
        <w:spacing w:before="60" w:after="60" w:line="360" w:lineRule="auto"/>
        <w:ind w:left="108" w:rightChars="30" w:right="66" w:firstLine="0"/>
        <w:rPr>
          <w:lang w:val="en-GB"/>
        </w:rPr>
      </w:pPr>
      <w:bookmarkStart w:id="31" w:name="9._DATE_OF_FIRST_APPROVAL"/>
      <w:bookmarkEnd w:id="31"/>
      <w:r w:rsidRPr="004E5B92">
        <w:t>DATE</w:t>
      </w:r>
      <w:r w:rsidRPr="004E5B92">
        <w:rPr>
          <w:lang w:val="en-GB"/>
        </w:rPr>
        <w:t xml:space="preserve"> OF FIRST APPROVAL</w:t>
      </w:r>
    </w:p>
    <w:p w14:paraId="38625B3A" w14:textId="02A217B7" w:rsidR="006E62CD" w:rsidRPr="004E5B92" w:rsidRDefault="00530026" w:rsidP="00D258EC">
      <w:pPr>
        <w:pStyle w:val="BodyText"/>
        <w:adjustRightInd w:val="0"/>
        <w:snapToGrid w:val="0"/>
        <w:spacing w:before="60" w:after="60" w:line="360" w:lineRule="auto"/>
        <w:ind w:left="108" w:rightChars="30" w:right="66"/>
        <w:rPr>
          <w:lang w:val="en-GB"/>
        </w:rPr>
      </w:pPr>
      <w:r w:rsidRPr="00530026">
        <w:rPr>
          <w:lang w:val="en-GB"/>
        </w:rPr>
        <w:t>9 July 2025</w:t>
      </w:r>
    </w:p>
    <w:p w14:paraId="69636E48" w14:textId="77777777" w:rsidR="006E62CD" w:rsidRPr="004E5B92" w:rsidRDefault="00CB520A" w:rsidP="00D258EC">
      <w:pPr>
        <w:pStyle w:val="Heading1"/>
        <w:numPr>
          <w:ilvl w:val="0"/>
          <w:numId w:val="3"/>
        </w:numPr>
        <w:tabs>
          <w:tab w:val="left" w:pos="1577"/>
          <w:tab w:val="left" w:pos="1578"/>
        </w:tabs>
        <w:adjustRightInd w:val="0"/>
        <w:snapToGrid w:val="0"/>
        <w:spacing w:before="60" w:after="60" w:line="360" w:lineRule="auto"/>
        <w:ind w:left="108" w:rightChars="30" w:right="66" w:firstLine="0"/>
        <w:rPr>
          <w:lang w:val="en-GB"/>
        </w:rPr>
      </w:pPr>
      <w:bookmarkStart w:id="32" w:name="10._DATE_OF_REVISION"/>
      <w:bookmarkEnd w:id="32"/>
      <w:r w:rsidRPr="004E5B92">
        <w:rPr>
          <w:lang w:val="en-GB"/>
        </w:rPr>
        <w:lastRenderedPageBreak/>
        <w:t>DATE OF REVISION</w:t>
      </w:r>
    </w:p>
    <w:p w14:paraId="344D17BB" w14:textId="184EE7FB" w:rsidR="006E62CD" w:rsidRPr="004E5B92" w:rsidRDefault="006E1E5F" w:rsidP="00D258EC">
      <w:pPr>
        <w:pStyle w:val="BodyText"/>
        <w:adjustRightInd w:val="0"/>
        <w:snapToGrid w:val="0"/>
        <w:spacing w:before="60" w:after="60" w:line="360" w:lineRule="auto"/>
        <w:ind w:left="108" w:rightChars="30" w:right="66"/>
        <w:rPr>
          <w:lang w:val="en-GB"/>
        </w:rPr>
      </w:pPr>
      <w:bookmarkStart w:id="33" w:name="_Hlk156585128"/>
      <w:r>
        <w:rPr>
          <w:lang w:val="en-GB"/>
        </w:rPr>
        <w:t>N/A</w:t>
      </w:r>
    </w:p>
    <w:bookmarkEnd w:id="33"/>
    <w:p w14:paraId="08D99FF6" w14:textId="77777777" w:rsidR="007F1402" w:rsidRDefault="007F1402" w:rsidP="00E679E9">
      <w:pPr>
        <w:pStyle w:val="BodyText"/>
        <w:adjustRightInd w:val="0"/>
        <w:snapToGrid w:val="0"/>
        <w:spacing w:before="60" w:after="60" w:line="360" w:lineRule="auto"/>
        <w:ind w:left="108" w:rightChars="30" w:right="66"/>
        <w:rPr>
          <w:lang w:val="en-GB"/>
        </w:rPr>
      </w:pPr>
    </w:p>
    <w:p w14:paraId="2EBF02AC" w14:textId="5293BD7F" w:rsidR="006E62CD" w:rsidRPr="004E5B92" w:rsidRDefault="00CB520A" w:rsidP="00D258EC">
      <w:pPr>
        <w:pStyle w:val="Heading1"/>
        <w:adjustRightInd w:val="0"/>
        <w:snapToGrid w:val="0"/>
        <w:spacing w:before="60" w:after="60" w:line="360" w:lineRule="auto"/>
        <w:ind w:left="108" w:rightChars="30" w:right="66" w:firstLine="0"/>
        <w:rPr>
          <w:lang w:val="en-GB"/>
        </w:rPr>
      </w:pPr>
      <w:r w:rsidRPr="004E5B92">
        <w:rPr>
          <w:lang w:val="en-GB"/>
        </w:rPr>
        <w:t>SUMMARY</w:t>
      </w:r>
      <w:r w:rsidRPr="004E5B92">
        <w:rPr>
          <w:spacing w:val="-3"/>
          <w:lang w:val="en-GB"/>
        </w:rPr>
        <w:t xml:space="preserve"> </w:t>
      </w:r>
      <w:r w:rsidRPr="004E5B92">
        <w:rPr>
          <w:lang w:val="en-GB"/>
        </w:rPr>
        <w:t>TABLE</w:t>
      </w:r>
      <w:r w:rsidRPr="004E5B92">
        <w:rPr>
          <w:spacing w:val="-2"/>
          <w:lang w:val="en-GB"/>
        </w:rPr>
        <w:t xml:space="preserve"> </w:t>
      </w:r>
      <w:r w:rsidRPr="004E5B92">
        <w:rPr>
          <w:lang w:val="en-GB"/>
        </w:rPr>
        <w:t>OF</w:t>
      </w:r>
      <w:r w:rsidRPr="004E5B92">
        <w:rPr>
          <w:spacing w:val="-2"/>
          <w:lang w:val="en-GB"/>
        </w:rPr>
        <w:t xml:space="preserve"> </w:t>
      </w:r>
      <w:r w:rsidRPr="004E5B92">
        <w:rPr>
          <w:lang w:val="en-GB"/>
        </w:rPr>
        <w:t>CHANGES</w:t>
      </w:r>
    </w:p>
    <w:tbl>
      <w:tblPr>
        <w:tblStyle w:val="NormalTable0"/>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5566"/>
      </w:tblGrid>
      <w:tr w:rsidR="00FA4FC4" w:rsidRPr="003444E8" w14:paraId="5E45E8F4" w14:textId="2933343D" w:rsidTr="004923C5">
        <w:trPr>
          <w:trHeight w:val="76"/>
        </w:trPr>
        <w:tc>
          <w:tcPr>
            <w:tcW w:w="2831" w:type="dxa"/>
          </w:tcPr>
          <w:p w14:paraId="65FE65BE" w14:textId="41EA72DE" w:rsidR="00313465" w:rsidRPr="006E1E5F" w:rsidRDefault="00CB520A" w:rsidP="00B852A8">
            <w:pPr>
              <w:pStyle w:val="BodyText"/>
              <w:adjustRightInd w:val="0"/>
              <w:snapToGrid w:val="0"/>
              <w:spacing w:before="60" w:after="60" w:line="360" w:lineRule="auto"/>
              <w:ind w:left="108" w:rightChars="30" w:right="66"/>
              <w:rPr>
                <w:lang w:val="en-GB" w:eastAsia="ko-KR"/>
              </w:rPr>
            </w:pPr>
            <w:r w:rsidRPr="006E1E5F">
              <w:rPr>
                <w:lang w:val="en-GB"/>
              </w:rPr>
              <w:t>Section</w:t>
            </w:r>
            <w:r w:rsidRPr="006E1E5F">
              <w:rPr>
                <w:spacing w:val="-3"/>
                <w:lang w:val="en-GB"/>
              </w:rPr>
              <w:t xml:space="preserve"> </w:t>
            </w:r>
            <w:r w:rsidRPr="006E1E5F">
              <w:rPr>
                <w:lang w:val="en-GB"/>
              </w:rPr>
              <w:t>changed</w:t>
            </w:r>
          </w:p>
        </w:tc>
        <w:tc>
          <w:tcPr>
            <w:tcW w:w="5566" w:type="dxa"/>
          </w:tcPr>
          <w:p w14:paraId="6B92153E" w14:textId="53E59287" w:rsidR="006E62CD" w:rsidRPr="006E1E5F" w:rsidRDefault="00CB520A" w:rsidP="00D258EC">
            <w:pPr>
              <w:pStyle w:val="TableParagraph"/>
              <w:adjustRightInd w:val="0"/>
              <w:snapToGrid w:val="0"/>
              <w:spacing w:after="60" w:line="360" w:lineRule="auto"/>
              <w:ind w:left="108" w:rightChars="30" w:right="66"/>
              <w:rPr>
                <w:lang w:val="en-GB"/>
              </w:rPr>
            </w:pPr>
            <w:r w:rsidRPr="006E1E5F">
              <w:rPr>
                <w:lang w:val="en-GB"/>
              </w:rPr>
              <w:t>Summary</w:t>
            </w:r>
            <w:r w:rsidRPr="006E1E5F">
              <w:rPr>
                <w:spacing w:val="-3"/>
                <w:lang w:val="en-GB"/>
              </w:rPr>
              <w:t xml:space="preserve"> </w:t>
            </w:r>
            <w:r w:rsidRPr="006E1E5F">
              <w:rPr>
                <w:lang w:val="en-GB"/>
              </w:rPr>
              <w:t>of</w:t>
            </w:r>
            <w:r w:rsidRPr="006E1E5F">
              <w:rPr>
                <w:spacing w:val="-2"/>
                <w:lang w:val="en-GB"/>
              </w:rPr>
              <w:t xml:space="preserve"> </w:t>
            </w:r>
            <w:r w:rsidRPr="006E1E5F">
              <w:rPr>
                <w:lang w:val="en-GB"/>
              </w:rPr>
              <w:t>new</w:t>
            </w:r>
            <w:r w:rsidRPr="006E1E5F">
              <w:rPr>
                <w:spacing w:val="-2"/>
                <w:lang w:val="en-GB"/>
              </w:rPr>
              <w:t xml:space="preserve"> </w:t>
            </w:r>
            <w:r w:rsidRPr="006E1E5F">
              <w:rPr>
                <w:lang w:val="en-GB"/>
              </w:rPr>
              <w:t>information</w:t>
            </w:r>
          </w:p>
        </w:tc>
      </w:tr>
      <w:tr w:rsidR="00FA4FC4" w:rsidRPr="003444E8" w14:paraId="32876283" w14:textId="3297F7E8" w:rsidTr="004923C5">
        <w:trPr>
          <w:trHeight w:val="76"/>
        </w:trPr>
        <w:tc>
          <w:tcPr>
            <w:tcW w:w="2831" w:type="dxa"/>
          </w:tcPr>
          <w:p w14:paraId="3B06B52D" w14:textId="5A457591" w:rsidR="0045151B" w:rsidRPr="006E1E5F" w:rsidRDefault="0045151B" w:rsidP="0045151B">
            <w:pPr>
              <w:pStyle w:val="TableParagraph"/>
              <w:adjustRightInd w:val="0"/>
              <w:snapToGrid w:val="0"/>
              <w:spacing w:after="60" w:line="360" w:lineRule="auto"/>
              <w:ind w:left="108" w:rightChars="30" w:right="66"/>
              <w:rPr>
                <w:lang w:val="en-GB"/>
              </w:rPr>
            </w:pPr>
            <w:r w:rsidRPr="006E1E5F">
              <w:rPr>
                <w:rFonts w:eastAsiaTheme="minorEastAsia"/>
                <w:lang w:eastAsia="ko-KR"/>
              </w:rPr>
              <w:t>N/A</w:t>
            </w:r>
          </w:p>
        </w:tc>
        <w:tc>
          <w:tcPr>
            <w:tcW w:w="5566" w:type="dxa"/>
          </w:tcPr>
          <w:p w14:paraId="0B6165B4" w14:textId="0FBF4DF1" w:rsidR="0045151B" w:rsidRPr="006E1E5F" w:rsidRDefault="0045151B" w:rsidP="0045151B">
            <w:pPr>
              <w:pStyle w:val="TableParagraph"/>
              <w:adjustRightInd w:val="0"/>
              <w:snapToGrid w:val="0"/>
              <w:spacing w:after="60" w:line="360" w:lineRule="auto"/>
              <w:ind w:left="108" w:rightChars="30" w:right="66"/>
              <w:rPr>
                <w:lang w:val="en-GB"/>
              </w:rPr>
            </w:pPr>
            <w:r w:rsidRPr="006E1E5F">
              <w:t>N/A</w:t>
            </w:r>
          </w:p>
        </w:tc>
      </w:tr>
    </w:tbl>
    <w:p w14:paraId="6D506BD1" w14:textId="27EBF637" w:rsidR="006E62CD" w:rsidRDefault="008E71EF" w:rsidP="00D258EC">
      <w:pPr>
        <w:pStyle w:val="BodyText"/>
        <w:adjustRightInd w:val="0"/>
        <w:snapToGrid w:val="0"/>
        <w:spacing w:before="60" w:after="60" w:line="360" w:lineRule="auto"/>
        <w:ind w:left="108" w:rightChars="30" w:right="66"/>
        <w:rPr>
          <w:lang w:val="en-GB"/>
        </w:rPr>
      </w:pPr>
      <w:r>
        <w:rPr>
          <w:lang w:val="en-GB"/>
        </w:rPr>
        <w:t>Ospomyv</w:t>
      </w:r>
      <w:r w:rsidR="00911EE8" w:rsidRPr="00911EE8">
        <w:rPr>
          <w:vertAlign w:val="superscript"/>
          <w:lang w:val="en-GB"/>
        </w:rPr>
        <w:t>TM</w:t>
      </w:r>
      <w:r w:rsidR="00CB520A" w:rsidRPr="00F53BC2">
        <w:rPr>
          <w:rFonts w:ascii="Times New Roman" w:hAnsi="Times New Roman"/>
          <w:spacing w:val="2"/>
          <w:lang w:val="en-GB"/>
        </w:rPr>
        <w:t xml:space="preserve"> </w:t>
      </w:r>
      <w:r w:rsidR="00CB520A" w:rsidRPr="00F53BC2">
        <w:rPr>
          <w:lang w:val="en-GB"/>
        </w:rPr>
        <w:t>is</w:t>
      </w:r>
      <w:r w:rsidR="00CB520A" w:rsidRPr="00F53BC2">
        <w:rPr>
          <w:spacing w:val="-2"/>
          <w:lang w:val="en-GB"/>
        </w:rPr>
        <w:t xml:space="preserve"> </w:t>
      </w:r>
      <w:r w:rsidR="00CB520A" w:rsidRPr="00F53BC2">
        <w:rPr>
          <w:lang w:val="en-GB"/>
        </w:rPr>
        <w:t>a</w:t>
      </w:r>
      <w:r w:rsidR="00CB520A" w:rsidRPr="00F53BC2">
        <w:rPr>
          <w:spacing w:val="-3"/>
          <w:lang w:val="en-GB"/>
        </w:rPr>
        <w:t xml:space="preserve"> </w:t>
      </w:r>
      <w:r w:rsidR="00CB520A" w:rsidRPr="00F53BC2">
        <w:rPr>
          <w:lang w:val="en-GB"/>
        </w:rPr>
        <w:t>trademark</w:t>
      </w:r>
      <w:r w:rsidR="00CB520A" w:rsidRPr="00F53BC2">
        <w:rPr>
          <w:spacing w:val="-2"/>
          <w:lang w:val="en-GB"/>
        </w:rPr>
        <w:t xml:space="preserve"> </w:t>
      </w:r>
      <w:r w:rsidR="00CB520A" w:rsidRPr="00F53BC2">
        <w:rPr>
          <w:lang w:val="en-GB"/>
        </w:rPr>
        <w:t>of</w:t>
      </w:r>
      <w:r w:rsidR="00CB520A" w:rsidRPr="00F53BC2">
        <w:rPr>
          <w:spacing w:val="-1"/>
          <w:lang w:val="en-GB"/>
        </w:rPr>
        <w:t xml:space="preserve"> </w:t>
      </w:r>
      <w:r w:rsidR="004E5B92">
        <w:rPr>
          <w:lang w:val="en-GB"/>
        </w:rPr>
        <w:t xml:space="preserve">Samsung </w:t>
      </w:r>
      <w:bookmarkStart w:id="34" w:name="_Hlk156585044"/>
      <w:r w:rsidR="004E5B92">
        <w:rPr>
          <w:lang w:val="en-GB"/>
        </w:rPr>
        <w:t>Bioepis Co. Ltd.</w:t>
      </w:r>
      <w:bookmarkEnd w:id="34"/>
    </w:p>
    <w:p w14:paraId="5EAF87C2" w14:textId="24B97BFC" w:rsidR="006E1E5F" w:rsidRPr="006E1E5F" w:rsidRDefault="006E1E5F" w:rsidP="006E1E5F">
      <w:pPr>
        <w:pStyle w:val="BodyText"/>
        <w:adjustRightInd w:val="0"/>
        <w:snapToGrid w:val="0"/>
        <w:spacing w:before="60" w:after="60" w:line="360" w:lineRule="auto"/>
        <w:ind w:left="108" w:rightChars="30" w:right="66"/>
        <w:rPr>
          <w:spacing w:val="1"/>
          <w:lang w:val="en-GB"/>
        </w:rPr>
      </w:pPr>
      <w:bookmarkStart w:id="35" w:name="_Hlk155200348"/>
      <w:r w:rsidRPr="00F53BC2">
        <w:rPr>
          <w:rFonts w:ascii="Symbol" w:hAnsi="Symbol"/>
          <w:lang w:val="en-GB"/>
        </w:rPr>
        <w:t></w:t>
      </w:r>
      <w:r w:rsidRPr="00F53BC2">
        <w:rPr>
          <w:rFonts w:ascii="Times New Roman" w:hAnsi="Times New Roman"/>
          <w:lang w:val="en-GB"/>
        </w:rPr>
        <w:t xml:space="preserve"> </w:t>
      </w:r>
      <w:r w:rsidRPr="00F53BC2">
        <w:rPr>
          <w:lang w:val="en-GB"/>
        </w:rPr>
        <w:t>2010-202</w:t>
      </w:r>
      <w:r w:rsidR="00051B03">
        <w:rPr>
          <w:lang w:val="en-GB"/>
        </w:rPr>
        <w:t>5</w:t>
      </w:r>
      <w:r w:rsidRPr="00F53BC2">
        <w:rPr>
          <w:lang w:val="en-GB"/>
        </w:rPr>
        <w:t xml:space="preserve"> </w:t>
      </w:r>
      <w:r>
        <w:rPr>
          <w:lang w:val="en-GB"/>
        </w:rPr>
        <w:t>Samsung Bioepis Co. Ltd.</w:t>
      </w:r>
      <w:r w:rsidRPr="00F53BC2">
        <w:rPr>
          <w:lang w:val="en-GB"/>
        </w:rPr>
        <w:t xml:space="preserve"> All rights reserved.</w:t>
      </w:r>
      <w:bookmarkEnd w:id="35"/>
    </w:p>
    <w:sectPr w:rsidR="006E1E5F" w:rsidRPr="006E1E5F" w:rsidSect="001619FB">
      <w:headerReference w:type="even" r:id="rId11"/>
      <w:headerReference w:type="default" r:id="rId12"/>
      <w:footerReference w:type="even" r:id="rId13"/>
      <w:footerReference w:type="default" r:id="rId14"/>
      <w:headerReference w:type="first" r:id="rId15"/>
      <w:footerReference w:type="first" r:id="rId16"/>
      <w:pgSz w:w="11910" w:h="16840" w:code="9"/>
      <w:pgMar w:top="2269" w:right="1661" w:bottom="1134" w:left="1661" w:header="0"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731E" w14:textId="77777777" w:rsidR="005272CB" w:rsidRDefault="005272CB">
      <w:r>
        <w:separator/>
      </w:r>
    </w:p>
  </w:endnote>
  <w:endnote w:type="continuationSeparator" w:id="0">
    <w:p w14:paraId="68AFC598" w14:textId="77777777" w:rsidR="005272CB" w:rsidRDefault="005272CB">
      <w:r>
        <w:continuationSeparator/>
      </w:r>
    </w:p>
  </w:endnote>
  <w:endnote w:type="continuationNotice" w:id="1">
    <w:p w14:paraId="331132D8" w14:textId="77777777" w:rsidR="005272CB" w:rsidRDefault="00527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ECA6" w14:textId="63FEA3BB" w:rsidR="00AD34FF" w:rsidRDefault="00AD34FF">
    <w:pPr>
      <w:pStyle w:val="Footer"/>
    </w:pPr>
    <w:r>
      <w:rPr>
        <w:noProof/>
      </w:rPr>
      <mc:AlternateContent>
        <mc:Choice Requires="wps">
          <w:drawing>
            <wp:anchor distT="0" distB="0" distL="0" distR="0" simplePos="0" relativeHeight="251662336" behindDoc="0" locked="0" layoutInCell="1" allowOverlap="1" wp14:anchorId="3ADC3B57" wp14:editId="33F83F32">
              <wp:simplePos x="635" y="635"/>
              <wp:positionH relativeFrom="page">
                <wp:align>center</wp:align>
              </wp:positionH>
              <wp:positionV relativeFrom="page">
                <wp:align>bottom</wp:align>
              </wp:positionV>
              <wp:extent cx="622300" cy="376555"/>
              <wp:effectExtent l="0" t="0" r="6350" b="0"/>
              <wp:wrapNone/>
              <wp:docPr id="8124879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EF406B" w14:textId="29871C6B" w:rsidR="00AD34FF" w:rsidRPr="00AD34FF" w:rsidRDefault="00AD34FF" w:rsidP="00AD34FF">
                          <w:pPr>
                            <w:rPr>
                              <w:rFonts w:ascii="Aptos" w:eastAsia="Aptos" w:hAnsi="Aptos" w:cs="Aptos"/>
                              <w:noProof/>
                              <w:color w:val="FF0000"/>
                              <w:sz w:val="24"/>
                              <w:szCs w:val="24"/>
                            </w:rPr>
                          </w:pPr>
                          <w:r w:rsidRPr="00AD34F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DC3B57"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44EF406B" w14:textId="29871C6B" w:rsidR="00AD34FF" w:rsidRPr="00AD34FF" w:rsidRDefault="00AD34FF" w:rsidP="00AD34FF">
                    <w:pPr>
                      <w:rPr>
                        <w:rFonts w:ascii="Aptos" w:eastAsia="Aptos" w:hAnsi="Aptos" w:cs="Aptos"/>
                        <w:noProof/>
                        <w:color w:val="FF0000"/>
                        <w:sz w:val="24"/>
                        <w:szCs w:val="24"/>
                      </w:rPr>
                    </w:pPr>
                    <w:r w:rsidRPr="00AD34F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0"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tblGrid>
    <w:tr w:rsidR="00A04F0C" w14:paraId="46FB51D3" w14:textId="77777777" w:rsidTr="003444E8">
      <w:tc>
        <w:tcPr>
          <w:tcW w:w="10188" w:type="dxa"/>
        </w:tcPr>
        <w:p w14:paraId="0CC39A18" w14:textId="19045C74" w:rsidR="00A04F0C" w:rsidRDefault="00A04F0C" w:rsidP="00EF700B">
          <w:pPr>
            <w:spacing w:before="60" w:after="60" w:line="360" w:lineRule="auto"/>
            <w:ind w:left="23"/>
            <w:rPr>
              <w:b/>
              <w:sz w:val="20"/>
            </w:rPr>
          </w:pPr>
          <w:r>
            <w:rPr>
              <w:b/>
              <w:sz w:val="20"/>
            </w:rPr>
            <w:t>AU</w:t>
          </w:r>
          <w:r>
            <w:rPr>
              <w:b/>
              <w:spacing w:val="-1"/>
              <w:sz w:val="20"/>
            </w:rPr>
            <w:t xml:space="preserve"> </w:t>
          </w:r>
          <w:r>
            <w:rPr>
              <w:b/>
              <w:sz w:val="20"/>
            </w:rPr>
            <w:t>Ospomyv</w:t>
          </w:r>
          <w:r w:rsidRPr="00D66049">
            <w:rPr>
              <w:b/>
              <w:vertAlign w:val="superscript"/>
            </w:rPr>
            <w:t>TM</w:t>
          </w:r>
          <w:r>
            <w:rPr>
              <w:b/>
              <w:sz w:val="20"/>
            </w:rPr>
            <w:t xml:space="preserve"> Product Information</w:t>
          </w:r>
          <w:r>
            <w:rPr>
              <w:b/>
              <w:spacing w:val="-2"/>
              <w:sz w:val="20"/>
            </w:rPr>
            <w:t xml:space="preserve"> </w:t>
          </w:r>
          <w:r>
            <w:rPr>
              <w:b/>
              <w:sz w:val="20"/>
            </w:rPr>
            <w:t>v</w:t>
          </w:r>
          <w:r w:rsidR="00530026">
            <w:rPr>
              <w:b/>
              <w:sz w:val="20"/>
            </w:rPr>
            <w:t>1</w:t>
          </w:r>
          <w:r>
            <w:rPr>
              <w:b/>
              <w:sz w:val="20"/>
            </w:rPr>
            <w:t>.</w:t>
          </w:r>
          <w:r w:rsidR="00530026">
            <w:rPr>
              <w:b/>
              <w:sz w:val="20"/>
            </w:rPr>
            <w:t>0</w:t>
          </w:r>
        </w:p>
      </w:tc>
    </w:tr>
  </w:tbl>
  <w:p w14:paraId="327EF3F4" w14:textId="77777777" w:rsidR="00A04F0C" w:rsidRDefault="00A04F0C">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ECAA" w14:textId="5C8E1401" w:rsidR="00AD34FF" w:rsidRDefault="00AD34FF">
    <w:pPr>
      <w:pStyle w:val="Footer"/>
    </w:pPr>
    <w:r>
      <w:rPr>
        <w:noProof/>
      </w:rPr>
      <mc:AlternateContent>
        <mc:Choice Requires="wps">
          <w:drawing>
            <wp:anchor distT="0" distB="0" distL="0" distR="0" simplePos="0" relativeHeight="251661312" behindDoc="0" locked="0" layoutInCell="1" allowOverlap="1" wp14:anchorId="51A24A6C" wp14:editId="5041017D">
              <wp:simplePos x="635" y="635"/>
              <wp:positionH relativeFrom="page">
                <wp:align>center</wp:align>
              </wp:positionH>
              <wp:positionV relativeFrom="page">
                <wp:align>bottom</wp:align>
              </wp:positionV>
              <wp:extent cx="622300" cy="376555"/>
              <wp:effectExtent l="0" t="0" r="6350" b="0"/>
              <wp:wrapNone/>
              <wp:docPr id="11748396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3B3171" w14:textId="35E4BCC7" w:rsidR="00AD34FF" w:rsidRPr="00AD34FF" w:rsidRDefault="00AD34FF" w:rsidP="00AD34FF">
                          <w:pPr>
                            <w:rPr>
                              <w:rFonts w:ascii="Aptos" w:eastAsia="Aptos" w:hAnsi="Aptos" w:cs="Aptos"/>
                              <w:noProof/>
                              <w:color w:val="FF0000"/>
                              <w:sz w:val="24"/>
                              <w:szCs w:val="24"/>
                            </w:rPr>
                          </w:pPr>
                          <w:r w:rsidRPr="00AD34F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A24A6C"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6C3B3171" w14:textId="35E4BCC7" w:rsidR="00AD34FF" w:rsidRPr="00AD34FF" w:rsidRDefault="00AD34FF" w:rsidP="00AD34FF">
                    <w:pPr>
                      <w:rPr>
                        <w:rFonts w:ascii="Aptos" w:eastAsia="Aptos" w:hAnsi="Aptos" w:cs="Aptos"/>
                        <w:noProof/>
                        <w:color w:val="FF0000"/>
                        <w:sz w:val="24"/>
                        <w:szCs w:val="24"/>
                      </w:rPr>
                    </w:pPr>
                    <w:r w:rsidRPr="00AD34F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E8F18" w14:textId="77777777" w:rsidR="005272CB" w:rsidRDefault="005272CB">
      <w:r>
        <w:separator/>
      </w:r>
    </w:p>
  </w:footnote>
  <w:footnote w:type="continuationSeparator" w:id="0">
    <w:p w14:paraId="6A120235" w14:textId="77777777" w:rsidR="005272CB" w:rsidRDefault="005272CB">
      <w:r>
        <w:continuationSeparator/>
      </w:r>
    </w:p>
  </w:footnote>
  <w:footnote w:type="continuationNotice" w:id="1">
    <w:p w14:paraId="1CCD53D2" w14:textId="77777777" w:rsidR="005272CB" w:rsidRDefault="00527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137F" w14:textId="37F7BCC2" w:rsidR="00AD34FF" w:rsidRDefault="00AD34FF">
    <w:pPr>
      <w:pStyle w:val="Header"/>
    </w:pPr>
    <w:r>
      <w:rPr>
        <w:noProof/>
      </w:rPr>
      <mc:AlternateContent>
        <mc:Choice Requires="wps">
          <w:drawing>
            <wp:anchor distT="0" distB="0" distL="0" distR="0" simplePos="0" relativeHeight="251659264" behindDoc="0" locked="0" layoutInCell="1" allowOverlap="1" wp14:anchorId="361127FB" wp14:editId="34134F81">
              <wp:simplePos x="635" y="635"/>
              <wp:positionH relativeFrom="page">
                <wp:align>center</wp:align>
              </wp:positionH>
              <wp:positionV relativeFrom="page">
                <wp:align>top</wp:align>
              </wp:positionV>
              <wp:extent cx="622300" cy="376555"/>
              <wp:effectExtent l="0" t="0" r="6350" b="4445"/>
              <wp:wrapNone/>
              <wp:docPr id="17930645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4950FB" w14:textId="57B47962" w:rsidR="00AD34FF" w:rsidRPr="00AD34FF" w:rsidRDefault="00AD34FF" w:rsidP="00AD34FF">
                          <w:pPr>
                            <w:rPr>
                              <w:rFonts w:ascii="Aptos" w:eastAsia="Aptos" w:hAnsi="Aptos" w:cs="Aptos"/>
                              <w:noProof/>
                              <w:color w:val="FF0000"/>
                              <w:sz w:val="24"/>
                              <w:szCs w:val="24"/>
                            </w:rPr>
                          </w:pPr>
                          <w:r w:rsidRPr="00AD34F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127F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04950FB" w14:textId="57B47962" w:rsidR="00AD34FF" w:rsidRPr="00AD34FF" w:rsidRDefault="00AD34FF" w:rsidP="00AD34FF">
                    <w:pPr>
                      <w:rPr>
                        <w:rFonts w:ascii="Aptos" w:eastAsia="Aptos" w:hAnsi="Aptos" w:cs="Aptos"/>
                        <w:noProof/>
                        <w:color w:val="FF0000"/>
                        <w:sz w:val="24"/>
                        <w:szCs w:val="24"/>
                      </w:rPr>
                    </w:pPr>
                    <w:r w:rsidRPr="00AD34F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FFE3" w14:textId="77777777" w:rsidR="001619FB" w:rsidRPr="001619FB" w:rsidRDefault="001619FB" w:rsidP="001619FB">
    <w:pPr>
      <w:shd w:val="clear" w:color="auto" w:fill="FFFFFF"/>
      <w:rPr>
        <w:rFonts w:ascii="Segoe UI" w:hAnsi="Segoe UI" w:cs="Segoe UI"/>
        <w:b/>
        <w:bCs/>
        <w:color w:val="333333"/>
        <w:sz w:val="18"/>
        <w:szCs w:val="18"/>
      </w:rPr>
    </w:pPr>
    <w:bookmarkStart w:id="36" w:name="_Hlk213754947"/>
  </w:p>
  <w:tbl>
    <w:tblPr>
      <w:tblStyle w:val="TableGrid"/>
      <w:tblW w:w="0" w:type="auto"/>
      <w:shd w:val="clear" w:color="auto" w:fill="E4F2E0"/>
      <w:tblLook w:val="04A0" w:firstRow="1" w:lastRow="0" w:firstColumn="1" w:lastColumn="0" w:noHBand="0" w:noVBand="1"/>
    </w:tblPr>
    <w:tblGrid>
      <w:gridCol w:w="8578"/>
    </w:tblGrid>
    <w:tr w:rsidR="001619FB" w:rsidRPr="00C15CB6" w14:paraId="0935D7C7" w14:textId="77777777" w:rsidTr="0056145D">
      <w:trPr>
        <w:trHeight w:val="1012"/>
      </w:trPr>
      <w:tc>
        <w:tcPr>
          <w:tcW w:w="9180" w:type="dxa"/>
          <w:shd w:val="clear" w:color="auto" w:fill="E4F2E0"/>
        </w:tcPr>
        <w:p w14:paraId="7A498D4A" w14:textId="77777777" w:rsidR="001619FB" w:rsidRPr="004F2495" w:rsidRDefault="001619FB" w:rsidP="001619FB">
          <w:pPr>
            <w:pStyle w:val="Footer"/>
            <w:rPr>
              <w:rFonts w:ascii="Cambria" w:hAnsi="Cambria"/>
              <w:b/>
              <w:bCs/>
              <w:sz w:val="18"/>
              <w:szCs w:val="18"/>
            </w:rPr>
          </w:pPr>
          <w:bookmarkStart w:id="37" w:name="_Hlk109054010"/>
          <w:r w:rsidRPr="008406C8">
            <w:rPr>
              <w:rFonts w:ascii="Cambria" w:hAnsi="Cambria"/>
              <w:b/>
              <w:bCs/>
              <w:sz w:val="18"/>
              <w:szCs w:val="18"/>
            </w:rPr>
            <w:t>AusPAR – Ospomyv and Xborso - denosumab – Samsung Bioepis AU Pty Ltd - PM-2024-01517-1-5</w:t>
          </w:r>
        </w:p>
        <w:p w14:paraId="72BE4A50" w14:textId="77777777" w:rsidR="001619FB" w:rsidRPr="006B6BCD" w:rsidRDefault="001619FB" w:rsidP="001619FB">
          <w:pPr>
            <w:pStyle w:val="Footer"/>
            <w:rPr>
              <w:rFonts w:ascii="Cambria" w:hAnsi="Cambria"/>
              <w:b/>
              <w:bCs/>
              <w:sz w:val="18"/>
              <w:szCs w:val="18"/>
            </w:rPr>
          </w:pPr>
          <w:r w:rsidRPr="004F2495">
            <w:rPr>
              <w:rFonts w:ascii="Cambria" w:hAnsi="Cambria"/>
              <w:b/>
              <w:bCs/>
              <w:sz w:val="18"/>
              <w:szCs w:val="18"/>
            </w:rPr>
            <w:t xml:space="preserve">Date of Finalisation: </w:t>
          </w:r>
          <w:r w:rsidRPr="008406C8">
            <w:rPr>
              <w:rFonts w:ascii="Cambria" w:hAnsi="Cambria"/>
              <w:b/>
              <w:bCs/>
              <w:sz w:val="18"/>
              <w:szCs w:val="18"/>
            </w:rPr>
            <w:t>5 February 2026</w:t>
          </w:r>
          <w:r w:rsidRPr="00C15CB6">
            <w:rPr>
              <w:rFonts w:ascii="Cambria" w:hAnsi="Cambria"/>
              <w:b/>
              <w:bCs/>
              <w:sz w:val="18"/>
              <w:szCs w:val="18"/>
            </w:rPr>
            <w:t xml:space="preserve">. </w:t>
          </w:r>
          <w:r w:rsidRPr="00C15CB6">
            <w:rPr>
              <w:rFonts w:ascii="Cambria" w:hAnsi="Cambria"/>
              <w:b/>
              <w:sz w:val="18"/>
              <w:szCs w:val="18"/>
            </w:rPr>
            <w:t>This is the Product Information that was approved with the submission described in this AusPAR. It may have been superseded. For the most recent PI, please refer to the TGA website at &lt;</w:t>
          </w:r>
          <w:hyperlink r:id="rId1" w:history="1">
            <w:r w:rsidRPr="001A1E89">
              <w:rPr>
                <w:rStyle w:val="Hyperlink"/>
                <w:rFonts w:ascii="Cambria" w:hAnsi="Cambria"/>
                <w:sz w:val="18"/>
                <w:szCs w:val="18"/>
              </w:rPr>
              <w:t>https://www.tga.gov.au/products/australian-register-therapeutic-goods-artg/product-information-pi</w:t>
            </w:r>
          </w:hyperlink>
          <w:r w:rsidRPr="00C15CB6">
            <w:rPr>
              <w:rFonts w:ascii="Cambria" w:hAnsi="Cambria"/>
              <w:b/>
              <w:sz w:val="18"/>
              <w:szCs w:val="18"/>
              <w:u w:val="single"/>
            </w:rPr>
            <w:t>&gt;</w:t>
          </w:r>
        </w:p>
      </w:tc>
    </w:tr>
    <w:bookmarkEnd w:id="36"/>
    <w:bookmarkEnd w:id="37"/>
  </w:tbl>
  <w:p w14:paraId="71A39261" w14:textId="77777777" w:rsidR="001619FB" w:rsidRPr="001619FB" w:rsidRDefault="001619FB" w:rsidP="001619FB">
    <w:pPr>
      <w:shd w:val="clear" w:color="auto" w:fill="FFFFFF"/>
      <w:rPr>
        <w:rFonts w:ascii="Segoe UI" w:hAnsi="Segoe UI" w:cs="Segoe UI"/>
        <w:color w:val="333333"/>
        <w:sz w:val="18"/>
        <w:szCs w:val="18"/>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4215"/>
    </w:tblGrid>
    <w:tr w:rsidR="001619FB" w14:paraId="2210039C" w14:textId="77777777" w:rsidTr="0056145D">
      <w:tc>
        <w:tcPr>
          <w:tcW w:w="4353" w:type="dxa"/>
        </w:tcPr>
        <w:p w14:paraId="41FE562E" w14:textId="77777777" w:rsidR="001619FB" w:rsidRDefault="001619FB" w:rsidP="001619FB">
          <w:pPr>
            <w:spacing w:before="60" w:after="60" w:line="360" w:lineRule="auto"/>
            <w:rPr>
              <w:b/>
            </w:rPr>
          </w:pPr>
          <w:r>
            <w:rPr>
              <w:b/>
            </w:rPr>
            <w:t>Product</w:t>
          </w:r>
          <w:r>
            <w:rPr>
              <w:b/>
              <w:spacing w:val="-3"/>
            </w:rPr>
            <w:t xml:space="preserve"> </w:t>
          </w:r>
          <w:r>
            <w:rPr>
              <w:b/>
            </w:rPr>
            <w:t>Information –</w:t>
          </w:r>
          <w:r>
            <w:rPr>
              <w:b/>
              <w:spacing w:val="-1"/>
            </w:rPr>
            <w:t xml:space="preserve"> </w:t>
          </w:r>
          <w:r>
            <w:rPr>
              <w:b/>
            </w:rPr>
            <w:t>Ospomyv</w:t>
          </w:r>
          <w:r w:rsidRPr="00D66049">
            <w:rPr>
              <w:b/>
              <w:vertAlign w:val="superscript"/>
            </w:rPr>
            <w:t>TM</w:t>
          </w:r>
        </w:p>
      </w:tc>
      <w:tc>
        <w:tcPr>
          <w:tcW w:w="4215" w:type="dxa"/>
        </w:tcPr>
        <w:p w14:paraId="553D0C5C" w14:textId="77777777" w:rsidR="001619FB" w:rsidRDefault="001619FB" w:rsidP="001619FB">
          <w:pPr>
            <w:spacing w:before="60" w:after="60" w:line="360" w:lineRule="auto"/>
            <w:jc w:val="right"/>
            <w:rPr>
              <w:b/>
            </w:rPr>
          </w:pPr>
          <w:r>
            <w:rPr>
              <w:b/>
            </w:rPr>
            <w:t>Page</w:t>
          </w:r>
          <w:r>
            <w:rPr>
              <w:b/>
              <w:spacing w:val="-1"/>
            </w:rPr>
            <w:t xml:space="preserve"> </w:t>
          </w:r>
          <w:r>
            <w:fldChar w:fldCharType="begin"/>
          </w:r>
          <w:r>
            <w:rPr>
              <w:b/>
            </w:rPr>
            <w:instrText xml:space="preserve"> PAGE </w:instrText>
          </w:r>
          <w:r>
            <w:fldChar w:fldCharType="separate"/>
          </w:r>
          <w:r>
            <w:t>1</w:t>
          </w:r>
          <w:r>
            <w:fldChar w:fldCharType="end"/>
          </w:r>
          <w:r>
            <w:rPr>
              <w:b/>
              <w:spacing w:val="-1"/>
            </w:rPr>
            <w:t xml:space="preserve"> </w:t>
          </w:r>
          <w:r>
            <w:rPr>
              <w:b/>
            </w:rPr>
            <w:t>of</w:t>
          </w:r>
          <w:r>
            <w:rPr>
              <w:b/>
              <w:spacing w:val="-1"/>
            </w:rPr>
            <w:t xml:space="preserve"> 33</w:t>
          </w:r>
        </w:p>
      </w:tc>
    </w:tr>
  </w:tbl>
  <w:p w14:paraId="32098BA8" w14:textId="77777777" w:rsidR="001619FB" w:rsidRDefault="001619FB" w:rsidP="001619FB">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AEFC" w14:textId="16175D40" w:rsidR="00AD34FF" w:rsidRDefault="00AD34FF">
    <w:pPr>
      <w:pStyle w:val="Header"/>
    </w:pPr>
    <w:r>
      <w:rPr>
        <w:noProof/>
      </w:rPr>
      <mc:AlternateContent>
        <mc:Choice Requires="wps">
          <w:drawing>
            <wp:anchor distT="0" distB="0" distL="0" distR="0" simplePos="0" relativeHeight="251658240" behindDoc="0" locked="0" layoutInCell="1" allowOverlap="1" wp14:anchorId="19612F9A" wp14:editId="5D3A29B9">
              <wp:simplePos x="635" y="635"/>
              <wp:positionH relativeFrom="page">
                <wp:align>center</wp:align>
              </wp:positionH>
              <wp:positionV relativeFrom="page">
                <wp:align>top</wp:align>
              </wp:positionV>
              <wp:extent cx="622300" cy="376555"/>
              <wp:effectExtent l="0" t="0" r="6350" b="4445"/>
              <wp:wrapNone/>
              <wp:docPr id="15001958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1AE79A9" w14:textId="4D7E34D1" w:rsidR="00AD34FF" w:rsidRPr="00AD34FF" w:rsidRDefault="00AD34FF" w:rsidP="00AD34FF">
                          <w:pPr>
                            <w:rPr>
                              <w:rFonts w:ascii="Aptos" w:eastAsia="Aptos" w:hAnsi="Aptos" w:cs="Aptos"/>
                              <w:noProof/>
                              <w:color w:val="FF0000"/>
                              <w:sz w:val="24"/>
                              <w:szCs w:val="24"/>
                            </w:rPr>
                          </w:pPr>
                          <w:r w:rsidRPr="00AD34F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612F9A"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71AE79A9" w14:textId="4D7E34D1" w:rsidR="00AD34FF" w:rsidRPr="00AD34FF" w:rsidRDefault="00AD34FF" w:rsidP="00AD34FF">
                    <w:pPr>
                      <w:rPr>
                        <w:rFonts w:ascii="Aptos" w:eastAsia="Aptos" w:hAnsi="Aptos" w:cs="Aptos"/>
                        <w:noProof/>
                        <w:color w:val="FF0000"/>
                        <w:sz w:val="24"/>
                        <w:szCs w:val="24"/>
                      </w:rPr>
                    </w:pPr>
                    <w:r w:rsidRPr="00AD34F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F39F3"/>
    <w:multiLevelType w:val="multilevel"/>
    <w:tmpl w:val="75D280F4"/>
    <w:lvl w:ilvl="0">
      <w:start w:val="1"/>
      <w:numFmt w:val="decimal"/>
      <w:lvlText w:val="%1."/>
      <w:lvlJc w:val="left"/>
      <w:pPr>
        <w:ind w:left="1578" w:hanging="1440"/>
      </w:pPr>
      <w:rPr>
        <w:rFonts w:ascii="Arial" w:eastAsia="Arial" w:hAnsi="Arial" w:cs="Arial" w:hint="default"/>
        <w:b/>
        <w:bCs/>
        <w:i w:val="0"/>
        <w:iCs w:val="0"/>
        <w:w w:val="99"/>
        <w:sz w:val="28"/>
        <w:szCs w:val="28"/>
        <w:lang w:val="en-US" w:eastAsia="en-US" w:bidi="ar-SA"/>
      </w:rPr>
    </w:lvl>
    <w:lvl w:ilvl="1">
      <w:start w:val="1"/>
      <w:numFmt w:val="decimal"/>
      <w:lvlText w:val="%1.%2"/>
      <w:lvlJc w:val="left"/>
      <w:pPr>
        <w:ind w:left="1578" w:hanging="1440"/>
      </w:pPr>
      <w:rPr>
        <w:rFonts w:ascii="Arial" w:eastAsia="Arial" w:hAnsi="Arial" w:cs="Arial" w:hint="default"/>
        <w:b/>
        <w:bCs/>
        <w:i w:val="0"/>
        <w:iCs w:val="0"/>
        <w:w w:val="99"/>
        <w:sz w:val="24"/>
        <w:szCs w:val="24"/>
        <w:lang w:val="en-US" w:eastAsia="en-US" w:bidi="ar-SA"/>
      </w:rPr>
    </w:lvl>
    <w:lvl w:ilvl="2">
      <w:numFmt w:val="bullet"/>
      <w:lvlText w:val="•"/>
      <w:lvlJc w:val="left"/>
      <w:pPr>
        <w:ind w:left="3261" w:hanging="1440"/>
      </w:pPr>
      <w:rPr>
        <w:rFonts w:hint="default"/>
        <w:lang w:val="en-US" w:eastAsia="en-US" w:bidi="ar-SA"/>
      </w:rPr>
    </w:lvl>
    <w:lvl w:ilvl="3">
      <w:numFmt w:val="bullet"/>
      <w:lvlText w:val="•"/>
      <w:lvlJc w:val="left"/>
      <w:pPr>
        <w:ind w:left="4101" w:hanging="1440"/>
      </w:pPr>
      <w:rPr>
        <w:rFonts w:hint="default"/>
        <w:lang w:val="en-US" w:eastAsia="en-US" w:bidi="ar-SA"/>
      </w:rPr>
    </w:lvl>
    <w:lvl w:ilvl="4">
      <w:numFmt w:val="bullet"/>
      <w:lvlText w:val="•"/>
      <w:lvlJc w:val="left"/>
      <w:pPr>
        <w:ind w:left="4942" w:hanging="1440"/>
      </w:pPr>
      <w:rPr>
        <w:rFonts w:hint="default"/>
        <w:lang w:val="en-US" w:eastAsia="en-US" w:bidi="ar-SA"/>
      </w:rPr>
    </w:lvl>
    <w:lvl w:ilvl="5">
      <w:numFmt w:val="bullet"/>
      <w:lvlText w:val="•"/>
      <w:lvlJc w:val="left"/>
      <w:pPr>
        <w:ind w:left="5783" w:hanging="1440"/>
      </w:pPr>
      <w:rPr>
        <w:rFonts w:hint="default"/>
        <w:lang w:val="en-US" w:eastAsia="en-US" w:bidi="ar-SA"/>
      </w:rPr>
    </w:lvl>
    <w:lvl w:ilvl="6">
      <w:numFmt w:val="bullet"/>
      <w:lvlText w:val="•"/>
      <w:lvlJc w:val="left"/>
      <w:pPr>
        <w:ind w:left="6623" w:hanging="1440"/>
      </w:pPr>
      <w:rPr>
        <w:rFonts w:hint="default"/>
        <w:lang w:val="en-US" w:eastAsia="en-US" w:bidi="ar-SA"/>
      </w:rPr>
    </w:lvl>
    <w:lvl w:ilvl="7">
      <w:numFmt w:val="bullet"/>
      <w:lvlText w:val="•"/>
      <w:lvlJc w:val="left"/>
      <w:pPr>
        <w:ind w:left="7464" w:hanging="1440"/>
      </w:pPr>
      <w:rPr>
        <w:rFonts w:hint="default"/>
        <w:lang w:val="en-US" w:eastAsia="en-US" w:bidi="ar-SA"/>
      </w:rPr>
    </w:lvl>
    <w:lvl w:ilvl="8">
      <w:numFmt w:val="bullet"/>
      <w:lvlText w:val="•"/>
      <w:lvlJc w:val="left"/>
      <w:pPr>
        <w:ind w:left="8305" w:hanging="1440"/>
      </w:pPr>
      <w:rPr>
        <w:rFonts w:hint="default"/>
        <w:lang w:val="en-US" w:eastAsia="en-US" w:bidi="ar-SA"/>
      </w:rPr>
    </w:lvl>
  </w:abstractNum>
  <w:abstractNum w:abstractNumId="1" w15:restartNumberingAfterBreak="0">
    <w:nsid w:val="2E7C0BD0"/>
    <w:multiLevelType w:val="multilevel"/>
    <w:tmpl w:val="8F622C24"/>
    <w:lvl w:ilvl="0">
      <w:start w:val="5"/>
      <w:numFmt w:val="decimal"/>
      <w:lvlText w:val="%1"/>
      <w:lvlJc w:val="left"/>
      <w:pPr>
        <w:ind w:left="1578" w:hanging="1440"/>
      </w:pPr>
      <w:rPr>
        <w:rFonts w:hint="default"/>
        <w:lang w:val="en-US" w:eastAsia="en-US" w:bidi="ar-SA"/>
      </w:rPr>
    </w:lvl>
    <w:lvl w:ilvl="1">
      <w:start w:val="2"/>
      <w:numFmt w:val="decimal"/>
      <w:lvlText w:val="%1.%2"/>
      <w:lvlJc w:val="left"/>
      <w:pPr>
        <w:ind w:left="1578" w:hanging="1440"/>
      </w:pPr>
      <w:rPr>
        <w:rFonts w:ascii="Arial" w:eastAsia="Arial" w:hAnsi="Arial" w:cs="Arial" w:hint="default"/>
        <w:b/>
        <w:bCs/>
        <w:i w:val="0"/>
        <w:iCs w:val="0"/>
        <w:w w:val="99"/>
        <w:sz w:val="24"/>
        <w:szCs w:val="24"/>
        <w:lang w:val="en-US" w:eastAsia="en-US" w:bidi="ar-SA"/>
      </w:rPr>
    </w:lvl>
    <w:lvl w:ilvl="2">
      <w:numFmt w:val="bullet"/>
      <w:lvlText w:val="•"/>
      <w:lvlJc w:val="left"/>
      <w:pPr>
        <w:ind w:left="3261" w:hanging="1440"/>
      </w:pPr>
      <w:rPr>
        <w:rFonts w:hint="default"/>
        <w:lang w:val="en-US" w:eastAsia="en-US" w:bidi="ar-SA"/>
      </w:rPr>
    </w:lvl>
    <w:lvl w:ilvl="3">
      <w:numFmt w:val="bullet"/>
      <w:lvlText w:val="•"/>
      <w:lvlJc w:val="left"/>
      <w:pPr>
        <w:ind w:left="4101" w:hanging="1440"/>
      </w:pPr>
      <w:rPr>
        <w:rFonts w:hint="default"/>
        <w:lang w:val="en-US" w:eastAsia="en-US" w:bidi="ar-SA"/>
      </w:rPr>
    </w:lvl>
    <w:lvl w:ilvl="4">
      <w:numFmt w:val="bullet"/>
      <w:lvlText w:val="•"/>
      <w:lvlJc w:val="left"/>
      <w:pPr>
        <w:ind w:left="4942" w:hanging="1440"/>
      </w:pPr>
      <w:rPr>
        <w:rFonts w:hint="default"/>
        <w:lang w:val="en-US" w:eastAsia="en-US" w:bidi="ar-SA"/>
      </w:rPr>
    </w:lvl>
    <w:lvl w:ilvl="5">
      <w:numFmt w:val="bullet"/>
      <w:lvlText w:val="•"/>
      <w:lvlJc w:val="left"/>
      <w:pPr>
        <w:ind w:left="5783" w:hanging="1440"/>
      </w:pPr>
      <w:rPr>
        <w:rFonts w:hint="default"/>
        <w:lang w:val="en-US" w:eastAsia="en-US" w:bidi="ar-SA"/>
      </w:rPr>
    </w:lvl>
    <w:lvl w:ilvl="6">
      <w:numFmt w:val="bullet"/>
      <w:lvlText w:val="•"/>
      <w:lvlJc w:val="left"/>
      <w:pPr>
        <w:ind w:left="6623" w:hanging="1440"/>
      </w:pPr>
      <w:rPr>
        <w:rFonts w:hint="default"/>
        <w:lang w:val="en-US" w:eastAsia="en-US" w:bidi="ar-SA"/>
      </w:rPr>
    </w:lvl>
    <w:lvl w:ilvl="7">
      <w:numFmt w:val="bullet"/>
      <w:lvlText w:val="•"/>
      <w:lvlJc w:val="left"/>
      <w:pPr>
        <w:ind w:left="7464" w:hanging="1440"/>
      </w:pPr>
      <w:rPr>
        <w:rFonts w:hint="default"/>
        <w:lang w:val="en-US" w:eastAsia="en-US" w:bidi="ar-SA"/>
      </w:rPr>
    </w:lvl>
    <w:lvl w:ilvl="8">
      <w:numFmt w:val="bullet"/>
      <w:lvlText w:val="•"/>
      <w:lvlJc w:val="left"/>
      <w:pPr>
        <w:ind w:left="8305" w:hanging="1440"/>
      </w:pPr>
      <w:rPr>
        <w:rFonts w:hint="default"/>
        <w:lang w:val="en-US" w:eastAsia="en-US" w:bidi="ar-SA"/>
      </w:rPr>
    </w:lvl>
  </w:abstractNum>
  <w:abstractNum w:abstractNumId="2" w15:restartNumberingAfterBreak="0">
    <w:nsid w:val="392A435F"/>
    <w:multiLevelType w:val="multilevel"/>
    <w:tmpl w:val="C27A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296267"/>
    <w:multiLevelType w:val="multilevel"/>
    <w:tmpl w:val="C1DCACA8"/>
    <w:lvl w:ilvl="0">
      <w:start w:val="4"/>
      <w:numFmt w:val="decimal"/>
      <w:lvlText w:val="%1"/>
      <w:lvlJc w:val="left"/>
      <w:pPr>
        <w:ind w:left="1578" w:hanging="1440"/>
      </w:pPr>
      <w:rPr>
        <w:rFonts w:hint="default"/>
        <w:lang w:val="en-US" w:eastAsia="en-US" w:bidi="ar-SA"/>
      </w:rPr>
    </w:lvl>
    <w:lvl w:ilvl="1">
      <w:start w:val="7"/>
      <w:numFmt w:val="decimal"/>
      <w:lvlText w:val="%1.%2"/>
      <w:lvlJc w:val="left"/>
      <w:pPr>
        <w:ind w:left="1578" w:hanging="1440"/>
      </w:pPr>
      <w:rPr>
        <w:rFonts w:ascii="Arial" w:eastAsia="Arial" w:hAnsi="Arial" w:cs="Arial" w:hint="default"/>
        <w:b/>
        <w:bCs/>
        <w:i w:val="0"/>
        <w:iCs w:val="0"/>
        <w:w w:val="99"/>
        <w:sz w:val="24"/>
        <w:szCs w:val="24"/>
        <w:lang w:val="en-US" w:eastAsia="en-US" w:bidi="ar-SA"/>
      </w:rPr>
    </w:lvl>
    <w:lvl w:ilvl="2">
      <w:numFmt w:val="bullet"/>
      <w:lvlText w:val="•"/>
      <w:lvlJc w:val="left"/>
      <w:pPr>
        <w:ind w:left="3261" w:hanging="1440"/>
      </w:pPr>
      <w:rPr>
        <w:rFonts w:hint="default"/>
        <w:lang w:val="en-US" w:eastAsia="en-US" w:bidi="ar-SA"/>
      </w:rPr>
    </w:lvl>
    <w:lvl w:ilvl="3">
      <w:numFmt w:val="bullet"/>
      <w:lvlText w:val="•"/>
      <w:lvlJc w:val="left"/>
      <w:pPr>
        <w:ind w:left="4101" w:hanging="1440"/>
      </w:pPr>
      <w:rPr>
        <w:rFonts w:hint="default"/>
        <w:lang w:val="en-US" w:eastAsia="en-US" w:bidi="ar-SA"/>
      </w:rPr>
    </w:lvl>
    <w:lvl w:ilvl="4">
      <w:numFmt w:val="bullet"/>
      <w:lvlText w:val="•"/>
      <w:lvlJc w:val="left"/>
      <w:pPr>
        <w:ind w:left="4942" w:hanging="1440"/>
      </w:pPr>
      <w:rPr>
        <w:rFonts w:hint="default"/>
        <w:lang w:val="en-US" w:eastAsia="en-US" w:bidi="ar-SA"/>
      </w:rPr>
    </w:lvl>
    <w:lvl w:ilvl="5">
      <w:numFmt w:val="bullet"/>
      <w:lvlText w:val="•"/>
      <w:lvlJc w:val="left"/>
      <w:pPr>
        <w:ind w:left="5783" w:hanging="1440"/>
      </w:pPr>
      <w:rPr>
        <w:rFonts w:hint="default"/>
        <w:lang w:val="en-US" w:eastAsia="en-US" w:bidi="ar-SA"/>
      </w:rPr>
    </w:lvl>
    <w:lvl w:ilvl="6">
      <w:numFmt w:val="bullet"/>
      <w:lvlText w:val="•"/>
      <w:lvlJc w:val="left"/>
      <w:pPr>
        <w:ind w:left="6623" w:hanging="1440"/>
      </w:pPr>
      <w:rPr>
        <w:rFonts w:hint="default"/>
        <w:lang w:val="en-US" w:eastAsia="en-US" w:bidi="ar-SA"/>
      </w:rPr>
    </w:lvl>
    <w:lvl w:ilvl="7">
      <w:numFmt w:val="bullet"/>
      <w:lvlText w:val="•"/>
      <w:lvlJc w:val="left"/>
      <w:pPr>
        <w:ind w:left="7464" w:hanging="1440"/>
      </w:pPr>
      <w:rPr>
        <w:rFonts w:hint="default"/>
        <w:lang w:val="en-US" w:eastAsia="en-US" w:bidi="ar-SA"/>
      </w:rPr>
    </w:lvl>
    <w:lvl w:ilvl="8">
      <w:numFmt w:val="bullet"/>
      <w:lvlText w:val="•"/>
      <w:lvlJc w:val="left"/>
      <w:pPr>
        <w:ind w:left="8305" w:hanging="1440"/>
      </w:pPr>
      <w:rPr>
        <w:rFonts w:hint="default"/>
        <w:lang w:val="en-US" w:eastAsia="en-US" w:bidi="ar-SA"/>
      </w:rPr>
    </w:lvl>
  </w:abstractNum>
  <w:abstractNum w:abstractNumId="4" w15:restartNumberingAfterBreak="0">
    <w:nsid w:val="7EF718C7"/>
    <w:multiLevelType w:val="multilevel"/>
    <w:tmpl w:val="9D0A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6290262">
    <w:abstractNumId w:val="1"/>
  </w:num>
  <w:num w:numId="2" w16cid:durableId="435751421">
    <w:abstractNumId w:val="3"/>
  </w:num>
  <w:num w:numId="3" w16cid:durableId="1325817511">
    <w:abstractNumId w:val="0"/>
  </w:num>
  <w:num w:numId="4" w16cid:durableId="1464427709">
    <w:abstractNumId w:val="2"/>
  </w:num>
  <w:num w:numId="5" w16cid:durableId="1168859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CD"/>
    <w:rsid w:val="00005E51"/>
    <w:rsid w:val="00011802"/>
    <w:rsid w:val="00027C76"/>
    <w:rsid w:val="00035996"/>
    <w:rsid w:val="0003717C"/>
    <w:rsid w:val="00040D98"/>
    <w:rsid w:val="00051B03"/>
    <w:rsid w:val="000530BE"/>
    <w:rsid w:val="00053321"/>
    <w:rsid w:val="00054701"/>
    <w:rsid w:val="00064344"/>
    <w:rsid w:val="00076311"/>
    <w:rsid w:val="0008208D"/>
    <w:rsid w:val="000950B1"/>
    <w:rsid w:val="000A2300"/>
    <w:rsid w:val="000B1BDE"/>
    <w:rsid w:val="000B2CF1"/>
    <w:rsid w:val="000D188E"/>
    <w:rsid w:val="000F401A"/>
    <w:rsid w:val="00101C0E"/>
    <w:rsid w:val="001043C2"/>
    <w:rsid w:val="00115A7B"/>
    <w:rsid w:val="00120ACA"/>
    <w:rsid w:val="00126650"/>
    <w:rsid w:val="001328D6"/>
    <w:rsid w:val="00133631"/>
    <w:rsid w:val="00136AC8"/>
    <w:rsid w:val="00160A16"/>
    <w:rsid w:val="001619FB"/>
    <w:rsid w:val="00177DD4"/>
    <w:rsid w:val="00197F43"/>
    <w:rsid w:val="001A7CD5"/>
    <w:rsid w:val="001C1AF7"/>
    <w:rsid w:val="001D5436"/>
    <w:rsid w:val="001E1301"/>
    <w:rsid w:val="001E4930"/>
    <w:rsid w:val="001E54F5"/>
    <w:rsid w:val="001F0CCE"/>
    <w:rsid w:val="001F2ECF"/>
    <w:rsid w:val="001F3273"/>
    <w:rsid w:val="002025CE"/>
    <w:rsid w:val="0021605B"/>
    <w:rsid w:val="00243E94"/>
    <w:rsid w:val="00263D36"/>
    <w:rsid w:val="00275312"/>
    <w:rsid w:val="0028070E"/>
    <w:rsid w:val="00284B88"/>
    <w:rsid w:val="002873BE"/>
    <w:rsid w:val="00292C57"/>
    <w:rsid w:val="002A5192"/>
    <w:rsid w:val="002A5F98"/>
    <w:rsid w:val="002C1EDF"/>
    <w:rsid w:val="002D7595"/>
    <w:rsid w:val="002F6DC4"/>
    <w:rsid w:val="00304580"/>
    <w:rsid w:val="003101E4"/>
    <w:rsid w:val="00311ACE"/>
    <w:rsid w:val="00313465"/>
    <w:rsid w:val="0032342B"/>
    <w:rsid w:val="00327BFF"/>
    <w:rsid w:val="00331516"/>
    <w:rsid w:val="0033521D"/>
    <w:rsid w:val="00340F2D"/>
    <w:rsid w:val="003444E8"/>
    <w:rsid w:val="0035348B"/>
    <w:rsid w:val="00375885"/>
    <w:rsid w:val="00382D1A"/>
    <w:rsid w:val="003904BC"/>
    <w:rsid w:val="00391995"/>
    <w:rsid w:val="00391B85"/>
    <w:rsid w:val="003B7662"/>
    <w:rsid w:val="003C036D"/>
    <w:rsid w:val="003C7462"/>
    <w:rsid w:val="003D34CE"/>
    <w:rsid w:val="003D75F4"/>
    <w:rsid w:val="003E0E26"/>
    <w:rsid w:val="003E426B"/>
    <w:rsid w:val="004028C3"/>
    <w:rsid w:val="00404F4B"/>
    <w:rsid w:val="00415C09"/>
    <w:rsid w:val="00434449"/>
    <w:rsid w:val="0045151B"/>
    <w:rsid w:val="00453B94"/>
    <w:rsid w:val="00473691"/>
    <w:rsid w:val="004923C5"/>
    <w:rsid w:val="004A2A43"/>
    <w:rsid w:val="004A524C"/>
    <w:rsid w:val="004B7016"/>
    <w:rsid w:val="004D78AA"/>
    <w:rsid w:val="004E5B92"/>
    <w:rsid w:val="004F7863"/>
    <w:rsid w:val="00505A2B"/>
    <w:rsid w:val="005074F2"/>
    <w:rsid w:val="00522825"/>
    <w:rsid w:val="00523E79"/>
    <w:rsid w:val="005272CB"/>
    <w:rsid w:val="00530026"/>
    <w:rsid w:val="00532810"/>
    <w:rsid w:val="00536F41"/>
    <w:rsid w:val="00562449"/>
    <w:rsid w:val="00590E2E"/>
    <w:rsid w:val="00593097"/>
    <w:rsid w:val="0059350D"/>
    <w:rsid w:val="00594BF1"/>
    <w:rsid w:val="005A0996"/>
    <w:rsid w:val="005A595C"/>
    <w:rsid w:val="005B1EC9"/>
    <w:rsid w:val="005B5433"/>
    <w:rsid w:val="005B583D"/>
    <w:rsid w:val="005C1598"/>
    <w:rsid w:val="005C756C"/>
    <w:rsid w:val="005F5173"/>
    <w:rsid w:val="00617991"/>
    <w:rsid w:val="00622C45"/>
    <w:rsid w:val="00633DE7"/>
    <w:rsid w:val="00660140"/>
    <w:rsid w:val="00667C10"/>
    <w:rsid w:val="00695F5D"/>
    <w:rsid w:val="006A0F5C"/>
    <w:rsid w:val="006C262A"/>
    <w:rsid w:val="006E1E5F"/>
    <w:rsid w:val="006E62CD"/>
    <w:rsid w:val="006E7BFB"/>
    <w:rsid w:val="006F5EA9"/>
    <w:rsid w:val="006F693E"/>
    <w:rsid w:val="007029E5"/>
    <w:rsid w:val="007052AA"/>
    <w:rsid w:val="00712808"/>
    <w:rsid w:val="00713F12"/>
    <w:rsid w:val="00717E0D"/>
    <w:rsid w:val="00740656"/>
    <w:rsid w:val="00753EE0"/>
    <w:rsid w:val="0075756B"/>
    <w:rsid w:val="007626ED"/>
    <w:rsid w:val="00773BD2"/>
    <w:rsid w:val="00794C4D"/>
    <w:rsid w:val="00796356"/>
    <w:rsid w:val="007A49CE"/>
    <w:rsid w:val="007A6160"/>
    <w:rsid w:val="007B5CDF"/>
    <w:rsid w:val="007C67B4"/>
    <w:rsid w:val="007D2E3A"/>
    <w:rsid w:val="007E1C64"/>
    <w:rsid w:val="007E3F4B"/>
    <w:rsid w:val="007F1402"/>
    <w:rsid w:val="007F4E0B"/>
    <w:rsid w:val="00807983"/>
    <w:rsid w:val="0081082F"/>
    <w:rsid w:val="0082418D"/>
    <w:rsid w:val="00825DC5"/>
    <w:rsid w:val="008316DA"/>
    <w:rsid w:val="0084086C"/>
    <w:rsid w:val="00864123"/>
    <w:rsid w:val="0087725D"/>
    <w:rsid w:val="00880714"/>
    <w:rsid w:val="008816F2"/>
    <w:rsid w:val="008860F5"/>
    <w:rsid w:val="008A1AE4"/>
    <w:rsid w:val="008B5D84"/>
    <w:rsid w:val="008B6033"/>
    <w:rsid w:val="008B6FC4"/>
    <w:rsid w:val="008C1950"/>
    <w:rsid w:val="008C58A2"/>
    <w:rsid w:val="008C7275"/>
    <w:rsid w:val="008C7AC6"/>
    <w:rsid w:val="008E4F24"/>
    <w:rsid w:val="008E71EF"/>
    <w:rsid w:val="00911EE8"/>
    <w:rsid w:val="009167D6"/>
    <w:rsid w:val="00920C6F"/>
    <w:rsid w:val="009254B4"/>
    <w:rsid w:val="00927DFE"/>
    <w:rsid w:val="0093058E"/>
    <w:rsid w:val="0093170D"/>
    <w:rsid w:val="00936408"/>
    <w:rsid w:val="009367DF"/>
    <w:rsid w:val="00941742"/>
    <w:rsid w:val="00955490"/>
    <w:rsid w:val="00955D5D"/>
    <w:rsid w:val="0096244F"/>
    <w:rsid w:val="00967D8F"/>
    <w:rsid w:val="00974ECA"/>
    <w:rsid w:val="0098248A"/>
    <w:rsid w:val="009A3D30"/>
    <w:rsid w:val="009B026D"/>
    <w:rsid w:val="009C2859"/>
    <w:rsid w:val="009C7CB4"/>
    <w:rsid w:val="009D3CB7"/>
    <w:rsid w:val="009E5AE8"/>
    <w:rsid w:val="009F1C00"/>
    <w:rsid w:val="009F689D"/>
    <w:rsid w:val="00A015AA"/>
    <w:rsid w:val="00A04F0C"/>
    <w:rsid w:val="00A16381"/>
    <w:rsid w:val="00A20E14"/>
    <w:rsid w:val="00A22FDE"/>
    <w:rsid w:val="00A243A6"/>
    <w:rsid w:val="00A25F1A"/>
    <w:rsid w:val="00A30D87"/>
    <w:rsid w:val="00A31486"/>
    <w:rsid w:val="00A43944"/>
    <w:rsid w:val="00A455A6"/>
    <w:rsid w:val="00A561C0"/>
    <w:rsid w:val="00A705CF"/>
    <w:rsid w:val="00A9501F"/>
    <w:rsid w:val="00AA07B9"/>
    <w:rsid w:val="00AB1642"/>
    <w:rsid w:val="00AC51AC"/>
    <w:rsid w:val="00AD34FF"/>
    <w:rsid w:val="00AE372E"/>
    <w:rsid w:val="00B01A12"/>
    <w:rsid w:val="00B2680D"/>
    <w:rsid w:val="00B33F9B"/>
    <w:rsid w:val="00B420E3"/>
    <w:rsid w:val="00B52462"/>
    <w:rsid w:val="00B60A72"/>
    <w:rsid w:val="00B852A8"/>
    <w:rsid w:val="00B91054"/>
    <w:rsid w:val="00BD1FF9"/>
    <w:rsid w:val="00BD4CF2"/>
    <w:rsid w:val="00BF1663"/>
    <w:rsid w:val="00BF1CCA"/>
    <w:rsid w:val="00BF74EE"/>
    <w:rsid w:val="00C10643"/>
    <w:rsid w:val="00C3144D"/>
    <w:rsid w:val="00C31B56"/>
    <w:rsid w:val="00C43264"/>
    <w:rsid w:val="00C439F8"/>
    <w:rsid w:val="00C50847"/>
    <w:rsid w:val="00C54DC6"/>
    <w:rsid w:val="00C73D30"/>
    <w:rsid w:val="00C95B57"/>
    <w:rsid w:val="00CB095A"/>
    <w:rsid w:val="00CB520A"/>
    <w:rsid w:val="00CD516E"/>
    <w:rsid w:val="00CD55B1"/>
    <w:rsid w:val="00CD7D65"/>
    <w:rsid w:val="00CE7030"/>
    <w:rsid w:val="00CF615F"/>
    <w:rsid w:val="00CF78CE"/>
    <w:rsid w:val="00D04695"/>
    <w:rsid w:val="00D11069"/>
    <w:rsid w:val="00D1223A"/>
    <w:rsid w:val="00D258EC"/>
    <w:rsid w:val="00D30421"/>
    <w:rsid w:val="00D343B3"/>
    <w:rsid w:val="00D36F56"/>
    <w:rsid w:val="00D37008"/>
    <w:rsid w:val="00D40979"/>
    <w:rsid w:val="00D45E09"/>
    <w:rsid w:val="00D56551"/>
    <w:rsid w:val="00D62D23"/>
    <w:rsid w:val="00D6539E"/>
    <w:rsid w:val="00D65EF2"/>
    <w:rsid w:val="00D66049"/>
    <w:rsid w:val="00D70723"/>
    <w:rsid w:val="00DA7B33"/>
    <w:rsid w:val="00DB161D"/>
    <w:rsid w:val="00DD59AD"/>
    <w:rsid w:val="00DE405B"/>
    <w:rsid w:val="00E04CAF"/>
    <w:rsid w:val="00E05623"/>
    <w:rsid w:val="00E1228F"/>
    <w:rsid w:val="00E17C56"/>
    <w:rsid w:val="00E26261"/>
    <w:rsid w:val="00E33148"/>
    <w:rsid w:val="00E37733"/>
    <w:rsid w:val="00E54398"/>
    <w:rsid w:val="00E562BA"/>
    <w:rsid w:val="00E60BDC"/>
    <w:rsid w:val="00E61DDB"/>
    <w:rsid w:val="00E636CC"/>
    <w:rsid w:val="00E679E9"/>
    <w:rsid w:val="00EB40AF"/>
    <w:rsid w:val="00EB410B"/>
    <w:rsid w:val="00EC28E9"/>
    <w:rsid w:val="00EE2E24"/>
    <w:rsid w:val="00EF700B"/>
    <w:rsid w:val="00EF7946"/>
    <w:rsid w:val="00F01672"/>
    <w:rsid w:val="00F02945"/>
    <w:rsid w:val="00F02E8E"/>
    <w:rsid w:val="00F32F67"/>
    <w:rsid w:val="00F479E5"/>
    <w:rsid w:val="00F5012F"/>
    <w:rsid w:val="00F5260A"/>
    <w:rsid w:val="00F528D3"/>
    <w:rsid w:val="00F53BC2"/>
    <w:rsid w:val="00F614B7"/>
    <w:rsid w:val="00F625D3"/>
    <w:rsid w:val="00FA4FC4"/>
    <w:rsid w:val="00FA58F2"/>
    <w:rsid w:val="00FB3284"/>
    <w:rsid w:val="00FB7023"/>
    <w:rsid w:val="00FC5B0D"/>
    <w:rsid w:val="00FD63A8"/>
    <w:rsid w:val="00FE64AF"/>
    <w:rsid w:val="00FF4465"/>
    <w:rsid w:val="21AEACBB"/>
    <w:rsid w:val="6DD3F7DB"/>
    <w:rsid w:val="7C8C40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5D52F3"/>
  <w15:docId w15:val="{8D277C3B-0614-4245-9724-57BD3C6C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78" w:hanging="1440"/>
      <w:outlineLvl w:val="0"/>
    </w:pPr>
    <w:rPr>
      <w:b/>
      <w:bCs/>
      <w:sz w:val="28"/>
      <w:szCs w:val="28"/>
    </w:rPr>
  </w:style>
  <w:style w:type="paragraph" w:styleId="Heading2">
    <w:name w:val="heading 2"/>
    <w:basedOn w:val="Normal"/>
    <w:uiPriority w:val="9"/>
    <w:unhideWhenUsed/>
    <w:qFormat/>
    <w:pPr>
      <w:spacing w:before="120"/>
      <w:ind w:left="1578" w:hanging="1440"/>
      <w:outlineLvl w:val="1"/>
    </w:pPr>
    <w:rPr>
      <w:b/>
      <w:bCs/>
      <w:sz w:val="24"/>
      <w:szCs w:val="24"/>
    </w:rPr>
  </w:style>
  <w:style w:type="paragraph" w:styleId="Heading3">
    <w:name w:val="heading 3"/>
    <w:basedOn w:val="Normal"/>
    <w:uiPriority w:val="9"/>
    <w:unhideWhenUsed/>
    <w:qFormat/>
    <w:pPr>
      <w:ind w:left="13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38"/>
    </w:pPr>
  </w:style>
  <w:style w:type="paragraph" w:styleId="ListParagraph">
    <w:name w:val="List Paragraph"/>
    <w:basedOn w:val="Normal"/>
    <w:uiPriority w:val="1"/>
    <w:qFormat/>
    <w:pPr>
      <w:ind w:left="1578" w:hanging="1440"/>
    </w:pPr>
  </w:style>
  <w:style w:type="paragraph" w:customStyle="1" w:styleId="TableParagraph">
    <w:name w:val="Table Paragraph"/>
    <w:basedOn w:val="Normal"/>
    <w:uiPriority w:val="1"/>
    <w:qFormat/>
    <w:pPr>
      <w:spacing w:before="60"/>
      <w:ind w:left="107"/>
    </w:pPr>
  </w:style>
  <w:style w:type="paragraph" w:styleId="Header">
    <w:name w:val="header"/>
    <w:basedOn w:val="Normal"/>
    <w:link w:val="HeaderChar"/>
    <w:uiPriority w:val="99"/>
    <w:unhideWhenUsed/>
    <w:rsid w:val="00CB520A"/>
    <w:pPr>
      <w:tabs>
        <w:tab w:val="center" w:pos="4513"/>
        <w:tab w:val="right" w:pos="9026"/>
      </w:tabs>
      <w:snapToGrid w:val="0"/>
    </w:pPr>
  </w:style>
  <w:style w:type="character" w:customStyle="1" w:styleId="HeaderChar">
    <w:name w:val="Header Char"/>
    <w:basedOn w:val="DefaultParagraphFont"/>
    <w:link w:val="Header"/>
    <w:uiPriority w:val="99"/>
    <w:rsid w:val="00CB520A"/>
    <w:rPr>
      <w:rFonts w:ascii="Arial" w:eastAsia="Arial" w:hAnsi="Arial" w:cs="Arial"/>
    </w:rPr>
  </w:style>
  <w:style w:type="paragraph" w:styleId="Footer">
    <w:name w:val="footer"/>
    <w:basedOn w:val="Normal"/>
    <w:link w:val="FooterChar"/>
    <w:unhideWhenUsed/>
    <w:qFormat/>
    <w:rsid w:val="00CB520A"/>
    <w:pPr>
      <w:tabs>
        <w:tab w:val="center" w:pos="4513"/>
        <w:tab w:val="right" w:pos="9026"/>
      </w:tabs>
      <w:snapToGrid w:val="0"/>
    </w:pPr>
  </w:style>
  <w:style w:type="character" w:customStyle="1" w:styleId="FooterChar">
    <w:name w:val="Footer Char"/>
    <w:basedOn w:val="DefaultParagraphFont"/>
    <w:link w:val="Footer"/>
    <w:rsid w:val="00CB520A"/>
    <w:rPr>
      <w:rFonts w:ascii="Arial" w:eastAsia="Arial" w:hAnsi="Arial" w:cs="Arial"/>
    </w:rPr>
  </w:style>
  <w:style w:type="paragraph" w:styleId="BalloonText">
    <w:name w:val="Balloon Text"/>
    <w:basedOn w:val="Normal"/>
    <w:link w:val="BalloonTextChar"/>
    <w:uiPriority w:val="99"/>
    <w:semiHidden/>
    <w:unhideWhenUsed/>
    <w:rsid w:val="00CB520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B520A"/>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CB520A"/>
    <w:rPr>
      <w:sz w:val="18"/>
      <w:szCs w:val="18"/>
    </w:rPr>
  </w:style>
  <w:style w:type="paragraph" w:styleId="CommentText">
    <w:name w:val="annotation text"/>
    <w:basedOn w:val="Normal"/>
    <w:link w:val="CommentTextChar"/>
    <w:uiPriority w:val="99"/>
    <w:unhideWhenUsed/>
    <w:rsid w:val="00CB520A"/>
  </w:style>
  <w:style w:type="character" w:customStyle="1" w:styleId="CommentTextChar">
    <w:name w:val="Comment Text Char"/>
    <w:basedOn w:val="DefaultParagraphFont"/>
    <w:link w:val="CommentText"/>
    <w:uiPriority w:val="99"/>
    <w:rsid w:val="00CB520A"/>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CB520A"/>
    <w:rPr>
      <w:b/>
      <w:bCs/>
    </w:rPr>
  </w:style>
  <w:style w:type="character" w:customStyle="1" w:styleId="CommentSubjectChar">
    <w:name w:val="Comment Subject Char"/>
    <w:basedOn w:val="CommentTextChar"/>
    <w:link w:val="CommentSubject"/>
    <w:uiPriority w:val="99"/>
    <w:semiHidden/>
    <w:rsid w:val="00CB520A"/>
    <w:rPr>
      <w:rFonts w:ascii="Arial" w:eastAsia="Arial" w:hAnsi="Arial" w:cs="Arial"/>
      <w:b/>
      <w:bCs/>
    </w:rPr>
  </w:style>
  <w:style w:type="table" w:styleId="TableGrid">
    <w:name w:val="Table Grid"/>
    <w:basedOn w:val="TableNormal"/>
    <w:uiPriority w:val="59"/>
    <w:rsid w:val="00EF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3BC2"/>
    <w:pPr>
      <w:widowControl/>
      <w:autoSpaceDE/>
      <w:autoSpaceDN/>
    </w:pPr>
    <w:rPr>
      <w:rFonts w:ascii="Arial" w:eastAsia="Arial" w:hAnsi="Arial" w:cs="Arial"/>
    </w:rPr>
  </w:style>
  <w:style w:type="paragraph" w:styleId="NormalWeb">
    <w:name w:val="Normal (Web)"/>
    <w:basedOn w:val="Normal"/>
    <w:uiPriority w:val="99"/>
    <w:unhideWhenUsed/>
    <w:rsid w:val="00E04CAF"/>
    <w:pPr>
      <w:widowControl/>
      <w:autoSpaceDE/>
      <w:autoSpaceDN/>
      <w:spacing w:before="100" w:beforeAutospacing="1" w:after="100" w:afterAutospacing="1"/>
    </w:pPr>
    <w:rPr>
      <w:rFonts w:ascii="Gulim" w:eastAsia="Gulim" w:hAnsi="Gulim" w:cs="Gulim"/>
      <w:sz w:val="24"/>
      <w:szCs w:val="24"/>
      <w:lang w:eastAsia="ko-KR"/>
    </w:rPr>
  </w:style>
  <w:style w:type="character" w:styleId="Hyperlink">
    <w:name w:val="Hyperlink"/>
    <w:basedOn w:val="DefaultParagraphFont"/>
    <w:uiPriority w:val="99"/>
    <w:unhideWhenUsed/>
    <w:rsid w:val="001619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7227">
      <w:bodyDiv w:val="1"/>
      <w:marLeft w:val="0"/>
      <w:marRight w:val="0"/>
      <w:marTop w:val="0"/>
      <w:marBottom w:val="0"/>
      <w:divBdr>
        <w:top w:val="none" w:sz="0" w:space="0" w:color="auto"/>
        <w:left w:val="none" w:sz="0" w:space="0" w:color="auto"/>
        <w:bottom w:val="none" w:sz="0" w:space="0" w:color="auto"/>
        <w:right w:val="none" w:sz="0" w:space="0" w:color="auto"/>
      </w:divBdr>
    </w:div>
    <w:div w:id="680351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086B8-16F8-4EA8-BF0F-090163AF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10020</Words>
  <Characters>57117</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Attachment: Product information for Ospomyv</vt:lpstr>
    </vt:vector>
  </TitlesOfParts>
  <Company/>
  <LinksUpToDate>false</LinksUpToDate>
  <CharactersWithSpaces>67003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Ospomyv</dc:title>
  <dc:subject>Prescription medicines</dc:subject>
  <dc:creator>Samsung Bioepis AU Pty Ltd</dc:creator>
  <cp:keywords/>
  <dcterms:created xsi:type="dcterms:W3CDTF">2026-02-10T03:24:00Z</dcterms:created>
  <dcterms:modified xsi:type="dcterms:W3CDTF">2026-02-10T05:14:00Z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HeaderShapeIds">
    <vt:lpwstr>596b2c1f,6adffe69,3df04b9</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4606a14f,306d94e3,ad41d2</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2026-02-05T22:19:49Z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f94c1c84-665d-43c3-8d30-b836108b3fd9</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