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1EDEBBCD" w:rsidR="00F02AEC" w:rsidRPr="00215D48" w:rsidRDefault="00346EC2" w:rsidP="007452E8">
            <w:pPr>
              <w:pStyle w:val="Title"/>
            </w:pPr>
            <w:r w:rsidRPr="00346EC2">
              <w:t xml:space="preserve">Australian Public Assessment Report for </w:t>
            </w:r>
            <w:r w:rsidR="00C00D00">
              <w:t>Augtyro</w:t>
            </w:r>
          </w:p>
        </w:tc>
      </w:tr>
      <w:tr w:rsidR="00F02AEC" w:rsidRPr="00215D48" w14:paraId="318A40A3" w14:textId="77777777" w:rsidTr="00346EC2">
        <w:trPr>
          <w:trHeight w:val="995"/>
        </w:trPr>
        <w:tc>
          <w:tcPr>
            <w:tcW w:w="8720" w:type="dxa"/>
          </w:tcPr>
          <w:p w14:paraId="1AA7C701" w14:textId="6F3D6D34" w:rsidR="00F02AEC" w:rsidRPr="00215D48" w:rsidRDefault="00346EC2" w:rsidP="007452E8">
            <w:pPr>
              <w:pStyle w:val="Subtitle"/>
              <w:ind w:left="0"/>
            </w:pPr>
            <w:r w:rsidRPr="00346EC2">
              <w:t>Active ingredient:</w:t>
            </w:r>
            <w:r w:rsidR="009F16BB">
              <w:t xml:space="preserve"> </w:t>
            </w:r>
            <w:r w:rsidR="00B67020">
              <w:t>R</w:t>
            </w:r>
            <w:r w:rsidR="009F16BB" w:rsidRPr="009F16BB">
              <w:t>epotrectinib</w:t>
            </w:r>
          </w:p>
        </w:tc>
      </w:tr>
      <w:tr w:rsidR="00346EC2" w:rsidRPr="00215D48" w14:paraId="362CCAE4" w14:textId="77777777" w:rsidTr="007452E8">
        <w:trPr>
          <w:trHeight w:val="1916"/>
        </w:trPr>
        <w:tc>
          <w:tcPr>
            <w:tcW w:w="8720" w:type="dxa"/>
          </w:tcPr>
          <w:p w14:paraId="709C45C0" w14:textId="4ABE18E0" w:rsidR="00346EC2" w:rsidRPr="00215D48" w:rsidRDefault="009526AA" w:rsidP="007452E8">
            <w:pPr>
              <w:pStyle w:val="Subtitle"/>
              <w:ind w:left="0"/>
            </w:pPr>
            <w:r>
              <w:t>Sponsor</w:t>
            </w:r>
            <w:r w:rsidR="00346EC2" w:rsidRPr="00346EC2">
              <w:t xml:space="preserve">: </w:t>
            </w:r>
            <w:r w:rsidR="00284A58" w:rsidRPr="00284A58">
              <w:t>Bristol-Myers Squibb Australia Pty Ltd</w:t>
            </w:r>
          </w:p>
        </w:tc>
      </w:tr>
      <w:tr w:rsidR="00F02AEC" w:rsidRPr="00215D48" w14:paraId="37F2AA1F" w14:textId="77777777" w:rsidTr="007452E8">
        <w:tc>
          <w:tcPr>
            <w:tcW w:w="8720" w:type="dxa"/>
          </w:tcPr>
          <w:p w14:paraId="1FDE8DCD" w14:textId="2BD2DA9A" w:rsidR="00F02AEC" w:rsidRPr="00215D48" w:rsidRDefault="00BF3C49" w:rsidP="007452E8">
            <w:pPr>
              <w:pStyle w:val="Date"/>
            </w:pPr>
            <w:r>
              <w:t>January</w:t>
            </w:r>
            <w:r w:rsidR="00F02AEC" w:rsidRPr="00215D48">
              <w:t xml:space="preserve"> </w:t>
            </w:r>
            <w:r w:rsidR="00284A58">
              <w:t>202</w:t>
            </w:r>
            <w:r w:rsidR="00B67020">
              <w:t>6</w:t>
            </w:r>
          </w:p>
        </w:tc>
      </w:tr>
    </w:tbl>
    <w:p w14:paraId="73752706" w14:textId="77777777" w:rsidR="00F02AEC" w:rsidRPr="00215D48" w:rsidRDefault="00F02AEC" w:rsidP="007452E8">
      <w:pPr>
        <w:pStyle w:val="ListBullet"/>
        <w:numPr>
          <w:ilvl w:val="0"/>
          <w:numId w:val="0"/>
        </w:numPr>
        <w:sectPr w:rsidR="00F02AEC" w:rsidRPr="00215D48" w:rsidSect="00CB055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7"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8"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04EDFED1" w:rsidR="00175CD8" w:rsidRPr="00346EC2" w:rsidRDefault="00F02AEC" w:rsidP="00346EC2">
      <w:pPr>
        <w:pStyle w:val="LegalCopy"/>
        <w:rPr>
          <w:rFonts w:cs="Arial"/>
        </w:rPr>
      </w:pPr>
      <w:r w:rsidRPr="00215D48">
        <w:rPr>
          <w:rFonts w:cs="Arial"/>
        </w:rPr>
        <w:t>© Commonwealth of Australia 20</w:t>
      </w:r>
      <w:r>
        <w:rPr>
          <w:rFonts w:cs="Arial"/>
        </w:rPr>
        <w:t>2</w:t>
      </w:r>
      <w:r w:rsidR="00B67020">
        <w:rPr>
          <w:rFonts w:cs="Arial"/>
        </w:rPr>
        <w:t>6</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9" w:history="1">
        <w:r w:rsidRPr="00215D48">
          <w:rPr>
            <w:rStyle w:val="Hyperlink"/>
            <w:rFonts w:cs="Arial"/>
          </w:rPr>
          <w:t>tga.copyright@tga.gov.au</w:t>
        </w:r>
      </w:hyperlink>
      <w:r w:rsidRPr="00215D48">
        <w:rPr>
          <w:rFonts w:cs="Arial"/>
        </w:rPr>
        <w:t>&gt;.</w:t>
      </w:r>
    </w:p>
    <w:sdt>
      <w:sdtPr>
        <w:rPr>
          <w:rFonts w:ascii="Cambria" w:eastAsiaTheme="minorEastAsia" w:hAnsi="Cambria" w:cstheme="minorBidi"/>
          <w:b w:val="0"/>
          <w:color w:val="auto"/>
          <w:sz w:val="22"/>
          <w:szCs w:val="22"/>
        </w:rPr>
        <w:id w:val="21514769"/>
        <w:docPartObj>
          <w:docPartGallery w:val="Table of Contents"/>
          <w:docPartUnique/>
        </w:docPartObj>
      </w:sdtPr>
      <w:sdtEndPr/>
      <w:sdtContent>
        <w:p w14:paraId="0A6ADA2B" w14:textId="77777777" w:rsidR="00F02AEC" w:rsidRPr="00215D48" w:rsidRDefault="00F02AEC" w:rsidP="007452E8">
          <w:pPr>
            <w:pStyle w:val="NonTOCheading2"/>
          </w:pPr>
          <w:r w:rsidRPr="00215D48">
            <w:t>Contents</w:t>
          </w:r>
        </w:p>
        <w:p w14:paraId="586F8FAA" w14:textId="0021E385" w:rsidR="003448BA"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19813769" w:history="1">
            <w:r w:rsidR="003448BA" w:rsidRPr="00AD1DF2">
              <w:rPr>
                <w:rStyle w:val="Hyperlink"/>
                <w:noProof/>
              </w:rPr>
              <w:t>List of abbreviations</w:t>
            </w:r>
            <w:r w:rsidR="003448BA">
              <w:rPr>
                <w:noProof/>
                <w:webHidden/>
              </w:rPr>
              <w:tab/>
            </w:r>
            <w:r w:rsidR="003448BA">
              <w:rPr>
                <w:noProof/>
                <w:webHidden/>
              </w:rPr>
              <w:fldChar w:fldCharType="begin"/>
            </w:r>
            <w:r w:rsidR="003448BA">
              <w:rPr>
                <w:noProof/>
                <w:webHidden/>
              </w:rPr>
              <w:instrText xml:space="preserve"> PAGEREF _Toc219813769 \h </w:instrText>
            </w:r>
            <w:r w:rsidR="003448BA">
              <w:rPr>
                <w:noProof/>
                <w:webHidden/>
              </w:rPr>
            </w:r>
            <w:r w:rsidR="003448BA">
              <w:rPr>
                <w:noProof/>
                <w:webHidden/>
              </w:rPr>
              <w:fldChar w:fldCharType="separate"/>
            </w:r>
            <w:r w:rsidR="003448BA">
              <w:rPr>
                <w:noProof/>
                <w:webHidden/>
              </w:rPr>
              <w:t>4</w:t>
            </w:r>
            <w:r w:rsidR="003448BA">
              <w:rPr>
                <w:noProof/>
                <w:webHidden/>
              </w:rPr>
              <w:fldChar w:fldCharType="end"/>
            </w:r>
          </w:hyperlink>
        </w:p>
        <w:p w14:paraId="4AE7592E" w14:textId="48D0846C" w:rsidR="003448BA" w:rsidRDefault="003448B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813770" w:history="1">
            <w:r w:rsidRPr="00AD1DF2">
              <w:rPr>
                <w:rStyle w:val="Hyperlink"/>
                <w:noProof/>
              </w:rPr>
              <w:t>Product submission</w:t>
            </w:r>
            <w:r>
              <w:rPr>
                <w:noProof/>
                <w:webHidden/>
              </w:rPr>
              <w:tab/>
            </w:r>
            <w:r>
              <w:rPr>
                <w:noProof/>
                <w:webHidden/>
              </w:rPr>
              <w:fldChar w:fldCharType="begin"/>
            </w:r>
            <w:r>
              <w:rPr>
                <w:noProof/>
                <w:webHidden/>
              </w:rPr>
              <w:instrText xml:space="preserve"> PAGEREF _Toc219813770 \h </w:instrText>
            </w:r>
            <w:r>
              <w:rPr>
                <w:noProof/>
                <w:webHidden/>
              </w:rPr>
            </w:r>
            <w:r>
              <w:rPr>
                <w:noProof/>
                <w:webHidden/>
              </w:rPr>
              <w:fldChar w:fldCharType="separate"/>
            </w:r>
            <w:r>
              <w:rPr>
                <w:noProof/>
                <w:webHidden/>
              </w:rPr>
              <w:t>6</w:t>
            </w:r>
            <w:r>
              <w:rPr>
                <w:noProof/>
                <w:webHidden/>
              </w:rPr>
              <w:fldChar w:fldCharType="end"/>
            </w:r>
          </w:hyperlink>
        </w:p>
        <w:p w14:paraId="28550D2F" w14:textId="5C1ADF36" w:rsidR="003448BA" w:rsidRDefault="003448B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813771" w:history="1">
            <w:r w:rsidRPr="00AD1DF2">
              <w:rPr>
                <w:rStyle w:val="Hyperlink"/>
                <w:noProof/>
                <w:lang w:eastAsia="en-AU"/>
              </w:rPr>
              <w:t>Submission details</w:t>
            </w:r>
            <w:r>
              <w:rPr>
                <w:noProof/>
                <w:webHidden/>
              </w:rPr>
              <w:tab/>
            </w:r>
            <w:r>
              <w:rPr>
                <w:noProof/>
                <w:webHidden/>
              </w:rPr>
              <w:fldChar w:fldCharType="begin"/>
            </w:r>
            <w:r>
              <w:rPr>
                <w:noProof/>
                <w:webHidden/>
              </w:rPr>
              <w:instrText xml:space="preserve"> PAGEREF _Toc219813771 \h </w:instrText>
            </w:r>
            <w:r>
              <w:rPr>
                <w:noProof/>
                <w:webHidden/>
              </w:rPr>
            </w:r>
            <w:r>
              <w:rPr>
                <w:noProof/>
                <w:webHidden/>
              </w:rPr>
              <w:fldChar w:fldCharType="separate"/>
            </w:r>
            <w:r>
              <w:rPr>
                <w:noProof/>
                <w:webHidden/>
              </w:rPr>
              <w:t>6</w:t>
            </w:r>
            <w:r>
              <w:rPr>
                <w:noProof/>
                <w:webHidden/>
              </w:rPr>
              <w:fldChar w:fldCharType="end"/>
            </w:r>
          </w:hyperlink>
        </w:p>
        <w:p w14:paraId="61E784E3" w14:textId="1A01E9BA" w:rsidR="003448BA" w:rsidRDefault="003448B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813772" w:history="1">
            <w:r w:rsidRPr="00AD1DF2">
              <w:rPr>
                <w:rStyle w:val="Hyperlink"/>
                <w:noProof/>
              </w:rPr>
              <w:t>Product background</w:t>
            </w:r>
            <w:r>
              <w:rPr>
                <w:noProof/>
                <w:webHidden/>
              </w:rPr>
              <w:tab/>
            </w:r>
            <w:r>
              <w:rPr>
                <w:noProof/>
                <w:webHidden/>
              </w:rPr>
              <w:fldChar w:fldCharType="begin"/>
            </w:r>
            <w:r>
              <w:rPr>
                <w:noProof/>
                <w:webHidden/>
              </w:rPr>
              <w:instrText xml:space="preserve"> PAGEREF _Toc219813772 \h </w:instrText>
            </w:r>
            <w:r>
              <w:rPr>
                <w:noProof/>
                <w:webHidden/>
              </w:rPr>
            </w:r>
            <w:r>
              <w:rPr>
                <w:noProof/>
                <w:webHidden/>
              </w:rPr>
              <w:fldChar w:fldCharType="separate"/>
            </w:r>
            <w:r>
              <w:rPr>
                <w:noProof/>
                <w:webHidden/>
              </w:rPr>
              <w:t>7</w:t>
            </w:r>
            <w:r>
              <w:rPr>
                <w:noProof/>
                <w:webHidden/>
              </w:rPr>
              <w:fldChar w:fldCharType="end"/>
            </w:r>
          </w:hyperlink>
        </w:p>
        <w:p w14:paraId="09E1D6E1" w14:textId="2DEBAA73" w:rsidR="003448BA" w:rsidRDefault="003448B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9813773" w:history="1">
            <w:r w:rsidRPr="00AD1DF2">
              <w:rPr>
                <w:rStyle w:val="Hyperlink"/>
                <w:noProof/>
              </w:rPr>
              <w:t>Disease or condition</w:t>
            </w:r>
            <w:r>
              <w:rPr>
                <w:noProof/>
                <w:webHidden/>
              </w:rPr>
              <w:tab/>
            </w:r>
            <w:r>
              <w:rPr>
                <w:noProof/>
                <w:webHidden/>
              </w:rPr>
              <w:fldChar w:fldCharType="begin"/>
            </w:r>
            <w:r>
              <w:rPr>
                <w:noProof/>
                <w:webHidden/>
              </w:rPr>
              <w:instrText xml:space="preserve"> PAGEREF _Toc219813773 \h </w:instrText>
            </w:r>
            <w:r>
              <w:rPr>
                <w:noProof/>
                <w:webHidden/>
              </w:rPr>
            </w:r>
            <w:r>
              <w:rPr>
                <w:noProof/>
                <w:webHidden/>
              </w:rPr>
              <w:fldChar w:fldCharType="separate"/>
            </w:r>
            <w:r>
              <w:rPr>
                <w:noProof/>
                <w:webHidden/>
              </w:rPr>
              <w:t>7</w:t>
            </w:r>
            <w:r>
              <w:rPr>
                <w:noProof/>
                <w:webHidden/>
              </w:rPr>
              <w:fldChar w:fldCharType="end"/>
            </w:r>
          </w:hyperlink>
        </w:p>
        <w:p w14:paraId="37FD241F" w14:textId="4B81482B" w:rsidR="003448BA" w:rsidRDefault="003448B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9813774" w:history="1">
            <w:r w:rsidRPr="00AD1DF2">
              <w:rPr>
                <w:rStyle w:val="Hyperlink"/>
                <w:noProof/>
              </w:rPr>
              <w:t>Current treatment options</w:t>
            </w:r>
            <w:r>
              <w:rPr>
                <w:noProof/>
                <w:webHidden/>
              </w:rPr>
              <w:tab/>
            </w:r>
            <w:r>
              <w:rPr>
                <w:noProof/>
                <w:webHidden/>
              </w:rPr>
              <w:fldChar w:fldCharType="begin"/>
            </w:r>
            <w:r>
              <w:rPr>
                <w:noProof/>
                <w:webHidden/>
              </w:rPr>
              <w:instrText xml:space="preserve"> PAGEREF _Toc219813774 \h </w:instrText>
            </w:r>
            <w:r>
              <w:rPr>
                <w:noProof/>
                <w:webHidden/>
              </w:rPr>
            </w:r>
            <w:r>
              <w:rPr>
                <w:noProof/>
                <w:webHidden/>
              </w:rPr>
              <w:fldChar w:fldCharType="separate"/>
            </w:r>
            <w:r>
              <w:rPr>
                <w:noProof/>
                <w:webHidden/>
              </w:rPr>
              <w:t>9</w:t>
            </w:r>
            <w:r>
              <w:rPr>
                <w:noProof/>
                <w:webHidden/>
              </w:rPr>
              <w:fldChar w:fldCharType="end"/>
            </w:r>
          </w:hyperlink>
        </w:p>
        <w:p w14:paraId="055F7D73" w14:textId="3F2EBB96" w:rsidR="003448BA" w:rsidRDefault="003448B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9813775" w:history="1">
            <w:r w:rsidRPr="00AD1DF2">
              <w:rPr>
                <w:rStyle w:val="Hyperlink"/>
                <w:noProof/>
              </w:rPr>
              <w:t>Clinical rationale</w:t>
            </w:r>
            <w:r>
              <w:rPr>
                <w:noProof/>
                <w:webHidden/>
              </w:rPr>
              <w:tab/>
            </w:r>
            <w:r>
              <w:rPr>
                <w:noProof/>
                <w:webHidden/>
              </w:rPr>
              <w:fldChar w:fldCharType="begin"/>
            </w:r>
            <w:r>
              <w:rPr>
                <w:noProof/>
                <w:webHidden/>
              </w:rPr>
              <w:instrText xml:space="preserve"> PAGEREF _Toc219813775 \h </w:instrText>
            </w:r>
            <w:r>
              <w:rPr>
                <w:noProof/>
                <w:webHidden/>
              </w:rPr>
            </w:r>
            <w:r>
              <w:rPr>
                <w:noProof/>
                <w:webHidden/>
              </w:rPr>
              <w:fldChar w:fldCharType="separate"/>
            </w:r>
            <w:r>
              <w:rPr>
                <w:noProof/>
                <w:webHidden/>
              </w:rPr>
              <w:t>12</w:t>
            </w:r>
            <w:r>
              <w:rPr>
                <w:noProof/>
                <w:webHidden/>
              </w:rPr>
              <w:fldChar w:fldCharType="end"/>
            </w:r>
          </w:hyperlink>
        </w:p>
        <w:p w14:paraId="3B5C637E" w14:textId="54131D7A" w:rsidR="003448BA" w:rsidRDefault="003448B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813776" w:history="1">
            <w:r w:rsidRPr="00AD1DF2">
              <w:rPr>
                <w:rStyle w:val="Hyperlink"/>
                <w:noProof/>
              </w:rPr>
              <w:t>Regulatory status</w:t>
            </w:r>
            <w:r>
              <w:rPr>
                <w:noProof/>
                <w:webHidden/>
              </w:rPr>
              <w:tab/>
            </w:r>
            <w:r>
              <w:rPr>
                <w:noProof/>
                <w:webHidden/>
              </w:rPr>
              <w:fldChar w:fldCharType="begin"/>
            </w:r>
            <w:r>
              <w:rPr>
                <w:noProof/>
                <w:webHidden/>
              </w:rPr>
              <w:instrText xml:space="preserve"> PAGEREF _Toc219813776 \h </w:instrText>
            </w:r>
            <w:r>
              <w:rPr>
                <w:noProof/>
                <w:webHidden/>
              </w:rPr>
            </w:r>
            <w:r>
              <w:rPr>
                <w:noProof/>
                <w:webHidden/>
              </w:rPr>
              <w:fldChar w:fldCharType="separate"/>
            </w:r>
            <w:r>
              <w:rPr>
                <w:noProof/>
                <w:webHidden/>
              </w:rPr>
              <w:t>13</w:t>
            </w:r>
            <w:r>
              <w:rPr>
                <w:noProof/>
                <w:webHidden/>
              </w:rPr>
              <w:fldChar w:fldCharType="end"/>
            </w:r>
          </w:hyperlink>
        </w:p>
        <w:p w14:paraId="6261B3E2" w14:textId="560FDE9E" w:rsidR="003448BA" w:rsidRDefault="003448B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9813777" w:history="1">
            <w:r w:rsidRPr="00AD1DF2">
              <w:rPr>
                <w:rStyle w:val="Hyperlink"/>
                <w:noProof/>
              </w:rPr>
              <w:t>Australian regulatory status</w:t>
            </w:r>
            <w:r>
              <w:rPr>
                <w:noProof/>
                <w:webHidden/>
              </w:rPr>
              <w:tab/>
            </w:r>
            <w:r>
              <w:rPr>
                <w:noProof/>
                <w:webHidden/>
              </w:rPr>
              <w:fldChar w:fldCharType="begin"/>
            </w:r>
            <w:r>
              <w:rPr>
                <w:noProof/>
                <w:webHidden/>
              </w:rPr>
              <w:instrText xml:space="preserve"> PAGEREF _Toc219813777 \h </w:instrText>
            </w:r>
            <w:r>
              <w:rPr>
                <w:noProof/>
                <w:webHidden/>
              </w:rPr>
            </w:r>
            <w:r>
              <w:rPr>
                <w:noProof/>
                <w:webHidden/>
              </w:rPr>
              <w:fldChar w:fldCharType="separate"/>
            </w:r>
            <w:r>
              <w:rPr>
                <w:noProof/>
                <w:webHidden/>
              </w:rPr>
              <w:t>13</w:t>
            </w:r>
            <w:r>
              <w:rPr>
                <w:noProof/>
                <w:webHidden/>
              </w:rPr>
              <w:fldChar w:fldCharType="end"/>
            </w:r>
          </w:hyperlink>
        </w:p>
        <w:p w14:paraId="593EE082" w14:textId="51ABAD35" w:rsidR="003448BA" w:rsidRDefault="003448B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9813778" w:history="1">
            <w:r w:rsidRPr="00AD1DF2">
              <w:rPr>
                <w:rStyle w:val="Hyperlink"/>
                <w:noProof/>
              </w:rPr>
              <w:t>International regulatory status</w:t>
            </w:r>
            <w:r>
              <w:rPr>
                <w:noProof/>
                <w:webHidden/>
              </w:rPr>
              <w:tab/>
            </w:r>
            <w:r>
              <w:rPr>
                <w:noProof/>
                <w:webHidden/>
              </w:rPr>
              <w:fldChar w:fldCharType="begin"/>
            </w:r>
            <w:r>
              <w:rPr>
                <w:noProof/>
                <w:webHidden/>
              </w:rPr>
              <w:instrText xml:space="preserve"> PAGEREF _Toc219813778 \h </w:instrText>
            </w:r>
            <w:r>
              <w:rPr>
                <w:noProof/>
                <w:webHidden/>
              </w:rPr>
            </w:r>
            <w:r>
              <w:rPr>
                <w:noProof/>
                <w:webHidden/>
              </w:rPr>
              <w:fldChar w:fldCharType="separate"/>
            </w:r>
            <w:r>
              <w:rPr>
                <w:noProof/>
                <w:webHidden/>
              </w:rPr>
              <w:t>13</w:t>
            </w:r>
            <w:r>
              <w:rPr>
                <w:noProof/>
                <w:webHidden/>
              </w:rPr>
              <w:fldChar w:fldCharType="end"/>
            </w:r>
          </w:hyperlink>
        </w:p>
        <w:p w14:paraId="5C37BB49" w14:textId="799A3A82" w:rsidR="003448BA" w:rsidRDefault="003448B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813779" w:history="1">
            <w:r w:rsidRPr="00AD1DF2">
              <w:rPr>
                <w:rStyle w:val="Hyperlink"/>
                <w:noProof/>
              </w:rPr>
              <w:t>Registration timeline</w:t>
            </w:r>
            <w:r>
              <w:rPr>
                <w:noProof/>
                <w:webHidden/>
              </w:rPr>
              <w:tab/>
            </w:r>
            <w:r>
              <w:rPr>
                <w:noProof/>
                <w:webHidden/>
              </w:rPr>
              <w:fldChar w:fldCharType="begin"/>
            </w:r>
            <w:r>
              <w:rPr>
                <w:noProof/>
                <w:webHidden/>
              </w:rPr>
              <w:instrText xml:space="preserve"> PAGEREF _Toc219813779 \h </w:instrText>
            </w:r>
            <w:r>
              <w:rPr>
                <w:noProof/>
                <w:webHidden/>
              </w:rPr>
            </w:r>
            <w:r>
              <w:rPr>
                <w:noProof/>
                <w:webHidden/>
              </w:rPr>
              <w:fldChar w:fldCharType="separate"/>
            </w:r>
            <w:r>
              <w:rPr>
                <w:noProof/>
                <w:webHidden/>
              </w:rPr>
              <w:t>14</w:t>
            </w:r>
            <w:r>
              <w:rPr>
                <w:noProof/>
                <w:webHidden/>
              </w:rPr>
              <w:fldChar w:fldCharType="end"/>
            </w:r>
          </w:hyperlink>
        </w:p>
        <w:p w14:paraId="6118B41D" w14:textId="63BC963A" w:rsidR="003448BA" w:rsidRDefault="003448B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813780" w:history="1">
            <w:r w:rsidRPr="00AD1DF2">
              <w:rPr>
                <w:rStyle w:val="Hyperlink"/>
                <w:noProof/>
              </w:rPr>
              <w:t>Assessment overview</w:t>
            </w:r>
            <w:r>
              <w:rPr>
                <w:noProof/>
                <w:webHidden/>
              </w:rPr>
              <w:tab/>
            </w:r>
            <w:r>
              <w:rPr>
                <w:noProof/>
                <w:webHidden/>
              </w:rPr>
              <w:fldChar w:fldCharType="begin"/>
            </w:r>
            <w:r>
              <w:rPr>
                <w:noProof/>
                <w:webHidden/>
              </w:rPr>
              <w:instrText xml:space="preserve"> PAGEREF _Toc219813780 \h </w:instrText>
            </w:r>
            <w:r>
              <w:rPr>
                <w:noProof/>
                <w:webHidden/>
              </w:rPr>
            </w:r>
            <w:r>
              <w:rPr>
                <w:noProof/>
                <w:webHidden/>
              </w:rPr>
              <w:fldChar w:fldCharType="separate"/>
            </w:r>
            <w:r>
              <w:rPr>
                <w:noProof/>
                <w:webHidden/>
              </w:rPr>
              <w:t>15</w:t>
            </w:r>
            <w:r>
              <w:rPr>
                <w:noProof/>
                <w:webHidden/>
              </w:rPr>
              <w:fldChar w:fldCharType="end"/>
            </w:r>
          </w:hyperlink>
        </w:p>
        <w:p w14:paraId="0BC29926" w14:textId="18A7C04F" w:rsidR="003448BA" w:rsidRDefault="003448B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813781" w:history="1">
            <w:r w:rsidRPr="00AD1DF2">
              <w:rPr>
                <w:rStyle w:val="Hyperlink"/>
                <w:noProof/>
              </w:rPr>
              <w:t>Quality evaluation summary</w:t>
            </w:r>
            <w:r>
              <w:rPr>
                <w:noProof/>
                <w:webHidden/>
              </w:rPr>
              <w:tab/>
            </w:r>
            <w:r>
              <w:rPr>
                <w:noProof/>
                <w:webHidden/>
              </w:rPr>
              <w:fldChar w:fldCharType="begin"/>
            </w:r>
            <w:r>
              <w:rPr>
                <w:noProof/>
                <w:webHidden/>
              </w:rPr>
              <w:instrText xml:space="preserve"> PAGEREF _Toc219813781 \h </w:instrText>
            </w:r>
            <w:r>
              <w:rPr>
                <w:noProof/>
                <w:webHidden/>
              </w:rPr>
            </w:r>
            <w:r>
              <w:rPr>
                <w:noProof/>
                <w:webHidden/>
              </w:rPr>
              <w:fldChar w:fldCharType="separate"/>
            </w:r>
            <w:r>
              <w:rPr>
                <w:noProof/>
                <w:webHidden/>
              </w:rPr>
              <w:t>15</w:t>
            </w:r>
            <w:r>
              <w:rPr>
                <w:noProof/>
                <w:webHidden/>
              </w:rPr>
              <w:fldChar w:fldCharType="end"/>
            </w:r>
          </w:hyperlink>
        </w:p>
        <w:p w14:paraId="437A0DC3" w14:textId="0FB82671" w:rsidR="003448BA" w:rsidRDefault="003448B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813782" w:history="1">
            <w:r w:rsidRPr="00AD1DF2">
              <w:rPr>
                <w:rStyle w:val="Hyperlink"/>
                <w:noProof/>
              </w:rPr>
              <w:t>Nonclinical evaluation summary</w:t>
            </w:r>
            <w:r>
              <w:rPr>
                <w:noProof/>
                <w:webHidden/>
              </w:rPr>
              <w:tab/>
            </w:r>
            <w:r>
              <w:rPr>
                <w:noProof/>
                <w:webHidden/>
              </w:rPr>
              <w:fldChar w:fldCharType="begin"/>
            </w:r>
            <w:r>
              <w:rPr>
                <w:noProof/>
                <w:webHidden/>
              </w:rPr>
              <w:instrText xml:space="preserve"> PAGEREF _Toc219813782 \h </w:instrText>
            </w:r>
            <w:r>
              <w:rPr>
                <w:noProof/>
                <w:webHidden/>
              </w:rPr>
            </w:r>
            <w:r>
              <w:rPr>
                <w:noProof/>
                <w:webHidden/>
              </w:rPr>
              <w:fldChar w:fldCharType="separate"/>
            </w:r>
            <w:r>
              <w:rPr>
                <w:noProof/>
                <w:webHidden/>
              </w:rPr>
              <w:t>17</w:t>
            </w:r>
            <w:r>
              <w:rPr>
                <w:noProof/>
                <w:webHidden/>
              </w:rPr>
              <w:fldChar w:fldCharType="end"/>
            </w:r>
          </w:hyperlink>
        </w:p>
        <w:p w14:paraId="3C6ECC34" w14:textId="7F5E4AAE" w:rsidR="003448BA" w:rsidRDefault="003448B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813783" w:history="1">
            <w:r w:rsidRPr="00AD1DF2">
              <w:rPr>
                <w:rStyle w:val="Hyperlink"/>
                <w:noProof/>
              </w:rPr>
              <w:t>Clinical evaluation summary</w:t>
            </w:r>
            <w:r>
              <w:rPr>
                <w:noProof/>
                <w:webHidden/>
              </w:rPr>
              <w:tab/>
            </w:r>
            <w:r>
              <w:rPr>
                <w:noProof/>
                <w:webHidden/>
              </w:rPr>
              <w:fldChar w:fldCharType="begin"/>
            </w:r>
            <w:r>
              <w:rPr>
                <w:noProof/>
                <w:webHidden/>
              </w:rPr>
              <w:instrText xml:space="preserve"> PAGEREF _Toc219813783 \h </w:instrText>
            </w:r>
            <w:r>
              <w:rPr>
                <w:noProof/>
                <w:webHidden/>
              </w:rPr>
            </w:r>
            <w:r>
              <w:rPr>
                <w:noProof/>
                <w:webHidden/>
              </w:rPr>
              <w:fldChar w:fldCharType="separate"/>
            </w:r>
            <w:r>
              <w:rPr>
                <w:noProof/>
                <w:webHidden/>
              </w:rPr>
              <w:t>19</w:t>
            </w:r>
            <w:r>
              <w:rPr>
                <w:noProof/>
                <w:webHidden/>
              </w:rPr>
              <w:fldChar w:fldCharType="end"/>
            </w:r>
          </w:hyperlink>
        </w:p>
        <w:p w14:paraId="019CC2FB" w14:textId="166F106A" w:rsidR="003448BA" w:rsidRDefault="003448B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9813784" w:history="1">
            <w:r w:rsidRPr="00AD1DF2">
              <w:rPr>
                <w:rStyle w:val="Hyperlink"/>
                <w:noProof/>
              </w:rPr>
              <w:t>Summary of clinical studies</w:t>
            </w:r>
            <w:r>
              <w:rPr>
                <w:noProof/>
                <w:webHidden/>
              </w:rPr>
              <w:tab/>
            </w:r>
            <w:r>
              <w:rPr>
                <w:noProof/>
                <w:webHidden/>
              </w:rPr>
              <w:fldChar w:fldCharType="begin"/>
            </w:r>
            <w:r>
              <w:rPr>
                <w:noProof/>
                <w:webHidden/>
              </w:rPr>
              <w:instrText xml:space="preserve"> PAGEREF _Toc219813784 \h </w:instrText>
            </w:r>
            <w:r>
              <w:rPr>
                <w:noProof/>
                <w:webHidden/>
              </w:rPr>
            </w:r>
            <w:r>
              <w:rPr>
                <w:noProof/>
                <w:webHidden/>
              </w:rPr>
              <w:fldChar w:fldCharType="separate"/>
            </w:r>
            <w:r>
              <w:rPr>
                <w:noProof/>
                <w:webHidden/>
              </w:rPr>
              <w:t>19</w:t>
            </w:r>
            <w:r>
              <w:rPr>
                <w:noProof/>
                <w:webHidden/>
              </w:rPr>
              <w:fldChar w:fldCharType="end"/>
            </w:r>
          </w:hyperlink>
        </w:p>
        <w:p w14:paraId="75F0D3B9" w14:textId="42E675FB" w:rsidR="003448BA" w:rsidRDefault="003448B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9813785" w:history="1">
            <w:r w:rsidRPr="00AD1DF2">
              <w:rPr>
                <w:rStyle w:val="Hyperlink"/>
                <w:noProof/>
              </w:rPr>
              <w:t>Pharmacology</w:t>
            </w:r>
            <w:r>
              <w:rPr>
                <w:noProof/>
                <w:webHidden/>
              </w:rPr>
              <w:tab/>
            </w:r>
            <w:r>
              <w:rPr>
                <w:noProof/>
                <w:webHidden/>
              </w:rPr>
              <w:fldChar w:fldCharType="begin"/>
            </w:r>
            <w:r>
              <w:rPr>
                <w:noProof/>
                <w:webHidden/>
              </w:rPr>
              <w:instrText xml:space="preserve"> PAGEREF _Toc219813785 \h </w:instrText>
            </w:r>
            <w:r>
              <w:rPr>
                <w:noProof/>
                <w:webHidden/>
              </w:rPr>
            </w:r>
            <w:r>
              <w:rPr>
                <w:noProof/>
                <w:webHidden/>
              </w:rPr>
              <w:fldChar w:fldCharType="separate"/>
            </w:r>
            <w:r>
              <w:rPr>
                <w:noProof/>
                <w:webHidden/>
              </w:rPr>
              <w:t>22</w:t>
            </w:r>
            <w:r>
              <w:rPr>
                <w:noProof/>
                <w:webHidden/>
              </w:rPr>
              <w:fldChar w:fldCharType="end"/>
            </w:r>
          </w:hyperlink>
        </w:p>
        <w:p w14:paraId="32F7576C" w14:textId="6FE9F527" w:rsidR="003448BA" w:rsidRDefault="003448B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9813786" w:history="1">
            <w:r w:rsidRPr="00AD1DF2">
              <w:rPr>
                <w:rStyle w:val="Hyperlink"/>
                <w:noProof/>
              </w:rPr>
              <w:t>Efficacy</w:t>
            </w:r>
            <w:r>
              <w:rPr>
                <w:noProof/>
                <w:webHidden/>
              </w:rPr>
              <w:tab/>
            </w:r>
            <w:r>
              <w:rPr>
                <w:noProof/>
                <w:webHidden/>
              </w:rPr>
              <w:fldChar w:fldCharType="begin"/>
            </w:r>
            <w:r>
              <w:rPr>
                <w:noProof/>
                <w:webHidden/>
              </w:rPr>
              <w:instrText xml:space="preserve"> PAGEREF _Toc219813786 \h </w:instrText>
            </w:r>
            <w:r>
              <w:rPr>
                <w:noProof/>
                <w:webHidden/>
              </w:rPr>
            </w:r>
            <w:r>
              <w:rPr>
                <w:noProof/>
                <w:webHidden/>
              </w:rPr>
              <w:fldChar w:fldCharType="separate"/>
            </w:r>
            <w:r>
              <w:rPr>
                <w:noProof/>
                <w:webHidden/>
              </w:rPr>
              <w:t>23</w:t>
            </w:r>
            <w:r>
              <w:rPr>
                <w:noProof/>
                <w:webHidden/>
              </w:rPr>
              <w:fldChar w:fldCharType="end"/>
            </w:r>
          </w:hyperlink>
        </w:p>
        <w:p w14:paraId="55E188F3" w14:textId="1D17EB68" w:rsidR="003448BA" w:rsidRDefault="003448BA">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9813787" w:history="1">
            <w:r w:rsidRPr="00AD1DF2">
              <w:rPr>
                <w:rStyle w:val="Hyperlink"/>
                <w:noProof/>
              </w:rPr>
              <w:t>Safety</w:t>
            </w:r>
            <w:r>
              <w:rPr>
                <w:noProof/>
                <w:webHidden/>
              </w:rPr>
              <w:tab/>
            </w:r>
            <w:r>
              <w:rPr>
                <w:noProof/>
                <w:webHidden/>
              </w:rPr>
              <w:fldChar w:fldCharType="begin"/>
            </w:r>
            <w:r>
              <w:rPr>
                <w:noProof/>
                <w:webHidden/>
              </w:rPr>
              <w:instrText xml:space="preserve"> PAGEREF _Toc219813787 \h </w:instrText>
            </w:r>
            <w:r>
              <w:rPr>
                <w:noProof/>
                <w:webHidden/>
              </w:rPr>
            </w:r>
            <w:r>
              <w:rPr>
                <w:noProof/>
                <w:webHidden/>
              </w:rPr>
              <w:fldChar w:fldCharType="separate"/>
            </w:r>
            <w:r>
              <w:rPr>
                <w:noProof/>
                <w:webHidden/>
              </w:rPr>
              <w:t>29</w:t>
            </w:r>
            <w:r>
              <w:rPr>
                <w:noProof/>
                <w:webHidden/>
              </w:rPr>
              <w:fldChar w:fldCharType="end"/>
            </w:r>
          </w:hyperlink>
        </w:p>
        <w:p w14:paraId="484FAD64" w14:textId="7EC42343" w:rsidR="003448BA" w:rsidRDefault="003448B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813788" w:history="1">
            <w:r w:rsidRPr="00AD1DF2">
              <w:rPr>
                <w:rStyle w:val="Hyperlink"/>
                <w:noProof/>
                <w:lang w:eastAsia="en-AU"/>
              </w:rPr>
              <w:t>Risk management plan</w:t>
            </w:r>
            <w:r>
              <w:rPr>
                <w:noProof/>
                <w:webHidden/>
              </w:rPr>
              <w:tab/>
            </w:r>
            <w:r>
              <w:rPr>
                <w:noProof/>
                <w:webHidden/>
              </w:rPr>
              <w:fldChar w:fldCharType="begin"/>
            </w:r>
            <w:r>
              <w:rPr>
                <w:noProof/>
                <w:webHidden/>
              </w:rPr>
              <w:instrText xml:space="preserve"> PAGEREF _Toc219813788 \h </w:instrText>
            </w:r>
            <w:r>
              <w:rPr>
                <w:noProof/>
                <w:webHidden/>
              </w:rPr>
            </w:r>
            <w:r>
              <w:rPr>
                <w:noProof/>
                <w:webHidden/>
              </w:rPr>
              <w:fldChar w:fldCharType="separate"/>
            </w:r>
            <w:r>
              <w:rPr>
                <w:noProof/>
                <w:webHidden/>
              </w:rPr>
              <w:t>33</w:t>
            </w:r>
            <w:r>
              <w:rPr>
                <w:noProof/>
                <w:webHidden/>
              </w:rPr>
              <w:fldChar w:fldCharType="end"/>
            </w:r>
          </w:hyperlink>
        </w:p>
        <w:p w14:paraId="33BBAA5F" w14:textId="513FFE54" w:rsidR="003448BA" w:rsidRDefault="003448B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813789" w:history="1">
            <w:r w:rsidRPr="00AD1DF2">
              <w:rPr>
                <w:rStyle w:val="Hyperlink"/>
                <w:noProof/>
              </w:rPr>
              <w:t>Risk-benefit analysis</w:t>
            </w:r>
            <w:r>
              <w:rPr>
                <w:noProof/>
                <w:webHidden/>
              </w:rPr>
              <w:tab/>
            </w:r>
            <w:r>
              <w:rPr>
                <w:noProof/>
                <w:webHidden/>
              </w:rPr>
              <w:fldChar w:fldCharType="begin"/>
            </w:r>
            <w:r>
              <w:rPr>
                <w:noProof/>
                <w:webHidden/>
              </w:rPr>
              <w:instrText xml:space="preserve"> PAGEREF _Toc219813789 \h </w:instrText>
            </w:r>
            <w:r>
              <w:rPr>
                <w:noProof/>
                <w:webHidden/>
              </w:rPr>
            </w:r>
            <w:r>
              <w:rPr>
                <w:noProof/>
                <w:webHidden/>
              </w:rPr>
              <w:fldChar w:fldCharType="separate"/>
            </w:r>
            <w:r>
              <w:rPr>
                <w:noProof/>
                <w:webHidden/>
              </w:rPr>
              <w:t>34</w:t>
            </w:r>
            <w:r>
              <w:rPr>
                <w:noProof/>
                <w:webHidden/>
              </w:rPr>
              <w:fldChar w:fldCharType="end"/>
            </w:r>
          </w:hyperlink>
        </w:p>
        <w:p w14:paraId="4183DE92" w14:textId="463DECE9" w:rsidR="003448BA" w:rsidRDefault="003448B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813790" w:history="1">
            <w:r w:rsidRPr="00AD1DF2">
              <w:rPr>
                <w:rStyle w:val="Hyperlink"/>
                <w:noProof/>
              </w:rPr>
              <w:t>Assessment outcome</w:t>
            </w:r>
            <w:r>
              <w:rPr>
                <w:noProof/>
                <w:webHidden/>
              </w:rPr>
              <w:tab/>
            </w:r>
            <w:r>
              <w:rPr>
                <w:noProof/>
                <w:webHidden/>
              </w:rPr>
              <w:fldChar w:fldCharType="begin"/>
            </w:r>
            <w:r>
              <w:rPr>
                <w:noProof/>
                <w:webHidden/>
              </w:rPr>
              <w:instrText xml:space="preserve"> PAGEREF _Toc219813790 \h </w:instrText>
            </w:r>
            <w:r>
              <w:rPr>
                <w:noProof/>
                <w:webHidden/>
              </w:rPr>
            </w:r>
            <w:r>
              <w:rPr>
                <w:noProof/>
                <w:webHidden/>
              </w:rPr>
              <w:fldChar w:fldCharType="separate"/>
            </w:r>
            <w:r>
              <w:rPr>
                <w:noProof/>
                <w:webHidden/>
              </w:rPr>
              <w:t>37</w:t>
            </w:r>
            <w:r>
              <w:rPr>
                <w:noProof/>
                <w:webHidden/>
              </w:rPr>
              <w:fldChar w:fldCharType="end"/>
            </w:r>
          </w:hyperlink>
        </w:p>
        <w:p w14:paraId="7AFE5BA1" w14:textId="054EFC82" w:rsidR="003448BA" w:rsidRDefault="003448B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813791" w:history="1">
            <w:r w:rsidRPr="00AD1DF2">
              <w:rPr>
                <w:rStyle w:val="Hyperlink"/>
                <w:noProof/>
              </w:rPr>
              <w:t>Specific conditions of registration</w:t>
            </w:r>
            <w:r>
              <w:rPr>
                <w:noProof/>
                <w:webHidden/>
              </w:rPr>
              <w:tab/>
            </w:r>
            <w:r>
              <w:rPr>
                <w:noProof/>
                <w:webHidden/>
              </w:rPr>
              <w:fldChar w:fldCharType="begin"/>
            </w:r>
            <w:r>
              <w:rPr>
                <w:noProof/>
                <w:webHidden/>
              </w:rPr>
              <w:instrText xml:space="preserve"> PAGEREF _Toc219813791 \h </w:instrText>
            </w:r>
            <w:r>
              <w:rPr>
                <w:noProof/>
                <w:webHidden/>
              </w:rPr>
            </w:r>
            <w:r>
              <w:rPr>
                <w:noProof/>
                <w:webHidden/>
              </w:rPr>
              <w:fldChar w:fldCharType="separate"/>
            </w:r>
            <w:r>
              <w:rPr>
                <w:noProof/>
                <w:webHidden/>
              </w:rPr>
              <w:t>37</w:t>
            </w:r>
            <w:r>
              <w:rPr>
                <w:noProof/>
                <w:webHidden/>
              </w:rPr>
              <w:fldChar w:fldCharType="end"/>
            </w:r>
          </w:hyperlink>
        </w:p>
        <w:p w14:paraId="0B0E3277" w14:textId="38DF5E0B" w:rsidR="003448BA" w:rsidRDefault="003448B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813792" w:history="1">
            <w:r w:rsidRPr="00AD1DF2">
              <w:rPr>
                <w:rStyle w:val="Hyperlink"/>
                <w:noProof/>
              </w:rPr>
              <w:t>Product Information and Consumer Medicine Information</w:t>
            </w:r>
            <w:r>
              <w:rPr>
                <w:noProof/>
                <w:webHidden/>
              </w:rPr>
              <w:tab/>
            </w:r>
            <w:r>
              <w:rPr>
                <w:noProof/>
                <w:webHidden/>
              </w:rPr>
              <w:fldChar w:fldCharType="begin"/>
            </w:r>
            <w:r>
              <w:rPr>
                <w:noProof/>
                <w:webHidden/>
              </w:rPr>
              <w:instrText xml:space="preserve"> PAGEREF _Toc219813792 \h </w:instrText>
            </w:r>
            <w:r>
              <w:rPr>
                <w:noProof/>
                <w:webHidden/>
              </w:rPr>
            </w:r>
            <w:r>
              <w:rPr>
                <w:noProof/>
                <w:webHidden/>
              </w:rPr>
              <w:fldChar w:fldCharType="separate"/>
            </w:r>
            <w:r>
              <w:rPr>
                <w:noProof/>
                <w:webHidden/>
              </w:rPr>
              <w:t>38</w:t>
            </w:r>
            <w:r>
              <w:rPr>
                <w:noProof/>
                <w:webHidden/>
              </w:rPr>
              <w:fldChar w:fldCharType="end"/>
            </w:r>
          </w:hyperlink>
        </w:p>
        <w:p w14:paraId="3AB2C630" w14:textId="44829D69" w:rsidR="003448BA" w:rsidRDefault="003448B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813793" w:history="1">
            <w:r w:rsidRPr="00AD1DF2">
              <w:rPr>
                <w:rStyle w:val="Hyperlink"/>
                <w:noProof/>
              </w:rPr>
              <w:t>Appendix</w:t>
            </w:r>
            <w:r>
              <w:rPr>
                <w:noProof/>
                <w:webHidden/>
              </w:rPr>
              <w:tab/>
            </w:r>
            <w:r>
              <w:rPr>
                <w:noProof/>
                <w:webHidden/>
              </w:rPr>
              <w:fldChar w:fldCharType="begin"/>
            </w:r>
            <w:r>
              <w:rPr>
                <w:noProof/>
                <w:webHidden/>
              </w:rPr>
              <w:instrText xml:space="preserve"> PAGEREF _Toc219813793 \h </w:instrText>
            </w:r>
            <w:r>
              <w:rPr>
                <w:noProof/>
                <w:webHidden/>
              </w:rPr>
            </w:r>
            <w:r>
              <w:rPr>
                <w:noProof/>
                <w:webHidden/>
              </w:rPr>
              <w:fldChar w:fldCharType="separate"/>
            </w:r>
            <w:r>
              <w:rPr>
                <w:noProof/>
                <w:webHidden/>
              </w:rPr>
              <w:t>39</w:t>
            </w:r>
            <w:r>
              <w:rPr>
                <w:noProof/>
                <w:webHidden/>
              </w:rPr>
              <w:fldChar w:fldCharType="end"/>
            </w:r>
          </w:hyperlink>
        </w:p>
        <w:p w14:paraId="77659F2D" w14:textId="7769F9CC"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0" w:name="_Toc98931917"/>
      <w:bookmarkStart w:id="1" w:name="_Toc103679287"/>
      <w:bookmarkStart w:id="2" w:name="_Toc219813769"/>
      <w:bookmarkStart w:id="3" w:name="_Toc323739589"/>
      <w:bookmarkStart w:id="4" w:name="_Toc356305216"/>
      <w:r>
        <w:lastRenderedPageBreak/>
        <w:t>List of abbreviations</w:t>
      </w:r>
      <w:bookmarkEnd w:id="0"/>
      <w:bookmarkEnd w:id="1"/>
      <w:bookmarkEnd w:id="2"/>
    </w:p>
    <w:tbl>
      <w:tblPr>
        <w:tblStyle w:val="TableGrid"/>
        <w:tblW w:w="9067" w:type="dxa"/>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ook w:val="04A0" w:firstRow="1" w:lastRow="0" w:firstColumn="1" w:lastColumn="0" w:noHBand="0" w:noVBand="1"/>
      </w:tblPr>
      <w:tblGrid>
        <w:gridCol w:w="1696"/>
        <w:gridCol w:w="7371"/>
      </w:tblGrid>
      <w:tr w:rsidR="00823E01" w:rsidRPr="00F56FBD" w14:paraId="24419DEB" w14:textId="77777777" w:rsidTr="00D26914">
        <w:trPr>
          <w:trHeight w:val="264"/>
        </w:trPr>
        <w:tc>
          <w:tcPr>
            <w:tcW w:w="1696" w:type="dxa"/>
            <w:shd w:val="clear" w:color="auto" w:fill="DEEAF6"/>
            <w:noWrap/>
            <w:hideMark/>
          </w:tcPr>
          <w:p w14:paraId="3444E1E1" w14:textId="77777777" w:rsidR="00823E01" w:rsidRPr="00A24E20" w:rsidRDefault="00823E01" w:rsidP="009175CE">
            <w:pPr>
              <w:rPr>
                <w:b/>
                <w:bCs/>
                <w:color w:val="263287"/>
                <w:szCs w:val="22"/>
              </w:rPr>
            </w:pPr>
            <w:r w:rsidRPr="00A24E20">
              <w:rPr>
                <w:b/>
                <w:bCs/>
                <w:color w:val="263287"/>
                <w:szCs w:val="22"/>
              </w:rPr>
              <w:t>Abbreviation</w:t>
            </w:r>
          </w:p>
        </w:tc>
        <w:tc>
          <w:tcPr>
            <w:tcW w:w="7371" w:type="dxa"/>
            <w:shd w:val="clear" w:color="auto" w:fill="DEEAF6"/>
            <w:noWrap/>
            <w:hideMark/>
          </w:tcPr>
          <w:p w14:paraId="519A3720" w14:textId="77777777" w:rsidR="00823E01" w:rsidRPr="00A24E20" w:rsidRDefault="00823E01" w:rsidP="009175CE">
            <w:pPr>
              <w:rPr>
                <w:b/>
                <w:bCs/>
                <w:color w:val="263287"/>
                <w:szCs w:val="22"/>
              </w:rPr>
            </w:pPr>
            <w:r w:rsidRPr="00A24E20">
              <w:rPr>
                <w:b/>
                <w:bCs/>
                <w:color w:val="263287"/>
                <w:szCs w:val="22"/>
              </w:rPr>
              <w:t>Meaning</w:t>
            </w:r>
          </w:p>
        </w:tc>
      </w:tr>
      <w:tr w:rsidR="00823E01" w:rsidRPr="00F56FBD" w14:paraId="36C4AF08" w14:textId="77777777" w:rsidTr="00A24E20">
        <w:trPr>
          <w:trHeight w:val="264"/>
        </w:trPr>
        <w:tc>
          <w:tcPr>
            <w:tcW w:w="1696" w:type="dxa"/>
            <w:noWrap/>
            <w:hideMark/>
          </w:tcPr>
          <w:p w14:paraId="04540B4E" w14:textId="77777777" w:rsidR="00823E01" w:rsidRPr="00F56FBD" w:rsidRDefault="00823E01" w:rsidP="009175CE">
            <w:pPr>
              <w:rPr>
                <w:szCs w:val="22"/>
              </w:rPr>
            </w:pPr>
            <w:r w:rsidRPr="00F56FBD">
              <w:rPr>
                <w:szCs w:val="22"/>
              </w:rPr>
              <w:t>AE</w:t>
            </w:r>
          </w:p>
        </w:tc>
        <w:tc>
          <w:tcPr>
            <w:tcW w:w="7371" w:type="dxa"/>
            <w:noWrap/>
            <w:hideMark/>
          </w:tcPr>
          <w:p w14:paraId="27425507" w14:textId="77777777" w:rsidR="00823E01" w:rsidRPr="00F56FBD" w:rsidRDefault="00823E01" w:rsidP="009175CE">
            <w:pPr>
              <w:rPr>
                <w:szCs w:val="22"/>
              </w:rPr>
            </w:pPr>
            <w:r w:rsidRPr="00F56FBD">
              <w:rPr>
                <w:szCs w:val="22"/>
              </w:rPr>
              <w:t>Adverse event</w:t>
            </w:r>
          </w:p>
        </w:tc>
      </w:tr>
      <w:tr w:rsidR="00823E01" w:rsidRPr="00F56FBD" w14:paraId="61ADDE9D" w14:textId="77777777" w:rsidTr="00A24E20">
        <w:trPr>
          <w:trHeight w:val="264"/>
        </w:trPr>
        <w:tc>
          <w:tcPr>
            <w:tcW w:w="1696" w:type="dxa"/>
            <w:noWrap/>
            <w:hideMark/>
          </w:tcPr>
          <w:p w14:paraId="327B964E" w14:textId="77777777" w:rsidR="00823E01" w:rsidRPr="00F56FBD" w:rsidRDefault="00823E01" w:rsidP="009175CE">
            <w:pPr>
              <w:rPr>
                <w:szCs w:val="22"/>
              </w:rPr>
            </w:pPr>
            <w:r w:rsidRPr="00F56FBD">
              <w:rPr>
                <w:szCs w:val="22"/>
              </w:rPr>
              <w:t>ALK</w:t>
            </w:r>
          </w:p>
        </w:tc>
        <w:tc>
          <w:tcPr>
            <w:tcW w:w="7371" w:type="dxa"/>
            <w:noWrap/>
            <w:hideMark/>
          </w:tcPr>
          <w:p w14:paraId="4A42045A" w14:textId="77777777" w:rsidR="00823E01" w:rsidRPr="00F56FBD" w:rsidRDefault="00823E01" w:rsidP="009175CE">
            <w:pPr>
              <w:rPr>
                <w:szCs w:val="22"/>
              </w:rPr>
            </w:pPr>
            <w:r w:rsidRPr="00F56FBD">
              <w:rPr>
                <w:szCs w:val="22"/>
              </w:rPr>
              <w:t>Anaplastic lymphoma kinase</w:t>
            </w:r>
          </w:p>
        </w:tc>
      </w:tr>
      <w:tr w:rsidR="00823E01" w:rsidRPr="00F56FBD" w14:paraId="539C2E9E" w14:textId="77777777" w:rsidTr="00A24E20">
        <w:trPr>
          <w:trHeight w:val="264"/>
        </w:trPr>
        <w:tc>
          <w:tcPr>
            <w:tcW w:w="1696" w:type="dxa"/>
            <w:noWrap/>
            <w:hideMark/>
          </w:tcPr>
          <w:p w14:paraId="664218C8" w14:textId="77777777" w:rsidR="00823E01" w:rsidRPr="00F56FBD" w:rsidRDefault="00823E01" w:rsidP="009175CE">
            <w:pPr>
              <w:rPr>
                <w:szCs w:val="22"/>
              </w:rPr>
            </w:pPr>
            <w:r w:rsidRPr="00F56FBD">
              <w:rPr>
                <w:szCs w:val="22"/>
              </w:rPr>
              <w:t>ARTG</w:t>
            </w:r>
          </w:p>
        </w:tc>
        <w:tc>
          <w:tcPr>
            <w:tcW w:w="7371" w:type="dxa"/>
            <w:noWrap/>
            <w:hideMark/>
          </w:tcPr>
          <w:p w14:paraId="10BD9224" w14:textId="77777777" w:rsidR="00823E01" w:rsidRPr="00F56FBD" w:rsidRDefault="00823E01" w:rsidP="009175CE">
            <w:pPr>
              <w:rPr>
                <w:szCs w:val="22"/>
              </w:rPr>
            </w:pPr>
            <w:r w:rsidRPr="00F56FBD">
              <w:rPr>
                <w:szCs w:val="22"/>
              </w:rPr>
              <w:t>Australian Register of Therapeutic Goods</w:t>
            </w:r>
          </w:p>
        </w:tc>
      </w:tr>
      <w:tr w:rsidR="00823E01" w:rsidRPr="00F56FBD" w14:paraId="29414905" w14:textId="77777777" w:rsidTr="00A24E20">
        <w:trPr>
          <w:trHeight w:val="264"/>
        </w:trPr>
        <w:tc>
          <w:tcPr>
            <w:tcW w:w="1696" w:type="dxa"/>
            <w:noWrap/>
            <w:hideMark/>
          </w:tcPr>
          <w:p w14:paraId="29B53E70" w14:textId="77777777" w:rsidR="00823E01" w:rsidRPr="00F56FBD" w:rsidRDefault="00823E01" w:rsidP="009175CE">
            <w:pPr>
              <w:rPr>
                <w:szCs w:val="22"/>
              </w:rPr>
            </w:pPr>
            <w:r w:rsidRPr="00F56FBD">
              <w:rPr>
                <w:szCs w:val="22"/>
              </w:rPr>
              <w:t>ASA</w:t>
            </w:r>
          </w:p>
        </w:tc>
        <w:tc>
          <w:tcPr>
            <w:tcW w:w="7371" w:type="dxa"/>
            <w:noWrap/>
            <w:hideMark/>
          </w:tcPr>
          <w:p w14:paraId="29291CC4" w14:textId="77777777" w:rsidR="00823E01" w:rsidRPr="00F56FBD" w:rsidRDefault="00823E01" w:rsidP="009175CE">
            <w:pPr>
              <w:rPr>
                <w:szCs w:val="22"/>
              </w:rPr>
            </w:pPr>
            <w:r w:rsidRPr="00F56FBD">
              <w:rPr>
                <w:szCs w:val="22"/>
              </w:rPr>
              <w:t>Australia-specific annex</w:t>
            </w:r>
          </w:p>
        </w:tc>
      </w:tr>
      <w:tr w:rsidR="00823E01" w:rsidRPr="00F56FBD" w14:paraId="35F8A0FB" w14:textId="77777777" w:rsidTr="00A24E20">
        <w:trPr>
          <w:trHeight w:val="264"/>
        </w:trPr>
        <w:tc>
          <w:tcPr>
            <w:tcW w:w="1696" w:type="dxa"/>
            <w:noWrap/>
          </w:tcPr>
          <w:p w14:paraId="489B1909" w14:textId="77777777" w:rsidR="00823E01" w:rsidRPr="00F56FBD" w:rsidRDefault="00823E01" w:rsidP="009175CE">
            <w:pPr>
              <w:rPr>
                <w:szCs w:val="22"/>
              </w:rPr>
            </w:pPr>
            <w:r>
              <w:rPr>
                <w:szCs w:val="22"/>
              </w:rPr>
              <w:t>AUC</w:t>
            </w:r>
          </w:p>
        </w:tc>
        <w:tc>
          <w:tcPr>
            <w:tcW w:w="7371" w:type="dxa"/>
            <w:noWrap/>
          </w:tcPr>
          <w:p w14:paraId="011C4E68" w14:textId="77777777" w:rsidR="00823E01" w:rsidRPr="00F56FBD" w:rsidRDefault="00823E01" w:rsidP="009175CE">
            <w:pPr>
              <w:rPr>
                <w:szCs w:val="22"/>
              </w:rPr>
            </w:pPr>
            <w:r>
              <w:rPr>
                <w:szCs w:val="22"/>
              </w:rPr>
              <w:t>Area under the concentration-time curve</w:t>
            </w:r>
          </w:p>
        </w:tc>
      </w:tr>
      <w:tr w:rsidR="00823E01" w:rsidRPr="00F56FBD" w14:paraId="496CE8C4" w14:textId="77777777" w:rsidTr="00A24E20">
        <w:trPr>
          <w:trHeight w:val="264"/>
        </w:trPr>
        <w:tc>
          <w:tcPr>
            <w:tcW w:w="1696" w:type="dxa"/>
            <w:noWrap/>
            <w:hideMark/>
          </w:tcPr>
          <w:p w14:paraId="1E4495AD" w14:textId="77777777" w:rsidR="00823E01" w:rsidRPr="00F56FBD" w:rsidRDefault="00823E01" w:rsidP="009175CE">
            <w:pPr>
              <w:rPr>
                <w:szCs w:val="22"/>
              </w:rPr>
            </w:pPr>
            <w:r w:rsidRPr="00F56FBD">
              <w:rPr>
                <w:szCs w:val="22"/>
              </w:rPr>
              <w:t>BCRP</w:t>
            </w:r>
          </w:p>
        </w:tc>
        <w:tc>
          <w:tcPr>
            <w:tcW w:w="7371" w:type="dxa"/>
            <w:noWrap/>
            <w:hideMark/>
          </w:tcPr>
          <w:p w14:paraId="482EE0A5" w14:textId="77777777" w:rsidR="00823E01" w:rsidRPr="00F56FBD" w:rsidRDefault="00823E01" w:rsidP="009175CE">
            <w:pPr>
              <w:rPr>
                <w:szCs w:val="22"/>
              </w:rPr>
            </w:pPr>
            <w:r w:rsidRPr="00F56FBD">
              <w:rPr>
                <w:szCs w:val="22"/>
              </w:rPr>
              <w:t>Breast cancer resistance protein</w:t>
            </w:r>
          </w:p>
        </w:tc>
      </w:tr>
      <w:tr w:rsidR="00823E01" w:rsidRPr="00F56FBD" w14:paraId="4CC830D9" w14:textId="77777777" w:rsidTr="00A24E20">
        <w:trPr>
          <w:trHeight w:val="264"/>
        </w:trPr>
        <w:tc>
          <w:tcPr>
            <w:tcW w:w="1696" w:type="dxa"/>
            <w:noWrap/>
            <w:hideMark/>
          </w:tcPr>
          <w:p w14:paraId="722A8456" w14:textId="77777777" w:rsidR="00823E01" w:rsidRPr="00F56FBD" w:rsidRDefault="00823E01" w:rsidP="009175CE">
            <w:pPr>
              <w:rPr>
                <w:szCs w:val="22"/>
              </w:rPr>
            </w:pPr>
            <w:r w:rsidRPr="00F56FBD">
              <w:rPr>
                <w:szCs w:val="22"/>
              </w:rPr>
              <w:t>BICR</w:t>
            </w:r>
          </w:p>
        </w:tc>
        <w:tc>
          <w:tcPr>
            <w:tcW w:w="7371" w:type="dxa"/>
            <w:noWrap/>
            <w:hideMark/>
          </w:tcPr>
          <w:p w14:paraId="6423CEFA" w14:textId="77777777" w:rsidR="00823E01" w:rsidRPr="00F56FBD" w:rsidRDefault="00823E01" w:rsidP="009175CE">
            <w:pPr>
              <w:rPr>
                <w:szCs w:val="22"/>
              </w:rPr>
            </w:pPr>
            <w:r w:rsidRPr="00F56FBD">
              <w:rPr>
                <w:szCs w:val="22"/>
              </w:rPr>
              <w:t>Blinded independent central review</w:t>
            </w:r>
          </w:p>
        </w:tc>
      </w:tr>
      <w:tr w:rsidR="00823E01" w:rsidRPr="00F56FBD" w14:paraId="3E1FA07A" w14:textId="77777777" w:rsidTr="00A24E20">
        <w:trPr>
          <w:trHeight w:val="264"/>
        </w:trPr>
        <w:tc>
          <w:tcPr>
            <w:tcW w:w="1696" w:type="dxa"/>
            <w:noWrap/>
            <w:hideMark/>
          </w:tcPr>
          <w:p w14:paraId="3706E17B" w14:textId="77777777" w:rsidR="00823E01" w:rsidRPr="00F56FBD" w:rsidRDefault="00823E01" w:rsidP="009175CE">
            <w:pPr>
              <w:rPr>
                <w:szCs w:val="22"/>
              </w:rPr>
            </w:pPr>
            <w:r w:rsidRPr="00F56FBD">
              <w:rPr>
                <w:szCs w:val="22"/>
              </w:rPr>
              <w:t>BID</w:t>
            </w:r>
          </w:p>
        </w:tc>
        <w:tc>
          <w:tcPr>
            <w:tcW w:w="7371" w:type="dxa"/>
            <w:noWrap/>
            <w:hideMark/>
          </w:tcPr>
          <w:p w14:paraId="1E04EDB3" w14:textId="77777777" w:rsidR="00823E01" w:rsidRPr="00F56FBD" w:rsidRDefault="00823E01" w:rsidP="009175CE">
            <w:pPr>
              <w:rPr>
                <w:szCs w:val="22"/>
              </w:rPr>
            </w:pPr>
            <w:r w:rsidRPr="00F56FBD">
              <w:rPr>
                <w:szCs w:val="22"/>
              </w:rPr>
              <w:t>Twice a day</w:t>
            </w:r>
          </w:p>
        </w:tc>
      </w:tr>
      <w:tr w:rsidR="00823E01" w:rsidRPr="00F56FBD" w14:paraId="6F9B33C1" w14:textId="77777777" w:rsidTr="00A24E20">
        <w:trPr>
          <w:trHeight w:val="264"/>
        </w:trPr>
        <w:tc>
          <w:tcPr>
            <w:tcW w:w="1696" w:type="dxa"/>
            <w:noWrap/>
            <w:hideMark/>
          </w:tcPr>
          <w:p w14:paraId="5E5C47DA" w14:textId="77777777" w:rsidR="00823E01" w:rsidRPr="00F56FBD" w:rsidRDefault="00823E01" w:rsidP="009175CE">
            <w:pPr>
              <w:rPr>
                <w:szCs w:val="22"/>
              </w:rPr>
            </w:pPr>
            <w:r w:rsidRPr="00F56FBD">
              <w:rPr>
                <w:szCs w:val="22"/>
              </w:rPr>
              <w:t>BRAF</w:t>
            </w:r>
          </w:p>
        </w:tc>
        <w:tc>
          <w:tcPr>
            <w:tcW w:w="7371" w:type="dxa"/>
            <w:noWrap/>
            <w:hideMark/>
          </w:tcPr>
          <w:p w14:paraId="153D66BE" w14:textId="77777777" w:rsidR="00823E01" w:rsidRPr="00F56FBD" w:rsidRDefault="00823E01" w:rsidP="009175CE">
            <w:pPr>
              <w:rPr>
                <w:szCs w:val="22"/>
              </w:rPr>
            </w:pPr>
            <w:r w:rsidRPr="00F56FBD">
              <w:rPr>
                <w:szCs w:val="22"/>
              </w:rPr>
              <w:t>v-</w:t>
            </w:r>
            <w:proofErr w:type="spellStart"/>
            <w:r w:rsidRPr="00F56FBD">
              <w:rPr>
                <w:szCs w:val="22"/>
              </w:rPr>
              <w:t>raf</w:t>
            </w:r>
            <w:proofErr w:type="spellEnd"/>
            <w:r w:rsidRPr="00F56FBD">
              <w:rPr>
                <w:szCs w:val="22"/>
              </w:rPr>
              <w:t xml:space="preserve"> murine sarcoma viral oncogene homolog B1</w:t>
            </w:r>
          </w:p>
        </w:tc>
      </w:tr>
      <w:tr w:rsidR="00823E01" w:rsidRPr="00F56FBD" w14:paraId="58952DDA" w14:textId="77777777" w:rsidTr="00A24E20">
        <w:trPr>
          <w:trHeight w:val="264"/>
        </w:trPr>
        <w:tc>
          <w:tcPr>
            <w:tcW w:w="1696" w:type="dxa"/>
            <w:noWrap/>
            <w:hideMark/>
          </w:tcPr>
          <w:p w14:paraId="301D5DD0" w14:textId="77777777" w:rsidR="00823E01" w:rsidRPr="00F56FBD" w:rsidRDefault="00823E01" w:rsidP="009175CE">
            <w:pPr>
              <w:rPr>
                <w:szCs w:val="22"/>
              </w:rPr>
            </w:pPr>
            <w:r w:rsidRPr="00F56FBD">
              <w:rPr>
                <w:szCs w:val="22"/>
              </w:rPr>
              <w:t>CI</w:t>
            </w:r>
          </w:p>
        </w:tc>
        <w:tc>
          <w:tcPr>
            <w:tcW w:w="7371" w:type="dxa"/>
            <w:noWrap/>
            <w:hideMark/>
          </w:tcPr>
          <w:p w14:paraId="71A4C136" w14:textId="77777777" w:rsidR="00823E01" w:rsidRPr="00F56FBD" w:rsidRDefault="00823E01" w:rsidP="009175CE">
            <w:pPr>
              <w:rPr>
                <w:szCs w:val="22"/>
              </w:rPr>
            </w:pPr>
            <w:r w:rsidRPr="00F56FBD">
              <w:rPr>
                <w:szCs w:val="22"/>
              </w:rPr>
              <w:t>Confidence interval</w:t>
            </w:r>
          </w:p>
        </w:tc>
      </w:tr>
      <w:tr w:rsidR="00823E01" w:rsidRPr="00F56FBD" w14:paraId="2D4504C7" w14:textId="77777777" w:rsidTr="00A24E20">
        <w:trPr>
          <w:trHeight w:val="264"/>
        </w:trPr>
        <w:tc>
          <w:tcPr>
            <w:tcW w:w="1696" w:type="dxa"/>
            <w:noWrap/>
            <w:hideMark/>
          </w:tcPr>
          <w:p w14:paraId="6E0CDA23" w14:textId="77777777" w:rsidR="00823E01" w:rsidRPr="00F56FBD" w:rsidRDefault="00823E01" w:rsidP="009175CE">
            <w:pPr>
              <w:rPr>
                <w:szCs w:val="22"/>
              </w:rPr>
            </w:pPr>
            <w:r w:rsidRPr="00F56FBD">
              <w:rPr>
                <w:szCs w:val="22"/>
              </w:rPr>
              <w:t>CMI</w:t>
            </w:r>
          </w:p>
        </w:tc>
        <w:tc>
          <w:tcPr>
            <w:tcW w:w="7371" w:type="dxa"/>
            <w:noWrap/>
            <w:hideMark/>
          </w:tcPr>
          <w:p w14:paraId="7E1957AA" w14:textId="77777777" w:rsidR="00823E01" w:rsidRPr="00F56FBD" w:rsidRDefault="00823E01" w:rsidP="009175CE">
            <w:pPr>
              <w:rPr>
                <w:szCs w:val="22"/>
              </w:rPr>
            </w:pPr>
            <w:r w:rsidRPr="00F56FBD">
              <w:rPr>
                <w:szCs w:val="22"/>
              </w:rPr>
              <w:t>Consumer Medicines Information</w:t>
            </w:r>
          </w:p>
        </w:tc>
      </w:tr>
      <w:tr w:rsidR="00823E01" w:rsidRPr="00F56FBD" w14:paraId="258B9280" w14:textId="77777777" w:rsidTr="00A24E20">
        <w:trPr>
          <w:trHeight w:val="264"/>
        </w:trPr>
        <w:tc>
          <w:tcPr>
            <w:tcW w:w="1696" w:type="dxa"/>
            <w:noWrap/>
            <w:hideMark/>
          </w:tcPr>
          <w:p w14:paraId="4BD50F0C" w14:textId="77777777" w:rsidR="00823E01" w:rsidRPr="00F56FBD" w:rsidRDefault="00823E01" w:rsidP="009175CE">
            <w:pPr>
              <w:rPr>
                <w:szCs w:val="22"/>
              </w:rPr>
            </w:pPr>
            <w:r w:rsidRPr="00F56FBD">
              <w:rPr>
                <w:szCs w:val="22"/>
              </w:rPr>
              <w:t>CNS</w:t>
            </w:r>
          </w:p>
        </w:tc>
        <w:tc>
          <w:tcPr>
            <w:tcW w:w="7371" w:type="dxa"/>
            <w:noWrap/>
            <w:hideMark/>
          </w:tcPr>
          <w:p w14:paraId="47AF2782" w14:textId="77777777" w:rsidR="00823E01" w:rsidRPr="00F56FBD" w:rsidRDefault="00823E01" w:rsidP="009175CE">
            <w:pPr>
              <w:rPr>
                <w:szCs w:val="22"/>
              </w:rPr>
            </w:pPr>
            <w:r w:rsidRPr="00F56FBD">
              <w:rPr>
                <w:szCs w:val="22"/>
              </w:rPr>
              <w:t>Central nervous system</w:t>
            </w:r>
          </w:p>
        </w:tc>
      </w:tr>
      <w:tr w:rsidR="00823E01" w:rsidRPr="00F56FBD" w14:paraId="134C15E4" w14:textId="77777777" w:rsidTr="00A24E20">
        <w:trPr>
          <w:trHeight w:val="264"/>
        </w:trPr>
        <w:tc>
          <w:tcPr>
            <w:tcW w:w="1696" w:type="dxa"/>
            <w:noWrap/>
            <w:hideMark/>
          </w:tcPr>
          <w:p w14:paraId="767FFE08" w14:textId="77777777" w:rsidR="00823E01" w:rsidRPr="00F56FBD" w:rsidRDefault="00823E01" w:rsidP="009175CE">
            <w:pPr>
              <w:rPr>
                <w:szCs w:val="22"/>
              </w:rPr>
            </w:pPr>
            <w:r w:rsidRPr="00F56FBD">
              <w:rPr>
                <w:szCs w:val="22"/>
              </w:rPr>
              <w:t>CR</w:t>
            </w:r>
          </w:p>
        </w:tc>
        <w:tc>
          <w:tcPr>
            <w:tcW w:w="7371" w:type="dxa"/>
            <w:noWrap/>
            <w:hideMark/>
          </w:tcPr>
          <w:p w14:paraId="27416854" w14:textId="77777777" w:rsidR="00823E01" w:rsidRPr="00F56FBD" w:rsidRDefault="00823E01" w:rsidP="009175CE">
            <w:pPr>
              <w:rPr>
                <w:szCs w:val="22"/>
              </w:rPr>
            </w:pPr>
            <w:r w:rsidRPr="00F56FBD">
              <w:rPr>
                <w:szCs w:val="22"/>
              </w:rPr>
              <w:t>Complete response</w:t>
            </w:r>
          </w:p>
        </w:tc>
      </w:tr>
      <w:tr w:rsidR="00823E01" w:rsidRPr="00F56FBD" w14:paraId="0C92501C" w14:textId="77777777" w:rsidTr="00A24E20">
        <w:trPr>
          <w:trHeight w:val="264"/>
        </w:trPr>
        <w:tc>
          <w:tcPr>
            <w:tcW w:w="1696" w:type="dxa"/>
            <w:noWrap/>
            <w:hideMark/>
          </w:tcPr>
          <w:p w14:paraId="68F08838" w14:textId="77777777" w:rsidR="00823E01" w:rsidRPr="00F56FBD" w:rsidRDefault="00823E01" w:rsidP="009175CE">
            <w:pPr>
              <w:rPr>
                <w:szCs w:val="22"/>
              </w:rPr>
            </w:pPr>
            <w:r w:rsidRPr="00F56FBD">
              <w:rPr>
                <w:szCs w:val="22"/>
              </w:rPr>
              <w:t>DLP</w:t>
            </w:r>
          </w:p>
        </w:tc>
        <w:tc>
          <w:tcPr>
            <w:tcW w:w="7371" w:type="dxa"/>
            <w:noWrap/>
            <w:hideMark/>
          </w:tcPr>
          <w:p w14:paraId="6EA6B59E" w14:textId="77777777" w:rsidR="00823E01" w:rsidRPr="00F56FBD" w:rsidRDefault="00823E01" w:rsidP="009175CE">
            <w:pPr>
              <w:rPr>
                <w:szCs w:val="22"/>
              </w:rPr>
            </w:pPr>
            <w:r w:rsidRPr="00F56FBD">
              <w:rPr>
                <w:szCs w:val="22"/>
              </w:rPr>
              <w:t>Data lock point</w:t>
            </w:r>
          </w:p>
        </w:tc>
      </w:tr>
      <w:tr w:rsidR="00823E01" w:rsidRPr="00F56FBD" w14:paraId="1E0C3216" w14:textId="77777777" w:rsidTr="00A24E20">
        <w:trPr>
          <w:trHeight w:val="264"/>
        </w:trPr>
        <w:tc>
          <w:tcPr>
            <w:tcW w:w="1696" w:type="dxa"/>
            <w:noWrap/>
            <w:hideMark/>
          </w:tcPr>
          <w:p w14:paraId="6417F040" w14:textId="77777777" w:rsidR="00823E01" w:rsidRPr="00F56FBD" w:rsidRDefault="00823E01" w:rsidP="009175CE">
            <w:pPr>
              <w:rPr>
                <w:szCs w:val="22"/>
              </w:rPr>
            </w:pPr>
            <w:r w:rsidRPr="00F56FBD">
              <w:rPr>
                <w:szCs w:val="22"/>
              </w:rPr>
              <w:t>DOR</w:t>
            </w:r>
          </w:p>
        </w:tc>
        <w:tc>
          <w:tcPr>
            <w:tcW w:w="7371" w:type="dxa"/>
            <w:noWrap/>
            <w:hideMark/>
          </w:tcPr>
          <w:p w14:paraId="0568BC4B" w14:textId="77777777" w:rsidR="00823E01" w:rsidRPr="00F56FBD" w:rsidRDefault="00823E01" w:rsidP="009175CE">
            <w:pPr>
              <w:rPr>
                <w:szCs w:val="22"/>
              </w:rPr>
            </w:pPr>
            <w:r w:rsidRPr="00F56FBD">
              <w:rPr>
                <w:szCs w:val="22"/>
              </w:rPr>
              <w:t>Duration of response</w:t>
            </w:r>
          </w:p>
        </w:tc>
      </w:tr>
      <w:tr w:rsidR="00823E01" w:rsidRPr="00F56FBD" w14:paraId="6001766B" w14:textId="77777777" w:rsidTr="00A24E20">
        <w:trPr>
          <w:trHeight w:val="264"/>
        </w:trPr>
        <w:tc>
          <w:tcPr>
            <w:tcW w:w="1696" w:type="dxa"/>
            <w:noWrap/>
            <w:hideMark/>
          </w:tcPr>
          <w:p w14:paraId="54EA293E" w14:textId="77777777" w:rsidR="00823E01" w:rsidRPr="00F56FBD" w:rsidRDefault="00823E01" w:rsidP="009175CE">
            <w:pPr>
              <w:rPr>
                <w:szCs w:val="22"/>
              </w:rPr>
            </w:pPr>
            <w:r w:rsidRPr="00F56FBD">
              <w:rPr>
                <w:szCs w:val="22"/>
              </w:rPr>
              <w:t>ECG</w:t>
            </w:r>
          </w:p>
        </w:tc>
        <w:tc>
          <w:tcPr>
            <w:tcW w:w="7371" w:type="dxa"/>
            <w:noWrap/>
            <w:hideMark/>
          </w:tcPr>
          <w:p w14:paraId="363D12A8" w14:textId="77777777" w:rsidR="00823E01" w:rsidRPr="00F56FBD" w:rsidRDefault="00823E01" w:rsidP="009175CE">
            <w:pPr>
              <w:rPr>
                <w:szCs w:val="22"/>
              </w:rPr>
            </w:pPr>
            <w:r w:rsidRPr="00F56FBD">
              <w:rPr>
                <w:szCs w:val="22"/>
              </w:rPr>
              <w:t>Electrocardiogram</w:t>
            </w:r>
          </w:p>
        </w:tc>
      </w:tr>
      <w:tr w:rsidR="00823E01" w:rsidRPr="00F56FBD" w14:paraId="3EF5B061" w14:textId="77777777" w:rsidTr="00A24E20">
        <w:trPr>
          <w:trHeight w:val="264"/>
        </w:trPr>
        <w:tc>
          <w:tcPr>
            <w:tcW w:w="1696" w:type="dxa"/>
            <w:noWrap/>
            <w:hideMark/>
          </w:tcPr>
          <w:p w14:paraId="3328DA56" w14:textId="77777777" w:rsidR="00823E01" w:rsidRPr="00F56FBD" w:rsidRDefault="00823E01" w:rsidP="009175CE">
            <w:pPr>
              <w:rPr>
                <w:szCs w:val="22"/>
              </w:rPr>
            </w:pPr>
            <w:r w:rsidRPr="00F56FBD">
              <w:rPr>
                <w:szCs w:val="22"/>
              </w:rPr>
              <w:t>EGFR</w:t>
            </w:r>
          </w:p>
        </w:tc>
        <w:tc>
          <w:tcPr>
            <w:tcW w:w="7371" w:type="dxa"/>
            <w:noWrap/>
            <w:hideMark/>
          </w:tcPr>
          <w:p w14:paraId="414CEB8F" w14:textId="77777777" w:rsidR="00823E01" w:rsidRPr="00F56FBD" w:rsidRDefault="00823E01" w:rsidP="009175CE">
            <w:pPr>
              <w:rPr>
                <w:szCs w:val="22"/>
              </w:rPr>
            </w:pPr>
            <w:r w:rsidRPr="00F56FBD">
              <w:rPr>
                <w:szCs w:val="22"/>
              </w:rPr>
              <w:t>Epidermal growth factor receptor</w:t>
            </w:r>
          </w:p>
        </w:tc>
      </w:tr>
      <w:tr w:rsidR="00823E01" w:rsidRPr="00F56FBD" w14:paraId="11ED6794" w14:textId="77777777" w:rsidTr="00A24E20">
        <w:trPr>
          <w:trHeight w:val="264"/>
        </w:trPr>
        <w:tc>
          <w:tcPr>
            <w:tcW w:w="1696" w:type="dxa"/>
            <w:noWrap/>
            <w:hideMark/>
          </w:tcPr>
          <w:p w14:paraId="727C5480" w14:textId="77777777" w:rsidR="00823E01" w:rsidRPr="00F56FBD" w:rsidRDefault="00823E01" w:rsidP="009175CE">
            <w:pPr>
              <w:rPr>
                <w:szCs w:val="22"/>
              </w:rPr>
            </w:pPr>
            <w:r w:rsidRPr="00F56FBD">
              <w:rPr>
                <w:szCs w:val="22"/>
              </w:rPr>
              <w:t>EMA</w:t>
            </w:r>
          </w:p>
        </w:tc>
        <w:tc>
          <w:tcPr>
            <w:tcW w:w="7371" w:type="dxa"/>
            <w:noWrap/>
            <w:hideMark/>
          </w:tcPr>
          <w:p w14:paraId="26C2957B" w14:textId="77777777" w:rsidR="00823E01" w:rsidRPr="00F56FBD" w:rsidRDefault="00823E01" w:rsidP="009175CE">
            <w:pPr>
              <w:rPr>
                <w:szCs w:val="22"/>
              </w:rPr>
            </w:pPr>
            <w:r w:rsidRPr="00F56FBD">
              <w:rPr>
                <w:szCs w:val="22"/>
              </w:rPr>
              <w:t>European Medicines Agency</w:t>
            </w:r>
          </w:p>
        </w:tc>
      </w:tr>
      <w:tr w:rsidR="00823E01" w:rsidRPr="00F56FBD" w14:paraId="15F2D5F3" w14:textId="77777777" w:rsidTr="00A24E20">
        <w:trPr>
          <w:trHeight w:val="264"/>
        </w:trPr>
        <w:tc>
          <w:tcPr>
            <w:tcW w:w="1696" w:type="dxa"/>
            <w:noWrap/>
            <w:hideMark/>
          </w:tcPr>
          <w:p w14:paraId="5BAB4EB6" w14:textId="77777777" w:rsidR="00823E01" w:rsidRPr="00F56FBD" w:rsidRDefault="00823E01" w:rsidP="009175CE">
            <w:pPr>
              <w:rPr>
                <w:szCs w:val="22"/>
              </w:rPr>
            </w:pPr>
            <w:r w:rsidRPr="00F56FBD">
              <w:rPr>
                <w:szCs w:val="22"/>
              </w:rPr>
              <w:t>EMA SmPC</w:t>
            </w:r>
          </w:p>
        </w:tc>
        <w:tc>
          <w:tcPr>
            <w:tcW w:w="7371" w:type="dxa"/>
            <w:noWrap/>
            <w:hideMark/>
          </w:tcPr>
          <w:p w14:paraId="55F793ED" w14:textId="77777777" w:rsidR="00823E01" w:rsidRPr="00F56FBD" w:rsidRDefault="00823E01" w:rsidP="009175CE">
            <w:pPr>
              <w:rPr>
                <w:szCs w:val="22"/>
              </w:rPr>
            </w:pPr>
            <w:r w:rsidRPr="00F56FBD">
              <w:rPr>
                <w:szCs w:val="22"/>
              </w:rPr>
              <w:t>European Medicines Agency Summary of Product Characteristics</w:t>
            </w:r>
          </w:p>
        </w:tc>
      </w:tr>
      <w:tr w:rsidR="00823E01" w:rsidRPr="00F56FBD" w14:paraId="6C41B250" w14:textId="77777777" w:rsidTr="00A24E20">
        <w:trPr>
          <w:trHeight w:val="264"/>
        </w:trPr>
        <w:tc>
          <w:tcPr>
            <w:tcW w:w="1696" w:type="dxa"/>
            <w:noWrap/>
          </w:tcPr>
          <w:p w14:paraId="20067F81" w14:textId="77777777" w:rsidR="00823E01" w:rsidRPr="00F56FBD" w:rsidRDefault="00823E01" w:rsidP="009175CE">
            <w:pPr>
              <w:rPr>
                <w:szCs w:val="22"/>
              </w:rPr>
            </w:pPr>
            <w:r>
              <w:rPr>
                <w:szCs w:val="22"/>
              </w:rPr>
              <w:t>ER</w:t>
            </w:r>
            <w:r w:rsidRPr="00483860">
              <w:rPr>
                <w:szCs w:val="22"/>
                <w:vertAlign w:val="subscript"/>
              </w:rPr>
              <w:t>AUC</w:t>
            </w:r>
          </w:p>
        </w:tc>
        <w:tc>
          <w:tcPr>
            <w:tcW w:w="7371" w:type="dxa"/>
            <w:noWrap/>
          </w:tcPr>
          <w:p w14:paraId="3456427E" w14:textId="77777777" w:rsidR="00823E01" w:rsidRPr="00F56FBD" w:rsidRDefault="00823E01" w:rsidP="009175CE">
            <w:pPr>
              <w:rPr>
                <w:szCs w:val="22"/>
              </w:rPr>
            </w:pPr>
            <w:r w:rsidRPr="00483860">
              <w:rPr>
                <w:szCs w:val="22"/>
              </w:rPr>
              <w:t>Exposure ratio</w:t>
            </w:r>
            <w:r>
              <w:rPr>
                <w:szCs w:val="22"/>
              </w:rPr>
              <w:t>, area under the curve</w:t>
            </w:r>
          </w:p>
        </w:tc>
      </w:tr>
      <w:tr w:rsidR="00823E01" w:rsidRPr="00F56FBD" w14:paraId="44A7667C" w14:textId="77777777" w:rsidTr="00A24E20">
        <w:trPr>
          <w:trHeight w:val="264"/>
        </w:trPr>
        <w:tc>
          <w:tcPr>
            <w:tcW w:w="1696" w:type="dxa"/>
            <w:noWrap/>
          </w:tcPr>
          <w:p w14:paraId="2F629F66" w14:textId="77777777" w:rsidR="00823E01" w:rsidRPr="00F56FBD" w:rsidRDefault="00823E01" w:rsidP="009175CE">
            <w:pPr>
              <w:rPr>
                <w:szCs w:val="22"/>
              </w:rPr>
            </w:pPr>
            <w:r>
              <w:rPr>
                <w:szCs w:val="22"/>
              </w:rPr>
              <w:t>ER</w:t>
            </w:r>
            <w:r w:rsidRPr="00483860">
              <w:rPr>
                <w:szCs w:val="22"/>
                <w:vertAlign w:val="subscript"/>
              </w:rPr>
              <w:t>BSA</w:t>
            </w:r>
          </w:p>
        </w:tc>
        <w:tc>
          <w:tcPr>
            <w:tcW w:w="7371" w:type="dxa"/>
            <w:noWrap/>
          </w:tcPr>
          <w:p w14:paraId="7589DB1A" w14:textId="77777777" w:rsidR="00823E01" w:rsidRPr="00F56FBD" w:rsidRDefault="00823E01" w:rsidP="009175CE">
            <w:pPr>
              <w:rPr>
                <w:szCs w:val="22"/>
              </w:rPr>
            </w:pPr>
            <w:r>
              <w:rPr>
                <w:szCs w:val="22"/>
              </w:rPr>
              <w:t>Exposure ratio, body surface area</w:t>
            </w:r>
          </w:p>
        </w:tc>
      </w:tr>
      <w:tr w:rsidR="00823E01" w:rsidRPr="00F56FBD" w14:paraId="5A9BD04D" w14:textId="77777777" w:rsidTr="00A24E20">
        <w:trPr>
          <w:trHeight w:val="264"/>
        </w:trPr>
        <w:tc>
          <w:tcPr>
            <w:tcW w:w="1696" w:type="dxa"/>
            <w:noWrap/>
          </w:tcPr>
          <w:p w14:paraId="65138E91" w14:textId="77777777" w:rsidR="00823E01" w:rsidRDefault="00823E01" w:rsidP="009175CE">
            <w:pPr>
              <w:rPr>
                <w:szCs w:val="22"/>
              </w:rPr>
            </w:pPr>
            <w:proofErr w:type="spellStart"/>
            <w:r>
              <w:rPr>
                <w:szCs w:val="22"/>
              </w:rPr>
              <w:t>ER</w:t>
            </w:r>
            <w:r w:rsidRPr="00483860">
              <w:rPr>
                <w:szCs w:val="22"/>
                <w:vertAlign w:val="subscript"/>
              </w:rPr>
              <w:t>Cmax</w:t>
            </w:r>
            <w:proofErr w:type="spellEnd"/>
          </w:p>
        </w:tc>
        <w:tc>
          <w:tcPr>
            <w:tcW w:w="7371" w:type="dxa"/>
            <w:noWrap/>
          </w:tcPr>
          <w:p w14:paraId="3A51439E" w14:textId="77777777" w:rsidR="00823E01" w:rsidRDefault="00823E01" w:rsidP="009175CE">
            <w:pPr>
              <w:rPr>
                <w:szCs w:val="22"/>
              </w:rPr>
            </w:pPr>
            <w:r w:rsidRPr="00483860">
              <w:rPr>
                <w:szCs w:val="22"/>
              </w:rPr>
              <w:t>Exposure ratio</w:t>
            </w:r>
            <w:r>
              <w:rPr>
                <w:szCs w:val="22"/>
              </w:rPr>
              <w:t>, maximal drug concentration</w:t>
            </w:r>
          </w:p>
        </w:tc>
      </w:tr>
      <w:tr w:rsidR="00823E01" w:rsidRPr="00F56FBD" w14:paraId="03ACF515" w14:textId="77777777" w:rsidTr="00A24E20">
        <w:trPr>
          <w:trHeight w:val="264"/>
        </w:trPr>
        <w:tc>
          <w:tcPr>
            <w:tcW w:w="1696" w:type="dxa"/>
            <w:noWrap/>
          </w:tcPr>
          <w:p w14:paraId="2692F3E3" w14:textId="77777777" w:rsidR="00823E01" w:rsidRDefault="00823E01" w:rsidP="009175CE">
            <w:pPr>
              <w:rPr>
                <w:szCs w:val="22"/>
              </w:rPr>
            </w:pPr>
            <w:r w:rsidRPr="00F56FBD">
              <w:rPr>
                <w:szCs w:val="22"/>
              </w:rPr>
              <w:t>ERBB2 (HER2)</w:t>
            </w:r>
          </w:p>
        </w:tc>
        <w:tc>
          <w:tcPr>
            <w:tcW w:w="7371" w:type="dxa"/>
            <w:noWrap/>
          </w:tcPr>
          <w:p w14:paraId="6EA3241A" w14:textId="77777777" w:rsidR="00823E01" w:rsidRPr="00483860" w:rsidRDefault="00823E01" w:rsidP="009175CE">
            <w:pPr>
              <w:rPr>
                <w:szCs w:val="22"/>
              </w:rPr>
            </w:pPr>
            <w:r w:rsidRPr="00F56FBD">
              <w:rPr>
                <w:szCs w:val="22"/>
              </w:rPr>
              <w:t>Human epidermal growth factor receptor 2</w:t>
            </w:r>
          </w:p>
        </w:tc>
      </w:tr>
      <w:tr w:rsidR="00823E01" w:rsidRPr="00F56FBD" w14:paraId="2AC78342" w14:textId="77777777" w:rsidTr="00A24E20">
        <w:trPr>
          <w:trHeight w:val="264"/>
        </w:trPr>
        <w:tc>
          <w:tcPr>
            <w:tcW w:w="1696" w:type="dxa"/>
            <w:noWrap/>
          </w:tcPr>
          <w:p w14:paraId="1D42CF05" w14:textId="77777777" w:rsidR="00823E01" w:rsidRPr="00F56FBD" w:rsidRDefault="00823E01" w:rsidP="009175CE">
            <w:pPr>
              <w:rPr>
                <w:szCs w:val="22"/>
              </w:rPr>
            </w:pPr>
            <w:r w:rsidRPr="00E32DE3">
              <w:t>ESMO</w:t>
            </w:r>
          </w:p>
        </w:tc>
        <w:tc>
          <w:tcPr>
            <w:tcW w:w="7371" w:type="dxa"/>
            <w:noWrap/>
          </w:tcPr>
          <w:p w14:paraId="270CA29F" w14:textId="77777777" w:rsidR="00823E01" w:rsidRPr="00F56FBD" w:rsidRDefault="00823E01" w:rsidP="009175CE">
            <w:pPr>
              <w:rPr>
                <w:szCs w:val="22"/>
              </w:rPr>
            </w:pPr>
            <w:r w:rsidRPr="00E32DE3">
              <w:t xml:space="preserve">European Society </w:t>
            </w:r>
            <w:proofErr w:type="gramStart"/>
            <w:r w:rsidRPr="00E32DE3">
              <w:t>For</w:t>
            </w:r>
            <w:proofErr w:type="gramEnd"/>
            <w:r w:rsidRPr="00E32DE3">
              <w:t xml:space="preserve"> Medical Oncology</w:t>
            </w:r>
          </w:p>
        </w:tc>
      </w:tr>
      <w:tr w:rsidR="00823E01" w:rsidRPr="00F56FBD" w14:paraId="4AA705D9" w14:textId="77777777" w:rsidTr="00A24E20">
        <w:trPr>
          <w:trHeight w:val="264"/>
        </w:trPr>
        <w:tc>
          <w:tcPr>
            <w:tcW w:w="1696" w:type="dxa"/>
            <w:noWrap/>
            <w:hideMark/>
          </w:tcPr>
          <w:p w14:paraId="4303381E" w14:textId="77777777" w:rsidR="00823E01" w:rsidRPr="00F56FBD" w:rsidRDefault="00823E01" w:rsidP="009175CE">
            <w:pPr>
              <w:rPr>
                <w:szCs w:val="22"/>
              </w:rPr>
            </w:pPr>
            <w:r w:rsidRPr="00F56FBD">
              <w:rPr>
                <w:szCs w:val="22"/>
              </w:rPr>
              <w:t>FDA</w:t>
            </w:r>
          </w:p>
        </w:tc>
        <w:tc>
          <w:tcPr>
            <w:tcW w:w="7371" w:type="dxa"/>
            <w:noWrap/>
            <w:hideMark/>
          </w:tcPr>
          <w:p w14:paraId="6D8CB921" w14:textId="77777777" w:rsidR="00823E01" w:rsidRPr="00F56FBD" w:rsidRDefault="00823E01" w:rsidP="009175CE">
            <w:pPr>
              <w:rPr>
                <w:szCs w:val="22"/>
              </w:rPr>
            </w:pPr>
            <w:r w:rsidRPr="00F56FBD">
              <w:rPr>
                <w:szCs w:val="22"/>
              </w:rPr>
              <w:t>Food and Drug Administration (USA)</w:t>
            </w:r>
          </w:p>
        </w:tc>
      </w:tr>
      <w:tr w:rsidR="00823E01" w:rsidRPr="00F56FBD" w14:paraId="1C57B11C" w14:textId="77777777" w:rsidTr="00A24E20">
        <w:trPr>
          <w:trHeight w:val="264"/>
        </w:trPr>
        <w:tc>
          <w:tcPr>
            <w:tcW w:w="1696" w:type="dxa"/>
            <w:noWrap/>
            <w:hideMark/>
          </w:tcPr>
          <w:p w14:paraId="04982E2D" w14:textId="77777777" w:rsidR="00823E01" w:rsidRPr="00F56FBD" w:rsidRDefault="00823E01" w:rsidP="009175CE">
            <w:pPr>
              <w:rPr>
                <w:szCs w:val="22"/>
              </w:rPr>
            </w:pPr>
            <w:r w:rsidRPr="00F56FBD">
              <w:rPr>
                <w:szCs w:val="22"/>
              </w:rPr>
              <w:t>FISH</w:t>
            </w:r>
          </w:p>
        </w:tc>
        <w:tc>
          <w:tcPr>
            <w:tcW w:w="7371" w:type="dxa"/>
            <w:noWrap/>
            <w:hideMark/>
          </w:tcPr>
          <w:p w14:paraId="5D302DBE" w14:textId="77777777" w:rsidR="00823E01" w:rsidRPr="00F56FBD" w:rsidRDefault="00823E01" w:rsidP="009175CE">
            <w:pPr>
              <w:rPr>
                <w:szCs w:val="22"/>
              </w:rPr>
            </w:pPr>
            <w:r w:rsidRPr="00F56FBD">
              <w:rPr>
                <w:szCs w:val="22"/>
              </w:rPr>
              <w:t>Fluorescent in-situ hybridisation</w:t>
            </w:r>
          </w:p>
        </w:tc>
      </w:tr>
      <w:tr w:rsidR="00823E01" w:rsidRPr="00F56FBD" w14:paraId="4C2D2D2F" w14:textId="77777777" w:rsidTr="00A24E20">
        <w:trPr>
          <w:trHeight w:val="264"/>
        </w:trPr>
        <w:tc>
          <w:tcPr>
            <w:tcW w:w="1696" w:type="dxa"/>
            <w:noWrap/>
            <w:hideMark/>
          </w:tcPr>
          <w:p w14:paraId="6B3245E7" w14:textId="77777777" w:rsidR="00823E01" w:rsidRPr="00F56FBD" w:rsidRDefault="00823E01" w:rsidP="009175CE">
            <w:pPr>
              <w:rPr>
                <w:szCs w:val="22"/>
              </w:rPr>
            </w:pPr>
            <w:r w:rsidRPr="00F56FBD">
              <w:rPr>
                <w:szCs w:val="22"/>
              </w:rPr>
              <w:t>IHC</w:t>
            </w:r>
          </w:p>
        </w:tc>
        <w:tc>
          <w:tcPr>
            <w:tcW w:w="7371" w:type="dxa"/>
            <w:noWrap/>
            <w:hideMark/>
          </w:tcPr>
          <w:p w14:paraId="02B09ABE" w14:textId="77777777" w:rsidR="00823E01" w:rsidRPr="00F56FBD" w:rsidRDefault="00823E01" w:rsidP="009175CE">
            <w:pPr>
              <w:rPr>
                <w:szCs w:val="22"/>
              </w:rPr>
            </w:pPr>
            <w:r w:rsidRPr="00F56FBD">
              <w:rPr>
                <w:szCs w:val="22"/>
              </w:rPr>
              <w:t>Immunohistochemistry</w:t>
            </w:r>
          </w:p>
        </w:tc>
      </w:tr>
      <w:tr w:rsidR="00823E01" w:rsidRPr="00F56FBD" w14:paraId="4042B424" w14:textId="77777777" w:rsidTr="00A24E20">
        <w:trPr>
          <w:trHeight w:val="264"/>
        </w:trPr>
        <w:tc>
          <w:tcPr>
            <w:tcW w:w="1696" w:type="dxa"/>
            <w:noWrap/>
            <w:hideMark/>
          </w:tcPr>
          <w:p w14:paraId="7C2B4CD3" w14:textId="77777777" w:rsidR="00823E01" w:rsidRPr="00F56FBD" w:rsidRDefault="00823E01" w:rsidP="009175CE">
            <w:pPr>
              <w:rPr>
                <w:szCs w:val="22"/>
              </w:rPr>
            </w:pPr>
            <w:r w:rsidRPr="00F56FBD">
              <w:rPr>
                <w:szCs w:val="22"/>
              </w:rPr>
              <w:t>KRAS</w:t>
            </w:r>
          </w:p>
        </w:tc>
        <w:tc>
          <w:tcPr>
            <w:tcW w:w="7371" w:type="dxa"/>
            <w:noWrap/>
            <w:hideMark/>
          </w:tcPr>
          <w:p w14:paraId="242F28F3" w14:textId="77777777" w:rsidR="00823E01" w:rsidRPr="00F56FBD" w:rsidRDefault="00823E01" w:rsidP="009175CE">
            <w:pPr>
              <w:rPr>
                <w:szCs w:val="22"/>
              </w:rPr>
            </w:pPr>
            <w:r w:rsidRPr="00F56FBD">
              <w:rPr>
                <w:szCs w:val="22"/>
              </w:rPr>
              <w:t>Kirsten rat sarcoma viral oncogene homolog</w:t>
            </w:r>
          </w:p>
        </w:tc>
      </w:tr>
      <w:tr w:rsidR="00823E01" w:rsidRPr="00F56FBD" w14:paraId="4C48674D" w14:textId="77777777" w:rsidTr="00A24E20">
        <w:trPr>
          <w:trHeight w:val="264"/>
        </w:trPr>
        <w:tc>
          <w:tcPr>
            <w:tcW w:w="1696" w:type="dxa"/>
            <w:noWrap/>
            <w:hideMark/>
          </w:tcPr>
          <w:p w14:paraId="5A0595F4" w14:textId="77777777" w:rsidR="00823E01" w:rsidRPr="00F56FBD" w:rsidRDefault="00823E01" w:rsidP="009175CE">
            <w:pPr>
              <w:rPr>
                <w:szCs w:val="22"/>
              </w:rPr>
            </w:pPr>
            <w:r w:rsidRPr="00F56FBD">
              <w:rPr>
                <w:szCs w:val="22"/>
              </w:rPr>
              <w:t>MATE1/2K</w:t>
            </w:r>
          </w:p>
        </w:tc>
        <w:tc>
          <w:tcPr>
            <w:tcW w:w="7371" w:type="dxa"/>
            <w:noWrap/>
            <w:hideMark/>
          </w:tcPr>
          <w:p w14:paraId="2356996B" w14:textId="77777777" w:rsidR="00823E01" w:rsidRPr="00F56FBD" w:rsidRDefault="00823E01" w:rsidP="009175CE">
            <w:pPr>
              <w:rPr>
                <w:szCs w:val="22"/>
              </w:rPr>
            </w:pPr>
            <w:r w:rsidRPr="00F56FBD">
              <w:rPr>
                <w:szCs w:val="22"/>
              </w:rPr>
              <w:t>Multidrug and toxin extrusion proteins 1/2K</w:t>
            </w:r>
          </w:p>
        </w:tc>
      </w:tr>
      <w:tr w:rsidR="00823E01" w:rsidRPr="00F56FBD" w14:paraId="51D725C0" w14:textId="77777777" w:rsidTr="00A24E20">
        <w:trPr>
          <w:trHeight w:val="264"/>
        </w:trPr>
        <w:tc>
          <w:tcPr>
            <w:tcW w:w="1696" w:type="dxa"/>
            <w:noWrap/>
            <w:hideMark/>
          </w:tcPr>
          <w:p w14:paraId="10AFCF1D" w14:textId="77777777" w:rsidR="00823E01" w:rsidRPr="00F56FBD" w:rsidRDefault="00823E01" w:rsidP="009175CE">
            <w:pPr>
              <w:rPr>
                <w:szCs w:val="22"/>
              </w:rPr>
            </w:pPr>
            <w:r w:rsidRPr="00F56FBD">
              <w:rPr>
                <w:szCs w:val="22"/>
              </w:rPr>
              <w:t>MET</w:t>
            </w:r>
          </w:p>
        </w:tc>
        <w:tc>
          <w:tcPr>
            <w:tcW w:w="7371" w:type="dxa"/>
            <w:noWrap/>
            <w:hideMark/>
          </w:tcPr>
          <w:p w14:paraId="43A952B8" w14:textId="77777777" w:rsidR="00823E01" w:rsidRPr="00F56FBD" w:rsidRDefault="00823E01" w:rsidP="009175CE">
            <w:pPr>
              <w:rPr>
                <w:szCs w:val="22"/>
              </w:rPr>
            </w:pPr>
            <w:r w:rsidRPr="00F56FBD">
              <w:rPr>
                <w:szCs w:val="22"/>
              </w:rPr>
              <w:t>Mesenchymal-epithelial transition factor</w:t>
            </w:r>
          </w:p>
        </w:tc>
      </w:tr>
      <w:tr w:rsidR="00823E01" w:rsidRPr="00F56FBD" w14:paraId="6EF83731" w14:textId="77777777" w:rsidTr="00A24E20">
        <w:trPr>
          <w:trHeight w:val="264"/>
        </w:trPr>
        <w:tc>
          <w:tcPr>
            <w:tcW w:w="1696" w:type="dxa"/>
            <w:noWrap/>
          </w:tcPr>
          <w:p w14:paraId="45D00679" w14:textId="07A62445" w:rsidR="00823E01" w:rsidRPr="00F56FBD" w:rsidRDefault="00823E01" w:rsidP="009175CE">
            <w:pPr>
              <w:rPr>
                <w:szCs w:val="22"/>
              </w:rPr>
            </w:pPr>
            <w:r w:rsidRPr="00C84CE7">
              <w:t>NCCN</w:t>
            </w:r>
          </w:p>
        </w:tc>
        <w:tc>
          <w:tcPr>
            <w:tcW w:w="7371" w:type="dxa"/>
            <w:noWrap/>
          </w:tcPr>
          <w:p w14:paraId="589533FC" w14:textId="0A7ACD74" w:rsidR="00823E01" w:rsidRPr="00F56FBD" w:rsidRDefault="00823E01" w:rsidP="009175CE">
            <w:pPr>
              <w:rPr>
                <w:szCs w:val="22"/>
              </w:rPr>
            </w:pPr>
            <w:r w:rsidRPr="00C84CE7">
              <w:t>National Comprehensive Cancer Networ</w:t>
            </w:r>
            <w:r w:rsidR="00A24E20">
              <w:t>k</w:t>
            </w:r>
          </w:p>
        </w:tc>
      </w:tr>
      <w:tr w:rsidR="00823E01" w:rsidRPr="00F56FBD" w14:paraId="3AE1CC4D" w14:textId="77777777" w:rsidTr="00A24E20">
        <w:trPr>
          <w:trHeight w:val="264"/>
        </w:trPr>
        <w:tc>
          <w:tcPr>
            <w:tcW w:w="1696" w:type="dxa"/>
            <w:noWrap/>
            <w:hideMark/>
          </w:tcPr>
          <w:p w14:paraId="436A3B2D" w14:textId="77777777" w:rsidR="00823E01" w:rsidRPr="00F56FBD" w:rsidRDefault="00823E01" w:rsidP="009175CE">
            <w:pPr>
              <w:rPr>
                <w:szCs w:val="22"/>
              </w:rPr>
            </w:pPr>
            <w:r w:rsidRPr="00F56FBD">
              <w:rPr>
                <w:szCs w:val="22"/>
              </w:rPr>
              <w:t>NE</w:t>
            </w:r>
          </w:p>
        </w:tc>
        <w:tc>
          <w:tcPr>
            <w:tcW w:w="7371" w:type="dxa"/>
            <w:noWrap/>
            <w:hideMark/>
          </w:tcPr>
          <w:p w14:paraId="5D6D083C" w14:textId="77777777" w:rsidR="00823E01" w:rsidRPr="00F56FBD" w:rsidRDefault="00823E01" w:rsidP="009175CE">
            <w:pPr>
              <w:rPr>
                <w:szCs w:val="22"/>
              </w:rPr>
            </w:pPr>
            <w:r w:rsidRPr="00F56FBD">
              <w:rPr>
                <w:szCs w:val="22"/>
              </w:rPr>
              <w:t>Not estimable</w:t>
            </w:r>
          </w:p>
        </w:tc>
      </w:tr>
      <w:tr w:rsidR="00823E01" w:rsidRPr="00F56FBD" w14:paraId="1F07440E" w14:textId="77777777" w:rsidTr="00A24E20">
        <w:trPr>
          <w:trHeight w:val="264"/>
        </w:trPr>
        <w:tc>
          <w:tcPr>
            <w:tcW w:w="1696" w:type="dxa"/>
            <w:noWrap/>
            <w:hideMark/>
          </w:tcPr>
          <w:p w14:paraId="03676C09" w14:textId="77777777" w:rsidR="00823E01" w:rsidRPr="00F56FBD" w:rsidRDefault="00823E01" w:rsidP="009175CE">
            <w:pPr>
              <w:rPr>
                <w:szCs w:val="22"/>
              </w:rPr>
            </w:pPr>
            <w:r w:rsidRPr="00F56FBD">
              <w:rPr>
                <w:szCs w:val="22"/>
              </w:rPr>
              <w:t>NGS</w:t>
            </w:r>
          </w:p>
        </w:tc>
        <w:tc>
          <w:tcPr>
            <w:tcW w:w="7371" w:type="dxa"/>
            <w:noWrap/>
            <w:hideMark/>
          </w:tcPr>
          <w:p w14:paraId="31A84261" w14:textId="77777777" w:rsidR="00823E01" w:rsidRPr="00F56FBD" w:rsidRDefault="00823E01" w:rsidP="009175CE">
            <w:pPr>
              <w:rPr>
                <w:szCs w:val="22"/>
              </w:rPr>
            </w:pPr>
            <w:r w:rsidRPr="00F56FBD">
              <w:rPr>
                <w:szCs w:val="22"/>
              </w:rPr>
              <w:t>Next-generation sequencing</w:t>
            </w:r>
          </w:p>
        </w:tc>
      </w:tr>
      <w:tr w:rsidR="00823E01" w:rsidRPr="00F56FBD" w14:paraId="0BF50958" w14:textId="77777777" w:rsidTr="00A24E20">
        <w:trPr>
          <w:trHeight w:val="264"/>
        </w:trPr>
        <w:tc>
          <w:tcPr>
            <w:tcW w:w="1696" w:type="dxa"/>
            <w:noWrap/>
            <w:hideMark/>
          </w:tcPr>
          <w:p w14:paraId="74CA8521" w14:textId="77777777" w:rsidR="00823E01" w:rsidRPr="00F56FBD" w:rsidRDefault="00823E01" w:rsidP="009175CE">
            <w:pPr>
              <w:rPr>
                <w:szCs w:val="22"/>
              </w:rPr>
            </w:pPr>
            <w:r w:rsidRPr="00F56FBD">
              <w:rPr>
                <w:szCs w:val="22"/>
              </w:rPr>
              <w:t>NSCLC</w:t>
            </w:r>
          </w:p>
        </w:tc>
        <w:tc>
          <w:tcPr>
            <w:tcW w:w="7371" w:type="dxa"/>
            <w:noWrap/>
            <w:hideMark/>
          </w:tcPr>
          <w:p w14:paraId="18623E19" w14:textId="77777777" w:rsidR="00823E01" w:rsidRPr="00F56FBD" w:rsidRDefault="00823E01" w:rsidP="009175CE">
            <w:pPr>
              <w:rPr>
                <w:szCs w:val="22"/>
              </w:rPr>
            </w:pPr>
            <w:r w:rsidRPr="00F56FBD">
              <w:rPr>
                <w:szCs w:val="22"/>
              </w:rPr>
              <w:t>Non-small cell lung cancer</w:t>
            </w:r>
          </w:p>
        </w:tc>
      </w:tr>
      <w:tr w:rsidR="00823E01" w:rsidRPr="00F56FBD" w14:paraId="68C8FBD0" w14:textId="77777777" w:rsidTr="00A24E20">
        <w:trPr>
          <w:trHeight w:val="264"/>
        </w:trPr>
        <w:tc>
          <w:tcPr>
            <w:tcW w:w="1696" w:type="dxa"/>
            <w:noWrap/>
            <w:hideMark/>
          </w:tcPr>
          <w:p w14:paraId="52743AA7" w14:textId="77777777" w:rsidR="00823E01" w:rsidRPr="00F56FBD" w:rsidRDefault="00823E01" w:rsidP="009175CE">
            <w:pPr>
              <w:rPr>
                <w:szCs w:val="22"/>
              </w:rPr>
            </w:pPr>
            <w:r w:rsidRPr="00F56FBD">
              <w:rPr>
                <w:szCs w:val="22"/>
              </w:rPr>
              <w:t>NTRK</w:t>
            </w:r>
          </w:p>
        </w:tc>
        <w:tc>
          <w:tcPr>
            <w:tcW w:w="7371" w:type="dxa"/>
            <w:noWrap/>
            <w:hideMark/>
          </w:tcPr>
          <w:p w14:paraId="4FFAEFA9" w14:textId="77777777" w:rsidR="00823E01" w:rsidRPr="00F56FBD" w:rsidRDefault="00823E01" w:rsidP="009175CE">
            <w:pPr>
              <w:rPr>
                <w:szCs w:val="22"/>
              </w:rPr>
            </w:pPr>
            <w:r w:rsidRPr="00F56FBD">
              <w:rPr>
                <w:szCs w:val="22"/>
              </w:rPr>
              <w:t>Neurotrophic tyrosine receptor kinase</w:t>
            </w:r>
          </w:p>
        </w:tc>
      </w:tr>
      <w:tr w:rsidR="00823E01" w:rsidRPr="00F56FBD" w14:paraId="2926A0D0" w14:textId="77777777" w:rsidTr="00A24E20">
        <w:trPr>
          <w:trHeight w:val="264"/>
        </w:trPr>
        <w:tc>
          <w:tcPr>
            <w:tcW w:w="1696" w:type="dxa"/>
            <w:noWrap/>
            <w:hideMark/>
          </w:tcPr>
          <w:p w14:paraId="0171371A" w14:textId="77777777" w:rsidR="00823E01" w:rsidRPr="00F56FBD" w:rsidRDefault="00823E01" w:rsidP="009175CE">
            <w:pPr>
              <w:rPr>
                <w:szCs w:val="22"/>
              </w:rPr>
            </w:pPr>
            <w:r w:rsidRPr="00F56FBD">
              <w:rPr>
                <w:szCs w:val="22"/>
              </w:rPr>
              <w:t>OATP1B1</w:t>
            </w:r>
          </w:p>
        </w:tc>
        <w:tc>
          <w:tcPr>
            <w:tcW w:w="7371" w:type="dxa"/>
            <w:noWrap/>
            <w:hideMark/>
          </w:tcPr>
          <w:p w14:paraId="6F5BA06E" w14:textId="77777777" w:rsidR="00823E01" w:rsidRPr="00F56FBD" w:rsidRDefault="00823E01" w:rsidP="009175CE">
            <w:pPr>
              <w:rPr>
                <w:szCs w:val="22"/>
              </w:rPr>
            </w:pPr>
            <w:r w:rsidRPr="00F56FBD">
              <w:rPr>
                <w:szCs w:val="22"/>
              </w:rPr>
              <w:t>Organic anion transporting polypeptide 1B1</w:t>
            </w:r>
          </w:p>
        </w:tc>
      </w:tr>
      <w:tr w:rsidR="00823E01" w:rsidRPr="00F56FBD" w14:paraId="0DAAA20C" w14:textId="77777777" w:rsidTr="00A24E20">
        <w:trPr>
          <w:trHeight w:val="264"/>
        </w:trPr>
        <w:tc>
          <w:tcPr>
            <w:tcW w:w="1696" w:type="dxa"/>
            <w:noWrap/>
            <w:hideMark/>
          </w:tcPr>
          <w:p w14:paraId="49F40C86" w14:textId="77777777" w:rsidR="00823E01" w:rsidRPr="00F56FBD" w:rsidRDefault="00823E01" w:rsidP="009175CE">
            <w:pPr>
              <w:rPr>
                <w:szCs w:val="22"/>
              </w:rPr>
            </w:pPr>
            <w:r w:rsidRPr="00F56FBD">
              <w:rPr>
                <w:szCs w:val="22"/>
              </w:rPr>
              <w:t>ORR</w:t>
            </w:r>
          </w:p>
        </w:tc>
        <w:tc>
          <w:tcPr>
            <w:tcW w:w="7371" w:type="dxa"/>
            <w:noWrap/>
            <w:hideMark/>
          </w:tcPr>
          <w:p w14:paraId="32915D07" w14:textId="77777777" w:rsidR="00823E01" w:rsidRPr="00F56FBD" w:rsidRDefault="00823E01" w:rsidP="009175CE">
            <w:pPr>
              <w:rPr>
                <w:szCs w:val="22"/>
              </w:rPr>
            </w:pPr>
            <w:r w:rsidRPr="00F56FBD">
              <w:rPr>
                <w:szCs w:val="22"/>
              </w:rPr>
              <w:t>Objective response rate</w:t>
            </w:r>
          </w:p>
        </w:tc>
      </w:tr>
      <w:tr w:rsidR="00823E01" w:rsidRPr="00F56FBD" w14:paraId="4E3D746C" w14:textId="77777777" w:rsidTr="00A24E20">
        <w:trPr>
          <w:trHeight w:val="264"/>
        </w:trPr>
        <w:tc>
          <w:tcPr>
            <w:tcW w:w="1696" w:type="dxa"/>
            <w:noWrap/>
            <w:hideMark/>
          </w:tcPr>
          <w:p w14:paraId="66176B4B" w14:textId="77777777" w:rsidR="00823E01" w:rsidRPr="00F56FBD" w:rsidRDefault="00823E01" w:rsidP="009175CE">
            <w:pPr>
              <w:rPr>
                <w:szCs w:val="22"/>
              </w:rPr>
            </w:pPr>
            <w:r w:rsidRPr="00F56FBD">
              <w:rPr>
                <w:szCs w:val="22"/>
              </w:rPr>
              <w:t>PD</w:t>
            </w:r>
          </w:p>
        </w:tc>
        <w:tc>
          <w:tcPr>
            <w:tcW w:w="7371" w:type="dxa"/>
            <w:noWrap/>
            <w:hideMark/>
          </w:tcPr>
          <w:p w14:paraId="2B7BFA48" w14:textId="77777777" w:rsidR="00823E01" w:rsidRPr="00F56FBD" w:rsidRDefault="00823E01" w:rsidP="009175CE">
            <w:pPr>
              <w:rPr>
                <w:szCs w:val="22"/>
              </w:rPr>
            </w:pPr>
            <w:r w:rsidRPr="00F56FBD">
              <w:rPr>
                <w:szCs w:val="22"/>
              </w:rPr>
              <w:t>Pharmacodynamics</w:t>
            </w:r>
          </w:p>
        </w:tc>
      </w:tr>
      <w:tr w:rsidR="00823E01" w:rsidRPr="00F56FBD" w14:paraId="517A2D52" w14:textId="77777777" w:rsidTr="00A24E20">
        <w:trPr>
          <w:trHeight w:val="264"/>
        </w:trPr>
        <w:tc>
          <w:tcPr>
            <w:tcW w:w="1696" w:type="dxa"/>
            <w:noWrap/>
            <w:hideMark/>
          </w:tcPr>
          <w:p w14:paraId="26A82C07" w14:textId="77777777" w:rsidR="00823E01" w:rsidRPr="00F56FBD" w:rsidRDefault="00823E01" w:rsidP="009175CE">
            <w:pPr>
              <w:rPr>
                <w:szCs w:val="22"/>
              </w:rPr>
            </w:pPr>
            <w:r w:rsidRPr="00F56FBD">
              <w:rPr>
                <w:szCs w:val="22"/>
              </w:rPr>
              <w:t>PD-L1</w:t>
            </w:r>
          </w:p>
        </w:tc>
        <w:tc>
          <w:tcPr>
            <w:tcW w:w="7371" w:type="dxa"/>
            <w:noWrap/>
            <w:hideMark/>
          </w:tcPr>
          <w:p w14:paraId="1CADC563" w14:textId="77777777" w:rsidR="00823E01" w:rsidRPr="00F56FBD" w:rsidRDefault="00823E01" w:rsidP="009175CE">
            <w:pPr>
              <w:rPr>
                <w:szCs w:val="22"/>
              </w:rPr>
            </w:pPr>
            <w:r w:rsidRPr="00F56FBD">
              <w:rPr>
                <w:szCs w:val="22"/>
              </w:rPr>
              <w:t>Programmed death-ligand 1</w:t>
            </w:r>
          </w:p>
        </w:tc>
      </w:tr>
      <w:tr w:rsidR="00823E01" w:rsidRPr="00F56FBD" w14:paraId="2879FAE8" w14:textId="77777777" w:rsidTr="00A24E20">
        <w:trPr>
          <w:trHeight w:val="264"/>
        </w:trPr>
        <w:tc>
          <w:tcPr>
            <w:tcW w:w="1696" w:type="dxa"/>
            <w:noWrap/>
            <w:hideMark/>
          </w:tcPr>
          <w:p w14:paraId="57299222" w14:textId="77777777" w:rsidR="00823E01" w:rsidRPr="00F56FBD" w:rsidRDefault="00823E01" w:rsidP="009175CE">
            <w:pPr>
              <w:rPr>
                <w:szCs w:val="22"/>
              </w:rPr>
            </w:pPr>
            <w:r w:rsidRPr="00F56FBD">
              <w:rPr>
                <w:szCs w:val="22"/>
              </w:rPr>
              <w:t>P-</w:t>
            </w:r>
            <w:proofErr w:type="spellStart"/>
            <w:r w:rsidRPr="00F56FBD">
              <w:rPr>
                <w:szCs w:val="22"/>
              </w:rPr>
              <w:t>gp</w:t>
            </w:r>
            <w:proofErr w:type="spellEnd"/>
          </w:p>
        </w:tc>
        <w:tc>
          <w:tcPr>
            <w:tcW w:w="7371" w:type="dxa"/>
            <w:noWrap/>
            <w:hideMark/>
          </w:tcPr>
          <w:p w14:paraId="70D7F90A" w14:textId="77777777" w:rsidR="00823E01" w:rsidRPr="00F56FBD" w:rsidRDefault="00823E01" w:rsidP="009175CE">
            <w:pPr>
              <w:rPr>
                <w:szCs w:val="22"/>
              </w:rPr>
            </w:pPr>
            <w:r w:rsidRPr="00F56FBD">
              <w:rPr>
                <w:szCs w:val="22"/>
              </w:rPr>
              <w:t>P-glycoprotein</w:t>
            </w:r>
          </w:p>
        </w:tc>
      </w:tr>
      <w:tr w:rsidR="00823E01" w:rsidRPr="00F56FBD" w14:paraId="475D9434" w14:textId="77777777" w:rsidTr="00A24E20">
        <w:trPr>
          <w:trHeight w:val="264"/>
        </w:trPr>
        <w:tc>
          <w:tcPr>
            <w:tcW w:w="1696" w:type="dxa"/>
            <w:noWrap/>
            <w:hideMark/>
          </w:tcPr>
          <w:p w14:paraId="6A9B5CF0" w14:textId="77777777" w:rsidR="00823E01" w:rsidRPr="00F56FBD" w:rsidRDefault="00823E01" w:rsidP="009175CE">
            <w:pPr>
              <w:rPr>
                <w:szCs w:val="22"/>
              </w:rPr>
            </w:pPr>
            <w:r w:rsidRPr="00F56FBD">
              <w:rPr>
                <w:szCs w:val="22"/>
              </w:rPr>
              <w:t>PI</w:t>
            </w:r>
          </w:p>
        </w:tc>
        <w:tc>
          <w:tcPr>
            <w:tcW w:w="7371" w:type="dxa"/>
            <w:noWrap/>
            <w:hideMark/>
          </w:tcPr>
          <w:p w14:paraId="6549480A" w14:textId="77777777" w:rsidR="00823E01" w:rsidRPr="00F56FBD" w:rsidRDefault="00823E01" w:rsidP="009175CE">
            <w:pPr>
              <w:rPr>
                <w:szCs w:val="22"/>
              </w:rPr>
            </w:pPr>
            <w:r w:rsidRPr="00F56FBD">
              <w:rPr>
                <w:szCs w:val="22"/>
              </w:rPr>
              <w:t>Product Information</w:t>
            </w:r>
          </w:p>
        </w:tc>
      </w:tr>
      <w:tr w:rsidR="00823E01" w:rsidRPr="00F56FBD" w14:paraId="63689DBA" w14:textId="77777777" w:rsidTr="00A24E20">
        <w:trPr>
          <w:trHeight w:val="264"/>
        </w:trPr>
        <w:tc>
          <w:tcPr>
            <w:tcW w:w="1696" w:type="dxa"/>
            <w:noWrap/>
            <w:hideMark/>
          </w:tcPr>
          <w:p w14:paraId="6C0B704C" w14:textId="77777777" w:rsidR="00823E01" w:rsidRPr="00F56FBD" w:rsidRDefault="00823E01" w:rsidP="009175CE">
            <w:pPr>
              <w:rPr>
                <w:szCs w:val="22"/>
              </w:rPr>
            </w:pPr>
            <w:r w:rsidRPr="00F56FBD">
              <w:rPr>
                <w:szCs w:val="22"/>
              </w:rPr>
              <w:t>PK</w:t>
            </w:r>
          </w:p>
        </w:tc>
        <w:tc>
          <w:tcPr>
            <w:tcW w:w="7371" w:type="dxa"/>
            <w:noWrap/>
            <w:hideMark/>
          </w:tcPr>
          <w:p w14:paraId="0DDFF28C" w14:textId="77777777" w:rsidR="00823E01" w:rsidRPr="00F56FBD" w:rsidRDefault="00823E01" w:rsidP="009175CE">
            <w:pPr>
              <w:rPr>
                <w:szCs w:val="22"/>
              </w:rPr>
            </w:pPr>
            <w:r w:rsidRPr="00F56FBD">
              <w:rPr>
                <w:szCs w:val="22"/>
              </w:rPr>
              <w:t>Pharmacokinetics</w:t>
            </w:r>
          </w:p>
        </w:tc>
      </w:tr>
      <w:tr w:rsidR="00823E01" w:rsidRPr="00F56FBD" w14:paraId="0293F3E2" w14:textId="77777777" w:rsidTr="00A24E20">
        <w:trPr>
          <w:trHeight w:val="264"/>
        </w:trPr>
        <w:tc>
          <w:tcPr>
            <w:tcW w:w="1696" w:type="dxa"/>
            <w:noWrap/>
            <w:hideMark/>
          </w:tcPr>
          <w:p w14:paraId="3F77E39A" w14:textId="77777777" w:rsidR="00823E01" w:rsidRPr="00F56FBD" w:rsidRDefault="00823E01" w:rsidP="009175CE">
            <w:pPr>
              <w:rPr>
                <w:szCs w:val="22"/>
              </w:rPr>
            </w:pPr>
            <w:r w:rsidRPr="00F56FBD">
              <w:rPr>
                <w:szCs w:val="22"/>
              </w:rPr>
              <w:t>PR</w:t>
            </w:r>
          </w:p>
        </w:tc>
        <w:tc>
          <w:tcPr>
            <w:tcW w:w="7371" w:type="dxa"/>
            <w:noWrap/>
            <w:hideMark/>
          </w:tcPr>
          <w:p w14:paraId="75636E86" w14:textId="77777777" w:rsidR="00823E01" w:rsidRPr="00F56FBD" w:rsidRDefault="00823E01" w:rsidP="009175CE">
            <w:pPr>
              <w:rPr>
                <w:szCs w:val="22"/>
              </w:rPr>
            </w:pPr>
            <w:r w:rsidRPr="00F56FBD">
              <w:rPr>
                <w:szCs w:val="22"/>
              </w:rPr>
              <w:t>Partial response</w:t>
            </w:r>
          </w:p>
        </w:tc>
      </w:tr>
      <w:tr w:rsidR="00823E01" w:rsidRPr="00F56FBD" w14:paraId="2753EAC4" w14:textId="77777777" w:rsidTr="00A24E20">
        <w:trPr>
          <w:trHeight w:val="264"/>
        </w:trPr>
        <w:tc>
          <w:tcPr>
            <w:tcW w:w="1696" w:type="dxa"/>
            <w:noWrap/>
            <w:hideMark/>
          </w:tcPr>
          <w:p w14:paraId="00FFD97B" w14:textId="77777777" w:rsidR="00823E01" w:rsidRPr="00F56FBD" w:rsidRDefault="00823E01" w:rsidP="009175CE">
            <w:pPr>
              <w:rPr>
                <w:szCs w:val="22"/>
              </w:rPr>
            </w:pPr>
            <w:r w:rsidRPr="00F56FBD">
              <w:rPr>
                <w:szCs w:val="22"/>
              </w:rPr>
              <w:t>PSUR</w:t>
            </w:r>
          </w:p>
        </w:tc>
        <w:tc>
          <w:tcPr>
            <w:tcW w:w="7371" w:type="dxa"/>
            <w:noWrap/>
            <w:hideMark/>
          </w:tcPr>
          <w:p w14:paraId="7246F5E3" w14:textId="77777777" w:rsidR="00823E01" w:rsidRPr="00F56FBD" w:rsidRDefault="00823E01" w:rsidP="009175CE">
            <w:pPr>
              <w:rPr>
                <w:szCs w:val="22"/>
              </w:rPr>
            </w:pPr>
            <w:r w:rsidRPr="00F56FBD">
              <w:rPr>
                <w:szCs w:val="22"/>
              </w:rPr>
              <w:t>Periodic safety update report</w:t>
            </w:r>
          </w:p>
        </w:tc>
      </w:tr>
      <w:tr w:rsidR="00823E01" w:rsidRPr="00F56FBD" w14:paraId="587A9EE6" w14:textId="77777777" w:rsidTr="00A24E20">
        <w:trPr>
          <w:trHeight w:val="264"/>
        </w:trPr>
        <w:tc>
          <w:tcPr>
            <w:tcW w:w="1696" w:type="dxa"/>
            <w:noWrap/>
            <w:hideMark/>
          </w:tcPr>
          <w:p w14:paraId="596217D3" w14:textId="77777777" w:rsidR="00823E01" w:rsidRPr="00F56FBD" w:rsidRDefault="00823E01" w:rsidP="009175CE">
            <w:pPr>
              <w:rPr>
                <w:szCs w:val="22"/>
              </w:rPr>
            </w:pPr>
            <w:r w:rsidRPr="00F56FBD">
              <w:rPr>
                <w:szCs w:val="22"/>
              </w:rPr>
              <w:t>QD</w:t>
            </w:r>
          </w:p>
        </w:tc>
        <w:tc>
          <w:tcPr>
            <w:tcW w:w="7371" w:type="dxa"/>
            <w:noWrap/>
            <w:hideMark/>
          </w:tcPr>
          <w:p w14:paraId="2338E374" w14:textId="77777777" w:rsidR="00823E01" w:rsidRPr="00F56FBD" w:rsidRDefault="00823E01" w:rsidP="009175CE">
            <w:pPr>
              <w:rPr>
                <w:szCs w:val="22"/>
              </w:rPr>
            </w:pPr>
            <w:r w:rsidRPr="00F56FBD">
              <w:rPr>
                <w:szCs w:val="22"/>
              </w:rPr>
              <w:t>Once a day</w:t>
            </w:r>
          </w:p>
        </w:tc>
      </w:tr>
      <w:tr w:rsidR="00823E01" w:rsidRPr="00F56FBD" w14:paraId="4163DC3C" w14:textId="77777777" w:rsidTr="00A24E20">
        <w:trPr>
          <w:trHeight w:val="264"/>
        </w:trPr>
        <w:tc>
          <w:tcPr>
            <w:tcW w:w="1696" w:type="dxa"/>
            <w:noWrap/>
            <w:hideMark/>
          </w:tcPr>
          <w:p w14:paraId="732EBB83" w14:textId="77777777" w:rsidR="00823E01" w:rsidRPr="00F56FBD" w:rsidRDefault="00823E01" w:rsidP="009175CE">
            <w:pPr>
              <w:rPr>
                <w:szCs w:val="22"/>
              </w:rPr>
            </w:pPr>
            <w:r w:rsidRPr="00F56FBD">
              <w:rPr>
                <w:szCs w:val="22"/>
              </w:rPr>
              <w:t>RET</w:t>
            </w:r>
          </w:p>
        </w:tc>
        <w:tc>
          <w:tcPr>
            <w:tcW w:w="7371" w:type="dxa"/>
            <w:noWrap/>
            <w:hideMark/>
          </w:tcPr>
          <w:p w14:paraId="62DC8840" w14:textId="77777777" w:rsidR="00823E01" w:rsidRPr="00F56FBD" w:rsidRDefault="00823E01" w:rsidP="009175CE">
            <w:pPr>
              <w:rPr>
                <w:szCs w:val="22"/>
              </w:rPr>
            </w:pPr>
            <w:r w:rsidRPr="00F56FBD">
              <w:rPr>
                <w:szCs w:val="22"/>
              </w:rPr>
              <w:t>Rearranged during transfection</w:t>
            </w:r>
          </w:p>
        </w:tc>
      </w:tr>
      <w:tr w:rsidR="00823E01" w:rsidRPr="00F56FBD" w14:paraId="2B349991" w14:textId="77777777" w:rsidTr="00A24E20">
        <w:trPr>
          <w:trHeight w:val="264"/>
        </w:trPr>
        <w:tc>
          <w:tcPr>
            <w:tcW w:w="1696" w:type="dxa"/>
            <w:noWrap/>
            <w:hideMark/>
          </w:tcPr>
          <w:p w14:paraId="2F04D399" w14:textId="77777777" w:rsidR="00823E01" w:rsidRPr="00F56FBD" w:rsidRDefault="00823E01" w:rsidP="009175CE">
            <w:pPr>
              <w:rPr>
                <w:szCs w:val="22"/>
              </w:rPr>
            </w:pPr>
            <w:r w:rsidRPr="00F56FBD">
              <w:rPr>
                <w:szCs w:val="22"/>
              </w:rPr>
              <w:t>RMP</w:t>
            </w:r>
          </w:p>
        </w:tc>
        <w:tc>
          <w:tcPr>
            <w:tcW w:w="7371" w:type="dxa"/>
            <w:noWrap/>
            <w:hideMark/>
          </w:tcPr>
          <w:p w14:paraId="67365A57" w14:textId="77777777" w:rsidR="00823E01" w:rsidRPr="00F56FBD" w:rsidRDefault="00823E01" w:rsidP="009175CE">
            <w:pPr>
              <w:rPr>
                <w:szCs w:val="22"/>
              </w:rPr>
            </w:pPr>
            <w:r w:rsidRPr="00F56FBD">
              <w:rPr>
                <w:szCs w:val="22"/>
              </w:rPr>
              <w:t>Risk management plan</w:t>
            </w:r>
          </w:p>
        </w:tc>
      </w:tr>
      <w:tr w:rsidR="00823E01" w:rsidRPr="00F56FBD" w14:paraId="7D5071FA" w14:textId="77777777" w:rsidTr="00A24E20">
        <w:trPr>
          <w:trHeight w:val="264"/>
        </w:trPr>
        <w:tc>
          <w:tcPr>
            <w:tcW w:w="1696" w:type="dxa"/>
            <w:noWrap/>
            <w:hideMark/>
          </w:tcPr>
          <w:p w14:paraId="1BF420FA" w14:textId="77777777" w:rsidR="00823E01" w:rsidRPr="00F56FBD" w:rsidRDefault="00823E01" w:rsidP="009175CE">
            <w:pPr>
              <w:rPr>
                <w:szCs w:val="22"/>
              </w:rPr>
            </w:pPr>
            <w:r w:rsidRPr="00F56FBD">
              <w:rPr>
                <w:szCs w:val="22"/>
              </w:rPr>
              <w:t>ROS1</w:t>
            </w:r>
          </w:p>
        </w:tc>
        <w:tc>
          <w:tcPr>
            <w:tcW w:w="7371" w:type="dxa"/>
            <w:noWrap/>
            <w:hideMark/>
          </w:tcPr>
          <w:p w14:paraId="7FA1CD5D" w14:textId="77777777" w:rsidR="00823E01" w:rsidRPr="00F56FBD" w:rsidRDefault="00823E01" w:rsidP="009175CE">
            <w:pPr>
              <w:rPr>
                <w:szCs w:val="22"/>
              </w:rPr>
            </w:pPr>
            <w:r w:rsidRPr="00F56FBD">
              <w:rPr>
                <w:szCs w:val="22"/>
              </w:rPr>
              <w:t>ROS proto-oncogene 1</w:t>
            </w:r>
          </w:p>
        </w:tc>
      </w:tr>
      <w:tr w:rsidR="00823E01" w:rsidRPr="00F56FBD" w14:paraId="795AD2A2" w14:textId="77777777" w:rsidTr="00A24E20">
        <w:trPr>
          <w:trHeight w:val="264"/>
        </w:trPr>
        <w:tc>
          <w:tcPr>
            <w:tcW w:w="1696" w:type="dxa"/>
            <w:noWrap/>
            <w:hideMark/>
          </w:tcPr>
          <w:p w14:paraId="12317424" w14:textId="77777777" w:rsidR="00823E01" w:rsidRPr="00F56FBD" w:rsidRDefault="00823E01" w:rsidP="009175CE">
            <w:pPr>
              <w:rPr>
                <w:szCs w:val="22"/>
              </w:rPr>
            </w:pPr>
            <w:r w:rsidRPr="00F56FBD">
              <w:rPr>
                <w:szCs w:val="22"/>
              </w:rPr>
              <w:t>RT-PCR</w:t>
            </w:r>
          </w:p>
        </w:tc>
        <w:tc>
          <w:tcPr>
            <w:tcW w:w="7371" w:type="dxa"/>
            <w:noWrap/>
            <w:hideMark/>
          </w:tcPr>
          <w:p w14:paraId="0E414759" w14:textId="77777777" w:rsidR="00823E01" w:rsidRPr="00F56FBD" w:rsidRDefault="00823E01" w:rsidP="009175CE">
            <w:pPr>
              <w:rPr>
                <w:szCs w:val="22"/>
              </w:rPr>
            </w:pPr>
            <w:r w:rsidRPr="00F56FBD">
              <w:rPr>
                <w:szCs w:val="22"/>
              </w:rPr>
              <w:t>Real-time polymerase chain reaction</w:t>
            </w:r>
          </w:p>
        </w:tc>
      </w:tr>
      <w:tr w:rsidR="00823E01" w:rsidRPr="00F56FBD" w14:paraId="662FE5A2" w14:textId="77777777" w:rsidTr="00A24E20">
        <w:trPr>
          <w:trHeight w:val="264"/>
        </w:trPr>
        <w:tc>
          <w:tcPr>
            <w:tcW w:w="1696" w:type="dxa"/>
            <w:noWrap/>
            <w:hideMark/>
          </w:tcPr>
          <w:p w14:paraId="2C4F7E9F" w14:textId="77777777" w:rsidR="00823E01" w:rsidRPr="00F56FBD" w:rsidRDefault="00823E01" w:rsidP="009175CE">
            <w:pPr>
              <w:rPr>
                <w:szCs w:val="22"/>
              </w:rPr>
            </w:pPr>
            <w:r w:rsidRPr="00F56FBD">
              <w:rPr>
                <w:szCs w:val="22"/>
              </w:rPr>
              <w:lastRenderedPageBreak/>
              <w:t>SAE</w:t>
            </w:r>
          </w:p>
        </w:tc>
        <w:tc>
          <w:tcPr>
            <w:tcW w:w="7371" w:type="dxa"/>
            <w:noWrap/>
            <w:hideMark/>
          </w:tcPr>
          <w:p w14:paraId="00B977A7" w14:textId="77777777" w:rsidR="00823E01" w:rsidRPr="00F56FBD" w:rsidRDefault="00823E01" w:rsidP="009175CE">
            <w:pPr>
              <w:rPr>
                <w:szCs w:val="22"/>
              </w:rPr>
            </w:pPr>
            <w:r w:rsidRPr="00F56FBD">
              <w:rPr>
                <w:szCs w:val="22"/>
              </w:rPr>
              <w:t>Serious adverse event</w:t>
            </w:r>
          </w:p>
        </w:tc>
      </w:tr>
      <w:tr w:rsidR="00823E01" w:rsidRPr="00F56FBD" w14:paraId="6D23DF90" w14:textId="77777777" w:rsidTr="00A24E20">
        <w:trPr>
          <w:trHeight w:val="264"/>
        </w:trPr>
        <w:tc>
          <w:tcPr>
            <w:tcW w:w="1696" w:type="dxa"/>
            <w:noWrap/>
            <w:hideMark/>
          </w:tcPr>
          <w:p w14:paraId="568958E2" w14:textId="77777777" w:rsidR="00823E01" w:rsidRPr="00F56FBD" w:rsidRDefault="00823E01" w:rsidP="009175CE">
            <w:pPr>
              <w:rPr>
                <w:szCs w:val="22"/>
              </w:rPr>
            </w:pPr>
            <w:r w:rsidRPr="00F56FBD">
              <w:rPr>
                <w:szCs w:val="22"/>
              </w:rPr>
              <w:t>SD</w:t>
            </w:r>
          </w:p>
        </w:tc>
        <w:tc>
          <w:tcPr>
            <w:tcW w:w="7371" w:type="dxa"/>
            <w:noWrap/>
            <w:hideMark/>
          </w:tcPr>
          <w:p w14:paraId="6E23C405" w14:textId="77777777" w:rsidR="00823E01" w:rsidRPr="00F56FBD" w:rsidRDefault="00823E01" w:rsidP="009175CE">
            <w:pPr>
              <w:rPr>
                <w:szCs w:val="22"/>
              </w:rPr>
            </w:pPr>
            <w:r w:rsidRPr="00F56FBD">
              <w:rPr>
                <w:szCs w:val="22"/>
              </w:rPr>
              <w:t>Stable disease</w:t>
            </w:r>
          </w:p>
        </w:tc>
      </w:tr>
      <w:tr w:rsidR="00823E01" w:rsidRPr="00F56FBD" w14:paraId="42D213FF" w14:textId="77777777" w:rsidTr="00A24E20">
        <w:trPr>
          <w:trHeight w:val="264"/>
        </w:trPr>
        <w:tc>
          <w:tcPr>
            <w:tcW w:w="1696" w:type="dxa"/>
            <w:noWrap/>
            <w:hideMark/>
          </w:tcPr>
          <w:p w14:paraId="144478F2" w14:textId="77777777" w:rsidR="00823E01" w:rsidRPr="00F56FBD" w:rsidRDefault="00823E01" w:rsidP="009175CE">
            <w:pPr>
              <w:rPr>
                <w:szCs w:val="22"/>
              </w:rPr>
            </w:pPr>
            <w:r w:rsidRPr="00F56FBD">
              <w:rPr>
                <w:szCs w:val="22"/>
              </w:rPr>
              <w:t>TEAE</w:t>
            </w:r>
          </w:p>
        </w:tc>
        <w:tc>
          <w:tcPr>
            <w:tcW w:w="7371" w:type="dxa"/>
            <w:noWrap/>
            <w:hideMark/>
          </w:tcPr>
          <w:p w14:paraId="21E0A978" w14:textId="77777777" w:rsidR="00823E01" w:rsidRPr="00F56FBD" w:rsidRDefault="00823E01" w:rsidP="009175CE">
            <w:pPr>
              <w:rPr>
                <w:szCs w:val="22"/>
              </w:rPr>
            </w:pPr>
            <w:r w:rsidRPr="00F56FBD">
              <w:rPr>
                <w:szCs w:val="22"/>
              </w:rPr>
              <w:t>Treatment-emergent adverse event</w:t>
            </w:r>
          </w:p>
        </w:tc>
      </w:tr>
      <w:tr w:rsidR="00823E01" w:rsidRPr="00F56FBD" w14:paraId="237F5FC0" w14:textId="77777777" w:rsidTr="00A24E20">
        <w:trPr>
          <w:trHeight w:val="264"/>
        </w:trPr>
        <w:tc>
          <w:tcPr>
            <w:tcW w:w="1696" w:type="dxa"/>
            <w:noWrap/>
            <w:hideMark/>
          </w:tcPr>
          <w:p w14:paraId="1055E858" w14:textId="77777777" w:rsidR="00823E01" w:rsidRPr="00F56FBD" w:rsidRDefault="00823E01" w:rsidP="009175CE">
            <w:pPr>
              <w:rPr>
                <w:szCs w:val="22"/>
              </w:rPr>
            </w:pPr>
            <w:r w:rsidRPr="00F56FBD">
              <w:rPr>
                <w:szCs w:val="22"/>
              </w:rPr>
              <w:t>TGA</w:t>
            </w:r>
          </w:p>
        </w:tc>
        <w:tc>
          <w:tcPr>
            <w:tcW w:w="7371" w:type="dxa"/>
            <w:noWrap/>
            <w:hideMark/>
          </w:tcPr>
          <w:p w14:paraId="4ABF2F1E" w14:textId="77777777" w:rsidR="00823E01" w:rsidRPr="00F56FBD" w:rsidRDefault="00823E01" w:rsidP="009175CE">
            <w:pPr>
              <w:rPr>
                <w:szCs w:val="22"/>
              </w:rPr>
            </w:pPr>
            <w:r w:rsidRPr="00F56FBD">
              <w:rPr>
                <w:szCs w:val="22"/>
              </w:rPr>
              <w:t>Therapeutic Goods Administration</w:t>
            </w:r>
          </w:p>
        </w:tc>
      </w:tr>
      <w:tr w:rsidR="00823E01" w:rsidRPr="00F56FBD" w14:paraId="2CEADDDA" w14:textId="77777777" w:rsidTr="00A24E20">
        <w:trPr>
          <w:trHeight w:val="264"/>
        </w:trPr>
        <w:tc>
          <w:tcPr>
            <w:tcW w:w="1696" w:type="dxa"/>
            <w:noWrap/>
            <w:hideMark/>
          </w:tcPr>
          <w:p w14:paraId="68891806" w14:textId="77777777" w:rsidR="00823E01" w:rsidRPr="00F56FBD" w:rsidRDefault="00823E01" w:rsidP="009175CE">
            <w:pPr>
              <w:rPr>
                <w:szCs w:val="22"/>
              </w:rPr>
            </w:pPr>
            <w:r w:rsidRPr="00F56FBD">
              <w:rPr>
                <w:szCs w:val="22"/>
              </w:rPr>
              <w:t>TKI</w:t>
            </w:r>
          </w:p>
        </w:tc>
        <w:tc>
          <w:tcPr>
            <w:tcW w:w="7371" w:type="dxa"/>
            <w:noWrap/>
            <w:hideMark/>
          </w:tcPr>
          <w:p w14:paraId="6E6B7EC2" w14:textId="77777777" w:rsidR="00823E01" w:rsidRPr="00F56FBD" w:rsidRDefault="00823E01" w:rsidP="009175CE">
            <w:pPr>
              <w:rPr>
                <w:szCs w:val="22"/>
              </w:rPr>
            </w:pPr>
            <w:r w:rsidRPr="00F56FBD">
              <w:rPr>
                <w:szCs w:val="22"/>
              </w:rPr>
              <w:t>Tyrosine kinase inhibitor</w:t>
            </w:r>
          </w:p>
        </w:tc>
      </w:tr>
      <w:tr w:rsidR="00823E01" w:rsidRPr="00F56FBD" w14:paraId="530704FD" w14:textId="77777777" w:rsidTr="00A24E20">
        <w:trPr>
          <w:trHeight w:val="264"/>
        </w:trPr>
        <w:tc>
          <w:tcPr>
            <w:tcW w:w="1696" w:type="dxa"/>
            <w:noWrap/>
          </w:tcPr>
          <w:p w14:paraId="494DB3F6" w14:textId="77777777" w:rsidR="00823E01" w:rsidRPr="00F56FBD" w:rsidRDefault="00823E01" w:rsidP="009175CE">
            <w:pPr>
              <w:rPr>
                <w:szCs w:val="22"/>
              </w:rPr>
            </w:pPr>
            <w:r>
              <w:rPr>
                <w:szCs w:val="22"/>
              </w:rPr>
              <w:t>TRK</w:t>
            </w:r>
          </w:p>
        </w:tc>
        <w:tc>
          <w:tcPr>
            <w:tcW w:w="7371" w:type="dxa"/>
            <w:noWrap/>
          </w:tcPr>
          <w:p w14:paraId="44FDADF2" w14:textId="77777777" w:rsidR="00823E01" w:rsidRPr="00F56FBD" w:rsidRDefault="00823E01" w:rsidP="009175CE">
            <w:pPr>
              <w:rPr>
                <w:szCs w:val="22"/>
              </w:rPr>
            </w:pPr>
            <w:r>
              <w:rPr>
                <w:szCs w:val="22"/>
              </w:rPr>
              <w:t>T</w:t>
            </w:r>
            <w:r w:rsidRPr="00E55CCA">
              <w:rPr>
                <w:szCs w:val="22"/>
              </w:rPr>
              <w:t>yrosine receptor kinase</w:t>
            </w:r>
          </w:p>
        </w:tc>
      </w:tr>
      <w:tr w:rsidR="00823E01" w:rsidRPr="00F56FBD" w14:paraId="45CD5BE5" w14:textId="77777777" w:rsidTr="00A24E20">
        <w:trPr>
          <w:trHeight w:val="264"/>
        </w:trPr>
        <w:tc>
          <w:tcPr>
            <w:tcW w:w="1696" w:type="dxa"/>
            <w:noWrap/>
            <w:hideMark/>
          </w:tcPr>
          <w:p w14:paraId="4F574336" w14:textId="77777777" w:rsidR="00823E01" w:rsidRPr="00F56FBD" w:rsidRDefault="00823E01" w:rsidP="009175CE">
            <w:pPr>
              <w:rPr>
                <w:szCs w:val="22"/>
              </w:rPr>
            </w:pPr>
            <w:r w:rsidRPr="00F56FBD">
              <w:rPr>
                <w:szCs w:val="22"/>
              </w:rPr>
              <w:t>UGT1A1</w:t>
            </w:r>
          </w:p>
        </w:tc>
        <w:tc>
          <w:tcPr>
            <w:tcW w:w="7371" w:type="dxa"/>
            <w:noWrap/>
            <w:hideMark/>
          </w:tcPr>
          <w:p w14:paraId="61BA5EA2" w14:textId="77777777" w:rsidR="00823E01" w:rsidRPr="00F56FBD" w:rsidRDefault="00823E01" w:rsidP="009175CE">
            <w:pPr>
              <w:rPr>
                <w:szCs w:val="22"/>
              </w:rPr>
            </w:pPr>
            <w:r w:rsidRPr="00F56FBD">
              <w:rPr>
                <w:szCs w:val="22"/>
              </w:rPr>
              <w:t>UDP-glucuronosyltransferase 1A1</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219813770"/>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219813771"/>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B67020">
        <w:tc>
          <w:tcPr>
            <w:tcW w:w="1577" w:type="pct"/>
          </w:tcPr>
          <w:p w14:paraId="10E57D62" w14:textId="3A60FEB0" w:rsidR="00324B33" w:rsidRPr="00BD5DBD" w:rsidRDefault="00324B33" w:rsidP="007452E8">
            <w:pPr>
              <w:rPr>
                <w:i/>
                <w:szCs w:val="22"/>
              </w:rPr>
            </w:pPr>
            <w:r w:rsidRPr="00BD5DBD">
              <w:rPr>
                <w:i/>
                <w:szCs w:val="22"/>
              </w:rPr>
              <w:t>Type</w:t>
            </w:r>
            <w:r w:rsidR="00CB6813">
              <w:rPr>
                <w:i/>
                <w:szCs w:val="22"/>
              </w:rPr>
              <w:t>s</w:t>
            </w:r>
            <w:r w:rsidRPr="00BD5DBD">
              <w:rPr>
                <w:i/>
                <w:szCs w:val="22"/>
              </w:rPr>
              <w:t xml:space="preserve"> of submission:</w:t>
            </w:r>
          </w:p>
        </w:tc>
        <w:tc>
          <w:tcPr>
            <w:tcW w:w="3423" w:type="pct"/>
          </w:tcPr>
          <w:p w14:paraId="4F07C303" w14:textId="7F926422" w:rsidR="00324B33" w:rsidRPr="00BD5DBD" w:rsidRDefault="00324B33" w:rsidP="007452E8">
            <w:pPr>
              <w:rPr>
                <w:szCs w:val="22"/>
              </w:rPr>
            </w:pPr>
            <w:r w:rsidRPr="00BD5DBD">
              <w:rPr>
                <w:szCs w:val="22"/>
              </w:rPr>
              <w:t>New chemical entity</w:t>
            </w:r>
          </w:p>
        </w:tc>
      </w:tr>
      <w:tr w:rsidR="00324B33" w:rsidRPr="00BD5DBD" w14:paraId="13482B61" w14:textId="77777777" w:rsidTr="00B67020">
        <w:tc>
          <w:tcPr>
            <w:tcW w:w="1577" w:type="pct"/>
          </w:tcPr>
          <w:p w14:paraId="2C427FCF" w14:textId="410490CF" w:rsidR="00324B33" w:rsidRPr="00BD5DBD" w:rsidRDefault="00324B33" w:rsidP="007452E8">
            <w:pPr>
              <w:rPr>
                <w:i/>
                <w:szCs w:val="22"/>
              </w:rPr>
            </w:pPr>
            <w:r w:rsidRPr="00BD5DBD">
              <w:rPr>
                <w:i/>
                <w:szCs w:val="22"/>
              </w:rPr>
              <w:t>Product name:</w:t>
            </w:r>
          </w:p>
        </w:tc>
        <w:tc>
          <w:tcPr>
            <w:tcW w:w="3423" w:type="pct"/>
          </w:tcPr>
          <w:p w14:paraId="0E2DEF76" w14:textId="1FDF95E6" w:rsidR="00324B33" w:rsidRPr="00BD5DBD" w:rsidRDefault="00C00D00" w:rsidP="007452E8">
            <w:pPr>
              <w:rPr>
                <w:szCs w:val="22"/>
              </w:rPr>
            </w:pPr>
            <w:r>
              <w:rPr>
                <w:szCs w:val="22"/>
              </w:rPr>
              <w:t>Augtyro</w:t>
            </w:r>
          </w:p>
        </w:tc>
      </w:tr>
      <w:tr w:rsidR="00324B33" w:rsidRPr="00BD5DBD" w14:paraId="01255B5B" w14:textId="77777777" w:rsidTr="00B67020">
        <w:tc>
          <w:tcPr>
            <w:tcW w:w="1577" w:type="pct"/>
          </w:tcPr>
          <w:p w14:paraId="52B4F3D7" w14:textId="44D437DE" w:rsidR="00324B33" w:rsidRPr="00BD5DBD" w:rsidRDefault="00324B33" w:rsidP="007452E8">
            <w:pPr>
              <w:rPr>
                <w:i/>
                <w:szCs w:val="22"/>
              </w:rPr>
            </w:pPr>
            <w:r w:rsidRPr="00BD5DBD">
              <w:rPr>
                <w:i/>
                <w:szCs w:val="22"/>
              </w:rPr>
              <w:t>Active ingredient:</w:t>
            </w:r>
          </w:p>
        </w:tc>
        <w:tc>
          <w:tcPr>
            <w:tcW w:w="3423" w:type="pct"/>
          </w:tcPr>
          <w:p w14:paraId="02FB6383" w14:textId="6A57C958" w:rsidR="00324B33" w:rsidRPr="00BD5DBD" w:rsidRDefault="00284A58" w:rsidP="007452E8">
            <w:pPr>
              <w:rPr>
                <w:szCs w:val="22"/>
              </w:rPr>
            </w:pPr>
            <w:proofErr w:type="spellStart"/>
            <w:r w:rsidRPr="00284A58">
              <w:rPr>
                <w:szCs w:val="22"/>
              </w:rPr>
              <w:t>repotrectinib</w:t>
            </w:r>
            <w:proofErr w:type="spellEnd"/>
          </w:p>
        </w:tc>
      </w:tr>
      <w:tr w:rsidR="00324B33" w:rsidRPr="00BD5DBD" w14:paraId="219A281B" w14:textId="77777777" w:rsidTr="00B67020">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0AFE8EB6" w:rsidR="00324B33" w:rsidRPr="00BD5DBD" w:rsidRDefault="00324B33" w:rsidP="007452E8">
            <w:pPr>
              <w:rPr>
                <w:szCs w:val="22"/>
              </w:rPr>
            </w:pPr>
            <w:r w:rsidRPr="00BD5DBD">
              <w:rPr>
                <w:szCs w:val="22"/>
              </w:rPr>
              <w:t>Approved</w:t>
            </w:r>
          </w:p>
        </w:tc>
      </w:tr>
      <w:tr w:rsidR="00AE1947" w:rsidRPr="00BD5DBD" w14:paraId="32B72632" w14:textId="77777777" w:rsidTr="00B67020">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7CF5A81B" w:rsidR="00AE1947" w:rsidRPr="00BD5DBD" w:rsidRDefault="00EE0F6A" w:rsidP="009175CE">
            <w:pPr>
              <w:rPr>
                <w:szCs w:val="22"/>
              </w:rPr>
            </w:pPr>
            <w:r w:rsidRPr="00EE0F6A">
              <w:rPr>
                <w:szCs w:val="22"/>
              </w:rPr>
              <w:t>23 July 2025</w:t>
            </w:r>
          </w:p>
        </w:tc>
      </w:tr>
      <w:tr w:rsidR="00324B33" w:rsidRPr="00BD5DBD" w14:paraId="60A25F5A" w14:textId="77777777" w:rsidTr="00B67020">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1D2A24B9" w:rsidR="00324B33" w:rsidRPr="00BD5DBD" w:rsidRDefault="006979DF" w:rsidP="007452E8">
            <w:pPr>
              <w:rPr>
                <w:szCs w:val="22"/>
              </w:rPr>
            </w:pPr>
            <w:r w:rsidRPr="006979DF">
              <w:rPr>
                <w:szCs w:val="22"/>
              </w:rPr>
              <w:t>25 July 2025</w:t>
            </w:r>
          </w:p>
        </w:tc>
      </w:tr>
      <w:tr w:rsidR="00324B33" w:rsidRPr="00BD5DBD" w14:paraId="547E08D7" w14:textId="77777777" w:rsidTr="00B67020">
        <w:tc>
          <w:tcPr>
            <w:tcW w:w="1577" w:type="pct"/>
          </w:tcPr>
          <w:p w14:paraId="5030EF30" w14:textId="4DA6D5A6" w:rsidR="00324B33" w:rsidRPr="00BD5DBD" w:rsidRDefault="00324B33" w:rsidP="007452E8">
            <w:pPr>
              <w:rPr>
                <w:i/>
                <w:szCs w:val="22"/>
              </w:rPr>
            </w:pPr>
            <w:r w:rsidRPr="00BD5DBD">
              <w:rPr>
                <w:i/>
                <w:szCs w:val="22"/>
              </w:rPr>
              <w:t>ARTG numbers:</w:t>
            </w:r>
          </w:p>
        </w:tc>
        <w:tc>
          <w:tcPr>
            <w:tcW w:w="3423" w:type="pct"/>
          </w:tcPr>
          <w:p w14:paraId="73C27767" w14:textId="3E2B2010" w:rsidR="00324B33" w:rsidRDefault="00C00D00" w:rsidP="007452E8">
            <w:pPr>
              <w:rPr>
                <w:szCs w:val="22"/>
              </w:rPr>
            </w:pPr>
            <w:r>
              <w:rPr>
                <w:szCs w:val="22"/>
              </w:rPr>
              <w:t>Augtyro</w:t>
            </w:r>
            <w:r w:rsidR="00167CE3" w:rsidRPr="00167CE3">
              <w:rPr>
                <w:szCs w:val="22"/>
              </w:rPr>
              <w:t xml:space="preserve"> </w:t>
            </w:r>
            <w:proofErr w:type="spellStart"/>
            <w:r w:rsidR="00C528C0" w:rsidRPr="00C528C0">
              <w:rPr>
                <w:szCs w:val="22"/>
              </w:rPr>
              <w:t>repotrectinib</w:t>
            </w:r>
            <w:proofErr w:type="spellEnd"/>
            <w:r w:rsidR="00C528C0" w:rsidRPr="00C528C0">
              <w:rPr>
                <w:szCs w:val="22"/>
              </w:rPr>
              <w:t xml:space="preserve"> 40 mg capsule bottle (</w:t>
            </w:r>
            <w:hyperlink r:id="rId20" w:history="1">
              <w:r w:rsidR="00C528C0" w:rsidRPr="00842375">
                <w:rPr>
                  <w:rStyle w:val="Hyperlink"/>
                  <w:szCs w:val="22"/>
                </w:rPr>
                <w:t>445679</w:t>
              </w:r>
            </w:hyperlink>
            <w:r w:rsidR="00C528C0" w:rsidRPr="00C528C0">
              <w:rPr>
                <w:szCs w:val="22"/>
              </w:rPr>
              <w:t>)</w:t>
            </w:r>
          </w:p>
          <w:p w14:paraId="0054E912" w14:textId="36FC3891" w:rsidR="00842375" w:rsidRPr="00BD5DBD" w:rsidRDefault="00C00D00" w:rsidP="007452E8">
            <w:pPr>
              <w:rPr>
                <w:szCs w:val="22"/>
              </w:rPr>
            </w:pPr>
            <w:r>
              <w:rPr>
                <w:szCs w:val="22"/>
              </w:rPr>
              <w:t>Augtyro</w:t>
            </w:r>
            <w:r w:rsidR="00167CE3" w:rsidRPr="00167CE3">
              <w:rPr>
                <w:szCs w:val="22"/>
              </w:rPr>
              <w:t xml:space="preserve"> </w:t>
            </w:r>
            <w:proofErr w:type="spellStart"/>
            <w:r w:rsidR="00842375" w:rsidRPr="00842375">
              <w:rPr>
                <w:szCs w:val="22"/>
              </w:rPr>
              <w:t>repotrectinib</w:t>
            </w:r>
            <w:proofErr w:type="spellEnd"/>
            <w:r w:rsidR="00842375" w:rsidRPr="00842375">
              <w:rPr>
                <w:szCs w:val="22"/>
              </w:rPr>
              <w:t xml:space="preserve"> 160 mg capsule blister pack (</w:t>
            </w:r>
            <w:hyperlink r:id="rId21" w:history="1">
              <w:r w:rsidR="00842375" w:rsidRPr="009F0540">
                <w:rPr>
                  <w:rStyle w:val="Hyperlink"/>
                  <w:szCs w:val="22"/>
                </w:rPr>
                <w:t>445678</w:t>
              </w:r>
            </w:hyperlink>
            <w:r w:rsidR="00842375" w:rsidRPr="00842375">
              <w:rPr>
                <w:szCs w:val="22"/>
              </w:rPr>
              <w:t>)</w:t>
            </w:r>
          </w:p>
        </w:tc>
      </w:tr>
      <w:tr w:rsidR="00324B33" w:rsidRPr="00BD5DBD" w14:paraId="7618393F" w14:textId="77777777" w:rsidTr="00B67020">
        <w:tc>
          <w:tcPr>
            <w:tcW w:w="1577" w:type="pct"/>
          </w:tcPr>
          <w:p w14:paraId="02260DE2" w14:textId="111B2CE4" w:rsidR="00324B33" w:rsidRPr="00BD5DBD" w:rsidRDefault="00324B33" w:rsidP="00EE0F6A">
            <w:pPr>
              <w:rPr>
                <w:i/>
                <w:szCs w:val="22"/>
              </w:rPr>
            </w:pPr>
            <w:r w:rsidRPr="00BD5DBD">
              <w:rPr>
                <w:rFonts w:ascii="Wingdings 3" w:hAnsi="Wingdings 3"/>
                <w:szCs w:val="22"/>
                <w:lang w:eastAsia="en-AU"/>
              </w:rPr>
              <w:t></w:t>
            </w:r>
            <w:hyperlink r:id="rId22" w:history="1">
              <w:r w:rsidRPr="00BD5DBD">
                <w:rPr>
                  <w:rStyle w:val="Hyperlink"/>
                  <w:i/>
                  <w:szCs w:val="22"/>
                </w:rPr>
                <w:t>Black Triangle Scheme</w:t>
              </w:r>
            </w:hyperlink>
          </w:p>
        </w:tc>
        <w:tc>
          <w:tcPr>
            <w:tcW w:w="3423" w:type="pct"/>
          </w:tcPr>
          <w:p w14:paraId="6FF3C6A2" w14:textId="0394406C" w:rsidR="00324B33" w:rsidRPr="00BD5DBD" w:rsidRDefault="00324B33" w:rsidP="007452E8">
            <w:pPr>
              <w:rPr>
                <w:szCs w:val="22"/>
              </w:rPr>
            </w:pPr>
            <w:r w:rsidRPr="00BD5DBD">
              <w:rPr>
                <w:szCs w:val="22"/>
              </w:rPr>
              <w:t>Yes</w:t>
            </w:r>
          </w:p>
        </w:tc>
      </w:tr>
      <w:tr w:rsidR="00324B33" w:rsidRPr="00BD5DBD" w14:paraId="179E09FE" w14:textId="77777777" w:rsidTr="00B67020">
        <w:tc>
          <w:tcPr>
            <w:tcW w:w="1577" w:type="pct"/>
          </w:tcPr>
          <w:p w14:paraId="1A592498" w14:textId="4DA1A897" w:rsidR="00324B33" w:rsidRPr="00BD5DBD" w:rsidRDefault="009526AA" w:rsidP="007452E8">
            <w:pPr>
              <w:rPr>
                <w:i/>
                <w:szCs w:val="22"/>
              </w:rPr>
            </w:pPr>
            <w:r>
              <w:rPr>
                <w:i/>
                <w:szCs w:val="22"/>
              </w:rPr>
              <w:t>Sponsor</w:t>
            </w:r>
            <w:r w:rsidR="00324B33" w:rsidRPr="00BD5DBD">
              <w:rPr>
                <w:i/>
                <w:szCs w:val="22"/>
              </w:rPr>
              <w:t>’s name and address:</w:t>
            </w:r>
          </w:p>
        </w:tc>
        <w:tc>
          <w:tcPr>
            <w:tcW w:w="3423" w:type="pct"/>
          </w:tcPr>
          <w:p w14:paraId="68DD94B0" w14:textId="54EDD656" w:rsidR="00324B33" w:rsidRPr="00BD5DBD" w:rsidRDefault="00D379F0" w:rsidP="00D379F0">
            <w:pPr>
              <w:rPr>
                <w:szCs w:val="22"/>
              </w:rPr>
            </w:pPr>
            <w:r w:rsidRPr="00D379F0">
              <w:rPr>
                <w:szCs w:val="22"/>
              </w:rPr>
              <w:t>Bristol-Myers Squibb Australia Pty Ltd</w:t>
            </w:r>
            <w:r>
              <w:rPr>
                <w:szCs w:val="22"/>
              </w:rPr>
              <w:t xml:space="preserve">, </w:t>
            </w:r>
            <w:r w:rsidRPr="00D379F0">
              <w:rPr>
                <w:szCs w:val="22"/>
              </w:rPr>
              <w:t>4 Nexus Court,</w:t>
            </w:r>
            <w:r>
              <w:rPr>
                <w:szCs w:val="22"/>
              </w:rPr>
              <w:t xml:space="preserve"> </w:t>
            </w:r>
            <w:r w:rsidRPr="00D379F0">
              <w:rPr>
                <w:szCs w:val="22"/>
              </w:rPr>
              <w:t>Mulgrave,</w:t>
            </w:r>
            <w:r>
              <w:rPr>
                <w:szCs w:val="22"/>
              </w:rPr>
              <w:t xml:space="preserve"> </w:t>
            </w:r>
            <w:r w:rsidRPr="00D379F0">
              <w:rPr>
                <w:szCs w:val="22"/>
              </w:rPr>
              <w:t>Victoria 3170,</w:t>
            </w:r>
          </w:p>
        </w:tc>
      </w:tr>
      <w:tr w:rsidR="00324B33" w:rsidRPr="00BD5DBD" w14:paraId="5322B989" w14:textId="77777777" w:rsidTr="00B67020">
        <w:tc>
          <w:tcPr>
            <w:tcW w:w="1577" w:type="pct"/>
          </w:tcPr>
          <w:p w14:paraId="24F217E3" w14:textId="2487F940" w:rsidR="00324B33" w:rsidRPr="00BD5DBD" w:rsidRDefault="00324B33" w:rsidP="007452E8">
            <w:pPr>
              <w:rPr>
                <w:i/>
                <w:szCs w:val="22"/>
              </w:rPr>
            </w:pPr>
            <w:r w:rsidRPr="00BD5DBD">
              <w:rPr>
                <w:i/>
                <w:szCs w:val="22"/>
              </w:rPr>
              <w:t>Dose form:</w:t>
            </w:r>
          </w:p>
        </w:tc>
        <w:tc>
          <w:tcPr>
            <w:tcW w:w="3423" w:type="pct"/>
          </w:tcPr>
          <w:p w14:paraId="768B254C" w14:textId="1040E46E" w:rsidR="00324B33" w:rsidRPr="00BD5DBD" w:rsidRDefault="00687399" w:rsidP="007452E8">
            <w:pPr>
              <w:rPr>
                <w:szCs w:val="22"/>
              </w:rPr>
            </w:pPr>
            <w:r>
              <w:rPr>
                <w:szCs w:val="22"/>
              </w:rPr>
              <w:t>H</w:t>
            </w:r>
            <w:r w:rsidRPr="00687399">
              <w:rPr>
                <w:szCs w:val="22"/>
              </w:rPr>
              <w:t>ard capsules</w:t>
            </w:r>
          </w:p>
        </w:tc>
      </w:tr>
      <w:tr w:rsidR="00324B33" w:rsidRPr="00BD5DBD" w14:paraId="115243E6" w14:textId="77777777" w:rsidTr="00B67020">
        <w:tc>
          <w:tcPr>
            <w:tcW w:w="1577" w:type="pct"/>
          </w:tcPr>
          <w:p w14:paraId="7634B062" w14:textId="553E2347" w:rsidR="00324B33" w:rsidRPr="00BD5DBD" w:rsidRDefault="00324B33" w:rsidP="007452E8">
            <w:pPr>
              <w:rPr>
                <w:i/>
                <w:szCs w:val="22"/>
              </w:rPr>
            </w:pPr>
            <w:r w:rsidRPr="00BD5DBD">
              <w:rPr>
                <w:i/>
                <w:szCs w:val="22"/>
              </w:rPr>
              <w:t>Strengths:</w:t>
            </w:r>
          </w:p>
        </w:tc>
        <w:tc>
          <w:tcPr>
            <w:tcW w:w="3423" w:type="pct"/>
          </w:tcPr>
          <w:p w14:paraId="5E5F83DB" w14:textId="4C812AB4" w:rsidR="00324B33" w:rsidRPr="00BD5DBD" w:rsidRDefault="00B92DCA" w:rsidP="007452E8">
            <w:pPr>
              <w:rPr>
                <w:szCs w:val="22"/>
              </w:rPr>
            </w:pPr>
            <w:r>
              <w:rPr>
                <w:szCs w:val="22"/>
              </w:rPr>
              <w:t>40 mg, 160 mg</w:t>
            </w:r>
          </w:p>
        </w:tc>
      </w:tr>
      <w:tr w:rsidR="00324B33" w:rsidRPr="00BD5DBD" w14:paraId="34B07BA6" w14:textId="77777777" w:rsidTr="00B67020">
        <w:tc>
          <w:tcPr>
            <w:tcW w:w="1577" w:type="pct"/>
          </w:tcPr>
          <w:p w14:paraId="1C039224" w14:textId="144D7860" w:rsidR="00324B33" w:rsidRPr="00BD5DBD" w:rsidRDefault="00324B33" w:rsidP="007452E8">
            <w:pPr>
              <w:rPr>
                <w:i/>
                <w:szCs w:val="22"/>
              </w:rPr>
            </w:pPr>
            <w:r w:rsidRPr="00BD5DBD">
              <w:rPr>
                <w:i/>
                <w:szCs w:val="22"/>
              </w:rPr>
              <w:t>Containers:</w:t>
            </w:r>
          </w:p>
        </w:tc>
        <w:tc>
          <w:tcPr>
            <w:tcW w:w="3423" w:type="pct"/>
          </w:tcPr>
          <w:p w14:paraId="51AD33C6" w14:textId="438F4409" w:rsidR="00B43347" w:rsidRPr="00505287" w:rsidRDefault="00C00D00" w:rsidP="00B43347">
            <w:pPr>
              <w:rPr>
                <w:b/>
                <w:bCs/>
                <w:szCs w:val="22"/>
              </w:rPr>
            </w:pPr>
            <w:r>
              <w:rPr>
                <w:b/>
                <w:bCs/>
                <w:szCs w:val="22"/>
              </w:rPr>
              <w:t>Augtyro</w:t>
            </w:r>
            <w:r w:rsidR="004E0FF1" w:rsidRPr="00505287">
              <w:rPr>
                <w:b/>
                <w:bCs/>
                <w:szCs w:val="22"/>
              </w:rPr>
              <w:t xml:space="preserve"> </w:t>
            </w:r>
            <w:r w:rsidR="00B43347" w:rsidRPr="00505287">
              <w:rPr>
                <w:b/>
                <w:bCs/>
                <w:szCs w:val="22"/>
              </w:rPr>
              <w:t>40 mg hard capsules</w:t>
            </w:r>
          </w:p>
          <w:p w14:paraId="40CFE39E" w14:textId="77777777" w:rsidR="00324B33" w:rsidRDefault="00B43347" w:rsidP="00B43347">
            <w:pPr>
              <w:rPr>
                <w:szCs w:val="22"/>
              </w:rPr>
            </w:pPr>
            <w:r w:rsidRPr="00B43347">
              <w:rPr>
                <w:szCs w:val="22"/>
              </w:rPr>
              <w:t>120-cc and 200-cc, high-density polyethylene (HDPE) bottles with 2-piece child-resistant continuous thread (CRCT) polypropylene (PP) closures.</w:t>
            </w:r>
          </w:p>
          <w:p w14:paraId="3FD0AFE4" w14:textId="19A995C2" w:rsidR="004E0FF1" w:rsidRPr="00505287" w:rsidRDefault="00C00D00" w:rsidP="004E0FF1">
            <w:pPr>
              <w:rPr>
                <w:b/>
                <w:bCs/>
                <w:szCs w:val="22"/>
              </w:rPr>
            </w:pPr>
            <w:r>
              <w:rPr>
                <w:b/>
                <w:bCs/>
                <w:szCs w:val="22"/>
              </w:rPr>
              <w:t>Augtyro</w:t>
            </w:r>
            <w:r w:rsidR="004E0FF1" w:rsidRPr="00505287">
              <w:rPr>
                <w:b/>
                <w:bCs/>
                <w:szCs w:val="22"/>
              </w:rPr>
              <w:t xml:space="preserve"> 160 mg hard capsules</w:t>
            </w:r>
          </w:p>
          <w:p w14:paraId="500A42C6" w14:textId="43F8A12F" w:rsidR="004E0FF1" w:rsidRPr="00BD5DBD" w:rsidRDefault="004E0FF1" w:rsidP="004E0FF1">
            <w:pPr>
              <w:rPr>
                <w:szCs w:val="22"/>
              </w:rPr>
            </w:pPr>
            <w:r w:rsidRPr="004E0FF1">
              <w:rPr>
                <w:szCs w:val="22"/>
              </w:rPr>
              <w:t>Polyvinyl chloride/</w:t>
            </w:r>
            <w:proofErr w:type="spellStart"/>
            <w:r w:rsidRPr="004E0FF1">
              <w:rPr>
                <w:szCs w:val="22"/>
              </w:rPr>
              <w:t>Aclar</w:t>
            </w:r>
            <w:proofErr w:type="spellEnd"/>
            <w:r w:rsidRPr="004E0FF1">
              <w:rPr>
                <w:szCs w:val="22"/>
              </w:rPr>
              <w:t xml:space="preserve"> (PVC/</w:t>
            </w:r>
            <w:proofErr w:type="spellStart"/>
            <w:r w:rsidRPr="004E0FF1">
              <w:rPr>
                <w:szCs w:val="22"/>
              </w:rPr>
              <w:t>Aclar</w:t>
            </w:r>
            <w:proofErr w:type="spellEnd"/>
            <w:r w:rsidRPr="004E0FF1">
              <w:rPr>
                <w:szCs w:val="22"/>
              </w:rPr>
              <w:t xml:space="preserve">) clear blister with push through aluminium foil lidding. </w:t>
            </w:r>
            <w:proofErr w:type="spellStart"/>
            <w:r w:rsidRPr="004E0FF1">
              <w:rPr>
                <w:szCs w:val="22"/>
              </w:rPr>
              <w:t>Aclar</w:t>
            </w:r>
            <w:proofErr w:type="spellEnd"/>
            <w:r w:rsidRPr="004E0FF1">
              <w:rPr>
                <w:szCs w:val="22"/>
              </w:rPr>
              <w:t xml:space="preserve"> refers to polychlorotrifluoroethylene (PCTFE).</w:t>
            </w:r>
          </w:p>
        </w:tc>
      </w:tr>
      <w:tr w:rsidR="00324B33" w:rsidRPr="00BD5DBD" w14:paraId="176B6773" w14:textId="77777777" w:rsidTr="00B67020">
        <w:tc>
          <w:tcPr>
            <w:tcW w:w="1577" w:type="pct"/>
          </w:tcPr>
          <w:p w14:paraId="71846159" w14:textId="77F3325F" w:rsidR="00324B33" w:rsidRPr="00BD5DBD" w:rsidRDefault="00324B33" w:rsidP="007452E8">
            <w:pPr>
              <w:rPr>
                <w:i/>
                <w:szCs w:val="22"/>
              </w:rPr>
            </w:pPr>
            <w:r w:rsidRPr="00BD5DBD">
              <w:rPr>
                <w:i/>
                <w:szCs w:val="22"/>
              </w:rPr>
              <w:t>Pack sizes:</w:t>
            </w:r>
          </w:p>
        </w:tc>
        <w:tc>
          <w:tcPr>
            <w:tcW w:w="3423" w:type="pct"/>
          </w:tcPr>
          <w:p w14:paraId="7E978F8F" w14:textId="4756B5B6" w:rsidR="00324B33" w:rsidRPr="00BD5DBD" w:rsidRDefault="00CC5219" w:rsidP="007452E8">
            <w:pPr>
              <w:rPr>
                <w:szCs w:val="22"/>
              </w:rPr>
            </w:pPr>
            <w:r w:rsidRPr="00CC5219">
              <w:rPr>
                <w:szCs w:val="22"/>
              </w:rPr>
              <w:t>60 and 120 hard capsules</w:t>
            </w:r>
          </w:p>
        </w:tc>
      </w:tr>
      <w:tr w:rsidR="00324B33" w:rsidRPr="00BD5DBD" w14:paraId="19A2544A" w14:textId="77777777" w:rsidTr="00B67020">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E143E2E" w14:textId="319D667C" w:rsidR="00324B33" w:rsidRPr="00BD5DBD" w:rsidRDefault="00C00D00" w:rsidP="007452E8">
            <w:pPr>
              <w:rPr>
                <w:szCs w:val="22"/>
              </w:rPr>
            </w:pPr>
            <w:r>
              <w:rPr>
                <w:szCs w:val="22"/>
              </w:rPr>
              <w:t>Augtyro</w:t>
            </w:r>
            <w:r w:rsidR="00167CE3" w:rsidRPr="00167CE3">
              <w:rPr>
                <w:szCs w:val="22"/>
              </w:rPr>
              <w:t>, as monotherapy, is indicated for the treatment of adult patients with ROS1-positive locally advanced or metastatic non-small cell lung cancer (NSCLC).</w:t>
            </w:r>
          </w:p>
        </w:tc>
      </w:tr>
      <w:tr w:rsidR="00324B33" w:rsidRPr="00BD5DBD" w14:paraId="5AFDEED3" w14:textId="77777777" w:rsidTr="00B67020">
        <w:tc>
          <w:tcPr>
            <w:tcW w:w="1577" w:type="pct"/>
          </w:tcPr>
          <w:p w14:paraId="03884BD1" w14:textId="1344EB0D" w:rsidR="00324B33" w:rsidRPr="00BD5DBD" w:rsidRDefault="00324B33" w:rsidP="007452E8">
            <w:pPr>
              <w:rPr>
                <w:i/>
                <w:szCs w:val="22"/>
              </w:rPr>
            </w:pPr>
            <w:r w:rsidRPr="00BD5DBD">
              <w:rPr>
                <w:i/>
                <w:szCs w:val="22"/>
              </w:rPr>
              <w:t>Routes of administration:</w:t>
            </w:r>
          </w:p>
        </w:tc>
        <w:tc>
          <w:tcPr>
            <w:tcW w:w="3423" w:type="pct"/>
          </w:tcPr>
          <w:p w14:paraId="1ED1357E" w14:textId="42BA383E" w:rsidR="00324B33" w:rsidRPr="00BD5DBD" w:rsidRDefault="0014688D" w:rsidP="007452E8">
            <w:pPr>
              <w:rPr>
                <w:szCs w:val="22"/>
              </w:rPr>
            </w:pPr>
            <w:r>
              <w:rPr>
                <w:szCs w:val="22"/>
              </w:rPr>
              <w:t>Oral</w:t>
            </w:r>
          </w:p>
        </w:tc>
      </w:tr>
      <w:tr w:rsidR="00324B33" w:rsidRPr="00BD5DBD" w14:paraId="70D7E9FA" w14:textId="77777777" w:rsidTr="00B67020">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4BD4ECF7" w14:textId="21761B66" w:rsidR="00666911" w:rsidRDefault="00C34E21" w:rsidP="007452E8">
            <w:pPr>
              <w:rPr>
                <w:szCs w:val="22"/>
              </w:rPr>
            </w:pPr>
            <w:r w:rsidRPr="00C34E21">
              <w:rPr>
                <w:szCs w:val="22"/>
              </w:rPr>
              <w:t>160 mg orally once daily for 14 days, followed by 160 mg orally twice daily until disease progression or unacceptable toxicity.</w:t>
            </w:r>
          </w:p>
          <w:p w14:paraId="3D0B2D5C" w14:textId="0A2FDC25" w:rsidR="00324B33" w:rsidRPr="00BD5DBD" w:rsidRDefault="00324B33" w:rsidP="007452E8">
            <w:pPr>
              <w:rPr>
                <w:szCs w:val="22"/>
              </w:rPr>
            </w:pPr>
            <w:r w:rsidRPr="00BD5DBD">
              <w:rPr>
                <w:szCs w:val="22"/>
              </w:rPr>
              <w:t>For further information regarding dosage</w:t>
            </w:r>
            <w:r w:rsidR="006B7126">
              <w:rPr>
                <w:szCs w:val="22"/>
              </w:rPr>
              <w:t xml:space="preserve">, </w:t>
            </w:r>
            <w:r w:rsidRPr="00BD5DBD">
              <w:rPr>
                <w:szCs w:val="22"/>
              </w:rPr>
              <w:t>refer to the Product Information.</w:t>
            </w:r>
          </w:p>
        </w:tc>
      </w:tr>
      <w:tr w:rsidR="0017005C" w:rsidRPr="00BD5DBD" w14:paraId="7B7BB6AE" w14:textId="77777777" w:rsidTr="00B67020">
        <w:tc>
          <w:tcPr>
            <w:tcW w:w="1577" w:type="pct"/>
          </w:tcPr>
          <w:p w14:paraId="3A76AFF7" w14:textId="343E3762" w:rsidR="00463F84" w:rsidRPr="00463F84" w:rsidRDefault="0070330F" w:rsidP="00B67020">
            <w:r w:rsidRPr="00BD5DBD">
              <w:rPr>
                <w:i/>
                <w:szCs w:val="22"/>
              </w:rPr>
              <w:t>Pregnancy category:</w:t>
            </w:r>
          </w:p>
        </w:tc>
        <w:tc>
          <w:tcPr>
            <w:tcW w:w="3423" w:type="pct"/>
          </w:tcPr>
          <w:p w14:paraId="41FAE162" w14:textId="77777777" w:rsidR="00F41422" w:rsidRDefault="00F41422" w:rsidP="00F41422">
            <w:pPr>
              <w:rPr>
                <w:szCs w:val="22"/>
              </w:rPr>
            </w:pPr>
            <w:r w:rsidRPr="00F41422">
              <w:rPr>
                <w:szCs w:val="22"/>
              </w:rPr>
              <w:t>Category D</w:t>
            </w:r>
          </w:p>
          <w:p w14:paraId="4817F4F4" w14:textId="34F70AF0" w:rsidR="00000E6E" w:rsidRPr="00BD5DBD" w:rsidRDefault="00F41422" w:rsidP="00F41422">
            <w:pPr>
              <w:rPr>
                <w:szCs w:val="22"/>
              </w:rPr>
            </w:pPr>
            <w:r w:rsidRPr="00F41422">
              <w:rPr>
                <w:szCs w:val="22"/>
              </w:rPr>
              <w:t>Drugs which have caused, are suspected to have caused or may be expected to cause, an increased incidence of human fetal malformations or irreversible damage. These drugs may also have adverse pharmacological effects</w:t>
            </w:r>
            <w:r>
              <w:rPr>
                <w:szCs w:val="22"/>
              </w:rPr>
              <w:t>.</w:t>
            </w:r>
          </w:p>
          <w:p w14:paraId="76497789" w14:textId="634DC28C" w:rsidR="0017005C" w:rsidRPr="00BD5DBD" w:rsidRDefault="0070330F" w:rsidP="00306E72">
            <w:pPr>
              <w:rPr>
                <w:szCs w:val="22"/>
              </w:rPr>
            </w:pPr>
            <w:r w:rsidRPr="00BD5DBD">
              <w:rPr>
                <w:szCs w:val="22"/>
              </w:rPr>
              <w:lastRenderedPageBreak/>
              <w:t xml:space="preserve">The use of any medicine during pregnancy requires careful consideration of both risks and benefits by the treating health professional. </w:t>
            </w:r>
            <w:r w:rsidR="00721059">
              <w:rPr>
                <w:szCs w:val="22"/>
              </w:rPr>
              <w:t xml:space="preserve">The </w:t>
            </w:r>
            <w:hyperlink r:id="rId23"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24"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E34B277" w:rsidR="00324B33" w:rsidRDefault="00324B33" w:rsidP="00324B33">
      <w:pPr>
        <w:pStyle w:val="Heading3"/>
      </w:pPr>
      <w:bookmarkStart w:id="11" w:name="_Toc247691503"/>
      <w:bookmarkStart w:id="12" w:name="_Toc314842484"/>
      <w:bookmarkStart w:id="13" w:name="_Toc103679290"/>
      <w:bookmarkStart w:id="14" w:name="_Toc219813772"/>
      <w:r>
        <w:lastRenderedPageBreak/>
        <w:t>Product background</w:t>
      </w:r>
      <w:bookmarkEnd w:id="11"/>
      <w:bookmarkEnd w:id="12"/>
      <w:bookmarkEnd w:id="13"/>
      <w:bookmarkEnd w:id="14"/>
    </w:p>
    <w:p w14:paraId="59BF31D1" w14:textId="63911080" w:rsidR="001500A8" w:rsidRPr="00065839" w:rsidRDefault="00324B33" w:rsidP="00065839">
      <w:r w:rsidRPr="00065839">
        <w:t>This AusPAR describes the submission by</w:t>
      </w:r>
      <w:r w:rsidR="00463F84">
        <w:t xml:space="preserve"> </w:t>
      </w:r>
      <w:r w:rsidR="00463F84" w:rsidRPr="00463F84">
        <w:t xml:space="preserve">Bristol-Myers Squibb Australia Pty Ltd </w:t>
      </w:r>
      <w:r w:rsidRPr="00065839">
        <w:t xml:space="preserve">(the </w:t>
      </w:r>
      <w:r w:rsidR="009526AA">
        <w:t>Sponsor</w:t>
      </w:r>
      <w:r w:rsidRPr="00065839">
        <w:t xml:space="preserve">) to register </w:t>
      </w:r>
      <w:r w:rsidR="00C00D00">
        <w:t>Augtyro</w:t>
      </w:r>
      <w:r w:rsidR="00463F84" w:rsidRPr="00463F84">
        <w:t xml:space="preserve"> </w:t>
      </w:r>
      <w:r w:rsidRPr="00065839">
        <w:t>(</w:t>
      </w:r>
      <w:proofErr w:type="spellStart"/>
      <w:r w:rsidR="00463F84" w:rsidRPr="00463F84">
        <w:t>repotrectinib</w:t>
      </w:r>
      <w:proofErr w:type="spellEnd"/>
      <w:r w:rsidRPr="00065839">
        <w:t>) for the following proposed indication:</w:t>
      </w:r>
      <w:r w:rsidR="00D63760" w:rsidRPr="00065839">
        <w:rPr>
          <w:vertAlign w:val="superscript"/>
        </w:rPr>
        <w:footnoteReference w:id="1"/>
      </w:r>
    </w:p>
    <w:p w14:paraId="23D8ED73" w14:textId="323C9DE3" w:rsidR="00324B33" w:rsidRPr="001D111E" w:rsidRDefault="00C00D00" w:rsidP="003F7321">
      <w:pPr>
        <w:pStyle w:val="Indication"/>
      </w:pPr>
      <w:r>
        <w:t>Augtyro</w:t>
      </w:r>
      <w:r w:rsidR="003F7321" w:rsidRPr="003F7321">
        <w:t>, as monotherapy, is indicated for the treatment of adult patients with ROS1-positive locally advanced or metastatic non-small cell lung cancer (NSCLC)</w:t>
      </w:r>
      <w:r w:rsidR="003F7321">
        <w:t>.</w:t>
      </w:r>
    </w:p>
    <w:p w14:paraId="1E63A2AE" w14:textId="5FCD6C6F" w:rsidR="00CB6813" w:rsidRDefault="00005DFC" w:rsidP="00CB6813">
      <w:pPr>
        <w:pStyle w:val="Heading4"/>
      </w:pPr>
      <w:bookmarkStart w:id="15" w:name="_Toc219813773"/>
      <w:bookmarkStart w:id="16" w:name="_Toc314842485"/>
      <w:bookmarkStart w:id="17" w:name="_Toc247691504"/>
      <w:r>
        <w:t>D</w:t>
      </w:r>
      <w:r w:rsidR="00CB6813" w:rsidRPr="00C12D65">
        <w:t>isease</w:t>
      </w:r>
      <w:r w:rsidR="006428C5">
        <w:t xml:space="preserve"> or condition</w:t>
      </w:r>
      <w:bookmarkEnd w:id="15"/>
    </w:p>
    <w:p w14:paraId="537E5070" w14:textId="5D46A11A" w:rsidR="003C2CBD" w:rsidRDefault="002D0585" w:rsidP="003C2CBD">
      <w:pPr>
        <w:pStyle w:val="Heading5"/>
      </w:pPr>
      <w:r>
        <w:t>N</w:t>
      </w:r>
      <w:r w:rsidRPr="002D0585">
        <w:t>on-small cell lung cancer</w:t>
      </w:r>
    </w:p>
    <w:p w14:paraId="2FE0AE1B" w14:textId="6BDC95B0" w:rsidR="003C2CBD" w:rsidRDefault="003C2CBD" w:rsidP="003C2CBD">
      <w:r>
        <w:t>Based on Australian Institute of Health and Welfare estimates for 2021, the age-standardised annual incidence and mortality  rates of lung cancer in Australia were 42.6 and 26.5 per 100,000 population, respectively.</w:t>
      </w:r>
      <w:r w:rsidR="00B8752E">
        <w:rPr>
          <w:rStyle w:val="FootnoteReference"/>
        </w:rPr>
        <w:footnoteReference w:id="2"/>
      </w:r>
      <w:r>
        <w:t xml:space="preserve"> The 5-year relative survival is around 20%; and lung cancer was predicted to be the leading cause of cancer-related deaths in both men and women for 2021. Around 40% of cases are metastatic at diagnosis.</w:t>
      </w:r>
      <w:r w:rsidR="00932CC8">
        <w:rPr>
          <w:rStyle w:val="FootnoteReference"/>
        </w:rPr>
        <w:footnoteReference w:id="3"/>
      </w:r>
      <w:r>
        <w:t xml:space="preserve"> </w:t>
      </w:r>
    </w:p>
    <w:p w14:paraId="59841E58" w14:textId="4AFFDA3A" w:rsidR="003C2CBD" w:rsidRDefault="003C2CBD" w:rsidP="003C2CBD">
      <w:r>
        <w:t>Lung cancer is the most common cancer diagnosed for Aboriginal and Torres Strait Islander people (based on data from 2012-2016).</w:t>
      </w:r>
      <w:r w:rsidR="00C22E3A">
        <w:rPr>
          <w:rStyle w:val="FootnoteReference"/>
        </w:rPr>
        <w:footnoteReference w:id="4"/>
      </w:r>
      <w:r>
        <w:t xml:space="preserve">  Indigenous Australians are more than twice as likely to be diagnosed with lung </w:t>
      </w:r>
      <w:r w:rsidR="00B67020">
        <w:t>cancer and</w:t>
      </w:r>
      <w:r>
        <w:t xml:space="preserve"> have an approximate 5-year survival rate around 30% shorter, compared to non-Indigenous Australians.</w:t>
      </w:r>
      <w:r w:rsidR="00C22E3A">
        <w:rPr>
          <w:rStyle w:val="FootnoteReference"/>
        </w:rPr>
        <w:footnoteReference w:id="5"/>
      </w:r>
      <w:r>
        <w:t xml:space="preserve"> </w:t>
      </w:r>
    </w:p>
    <w:p w14:paraId="3272BA31" w14:textId="62990AA2" w:rsidR="003C2CBD" w:rsidRDefault="003C2CBD" w:rsidP="003C2CBD">
      <w:r>
        <w:t>Most lung cancers (80-90%) are categorised as non-small cell lung cancer (NSCLC), which comprises both squamous and non-squamous (including adenocarcinoma) forms.</w:t>
      </w:r>
      <w:r w:rsidR="009E399F">
        <w:rPr>
          <w:rStyle w:val="FootnoteReference"/>
        </w:rPr>
        <w:footnoteReference w:id="6"/>
      </w:r>
      <w:r>
        <w:t xml:space="preserve"> Adenocarcinomas are the most common subtype of NSCLC: they make up nearly half of all lung cancers.</w:t>
      </w:r>
      <w:r w:rsidR="00702273">
        <w:rPr>
          <w:rStyle w:val="FootnoteReference"/>
        </w:rPr>
        <w:footnoteReference w:id="7"/>
      </w:r>
    </w:p>
    <w:p w14:paraId="6CFDAC42" w14:textId="7323C1A0" w:rsidR="00A27CBD" w:rsidRDefault="00A27CBD" w:rsidP="00A27CBD">
      <w:pPr>
        <w:pStyle w:val="Heading5"/>
      </w:pPr>
      <w:r w:rsidRPr="00A27CBD">
        <w:t>ROS1</w:t>
      </w:r>
    </w:p>
    <w:p w14:paraId="53ED9033" w14:textId="6849DAD3" w:rsidR="00D6607B" w:rsidRDefault="002D0585" w:rsidP="00B67020">
      <w:r>
        <w:t xml:space="preserve">The ROS proto-oncogene 1 (ROS1), located on chromosome 6, encodes an ‘orphan’ receptor tyrosine kinase (without a known ligand), whose physiological function remains unclear. ROS1 </w:t>
      </w:r>
      <w:r>
        <w:lastRenderedPageBreak/>
        <w:t>shares sequence homology with the ALK gene, another proto-oncogene, and many ALK inhibitors also show ROS1 affinity.</w:t>
      </w:r>
      <w:r w:rsidR="00083C68">
        <w:rPr>
          <w:rStyle w:val="FootnoteReference"/>
        </w:rPr>
        <w:footnoteReference w:id="8"/>
      </w:r>
    </w:p>
    <w:p w14:paraId="528D755B" w14:textId="10D4EF50" w:rsidR="002D0585" w:rsidRDefault="002D0585" w:rsidP="00B67020">
      <w:r>
        <w:t xml:space="preserve">Physiologically, when bound by their respective ligands, receptor tyrosine kinases dimerise, </w:t>
      </w:r>
      <w:proofErr w:type="spellStart"/>
      <w:r>
        <w:t>autophosphorylate</w:t>
      </w:r>
      <w:proofErr w:type="spellEnd"/>
      <w:r>
        <w:t>, and activate downstream signalling pathways, including those involved in cell growth and apoptosis.</w:t>
      </w:r>
      <w:r w:rsidR="00F241C8">
        <w:rPr>
          <w:rStyle w:val="FootnoteReference"/>
        </w:rPr>
        <w:footnoteReference w:id="9"/>
      </w:r>
      <w:r>
        <w:t xml:space="preserve"> Mutation of the genes that encode them can drive oncogenic transformation, often by interfering with key regulatory or functional domains resulting in constitutive kinase activation, overexpression, impaired autoinhibition, reduced turnover, or altered substrate affinity.</w:t>
      </w:r>
      <w:r w:rsidR="001961A7">
        <w:rPr>
          <w:rStyle w:val="FootnoteReference"/>
        </w:rPr>
        <w:footnoteReference w:id="10"/>
      </w:r>
      <w:r>
        <w:t xml:space="preserve"> </w:t>
      </w:r>
    </w:p>
    <w:p w14:paraId="17DBFE6D" w14:textId="188F7872" w:rsidR="002D0585" w:rsidRDefault="002D0585" w:rsidP="002D0585">
      <w:r>
        <w:t>In the case of ROS1-driven tumours, the causative mutation is a large-scale genetic rearrangement, in which a fusion event causes a region encoding the ROS1 kinase domain to be juxtaposed to a new genetic partner and resulting in expression of a novel, constitutively active fusion kinase.</w:t>
      </w:r>
      <w:r w:rsidR="003E63DF">
        <w:rPr>
          <w:rStyle w:val="FootnoteReference"/>
        </w:rPr>
        <w:footnoteReference w:id="11"/>
      </w:r>
      <w:r>
        <w:t xml:space="preserve"> ROS1 rearrangements are identified in around 1% or 2% of NSCLC;</w:t>
      </w:r>
      <w:r w:rsidR="007A5ADE">
        <w:rPr>
          <w:rStyle w:val="FootnoteReference"/>
        </w:rPr>
        <w:footnoteReference w:id="12"/>
      </w:r>
      <w:r>
        <w:t xml:space="preserve">  3% of adenocarcinomas.</w:t>
      </w:r>
      <w:r w:rsidR="004259F0">
        <w:rPr>
          <w:rStyle w:val="FootnoteReference"/>
        </w:rPr>
        <w:footnoteReference w:id="13"/>
      </w:r>
      <w:r>
        <w:t xml:space="preserve">  Thus, of the 13810 predicted lung cancer diagnoses in Australia in 2021, 110-250 cases would be expected to be ROS1-positive. </w:t>
      </w:r>
    </w:p>
    <w:p w14:paraId="1CA334F3" w14:textId="7F6078E1" w:rsidR="00BA1947" w:rsidRDefault="002D0585" w:rsidP="002D0585">
      <w:r>
        <w:t>Compared with other NSCLC, tumours harbouring ROS1 rearrangements are associated with younger age at diagnosis, female sex, Asian ethnicity, a minimal or never smoking history, and with adenocarcinoma histology.</w:t>
      </w:r>
      <w:r w:rsidR="00EF2671">
        <w:rPr>
          <w:rStyle w:val="FootnoteReference"/>
        </w:rPr>
        <w:footnoteReference w:id="14"/>
      </w:r>
      <w:r>
        <w:t xml:space="preserve"> Squamous cases do occur, however</w:t>
      </w:r>
      <w:r w:rsidR="003A2C74">
        <w:t>,</w:t>
      </w:r>
      <w:r>
        <w:t xml:space="preserve"> two patients (1%) with ROS1-positive squamous NSCLC were included in trials submitted to the Australian Medical Services Advisory Committee (MSAC) in support of ROS1 test funding.</w:t>
      </w:r>
      <w:r w:rsidR="008174EF">
        <w:rPr>
          <w:rStyle w:val="FootnoteReference"/>
        </w:rPr>
        <w:footnoteReference w:id="15"/>
      </w:r>
      <w:r>
        <w:t xml:space="preserve">  Based on the largest series studied (n=220), ROS1 rearrangements do not appear to co-occur with ALK mutations, but rarely co-occur with EGFR (0.5%) or KRAS (1.8%) mutations.</w:t>
      </w:r>
      <w:r w:rsidR="005E6BFD">
        <w:rPr>
          <w:rStyle w:val="FootnoteReference"/>
        </w:rPr>
        <w:footnoteReference w:id="16"/>
      </w:r>
    </w:p>
    <w:p w14:paraId="215249E7" w14:textId="77777777" w:rsidR="00DE6B58" w:rsidRDefault="00DE6B58" w:rsidP="00DE6B58">
      <w:pPr>
        <w:pStyle w:val="Heading5"/>
      </w:pPr>
      <w:r>
        <w:t>Diagnostic testing for ROS1 rearrangements in NSCLC</w:t>
      </w:r>
    </w:p>
    <w:p w14:paraId="671A6365" w14:textId="77777777" w:rsidR="00B67020" w:rsidRDefault="00DE6B58" w:rsidP="00CA383A">
      <w:r>
        <w:t xml:space="preserve">As ROS1-positive tumours </w:t>
      </w:r>
      <w:r w:rsidR="00C66C79">
        <w:t xml:space="preserve">cannot </w:t>
      </w:r>
      <w:r>
        <w:t xml:space="preserve">be reliably identified from other lung adenocarcinomas based on histopathology or clinical features alone, their identification relies on molecular diagnostic techniques.  Fluorescent in-situ hybridisation (FISH), immunohistochemistry (IHC), real-time polymerase chain reaction (RT-PCR) and next-generation sequencing (NGS) can all be used </w:t>
      </w:r>
      <w:r w:rsidRPr="00ED50D8">
        <w:t>(</w:t>
      </w:r>
      <w:r w:rsidR="008A2D7A" w:rsidRPr="00ED50D8">
        <w:t>Appendix,</w:t>
      </w:r>
      <w:r w:rsidR="001C7C42" w:rsidRPr="00ED50D8">
        <w:t xml:space="preserve"> </w:t>
      </w:r>
      <w:r w:rsidRPr="00ED50D8">
        <w:t xml:space="preserve">Table </w:t>
      </w:r>
      <w:r w:rsidR="00E15841">
        <w:t>A</w:t>
      </w:r>
      <w:r w:rsidRPr="00ED50D8">
        <w:t>1)</w:t>
      </w:r>
      <w:r>
        <w:t>, but NGS is preferable as it allows testing of a single sample for multiple actionable abnormalities with excellent sensitivity and specificity, identifying known and previously unknown variants.</w:t>
      </w:r>
      <w:r w:rsidR="00A5271C">
        <w:rPr>
          <w:rStyle w:val="FootnoteReference"/>
        </w:rPr>
        <w:footnoteReference w:id="17"/>
      </w:r>
      <w:r>
        <w:t xml:space="preserve"> Cost and speed are obstacles that generally reduce with technolog</w:t>
      </w:r>
      <w:r w:rsidR="00C90502">
        <w:t>ical</w:t>
      </w:r>
      <w:r>
        <w:t xml:space="preserve"> advancements.</w:t>
      </w:r>
    </w:p>
    <w:p w14:paraId="7DF73EC7" w14:textId="7A64182B" w:rsidR="00DE6B58" w:rsidRDefault="00DE6B58" w:rsidP="00CA383A">
      <w:r>
        <w:lastRenderedPageBreak/>
        <w:t>Oncomine is an NGS test approved in Australia for use as a companion diagnostic with crizotinib for ROS1.</w:t>
      </w:r>
      <w:r w:rsidR="008A30AB">
        <w:rPr>
          <w:rStyle w:val="FootnoteReference"/>
        </w:rPr>
        <w:footnoteReference w:id="18"/>
      </w:r>
      <w:r>
        <w:t xml:space="preserve">  However, testing for ROS1 has become standard for NSCLC. Published best practice recommendations from the Royal College of Pathologists of Australasia in collaboration with the Thoracic Oncology Group of Australasia state that all advanced stage lung carcinomas with an adenocarcinoma component should undergo reflex testing, preferably by NGS for both RNA and DNA, for a panel of biomarkers that includes ROS1</w:t>
      </w:r>
      <w:r w:rsidR="00CD0E0F">
        <w:t>, EGF</w:t>
      </w:r>
      <w:r>
        <w:t>R, BRAF, KRAS, ERBB2 (HER2), ALK, ROS1, MET, RET and NTRK and PD-L1</w:t>
      </w:r>
      <w:r w:rsidR="0090229C">
        <w:t>.</w:t>
      </w:r>
      <w:r w:rsidR="0090229C">
        <w:rPr>
          <w:rStyle w:val="FootnoteReference"/>
        </w:rPr>
        <w:footnoteReference w:id="19"/>
      </w:r>
      <w:r w:rsidR="0090229C">
        <w:t xml:space="preserve"> </w:t>
      </w:r>
      <w:r>
        <w:t>This position on molecular testing of NSCLC reflects that of major international guidelines</w:t>
      </w:r>
      <w:r w:rsidR="00B15FF4">
        <w:t xml:space="preserve"> from the</w:t>
      </w:r>
      <w:r w:rsidR="000E7A2F">
        <w:t xml:space="preserve"> </w:t>
      </w:r>
      <w:r w:rsidR="000E7A2F" w:rsidRPr="000E7A2F">
        <w:t xml:space="preserve">National Comprehensive Cancer Network (NCCN) </w:t>
      </w:r>
      <w:r>
        <w:t xml:space="preserve">and </w:t>
      </w:r>
      <w:r w:rsidR="00B15FF4">
        <w:t>the E</w:t>
      </w:r>
      <w:r w:rsidR="00CA383A">
        <w:t>uropean Society For Medical Oncology (ESMO</w:t>
      </w:r>
      <w:r w:rsidR="00B15FF4">
        <w:t>)</w:t>
      </w:r>
      <w:r>
        <w:t>.</w:t>
      </w:r>
      <w:r w:rsidR="00C03193">
        <w:rPr>
          <w:rStyle w:val="FootnoteReference"/>
        </w:rPr>
        <w:footnoteReference w:id="20"/>
      </w:r>
      <w:r w:rsidR="005D3E62" w:rsidRPr="007E6FFC">
        <w:rPr>
          <w:vertAlign w:val="superscript"/>
        </w:rPr>
        <w:t>,</w:t>
      </w:r>
      <w:r w:rsidR="006B562C">
        <w:rPr>
          <w:rStyle w:val="FootnoteReference"/>
        </w:rPr>
        <w:footnoteReference w:id="21"/>
      </w:r>
      <w:r>
        <w:t xml:space="preserve">  Funding for such testing has been included on the Australian MBS since November 2023.</w:t>
      </w:r>
      <w:r w:rsidR="00B43A4A">
        <w:rPr>
          <w:rStyle w:val="FootnoteReference"/>
        </w:rPr>
        <w:footnoteReference w:id="22"/>
      </w:r>
      <w:r>
        <w:t xml:space="preserve">  </w:t>
      </w:r>
    </w:p>
    <w:p w14:paraId="1130599F" w14:textId="274DC04F" w:rsidR="00DE6B58" w:rsidRDefault="00DE6B58" w:rsidP="00DE6B58">
      <w:r>
        <w:t>Testing in TRIDENT-1</w:t>
      </w:r>
      <w:r w:rsidR="0097561B">
        <w:t>,</w:t>
      </w:r>
      <w:r>
        <w:t xml:space="preserve"> the pivotal trial submitted in the current application for registration of </w:t>
      </w:r>
      <w:proofErr w:type="spellStart"/>
      <w:r>
        <w:t>repotrectinib</w:t>
      </w:r>
      <w:proofErr w:type="spellEnd"/>
      <w:r w:rsidR="0097561B">
        <w:t xml:space="preserve">, </w:t>
      </w:r>
      <w:r>
        <w:t xml:space="preserve">used a variety of local testing approaches.  Standard of care ROS1 testing in Australia is highly likely to be comparable to the testing used in the trial and is adequate to fulfil the need for companion testing for the proposed usage.  Therefore, there is no need to require a specific plan regarding companion testing from the </w:t>
      </w:r>
      <w:r w:rsidR="009526AA">
        <w:t>Sponsor</w:t>
      </w:r>
      <w:r>
        <w:t xml:space="preserve"> for </w:t>
      </w:r>
      <w:proofErr w:type="spellStart"/>
      <w:r>
        <w:t>repotrectinib</w:t>
      </w:r>
      <w:proofErr w:type="spellEnd"/>
      <w:r>
        <w:t>.</w:t>
      </w:r>
    </w:p>
    <w:p w14:paraId="659FFE8B" w14:textId="18A04795" w:rsidR="00DE6B58" w:rsidRPr="003C2CBD" w:rsidRDefault="00DE6B58" w:rsidP="00DE6B58">
      <w:r>
        <w:t>Twenty-four different ROS1 fusion partner genes have been described in NSCLC, all of which retain the entire ROS1 kinase domain.</w:t>
      </w:r>
      <w:r w:rsidR="00AC204A">
        <w:rPr>
          <w:rStyle w:val="FootnoteReference"/>
        </w:rPr>
        <w:footnoteReference w:id="23"/>
      </w:r>
      <w:r>
        <w:t xml:space="preserve">  Retention of this intact kinase domain appears to be sufficient to drive oncogenesis in any fusion gene product, regardless of fusion gene partner.</w:t>
      </w:r>
      <w:r w:rsidR="00AF635D">
        <w:rPr>
          <w:rStyle w:val="FootnoteReference"/>
        </w:rPr>
        <w:footnoteReference w:id="24"/>
      </w:r>
      <w:r w:rsidR="006402E6" w:rsidRPr="000408C2">
        <w:rPr>
          <w:vertAlign w:val="superscript"/>
        </w:rPr>
        <w:t>,</w:t>
      </w:r>
      <w:r w:rsidR="000408C2">
        <w:rPr>
          <w:rStyle w:val="FootnoteReference"/>
        </w:rPr>
        <w:footnoteReference w:id="25"/>
      </w:r>
      <w:r>
        <w:t xml:space="preserve">    However, different fusion partner genes may result in different subcellular localization of the fusion product,</w:t>
      </w:r>
      <w:r w:rsidR="00767DAA">
        <w:rPr>
          <w:rStyle w:val="FootnoteReference"/>
        </w:rPr>
        <w:footnoteReference w:id="26"/>
      </w:r>
      <w:r>
        <w:t xml:space="preserve">  and could predict different responsiveness to </w:t>
      </w:r>
      <w:r w:rsidR="006E3419">
        <w:t>tyrosine kinase inhibitor (</w:t>
      </w:r>
      <w:r>
        <w:t>TKI</w:t>
      </w:r>
      <w:r w:rsidR="006E3419">
        <w:t>)</w:t>
      </w:r>
      <w:r>
        <w:t xml:space="preserve"> therapy or clinical behaviour such as predilection for central nervous system metastasis.</w:t>
      </w:r>
      <w:r w:rsidR="0055546D">
        <w:rPr>
          <w:rStyle w:val="FootnoteReference"/>
        </w:rPr>
        <w:footnoteReference w:id="27"/>
      </w:r>
    </w:p>
    <w:p w14:paraId="255E083A" w14:textId="77777777" w:rsidR="00CB6813" w:rsidRDefault="00CB6813" w:rsidP="00CB6813">
      <w:pPr>
        <w:pStyle w:val="Heading4"/>
      </w:pPr>
      <w:bookmarkStart w:id="18" w:name="_Toc219813774"/>
      <w:r>
        <w:t>Current treatment options</w:t>
      </w:r>
      <w:bookmarkEnd w:id="18"/>
    </w:p>
    <w:p w14:paraId="38126F44" w14:textId="77777777" w:rsidR="00B67020" w:rsidRDefault="00406808" w:rsidP="00406808">
      <w:r>
        <w:t>Selection of a first line therapy for advanced (metastatic or locally advanced, inoperable) NSCLC crucially relies on testing for actionable driver mutations.</w:t>
      </w:r>
      <w:r w:rsidR="008B7ACB">
        <w:rPr>
          <w:rStyle w:val="FootnoteReference"/>
        </w:rPr>
        <w:footnoteReference w:id="28"/>
      </w:r>
      <w:r>
        <w:t xml:space="preserve"> </w:t>
      </w:r>
    </w:p>
    <w:p w14:paraId="6EE8FDAD" w14:textId="6D001AD6" w:rsidR="00406808" w:rsidRDefault="00406808" w:rsidP="00406808">
      <w:r>
        <w:lastRenderedPageBreak/>
        <w:t>In their absence, standard treatment is immunotherapy with a checkpoint inhibitor (unless contraindicated), with or without platinum-based chemotherapy depending on PD-L1 expression. However, there is currently very little evidence to support the use of combination immunotherapy and chemotherapy in ROS1-rearranged tumours.</w:t>
      </w:r>
      <w:r w:rsidR="002D0726">
        <w:rPr>
          <w:rStyle w:val="FootnoteReference"/>
        </w:rPr>
        <w:footnoteReference w:id="29"/>
      </w:r>
      <w:r>
        <w:t xml:space="preserve">  They tend to show low tumour mutational burden and are unlikely to respond to immunotherapy as a monotherapy.</w:t>
      </w:r>
      <w:r w:rsidR="006B54BC">
        <w:rPr>
          <w:rStyle w:val="FootnoteReference"/>
        </w:rPr>
        <w:footnoteReference w:id="30"/>
      </w:r>
      <w:r>
        <w:t xml:space="preserve"> </w:t>
      </w:r>
    </w:p>
    <w:p w14:paraId="7B58D11A" w14:textId="5EA7D0CB" w:rsidR="00406808" w:rsidRDefault="00406808" w:rsidP="00406808">
      <w:r>
        <w:t xml:space="preserve">The ESMO and NCCN guidelines for ROS1-rearranged NSCLC both recommend crizotinib, </w:t>
      </w:r>
      <w:proofErr w:type="spellStart"/>
      <w:r>
        <w:t>entrectinib</w:t>
      </w:r>
      <w:proofErr w:type="spellEnd"/>
      <w:r>
        <w:t xml:space="preserve"> or </w:t>
      </w:r>
      <w:proofErr w:type="spellStart"/>
      <w:r>
        <w:t>repotrectinib</w:t>
      </w:r>
      <w:proofErr w:type="spellEnd"/>
      <w:r>
        <w:t xml:space="preserve"> as preferred first line therapy for the treatment of ROS1-positive (rearranged) NSCLC, followed by </w:t>
      </w:r>
      <w:proofErr w:type="spellStart"/>
      <w:r>
        <w:t>repotrectinib</w:t>
      </w:r>
      <w:proofErr w:type="spellEnd"/>
      <w:r>
        <w:t xml:space="preserve"> or </w:t>
      </w:r>
      <w:proofErr w:type="spellStart"/>
      <w:r>
        <w:t>lorlatinib</w:t>
      </w:r>
      <w:proofErr w:type="spellEnd"/>
      <w:r>
        <w:t xml:space="preserve"> (if not received first line), or platinum-based chemotherapy as subsequent therapy options.</w:t>
      </w:r>
      <w:r w:rsidR="00A15FB3">
        <w:rPr>
          <w:rStyle w:val="FootnoteReference"/>
        </w:rPr>
        <w:footnoteReference w:id="31"/>
      </w:r>
      <w:r w:rsidR="00A15FB3" w:rsidRPr="002E7F30">
        <w:rPr>
          <w:vertAlign w:val="superscript"/>
        </w:rPr>
        <w:t>,</w:t>
      </w:r>
      <w:r w:rsidR="002E7F30">
        <w:rPr>
          <w:rStyle w:val="FootnoteReference"/>
        </w:rPr>
        <w:footnoteReference w:id="32"/>
      </w:r>
      <w:r>
        <w:t xml:space="preserve"> Of these, crizotinib and </w:t>
      </w:r>
      <w:proofErr w:type="spellStart"/>
      <w:r>
        <w:t>entrectinib</w:t>
      </w:r>
      <w:proofErr w:type="spellEnd"/>
      <w:r>
        <w:t xml:space="preserve"> (and chemotherapy) are approved in Australia.</w:t>
      </w:r>
      <w:r w:rsidR="006C0B4E">
        <w:t xml:space="preserve"> </w:t>
      </w:r>
      <w:proofErr w:type="spellStart"/>
      <w:r>
        <w:t>Lorlatinib</w:t>
      </w:r>
      <w:proofErr w:type="spellEnd"/>
      <w:r>
        <w:t xml:space="preserve"> is registered, but not for a ROS1-positive indication.  </w:t>
      </w:r>
    </w:p>
    <w:p w14:paraId="0D71626E" w14:textId="77777777" w:rsidR="006A5629" w:rsidRDefault="00406808" w:rsidP="00406808">
      <w:r>
        <w:t xml:space="preserve">In Australia, </w:t>
      </w:r>
      <w:proofErr w:type="spellStart"/>
      <w:r>
        <w:t>entrectinib</w:t>
      </w:r>
      <w:proofErr w:type="spellEnd"/>
      <w:r>
        <w:t xml:space="preserve"> can be used for patients with CNS-only progression on crizotinib, but otherwise, for all patients who have progressed on an initial ROS1 TKI (i.e. all patients who start one), pemetrexed-based chemotherapy remains standard of care. Chemotherapy is certainly an active treatment option, and pemetrexed seems to have </w:t>
      </w:r>
      <w:proofErr w:type="gramStart"/>
      <w:r>
        <w:t>particular efficacy</w:t>
      </w:r>
      <w:proofErr w:type="gramEnd"/>
      <w:r>
        <w:t xml:space="preserve"> for ROS1-rearranged NSCLC:</w:t>
      </w:r>
      <w:r w:rsidR="009A3EE6">
        <w:rPr>
          <w:rStyle w:val="FootnoteReference"/>
        </w:rPr>
        <w:footnoteReference w:id="33"/>
      </w:r>
    </w:p>
    <w:p w14:paraId="5D5D26B9" w14:textId="49EE796A" w:rsidR="00B9510C" w:rsidRDefault="0099373B" w:rsidP="008710FD">
      <w:pPr>
        <w:ind w:left="720"/>
      </w:pPr>
      <w:r w:rsidRPr="0099373B">
        <w:t>The activity of chemotherapy has been systematically studied in patients with ROS1 fusion-positive NSCLCs. Pemetrexed, as monotherapy or in combination with a platinum-based agent (with or without bevacizumab), was predominantly used in these studies; objective response rates (ORRs) of 45–60% and median progression-free survival (PFS) durations of 5–23 months were observed with such treatments</w:t>
      </w:r>
      <w:r>
        <w:t>.</w:t>
      </w:r>
      <w:r w:rsidR="0097476A">
        <w:rPr>
          <w:rStyle w:val="FootnoteReference"/>
        </w:rPr>
        <w:footnoteReference w:id="34"/>
      </w:r>
      <w:r w:rsidR="00406808">
        <w:t xml:space="preserve"> </w:t>
      </w:r>
    </w:p>
    <w:p w14:paraId="506DB19B" w14:textId="3643505B" w:rsidR="00B9510C" w:rsidRDefault="00B9510C" w:rsidP="00B9510C">
      <w:r>
        <w:t xml:space="preserve">In one study, amongst 19 patients with ROS1-positive NSCLC (5 of whom had previously received crizotinib), an </w:t>
      </w:r>
      <w:r w:rsidR="001600D6" w:rsidRPr="001600D6">
        <w:t>objective response rates (ORRs)</w:t>
      </w:r>
      <w:r w:rsidR="001600D6">
        <w:t xml:space="preserve"> </w:t>
      </w:r>
      <w:r>
        <w:t>of 58% and a median PFS duration of 77.5 months was reported with pemetrexed-containing therapies, highlighting the difficulty with interpreting single arm time-to-event data.</w:t>
      </w:r>
    </w:p>
    <w:p w14:paraId="1B4372E8" w14:textId="2245D17C" w:rsidR="00B9510C" w:rsidRDefault="00B9510C" w:rsidP="00B9510C">
      <w:r>
        <w:t xml:space="preserve">Crizotinib and </w:t>
      </w:r>
      <w:proofErr w:type="spellStart"/>
      <w:r>
        <w:t>entrectinib</w:t>
      </w:r>
      <w:proofErr w:type="spellEnd"/>
      <w:r>
        <w:t xml:space="preserve"> were both approved based on clinically meaningful response rates and durations from single arm trials (Table </w:t>
      </w:r>
      <w:r w:rsidR="004639DA">
        <w:t>1</w:t>
      </w:r>
      <w:r>
        <w:t xml:space="preserve">). </w:t>
      </w:r>
    </w:p>
    <w:p w14:paraId="3913346B" w14:textId="753B8D72" w:rsidR="00F74F55" w:rsidRDefault="00B9510C" w:rsidP="00EF64E5">
      <w:pPr>
        <w:pStyle w:val="TableTitle"/>
      </w:pPr>
      <w:r>
        <w:lastRenderedPageBreak/>
        <w:t xml:space="preserve">Table </w:t>
      </w:r>
      <w:r w:rsidR="004639DA">
        <w:t>1</w:t>
      </w:r>
      <w:r>
        <w:t xml:space="preserve">. Efficacy data for existing treatment options </w:t>
      </w:r>
      <w:r w:rsidR="00821E93">
        <w:t>(compiled from the P</w:t>
      </w:r>
      <w:r>
        <w:t>roduct</w:t>
      </w:r>
      <w:r w:rsidR="00821E93">
        <w:t xml:space="preserve"> I</w:t>
      </w:r>
      <w:r>
        <w:t>nformation</w:t>
      </w:r>
      <w:r w:rsidR="00EF64E5">
        <w:t xml:space="preserve"> documents </w:t>
      </w:r>
      <w:r>
        <w:t>and literature publications</w:t>
      </w:r>
      <w:r w:rsidR="00EF64E5">
        <w:t>)</w:t>
      </w:r>
      <w:r>
        <w:t xml:space="preserve"> </w:t>
      </w:r>
    </w:p>
    <w:tbl>
      <w:tblPr>
        <w:tblStyle w:val="TableTGAblue2023"/>
        <w:tblW w:w="0" w:type="auto"/>
        <w:tblLook w:val="04A0" w:firstRow="1" w:lastRow="0" w:firstColumn="1" w:lastColumn="0" w:noHBand="0" w:noVBand="1"/>
      </w:tblPr>
      <w:tblGrid>
        <w:gridCol w:w="2511"/>
        <w:gridCol w:w="2145"/>
        <w:gridCol w:w="2197"/>
        <w:gridCol w:w="2197"/>
      </w:tblGrid>
      <w:tr w:rsidR="00F74F55" w:rsidRPr="001F7B79" w14:paraId="3D732DC9" w14:textId="77777777" w:rsidTr="00B670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1" w:type="dxa"/>
          </w:tcPr>
          <w:p w14:paraId="5261B8A3" w14:textId="77777777" w:rsidR="00F74F55" w:rsidRPr="00E640E0" w:rsidRDefault="00F74F55" w:rsidP="00B67020"/>
        </w:tc>
        <w:tc>
          <w:tcPr>
            <w:tcW w:w="2145" w:type="dxa"/>
          </w:tcPr>
          <w:p w14:paraId="09F52786" w14:textId="10F60C28" w:rsidR="00F74F55" w:rsidRPr="00E640E0" w:rsidRDefault="00F74F55" w:rsidP="00B67020">
            <w:pPr>
              <w:cnfStyle w:val="100000000000" w:firstRow="1" w:lastRow="0" w:firstColumn="0" w:lastColumn="0" w:oddVBand="0" w:evenVBand="0" w:oddHBand="0" w:evenHBand="0" w:firstRowFirstColumn="0" w:firstRowLastColumn="0" w:lastRowFirstColumn="0" w:lastRowLastColumn="0"/>
            </w:pPr>
            <w:r w:rsidRPr="00E640E0">
              <w:rPr>
                <w:bCs/>
              </w:rPr>
              <w:t>Crizotinib</w:t>
            </w:r>
            <w:r w:rsidR="004D3702">
              <w:rPr>
                <w:rStyle w:val="FootnoteReference"/>
                <w:bCs/>
              </w:rPr>
              <w:footnoteReference w:id="35"/>
            </w:r>
            <w:r w:rsidRPr="00E640E0">
              <w:t xml:space="preserve"> </w:t>
            </w:r>
            <w:r w:rsidRPr="00E640E0">
              <w:br/>
              <w:t>(n=53)</w:t>
            </w:r>
            <w:r w:rsidRPr="00E640E0">
              <w:br/>
            </w:r>
            <w:r w:rsidRPr="00E640E0">
              <w:rPr>
                <w:i/>
                <w:iCs/>
              </w:rPr>
              <w:t>Study 1001</w:t>
            </w:r>
          </w:p>
        </w:tc>
        <w:tc>
          <w:tcPr>
            <w:tcW w:w="2197" w:type="dxa"/>
          </w:tcPr>
          <w:p w14:paraId="1CF9FF25" w14:textId="11C6335A" w:rsidR="00F74F55" w:rsidRPr="00E640E0" w:rsidRDefault="00F74F55" w:rsidP="00B67020">
            <w:pPr>
              <w:cnfStyle w:val="100000000000" w:firstRow="1" w:lastRow="0" w:firstColumn="0" w:lastColumn="0" w:oddVBand="0" w:evenVBand="0" w:oddHBand="0" w:evenHBand="0" w:firstRowFirstColumn="0" w:firstRowLastColumn="0" w:lastRowFirstColumn="0" w:lastRowLastColumn="0"/>
            </w:pPr>
            <w:proofErr w:type="spellStart"/>
            <w:r w:rsidRPr="00E640E0">
              <w:rPr>
                <w:bCs/>
              </w:rPr>
              <w:t>Entrectinib</w:t>
            </w:r>
            <w:proofErr w:type="spellEnd"/>
            <w:r w:rsidR="00412E98">
              <w:rPr>
                <w:rStyle w:val="FootnoteReference"/>
                <w:bCs/>
              </w:rPr>
              <w:footnoteReference w:id="36"/>
            </w:r>
            <w:r w:rsidRPr="00E640E0">
              <w:t xml:space="preserve"> </w:t>
            </w:r>
            <w:r w:rsidRPr="00E640E0">
              <w:br/>
              <w:t>(n=92)</w:t>
            </w:r>
            <w:r w:rsidRPr="00E640E0">
              <w:br/>
            </w:r>
            <w:r w:rsidRPr="00E640E0">
              <w:rPr>
                <w:i/>
                <w:iCs/>
              </w:rPr>
              <w:t>ALKA/STARTRK-1/2</w:t>
            </w:r>
          </w:p>
        </w:tc>
        <w:tc>
          <w:tcPr>
            <w:tcW w:w="2197" w:type="dxa"/>
          </w:tcPr>
          <w:p w14:paraId="3DBE0283" w14:textId="144204B7" w:rsidR="00F74F55" w:rsidRPr="00E640E0" w:rsidRDefault="00F74F55" w:rsidP="00B67020">
            <w:pPr>
              <w:cnfStyle w:val="100000000000" w:firstRow="1" w:lastRow="0" w:firstColumn="0" w:lastColumn="0" w:oddVBand="0" w:evenVBand="0" w:oddHBand="0" w:evenHBand="0" w:firstRowFirstColumn="0" w:firstRowLastColumn="0" w:lastRowFirstColumn="0" w:lastRowLastColumn="0"/>
              <w:rPr>
                <w:b w:val="0"/>
                <w:bCs/>
              </w:rPr>
            </w:pPr>
            <w:proofErr w:type="spellStart"/>
            <w:r w:rsidRPr="00E640E0">
              <w:rPr>
                <w:bCs/>
              </w:rPr>
              <w:t>Entrectinib</w:t>
            </w:r>
            <w:proofErr w:type="spellEnd"/>
            <w:r w:rsidR="005E35B8">
              <w:rPr>
                <w:rStyle w:val="FootnoteReference"/>
                <w:bCs/>
              </w:rPr>
              <w:footnoteReference w:id="37"/>
            </w:r>
            <w:r w:rsidRPr="00E640E0">
              <w:rPr>
                <w:bCs/>
              </w:rPr>
              <w:br/>
            </w:r>
            <w:r w:rsidRPr="00E640E0">
              <w:t>(n=168)</w:t>
            </w:r>
            <w:r w:rsidRPr="00E640E0">
              <w:rPr>
                <w:bCs/>
              </w:rPr>
              <w:br/>
            </w:r>
            <w:r w:rsidRPr="00E640E0">
              <w:rPr>
                <w:i/>
                <w:iCs/>
              </w:rPr>
              <w:t>ALKA/STARTRK-1/2</w:t>
            </w:r>
          </w:p>
        </w:tc>
      </w:tr>
      <w:tr w:rsidR="00F74F55" w:rsidRPr="001F7B79" w14:paraId="42468B75" w14:textId="77777777" w:rsidTr="00B67020">
        <w:tc>
          <w:tcPr>
            <w:cnfStyle w:val="001000000000" w:firstRow="0" w:lastRow="0" w:firstColumn="1" w:lastColumn="0" w:oddVBand="0" w:evenVBand="0" w:oddHBand="0" w:evenHBand="0" w:firstRowFirstColumn="0" w:firstRowLastColumn="0" w:lastRowFirstColumn="0" w:lastRowLastColumn="0"/>
            <w:tcW w:w="2511" w:type="dxa"/>
          </w:tcPr>
          <w:p w14:paraId="06B05BD4" w14:textId="77777777" w:rsidR="00F74F55" w:rsidRPr="001F7B79" w:rsidRDefault="00F74F55" w:rsidP="00B67020">
            <w:r w:rsidRPr="001F7B79">
              <w:t>Objective response rate (95% CI)</w:t>
            </w:r>
          </w:p>
        </w:tc>
        <w:tc>
          <w:tcPr>
            <w:tcW w:w="2145" w:type="dxa"/>
          </w:tcPr>
          <w:p w14:paraId="36BF8565" w14:textId="77777777" w:rsidR="00F74F55" w:rsidRPr="001F7B79" w:rsidRDefault="00F74F55" w:rsidP="00B67020">
            <w:pPr>
              <w:cnfStyle w:val="000000000000" w:firstRow="0" w:lastRow="0" w:firstColumn="0" w:lastColumn="0" w:oddVBand="0" w:evenVBand="0" w:oddHBand="0" w:evenHBand="0" w:firstRowFirstColumn="0" w:firstRowLastColumn="0" w:lastRowFirstColumn="0" w:lastRowLastColumn="0"/>
            </w:pPr>
            <w:r w:rsidRPr="001F7B79">
              <w:t>72</w:t>
            </w:r>
            <w:r>
              <w:t>%</w:t>
            </w:r>
            <w:r w:rsidRPr="001F7B79">
              <w:t xml:space="preserve"> (58, 83)</w:t>
            </w:r>
          </w:p>
        </w:tc>
        <w:tc>
          <w:tcPr>
            <w:tcW w:w="2197" w:type="dxa"/>
          </w:tcPr>
          <w:p w14:paraId="6C6D4210" w14:textId="77777777" w:rsidR="00F74F55" w:rsidRPr="001F7B79" w:rsidRDefault="00F74F55" w:rsidP="00B67020">
            <w:pPr>
              <w:cnfStyle w:val="000000000000" w:firstRow="0" w:lastRow="0" w:firstColumn="0" w:lastColumn="0" w:oddVBand="0" w:evenVBand="0" w:oddHBand="0" w:evenHBand="0" w:firstRowFirstColumn="0" w:firstRowLastColumn="0" w:lastRowFirstColumn="0" w:lastRowLastColumn="0"/>
            </w:pPr>
            <w:r w:rsidRPr="00C723D0">
              <w:t>74% (64, 83)</w:t>
            </w:r>
          </w:p>
        </w:tc>
        <w:tc>
          <w:tcPr>
            <w:tcW w:w="2197" w:type="dxa"/>
          </w:tcPr>
          <w:p w14:paraId="368C5FDE" w14:textId="77777777" w:rsidR="00F74F55" w:rsidRPr="00C723D0" w:rsidRDefault="00F74F55" w:rsidP="00B67020">
            <w:pPr>
              <w:cnfStyle w:val="000000000000" w:firstRow="0" w:lastRow="0" w:firstColumn="0" w:lastColumn="0" w:oddVBand="0" w:evenVBand="0" w:oddHBand="0" w:evenHBand="0" w:firstRowFirstColumn="0" w:firstRowLastColumn="0" w:lastRowFirstColumn="0" w:lastRowLastColumn="0"/>
            </w:pPr>
            <w:r>
              <w:t>68% (</w:t>
            </w:r>
            <w:r w:rsidRPr="00E60BD6">
              <w:t>60</w:t>
            </w:r>
            <w:r>
              <w:t xml:space="preserve">, </w:t>
            </w:r>
            <w:r w:rsidRPr="00E60BD6">
              <w:t>7</w:t>
            </w:r>
            <w:r>
              <w:t>5)</w:t>
            </w:r>
          </w:p>
        </w:tc>
      </w:tr>
      <w:tr w:rsidR="00F74F55" w:rsidRPr="001F7B79" w14:paraId="71DC6B4E" w14:textId="77777777" w:rsidTr="00B67020">
        <w:tc>
          <w:tcPr>
            <w:cnfStyle w:val="001000000000" w:firstRow="0" w:lastRow="0" w:firstColumn="1" w:lastColumn="0" w:oddVBand="0" w:evenVBand="0" w:oddHBand="0" w:evenHBand="0" w:firstRowFirstColumn="0" w:firstRowLastColumn="0" w:lastRowFirstColumn="0" w:lastRowLastColumn="0"/>
            <w:tcW w:w="2511" w:type="dxa"/>
          </w:tcPr>
          <w:p w14:paraId="2760F01B" w14:textId="77777777" w:rsidR="00F74F55" w:rsidRPr="001F7B79" w:rsidRDefault="00F74F55" w:rsidP="00B67020">
            <w:r w:rsidRPr="001F7B79">
              <w:t>Duration of response</w:t>
            </w:r>
            <w:r>
              <w:t>, median (95% CI) in months</w:t>
            </w:r>
          </w:p>
        </w:tc>
        <w:tc>
          <w:tcPr>
            <w:tcW w:w="2145" w:type="dxa"/>
          </w:tcPr>
          <w:p w14:paraId="4CE8052A" w14:textId="77777777" w:rsidR="00F74F55" w:rsidRPr="001F7B79" w:rsidRDefault="00F74F55" w:rsidP="00B67020">
            <w:pPr>
              <w:cnfStyle w:val="000000000000" w:firstRow="0" w:lastRow="0" w:firstColumn="0" w:lastColumn="0" w:oddVBand="0" w:evenVBand="0" w:oddHBand="0" w:evenHBand="0" w:firstRowFirstColumn="0" w:firstRowLastColumn="0" w:lastRowFirstColumn="0" w:lastRowLastColumn="0"/>
            </w:pPr>
            <w:r w:rsidRPr="00940286">
              <w:t>24.7 (15.2, 45.3)</w:t>
            </w:r>
          </w:p>
        </w:tc>
        <w:tc>
          <w:tcPr>
            <w:tcW w:w="2197" w:type="dxa"/>
          </w:tcPr>
          <w:p w14:paraId="7C1AEF6D" w14:textId="77777777" w:rsidR="00F74F55" w:rsidRPr="001F7B79" w:rsidRDefault="00F74F55" w:rsidP="00B67020">
            <w:pPr>
              <w:cnfStyle w:val="000000000000" w:firstRow="0" w:lastRow="0" w:firstColumn="0" w:lastColumn="0" w:oddVBand="0" w:evenVBand="0" w:oddHBand="0" w:evenHBand="0" w:firstRowFirstColumn="0" w:firstRowLastColumn="0" w:lastRowFirstColumn="0" w:lastRowLastColumn="0"/>
            </w:pPr>
            <w:r>
              <w:t>NR</w:t>
            </w:r>
          </w:p>
        </w:tc>
        <w:tc>
          <w:tcPr>
            <w:tcW w:w="2197" w:type="dxa"/>
          </w:tcPr>
          <w:p w14:paraId="30601A44" w14:textId="77777777" w:rsidR="00F74F55" w:rsidRDefault="00F74F55" w:rsidP="00B67020">
            <w:pPr>
              <w:cnfStyle w:val="000000000000" w:firstRow="0" w:lastRow="0" w:firstColumn="0" w:lastColumn="0" w:oddVBand="0" w:evenVBand="0" w:oddHBand="0" w:evenHBand="0" w:firstRowFirstColumn="0" w:firstRowLastColumn="0" w:lastRowFirstColumn="0" w:lastRowLastColumn="0"/>
            </w:pPr>
            <w:r w:rsidRPr="00715869">
              <w:t>20.5 (14.8</w:t>
            </w:r>
            <w:r>
              <w:t xml:space="preserve">, </w:t>
            </w:r>
            <w:r w:rsidRPr="00715869">
              <w:t>34.8)</w:t>
            </w:r>
          </w:p>
        </w:tc>
      </w:tr>
    </w:tbl>
    <w:p w14:paraId="6A7944A0" w14:textId="77777777" w:rsidR="00136657" w:rsidRDefault="00136657" w:rsidP="00136657"/>
    <w:p w14:paraId="106D830D" w14:textId="49194BAF" w:rsidR="00136657" w:rsidRDefault="00136657" w:rsidP="00136657">
      <w:r>
        <w:t xml:space="preserve">The crizotinib results were assessed per investigator while </w:t>
      </w:r>
      <w:proofErr w:type="spellStart"/>
      <w:r>
        <w:t>entrectinib</w:t>
      </w:r>
      <w:proofErr w:type="spellEnd"/>
      <w:r>
        <w:t xml:space="preserve"> efficacy was assessed by blinded independent radiological review.</w:t>
      </w:r>
    </w:p>
    <w:p w14:paraId="54494404" w14:textId="003E9C4D" w:rsidR="00136657" w:rsidRDefault="00136657" w:rsidP="00136657">
      <w:r>
        <w:t>The approval of crizotinib was based on the clinical significance of the single arm findings.</w:t>
      </w:r>
      <w:r w:rsidR="008F23C2">
        <w:rPr>
          <w:rStyle w:val="FootnoteReference"/>
        </w:rPr>
        <w:footnoteReference w:id="38"/>
      </w:r>
      <w:r>
        <w:t xml:space="preserve">  A randomised study against chemotherapy (which was standard first-line treatment for NSCLC at that time) would not have been feasible, based on a loss of genuine equipoise due to the magnitude of response rate seen with crizotinib in the single arm studies, contextualised by the known natural history of the disease in the absence of treatment (which was incompatible with the observed response rate), and in line with strong mechanistic rationale, supported by non-clinical data. As it was first in class, no patient in the crizotinib study (PROFILE 1001) had previously received anti-ROS1 targeted therapy previously. Response rates were reasonably similar amongst patients who had received no prior systemic therapy (6/7 patients: 86% [42, 100]) and those who had received one or more prior systemic lines of therapy (32/46: 70% [54, 82]) according to supplementary materials published for the study.</w:t>
      </w:r>
      <w:r w:rsidR="008D6C4C">
        <w:rPr>
          <w:rStyle w:val="FootnoteReference"/>
        </w:rPr>
        <w:footnoteReference w:id="39"/>
      </w:r>
    </w:p>
    <w:p w14:paraId="19C3336F" w14:textId="6182B4D8" w:rsidR="00136657" w:rsidRDefault="00136657" w:rsidP="00136657">
      <w:r>
        <w:t xml:space="preserve">For </w:t>
      </w:r>
      <w:proofErr w:type="spellStart"/>
      <w:r>
        <w:t>entrectinib</w:t>
      </w:r>
      <w:proofErr w:type="spellEnd"/>
      <w:r>
        <w:t xml:space="preserve">, whilst crizotinib had become a valid comparator, the evidence of intracranial activity supported approval. Intracranial responses to treatment with </w:t>
      </w:r>
      <w:proofErr w:type="spellStart"/>
      <w:r>
        <w:t>entrectinib</w:t>
      </w:r>
      <w:proofErr w:type="spellEnd"/>
      <w:r>
        <w:t xml:space="preserve"> for ROS1 positive NSCLC were seen in 7/10 patients in the dataset reviewed by </w:t>
      </w:r>
      <w:r w:rsidR="00186903">
        <w:t xml:space="preserve">the </w:t>
      </w:r>
      <w:r>
        <w:t>TGA,</w:t>
      </w:r>
      <w:r w:rsidR="0087187C">
        <w:rPr>
          <w:rStyle w:val="FootnoteReference"/>
        </w:rPr>
        <w:footnoteReference w:id="40"/>
      </w:r>
      <w:r>
        <w:t xml:space="preserve"> and 19/24 (79%) of patients in the dataset reviewed by </w:t>
      </w:r>
      <w:r w:rsidR="00446D19">
        <w:t xml:space="preserve">the </w:t>
      </w:r>
      <w:r>
        <w:t>E</w:t>
      </w:r>
      <w:r w:rsidR="006D2FC2">
        <w:t>uropean Medicines Agency (E</w:t>
      </w:r>
      <w:r>
        <w:t>MA</w:t>
      </w:r>
      <w:r w:rsidR="006D2FC2">
        <w:t>)</w:t>
      </w:r>
      <w:r>
        <w:t>.</w:t>
      </w:r>
      <w:r w:rsidR="003754FB">
        <w:rPr>
          <w:rStyle w:val="FootnoteReference"/>
        </w:rPr>
        <w:footnoteReference w:id="41"/>
      </w:r>
      <w:r>
        <w:t xml:space="preserve"> While </w:t>
      </w:r>
      <w:proofErr w:type="spellStart"/>
      <w:r>
        <w:t>entrectinib</w:t>
      </w:r>
      <w:proofErr w:type="spellEnd"/>
      <w:r>
        <w:t xml:space="preserve"> can cross the blood-brain barrier, crizotinib is poorly CNS penetrant, and the CNS is a common site of progression on crizotinib.  Whilst this was adequate evidence to justify regulatory approval despite the absence of randomised data, the clinical relevance of this in terms of time-to-event outcomes remains under study.</w:t>
      </w:r>
      <w:r w:rsidR="007343DF">
        <w:rPr>
          <w:rStyle w:val="FootnoteReference"/>
        </w:rPr>
        <w:footnoteReference w:id="42"/>
      </w:r>
      <w:r>
        <w:t xml:space="preserve">   </w:t>
      </w:r>
    </w:p>
    <w:p w14:paraId="7098E4F7" w14:textId="4DEA08FF" w:rsidR="00136657" w:rsidRDefault="00136657" w:rsidP="00136657">
      <w:r>
        <w:lastRenderedPageBreak/>
        <w:t xml:space="preserve">Progression does eventually inevitably occur despite treatment with crizotinib and/or </w:t>
      </w:r>
      <w:proofErr w:type="spellStart"/>
      <w:r>
        <w:t>entrectinib</w:t>
      </w:r>
      <w:proofErr w:type="spellEnd"/>
      <w:r>
        <w:t>.  Preclinical and clinical data describes secondary point mutations within the ROS1 kinase domain in 50−60% of crizotinib resistant tumours.  These mutations include G2032R</w:t>
      </w:r>
      <w:r w:rsidR="00FE2236">
        <w:t>:</w:t>
      </w:r>
      <w:r w:rsidR="00FE2236">
        <w:rPr>
          <w:rStyle w:val="FootnoteReference"/>
        </w:rPr>
        <w:footnoteReference w:id="43"/>
      </w:r>
    </w:p>
    <w:p w14:paraId="3494C80D" w14:textId="1E8142DB" w:rsidR="00136657" w:rsidRPr="005D08E1" w:rsidRDefault="00136657" w:rsidP="00B67020">
      <w:pPr>
        <w:ind w:left="720"/>
      </w:pPr>
      <w:r w:rsidRPr="005D08E1">
        <w:t xml:space="preserve">As more ROS1 inhibitors are developed, further research will be critical to defining the role of each TKI in the clinic. Paramount to addressing this question will be the rigorous evaluation of each agent’s CNS activity, </w:t>
      </w:r>
      <w:r w:rsidR="005B6DC2" w:rsidRPr="005D08E1">
        <w:t>p</w:t>
      </w:r>
      <w:r w:rsidRPr="005D08E1">
        <w:t>otency and clinical activity against resistant ROS1 mutant kinases, particularly G2032R, and toxicity profile. Current data suggest that G2032R is the most frequent ROS1 resistance mutation emerging post-crizotinib. Therefore, development of agents that effectively target the G2032R mutation and are safe/tolerable in patients should be of highest priority in the ROS1 field.</w:t>
      </w:r>
    </w:p>
    <w:p w14:paraId="16502BED" w14:textId="1CB1F0CD" w:rsidR="003B3698" w:rsidRDefault="00136657" w:rsidP="00136657">
      <w:proofErr w:type="spellStart"/>
      <w:r>
        <w:t>Entrectinib</w:t>
      </w:r>
      <w:proofErr w:type="spellEnd"/>
      <w:r>
        <w:t xml:space="preserve"> did not show activity against the L2026M or G2032R resistance mutations in preclinical </w:t>
      </w:r>
      <w:proofErr w:type="gramStart"/>
      <w:r>
        <w:t>study,  or</w:t>
      </w:r>
      <w:proofErr w:type="gramEnd"/>
      <w:r>
        <w:t xml:space="preserve"> clinical activity in patients who received it after prior crizotinib in the ALKA or STARTRK-1 </w:t>
      </w:r>
      <w:proofErr w:type="spellStart"/>
      <w:r>
        <w:t>entrectinib</w:t>
      </w:r>
      <w:proofErr w:type="spellEnd"/>
      <w:r>
        <w:t xml:space="preserve"> studies (n=18; ORR 11%).</w:t>
      </w:r>
      <w:r w:rsidR="003B3698">
        <w:rPr>
          <w:rStyle w:val="FootnoteReference"/>
        </w:rPr>
        <w:footnoteReference w:id="44"/>
      </w:r>
    </w:p>
    <w:p w14:paraId="7621B993" w14:textId="6CE6DE1F" w:rsidR="00136657" w:rsidRDefault="00136657" w:rsidP="00136657">
      <w:r>
        <w:t>Patients in STARTRK-2 could only enrol post crizotinib if they had CNS-only progression.</w:t>
      </w:r>
      <w:r w:rsidR="002F241D">
        <w:rPr>
          <w:rStyle w:val="FootnoteReference"/>
        </w:rPr>
        <w:footnoteReference w:id="45"/>
      </w:r>
      <w:r w:rsidR="008C30CB">
        <w:t xml:space="preserve"> </w:t>
      </w:r>
      <w:r>
        <w:t>There has therefore been a need for development of TKIs with intracranial activity and activity against ROS1 resistance mutations.</w:t>
      </w:r>
      <w:r w:rsidR="009E2E51">
        <w:rPr>
          <w:rStyle w:val="FootnoteReference"/>
        </w:rPr>
        <w:footnoteReference w:id="46"/>
      </w:r>
    </w:p>
    <w:p w14:paraId="73BA58F3" w14:textId="76FC9F62" w:rsidR="00446F8A" w:rsidRDefault="00136657" w:rsidP="00136657">
      <w:r>
        <w:t xml:space="preserve">Of note, whilst head-to-head data are not currently available, there are ongoing </w:t>
      </w:r>
      <w:r w:rsidR="007524F8">
        <w:t xml:space="preserve">randomised controlled trials </w:t>
      </w:r>
      <w:r>
        <w:t xml:space="preserve">of </w:t>
      </w:r>
      <w:proofErr w:type="spellStart"/>
      <w:r>
        <w:t>entrectinib</w:t>
      </w:r>
      <w:proofErr w:type="spellEnd"/>
      <w:r>
        <w:t xml:space="preserve"> against crizotinib and </w:t>
      </w:r>
      <w:proofErr w:type="spellStart"/>
      <w:r>
        <w:t>repotrectinib</w:t>
      </w:r>
      <w:proofErr w:type="spellEnd"/>
      <w:r>
        <w:t xml:space="preserve"> against crizotinib, which will hopefully address some of these key clinical questions about comparative clinical outcomes and possibly treatment sequencing.</w:t>
      </w:r>
      <w:r w:rsidR="00C22E83">
        <w:rPr>
          <w:rStyle w:val="FootnoteReference"/>
        </w:rPr>
        <w:footnoteReference w:id="47"/>
      </w:r>
      <w:r w:rsidR="00E77DAD" w:rsidRPr="00CF03B9">
        <w:rPr>
          <w:vertAlign w:val="superscript"/>
        </w:rPr>
        <w:t>,</w:t>
      </w:r>
      <w:r w:rsidR="00F32A1E">
        <w:rPr>
          <w:rStyle w:val="FootnoteReference"/>
        </w:rPr>
        <w:footnoteReference w:id="48"/>
      </w:r>
    </w:p>
    <w:p w14:paraId="37C47E09" w14:textId="23E71917" w:rsidR="00CB6813" w:rsidRDefault="00CB6813" w:rsidP="00CB6813">
      <w:pPr>
        <w:pStyle w:val="Heading4"/>
      </w:pPr>
      <w:bookmarkStart w:id="20" w:name="_Toc219813775"/>
      <w:r>
        <w:t>C</w:t>
      </w:r>
      <w:r w:rsidRPr="00DE1344">
        <w:t>linical rational</w:t>
      </w:r>
      <w:r w:rsidR="0025785B">
        <w:t>e</w:t>
      </w:r>
      <w:bookmarkEnd w:id="20"/>
    </w:p>
    <w:p w14:paraId="198F98F5" w14:textId="1F52F7D3" w:rsidR="00FF3092" w:rsidRDefault="00FF3092" w:rsidP="005261DF">
      <w:r>
        <w:t>Repotrectinib is an oral, next-generation, potent, ATP-competitive small-molecule inhibitor of ROS1, TRK, and ALK.  Repotrectinib was rationally designed as a differentiated compact macrocycle to allow for tight binding in the ATP-binding site while also minimizing steric interactions that lead to acquired, on-target resistance mutations.</w:t>
      </w:r>
      <w:r w:rsidR="002B00DD">
        <w:rPr>
          <w:rStyle w:val="FootnoteReference"/>
        </w:rPr>
        <w:footnoteReference w:id="49"/>
      </w:r>
      <w:r w:rsidR="0032584E" w:rsidRPr="008879AB">
        <w:rPr>
          <w:vertAlign w:val="superscript"/>
        </w:rPr>
        <w:t>,</w:t>
      </w:r>
      <w:r w:rsidR="0032584E">
        <w:rPr>
          <w:rStyle w:val="FootnoteReference"/>
        </w:rPr>
        <w:footnoteReference w:id="50"/>
      </w:r>
      <w:r>
        <w:t xml:space="preserve"> To gain high binding affinity, most kinase inhibitors, including crizotinib and </w:t>
      </w:r>
      <w:proofErr w:type="spellStart"/>
      <w:r>
        <w:t>entrectinib</w:t>
      </w:r>
      <w:proofErr w:type="spellEnd"/>
      <w:r>
        <w:t>, are large and have additional</w:t>
      </w:r>
      <w:r w:rsidR="0032584E">
        <w:t xml:space="preserve"> </w:t>
      </w:r>
      <w:r>
        <w:t>interactions with the kinase domain outside the ATP-binding pocket, which make these inhibitors</w:t>
      </w:r>
      <w:r w:rsidR="0032584E">
        <w:t xml:space="preserve"> </w:t>
      </w:r>
      <w:r>
        <w:t xml:space="preserve">vulnerable to acquired resistance mutations such as </w:t>
      </w:r>
      <w:r w:rsidR="0040389A" w:rsidRPr="0040389A">
        <w:t>solvent front mutation</w:t>
      </w:r>
      <w:r w:rsidR="0040389A">
        <w:t>s</w:t>
      </w:r>
      <w:r>
        <w:t xml:space="preserve"> that can sterically block drug</w:t>
      </w:r>
      <w:r w:rsidR="0040389A">
        <w:t xml:space="preserve"> </w:t>
      </w:r>
      <w:r>
        <w:t>binding.</w:t>
      </w:r>
      <w:r w:rsidR="00B61524">
        <w:rPr>
          <w:rStyle w:val="FootnoteReference"/>
        </w:rPr>
        <w:footnoteReference w:id="51"/>
      </w:r>
      <w:r w:rsidR="00CE562C" w:rsidRPr="005261DF">
        <w:rPr>
          <w:vertAlign w:val="superscript"/>
        </w:rPr>
        <w:t>,</w:t>
      </w:r>
      <w:r w:rsidR="00CE562C">
        <w:rPr>
          <w:rStyle w:val="FootnoteReference"/>
        </w:rPr>
        <w:footnoteReference w:id="52"/>
      </w:r>
      <w:r w:rsidR="005261DF">
        <w:rPr>
          <w:vertAlign w:val="superscript"/>
        </w:rPr>
        <w:t xml:space="preserve"> </w:t>
      </w:r>
      <w:r>
        <w:t xml:space="preserve"> </w:t>
      </w:r>
      <w:r w:rsidR="009C2CA5">
        <w:t xml:space="preserve">The </w:t>
      </w:r>
      <w:r w:rsidR="009526AA">
        <w:t>Sponsor</w:t>
      </w:r>
      <w:r w:rsidR="009C2CA5">
        <w:t xml:space="preserve"> proposes that </w:t>
      </w:r>
      <w:proofErr w:type="spellStart"/>
      <w:r w:rsidR="009C2CA5">
        <w:t>r</w:t>
      </w:r>
      <w:r w:rsidR="009C2CA5" w:rsidRPr="009C2CA5">
        <w:t>epotrectinib</w:t>
      </w:r>
      <w:proofErr w:type="spellEnd"/>
      <w:r w:rsidR="00CE4A01">
        <w:t>-med</w:t>
      </w:r>
      <w:r w:rsidR="00EE60DA">
        <w:t xml:space="preserve">iated </w:t>
      </w:r>
      <w:r w:rsidR="000C33CC" w:rsidRPr="000C33CC">
        <w:lastRenderedPageBreak/>
        <w:t xml:space="preserve">inhibition of </w:t>
      </w:r>
      <w:r w:rsidR="00427C0F">
        <w:t xml:space="preserve">mutated </w:t>
      </w:r>
      <w:r w:rsidR="000C33CC">
        <w:t xml:space="preserve">ROS1 </w:t>
      </w:r>
      <w:r w:rsidR="000C33CC" w:rsidRPr="000C33CC">
        <w:t xml:space="preserve">will provide </w:t>
      </w:r>
      <w:r w:rsidR="00427C0F">
        <w:t xml:space="preserve">a </w:t>
      </w:r>
      <w:r w:rsidR="000C33CC" w:rsidRPr="000C33CC">
        <w:t>clinically meaningful response</w:t>
      </w:r>
      <w:r w:rsidR="00330DBD">
        <w:t xml:space="preserve"> in </w:t>
      </w:r>
      <w:r w:rsidR="00330DBD" w:rsidRPr="00330DBD">
        <w:t>patients with ROS1-</w:t>
      </w:r>
      <w:r w:rsidR="00F765C8">
        <w:t>positive</w:t>
      </w:r>
      <w:r w:rsidR="00330DBD" w:rsidRPr="00330DBD">
        <w:t xml:space="preserve"> NSCLC</w:t>
      </w:r>
      <w:r w:rsidR="00EE60DA">
        <w:t xml:space="preserve">. </w:t>
      </w:r>
    </w:p>
    <w:p w14:paraId="0D615854" w14:textId="77777777" w:rsidR="00324B33" w:rsidRPr="003F31A2" w:rsidRDefault="00324B33" w:rsidP="00324B33">
      <w:pPr>
        <w:pStyle w:val="Heading3"/>
      </w:pPr>
      <w:bookmarkStart w:id="21" w:name="_Toc103679291"/>
      <w:bookmarkStart w:id="22" w:name="_Toc219813776"/>
      <w:r>
        <w:t>Regulatory status</w:t>
      </w:r>
      <w:bookmarkEnd w:id="16"/>
      <w:bookmarkEnd w:id="17"/>
      <w:bookmarkEnd w:id="21"/>
      <w:bookmarkEnd w:id="22"/>
    </w:p>
    <w:p w14:paraId="72C889D6" w14:textId="7E200950" w:rsidR="0017005C" w:rsidRPr="00BD5DBD" w:rsidRDefault="0017005C" w:rsidP="00741AB9">
      <w:pPr>
        <w:pStyle w:val="Heading4"/>
      </w:pPr>
      <w:bookmarkStart w:id="23" w:name="_Toc219813777"/>
      <w:r w:rsidRPr="00BD5DBD">
        <w:t>Australian regulatory</w:t>
      </w:r>
      <w:r>
        <w:t xml:space="preserve"> sta</w:t>
      </w:r>
      <w:r w:rsidR="0025785B">
        <w:t>t</w:t>
      </w:r>
      <w:r>
        <w:t>us</w:t>
      </w:r>
      <w:bookmarkEnd w:id="23"/>
    </w:p>
    <w:p w14:paraId="6A8633FA" w14:textId="463F3C87" w:rsidR="00324B33" w:rsidRDefault="00324B33" w:rsidP="00324B33">
      <w:pPr>
        <w:rPr>
          <w:szCs w:val="22"/>
        </w:rPr>
      </w:pPr>
      <w:r w:rsidRPr="00BD5DBD">
        <w:rPr>
          <w:szCs w:val="22"/>
        </w:rPr>
        <w:t>This product is considered a new chemical</w:t>
      </w:r>
      <w:r w:rsidR="008C754C" w:rsidRPr="00BD5DBD">
        <w:rPr>
          <w:szCs w:val="22"/>
        </w:rPr>
        <w:t xml:space="preserve"> entity</w:t>
      </w:r>
      <w:r w:rsidRPr="00BD5DBD">
        <w:rPr>
          <w:szCs w:val="22"/>
        </w:rPr>
        <w:t xml:space="preserve"> for Australian regulatory purposes.</w:t>
      </w:r>
    </w:p>
    <w:p w14:paraId="546C1031" w14:textId="4EF98FA1" w:rsidR="0017005C" w:rsidRDefault="00131B1B" w:rsidP="0017005C">
      <w:pPr>
        <w:pStyle w:val="Heading4"/>
      </w:pPr>
      <w:bookmarkStart w:id="24" w:name="_Toc219813778"/>
      <w:r>
        <w:t xml:space="preserve">International </w:t>
      </w:r>
      <w:r w:rsidR="0017005C" w:rsidRPr="00BD5DBD">
        <w:t>regulatory</w:t>
      </w:r>
      <w:r w:rsidR="0017005C">
        <w:t xml:space="preserve"> status</w:t>
      </w:r>
      <w:bookmarkEnd w:id="24"/>
    </w:p>
    <w:p w14:paraId="48CDFF4E" w14:textId="74D69C18" w:rsidR="00C133AB" w:rsidRDefault="00C133AB" w:rsidP="00C133AB">
      <w:pPr>
        <w:rPr>
          <w:szCs w:val="22"/>
        </w:rPr>
      </w:pPr>
      <w:r w:rsidRPr="00BD5DBD">
        <w:rPr>
          <w:szCs w:val="22"/>
        </w:rPr>
        <w:t xml:space="preserve">This evaluation was facilitated through </w:t>
      </w:r>
      <w:hyperlink r:id="rId25" w:history="1">
        <w:r w:rsidRPr="00BD5DBD">
          <w:rPr>
            <w:rStyle w:val="Hyperlink"/>
            <w:szCs w:val="22"/>
          </w:rPr>
          <w:t>Project Orbis</w:t>
        </w:r>
      </w:hyperlink>
      <w:r w:rsidRPr="00BD5DBD">
        <w:rPr>
          <w:szCs w:val="22"/>
        </w:rPr>
        <w:t xml:space="preserve">, an initiative of the United States Food and Drug Administration (FDA) Oncology </w:t>
      </w:r>
      <w:proofErr w:type="spellStart"/>
      <w:r w:rsidRPr="00BD5DBD">
        <w:rPr>
          <w:szCs w:val="22"/>
        </w:rPr>
        <w:t>Center</w:t>
      </w:r>
      <w:proofErr w:type="spellEnd"/>
      <w:r w:rsidRPr="00BD5DBD">
        <w:rPr>
          <w:szCs w:val="22"/>
        </w:rPr>
        <w:t xml:space="preserve"> of Excellence. Under this project, the </w:t>
      </w:r>
      <w:r w:rsidRPr="00774789">
        <w:t>FDA</w:t>
      </w:r>
      <w:r w:rsidR="004A6EB1">
        <w:t xml:space="preserve"> </w:t>
      </w:r>
      <w:r w:rsidRPr="00BD5DBD">
        <w:rPr>
          <w:szCs w:val="22"/>
        </w:rPr>
        <w:t>and the TGA collaboratively reviewed the submission. This evaluation process provided a framework for process alignment and management of evaluation issues in real-time across jurisdictions. Each regulator made independent decisions regarding approval (market authorisation) of the new medicine.</w:t>
      </w:r>
    </w:p>
    <w:p w14:paraId="7FDF4A0B" w14:textId="213EBE41" w:rsidR="008F4A62" w:rsidRPr="0017005C" w:rsidRDefault="008F4A62" w:rsidP="008F4A62">
      <w:r w:rsidRPr="00BD5DBD">
        <w:rPr>
          <w:szCs w:val="22"/>
        </w:rPr>
        <w:t xml:space="preserve">At the time the TGA considered this submission, a similar submission had been </w:t>
      </w:r>
      <w:r>
        <w:rPr>
          <w:szCs w:val="22"/>
        </w:rPr>
        <w:t xml:space="preserve">considered by other regulatory agencies. </w:t>
      </w:r>
      <w:r w:rsidR="004A6EB1">
        <w:rPr>
          <w:szCs w:val="22"/>
        </w:rPr>
        <w:t xml:space="preserve">Table </w:t>
      </w:r>
      <w:r w:rsidR="004639DA">
        <w:rPr>
          <w:szCs w:val="22"/>
        </w:rPr>
        <w:t>2</w:t>
      </w:r>
      <w:r w:rsidRPr="00BD5DBD">
        <w:rPr>
          <w:szCs w:val="22"/>
        </w:rPr>
        <w:t xml:space="preserve"> summarises these submissions and provides the indications where approved.</w:t>
      </w:r>
      <w:r>
        <w:rPr>
          <w:szCs w:val="22"/>
        </w:rPr>
        <w:t xml:space="preserve"> </w:t>
      </w:r>
    </w:p>
    <w:p w14:paraId="19B9E0AC" w14:textId="6590D8A7" w:rsidR="00324B33" w:rsidRDefault="00324B33" w:rsidP="00324B33">
      <w:pPr>
        <w:pStyle w:val="TableTitle"/>
      </w:pPr>
      <w:bookmarkStart w:id="25" w:name="_Ref99705479"/>
      <w:r>
        <w:t xml:space="preserve">Table </w:t>
      </w:r>
      <w:bookmarkEnd w:id="25"/>
      <w:r w:rsidR="004639DA">
        <w:t>2</w:t>
      </w:r>
      <w:r>
        <w:t>: International regulatory status</w:t>
      </w:r>
      <w:r w:rsidR="004639DA">
        <w:t xml:space="preserve"> a</w:t>
      </w:r>
      <w:r w:rsidR="004639DA" w:rsidRPr="004639DA">
        <w:t>t the time the TGA considered this submission</w:t>
      </w:r>
    </w:p>
    <w:tbl>
      <w:tblPr>
        <w:tblW w:w="0" w:type="auto"/>
        <w:tblInd w:w="-5" w:type="dxa"/>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CellMar>
          <w:left w:w="0" w:type="dxa"/>
          <w:right w:w="0" w:type="dxa"/>
        </w:tblCellMar>
        <w:tblLook w:val="01E0" w:firstRow="1" w:lastRow="1" w:firstColumn="1" w:lastColumn="1" w:noHBand="0" w:noVBand="0"/>
      </w:tblPr>
      <w:tblGrid>
        <w:gridCol w:w="1277"/>
        <w:gridCol w:w="1558"/>
        <w:gridCol w:w="1701"/>
        <w:gridCol w:w="4308"/>
      </w:tblGrid>
      <w:tr w:rsidR="00EA67EA" w:rsidRPr="00EA67EA" w14:paraId="5CC795A5" w14:textId="77777777" w:rsidTr="007467E7">
        <w:trPr>
          <w:trHeight w:val="626"/>
        </w:trPr>
        <w:tc>
          <w:tcPr>
            <w:tcW w:w="1277" w:type="dxa"/>
            <w:shd w:val="clear" w:color="auto" w:fill="DEEAF6"/>
          </w:tcPr>
          <w:p w14:paraId="4381669B" w14:textId="7B96955D" w:rsidR="00EA67EA" w:rsidRPr="002A61F9" w:rsidRDefault="004A6EB1" w:rsidP="009175CE">
            <w:pPr>
              <w:pStyle w:val="TableParagraph"/>
              <w:spacing w:before="2"/>
              <w:rPr>
                <w:rFonts w:ascii="Cambria" w:hAnsi="Cambria"/>
                <w:b/>
                <w:color w:val="263287"/>
              </w:rPr>
            </w:pPr>
            <w:r w:rsidRPr="002A61F9">
              <w:rPr>
                <w:rFonts w:ascii="Cambria" w:hAnsi="Cambria"/>
                <w:b/>
                <w:color w:val="263287"/>
                <w:spacing w:val="-2"/>
              </w:rPr>
              <w:t>Country</w:t>
            </w:r>
          </w:p>
          <w:p w14:paraId="564A182E" w14:textId="49F760D8" w:rsidR="00EA67EA" w:rsidRPr="002A61F9" w:rsidRDefault="004A6EB1" w:rsidP="009175CE">
            <w:pPr>
              <w:pStyle w:val="TableParagraph"/>
              <w:spacing w:before="22"/>
              <w:rPr>
                <w:rFonts w:ascii="Cambria" w:hAnsi="Cambria"/>
                <w:b/>
                <w:color w:val="263287"/>
              </w:rPr>
            </w:pPr>
            <w:r w:rsidRPr="002A61F9">
              <w:rPr>
                <w:rFonts w:ascii="Cambria" w:hAnsi="Cambria"/>
                <w:b/>
                <w:color w:val="263287"/>
                <w:spacing w:val="-2"/>
              </w:rPr>
              <w:t>/</w:t>
            </w:r>
            <w:r w:rsidR="008710FD" w:rsidRPr="002A61F9">
              <w:rPr>
                <w:rFonts w:ascii="Cambria" w:hAnsi="Cambria"/>
                <w:b/>
                <w:color w:val="263287"/>
                <w:spacing w:val="-2"/>
              </w:rPr>
              <w:t>Region</w:t>
            </w:r>
          </w:p>
        </w:tc>
        <w:tc>
          <w:tcPr>
            <w:tcW w:w="1558" w:type="dxa"/>
            <w:shd w:val="clear" w:color="auto" w:fill="DEEAF6"/>
          </w:tcPr>
          <w:p w14:paraId="738E8EAD" w14:textId="43C80761" w:rsidR="00EA67EA" w:rsidRPr="002A61F9" w:rsidRDefault="004A6EB1" w:rsidP="009175CE">
            <w:pPr>
              <w:pStyle w:val="TableParagraph"/>
              <w:spacing w:before="2" w:line="264" w:lineRule="auto"/>
              <w:rPr>
                <w:rFonts w:ascii="Cambria" w:hAnsi="Cambria"/>
                <w:b/>
                <w:color w:val="263287"/>
              </w:rPr>
            </w:pPr>
            <w:r w:rsidRPr="002A61F9">
              <w:rPr>
                <w:rFonts w:ascii="Cambria" w:hAnsi="Cambria"/>
                <w:b/>
                <w:color w:val="263287"/>
                <w:spacing w:val="-2"/>
              </w:rPr>
              <w:t xml:space="preserve">Submission </w:t>
            </w:r>
            <w:r w:rsidRPr="002A61F9">
              <w:rPr>
                <w:rFonts w:ascii="Cambria" w:hAnsi="Cambria"/>
                <w:b/>
                <w:color w:val="263287"/>
                <w:spacing w:val="-4"/>
              </w:rPr>
              <w:t>date</w:t>
            </w:r>
          </w:p>
        </w:tc>
        <w:tc>
          <w:tcPr>
            <w:tcW w:w="1701" w:type="dxa"/>
            <w:shd w:val="clear" w:color="auto" w:fill="DEEAF6"/>
          </w:tcPr>
          <w:p w14:paraId="3F046740" w14:textId="228B8B56" w:rsidR="00EA67EA" w:rsidRPr="002A61F9" w:rsidRDefault="004A6EB1" w:rsidP="009175CE">
            <w:pPr>
              <w:pStyle w:val="TableParagraph"/>
              <w:spacing w:before="2"/>
              <w:rPr>
                <w:rFonts w:ascii="Cambria" w:hAnsi="Cambria"/>
                <w:b/>
                <w:color w:val="263287"/>
              </w:rPr>
            </w:pPr>
            <w:r w:rsidRPr="002A61F9">
              <w:rPr>
                <w:rFonts w:ascii="Cambria" w:hAnsi="Cambria"/>
                <w:b/>
                <w:color w:val="263287"/>
                <w:spacing w:val="-2"/>
              </w:rPr>
              <w:t>Status</w:t>
            </w:r>
          </w:p>
        </w:tc>
        <w:tc>
          <w:tcPr>
            <w:tcW w:w="4308" w:type="dxa"/>
            <w:shd w:val="clear" w:color="auto" w:fill="DEEAF6"/>
          </w:tcPr>
          <w:p w14:paraId="26F9EB60" w14:textId="07FBE0C6" w:rsidR="00EA67EA" w:rsidRPr="002A61F9" w:rsidRDefault="004A6EB1" w:rsidP="009175CE">
            <w:pPr>
              <w:pStyle w:val="TableParagraph"/>
              <w:spacing w:before="2"/>
              <w:rPr>
                <w:rFonts w:ascii="Cambria" w:hAnsi="Cambria"/>
                <w:b/>
                <w:color w:val="263287"/>
              </w:rPr>
            </w:pPr>
            <w:r w:rsidRPr="002A61F9">
              <w:rPr>
                <w:rFonts w:ascii="Cambria" w:hAnsi="Cambria"/>
                <w:b/>
                <w:color w:val="263287"/>
              </w:rPr>
              <w:t>Indication</w:t>
            </w:r>
            <w:r w:rsidR="00EA67EA" w:rsidRPr="002A61F9">
              <w:rPr>
                <w:rFonts w:ascii="Cambria" w:hAnsi="Cambria"/>
                <w:b/>
                <w:color w:val="263287"/>
                <w:spacing w:val="-6"/>
              </w:rPr>
              <w:t xml:space="preserve"> </w:t>
            </w:r>
          </w:p>
        </w:tc>
      </w:tr>
      <w:tr w:rsidR="00EA67EA" w:rsidRPr="00EA67EA" w14:paraId="325DE059" w14:textId="77777777" w:rsidTr="007467E7">
        <w:trPr>
          <w:trHeight w:val="1252"/>
        </w:trPr>
        <w:tc>
          <w:tcPr>
            <w:tcW w:w="1277" w:type="dxa"/>
          </w:tcPr>
          <w:p w14:paraId="6FC4B7A0" w14:textId="77777777" w:rsidR="00EA67EA" w:rsidRPr="00EA67EA" w:rsidRDefault="00EA67EA" w:rsidP="009175CE">
            <w:pPr>
              <w:pStyle w:val="TableParagraph"/>
              <w:spacing w:before="2"/>
              <w:rPr>
                <w:rFonts w:ascii="Cambria" w:hAnsi="Cambria"/>
              </w:rPr>
            </w:pPr>
            <w:r w:rsidRPr="00EA67EA">
              <w:rPr>
                <w:rFonts w:ascii="Cambria" w:hAnsi="Cambria"/>
                <w:spacing w:val="-5"/>
              </w:rPr>
              <w:t>USA</w:t>
            </w:r>
          </w:p>
        </w:tc>
        <w:tc>
          <w:tcPr>
            <w:tcW w:w="1558" w:type="dxa"/>
          </w:tcPr>
          <w:p w14:paraId="68C56969" w14:textId="77777777" w:rsidR="00EA67EA" w:rsidRPr="00EA67EA" w:rsidRDefault="00EA67EA" w:rsidP="009175CE">
            <w:pPr>
              <w:pStyle w:val="TableParagraph"/>
              <w:spacing w:before="2"/>
              <w:rPr>
                <w:rFonts w:ascii="Cambria" w:hAnsi="Cambria"/>
              </w:rPr>
            </w:pPr>
            <w:r w:rsidRPr="00EA67EA">
              <w:rPr>
                <w:rFonts w:ascii="Cambria" w:hAnsi="Cambria"/>
              </w:rPr>
              <w:t>27</w:t>
            </w:r>
            <w:r w:rsidRPr="00EA67EA">
              <w:rPr>
                <w:rFonts w:ascii="Cambria" w:hAnsi="Cambria"/>
                <w:spacing w:val="-3"/>
              </w:rPr>
              <w:t xml:space="preserve"> </w:t>
            </w:r>
            <w:r w:rsidRPr="00EA67EA">
              <w:rPr>
                <w:rFonts w:ascii="Cambria" w:hAnsi="Cambria"/>
              </w:rPr>
              <w:t>March</w:t>
            </w:r>
            <w:r w:rsidRPr="00EA67EA">
              <w:rPr>
                <w:rFonts w:ascii="Cambria" w:hAnsi="Cambria"/>
                <w:spacing w:val="-4"/>
              </w:rPr>
              <w:t xml:space="preserve"> 2023</w:t>
            </w:r>
          </w:p>
        </w:tc>
        <w:tc>
          <w:tcPr>
            <w:tcW w:w="1701" w:type="dxa"/>
          </w:tcPr>
          <w:p w14:paraId="7869DDBF" w14:textId="322ACC56" w:rsidR="00EA67EA" w:rsidRPr="00EA67EA" w:rsidRDefault="00EA67EA" w:rsidP="009175CE">
            <w:pPr>
              <w:pStyle w:val="TableParagraph"/>
              <w:spacing w:before="2" w:line="388" w:lineRule="auto"/>
              <w:ind w:right="395"/>
              <w:rPr>
                <w:rFonts w:ascii="Cambria" w:hAnsi="Cambria"/>
              </w:rPr>
            </w:pPr>
            <w:r w:rsidRPr="00EA67EA">
              <w:rPr>
                <w:rFonts w:ascii="Cambria" w:hAnsi="Cambria"/>
                <w:spacing w:val="-2"/>
              </w:rPr>
              <w:t>Approved</w:t>
            </w:r>
            <w:r w:rsidR="003F3C6F">
              <w:rPr>
                <w:rFonts w:ascii="Cambria" w:hAnsi="Cambria"/>
                <w:spacing w:val="-2"/>
              </w:rPr>
              <w:t xml:space="preserve"> </w:t>
            </w:r>
            <w:r w:rsidRPr="00EA67EA">
              <w:rPr>
                <w:rFonts w:ascii="Cambria" w:hAnsi="Cambria"/>
              </w:rPr>
              <w:t>15</w:t>
            </w:r>
            <w:r w:rsidRPr="00EA67EA">
              <w:rPr>
                <w:rFonts w:ascii="Cambria" w:hAnsi="Cambria"/>
                <w:spacing w:val="-13"/>
              </w:rPr>
              <w:t xml:space="preserve"> </w:t>
            </w:r>
            <w:r w:rsidRPr="00EA67EA">
              <w:rPr>
                <w:rFonts w:ascii="Cambria" w:hAnsi="Cambria"/>
              </w:rPr>
              <w:t>Nov</w:t>
            </w:r>
            <w:r w:rsidRPr="00EA67EA">
              <w:rPr>
                <w:rFonts w:ascii="Cambria" w:hAnsi="Cambria"/>
                <w:spacing w:val="-12"/>
              </w:rPr>
              <w:t xml:space="preserve"> </w:t>
            </w:r>
            <w:r w:rsidRPr="00EA67EA">
              <w:rPr>
                <w:rFonts w:ascii="Cambria" w:hAnsi="Cambria"/>
              </w:rPr>
              <w:t>2023</w:t>
            </w:r>
          </w:p>
        </w:tc>
        <w:tc>
          <w:tcPr>
            <w:tcW w:w="4308" w:type="dxa"/>
          </w:tcPr>
          <w:p w14:paraId="106CEB37" w14:textId="4290FB29" w:rsidR="00EA67EA" w:rsidRPr="00EA67EA" w:rsidRDefault="00C00D00" w:rsidP="009175CE">
            <w:pPr>
              <w:pStyle w:val="TableParagraph"/>
              <w:spacing w:before="2" w:line="264" w:lineRule="auto"/>
              <w:ind w:right="112"/>
              <w:rPr>
                <w:rFonts w:ascii="Cambria" w:hAnsi="Cambria"/>
              </w:rPr>
            </w:pPr>
            <w:r>
              <w:rPr>
                <w:rFonts w:ascii="Cambria" w:hAnsi="Cambria"/>
              </w:rPr>
              <w:t>Augtyro</w:t>
            </w:r>
            <w:r w:rsidR="00EA67EA" w:rsidRPr="00EA67EA">
              <w:rPr>
                <w:rFonts w:ascii="Cambria" w:hAnsi="Cambria"/>
              </w:rPr>
              <w:t xml:space="preserve"> is indicated for the treatment of adult patients with locally</w:t>
            </w:r>
            <w:r w:rsidR="00EA67EA" w:rsidRPr="00EA67EA">
              <w:rPr>
                <w:rFonts w:ascii="Cambria" w:hAnsi="Cambria"/>
                <w:spacing w:val="-5"/>
              </w:rPr>
              <w:t xml:space="preserve"> </w:t>
            </w:r>
            <w:r w:rsidR="00EA67EA" w:rsidRPr="00EA67EA">
              <w:rPr>
                <w:rFonts w:ascii="Cambria" w:hAnsi="Cambria"/>
              </w:rPr>
              <w:t>advanced</w:t>
            </w:r>
            <w:r w:rsidR="00EA67EA" w:rsidRPr="00EA67EA">
              <w:rPr>
                <w:rFonts w:ascii="Cambria" w:hAnsi="Cambria"/>
                <w:spacing w:val="-5"/>
              </w:rPr>
              <w:t xml:space="preserve"> </w:t>
            </w:r>
            <w:r w:rsidR="00EA67EA" w:rsidRPr="00EA67EA">
              <w:rPr>
                <w:rFonts w:ascii="Cambria" w:hAnsi="Cambria"/>
              </w:rPr>
              <w:t>or</w:t>
            </w:r>
            <w:r w:rsidR="00EA67EA" w:rsidRPr="00EA67EA">
              <w:rPr>
                <w:rFonts w:ascii="Cambria" w:hAnsi="Cambria"/>
                <w:spacing w:val="-7"/>
              </w:rPr>
              <w:t xml:space="preserve"> </w:t>
            </w:r>
            <w:r w:rsidR="00EA67EA" w:rsidRPr="00EA67EA">
              <w:rPr>
                <w:rFonts w:ascii="Cambria" w:hAnsi="Cambria"/>
              </w:rPr>
              <w:t>metastatic</w:t>
            </w:r>
            <w:r w:rsidR="00EA67EA" w:rsidRPr="00EA67EA">
              <w:rPr>
                <w:rFonts w:ascii="Cambria" w:hAnsi="Cambria"/>
                <w:spacing w:val="-5"/>
              </w:rPr>
              <w:t xml:space="preserve"> </w:t>
            </w:r>
            <w:r w:rsidR="00EA67EA" w:rsidRPr="00EA67EA">
              <w:rPr>
                <w:rFonts w:ascii="Cambria" w:hAnsi="Cambria"/>
              </w:rPr>
              <w:t>ROS1-positive</w:t>
            </w:r>
            <w:r w:rsidR="00EA67EA" w:rsidRPr="00EA67EA">
              <w:rPr>
                <w:rFonts w:ascii="Cambria" w:hAnsi="Cambria"/>
                <w:spacing w:val="-5"/>
              </w:rPr>
              <w:t xml:space="preserve"> </w:t>
            </w:r>
            <w:r w:rsidR="00EA67EA" w:rsidRPr="00EA67EA">
              <w:rPr>
                <w:rFonts w:ascii="Cambria" w:hAnsi="Cambria"/>
              </w:rPr>
              <w:t>non-small</w:t>
            </w:r>
            <w:r w:rsidR="00EA67EA" w:rsidRPr="00EA67EA">
              <w:rPr>
                <w:rFonts w:ascii="Cambria" w:hAnsi="Cambria"/>
                <w:spacing w:val="-5"/>
              </w:rPr>
              <w:t xml:space="preserve"> </w:t>
            </w:r>
            <w:r w:rsidR="00EA67EA" w:rsidRPr="00EA67EA">
              <w:rPr>
                <w:rFonts w:ascii="Cambria" w:hAnsi="Cambria"/>
              </w:rPr>
              <w:t>cell</w:t>
            </w:r>
            <w:r w:rsidR="00EA67EA" w:rsidRPr="00EA67EA">
              <w:rPr>
                <w:rFonts w:ascii="Cambria" w:hAnsi="Cambria"/>
                <w:spacing w:val="-5"/>
              </w:rPr>
              <w:t xml:space="preserve"> </w:t>
            </w:r>
            <w:r w:rsidR="00EA67EA" w:rsidRPr="00EA67EA">
              <w:rPr>
                <w:rFonts w:ascii="Cambria" w:hAnsi="Cambria"/>
              </w:rPr>
              <w:t>lung cancer (NSCLC).</w:t>
            </w:r>
          </w:p>
          <w:p w14:paraId="3D885627" w14:textId="77777777" w:rsidR="00EA67EA" w:rsidRPr="00EA67EA" w:rsidRDefault="00EA67EA" w:rsidP="009175CE">
            <w:pPr>
              <w:pStyle w:val="TableParagraph"/>
              <w:spacing w:before="120"/>
              <w:rPr>
                <w:rFonts w:ascii="Cambria" w:hAnsi="Cambria"/>
              </w:rPr>
            </w:pPr>
            <w:r w:rsidRPr="00EA67EA">
              <w:rPr>
                <w:rFonts w:ascii="Cambria" w:hAnsi="Cambria"/>
              </w:rPr>
              <w:t>40mg</w:t>
            </w:r>
            <w:r w:rsidRPr="00EA67EA">
              <w:rPr>
                <w:rFonts w:ascii="Cambria" w:hAnsi="Cambria"/>
                <w:spacing w:val="-4"/>
              </w:rPr>
              <w:t xml:space="preserve"> </w:t>
            </w:r>
            <w:r w:rsidRPr="00EA67EA">
              <w:rPr>
                <w:rFonts w:ascii="Cambria" w:hAnsi="Cambria"/>
              </w:rPr>
              <w:t>capsule</w:t>
            </w:r>
            <w:r w:rsidRPr="00EA67EA">
              <w:rPr>
                <w:rFonts w:ascii="Cambria" w:hAnsi="Cambria"/>
                <w:spacing w:val="-5"/>
              </w:rPr>
              <w:t xml:space="preserve"> </w:t>
            </w:r>
            <w:r w:rsidRPr="00EA67EA">
              <w:rPr>
                <w:rFonts w:ascii="Cambria" w:hAnsi="Cambria"/>
                <w:spacing w:val="-4"/>
              </w:rPr>
              <w:t>only</w:t>
            </w:r>
          </w:p>
        </w:tc>
      </w:tr>
      <w:tr w:rsidR="00EA67EA" w:rsidRPr="00EA67EA" w14:paraId="1A55ED54" w14:textId="77777777" w:rsidTr="00EA3591">
        <w:tc>
          <w:tcPr>
            <w:tcW w:w="1277" w:type="dxa"/>
          </w:tcPr>
          <w:p w14:paraId="5674896D" w14:textId="77777777" w:rsidR="00EA67EA" w:rsidRPr="00EA67EA" w:rsidRDefault="00EA67EA" w:rsidP="009175CE">
            <w:pPr>
              <w:pStyle w:val="TableParagraph"/>
              <w:rPr>
                <w:rFonts w:ascii="Cambria" w:hAnsi="Cambria"/>
              </w:rPr>
            </w:pPr>
            <w:r w:rsidRPr="00EA67EA">
              <w:rPr>
                <w:rFonts w:ascii="Cambria" w:hAnsi="Cambria"/>
                <w:spacing w:val="-5"/>
              </w:rPr>
              <w:t>EU</w:t>
            </w:r>
          </w:p>
        </w:tc>
        <w:tc>
          <w:tcPr>
            <w:tcW w:w="1558" w:type="dxa"/>
          </w:tcPr>
          <w:p w14:paraId="4FC9054B" w14:textId="77777777" w:rsidR="00EA67EA" w:rsidRPr="00EA67EA" w:rsidRDefault="00EA67EA" w:rsidP="009175CE">
            <w:pPr>
              <w:pStyle w:val="TableParagraph"/>
              <w:rPr>
                <w:rFonts w:ascii="Cambria" w:hAnsi="Cambria"/>
              </w:rPr>
            </w:pPr>
            <w:r w:rsidRPr="00EA67EA">
              <w:rPr>
                <w:rFonts w:ascii="Cambria" w:hAnsi="Cambria"/>
              </w:rPr>
              <w:t>22</w:t>
            </w:r>
            <w:r w:rsidRPr="00EA67EA">
              <w:rPr>
                <w:rFonts w:ascii="Cambria" w:hAnsi="Cambria"/>
                <w:spacing w:val="-1"/>
              </w:rPr>
              <w:t xml:space="preserve"> </w:t>
            </w:r>
            <w:r w:rsidRPr="00EA67EA">
              <w:rPr>
                <w:rFonts w:ascii="Cambria" w:hAnsi="Cambria"/>
              </w:rPr>
              <w:t>Nov</w:t>
            </w:r>
            <w:r w:rsidRPr="00EA67EA">
              <w:rPr>
                <w:rFonts w:ascii="Cambria" w:hAnsi="Cambria"/>
                <w:spacing w:val="-3"/>
              </w:rPr>
              <w:t xml:space="preserve"> </w:t>
            </w:r>
            <w:r w:rsidRPr="00EA67EA">
              <w:rPr>
                <w:rFonts w:ascii="Cambria" w:hAnsi="Cambria"/>
                <w:spacing w:val="-4"/>
              </w:rPr>
              <w:t>2023</w:t>
            </w:r>
          </w:p>
        </w:tc>
        <w:tc>
          <w:tcPr>
            <w:tcW w:w="1701" w:type="dxa"/>
          </w:tcPr>
          <w:p w14:paraId="6DDD0142" w14:textId="77777777" w:rsidR="00EA67EA" w:rsidRPr="00EA67EA" w:rsidRDefault="00EA67EA" w:rsidP="009175CE">
            <w:pPr>
              <w:pStyle w:val="TableParagraph"/>
              <w:spacing w:line="266" w:lineRule="auto"/>
              <w:ind w:right="395"/>
              <w:rPr>
                <w:rFonts w:ascii="Cambria" w:hAnsi="Cambria"/>
              </w:rPr>
            </w:pPr>
            <w:r w:rsidRPr="00EA67EA">
              <w:rPr>
                <w:rFonts w:ascii="Cambria" w:hAnsi="Cambria"/>
                <w:spacing w:val="-4"/>
              </w:rPr>
              <w:t xml:space="preserve">Under </w:t>
            </w:r>
            <w:r w:rsidRPr="00EA67EA">
              <w:rPr>
                <w:rFonts w:ascii="Cambria" w:hAnsi="Cambria"/>
                <w:spacing w:val="-2"/>
              </w:rPr>
              <w:t>Evaluation</w:t>
            </w:r>
          </w:p>
        </w:tc>
        <w:tc>
          <w:tcPr>
            <w:tcW w:w="4308" w:type="dxa"/>
          </w:tcPr>
          <w:p w14:paraId="52863A36" w14:textId="54CA9843" w:rsidR="00EA67EA" w:rsidRPr="00EA67EA" w:rsidRDefault="00C00D00" w:rsidP="009175CE">
            <w:pPr>
              <w:pStyle w:val="TableParagraph"/>
              <w:spacing w:line="264" w:lineRule="auto"/>
              <w:rPr>
                <w:rFonts w:ascii="Cambria" w:hAnsi="Cambria"/>
              </w:rPr>
            </w:pPr>
            <w:r>
              <w:rPr>
                <w:rFonts w:ascii="Cambria" w:hAnsi="Cambria"/>
              </w:rPr>
              <w:t>Augtyro</w:t>
            </w:r>
            <w:r w:rsidR="00EA67EA" w:rsidRPr="00EA67EA">
              <w:rPr>
                <w:rFonts w:ascii="Cambria" w:hAnsi="Cambria"/>
              </w:rPr>
              <w:t xml:space="preserve"> as monotherapy is indicated for the treatment of adult patients</w:t>
            </w:r>
            <w:r w:rsidR="00EA67EA" w:rsidRPr="00EA67EA">
              <w:rPr>
                <w:rFonts w:ascii="Cambria" w:hAnsi="Cambria"/>
                <w:spacing w:val="-7"/>
              </w:rPr>
              <w:t xml:space="preserve"> </w:t>
            </w:r>
            <w:r w:rsidR="00EA67EA" w:rsidRPr="00EA67EA">
              <w:rPr>
                <w:rFonts w:ascii="Cambria" w:hAnsi="Cambria"/>
              </w:rPr>
              <w:t>with</w:t>
            </w:r>
            <w:r w:rsidR="00EA67EA" w:rsidRPr="00EA67EA">
              <w:rPr>
                <w:rFonts w:ascii="Cambria" w:hAnsi="Cambria"/>
                <w:spacing w:val="-5"/>
              </w:rPr>
              <w:t xml:space="preserve"> </w:t>
            </w:r>
            <w:r w:rsidR="00EA67EA" w:rsidRPr="00EA67EA">
              <w:rPr>
                <w:rFonts w:ascii="Cambria" w:hAnsi="Cambria"/>
              </w:rPr>
              <w:t>ROS1-positive</w:t>
            </w:r>
            <w:r w:rsidR="00EA67EA" w:rsidRPr="00EA67EA">
              <w:rPr>
                <w:rFonts w:ascii="Cambria" w:hAnsi="Cambria"/>
                <w:spacing w:val="-6"/>
              </w:rPr>
              <w:t xml:space="preserve"> </w:t>
            </w:r>
            <w:r w:rsidR="00EA67EA" w:rsidRPr="00EA67EA">
              <w:rPr>
                <w:rFonts w:ascii="Cambria" w:hAnsi="Cambria"/>
              </w:rPr>
              <w:t>locally</w:t>
            </w:r>
            <w:r w:rsidR="00EA67EA" w:rsidRPr="00EA67EA">
              <w:rPr>
                <w:rFonts w:ascii="Cambria" w:hAnsi="Cambria"/>
                <w:spacing w:val="-5"/>
              </w:rPr>
              <w:t xml:space="preserve"> </w:t>
            </w:r>
            <w:r w:rsidR="00EA67EA" w:rsidRPr="00EA67EA">
              <w:rPr>
                <w:rFonts w:ascii="Cambria" w:hAnsi="Cambria"/>
              </w:rPr>
              <w:t>advanced</w:t>
            </w:r>
            <w:r w:rsidR="00EA67EA" w:rsidRPr="00EA67EA">
              <w:rPr>
                <w:rFonts w:ascii="Cambria" w:hAnsi="Cambria"/>
                <w:spacing w:val="-5"/>
              </w:rPr>
              <w:t xml:space="preserve"> </w:t>
            </w:r>
            <w:r w:rsidR="00EA67EA" w:rsidRPr="00EA67EA">
              <w:rPr>
                <w:rFonts w:ascii="Cambria" w:hAnsi="Cambria"/>
              </w:rPr>
              <w:t>or</w:t>
            </w:r>
            <w:r w:rsidR="00EA67EA" w:rsidRPr="00EA67EA">
              <w:rPr>
                <w:rFonts w:ascii="Cambria" w:hAnsi="Cambria"/>
                <w:spacing w:val="-5"/>
              </w:rPr>
              <w:t xml:space="preserve"> </w:t>
            </w:r>
            <w:r w:rsidR="00EA67EA" w:rsidRPr="00EA67EA">
              <w:rPr>
                <w:rFonts w:ascii="Cambria" w:hAnsi="Cambria"/>
              </w:rPr>
              <w:t>metastatic</w:t>
            </w:r>
            <w:r w:rsidR="00EA67EA" w:rsidRPr="00EA67EA">
              <w:rPr>
                <w:rFonts w:ascii="Cambria" w:hAnsi="Cambria"/>
                <w:spacing w:val="-6"/>
              </w:rPr>
              <w:t xml:space="preserve"> </w:t>
            </w:r>
            <w:r w:rsidR="00EA67EA" w:rsidRPr="00EA67EA">
              <w:rPr>
                <w:rFonts w:ascii="Cambria" w:hAnsi="Cambria"/>
              </w:rPr>
              <w:t>non-small cell lung cancer (NSCLC).</w:t>
            </w:r>
          </w:p>
          <w:p w14:paraId="0273FF90" w14:textId="65E1DE3E" w:rsidR="00EA67EA" w:rsidRPr="00EA67EA" w:rsidRDefault="00C00D00" w:rsidP="009175CE">
            <w:pPr>
              <w:pStyle w:val="TableParagraph"/>
              <w:spacing w:before="122" w:line="264" w:lineRule="auto"/>
              <w:ind w:right="112"/>
              <w:rPr>
                <w:rFonts w:ascii="Cambria" w:hAnsi="Cambria"/>
              </w:rPr>
            </w:pPr>
            <w:r>
              <w:rPr>
                <w:rFonts w:ascii="Cambria" w:hAnsi="Cambria"/>
              </w:rPr>
              <w:t>Augtyro</w:t>
            </w:r>
            <w:r w:rsidR="00EA67EA" w:rsidRPr="00EA67EA">
              <w:rPr>
                <w:rFonts w:ascii="Cambria" w:hAnsi="Cambria"/>
              </w:rPr>
              <w:t xml:space="preserve"> as monotherapy is indicated for the treatment of adult and</w:t>
            </w:r>
            <w:r w:rsidR="00EA67EA" w:rsidRPr="00EA67EA">
              <w:rPr>
                <w:rFonts w:ascii="Cambria" w:hAnsi="Cambria"/>
                <w:spacing w:val="-3"/>
              </w:rPr>
              <w:t xml:space="preserve"> </w:t>
            </w:r>
            <w:proofErr w:type="spellStart"/>
            <w:r w:rsidR="00EA67EA" w:rsidRPr="00EA67EA">
              <w:rPr>
                <w:rFonts w:ascii="Cambria" w:hAnsi="Cambria"/>
              </w:rPr>
              <w:t>paediatric</w:t>
            </w:r>
            <w:proofErr w:type="spellEnd"/>
            <w:r w:rsidR="00EA67EA" w:rsidRPr="00EA67EA">
              <w:rPr>
                <w:rFonts w:ascii="Cambria" w:hAnsi="Cambria"/>
                <w:spacing w:val="-4"/>
              </w:rPr>
              <w:t xml:space="preserve"> </w:t>
            </w:r>
            <w:r w:rsidR="00EA67EA" w:rsidRPr="00EA67EA">
              <w:rPr>
                <w:rFonts w:ascii="Cambria" w:hAnsi="Cambria"/>
              </w:rPr>
              <w:t>patients</w:t>
            </w:r>
            <w:r w:rsidR="00EA67EA" w:rsidRPr="00EA67EA">
              <w:rPr>
                <w:rFonts w:ascii="Cambria" w:hAnsi="Cambria"/>
                <w:spacing w:val="-5"/>
              </w:rPr>
              <w:t xml:space="preserve"> </w:t>
            </w:r>
            <w:r w:rsidR="00EA67EA" w:rsidRPr="00EA67EA">
              <w:rPr>
                <w:rFonts w:ascii="Cambria" w:hAnsi="Cambria"/>
              </w:rPr>
              <w:t>12</w:t>
            </w:r>
            <w:r w:rsidR="00EA67EA" w:rsidRPr="00EA67EA">
              <w:rPr>
                <w:rFonts w:ascii="Cambria" w:hAnsi="Cambria"/>
                <w:spacing w:val="-5"/>
              </w:rPr>
              <w:t xml:space="preserve"> </w:t>
            </w:r>
            <w:r w:rsidR="00EA67EA" w:rsidRPr="00EA67EA">
              <w:rPr>
                <w:rFonts w:ascii="Cambria" w:hAnsi="Cambria"/>
              </w:rPr>
              <w:t>years</w:t>
            </w:r>
            <w:r w:rsidR="00EA67EA" w:rsidRPr="00EA67EA">
              <w:rPr>
                <w:rFonts w:ascii="Cambria" w:hAnsi="Cambria"/>
                <w:spacing w:val="-5"/>
              </w:rPr>
              <w:t xml:space="preserve"> </w:t>
            </w:r>
            <w:r w:rsidR="00EA67EA" w:rsidRPr="00EA67EA">
              <w:rPr>
                <w:rFonts w:ascii="Cambria" w:hAnsi="Cambria"/>
              </w:rPr>
              <w:t>of</w:t>
            </w:r>
            <w:r w:rsidR="00EA67EA" w:rsidRPr="00EA67EA">
              <w:rPr>
                <w:rFonts w:ascii="Cambria" w:hAnsi="Cambria"/>
                <w:spacing w:val="-3"/>
              </w:rPr>
              <w:t xml:space="preserve"> </w:t>
            </w:r>
            <w:r w:rsidR="00EA67EA" w:rsidRPr="00EA67EA">
              <w:rPr>
                <w:rFonts w:ascii="Cambria" w:hAnsi="Cambria"/>
              </w:rPr>
              <w:t>age</w:t>
            </w:r>
            <w:r w:rsidR="00EA67EA" w:rsidRPr="00EA67EA">
              <w:rPr>
                <w:rFonts w:ascii="Cambria" w:hAnsi="Cambria"/>
                <w:spacing w:val="-4"/>
              </w:rPr>
              <w:t xml:space="preserve"> </w:t>
            </w:r>
            <w:r w:rsidR="00EA67EA" w:rsidRPr="00EA67EA">
              <w:rPr>
                <w:rFonts w:ascii="Cambria" w:hAnsi="Cambria"/>
              </w:rPr>
              <w:t>and</w:t>
            </w:r>
            <w:r w:rsidR="00EA67EA" w:rsidRPr="00EA67EA">
              <w:rPr>
                <w:rFonts w:ascii="Cambria" w:hAnsi="Cambria"/>
                <w:spacing w:val="-3"/>
              </w:rPr>
              <w:t xml:space="preserve"> </w:t>
            </w:r>
            <w:r w:rsidR="00EA67EA" w:rsidRPr="00EA67EA">
              <w:rPr>
                <w:rFonts w:ascii="Cambria" w:hAnsi="Cambria"/>
              </w:rPr>
              <w:t>older</w:t>
            </w:r>
            <w:r w:rsidR="00EA67EA" w:rsidRPr="00EA67EA">
              <w:rPr>
                <w:rFonts w:ascii="Cambria" w:hAnsi="Cambria"/>
                <w:spacing w:val="-3"/>
              </w:rPr>
              <w:t xml:space="preserve"> </w:t>
            </w:r>
            <w:r w:rsidR="00EA67EA" w:rsidRPr="00EA67EA">
              <w:rPr>
                <w:rFonts w:ascii="Cambria" w:hAnsi="Cambria"/>
              </w:rPr>
              <w:t>with</w:t>
            </w:r>
            <w:r w:rsidR="00EA67EA" w:rsidRPr="00EA67EA">
              <w:rPr>
                <w:rFonts w:ascii="Cambria" w:hAnsi="Cambria"/>
                <w:spacing w:val="-3"/>
              </w:rPr>
              <w:t xml:space="preserve"> </w:t>
            </w:r>
            <w:r w:rsidR="00EA67EA" w:rsidRPr="00EA67EA">
              <w:rPr>
                <w:rFonts w:ascii="Cambria" w:hAnsi="Cambria"/>
              </w:rPr>
              <w:t>solid</w:t>
            </w:r>
            <w:r w:rsidR="00EA67EA" w:rsidRPr="00EA67EA">
              <w:rPr>
                <w:rFonts w:ascii="Cambria" w:hAnsi="Cambria"/>
                <w:spacing w:val="-3"/>
              </w:rPr>
              <w:t xml:space="preserve"> </w:t>
            </w:r>
            <w:proofErr w:type="spellStart"/>
            <w:r w:rsidR="00EA67EA" w:rsidRPr="00EA67EA">
              <w:rPr>
                <w:rFonts w:ascii="Cambria" w:hAnsi="Cambria"/>
              </w:rPr>
              <w:t>tumours</w:t>
            </w:r>
            <w:proofErr w:type="spellEnd"/>
            <w:r w:rsidR="00EA67EA" w:rsidRPr="00EA67EA">
              <w:rPr>
                <w:rFonts w:ascii="Cambria" w:hAnsi="Cambria"/>
              </w:rPr>
              <w:t xml:space="preserve"> expressing a neurotrophic tyrosine receptor kinase (NTRK) gene fusion who have a disease that is locally advanced, metastatic or where surgical resection is likely to result in severe morbidity, and</w:t>
            </w:r>
          </w:p>
          <w:p w14:paraId="371FF7E7" w14:textId="77777777" w:rsidR="00EA67EA" w:rsidRPr="00EA67EA" w:rsidRDefault="00EA67EA" w:rsidP="00EA3591">
            <w:pPr>
              <w:pStyle w:val="ListBullet"/>
            </w:pPr>
            <w:r w:rsidRPr="00EA67EA">
              <w:t>have</w:t>
            </w:r>
            <w:r w:rsidRPr="00EA67EA">
              <w:rPr>
                <w:spacing w:val="-6"/>
              </w:rPr>
              <w:t xml:space="preserve"> </w:t>
            </w:r>
            <w:r w:rsidRPr="00EA67EA">
              <w:t>received</w:t>
            </w:r>
            <w:r w:rsidRPr="00EA67EA">
              <w:rPr>
                <w:spacing w:val="-5"/>
              </w:rPr>
              <w:t xml:space="preserve"> </w:t>
            </w:r>
            <w:r w:rsidRPr="00EA67EA">
              <w:t>a</w:t>
            </w:r>
            <w:r w:rsidRPr="00EA67EA">
              <w:rPr>
                <w:spacing w:val="-5"/>
              </w:rPr>
              <w:t xml:space="preserve"> </w:t>
            </w:r>
            <w:r w:rsidRPr="00EA67EA">
              <w:t>prior</w:t>
            </w:r>
            <w:r w:rsidRPr="00EA67EA">
              <w:rPr>
                <w:spacing w:val="-5"/>
              </w:rPr>
              <w:t xml:space="preserve"> </w:t>
            </w:r>
            <w:r w:rsidRPr="00EA67EA">
              <w:t>TRK</w:t>
            </w:r>
            <w:r w:rsidRPr="00EA67EA">
              <w:rPr>
                <w:spacing w:val="-6"/>
              </w:rPr>
              <w:t xml:space="preserve"> </w:t>
            </w:r>
            <w:r w:rsidRPr="00EA67EA">
              <w:t>inhibitor,</w:t>
            </w:r>
            <w:r w:rsidRPr="00EA67EA">
              <w:rPr>
                <w:spacing w:val="-4"/>
              </w:rPr>
              <w:t xml:space="preserve"> </w:t>
            </w:r>
            <w:r w:rsidRPr="00EA67EA">
              <w:rPr>
                <w:spacing w:val="-5"/>
              </w:rPr>
              <w:t>or</w:t>
            </w:r>
          </w:p>
          <w:p w14:paraId="6076226C" w14:textId="77777777" w:rsidR="00EA67EA" w:rsidRPr="00EA67EA" w:rsidRDefault="00EA67EA" w:rsidP="00EA3591">
            <w:pPr>
              <w:pStyle w:val="ListBullet"/>
            </w:pPr>
            <w:r w:rsidRPr="00EA67EA">
              <w:t>have not received a prior TRK inhibitor and have no satisfactory</w:t>
            </w:r>
            <w:r w:rsidRPr="00EA67EA">
              <w:rPr>
                <w:spacing w:val="-5"/>
              </w:rPr>
              <w:t xml:space="preserve"> </w:t>
            </w:r>
            <w:r w:rsidRPr="00EA67EA">
              <w:t>treatment</w:t>
            </w:r>
            <w:r w:rsidRPr="00EA67EA">
              <w:rPr>
                <w:spacing w:val="-5"/>
              </w:rPr>
              <w:t xml:space="preserve"> </w:t>
            </w:r>
            <w:r w:rsidRPr="00EA67EA">
              <w:t>options</w:t>
            </w:r>
            <w:r w:rsidRPr="00EA67EA">
              <w:rPr>
                <w:spacing w:val="-6"/>
              </w:rPr>
              <w:t xml:space="preserve"> </w:t>
            </w:r>
            <w:r w:rsidRPr="00EA67EA">
              <w:t>(see</w:t>
            </w:r>
            <w:r w:rsidRPr="00EA67EA">
              <w:rPr>
                <w:spacing w:val="-5"/>
              </w:rPr>
              <w:t xml:space="preserve"> </w:t>
            </w:r>
            <w:r w:rsidRPr="00EA67EA">
              <w:t>sections</w:t>
            </w:r>
            <w:r w:rsidRPr="00EA67EA">
              <w:rPr>
                <w:spacing w:val="-6"/>
              </w:rPr>
              <w:t xml:space="preserve"> </w:t>
            </w:r>
            <w:r w:rsidRPr="00EA67EA">
              <w:t>4.4</w:t>
            </w:r>
            <w:r w:rsidRPr="00EA67EA">
              <w:rPr>
                <w:spacing w:val="-5"/>
              </w:rPr>
              <w:t xml:space="preserve"> </w:t>
            </w:r>
            <w:r w:rsidRPr="00EA67EA">
              <w:t>and</w:t>
            </w:r>
            <w:r w:rsidRPr="00EA67EA">
              <w:rPr>
                <w:spacing w:val="-6"/>
              </w:rPr>
              <w:t xml:space="preserve"> </w:t>
            </w:r>
            <w:r w:rsidRPr="00EA67EA">
              <w:t>5.1)</w:t>
            </w:r>
          </w:p>
          <w:p w14:paraId="2F138159" w14:textId="77777777" w:rsidR="00EA67EA" w:rsidRPr="00EA67EA" w:rsidRDefault="00EA67EA" w:rsidP="009175CE">
            <w:pPr>
              <w:pStyle w:val="TableParagraph"/>
              <w:spacing w:before="123"/>
              <w:rPr>
                <w:rFonts w:ascii="Cambria" w:hAnsi="Cambria"/>
              </w:rPr>
            </w:pPr>
            <w:r w:rsidRPr="00EA67EA">
              <w:rPr>
                <w:rFonts w:ascii="Cambria" w:hAnsi="Cambria"/>
              </w:rPr>
              <w:t>40mg</w:t>
            </w:r>
            <w:r w:rsidRPr="00EA67EA">
              <w:rPr>
                <w:rFonts w:ascii="Cambria" w:hAnsi="Cambria"/>
                <w:spacing w:val="-4"/>
              </w:rPr>
              <w:t xml:space="preserve"> </w:t>
            </w:r>
            <w:r w:rsidRPr="00EA67EA">
              <w:rPr>
                <w:rFonts w:ascii="Cambria" w:hAnsi="Cambria"/>
              </w:rPr>
              <w:t>and</w:t>
            </w:r>
            <w:r w:rsidRPr="00EA67EA">
              <w:rPr>
                <w:rFonts w:ascii="Cambria" w:hAnsi="Cambria"/>
                <w:spacing w:val="-3"/>
              </w:rPr>
              <w:t xml:space="preserve"> </w:t>
            </w:r>
            <w:r w:rsidRPr="00EA67EA">
              <w:rPr>
                <w:rFonts w:ascii="Cambria" w:hAnsi="Cambria"/>
              </w:rPr>
              <w:t>160mg</w:t>
            </w:r>
            <w:r w:rsidRPr="00EA67EA">
              <w:rPr>
                <w:rFonts w:ascii="Cambria" w:hAnsi="Cambria"/>
                <w:spacing w:val="-3"/>
              </w:rPr>
              <w:t xml:space="preserve"> </w:t>
            </w:r>
            <w:r w:rsidRPr="00EA67EA">
              <w:rPr>
                <w:rFonts w:ascii="Cambria" w:hAnsi="Cambria"/>
                <w:spacing w:val="-2"/>
              </w:rPr>
              <w:t>capsule</w:t>
            </w:r>
          </w:p>
        </w:tc>
      </w:tr>
      <w:tr w:rsidR="00EA67EA" w:rsidRPr="00EA67EA" w14:paraId="1609C1B3" w14:textId="77777777" w:rsidTr="007467E7">
        <w:trPr>
          <w:trHeight w:val="1372"/>
        </w:trPr>
        <w:tc>
          <w:tcPr>
            <w:tcW w:w="1277" w:type="dxa"/>
          </w:tcPr>
          <w:p w14:paraId="6D7E799E" w14:textId="77777777" w:rsidR="00EA67EA" w:rsidRPr="00EA67EA" w:rsidRDefault="00EA67EA" w:rsidP="009175CE">
            <w:pPr>
              <w:pStyle w:val="TableParagraph"/>
              <w:rPr>
                <w:rFonts w:ascii="Cambria" w:hAnsi="Cambria"/>
              </w:rPr>
            </w:pPr>
            <w:r w:rsidRPr="00EA67EA">
              <w:rPr>
                <w:rFonts w:ascii="Cambria" w:hAnsi="Cambria"/>
                <w:spacing w:val="-2"/>
              </w:rPr>
              <w:lastRenderedPageBreak/>
              <w:t>Canada</w:t>
            </w:r>
          </w:p>
        </w:tc>
        <w:tc>
          <w:tcPr>
            <w:tcW w:w="1558" w:type="dxa"/>
          </w:tcPr>
          <w:p w14:paraId="280C94E4" w14:textId="77777777" w:rsidR="00EA67EA" w:rsidRPr="00EA67EA" w:rsidRDefault="00EA67EA" w:rsidP="009175CE">
            <w:pPr>
              <w:pStyle w:val="TableParagraph"/>
              <w:rPr>
                <w:rFonts w:ascii="Cambria" w:hAnsi="Cambria"/>
              </w:rPr>
            </w:pPr>
            <w:r w:rsidRPr="00EA67EA">
              <w:rPr>
                <w:rFonts w:ascii="Cambria" w:hAnsi="Cambria"/>
              </w:rPr>
              <w:t>28</w:t>
            </w:r>
            <w:r w:rsidRPr="00EA67EA">
              <w:rPr>
                <w:rFonts w:ascii="Cambria" w:hAnsi="Cambria"/>
                <w:spacing w:val="-2"/>
              </w:rPr>
              <w:t xml:space="preserve"> </w:t>
            </w:r>
            <w:r w:rsidRPr="00EA67EA">
              <w:rPr>
                <w:rFonts w:ascii="Cambria" w:hAnsi="Cambria"/>
              </w:rPr>
              <w:t>Feb</w:t>
            </w:r>
            <w:r w:rsidRPr="00EA67EA">
              <w:rPr>
                <w:rFonts w:ascii="Cambria" w:hAnsi="Cambria"/>
                <w:spacing w:val="-1"/>
              </w:rPr>
              <w:t xml:space="preserve"> </w:t>
            </w:r>
            <w:r w:rsidRPr="00EA67EA">
              <w:rPr>
                <w:rFonts w:ascii="Cambria" w:hAnsi="Cambria"/>
                <w:spacing w:val="-4"/>
              </w:rPr>
              <w:t>2024</w:t>
            </w:r>
          </w:p>
        </w:tc>
        <w:tc>
          <w:tcPr>
            <w:tcW w:w="1701" w:type="dxa"/>
          </w:tcPr>
          <w:p w14:paraId="05B8B74A" w14:textId="77777777" w:rsidR="00EA67EA" w:rsidRPr="00EA67EA" w:rsidRDefault="00EA67EA" w:rsidP="009175CE">
            <w:pPr>
              <w:pStyle w:val="TableParagraph"/>
              <w:spacing w:line="264" w:lineRule="auto"/>
              <w:ind w:right="136"/>
              <w:rPr>
                <w:rFonts w:ascii="Cambria" w:hAnsi="Cambria"/>
              </w:rPr>
            </w:pPr>
            <w:r w:rsidRPr="00EA67EA">
              <w:rPr>
                <w:rFonts w:ascii="Cambria" w:hAnsi="Cambria"/>
                <w:spacing w:val="-4"/>
              </w:rPr>
              <w:t xml:space="preserve">Under </w:t>
            </w:r>
            <w:r w:rsidRPr="00EA67EA">
              <w:rPr>
                <w:rFonts w:ascii="Cambria" w:hAnsi="Cambria"/>
                <w:spacing w:val="-2"/>
              </w:rPr>
              <w:t xml:space="preserve">Evaluation </w:t>
            </w:r>
            <w:r w:rsidRPr="00EA67EA">
              <w:rPr>
                <w:rFonts w:ascii="Cambria" w:hAnsi="Cambria"/>
              </w:rPr>
              <w:t>(ORBIS</w:t>
            </w:r>
            <w:r w:rsidRPr="00EA67EA">
              <w:rPr>
                <w:rFonts w:ascii="Cambria" w:hAnsi="Cambria"/>
                <w:spacing w:val="-12"/>
              </w:rPr>
              <w:t xml:space="preserve"> </w:t>
            </w:r>
            <w:r w:rsidRPr="00EA67EA">
              <w:rPr>
                <w:rFonts w:ascii="Cambria" w:hAnsi="Cambria"/>
              </w:rPr>
              <w:t>Type</w:t>
            </w:r>
            <w:r w:rsidRPr="00EA67EA">
              <w:rPr>
                <w:rFonts w:ascii="Cambria" w:hAnsi="Cambria"/>
                <w:spacing w:val="-11"/>
              </w:rPr>
              <w:t xml:space="preserve"> </w:t>
            </w:r>
            <w:r w:rsidRPr="00EA67EA">
              <w:rPr>
                <w:rFonts w:ascii="Cambria" w:hAnsi="Cambria"/>
              </w:rPr>
              <w:t>C)</w:t>
            </w:r>
          </w:p>
        </w:tc>
        <w:tc>
          <w:tcPr>
            <w:tcW w:w="4308" w:type="dxa"/>
          </w:tcPr>
          <w:p w14:paraId="1A5C37CD" w14:textId="1FEB7EBB" w:rsidR="00EA67EA" w:rsidRPr="00EA67EA" w:rsidRDefault="00C00D00" w:rsidP="009175CE">
            <w:pPr>
              <w:pStyle w:val="TableParagraph"/>
              <w:rPr>
                <w:rFonts w:ascii="Cambria" w:hAnsi="Cambria"/>
              </w:rPr>
            </w:pPr>
            <w:r>
              <w:rPr>
                <w:rFonts w:ascii="Cambria" w:hAnsi="Cambria"/>
              </w:rPr>
              <w:t>Augtyro</w:t>
            </w:r>
            <w:r w:rsidR="00EA67EA" w:rsidRPr="00EA67EA">
              <w:rPr>
                <w:rFonts w:ascii="Cambria" w:hAnsi="Cambria"/>
                <w:spacing w:val="-9"/>
              </w:rPr>
              <w:t xml:space="preserve"> </w:t>
            </w:r>
            <w:r w:rsidR="00EA67EA" w:rsidRPr="00EA67EA">
              <w:rPr>
                <w:rFonts w:ascii="Cambria" w:hAnsi="Cambria"/>
              </w:rPr>
              <w:t>(</w:t>
            </w:r>
            <w:proofErr w:type="spellStart"/>
            <w:r w:rsidR="00EA67EA" w:rsidRPr="00EA67EA">
              <w:rPr>
                <w:rFonts w:ascii="Cambria" w:hAnsi="Cambria"/>
              </w:rPr>
              <w:t>repotrectinib</w:t>
            </w:r>
            <w:proofErr w:type="spellEnd"/>
            <w:r w:rsidR="00EA67EA" w:rsidRPr="00EA67EA">
              <w:rPr>
                <w:rFonts w:ascii="Cambria" w:hAnsi="Cambria"/>
                <w:spacing w:val="-8"/>
              </w:rPr>
              <w:t xml:space="preserve"> </w:t>
            </w:r>
            <w:r w:rsidR="00EA67EA" w:rsidRPr="00EA67EA">
              <w:rPr>
                <w:rFonts w:ascii="Cambria" w:hAnsi="Cambria"/>
              </w:rPr>
              <w:t>capsules)</w:t>
            </w:r>
            <w:r w:rsidR="00EA67EA" w:rsidRPr="00EA67EA">
              <w:rPr>
                <w:rFonts w:ascii="Cambria" w:hAnsi="Cambria"/>
                <w:spacing w:val="-8"/>
              </w:rPr>
              <w:t xml:space="preserve"> </w:t>
            </w:r>
            <w:r w:rsidR="00EA67EA" w:rsidRPr="00EA67EA">
              <w:rPr>
                <w:rFonts w:ascii="Cambria" w:hAnsi="Cambria"/>
              </w:rPr>
              <w:t>is</w:t>
            </w:r>
            <w:r w:rsidR="00EA67EA" w:rsidRPr="00EA67EA">
              <w:rPr>
                <w:rFonts w:ascii="Cambria" w:hAnsi="Cambria"/>
                <w:spacing w:val="-10"/>
              </w:rPr>
              <w:t xml:space="preserve"> </w:t>
            </w:r>
            <w:r w:rsidR="00EA67EA" w:rsidRPr="00EA67EA">
              <w:rPr>
                <w:rFonts w:ascii="Cambria" w:hAnsi="Cambria"/>
              </w:rPr>
              <w:t>indicated</w:t>
            </w:r>
            <w:r w:rsidR="00EA67EA" w:rsidRPr="00EA67EA">
              <w:rPr>
                <w:rFonts w:ascii="Cambria" w:hAnsi="Cambria"/>
                <w:spacing w:val="-8"/>
              </w:rPr>
              <w:t xml:space="preserve"> </w:t>
            </w:r>
            <w:r w:rsidR="00EA67EA" w:rsidRPr="00EA67EA">
              <w:rPr>
                <w:rFonts w:ascii="Cambria" w:hAnsi="Cambria"/>
                <w:spacing w:val="-4"/>
              </w:rPr>
              <w:t>for:</w:t>
            </w:r>
          </w:p>
          <w:p w14:paraId="5ED56380" w14:textId="36B48459" w:rsidR="00EA67EA" w:rsidRPr="00EA67EA" w:rsidRDefault="00EA67EA" w:rsidP="009175CE">
            <w:pPr>
              <w:pStyle w:val="TableParagraph"/>
              <w:spacing w:before="144" w:line="264" w:lineRule="auto"/>
              <w:ind w:right="652"/>
              <w:rPr>
                <w:rFonts w:ascii="Cambria" w:hAnsi="Cambria"/>
              </w:rPr>
            </w:pPr>
            <w:r w:rsidRPr="00EA67EA">
              <w:rPr>
                <w:rFonts w:ascii="Cambria" w:hAnsi="Cambria"/>
              </w:rPr>
              <w:t>Treatment</w:t>
            </w:r>
            <w:r w:rsidRPr="00EA67EA">
              <w:rPr>
                <w:rFonts w:ascii="Cambria" w:hAnsi="Cambria"/>
                <w:spacing w:val="-6"/>
              </w:rPr>
              <w:t xml:space="preserve"> </w:t>
            </w:r>
            <w:r w:rsidRPr="00EA67EA">
              <w:rPr>
                <w:rFonts w:ascii="Cambria" w:hAnsi="Cambria"/>
              </w:rPr>
              <w:t>of</w:t>
            </w:r>
            <w:r w:rsidRPr="00EA67EA">
              <w:rPr>
                <w:rFonts w:ascii="Cambria" w:hAnsi="Cambria"/>
                <w:spacing w:val="-5"/>
              </w:rPr>
              <w:t xml:space="preserve"> </w:t>
            </w:r>
            <w:r w:rsidRPr="00EA67EA">
              <w:rPr>
                <w:rFonts w:ascii="Cambria" w:hAnsi="Cambria"/>
              </w:rPr>
              <w:t>adult</w:t>
            </w:r>
            <w:r w:rsidRPr="00EA67EA">
              <w:rPr>
                <w:rFonts w:ascii="Cambria" w:hAnsi="Cambria"/>
                <w:spacing w:val="-6"/>
              </w:rPr>
              <w:t xml:space="preserve"> </w:t>
            </w:r>
            <w:r w:rsidRPr="00EA67EA">
              <w:rPr>
                <w:rFonts w:ascii="Cambria" w:hAnsi="Cambria"/>
              </w:rPr>
              <w:t>patients</w:t>
            </w:r>
            <w:r w:rsidRPr="00EA67EA">
              <w:rPr>
                <w:rFonts w:ascii="Cambria" w:hAnsi="Cambria"/>
                <w:spacing w:val="-6"/>
              </w:rPr>
              <w:t xml:space="preserve"> </w:t>
            </w:r>
            <w:r w:rsidRPr="00EA67EA">
              <w:rPr>
                <w:rFonts w:ascii="Cambria" w:hAnsi="Cambria"/>
              </w:rPr>
              <w:t>with</w:t>
            </w:r>
            <w:r w:rsidR="00EA3591">
              <w:rPr>
                <w:rFonts w:ascii="Cambria" w:hAnsi="Cambria"/>
              </w:rPr>
              <w:t xml:space="preserve"> </w:t>
            </w:r>
            <w:r w:rsidRPr="00EA67EA">
              <w:rPr>
                <w:rFonts w:ascii="Cambria" w:hAnsi="Cambria"/>
              </w:rPr>
              <w:t>locally</w:t>
            </w:r>
            <w:r w:rsidRPr="00EA67EA">
              <w:rPr>
                <w:rFonts w:ascii="Cambria" w:hAnsi="Cambria"/>
                <w:spacing w:val="-5"/>
              </w:rPr>
              <w:t xml:space="preserve"> </w:t>
            </w:r>
            <w:r w:rsidRPr="00EA67EA">
              <w:rPr>
                <w:rFonts w:ascii="Cambria" w:hAnsi="Cambria"/>
              </w:rPr>
              <w:t>advanced</w:t>
            </w:r>
            <w:r w:rsidRPr="00EA67EA">
              <w:rPr>
                <w:rFonts w:ascii="Cambria" w:hAnsi="Cambria"/>
                <w:spacing w:val="-6"/>
              </w:rPr>
              <w:t xml:space="preserve"> </w:t>
            </w:r>
            <w:r w:rsidRPr="00EA67EA">
              <w:rPr>
                <w:rFonts w:ascii="Cambria" w:hAnsi="Cambria"/>
              </w:rPr>
              <w:t>or</w:t>
            </w:r>
            <w:r w:rsidRPr="00EA67EA">
              <w:rPr>
                <w:rFonts w:ascii="Cambria" w:hAnsi="Cambria"/>
                <w:spacing w:val="-5"/>
              </w:rPr>
              <w:t xml:space="preserve"> </w:t>
            </w:r>
            <w:r w:rsidRPr="00EA67EA">
              <w:rPr>
                <w:rFonts w:ascii="Cambria" w:hAnsi="Cambria"/>
              </w:rPr>
              <w:t>metastatic ROS1-positive non-small cell lung cancer (NSCLC).</w:t>
            </w:r>
          </w:p>
          <w:p w14:paraId="3B570FE6" w14:textId="77777777" w:rsidR="00EA67EA" w:rsidRPr="00EA67EA" w:rsidRDefault="00EA67EA" w:rsidP="009175CE">
            <w:pPr>
              <w:pStyle w:val="TableParagraph"/>
              <w:spacing w:before="121"/>
              <w:rPr>
                <w:rFonts w:ascii="Cambria" w:hAnsi="Cambria"/>
              </w:rPr>
            </w:pPr>
            <w:r w:rsidRPr="00EA67EA">
              <w:rPr>
                <w:rFonts w:ascii="Cambria" w:hAnsi="Cambria"/>
              </w:rPr>
              <w:t>40mg</w:t>
            </w:r>
            <w:r w:rsidRPr="00EA67EA">
              <w:rPr>
                <w:rFonts w:ascii="Cambria" w:hAnsi="Cambria"/>
                <w:spacing w:val="-4"/>
              </w:rPr>
              <w:t xml:space="preserve"> </w:t>
            </w:r>
            <w:r w:rsidRPr="00EA67EA">
              <w:rPr>
                <w:rFonts w:ascii="Cambria" w:hAnsi="Cambria"/>
              </w:rPr>
              <w:t>and</w:t>
            </w:r>
            <w:r w:rsidRPr="00EA67EA">
              <w:rPr>
                <w:rFonts w:ascii="Cambria" w:hAnsi="Cambria"/>
                <w:spacing w:val="-3"/>
              </w:rPr>
              <w:t xml:space="preserve"> </w:t>
            </w:r>
            <w:r w:rsidRPr="00EA67EA">
              <w:rPr>
                <w:rFonts w:ascii="Cambria" w:hAnsi="Cambria"/>
              </w:rPr>
              <w:t>160mg</w:t>
            </w:r>
            <w:r w:rsidRPr="00EA67EA">
              <w:rPr>
                <w:rFonts w:ascii="Cambria" w:hAnsi="Cambria"/>
                <w:spacing w:val="-3"/>
              </w:rPr>
              <w:t xml:space="preserve"> </w:t>
            </w:r>
            <w:r w:rsidRPr="00EA67EA">
              <w:rPr>
                <w:rFonts w:ascii="Cambria" w:hAnsi="Cambria"/>
                <w:spacing w:val="-2"/>
              </w:rPr>
              <w:t>capsules</w:t>
            </w:r>
          </w:p>
        </w:tc>
      </w:tr>
      <w:tr w:rsidR="00EA67EA" w:rsidRPr="00EA67EA" w14:paraId="1CF12F39" w14:textId="77777777" w:rsidTr="007467E7">
        <w:trPr>
          <w:trHeight w:val="2637"/>
        </w:trPr>
        <w:tc>
          <w:tcPr>
            <w:tcW w:w="1277" w:type="dxa"/>
          </w:tcPr>
          <w:p w14:paraId="0F58AD06" w14:textId="77777777" w:rsidR="00EA67EA" w:rsidRPr="00EA67EA" w:rsidRDefault="00EA67EA" w:rsidP="009175CE">
            <w:pPr>
              <w:pStyle w:val="TableParagraph"/>
              <w:rPr>
                <w:rFonts w:ascii="Cambria" w:hAnsi="Cambria"/>
              </w:rPr>
            </w:pPr>
            <w:r w:rsidRPr="00EA67EA">
              <w:rPr>
                <w:rFonts w:ascii="Cambria" w:hAnsi="Cambria"/>
                <w:spacing w:val="-2"/>
              </w:rPr>
              <w:t>Switzerland</w:t>
            </w:r>
          </w:p>
        </w:tc>
        <w:tc>
          <w:tcPr>
            <w:tcW w:w="1558" w:type="dxa"/>
          </w:tcPr>
          <w:p w14:paraId="57F26D1C" w14:textId="77777777" w:rsidR="00EA67EA" w:rsidRPr="00EA67EA" w:rsidRDefault="00EA67EA" w:rsidP="009175CE">
            <w:pPr>
              <w:pStyle w:val="TableParagraph"/>
              <w:rPr>
                <w:rFonts w:ascii="Cambria" w:hAnsi="Cambria"/>
              </w:rPr>
            </w:pPr>
            <w:r w:rsidRPr="00EA67EA">
              <w:rPr>
                <w:rFonts w:ascii="Cambria" w:hAnsi="Cambria"/>
              </w:rPr>
              <w:t>20</w:t>
            </w:r>
            <w:r w:rsidRPr="00EA67EA">
              <w:rPr>
                <w:rFonts w:ascii="Cambria" w:hAnsi="Cambria"/>
                <w:spacing w:val="-2"/>
              </w:rPr>
              <w:t xml:space="preserve"> </w:t>
            </w:r>
            <w:r w:rsidRPr="00EA67EA">
              <w:rPr>
                <w:rFonts w:ascii="Cambria" w:hAnsi="Cambria"/>
              </w:rPr>
              <w:t>Dec</w:t>
            </w:r>
            <w:r w:rsidRPr="00EA67EA">
              <w:rPr>
                <w:rFonts w:ascii="Cambria" w:hAnsi="Cambria"/>
                <w:spacing w:val="-2"/>
              </w:rPr>
              <w:t xml:space="preserve"> </w:t>
            </w:r>
            <w:r w:rsidRPr="00EA67EA">
              <w:rPr>
                <w:rFonts w:ascii="Cambria" w:hAnsi="Cambria"/>
                <w:spacing w:val="-4"/>
              </w:rPr>
              <w:t>2023</w:t>
            </w:r>
          </w:p>
        </w:tc>
        <w:tc>
          <w:tcPr>
            <w:tcW w:w="1701" w:type="dxa"/>
          </w:tcPr>
          <w:p w14:paraId="0A50B247" w14:textId="77777777" w:rsidR="00EA67EA" w:rsidRPr="00EA67EA" w:rsidRDefault="00EA67EA" w:rsidP="009175CE">
            <w:pPr>
              <w:pStyle w:val="TableParagraph"/>
              <w:spacing w:line="266" w:lineRule="auto"/>
              <w:ind w:right="395"/>
              <w:rPr>
                <w:rFonts w:ascii="Cambria" w:hAnsi="Cambria"/>
              </w:rPr>
            </w:pPr>
            <w:r w:rsidRPr="00EA67EA">
              <w:rPr>
                <w:rFonts w:ascii="Cambria" w:hAnsi="Cambria"/>
                <w:spacing w:val="-4"/>
              </w:rPr>
              <w:t xml:space="preserve">Under </w:t>
            </w:r>
            <w:r w:rsidRPr="00EA67EA">
              <w:rPr>
                <w:rFonts w:ascii="Cambria" w:hAnsi="Cambria"/>
                <w:spacing w:val="-2"/>
              </w:rPr>
              <w:t>Evaluation</w:t>
            </w:r>
          </w:p>
          <w:p w14:paraId="54D3FEDF" w14:textId="77777777" w:rsidR="00EA67EA" w:rsidRPr="00EA67EA" w:rsidRDefault="00EA67EA" w:rsidP="00A04CD8">
            <w:pPr>
              <w:pStyle w:val="TableParagraph"/>
              <w:spacing w:before="115"/>
              <w:ind w:right="139"/>
              <w:rPr>
                <w:rFonts w:ascii="Cambria" w:hAnsi="Cambria"/>
              </w:rPr>
            </w:pPr>
            <w:r w:rsidRPr="00EA67EA">
              <w:rPr>
                <w:rFonts w:ascii="Cambria" w:hAnsi="Cambria"/>
              </w:rPr>
              <w:t>(ORBIS</w:t>
            </w:r>
            <w:r w:rsidRPr="00EA67EA">
              <w:rPr>
                <w:rFonts w:ascii="Cambria" w:hAnsi="Cambria"/>
                <w:spacing w:val="-5"/>
              </w:rPr>
              <w:t xml:space="preserve"> </w:t>
            </w:r>
            <w:r w:rsidRPr="00EA67EA">
              <w:rPr>
                <w:rFonts w:ascii="Cambria" w:hAnsi="Cambria"/>
              </w:rPr>
              <w:t>Type</w:t>
            </w:r>
            <w:r w:rsidRPr="00EA67EA">
              <w:rPr>
                <w:rFonts w:ascii="Cambria" w:hAnsi="Cambria"/>
                <w:spacing w:val="-3"/>
              </w:rPr>
              <w:t xml:space="preserve"> </w:t>
            </w:r>
            <w:r w:rsidRPr="00EA67EA">
              <w:rPr>
                <w:rFonts w:ascii="Cambria" w:hAnsi="Cambria"/>
                <w:spacing w:val="-5"/>
              </w:rPr>
              <w:t>C)</w:t>
            </w:r>
          </w:p>
        </w:tc>
        <w:tc>
          <w:tcPr>
            <w:tcW w:w="4308" w:type="dxa"/>
          </w:tcPr>
          <w:p w14:paraId="63E589E0" w14:textId="750CD100" w:rsidR="00EA67EA" w:rsidRPr="00EA67EA" w:rsidRDefault="00C00D00" w:rsidP="009175CE">
            <w:pPr>
              <w:pStyle w:val="TableParagraph"/>
              <w:spacing w:line="264" w:lineRule="auto"/>
              <w:rPr>
                <w:rFonts w:ascii="Cambria" w:hAnsi="Cambria"/>
              </w:rPr>
            </w:pPr>
            <w:r>
              <w:rPr>
                <w:rFonts w:ascii="Cambria" w:hAnsi="Cambria"/>
              </w:rPr>
              <w:t>Augtyro</w:t>
            </w:r>
            <w:r w:rsidR="00EA67EA" w:rsidRPr="00EA67EA">
              <w:rPr>
                <w:rFonts w:ascii="Cambria" w:hAnsi="Cambria"/>
              </w:rPr>
              <w:t xml:space="preserve"> as monotherapy is indicated for the treatment of adult patients</w:t>
            </w:r>
            <w:r w:rsidR="00EA67EA" w:rsidRPr="00EA67EA">
              <w:rPr>
                <w:rFonts w:ascii="Cambria" w:hAnsi="Cambria"/>
                <w:spacing w:val="-7"/>
              </w:rPr>
              <w:t xml:space="preserve"> </w:t>
            </w:r>
            <w:r w:rsidR="00EA67EA" w:rsidRPr="00EA67EA">
              <w:rPr>
                <w:rFonts w:ascii="Cambria" w:hAnsi="Cambria"/>
              </w:rPr>
              <w:t>with</w:t>
            </w:r>
            <w:r w:rsidR="00EA67EA" w:rsidRPr="00EA67EA">
              <w:rPr>
                <w:rFonts w:ascii="Cambria" w:hAnsi="Cambria"/>
                <w:spacing w:val="-5"/>
              </w:rPr>
              <w:t xml:space="preserve"> </w:t>
            </w:r>
            <w:r w:rsidR="00EA67EA" w:rsidRPr="00EA67EA">
              <w:rPr>
                <w:rFonts w:ascii="Cambria" w:hAnsi="Cambria"/>
              </w:rPr>
              <w:t>ROS1-positive</w:t>
            </w:r>
            <w:r w:rsidR="00EA67EA" w:rsidRPr="00EA67EA">
              <w:rPr>
                <w:rFonts w:ascii="Cambria" w:hAnsi="Cambria"/>
                <w:spacing w:val="-6"/>
              </w:rPr>
              <w:t xml:space="preserve"> </w:t>
            </w:r>
            <w:r w:rsidR="00EA67EA" w:rsidRPr="00EA67EA">
              <w:rPr>
                <w:rFonts w:ascii="Cambria" w:hAnsi="Cambria"/>
              </w:rPr>
              <w:t>locally</w:t>
            </w:r>
            <w:r w:rsidR="00EA67EA" w:rsidRPr="00EA67EA">
              <w:rPr>
                <w:rFonts w:ascii="Cambria" w:hAnsi="Cambria"/>
                <w:spacing w:val="-5"/>
              </w:rPr>
              <w:t xml:space="preserve"> </w:t>
            </w:r>
            <w:r w:rsidR="00EA67EA" w:rsidRPr="00EA67EA">
              <w:rPr>
                <w:rFonts w:ascii="Cambria" w:hAnsi="Cambria"/>
              </w:rPr>
              <w:t>advanced</w:t>
            </w:r>
            <w:r w:rsidR="00EA67EA" w:rsidRPr="00EA67EA">
              <w:rPr>
                <w:rFonts w:ascii="Cambria" w:hAnsi="Cambria"/>
                <w:spacing w:val="-5"/>
              </w:rPr>
              <w:t xml:space="preserve"> </w:t>
            </w:r>
            <w:r w:rsidR="00EA67EA" w:rsidRPr="00EA67EA">
              <w:rPr>
                <w:rFonts w:ascii="Cambria" w:hAnsi="Cambria"/>
              </w:rPr>
              <w:t>or</w:t>
            </w:r>
            <w:r w:rsidR="00EA67EA" w:rsidRPr="00EA67EA">
              <w:rPr>
                <w:rFonts w:ascii="Cambria" w:hAnsi="Cambria"/>
                <w:spacing w:val="-5"/>
              </w:rPr>
              <w:t xml:space="preserve"> </w:t>
            </w:r>
            <w:r w:rsidR="00EA67EA" w:rsidRPr="00EA67EA">
              <w:rPr>
                <w:rFonts w:ascii="Cambria" w:hAnsi="Cambria"/>
              </w:rPr>
              <w:t>metastatic</w:t>
            </w:r>
            <w:r w:rsidR="00EA67EA" w:rsidRPr="00EA67EA">
              <w:rPr>
                <w:rFonts w:ascii="Cambria" w:hAnsi="Cambria"/>
                <w:spacing w:val="-6"/>
              </w:rPr>
              <w:t xml:space="preserve"> </w:t>
            </w:r>
            <w:r w:rsidR="00EA67EA" w:rsidRPr="00EA67EA">
              <w:rPr>
                <w:rFonts w:ascii="Cambria" w:hAnsi="Cambria"/>
              </w:rPr>
              <w:t>non-small cell lung cancer (NSCLC).</w:t>
            </w:r>
          </w:p>
          <w:p w14:paraId="77E7408C" w14:textId="26A6D29C" w:rsidR="00EA67EA" w:rsidRPr="00EA67EA" w:rsidRDefault="00C00D00" w:rsidP="009175CE">
            <w:pPr>
              <w:pStyle w:val="TableParagraph"/>
              <w:spacing w:before="119" w:line="264" w:lineRule="auto"/>
              <w:ind w:right="96"/>
              <w:rPr>
                <w:rFonts w:ascii="Cambria" w:hAnsi="Cambria"/>
              </w:rPr>
            </w:pPr>
            <w:r>
              <w:rPr>
                <w:rFonts w:ascii="Cambria" w:hAnsi="Cambria"/>
              </w:rPr>
              <w:t>Augtyro</w:t>
            </w:r>
            <w:r w:rsidR="00EA67EA" w:rsidRPr="00EA67EA">
              <w:rPr>
                <w:rFonts w:ascii="Cambria" w:hAnsi="Cambria"/>
              </w:rPr>
              <w:t xml:space="preserve"> as monotherapy is indicated for the treatment of adult and </w:t>
            </w:r>
            <w:proofErr w:type="spellStart"/>
            <w:r w:rsidR="00EA67EA" w:rsidRPr="00EA67EA">
              <w:rPr>
                <w:rFonts w:ascii="Cambria" w:hAnsi="Cambria"/>
              </w:rPr>
              <w:t>paediatric</w:t>
            </w:r>
            <w:proofErr w:type="spellEnd"/>
            <w:r w:rsidR="00EA67EA" w:rsidRPr="00EA67EA">
              <w:rPr>
                <w:rFonts w:ascii="Cambria" w:hAnsi="Cambria"/>
              </w:rPr>
              <w:t xml:space="preserve"> patients 12 years of age and older with solid tumors expressing</w:t>
            </w:r>
            <w:r w:rsidR="00EA67EA" w:rsidRPr="00EA67EA">
              <w:rPr>
                <w:rFonts w:ascii="Cambria" w:hAnsi="Cambria"/>
                <w:spacing w:val="-5"/>
              </w:rPr>
              <w:t xml:space="preserve"> </w:t>
            </w:r>
            <w:r w:rsidR="00EA67EA" w:rsidRPr="00EA67EA">
              <w:rPr>
                <w:rFonts w:ascii="Cambria" w:hAnsi="Cambria"/>
              </w:rPr>
              <w:t>neurotrophic</w:t>
            </w:r>
            <w:r w:rsidR="00EA67EA" w:rsidRPr="00EA67EA">
              <w:rPr>
                <w:rFonts w:ascii="Cambria" w:hAnsi="Cambria"/>
                <w:spacing w:val="-6"/>
              </w:rPr>
              <w:t xml:space="preserve"> </w:t>
            </w:r>
            <w:r w:rsidR="00EA67EA" w:rsidRPr="00EA67EA">
              <w:rPr>
                <w:rFonts w:ascii="Cambria" w:hAnsi="Cambria"/>
              </w:rPr>
              <w:t>tyrosine</w:t>
            </w:r>
            <w:r w:rsidR="00EA67EA" w:rsidRPr="00EA67EA">
              <w:rPr>
                <w:rFonts w:ascii="Cambria" w:hAnsi="Cambria"/>
                <w:spacing w:val="-6"/>
              </w:rPr>
              <w:t xml:space="preserve"> </w:t>
            </w:r>
            <w:r w:rsidR="00EA67EA" w:rsidRPr="00EA67EA">
              <w:rPr>
                <w:rFonts w:ascii="Cambria" w:hAnsi="Cambria"/>
              </w:rPr>
              <w:t>receptor</w:t>
            </w:r>
            <w:r w:rsidR="00EA67EA" w:rsidRPr="00EA67EA">
              <w:rPr>
                <w:rFonts w:ascii="Cambria" w:hAnsi="Cambria"/>
                <w:spacing w:val="-5"/>
              </w:rPr>
              <w:t xml:space="preserve"> </w:t>
            </w:r>
            <w:r w:rsidR="00EA67EA" w:rsidRPr="00EA67EA">
              <w:rPr>
                <w:rFonts w:ascii="Cambria" w:hAnsi="Cambria"/>
              </w:rPr>
              <w:t>kinase</w:t>
            </w:r>
            <w:r w:rsidR="00EA67EA" w:rsidRPr="00EA67EA">
              <w:rPr>
                <w:rFonts w:ascii="Cambria" w:hAnsi="Cambria"/>
                <w:spacing w:val="-6"/>
              </w:rPr>
              <w:t xml:space="preserve"> </w:t>
            </w:r>
            <w:r w:rsidR="00EA67EA" w:rsidRPr="00EA67EA">
              <w:rPr>
                <w:rFonts w:ascii="Cambria" w:hAnsi="Cambria"/>
              </w:rPr>
              <w:t>(NTRK)</w:t>
            </w:r>
            <w:r w:rsidR="00EA67EA" w:rsidRPr="00EA67EA">
              <w:rPr>
                <w:rFonts w:ascii="Cambria" w:hAnsi="Cambria"/>
                <w:spacing w:val="-5"/>
              </w:rPr>
              <w:t xml:space="preserve"> </w:t>
            </w:r>
            <w:r w:rsidR="00EA67EA" w:rsidRPr="00EA67EA">
              <w:rPr>
                <w:rFonts w:ascii="Cambria" w:hAnsi="Cambria"/>
              </w:rPr>
              <w:t>gene</w:t>
            </w:r>
            <w:r w:rsidR="00EA67EA" w:rsidRPr="00EA67EA">
              <w:rPr>
                <w:rFonts w:ascii="Cambria" w:hAnsi="Cambria"/>
                <w:spacing w:val="-6"/>
              </w:rPr>
              <w:t xml:space="preserve"> </w:t>
            </w:r>
            <w:r w:rsidR="00EA67EA" w:rsidRPr="00EA67EA">
              <w:rPr>
                <w:rFonts w:ascii="Cambria" w:hAnsi="Cambria"/>
              </w:rPr>
              <w:t>fusion that is locally advanced or metastatic or where surgical resection is likely to result in severe morbidity.</w:t>
            </w:r>
          </w:p>
          <w:p w14:paraId="7DA42375" w14:textId="77777777" w:rsidR="00EA67EA" w:rsidRPr="00EA67EA" w:rsidRDefault="00EA67EA" w:rsidP="009175CE">
            <w:pPr>
              <w:pStyle w:val="TableParagraph"/>
              <w:spacing w:before="123"/>
              <w:rPr>
                <w:rFonts w:ascii="Cambria" w:hAnsi="Cambria"/>
              </w:rPr>
            </w:pPr>
            <w:r w:rsidRPr="00EA67EA">
              <w:rPr>
                <w:rFonts w:ascii="Cambria" w:hAnsi="Cambria"/>
              </w:rPr>
              <w:t>40mg</w:t>
            </w:r>
            <w:r w:rsidRPr="00EA67EA">
              <w:rPr>
                <w:rFonts w:ascii="Cambria" w:hAnsi="Cambria"/>
                <w:spacing w:val="-4"/>
              </w:rPr>
              <w:t xml:space="preserve"> </w:t>
            </w:r>
            <w:r w:rsidRPr="00EA67EA">
              <w:rPr>
                <w:rFonts w:ascii="Cambria" w:hAnsi="Cambria"/>
              </w:rPr>
              <w:t>and</w:t>
            </w:r>
            <w:r w:rsidRPr="00EA67EA">
              <w:rPr>
                <w:rFonts w:ascii="Cambria" w:hAnsi="Cambria"/>
                <w:spacing w:val="-3"/>
              </w:rPr>
              <w:t xml:space="preserve"> </w:t>
            </w:r>
            <w:r w:rsidRPr="00EA67EA">
              <w:rPr>
                <w:rFonts w:ascii="Cambria" w:hAnsi="Cambria"/>
              </w:rPr>
              <w:t>160mg</w:t>
            </w:r>
            <w:r w:rsidRPr="00EA67EA">
              <w:rPr>
                <w:rFonts w:ascii="Cambria" w:hAnsi="Cambria"/>
                <w:spacing w:val="-3"/>
              </w:rPr>
              <w:t xml:space="preserve"> </w:t>
            </w:r>
            <w:r w:rsidRPr="00EA67EA">
              <w:rPr>
                <w:rFonts w:ascii="Cambria" w:hAnsi="Cambria"/>
                <w:spacing w:val="-2"/>
              </w:rPr>
              <w:t>capsule</w:t>
            </w:r>
          </w:p>
        </w:tc>
      </w:tr>
      <w:tr w:rsidR="00EA67EA" w:rsidRPr="00EA67EA" w14:paraId="4FA15C17" w14:textId="77777777" w:rsidTr="007467E7">
        <w:trPr>
          <w:trHeight w:val="505"/>
        </w:trPr>
        <w:tc>
          <w:tcPr>
            <w:tcW w:w="1277" w:type="dxa"/>
          </w:tcPr>
          <w:p w14:paraId="6BAD70F3" w14:textId="77777777" w:rsidR="00EA67EA" w:rsidRPr="00EA67EA" w:rsidRDefault="00EA67EA" w:rsidP="009175CE">
            <w:pPr>
              <w:pStyle w:val="TableParagraph"/>
              <w:rPr>
                <w:rFonts w:ascii="Cambria" w:hAnsi="Cambria"/>
              </w:rPr>
            </w:pPr>
            <w:r w:rsidRPr="00EA67EA">
              <w:rPr>
                <w:rFonts w:ascii="Cambria" w:hAnsi="Cambria"/>
                <w:spacing w:val="-2"/>
              </w:rPr>
              <w:t>Singapore</w:t>
            </w:r>
          </w:p>
        </w:tc>
        <w:tc>
          <w:tcPr>
            <w:tcW w:w="1558" w:type="dxa"/>
          </w:tcPr>
          <w:p w14:paraId="77D312E9" w14:textId="77777777" w:rsidR="00EA67EA" w:rsidRPr="00EA67EA" w:rsidRDefault="00EA67EA" w:rsidP="009175CE">
            <w:pPr>
              <w:pStyle w:val="TableParagraph"/>
              <w:rPr>
                <w:rFonts w:ascii="Cambria" w:hAnsi="Cambria"/>
              </w:rPr>
            </w:pPr>
            <w:r w:rsidRPr="00EA67EA">
              <w:rPr>
                <w:rFonts w:ascii="Cambria" w:hAnsi="Cambria"/>
                <w:spacing w:val="-2"/>
              </w:rPr>
              <w:t>Planned</w:t>
            </w:r>
          </w:p>
          <w:p w14:paraId="77895F90" w14:textId="77777777" w:rsidR="00EA67EA" w:rsidRPr="00EA67EA" w:rsidRDefault="00EA67EA" w:rsidP="009175CE">
            <w:pPr>
              <w:pStyle w:val="TableParagraph"/>
              <w:spacing w:before="22"/>
              <w:rPr>
                <w:rFonts w:ascii="Cambria" w:hAnsi="Cambria"/>
              </w:rPr>
            </w:pPr>
            <w:r w:rsidRPr="00EA67EA">
              <w:rPr>
                <w:rFonts w:ascii="Cambria" w:hAnsi="Cambria"/>
              </w:rPr>
              <w:t>30</w:t>
            </w:r>
            <w:r w:rsidRPr="00EA67EA">
              <w:rPr>
                <w:rFonts w:ascii="Cambria" w:hAnsi="Cambria"/>
                <w:spacing w:val="-2"/>
              </w:rPr>
              <w:t xml:space="preserve"> </w:t>
            </w:r>
            <w:r w:rsidRPr="00EA67EA">
              <w:rPr>
                <w:rFonts w:ascii="Cambria" w:hAnsi="Cambria"/>
              </w:rPr>
              <w:t>Sep</w:t>
            </w:r>
            <w:r w:rsidRPr="00EA67EA">
              <w:rPr>
                <w:rFonts w:ascii="Cambria" w:hAnsi="Cambria"/>
                <w:spacing w:val="-1"/>
              </w:rPr>
              <w:t xml:space="preserve"> </w:t>
            </w:r>
            <w:r w:rsidRPr="00EA67EA">
              <w:rPr>
                <w:rFonts w:ascii="Cambria" w:hAnsi="Cambria"/>
                <w:spacing w:val="-4"/>
              </w:rPr>
              <w:t>2025</w:t>
            </w:r>
          </w:p>
        </w:tc>
        <w:tc>
          <w:tcPr>
            <w:tcW w:w="1701" w:type="dxa"/>
          </w:tcPr>
          <w:p w14:paraId="6C241F4E" w14:textId="72341045" w:rsidR="00EA67EA" w:rsidRPr="00EA67EA" w:rsidRDefault="004F5CBE" w:rsidP="009175CE">
            <w:pPr>
              <w:pStyle w:val="TableParagraph"/>
              <w:rPr>
                <w:rFonts w:ascii="Cambria" w:hAnsi="Cambria"/>
              </w:rPr>
            </w:pPr>
            <w:r>
              <w:rPr>
                <w:rFonts w:ascii="Cambria" w:hAnsi="Cambria"/>
                <w:spacing w:val="-5"/>
              </w:rPr>
              <w:t>-</w:t>
            </w:r>
          </w:p>
        </w:tc>
        <w:tc>
          <w:tcPr>
            <w:tcW w:w="4308" w:type="dxa"/>
          </w:tcPr>
          <w:p w14:paraId="40D1E740" w14:textId="73EFF69A" w:rsidR="00EA67EA" w:rsidRPr="00EA67EA" w:rsidRDefault="004F5CBE" w:rsidP="009175CE">
            <w:pPr>
              <w:pStyle w:val="TableParagraph"/>
              <w:rPr>
                <w:rFonts w:ascii="Cambria" w:hAnsi="Cambria"/>
              </w:rPr>
            </w:pPr>
            <w:r>
              <w:rPr>
                <w:rFonts w:ascii="Cambria" w:hAnsi="Cambria"/>
                <w:spacing w:val="-5"/>
              </w:rPr>
              <w:t>-</w:t>
            </w:r>
          </w:p>
        </w:tc>
      </w:tr>
      <w:tr w:rsidR="00EA67EA" w:rsidRPr="00EA67EA" w14:paraId="3CA706B2" w14:textId="77777777" w:rsidTr="007467E7">
        <w:trPr>
          <w:trHeight w:val="505"/>
        </w:trPr>
        <w:tc>
          <w:tcPr>
            <w:tcW w:w="1277" w:type="dxa"/>
          </w:tcPr>
          <w:p w14:paraId="7C56B006" w14:textId="77777777" w:rsidR="00EA67EA" w:rsidRPr="00EA67EA" w:rsidRDefault="00EA67EA" w:rsidP="009175CE">
            <w:pPr>
              <w:pStyle w:val="TableParagraph"/>
              <w:rPr>
                <w:rFonts w:ascii="Cambria" w:hAnsi="Cambria"/>
              </w:rPr>
            </w:pPr>
            <w:r w:rsidRPr="00EA67EA">
              <w:rPr>
                <w:rFonts w:ascii="Cambria" w:hAnsi="Cambria"/>
                <w:spacing w:val="-2"/>
              </w:rPr>
              <w:t>Brazil</w:t>
            </w:r>
          </w:p>
        </w:tc>
        <w:tc>
          <w:tcPr>
            <w:tcW w:w="1558" w:type="dxa"/>
          </w:tcPr>
          <w:p w14:paraId="24ABD5EF" w14:textId="77777777" w:rsidR="00EA67EA" w:rsidRPr="00EA67EA" w:rsidRDefault="00EA67EA" w:rsidP="009175CE">
            <w:pPr>
              <w:pStyle w:val="TableParagraph"/>
              <w:rPr>
                <w:rFonts w:ascii="Cambria" w:hAnsi="Cambria"/>
              </w:rPr>
            </w:pPr>
            <w:r w:rsidRPr="00EA67EA">
              <w:rPr>
                <w:rFonts w:ascii="Cambria" w:hAnsi="Cambria"/>
                <w:spacing w:val="-2"/>
              </w:rPr>
              <w:t>Planned</w:t>
            </w:r>
          </w:p>
          <w:p w14:paraId="6F3B001F" w14:textId="77777777" w:rsidR="00EA67EA" w:rsidRPr="00EA67EA" w:rsidRDefault="00EA67EA" w:rsidP="009175CE">
            <w:pPr>
              <w:pStyle w:val="TableParagraph"/>
              <w:spacing w:before="22"/>
              <w:rPr>
                <w:rFonts w:ascii="Cambria" w:hAnsi="Cambria"/>
              </w:rPr>
            </w:pPr>
            <w:r w:rsidRPr="00EA67EA">
              <w:rPr>
                <w:rFonts w:ascii="Cambria" w:hAnsi="Cambria"/>
              </w:rPr>
              <w:t>31</w:t>
            </w:r>
            <w:r w:rsidRPr="00EA67EA">
              <w:rPr>
                <w:rFonts w:ascii="Cambria" w:hAnsi="Cambria"/>
                <w:spacing w:val="-2"/>
              </w:rPr>
              <w:t xml:space="preserve"> </w:t>
            </w:r>
            <w:r w:rsidRPr="00EA67EA">
              <w:rPr>
                <w:rFonts w:ascii="Cambria" w:hAnsi="Cambria"/>
              </w:rPr>
              <w:t>Dec</w:t>
            </w:r>
            <w:r w:rsidRPr="00EA67EA">
              <w:rPr>
                <w:rFonts w:ascii="Cambria" w:hAnsi="Cambria"/>
                <w:spacing w:val="-2"/>
              </w:rPr>
              <w:t xml:space="preserve"> </w:t>
            </w:r>
            <w:r w:rsidRPr="00EA67EA">
              <w:rPr>
                <w:rFonts w:ascii="Cambria" w:hAnsi="Cambria"/>
                <w:spacing w:val="-4"/>
              </w:rPr>
              <w:t>2025</w:t>
            </w:r>
          </w:p>
        </w:tc>
        <w:tc>
          <w:tcPr>
            <w:tcW w:w="1701" w:type="dxa"/>
          </w:tcPr>
          <w:p w14:paraId="45809E59" w14:textId="50BE4F7E" w:rsidR="00EA67EA" w:rsidRPr="00EA67EA" w:rsidRDefault="004F5CBE" w:rsidP="009175CE">
            <w:pPr>
              <w:pStyle w:val="TableParagraph"/>
              <w:rPr>
                <w:rFonts w:ascii="Cambria" w:hAnsi="Cambria"/>
              </w:rPr>
            </w:pPr>
            <w:r>
              <w:rPr>
                <w:rFonts w:ascii="Cambria" w:hAnsi="Cambria"/>
                <w:spacing w:val="-5"/>
              </w:rPr>
              <w:t>-</w:t>
            </w:r>
          </w:p>
        </w:tc>
        <w:tc>
          <w:tcPr>
            <w:tcW w:w="4308" w:type="dxa"/>
          </w:tcPr>
          <w:p w14:paraId="7247842F" w14:textId="09EA27A0" w:rsidR="00EA67EA" w:rsidRPr="00EA67EA" w:rsidRDefault="004F5CBE" w:rsidP="009175CE">
            <w:pPr>
              <w:pStyle w:val="TableParagraph"/>
              <w:rPr>
                <w:rFonts w:ascii="Cambria" w:hAnsi="Cambria"/>
              </w:rPr>
            </w:pPr>
            <w:r>
              <w:rPr>
                <w:rFonts w:ascii="Cambria" w:hAnsi="Cambria"/>
                <w:spacing w:val="-5"/>
              </w:rPr>
              <w:t>-</w:t>
            </w:r>
          </w:p>
        </w:tc>
      </w:tr>
      <w:tr w:rsidR="00EA67EA" w:rsidRPr="00EA67EA" w14:paraId="1A0ACFFF" w14:textId="77777777" w:rsidTr="007467E7">
        <w:trPr>
          <w:trHeight w:val="626"/>
        </w:trPr>
        <w:tc>
          <w:tcPr>
            <w:tcW w:w="1277" w:type="dxa"/>
          </w:tcPr>
          <w:p w14:paraId="6EB8ABCF" w14:textId="1D7A8FC3" w:rsidR="00EA67EA" w:rsidRPr="00EA67EA" w:rsidRDefault="00EA67EA" w:rsidP="00A04CD8">
            <w:pPr>
              <w:pStyle w:val="TableParagraph"/>
              <w:spacing w:line="264" w:lineRule="auto"/>
              <w:ind w:right="279"/>
              <w:rPr>
                <w:rFonts w:ascii="Cambria" w:hAnsi="Cambria"/>
              </w:rPr>
            </w:pPr>
            <w:r w:rsidRPr="00EA67EA">
              <w:rPr>
                <w:rFonts w:ascii="Cambria" w:hAnsi="Cambria"/>
                <w:spacing w:val="-4"/>
              </w:rPr>
              <w:t xml:space="preserve">New </w:t>
            </w:r>
            <w:r w:rsidRPr="00EA67EA">
              <w:rPr>
                <w:rFonts w:ascii="Cambria" w:hAnsi="Cambria"/>
                <w:spacing w:val="-2"/>
              </w:rPr>
              <w:t>Zealan</w:t>
            </w:r>
            <w:r w:rsidR="00A04CD8">
              <w:rPr>
                <w:rFonts w:ascii="Cambria" w:hAnsi="Cambria"/>
                <w:spacing w:val="-2"/>
              </w:rPr>
              <w:t>d</w:t>
            </w:r>
          </w:p>
        </w:tc>
        <w:tc>
          <w:tcPr>
            <w:tcW w:w="1558" w:type="dxa"/>
          </w:tcPr>
          <w:p w14:paraId="3DA4198A" w14:textId="77777777" w:rsidR="00EA67EA" w:rsidRPr="00EA67EA" w:rsidRDefault="00EA67EA" w:rsidP="009175CE">
            <w:pPr>
              <w:pStyle w:val="TableParagraph"/>
              <w:rPr>
                <w:rFonts w:ascii="Cambria" w:hAnsi="Cambria"/>
              </w:rPr>
            </w:pPr>
            <w:r w:rsidRPr="00EA67EA">
              <w:rPr>
                <w:rFonts w:ascii="Cambria" w:hAnsi="Cambria"/>
                <w:spacing w:val="-5"/>
              </w:rPr>
              <w:t>TBC</w:t>
            </w:r>
          </w:p>
        </w:tc>
        <w:tc>
          <w:tcPr>
            <w:tcW w:w="1701" w:type="dxa"/>
          </w:tcPr>
          <w:p w14:paraId="5B7487FE" w14:textId="21AB909A" w:rsidR="00EA67EA" w:rsidRPr="00EA67EA" w:rsidRDefault="004F5CBE" w:rsidP="009175CE">
            <w:pPr>
              <w:pStyle w:val="TableParagraph"/>
              <w:rPr>
                <w:rFonts w:ascii="Cambria" w:hAnsi="Cambria"/>
              </w:rPr>
            </w:pPr>
            <w:r>
              <w:rPr>
                <w:rFonts w:ascii="Cambria" w:hAnsi="Cambria"/>
                <w:spacing w:val="-5"/>
              </w:rPr>
              <w:t>-</w:t>
            </w:r>
          </w:p>
        </w:tc>
        <w:tc>
          <w:tcPr>
            <w:tcW w:w="4308" w:type="dxa"/>
          </w:tcPr>
          <w:p w14:paraId="2091F258" w14:textId="2975015F" w:rsidR="00EA67EA" w:rsidRPr="00EA67EA" w:rsidRDefault="004F5CBE" w:rsidP="009175CE">
            <w:pPr>
              <w:pStyle w:val="TableParagraph"/>
              <w:rPr>
                <w:rFonts w:ascii="Cambria" w:hAnsi="Cambria"/>
              </w:rPr>
            </w:pPr>
            <w:r>
              <w:rPr>
                <w:rFonts w:ascii="Cambria" w:hAnsi="Cambria"/>
                <w:spacing w:val="-5"/>
              </w:rPr>
              <w:t>-</w:t>
            </w:r>
          </w:p>
        </w:tc>
      </w:tr>
    </w:tbl>
    <w:p w14:paraId="6D92589C" w14:textId="09786CEF" w:rsidR="00324B33" w:rsidRDefault="00324B33" w:rsidP="00324B33">
      <w:pPr>
        <w:pStyle w:val="Heading2"/>
      </w:pPr>
      <w:bookmarkStart w:id="26" w:name="_Toc504480011"/>
      <w:bookmarkStart w:id="27" w:name="_Toc103679293"/>
      <w:bookmarkStart w:id="28" w:name="_Toc219813779"/>
      <w:r>
        <w:t>Registration timeline</w:t>
      </w:r>
      <w:bookmarkEnd w:id="26"/>
      <w:bookmarkEnd w:id="27"/>
      <w:bookmarkEnd w:id="28"/>
    </w:p>
    <w:p w14:paraId="225E3D87" w14:textId="6F486E65" w:rsidR="00324B33" w:rsidRPr="00BD5DBD" w:rsidRDefault="004A6EB1" w:rsidP="00324B33">
      <w:pPr>
        <w:rPr>
          <w:szCs w:val="22"/>
        </w:rPr>
      </w:pPr>
      <w:r>
        <w:rPr>
          <w:szCs w:val="22"/>
        </w:rPr>
        <w:t>T</w:t>
      </w:r>
      <w:r w:rsidR="00324B33" w:rsidRPr="00BD5DBD">
        <w:rPr>
          <w:szCs w:val="22"/>
        </w:rPr>
        <w:t>able</w:t>
      </w:r>
      <w:r>
        <w:rPr>
          <w:szCs w:val="22"/>
        </w:rPr>
        <w:t xml:space="preserve"> </w:t>
      </w:r>
      <w:r w:rsidR="004639DA">
        <w:rPr>
          <w:szCs w:val="22"/>
        </w:rPr>
        <w:t>3</w:t>
      </w:r>
      <w:r w:rsidR="00324B33" w:rsidRPr="00BD5DBD">
        <w:rPr>
          <w:szCs w:val="22"/>
        </w:rPr>
        <w:t xml:space="preserve"> captures the key steps and dates for this submission.</w:t>
      </w:r>
    </w:p>
    <w:p w14:paraId="6BB76942" w14:textId="49C62989" w:rsidR="00477C4E" w:rsidRPr="00BD5DBD" w:rsidRDefault="00477C4E" w:rsidP="00324B33">
      <w:pPr>
        <w:rPr>
          <w:szCs w:val="22"/>
        </w:rPr>
      </w:pPr>
      <w:r w:rsidRPr="00BD5DBD">
        <w:rPr>
          <w:szCs w:val="22"/>
        </w:rPr>
        <w:t xml:space="preserve">This submission was evaluated under the </w:t>
      </w:r>
      <w:hyperlink r:id="rId26" w:history="1">
        <w:r w:rsidRPr="00BD5DBD">
          <w:rPr>
            <w:rStyle w:val="Hyperlink"/>
            <w:szCs w:val="22"/>
          </w:rPr>
          <w:t>standard prescription medicines registration process</w:t>
        </w:r>
      </w:hyperlink>
      <w:r w:rsidRPr="00BD5DBD">
        <w:rPr>
          <w:szCs w:val="22"/>
        </w:rPr>
        <w:t>.</w:t>
      </w:r>
    </w:p>
    <w:p w14:paraId="44628C5F" w14:textId="087D150A" w:rsidR="00324B33" w:rsidRDefault="00324B33" w:rsidP="002C1232">
      <w:pPr>
        <w:pStyle w:val="TableTitle"/>
      </w:pPr>
      <w:r w:rsidRPr="002C1232">
        <w:t xml:space="preserve">Table </w:t>
      </w:r>
      <w:r w:rsidR="004639DA">
        <w:t>3</w:t>
      </w:r>
      <w:r w:rsidRPr="002C1232">
        <w:t xml:space="preserve">: Timeline for </w:t>
      </w:r>
      <w:r w:rsidR="00C00D00">
        <w:t>Augtyro</w:t>
      </w:r>
      <w:r w:rsidR="00622B5C">
        <w:t xml:space="preserve">, submission </w:t>
      </w:r>
      <w:r w:rsidR="00622B5C" w:rsidRPr="00622B5C">
        <w:t>PM-2024-01468-1-4</w:t>
      </w:r>
    </w:p>
    <w:tbl>
      <w:tblPr>
        <w:tblStyle w:val="TableTGAblue2023"/>
        <w:tblW w:w="8642" w:type="dxa"/>
        <w:tblLook w:val="04A0" w:firstRow="1" w:lastRow="0" w:firstColumn="1" w:lastColumn="0" w:noHBand="0" w:noVBand="1"/>
      </w:tblPr>
      <w:tblGrid>
        <w:gridCol w:w="6941"/>
        <w:gridCol w:w="1701"/>
      </w:tblGrid>
      <w:tr w:rsidR="00324B33" w:rsidRPr="00D01DDB" w14:paraId="6C59BE9C" w14:textId="77777777" w:rsidTr="00B670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16D80E78" w14:textId="3EC0CCAF" w:rsidR="00324B33" w:rsidRPr="00D01DDB" w:rsidRDefault="00324B33" w:rsidP="00324B33">
            <w:pPr>
              <w:rPr>
                <w:szCs w:val="22"/>
              </w:rPr>
            </w:pPr>
            <w:r w:rsidRPr="00D01DDB">
              <w:rPr>
                <w:szCs w:val="22"/>
              </w:rPr>
              <w:t>Description</w:t>
            </w:r>
          </w:p>
        </w:tc>
        <w:tc>
          <w:tcPr>
            <w:tcW w:w="1701"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B67020">
        <w:tc>
          <w:tcPr>
            <w:cnfStyle w:val="001000000000" w:firstRow="0" w:lastRow="0" w:firstColumn="1" w:lastColumn="0" w:oddVBand="0" w:evenVBand="0" w:oddHBand="0" w:evenHBand="0" w:firstRowFirstColumn="0" w:firstRowLastColumn="0" w:lastRowFirstColumn="0" w:lastRowLastColumn="0"/>
            <w:tcW w:w="6941" w:type="dxa"/>
          </w:tcPr>
          <w:p w14:paraId="759D2A12" w14:textId="0D705F83" w:rsidR="00324B33" w:rsidRPr="00E679D1" w:rsidRDefault="00324B33" w:rsidP="00E679D1">
            <w:r w:rsidRPr="00E679D1">
              <w:t>Submission dossier accepted and first round evaluation commenced</w:t>
            </w:r>
          </w:p>
        </w:tc>
        <w:tc>
          <w:tcPr>
            <w:tcW w:w="1701" w:type="dxa"/>
          </w:tcPr>
          <w:p w14:paraId="2963D9D8" w14:textId="2A9B6AB3" w:rsidR="00324B33" w:rsidRPr="00D01DDB" w:rsidRDefault="0044065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May 2024</w:t>
            </w:r>
          </w:p>
        </w:tc>
      </w:tr>
      <w:tr w:rsidR="00803926" w:rsidRPr="00D01DDB" w14:paraId="16D13F79" w14:textId="77777777" w:rsidTr="00B67020">
        <w:tc>
          <w:tcPr>
            <w:cnfStyle w:val="001000000000" w:firstRow="0" w:lastRow="0" w:firstColumn="1" w:lastColumn="0" w:oddVBand="0" w:evenVBand="0" w:oddHBand="0" w:evenHBand="0" w:firstRowFirstColumn="0" w:firstRowLastColumn="0" w:lastRowFirstColumn="0" w:lastRowLastColumn="0"/>
            <w:tcW w:w="6941" w:type="dxa"/>
          </w:tcPr>
          <w:p w14:paraId="6858B45A" w14:textId="2C392CBA" w:rsidR="00803926" w:rsidRPr="00E679D1" w:rsidDel="00C62B1C" w:rsidRDefault="00803926" w:rsidP="00E679D1">
            <w:r>
              <w:t>Evaluation completed</w:t>
            </w:r>
            <w:r w:rsidR="005775D0">
              <w:t xml:space="preserve"> </w:t>
            </w:r>
          </w:p>
        </w:tc>
        <w:tc>
          <w:tcPr>
            <w:tcW w:w="1701" w:type="dxa"/>
          </w:tcPr>
          <w:p w14:paraId="2E0BD403" w14:textId="7B0FD78C" w:rsidR="00803926" w:rsidRPr="00D01DDB" w:rsidRDefault="00E25B1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14 March 2025</w:t>
            </w:r>
          </w:p>
        </w:tc>
      </w:tr>
      <w:tr w:rsidR="00324B33" w:rsidRPr="00D01DDB" w14:paraId="6E5D32FE" w14:textId="77777777" w:rsidTr="00B67020">
        <w:tc>
          <w:tcPr>
            <w:cnfStyle w:val="001000000000" w:firstRow="0" w:lastRow="0" w:firstColumn="1" w:lastColumn="0" w:oddVBand="0" w:evenVBand="0" w:oddHBand="0" w:evenHBand="0" w:firstRowFirstColumn="0" w:firstRowLastColumn="0" w:lastRowFirstColumn="0" w:lastRowLastColumn="0"/>
            <w:tcW w:w="6941" w:type="dxa"/>
          </w:tcPr>
          <w:p w14:paraId="4E95C44C" w14:textId="7A91C710" w:rsidR="00324B33" w:rsidRPr="00E679D1" w:rsidRDefault="00324B33" w:rsidP="00E679D1">
            <w:r w:rsidRPr="00E679D1">
              <w:t>Registration decision (Outcome)</w:t>
            </w:r>
          </w:p>
        </w:tc>
        <w:tc>
          <w:tcPr>
            <w:tcW w:w="1701" w:type="dxa"/>
          </w:tcPr>
          <w:p w14:paraId="62987ABD" w14:textId="37EF3A57" w:rsidR="00324B33" w:rsidRPr="00D01DDB" w:rsidRDefault="00CF4EB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23 July 2025</w:t>
            </w:r>
          </w:p>
        </w:tc>
      </w:tr>
      <w:tr w:rsidR="00324B33" w:rsidRPr="00D01DDB" w14:paraId="6DDCDDA4" w14:textId="77777777" w:rsidTr="00B67020">
        <w:tc>
          <w:tcPr>
            <w:cnfStyle w:val="001000000000" w:firstRow="0" w:lastRow="0" w:firstColumn="1" w:lastColumn="0" w:oddVBand="0" w:evenVBand="0" w:oddHBand="0" w:evenHBand="0" w:firstRowFirstColumn="0" w:firstRowLastColumn="0" w:lastRowFirstColumn="0" w:lastRowLastColumn="0"/>
            <w:tcW w:w="6941" w:type="dxa"/>
          </w:tcPr>
          <w:p w14:paraId="192FD19D" w14:textId="09E40F99" w:rsidR="00324B33" w:rsidRPr="00E679D1" w:rsidRDefault="0013132F" w:rsidP="007311B9">
            <w:pPr>
              <w:ind w:left="0"/>
            </w:pPr>
            <w:r w:rsidRPr="00E679D1">
              <w:t xml:space="preserve"> </w:t>
            </w:r>
            <w:r w:rsidR="00CF4EB0">
              <w:t xml:space="preserve"> </w:t>
            </w:r>
            <w:r w:rsidR="00C00844">
              <w:t>R</w:t>
            </w:r>
            <w:r w:rsidRPr="00E679D1">
              <w:t xml:space="preserve">egistration </w:t>
            </w:r>
            <w:r w:rsidR="005C4B46" w:rsidRPr="00E679D1">
              <w:t xml:space="preserve">in </w:t>
            </w:r>
            <w:r w:rsidRPr="00E679D1">
              <w:t>the ARTG completed</w:t>
            </w:r>
          </w:p>
        </w:tc>
        <w:tc>
          <w:tcPr>
            <w:tcW w:w="1701" w:type="dxa"/>
          </w:tcPr>
          <w:p w14:paraId="5A8923FD" w14:textId="1C5CCF74" w:rsidR="00324B33" w:rsidRPr="00D01DDB" w:rsidRDefault="00CF4EB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25 July 2025</w:t>
            </w:r>
          </w:p>
        </w:tc>
      </w:tr>
      <w:tr w:rsidR="00324B33" w:rsidRPr="00D01DDB" w14:paraId="56D922E2" w14:textId="77777777" w:rsidTr="00B67020">
        <w:tc>
          <w:tcPr>
            <w:cnfStyle w:val="001000000000" w:firstRow="0" w:lastRow="0" w:firstColumn="1" w:lastColumn="0" w:oddVBand="0" w:evenVBand="0" w:oddHBand="0" w:evenHBand="0" w:firstRowFirstColumn="0" w:firstRowLastColumn="0" w:lastRowFirstColumn="0" w:lastRowLastColumn="0"/>
            <w:tcW w:w="6941" w:type="dxa"/>
          </w:tcPr>
          <w:p w14:paraId="787FD8DD" w14:textId="0E0CF97F" w:rsidR="00324B33" w:rsidRPr="00E679D1" w:rsidRDefault="00324B33" w:rsidP="00E679D1">
            <w:r w:rsidRPr="00E679D1">
              <w:t>Number of working days from submission dossier acceptance to registration decision*</w:t>
            </w:r>
          </w:p>
        </w:tc>
        <w:tc>
          <w:tcPr>
            <w:tcW w:w="1701" w:type="dxa"/>
          </w:tcPr>
          <w:p w14:paraId="5BAF9FA1" w14:textId="0DA4E4A4" w:rsidR="00324B33" w:rsidRPr="00D01DDB" w:rsidRDefault="00CF4EB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245</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75C7430A" w:rsidR="00C22214" w:rsidRPr="00792A32" w:rsidRDefault="00083763" w:rsidP="00C22214">
      <w:pPr>
        <w:pStyle w:val="Heading2"/>
      </w:pPr>
      <w:bookmarkStart w:id="29" w:name="_Toc219813780"/>
      <w:bookmarkStart w:id="30" w:name="_Toc196046504"/>
      <w:bookmarkStart w:id="31" w:name="_Toc247691527"/>
      <w:bookmarkStart w:id="32" w:name="_Toc314842510"/>
      <w:bookmarkStart w:id="33" w:name="_Toc103679294"/>
      <w:r>
        <w:lastRenderedPageBreak/>
        <w:t xml:space="preserve">Assessment </w:t>
      </w:r>
      <w:r w:rsidR="00C22214" w:rsidRPr="00006FAB">
        <w:t>overview</w:t>
      </w:r>
      <w:bookmarkEnd w:id="29"/>
      <w:r w:rsidR="00C22214" w:rsidRPr="00006FAB">
        <w:t xml:space="preserve"> </w:t>
      </w:r>
      <w:bookmarkEnd w:id="30"/>
      <w:bookmarkEnd w:id="31"/>
      <w:bookmarkEnd w:id="32"/>
      <w:bookmarkEnd w:id="33"/>
    </w:p>
    <w:p w14:paraId="37F5A1C0" w14:textId="5D3D5FE0" w:rsidR="00C22214" w:rsidRDefault="00095C6A" w:rsidP="00C22214">
      <w:pPr>
        <w:pStyle w:val="Heading3"/>
      </w:pPr>
      <w:bookmarkStart w:id="34" w:name="_Toc247691528"/>
      <w:bookmarkStart w:id="35" w:name="_Toc314842511"/>
      <w:bookmarkStart w:id="36" w:name="_Toc103679295"/>
      <w:bookmarkStart w:id="37" w:name="_Toc219813781"/>
      <w:r>
        <w:t>Q</w:t>
      </w:r>
      <w:r w:rsidR="00C22214">
        <w:t>uality</w:t>
      </w:r>
      <w:bookmarkEnd w:id="34"/>
      <w:bookmarkEnd w:id="35"/>
      <w:bookmarkEnd w:id="36"/>
      <w:r w:rsidR="007E6443">
        <w:t xml:space="preserve"> evaluation</w:t>
      </w:r>
      <w:r>
        <w:t xml:space="preserve"> summary</w:t>
      </w:r>
      <w:bookmarkEnd w:id="37"/>
    </w:p>
    <w:p w14:paraId="50A9B7F6" w14:textId="77777777" w:rsidR="00555135" w:rsidRDefault="00555135" w:rsidP="00A97E74">
      <w:pPr>
        <w:pStyle w:val="Heading5"/>
      </w:pPr>
      <w:r>
        <w:t>Drug substance</w:t>
      </w:r>
    </w:p>
    <w:p w14:paraId="48141C3D" w14:textId="1F85A763" w:rsidR="00310EC1" w:rsidRDefault="00310EC1" w:rsidP="00310EC1">
      <w:pPr>
        <w:pStyle w:val="FigureTitle"/>
      </w:pPr>
      <w:r>
        <w:t xml:space="preserve">Figure 1. </w:t>
      </w:r>
      <w:r w:rsidR="006B17A8">
        <w:t xml:space="preserve">The chemical structure of </w:t>
      </w:r>
      <w:proofErr w:type="spellStart"/>
      <w:r w:rsidR="00B43510">
        <w:t>r</w:t>
      </w:r>
      <w:r w:rsidR="00B43510" w:rsidRPr="00B43510">
        <w:t>epotrectinib</w:t>
      </w:r>
      <w:proofErr w:type="spellEnd"/>
    </w:p>
    <w:p w14:paraId="4EF516FA" w14:textId="2B7F5B19" w:rsidR="00310EC1" w:rsidRDefault="00310EC1" w:rsidP="00555135">
      <w:r w:rsidRPr="0011569F">
        <w:rPr>
          <w:noProof/>
        </w:rPr>
        <w:drawing>
          <wp:inline distT="0" distB="0" distL="0" distR="0" wp14:anchorId="4FD6A599" wp14:editId="577E5541">
            <wp:extent cx="2305050" cy="1037771"/>
            <wp:effectExtent l="0" t="0" r="0" b="0"/>
            <wp:docPr id="1999428812" name="Picture 1"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28812" name="Picture 1" descr="A structure of a chemical formula&#10;&#10;AI-generated content may be incorrect."/>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2312970" cy="1041337"/>
                    </a:xfrm>
                    <a:prstGeom prst="rect">
                      <a:avLst/>
                    </a:prstGeom>
                  </pic:spPr>
                </pic:pic>
              </a:graphicData>
            </a:graphic>
          </wp:inline>
        </w:drawing>
      </w:r>
    </w:p>
    <w:p w14:paraId="73688F56" w14:textId="32B57C3E" w:rsidR="00B43510" w:rsidRDefault="00B43510" w:rsidP="00B92317">
      <w:pPr>
        <w:pStyle w:val="FigureDescription"/>
      </w:pPr>
      <w:r>
        <w:t>Molecular Formula:</w:t>
      </w:r>
      <w:r w:rsidR="00DD1188">
        <w:t xml:space="preserve"> </w:t>
      </w:r>
      <w:r>
        <w:t>C</w:t>
      </w:r>
      <w:r w:rsidRPr="00DD1188">
        <w:rPr>
          <w:vertAlign w:val="subscript"/>
        </w:rPr>
        <w:t>18</w:t>
      </w:r>
      <w:r>
        <w:t>H</w:t>
      </w:r>
      <w:r w:rsidRPr="00DD1188">
        <w:rPr>
          <w:vertAlign w:val="subscript"/>
        </w:rPr>
        <w:t>18</w:t>
      </w:r>
      <w:r>
        <w:t>FN5O2</w:t>
      </w:r>
    </w:p>
    <w:p w14:paraId="1B99C589" w14:textId="567AD7C1" w:rsidR="00B43510" w:rsidRDefault="00B43510" w:rsidP="00B92317">
      <w:pPr>
        <w:pStyle w:val="FigureDescription"/>
      </w:pPr>
      <w:r>
        <w:t>Molecular weight:</w:t>
      </w:r>
      <w:r w:rsidR="00DD1188">
        <w:t xml:space="preserve"> </w:t>
      </w:r>
      <w:r>
        <w:t>355.37 g/mol</w:t>
      </w:r>
    </w:p>
    <w:p w14:paraId="7C7998EF" w14:textId="0DB57CE3" w:rsidR="00137F52" w:rsidRDefault="00137F52" w:rsidP="00B43510">
      <w:r w:rsidRPr="00137F52">
        <w:t xml:space="preserve">Repotrectinib (also known as TPX-0005) is a tyrosine kinase inhibitor with </w:t>
      </w:r>
      <w:r w:rsidR="00252938">
        <w:t xml:space="preserve">a </w:t>
      </w:r>
      <w:r w:rsidRPr="00137F52">
        <w:t>low</w:t>
      </w:r>
      <w:r w:rsidR="00252938">
        <w:t>er</w:t>
      </w:r>
      <w:r w:rsidRPr="00137F52">
        <w:t xml:space="preserve"> molecular weight </w:t>
      </w:r>
      <w:r w:rsidR="007467E7">
        <w:t xml:space="preserve">than other </w:t>
      </w:r>
      <w:r w:rsidRPr="00137F52">
        <w:t xml:space="preserve">registered anti-ROS1 </w:t>
      </w:r>
      <w:r w:rsidR="005B6233">
        <w:t xml:space="preserve">tyrosine kinase inhibitors </w:t>
      </w:r>
      <w:r w:rsidRPr="00137F52">
        <w:t xml:space="preserve">(355.4 g/mol versus </w:t>
      </w:r>
      <w:proofErr w:type="spellStart"/>
      <w:r w:rsidRPr="00137F52">
        <w:t>entrectinib</w:t>
      </w:r>
      <w:proofErr w:type="spellEnd"/>
      <w:r w:rsidRPr="00137F52">
        <w:t xml:space="preserve"> at 560.6 g/mol).</w:t>
      </w:r>
      <w:r w:rsidR="005A40A1">
        <w:rPr>
          <w:rStyle w:val="FootnoteReference"/>
        </w:rPr>
        <w:footnoteReference w:id="53"/>
      </w:r>
      <w:r w:rsidR="00150F3F" w:rsidRPr="00150F3F">
        <w:rPr>
          <w:vertAlign w:val="superscript"/>
        </w:rPr>
        <w:t>,</w:t>
      </w:r>
      <w:r w:rsidR="00AD2176">
        <w:rPr>
          <w:rStyle w:val="FootnoteReference"/>
        </w:rPr>
        <w:footnoteReference w:id="54"/>
      </w:r>
      <w:r w:rsidR="005B6233">
        <w:t xml:space="preserve"> </w:t>
      </w:r>
      <w:r w:rsidRPr="00137F52">
        <w:t>Its small, macrocyclic structure was designed to overcome the steric interference caused by gatekeeper and solvent</w:t>
      </w:r>
      <w:r w:rsidR="007467E7">
        <w:t>-</w:t>
      </w:r>
      <w:r w:rsidRPr="00137F52">
        <w:t>front mutations in ROS1 (and ALK/TRK) that cause resistance to existing TKIs.</w:t>
      </w:r>
      <w:r w:rsidR="00244A1F">
        <w:rPr>
          <w:rStyle w:val="FootnoteReference"/>
        </w:rPr>
        <w:footnoteReference w:id="55"/>
      </w:r>
      <w:r w:rsidR="00C31C54" w:rsidRPr="00AC663A">
        <w:rPr>
          <w:vertAlign w:val="superscript"/>
        </w:rPr>
        <w:t>,</w:t>
      </w:r>
      <w:r w:rsidR="00AC663A">
        <w:rPr>
          <w:rStyle w:val="FootnoteReference"/>
        </w:rPr>
        <w:footnoteReference w:id="56"/>
      </w:r>
      <w:r w:rsidRPr="00137F52">
        <w:t xml:space="preserve"> In vitro, it has significant inhibitory activity (inhibitory concentrations in the </w:t>
      </w:r>
      <w:proofErr w:type="spellStart"/>
      <w:r w:rsidRPr="00137F52">
        <w:t>nM</w:t>
      </w:r>
      <w:proofErr w:type="spellEnd"/>
      <w:r w:rsidRPr="00137F52">
        <w:t xml:space="preserve"> range) against the ROS1, ALK and TRK receptor tyrosine kinases, but particularly against ROS1, as summarised in Table </w:t>
      </w:r>
      <w:r w:rsidR="004639DA">
        <w:t>4</w:t>
      </w:r>
      <w:r w:rsidRPr="00137F52">
        <w:t>.</w:t>
      </w:r>
    </w:p>
    <w:p w14:paraId="64916A38" w14:textId="306625D2" w:rsidR="001624DF" w:rsidRDefault="001624DF" w:rsidP="00577758">
      <w:pPr>
        <w:pStyle w:val="TableTitle"/>
      </w:pPr>
      <w:r>
        <w:t xml:space="preserve">Table </w:t>
      </w:r>
      <w:r w:rsidR="004639DA">
        <w:t>4</w:t>
      </w:r>
      <w:r>
        <w:t xml:space="preserve">. </w:t>
      </w:r>
      <w:r w:rsidR="00CB674A" w:rsidRPr="00414056">
        <w:t xml:space="preserve">Reaction Biology </w:t>
      </w:r>
      <w:r w:rsidR="00CB674A" w:rsidRPr="00414056">
        <w:rPr>
          <w:i/>
          <w:iCs/>
        </w:rPr>
        <w:t>in vitro</w:t>
      </w:r>
      <w:r w:rsidR="00CB674A" w:rsidRPr="00414056">
        <w:t xml:space="preserve"> </w:t>
      </w:r>
      <w:proofErr w:type="spellStart"/>
      <w:r w:rsidR="00CB674A" w:rsidRPr="00414056">
        <w:t>HotSpot</w:t>
      </w:r>
      <w:proofErr w:type="spellEnd"/>
      <w:r w:rsidR="00CB674A" w:rsidRPr="00414056">
        <w:t xml:space="preserve"> </w:t>
      </w:r>
      <w:r w:rsidR="00CB674A">
        <w:t>e</w:t>
      </w:r>
      <w:r w:rsidR="00CB674A" w:rsidRPr="00414056">
        <w:t xml:space="preserve">nzymatic </w:t>
      </w:r>
      <w:r w:rsidR="00CB674A">
        <w:t>k</w:t>
      </w:r>
      <w:r w:rsidR="00CB674A" w:rsidRPr="00414056">
        <w:t xml:space="preserve">inase inhibitory assay of </w:t>
      </w:r>
      <w:proofErr w:type="spellStart"/>
      <w:r w:rsidR="00CB674A" w:rsidRPr="00414056">
        <w:t>repotrectinib</w:t>
      </w:r>
      <w:proofErr w:type="spellEnd"/>
      <w:r w:rsidR="00CB674A" w:rsidRPr="00414056">
        <w:t xml:space="preserve"> against wildtype (WT) and solvent</w:t>
      </w:r>
      <w:r w:rsidR="00CD6056">
        <w:t>-f</w:t>
      </w:r>
      <w:r w:rsidR="00CB674A" w:rsidRPr="00414056">
        <w:t>ront mutations of ROS1, TRKA, TRKB, TRKC, and ALK</w:t>
      </w:r>
      <w:r w:rsidR="00CB674A">
        <w:t>.</w:t>
      </w:r>
    </w:p>
    <w:tbl>
      <w:tblPr>
        <w:tblStyle w:val="TableTGAblue"/>
        <w:tblW w:w="9050" w:type="dxa"/>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ook w:val="04A0" w:firstRow="1" w:lastRow="0" w:firstColumn="1" w:lastColumn="0" w:noHBand="0" w:noVBand="1"/>
      </w:tblPr>
      <w:tblGrid>
        <w:gridCol w:w="853"/>
        <w:gridCol w:w="954"/>
        <w:gridCol w:w="977"/>
        <w:gridCol w:w="734"/>
        <w:gridCol w:w="835"/>
        <w:gridCol w:w="734"/>
        <w:gridCol w:w="835"/>
        <w:gridCol w:w="734"/>
        <w:gridCol w:w="835"/>
        <w:gridCol w:w="615"/>
        <w:gridCol w:w="954"/>
      </w:tblGrid>
      <w:tr w:rsidR="00B15018" w:rsidRPr="00577758" w14:paraId="0F407BBB" w14:textId="77777777" w:rsidTr="00577758">
        <w:trPr>
          <w:cnfStyle w:val="100000000000" w:firstRow="1" w:lastRow="0" w:firstColumn="0" w:lastColumn="0" w:oddVBand="0" w:evenVBand="0" w:oddHBand="0" w:evenHBand="0" w:firstRowFirstColumn="0" w:firstRowLastColumn="0" w:lastRowFirstColumn="0" w:lastRowLastColumn="0"/>
        </w:trPr>
        <w:tc>
          <w:tcPr>
            <w:tcW w:w="9050" w:type="dxa"/>
            <w:gridSpan w:val="11"/>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EEAF6"/>
          </w:tcPr>
          <w:p w14:paraId="73CCB4C9" w14:textId="1B2ECBA5" w:rsidR="00B15018" w:rsidRPr="00577758" w:rsidRDefault="00B15018" w:rsidP="009175CE">
            <w:pPr>
              <w:pStyle w:val="Tabletext0"/>
              <w:ind w:left="0" w:right="0"/>
              <w:rPr>
                <w:rFonts w:ascii="Cambria" w:hAnsi="Cambria"/>
                <w:sz w:val="22"/>
              </w:rPr>
            </w:pPr>
            <w:r w:rsidRPr="00577758">
              <w:rPr>
                <w:rFonts w:ascii="Cambria" w:hAnsi="Cambria"/>
                <w:color w:val="263287"/>
                <w:sz w:val="22"/>
              </w:rPr>
              <w:t>Kinase IC</w:t>
            </w:r>
            <w:r w:rsidRPr="00577758">
              <w:rPr>
                <w:rFonts w:ascii="Cambria" w:hAnsi="Cambria"/>
                <w:color w:val="263287"/>
                <w:sz w:val="22"/>
                <w:vertAlign w:val="subscript"/>
              </w:rPr>
              <w:t>50</w:t>
            </w:r>
            <w:r w:rsidRPr="00577758">
              <w:rPr>
                <w:rFonts w:ascii="Cambria" w:hAnsi="Cambria"/>
                <w:color w:val="263287"/>
                <w:sz w:val="22"/>
              </w:rPr>
              <w:t xml:space="preserve"> (</w:t>
            </w:r>
            <w:proofErr w:type="spellStart"/>
            <w:r w:rsidRPr="00577758">
              <w:rPr>
                <w:rFonts w:ascii="Cambria" w:hAnsi="Cambria"/>
                <w:color w:val="263287"/>
                <w:sz w:val="22"/>
              </w:rPr>
              <w:t>nM</w:t>
            </w:r>
            <w:proofErr w:type="spellEnd"/>
            <w:r w:rsidRPr="00577758">
              <w:rPr>
                <w:rFonts w:ascii="Cambria" w:hAnsi="Cambria"/>
                <w:color w:val="263287"/>
                <w:sz w:val="22"/>
              </w:rPr>
              <w:t xml:space="preserve">) at 10 </w:t>
            </w:r>
            <w:r w:rsidR="00577758" w:rsidRPr="00577758">
              <w:rPr>
                <w:rFonts w:ascii="Cambria" w:hAnsi="Cambria"/>
                <w:color w:val="263287"/>
                <w:sz w:val="22"/>
              </w:rPr>
              <w:t>µ</w:t>
            </w:r>
            <w:r w:rsidRPr="00577758">
              <w:rPr>
                <w:rFonts w:ascii="Cambria" w:hAnsi="Cambria"/>
                <w:color w:val="263287"/>
                <w:sz w:val="22"/>
              </w:rPr>
              <w:t>M ATP</w:t>
            </w:r>
          </w:p>
        </w:tc>
      </w:tr>
      <w:tr w:rsidR="00B15018" w:rsidRPr="00577758" w14:paraId="60A667BC" w14:textId="77777777" w:rsidTr="00577758">
        <w:tc>
          <w:tcPr>
            <w:tcW w:w="2781" w:type="dxa"/>
            <w:gridSpan w:val="3"/>
          </w:tcPr>
          <w:p w14:paraId="37D78063" w14:textId="77777777" w:rsidR="00B15018" w:rsidRPr="00577758" w:rsidRDefault="00B15018" w:rsidP="009175CE">
            <w:pPr>
              <w:pStyle w:val="Tabletext0"/>
              <w:ind w:left="0" w:right="0"/>
              <w:rPr>
                <w:rFonts w:ascii="Cambria" w:hAnsi="Cambria"/>
                <w:b/>
                <w:bCs/>
                <w:sz w:val="22"/>
              </w:rPr>
            </w:pPr>
            <w:r w:rsidRPr="00577758">
              <w:rPr>
                <w:rFonts w:ascii="Cambria" w:hAnsi="Cambria"/>
                <w:b/>
                <w:bCs/>
                <w:sz w:val="22"/>
              </w:rPr>
              <w:t>ROS1</w:t>
            </w:r>
          </w:p>
        </w:tc>
        <w:tc>
          <w:tcPr>
            <w:tcW w:w="1567" w:type="dxa"/>
            <w:gridSpan w:val="2"/>
          </w:tcPr>
          <w:p w14:paraId="61652C6E" w14:textId="77777777" w:rsidR="00B15018" w:rsidRPr="00577758" w:rsidRDefault="00B15018" w:rsidP="009175CE">
            <w:pPr>
              <w:pStyle w:val="Tabletext0"/>
              <w:ind w:left="0" w:right="0"/>
              <w:rPr>
                <w:rFonts w:ascii="Cambria" w:hAnsi="Cambria"/>
                <w:b/>
                <w:bCs/>
                <w:sz w:val="22"/>
              </w:rPr>
            </w:pPr>
            <w:r w:rsidRPr="00577758">
              <w:rPr>
                <w:rFonts w:ascii="Cambria" w:hAnsi="Cambria"/>
                <w:b/>
                <w:bCs/>
                <w:sz w:val="22"/>
              </w:rPr>
              <w:t>TRKA</w:t>
            </w:r>
          </w:p>
        </w:tc>
        <w:tc>
          <w:tcPr>
            <w:tcW w:w="1567" w:type="dxa"/>
            <w:gridSpan w:val="2"/>
          </w:tcPr>
          <w:p w14:paraId="01666955" w14:textId="77777777" w:rsidR="00B15018" w:rsidRPr="00577758" w:rsidRDefault="00B15018" w:rsidP="009175CE">
            <w:pPr>
              <w:pStyle w:val="Tabletext0"/>
              <w:ind w:left="0" w:right="0"/>
              <w:rPr>
                <w:rFonts w:ascii="Cambria" w:hAnsi="Cambria"/>
                <w:b/>
                <w:bCs/>
                <w:sz w:val="22"/>
              </w:rPr>
            </w:pPr>
            <w:r w:rsidRPr="00577758">
              <w:rPr>
                <w:rFonts w:ascii="Cambria" w:hAnsi="Cambria"/>
                <w:b/>
                <w:bCs/>
                <w:sz w:val="22"/>
              </w:rPr>
              <w:t>TRKB</w:t>
            </w:r>
          </w:p>
        </w:tc>
        <w:tc>
          <w:tcPr>
            <w:tcW w:w="1567" w:type="dxa"/>
            <w:gridSpan w:val="2"/>
          </w:tcPr>
          <w:p w14:paraId="50E38E89" w14:textId="77777777" w:rsidR="00B15018" w:rsidRPr="00577758" w:rsidRDefault="00B15018" w:rsidP="009175CE">
            <w:pPr>
              <w:pStyle w:val="Tabletext0"/>
              <w:ind w:left="0" w:right="0"/>
              <w:rPr>
                <w:rFonts w:ascii="Cambria" w:hAnsi="Cambria"/>
                <w:b/>
                <w:bCs/>
                <w:sz w:val="22"/>
              </w:rPr>
            </w:pPr>
            <w:r w:rsidRPr="00577758">
              <w:rPr>
                <w:rFonts w:ascii="Cambria" w:hAnsi="Cambria"/>
                <w:b/>
                <w:bCs/>
                <w:sz w:val="22"/>
              </w:rPr>
              <w:t>TRKC</w:t>
            </w:r>
          </w:p>
        </w:tc>
        <w:tc>
          <w:tcPr>
            <w:tcW w:w="1568" w:type="dxa"/>
            <w:gridSpan w:val="2"/>
          </w:tcPr>
          <w:p w14:paraId="44E00180" w14:textId="77777777" w:rsidR="00B15018" w:rsidRPr="00577758" w:rsidRDefault="00B15018" w:rsidP="009175CE">
            <w:pPr>
              <w:pStyle w:val="Tabletext0"/>
              <w:ind w:left="0" w:right="0"/>
              <w:rPr>
                <w:rFonts w:ascii="Cambria" w:hAnsi="Cambria"/>
                <w:b/>
                <w:bCs/>
                <w:sz w:val="22"/>
              </w:rPr>
            </w:pPr>
            <w:r w:rsidRPr="00577758">
              <w:rPr>
                <w:rFonts w:ascii="Cambria" w:hAnsi="Cambria"/>
                <w:b/>
                <w:bCs/>
                <w:sz w:val="22"/>
              </w:rPr>
              <w:t>ALK</w:t>
            </w:r>
          </w:p>
        </w:tc>
      </w:tr>
      <w:tr w:rsidR="00577758" w:rsidRPr="00577758" w14:paraId="54D02D19" w14:textId="77777777" w:rsidTr="00577758">
        <w:tc>
          <w:tcPr>
            <w:tcW w:w="983" w:type="dxa"/>
          </w:tcPr>
          <w:p w14:paraId="6AE68823" w14:textId="77777777" w:rsidR="00B15018" w:rsidRPr="00577758" w:rsidRDefault="00B15018" w:rsidP="009175CE">
            <w:pPr>
              <w:pStyle w:val="Tabletext0"/>
              <w:ind w:left="0" w:right="0"/>
              <w:rPr>
                <w:rFonts w:ascii="Cambria" w:hAnsi="Cambria"/>
                <w:sz w:val="22"/>
              </w:rPr>
            </w:pPr>
            <w:r w:rsidRPr="00577758">
              <w:rPr>
                <w:rFonts w:ascii="Cambria" w:hAnsi="Cambria"/>
                <w:sz w:val="22"/>
              </w:rPr>
              <w:t>WT</w:t>
            </w:r>
          </w:p>
        </w:tc>
        <w:tc>
          <w:tcPr>
            <w:tcW w:w="822" w:type="dxa"/>
          </w:tcPr>
          <w:p w14:paraId="290195AF" w14:textId="77777777" w:rsidR="00B15018" w:rsidRPr="00577758" w:rsidRDefault="00B15018" w:rsidP="00577758">
            <w:pPr>
              <w:pStyle w:val="Tabletext0"/>
              <w:ind w:left="0" w:right="-135"/>
              <w:rPr>
                <w:rFonts w:ascii="Cambria" w:hAnsi="Cambria"/>
                <w:sz w:val="22"/>
              </w:rPr>
            </w:pPr>
            <w:r w:rsidRPr="00577758">
              <w:rPr>
                <w:rFonts w:ascii="Cambria" w:hAnsi="Cambria"/>
                <w:sz w:val="22"/>
              </w:rPr>
              <w:t>G2032R</w:t>
            </w:r>
          </w:p>
        </w:tc>
        <w:tc>
          <w:tcPr>
            <w:tcW w:w="976" w:type="dxa"/>
          </w:tcPr>
          <w:p w14:paraId="3CD834DD" w14:textId="77777777" w:rsidR="00B15018" w:rsidRPr="00577758" w:rsidRDefault="00B15018" w:rsidP="00577758">
            <w:pPr>
              <w:pStyle w:val="Tabletext0"/>
              <w:ind w:left="0" w:right="-149"/>
              <w:rPr>
                <w:rFonts w:ascii="Cambria" w:hAnsi="Cambria"/>
                <w:sz w:val="22"/>
              </w:rPr>
            </w:pPr>
            <w:r w:rsidRPr="00577758">
              <w:rPr>
                <w:rFonts w:ascii="Cambria" w:hAnsi="Cambria"/>
                <w:sz w:val="22"/>
              </w:rPr>
              <w:t>D2033N</w:t>
            </w:r>
          </w:p>
        </w:tc>
        <w:tc>
          <w:tcPr>
            <w:tcW w:w="733" w:type="dxa"/>
          </w:tcPr>
          <w:p w14:paraId="4D70D767" w14:textId="77777777" w:rsidR="00B15018" w:rsidRPr="00577758" w:rsidRDefault="00B15018" w:rsidP="009175CE">
            <w:pPr>
              <w:pStyle w:val="Tabletext0"/>
              <w:ind w:left="0" w:right="0"/>
              <w:rPr>
                <w:rFonts w:ascii="Cambria" w:hAnsi="Cambria"/>
                <w:sz w:val="22"/>
              </w:rPr>
            </w:pPr>
            <w:r w:rsidRPr="00577758">
              <w:rPr>
                <w:rFonts w:ascii="Cambria" w:hAnsi="Cambria"/>
                <w:sz w:val="22"/>
              </w:rPr>
              <w:t>WT</w:t>
            </w:r>
          </w:p>
        </w:tc>
        <w:tc>
          <w:tcPr>
            <w:tcW w:w="834" w:type="dxa"/>
          </w:tcPr>
          <w:p w14:paraId="7D047171" w14:textId="77777777" w:rsidR="00B15018" w:rsidRPr="00577758" w:rsidRDefault="00B15018" w:rsidP="00577758">
            <w:pPr>
              <w:pStyle w:val="Tabletext0"/>
              <w:ind w:left="0" w:right="-21"/>
              <w:rPr>
                <w:rFonts w:ascii="Cambria" w:hAnsi="Cambria"/>
                <w:sz w:val="22"/>
              </w:rPr>
            </w:pPr>
            <w:r w:rsidRPr="00577758">
              <w:rPr>
                <w:rFonts w:ascii="Cambria" w:hAnsi="Cambria"/>
                <w:sz w:val="22"/>
              </w:rPr>
              <w:t>G595R</w:t>
            </w:r>
          </w:p>
        </w:tc>
        <w:tc>
          <w:tcPr>
            <w:tcW w:w="733" w:type="dxa"/>
          </w:tcPr>
          <w:p w14:paraId="2E80F2E3" w14:textId="77777777" w:rsidR="00B15018" w:rsidRPr="00577758" w:rsidRDefault="00B15018" w:rsidP="009175CE">
            <w:pPr>
              <w:pStyle w:val="Tabletext0"/>
              <w:ind w:left="0" w:right="0"/>
              <w:rPr>
                <w:rFonts w:ascii="Cambria" w:hAnsi="Cambria"/>
                <w:sz w:val="22"/>
              </w:rPr>
            </w:pPr>
            <w:r w:rsidRPr="00577758">
              <w:rPr>
                <w:rFonts w:ascii="Cambria" w:hAnsi="Cambria"/>
                <w:sz w:val="22"/>
              </w:rPr>
              <w:t>WT</w:t>
            </w:r>
          </w:p>
        </w:tc>
        <w:tc>
          <w:tcPr>
            <w:tcW w:w="834" w:type="dxa"/>
          </w:tcPr>
          <w:p w14:paraId="23F2CB9A" w14:textId="77777777" w:rsidR="00B15018" w:rsidRPr="00577758" w:rsidRDefault="00B15018" w:rsidP="00577758">
            <w:pPr>
              <w:pStyle w:val="Tabletext0"/>
              <w:ind w:left="0" w:right="-141"/>
              <w:rPr>
                <w:rFonts w:ascii="Cambria" w:hAnsi="Cambria"/>
                <w:sz w:val="22"/>
              </w:rPr>
            </w:pPr>
            <w:r w:rsidRPr="00577758">
              <w:rPr>
                <w:rFonts w:ascii="Cambria" w:hAnsi="Cambria"/>
                <w:sz w:val="22"/>
              </w:rPr>
              <w:t>G639R</w:t>
            </w:r>
          </w:p>
        </w:tc>
        <w:tc>
          <w:tcPr>
            <w:tcW w:w="733" w:type="dxa"/>
          </w:tcPr>
          <w:p w14:paraId="3479A452" w14:textId="77777777" w:rsidR="00B15018" w:rsidRPr="00577758" w:rsidRDefault="00B15018" w:rsidP="009175CE">
            <w:pPr>
              <w:pStyle w:val="Tabletext0"/>
              <w:ind w:left="0" w:right="0"/>
              <w:rPr>
                <w:rFonts w:ascii="Cambria" w:hAnsi="Cambria"/>
                <w:sz w:val="22"/>
              </w:rPr>
            </w:pPr>
            <w:r w:rsidRPr="00577758">
              <w:rPr>
                <w:rFonts w:ascii="Cambria" w:hAnsi="Cambria"/>
                <w:sz w:val="22"/>
              </w:rPr>
              <w:t>WT</w:t>
            </w:r>
          </w:p>
        </w:tc>
        <w:tc>
          <w:tcPr>
            <w:tcW w:w="834" w:type="dxa"/>
          </w:tcPr>
          <w:p w14:paraId="39A19B4E" w14:textId="77777777" w:rsidR="00B15018" w:rsidRPr="00577758" w:rsidRDefault="00B15018" w:rsidP="00577758">
            <w:pPr>
              <w:pStyle w:val="Tabletext0"/>
              <w:ind w:left="0" w:right="-131"/>
              <w:rPr>
                <w:rFonts w:ascii="Cambria" w:hAnsi="Cambria"/>
                <w:sz w:val="22"/>
              </w:rPr>
            </w:pPr>
            <w:r w:rsidRPr="00577758">
              <w:rPr>
                <w:rFonts w:ascii="Cambria" w:hAnsi="Cambria"/>
                <w:sz w:val="22"/>
              </w:rPr>
              <w:t>G623R</w:t>
            </w:r>
          </w:p>
        </w:tc>
        <w:tc>
          <w:tcPr>
            <w:tcW w:w="615" w:type="dxa"/>
          </w:tcPr>
          <w:p w14:paraId="07CFDE0D" w14:textId="77777777" w:rsidR="00B15018" w:rsidRPr="00577758" w:rsidRDefault="00B15018" w:rsidP="009175CE">
            <w:pPr>
              <w:pStyle w:val="Tabletext0"/>
              <w:ind w:left="0" w:right="0"/>
              <w:rPr>
                <w:rFonts w:ascii="Cambria" w:hAnsi="Cambria"/>
                <w:sz w:val="22"/>
              </w:rPr>
            </w:pPr>
            <w:r w:rsidRPr="00577758">
              <w:rPr>
                <w:rFonts w:ascii="Cambria" w:hAnsi="Cambria"/>
                <w:sz w:val="22"/>
              </w:rPr>
              <w:t>WT</w:t>
            </w:r>
          </w:p>
        </w:tc>
        <w:tc>
          <w:tcPr>
            <w:tcW w:w="953" w:type="dxa"/>
          </w:tcPr>
          <w:p w14:paraId="4C863C9D" w14:textId="77777777" w:rsidR="00B15018" w:rsidRPr="00577758" w:rsidRDefault="00B15018" w:rsidP="00577758">
            <w:pPr>
              <w:pStyle w:val="Tabletext0"/>
              <w:ind w:left="0" w:right="-120"/>
              <w:rPr>
                <w:rFonts w:ascii="Cambria" w:hAnsi="Cambria"/>
                <w:sz w:val="22"/>
              </w:rPr>
            </w:pPr>
            <w:r w:rsidRPr="00577758">
              <w:rPr>
                <w:rFonts w:ascii="Cambria" w:hAnsi="Cambria"/>
                <w:sz w:val="22"/>
              </w:rPr>
              <w:t>G1202R</w:t>
            </w:r>
          </w:p>
        </w:tc>
      </w:tr>
      <w:tr w:rsidR="00577758" w:rsidRPr="00577758" w14:paraId="368A784A" w14:textId="77777777" w:rsidTr="00577758">
        <w:tc>
          <w:tcPr>
            <w:tcW w:w="983" w:type="dxa"/>
          </w:tcPr>
          <w:p w14:paraId="515EFEA8" w14:textId="77777777" w:rsidR="00B15018" w:rsidRPr="00577758" w:rsidRDefault="00B15018" w:rsidP="00577758">
            <w:pPr>
              <w:pStyle w:val="Tabletext0"/>
              <w:ind w:left="0" w:right="-99"/>
              <w:rPr>
                <w:rFonts w:ascii="Cambria" w:hAnsi="Cambria"/>
                <w:sz w:val="22"/>
              </w:rPr>
            </w:pPr>
            <w:r w:rsidRPr="00577758">
              <w:rPr>
                <w:rFonts w:ascii="Cambria" w:hAnsi="Cambria"/>
                <w:sz w:val="22"/>
              </w:rPr>
              <w:t>0.0706</w:t>
            </w:r>
          </w:p>
        </w:tc>
        <w:tc>
          <w:tcPr>
            <w:tcW w:w="822" w:type="dxa"/>
          </w:tcPr>
          <w:p w14:paraId="445C666C" w14:textId="77777777" w:rsidR="00B15018" w:rsidRPr="00577758" w:rsidRDefault="00B15018" w:rsidP="00577758">
            <w:pPr>
              <w:pStyle w:val="Tabletext0"/>
              <w:ind w:left="0" w:right="-135"/>
              <w:rPr>
                <w:rFonts w:ascii="Cambria" w:hAnsi="Cambria"/>
                <w:sz w:val="22"/>
              </w:rPr>
            </w:pPr>
            <w:r w:rsidRPr="00577758">
              <w:rPr>
                <w:rFonts w:ascii="Cambria" w:hAnsi="Cambria"/>
                <w:sz w:val="22"/>
              </w:rPr>
              <w:t>0.456</w:t>
            </w:r>
          </w:p>
        </w:tc>
        <w:tc>
          <w:tcPr>
            <w:tcW w:w="976" w:type="dxa"/>
          </w:tcPr>
          <w:p w14:paraId="27D20C96" w14:textId="77777777" w:rsidR="00B15018" w:rsidRPr="00577758" w:rsidRDefault="00B15018" w:rsidP="009175CE">
            <w:pPr>
              <w:pStyle w:val="Tabletext0"/>
              <w:ind w:left="0" w:right="0"/>
              <w:rPr>
                <w:rFonts w:ascii="Cambria" w:hAnsi="Cambria"/>
                <w:sz w:val="22"/>
              </w:rPr>
            </w:pPr>
            <w:r w:rsidRPr="00577758">
              <w:rPr>
                <w:rFonts w:ascii="Cambria" w:hAnsi="Cambria"/>
                <w:sz w:val="22"/>
              </w:rPr>
              <w:t>0.236</w:t>
            </w:r>
          </w:p>
        </w:tc>
        <w:tc>
          <w:tcPr>
            <w:tcW w:w="733" w:type="dxa"/>
          </w:tcPr>
          <w:p w14:paraId="403997AE" w14:textId="77777777" w:rsidR="00B15018" w:rsidRPr="00577758" w:rsidRDefault="00B15018" w:rsidP="00577758">
            <w:pPr>
              <w:pStyle w:val="Tabletext0"/>
              <w:ind w:left="0" w:right="-127"/>
              <w:rPr>
                <w:rFonts w:ascii="Cambria" w:hAnsi="Cambria"/>
                <w:sz w:val="22"/>
              </w:rPr>
            </w:pPr>
            <w:r w:rsidRPr="00577758">
              <w:rPr>
                <w:rFonts w:ascii="Cambria" w:hAnsi="Cambria"/>
                <w:sz w:val="22"/>
              </w:rPr>
              <w:t>0.533</w:t>
            </w:r>
          </w:p>
        </w:tc>
        <w:tc>
          <w:tcPr>
            <w:tcW w:w="834" w:type="dxa"/>
          </w:tcPr>
          <w:p w14:paraId="7C7CC918" w14:textId="77777777" w:rsidR="00B15018" w:rsidRPr="00577758" w:rsidRDefault="00B15018" w:rsidP="009175CE">
            <w:pPr>
              <w:pStyle w:val="Tabletext0"/>
              <w:ind w:left="0" w:right="0"/>
              <w:rPr>
                <w:rFonts w:ascii="Cambria" w:hAnsi="Cambria"/>
                <w:sz w:val="22"/>
              </w:rPr>
            </w:pPr>
            <w:r w:rsidRPr="00577758">
              <w:rPr>
                <w:rFonts w:ascii="Cambria" w:hAnsi="Cambria"/>
                <w:sz w:val="22"/>
              </w:rPr>
              <w:t>2.67</w:t>
            </w:r>
          </w:p>
        </w:tc>
        <w:tc>
          <w:tcPr>
            <w:tcW w:w="733" w:type="dxa"/>
          </w:tcPr>
          <w:p w14:paraId="5A3BAA95" w14:textId="77777777" w:rsidR="00B15018" w:rsidRPr="00577758" w:rsidRDefault="00B15018" w:rsidP="00577758">
            <w:pPr>
              <w:pStyle w:val="Tabletext0"/>
              <w:ind w:left="0" w:right="-117"/>
              <w:rPr>
                <w:rFonts w:ascii="Cambria" w:hAnsi="Cambria"/>
                <w:sz w:val="22"/>
              </w:rPr>
            </w:pPr>
            <w:r w:rsidRPr="00577758">
              <w:rPr>
                <w:rFonts w:ascii="Cambria" w:hAnsi="Cambria"/>
                <w:sz w:val="22"/>
              </w:rPr>
              <w:t>0.297</w:t>
            </w:r>
          </w:p>
        </w:tc>
        <w:tc>
          <w:tcPr>
            <w:tcW w:w="834" w:type="dxa"/>
          </w:tcPr>
          <w:p w14:paraId="3E0C028D" w14:textId="77777777" w:rsidR="00B15018" w:rsidRPr="00577758" w:rsidRDefault="00B15018" w:rsidP="009175CE">
            <w:pPr>
              <w:pStyle w:val="Tabletext0"/>
              <w:ind w:left="0" w:right="0"/>
              <w:rPr>
                <w:rFonts w:ascii="Cambria" w:hAnsi="Cambria"/>
                <w:sz w:val="22"/>
              </w:rPr>
            </w:pPr>
            <w:r w:rsidRPr="00577758">
              <w:rPr>
                <w:rFonts w:ascii="Cambria" w:hAnsi="Cambria"/>
                <w:sz w:val="22"/>
              </w:rPr>
              <w:t>2.66</w:t>
            </w:r>
          </w:p>
        </w:tc>
        <w:tc>
          <w:tcPr>
            <w:tcW w:w="733" w:type="dxa"/>
          </w:tcPr>
          <w:p w14:paraId="6DCAAEB1" w14:textId="77777777" w:rsidR="00B15018" w:rsidRPr="00577758" w:rsidRDefault="00B15018" w:rsidP="00577758">
            <w:pPr>
              <w:pStyle w:val="Tabletext0"/>
              <w:ind w:left="0" w:right="-108"/>
              <w:rPr>
                <w:rFonts w:ascii="Cambria" w:hAnsi="Cambria"/>
                <w:sz w:val="22"/>
              </w:rPr>
            </w:pPr>
            <w:r w:rsidRPr="00577758">
              <w:rPr>
                <w:rFonts w:ascii="Cambria" w:hAnsi="Cambria"/>
                <w:sz w:val="22"/>
              </w:rPr>
              <w:t>0.211</w:t>
            </w:r>
          </w:p>
        </w:tc>
        <w:tc>
          <w:tcPr>
            <w:tcW w:w="834" w:type="dxa"/>
          </w:tcPr>
          <w:p w14:paraId="139CA37B" w14:textId="77777777" w:rsidR="00B15018" w:rsidRPr="00577758" w:rsidRDefault="00B15018" w:rsidP="009175CE">
            <w:pPr>
              <w:pStyle w:val="Tabletext0"/>
              <w:ind w:left="0" w:right="0"/>
              <w:rPr>
                <w:rFonts w:ascii="Cambria" w:hAnsi="Cambria"/>
                <w:sz w:val="22"/>
              </w:rPr>
            </w:pPr>
            <w:r w:rsidRPr="00577758">
              <w:rPr>
                <w:rFonts w:ascii="Cambria" w:hAnsi="Cambria"/>
                <w:sz w:val="22"/>
              </w:rPr>
              <w:t>4.46</w:t>
            </w:r>
          </w:p>
        </w:tc>
        <w:tc>
          <w:tcPr>
            <w:tcW w:w="615" w:type="dxa"/>
          </w:tcPr>
          <w:p w14:paraId="7B385DCD" w14:textId="77777777" w:rsidR="00B15018" w:rsidRPr="00577758" w:rsidRDefault="00B15018" w:rsidP="00577758">
            <w:pPr>
              <w:pStyle w:val="Tabletext0"/>
              <w:ind w:left="0" w:right="-85"/>
              <w:rPr>
                <w:rFonts w:ascii="Cambria" w:hAnsi="Cambria"/>
                <w:sz w:val="22"/>
              </w:rPr>
            </w:pPr>
            <w:r w:rsidRPr="00577758">
              <w:rPr>
                <w:rFonts w:ascii="Cambria" w:hAnsi="Cambria"/>
                <w:sz w:val="22"/>
              </w:rPr>
              <w:t>1.04</w:t>
            </w:r>
          </w:p>
        </w:tc>
        <w:tc>
          <w:tcPr>
            <w:tcW w:w="953" w:type="dxa"/>
          </w:tcPr>
          <w:p w14:paraId="3C73838C" w14:textId="77777777" w:rsidR="00B15018" w:rsidRPr="00577758" w:rsidRDefault="00B15018" w:rsidP="009175CE">
            <w:pPr>
              <w:pStyle w:val="Tabletext0"/>
              <w:ind w:left="0" w:right="0"/>
              <w:rPr>
                <w:rFonts w:ascii="Cambria" w:hAnsi="Cambria"/>
                <w:sz w:val="22"/>
              </w:rPr>
            </w:pPr>
            <w:r w:rsidRPr="00577758">
              <w:rPr>
                <w:rFonts w:ascii="Cambria" w:hAnsi="Cambria"/>
                <w:sz w:val="22"/>
              </w:rPr>
              <w:t>1.21</w:t>
            </w:r>
          </w:p>
        </w:tc>
      </w:tr>
    </w:tbl>
    <w:p w14:paraId="7272BBA1" w14:textId="0A3A319E" w:rsidR="00555135" w:rsidRDefault="00555135" w:rsidP="007A460D">
      <w:pPr>
        <w:spacing w:before="120"/>
      </w:pPr>
      <w:r>
        <w:t xml:space="preserve">The identity of the drug substance including molecular structure and polymorphic form is adequately established. The company has adequately addressed genotoxic and nitrosamine impurities in the drug substance.  </w:t>
      </w:r>
    </w:p>
    <w:p w14:paraId="3694FEE8" w14:textId="4AE390BC" w:rsidR="00555135" w:rsidRDefault="00555135" w:rsidP="00555135">
      <w:r>
        <w:t>The drug substance-related impurities are controlled in accordance with ICH guideline Q3A</w:t>
      </w:r>
      <w:r w:rsidR="007E6346">
        <w:rPr>
          <w:rStyle w:val="FootnoteReference"/>
        </w:rPr>
        <w:footnoteReference w:id="57"/>
      </w:r>
      <w:r>
        <w:t xml:space="preserve">. The proposed limit for critical parameter, particle size distribution, is according to the batch results of the drug substance used to manufacture the phase 1/2 pivotal clinical and relative </w:t>
      </w:r>
      <w:r>
        <w:lastRenderedPageBreak/>
        <w:t>bioequivalence batches of the drug product. The specification applied for the drug substance is acceptable.</w:t>
      </w:r>
    </w:p>
    <w:p w14:paraId="0D03E805" w14:textId="77777777" w:rsidR="00555135" w:rsidRDefault="00555135" w:rsidP="00555135">
      <w:r>
        <w:t>The analytical methods used to analyse the drug substance were adequately described and validated.</w:t>
      </w:r>
    </w:p>
    <w:p w14:paraId="0AC18837" w14:textId="69E8C435" w:rsidR="002D0192" w:rsidRDefault="00555135" w:rsidP="00555135">
      <w:r>
        <w:t>The stability data from 36-months support the proposed retest period of 48 months when stored at 25 °C.</w:t>
      </w:r>
    </w:p>
    <w:p w14:paraId="42CC101E" w14:textId="32709CCF" w:rsidR="0051487D" w:rsidRDefault="0051487D" w:rsidP="0051487D">
      <w:pPr>
        <w:pStyle w:val="Heading5"/>
      </w:pPr>
      <w:r w:rsidRPr="0051487D">
        <w:t>Drug product</w:t>
      </w:r>
    </w:p>
    <w:p w14:paraId="3097866F" w14:textId="14A5BA5C" w:rsidR="00A63DE3" w:rsidRDefault="0051487D" w:rsidP="00A63DE3">
      <w:r>
        <w:t>The a</w:t>
      </w:r>
      <w:r w:rsidR="00A63DE3">
        <w:t>ppearance of the drug products is described as follows:</w:t>
      </w:r>
    </w:p>
    <w:p w14:paraId="400D1C4D" w14:textId="77777777" w:rsidR="00A63DE3" w:rsidRDefault="00A63DE3" w:rsidP="0051487D">
      <w:pPr>
        <w:pStyle w:val="ListBullet"/>
      </w:pPr>
      <w:r>
        <w:t>40 mg strength: Size 0, white opaque cap, white opaque body hard shell capsules filled with a white to off-white powder which may appear as a plug. The capsule cap is imprinted ‘REP 40’ in blue text.</w:t>
      </w:r>
    </w:p>
    <w:p w14:paraId="520396DB" w14:textId="77777777" w:rsidR="00A63DE3" w:rsidRDefault="00A63DE3" w:rsidP="0051487D">
      <w:pPr>
        <w:pStyle w:val="ListBullet"/>
      </w:pPr>
      <w:r>
        <w:t>160 mg strength: Size 0, blue opaque cap, blue opaque body hard shell capsules filled with a white to off-white powder which may appear as a plug. The capsule cap is imprinted ‘REP 160’ in white text.</w:t>
      </w:r>
    </w:p>
    <w:p w14:paraId="6EBF2413" w14:textId="4EE365E6" w:rsidR="00A63DE3" w:rsidRDefault="0051487D" w:rsidP="00A63DE3">
      <w:r>
        <w:t>T</w:t>
      </w:r>
      <w:r w:rsidR="00A63DE3">
        <w:t xml:space="preserve">he proposed product strengths are distinguishable by colour and marking. </w:t>
      </w:r>
    </w:p>
    <w:p w14:paraId="35D7E8E9" w14:textId="77777777" w:rsidR="00A63DE3" w:rsidRDefault="00A63DE3" w:rsidP="00A63DE3">
      <w:r>
        <w:t xml:space="preserve">The qualitative/quantitative compositions of the drug products and the manufacturing process are not the same. However, the company has provided data demonstrating the relative bioequivalence of the clinical 40 mg formulation (administered as 4 × 40 mg capsules) and 160 mg formulation (administered as 1 × 160 mg capsule) under fasted conditions. The clinical batches (unmarked for both strengths) are bridged to the marketing batches (marked) by in-vitro dissolution studies. </w:t>
      </w:r>
    </w:p>
    <w:p w14:paraId="370EFDCC" w14:textId="0365914E" w:rsidR="00A63DE3" w:rsidRDefault="00A63DE3" w:rsidP="00A63DE3">
      <w:r>
        <w:t>The specifications applied for the 40 mg and 160 mg strengths are adequate to ensure the quality of the proposed drug products. Impurities are adequately controlled, in accordance with ICH guideline Q3B</w:t>
      </w:r>
      <w:r w:rsidR="00306002">
        <w:rPr>
          <w:rStyle w:val="FootnoteReference"/>
        </w:rPr>
        <w:footnoteReference w:id="58"/>
      </w:r>
      <w:r>
        <w:t xml:space="preserve">. Nitrosamine impurity risk assessment is adequate and acceptable. As per the risk assessment, the possibility for the presence of any nitrosamine impurities in the drug products is low.  </w:t>
      </w:r>
    </w:p>
    <w:p w14:paraId="552B5C11" w14:textId="77777777" w:rsidR="00A63DE3" w:rsidRDefault="00A63DE3" w:rsidP="00A63DE3">
      <w:r>
        <w:t xml:space="preserve">The analytical methods used to analyse the drug product are adequately described and were acceptably validated. </w:t>
      </w:r>
    </w:p>
    <w:p w14:paraId="7B77D3A9" w14:textId="77777777" w:rsidR="00A63DE3" w:rsidRDefault="00A63DE3" w:rsidP="00A63DE3">
      <w:r>
        <w:t xml:space="preserve">The proposed container closures for 40 mg (child resistant HDPE bottle closure) and 160 mg (Blister) strengths comply with the relevant guidelines and are acceptable. </w:t>
      </w:r>
    </w:p>
    <w:p w14:paraId="3EFFF248" w14:textId="77777777" w:rsidR="00A63DE3" w:rsidRDefault="00A63DE3" w:rsidP="00A63DE3">
      <w:r>
        <w:t xml:space="preserve">The stability data demonstrated that the drug products are stable for 36 months when stored below 25 °C. </w:t>
      </w:r>
    </w:p>
    <w:p w14:paraId="6D725A23" w14:textId="77777777" w:rsidR="00A63DE3" w:rsidRDefault="00A63DE3" w:rsidP="00992D22">
      <w:pPr>
        <w:pStyle w:val="Heading5"/>
      </w:pPr>
      <w:r>
        <w:t>Biopharmaceutics</w:t>
      </w:r>
    </w:p>
    <w:p w14:paraId="56F8E23B" w14:textId="60686AC0" w:rsidR="00A63DE3" w:rsidRDefault="00A63DE3" w:rsidP="00A63DE3">
      <w:r>
        <w:t xml:space="preserve">The company has provided data demonstrating the relative bioequivalence of the clinical 40 mg formulation (administered as 4 × 40 mg capsules) and 160 mg formulation (administered as 1 × 160 mg capsule) under fasted conditions. However, the relative bioequivalence of the clinical 40 mg formulation (administered as 4 × 40 mg capsules) and 160 mg (administered as 1 × 160 mg capsule) under fed conditions </w:t>
      </w:r>
      <w:proofErr w:type="gramStart"/>
      <w:r>
        <w:t>has</w:t>
      </w:r>
      <w:proofErr w:type="gramEnd"/>
      <w:r>
        <w:t xml:space="preserve"> not been demonstrated. As per the </w:t>
      </w:r>
      <w:r w:rsidR="009C7712">
        <w:t>quality</w:t>
      </w:r>
      <w:r w:rsidR="00B432AB">
        <w:t xml:space="preserve"> evaluation,</w:t>
      </w:r>
      <w:r>
        <w:t xml:space="preserve"> a</w:t>
      </w:r>
      <w:r w:rsidR="00B432AB" w:rsidRPr="00B432AB">
        <w:t xml:space="preserve"> bioequivalence</w:t>
      </w:r>
      <w:r>
        <w:t xml:space="preserve"> study under fed conditions is deemed unnecessary. </w:t>
      </w:r>
    </w:p>
    <w:p w14:paraId="250BD278" w14:textId="77777777" w:rsidR="00A63DE3" w:rsidRDefault="00A63DE3" w:rsidP="00B432AB">
      <w:pPr>
        <w:pStyle w:val="Heading5"/>
      </w:pPr>
      <w:r>
        <w:lastRenderedPageBreak/>
        <w:t>Other information</w:t>
      </w:r>
    </w:p>
    <w:p w14:paraId="519601AF" w14:textId="77777777" w:rsidR="00A63DE3" w:rsidRDefault="00A63DE3" w:rsidP="00A63DE3">
      <w:r>
        <w:t xml:space="preserve">The Product Information is considered acceptable from a pharmaceutical quality perspective. </w:t>
      </w:r>
    </w:p>
    <w:p w14:paraId="02CB8A58" w14:textId="77777777" w:rsidR="00A63DE3" w:rsidRDefault="00A63DE3" w:rsidP="00A63DE3">
      <w:r>
        <w:t>The labelling is considered acceptable from a pharmaceutical quality perspective.</w:t>
      </w:r>
    </w:p>
    <w:p w14:paraId="5586F76F" w14:textId="77777777" w:rsidR="00A63DE3" w:rsidRDefault="00A63DE3" w:rsidP="00A63DE3">
      <w:r>
        <w:t>The provisional ARTG records are finalised.</w:t>
      </w:r>
    </w:p>
    <w:p w14:paraId="26DEE788" w14:textId="60EAE409" w:rsidR="00B432AB" w:rsidRDefault="00B432AB" w:rsidP="00A63DE3">
      <w:r>
        <w:t xml:space="preserve">There are no objections to registration from a </w:t>
      </w:r>
      <w:r w:rsidR="008914A2" w:rsidRPr="008914A2">
        <w:t xml:space="preserve">pharmaceutical </w:t>
      </w:r>
      <w:r>
        <w:t xml:space="preserve">quality perspective. </w:t>
      </w:r>
    </w:p>
    <w:p w14:paraId="2BE90AAE" w14:textId="35796FD3" w:rsidR="00C22214" w:rsidRDefault="00C22214" w:rsidP="00C22214">
      <w:pPr>
        <w:pStyle w:val="Heading3"/>
      </w:pPr>
      <w:bookmarkStart w:id="38" w:name="_Toc314842512"/>
      <w:bookmarkStart w:id="39" w:name="_Toc103679296"/>
      <w:bookmarkStart w:id="40" w:name="_Toc219813782"/>
      <w:r>
        <w:t>Nonclinical</w:t>
      </w:r>
      <w:bookmarkEnd w:id="38"/>
      <w:bookmarkEnd w:id="39"/>
      <w:r w:rsidR="007E6443">
        <w:t xml:space="preserve"> evaluation</w:t>
      </w:r>
      <w:r w:rsidR="00095C6A">
        <w:t xml:space="preserve"> summary</w:t>
      </w:r>
      <w:bookmarkEnd w:id="40"/>
    </w:p>
    <w:p w14:paraId="124007A3" w14:textId="31ADF082" w:rsidR="008A2133" w:rsidRPr="008A2133" w:rsidRDefault="008A2133" w:rsidP="008A2133">
      <w:bookmarkStart w:id="41" w:name="_Toc247691530"/>
      <w:bookmarkStart w:id="42" w:name="_Toc314842513"/>
      <w:bookmarkStart w:id="43" w:name="_Toc103679297"/>
      <w:r>
        <w:t xml:space="preserve">The </w:t>
      </w:r>
      <w:r w:rsidRPr="008A2133">
        <w:t xml:space="preserve">review of the non-clinical aspects of the </w:t>
      </w:r>
      <w:proofErr w:type="spellStart"/>
      <w:r w:rsidRPr="008A2133">
        <w:t>repotrectinib</w:t>
      </w:r>
      <w:proofErr w:type="spellEnd"/>
      <w:r w:rsidRPr="008A2133">
        <w:t xml:space="preserve"> new chemical entity dossier </w:t>
      </w:r>
      <w:r w:rsidR="00FB4B3D">
        <w:t xml:space="preserve">by the TGA </w:t>
      </w:r>
      <w:r w:rsidRPr="008A2133">
        <w:t xml:space="preserve">was based largely on the US FDA pharmacology review which is available in the public domain. The overall quality of the </w:t>
      </w:r>
      <w:r w:rsidR="001F6389">
        <w:t>submitted nonclinical</w:t>
      </w:r>
      <w:r w:rsidRPr="008A2133">
        <w:t xml:space="preserve"> dossier was good.</w:t>
      </w:r>
    </w:p>
    <w:p w14:paraId="3D71B0C9" w14:textId="6B941F45" w:rsidR="008A2133" w:rsidRPr="008A2133" w:rsidRDefault="008A2133" w:rsidP="008A2133">
      <w:r w:rsidRPr="008A2133">
        <w:rPr>
          <w:i/>
          <w:iCs/>
        </w:rPr>
        <w:t>In vitro</w:t>
      </w:r>
      <w:r w:rsidRPr="008A2133">
        <w:t xml:space="preserve">, </w:t>
      </w:r>
      <w:proofErr w:type="spellStart"/>
      <w:r w:rsidRPr="008A2133">
        <w:t>repotrectinib</w:t>
      </w:r>
      <w:proofErr w:type="spellEnd"/>
      <w:r w:rsidRPr="008A2133">
        <w:t xml:space="preserve"> bound ROS1 with nanomolar affinity (</w:t>
      </w:r>
      <w:proofErr w:type="spellStart"/>
      <w:r w:rsidRPr="008A2133">
        <w:t>K</w:t>
      </w:r>
      <w:r w:rsidRPr="008A2133">
        <w:rPr>
          <w:vertAlign w:val="subscript"/>
        </w:rPr>
        <w:t>d</w:t>
      </w:r>
      <w:proofErr w:type="spellEnd"/>
      <w:r w:rsidRPr="008A2133">
        <w:t xml:space="preserve"> = 0.19 </w:t>
      </w:r>
      <w:proofErr w:type="spellStart"/>
      <w:r w:rsidRPr="008A2133">
        <w:t>nM</w:t>
      </w:r>
      <w:proofErr w:type="spellEnd"/>
      <w:r w:rsidRPr="008A2133">
        <w:t>) and inhibited 26 kinases – including ROS1</w:t>
      </w:r>
      <w:r w:rsidRPr="008A2133">
        <w:rPr>
          <w:vertAlign w:val="superscript"/>
        </w:rPr>
        <w:t>WT</w:t>
      </w:r>
      <w:r w:rsidRPr="008A2133">
        <w:t xml:space="preserve"> and ROS1</w:t>
      </w:r>
      <w:r w:rsidRPr="008A2133">
        <w:rPr>
          <w:vertAlign w:val="superscript"/>
        </w:rPr>
        <w:t>G2032R</w:t>
      </w:r>
      <w:r w:rsidRPr="008A2133">
        <w:t xml:space="preserve"> – at concentrations below the clinical free </w:t>
      </w:r>
      <w:proofErr w:type="spellStart"/>
      <w:r w:rsidRPr="008A2133">
        <w:t>C</w:t>
      </w:r>
      <w:r w:rsidRPr="008A2133">
        <w:rPr>
          <w:vertAlign w:val="subscript"/>
        </w:rPr>
        <w:t>max</w:t>
      </w:r>
      <w:proofErr w:type="spellEnd"/>
      <w:r w:rsidRPr="008A2133">
        <w:t xml:space="preserve"> of 91 </w:t>
      </w:r>
      <w:proofErr w:type="spellStart"/>
      <w:r w:rsidRPr="008A2133">
        <w:t>nM</w:t>
      </w:r>
      <w:proofErr w:type="spellEnd"/>
      <w:r w:rsidR="00CD7106">
        <w:t xml:space="preserve"> (Table 4)</w:t>
      </w:r>
      <w:r w:rsidRPr="008A2133">
        <w:t xml:space="preserve">. Effects against rat or monkey orthologues were not investigated. </w:t>
      </w:r>
    </w:p>
    <w:p w14:paraId="4D97EE2E" w14:textId="77777777" w:rsidR="008A2133" w:rsidRPr="008A2133" w:rsidRDefault="008A2133" w:rsidP="008A2133">
      <w:r w:rsidRPr="008A2133">
        <w:t>Repotrectinib inhibited autophosphorylation of human ROS1</w:t>
      </w:r>
      <w:r w:rsidRPr="008A2133">
        <w:rPr>
          <w:vertAlign w:val="superscript"/>
        </w:rPr>
        <w:t>WT</w:t>
      </w:r>
      <w:r w:rsidRPr="008A2133">
        <w:t xml:space="preserve"> and ROS1 oncogenes (CD74 and SDC4 fusion proteins) and similar effect was noted for ALK and TRKA/B. Antitumour activity was evaluated in subcutaneous xenograft models in athymic nude or SCID/Beige mice, transplanted with engineered cell lines expressing wild-type or mutant ROS1, ALK or TRKA oncogenes (fused SDC4, CD74, NMP, TPM3 or LMNA). Dose-dependent tumour growth inhibition ranging from 35% to 200% was observed in mice treated with orally administered </w:t>
      </w:r>
      <w:proofErr w:type="spellStart"/>
      <w:r w:rsidRPr="008A2133">
        <w:t>repotrectinib</w:t>
      </w:r>
      <w:proofErr w:type="spellEnd"/>
      <w:r w:rsidRPr="008A2133">
        <w:t xml:space="preserve"> (3 to 75 mg/kg BID). Neither NSCLC lines nor patient derived NSCLC cells were evaluated </w:t>
      </w:r>
      <w:r w:rsidRPr="008A2133">
        <w:rPr>
          <w:i/>
          <w:iCs/>
        </w:rPr>
        <w:t xml:space="preserve">in vivo </w:t>
      </w:r>
      <w:r w:rsidRPr="008A2133">
        <w:t xml:space="preserve">or </w:t>
      </w:r>
      <w:r w:rsidRPr="008A2133">
        <w:rPr>
          <w:i/>
          <w:iCs/>
        </w:rPr>
        <w:t>in vitro</w:t>
      </w:r>
      <w:r w:rsidRPr="008A2133">
        <w:t xml:space="preserve">. Consequently, the primary pharmacology program offers limited support for the proposed indications. </w:t>
      </w:r>
    </w:p>
    <w:p w14:paraId="58992869" w14:textId="77777777" w:rsidR="008A2133" w:rsidRPr="008A2133" w:rsidRDefault="008A2133" w:rsidP="008A2133">
      <w:r w:rsidRPr="008A2133">
        <w:t>Based on the kinase inhibition panel,</w:t>
      </w:r>
      <w:r w:rsidRPr="008A2133">
        <w:rPr>
          <w:i/>
          <w:iCs/>
        </w:rPr>
        <w:t xml:space="preserve"> </w:t>
      </w:r>
      <w:r w:rsidRPr="008A2133">
        <w:t xml:space="preserve">interactions in patients are considered likely, but with unknown clinical significance. Additionally, the drug inhibited LCK (lymphocyte cell-specific protein tyrosine kinase) at concentrations just above the clinical free </w:t>
      </w:r>
      <w:proofErr w:type="spellStart"/>
      <w:r w:rsidRPr="008A2133">
        <w:t>C</w:t>
      </w:r>
      <w:r w:rsidRPr="008A2133">
        <w:rPr>
          <w:vertAlign w:val="subscript"/>
        </w:rPr>
        <w:t>max</w:t>
      </w:r>
      <w:proofErr w:type="spellEnd"/>
      <w:r w:rsidRPr="008A2133">
        <w:t xml:space="preserve"> (IC</w:t>
      </w:r>
      <w:r w:rsidRPr="008A2133">
        <w:rPr>
          <w:vertAlign w:val="subscript"/>
        </w:rPr>
        <w:t>50</w:t>
      </w:r>
      <w:r w:rsidRPr="008A2133">
        <w:t xml:space="preserve"> = 110 </w:t>
      </w:r>
      <w:proofErr w:type="spellStart"/>
      <w:r w:rsidRPr="008A2133">
        <w:t>nM</w:t>
      </w:r>
      <w:proofErr w:type="spellEnd"/>
      <w:r w:rsidRPr="008A2133">
        <w:t xml:space="preserve">), raising the possibility of immunosuppressive effects. </w:t>
      </w:r>
    </w:p>
    <w:p w14:paraId="06B02BD9" w14:textId="379527B2" w:rsidR="008A2133" w:rsidRPr="008A2133" w:rsidRDefault="008A2133" w:rsidP="008A2133">
      <w:r w:rsidRPr="008A2133">
        <w:t xml:space="preserve">Safety pharmacology studies assessed effects on the cardiovascular, respiratory, gastrointestinal and central nervous systems (CNS). Repotrectinib had no toxicologically significant effects on cardiovascular function </w:t>
      </w:r>
      <w:r w:rsidRPr="008A2133">
        <w:rPr>
          <w:i/>
          <w:iCs/>
        </w:rPr>
        <w:t xml:space="preserve">in vivo </w:t>
      </w:r>
      <w:r w:rsidRPr="008A2133">
        <w:t xml:space="preserve">in monkeys or on </w:t>
      </w:r>
      <w:proofErr w:type="spellStart"/>
      <w:r w:rsidRPr="008A2133">
        <w:t>hERG</w:t>
      </w:r>
      <w:proofErr w:type="spellEnd"/>
      <w:r w:rsidRPr="008A2133">
        <w:t xml:space="preserve">, hNaV1.5, or hCaV1.2 channels </w:t>
      </w:r>
      <w:r w:rsidRPr="008A2133">
        <w:rPr>
          <w:i/>
          <w:iCs/>
        </w:rPr>
        <w:t>in vitro</w:t>
      </w:r>
      <w:r w:rsidRPr="008A2133">
        <w:t xml:space="preserve">. Repotrectinib did not affect respiratory function in rats and monkeys. Severe CNS toxicity, such as ataxia and tremors, was observed in rats during 4- and 13-week repeat-dose studies at </w:t>
      </w:r>
      <w:r w:rsidR="008B00C2">
        <w:br/>
      </w:r>
      <w:r w:rsidRPr="008A2133">
        <w:t>ER</w:t>
      </w:r>
      <w:r w:rsidR="00221C1E">
        <w:t xml:space="preserve"> </w:t>
      </w:r>
      <w:r w:rsidR="008B00C2">
        <w:t>(</w:t>
      </w:r>
      <w:r w:rsidR="00221C1E">
        <w:t xml:space="preserve">exposure </w:t>
      </w:r>
      <w:proofErr w:type="gramStart"/>
      <w:r w:rsidR="00221C1E">
        <w:t>ratio)</w:t>
      </w:r>
      <w:proofErr w:type="spellStart"/>
      <w:r w:rsidRPr="008A2133">
        <w:rPr>
          <w:vertAlign w:val="subscript"/>
        </w:rPr>
        <w:t>Cmax</w:t>
      </w:r>
      <w:proofErr w:type="spellEnd"/>
      <w:proofErr w:type="gramEnd"/>
      <w:r w:rsidRPr="008A2133">
        <w:t xml:space="preserve"> ≥ 2.8. </w:t>
      </w:r>
    </w:p>
    <w:p w14:paraId="2F8EE64B" w14:textId="77777777" w:rsidR="008A2133" w:rsidRPr="008A2133" w:rsidRDefault="008A2133" w:rsidP="008A2133">
      <w:r w:rsidRPr="008A2133">
        <w:t xml:space="preserve">Overall, the pharmacokinetic profile in rats and monkeys was qualitatively similar to that of humans. </w:t>
      </w:r>
      <w:proofErr w:type="spellStart"/>
      <w:r w:rsidRPr="008A2133">
        <w:t>T</w:t>
      </w:r>
      <w:r w:rsidRPr="008039FA">
        <w:rPr>
          <w:vertAlign w:val="subscript"/>
        </w:rPr>
        <w:t>max</w:t>
      </w:r>
      <w:proofErr w:type="spellEnd"/>
      <w:r w:rsidRPr="008A2133">
        <w:t xml:space="preserve"> (2-4 h) was comparable across species. The half-life was ~ 4 h in rats and mice, 10h in dogs, and 29 h in monkeys. Plasma protein binding was high (92.07-95.41%) in all species including human. Tissue distribution was wide but penetration into brain and reproductive tissues was very limited. All metabolites formed in humans were also observed in rats and monkeys. No individual metabolite represented greater than 10% exposure to the parent compound. Drug-related material was excreted </w:t>
      </w:r>
      <w:r w:rsidRPr="008A2133">
        <w:rPr>
          <w:i/>
          <w:iCs/>
        </w:rPr>
        <w:t xml:space="preserve">via </w:t>
      </w:r>
      <w:r w:rsidRPr="008A2133">
        <w:t xml:space="preserve">faeces and urine with faeces as the predominant route of excretion in all species. </w:t>
      </w:r>
    </w:p>
    <w:p w14:paraId="1825A982" w14:textId="702099F9" w:rsidR="008A2133" w:rsidRPr="008A2133" w:rsidRDefault="008A2133" w:rsidP="008A2133">
      <w:r w:rsidRPr="008A2133">
        <w:t xml:space="preserve">Based on </w:t>
      </w:r>
      <w:r w:rsidRPr="008A2133">
        <w:rPr>
          <w:i/>
          <w:iCs/>
        </w:rPr>
        <w:t xml:space="preserve">in vitro </w:t>
      </w:r>
      <w:r w:rsidRPr="008A2133">
        <w:t xml:space="preserve">studies, CYP3A4 inhibitors could affect </w:t>
      </w:r>
      <w:proofErr w:type="spellStart"/>
      <w:r w:rsidRPr="008A2133">
        <w:t>repotrectinib’s</w:t>
      </w:r>
      <w:proofErr w:type="spellEnd"/>
      <w:r w:rsidRPr="008A2133">
        <w:t xml:space="preserve"> systemic exposure. Repotrectinib is a moderate inducer and might alter the exposure of co-administered drugs that are CYP2B6/C8/C9 or CYP3A4 substrates. Repotrectinib may reduce the exposure of co-administered drugs that are P-glycoprotein or BCRP substrates. Additionally, inhibition of OATPB1 is expected at clinically relevant concentrations. Interactions with OATPB3, MATE1, </w:t>
      </w:r>
      <w:r w:rsidRPr="008A2133">
        <w:lastRenderedPageBreak/>
        <w:t>MATE2K and UGT1A1 are considered possible as the ratio of the IC</w:t>
      </w:r>
      <w:r w:rsidRPr="008A2133">
        <w:rPr>
          <w:vertAlign w:val="subscript"/>
        </w:rPr>
        <w:t>50</w:t>
      </w:r>
      <w:r w:rsidRPr="008A2133">
        <w:t xml:space="preserve"> to the plasma </w:t>
      </w:r>
      <w:proofErr w:type="spellStart"/>
      <w:r w:rsidRPr="008A2133">
        <w:t>C</w:t>
      </w:r>
      <w:r w:rsidRPr="008A2133">
        <w:rPr>
          <w:vertAlign w:val="subscript"/>
        </w:rPr>
        <w:t>max</w:t>
      </w:r>
      <w:proofErr w:type="spellEnd"/>
      <w:r w:rsidRPr="008A2133">
        <w:t xml:space="preserve"> for unbound drug is ≤50. </w:t>
      </w:r>
    </w:p>
    <w:p w14:paraId="77E4A708" w14:textId="77777777" w:rsidR="008A2133" w:rsidRPr="008A2133" w:rsidRDefault="008A2133" w:rsidP="008A2133">
      <w:r w:rsidRPr="008A2133">
        <w:t xml:space="preserve">Repotrectinib had a low order of acute oral toxicity in rats and monkeys. </w:t>
      </w:r>
    </w:p>
    <w:p w14:paraId="19E8D0B3" w14:textId="7E7F8243" w:rsidR="008A2133" w:rsidRPr="008A2133" w:rsidRDefault="008A2133" w:rsidP="008A2133">
      <w:r w:rsidRPr="008A2133">
        <w:t>Repeat-dose toxicity studies by the oral route were conducted in rats and cynomolgus monkeys (up to 13 weeks). Maximum exposures (AUC) were low in rats (with animal-to-clinical exposure ratios based on AUC [ER</w:t>
      </w:r>
      <w:r w:rsidRPr="008A2133">
        <w:rPr>
          <w:vertAlign w:val="subscript"/>
        </w:rPr>
        <w:t>AUC</w:t>
      </w:r>
      <w:r w:rsidRPr="008A2133">
        <w:t>] of ≤3.7) and subclinical in monkeys (ER</w:t>
      </w:r>
      <w:r w:rsidRPr="008A2133">
        <w:rPr>
          <w:vertAlign w:val="subscript"/>
        </w:rPr>
        <w:t>AUC</w:t>
      </w:r>
      <w:r w:rsidRPr="008A2133">
        <w:t xml:space="preserve"> ≤0.6). Treatment-related mortality was observed in rats. In a 4-week study, two moderate dose (MD) males (ER</w:t>
      </w:r>
      <w:r w:rsidRPr="008A2133">
        <w:rPr>
          <w:vertAlign w:val="subscript"/>
        </w:rPr>
        <w:t>AUC</w:t>
      </w:r>
      <w:r w:rsidRPr="008A2133">
        <w:t xml:space="preserve"> ~2) and all high dose (HD) males and females either died or were </w:t>
      </w:r>
      <w:r w:rsidR="00221C1E" w:rsidRPr="008A2133">
        <w:t>euthanized</w:t>
      </w:r>
      <w:r w:rsidRPr="008A2133">
        <w:t xml:space="preserve"> </w:t>
      </w:r>
      <w:r w:rsidRPr="008A2133">
        <w:rPr>
          <w:i/>
          <w:iCs/>
        </w:rPr>
        <w:t>in extremis</w:t>
      </w:r>
      <w:r w:rsidRPr="008A2133">
        <w:t>. Increased mortality in HD animals (two males and eight females) in a 13-week study resulted in treatment break and a subsequent dose reduction (males: 50 → 40 mg/kg/day; females 40 → 30 mg/kg/day; surviving animals ER</w:t>
      </w:r>
      <w:r w:rsidRPr="008A2133">
        <w:rPr>
          <w:vertAlign w:val="subscript"/>
        </w:rPr>
        <w:t>AUC</w:t>
      </w:r>
      <w:r w:rsidRPr="008A2133">
        <w:t xml:space="preserve"> = 2.4). The cause of deaths was not determined but acute CNS effects (ataxia and tremors) were observed in moribund animals. CNS signs associated with early deaths generally abated after dosing holidays and dose reduction. In monkeys, sporadic deaths at ER</w:t>
      </w:r>
      <w:r w:rsidRPr="008A2133">
        <w:rPr>
          <w:vertAlign w:val="subscript"/>
        </w:rPr>
        <w:t>AUC</w:t>
      </w:r>
      <w:r w:rsidRPr="008A2133">
        <w:t xml:space="preserve"> ~0.33 were related to severe gastrointestinal (GI) toxicity. At ER</w:t>
      </w:r>
      <w:r w:rsidRPr="008A2133">
        <w:rPr>
          <w:vertAlign w:val="subscript"/>
        </w:rPr>
        <w:t>AUC</w:t>
      </w:r>
      <w:r w:rsidRPr="008A2133">
        <w:t xml:space="preserve"> ≥0.2 monkeys exhibited reversible GI toxicity (watery faeces, emesis, inflammation and mucosal gland hyperplasia). Both monkey and rat exhibited reversible hypocellularity in bone marrow, lymphoid tissues and thymus. Toxicities in rats also included reversible CNS effects (ataxia and tremors) at ER</w:t>
      </w:r>
      <w:r w:rsidRPr="008A2133">
        <w:rPr>
          <w:vertAlign w:val="subscript"/>
        </w:rPr>
        <w:t>AUC</w:t>
      </w:r>
      <w:r w:rsidRPr="008A2133">
        <w:t xml:space="preserve"> ≥2.4 as well as skin ulcers and scabs at ER</w:t>
      </w:r>
      <w:r w:rsidRPr="008A2133">
        <w:rPr>
          <w:vertAlign w:val="subscript"/>
        </w:rPr>
        <w:t>AUC</w:t>
      </w:r>
      <w:r w:rsidRPr="008A2133">
        <w:t xml:space="preserve"> ≥0.4. </w:t>
      </w:r>
    </w:p>
    <w:p w14:paraId="139B20FF" w14:textId="77777777" w:rsidR="008A2133" w:rsidRPr="008A2133" w:rsidRDefault="008A2133" w:rsidP="008A2133">
      <w:r w:rsidRPr="008A2133">
        <w:t xml:space="preserve">Repotrectinib was not mutagenic in the Ames assay but displayed </w:t>
      </w:r>
      <w:proofErr w:type="spellStart"/>
      <w:r w:rsidRPr="008A2133">
        <w:t>aneugenic</w:t>
      </w:r>
      <w:proofErr w:type="spellEnd"/>
      <w:r w:rsidRPr="008A2133">
        <w:t xml:space="preserve"> potential </w:t>
      </w:r>
      <w:r w:rsidRPr="008A2133">
        <w:rPr>
          <w:i/>
          <w:iCs/>
        </w:rPr>
        <w:t xml:space="preserve">in vitro </w:t>
      </w:r>
      <w:r w:rsidRPr="008A2133">
        <w:t xml:space="preserve">in a mammalian cell micronucleus assay (with and without metabolic activation) and </w:t>
      </w:r>
      <w:r w:rsidRPr="008A2133">
        <w:rPr>
          <w:i/>
          <w:iCs/>
        </w:rPr>
        <w:t xml:space="preserve">in vivo </w:t>
      </w:r>
      <w:r w:rsidRPr="008A2133">
        <w:t xml:space="preserve">in rats at </w:t>
      </w:r>
      <w:proofErr w:type="spellStart"/>
      <w:r w:rsidRPr="008A2133">
        <w:t>ER</w:t>
      </w:r>
      <w:r w:rsidRPr="00522C5C">
        <w:rPr>
          <w:vertAlign w:val="subscript"/>
        </w:rPr>
        <w:t>C</w:t>
      </w:r>
      <w:r w:rsidRPr="008A2133">
        <w:rPr>
          <w:vertAlign w:val="subscript"/>
        </w:rPr>
        <w:t>max</w:t>
      </w:r>
      <w:proofErr w:type="spellEnd"/>
      <w:r w:rsidRPr="008A2133">
        <w:t xml:space="preserve"> &gt; 4. </w:t>
      </w:r>
      <w:proofErr w:type="spellStart"/>
      <w:r w:rsidRPr="008A2133">
        <w:t>Aneugenic</w:t>
      </w:r>
      <w:proofErr w:type="spellEnd"/>
      <w:r w:rsidRPr="008A2133">
        <w:t xml:space="preserve"> effects of </w:t>
      </w:r>
      <w:proofErr w:type="spellStart"/>
      <w:r w:rsidRPr="008A2133">
        <w:t>repotrectinib</w:t>
      </w:r>
      <w:proofErr w:type="spellEnd"/>
      <w:r w:rsidRPr="008A2133">
        <w:t xml:space="preserve"> in patients cannot be excluded. </w:t>
      </w:r>
    </w:p>
    <w:p w14:paraId="414D926E" w14:textId="77777777" w:rsidR="008A2133" w:rsidRPr="008A2133" w:rsidRDefault="008A2133" w:rsidP="008A2133">
      <w:r w:rsidRPr="008A2133">
        <w:t xml:space="preserve">In pregnant rats, oral </w:t>
      </w:r>
      <w:proofErr w:type="spellStart"/>
      <w:r w:rsidRPr="008A2133">
        <w:t>repotrectinib</w:t>
      </w:r>
      <w:proofErr w:type="spellEnd"/>
      <w:r w:rsidRPr="008A2133">
        <w:t xml:space="preserve"> led to increased, dose-dependent post-implantation loss at ER</w:t>
      </w:r>
      <w:r w:rsidRPr="008A2133">
        <w:rPr>
          <w:vertAlign w:val="subscript"/>
        </w:rPr>
        <w:t>BSA</w:t>
      </w:r>
      <w:r w:rsidRPr="008A2133">
        <w:t xml:space="preserve"> ≥0.18. Embryofetal toxicity included hind limb malformations at ER</w:t>
      </w:r>
      <w:r w:rsidRPr="008A2133">
        <w:rPr>
          <w:vertAlign w:val="subscript"/>
        </w:rPr>
        <w:t>BSA</w:t>
      </w:r>
      <w:r w:rsidRPr="008A2133">
        <w:t xml:space="preserve"> ≥0.37 and reduced fetal weight at ER</w:t>
      </w:r>
      <w:r w:rsidRPr="008A2133">
        <w:rPr>
          <w:vertAlign w:val="subscript"/>
        </w:rPr>
        <w:t>BSA</w:t>
      </w:r>
      <w:r w:rsidRPr="008A2133">
        <w:t xml:space="preserve"> = 0.61. No further embryofetal developmental studies were conducted. CNS effects in juvenile rats resulted in acute mortality and early euthanasia at lower ER</w:t>
      </w:r>
      <w:r w:rsidRPr="008A2133">
        <w:rPr>
          <w:vertAlign w:val="subscript"/>
        </w:rPr>
        <w:t>BSA</w:t>
      </w:r>
      <w:r w:rsidRPr="008A2133">
        <w:t xml:space="preserve"> levels (≥2.4) </w:t>
      </w:r>
      <w:r w:rsidRPr="008A2133">
        <w:rPr>
          <w:i/>
          <w:iCs/>
        </w:rPr>
        <w:t xml:space="preserve">cf. </w:t>
      </w:r>
      <w:r w:rsidRPr="008A2133">
        <w:t xml:space="preserve">adult animals (~3.6). </w:t>
      </w:r>
    </w:p>
    <w:p w14:paraId="57F75DDA" w14:textId="77777777" w:rsidR="008A2133" w:rsidRPr="008A2133" w:rsidRDefault="008A2133" w:rsidP="008A2133">
      <w:r w:rsidRPr="008A2133">
        <w:t xml:space="preserve">There are no impurities/degradants specified in the drug substance/drug product at limits above the applicable ICH Q3A/B qualification thresholds. </w:t>
      </w:r>
    </w:p>
    <w:p w14:paraId="47D85082" w14:textId="77777777" w:rsidR="008A2133" w:rsidRPr="008A2133" w:rsidRDefault="008A2133" w:rsidP="008A2133">
      <w:r w:rsidRPr="008A2133">
        <w:t>In summary:</w:t>
      </w:r>
    </w:p>
    <w:p w14:paraId="50955CAC" w14:textId="77777777" w:rsidR="008A2133" w:rsidRPr="008A2133" w:rsidRDefault="008A2133" w:rsidP="008710FD">
      <w:pPr>
        <w:pStyle w:val="ListBullet"/>
      </w:pPr>
      <w:r w:rsidRPr="008A2133">
        <w:t xml:space="preserve">Nonclinical efficacy was demonstrated </w:t>
      </w:r>
      <w:r w:rsidRPr="008A2133">
        <w:rPr>
          <w:i/>
          <w:iCs/>
        </w:rPr>
        <w:t xml:space="preserve">in vivo </w:t>
      </w:r>
      <w:r w:rsidRPr="008A2133">
        <w:t xml:space="preserve">and </w:t>
      </w:r>
      <w:r w:rsidRPr="008A2133">
        <w:rPr>
          <w:i/>
          <w:iCs/>
        </w:rPr>
        <w:t xml:space="preserve">in vitro </w:t>
      </w:r>
      <w:r w:rsidRPr="008A2133">
        <w:t xml:space="preserve">against engineered cell lines expressing ROS1, ALK and TRKA oncogenes. The results were consistent with the drug's expected mode of action. However, the efficacy against patient-derived NSCLC cells was not demonstrated in animal models Consequently, the primary pharmacology program provides limited support for the proposed indications. </w:t>
      </w:r>
    </w:p>
    <w:p w14:paraId="0D111D56" w14:textId="77777777" w:rsidR="008A2133" w:rsidRPr="008A2133" w:rsidRDefault="008A2133" w:rsidP="008710FD">
      <w:pPr>
        <w:pStyle w:val="ListBullet"/>
      </w:pPr>
      <w:r w:rsidRPr="008A2133">
        <w:t xml:space="preserve">Despite minimal brain penetration observed in rats, adverse effects on the central nervous system, such as ataxia and tremors, were noted. This has been noted in the PI. Similar effects are common with other drugs of the same class. Gastrointestinal effects (watery faeces, emesis, inflammation, mucosal gland hyperplasia) were observed in monkeys at subclinical exposures. </w:t>
      </w:r>
    </w:p>
    <w:p w14:paraId="649F2077" w14:textId="77777777" w:rsidR="008A2133" w:rsidRPr="008A2133" w:rsidRDefault="008A2133" w:rsidP="008710FD">
      <w:pPr>
        <w:pStyle w:val="ListBullet"/>
      </w:pPr>
      <w:r w:rsidRPr="008A2133">
        <w:t xml:space="preserve">Nonclinical data (LCK inhibition </w:t>
      </w:r>
      <w:r w:rsidRPr="008A2133">
        <w:rPr>
          <w:i/>
          <w:iCs/>
        </w:rPr>
        <w:t xml:space="preserve">in vitro </w:t>
      </w:r>
      <w:r w:rsidRPr="008A2133">
        <w:t xml:space="preserve">and lymphoid tissue hypocellularity observed </w:t>
      </w:r>
      <w:r w:rsidRPr="008A2133">
        <w:rPr>
          <w:i/>
          <w:iCs/>
        </w:rPr>
        <w:t>in vivo</w:t>
      </w:r>
      <w:r w:rsidRPr="008A2133">
        <w:t xml:space="preserve">) suggest immunosuppressive effects of </w:t>
      </w:r>
      <w:proofErr w:type="spellStart"/>
      <w:r w:rsidRPr="008A2133">
        <w:t>repotrectinib</w:t>
      </w:r>
      <w:proofErr w:type="spellEnd"/>
      <w:r w:rsidRPr="008A2133">
        <w:t xml:space="preserve"> and potentially increased susceptibility to infections. </w:t>
      </w:r>
    </w:p>
    <w:p w14:paraId="47AD6639" w14:textId="77777777" w:rsidR="008A2133" w:rsidRPr="008A2133" w:rsidRDefault="008A2133" w:rsidP="008710FD">
      <w:pPr>
        <w:pStyle w:val="ListBullet"/>
      </w:pPr>
      <w:r w:rsidRPr="008A2133">
        <w:t xml:space="preserve">Repotrectinib might interfere with P-glycoprotein, BCRP and OATPB1 at clinically relevant concentrations. Interactions with OATP1B3, MATE1, MATE_2K and UGT1A1 are considered possible. </w:t>
      </w:r>
    </w:p>
    <w:p w14:paraId="62376F3F" w14:textId="77777777" w:rsidR="008A2133" w:rsidRPr="008A2133" w:rsidRDefault="008A2133" w:rsidP="008710FD">
      <w:pPr>
        <w:pStyle w:val="ListBullet"/>
      </w:pPr>
      <w:r w:rsidRPr="008A2133">
        <w:t xml:space="preserve">Repotrectinib was not mutagenic; </w:t>
      </w:r>
      <w:proofErr w:type="spellStart"/>
      <w:r w:rsidRPr="008A2133">
        <w:t>aneugenic</w:t>
      </w:r>
      <w:proofErr w:type="spellEnd"/>
      <w:r w:rsidRPr="008A2133">
        <w:t xml:space="preserve"> effects cannot be ruled out. </w:t>
      </w:r>
    </w:p>
    <w:p w14:paraId="03B3BC3A" w14:textId="77777777" w:rsidR="008A2133" w:rsidRPr="008A2133" w:rsidRDefault="008A2133" w:rsidP="008710FD">
      <w:pPr>
        <w:pStyle w:val="ListBullet"/>
      </w:pPr>
      <w:r w:rsidRPr="008A2133">
        <w:lastRenderedPageBreak/>
        <w:t xml:space="preserve">Repotrectinib was teratogenic in pregnant rats at subclinical exposures. </w:t>
      </w:r>
    </w:p>
    <w:p w14:paraId="2148A59C" w14:textId="77777777" w:rsidR="008A2133" w:rsidRPr="008A2133" w:rsidRDefault="008A2133" w:rsidP="008710FD">
      <w:pPr>
        <w:pStyle w:val="ListBullet"/>
      </w:pPr>
      <w:r w:rsidRPr="008A2133">
        <w:t xml:space="preserve">Severe CNS toxicity was observed in juvenile rats at exposures lower than in adult animals. However, the drug is not indicated for paediatric use. </w:t>
      </w:r>
    </w:p>
    <w:p w14:paraId="15C51A23" w14:textId="7B060F69" w:rsidR="008804CF" w:rsidRPr="008A2133" w:rsidRDefault="008A2133" w:rsidP="008A2133">
      <w:r w:rsidRPr="008A2133">
        <w:t xml:space="preserve">Considering the proposed indications and Pregnancy Category D, there are no nonclinical objections to the registration of </w:t>
      </w:r>
      <w:proofErr w:type="spellStart"/>
      <w:r w:rsidRPr="008A2133">
        <w:t>repotrectinib</w:t>
      </w:r>
      <w:proofErr w:type="spellEnd"/>
      <w:r w:rsidRPr="008A2133">
        <w:t xml:space="preserve"> in adults.</w:t>
      </w:r>
    </w:p>
    <w:p w14:paraId="35B580A5" w14:textId="40B226DC" w:rsidR="00C22214" w:rsidRDefault="00C22214" w:rsidP="008804CF">
      <w:pPr>
        <w:pStyle w:val="Heading3"/>
      </w:pPr>
      <w:bookmarkStart w:id="44" w:name="_Toc219813783"/>
      <w:r>
        <w:t>Clinical</w:t>
      </w:r>
      <w:bookmarkEnd w:id="41"/>
      <w:bookmarkEnd w:id="42"/>
      <w:bookmarkEnd w:id="43"/>
      <w:r w:rsidR="00095C6A">
        <w:t xml:space="preserve"> evaluation summary</w:t>
      </w:r>
      <w:bookmarkEnd w:id="44"/>
    </w:p>
    <w:p w14:paraId="3488E4AC" w14:textId="4CDB9E5F" w:rsidR="009538AE" w:rsidRPr="009538AE" w:rsidRDefault="009538AE" w:rsidP="009538AE">
      <w:pPr>
        <w:pStyle w:val="Heading4"/>
      </w:pPr>
      <w:bookmarkStart w:id="45" w:name="_Toc219813784"/>
      <w:r w:rsidRPr="009538AE">
        <w:t>Summary of clinical studies</w:t>
      </w:r>
      <w:bookmarkEnd w:id="45"/>
    </w:p>
    <w:p w14:paraId="749F0E5F" w14:textId="57F0FCB9" w:rsidR="00212CE6" w:rsidRDefault="00212CE6" w:rsidP="00212CE6">
      <w:r>
        <w:t xml:space="preserve">The clinical dataset submitted in support of the registration of </w:t>
      </w:r>
      <w:proofErr w:type="spellStart"/>
      <w:r>
        <w:t>repotrectinib</w:t>
      </w:r>
      <w:proofErr w:type="spellEnd"/>
      <w:r>
        <w:t xml:space="preserve"> mainly comprised the study reports summarised in Table </w:t>
      </w:r>
      <w:r w:rsidR="00CD7106">
        <w:t>5</w:t>
      </w:r>
      <w:r>
        <w:t>. Additional documents (bioanalytical reports, exploratory cross-trial comparisons, literature references) were also submitted.</w:t>
      </w:r>
    </w:p>
    <w:p w14:paraId="207DA168" w14:textId="79F0F4BE" w:rsidR="00212CE6" w:rsidRDefault="00212CE6" w:rsidP="00212CE6">
      <w:pPr>
        <w:pStyle w:val="TableTitle"/>
      </w:pPr>
      <w:r>
        <w:t xml:space="preserve">Table </w:t>
      </w:r>
      <w:r w:rsidR="00CD7106">
        <w:t>5</w:t>
      </w:r>
      <w:r>
        <w:t xml:space="preserve">. Clinical studies submitted to the TGA to support the </w:t>
      </w:r>
      <w:proofErr w:type="spellStart"/>
      <w:r>
        <w:t>repotrectinib</w:t>
      </w:r>
      <w:proofErr w:type="spellEnd"/>
      <w:r>
        <w:t xml:space="preserve"> submission</w:t>
      </w:r>
    </w:p>
    <w:tbl>
      <w:tblPr>
        <w:tblStyle w:val="TableTGAblue2023"/>
        <w:tblW w:w="9067" w:type="dxa"/>
        <w:tblLook w:val="04A0" w:firstRow="1" w:lastRow="0" w:firstColumn="1" w:lastColumn="0" w:noHBand="0" w:noVBand="1"/>
      </w:tblPr>
      <w:tblGrid>
        <w:gridCol w:w="1980"/>
        <w:gridCol w:w="7087"/>
      </w:tblGrid>
      <w:tr w:rsidR="00FC2918" w14:paraId="7E6A565B" w14:textId="77777777" w:rsidTr="00B670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121CC00" w14:textId="77777777" w:rsidR="00FC2918" w:rsidRPr="00857112" w:rsidRDefault="00FC2918" w:rsidP="00B67020">
            <w:pPr>
              <w:rPr>
                <w:lang w:eastAsia="ja-JP"/>
              </w:rPr>
            </w:pPr>
            <w:r w:rsidRPr="00857112">
              <w:rPr>
                <w:lang w:eastAsia="ja-JP"/>
              </w:rPr>
              <w:t>Study/</w:t>
            </w:r>
            <w:proofErr w:type="spellStart"/>
            <w:r w:rsidRPr="00857112">
              <w:rPr>
                <w:lang w:eastAsia="ja-JP"/>
              </w:rPr>
              <w:t>reportID</w:t>
            </w:r>
            <w:proofErr w:type="spellEnd"/>
          </w:p>
        </w:tc>
        <w:tc>
          <w:tcPr>
            <w:tcW w:w="7087" w:type="dxa"/>
          </w:tcPr>
          <w:p w14:paraId="289BDC97" w14:textId="77777777" w:rsidR="00FC2918" w:rsidRPr="00857112" w:rsidRDefault="00FC2918" w:rsidP="00B67020">
            <w:pPr>
              <w:cnfStyle w:val="100000000000" w:firstRow="1" w:lastRow="0" w:firstColumn="0" w:lastColumn="0" w:oddVBand="0" w:evenVBand="0" w:oddHBand="0" w:evenHBand="0" w:firstRowFirstColumn="0" w:firstRowLastColumn="0" w:lastRowFirstColumn="0" w:lastRowLastColumn="0"/>
              <w:rPr>
                <w:lang w:eastAsia="ja-JP"/>
              </w:rPr>
            </w:pPr>
            <w:r w:rsidRPr="00857112">
              <w:rPr>
                <w:lang w:eastAsia="ja-JP"/>
              </w:rPr>
              <w:t>Study description</w:t>
            </w:r>
          </w:p>
        </w:tc>
      </w:tr>
      <w:tr w:rsidR="00FC2918" w14:paraId="1C3600E0"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507FE887" w14:textId="77777777" w:rsidR="00FC2918" w:rsidRDefault="00FC2918" w:rsidP="00B67020">
            <w:r>
              <w:rPr>
                <w:bCs/>
                <w:lang w:eastAsia="ja-JP"/>
              </w:rPr>
              <w:t xml:space="preserve">Study </w:t>
            </w:r>
            <w:r w:rsidRPr="00DD5A72">
              <w:rPr>
                <w:bCs/>
                <w:lang w:eastAsia="ja-JP"/>
              </w:rPr>
              <w:t>TPX-0005-008</w:t>
            </w:r>
          </w:p>
        </w:tc>
        <w:tc>
          <w:tcPr>
            <w:tcW w:w="7087" w:type="dxa"/>
          </w:tcPr>
          <w:p w14:paraId="56086C77" w14:textId="235B6A67" w:rsidR="00FC2918" w:rsidRDefault="00FC2918" w:rsidP="00B67020">
            <w:pPr>
              <w:cnfStyle w:val="000000000000" w:firstRow="0" w:lastRow="0" w:firstColumn="0" w:lastColumn="0" w:oddVBand="0" w:evenVBand="0" w:oddHBand="0" w:evenHBand="0" w:firstRowFirstColumn="0" w:firstRowLastColumn="0" w:lastRowFirstColumn="0" w:lastRowLastColumn="0"/>
            </w:pPr>
            <w:r>
              <w:rPr>
                <w:lang w:eastAsia="ja-JP"/>
              </w:rPr>
              <w:t xml:space="preserve">Phase 1 bioavailability study of </w:t>
            </w:r>
            <w:proofErr w:type="spellStart"/>
            <w:r>
              <w:rPr>
                <w:lang w:eastAsia="ja-JP"/>
              </w:rPr>
              <w:t>repotrectinib</w:t>
            </w:r>
            <w:proofErr w:type="spellEnd"/>
            <w:r>
              <w:rPr>
                <w:lang w:eastAsia="ja-JP"/>
              </w:rPr>
              <w:t xml:space="preserve"> oral suspension relative to </w:t>
            </w:r>
            <w:proofErr w:type="spellStart"/>
            <w:r>
              <w:rPr>
                <w:lang w:eastAsia="ja-JP"/>
              </w:rPr>
              <w:t>repotrectinib</w:t>
            </w:r>
            <w:proofErr w:type="spellEnd"/>
            <w:r>
              <w:rPr>
                <w:lang w:eastAsia="ja-JP"/>
              </w:rPr>
              <w:t xml:space="preserve"> capsules in healthy adult male subjects</w:t>
            </w:r>
            <w:r w:rsidR="00FC3D9D">
              <w:t xml:space="preserve"> </w:t>
            </w:r>
          </w:p>
        </w:tc>
      </w:tr>
      <w:tr w:rsidR="00FC2918" w14:paraId="7E0246C4"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612EC630" w14:textId="6D33FD3B" w:rsidR="00FC2918" w:rsidRDefault="00FC2918" w:rsidP="00B67020">
            <w:r w:rsidRPr="00A3658F">
              <w:rPr>
                <w:bCs/>
              </w:rPr>
              <w:t>Study TPX-0005-12</w:t>
            </w:r>
          </w:p>
        </w:tc>
        <w:tc>
          <w:tcPr>
            <w:tcW w:w="7087" w:type="dxa"/>
          </w:tcPr>
          <w:p w14:paraId="5A760DF5" w14:textId="3C3258D3" w:rsidR="00FC2918" w:rsidRDefault="00FC2918" w:rsidP="00B67020">
            <w:pPr>
              <w:cnfStyle w:val="000000000000" w:firstRow="0" w:lastRow="0" w:firstColumn="0" w:lastColumn="0" w:oddVBand="0" w:evenVBand="0" w:oddHBand="0" w:evenHBand="0" w:firstRowFirstColumn="0" w:firstRowLastColumn="0" w:lastRowFirstColumn="0" w:lastRowLastColumn="0"/>
            </w:pPr>
            <w:r>
              <w:rPr>
                <w:lang w:eastAsia="ja-JP"/>
              </w:rPr>
              <w:t xml:space="preserve">A Phase 1 Relative Bioavailability Study of </w:t>
            </w:r>
            <w:proofErr w:type="spellStart"/>
            <w:r w:rsidR="00FC3D9D">
              <w:rPr>
                <w:lang w:eastAsia="ja-JP"/>
              </w:rPr>
              <w:t>r</w:t>
            </w:r>
            <w:r>
              <w:rPr>
                <w:lang w:eastAsia="ja-JP"/>
              </w:rPr>
              <w:t>epotrectinib</w:t>
            </w:r>
            <w:proofErr w:type="spellEnd"/>
            <w:r>
              <w:rPr>
                <w:lang w:eastAsia="ja-JP"/>
              </w:rPr>
              <w:t xml:space="preserve"> (TPX-0005) Capsule Formulations in Healthy Adult Male Subjects</w:t>
            </w:r>
          </w:p>
        </w:tc>
      </w:tr>
      <w:tr w:rsidR="00FC2918" w14:paraId="0BBB7461"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3861DA72" w14:textId="77777777" w:rsidR="00FC2918" w:rsidRDefault="00FC2918" w:rsidP="00B67020">
            <w:pPr>
              <w:rPr>
                <w:lang w:eastAsia="ja-JP"/>
              </w:rPr>
            </w:pPr>
            <w:r w:rsidRPr="00A3658F">
              <w:rPr>
                <w:bCs/>
              </w:rPr>
              <w:t>Study TPX-0005-14</w:t>
            </w:r>
          </w:p>
        </w:tc>
        <w:tc>
          <w:tcPr>
            <w:tcW w:w="7087" w:type="dxa"/>
          </w:tcPr>
          <w:p w14:paraId="1D060A07" w14:textId="2B9637F0" w:rsidR="00FC2918" w:rsidRDefault="00FC2918" w:rsidP="00B67020">
            <w:pPr>
              <w:cnfStyle w:val="000000000000" w:firstRow="0" w:lastRow="0" w:firstColumn="0" w:lastColumn="0" w:oddVBand="0" w:evenVBand="0" w:oddHBand="0" w:evenHBand="0" w:firstRowFirstColumn="0" w:firstRowLastColumn="0" w:lastRowFirstColumn="0" w:lastRowLastColumn="0"/>
            </w:pPr>
            <w:r w:rsidRPr="00A3658F">
              <w:t xml:space="preserve">A Phase 1, Open-Label, Randomized, Three-Period, Four-Treatment Crossover Study to Assess the Bioequivalence of </w:t>
            </w:r>
            <w:proofErr w:type="spellStart"/>
            <w:r w:rsidR="00FC3D9D">
              <w:t>r</w:t>
            </w:r>
            <w:r w:rsidRPr="00A3658F">
              <w:t>epotrectinib</w:t>
            </w:r>
            <w:proofErr w:type="spellEnd"/>
            <w:r w:rsidRPr="00A3658F">
              <w:t xml:space="preserve"> (TPX-0005) Administered as the To Be Marketed Formulation Versus the Current Clinical Formulation and the Effect of Food in Healthy Adult Male Subjects</w:t>
            </w:r>
            <w:r w:rsidR="00FC3D9D">
              <w:t xml:space="preserve"> </w:t>
            </w:r>
          </w:p>
        </w:tc>
      </w:tr>
      <w:tr w:rsidR="00FC2918" w14:paraId="2391CF61"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316C6BCE" w14:textId="77777777" w:rsidR="00FC2918" w:rsidRDefault="00FC2918" w:rsidP="00B67020">
            <w:r w:rsidRPr="00E95AE6">
              <w:rPr>
                <w:bCs/>
                <w:lang w:eastAsia="ja-JP"/>
              </w:rPr>
              <w:t>Study TPX-0005-09</w:t>
            </w:r>
          </w:p>
        </w:tc>
        <w:tc>
          <w:tcPr>
            <w:tcW w:w="7087" w:type="dxa"/>
          </w:tcPr>
          <w:p w14:paraId="27708B04" w14:textId="40A809AB" w:rsidR="00FC2918" w:rsidRDefault="00FC2918" w:rsidP="00B67020">
            <w:pPr>
              <w:cnfStyle w:val="000000000000" w:firstRow="0" w:lastRow="0" w:firstColumn="0" w:lastColumn="0" w:oddVBand="0" w:evenVBand="0" w:oddHBand="0" w:evenHBand="0" w:firstRowFirstColumn="0" w:firstRowLastColumn="0" w:lastRowFirstColumn="0" w:lastRowLastColumn="0"/>
            </w:pPr>
            <w:r>
              <w:rPr>
                <w:lang w:eastAsia="ja-JP"/>
              </w:rPr>
              <w:t>A Phase 1 Study to Investigate the Mass Balance, Pharmacokinetics, and Metabolism of a Single Oral Dose and Pharmacokinetics of an Intravenous Tracer of [</w:t>
            </w:r>
            <w:r w:rsidRPr="00FC3D9D">
              <w:rPr>
                <w:vertAlign w:val="superscript"/>
                <w:lang w:eastAsia="ja-JP"/>
              </w:rPr>
              <w:t>14</w:t>
            </w:r>
            <w:r>
              <w:rPr>
                <w:lang w:eastAsia="ja-JP"/>
              </w:rPr>
              <w:t>C]-</w:t>
            </w:r>
            <w:proofErr w:type="spellStart"/>
            <w:r w:rsidR="00FC3D9D">
              <w:rPr>
                <w:lang w:eastAsia="ja-JP"/>
              </w:rPr>
              <w:t>r</w:t>
            </w:r>
            <w:r>
              <w:rPr>
                <w:lang w:eastAsia="ja-JP"/>
              </w:rPr>
              <w:t>epotrectinib</w:t>
            </w:r>
            <w:proofErr w:type="spellEnd"/>
            <w:r>
              <w:rPr>
                <w:lang w:eastAsia="ja-JP"/>
              </w:rPr>
              <w:t xml:space="preserve"> in Healthy Male Subjects</w:t>
            </w:r>
          </w:p>
        </w:tc>
      </w:tr>
      <w:tr w:rsidR="00FC2918" w14:paraId="44389093"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2BCD752F" w14:textId="77777777" w:rsidR="00FC2918" w:rsidRDefault="00FC2918" w:rsidP="00B67020">
            <w:r w:rsidRPr="00E95AE6">
              <w:rPr>
                <w:bCs/>
                <w:lang w:eastAsia="ja-JP"/>
              </w:rPr>
              <w:t>Study TPX-0005-10</w:t>
            </w:r>
          </w:p>
        </w:tc>
        <w:tc>
          <w:tcPr>
            <w:tcW w:w="7087" w:type="dxa"/>
          </w:tcPr>
          <w:p w14:paraId="041567B7" w14:textId="6A1D900F" w:rsidR="00FC2918" w:rsidRDefault="00FC2918" w:rsidP="00B67020">
            <w:pPr>
              <w:cnfStyle w:val="000000000000" w:firstRow="0" w:lastRow="0" w:firstColumn="0" w:lastColumn="0" w:oddVBand="0" w:evenVBand="0" w:oddHBand="0" w:evenHBand="0" w:firstRowFirstColumn="0" w:firstRowLastColumn="0" w:lastRowFirstColumn="0" w:lastRowLastColumn="0"/>
            </w:pPr>
            <w:r>
              <w:rPr>
                <w:lang w:eastAsia="ja-JP"/>
              </w:rPr>
              <w:t xml:space="preserve">A Phase 1, Two-Part, Open-Label, Fixed-Sequence Study to Assess the Effects of Itraconazole and </w:t>
            </w:r>
            <w:proofErr w:type="spellStart"/>
            <w:r>
              <w:rPr>
                <w:lang w:eastAsia="ja-JP"/>
              </w:rPr>
              <w:t>Rifampin</w:t>
            </w:r>
            <w:proofErr w:type="spellEnd"/>
            <w:r>
              <w:rPr>
                <w:lang w:eastAsia="ja-JP"/>
              </w:rPr>
              <w:t xml:space="preserve"> on the Single Dose Pharmacokinetics of </w:t>
            </w:r>
            <w:proofErr w:type="spellStart"/>
            <w:r w:rsidR="00FC3D9D">
              <w:rPr>
                <w:lang w:eastAsia="ja-JP"/>
              </w:rPr>
              <w:t>r</w:t>
            </w:r>
            <w:r>
              <w:rPr>
                <w:lang w:eastAsia="ja-JP"/>
              </w:rPr>
              <w:t>epotrectinib</w:t>
            </w:r>
            <w:proofErr w:type="spellEnd"/>
            <w:r>
              <w:rPr>
                <w:lang w:eastAsia="ja-JP"/>
              </w:rPr>
              <w:t xml:space="preserve"> (TPX-0005) in Healthy Adult Male Subjec</w:t>
            </w:r>
            <w:r w:rsidR="000E49A9">
              <w:rPr>
                <w:lang w:eastAsia="ja-JP"/>
              </w:rPr>
              <w:t>ts.</w:t>
            </w:r>
          </w:p>
        </w:tc>
      </w:tr>
      <w:tr w:rsidR="00FC2918" w14:paraId="5321D998"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490F40FA" w14:textId="77777777" w:rsidR="00FC2918" w:rsidRDefault="00FC2918" w:rsidP="00B67020">
            <w:r w:rsidRPr="00E95AE6">
              <w:rPr>
                <w:bCs/>
                <w:lang w:eastAsia="ja-JP"/>
              </w:rPr>
              <w:t>Study TPX-0005-11</w:t>
            </w:r>
          </w:p>
        </w:tc>
        <w:tc>
          <w:tcPr>
            <w:tcW w:w="7087" w:type="dxa"/>
          </w:tcPr>
          <w:p w14:paraId="693C8E09" w14:textId="4425F2A8" w:rsidR="00FC2918" w:rsidRDefault="00FC2918" w:rsidP="00B67020">
            <w:pPr>
              <w:cnfStyle w:val="000000000000" w:firstRow="0" w:lastRow="0" w:firstColumn="0" w:lastColumn="0" w:oddVBand="0" w:evenVBand="0" w:oddHBand="0" w:evenHBand="0" w:firstRowFirstColumn="0" w:firstRowLastColumn="0" w:lastRowFirstColumn="0" w:lastRowLastColumn="0"/>
            </w:pPr>
            <w:r w:rsidRPr="00654732">
              <w:t xml:space="preserve">A Phase 1, Open-Label, Randomized, Two-Period, Two-Treatment Crossover Study to Assess the Effect of Food on the Single-Dose Pharmacokinetics of </w:t>
            </w:r>
            <w:proofErr w:type="spellStart"/>
            <w:r w:rsidR="000E49A9">
              <w:t>r</w:t>
            </w:r>
            <w:r w:rsidRPr="00654732">
              <w:t>epotrectinib</w:t>
            </w:r>
            <w:proofErr w:type="spellEnd"/>
            <w:r w:rsidRPr="00654732">
              <w:t xml:space="preserve"> (TPX-0005) in Healthy Adult Male Subjects</w:t>
            </w:r>
            <w:r w:rsidR="00FC3D9D">
              <w:t>.</w:t>
            </w:r>
            <w:r w:rsidRPr="00654732">
              <w:t xml:space="preserve"> </w:t>
            </w:r>
          </w:p>
        </w:tc>
      </w:tr>
      <w:tr w:rsidR="00FC2918" w14:paraId="429CF5C1"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54A56C64" w14:textId="77777777" w:rsidR="00FC2918" w:rsidRPr="00E95AE6" w:rsidRDefault="00FC2918" w:rsidP="00B67020">
            <w:pPr>
              <w:rPr>
                <w:bCs/>
                <w:lang w:eastAsia="ja-JP"/>
              </w:rPr>
            </w:pPr>
            <w:r>
              <w:rPr>
                <w:bCs/>
                <w:lang w:eastAsia="ja-JP"/>
              </w:rPr>
              <w:t>PBPK</w:t>
            </w:r>
          </w:p>
        </w:tc>
        <w:tc>
          <w:tcPr>
            <w:tcW w:w="7087" w:type="dxa"/>
          </w:tcPr>
          <w:p w14:paraId="693C1FCD" w14:textId="66CB1269" w:rsidR="00FC2918" w:rsidRPr="00654732" w:rsidRDefault="00E9074D" w:rsidP="00B67020">
            <w:pPr>
              <w:cnfStyle w:val="000000000000" w:firstRow="0" w:lastRow="0" w:firstColumn="0" w:lastColumn="0" w:oddVBand="0" w:evenVBand="0" w:oddHBand="0" w:evenHBand="0" w:firstRowFirstColumn="0" w:firstRowLastColumn="0" w:lastRowFirstColumn="0" w:lastRowLastColumn="0"/>
              <w:rPr>
                <w:lang w:eastAsia="ja-JP"/>
              </w:rPr>
            </w:pPr>
            <w:r w:rsidRPr="00E9074D">
              <w:rPr>
                <w:lang w:eastAsia="ja-JP"/>
              </w:rPr>
              <w:t xml:space="preserve">Physiologically based pharmacokinetic </w:t>
            </w:r>
            <w:r w:rsidR="00FC2918" w:rsidRPr="009538AE">
              <w:rPr>
                <w:lang w:eastAsia="ja-JP"/>
              </w:rPr>
              <w:t>modelling report</w:t>
            </w:r>
          </w:p>
        </w:tc>
      </w:tr>
      <w:tr w:rsidR="00FC2918" w14:paraId="4EE78DF6"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1A8CD7BD" w14:textId="77777777" w:rsidR="00FC2918" w:rsidRPr="00E95AE6" w:rsidRDefault="00FC2918" w:rsidP="00B67020">
            <w:pPr>
              <w:rPr>
                <w:bCs/>
                <w:lang w:eastAsia="ja-JP"/>
              </w:rPr>
            </w:pPr>
            <w:proofErr w:type="spellStart"/>
            <w:r>
              <w:rPr>
                <w:bCs/>
                <w:lang w:eastAsia="ja-JP"/>
              </w:rPr>
              <w:t>PopPK</w:t>
            </w:r>
            <w:proofErr w:type="spellEnd"/>
            <w:r>
              <w:rPr>
                <w:bCs/>
                <w:lang w:eastAsia="ja-JP"/>
              </w:rPr>
              <w:t xml:space="preserve"> (USA)</w:t>
            </w:r>
          </w:p>
        </w:tc>
        <w:tc>
          <w:tcPr>
            <w:tcW w:w="7087" w:type="dxa"/>
          </w:tcPr>
          <w:p w14:paraId="283D3358" w14:textId="0ED2CF5C" w:rsidR="00FC2918" w:rsidRPr="00654732" w:rsidRDefault="00FC2918" w:rsidP="00B67020">
            <w:pPr>
              <w:cnfStyle w:val="000000000000" w:firstRow="0" w:lastRow="0" w:firstColumn="0" w:lastColumn="0" w:oddVBand="0" w:evenVBand="0" w:oddHBand="0" w:evenHBand="0" w:firstRowFirstColumn="0" w:firstRowLastColumn="0" w:lastRowFirstColumn="0" w:lastRowLastColumn="0"/>
              <w:rPr>
                <w:lang w:eastAsia="ja-JP"/>
              </w:rPr>
            </w:pPr>
            <w:r w:rsidRPr="009538AE">
              <w:t>Population Pharmacokinetic Analysis Report - US</w:t>
            </w:r>
          </w:p>
        </w:tc>
      </w:tr>
      <w:tr w:rsidR="00FC2918" w14:paraId="5B1DDFF0"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243DEBCA" w14:textId="77777777" w:rsidR="00FC2918" w:rsidRPr="00E95AE6" w:rsidRDefault="00FC2918" w:rsidP="00B67020">
            <w:pPr>
              <w:rPr>
                <w:bCs/>
                <w:lang w:eastAsia="ja-JP"/>
              </w:rPr>
            </w:pPr>
            <w:proofErr w:type="spellStart"/>
            <w:r>
              <w:rPr>
                <w:bCs/>
                <w:lang w:eastAsia="ja-JP"/>
              </w:rPr>
              <w:t>PopPK</w:t>
            </w:r>
            <w:proofErr w:type="spellEnd"/>
            <w:r>
              <w:rPr>
                <w:bCs/>
                <w:lang w:eastAsia="ja-JP"/>
              </w:rPr>
              <w:t xml:space="preserve"> (EU)</w:t>
            </w:r>
          </w:p>
        </w:tc>
        <w:tc>
          <w:tcPr>
            <w:tcW w:w="7087" w:type="dxa"/>
          </w:tcPr>
          <w:p w14:paraId="768B5A8E" w14:textId="0A6B611E" w:rsidR="00FC2918" w:rsidRPr="00654732" w:rsidRDefault="00FC2918" w:rsidP="00B67020">
            <w:pPr>
              <w:cnfStyle w:val="000000000000" w:firstRow="0" w:lastRow="0" w:firstColumn="0" w:lastColumn="0" w:oddVBand="0" w:evenVBand="0" w:oddHBand="0" w:evenHBand="0" w:firstRowFirstColumn="0" w:firstRowLastColumn="0" w:lastRowFirstColumn="0" w:lastRowLastColumn="0"/>
            </w:pPr>
            <w:r w:rsidRPr="009538AE">
              <w:t xml:space="preserve">Population Pharmacokinetic Analysis Report - </w:t>
            </w:r>
            <w:r w:rsidR="009538AE">
              <w:t>EU</w:t>
            </w:r>
          </w:p>
        </w:tc>
      </w:tr>
      <w:tr w:rsidR="00FC2918" w14:paraId="4D1BAA5F"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2424D8D3" w14:textId="77777777" w:rsidR="00FC2918" w:rsidRPr="00E95AE6" w:rsidRDefault="00FC2918" w:rsidP="00B67020">
            <w:pPr>
              <w:rPr>
                <w:bCs/>
                <w:lang w:eastAsia="ja-JP"/>
              </w:rPr>
            </w:pPr>
            <w:r>
              <w:rPr>
                <w:bCs/>
                <w:lang w:eastAsia="ja-JP"/>
              </w:rPr>
              <w:t>ER analysis</w:t>
            </w:r>
          </w:p>
        </w:tc>
        <w:tc>
          <w:tcPr>
            <w:tcW w:w="7087" w:type="dxa"/>
          </w:tcPr>
          <w:p w14:paraId="349ED9F0" w14:textId="547979CA" w:rsidR="00FC2918" w:rsidRPr="00654732" w:rsidRDefault="00FC2918" w:rsidP="00B67020">
            <w:pPr>
              <w:cnfStyle w:val="000000000000" w:firstRow="0" w:lastRow="0" w:firstColumn="0" w:lastColumn="0" w:oddVBand="0" w:evenVBand="0" w:oddHBand="0" w:evenHBand="0" w:firstRowFirstColumn="0" w:firstRowLastColumn="0" w:lastRowFirstColumn="0" w:lastRowLastColumn="0"/>
              <w:rPr>
                <w:lang w:eastAsia="ja-JP"/>
              </w:rPr>
            </w:pPr>
            <w:r w:rsidRPr="009538AE">
              <w:t>Exposure Response Analysis Report</w:t>
            </w:r>
            <w:r>
              <w:t xml:space="preserve"> </w:t>
            </w:r>
          </w:p>
        </w:tc>
      </w:tr>
      <w:tr w:rsidR="00FC2918" w14:paraId="5C7C1D7F"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3963E4B7" w14:textId="77777777" w:rsidR="00FC2918" w:rsidRPr="00E95AE6" w:rsidRDefault="00FC2918" w:rsidP="00B67020">
            <w:pPr>
              <w:rPr>
                <w:bCs/>
                <w:lang w:eastAsia="ja-JP"/>
              </w:rPr>
            </w:pPr>
            <w:proofErr w:type="spellStart"/>
            <w:r>
              <w:rPr>
                <w:bCs/>
                <w:lang w:eastAsia="ja-JP"/>
              </w:rPr>
              <w:t>QTcF</w:t>
            </w:r>
            <w:proofErr w:type="spellEnd"/>
            <w:r>
              <w:rPr>
                <w:bCs/>
                <w:lang w:eastAsia="ja-JP"/>
              </w:rPr>
              <w:t xml:space="preserve"> report</w:t>
            </w:r>
          </w:p>
        </w:tc>
        <w:tc>
          <w:tcPr>
            <w:tcW w:w="7087" w:type="dxa"/>
          </w:tcPr>
          <w:p w14:paraId="484A1107" w14:textId="29425E0D" w:rsidR="00FC2918" w:rsidRPr="00654732" w:rsidRDefault="00FC2918" w:rsidP="00B67020">
            <w:pPr>
              <w:cnfStyle w:val="000000000000" w:firstRow="0" w:lastRow="0" w:firstColumn="0" w:lastColumn="0" w:oddVBand="0" w:evenVBand="0" w:oddHBand="0" w:evenHBand="0" w:firstRowFirstColumn="0" w:firstRowLastColumn="0" w:lastRowFirstColumn="0" w:lastRowLastColumn="0"/>
              <w:rPr>
                <w:lang w:eastAsia="ja-JP"/>
              </w:rPr>
            </w:pPr>
            <w:r w:rsidRPr="009538AE">
              <w:t>Integrated Concentration-</w:t>
            </w:r>
            <w:proofErr w:type="spellStart"/>
            <w:r w:rsidRPr="009538AE">
              <w:t>QTcF</w:t>
            </w:r>
            <w:proofErr w:type="spellEnd"/>
            <w:r w:rsidRPr="009538AE">
              <w:t xml:space="preserve"> Analysis of Repotrectinib</w:t>
            </w:r>
          </w:p>
        </w:tc>
      </w:tr>
      <w:tr w:rsidR="00FC2918" w14:paraId="62C277E3"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208476D1" w14:textId="77777777" w:rsidR="00FC2918" w:rsidRPr="00E95AE6" w:rsidRDefault="00FC2918" w:rsidP="00B67020">
            <w:pPr>
              <w:rPr>
                <w:bCs/>
                <w:lang w:eastAsia="ja-JP"/>
              </w:rPr>
            </w:pPr>
            <w:r>
              <w:rPr>
                <w:bCs/>
                <w:lang w:eastAsia="ja-JP"/>
              </w:rPr>
              <w:t>Study 00515</w:t>
            </w:r>
          </w:p>
        </w:tc>
        <w:tc>
          <w:tcPr>
            <w:tcW w:w="7087" w:type="dxa"/>
          </w:tcPr>
          <w:p w14:paraId="14CEF610" w14:textId="289CCC5D" w:rsidR="00FC2918" w:rsidRPr="00654732" w:rsidRDefault="00FC2918" w:rsidP="00B67020">
            <w:pPr>
              <w:cnfStyle w:val="000000000000" w:firstRow="0" w:lastRow="0" w:firstColumn="0" w:lastColumn="0" w:oddVBand="0" w:evenVBand="0" w:oddHBand="0" w:evenHBand="0" w:firstRowFirstColumn="0" w:firstRowLastColumn="0" w:lastRowFirstColumn="0" w:lastRowLastColumn="0"/>
            </w:pPr>
            <w:r w:rsidRPr="009538AE">
              <w:t>Cardiac Safety Report</w:t>
            </w:r>
          </w:p>
        </w:tc>
      </w:tr>
      <w:tr w:rsidR="00FC2918" w14:paraId="158BE1AC"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597E2285" w14:textId="77777777" w:rsidR="00FC2918" w:rsidRDefault="00FC2918" w:rsidP="00B67020">
            <w:pPr>
              <w:rPr>
                <w:bCs/>
                <w:lang w:eastAsia="ja-JP"/>
              </w:rPr>
            </w:pPr>
            <w:r w:rsidRPr="00B439F6">
              <w:rPr>
                <w:bCs/>
                <w:lang w:eastAsia="ja-JP"/>
              </w:rPr>
              <w:lastRenderedPageBreak/>
              <w:t>Study TPX-0005-07</w:t>
            </w:r>
          </w:p>
        </w:tc>
        <w:tc>
          <w:tcPr>
            <w:tcW w:w="7087" w:type="dxa"/>
          </w:tcPr>
          <w:p w14:paraId="56FF271A" w14:textId="3E446B5F" w:rsidR="00FC2918" w:rsidRDefault="00FC2918" w:rsidP="00B67020">
            <w:pPr>
              <w:cnfStyle w:val="000000000000" w:firstRow="0" w:lastRow="0" w:firstColumn="0" w:lastColumn="0" w:oddVBand="0" w:evenVBand="0" w:oddHBand="0" w:evenHBand="0" w:firstRowFirstColumn="0" w:firstRowLastColumn="0" w:lastRowFirstColumn="0" w:lastRowLastColumn="0"/>
            </w:pPr>
            <w:r w:rsidRPr="00DD22A2">
              <w:t xml:space="preserve">A Phase 1/2, Open-label, Safety, Tolerability, Pharmacokinetics, and Antitumor Activity Study of Repotrectinib in </w:t>
            </w:r>
            <w:proofErr w:type="spellStart"/>
            <w:r w:rsidRPr="00DD22A2">
              <w:t>Pediatric</w:t>
            </w:r>
            <w:proofErr w:type="spellEnd"/>
            <w:r w:rsidRPr="00DD22A2">
              <w:t xml:space="preserve"> and Young Adult Subjects with Advanced or Metastatic Malignancies </w:t>
            </w:r>
            <w:proofErr w:type="spellStart"/>
            <w:r w:rsidRPr="00DD22A2">
              <w:t>Harboring</w:t>
            </w:r>
            <w:proofErr w:type="spellEnd"/>
            <w:r w:rsidRPr="00DD22A2">
              <w:t xml:space="preserve"> ALK, </w:t>
            </w:r>
            <w:r w:rsidRPr="00DD22A2">
              <w:rPr>
                <w:i/>
                <w:iCs/>
              </w:rPr>
              <w:t>ROS1</w:t>
            </w:r>
            <w:r w:rsidRPr="00DD22A2">
              <w:t>, or NTRK1 3 Alterations (</w:t>
            </w:r>
            <w:r w:rsidRPr="00DD22A2">
              <w:rPr>
                <w:bCs/>
              </w:rPr>
              <w:t>CARE</w:t>
            </w:r>
            <w:r w:rsidRPr="00DD22A2">
              <w:t>)</w:t>
            </w:r>
            <w:r w:rsidR="009538AE">
              <w:t xml:space="preserve">. </w:t>
            </w:r>
          </w:p>
        </w:tc>
      </w:tr>
      <w:tr w:rsidR="00FC2918" w14:paraId="1BD4CFB6" w14:textId="77777777" w:rsidTr="00B67020">
        <w:tc>
          <w:tcPr>
            <w:cnfStyle w:val="001000000000" w:firstRow="0" w:lastRow="0" w:firstColumn="1" w:lastColumn="0" w:oddVBand="0" w:evenVBand="0" w:oddHBand="0" w:evenHBand="0" w:firstRowFirstColumn="0" w:firstRowLastColumn="0" w:lastRowFirstColumn="0" w:lastRowLastColumn="0"/>
            <w:tcW w:w="1980" w:type="dxa"/>
          </w:tcPr>
          <w:p w14:paraId="325D3311" w14:textId="77777777" w:rsidR="00FC2918" w:rsidRDefault="00FC2918" w:rsidP="00B67020">
            <w:pPr>
              <w:rPr>
                <w:bCs/>
                <w:lang w:eastAsia="ja-JP"/>
              </w:rPr>
            </w:pPr>
            <w:r w:rsidRPr="008B65A9">
              <w:rPr>
                <w:bCs/>
                <w:lang w:eastAsia="ja-JP"/>
              </w:rPr>
              <w:t>Study TPX-0005-01</w:t>
            </w:r>
          </w:p>
        </w:tc>
        <w:tc>
          <w:tcPr>
            <w:tcW w:w="7087" w:type="dxa"/>
          </w:tcPr>
          <w:p w14:paraId="3C7CD3C4" w14:textId="52DF0FFF" w:rsidR="00FC2918" w:rsidRDefault="00FC2918" w:rsidP="00B67020">
            <w:pPr>
              <w:cnfStyle w:val="000000000000" w:firstRow="0" w:lastRow="0" w:firstColumn="0" w:lastColumn="0" w:oddVBand="0" w:evenVBand="0" w:oddHBand="0" w:evenHBand="0" w:firstRowFirstColumn="0" w:firstRowLastColumn="0" w:lastRowFirstColumn="0" w:lastRowLastColumn="0"/>
            </w:pPr>
            <w:r w:rsidRPr="00DD22A2">
              <w:t>A Phase 1/2, Open-Label, Multi-</w:t>
            </w:r>
            <w:proofErr w:type="spellStart"/>
            <w:r w:rsidRPr="00DD22A2">
              <w:t>Center</w:t>
            </w:r>
            <w:proofErr w:type="spellEnd"/>
            <w:r w:rsidRPr="00DD22A2">
              <w:t>, First-in-Human Study of the Safety, Tolerability, Pharmacokinetics, and Anti-</w:t>
            </w:r>
            <w:proofErr w:type="spellStart"/>
            <w:r w:rsidRPr="00DD22A2">
              <w:t>Tumor</w:t>
            </w:r>
            <w:proofErr w:type="spellEnd"/>
            <w:r w:rsidRPr="00DD22A2">
              <w:t xml:space="preserve"> Activity of TPX- 0005 in Patients with Advanced Solid </w:t>
            </w:r>
            <w:proofErr w:type="spellStart"/>
            <w:r w:rsidRPr="00DD22A2">
              <w:t>Tumors</w:t>
            </w:r>
            <w:proofErr w:type="spellEnd"/>
            <w:r w:rsidRPr="00DD22A2">
              <w:t xml:space="preserve"> </w:t>
            </w:r>
            <w:proofErr w:type="spellStart"/>
            <w:r w:rsidRPr="00DD22A2">
              <w:t>Harboring</w:t>
            </w:r>
            <w:proofErr w:type="spellEnd"/>
            <w:r w:rsidRPr="00DD22A2">
              <w:t xml:space="preserve"> ALK, </w:t>
            </w:r>
            <w:r w:rsidRPr="00DD22A2">
              <w:rPr>
                <w:i/>
                <w:iCs/>
              </w:rPr>
              <w:t>ROS1</w:t>
            </w:r>
            <w:r w:rsidRPr="00DD22A2">
              <w:t>, or NTRK1-3 Rearrangements (</w:t>
            </w:r>
            <w:r w:rsidRPr="00DD22A2">
              <w:rPr>
                <w:bCs/>
              </w:rPr>
              <w:t>TRIDENT-1</w:t>
            </w:r>
            <w:r w:rsidR="009538AE">
              <w:rPr>
                <w:bCs/>
              </w:rPr>
              <w:t>)</w:t>
            </w:r>
          </w:p>
        </w:tc>
      </w:tr>
    </w:tbl>
    <w:p w14:paraId="45833A7B" w14:textId="77777777" w:rsidR="00B74E58" w:rsidRDefault="00B74E58" w:rsidP="009C722B">
      <w:bookmarkStart w:id="46" w:name="_Toc314842514"/>
    </w:p>
    <w:p w14:paraId="5630D68A" w14:textId="4FAF5EAB" w:rsidR="00B74E58" w:rsidRDefault="00B74E58" w:rsidP="00820876">
      <w:pPr>
        <w:pStyle w:val="Heading5"/>
      </w:pPr>
      <w:r w:rsidRPr="00B74E58">
        <w:t>TRIDENT-1</w:t>
      </w:r>
      <w:r>
        <w:t xml:space="preserve"> study</w:t>
      </w:r>
    </w:p>
    <w:p w14:paraId="5F734A26" w14:textId="641BCDDA" w:rsidR="009C722B" w:rsidRDefault="009C722B" w:rsidP="009C722B">
      <w:r>
        <w:t xml:space="preserve">TRIDENT-1 was initiated in March 2017. Phase 2 commenced 28 </w:t>
      </w:r>
      <w:r w:rsidR="00B74E58">
        <w:t>June</w:t>
      </w:r>
      <w:r>
        <w:t xml:space="preserve"> 2019. The primary analysis data cut-off </w:t>
      </w:r>
      <w:r w:rsidR="00D51157" w:rsidRPr="00D51157">
        <w:t xml:space="preserve">(DCO) </w:t>
      </w:r>
      <w:r>
        <w:t xml:space="preserve">was June 2022, and the </w:t>
      </w:r>
      <w:r w:rsidR="00D51157" w:rsidRPr="00D51157">
        <w:t>DC</w:t>
      </w:r>
      <w:r w:rsidR="00D51157">
        <w:t>O</w:t>
      </w:r>
      <w:r>
        <w:t xml:space="preserve"> for </w:t>
      </w:r>
      <w:r w:rsidR="00D51157">
        <w:t xml:space="preserve">the clinical study report </w:t>
      </w:r>
      <w:r>
        <w:t xml:space="preserve">submitted to TGA (and EMA) was December 2023. Updated efficacy analyses, with a DCO of 15 </w:t>
      </w:r>
      <w:r w:rsidR="00B74E58">
        <w:t>October</w:t>
      </w:r>
      <w:r>
        <w:t xml:space="preserve"> 2023, is described in the publicly available European public assessment report</w:t>
      </w:r>
      <w:r w:rsidR="00693C96">
        <w:t>.</w:t>
      </w:r>
      <w:r w:rsidR="004C3AEE">
        <w:rPr>
          <w:rStyle w:val="FootnoteReference"/>
        </w:rPr>
        <w:footnoteReference w:id="59"/>
      </w:r>
    </w:p>
    <w:p w14:paraId="64F071FD" w14:textId="77777777" w:rsidR="009C722B" w:rsidRDefault="009C722B" w:rsidP="009C722B">
      <w:r>
        <w:t xml:space="preserve">The phase 1 component was conducted at 8 study centres in the USA (4 study centres), South Korea (3 study centres), and Australia (1 study centre). Phase 2 was conducted at 152 study sites across 19 countries (Australia, Belgium, Canada, China, Germany, Denmark, Spain, France, UK, Hong Kong, Hungary, Italy, Japan, South Korea, The Netherlands, Poland, Singapore, Taiwan, and USA). </w:t>
      </w:r>
    </w:p>
    <w:p w14:paraId="7751DD1C" w14:textId="77777777" w:rsidR="009C722B" w:rsidRDefault="009C722B" w:rsidP="009C722B">
      <w:r>
        <w:t xml:space="preserve">Phase 1 of the study provided data supporting dose selection and food effect and included a midazolam </w:t>
      </w:r>
      <w:proofErr w:type="spellStart"/>
      <w:r>
        <w:t>substudy</w:t>
      </w:r>
      <w:proofErr w:type="spellEnd"/>
      <w:r>
        <w:t xml:space="preserve"> to inform potential for drug-drug interactions (DDI).</w:t>
      </w:r>
    </w:p>
    <w:p w14:paraId="1A9C7216" w14:textId="77777777" w:rsidR="009C722B" w:rsidRDefault="009C722B" w:rsidP="009C722B">
      <w:r>
        <w:t xml:space="preserve">The key data supporting efficacy for the indication proposed for registration in Australia is sourced from phase 2 cohorts EXP-1, EXP-2, EXP-3 and EXP-4.  </w:t>
      </w:r>
    </w:p>
    <w:p w14:paraId="7ED173A8" w14:textId="64B29BF3" w:rsidR="009C722B" w:rsidRDefault="009C722B" w:rsidP="009C722B">
      <w:r>
        <w:t xml:space="preserve">A detailed evaluation and description of the study design and findings (including sample size considerations, statistical methodology, protocol and amendments) conduct (including participant flow, protocol deviations) and outcomes (including study population baseline characteristics and results), can be found in the </w:t>
      </w:r>
      <w:r w:rsidR="009B2E0A" w:rsidRPr="009B2E0A">
        <w:t>European public assessment report</w:t>
      </w:r>
      <w:r w:rsidR="009B2E0A">
        <w:t>.</w:t>
      </w:r>
      <w:r w:rsidR="009B2E0A" w:rsidRPr="009B2E0A">
        <w:t xml:space="preserve"> </w:t>
      </w:r>
    </w:p>
    <w:p w14:paraId="6D96C727" w14:textId="22606E2E" w:rsidR="009C722B" w:rsidRDefault="009C722B" w:rsidP="009C722B">
      <w:r>
        <w:t>The study design is summarised in Figure 2.</w:t>
      </w:r>
    </w:p>
    <w:p w14:paraId="4B16466C" w14:textId="2BB96058" w:rsidR="00B92317" w:rsidRDefault="00B92317" w:rsidP="00B92317">
      <w:pPr>
        <w:pStyle w:val="FigureTitle"/>
      </w:pPr>
      <w:r w:rsidRPr="00B92317">
        <w:t xml:space="preserve">Figure </w:t>
      </w:r>
      <w:r>
        <w:t>2</w:t>
      </w:r>
      <w:r w:rsidR="00C06E18">
        <w:t xml:space="preserve">. A: </w:t>
      </w:r>
      <w:r w:rsidR="00C06E18" w:rsidRPr="00C06E18">
        <w:t>Schema of Phase 1a, Phase 1b, and Phase 1c</w:t>
      </w:r>
      <w:r w:rsidR="00C06E18">
        <w:t>. B:</w:t>
      </w:r>
      <w:r w:rsidR="0062627B" w:rsidRPr="0062627B">
        <w:t xml:space="preserve"> Schema of Phase 1/2 Study TRIDENT-1</w:t>
      </w:r>
      <w:r w:rsidR="0062627B">
        <w:t>.</w:t>
      </w:r>
    </w:p>
    <w:p w14:paraId="54C641E5" w14:textId="202A48EC" w:rsidR="00C06E18" w:rsidRDefault="00C06E18" w:rsidP="00B67020">
      <w:r>
        <w:t>A</w:t>
      </w:r>
      <w:r w:rsidR="00466B78">
        <w:t>.</w:t>
      </w:r>
    </w:p>
    <w:p w14:paraId="4263156D" w14:textId="7CCCF779" w:rsidR="000646A0" w:rsidRDefault="000646A0" w:rsidP="00B67020">
      <w:r w:rsidRPr="000646A0">
        <w:rPr>
          <w:noProof/>
        </w:rPr>
        <w:drawing>
          <wp:inline distT="0" distB="0" distL="0" distR="0" wp14:anchorId="5E3EEACB" wp14:editId="3A3B99EA">
            <wp:extent cx="5590892" cy="1561381"/>
            <wp:effectExtent l="0" t="0" r="0" b="1270"/>
            <wp:docPr id="28704749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47498" name="Picture 1" descr="A screenshot of a computer&#10;&#10;AI-generated content may be incorrect."/>
                    <pic:cNvPicPr/>
                  </pic:nvPicPr>
                  <pic:blipFill>
                    <a:blip r:embed="rId29"/>
                    <a:stretch>
                      <a:fillRect/>
                    </a:stretch>
                  </pic:blipFill>
                  <pic:spPr>
                    <a:xfrm>
                      <a:off x="0" y="0"/>
                      <a:ext cx="5641993" cy="1575652"/>
                    </a:xfrm>
                    <a:prstGeom prst="rect">
                      <a:avLst/>
                    </a:prstGeom>
                  </pic:spPr>
                </pic:pic>
              </a:graphicData>
            </a:graphic>
          </wp:inline>
        </w:drawing>
      </w:r>
    </w:p>
    <w:p w14:paraId="5A05AB4B" w14:textId="656967DE" w:rsidR="002D7D01" w:rsidRDefault="002D7D01" w:rsidP="00B67020">
      <w:pPr>
        <w:pStyle w:val="FigureDescription"/>
        <w:keepNext w:val="0"/>
      </w:pPr>
      <w:r>
        <w:t xml:space="preserve">BID=twice a day; QD=once a day. a 160 mg </w:t>
      </w:r>
      <w:r w:rsidR="00466B78">
        <w:t>QD for 7 days followed by 160 mg BID</w:t>
      </w:r>
    </w:p>
    <w:p w14:paraId="37DFF139" w14:textId="4B277B87" w:rsidR="00466B78" w:rsidRDefault="00466B78" w:rsidP="00B67020">
      <w:r w:rsidRPr="00466B78">
        <w:lastRenderedPageBreak/>
        <w:t>B</w:t>
      </w:r>
      <w:r>
        <w:t>.</w:t>
      </w:r>
      <w:r w:rsidR="0062627B">
        <w:t xml:space="preserve"> </w:t>
      </w:r>
    </w:p>
    <w:p w14:paraId="3849B916" w14:textId="6121B46D" w:rsidR="00466B78" w:rsidRPr="00466B78" w:rsidRDefault="000500C6" w:rsidP="00B67020">
      <w:r w:rsidRPr="000500C6">
        <w:rPr>
          <w:noProof/>
        </w:rPr>
        <w:drawing>
          <wp:inline distT="0" distB="0" distL="0" distR="0" wp14:anchorId="65139575" wp14:editId="0EF330BB">
            <wp:extent cx="5024999" cy="2570672"/>
            <wp:effectExtent l="0" t="0" r="4445" b="1270"/>
            <wp:docPr id="2056780860" name="Picture 1" descr="A diagram of a cancer pat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80860" name="Picture 1" descr="A diagram of a cancer patient&#10;&#10;AI-generated content may be incorrect."/>
                    <pic:cNvPicPr/>
                  </pic:nvPicPr>
                  <pic:blipFill>
                    <a:blip r:embed="rId30"/>
                    <a:stretch>
                      <a:fillRect/>
                    </a:stretch>
                  </pic:blipFill>
                  <pic:spPr>
                    <a:xfrm>
                      <a:off x="0" y="0"/>
                      <a:ext cx="5032785" cy="2574655"/>
                    </a:xfrm>
                    <a:prstGeom prst="rect">
                      <a:avLst/>
                    </a:prstGeom>
                  </pic:spPr>
                </pic:pic>
              </a:graphicData>
            </a:graphic>
          </wp:inline>
        </w:drawing>
      </w:r>
    </w:p>
    <w:p w14:paraId="654CE574" w14:textId="7C61D07B" w:rsidR="002705DB" w:rsidRDefault="002705DB" w:rsidP="002705DB">
      <w:pPr>
        <w:pStyle w:val="FigureDescription"/>
      </w:pPr>
      <w:r>
        <w:t>Abbreviations: ALK+ = anaplastic lymphoma kinase-positive; chemo = chemotherapy</w:t>
      </w:r>
      <w:r w:rsidR="00913BE0">
        <w:t>;</w:t>
      </w:r>
      <w:r>
        <w:t xml:space="preserve"> DDI = drug-drug interaction</w:t>
      </w:r>
      <w:r w:rsidR="00913BE0">
        <w:t>;</w:t>
      </w:r>
      <w:r>
        <w:t xml:space="preserve"> EXP = expansion cohort</w:t>
      </w:r>
      <w:r w:rsidR="00913BE0">
        <w:t>;</w:t>
      </w:r>
      <w:r>
        <w:t xml:space="preserve"> IO = immunotherapy</w:t>
      </w:r>
      <w:r w:rsidR="00913BE0">
        <w:t>;</w:t>
      </w:r>
      <w:r>
        <w:t xml:space="preserve"> NSCLC = non-small cell lung cancer</w:t>
      </w:r>
      <w:r w:rsidR="00913BE0">
        <w:t>;</w:t>
      </w:r>
      <w:r>
        <w:t xml:space="preserve"> NTRK+ = </w:t>
      </w:r>
      <w:proofErr w:type="spellStart"/>
      <w:r>
        <w:t>neurotrophin</w:t>
      </w:r>
      <w:proofErr w:type="spellEnd"/>
      <w:r>
        <w:t xml:space="preserve"> receptor kinase-positive</w:t>
      </w:r>
      <w:r w:rsidR="00913BE0">
        <w:t xml:space="preserve">; </w:t>
      </w:r>
      <w:r>
        <w:t>ROS1 = receptor tyrosine kinase encoded by the ROS/ gene</w:t>
      </w:r>
      <w:r w:rsidR="00913BE0">
        <w:t>;</w:t>
      </w:r>
      <w:r>
        <w:t xml:space="preserve"> TKI = tyrosine</w:t>
      </w:r>
      <w:r w:rsidR="00913BE0">
        <w:t xml:space="preserve"> </w:t>
      </w:r>
      <w:r>
        <w:t>kinase inhibitor</w:t>
      </w:r>
      <w:r w:rsidR="00913BE0">
        <w:t>;</w:t>
      </w:r>
      <w:r>
        <w:t xml:space="preserve"> TRK = tropomyosin receptor kinase.</w:t>
      </w:r>
    </w:p>
    <w:p w14:paraId="0CA09170" w14:textId="77777777" w:rsidR="00D947DC" w:rsidRDefault="00D947DC" w:rsidP="00820876">
      <w:pPr>
        <w:pStyle w:val="Heading6"/>
      </w:pPr>
      <w:r>
        <w:t>Dose optimisation</w:t>
      </w:r>
    </w:p>
    <w:p w14:paraId="06F83F45" w14:textId="23310DA2" w:rsidR="00D947DC" w:rsidRDefault="00D947DC" w:rsidP="00D947DC">
      <w:r>
        <w:t>Phase 1 of TRIDENT-1 included 93 subjects who received at least one dose (</w:t>
      </w:r>
      <w:r w:rsidR="00D51157">
        <w:t>DCO</w:t>
      </w:r>
      <w:r>
        <w:t xml:space="preserve"> 20 June 2022). </w:t>
      </w:r>
    </w:p>
    <w:p w14:paraId="7C9FFBC6" w14:textId="77777777" w:rsidR="00D947DC" w:rsidRDefault="00D947DC" w:rsidP="00D947DC">
      <w:r>
        <w:t xml:space="preserve">Dizziness (incidence of 61%) was the most common treatment-emergent adverse event (TEAE). </w:t>
      </w:r>
    </w:p>
    <w:p w14:paraId="208AE699" w14:textId="2C1004A9" w:rsidR="00D947DC" w:rsidRDefault="00D947DC" w:rsidP="00D947DC">
      <w:r>
        <w:t xml:space="preserve">A formal “maximum tolerated dose” was not reached. However, dose-limiting toxicity occurred in three patients. In two cases dizziness was the </w:t>
      </w:r>
      <w:r w:rsidR="00D51157" w:rsidRPr="00D51157">
        <w:t xml:space="preserve">dose-limiting toxicity </w:t>
      </w:r>
      <w:r>
        <w:t xml:space="preserve">and it occurred within 14 days of starting treatment at a relatively high dose (one at 240 mg daily, one at 160 mg BD). The third patient had grade 3 dyspnoea and hypoxia at 160 mg BD. </w:t>
      </w:r>
    </w:p>
    <w:p w14:paraId="0BBD453D" w14:textId="271AAEE3" w:rsidR="00D947DC" w:rsidRDefault="00D947DC" w:rsidP="00D947DC">
      <w:r>
        <w:t>A preliminary efficacy analysis (</w:t>
      </w:r>
      <w:r w:rsidR="00D51157">
        <w:t>DCO</w:t>
      </w:r>
      <w:r>
        <w:t xml:space="preserve"> 4 March 2019) indicated clinical activity in ROS1- positive NSCLC across the studied dose range. Amongst ROS1-positive NSCLC subjects who had previously received anti-ROS1 targeted TKI, responses occurred in 55% (n=6/11) of patients receiving </w:t>
      </w:r>
      <w:proofErr w:type="spellStart"/>
      <w:r>
        <w:t>repotrectinib</w:t>
      </w:r>
      <w:proofErr w:type="spellEnd"/>
      <w:r>
        <w:t xml:space="preserve"> doses of at least 160 mg daily, and in 14% (n=1/7) of patients receiving doses of less than 160 mg daily. In TKI-naïve subjects, ORR was also highest (83%) at doses of at least 160 mg daily n = 5/6). </w:t>
      </w:r>
    </w:p>
    <w:p w14:paraId="7715FDD6" w14:textId="77777777" w:rsidR="00D947DC" w:rsidRDefault="00D947DC" w:rsidP="00D947DC">
      <w:r>
        <w:t>Dose titration from 160 mg daily to 160 mg BD to maximise PK/pharmacodynamic exposure was supported by additional PK/pharmacodynamic simulations.</w:t>
      </w:r>
    </w:p>
    <w:p w14:paraId="21B8024A" w14:textId="1F32D6D8" w:rsidR="00D947DC" w:rsidRDefault="00820876" w:rsidP="00820876">
      <w:pPr>
        <w:pStyle w:val="Heading4"/>
      </w:pPr>
      <w:bookmarkStart w:id="47" w:name="_Toc219813785"/>
      <w:r>
        <w:t>P</w:t>
      </w:r>
      <w:r w:rsidR="00D947DC">
        <w:t>harmacology</w:t>
      </w:r>
      <w:bookmarkEnd w:id="47"/>
      <w:r w:rsidR="00D947DC">
        <w:t xml:space="preserve"> </w:t>
      </w:r>
    </w:p>
    <w:p w14:paraId="2B3C9AFD" w14:textId="4E30FA19" w:rsidR="00D947DC" w:rsidRDefault="00D947DC" w:rsidP="00D947DC">
      <w:r>
        <w:t xml:space="preserve">The pharmacokinetic </w:t>
      </w:r>
      <w:r w:rsidR="00D51157">
        <w:t xml:space="preserve">(PK) </w:t>
      </w:r>
      <w:r>
        <w:t xml:space="preserve">properties of </w:t>
      </w:r>
      <w:proofErr w:type="spellStart"/>
      <w:r>
        <w:t>repotrectinib</w:t>
      </w:r>
      <w:proofErr w:type="spellEnd"/>
      <w:r>
        <w:t xml:space="preserve"> are described in detail in the publicly available EPAR and FDA multidisciplinary review,</w:t>
      </w:r>
      <w:r w:rsidR="005E7F8F">
        <w:rPr>
          <w:rStyle w:val="FootnoteReference"/>
        </w:rPr>
        <w:footnoteReference w:id="60"/>
      </w:r>
      <w:r w:rsidRPr="00C00C85">
        <w:rPr>
          <w:vertAlign w:val="superscript"/>
        </w:rPr>
        <w:t>,</w:t>
      </w:r>
      <w:r w:rsidR="002A221C">
        <w:rPr>
          <w:rStyle w:val="FootnoteReference"/>
        </w:rPr>
        <w:footnoteReference w:id="61"/>
      </w:r>
      <w:r>
        <w:t xml:space="preserve"> and summarised in the approved product information for the USA (label) and the EU (SmPC); and in Table </w:t>
      </w:r>
      <w:r w:rsidR="00CD7106">
        <w:t>6</w:t>
      </w:r>
      <w:r>
        <w:t>, below.</w:t>
      </w:r>
      <w:r w:rsidR="00EF720F">
        <w:rPr>
          <w:rStyle w:val="FootnoteReference"/>
        </w:rPr>
        <w:footnoteReference w:id="62"/>
      </w:r>
      <w:r w:rsidR="00680895" w:rsidRPr="00680895">
        <w:rPr>
          <w:vertAlign w:val="superscript"/>
        </w:rPr>
        <w:t>,</w:t>
      </w:r>
      <w:r w:rsidR="007F7238">
        <w:rPr>
          <w:rStyle w:val="FootnoteReference"/>
        </w:rPr>
        <w:footnoteReference w:id="63"/>
      </w:r>
      <w:r>
        <w:t xml:space="preserve"> All data (except absolute bioavailability) refer to oral dosing.</w:t>
      </w:r>
    </w:p>
    <w:p w14:paraId="4F12A809" w14:textId="25A49916" w:rsidR="00D947DC" w:rsidRDefault="00D947DC" w:rsidP="00D947DC">
      <w:r>
        <w:lastRenderedPageBreak/>
        <w:t xml:space="preserve">PK data are available from studies in healthy volunteers, from patients with NTRK fusion-positive solid tumours, and from patients with ROS1-rearranged NSCLC. </w:t>
      </w:r>
    </w:p>
    <w:p w14:paraId="5B2CCACE" w14:textId="794C5739" w:rsidR="00D947DC" w:rsidRDefault="00D947DC" w:rsidP="0040561F">
      <w:pPr>
        <w:pStyle w:val="TableTitle"/>
      </w:pPr>
      <w:r>
        <w:t xml:space="preserve">Table </w:t>
      </w:r>
      <w:r w:rsidR="00CD7106">
        <w:t>6</w:t>
      </w:r>
      <w:r>
        <w:t xml:space="preserve">. </w:t>
      </w:r>
      <w:proofErr w:type="gramStart"/>
      <w:r>
        <w:t>Brief summary</w:t>
      </w:r>
      <w:proofErr w:type="gramEnd"/>
      <w:r>
        <w:t xml:space="preserve"> of </w:t>
      </w:r>
      <w:proofErr w:type="spellStart"/>
      <w:r>
        <w:t>repotrectinib</w:t>
      </w:r>
      <w:proofErr w:type="spellEnd"/>
      <w:r>
        <w:t xml:space="preserve"> pharmacokinetics and pharmacodynamics</w:t>
      </w:r>
    </w:p>
    <w:tbl>
      <w:tblPr>
        <w:tblStyle w:val="TableTGAblue2023"/>
        <w:tblW w:w="0" w:type="auto"/>
        <w:tblLook w:val="04A0" w:firstRow="1" w:lastRow="0" w:firstColumn="1" w:lastColumn="0" w:noHBand="0" w:noVBand="1"/>
      </w:tblPr>
      <w:tblGrid>
        <w:gridCol w:w="2010"/>
        <w:gridCol w:w="7050"/>
      </w:tblGrid>
      <w:tr w:rsidR="00C14BB6" w:rsidRPr="00C14BB6" w14:paraId="075D4BF3" w14:textId="77777777" w:rsidTr="00B670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5C8B8B66" w14:textId="77777777" w:rsidR="00C14BB6" w:rsidRPr="00C14BB6" w:rsidRDefault="00C14BB6" w:rsidP="00B67020">
            <w:r w:rsidRPr="00C14BB6">
              <w:t>Property</w:t>
            </w:r>
          </w:p>
        </w:tc>
        <w:tc>
          <w:tcPr>
            <w:tcW w:w="7169" w:type="dxa"/>
          </w:tcPr>
          <w:p w14:paraId="706FAD6E" w14:textId="77777777" w:rsidR="00C14BB6" w:rsidRPr="00C14BB6" w:rsidRDefault="00C14BB6" w:rsidP="00B67020">
            <w:pPr>
              <w:cnfStyle w:val="100000000000" w:firstRow="1" w:lastRow="0" w:firstColumn="0" w:lastColumn="0" w:oddVBand="0" w:evenVBand="0" w:oddHBand="0" w:evenHBand="0" w:firstRowFirstColumn="0" w:firstRowLastColumn="0" w:lastRowFirstColumn="0" w:lastRowLastColumn="0"/>
            </w:pPr>
            <w:r w:rsidRPr="00C14BB6">
              <w:t>Summary</w:t>
            </w:r>
          </w:p>
        </w:tc>
      </w:tr>
      <w:tr w:rsidR="00C14BB6" w:rsidRPr="00C14BB6" w14:paraId="7CB87F64" w14:textId="77777777" w:rsidTr="00B67020">
        <w:tc>
          <w:tcPr>
            <w:cnfStyle w:val="001000000000" w:firstRow="0" w:lastRow="0" w:firstColumn="1" w:lastColumn="0" w:oddVBand="0" w:evenVBand="0" w:oddHBand="0" w:evenHBand="0" w:firstRowFirstColumn="0" w:firstRowLastColumn="0" w:lastRowFirstColumn="0" w:lastRowLastColumn="0"/>
            <w:tcW w:w="1837" w:type="dxa"/>
          </w:tcPr>
          <w:p w14:paraId="21376DD7" w14:textId="77777777" w:rsidR="00C14BB6" w:rsidRPr="00C14BB6" w:rsidRDefault="00C14BB6" w:rsidP="00B67020">
            <w:r w:rsidRPr="00C14BB6">
              <w:t>Pharmacokinetic parameters</w:t>
            </w:r>
          </w:p>
        </w:tc>
        <w:tc>
          <w:tcPr>
            <w:tcW w:w="7169" w:type="dxa"/>
          </w:tcPr>
          <w:p w14:paraId="667D8C4C"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Dose proportional but less than linear exposure with single doses 40 mg – 240 mg.</w:t>
            </w:r>
          </w:p>
          <w:p w14:paraId="797C2C7A"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 xml:space="preserve">Steady-state PK is time-dependent due to autoinduction of CYP3A4: </w:t>
            </w:r>
            <w:proofErr w:type="spellStart"/>
            <w:r w:rsidRPr="00C14BB6">
              <w:t>C</w:t>
            </w:r>
            <w:r w:rsidRPr="00C14BB6">
              <w:rPr>
                <w:vertAlign w:val="subscript"/>
              </w:rPr>
              <w:t>avg</w:t>
            </w:r>
            <w:proofErr w:type="spellEnd"/>
            <w:r w:rsidRPr="00C14BB6">
              <w:t xml:space="preserve"> with a single 160 mg dose is </w:t>
            </w:r>
            <w:proofErr w:type="gramStart"/>
            <w:r w:rsidRPr="00C14BB6">
              <w:t>similar to</w:t>
            </w:r>
            <w:proofErr w:type="gramEnd"/>
            <w:r w:rsidRPr="00C14BB6">
              <w:t xml:space="preserve"> steady-state </w:t>
            </w:r>
            <w:proofErr w:type="spellStart"/>
            <w:r w:rsidRPr="00C14BB6">
              <w:t>C</w:t>
            </w:r>
            <w:r w:rsidRPr="00C14BB6">
              <w:rPr>
                <w:vertAlign w:val="subscript"/>
              </w:rPr>
              <w:t>avg</w:t>
            </w:r>
            <w:proofErr w:type="spellEnd"/>
            <w:r w:rsidRPr="00C14BB6">
              <w:t xml:space="preserve"> at recommended dose regimen. </w:t>
            </w:r>
          </w:p>
          <w:p w14:paraId="2BC3419A"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 xml:space="preserve">At recommended dose: estimated steady-state geometric mean (CV%) </w:t>
            </w:r>
            <w:proofErr w:type="spellStart"/>
            <w:r w:rsidRPr="00C14BB6">
              <w:t>C</w:t>
            </w:r>
            <w:r w:rsidRPr="00C14BB6">
              <w:rPr>
                <w:vertAlign w:val="subscript"/>
              </w:rPr>
              <w:t>max</w:t>
            </w:r>
            <w:proofErr w:type="spellEnd"/>
            <w:r w:rsidRPr="00C14BB6">
              <w:t xml:space="preserve"> = 572 ng/mL (38%); </w:t>
            </w:r>
            <w:proofErr w:type="spellStart"/>
            <w:r w:rsidRPr="00C14BB6">
              <w:t>C</w:t>
            </w:r>
            <w:r w:rsidRPr="00C14BB6">
              <w:rPr>
                <w:vertAlign w:val="subscript"/>
              </w:rPr>
              <w:t>min</w:t>
            </w:r>
            <w:proofErr w:type="spellEnd"/>
            <w:r w:rsidRPr="00C14BB6">
              <w:t xml:space="preserve"> = 158 ng/mL (58%); and </w:t>
            </w:r>
            <w:proofErr w:type="spellStart"/>
            <w:r w:rsidRPr="00C14BB6">
              <w:t>C</w:t>
            </w:r>
            <w:r w:rsidRPr="00C14BB6">
              <w:rPr>
                <w:vertAlign w:val="subscript"/>
              </w:rPr>
              <w:t>avg</w:t>
            </w:r>
            <w:proofErr w:type="spellEnd"/>
            <w:r w:rsidRPr="00C14BB6">
              <w:t xml:space="preserve"> (AUC</w:t>
            </w:r>
            <w:r w:rsidRPr="00C14BB6">
              <w:rPr>
                <w:vertAlign w:val="subscript"/>
              </w:rPr>
              <w:t>0-12h</w:t>
            </w:r>
            <w:r w:rsidRPr="00C14BB6">
              <w:t xml:space="preserve"> divided by dosing interval) = 347 ng/mL (42%). </w:t>
            </w:r>
          </w:p>
        </w:tc>
      </w:tr>
      <w:tr w:rsidR="00C14BB6" w:rsidRPr="00C14BB6" w14:paraId="419F021A" w14:textId="77777777" w:rsidTr="00B67020">
        <w:tc>
          <w:tcPr>
            <w:cnfStyle w:val="001000000000" w:firstRow="0" w:lastRow="0" w:firstColumn="1" w:lastColumn="0" w:oddVBand="0" w:evenVBand="0" w:oddHBand="0" w:evenHBand="0" w:firstRowFirstColumn="0" w:firstRowLastColumn="0" w:lastRowFirstColumn="0" w:lastRowLastColumn="0"/>
            <w:tcW w:w="1837" w:type="dxa"/>
          </w:tcPr>
          <w:p w14:paraId="4CFC2659" w14:textId="77777777" w:rsidR="00C14BB6" w:rsidRPr="00C14BB6" w:rsidRDefault="00C14BB6" w:rsidP="00B67020">
            <w:r w:rsidRPr="00C14BB6">
              <w:t>Absorption</w:t>
            </w:r>
          </w:p>
        </w:tc>
        <w:tc>
          <w:tcPr>
            <w:tcW w:w="7169" w:type="dxa"/>
          </w:tcPr>
          <w:p w14:paraId="00580A77"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Geometric mean (CV%) absolute bioavailability: 46% (20%)</w:t>
            </w:r>
          </w:p>
          <w:p w14:paraId="4C961A72"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Food effect: increases exposure, but not enough to warrant mandating fasted dosing</w:t>
            </w:r>
          </w:p>
          <w:p w14:paraId="35816F7E"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proofErr w:type="spellStart"/>
            <w:r w:rsidRPr="00C14BB6">
              <w:t>Tmax</w:t>
            </w:r>
            <w:proofErr w:type="spellEnd"/>
            <w:r w:rsidRPr="00C14BB6">
              <w:t>: 2-3 hours fasting, 4-6 hours fed.</w:t>
            </w:r>
          </w:p>
        </w:tc>
      </w:tr>
      <w:tr w:rsidR="00C14BB6" w:rsidRPr="00C14BB6" w14:paraId="7D5822F9" w14:textId="77777777" w:rsidTr="00B67020">
        <w:tc>
          <w:tcPr>
            <w:cnfStyle w:val="001000000000" w:firstRow="0" w:lastRow="0" w:firstColumn="1" w:lastColumn="0" w:oddVBand="0" w:evenVBand="0" w:oddHBand="0" w:evenHBand="0" w:firstRowFirstColumn="0" w:firstRowLastColumn="0" w:lastRowFirstColumn="0" w:lastRowLastColumn="0"/>
            <w:tcW w:w="1837" w:type="dxa"/>
          </w:tcPr>
          <w:p w14:paraId="0C20644F" w14:textId="77777777" w:rsidR="00C14BB6" w:rsidRPr="00C14BB6" w:rsidRDefault="00C14BB6" w:rsidP="00B67020">
            <w:r w:rsidRPr="00C14BB6">
              <w:t>Distribution</w:t>
            </w:r>
          </w:p>
        </w:tc>
        <w:tc>
          <w:tcPr>
            <w:tcW w:w="7169" w:type="dxa"/>
          </w:tcPr>
          <w:p w14:paraId="51B4DB67"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Plasma protein bound fraction: 95%</w:t>
            </w:r>
          </w:p>
          <w:p w14:paraId="2251DACF"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Blood-to-plasma ratio: 0.56 in vitro</w:t>
            </w:r>
          </w:p>
          <w:p w14:paraId="3943E941"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160 mg single oral dose geometric mean (CV%) volume of distribution (</w:t>
            </w:r>
            <w:proofErr w:type="spellStart"/>
            <w:r w:rsidRPr="00C14BB6">
              <w:t>Vz</w:t>
            </w:r>
            <w:proofErr w:type="spellEnd"/>
            <w:r w:rsidRPr="00C14BB6">
              <w:t>/F) = 432 L (56%)</w:t>
            </w:r>
          </w:p>
        </w:tc>
      </w:tr>
      <w:tr w:rsidR="00C14BB6" w:rsidRPr="00C14BB6" w14:paraId="2D1F1FBA" w14:textId="77777777" w:rsidTr="00B67020">
        <w:tc>
          <w:tcPr>
            <w:cnfStyle w:val="001000000000" w:firstRow="0" w:lastRow="0" w:firstColumn="1" w:lastColumn="0" w:oddVBand="0" w:evenVBand="0" w:oddHBand="0" w:evenHBand="0" w:firstRowFirstColumn="0" w:firstRowLastColumn="0" w:lastRowFirstColumn="0" w:lastRowLastColumn="0"/>
            <w:tcW w:w="1837" w:type="dxa"/>
          </w:tcPr>
          <w:p w14:paraId="3942ABC9" w14:textId="77777777" w:rsidR="00C14BB6" w:rsidRPr="00C14BB6" w:rsidRDefault="00C14BB6" w:rsidP="00B67020">
            <w:r w:rsidRPr="00C14BB6">
              <w:t>Metabolism</w:t>
            </w:r>
          </w:p>
        </w:tc>
        <w:tc>
          <w:tcPr>
            <w:tcW w:w="7169" w:type="dxa"/>
          </w:tcPr>
          <w:p w14:paraId="4DC50547"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CYP3A4 to hydroxylated metabolites, then secondary glucuronidation.</w:t>
            </w:r>
          </w:p>
          <w:p w14:paraId="1A6844AB"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No metabolite exceeded 10% of total circulating drug-related radioactivity.</w:t>
            </w:r>
          </w:p>
        </w:tc>
      </w:tr>
      <w:tr w:rsidR="00C14BB6" w:rsidRPr="00C14BB6" w14:paraId="00488187" w14:textId="77777777" w:rsidTr="00B67020">
        <w:tc>
          <w:tcPr>
            <w:cnfStyle w:val="001000000000" w:firstRow="0" w:lastRow="0" w:firstColumn="1" w:lastColumn="0" w:oddVBand="0" w:evenVBand="0" w:oddHBand="0" w:evenHBand="0" w:firstRowFirstColumn="0" w:firstRowLastColumn="0" w:lastRowFirstColumn="0" w:lastRowLastColumn="0"/>
            <w:tcW w:w="1837" w:type="dxa"/>
          </w:tcPr>
          <w:p w14:paraId="1E10E09D" w14:textId="77777777" w:rsidR="00C14BB6" w:rsidRPr="00C14BB6" w:rsidRDefault="00C14BB6" w:rsidP="00B67020">
            <w:r w:rsidRPr="00C14BB6">
              <w:t>Excretion</w:t>
            </w:r>
          </w:p>
        </w:tc>
        <w:tc>
          <w:tcPr>
            <w:tcW w:w="7169" w:type="dxa"/>
          </w:tcPr>
          <w:p w14:paraId="0885A9CD"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Time-dependent elimination due to autoinduction of CYP3A4.</w:t>
            </w:r>
          </w:p>
          <w:p w14:paraId="0ACFCAE2"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 xml:space="preserve">Geometric mean (CV%) apparent oral clearance (CL/F) of single 160 mg dose: 16L/h (46%) </w:t>
            </w:r>
          </w:p>
          <w:p w14:paraId="60A6F66C"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Predominantly faecal excretion (89%; 51% as unchanged drug), with 5% urinary recovery of radiolabelled single 160 mg dose.</w:t>
            </w:r>
          </w:p>
        </w:tc>
      </w:tr>
      <w:tr w:rsidR="00C14BB6" w:rsidRPr="00C14BB6" w14:paraId="456E77AB" w14:textId="77777777" w:rsidTr="00B67020">
        <w:tc>
          <w:tcPr>
            <w:cnfStyle w:val="001000000000" w:firstRow="0" w:lastRow="0" w:firstColumn="1" w:lastColumn="0" w:oddVBand="0" w:evenVBand="0" w:oddHBand="0" w:evenHBand="0" w:firstRowFirstColumn="0" w:firstRowLastColumn="0" w:lastRowFirstColumn="0" w:lastRowLastColumn="0"/>
            <w:tcW w:w="1837" w:type="dxa"/>
          </w:tcPr>
          <w:p w14:paraId="789DC7EB" w14:textId="77777777" w:rsidR="00C14BB6" w:rsidRPr="00C14BB6" w:rsidRDefault="00C14BB6" w:rsidP="00B67020">
            <w:r w:rsidRPr="00C14BB6">
              <w:t>Population pharmacokinetics</w:t>
            </w:r>
          </w:p>
        </w:tc>
        <w:tc>
          <w:tcPr>
            <w:tcW w:w="7169" w:type="dxa"/>
          </w:tcPr>
          <w:p w14:paraId="580B8532"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proofErr w:type="spellStart"/>
            <w:r w:rsidRPr="00C14BB6">
              <w:t>PopPK</w:t>
            </w:r>
            <w:proofErr w:type="spellEnd"/>
            <w:r w:rsidRPr="00C14BB6">
              <w:t xml:space="preserve"> estimated mean (SD) terminal T</w:t>
            </w:r>
            <w:r w:rsidRPr="00C14BB6">
              <w:rPr>
                <w:vertAlign w:val="subscript"/>
              </w:rPr>
              <w:t xml:space="preserve">1/2 </w:t>
            </w:r>
            <w:r w:rsidRPr="00C14BB6">
              <w:t>was 69 (30) hours (single dose) and 45 (21) hours after reaching steady state.</w:t>
            </w:r>
          </w:p>
          <w:p w14:paraId="4D01BCEF"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 xml:space="preserve">No meaningful effect of mild or moderate renal impairment (not studied in severe), or mild hepatic impairment (not studied in moderate or severe), or gender, age (18-93 years), body weight (39.5 kg to 169 kg) or Asian compared to Caucasian ethnicity. </w:t>
            </w:r>
          </w:p>
          <w:p w14:paraId="685CA68E" w14:textId="0E1A3244"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Paediatric data (n=13) are limited; based on simulations, patients 12-18 years old are anticipated to have similar PK to adults. No paediatric indication is sought in the current application. Available paediatric PK data are summarised in the EMA documentation, noting that the NTRK indications approved by FDA and EMA specifically include paediatric patients.</w:t>
            </w:r>
            <w:r w:rsidR="00B45FC0" w:rsidRPr="007C1B94">
              <w:rPr>
                <w:rStyle w:val="FootnoteReference"/>
              </w:rPr>
              <w:footnoteReference w:id="64"/>
            </w:r>
            <w:r w:rsidR="00C03BD6" w:rsidRPr="007C1B94">
              <w:rPr>
                <w:vertAlign w:val="superscript"/>
              </w:rPr>
              <w:t>,</w:t>
            </w:r>
            <w:r w:rsidR="00D56382" w:rsidRPr="007C1B94">
              <w:rPr>
                <w:rStyle w:val="FootnoteReference"/>
              </w:rPr>
              <w:footnoteReference w:id="65"/>
            </w:r>
            <w:r w:rsidR="007C1B94" w:rsidRPr="007C1B94">
              <w:rPr>
                <w:vertAlign w:val="superscript"/>
              </w:rPr>
              <w:t>,</w:t>
            </w:r>
            <w:r w:rsidR="007C1B94" w:rsidRPr="007C1B94">
              <w:rPr>
                <w:rStyle w:val="FootnoteReference"/>
              </w:rPr>
              <w:footnoteReference w:id="66"/>
            </w:r>
            <w:r w:rsidR="00010A5D" w:rsidRPr="007C1B94">
              <w:rPr>
                <w:vertAlign w:val="superscript"/>
              </w:rPr>
              <w:t xml:space="preserve"> </w:t>
            </w:r>
          </w:p>
        </w:tc>
      </w:tr>
      <w:tr w:rsidR="00C14BB6" w:rsidRPr="00C14BB6" w14:paraId="50B00AE1" w14:textId="77777777" w:rsidTr="00B67020">
        <w:tc>
          <w:tcPr>
            <w:cnfStyle w:val="001000000000" w:firstRow="0" w:lastRow="0" w:firstColumn="1" w:lastColumn="0" w:oddVBand="0" w:evenVBand="0" w:oddHBand="0" w:evenHBand="0" w:firstRowFirstColumn="0" w:firstRowLastColumn="0" w:lastRowFirstColumn="0" w:lastRowLastColumn="0"/>
            <w:tcW w:w="1837" w:type="dxa"/>
          </w:tcPr>
          <w:p w14:paraId="39F1AC0B" w14:textId="77777777" w:rsidR="00C14BB6" w:rsidRPr="00C14BB6" w:rsidRDefault="00C14BB6" w:rsidP="00B67020">
            <w:r w:rsidRPr="00C14BB6">
              <w:rPr>
                <w:i/>
                <w:iCs/>
              </w:rPr>
              <w:lastRenderedPageBreak/>
              <w:t>In vitro</w:t>
            </w:r>
            <w:r w:rsidRPr="00C14BB6">
              <w:t xml:space="preserve"> DDI data</w:t>
            </w:r>
          </w:p>
        </w:tc>
        <w:tc>
          <w:tcPr>
            <w:tcW w:w="7169" w:type="dxa"/>
          </w:tcPr>
          <w:p w14:paraId="0762026F"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 xml:space="preserve">Induces enzymes: CYP3A4, CYP2B6, CYP2C8, CYP2C19, CYP2C9 </w:t>
            </w:r>
          </w:p>
          <w:p w14:paraId="56040708"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 xml:space="preserve">Inhibits enzymes: CYP3A4/5 (GI tract), CYP2C8 and CYP2C9, and UGT1A1. </w:t>
            </w:r>
          </w:p>
          <w:p w14:paraId="738EAC46"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Inhibits transporters: P-</w:t>
            </w:r>
            <w:proofErr w:type="spellStart"/>
            <w:r w:rsidRPr="00C14BB6">
              <w:t>gp</w:t>
            </w:r>
            <w:proofErr w:type="spellEnd"/>
            <w:r w:rsidRPr="00C14BB6">
              <w:t xml:space="preserve">, BCRP, OATP1B1, MATE1 and MATE2-K. </w:t>
            </w:r>
          </w:p>
          <w:p w14:paraId="4373E8A0"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pPr>
            <w:r w:rsidRPr="00C14BB6">
              <w:t>Is a substrate for: P-</w:t>
            </w:r>
            <w:proofErr w:type="spellStart"/>
            <w:r w:rsidRPr="00C14BB6">
              <w:t>gp</w:t>
            </w:r>
            <w:proofErr w:type="spellEnd"/>
            <w:r w:rsidRPr="00C14BB6">
              <w:t>, and potentially MATE2-K and BCRP.</w:t>
            </w:r>
          </w:p>
        </w:tc>
      </w:tr>
      <w:tr w:rsidR="00C14BB6" w:rsidRPr="00C14BB6" w14:paraId="30145132" w14:textId="77777777" w:rsidTr="00B67020">
        <w:tc>
          <w:tcPr>
            <w:cnfStyle w:val="001000000000" w:firstRow="0" w:lastRow="0" w:firstColumn="1" w:lastColumn="0" w:oddVBand="0" w:evenVBand="0" w:oddHBand="0" w:evenHBand="0" w:firstRowFirstColumn="0" w:firstRowLastColumn="0" w:lastRowFirstColumn="0" w:lastRowLastColumn="0"/>
            <w:tcW w:w="1837" w:type="dxa"/>
          </w:tcPr>
          <w:p w14:paraId="0C9E41E4" w14:textId="77777777" w:rsidR="00C14BB6" w:rsidRPr="00C14BB6" w:rsidRDefault="00C14BB6" w:rsidP="00B67020">
            <w:r w:rsidRPr="00C14BB6">
              <w:t>Exposure-response</w:t>
            </w:r>
          </w:p>
        </w:tc>
        <w:tc>
          <w:tcPr>
            <w:tcW w:w="7169" w:type="dxa"/>
          </w:tcPr>
          <w:p w14:paraId="2E528DBD" w14:textId="77777777"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rPr>
                <w:lang w:eastAsia="ja-JP"/>
              </w:rPr>
            </w:pPr>
            <w:r w:rsidRPr="00C14BB6">
              <w:rPr>
                <w:lang w:eastAsia="ja-JP"/>
              </w:rPr>
              <w:t>Relationships and time course not fully characterised (data are limited for doses other than the recommended dose)</w:t>
            </w:r>
          </w:p>
        </w:tc>
      </w:tr>
      <w:tr w:rsidR="00C14BB6" w:rsidRPr="00C14BB6" w14:paraId="60965026" w14:textId="77777777" w:rsidTr="00B67020">
        <w:tc>
          <w:tcPr>
            <w:cnfStyle w:val="001000000000" w:firstRow="0" w:lastRow="0" w:firstColumn="1" w:lastColumn="0" w:oddVBand="0" w:evenVBand="0" w:oddHBand="0" w:evenHBand="0" w:firstRowFirstColumn="0" w:firstRowLastColumn="0" w:lastRowFirstColumn="0" w:lastRowLastColumn="0"/>
            <w:tcW w:w="1837" w:type="dxa"/>
          </w:tcPr>
          <w:p w14:paraId="167BB439" w14:textId="0E117522" w:rsidR="00C14BB6" w:rsidRPr="00C14BB6" w:rsidRDefault="00C14BB6" w:rsidP="00B67020">
            <w:r w:rsidRPr="00C14BB6">
              <w:t>QT prolongation</w:t>
            </w:r>
            <w:r w:rsidRPr="00C14BB6">
              <w:fldChar w:fldCharType="begin"/>
            </w:r>
            <w:r w:rsidRPr="00C14BB6">
              <w:instrText xml:space="preserve"> NOTEREF _Ref197095998 \f \h  \* MERGEFORMAT </w:instrText>
            </w:r>
            <w:r w:rsidRPr="00C14BB6">
              <w:fldChar w:fldCharType="separate"/>
            </w:r>
            <w:r w:rsidRPr="00C14BB6">
              <w:rPr>
                <w:rStyle w:val="EndnoteReference"/>
              </w:rPr>
              <w:t>9</w:t>
            </w:r>
            <w:r w:rsidRPr="00C14BB6">
              <w:fldChar w:fldCharType="end"/>
            </w:r>
          </w:p>
        </w:tc>
        <w:tc>
          <w:tcPr>
            <w:tcW w:w="7169" w:type="dxa"/>
          </w:tcPr>
          <w:p w14:paraId="22BDA602" w14:textId="661A0A78" w:rsidR="00C14BB6" w:rsidRPr="00C14BB6" w:rsidRDefault="00C14BB6" w:rsidP="00B67020">
            <w:pPr>
              <w:cnfStyle w:val="000000000000" w:firstRow="0" w:lastRow="0" w:firstColumn="0" w:lastColumn="0" w:oddVBand="0" w:evenVBand="0" w:oddHBand="0" w:evenHBand="0" w:firstRowFirstColumn="0" w:firstRowLastColumn="0" w:lastRowFirstColumn="0" w:lastRowLastColumn="0"/>
              <w:rPr>
                <w:lang w:eastAsia="ja-JP"/>
              </w:rPr>
            </w:pPr>
            <w:r w:rsidRPr="00C14BB6">
              <w:rPr>
                <w:lang w:eastAsia="ja-JP"/>
              </w:rPr>
              <w:t xml:space="preserve">Analysis of ECG data from 334 patients in the TRIDENT-1 phase 2 study, who received </w:t>
            </w:r>
            <w:r w:rsidR="00C00D00">
              <w:rPr>
                <w:lang w:eastAsia="ja-JP"/>
              </w:rPr>
              <w:t>Augtyro</w:t>
            </w:r>
            <w:r w:rsidRPr="00C14BB6">
              <w:rPr>
                <w:lang w:eastAsia="ja-JP"/>
              </w:rPr>
              <w:t xml:space="preserve"> at the recommended dose (non-controlled prandial state), demonstrated that the upper limit of 90% confidence interval (CI) of the mean </w:t>
            </w:r>
            <w:proofErr w:type="spellStart"/>
            <w:r w:rsidRPr="00C14BB6">
              <w:rPr>
                <w:lang w:eastAsia="ja-JP"/>
              </w:rPr>
              <w:t>QTcF</w:t>
            </w:r>
            <w:proofErr w:type="spellEnd"/>
            <w:r w:rsidRPr="00C14BB6">
              <w:rPr>
                <w:lang w:eastAsia="ja-JP"/>
              </w:rPr>
              <w:t xml:space="preserve"> change from baseline (</w:t>
            </w:r>
            <w:proofErr w:type="spellStart"/>
            <w:r w:rsidRPr="00C14BB6">
              <w:rPr>
                <w:lang w:eastAsia="ja-JP"/>
              </w:rPr>
              <w:t>ΔQTcF</w:t>
            </w:r>
            <w:proofErr w:type="spellEnd"/>
            <w:r w:rsidRPr="00C14BB6">
              <w:rPr>
                <w:lang w:eastAsia="ja-JP"/>
              </w:rPr>
              <w:t>) exceeded 10 milliseconds (</w:t>
            </w:r>
            <w:proofErr w:type="spellStart"/>
            <w:r w:rsidRPr="00C14BB6">
              <w:rPr>
                <w:lang w:eastAsia="ja-JP"/>
              </w:rPr>
              <w:t>ms</w:t>
            </w:r>
            <w:proofErr w:type="spellEnd"/>
            <w:r w:rsidRPr="00C14BB6">
              <w:rPr>
                <w:lang w:eastAsia="ja-JP"/>
              </w:rPr>
              <w:t xml:space="preserve">) for a few time point estimates but remained &lt; 20 </w:t>
            </w:r>
            <w:proofErr w:type="spellStart"/>
            <w:r w:rsidRPr="00C14BB6">
              <w:rPr>
                <w:lang w:eastAsia="ja-JP"/>
              </w:rPr>
              <w:t>ms</w:t>
            </w:r>
            <w:proofErr w:type="spellEnd"/>
            <w:r w:rsidRPr="00C14BB6">
              <w:rPr>
                <w:lang w:eastAsia="ja-JP"/>
              </w:rPr>
              <w:t>. Patients with increased risk of QTc prolongation were not enrolled in TRIDENT-1.</w:t>
            </w:r>
          </w:p>
        </w:tc>
      </w:tr>
    </w:tbl>
    <w:p w14:paraId="02A03C33" w14:textId="77777777" w:rsidR="00365A73" w:rsidRDefault="00365A73" w:rsidP="00365A73">
      <w:pPr>
        <w:pStyle w:val="Heading4"/>
      </w:pPr>
      <w:bookmarkStart w:id="49" w:name="_Toc219813786"/>
      <w:r>
        <w:t>Efficacy</w:t>
      </w:r>
      <w:bookmarkEnd w:id="49"/>
    </w:p>
    <w:p w14:paraId="58320FFF" w14:textId="0E5CEE61" w:rsidR="00365A73" w:rsidRDefault="00365A73" w:rsidP="00365A73">
      <w:pPr>
        <w:pStyle w:val="Heading5"/>
      </w:pPr>
      <w:r>
        <w:t>TRIDENT-1</w:t>
      </w:r>
    </w:p>
    <w:p w14:paraId="139C8E92" w14:textId="77777777" w:rsidR="00365A73" w:rsidRDefault="00365A73" w:rsidP="00365A73">
      <w:r>
        <w:t xml:space="preserve">The pivotal efficacy data </w:t>
      </w:r>
      <w:proofErr w:type="gramStart"/>
      <w:r>
        <w:t>with regard to</w:t>
      </w:r>
      <w:proofErr w:type="gramEnd"/>
      <w:r>
        <w:t xml:space="preserve"> the proposed ROS1-positive indication come from the following cohorts of TRIDENT-1:</w:t>
      </w:r>
    </w:p>
    <w:p w14:paraId="781634DA" w14:textId="148DF2A6" w:rsidR="00365A73" w:rsidRDefault="00365A73" w:rsidP="00365A73">
      <w:pPr>
        <w:pStyle w:val="ListBullet"/>
      </w:pPr>
      <w:r>
        <w:t>EXP-1 (ROS1 TKI-naïve)</w:t>
      </w:r>
    </w:p>
    <w:p w14:paraId="06F689C8" w14:textId="09DCC687" w:rsidR="00365A73" w:rsidRDefault="00365A73" w:rsidP="00365A73">
      <w:pPr>
        <w:pStyle w:val="ListBullet"/>
      </w:pPr>
      <w:r>
        <w:t>EXP-2 (one prior ROS1 TKI and one platinum-based chemotherapy)</w:t>
      </w:r>
    </w:p>
    <w:p w14:paraId="3B10776D" w14:textId="51F8F494" w:rsidR="00365A73" w:rsidRDefault="00365A73" w:rsidP="00365A73">
      <w:pPr>
        <w:pStyle w:val="ListBullet"/>
      </w:pPr>
      <w:r>
        <w:t>EXP-3 (two prior ROS1 TKIs)</w:t>
      </w:r>
    </w:p>
    <w:p w14:paraId="01C26C2A" w14:textId="61A806C4" w:rsidR="00365A73" w:rsidRDefault="00365A73" w:rsidP="00365A73">
      <w:pPr>
        <w:pStyle w:val="ListBullet"/>
      </w:pPr>
      <w:r>
        <w:t>EXP-4 (one prior ROS1 TKI, no prior chemo or immunotherapy)</w:t>
      </w:r>
    </w:p>
    <w:p w14:paraId="1ABC3963" w14:textId="76716666" w:rsidR="00365A73" w:rsidRDefault="00365A73" w:rsidP="00365A73">
      <w:pPr>
        <w:pStyle w:val="ListBullet"/>
      </w:pPr>
      <w:r>
        <w:t>Certain patients from phase 1 (see below)</w:t>
      </w:r>
    </w:p>
    <w:p w14:paraId="41F2524D" w14:textId="77777777" w:rsidR="00365A73" w:rsidRDefault="00365A73" w:rsidP="00365A73">
      <w:r>
        <w:t xml:space="preserve">Patients in the phase 2 cohorts were all adults with histological or cytological confirmation of locally advanced or metastatic MSCLC harbouring a ROS1 gene fusion, with </w:t>
      </w:r>
      <w:proofErr w:type="spellStart"/>
      <w:r>
        <w:t>repotrectinib</w:t>
      </w:r>
      <w:proofErr w:type="spellEnd"/>
      <w:r>
        <w:t xml:space="preserve">-naïve, measurable disease per RECIST v1.1, and ECOG PS less than 2. Standard reproductive, cardiovascular and organ function exclusions applied, and patients with untreated or active CNS disease were also ineligible. </w:t>
      </w:r>
    </w:p>
    <w:p w14:paraId="084C1B75" w14:textId="77777777" w:rsidR="00365A73" w:rsidRDefault="00365A73" w:rsidP="00365A73">
      <w:r>
        <w:t xml:space="preserve">In phase 2, </w:t>
      </w:r>
      <w:proofErr w:type="spellStart"/>
      <w:r>
        <w:t>repotrectinib</w:t>
      </w:r>
      <w:proofErr w:type="spellEnd"/>
      <w:r>
        <w:t xml:space="preserve"> was administered orally 160 mg daily for the initial two weeks, with dose escalation to 160 mg BD thereafter for patients meeting the following criteria:</w:t>
      </w:r>
    </w:p>
    <w:p w14:paraId="6AC615EB" w14:textId="3D47CE44" w:rsidR="00365A73" w:rsidRDefault="00365A73" w:rsidP="00365A73">
      <w:pPr>
        <w:pStyle w:val="ListBullet"/>
      </w:pPr>
      <w:r>
        <w:t xml:space="preserve">No TEAEs higher than </w:t>
      </w:r>
      <w:r w:rsidR="004E079E" w:rsidRPr="004E079E">
        <w:t xml:space="preserve">Common Terminology Criteria for Adverse Events (CTCAE) </w:t>
      </w:r>
      <w:r>
        <w:t>Grade 1</w:t>
      </w:r>
    </w:p>
    <w:p w14:paraId="4C43BDF9" w14:textId="6126B207" w:rsidR="00365A73" w:rsidRDefault="00365A73" w:rsidP="00365A73">
      <w:pPr>
        <w:pStyle w:val="ListBullet"/>
      </w:pPr>
      <w:r>
        <w:t>No dose interruptions</w:t>
      </w:r>
    </w:p>
    <w:p w14:paraId="5DDBDEFC" w14:textId="2A17233C" w:rsidR="00365A73" w:rsidRDefault="00365A73" w:rsidP="00365A73">
      <w:pPr>
        <w:pStyle w:val="ListBullet"/>
      </w:pPr>
      <w:r>
        <w:t>No treatment-related laboratory abnormalities higher than Grade 1</w:t>
      </w:r>
    </w:p>
    <w:p w14:paraId="5706481B" w14:textId="6C8A25B2" w:rsidR="00365A73" w:rsidRDefault="00365A73" w:rsidP="00365A73">
      <w:pPr>
        <w:pStyle w:val="ListBullet"/>
      </w:pPr>
      <w:r>
        <w:t>No clinically significant ECG abnormalities</w:t>
      </w:r>
    </w:p>
    <w:p w14:paraId="2709167E" w14:textId="77777777" w:rsidR="00365A73" w:rsidRDefault="00365A73" w:rsidP="00365A73">
      <w:r>
        <w:t xml:space="preserve">Doses were to be taken at approximately the same time(s) each day. Treatment interruptions and dose reductions (first to 120 mg BD, subsequently to 80 mg BD) were permitted for management of adverse events. </w:t>
      </w:r>
    </w:p>
    <w:p w14:paraId="22B09BB8" w14:textId="69BA3A20" w:rsidR="00365A73" w:rsidRDefault="00365A73" w:rsidP="00365A73">
      <w:r>
        <w:lastRenderedPageBreak/>
        <w:t xml:space="preserve">The primary endpoint was ORR assessed by blinded independent central review (BICR) per RECIST v1.1 criteria. Key secondary endpoints included duration of response (DOR) and intracranial ORR. Time to event endpoints were reported but are unreliable due to the single-arm study setting. ORR and DOR were estimated using exact binomial confidence intervals. </w:t>
      </w:r>
      <w:proofErr w:type="spellStart"/>
      <w:r>
        <w:t>DoR</w:t>
      </w:r>
      <w:proofErr w:type="spellEnd"/>
      <w:r>
        <w:t xml:space="preserve"> was analysed using the Kaplan-Meier method to estimate median duration and associated confidence intervals. No multiplicity adjustments were planned, and each cohort was treated statistically as an independent single-arm trial. No interim analysis was planned. Only the primary endpoint was seen as inferential.</w:t>
      </w:r>
    </w:p>
    <w:p w14:paraId="6C52A14E" w14:textId="0E5D8A34" w:rsidR="00365A73" w:rsidRDefault="00365A73" w:rsidP="00365A73">
      <w:r>
        <w:t xml:space="preserve">Clinically meaningful lower bounds for the primary endpoint (ORR) were </w:t>
      </w:r>
      <w:proofErr w:type="gramStart"/>
      <w:r>
        <w:t>nominated  as</w:t>
      </w:r>
      <w:proofErr w:type="gramEnd"/>
      <w:r>
        <w:t xml:space="preserve"> part of justification presented for sample size calculations (Table </w:t>
      </w:r>
      <w:r w:rsidR="00CD7106">
        <w:t>7</w:t>
      </w:r>
      <w:r>
        <w:t xml:space="preserve">). </w:t>
      </w:r>
    </w:p>
    <w:p w14:paraId="1C7F91FD" w14:textId="4AB34F61" w:rsidR="0040561F" w:rsidRDefault="00365A73" w:rsidP="00365A73">
      <w:pPr>
        <w:pStyle w:val="TableTitle"/>
      </w:pPr>
      <w:r>
        <w:t xml:space="preserve">Table </w:t>
      </w:r>
      <w:r w:rsidR="00CD7106">
        <w:t>7</w:t>
      </w:r>
      <w:r>
        <w:t>. Clinically meaningful ORR lower bound used for sample size justifications for the ROS1 cohorts of TRIDENT-1</w:t>
      </w:r>
    </w:p>
    <w:tbl>
      <w:tblPr>
        <w:tblStyle w:val="TableTGAblue"/>
        <w:tblW w:w="8779" w:type="dxa"/>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Look w:val="01E0" w:firstRow="1" w:lastRow="1" w:firstColumn="1" w:lastColumn="1" w:noHBand="0" w:noVBand="0"/>
      </w:tblPr>
      <w:tblGrid>
        <w:gridCol w:w="2967"/>
        <w:gridCol w:w="5812"/>
      </w:tblGrid>
      <w:tr w:rsidR="00AE18BC" w:rsidRPr="002F47F5" w14:paraId="46CA3BE5" w14:textId="77777777" w:rsidTr="000609E4">
        <w:trPr>
          <w:cnfStyle w:val="100000000000" w:firstRow="1" w:lastRow="0" w:firstColumn="0" w:lastColumn="0" w:oddVBand="0" w:evenVBand="0" w:oddHBand="0" w:evenHBand="0" w:firstRowFirstColumn="0" w:firstRowLastColumn="0" w:lastRowFirstColumn="0" w:lastRowLastColumn="0"/>
          <w:trHeight w:val="20"/>
        </w:trPr>
        <w:tc>
          <w:tcPr>
            <w:tcW w:w="29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EEAF6"/>
          </w:tcPr>
          <w:p w14:paraId="4EC12BDA" w14:textId="77777777" w:rsidR="00AE18BC" w:rsidRPr="00CF2FB9" w:rsidRDefault="00AE18BC" w:rsidP="009175CE">
            <w:pPr>
              <w:pStyle w:val="TableParagraph"/>
              <w:ind w:left="0" w:right="0"/>
              <w:rPr>
                <w:rFonts w:ascii="Cambria" w:hAnsi="Cambria" w:cs="Calibri"/>
                <w:color w:val="263287"/>
              </w:rPr>
            </w:pPr>
            <w:r w:rsidRPr="00CF2FB9">
              <w:rPr>
                <w:rFonts w:ascii="Cambria" w:hAnsi="Cambria" w:cs="Calibri"/>
                <w:color w:val="263287"/>
              </w:rPr>
              <w:t>ROS1+</w:t>
            </w:r>
            <w:r w:rsidRPr="00CF2FB9">
              <w:rPr>
                <w:rFonts w:ascii="Cambria" w:hAnsi="Cambria" w:cs="Calibri"/>
                <w:color w:val="263287"/>
                <w:spacing w:val="-7"/>
              </w:rPr>
              <w:t xml:space="preserve"> </w:t>
            </w:r>
            <w:r w:rsidRPr="00CF2FB9">
              <w:rPr>
                <w:rFonts w:ascii="Cambria" w:hAnsi="Cambria" w:cs="Calibri"/>
                <w:color w:val="263287"/>
                <w:spacing w:val="-4"/>
              </w:rPr>
              <w:t>NSCLC</w:t>
            </w:r>
            <w:r w:rsidRPr="00CF2FB9">
              <w:rPr>
                <w:rFonts w:ascii="Cambria" w:hAnsi="Cambria" w:cs="Calibri"/>
                <w:color w:val="263287"/>
                <w:spacing w:val="-2"/>
              </w:rPr>
              <w:t xml:space="preserve"> cohort</w:t>
            </w:r>
          </w:p>
        </w:tc>
        <w:tc>
          <w:tcPr>
            <w:tcW w:w="581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EEAF6"/>
          </w:tcPr>
          <w:p w14:paraId="63BC3857" w14:textId="77777777" w:rsidR="00AE18BC" w:rsidRPr="00CF2FB9" w:rsidRDefault="00AE18BC" w:rsidP="009175CE">
            <w:pPr>
              <w:pStyle w:val="TableParagraph"/>
              <w:ind w:left="0" w:right="0"/>
              <w:rPr>
                <w:rFonts w:ascii="Cambria" w:hAnsi="Cambria" w:cs="Calibri"/>
                <w:color w:val="263287"/>
              </w:rPr>
            </w:pPr>
            <w:r w:rsidRPr="00CF2FB9">
              <w:rPr>
                <w:rFonts w:ascii="Cambria" w:hAnsi="Cambria" w:cs="Calibri"/>
                <w:color w:val="263287"/>
              </w:rPr>
              <w:t>Prespecified</w:t>
            </w:r>
            <w:r w:rsidRPr="00CF2FB9">
              <w:rPr>
                <w:rFonts w:ascii="Cambria" w:hAnsi="Cambria" w:cs="Calibri"/>
                <w:color w:val="263287"/>
                <w:spacing w:val="-5"/>
              </w:rPr>
              <w:t xml:space="preserve"> </w:t>
            </w:r>
            <w:r w:rsidRPr="00CF2FB9">
              <w:rPr>
                <w:rFonts w:ascii="Cambria" w:hAnsi="Cambria" w:cs="Calibri"/>
                <w:color w:val="263287"/>
              </w:rPr>
              <w:t>limit</w:t>
            </w:r>
            <w:r w:rsidRPr="00CF2FB9">
              <w:rPr>
                <w:rFonts w:ascii="Cambria" w:hAnsi="Cambria" w:cs="Calibri"/>
                <w:color w:val="263287"/>
                <w:spacing w:val="-3"/>
              </w:rPr>
              <w:t xml:space="preserve"> </w:t>
            </w:r>
            <w:r w:rsidRPr="00CF2FB9">
              <w:rPr>
                <w:rFonts w:ascii="Cambria" w:hAnsi="Cambria" w:cs="Calibri"/>
                <w:color w:val="263287"/>
              </w:rPr>
              <w:t>of</w:t>
            </w:r>
            <w:r w:rsidRPr="00CF2FB9">
              <w:rPr>
                <w:rFonts w:ascii="Cambria" w:hAnsi="Cambria" w:cs="Calibri"/>
                <w:color w:val="263287"/>
                <w:spacing w:val="-3"/>
              </w:rPr>
              <w:t xml:space="preserve"> </w:t>
            </w:r>
            <w:r w:rsidRPr="00CF2FB9">
              <w:rPr>
                <w:rFonts w:ascii="Cambria" w:hAnsi="Cambria" w:cs="Calibri"/>
                <w:color w:val="263287"/>
              </w:rPr>
              <w:t>ORR</w:t>
            </w:r>
            <w:r w:rsidRPr="00CF2FB9">
              <w:rPr>
                <w:rFonts w:ascii="Cambria" w:hAnsi="Cambria" w:cs="Calibri"/>
                <w:color w:val="263287"/>
                <w:spacing w:val="-4"/>
              </w:rPr>
              <w:t xml:space="preserve"> </w:t>
            </w:r>
            <w:r w:rsidRPr="00CF2FB9">
              <w:rPr>
                <w:rFonts w:ascii="Cambria" w:hAnsi="Cambria" w:cs="Calibri"/>
                <w:color w:val="263287"/>
              </w:rPr>
              <w:t>chosen to define</w:t>
            </w:r>
            <w:r w:rsidRPr="00CF2FB9">
              <w:rPr>
                <w:rFonts w:ascii="Cambria" w:hAnsi="Cambria" w:cs="Calibri"/>
                <w:color w:val="263287"/>
                <w:spacing w:val="-4"/>
              </w:rPr>
              <w:t xml:space="preserve"> </w:t>
            </w:r>
            <w:r w:rsidRPr="00CF2FB9">
              <w:rPr>
                <w:rFonts w:ascii="Cambria" w:hAnsi="Cambria" w:cs="Calibri"/>
                <w:color w:val="263287"/>
                <w:spacing w:val="-2"/>
              </w:rPr>
              <w:t>a clinically meaningful result</w:t>
            </w:r>
          </w:p>
        </w:tc>
      </w:tr>
      <w:tr w:rsidR="00AE18BC" w:rsidRPr="002F47F5" w14:paraId="485EC0FB" w14:textId="77777777" w:rsidTr="00CF2FB9">
        <w:trPr>
          <w:trHeight w:val="20"/>
        </w:trPr>
        <w:tc>
          <w:tcPr>
            <w:tcW w:w="2967" w:type="dxa"/>
          </w:tcPr>
          <w:p w14:paraId="5768954F" w14:textId="77777777" w:rsidR="00AE18BC" w:rsidRPr="002F47F5" w:rsidRDefault="00AE18BC" w:rsidP="009175CE">
            <w:pPr>
              <w:pStyle w:val="TableParagraph"/>
              <w:ind w:left="0" w:right="0"/>
              <w:rPr>
                <w:rFonts w:ascii="Cambria" w:hAnsi="Cambria" w:cs="Calibri"/>
                <w:b/>
                <w:bCs/>
              </w:rPr>
            </w:pPr>
            <w:r w:rsidRPr="002F47F5">
              <w:rPr>
                <w:rFonts w:ascii="Cambria" w:hAnsi="Cambria" w:cs="Calibri"/>
                <w:b/>
                <w:bCs/>
                <w:spacing w:val="-2"/>
              </w:rPr>
              <w:t>EXP-</w:t>
            </w:r>
            <w:r w:rsidRPr="002F47F5">
              <w:rPr>
                <w:rFonts w:ascii="Cambria" w:hAnsi="Cambria" w:cs="Calibri"/>
                <w:b/>
                <w:bCs/>
                <w:spacing w:val="-10"/>
              </w:rPr>
              <w:t>1</w:t>
            </w:r>
          </w:p>
          <w:p w14:paraId="6234DEB9" w14:textId="77777777" w:rsidR="00AE18BC" w:rsidRPr="002F47F5" w:rsidRDefault="00AE18BC" w:rsidP="009175CE">
            <w:pPr>
              <w:pStyle w:val="TableParagraph"/>
              <w:ind w:left="0" w:right="0"/>
              <w:rPr>
                <w:rFonts w:ascii="Cambria" w:hAnsi="Cambria" w:cs="Calibri"/>
              </w:rPr>
            </w:pPr>
            <w:r w:rsidRPr="002F47F5">
              <w:rPr>
                <w:rFonts w:ascii="Cambria" w:hAnsi="Cambria" w:cs="Calibri"/>
              </w:rPr>
              <w:t>ROS1</w:t>
            </w:r>
            <w:r w:rsidRPr="002F47F5">
              <w:rPr>
                <w:rFonts w:ascii="Cambria" w:hAnsi="Cambria" w:cs="Calibri"/>
                <w:spacing w:val="-7"/>
              </w:rPr>
              <w:t xml:space="preserve"> </w:t>
            </w:r>
            <w:r w:rsidRPr="002F47F5">
              <w:rPr>
                <w:rFonts w:ascii="Cambria" w:hAnsi="Cambria" w:cs="Calibri"/>
              </w:rPr>
              <w:t>TKI-naïve</w:t>
            </w:r>
            <w:r w:rsidRPr="002F47F5">
              <w:rPr>
                <w:rFonts w:ascii="Cambria" w:hAnsi="Cambria" w:cs="Calibri"/>
                <w:spacing w:val="-8"/>
              </w:rPr>
              <w:t xml:space="preserve"> </w:t>
            </w:r>
          </w:p>
        </w:tc>
        <w:tc>
          <w:tcPr>
            <w:tcW w:w="5812" w:type="dxa"/>
          </w:tcPr>
          <w:p w14:paraId="2151560C" w14:textId="08565F04" w:rsidR="00AE18BC" w:rsidRPr="002F47F5" w:rsidRDefault="00AE18BC" w:rsidP="009175CE">
            <w:pPr>
              <w:pStyle w:val="TableParagraph"/>
              <w:ind w:left="0" w:right="0"/>
              <w:rPr>
                <w:rFonts w:ascii="Cambria" w:hAnsi="Cambria" w:cs="Calibri"/>
              </w:rPr>
            </w:pPr>
            <w:r w:rsidRPr="002F47F5">
              <w:rPr>
                <w:rFonts w:ascii="Cambria" w:hAnsi="Cambria" w:cs="Calibri"/>
              </w:rPr>
              <w:t>ORR</w:t>
            </w:r>
            <w:r w:rsidRPr="002F47F5">
              <w:rPr>
                <w:rFonts w:ascii="Cambria" w:hAnsi="Cambria" w:cs="Calibri"/>
                <w:spacing w:val="-6"/>
              </w:rPr>
              <w:t xml:space="preserve"> </w:t>
            </w:r>
            <w:r w:rsidRPr="002F47F5">
              <w:rPr>
                <w:rFonts w:ascii="Cambria" w:hAnsi="Cambria" w:cs="Calibri"/>
              </w:rPr>
              <w:t>(lower</w:t>
            </w:r>
            <w:r w:rsidRPr="002F47F5">
              <w:rPr>
                <w:rFonts w:ascii="Cambria" w:hAnsi="Cambria" w:cs="Calibri"/>
                <w:spacing w:val="-5"/>
              </w:rPr>
              <w:t xml:space="preserve"> </w:t>
            </w:r>
            <w:r w:rsidRPr="002F47F5">
              <w:rPr>
                <w:rFonts w:ascii="Cambria" w:hAnsi="Cambria" w:cs="Calibri"/>
              </w:rPr>
              <w:t>95%</w:t>
            </w:r>
            <w:r w:rsidRPr="002F47F5">
              <w:rPr>
                <w:rFonts w:ascii="Cambria" w:hAnsi="Cambria" w:cs="Calibri"/>
                <w:spacing w:val="-5"/>
              </w:rPr>
              <w:t xml:space="preserve"> </w:t>
            </w:r>
            <w:r w:rsidRPr="002F47F5">
              <w:rPr>
                <w:rFonts w:ascii="Cambria" w:hAnsi="Cambria" w:cs="Calibri"/>
              </w:rPr>
              <w:t>CI bound)</w:t>
            </w:r>
            <w:r w:rsidRPr="002F47F5">
              <w:rPr>
                <w:rFonts w:ascii="Cambria" w:hAnsi="Cambria" w:cs="Calibri"/>
                <w:spacing w:val="-5"/>
              </w:rPr>
              <w:t xml:space="preserve"> &gt;66%, b</w:t>
            </w:r>
            <w:r w:rsidRPr="002F47F5">
              <w:rPr>
                <w:rFonts w:ascii="Cambria" w:hAnsi="Cambria" w:cs="Calibri"/>
                <w:spacing w:val="-2"/>
              </w:rPr>
              <w:t>ased on the ORR for crizotinib (</w:t>
            </w:r>
            <w:r w:rsidRPr="002F47F5">
              <w:rPr>
                <w:rFonts w:ascii="Cambria" w:hAnsi="Cambria" w:cs="Calibri"/>
                <w:spacing w:val="-2"/>
                <w:lang w:val="en-AU"/>
              </w:rPr>
              <w:t>66% [51, 79</w:t>
            </w:r>
            <w:r w:rsidRPr="002F47F5">
              <w:rPr>
                <w:rFonts w:ascii="Cambria" w:hAnsi="Cambria" w:cs="Calibri"/>
                <w:spacing w:val="-2"/>
              </w:rPr>
              <w:t>]).</w:t>
            </w:r>
          </w:p>
        </w:tc>
      </w:tr>
      <w:tr w:rsidR="00AE18BC" w:rsidRPr="002F47F5" w14:paraId="17A5C122" w14:textId="77777777" w:rsidTr="00CF2FB9">
        <w:trPr>
          <w:trHeight w:val="20"/>
        </w:trPr>
        <w:tc>
          <w:tcPr>
            <w:tcW w:w="2967" w:type="dxa"/>
          </w:tcPr>
          <w:p w14:paraId="761E46FB" w14:textId="77777777" w:rsidR="00AE18BC" w:rsidRPr="002F47F5" w:rsidRDefault="00AE18BC" w:rsidP="009175CE">
            <w:pPr>
              <w:pStyle w:val="TableParagraph"/>
              <w:ind w:left="0" w:right="0"/>
              <w:rPr>
                <w:rFonts w:ascii="Cambria" w:hAnsi="Cambria" w:cs="Calibri"/>
                <w:b/>
                <w:bCs/>
              </w:rPr>
            </w:pPr>
            <w:r w:rsidRPr="002F47F5">
              <w:rPr>
                <w:rFonts w:ascii="Cambria" w:hAnsi="Cambria" w:cs="Calibri"/>
                <w:b/>
                <w:bCs/>
                <w:spacing w:val="-2"/>
              </w:rPr>
              <w:t>EXP-</w:t>
            </w:r>
            <w:r w:rsidRPr="002F47F5">
              <w:rPr>
                <w:rFonts w:ascii="Cambria" w:hAnsi="Cambria" w:cs="Calibri"/>
                <w:b/>
                <w:bCs/>
                <w:spacing w:val="-10"/>
              </w:rPr>
              <w:t>2</w:t>
            </w:r>
          </w:p>
          <w:p w14:paraId="0295F74F" w14:textId="77777777" w:rsidR="00AE18BC" w:rsidRPr="002F47F5" w:rsidRDefault="00AE18BC" w:rsidP="009175CE">
            <w:pPr>
              <w:pStyle w:val="TableParagraph"/>
              <w:ind w:left="0" w:right="0"/>
              <w:rPr>
                <w:rFonts w:ascii="Cambria" w:hAnsi="Cambria" w:cs="Calibri"/>
                <w:spacing w:val="-7"/>
              </w:rPr>
            </w:pPr>
            <w:r w:rsidRPr="002F47F5">
              <w:rPr>
                <w:rFonts w:ascii="Cambria" w:hAnsi="Cambria" w:cs="Calibri"/>
              </w:rPr>
              <w:t>1</w:t>
            </w:r>
            <w:r w:rsidRPr="002F47F5">
              <w:rPr>
                <w:rFonts w:ascii="Cambria" w:hAnsi="Cambria" w:cs="Calibri"/>
                <w:spacing w:val="-7"/>
              </w:rPr>
              <w:t xml:space="preserve"> </w:t>
            </w:r>
            <w:r w:rsidRPr="002F47F5">
              <w:rPr>
                <w:rFonts w:ascii="Cambria" w:hAnsi="Cambria" w:cs="Calibri"/>
              </w:rPr>
              <w:t>prior</w:t>
            </w:r>
            <w:r w:rsidRPr="002F47F5">
              <w:rPr>
                <w:rFonts w:ascii="Cambria" w:hAnsi="Cambria" w:cs="Calibri"/>
                <w:spacing w:val="-7"/>
              </w:rPr>
              <w:t xml:space="preserve"> </w:t>
            </w:r>
            <w:r w:rsidRPr="002F47F5">
              <w:rPr>
                <w:rFonts w:ascii="Cambria" w:hAnsi="Cambria" w:cs="Calibri"/>
              </w:rPr>
              <w:t>ROS1</w:t>
            </w:r>
            <w:r w:rsidRPr="002F47F5">
              <w:rPr>
                <w:rFonts w:ascii="Cambria" w:hAnsi="Cambria" w:cs="Calibri"/>
                <w:spacing w:val="-7"/>
              </w:rPr>
              <w:t xml:space="preserve"> </w:t>
            </w:r>
            <w:r w:rsidRPr="002F47F5">
              <w:rPr>
                <w:rFonts w:ascii="Cambria" w:hAnsi="Cambria" w:cs="Calibri"/>
              </w:rPr>
              <w:t>TKI</w:t>
            </w:r>
            <w:r w:rsidRPr="002F47F5">
              <w:rPr>
                <w:rFonts w:ascii="Cambria" w:hAnsi="Cambria" w:cs="Calibri"/>
                <w:spacing w:val="-7"/>
              </w:rPr>
              <w:t xml:space="preserve"> </w:t>
            </w:r>
            <w:r w:rsidRPr="002F47F5">
              <w:rPr>
                <w:rFonts w:ascii="Cambria" w:hAnsi="Cambria" w:cs="Calibri"/>
              </w:rPr>
              <w:t>AND</w:t>
            </w:r>
            <w:r w:rsidRPr="002F47F5">
              <w:rPr>
                <w:rFonts w:ascii="Cambria" w:hAnsi="Cambria" w:cs="Calibri"/>
                <w:spacing w:val="-7"/>
              </w:rPr>
              <w:t xml:space="preserve"> </w:t>
            </w:r>
          </w:p>
          <w:p w14:paraId="4E3D495F" w14:textId="77777777" w:rsidR="00AE18BC" w:rsidRPr="002F47F5" w:rsidRDefault="00AE18BC" w:rsidP="009175CE">
            <w:pPr>
              <w:pStyle w:val="TableParagraph"/>
              <w:ind w:left="0" w:right="0"/>
              <w:rPr>
                <w:rFonts w:ascii="Cambria" w:hAnsi="Cambria" w:cs="Calibri"/>
              </w:rPr>
            </w:pPr>
            <w:r w:rsidRPr="002F47F5">
              <w:rPr>
                <w:rFonts w:ascii="Cambria" w:hAnsi="Cambria" w:cs="Calibri"/>
              </w:rPr>
              <w:t>1</w:t>
            </w:r>
            <w:r w:rsidRPr="002F47F5">
              <w:rPr>
                <w:rFonts w:ascii="Cambria" w:hAnsi="Cambria" w:cs="Calibri"/>
                <w:spacing w:val="-7"/>
              </w:rPr>
              <w:t xml:space="preserve"> </w:t>
            </w:r>
            <w:r w:rsidRPr="002F47F5">
              <w:rPr>
                <w:rFonts w:ascii="Cambria" w:hAnsi="Cambria" w:cs="Calibri"/>
              </w:rPr>
              <w:t>prior platinum-based chemo</w:t>
            </w:r>
          </w:p>
        </w:tc>
        <w:tc>
          <w:tcPr>
            <w:tcW w:w="5812" w:type="dxa"/>
          </w:tcPr>
          <w:p w14:paraId="203499C8" w14:textId="77777777" w:rsidR="00AE18BC" w:rsidRPr="002F47F5" w:rsidRDefault="00AE18BC" w:rsidP="009175CE">
            <w:pPr>
              <w:pStyle w:val="TableParagraph"/>
              <w:ind w:left="0" w:right="0"/>
              <w:rPr>
                <w:rFonts w:ascii="Cambria" w:hAnsi="Cambria" w:cs="Calibri"/>
              </w:rPr>
            </w:pPr>
            <w:r w:rsidRPr="002F47F5">
              <w:rPr>
                <w:rFonts w:ascii="Cambria" w:hAnsi="Cambria" w:cs="Calibri"/>
              </w:rPr>
              <w:t>ORR</w:t>
            </w:r>
            <w:r w:rsidRPr="002F47F5">
              <w:rPr>
                <w:rFonts w:ascii="Cambria" w:hAnsi="Cambria" w:cs="Calibri"/>
                <w:spacing w:val="-6"/>
              </w:rPr>
              <w:t xml:space="preserve"> </w:t>
            </w:r>
            <w:r w:rsidRPr="002F47F5">
              <w:rPr>
                <w:rFonts w:ascii="Cambria" w:hAnsi="Cambria" w:cs="Calibri"/>
              </w:rPr>
              <w:t>(lower</w:t>
            </w:r>
            <w:r w:rsidRPr="002F47F5">
              <w:rPr>
                <w:rFonts w:ascii="Cambria" w:hAnsi="Cambria" w:cs="Calibri"/>
                <w:spacing w:val="-5"/>
              </w:rPr>
              <w:t xml:space="preserve"> </w:t>
            </w:r>
            <w:r w:rsidRPr="002F47F5">
              <w:rPr>
                <w:rFonts w:ascii="Cambria" w:hAnsi="Cambria" w:cs="Calibri"/>
              </w:rPr>
              <w:t>95%</w:t>
            </w:r>
            <w:r w:rsidRPr="002F47F5">
              <w:rPr>
                <w:rFonts w:ascii="Cambria" w:hAnsi="Cambria" w:cs="Calibri"/>
                <w:spacing w:val="-5"/>
              </w:rPr>
              <w:t xml:space="preserve"> </w:t>
            </w:r>
            <w:r w:rsidRPr="002F47F5">
              <w:rPr>
                <w:rFonts w:ascii="Cambria" w:hAnsi="Cambria" w:cs="Calibri"/>
              </w:rPr>
              <w:t>CI bound) &gt;</w:t>
            </w:r>
            <w:r w:rsidRPr="002F47F5">
              <w:rPr>
                <w:rFonts w:ascii="Cambria" w:hAnsi="Cambria" w:cs="Calibri"/>
                <w:spacing w:val="-5"/>
              </w:rPr>
              <w:t>23%</w:t>
            </w:r>
          </w:p>
          <w:p w14:paraId="1CFC5717" w14:textId="67BCA582" w:rsidR="00AE18BC" w:rsidRPr="002F47F5" w:rsidRDefault="00AE18BC" w:rsidP="009175CE">
            <w:pPr>
              <w:pStyle w:val="TableParagraph"/>
              <w:ind w:left="0" w:right="0"/>
              <w:rPr>
                <w:rFonts w:ascii="Cambria" w:hAnsi="Cambria" w:cs="Calibri"/>
              </w:rPr>
            </w:pPr>
            <w:r w:rsidRPr="002F47F5">
              <w:rPr>
                <w:rFonts w:ascii="Cambria" w:hAnsi="Cambria" w:cs="Calibri"/>
              </w:rPr>
              <w:t>Based on the ORR reported for combination of docetaxel + ramucirumab for 2L+ NSCLC (not ‘on-label’ for ramucirumab in Australia), i.e. ORR 23% [20, 26].</w:t>
            </w:r>
          </w:p>
        </w:tc>
      </w:tr>
      <w:tr w:rsidR="00AE18BC" w:rsidRPr="002F47F5" w14:paraId="7EABEDA9" w14:textId="77777777" w:rsidTr="00CF2FB9">
        <w:trPr>
          <w:trHeight w:val="20"/>
        </w:trPr>
        <w:tc>
          <w:tcPr>
            <w:tcW w:w="2967" w:type="dxa"/>
          </w:tcPr>
          <w:p w14:paraId="4CEEFC88" w14:textId="77777777" w:rsidR="00AE18BC" w:rsidRPr="002F47F5" w:rsidRDefault="00AE18BC" w:rsidP="009175CE">
            <w:pPr>
              <w:pStyle w:val="TableParagraph"/>
              <w:ind w:left="0" w:right="0"/>
              <w:rPr>
                <w:rFonts w:ascii="Cambria" w:hAnsi="Cambria" w:cs="Calibri"/>
                <w:b/>
                <w:bCs/>
              </w:rPr>
            </w:pPr>
            <w:r w:rsidRPr="002F47F5">
              <w:rPr>
                <w:rFonts w:ascii="Cambria" w:hAnsi="Cambria" w:cs="Calibri"/>
                <w:b/>
                <w:bCs/>
                <w:spacing w:val="-2"/>
              </w:rPr>
              <w:t>EXP-</w:t>
            </w:r>
            <w:r w:rsidRPr="002F47F5">
              <w:rPr>
                <w:rFonts w:ascii="Cambria" w:hAnsi="Cambria" w:cs="Calibri"/>
                <w:b/>
                <w:bCs/>
                <w:spacing w:val="-10"/>
              </w:rPr>
              <w:t>3</w:t>
            </w:r>
          </w:p>
          <w:p w14:paraId="075ADCAE" w14:textId="77777777" w:rsidR="00AE18BC" w:rsidRPr="002F47F5" w:rsidRDefault="00AE18BC" w:rsidP="009175CE">
            <w:pPr>
              <w:pStyle w:val="TableParagraph"/>
              <w:ind w:left="0" w:right="0"/>
              <w:rPr>
                <w:rFonts w:ascii="Cambria" w:hAnsi="Cambria" w:cs="Calibri"/>
              </w:rPr>
            </w:pPr>
            <w:r w:rsidRPr="002F47F5">
              <w:rPr>
                <w:rFonts w:ascii="Cambria" w:hAnsi="Cambria" w:cs="Calibri"/>
              </w:rPr>
              <w:t>2</w:t>
            </w:r>
            <w:r w:rsidRPr="002F47F5">
              <w:rPr>
                <w:rFonts w:ascii="Cambria" w:hAnsi="Cambria" w:cs="Calibri"/>
                <w:spacing w:val="-7"/>
              </w:rPr>
              <w:t xml:space="preserve"> </w:t>
            </w:r>
            <w:r w:rsidRPr="002F47F5">
              <w:rPr>
                <w:rFonts w:ascii="Cambria" w:hAnsi="Cambria" w:cs="Calibri"/>
              </w:rPr>
              <w:t>Prior</w:t>
            </w:r>
            <w:r w:rsidRPr="002F47F5">
              <w:rPr>
                <w:rFonts w:ascii="Cambria" w:hAnsi="Cambria" w:cs="Calibri"/>
                <w:spacing w:val="-7"/>
              </w:rPr>
              <w:t xml:space="preserve"> </w:t>
            </w:r>
            <w:r w:rsidRPr="002F47F5">
              <w:rPr>
                <w:rFonts w:ascii="Cambria" w:hAnsi="Cambria" w:cs="Calibri"/>
              </w:rPr>
              <w:t>ROS1</w:t>
            </w:r>
            <w:r w:rsidRPr="002F47F5">
              <w:rPr>
                <w:rFonts w:ascii="Cambria" w:hAnsi="Cambria" w:cs="Calibri"/>
                <w:spacing w:val="-7"/>
              </w:rPr>
              <w:t xml:space="preserve"> </w:t>
            </w:r>
            <w:r w:rsidRPr="002F47F5">
              <w:rPr>
                <w:rFonts w:ascii="Cambria" w:hAnsi="Cambria" w:cs="Calibri"/>
              </w:rPr>
              <w:t>TKI</w:t>
            </w:r>
            <w:r w:rsidRPr="002F47F5">
              <w:rPr>
                <w:rFonts w:ascii="Cambria" w:hAnsi="Cambria" w:cs="Calibri"/>
                <w:spacing w:val="-7"/>
              </w:rPr>
              <w:t xml:space="preserve"> </w:t>
            </w:r>
          </w:p>
          <w:p w14:paraId="43D0A892" w14:textId="77777777" w:rsidR="00AE18BC" w:rsidRPr="002F47F5" w:rsidRDefault="00AE18BC" w:rsidP="009175CE">
            <w:pPr>
              <w:pStyle w:val="TableParagraph"/>
              <w:ind w:left="0" w:right="0"/>
              <w:rPr>
                <w:rFonts w:ascii="Cambria" w:hAnsi="Cambria" w:cs="Calibri"/>
              </w:rPr>
            </w:pPr>
            <w:r w:rsidRPr="002F47F5">
              <w:rPr>
                <w:rFonts w:ascii="Cambria" w:hAnsi="Cambria" w:cs="Calibri"/>
              </w:rPr>
              <w:t>NO</w:t>
            </w:r>
            <w:r w:rsidRPr="002F47F5">
              <w:rPr>
                <w:rFonts w:ascii="Cambria" w:hAnsi="Cambria" w:cs="Calibri"/>
                <w:spacing w:val="-7"/>
              </w:rPr>
              <w:t xml:space="preserve"> </w:t>
            </w:r>
            <w:r w:rsidRPr="002F47F5">
              <w:rPr>
                <w:rFonts w:ascii="Cambria" w:hAnsi="Cambria" w:cs="Calibri"/>
              </w:rPr>
              <w:t xml:space="preserve">chemo or immunotherapy </w:t>
            </w:r>
          </w:p>
        </w:tc>
        <w:tc>
          <w:tcPr>
            <w:tcW w:w="5812" w:type="dxa"/>
          </w:tcPr>
          <w:p w14:paraId="36DFCD12" w14:textId="77777777" w:rsidR="00AE18BC" w:rsidRPr="002F47F5" w:rsidRDefault="00AE18BC" w:rsidP="009175CE">
            <w:pPr>
              <w:pStyle w:val="TableParagraph"/>
              <w:ind w:left="0" w:right="0"/>
              <w:rPr>
                <w:rFonts w:ascii="Cambria" w:hAnsi="Cambria" w:cs="Calibri"/>
              </w:rPr>
            </w:pPr>
            <w:r w:rsidRPr="002F47F5">
              <w:rPr>
                <w:rFonts w:ascii="Cambria" w:hAnsi="Cambria" w:cs="Calibri"/>
              </w:rPr>
              <w:t>ORR</w:t>
            </w:r>
            <w:r w:rsidRPr="002F47F5">
              <w:rPr>
                <w:rFonts w:ascii="Cambria" w:hAnsi="Cambria" w:cs="Calibri"/>
                <w:spacing w:val="-6"/>
              </w:rPr>
              <w:t xml:space="preserve"> </w:t>
            </w:r>
            <w:r w:rsidRPr="002F47F5">
              <w:rPr>
                <w:rFonts w:ascii="Cambria" w:hAnsi="Cambria" w:cs="Calibri"/>
              </w:rPr>
              <w:t>(lower</w:t>
            </w:r>
            <w:r w:rsidRPr="002F47F5">
              <w:rPr>
                <w:rFonts w:ascii="Cambria" w:hAnsi="Cambria" w:cs="Calibri"/>
                <w:spacing w:val="-5"/>
              </w:rPr>
              <w:t xml:space="preserve"> </w:t>
            </w:r>
            <w:r w:rsidRPr="002F47F5">
              <w:rPr>
                <w:rFonts w:ascii="Cambria" w:hAnsi="Cambria" w:cs="Calibri"/>
              </w:rPr>
              <w:t>95%</w:t>
            </w:r>
            <w:r w:rsidRPr="002F47F5">
              <w:rPr>
                <w:rFonts w:ascii="Cambria" w:hAnsi="Cambria" w:cs="Calibri"/>
                <w:spacing w:val="-5"/>
              </w:rPr>
              <w:t xml:space="preserve"> </w:t>
            </w:r>
            <w:r w:rsidRPr="002F47F5">
              <w:rPr>
                <w:rFonts w:ascii="Cambria" w:hAnsi="Cambria" w:cs="Calibri"/>
              </w:rPr>
              <w:t>CI bound) &gt;</w:t>
            </w:r>
            <w:r w:rsidRPr="002F47F5">
              <w:rPr>
                <w:rFonts w:ascii="Cambria" w:hAnsi="Cambria" w:cs="Calibri"/>
                <w:spacing w:val="-5"/>
              </w:rPr>
              <w:t>10%</w:t>
            </w:r>
          </w:p>
          <w:p w14:paraId="42CAF1D2" w14:textId="77777777" w:rsidR="00AE18BC" w:rsidRPr="002F47F5" w:rsidRDefault="00AE18BC" w:rsidP="009175CE">
            <w:pPr>
              <w:pStyle w:val="TableParagraph"/>
              <w:ind w:left="0" w:right="0"/>
              <w:rPr>
                <w:rFonts w:ascii="Cambria" w:hAnsi="Cambria" w:cs="Calibri"/>
              </w:rPr>
            </w:pPr>
            <w:r w:rsidRPr="002F47F5">
              <w:rPr>
                <w:rFonts w:ascii="Cambria" w:hAnsi="Cambria" w:cs="Calibri"/>
              </w:rPr>
              <w:t>Based on ruling out chance regression.</w:t>
            </w:r>
          </w:p>
        </w:tc>
      </w:tr>
      <w:tr w:rsidR="00AE18BC" w:rsidRPr="002F47F5" w14:paraId="0345B533" w14:textId="77777777" w:rsidTr="00CF2FB9">
        <w:trPr>
          <w:trHeight w:val="20"/>
        </w:trPr>
        <w:tc>
          <w:tcPr>
            <w:tcW w:w="2967" w:type="dxa"/>
          </w:tcPr>
          <w:p w14:paraId="24C96D93" w14:textId="77777777" w:rsidR="00AE18BC" w:rsidRPr="002F47F5" w:rsidRDefault="00AE18BC" w:rsidP="009175CE">
            <w:pPr>
              <w:pStyle w:val="TableParagraph"/>
              <w:ind w:left="0" w:right="0"/>
              <w:rPr>
                <w:rFonts w:ascii="Cambria" w:hAnsi="Cambria" w:cs="Calibri"/>
                <w:b/>
                <w:bCs/>
              </w:rPr>
            </w:pPr>
            <w:r w:rsidRPr="002F47F5">
              <w:rPr>
                <w:rFonts w:ascii="Cambria" w:hAnsi="Cambria" w:cs="Calibri"/>
                <w:b/>
                <w:bCs/>
                <w:spacing w:val="-2"/>
              </w:rPr>
              <w:t>EXP-</w:t>
            </w:r>
            <w:r w:rsidRPr="002F47F5">
              <w:rPr>
                <w:rFonts w:ascii="Cambria" w:hAnsi="Cambria" w:cs="Calibri"/>
                <w:b/>
                <w:bCs/>
                <w:spacing w:val="-10"/>
              </w:rPr>
              <w:t>4</w:t>
            </w:r>
          </w:p>
          <w:p w14:paraId="5E7D5992" w14:textId="77777777" w:rsidR="00AE18BC" w:rsidRPr="002F47F5" w:rsidRDefault="00AE18BC" w:rsidP="009175CE">
            <w:pPr>
              <w:pStyle w:val="TableParagraph"/>
              <w:ind w:left="0" w:right="0"/>
              <w:rPr>
                <w:rFonts w:ascii="Cambria" w:hAnsi="Cambria" w:cs="Calibri"/>
                <w:spacing w:val="-7"/>
              </w:rPr>
            </w:pPr>
            <w:r w:rsidRPr="002F47F5">
              <w:rPr>
                <w:rFonts w:ascii="Cambria" w:hAnsi="Cambria" w:cs="Calibri"/>
              </w:rPr>
              <w:t>1</w:t>
            </w:r>
            <w:r w:rsidRPr="002F47F5">
              <w:rPr>
                <w:rFonts w:ascii="Cambria" w:hAnsi="Cambria" w:cs="Calibri"/>
                <w:spacing w:val="-7"/>
              </w:rPr>
              <w:t xml:space="preserve"> </w:t>
            </w:r>
            <w:r w:rsidRPr="002F47F5">
              <w:rPr>
                <w:rFonts w:ascii="Cambria" w:hAnsi="Cambria" w:cs="Calibri"/>
              </w:rPr>
              <w:t>Prior</w:t>
            </w:r>
            <w:r w:rsidRPr="002F47F5">
              <w:rPr>
                <w:rFonts w:ascii="Cambria" w:hAnsi="Cambria" w:cs="Calibri"/>
                <w:spacing w:val="-7"/>
              </w:rPr>
              <w:t xml:space="preserve"> </w:t>
            </w:r>
            <w:r w:rsidRPr="002F47F5">
              <w:rPr>
                <w:rFonts w:ascii="Cambria" w:hAnsi="Cambria" w:cs="Calibri"/>
              </w:rPr>
              <w:t>ROS1</w:t>
            </w:r>
            <w:r w:rsidRPr="002F47F5">
              <w:rPr>
                <w:rFonts w:ascii="Cambria" w:hAnsi="Cambria" w:cs="Calibri"/>
                <w:spacing w:val="-7"/>
              </w:rPr>
              <w:t xml:space="preserve"> </w:t>
            </w:r>
            <w:r w:rsidRPr="002F47F5">
              <w:rPr>
                <w:rFonts w:ascii="Cambria" w:hAnsi="Cambria" w:cs="Calibri"/>
              </w:rPr>
              <w:t>TKI</w:t>
            </w:r>
          </w:p>
          <w:p w14:paraId="09E22696" w14:textId="77777777" w:rsidR="00AE18BC" w:rsidRPr="002F47F5" w:rsidRDefault="00AE18BC" w:rsidP="009175CE">
            <w:pPr>
              <w:pStyle w:val="TableParagraph"/>
              <w:ind w:left="0" w:right="0"/>
              <w:rPr>
                <w:rFonts w:ascii="Cambria" w:hAnsi="Cambria" w:cs="Calibri"/>
              </w:rPr>
            </w:pPr>
            <w:r w:rsidRPr="002F47F5">
              <w:rPr>
                <w:rFonts w:ascii="Cambria" w:hAnsi="Cambria" w:cs="Calibri"/>
              </w:rPr>
              <w:t>NO</w:t>
            </w:r>
            <w:r w:rsidRPr="002F47F5">
              <w:rPr>
                <w:rFonts w:ascii="Cambria" w:hAnsi="Cambria" w:cs="Calibri"/>
                <w:spacing w:val="-7"/>
              </w:rPr>
              <w:t xml:space="preserve"> </w:t>
            </w:r>
            <w:r w:rsidRPr="002F47F5">
              <w:rPr>
                <w:rFonts w:ascii="Cambria" w:hAnsi="Cambria" w:cs="Calibri"/>
              </w:rPr>
              <w:t xml:space="preserve">chemo or immunotherapy </w:t>
            </w:r>
          </w:p>
        </w:tc>
        <w:tc>
          <w:tcPr>
            <w:tcW w:w="5812" w:type="dxa"/>
          </w:tcPr>
          <w:p w14:paraId="43EEF539" w14:textId="77777777" w:rsidR="00AE18BC" w:rsidRPr="002F47F5" w:rsidRDefault="00AE18BC" w:rsidP="009175CE">
            <w:pPr>
              <w:pStyle w:val="TableParagraph"/>
              <w:ind w:left="0" w:right="0"/>
              <w:rPr>
                <w:rFonts w:ascii="Cambria" w:hAnsi="Cambria" w:cs="Calibri"/>
              </w:rPr>
            </w:pPr>
            <w:r w:rsidRPr="002F47F5">
              <w:rPr>
                <w:rFonts w:ascii="Cambria" w:hAnsi="Cambria" w:cs="Calibri"/>
              </w:rPr>
              <w:t>ORR</w:t>
            </w:r>
            <w:r w:rsidRPr="002F47F5">
              <w:rPr>
                <w:rFonts w:ascii="Cambria" w:hAnsi="Cambria" w:cs="Calibri"/>
                <w:spacing w:val="-6"/>
              </w:rPr>
              <w:t xml:space="preserve"> </w:t>
            </w:r>
            <w:r w:rsidRPr="002F47F5">
              <w:rPr>
                <w:rFonts w:ascii="Cambria" w:hAnsi="Cambria" w:cs="Calibri"/>
              </w:rPr>
              <w:t>(lower</w:t>
            </w:r>
            <w:r w:rsidRPr="002F47F5">
              <w:rPr>
                <w:rFonts w:ascii="Cambria" w:hAnsi="Cambria" w:cs="Calibri"/>
                <w:spacing w:val="-5"/>
              </w:rPr>
              <w:t xml:space="preserve"> </w:t>
            </w:r>
            <w:r w:rsidRPr="002F47F5">
              <w:rPr>
                <w:rFonts w:ascii="Cambria" w:hAnsi="Cambria" w:cs="Calibri"/>
              </w:rPr>
              <w:t>95%</w:t>
            </w:r>
            <w:r w:rsidRPr="002F47F5">
              <w:rPr>
                <w:rFonts w:ascii="Cambria" w:hAnsi="Cambria" w:cs="Calibri"/>
                <w:spacing w:val="-5"/>
              </w:rPr>
              <w:t xml:space="preserve"> </w:t>
            </w:r>
            <w:r w:rsidRPr="002F47F5">
              <w:rPr>
                <w:rFonts w:ascii="Cambria" w:hAnsi="Cambria" w:cs="Calibri"/>
              </w:rPr>
              <w:t>CI bound) &gt;</w:t>
            </w:r>
            <w:r w:rsidRPr="002F47F5">
              <w:rPr>
                <w:rFonts w:ascii="Cambria" w:hAnsi="Cambria" w:cs="Calibri"/>
                <w:spacing w:val="-5"/>
              </w:rPr>
              <w:t>35%</w:t>
            </w:r>
          </w:p>
          <w:p w14:paraId="41427668" w14:textId="77777777" w:rsidR="00AE18BC" w:rsidRPr="002F47F5" w:rsidRDefault="00AE18BC" w:rsidP="009175CE">
            <w:pPr>
              <w:pStyle w:val="TableParagraph"/>
              <w:ind w:left="0" w:right="0"/>
              <w:rPr>
                <w:rFonts w:ascii="Cambria" w:hAnsi="Cambria" w:cs="Calibri"/>
              </w:rPr>
            </w:pPr>
            <w:r w:rsidRPr="002F47F5">
              <w:rPr>
                <w:rFonts w:ascii="Cambria" w:hAnsi="Cambria" w:cs="Calibri"/>
              </w:rPr>
              <w:t xml:space="preserve">Based on superiority to first line chemotherapy in NSCLC. The ORR from platinum- based doublets or in combination with bevacizumab was in the range 25 – 35% (Abraxane® USPI, 2019; Alimta® USPI, 2019; </w:t>
            </w:r>
            <w:proofErr w:type="spellStart"/>
            <w:r w:rsidRPr="002F47F5">
              <w:rPr>
                <w:rFonts w:ascii="Cambria" w:hAnsi="Cambria" w:cs="Calibri"/>
              </w:rPr>
              <w:t>Gemzar</w:t>
            </w:r>
            <w:proofErr w:type="spellEnd"/>
            <w:r w:rsidRPr="002F47F5">
              <w:rPr>
                <w:rFonts w:ascii="Cambria" w:hAnsi="Cambria" w:cs="Calibri"/>
              </w:rPr>
              <w:t xml:space="preserve">® USPI, </w:t>
            </w:r>
            <w:proofErr w:type="gramStart"/>
            <w:r w:rsidRPr="002F47F5">
              <w:rPr>
                <w:rFonts w:ascii="Cambria" w:hAnsi="Cambria" w:cs="Calibri"/>
              </w:rPr>
              <w:t>2019;</w:t>
            </w:r>
            <w:proofErr w:type="gramEnd"/>
          </w:p>
          <w:p w14:paraId="2DC5406F" w14:textId="77777777" w:rsidR="00AE18BC" w:rsidRPr="002F47F5" w:rsidRDefault="00AE18BC" w:rsidP="009175CE">
            <w:pPr>
              <w:pStyle w:val="TableParagraph"/>
              <w:ind w:left="0" w:right="0"/>
              <w:rPr>
                <w:rFonts w:ascii="Cambria" w:hAnsi="Cambria" w:cs="Calibri"/>
              </w:rPr>
            </w:pPr>
            <w:r w:rsidRPr="002F47F5">
              <w:rPr>
                <w:rFonts w:ascii="Cambria" w:hAnsi="Cambria" w:cs="Calibri"/>
              </w:rPr>
              <w:t>Taxotere® USPI, 2019; Avastin USPI, 2009).</w:t>
            </w:r>
          </w:p>
        </w:tc>
      </w:tr>
    </w:tbl>
    <w:p w14:paraId="3D38D9CE" w14:textId="77777777" w:rsidR="00B243C9" w:rsidRPr="00B243C9" w:rsidRDefault="00B243C9" w:rsidP="00B243C9">
      <w:pPr>
        <w:spacing w:before="120"/>
      </w:pPr>
      <w:r w:rsidRPr="00B243C9">
        <w:t>Several protocol amendments were enacted, many relating to eligibility criteria and prior therapies. These included:</w:t>
      </w:r>
    </w:p>
    <w:p w14:paraId="49087C71" w14:textId="3C15CF04" w:rsidR="00B243C9" w:rsidRPr="00B243C9" w:rsidRDefault="00B243C9" w:rsidP="009C22D6">
      <w:pPr>
        <w:pStyle w:val="ListBullet"/>
      </w:pPr>
      <w:r w:rsidRPr="00B243C9">
        <w:t xml:space="preserve">In amendment 6 leading to Version 7.0 (13 </w:t>
      </w:r>
      <w:r w:rsidR="009C22D6">
        <w:t>November</w:t>
      </w:r>
      <w:r w:rsidRPr="00B243C9">
        <w:t xml:space="preserve"> 2019), enrolment was closed to patients with ALK+ tumours based on limited clinical evidence of efficacy. </w:t>
      </w:r>
    </w:p>
    <w:p w14:paraId="659AD543" w14:textId="505EB5F2" w:rsidR="00B243C9" w:rsidRPr="00B243C9" w:rsidRDefault="00B243C9" w:rsidP="009C22D6">
      <w:pPr>
        <w:pStyle w:val="ListBullet"/>
      </w:pPr>
      <w:r w:rsidRPr="00B243C9">
        <w:t xml:space="preserve">In amendment 9 leading to Version 10.0 (20 </w:t>
      </w:r>
      <w:r w:rsidR="009C22D6">
        <w:t>October</w:t>
      </w:r>
      <w:r w:rsidRPr="00B243C9">
        <w:t xml:space="preserve"> 2020), EXP-3 inclusion criteria were modified to remove requirement for previous treatment with one line of platinum-based chemo/immuno-therapy due to the limited activity of </w:t>
      </w:r>
      <w:proofErr w:type="spellStart"/>
      <w:r w:rsidRPr="00B243C9">
        <w:t>repotrectinib</w:t>
      </w:r>
      <w:proofErr w:type="spellEnd"/>
      <w:r w:rsidRPr="00B243C9">
        <w:t xml:space="preserve"> being observed in the 4th line setting (2 prior TKIs + 1 line chemotherapy)</w:t>
      </w:r>
    </w:p>
    <w:p w14:paraId="7FF45FDA" w14:textId="2F95A993" w:rsidR="00B243C9" w:rsidRPr="00B243C9" w:rsidRDefault="00B243C9" w:rsidP="009C22D6">
      <w:pPr>
        <w:pStyle w:val="ListBullet"/>
      </w:pPr>
      <w:r w:rsidRPr="00B243C9">
        <w:t xml:space="preserve">In amendment 11 leading to Version 2.0 (14 </w:t>
      </w:r>
      <w:r w:rsidR="009C22D6">
        <w:t>January</w:t>
      </w:r>
      <w:r w:rsidRPr="00B243C9">
        <w:t xml:space="preserve"> 2022), additional information was added: </w:t>
      </w:r>
      <w:r w:rsidRPr="00B243C9">
        <w:rPr>
          <w:i/>
          <w:iCs/>
        </w:rPr>
        <w:t>“Clarified the statistical analysis language for EXP-4 that, assuming a target ORR of 50% with a sample size of 60, the lower bound of the 95% CI would be greater than 35%, which would show superiority to first line chemotherapy in NSCLC.”</w:t>
      </w:r>
    </w:p>
    <w:p w14:paraId="5D0E1957" w14:textId="7DFBDA6E" w:rsidR="00B243C9" w:rsidRPr="00B243C9" w:rsidRDefault="00B243C9" w:rsidP="00B243C9">
      <w:r w:rsidRPr="00B243C9">
        <w:t>The FDA report, which reflects a dataset submitted to FDA on March 27, 2023, did not identify any major concerns with protocol amendments (pages 109-110), study integrity or interpretability, and records the history of their regulatory interactions.</w:t>
      </w:r>
      <w:r w:rsidR="00AA0073">
        <w:rPr>
          <w:rStyle w:val="FootnoteReference"/>
        </w:rPr>
        <w:footnoteReference w:id="67"/>
      </w:r>
      <w:r w:rsidR="00AA0073" w:rsidRPr="00B243C9">
        <w:t xml:space="preserve"> </w:t>
      </w:r>
    </w:p>
    <w:p w14:paraId="00EF1539" w14:textId="77777777" w:rsidR="00B243C9" w:rsidRPr="00B243C9" w:rsidRDefault="00B243C9" w:rsidP="00B243C9">
      <w:r w:rsidRPr="00B243C9">
        <w:lastRenderedPageBreak/>
        <w:t>Reported protocol deviations are also unlikely to have impacted interpretation of the study, and declarations of compliance with good clinical practice (GCP) were made.</w:t>
      </w:r>
    </w:p>
    <w:p w14:paraId="7F8E9E65" w14:textId="77777777" w:rsidR="00B243C9" w:rsidRPr="00B243C9" w:rsidRDefault="00B243C9" w:rsidP="008C1337">
      <w:pPr>
        <w:pStyle w:val="Heading5"/>
      </w:pPr>
      <w:r w:rsidRPr="00B243C9">
        <w:t>Regulatory efficacy populations</w:t>
      </w:r>
    </w:p>
    <w:p w14:paraId="1D5F7F4E" w14:textId="77777777" w:rsidR="00B243C9" w:rsidRPr="00B243C9" w:rsidRDefault="00B243C9" w:rsidP="008C1337">
      <w:pPr>
        <w:pStyle w:val="Heading6"/>
      </w:pPr>
      <w:r w:rsidRPr="00B243C9">
        <w:t>FDA</w:t>
      </w:r>
    </w:p>
    <w:p w14:paraId="73A39B7D" w14:textId="77777777" w:rsidR="00B243C9" w:rsidRPr="00B243C9" w:rsidRDefault="00B243C9" w:rsidP="00B243C9">
      <w:r w:rsidRPr="00B243C9">
        <w:t xml:space="preserve">The regulatory review that supported FDA’s approval of </w:t>
      </w:r>
      <w:proofErr w:type="spellStart"/>
      <w:r w:rsidRPr="00B243C9">
        <w:t>repotrectinib</w:t>
      </w:r>
      <w:proofErr w:type="spellEnd"/>
      <w:r w:rsidRPr="00B243C9">
        <w:t xml:space="preserve"> in the USA was based on a pooling approach agreed to by FDA in a Type C meeting on 19 Aug 2020:</w:t>
      </w:r>
      <w:r w:rsidRPr="00B243C9">
        <w:fldChar w:fldCharType="begin"/>
      </w:r>
      <w:r w:rsidRPr="00B243C9">
        <w:instrText xml:space="preserve"> NOTEREF _Ref196923695 \f \h </w:instrText>
      </w:r>
      <w:r w:rsidRPr="00B243C9">
        <w:fldChar w:fldCharType="separate"/>
      </w:r>
      <w:r w:rsidRPr="00B243C9">
        <w:rPr>
          <w:vertAlign w:val="superscript"/>
        </w:rPr>
        <w:t>6</w:t>
      </w:r>
      <w:r w:rsidRPr="00B243C9">
        <w:fldChar w:fldCharType="end"/>
      </w:r>
    </w:p>
    <w:p w14:paraId="6691078A" w14:textId="77777777" w:rsidR="00B243C9" w:rsidRPr="00B243C9" w:rsidRDefault="00B243C9" w:rsidP="00B243C9">
      <w:r w:rsidRPr="00B243C9">
        <w:t>Written Responses Only (Clinical) Written Responses: Agreement with FDA that efficacy data from the Phase 1 and Phase 2 portions of the TRIDENT-1 study can be pooled for the primary analysis of efficacy to support registration in the targeted patient populations with ROS1+ advanced NSCLC (both TKI-naïve and TKI-pretreated)</w:t>
      </w:r>
    </w:p>
    <w:p w14:paraId="64DB2028" w14:textId="77777777" w:rsidR="00B243C9" w:rsidRPr="00B243C9" w:rsidRDefault="00B243C9" w:rsidP="00B243C9">
      <w:r w:rsidRPr="00B243C9">
        <w:t xml:space="preserve">The statistical analysis plan (SAP) version that was applicable to the FDA application was “Integrated SAP version 3.0”, finalised 12 December 2022. Pooling criteria were as follows: </w:t>
      </w:r>
    </w:p>
    <w:p w14:paraId="456D955E" w14:textId="77777777" w:rsidR="00B243C9" w:rsidRPr="00B243C9" w:rsidRDefault="00B243C9" w:rsidP="00B243C9">
      <w:r w:rsidRPr="00B243C9">
        <w:t xml:space="preserve">ROS1-positive TKI-naïve NSCLC cohort (Pooled EXP-1): includes all ROS1-positive NSCLC subjects in the Phase 1 and Phase 2 portions of TRIDENT-1 study who meet the following criteria: </w:t>
      </w:r>
    </w:p>
    <w:p w14:paraId="18081423" w14:textId="77777777" w:rsidR="00B243C9" w:rsidRPr="00B243C9" w:rsidRDefault="00B243C9" w:rsidP="008C1337">
      <w:pPr>
        <w:pStyle w:val="ListBullet"/>
      </w:pPr>
      <w:r w:rsidRPr="00B243C9">
        <w:t xml:space="preserve">Confirmation by central laboratory test for ROS1 rearrangement per the requirement in each phase of TRIDENT-1 study protocol. </w:t>
      </w:r>
    </w:p>
    <w:p w14:paraId="08F94627" w14:textId="77777777" w:rsidR="00B243C9" w:rsidRPr="00B243C9" w:rsidRDefault="00B243C9" w:rsidP="008C1337">
      <w:pPr>
        <w:pStyle w:val="ListBullet"/>
      </w:pPr>
      <w:r w:rsidRPr="00B243C9">
        <w:t xml:space="preserve">No prior exposure to a ROS1 TKI. </w:t>
      </w:r>
    </w:p>
    <w:p w14:paraId="5E050BED" w14:textId="7DA974C0" w:rsidR="00B243C9" w:rsidRPr="00B243C9" w:rsidRDefault="00B243C9" w:rsidP="008C1337">
      <w:pPr>
        <w:pStyle w:val="ListBullet"/>
      </w:pPr>
      <w:r w:rsidRPr="00B243C9">
        <w:t xml:space="preserve">Started treatment at least 8 months prior to </w:t>
      </w:r>
      <w:r w:rsidR="00D51157">
        <w:t>DCO</w:t>
      </w:r>
      <w:r w:rsidRPr="00B243C9">
        <w:t xml:space="preserve"> date (6 months of follow-up for </w:t>
      </w:r>
      <w:proofErr w:type="spellStart"/>
      <w:r w:rsidRPr="00B243C9">
        <w:t>tumor</w:t>
      </w:r>
      <w:proofErr w:type="spellEnd"/>
      <w:r w:rsidRPr="00B243C9">
        <w:t xml:space="preserve"> assessment after first post-baseline scan).</w:t>
      </w:r>
    </w:p>
    <w:p w14:paraId="02A76110" w14:textId="77777777" w:rsidR="00B243C9" w:rsidRPr="00B243C9" w:rsidRDefault="00B243C9" w:rsidP="00B243C9">
      <w:r w:rsidRPr="00B243C9">
        <w:t xml:space="preserve">ROS1-positive TKI-pretreated NSCLC cohort (Pooled EXP-4): includes all locally advanced or metastatic ROS1-positive NSCLC subjects in the Phase 1 and Phase 2 portions of TRIDENT-1 study who meet the following criteria: </w:t>
      </w:r>
    </w:p>
    <w:p w14:paraId="6A434DBF" w14:textId="77777777" w:rsidR="00B243C9" w:rsidRPr="00B243C9" w:rsidRDefault="00B243C9" w:rsidP="007E45C1">
      <w:pPr>
        <w:pStyle w:val="ListBullet"/>
      </w:pPr>
      <w:r w:rsidRPr="00B243C9">
        <w:t xml:space="preserve">Confirmation by the central laboratory test for ROS1 rearrangement per the requirement in each phase of TRIDENT-1. </w:t>
      </w:r>
    </w:p>
    <w:p w14:paraId="330A754D" w14:textId="77777777" w:rsidR="00B243C9" w:rsidRPr="00B243C9" w:rsidRDefault="00B243C9" w:rsidP="007E45C1">
      <w:pPr>
        <w:pStyle w:val="ListBullet"/>
      </w:pPr>
      <w:r w:rsidRPr="00B243C9">
        <w:t xml:space="preserve">Disease progression or intolerant to 1 prior line of ROS1 TKI treatment with no prior chemotherapy. </w:t>
      </w:r>
    </w:p>
    <w:p w14:paraId="3342DE72" w14:textId="42CA896D" w:rsidR="00B243C9" w:rsidRPr="00B243C9" w:rsidRDefault="00B243C9" w:rsidP="007E45C1">
      <w:pPr>
        <w:pStyle w:val="ListBullet"/>
      </w:pPr>
      <w:r w:rsidRPr="00B243C9">
        <w:t xml:space="preserve">Started treatment at least 8 months prior to </w:t>
      </w:r>
      <w:r w:rsidR="00D51157">
        <w:t>DCO</w:t>
      </w:r>
      <w:r w:rsidRPr="00B243C9">
        <w:t xml:space="preserve"> date (6 months of follow-up for </w:t>
      </w:r>
      <w:proofErr w:type="spellStart"/>
      <w:r w:rsidRPr="00B243C9">
        <w:t>tumor</w:t>
      </w:r>
      <w:proofErr w:type="spellEnd"/>
      <w:r w:rsidRPr="00B243C9">
        <w:t xml:space="preserve"> assessment after first post-baseline scan). </w:t>
      </w:r>
    </w:p>
    <w:p w14:paraId="275C7C3B" w14:textId="77777777" w:rsidR="00B243C9" w:rsidRPr="00B243C9" w:rsidRDefault="00B243C9" w:rsidP="00B243C9">
      <w:r w:rsidRPr="00B243C9">
        <w:t>The requirement for measurable disease at baseline was removed in this version of the SAP, and receipt of the recommended phase 2 dose was also not a requirement for inclusion in the pooled efficacy populations.</w:t>
      </w:r>
    </w:p>
    <w:p w14:paraId="22169B7B" w14:textId="77777777" w:rsidR="00B243C9" w:rsidRPr="00B243C9" w:rsidRDefault="00B243C9" w:rsidP="00B243C9">
      <w:r w:rsidRPr="00B243C9">
        <w:t>FDA also had the following comments regarding other efficacy data:</w:t>
      </w:r>
    </w:p>
    <w:p w14:paraId="5857926D" w14:textId="31AA90FD" w:rsidR="00B243C9" w:rsidRPr="00B243C9" w:rsidRDefault="007E45C1" w:rsidP="007E45C1">
      <w:pPr>
        <w:pStyle w:val="Indication"/>
      </w:pPr>
      <w:r>
        <w:t>‘</w:t>
      </w:r>
      <w:r w:rsidR="00B243C9" w:rsidRPr="00B243C9">
        <w:t xml:space="preserve">FDA did not independently verify results from other cohorts (e.g., EXP-2 and EXP-3) from TRIDENT-1. FDA did not independently verify the results for time-to-event endpoints such as PFS and OS; time-to-event endpoints are not interpretable in non-comparative trials and are considered exploratory only. In addition, CBR is not considered to be a clinically relevant endpoint for efficacy evaluation. In response to an Information Request dated September 22, 2023, the Applicant clarified that the analysis of the secondary endpoints IC-ORR and IC-DOR in patients with measurable brain metastasis at baseline per BICR was performed in Phase 2 patients only, as per the BICR charter for </w:t>
      </w:r>
      <w:proofErr w:type="spellStart"/>
      <w:r w:rsidR="00B243C9" w:rsidRPr="00B243C9">
        <w:t>mRECIST</w:t>
      </w:r>
      <w:proofErr w:type="spellEnd"/>
      <w:r w:rsidR="00B243C9" w:rsidRPr="00B243C9">
        <w:t>. In other words, the analysis was based on 63 TKI-naïve patients in EXP-1 and 53 TKI-pretreated patients in EXP-4.</w:t>
      </w:r>
      <w:r>
        <w:t>’</w:t>
      </w:r>
    </w:p>
    <w:p w14:paraId="32994A26" w14:textId="77777777" w:rsidR="00B243C9" w:rsidRPr="00B243C9" w:rsidRDefault="00B243C9" w:rsidP="007E45C1">
      <w:pPr>
        <w:pStyle w:val="Heading6"/>
      </w:pPr>
      <w:r w:rsidRPr="00B243C9">
        <w:lastRenderedPageBreak/>
        <w:t>EMA (and TGA)</w:t>
      </w:r>
    </w:p>
    <w:p w14:paraId="3DBE5285" w14:textId="77777777" w:rsidR="00B243C9" w:rsidRPr="00B243C9" w:rsidRDefault="00B243C9" w:rsidP="00B243C9">
      <w:r w:rsidRPr="00B243C9">
        <w:t xml:space="preserve">EMA received the same initial dataset as TGA, but the EPAR reflects an updated dataset (‘pooled expanded’) with DCO of 15 Oct 2023. The assessments of efficacy summarised in the tables </w:t>
      </w:r>
      <w:r w:rsidRPr="00B243C9">
        <w:fldChar w:fldCharType="begin"/>
      </w:r>
      <w:r w:rsidRPr="00B243C9">
        <w:instrText xml:space="preserve"> REF _Ref197415827 \p \h </w:instrText>
      </w:r>
      <w:r w:rsidRPr="00B243C9">
        <w:fldChar w:fldCharType="separate"/>
      </w:r>
      <w:r w:rsidRPr="00B243C9">
        <w:t>below</w:t>
      </w:r>
      <w:r w:rsidRPr="00B243C9">
        <w:fldChar w:fldCharType="end"/>
      </w:r>
      <w:r w:rsidRPr="00B243C9">
        <w:t>, relate to the “ROS1 expanded pooled population” described by EMA in the EPAR.</w:t>
      </w:r>
      <w:r w:rsidRPr="00B243C9">
        <w:fldChar w:fldCharType="begin"/>
      </w:r>
      <w:r w:rsidRPr="00B243C9">
        <w:instrText xml:space="preserve"> NOTEREF _Ref196738339 \f \h </w:instrText>
      </w:r>
      <w:r w:rsidRPr="00B243C9">
        <w:fldChar w:fldCharType="separate"/>
      </w:r>
      <w:r w:rsidRPr="00B243C9">
        <w:rPr>
          <w:vertAlign w:val="superscript"/>
        </w:rPr>
        <w:t>11</w:t>
      </w:r>
      <w:r w:rsidRPr="00B243C9">
        <w:fldChar w:fldCharType="end"/>
      </w:r>
      <w:r w:rsidRPr="00B243C9">
        <w:t xml:space="preserve"> It is ‘expanded’ because enrolment continued and the cohorts are larger than at the two earlier DCOs/IAs (June 2022 and Dec 2022, respectively). It remains ‘pooled’ because it includes phase 1 and 2 patients in the same manner as the FDA dataset did. </w:t>
      </w:r>
    </w:p>
    <w:p w14:paraId="4970936E" w14:textId="5096307F" w:rsidR="00B243C9" w:rsidRPr="00B243C9" w:rsidRDefault="00B243C9" w:rsidP="00B243C9">
      <w:r w:rsidRPr="00B243C9">
        <w:t xml:space="preserve">The “ROS1 expanded pooled population” consisted of 15 patients from phase 1 and 308 patients from phase 2. Nineteen phase 2 patients and 25 phase 1 patients were excluded, mostly due to not meeting the prior lines of therapy requirements for the four ROS1 cohorts; a further 8 patients in the midazolam </w:t>
      </w:r>
      <w:proofErr w:type="spellStart"/>
      <w:r w:rsidRPr="00B243C9">
        <w:t>substudy</w:t>
      </w:r>
      <w:proofErr w:type="spellEnd"/>
      <w:r w:rsidRPr="00B243C9">
        <w:t xml:space="preserve"> were also excluded. Baseline characteristics (demographics and disease characteristics) of the efficacy population are described in detail in Table 15 of the EPAR.</w:t>
      </w:r>
      <w:r w:rsidR="003E2D6F">
        <w:rPr>
          <w:rStyle w:val="FootnoteReference"/>
        </w:rPr>
        <w:footnoteReference w:id="68"/>
      </w:r>
      <w:r w:rsidR="00D5431C" w:rsidRPr="00B243C9">
        <w:t xml:space="preserve"> </w:t>
      </w:r>
    </w:p>
    <w:p w14:paraId="79B11CBB" w14:textId="77777777" w:rsidR="001956DE" w:rsidRDefault="00B243C9" w:rsidP="00B243C9">
      <w:r w:rsidRPr="00B243C9">
        <w:t>Briefly, amongst 323 patients, the median age was 56 years (range 27, 93), 63% were female, 52% were Asian, 64% had never smoked, 96% had adenocarcinoma histology, 34% had brain metastases at baseline, 77% had de novo metastatic disease, and 76% did not have a known TKI-resistant ROS1 mutation. Of 45 patients with a resistant ROS1 mutation at study entry, 35 were solvent front, 2 were gatekeeper, and 8 were ‘other’.</w:t>
      </w:r>
    </w:p>
    <w:p w14:paraId="69B6DBD7" w14:textId="77777777" w:rsidR="001956DE" w:rsidRDefault="001956DE" w:rsidP="001956DE">
      <w:pPr>
        <w:pStyle w:val="Heading5"/>
      </w:pPr>
      <w:r>
        <w:t>Main results of TRIDENT-1</w:t>
      </w:r>
    </w:p>
    <w:p w14:paraId="4698A9FA" w14:textId="74570E2D" w:rsidR="00B243C9" w:rsidRDefault="00B243C9" w:rsidP="0030501B">
      <w:pPr>
        <w:pStyle w:val="TableTitle"/>
      </w:pPr>
      <w:bookmarkStart w:id="51" w:name="_Ref197352783"/>
      <w:bookmarkStart w:id="52" w:name="_Ref197439294"/>
      <w:bookmarkStart w:id="53" w:name="_Ref197415827"/>
      <w:r w:rsidRPr="00B243C9">
        <w:t>Table</w:t>
      </w:r>
      <w:bookmarkEnd w:id="51"/>
      <w:bookmarkEnd w:id="52"/>
      <w:r w:rsidR="00CD7106">
        <w:t xml:space="preserve"> 8</w:t>
      </w:r>
      <w:r w:rsidRPr="00B243C9">
        <w:t xml:space="preserve">. Overall summary of efficacy in TRIDENT-1 for ROS 1+ NSCLC - expanded pooled analysis set (DCO 15 </w:t>
      </w:r>
      <w:r w:rsidR="00BC0A0B">
        <w:t>October</w:t>
      </w:r>
      <w:r w:rsidRPr="00B243C9">
        <w:t xml:space="preserve"> 2023),</w:t>
      </w:r>
      <w:bookmarkEnd w:id="53"/>
      <w:r w:rsidR="0008760E">
        <w:t xml:space="preserve"> </w:t>
      </w:r>
      <w:r w:rsidR="0008760E" w:rsidRPr="0008760E">
        <w:t>per the EPAR</w:t>
      </w:r>
      <w:r w:rsidR="0008760E">
        <w:rPr>
          <w:rStyle w:val="FootnoteReference"/>
        </w:rPr>
        <w:footnoteReference w:id="69"/>
      </w:r>
    </w:p>
    <w:tbl>
      <w:tblPr>
        <w:tblStyle w:val="TableTGAblue2023"/>
        <w:tblW w:w="0" w:type="auto"/>
        <w:tblLayout w:type="fixed"/>
        <w:tblLook w:val="01E0" w:firstRow="1" w:lastRow="1" w:firstColumn="1" w:lastColumn="1" w:noHBand="0" w:noVBand="0"/>
      </w:tblPr>
      <w:tblGrid>
        <w:gridCol w:w="2400"/>
        <w:gridCol w:w="1276"/>
        <w:gridCol w:w="1277"/>
        <w:gridCol w:w="1277"/>
        <w:gridCol w:w="1273"/>
        <w:gridCol w:w="1285"/>
      </w:tblGrid>
      <w:tr w:rsidR="00440497" w:rsidRPr="00AF68CB" w14:paraId="02B1514A" w14:textId="77777777" w:rsidTr="00B6702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tcPr>
          <w:p w14:paraId="4681833A" w14:textId="77777777" w:rsidR="00AF68CB" w:rsidRPr="00AF68CB" w:rsidRDefault="00AF68CB" w:rsidP="00B67020"/>
        </w:tc>
        <w:tc>
          <w:tcPr>
            <w:tcW w:w="1276" w:type="dxa"/>
          </w:tcPr>
          <w:p w14:paraId="7194292D" w14:textId="77777777" w:rsidR="00AF68CB" w:rsidRPr="00AF68CB" w:rsidRDefault="00AF68CB" w:rsidP="00B67020">
            <w:pPr>
              <w:cnfStyle w:val="100000000000" w:firstRow="1" w:lastRow="0" w:firstColumn="0" w:lastColumn="0" w:oddVBand="0" w:evenVBand="0" w:oddHBand="0" w:evenHBand="0" w:firstRowFirstColumn="0" w:firstRowLastColumn="0" w:lastRowFirstColumn="0" w:lastRowLastColumn="0"/>
              <w:rPr>
                <w:b w:val="0"/>
              </w:rPr>
            </w:pPr>
            <w:r w:rsidRPr="00AF68CB">
              <w:t>TKI-</w:t>
            </w:r>
            <w:r w:rsidRPr="00AF68CB">
              <w:rPr>
                <w:spacing w:val="-2"/>
              </w:rPr>
              <w:t>naïve</w:t>
            </w:r>
            <w:r w:rsidRPr="00AF68CB">
              <w:rPr>
                <w:b w:val="0"/>
              </w:rPr>
              <w:t xml:space="preserve"> </w:t>
            </w:r>
          </w:p>
        </w:tc>
        <w:tc>
          <w:tcPr>
            <w:tcW w:w="5112" w:type="dxa"/>
            <w:gridSpan w:val="4"/>
          </w:tcPr>
          <w:p w14:paraId="5BFC8CC5" w14:textId="77777777" w:rsidR="00AF68CB" w:rsidRPr="00AF68CB" w:rsidRDefault="00AF68CB" w:rsidP="00B67020">
            <w:pPr>
              <w:cnfStyle w:val="100000000000" w:firstRow="1" w:lastRow="0" w:firstColumn="0" w:lastColumn="0" w:oddVBand="0" w:evenVBand="0" w:oddHBand="0" w:evenHBand="0" w:firstRowFirstColumn="0" w:firstRowLastColumn="0" w:lastRowFirstColumn="0" w:lastRowLastColumn="0"/>
              <w:rPr>
                <w:b w:val="0"/>
                <w:szCs w:val="22"/>
              </w:rPr>
            </w:pPr>
            <w:r w:rsidRPr="00AF68CB">
              <w:rPr>
                <w:szCs w:val="22"/>
              </w:rPr>
              <w:t xml:space="preserve">TKI-pretreated </w:t>
            </w:r>
          </w:p>
        </w:tc>
      </w:tr>
      <w:tr w:rsidR="00AF68CB" w:rsidRPr="00AF68CB" w14:paraId="22ACB33D"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vMerge w:val="restart"/>
          </w:tcPr>
          <w:p w14:paraId="678830B0" w14:textId="77777777" w:rsidR="00AF68CB" w:rsidRPr="00AF68CB" w:rsidRDefault="00AF68CB" w:rsidP="00B67020"/>
        </w:tc>
        <w:tc>
          <w:tcPr>
            <w:tcW w:w="1276" w:type="dxa"/>
          </w:tcPr>
          <w:p w14:paraId="6EC0C19B"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p>
          <w:p w14:paraId="73D036D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EXP-</w:t>
            </w:r>
            <w:r w:rsidRPr="00AF68CB">
              <w:rPr>
                <w:spacing w:val="-10"/>
              </w:rPr>
              <w:t>1</w:t>
            </w:r>
          </w:p>
        </w:tc>
        <w:tc>
          <w:tcPr>
            <w:tcW w:w="1277" w:type="dxa"/>
          </w:tcPr>
          <w:p w14:paraId="15D4C6BA"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p>
          <w:p w14:paraId="1ED88159"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EXP-</w:t>
            </w:r>
            <w:r w:rsidRPr="00AF68CB">
              <w:rPr>
                <w:spacing w:val="-10"/>
              </w:rPr>
              <w:t>2</w:t>
            </w:r>
          </w:p>
        </w:tc>
        <w:tc>
          <w:tcPr>
            <w:tcW w:w="1277" w:type="dxa"/>
          </w:tcPr>
          <w:p w14:paraId="72E6FA83"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p>
          <w:p w14:paraId="222562DC"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EXP-</w:t>
            </w:r>
            <w:r w:rsidRPr="00AF68CB">
              <w:rPr>
                <w:spacing w:val="-10"/>
              </w:rPr>
              <w:t>3</w:t>
            </w:r>
          </w:p>
        </w:tc>
        <w:tc>
          <w:tcPr>
            <w:tcW w:w="1273" w:type="dxa"/>
          </w:tcPr>
          <w:p w14:paraId="0F4E61B9"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p>
          <w:p w14:paraId="4D07BAD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EXP-</w:t>
            </w:r>
            <w:r w:rsidRPr="00AF68CB">
              <w:rPr>
                <w:spacing w:val="-10"/>
              </w:rPr>
              <w:t>4</w:t>
            </w:r>
          </w:p>
        </w:tc>
        <w:tc>
          <w:tcPr>
            <w:tcW w:w="1285" w:type="dxa"/>
          </w:tcPr>
          <w:p w14:paraId="3C97B2A2"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spacing w:val="-2"/>
                <w:w w:val="105"/>
              </w:rPr>
              <w:t>Pre- treated (pooled)</w:t>
            </w:r>
          </w:p>
        </w:tc>
      </w:tr>
      <w:tr w:rsidR="00AF68CB" w:rsidRPr="00AF68CB" w14:paraId="734B5032"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vMerge/>
          </w:tcPr>
          <w:p w14:paraId="56650273" w14:textId="77777777" w:rsidR="00AF68CB" w:rsidRPr="00AF68CB" w:rsidRDefault="00AF68CB" w:rsidP="00B67020">
            <w:pPr>
              <w:rPr>
                <w:szCs w:val="22"/>
              </w:rPr>
            </w:pPr>
          </w:p>
        </w:tc>
        <w:tc>
          <w:tcPr>
            <w:tcW w:w="1276" w:type="dxa"/>
          </w:tcPr>
          <w:p w14:paraId="7C1BE711"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(N</w:t>
            </w:r>
            <w:r w:rsidRPr="00AF68CB">
              <w:rPr>
                <w:spacing w:val="-3"/>
                <w:w w:val="105"/>
              </w:rPr>
              <w:t xml:space="preserve"> </w:t>
            </w:r>
            <w:r w:rsidRPr="00AF68CB">
              <w:rPr>
                <w:w w:val="105"/>
              </w:rPr>
              <w:t>=</w:t>
            </w:r>
            <w:r w:rsidRPr="00AF68CB">
              <w:rPr>
                <w:spacing w:val="-4"/>
                <w:w w:val="105"/>
              </w:rPr>
              <w:t xml:space="preserve"> 121)</w:t>
            </w:r>
          </w:p>
        </w:tc>
        <w:tc>
          <w:tcPr>
            <w:tcW w:w="1277" w:type="dxa"/>
          </w:tcPr>
          <w:p w14:paraId="557C699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(N</w:t>
            </w:r>
            <w:r w:rsidRPr="00AF68CB">
              <w:rPr>
                <w:spacing w:val="-3"/>
                <w:w w:val="105"/>
              </w:rPr>
              <w:t xml:space="preserve"> </w:t>
            </w:r>
            <w:r w:rsidRPr="00AF68CB">
              <w:rPr>
                <w:w w:val="105"/>
              </w:rPr>
              <w:t>=</w:t>
            </w:r>
            <w:r w:rsidRPr="00AF68CB">
              <w:rPr>
                <w:spacing w:val="-4"/>
                <w:w w:val="105"/>
              </w:rPr>
              <w:t xml:space="preserve"> </w:t>
            </w:r>
            <w:r w:rsidRPr="00AF68CB">
              <w:rPr>
                <w:spacing w:val="-5"/>
                <w:w w:val="105"/>
              </w:rPr>
              <w:t>53)</w:t>
            </w:r>
          </w:p>
        </w:tc>
        <w:tc>
          <w:tcPr>
            <w:tcW w:w="1277" w:type="dxa"/>
          </w:tcPr>
          <w:p w14:paraId="20EBADC9"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(N</w:t>
            </w:r>
            <w:r w:rsidRPr="00AF68CB">
              <w:rPr>
                <w:spacing w:val="-3"/>
                <w:w w:val="105"/>
              </w:rPr>
              <w:t xml:space="preserve"> </w:t>
            </w:r>
            <w:r w:rsidRPr="00AF68CB">
              <w:rPr>
                <w:w w:val="105"/>
              </w:rPr>
              <w:t>=</w:t>
            </w:r>
            <w:r w:rsidRPr="00AF68CB">
              <w:rPr>
                <w:spacing w:val="-4"/>
                <w:w w:val="105"/>
              </w:rPr>
              <w:t xml:space="preserve"> </w:t>
            </w:r>
            <w:r w:rsidRPr="00AF68CB">
              <w:rPr>
                <w:spacing w:val="-5"/>
                <w:w w:val="105"/>
              </w:rPr>
              <w:t>42)</w:t>
            </w:r>
          </w:p>
        </w:tc>
        <w:tc>
          <w:tcPr>
            <w:tcW w:w="1273" w:type="dxa"/>
          </w:tcPr>
          <w:p w14:paraId="0C76A90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(N</w:t>
            </w:r>
            <w:r w:rsidRPr="00AF68CB">
              <w:rPr>
                <w:spacing w:val="-3"/>
                <w:w w:val="105"/>
              </w:rPr>
              <w:t xml:space="preserve"> </w:t>
            </w:r>
            <w:r w:rsidRPr="00AF68CB">
              <w:rPr>
                <w:w w:val="105"/>
              </w:rPr>
              <w:t>=</w:t>
            </w:r>
            <w:r w:rsidRPr="00AF68CB">
              <w:rPr>
                <w:spacing w:val="-4"/>
                <w:w w:val="105"/>
              </w:rPr>
              <w:t xml:space="preserve"> 107)</w:t>
            </w:r>
          </w:p>
        </w:tc>
        <w:tc>
          <w:tcPr>
            <w:tcW w:w="1285" w:type="dxa"/>
          </w:tcPr>
          <w:p w14:paraId="3F3F1D14"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(N</w:t>
            </w:r>
            <w:r w:rsidRPr="00AF68CB">
              <w:rPr>
                <w:spacing w:val="-3"/>
                <w:w w:val="105"/>
              </w:rPr>
              <w:t xml:space="preserve"> </w:t>
            </w:r>
            <w:r w:rsidRPr="00AF68CB">
              <w:rPr>
                <w:w w:val="105"/>
              </w:rPr>
              <w:t>=</w:t>
            </w:r>
            <w:r w:rsidRPr="00AF68CB">
              <w:rPr>
                <w:spacing w:val="-4"/>
                <w:w w:val="105"/>
              </w:rPr>
              <w:t xml:space="preserve"> 202)</w:t>
            </w:r>
          </w:p>
        </w:tc>
      </w:tr>
      <w:tr w:rsidR="00AF68CB" w:rsidRPr="00AF68CB" w14:paraId="6B5F7590"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2B507664" w14:textId="77777777" w:rsidR="00AF68CB" w:rsidRPr="00AF68CB" w:rsidRDefault="00AF68CB" w:rsidP="00B67020">
            <w:r w:rsidRPr="00AF68CB">
              <w:t>Objective response rate (ORR)</w:t>
            </w:r>
            <w:r w:rsidRPr="00AF68CB">
              <w:rPr>
                <w:vertAlign w:val="superscript"/>
              </w:rPr>
              <w:t>1</w:t>
            </w:r>
          </w:p>
        </w:tc>
        <w:tc>
          <w:tcPr>
            <w:tcW w:w="1276" w:type="dxa"/>
          </w:tcPr>
          <w:p w14:paraId="48DAA74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p>
        </w:tc>
        <w:tc>
          <w:tcPr>
            <w:tcW w:w="3827" w:type="dxa"/>
            <w:gridSpan w:val="3"/>
          </w:tcPr>
          <w:p w14:paraId="07503D8A"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p>
        </w:tc>
        <w:tc>
          <w:tcPr>
            <w:tcW w:w="1285" w:type="dxa"/>
          </w:tcPr>
          <w:p w14:paraId="2C559C71"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p>
        </w:tc>
      </w:tr>
      <w:tr w:rsidR="00AF68CB" w:rsidRPr="00AF68CB" w14:paraId="7FCA7752"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482DFF56" w14:textId="77777777" w:rsidR="00AF68CB" w:rsidRPr="00AF68CB" w:rsidRDefault="00AF68CB" w:rsidP="00B67020">
            <w:r w:rsidRPr="00AF68CB">
              <w:rPr>
                <w:spacing w:val="-4"/>
                <w:w w:val="105"/>
              </w:rPr>
              <w:t xml:space="preserve">ORR </w:t>
            </w:r>
            <w:r w:rsidRPr="00AF68CB">
              <w:rPr>
                <w:spacing w:val="-5"/>
                <w:w w:val="105"/>
              </w:rPr>
              <w:t>(95% CI)</w:t>
            </w:r>
          </w:p>
        </w:tc>
        <w:tc>
          <w:tcPr>
            <w:tcW w:w="1276" w:type="dxa"/>
          </w:tcPr>
          <w:p w14:paraId="27A960FB"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77 (68, 84)</w:t>
            </w:r>
          </w:p>
        </w:tc>
        <w:tc>
          <w:tcPr>
            <w:tcW w:w="1277" w:type="dxa"/>
          </w:tcPr>
          <w:p w14:paraId="27FA55C0"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38 (25, 52)</w:t>
            </w:r>
          </w:p>
        </w:tc>
        <w:tc>
          <w:tcPr>
            <w:tcW w:w="1277" w:type="dxa"/>
          </w:tcPr>
          <w:p w14:paraId="49B8750D"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31 (18, 47)</w:t>
            </w:r>
          </w:p>
        </w:tc>
        <w:tc>
          <w:tcPr>
            <w:tcW w:w="1273" w:type="dxa"/>
          </w:tcPr>
          <w:p w14:paraId="446F4672"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49 (39, 59)</w:t>
            </w:r>
          </w:p>
        </w:tc>
        <w:tc>
          <w:tcPr>
            <w:tcW w:w="1285" w:type="dxa"/>
          </w:tcPr>
          <w:p w14:paraId="7BEE4B44"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42 (35, 49)</w:t>
            </w:r>
          </w:p>
        </w:tc>
      </w:tr>
      <w:tr w:rsidR="00AF68CB" w:rsidRPr="00AF68CB" w14:paraId="2FB3960A"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15507C4D" w14:textId="77777777" w:rsidR="00AF68CB" w:rsidRPr="00AF68CB" w:rsidRDefault="00AF68CB" w:rsidP="00B67020">
            <w:pPr>
              <w:rPr>
                <w:i/>
                <w:iCs/>
              </w:rPr>
            </w:pPr>
            <w:r w:rsidRPr="00AF68CB">
              <w:rPr>
                <w:i/>
                <w:iCs/>
                <w:spacing w:val="-5"/>
                <w:w w:val="105"/>
              </w:rPr>
              <w:t>CR</w:t>
            </w:r>
          </w:p>
        </w:tc>
        <w:tc>
          <w:tcPr>
            <w:tcW w:w="1276" w:type="dxa"/>
          </w:tcPr>
          <w:p w14:paraId="4BBD6506"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15</w:t>
            </w:r>
            <w:r w:rsidRPr="00AF68CB">
              <w:rPr>
                <w:i/>
                <w:iCs/>
                <w:spacing w:val="-6"/>
                <w:w w:val="105"/>
              </w:rPr>
              <w:t xml:space="preserve"> </w:t>
            </w:r>
            <w:r w:rsidRPr="00AF68CB">
              <w:rPr>
                <w:i/>
                <w:iCs/>
                <w:spacing w:val="-2"/>
                <w:w w:val="105"/>
              </w:rPr>
              <w:t>(12.4)</w:t>
            </w:r>
          </w:p>
        </w:tc>
        <w:tc>
          <w:tcPr>
            <w:tcW w:w="1277" w:type="dxa"/>
          </w:tcPr>
          <w:p w14:paraId="3BD962DC"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2</w:t>
            </w:r>
            <w:r w:rsidRPr="00AF68CB">
              <w:rPr>
                <w:i/>
                <w:iCs/>
                <w:spacing w:val="-4"/>
                <w:w w:val="105"/>
              </w:rPr>
              <w:t xml:space="preserve"> (3.8)</w:t>
            </w:r>
          </w:p>
        </w:tc>
        <w:tc>
          <w:tcPr>
            <w:tcW w:w="1277" w:type="dxa"/>
          </w:tcPr>
          <w:p w14:paraId="1DB256EF"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1</w:t>
            </w:r>
            <w:r w:rsidRPr="00AF68CB">
              <w:rPr>
                <w:i/>
                <w:iCs/>
                <w:spacing w:val="-4"/>
                <w:w w:val="105"/>
              </w:rPr>
              <w:t xml:space="preserve"> (2.4)</w:t>
            </w:r>
          </w:p>
        </w:tc>
        <w:tc>
          <w:tcPr>
            <w:tcW w:w="1273" w:type="dxa"/>
          </w:tcPr>
          <w:p w14:paraId="5DBDCD76"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8</w:t>
            </w:r>
            <w:r w:rsidRPr="00AF68CB">
              <w:rPr>
                <w:i/>
                <w:iCs/>
                <w:spacing w:val="-4"/>
                <w:w w:val="105"/>
              </w:rPr>
              <w:t xml:space="preserve"> (7.5)</w:t>
            </w:r>
          </w:p>
        </w:tc>
        <w:tc>
          <w:tcPr>
            <w:tcW w:w="1285" w:type="dxa"/>
          </w:tcPr>
          <w:p w14:paraId="55802260"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11</w:t>
            </w:r>
            <w:r w:rsidRPr="00AF68CB">
              <w:rPr>
                <w:i/>
                <w:iCs/>
                <w:spacing w:val="-6"/>
                <w:w w:val="105"/>
              </w:rPr>
              <w:t xml:space="preserve"> </w:t>
            </w:r>
            <w:r w:rsidRPr="00AF68CB">
              <w:rPr>
                <w:i/>
                <w:iCs/>
                <w:spacing w:val="-4"/>
                <w:w w:val="105"/>
              </w:rPr>
              <w:t>(5.4)</w:t>
            </w:r>
          </w:p>
        </w:tc>
      </w:tr>
      <w:tr w:rsidR="00AF68CB" w:rsidRPr="00AF68CB" w14:paraId="3623CEFB"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178FDD52" w14:textId="77777777" w:rsidR="00AF68CB" w:rsidRPr="00AF68CB" w:rsidRDefault="00AF68CB" w:rsidP="00B67020">
            <w:pPr>
              <w:rPr>
                <w:i/>
                <w:iCs/>
              </w:rPr>
            </w:pPr>
            <w:r w:rsidRPr="00AF68CB">
              <w:rPr>
                <w:i/>
                <w:iCs/>
                <w:spacing w:val="-5"/>
                <w:w w:val="105"/>
              </w:rPr>
              <w:t>PR</w:t>
            </w:r>
          </w:p>
        </w:tc>
        <w:tc>
          <w:tcPr>
            <w:tcW w:w="1276" w:type="dxa"/>
          </w:tcPr>
          <w:p w14:paraId="052A448C"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78</w:t>
            </w:r>
            <w:r w:rsidRPr="00AF68CB">
              <w:rPr>
                <w:i/>
                <w:iCs/>
                <w:spacing w:val="-6"/>
                <w:w w:val="105"/>
              </w:rPr>
              <w:t xml:space="preserve"> </w:t>
            </w:r>
            <w:r w:rsidRPr="00AF68CB">
              <w:rPr>
                <w:i/>
                <w:iCs/>
                <w:spacing w:val="-2"/>
                <w:w w:val="105"/>
              </w:rPr>
              <w:t>(64.5)</w:t>
            </w:r>
          </w:p>
        </w:tc>
        <w:tc>
          <w:tcPr>
            <w:tcW w:w="1277" w:type="dxa"/>
          </w:tcPr>
          <w:p w14:paraId="4194535A"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18</w:t>
            </w:r>
            <w:r w:rsidRPr="00AF68CB">
              <w:rPr>
                <w:i/>
                <w:iCs/>
                <w:spacing w:val="-6"/>
                <w:w w:val="105"/>
              </w:rPr>
              <w:t xml:space="preserve"> </w:t>
            </w:r>
            <w:r w:rsidRPr="00AF68CB">
              <w:rPr>
                <w:i/>
                <w:iCs/>
                <w:spacing w:val="-2"/>
                <w:w w:val="105"/>
              </w:rPr>
              <w:t>(34.0)</w:t>
            </w:r>
          </w:p>
        </w:tc>
        <w:tc>
          <w:tcPr>
            <w:tcW w:w="1277" w:type="dxa"/>
          </w:tcPr>
          <w:p w14:paraId="724E68C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12</w:t>
            </w:r>
            <w:r w:rsidRPr="00AF68CB">
              <w:rPr>
                <w:i/>
                <w:iCs/>
                <w:spacing w:val="-6"/>
                <w:w w:val="105"/>
              </w:rPr>
              <w:t xml:space="preserve"> </w:t>
            </w:r>
            <w:r w:rsidRPr="00AF68CB">
              <w:rPr>
                <w:i/>
                <w:iCs/>
                <w:spacing w:val="-2"/>
                <w:w w:val="105"/>
              </w:rPr>
              <w:t>(28.6)</w:t>
            </w:r>
          </w:p>
        </w:tc>
        <w:tc>
          <w:tcPr>
            <w:tcW w:w="1273" w:type="dxa"/>
          </w:tcPr>
          <w:p w14:paraId="45168644"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44</w:t>
            </w:r>
            <w:r w:rsidRPr="00AF68CB">
              <w:rPr>
                <w:i/>
                <w:iCs/>
                <w:spacing w:val="-6"/>
                <w:w w:val="105"/>
              </w:rPr>
              <w:t xml:space="preserve"> </w:t>
            </w:r>
            <w:r w:rsidRPr="00AF68CB">
              <w:rPr>
                <w:i/>
                <w:iCs/>
                <w:spacing w:val="-2"/>
                <w:w w:val="105"/>
              </w:rPr>
              <w:t>(41.1)</w:t>
            </w:r>
          </w:p>
        </w:tc>
        <w:tc>
          <w:tcPr>
            <w:tcW w:w="1285" w:type="dxa"/>
          </w:tcPr>
          <w:p w14:paraId="0C29AECE"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74</w:t>
            </w:r>
            <w:r w:rsidRPr="00AF68CB">
              <w:rPr>
                <w:i/>
                <w:iCs/>
                <w:spacing w:val="-6"/>
                <w:w w:val="105"/>
              </w:rPr>
              <w:t xml:space="preserve"> </w:t>
            </w:r>
            <w:r w:rsidRPr="00AF68CB">
              <w:rPr>
                <w:i/>
                <w:iCs/>
                <w:spacing w:val="-2"/>
                <w:w w:val="105"/>
              </w:rPr>
              <w:t>(36.6)</w:t>
            </w:r>
          </w:p>
        </w:tc>
      </w:tr>
      <w:tr w:rsidR="00AF68CB" w:rsidRPr="00AF68CB" w14:paraId="66236A1F"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16C84B3A" w14:textId="77777777" w:rsidR="00AF68CB" w:rsidRPr="00AF68CB" w:rsidRDefault="00AF68CB" w:rsidP="00B67020">
            <w:pPr>
              <w:rPr>
                <w:i/>
                <w:iCs/>
              </w:rPr>
            </w:pPr>
            <w:r w:rsidRPr="00AF68CB">
              <w:rPr>
                <w:i/>
                <w:iCs/>
                <w:spacing w:val="-5"/>
                <w:w w:val="105"/>
              </w:rPr>
              <w:t>SD</w:t>
            </w:r>
          </w:p>
        </w:tc>
        <w:tc>
          <w:tcPr>
            <w:tcW w:w="1276" w:type="dxa"/>
          </w:tcPr>
          <w:p w14:paraId="1CFAB3F5"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19</w:t>
            </w:r>
            <w:r w:rsidRPr="00AF68CB">
              <w:rPr>
                <w:i/>
                <w:iCs/>
                <w:spacing w:val="-6"/>
                <w:w w:val="105"/>
              </w:rPr>
              <w:t xml:space="preserve"> </w:t>
            </w:r>
            <w:r w:rsidRPr="00AF68CB">
              <w:rPr>
                <w:i/>
                <w:iCs/>
                <w:spacing w:val="-2"/>
                <w:w w:val="105"/>
              </w:rPr>
              <w:t>(15.7)</w:t>
            </w:r>
          </w:p>
        </w:tc>
        <w:tc>
          <w:tcPr>
            <w:tcW w:w="1277" w:type="dxa"/>
          </w:tcPr>
          <w:p w14:paraId="58D68735"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18</w:t>
            </w:r>
            <w:r w:rsidRPr="00AF68CB">
              <w:rPr>
                <w:i/>
                <w:iCs/>
                <w:spacing w:val="-6"/>
                <w:w w:val="105"/>
              </w:rPr>
              <w:t xml:space="preserve"> </w:t>
            </w:r>
            <w:r w:rsidRPr="00AF68CB">
              <w:rPr>
                <w:i/>
                <w:iCs/>
                <w:spacing w:val="-2"/>
                <w:w w:val="105"/>
              </w:rPr>
              <w:t>(34.0)</w:t>
            </w:r>
          </w:p>
        </w:tc>
        <w:tc>
          <w:tcPr>
            <w:tcW w:w="1277" w:type="dxa"/>
          </w:tcPr>
          <w:p w14:paraId="390DE7DA"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10</w:t>
            </w:r>
            <w:r w:rsidRPr="00AF68CB">
              <w:rPr>
                <w:i/>
                <w:iCs/>
                <w:spacing w:val="-6"/>
                <w:w w:val="105"/>
              </w:rPr>
              <w:t xml:space="preserve"> </w:t>
            </w:r>
            <w:r w:rsidRPr="00AF68CB">
              <w:rPr>
                <w:i/>
                <w:iCs/>
                <w:spacing w:val="-2"/>
                <w:w w:val="105"/>
              </w:rPr>
              <w:t>(23.8)</w:t>
            </w:r>
          </w:p>
        </w:tc>
        <w:tc>
          <w:tcPr>
            <w:tcW w:w="1273" w:type="dxa"/>
          </w:tcPr>
          <w:p w14:paraId="658469BD"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33</w:t>
            </w:r>
            <w:r w:rsidRPr="00AF68CB">
              <w:rPr>
                <w:i/>
                <w:iCs/>
                <w:spacing w:val="-6"/>
                <w:w w:val="105"/>
              </w:rPr>
              <w:t xml:space="preserve"> </w:t>
            </w:r>
            <w:r w:rsidRPr="00AF68CB">
              <w:rPr>
                <w:i/>
                <w:iCs/>
                <w:spacing w:val="-2"/>
                <w:w w:val="105"/>
              </w:rPr>
              <w:t>(30.8)</w:t>
            </w:r>
          </w:p>
        </w:tc>
        <w:tc>
          <w:tcPr>
            <w:tcW w:w="1285" w:type="dxa"/>
          </w:tcPr>
          <w:p w14:paraId="23D965CF"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61</w:t>
            </w:r>
            <w:r w:rsidRPr="00AF68CB">
              <w:rPr>
                <w:i/>
                <w:iCs/>
                <w:spacing w:val="-6"/>
                <w:w w:val="105"/>
              </w:rPr>
              <w:t xml:space="preserve"> </w:t>
            </w:r>
            <w:r w:rsidRPr="00AF68CB">
              <w:rPr>
                <w:i/>
                <w:iCs/>
                <w:spacing w:val="-2"/>
                <w:w w:val="105"/>
              </w:rPr>
              <w:t>(30.2)</w:t>
            </w:r>
          </w:p>
        </w:tc>
      </w:tr>
      <w:tr w:rsidR="00AF68CB" w:rsidRPr="00AF68CB" w14:paraId="003F70B6"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77AB22BE" w14:textId="77777777" w:rsidR="00AF68CB" w:rsidRPr="00AF68CB" w:rsidRDefault="00AF68CB" w:rsidP="00B67020">
            <w:pPr>
              <w:rPr>
                <w:i/>
                <w:iCs/>
              </w:rPr>
            </w:pPr>
            <w:r w:rsidRPr="00AF68CB">
              <w:rPr>
                <w:i/>
                <w:iCs/>
                <w:spacing w:val="-5"/>
                <w:w w:val="105"/>
              </w:rPr>
              <w:t>PD</w:t>
            </w:r>
          </w:p>
        </w:tc>
        <w:tc>
          <w:tcPr>
            <w:tcW w:w="1276" w:type="dxa"/>
          </w:tcPr>
          <w:p w14:paraId="7B60BA0C"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4</w:t>
            </w:r>
            <w:r w:rsidRPr="00AF68CB">
              <w:rPr>
                <w:i/>
                <w:iCs/>
                <w:spacing w:val="-4"/>
                <w:w w:val="105"/>
              </w:rPr>
              <w:t xml:space="preserve"> (3.3)</w:t>
            </w:r>
          </w:p>
        </w:tc>
        <w:tc>
          <w:tcPr>
            <w:tcW w:w="1277" w:type="dxa"/>
          </w:tcPr>
          <w:p w14:paraId="48CE5545"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11</w:t>
            </w:r>
            <w:r w:rsidRPr="00AF68CB">
              <w:rPr>
                <w:i/>
                <w:iCs/>
                <w:spacing w:val="-6"/>
                <w:w w:val="105"/>
              </w:rPr>
              <w:t xml:space="preserve"> </w:t>
            </w:r>
            <w:r w:rsidRPr="00AF68CB">
              <w:rPr>
                <w:i/>
                <w:iCs/>
                <w:spacing w:val="-2"/>
                <w:w w:val="105"/>
              </w:rPr>
              <w:t>(20.8)</w:t>
            </w:r>
          </w:p>
        </w:tc>
        <w:tc>
          <w:tcPr>
            <w:tcW w:w="1277" w:type="dxa"/>
          </w:tcPr>
          <w:p w14:paraId="2EAA1C19"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15</w:t>
            </w:r>
            <w:r w:rsidRPr="00AF68CB">
              <w:rPr>
                <w:i/>
                <w:iCs/>
                <w:spacing w:val="-6"/>
                <w:w w:val="105"/>
              </w:rPr>
              <w:t xml:space="preserve"> </w:t>
            </w:r>
            <w:r w:rsidRPr="00AF68CB">
              <w:rPr>
                <w:i/>
                <w:iCs/>
                <w:spacing w:val="-2"/>
                <w:w w:val="105"/>
              </w:rPr>
              <w:t>(35.7)</w:t>
            </w:r>
          </w:p>
        </w:tc>
        <w:tc>
          <w:tcPr>
            <w:tcW w:w="1273" w:type="dxa"/>
          </w:tcPr>
          <w:p w14:paraId="4F04B15D"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17</w:t>
            </w:r>
            <w:r w:rsidRPr="00AF68CB">
              <w:rPr>
                <w:i/>
                <w:iCs/>
                <w:spacing w:val="-6"/>
                <w:w w:val="105"/>
              </w:rPr>
              <w:t xml:space="preserve"> </w:t>
            </w:r>
            <w:r w:rsidRPr="00AF68CB">
              <w:rPr>
                <w:i/>
                <w:iCs/>
                <w:spacing w:val="-2"/>
                <w:w w:val="105"/>
              </w:rPr>
              <w:t>(15.9)</w:t>
            </w:r>
          </w:p>
        </w:tc>
        <w:tc>
          <w:tcPr>
            <w:tcW w:w="1285" w:type="dxa"/>
          </w:tcPr>
          <w:p w14:paraId="0215252A"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43</w:t>
            </w:r>
            <w:r w:rsidRPr="00AF68CB">
              <w:rPr>
                <w:i/>
                <w:iCs/>
                <w:spacing w:val="-6"/>
                <w:w w:val="105"/>
              </w:rPr>
              <w:t xml:space="preserve"> </w:t>
            </w:r>
            <w:r w:rsidRPr="00AF68CB">
              <w:rPr>
                <w:i/>
                <w:iCs/>
                <w:spacing w:val="-2"/>
                <w:w w:val="105"/>
              </w:rPr>
              <w:t>(21.3)</w:t>
            </w:r>
          </w:p>
        </w:tc>
      </w:tr>
      <w:tr w:rsidR="00AF68CB" w:rsidRPr="00AF68CB" w14:paraId="209ACE5A"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1CD3AF4B" w14:textId="77777777" w:rsidR="00AF68CB" w:rsidRPr="00AF68CB" w:rsidRDefault="00AF68CB" w:rsidP="00B67020">
            <w:pPr>
              <w:rPr>
                <w:i/>
                <w:iCs/>
              </w:rPr>
            </w:pPr>
            <w:r w:rsidRPr="00AF68CB">
              <w:rPr>
                <w:i/>
                <w:iCs/>
                <w:spacing w:val="-5"/>
                <w:w w:val="105"/>
              </w:rPr>
              <w:t>NE</w:t>
            </w:r>
          </w:p>
        </w:tc>
        <w:tc>
          <w:tcPr>
            <w:tcW w:w="1276" w:type="dxa"/>
          </w:tcPr>
          <w:p w14:paraId="7FF88B0E"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1</w:t>
            </w:r>
            <w:r w:rsidRPr="00AF68CB">
              <w:rPr>
                <w:i/>
                <w:iCs/>
                <w:spacing w:val="-4"/>
                <w:w w:val="105"/>
              </w:rPr>
              <w:t xml:space="preserve"> (0.8)</w:t>
            </w:r>
          </w:p>
        </w:tc>
        <w:tc>
          <w:tcPr>
            <w:tcW w:w="1277" w:type="dxa"/>
          </w:tcPr>
          <w:p w14:paraId="7CFB9E94"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3</w:t>
            </w:r>
            <w:r w:rsidRPr="00AF68CB">
              <w:rPr>
                <w:i/>
                <w:iCs/>
                <w:spacing w:val="-4"/>
                <w:w w:val="105"/>
              </w:rPr>
              <w:t xml:space="preserve"> (5.7)</w:t>
            </w:r>
          </w:p>
        </w:tc>
        <w:tc>
          <w:tcPr>
            <w:tcW w:w="1277" w:type="dxa"/>
          </w:tcPr>
          <w:p w14:paraId="5BFF95C4"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0</w:t>
            </w:r>
            <w:r w:rsidRPr="00AF68CB">
              <w:rPr>
                <w:i/>
                <w:iCs/>
                <w:spacing w:val="-4"/>
                <w:w w:val="105"/>
              </w:rPr>
              <w:t xml:space="preserve"> (0.0)</w:t>
            </w:r>
          </w:p>
        </w:tc>
        <w:tc>
          <w:tcPr>
            <w:tcW w:w="1273" w:type="dxa"/>
          </w:tcPr>
          <w:p w14:paraId="77215FBC"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2</w:t>
            </w:r>
            <w:r w:rsidRPr="00AF68CB">
              <w:rPr>
                <w:i/>
                <w:iCs/>
                <w:spacing w:val="-4"/>
                <w:w w:val="105"/>
              </w:rPr>
              <w:t xml:space="preserve"> (1.9)</w:t>
            </w:r>
          </w:p>
        </w:tc>
        <w:tc>
          <w:tcPr>
            <w:tcW w:w="1285" w:type="dxa"/>
          </w:tcPr>
          <w:p w14:paraId="56629FD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5</w:t>
            </w:r>
            <w:r w:rsidRPr="00AF68CB">
              <w:rPr>
                <w:i/>
                <w:iCs/>
                <w:spacing w:val="-4"/>
                <w:w w:val="105"/>
              </w:rPr>
              <w:t xml:space="preserve"> (2.5)</w:t>
            </w:r>
          </w:p>
        </w:tc>
      </w:tr>
      <w:tr w:rsidR="00AF68CB" w:rsidRPr="00AF68CB" w14:paraId="45E409AC"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6DEB24F7" w14:textId="77777777" w:rsidR="00AF68CB" w:rsidRPr="00AF68CB" w:rsidRDefault="00AF68CB" w:rsidP="00B67020">
            <w:pPr>
              <w:rPr>
                <w:i/>
                <w:iCs/>
              </w:rPr>
            </w:pPr>
            <w:r w:rsidRPr="00AF68CB">
              <w:rPr>
                <w:i/>
                <w:iCs/>
                <w:spacing w:val="-2"/>
                <w:w w:val="105"/>
              </w:rPr>
              <w:t>Missing</w:t>
            </w:r>
          </w:p>
        </w:tc>
        <w:tc>
          <w:tcPr>
            <w:tcW w:w="1276" w:type="dxa"/>
          </w:tcPr>
          <w:p w14:paraId="70F60280"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4</w:t>
            </w:r>
            <w:r w:rsidRPr="00AF68CB">
              <w:rPr>
                <w:i/>
                <w:iCs/>
                <w:spacing w:val="-4"/>
                <w:w w:val="105"/>
              </w:rPr>
              <w:t xml:space="preserve"> (3.3)</w:t>
            </w:r>
          </w:p>
        </w:tc>
        <w:tc>
          <w:tcPr>
            <w:tcW w:w="1277" w:type="dxa"/>
          </w:tcPr>
          <w:p w14:paraId="28CAE28F"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1</w:t>
            </w:r>
            <w:r w:rsidRPr="00AF68CB">
              <w:rPr>
                <w:i/>
                <w:iCs/>
                <w:spacing w:val="-4"/>
                <w:w w:val="105"/>
              </w:rPr>
              <w:t xml:space="preserve"> (1.9)</w:t>
            </w:r>
          </w:p>
        </w:tc>
        <w:tc>
          <w:tcPr>
            <w:tcW w:w="1277" w:type="dxa"/>
          </w:tcPr>
          <w:p w14:paraId="0A625DBF"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4</w:t>
            </w:r>
            <w:r w:rsidRPr="00AF68CB">
              <w:rPr>
                <w:i/>
                <w:iCs/>
                <w:spacing w:val="-4"/>
                <w:w w:val="105"/>
              </w:rPr>
              <w:t xml:space="preserve"> (9.5)</w:t>
            </w:r>
          </w:p>
        </w:tc>
        <w:tc>
          <w:tcPr>
            <w:tcW w:w="1273" w:type="dxa"/>
          </w:tcPr>
          <w:p w14:paraId="7AB31B09"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3</w:t>
            </w:r>
            <w:r w:rsidRPr="00AF68CB">
              <w:rPr>
                <w:i/>
                <w:iCs/>
                <w:spacing w:val="-4"/>
                <w:w w:val="105"/>
              </w:rPr>
              <w:t xml:space="preserve"> (2.8)</w:t>
            </w:r>
          </w:p>
        </w:tc>
        <w:tc>
          <w:tcPr>
            <w:tcW w:w="1285" w:type="dxa"/>
          </w:tcPr>
          <w:p w14:paraId="44212061"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w w:val="105"/>
              </w:rPr>
              <w:t>8</w:t>
            </w:r>
            <w:r w:rsidRPr="00AF68CB">
              <w:rPr>
                <w:i/>
                <w:iCs/>
                <w:spacing w:val="-4"/>
                <w:w w:val="105"/>
              </w:rPr>
              <w:t xml:space="preserve"> (4.0)</w:t>
            </w:r>
          </w:p>
        </w:tc>
      </w:tr>
      <w:tr w:rsidR="00AF68CB" w:rsidRPr="00AF68CB" w14:paraId="6C4180AB"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5853DC8E" w14:textId="77777777" w:rsidR="00AF68CB" w:rsidRPr="00AF68CB" w:rsidRDefault="00AF68CB" w:rsidP="00B67020">
            <w:pPr>
              <w:rPr>
                <w:spacing w:val="-2"/>
                <w:w w:val="105"/>
              </w:rPr>
            </w:pPr>
            <w:r w:rsidRPr="00AF68CB">
              <w:rPr>
                <w:spacing w:val="-2"/>
                <w:w w:val="105"/>
              </w:rPr>
              <w:t>Time to first response</w:t>
            </w:r>
          </w:p>
        </w:tc>
        <w:tc>
          <w:tcPr>
            <w:tcW w:w="1276" w:type="dxa"/>
          </w:tcPr>
          <w:p w14:paraId="244121F5"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spacing w:val="-4"/>
                <w:w w:val="105"/>
              </w:rPr>
            </w:pPr>
          </w:p>
        </w:tc>
        <w:tc>
          <w:tcPr>
            <w:tcW w:w="1277" w:type="dxa"/>
          </w:tcPr>
          <w:p w14:paraId="71C07CD5"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spacing w:val="-4"/>
                <w:w w:val="105"/>
              </w:rPr>
            </w:pPr>
          </w:p>
        </w:tc>
        <w:tc>
          <w:tcPr>
            <w:tcW w:w="1277" w:type="dxa"/>
          </w:tcPr>
          <w:p w14:paraId="0081E680"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spacing w:val="-4"/>
                <w:w w:val="105"/>
              </w:rPr>
            </w:pPr>
          </w:p>
        </w:tc>
        <w:tc>
          <w:tcPr>
            <w:tcW w:w="1273" w:type="dxa"/>
          </w:tcPr>
          <w:p w14:paraId="12747E5D"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spacing w:val="-4"/>
                <w:w w:val="105"/>
              </w:rPr>
            </w:pPr>
          </w:p>
        </w:tc>
        <w:tc>
          <w:tcPr>
            <w:tcW w:w="1285" w:type="dxa"/>
          </w:tcPr>
          <w:p w14:paraId="1A2082AA"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spacing w:val="-4"/>
                <w:w w:val="105"/>
              </w:rPr>
            </w:pPr>
          </w:p>
        </w:tc>
      </w:tr>
      <w:tr w:rsidR="00AF68CB" w:rsidRPr="00AF68CB" w14:paraId="13ABDDEB"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27F21E90" w14:textId="77777777" w:rsidR="00AF68CB" w:rsidRPr="00AF68CB" w:rsidRDefault="00AF68CB" w:rsidP="00B67020">
            <w:pPr>
              <w:rPr>
                <w:bCs/>
              </w:rPr>
            </w:pPr>
            <w:r w:rsidRPr="00AF68CB">
              <w:rPr>
                <w:bCs/>
                <w:spacing w:val="-2"/>
                <w:w w:val="105"/>
              </w:rPr>
              <w:lastRenderedPageBreak/>
              <w:t>Median (range), months</w:t>
            </w:r>
          </w:p>
        </w:tc>
        <w:tc>
          <w:tcPr>
            <w:tcW w:w="1276" w:type="dxa"/>
          </w:tcPr>
          <w:p w14:paraId="0E8B54E7" w14:textId="6B0CDBDD"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spacing w:val="-4"/>
                <w:w w:val="105"/>
              </w:rPr>
            </w:pPr>
            <w:r w:rsidRPr="00AF68CB">
              <w:rPr>
                <w:spacing w:val="-4"/>
                <w:w w:val="105"/>
              </w:rPr>
              <w:t xml:space="preserve">1.8 </w:t>
            </w:r>
            <w:r w:rsidRPr="00AF68CB">
              <w:rPr>
                <w:w w:val="105"/>
              </w:rPr>
              <w:t>(1.5,</w:t>
            </w:r>
            <w:r w:rsidRPr="00AF68CB">
              <w:rPr>
                <w:spacing w:val="-12"/>
                <w:w w:val="105"/>
              </w:rPr>
              <w:t xml:space="preserve"> </w:t>
            </w:r>
            <w:r w:rsidRPr="00AF68CB">
              <w:rPr>
                <w:spacing w:val="-4"/>
                <w:w w:val="105"/>
              </w:rPr>
              <w:t>7.4)</w:t>
            </w:r>
          </w:p>
        </w:tc>
        <w:tc>
          <w:tcPr>
            <w:tcW w:w="1277" w:type="dxa"/>
          </w:tcPr>
          <w:p w14:paraId="1244EC8D"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spacing w:val="-4"/>
                <w:w w:val="105"/>
              </w:rPr>
              <w:t xml:space="preserve">1.9 </w:t>
            </w:r>
            <w:r w:rsidRPr="00AF68CB">
              <w:rPr>
                <w:w w:val="105"/>
              </w:rPr>
              <w:t>(1.0,</w:t>
            </w:r>
            <w:r w:rsidRPr="00AF68CB">
              <w:rPr>
                <w:spacing w:val="-12"/>
                <w:w w:val="105"/>
              </w:rPr>
              <w:t xml:space="preserve"> </w:t>
            </w:r>
            <w:r w:rsidRPr="00AF68CB">
              <w:rPr>
                <w:spacing w:val="-4"/>
                <w:w w:val="105"/>
              </w:rPr>
              <w:t>3.7)</w:t>
            </w:r>
          </w:p>
        </w:tc>
        <w:tc>
          <w:tcPr>
            <w:tcW w:w="1277" w:type="dxa"/>
          </w:tcPr>
          <w:p w14:paraId="79338D66"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spacing w:val="-4"/>
                <w:w w:val="105"/>
              </w:rPr>
              <w:t xml:space="preserve">1.9 </w:t>
            </w:r>
            <w:r w:rsidRPr="00AF68CB">
              <w:rPr>
                <w:w w:val="105"/>
              </w:rPr>
              <w:t>(1.7,</w:t>
            </w:r>
            <w:r w:rsidRPr="00AF68CB">
              <w:rPr>
                <w:spacing w:val="-12"/>
                <w:w w:val="105"/>
              </w:rPr>
              <w:t xml:space="preserve"> </w:t>
            </w:r>
            <w:r w:rsidRPr="00AF68CB">
              <w:rPr>
                <w:spacing w:val="-4"/>
                <w:w w:val="105"/>
              </w:rPr>
              <w:t>5.6)</w:t>
            </w:r>
          </w:p>
        </w:tc>
        <w:tc>
          <w:tcPr>
            <w:tcW w:w="1273" w:type="dxa"/>
          </w:tcPr>
          <w:p w14:paraId="49C47A64"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spacing w:val="-4"/>
                <w:w w:val="105"/>
              </w:rPr>
              <w:t xml:space="preserve">1.8 </w:t>
            </w:r>
            <w:r w:rsidRPr="00AF68CB">
              <w:rPr>
                <w:w w:val="105"/>
              </w:rPr>
              <w:t>(1.6,</w:t>
            </w:r>
            <w:r w:rsidRPr="00AF68CB">
              <w:rPr>
                <w:spacing w:val="-12"/>
                <w:w w:val="105"/>
              </w:rPr>
              <w:t xml:space="preserve"> </w:t>
            </w:r>
            <w:r w:rsidRPr="00AF68CB">
              <w:rPr>
                <w:spacing w:val="-2"/>
                <w:w w:val="105"/>
              </w:rPr>
              <w:t>22.1)</w:t>
            </w:r>
          </w:p>
        </w:tc>
        <w:tc>
          <w:tcPr>
            <w:tcW w:w="1285" w:type="dxa"/>
          </w:tcPr>
          <w:p w14:paraId="11981D61"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spacing w:val="-4"/>
                <w:w w:val="105"/>
              </w:rPr>
              <w:t xml:space="preserve">1.8 </w:t>
            </w:r>
            <w:r w:rsidRPr="00AF68CB">
              <w:rPr>
                <w:w w:val="105"/>
              </w:rPr>
              <w:t>(1.0,</w:t>
            </w:r>
            <w:r w:rsidRPr="00AF68CB">
              <w:rPr>
                <w:spacing w:val="-12"/>
                <w:w w:val="105"/>
              </w:rPr>
              <w:t xml:space="preserve"> </w:t>
            </w:r>
            <w:r w:rsidRPr="00AF68CB">
              <w:rPr>
                <w:spacing w:val="-2"/>
                <w:w w:val="105"/>
              </w:rPr>
              <w:t>22.1)</w:t>
            </w:r>
          </w:p>
        </w:tc>
      </w:tr>
      <w:tr w:rsidR="00AF68CB" w:rsidRPr="00AF68CB" w14:paraId="58520C94"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436D4561" w14:textId="77777777" w:rsidR="00AF68CB" w:rsidRPr="00AF68CB" w:rsidRDefault="00AF68CB" w:rsidP="00B67020">
            <w:pPr>
              <w:rPr>
                <w:w w:val="105"/>
              </w:rPr>
            </w:pPr>
            <w:r w:rsidRPr="00AF68CB">
              <w:rPr>
                <w:w w:val="105"/>
              </w:rPr>
              <w:t>Duration of response (</w:t>
            </w:r>
            <w:proofErr w:type="spellStart"/>
            <w:r w:rsidRPr="00AF68CB">
              <w:rPr>
                <w:w w:val="105"/>
              </w:rPr>
              <w:t>DoR</w:t>
            </w:r>
            <w:proofErr w:type="spellEnd"/>
            <w:r w:rsidRPr="00AF68CB">
              <w:rPr>
                <w:w w:val="105"/>
              </w:rPr>
              <w:t>)</w:t>
            </w:r>
          </w:p>
        </w:tc>
        <w:tc>
          <w:tcPr>
            <w:tcW w:w="1276" w:type="dxa"/>
          </w:tcPr>
          <w:p w14:paraId="520B7F3E"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spacing w:val="-2"/>
                <w:w w:val="105"/>
              </w:rPr>
            </w:pPr>
          </w:p>
        </w:tc>
        <w:tc>
          <w:tcPr>
            <w:tcW w:w="1277" w:type="dxa"/>
          </w:tcPr>
          <w:p w14:paraId="1E1D41AC"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77" w:type="dxa"/>
          </w:tcPr>
          <w:p w14:paraId="636D1649"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73" w:type="dxa"/>
          </w:tcPr>
          <w:p w14:paraId="6AFCCE33"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85" w:type="dxa"/>
          </w:tcPr>
          <w:p w14:paraId="7F7F7901"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r>
      <w:tr w:rsidR="00AF68CB" w:rsidRPr="00AF68CB" w14:paraId="388FF2B7"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5EB97549" w14:textId="77777777" w:rsidR="00AF68CB" w:rsidRPr="00AF68CB" w:rsidRDefault="00AF68CB" w:rsidP="00B67020">
            <w:pPr>
              <w:rPr>
                <w:bCs/>
              </w:rPr>
            </w:pPr>
            <w:r w:rsidRPr="00AF68CB">
              <w:rPr>
                <w:bCs/>
                <w:w w:val="105"/>
              </w:rPr>
              <w:t>Median (95% CI),</w:t>
            </w:r>
            <w:r w:rsidRPr="00AF68CB">
              <w:rPr>
                <w:bCs/>
                <w:spacing w:val="-2"/>
                <w:w w:val="105"/>
              </w:rPr>
              <w:t xml:space="preserve"> </w:t>
            </w:r>
            <w:r w:rsidRPr="00AF68CB">
              <w:rPr>
                <w:bCs/>
                <w:spacing w:val="-2"/>
              </w:rPr>
              <w:t>months</w:t>
            </w:r>
          </w:p>
        </w:tc>
        <w:tc>
          <w:tcPr>
            <w:tcW w:w="1276" w:type="dxa"/>
          </w:tcPr>
          <w:p w14:paraId="0BD5647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spacing w:val="-2"/>
                <w:w w:val="105"/>
              </w:rPr>
            </w:pPr>
            <w:r w:rsidRPr="00AF68CB">
              <w:rPr>
                <w:spacing w:val="-2"/>
                <w:w w:val="105"/>
              </w:rPr>
              <w:t>33.61</w:t>
            </w:r>
          </w:p>
          <w:p w14:paraId="147BCEC6"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(25.46,</w:t>
            </w:r>
            <w:r w:rsidRPr="00AF68CB">
              <w:rPr>
                <w:spacing w:val="13"/>
              </w:rPr>
              <w:t xml:space="preserve"> </w:t>
            </w:r>
            <w:r w:rsidRPr="00AF68CB">
              <w:rPr>
                <w:spacing w:val="-5"/>
              </w:rPr>
              <w:t>NE)</w:t>
            </w:r>
          </w:p>
        </w:tc>
        <w:tc>
          <w:tcPr>
            <w:tcW w:w="1277" w:type="dxa"/>
          </w:tcPr>
          <w:p w14:paraId="6CB8357A"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spacing w:val="-9"/>
                <w:w w:val="105"/>
              </w:rPr>
            </w:pPr>
            <w:r w:rsidRPr="00AF68CB">
              <w:rPr>
                <w:w w:val="105"/>
              </w:rPr>
              <w:t>9.30</w:t>
            </w:r>
          </w:p>
          <w:p w14:paraId="71E88852"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spacing w:val="-2"/>
                <w:w w:val="105"/>
              </w:rPr>
              <w:t>(5.55, 12.91)</w:t>
            </w:r>
          </w:p>
        </w:tc>
        <w:tc>
          <w:tcPr>
            <w:tcW w:w="1277" w:type="dxa"/>
          </w:tcPr>
          <w:p w14:paraId="00C2AD80"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spacing w:val="-9"/>
                <w:w w:val="105"/>
              </w:rPr>
            </w:pPr>
            <w:r w:rsidRPr="00AF68CB">
              <w:rPr>
                <w:w w:val="105"/>
              </w:rPr>
              <w:t>7.20</w:t>
            </w:r>
          </w:p>
          <w:p w14:paraId="4786B6C8"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spacing w:val="-2"/>
                <w:w w:val="105"/>
              </w:rPr>
              <w:t xml:space="preserve">(3.71, </w:t>
            </w:r>
            <w:r w:rsidRPr="00AF68CB">
              <w:rPr>
                <w:spacing w:val="-5"/>
                <w:w w:val="105"/>
              </w:rPr>
              <w:t>NE)</w:t>
            </w:r>
          </w:p>
        </w:tc>
        <w:tc>
          <w:tcPr>
            <w:tcW w:w="1273" w:type="dxa"/>
          </w:tcPr>
          <w:p w14:paraId="161EE1BD"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spacing w:val="-11"/>
                <w:w w:val="105"/>
              </w:rPr>
            </w:pPr>
            <w:r w:rsidRPr="00AF68CB">
              <w:rPr>
                <w:w w:val="105"/>
              </w:rPr>
              <w:t>14.75</w:t>
            </w:r>
          </w:p>
          <w:p w14:paraId="39C6CEC0"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spacing w:val="-2"/>
                <w:w w:val="105"/>
              </w:rPr>
              <w:t xml:space="preserve">(7.56, </w:t>
            </w:r>
            <w:r w:rsidRPr="00AF68CB">
              <w:rPr>
                <w:spacing w:val="-5"/>
                <w:w w:val="105"/>
              </w:rPr>
              <w:t>NE)</w:t>
            </w:r>
          </w:p>
        </w:tc>
        <w:tc>
          <w:tcPr>
            <w:tcW w:w="1285" w:type="dxa"/>
          </w:tcPr>
          <w:p w14:paraId="1AF67358"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spacing w:val="-9"/>
                <w:w w:val="105"/>
              </w:rPr>
            </w:pPr>
            <w:r w:rsidRPr="00AF68CB">
              <w:rPr>
                <w:w w:val="105"/>
              </w:rPr>
              <w:t>9.66</w:t>
            </w:r>
          </w:p>
          <w:p w14:paraId="7BB3B76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spacing w:val="-2"/>
                <w:w w:val="105"/>
              </w:rPr>
              <w:t>(7.46, 17.54)</w:t>
            </w:r>
          </w:p>
        </w:tc>
      </w:tr>
      <w:tr w:rsidR="00AF68CB" w:rsidRPr="00AF68CB" w14:paraId="5357314C"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055F198C" w14:textId="77777777" w:rsidR="00AF68CB" w:rsidRPr="00AF68CB" w:rsidRDefault="00AF68CB" w:rsidP="00B67020">
            <w:r w:rsidRPr="00AF68CB">
              <w:rPr>
                <w:w w:val="105"/>
              </w:rPr>
              <w:t>Min,</w:t>
            </w:r>
            <w:r w:rsidRPr="00AF68CB">
              <w:rPr>
                <w:spacing w:val="-9"/>
                <w:w w:val="105"/>
              </w:rPr>
              <w:t xml:space="preserve"> </w:t>
            </w:r>
            <w:r w:rsidRPr="00AF68CB">
              <w:rPr>
                <w:spacing w:val="-5"/>
                <w:w w:val="105"/>
              </w:rPr>
              <w:t>Max</w:t>
            </w:r>
          </w:p>
        </w:tc>
        <w:tc>
          <w:tcPr>
            <w:tcW w:w="1276" w:type="dxa"/>
          </w:tcPr>
          <w:p w14:paraId="2C63B2C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1.4+,</w:t>
            </w:r>
            <w:r w:rsidRPr="00AF68CB">
              <w:rPr>
                <w:spacing w:val="-13"/>
                <w:w w:val="105"/>
              </w:rPr>
              <w:t xml:space="preserve"> </w:t>
            </w:r>
            <w:r w:rsidRPr="00AF68CB">
              <w:rPr>
                <w:spacing w:val="-4"/>
                <w:w w:val="105"/>
              </w:rPr>
              <w:t>49.7+</w:t>
            </w:r>
          </w:p>
        </w:tc>
        <w:tc>
          <w:tcPr>
            <w:tcW w:w="1277" w:type="dxa"/>
          </w:tcPr>
          <w:p w14:paraId="07CE4880"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spacing w:val="-2"/>
                <w:w w:val="105"/>
              </w:rPr>
              <w:t>1.8+,</w:t>
            </w:r>
            <w:r w:rsidRPr="00AF68CB">
              <w:rPr>
                <w:spacing w:val="-4"/>
                <w:w w:val="105"/>
              </w:rPr>
              <w:t>38.5+</w:t>
            </w:r>
          </w:p>
        </w:tc>
        <w:tc>
          <w:tcPr>
            <w:tcW w:w="1277" w:type="dxa"/>
          </w:tcPr>
          <w:p w14:paraId="0FBFFF90"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3.5,</w:t>
            </w:r>
            <w:r w:rsidRPr="00AF68CB">
              <w:rPr>
                <w:spacing w:val="-10"/>
                <w:w w:val="105"/>
              </w:rPr>
              <w:t xml:space="preserve"> </w:t>
            </w:r>
            <w:r w:rsidRPr="00AF68CB">
              <w:rPr>
                <w:spacing w:val="-4"/>
                <w:w w:val="105"/>
              </w:rPr>
              <w:t>33.9</w:t>
            </w:r>
          </w:p>
        </w:tc>
        <w:tc>
          <w:tcPr>
            <w:tcW w:w="1273" w:type="dxa"/>
          </w:tcPr>
          <w:p w14:paraId="53BBFF78"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1.8+,</w:t>
            </w:r>
            <w:r w:rsidRPr="00AF68CB">
              <w:rPr>
                <w:spacing w:val="-13"/>
                <w:w w:val="105"/>
              </w:rPr>
              <w:t xml:space="preserve"> </w:t>
            </w:r>
            <w:r w:rsidRPr="00AF68CB">
              <w:rPr>
                <w:spacing w:val="-4"/>
                <w:w w:val="105"/>
              </w:rPr>
              <w:t>31.4</w:t>
            </w:r>
          </w:p>
        </w:tc>
        <w:tc>
          <w:tcPr>
            <w:tcW w:w="1285" w:type="dxa"/>
          </w:tcPr>
          <w:p w14:paraId="6E44755C"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1.8+,</w:t>
            </w:r>
            <w:r w:rsidRPr="00AF68CB">
              <w:rPr>
                <w:spacing w:val="-13"/>
                <w:w w:val="105"/>
              </w:rPr>
              <w:t xml:space="preserve"> </w:t>
            </w:r>
            <w:r w:rsidRPr="00AF68CB">
              <w:rPr>
                <w:spacing w:val="-4"/>
                <w:w w:val="105"/>
              </w:rPr>
              <w:t>38.5+</w:t>
            </w:r>
          </w:p>
        </w:tc>
      </w:tr>
      <w:tr w:rsidR="00AF68CB" w:rsidRPr="00AF68CB" w14:paraId="73CF6CE0"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530B1995" w14:textId="77777777" w:rsidR="00AF68CB" w:rsidRPr="00AF68CB" w:rsidRDefault="00AF68CB" w:rsidP="00B67020">
            <w:r w:rsidRPr="00AF68CB">
              <w:t>KM estimated landmarks</w:t>
            </w:r>
          </w:p>
        </w:tc>
        <w:tc>
          <w:tcPr>
            <w:tcW w:w="1276" w:type="dxa"/>
          </w:tcPr>
          <w:p w14:paraId="6BE15553"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p>
        </w:tc>
        <w:tc>
          <w:tcPr>
            <w:tcW w:w="1277" w:type="dxa"/>
          </w:tcPr>
          <w:p w14:paraId="3E933615"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p>
        </w:tc>
        <w:tc>
          <w:tcPr>
            <w:tcW w:w="1277" w:type="dxa"/>
          </w:tcPr>
          <w:p w14:paraId="308E90E2"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p>
        </w:tc>
        <w:tc>
          <w:tcPr>
            <w:tcW w:w="1273" w:type="dxa"/>
          </w:tcPr>
          <w:p w14:paraId="6858EBFD"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p>
        </w:tc>
        <w:tc>
          <w:tcPr>
            <w:tcW w:w="1285" w:type="dxa"/>
          </w:tcPr>
          <w:p w14:paraId="36624A76"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p>
        </w:tc>
      </w:tr>
      <w:tr w:rsidR="00AF68CB" w:rsidRPr="00AF68CB" w14:paraId="5FBF2DF3"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7790CFAC" w14:textId="77777777" w:rsidR="00AF68CB" w:rsidRPr="00AF68CB" w:rsidRDefault="00AF68CB" w:rsidP="00B67020">
            <w:r w:rsidRPr="00AF68CB">
              <w:t>% (95% CI) of responses persisting ≥6 months</w:t>
            </w:r>
          </w:p>
        </w:tc>
        <w:tc>
          <w:tcPr>
            <w:tcW w:w="1276" w:type="dxa"/>
          </w:tcPr>
          <w:p w14:paraId="097BF4E5"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89</w:t>
            </w:r>
            <w:r w:rsidRPr="00AF68CB">
              <w:rPr>
                <w:spacing w:val="-9"/>
                <w:w w:val="105"/>
              </w:rPr>
              <w:t xml:space="preserve"> </w:t>
            </w:r>
            <w:r w:rsidRPr="00AF68CB">
              <w:rPr>
                <w:spacing w:val="-2"/>
                <w:w w:val="105"/>
              </w:rPr>
              <w:t>(82, 95)</w:t>
            </w:r>
          </w:p>
        </w:tc>
        <w:tc>
          <w:tcPr>
            <w:tcW w:w="1277" w:type="dxa"/>
          </w:tcPr>
          <w:p w14:paraId="736EAEF5"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63</w:t>
            </w:r>
            <w:r w:rsidRPr="00AF68CB">
              <w:rPr>
                <w:spacing w:val="-9"/>
                <w:w w:val="105"/>
              </w:rPr>
              <w:t xml:space="preserve"> </w:t>
            </w:r>
            <w:r w:rsidRPr="00AF68CB">
              <w:rPr>
                <w:spacing w:val="-2"/>
                <w:w w:val="105"/>
              </w:rPr>
              <w:t>(42, 85)</w:t>
            </w:r>
          </w:p>
        </w:tc>
        <w:tc>
          <w:tcPr>
            <w:tcW w:w="1277" w:type="dxa"/>
          </w:tcPr>
          <w:p w14:paraId="783AEEED"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54</w:t>
            </w:r>
            <w:r w:rsidRPr="00AF68CB">
              <w:rPr>
                <w:spacing w:val="-9"/>
                <w:w w:val="105"/>
              </w:rPr>
              <w:t xml:space="preserve"> </w:t>
            </w:r>
            <w:r w:rsidRPr="00AF68CB">
              <w:rPr>
                <w:spacing w:val="-2"/>
                <w:w w:val="105"/>
              </w:rPr>
              <w:t>(27, 81)</w:t>
            </w:r>
          </w:p>
        </w:tc>
        <w:tc>
          <w:tcPr>
            <w:tcW w:w="1273" w:type="dxa"/>
          </w:tcPr>
          <w:p w14:paraId="07ECF91B"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72</w:t>
            </w:r>
            <w:r w:rsidRPr="00AF68CB">
              <w:rPr>
                <w:spacing w:val="-9"/>
                <w:w w:val="105"/>
              </w:rPr>
              <w:t xml:space="preserve"> </w:t>
            </w:r>
            <w:r w:rsidRPr="00AF68CB">
              <w:rPr>
                <w:spacing w:val="-2"/>
                <w:w w:val="105"/>
              </w:rPr>
              <w:t>(59, 84)</w:t>
            </w:r>
          </w:p>
        </w:tc>
        <w:tc>
          <w:tcPr>
            <w:tcW w:w="1285" w:type="dxa"/>
          </w:tcPr>
          <w:p w14:paraId="291D2FCA"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67</w:t>
            </w:r>
            <w:r w:rsidRPr="00AF68CB">
              <w:rPr>
                <w:spacing w:val="-9"/>
                <w:w w:val="105"/>
              </w:rPr>
              <w:t xml:space="preserve"> </w:t>
            </w:r>
            <w:r w:rsidRPr="00AF68CB">
              <w:rPr>
                <w:spacing w:val="-2"/>
                <w:w w:val="105"/>
              </w:rPr>
              <w:t>(57, 77)</w:t>
            </w:r>
          </w:p>
        </w:tc>
      </w:tr>
      <w:tr w:rsidR="00AF68CB" w:rsidRPr="00AF68CB" w14:paraId="3C244256"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4452ADC0" w14:textId="77777777" w:rsidR="00AF68CB" w:rsidRPr="00AF68CB" w:rsidRDefault="00AF68CB" w:rsidP="00B67020">
            <w:r w:rsidRPr="00AF68CB">
              <w:t>% (95% CI) of responses persisting ≥12 months</w:t>
            </w:r>
          </w:p>
        </w:tc>
        <w:tc>
          <w:tcPr>
            <w:tcW w:w="1276" w:type="dxa"/>
          </w:tcPr>
          <w:p w14:paraId="32E07CDC"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76</w:t>
            </w:r>
            <w:r w:rsidRPr="00AF68CB">
              <w:rPr>
                <w:spacing w:val="-9"/>
                <w:w w:val="105"/>
              </w:rPr>
              <w:t xml:space="preserve"> </w:t>
            </w:r>
            <w:r w:rsidRPr="00AF68CB">
              <w:rPr>
                <w:spacing w:val="-2"/>
                <w:w w:val="105"/>
              </w:rPr>
              <w:t>(67, 85)</w:t>
            </w:r>
          </w:p>
        </w:tc>
        <w:tc>
          <w:tcPr>
            <w:tcW w:w="1277" w:type="dxa"/>
          </w:tcPr>
          <w:p w14:paraId="6922E32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46</w:t>
            </w:r>
            <w:r w:rsidRPr="00AF68CB">
              <w:rPr>
                <w:spacing w:val="-9"/>
                <w:w w:val="105"/>
              </w:rPr>
              <w:t xml:space="preserve"> </w:t>
            </w:r>
            <w:r w:rsidRPr="00AF68CB">
              <w:rPr>
                <w:spacing w:val="-2"/>
                <w:w w:val="105"/>
              </w:rPr>
              <w:t>(22, 69)</w:t>
            </w:r>
          </w:p>
        </w:tc>
        <w:tc>
          <w:tcPr>
            <w:tcW w:w="1277" w:type="dxa"/>
          </w:tcPr>
          <w:p w14:paraId="7A714A32"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27</w:t>
            </w:r>
            <w:r w:rsidRPr="00AF68CB">
              <w:rPr>
                <w:spacing w:val="-9"/>
                <w:w w:val="105"/>
              </w:rPr>
              <w:t xml:space="preserve"> </w:t>
            </w:r>
            <w:r w:rsidRPr="00AF68CB">
              <w:rPr>
                <w:spacing w:val="-2"/>
                <w:w w:val="105"/>
              </w:rPr>
              <w:t>(2, 52)</w:t>
            </w:r>
          </w:p>
        </w:tc>
        <w:tc>
          <w:tcPr>
            <w:tcW w:w="1273" w:type="dxa"/>
          </w:tcPr>
          <w:p w14:paraId="67386A1B"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52</w:t>
            </w:r>
            <w:r w:rsidRPr="00AF68CB">
              <w:rPr>
                <w:spacing w:val="-9"/>
                <w:w w:val="105"/>
              </w:rPr>
              <w:t xml:space="preserve"> </w:t>
            </w:r>
            <w:r w:rsidRPr="00AF68CB">
              <w:rPr>
                <w:spacing w:val="-2"/>
                <w:w w:val="105"/>
              </w:rPr>
              <w:t>(37, 67)</w:t>
            </w:r>
          </w:p>
        </w:tc>
        <w:tc>
          <w:tcPr>
            <w:tcW w:w="1285" w:type="dxa"/>
          </w:tcPr>
          <w:p w14:paraId="7A4B7714"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rPr>
                <w:w w:val="105"/>
              </w:rPr>
              <w:t>47</w:t>
            </w:r>
            <w:r w:rsidRPr="00AF68CB">
              <w:rPr>
                <w:spacing w:val="-9"/>
                <w:w w:val="105"/>
              </w:rPr>
              <w:t xml:space="preserve"> </w:t>
            </w:r>
            <w:r w:rsidRPr="00AF68CB">
              <w:rPr>
                <w:spacing w:val="-2"/>
                <w:w w:val="105"/>
              </w:rPr>
              <w:t>(35, 58)</w:t>
            </w:r>
          </w:p>
        </w:tc>
      </w:tr>
      <w:tr w:rsidR="00AF68CB" w:rsidRPr="00AF68CB" w14:paraId="25F4A845"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5611B1AF" w14:textId="77777777" w:rsidR="00AF68CB" w:rsidRPr="00AF68CB" w:rsidRDefault="00AF68CB" w:rsidP="00B67020">
            <w:pPr>
              <w:rPr>
                <w:bCs/>
              </w:rPr>
            </w:pPr>
            <w:r w:rsidRPr="00AF68CB">
              <w:rPr>
                <w:bCs/>
              </w:rPr>
              <w:t>Intracranial response rate (IC-ORR)</w:t>
            </w:r>
            <w:r w:rsidRPr="00AF68CB">
              <w:rPr>
                <w:bCs/>
                <w:vertAlign w:val="superscript"/>
              </w:rPr>
              <w:t>2</w:t>
            </w:r>
          </w:p>
        </w:tc>
        <w:tc>
          <w:tcPr>
            <w:tcW w:w="1276" w:type="dxa"/>
          </w:tcPr>
          <w:p w14:paraId="7FDA7B9C"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(N=14)</w:t>
            </w:r>
          </w:p>
        </w:tc>
        <w:tc>
          <w:tcPr>
            <w:tcW w:w="1277" w:type="dxa"/>
          </w:tcPr>
          <w:p w14:paraId="7BC5053B"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(N=10)</w:t>
            </w:r>
          </w:p>
        </w:tc>
        <w:tc>
          <w:tcPr>
            <w:tcW w:w="1277" w:type="dxa"/>
          </w:tcPr>
          <w:p w14:paraId="5066A87C"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(N=6)</w:t>
            </w:r>
          </w:p>
        </w:tc>
        <w:tc>
          <w:tcPr>
            <w:tcW w:w="1273" w:type="dxa"/>
          </w:tcPr>
          <w:p w14:paraId="0D5A8739"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(N=23)</w:t>
            </w:r>
          </w:p>
        </w:tc>
        <w:tc>
          <w:tcPr>
            <w:tcW w:w="1285" w:type="dxa"/>
          </w:tcPr>
          <w:p w14:paraId="650257F1"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(N=39)</w:t>
            </w:r>
          </w:p>
        </w:tc>
      </w:tr>
      <w:tr w:rsidR="00AF68CB" w:rsidRPr="00AF68CB" w14:paraId="441408E6"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35E8323D" w14:textId="77777777" w:rsidR="00AF68CB" w:rsidRPr="00AF68CB" w:rsidRDefault="00AF68CB" w:rsidP="00B67020">
            <w:r w:rsidRPr="00AF68CB">
              <w:rPr>
                <w:spacing w:val="-4"/>
                <w:w w:val="105"/>
              </w:rPr>
              <w:t xml:space="preserve">IC-ORR </w:t>
            </w:r>
            <w:r w:rsidRPr="00AF68CB">
              <w:rPr>
                <w:spacing w:val="-5"/>
                <w:w w:val="105"/>
              </w:rPr>
              <w:t>(95% CI)</w:t>
            </w:r>
          </w:p>
        </w:tc>
        <w:tc>
          <w:tcPr>
            <w:tcW w:w="1276" w:type="dxa"/>
          </w:tcPr>
          <w:p w14:paraId="27DC197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86 (57, 98)</w:t>
            </w:r>
          </w:p>
        </w:tc>
        <w:tc>
          <w:tcPr>
            <w:tcW w:w="1277" w:type="dxa"/>
          </w:tcPr>
          <w:p w14:paraId="41C9B2C3"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50 (19, 81)</w:t>
            </w:r>
          </w:p>
        </w:tc>
        <w:tc>
          <w:tcPr>
            <w:tcW w:w="1277" w:type="dxa"/>
          </w:tcPr>
          <w:p w14:paraId="71DBB615"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0 (0, 46)</w:t>
            </w:r>
          </w:p>
        </w:tc>
        <w:tc>
          <w:tcPr>
            <w:tcW w:w="1273" w:type="dxa"/>
          </w:tcPr>
          <w:p w14:paraId="14E53C44"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44 (23, 66)</w:t>
            </w:r>
          </w:p>
        </w:tc>
        <w:tc>
          <w:tcPr>
            <w:tcW w:w="1285" w:type="dxa"/>
          </w:tcPr>
          <w:p w14:paraId="3945C143"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pPr>
            <w:r w:rsidRPr="00AF68CB">
              <w:t>39 (23, 55)</w:t>
            </w:r>
          </w:p>
        </w:tc>
      </w:tr>
      <w:tr w:rsidR="00AF68CB" w:rsidRPr="00AF68CB" w14:paraId="4442EB21"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4FA62610" w14:textId="77777777" w:rsidR="00AF68CB" w:rsidRPr="00AF68CB" w:rsidRDefault="00AF68CB" w:rsidP="00B67020">
            <w:r w:rsidRPr="00AF68CB">
              <w:rPr>
                <w:i/>
                <w:iCs/>
                <w:spacing w:val="-5"/>
                <w:w w:val="105"/>
              </w:rPr>
              <w:t>IC-CR</w:t>
            </w:r>
          </w:p>
        </w:tc>
        <w:tc>
          <w:tcPr>
            <w:tcW w:w="1276" w:type="dxa"/>
          </w:tcPr>
          <w:p w14:paraId="340F0ABB"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rPr>
              <w:t>3 (21.4)</w:t>
            </w:r>
          </w:p>
        </w:tc>
        <w:tc>
          <w:tcPr>
            <w:tcW w:w="1277" w:type="dxa"/>
          </w:tcPr>
          <w:p w14:paraId="401B7662"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0 (0.0)</w:t>
            </w:r>
          </w:p>
        </w:tc>
        <w:tc>
          <w:tcPr>
            <w:tcW w:w="1277" w:type="dxa"/>
          </w:tcPr>
          <w:p w14:paraId="78996E42"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0 (0.0)</w:t>
            </w:r>
          </w:p>
        </w:tc>
        <w:tc>
          <w:tcPr>
            <w:tcW w:w="1273" w:type="dxa"/>
          </w:tcPr>
          <w:p w14:paraId="3127BFF5"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2 (8.7)</w:t>
            </w:r>
          </w:p>
        </w:tc>
        <w:tc>
          <w:tcPr>
            <w:tcW w:w="1285" w:type="dxa"/>
          </w:tcPr>
          <w:p w14:paraId="5CFBD5B8"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2 (5.1)</w:t>
            </w:r>
          </w:p>
        </w:tc>
      </w:tr>
      <w:tr w:rsidR="00AF68CB" w:rsidRPr="00AF68CB" w14:paraId="2DC0D4D2"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5643316C" w14:textId="77777777" w:rsidR="00AF68CB" w:rsidRPr="00AF68CB" w:rsidRDefault="00AF68CB" w:rsidP="00B67020">
            <w:r w:rsidRPr="00AF68CB">
              <w:rPr>
                <w:i/>
                <w:iCs/>
                <w:spacing w:val="-5"/>
                <w:w w:val="105"/>
              </w:rPr>
              <w:t>IC-PR</w:t>
            </w:r>
          </w:p>
        </w:tc>
        <w:tc>
          <w:tcPr>
            <w:tcW w:w="1276" w:type="dxa"/>
          </w:tcPr>
          <w:p w14:paraId="6ACBCD4E"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rPr>
              <w:t>9 (64.3)</w:t>
            </w:r>
          </w:p>
        </w:tc>
        <w:tc>
          <w:tcPr>
            <w:tcW w:w="1277" w:type="dxa"/>
          </w:tcPr>
          <w:p w14:paraId="279017B5"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5 (50.0)</w:t>
            </w:r>
          </w:p>
        </w:tc>
        <w:tc>
          <w:tcPr>
            <w:tcW w:w="1277" w:type="dxa"/>
          </w:tcPr>
          <w:p w14:paraId="5DEA43A8"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0 (0.0)</w:t>
            </w:r>
          </w:p>
        </w:tc>
        <w:tc>
          <w:tcPr>
            <w:tcW w:w="1273" w:type="dxa"/>
          </w:tcPr>
          <w:p w14:paraId="7F327A1D"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8 (34.8)</w:t>
            </w:r>
          </w:p>
        </w:tc>
        <w:tc>
          <w:tcPr>
            <w:tcW w:w="1285" w:type="dxa"/>
          </w:tcPr>
          <w:p w14:paraId="4E83B4ED"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13 (33.3)</w:t>
            </w:r>
          </w:p>
        </w:tc>
      </w:tr>
      <w:tr w:rsidR="00AF68CB" w:rsidRPr="00AF68CB" w14:paraId="013E6D00"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59B14545" w14:textId="77777777" w:rsidR="00AF68CB" w:rsidRPr="00AF68CB" w:rsidRDefault="00AF68CB" w:rsidP="00B67020">
            <w:pPr>
              <w:rPr>
                <w:i/>
                <w:iCs/>
                <w:spacing w:val="-5"/>
                <w:w w:val="105"/>
              </w:rPr>
            </w:pPr>
            <w:r w:rsidRPr="00AF68CB">
              <w:rPr>
                <w:i/>
                <w:iCs/>
                <w:spacing w:val="-5"/>
                <w:w w:val="105"/>
              </w:rPr>
              <w:t>IC-SD</w:t>
            </w:r>
          </w:p>
        </w:tc>
        <w:tc>
          <w:tcPr>
            <w:tcW w:w="1276" w:type="dxa"/>
          </w:tcPr>
          <w:p w14:paraId="00BB3EC3"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rPr>
              <w:t>1 (7.1)</w:t>
            </w:r>
          </w:p>
        </w:tc>
        <w:tc>
          <w:tcPr>
            <w:tcW w:w="1277" w:type="dxa"/>
          </w:tcPr>
          <w:p w14:paraId="2A637863"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3 (30.0)</w:t>
            </w:r>
          </w:p>
        </w:tc>
        <w:tc>
          <w:tcPr>
            <w:tcW w:w="1277" w:type="dxa"/>
          </w:tcPr>
          <w:p w14:paraId="450E34A0"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2 (33.3)</w:t>
            </w:r>
          </w:p>
        </w:tc>
        <w:tc>
          <w:tcPr>
            <w:tcW w:w="1273" w:type="dxa"/>
          </w:tcPr>
          <w:p w14:paraId="4D05A81E"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9 (39.1)</w:t>
            </w:r>
          </w:p>
        </w:tc>
        <w:tc>
          <w:tcPr>
            <w:tcW w:w="1285" w:type="dxa"/>
          </w:tcPr>
          <w:p w14:paraId="6D0F5BB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14 (35.9)</w:t>
            </w:r>
          </w:p>
        </w:tc>
      </w:tr>
      <w:tr w:rsidR="00AF68CB" w:rsidRPr="00AF68CB" w14:paraId="13F06672"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52E853AB" w14:textId="77777777" w:rsidR="00AF68CB" w:rsidRPr="00AF68CB" w:rsidRDefault="00AF68CB" w:rsidP="00B67020">
            <w:pPr>
              <w:rPr>
                <w:i/>
                <w:iCs/>
                <w:spacing w:val="-5"/>
                <w:w w:val="105"/>
              </w:rPr>
            </w:pPr>
            <w:r w:rsidRPr="00AF68CB">
              <w:rPr>
                <w:i/>
                <w:iCs/>
                <w:spacing w:val="-5"/>
                <w:w w:val="105"/>
              </w:rPr>
              <w:t>IC-PD</w:t>
            </w:r>
          </w:p>
        </w:tc>
        <w:tc>
          <w:tcPr>
            <w:tcW w:w="1276" w:type="dxa"/>
          </w:tcPr>
          <w:p w14:paraId="35DEA994"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rPr>
              <w:t>0 (0.0)</w:t>
            </w:r>
          </w:p>
        </w:tc>
        <w:tc>
          <w:tcPr>
            <w:tcW w:w="1277" w:type="dxa"/>
          </w:tcPr>
          <w:p w14:paraId="3A1C6BA2"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1 (10.0)</w:t>
            </w:r>
          </w:p>
        </w:tc>
        <w:tc>
          <w:tcPr>
            <w:tcW w:w="1277" w:type="dxa"/>
          </w:tcPr>
          <w:p w14:paraId="6F59E9A9"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2 (33.3)</w:t>
            </w:r>
          </w:p>
        </w:tc>
        <w:tc>
          <w:tcPr>
            <w:tcW w:w="1273" w:type="dxa"/>
          </w:tcPr>
          <w:p w14:paraId="6765E0FE"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3 (13.0)</w:t>
            </w:r>
          </w:p>
        </w:tc>
        <w:tc>
          <w:tcPr>
            <w:tcW w:w="1285" w:type="dxa"/>
          </w:tcPr>
          <w:p w14:paraId="4A755FFE"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6 (15.4)</w:t>
            </w:r>
          </w:p>
        </w:tc>
      </w:tr>
      <w:tr w:rsidR="00AF68CB" w:rsidRPr="00AF68CB" w14:paraId="4961F5A1"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0896EEB9" w14:textId="77777777" w:rsidR="00AF68CB" w:rsidRPr="00AF68CB" w:rsidRDefault="00AF68CB" w:rsidP="00B67020">
            <w:pPr>
              <w:rPr>
                <w:i/>
                <w:iCs/>
                <w:spacing w:val="-5"/>
                <w:w w:val="105"/>
              </w:rPr>
            </w:pPr>
            <w:r w:rsidRPr="00AF68CB">
              <w:rPr>
                <w:i/>
                <w:iCs/>
                <w:spacing w:val="-5"/>
                <w:w w:val="105"/>
              </w:rPr>
              <w:t>IC-NE</w:t>
            </w:r>
          </w:p>
        </w:tc>
        <w:tc>
          <w:tcPr>
            <w:tcW w:w="1276" w:type="dxa"/>
          </w:tcPr>
          <w:p w14:paraId="2150D160"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rPr>
              <w:t>0 (0.0)</w:t>
            </w:r>
          </w:p>
        </w:tc>
        <w:tc>
          <w:tcPr>
            <w:tcW w:w="1277" w:type="dxa"/>
          </w:tcPr>
          <w:p w14:paraId="347D231F"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1 (10.0)</w:t>
            </w:r>
          </w:p>
        </w:tc>
        <w:tc>
          <w:tcPr>
            <w:tcW w:w="1277" w:type="dxa"/>
          </w:tcPr>
          <w:p w14:paraId="3FB92E89"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1 (16.7)</w:t>
            </w:r>
          </w:p>
        </w:tc>
        <w:tc>
          <w:tcPr>
            <w:tcW w:w="1273" w:type="dxa"/>
          </w:tcPr>
          <w:p w14:paraId="3E3B022E"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0 (0.0)</w:t>
            </w:r>
          </w:p>
        </w:tc>
        <w:tc>
          <w:tcPr>
            <w:tcW w:w="1285" w:type="dxa"/>
          </w:tcPr>
          <w:p w14:paraId="78CF7254"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2 (5.1)</w:t>
            </w:r>
          </w:p>
        </w:tc>
      </w:tr>
      <w:tr w:rsidR="00AF68CB" w:rsidRPr="00AF68CB" w14:paraId="0737CC0A"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4E18F7BB" w14:textId="77777777" w:rsidR="00AF68CB" w:rsidRPr="00AF68CB" w:rsidRDefault="00AF68CB" w:rsidP="00B67020">
            <w:pPr>
              <w:rPr>
                <w:i/>
                <w:iCs/>
                <w:spacing w:val="-5"/>
                <w:w w:val="105"/>
              </w:rPr>
            </w:pPr>
            <w:r w:rsidRPr="00AF68CB">
              <w:rPr>
                <w:i/>
                <w:iCs/>
                <w:spacing w:val="-5"/>
                <w:w w:val="105"/>
              </w:rPr>
              <w:t>IC response data missing</w:t>
            </w:r>
          </w:p>
        </w:tc>
        <w:tc>
          <w:tcPr>
            <w:tcW w:w="1276" w:type="dxa"/>
          </w:tcPr>
          <w:p w14:paraId="2EE49D65"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rPr>
            </w:pPr>
            <w:r w:rsidRPr="00AF68CB">
              <w:rPr>
                <w:i/>
                <w:iCs/>
              </w:rPr>
              <w:t>1 (7.1)</w:t>
            </w:r>
          </w:p>
        </w:tc>
        <w:tc>
          <w:tcPr>
            <w:tcW w:w="1277" w:type="dxa"/>
          </w:tcPr>
          <w:p w14:paraId="13770B14"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0 (0.0)</w:t>
            </w:r>
          </w:p>
        </w:tc>
        <w:tc>
          <w:tcPr>
            <w:tcW w:w="1277" w:type="dxa"/>
          </w:tcPr>
          <w:p w14:paraId="58F0BA82"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1 (16.7)</w:t>
            </w:r>
          </w:p>
        </w:tc>
        <w:tc>
          <w:tcPr>
            <w:tcW w:w="1273" w:type="dxa"/>
          </w:tcPr>
          <w:p w14:paraId="262FE891"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1 (4.3)</w:t>
            </w:r>
          </w:p>
        </w:tc>
        <w:tc>
          <w:tcPr>
            <w:tcW w:w="1285" w:type="dxa"/>
          </w:tcPr>
          <w:p w14:paraId="16F9C644"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i/>
                <w:iCs/>
                <w:spacing w:val="-2"/>
                <w:w w:val="105"/>
              </w:rPr>
            </w:pPr>
            <w:r w:rsidRPr="00AF68CB">
              <w:rPr>
                <w:i/>
                <w:iCs/>
                <w:spacing w:val="-2"/>
                <w:w w:val="105"/>
              </w:rPr>
              <w:t>2 (5.1)</w:t>
            </w:r>
          </w:p>
        </w:tc>
      </w:tr>
      <w:tr w:rsidR="00AF68CB" w:rsidRPr="00AF68CB" w14:paraId="09DF67BD"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029B4AFE" w14:textId="77777777" w:rsidR="00AF68CB" w:rsidRPr="00AF68CB" w:rsidRDefault="00AF68CB" w:rsidP="00B67020">
            <w:pPr>
              <w:rPr>
                <w:w w:val="105"/>
              </w:rPr>
            </w:pPr>
            <w:r w:rsidRPr="00AF68CB">
              <w:rPr>
                <w:spacing w:val="-2"/>
                <w:w w:val="105"/>
              </w:rPr>
              <w:t>Time to first response</w:t>
            </w:r>
          </w:p>
        </w:tc>
        <w:tc>
          <w:tcPr>
            <w:tcW w:w="1276" w:type="dxa"/>
          </w:tcPr>
          <w:p w14:paraId="1A989DF6"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77" w:type="dxa"/>
          </w:tcPr>
          <w:p w14:paraId="6BF095DF"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77" w:type="dxa"/>
          </w:tcPr>
          <w:p w14:paraId="07B28300"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73" w:type="dxa"/>
          </w:tcPr>
          <w:p w14:paraId="66585B8F"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85" w:type="dxa"/>
          </w:tcPr>
          <w:p w14:paraId="66BD5E81"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r>
      <w:tr w:rsidR="00AF68CB" w:rsidRPr="00AF68CB" w14:paraId="3BF33EA4"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5A9B6E36" w14:textId="77777777" w:rsidR="00AF68CB" w:rsidRPr="00AF68CB" w:rsidRDefault="00AF68CB" w:rsidP="00B67020">
            <w:pPr>
              <w:rPr>
                <w:w w:val="105"/>
              </w:rPr>
            </w:pPr>
            <w:r w:rsidRPr="00AF68CB">
              <w:rPr>
                <w:bCs/>
                <w:spacing w:val="-2"/>
                <w:w w:val="105"/>
              </w:rPr>
              <w:t>Median (range), months</w:t>
            </w:r>
          </w:p>
        </w:tc>
        <w:tc>
          <w:tcPr>
            <w:tcW w:w="1276" w:type="dxa"/>
          </w:tcPr>
          <w:p w14:paraId="17E0026F"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1.8 (1.6, 2.2)</w:t>
            </w:r>
          </w:p>
        </w:tc>
        <w:tc>
          <w:tcPr>
            <w:tcW w:w="1277" w:type="dxa"/>
          </w:tcPr>
          <w:p w14:paraId="07CA169F"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1.8 (1.4, 10.9)</w:t>
            </w:r>
          </w:p>
        </w:tc>
        <w:tc>
          <w:tcPr>
            <w:tcW w:w="1277" w:type="dxa"/>
          </w:tcPr>
          <w:p w14:paraId="6ED29160"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NA</w:t>
            </w:r>
          </w:p>
        </w:tc>
        <w:tc>
          <w:tcPr>
            <w:tcW w:w="1273" w:type="dxa"/>
          </w:tcPr>
          <w:p w14:paraId="1F1FF1E2"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1.9 (1.7, 5.5)</w:t>
            </w:r>
          </w:p>
        </w:tc>
        <w:tc>
          <w:tcPr>
            <w:tcW w:w="1285" w:type="dxa"/>
          </w:tcPr>
          <w:p w14:paraId="278F350F"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1.9 (1.4, 10.9)</w:t>
            </w:r>
          </w:p>
        </w:tc>
      </w:tr>
      <w:tr w:rsidR="00AF68CB" w:rsidRPr="00AF68CB" w14:paraId="2E777B0E"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7DB6EA46" w14:textId="77777777" w:rsidR="00AF68CB" w:rsidRPr="00AF68CB" w:rsidRDefault="00AF68CB" w:rsidP="00B67020">
            <w:pPr>
              <w:rPr>
                <w:w w:val="105"/>
              </w:rPr>
            </w:pPr>
            <w:r w:rsidRPr="00AF68CB">
              <w:rPr>
                <w:w w:val="105"/>
              </w:rPr>
              <w:t>Duration of IC response (IC-</w:t>
            </w:r>
            <w:proofErr w:type="spellStart"/>
            <w:r w:rsidRPr="00AF68CB">
              <w:rPr>
                <w:w w:val="105"/>
              </w:rPr>
              <w:t>DoR</w:t>
            </w:r>
            <w:proofErr w:type="spellEnd"/>
            <w:r w:rsidRPr="00AF68CB">
              <w:rPr>
                <w:w w:val="105"/>
              </w:rPr>
              <w:t>)</w:t>
            </w:r>
          </w:p>
        </w:tc>
        <w:tc>
          <w:tcPr>
            <w:tcW w:w="1276" w:type="dxa"/>
          </w:tcPr>
          <w:p w14:paraId="6D467151"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77" w:type="dxa"/>
          </w:tcPr>
          <w:p w14:paraId="4276343A"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77" w:type="dxa"/>
          </w:tcPr>
          <w:p w14:paraId="4BBE5C0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73" w:type="dxa"/>
          </w:tcPr>
          <w:p w14:paraId="60DD52E8"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85" w:type="dxa"/>
          </w:tcPr>
          <w:p w14:paraId="25C26A5F"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r>
      <w:tr w:rsidR="00AF68CB" w:rsidRPr="00AF68CB" w14:paraId="03D255DC"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38B898EF" w14:textId="77777777" w:rsidR="00AF68CB" w:rsidRPr="00AF68CB" w:rsidRDefault="00AF68CB" w:rsidP="00B67020">
            <w:pPr>
              <w:rPr>
                <w:w w:val="105"/>
              </w:rPr>
            </w:pPr>
            <w:r w:rsidRPr="00AF68CB">
              <w:rPr>
                <w:bCs/>
                <w:w w:val="105"/>
              </w:rPr>
              <w:t>Median (95% CI),</w:t>
            </w:r>
            <w:r w:rsidRPr="00AF68CB">
              <w:rPr>
                <w:bCs/>
                <w:spacing w:val="-2"/>
                <w:w w:val="105"/>
              </w:rPr>
              <w:t xml:space="preserve"> </w:t>
            </w:r>
            <w:r w:rsidRPr="00AF68CB">
              <w:rPr>
                <w:bCs/>
                <w:spacing w:val="-2"/>
              </w:rPr>
              <w:t>months</w:t>
            </w:r>
          </w:p>
        </w:tc>
        <w:tc>
          <w:tcPr>
            <w:tcW w:w="1276" w:type="dxa"/>
          </w:tcPr>
          <w:p w14:paraId="1CCFE24B"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28 (23, NE)</w:t>
            </w:r>
          </w:p>
        </w:tc>
        <w:tc>
          <w:tcPr>
            <w:tcW w:w="1277" w:type="dxa"/>
          </w:tcPr>
          <w:p w14:paraId="6E290613"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t>NE</w:t>
            </w:r>
            <w:r w:rsidRPr="00AF68CB">
              <w:rPr>
                <w:spacing w:val="-3"/>
              </w:rPr>
              <w:t xml:space="preserve"> </w:t>
            </w:r>
            <w:r w:rsidRPr="00AF68CB">
              <w:t>(4,</w:t>
            </w:r>
            <w:r w:rsidRPr="00AF68CB">
              <w:rPr>
                <w:spacing w:val="-2"/>
              </w:rPr>
              <w:t xml:space="preserve"> </w:t>
            </w:r>
            <w:r w:rsidRPr="00AF68CB">
              <w:rPr>
                <w:spacing w:val="-5"/>
              </w:rPr>
              <w:t>NE)</w:t>
            </w:r>
          </w:p>
        </w:tc>
        <w:tc>
          <w:tcPr>
            <w:tcW w:w="1277" w:type="dxa"/>
          </w:tcPr>
          <w:p w14:paraId="36DAF4E6"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NA</w:t>
            </w:r>
          </w:p>
        </w:tc>
        <w:tc>
          <w:tcPr>
            <w:tcW w:w="1273" w:type="dxa"/>
          </w:tcPr>
          <w:p w14:paraId="08F1E7E9"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t>NE</w:t>
            </w:r>
            <w:r w:rsidRPr="00AF68CB">
              <w:rPr>
                <w:spacing w:val="-5"/>
              </w:rPr>
              <w:t xml:space="preserve"> </w:t>
            </w:r>
            <w:r w:rsidRPr="00AF68CB">
              <w:t>(18,</w:t>
            </w:r>
            <w:r w:rsidRPr="00AF68CB">
              <w:rPr>
                <w:spacing w:val="-3"/>
              </w:rPr>
              <w:t xml:space="preserve"> </w:t>
            </w:r>
            <w:r w:rsidRPr="00AF68CB">
              <w:rPr>
                <w:spacing w:val="-5"/>
              </w:rPr>
              <w:t>NE)</w:t>
            </w:r>
          </w:p>
        </w:tc>
        <w:tc>
          <w:tcPr>
            <w:tcW w:w="1285" w:type="dxa"/>
          </w:tcPr>
          <w:p w14:paraId="435A8CA4"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t>NE</w:t>
            </w:r>
            <w:r w:rsidRPr="00AF68CB">
              <w:rPr>
                <w:spacing w:val="-5"/>
              </w:rPr>
              <w:t xml:space="preserve"> </w:t>
            </w:r>
            <w:r w:rsidRPr="00AF68CB">
              <w:t>(18,</w:t>
            </w:r>
            <w:r w:rsidRPr="00AF68CB">
              <w:rPr>
                <w:spacing w:val="-3"/>
              </w:rPr>
              <w:t xml:space="preserve"> </w:t>
            </w:r>
            <w:r w:rsidRPr="00AF68CB">
              <w:rPr>
                <w:spacing w:val="-5"/>
              </w:rPr>
              <w:t>NE)</w:t>
            </w:r>
          </w:p>
        </w:tc>
      </w:tr>
      <w:tr w:rsidR="00AF68CB" w:rsidRPr="00AF68CB" w14:paraId="1A1AF9D4"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37348A13" w14:textId="77777777" w:rsidR="00AF68CB" w:rsidRPr="00AF68CB" w:rsidRDefault="00AF68CB" w:rsidP="00B67020">
            <w:pPr>
              <w:rPr>
                <w:w w:val="105"/>
              </w:rPr>
            </w:pPr>
            <w:r w:rsidRPr="00AF68CB">
              <w:rPr>
                <w:w w:val="105"/>
              </w:rPr>
              <w:t>Min,</w:t>
            </w:r>
            <w:r w:rsidRPr="00AF68CB">
              <w:rPr>
                <w:spacing w:val="-9"/>
                <w:w w:val="105"/>
              </w:rPr>
              <w:t xml:space="preserve"> </w:t>
            </w:r>
            <w:r w:rsidRPr="00AF68CB">
              <w:rPr>
                <w:spacing w:val="-5"/>
                <w:w w:val="105"/>
              </w:rPr>
              <w:t>Max</w:t>
            </w:r>
          </w:p>
        </w:tc>
        <w:tc>
          <w:tcPr>
            <w:tcW w:w="1276" w:type="dxa"/>
          </w:tcPr>
          <w:p w14:paraId="75A1DABC"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1.9+, 35.1+</w:t>
            </w:r>
          </w:p>
        </w:tc>
        <w:tc>
          <w:tcPr>
            <w:tcW w:w="1277" w:type="dxa"/>
          </w:tcPr>
          <w:p w14:paraId="5D514459"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t>1.8+,</w:t>
            </w:r>
            <w:r w:rsidRPr="00AF68CB">
              <w:rPr>
                <w:spacing w:val="-4"/>
              </w:rPr>
              <w:t xml:space="preserve"> </w:t>
            </w:r>
            <w:r w:rsidRPr="00AF68CB">
              <w:rPr>
                <w:spacing w:val="-2"/>
              </w:rPr>
              <w:t>11.5+</w:t>
            </w:r>
          </w:p>
        </w:tc>
        <w:tc>
          <w:tcPr>
            <w:tcW w:w="1277" w:type="dxa"/>
          </w:tcPr>
          <w:p w14:paraId="11B7F376"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spacing w:val="-5"/>
              </w:rPr>
              <w:t>NA</w:t>
            </w:r>
          </w:p>
        </w:tc>
        <w:tc>
          <w:tcPr>
            <w:tcW w:w="1273" w:type="dxa"/>
          </w:tcPr>
          <w:p w14:paraId="5903A346"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t>2.7,</w:t>
            </w:r>
            <w:r w:rsidRPr="00AF68CB">
              <w:rPr>
                <w:spacing w:val="-2"/>
              </w:rPr>
              <w:t xml:space="preserve"> 26.0+</w:t>
            </w:r>
          </w:p>
        </w:tc>
        <w:tc>
          <w:tcPr>
            <w:tcW w:w="1285" w:type="dxa"/>
          </w:tcPr>
          <w:p w14:paraId="7B9B911D"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t>1.8+,</w:t>
            </w:r>
            <w:r w:rsidRPr="00AF68CB">
              <w:rPr>
                <w:spacing w:val="-4"/>
              </w:rPr>
              <w:t xml:space="preserve"> </w:t>
            </w:r>
            <w:r w:rsidRPr="00AF68CB">
              <w:rPr>
                <w:spacing w:val="-2"/>
              </w:rPr>
              <w:t>26.0+</w:t>
            </w:r>
          </w:p>
        </w:tc>
      </w:tr>
      <w:tr w:rsidR="00AF68CB" w:rsidRPr="00AF68CB" w14:paraId="59B37201"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17EEE9E6" w14:textId="77777777" w:rsidR="00AF68CB" w:rsidRPr="00AF68CB" w:rsidRDefault="00AF68CB" w:rsidP="00B67020">
            <w:pPr>
              <w:rPr>
                <w:w w:val="105"/>
              </w:rPr>
            </w:pPr>
            <w:r w:rsidRPr="00AF68CB">
              <w:lastRenderedPageBreak/>
              <w:t>KM estimated landmarks</w:t>
            </w:r>
          </w:p>
        </w:tc>
        <w:tc>
          <w:tcPr>
            <w:tcW w:w="1276" w:type="dxa"/>
          </w:tcPr>
          <w:p w14:paraId="438FD2A7"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77" w:type="dxa"/>
          </w:tcPr>
          <w:p w14:paraId="7F91300C"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77" w:type="dxa"/>
          </w:tcPr>
          <w:p w14:paraId="7FED4553"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73" w:type="dxa"/>
          </w:tcPr>
          <w:p w14:paraId="4C8982DA"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c>
          <w:tcPr>
            <w:tcW w:w="1285" w:type="dxa"/>
          </w:tcPr>
          <w:p w14:paraId="526DCF38"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p>
        </w:tc>
      </w:tr>
      <w:tr w:rsidR="00AF68CB" w:rsidRPr="00AF68CB" w14:paraId="6DC54549"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54298853" w14:textId="77777777" w:rsidR="00AF68CB" w:rsidRPr="00AF68CB" w:rsidRDefault="00AF68CB" w:rsidP="00B67020">
            <w:pPr>
              <w:rPr>
                <w:w w:val="105"/>
              </w:rPr>
            </w:pPr>
            <w:r w:rsidRPr="00AF68CB">
              <w:t>% of IC responses persisting ≥12 months</w:t>
            </w:r>
          </w:p>
        </w:tc>
        <w:tc>
          <w:tcPr>
            <w:tcW w:w="1276" w:type="dxa"/>
          </w:tcPr>
          <w:p w14:paraId="585FAA93"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78</w:t>
            </w:r>
          </w:p>
        </w:tc>
        <w:tc>
          <w:tcPr>
            <w:tcW w:w="1277" w:type="dxa"/>
          </w:tcPr>
          <w:p w14:paraId="691F9BBF"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NE</w:t>
            </w:r>
            <w:r w:rsidRPr="00AF68CB">
              <w:rPr>
                <w:w w:val="105"/>
                <w:vertAlign w:val="superscript"/>
              </w:rPr>
              <w:t>3</w:t>
            </w:r>
          </w:p>
        </w:tc>
        <w:tc>
          <w:tcPr>
            <w:tcW w:w="1277" w:type="dxa"/>
          </w:tcPr>
          <w:p w14:paraId="7CA6E020"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spacing w:val="-5"/>
              </w:rPr>
              <w:t>NA</w:t>
            </w:r>
          </w:p>
        </w:tc>
        <w:tc>
          <w:tcPr>
            <w:tcW w:w="1273" w:type="dxa"/>
          </w:tcPr>
          <w:p w14:paraId="28F1217D"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80</w:t>
            </w:r>
          </w:p>
        </w:tc>
        <w:tc>
          <w:tcPr>
            <w:tcW w:w="1285" w:type="dxa"/>
          </w:tcPr>
          <w:p w14:paraId="459E879C"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75</w:t>
            </w:r>
          </w:p>
        </w:tc>
      </w:tr>
      <w:tr w:rsidR="00AF68CB" w:rsidRPr="00AF68CB" w14:paraId="4D8FF42E" w14:textId="77777777" w:rsidTr="00B67020">
        <w:trPr>
          <w:trHeight w:val="20"/>
        </w:trPr>
        <w:tc>
          <w:tcPr>
            <w:cnfStyle w:val="001000000000" w:firstRow="0" w:lastRow="0" w:firstColumn="1" w:lastColumn="0" w:oddVBand="0" w:evenVBand="0" w:oddHBand="0" w:evenHBand="0" w:firstRowFirstColumn="0" w:firstRowLastColumn="0" w:lastRowFirstColumn="0" w:lastRowLastColumn="0"/>
            <w:tcW w:w="2400" w:type="dxa"/>
          </w:tcPr>
          <w:p w14:paraId="43FFE4A6" w14:textId="77777777" w:rsidR="00AF68CB" w:rsidRPr="00AF68CB" w:rsidRDefault="00AF68CB" w:rsidP="00B67020">
            <w:pPr>
              <w:rPr>
                <w:w w:val="105"/>
              </w:rPr>
            </w:pPr>
            <w:r w:rsidRPr="00AF68CB">
              <w:t>% of IC responses persisting ≥24 months</w:t>
            </w:r>
          </w:p>
        </w:tc>
        <w:tc>
          <w:tcPr>
            <w:tcW w:w="1276" w:type="dxa"/>
          </w:tcPr>
          <w:p w14:paraId="4AF39A22"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62</w:t>
            </w:r>
          </w:p>
        </w:tc>
        <w:tc>
          <w:tcPr>
            <w:tcW w:w="1277" w:type="dxa"/>
          </w:tcPr>
          <w:p w14:paraId="7E6CDE6B"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NE</w:t>
            </w:r>
          </w:p>
        </w:tc>
        <w:tc>
          <w:tcPr>
            <w:tcW w:w="1277" w:type="dxa"/>
          </w:tcPr>
          <w:p w14:paraId="319DA76F"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spacing w:val="-5"/>
              </w:rPr>
              <w:t>NA</w:t>
            </w:r>
          </w:p>
        </w:tc>
        <w:tc>
          <w:tcPr>
            <w:tcW w:w="1273" w:type="dxa"/>
          </w:tcPr>
          <w:p w14:paraId="082D0AD8"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53</w:t>
            </w:r>
          </w:p>
        </w:tc>
        <w:tc>
          <w:tcPr>
            <w:tcW w:w="1285" w:type="dxa"/>
          </w:tcPr>
          <w:p w14:paraId="4305B8D1" w14:textId="77777777" w:rsidR="00AF68CB" w:rsidRPr="00AF68CB" w:rsidRDefault="00AF68CB" w:rsidP="00B67020">
            <w:pPr>
              <w:cnfStyle w:val="000000000000" w:firstRow="0" w:lastRow="0" w:firstColumn="0" w:lastColumn="0" w:oddVBand="0" w:evenVBand="0" w:oddHBand="0" w:evenHBand="0" w:firstRowFirstColumn="0" w:firstRowLastColumn="0" w:lastRowFirstColumn="0" w:lastRowLastColumn="0"/>
              <w:rPr>
                <w:w w:val="105"/>
              </w:rPr>
            </w:pPr>
            <w:r w:rsidRPr="00AF68CB">
              <w:rPr>
                <w:w w:val="105"/>
              </w:rPr>
              <w:t>50</w:t>
            </w:r>
          </w:p>
        </w:tc>
      </w:tr>
    </w:tbl>
    <w:p w14:paraId="7F1A339B" w14:textId="6101CBD5" w:rsidR="00326129" w:rsidRPr="00326129" w:rsidRDefault="00840112" w:rsidP="00326129">
      <w:pPr>
        <w:pStyle w:val="TableDescription"/>
      </w:pPr>
      <w:r>
        <w:t>CR</w:t>
      </w:r>
      <w:r w:rsidR="0047068B">
        <w:t xml:space="preserve">= complete response; </w:t>
      </w:r>
      <w:r w:rsidR="00326129" w:rsidRPr="00326129">
        <w:t>KM = Kaplan-Meier; NE = not estimable;</w:t>
      </w:r>
      <w:r w:rsidR="0047068B">
        <w:t xml:space="preserve"> </w:t>
      </w:r>
      <w:r w:rsidR="004D1326">
        <w:t xml:space="preserve">PD; progressive disease; </w:t>
      </w:r>
      <w:r w:rsidR="0047068B">
        <w:t xml:space="preserve">PR=partial response; SD=stable disease; </w:t>
      </w:r>
      <w:r w:rsidR="004D1326" w:rsidRPr="004D1326">
        <w:t>+ denotes ongoing response</w:t>
      </w:r>
      <w:r w:rsidR="004D1326">
        <w:t xml:space="preserve">. </w:t>
      </w:r>
    </w:p>
    <w:p w14:paraId="5E381356" w14:textId="77777777" w:rsidR="00326129" w:rsidRDefault="00326129" w:rsidP="009175CE">
      <w:pPr>
        <w:pStyle w:val="TableDescription"/>
        <w:numPr>
          <w:ilvl w:val="0"/>
          <w:numId w:val="19"/>
        </w:numPr>
      </w:pPr>
      <w:r w:rsidRPr="00326129">
        <w:t>Confirmed responses</w:t>
      </w:r>
    </w:p>
    <w:p w14:paraId="06BD002C" w14:textId="7CD04D72" w:rsidR="00326129" w:rsidRPr="00326129" w:rsidRDefault="00326129" w:rsidP="009175CE">
      <w:pPr>
        <w:pStyle w:val="TableDescription"/>
        <w:numPr>
          <w:ilvl w:val="0"/>
          <w:numId w:val="19"/>
        </w:numPr>
      </w:pPr>
      <w:r w:rsidRPr="00326129">
        <w:t xml:space="preserve">Confirmed responses. Expanded phase 2 set; phase 1 patients not pooled. </w:t>
      </w:r>
    </w:p>
    <w:p w14:paraId="1BBC532E" w14:textId="77777777" w:rsidR="00326129" w:rsidRDefault="00326129" w:rsidP="00326129">
      <w:pPr>
        <w:pStyle w:val="TableDescription"/>
        <w:numPr>
          <w:ilvl w:val="0"/>
          <w:numId w:val="19"/>
        </w:numPr>
      </w:pPr>
      <w:r w:rsidRPr="00326129">
        <w:t>One of two IC-responses in EXP-2 was ongoing and had lasted more than 6 months at time of analysis.</w:t>
      </w:r>
    </w:p>
    <w:p w14:paraId="711C8259" w14:textId="77777777" w:rsidR="001A1381" w:rsidRDefault="001A1381" w:rsidP="001A1381">
      <w:pPr>
        <w:pStyle w:val="Heading5"/>
      </w:pPr>
      <w:r>
        <w:t>Subgroups and sensitivity analyses</w:t>
      </w:r>
    </w:p>
    <w:p w14:paraId="6DC194E1" w14:textId="77777777" w:rsidR="001A1381" w:rsidRPr="00355A6D" w:rsidRDefault="001A1381" w:rsidP="001A1381">
      <w:r>
        <w:t xml:space="preserve">Subgroup analyses broadly showed similar efficacy amongst subgroups. Some </w:t>
      </w:r>
      <w:proofErr w:type="gramStart"/>
      <w:r>
        <w:t>particular groups</w:t>
      </w:r>
      <w:proofErr w:type="gramEnd"/>
      <w:r>
        <w:t xml:space="preserve"> of interest are described below. </w:t>
      </w:r>
    </w:p>
    <w:p w14:paraId="36796204" w14:textId="77777777" w:rsidR="001A1381" w:rsidRDefault="001A1381" w:rsidP="001A1381">
      <w:pPr>
        <w:pStyle w:val="Heading6"/>
      </w:pPr>
      <w:r>
        <w:t>Resistance mutations at baseline</w:t>
      </w:r>
    </w:p>
    <w:p w14:paraId="69B20B0B" w14:textId="77777777" w:rsidR="001A1381" w:rsidRDefault="001A1381" w:rsidP="001A1381">
      <w:r>
        <w:t xml:space="preserve">Amongst patients with resistance mutations (n=45), 22 (49%) had an objective response, which is in line with the overall population ORR. Amongst patients with a </w:t>
      </w:r>
      <w:r w:rsidRPr="006808DF">
        <w:rPr>
          <w:i/>
          <w:iCs/>
        </w:rPr>
        <w:t>ROS1</w:t>
      </w:r>
      <w:r>
        <w:t xml:space="preserve"> G2032R mutation at baseline (n=17), ten had an objective response (59% (33, 82). </w:t>
      </w:r>
    </w:p>
    <w:p w14:paraId="6E5E8BCC" w14:textId="77777777" w:rsidR="001A1381" w:rsidRDefault="001A1381" w:rsidP="001A1381">
      <w:pPr>
        <w:pStyle w:val="Heading6"/>
      </w:pPr>
      <w:r w:rsidRPr="00393659">
        <w:t>Efficacy after specific TKIs</w:t>
      </w:r>
    </w:p>
    <w:p w14:paraId="3C25F30B" w14:textId="093B4A4C" w:rsidR="001A1381" w:rsidRPr="00374B96" w:rsidRDefault="001A1381" w:rsidP="001A1381">
      <w:r>
        <w:t>Subgroup results for ORR by prior TKI (</w:t>
      </w:r>
      <w:r>
        <w:fldChar w:fldCharType="begin"/>
      </w:r>
      <w:r>
        <w:instrText xml:space="preserve"> REF _Ref197358883 \h </w:instrText>
      </w:r>
      <w:r>
        <w:fldChar w:fldCharType="separate"/>
      </w:r>
      <w:r>
        <w:t xml:space="preserve">Table </w:t>
      </w:r>
      <w:r>
        <w:fldChar w:fldCharType="end"/>
      </w:r>
      <w:r w:rsidR="00CD7106">
        <w:t>9</w:t>
      </w:r>
      <w:r>
        <w:t xml:space="preserve">) does not identify a signal for differential treatment effect on this basis. </w:t>
      </w:r>
    </w:p>
    <w:p w14:paraId="16E9B00F" w14:textId="420A8B6C" w:rsidR="001A1381" w:rsidRDefault="001A1381" w:rsidP="001A1381">
      <w:pPr>
        <w:pStyle w:val="TableTitle"/>
      </w:pPr>
      <w:bookmarkStart w:id="54" w:name="_Ref197358883"/>
      <w:r>
        <w:t xml:space="preserve">Table </w:t>
      </w:r>
      <w:bookmarkEnd w:id="54"/>
      <w:r w:rsidR="00CD7106">
        <w:t>9</w:t>
      </w:r>
      <w:r>
        <w:t>. ORR in TRIDENT-1 for subgroups based on prior ROS1 TKI (DCO 15 October 2023), per the EPAR</w:t>
      </w:r>
      <w:r w:rsidR="0008760E">
        <w:rPr>
          <w:rStyle w:val="FootnoteReference"/>
        </w:rPr>
        <w:footnoteReference w:id="70"/>
      </w:r>
    </w:p>
    <w:tbl>
      <w:tblPr>
        <w:tblStyle w:val="TableTGAblue2023"/>
        <w:tblW w:w="9084" w:type="dxa"/>
        <w:tblLayout w:type="fixed"/>
        <w:tblLook w:val="01E0" w:firstRow="1" w:lastRow="1" w:firstColumn="1" w:lastColumn="1" w:noHBand="0" w:noVBand="0"/>
      </w:tblPr>
      <w:tblGrid>
        <w:gridCol w:w="1833"/>
        <w:gridCol w:w="1276"/>
        <w:gridCol w:w="1275"/>
        <w:gridCol w:w="1134"/>
        <w:gridCol w:w="1135"/>
        <w:gridCol w:w="2417"/>
        <w:gridCol w:w="14"/>
      </w:tblGrid>
      <w:tr w:rsidR="00440497" w:rsidRPr="00152BC1" w14:paraId="4A343BC3" w14:textId="77777777" w:rsidTr="00B6702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3" w:type="dxa"/>
          </w:tcPr>
          <w:p w14:paraId="0EF71E64" w14:textId="77777777" w:rsidR="00152BC1" w:rsidRPr="00152BC1" w:rsidRDefault="00152BC1" w:rsidP="00B67020"/>
        </w:tc>
        <w:tc>
          <w:tcPr>
            <w:tcW w:w="1276" w:type="dxa"/>
          </w:tcPr>
          <w:p w14:paraId="3955A0AB" w14:textId="77777777" w:rsidR="00152BC1" w:rsidRPr="00152BC1" w:rsidRDefault="00152BC1" w:rsidP="00B67020">
            <w:pPr>
              <w:cnfStyle w:val="100000000000" w:firstRow="1" w:lastRow="0" w:firstColumn="0" w:lastColumn="0" w:oddVBand="0" w:evenVBand="0" w:oddHBand="0" w:evenHBand="0" w:firstRowFirstColumn="0" w:firstRowLastColumn="0" w:lastRowFirstColumn="0" w:lastRowLastColumn="0"/>
              <w:rPr>
                <w:b w:val="0"/>
              </w:rPr>
            </w:pPr>
            <w:r w:rsidRPr="00152BC1">
              <w:t>TKI-</w:t>
            </w:r>
            <w:r w:rsidRPr="00152BC1">
              <w:rPr>
                <w:spacing w:val="-2"/>
              </w:rPr>
              <w:t>naïve</w:t>
            </w:r>
            <w:r w:rsidRPr="00152BC1">
              <w:rPr>
                <w:b w:val="0"/>
              </w:rPr>
              <w:t xml:space="preserve"> </w:t>
            </w:r>
          </w:p>
        </w:tc>
        <w:tc>
          <w:tcPr>
            <w:tcW w:w="5975" w:type="dxa"/>
            <w:gridSpan w:val="5"/>
          </w:tcPr>
          <w:p w14:paraId="25019EC2" w14:textId="77777777" w:rsidR="00152BC1" w:rsidRPr="00152BC1" w:rsidRDefault="00152BC1" w:rsidP="00B67020">
            <w:pPr>
              <w:cnfStyle w:val="100000000000" w:firstRow="1" w:lastRow="0" w:firstColumn="0" w:lastColumn="0" w:oddVBand="0" w:evenVBand="0" w:oddHBand="0" w:evenHBand="0" w:firstRowFirstColumn="0" w:firstRowLastColumn="0" w:lastRowFirstColumn="0" w:lastRowLastColumn="0"/>
              <w:rPr>
                <w:b w:val="0"/>
                <w:szCs w:val="22"/>
              </w:rPr>
            </w:pPr>
            <w:r w:rsidRPr="00152BC1">
              <w:rPr>
                <w:szCs w:val="22"/>
              </w:rPr>
              <w:t xml:space="preserve">TKI-pretreated </w:t>
            </w:r>
          </w:p>
        </w:tc>
      </w:tr>
      <w:tr w:rsidR="00CD7106" w:rsidRPr="00152BC1" w14:paraId="524085FB" w14:textId="77777777" w:rsidTr="00B67020">
        <w:trPr>
          <w:gridAfter w:val="1"/>
          <w:wAfter w:w="14" w:type="dxa"/>
          <w:trHeight w:val="20"/>
        </w:trPr>
        <w:tc>
          <w:tcPr>
            <w:cnfStyle w:val="001000000000" w:firstRow="0" w:lastRow="0" w:firstColumn="1" w:lastColumn="0" w:oddVBand="0" w:evenVBand="0" w:oddHBand="0" w:evenHBand="0" w:firstRowFirstColumn="0" w:firstRowLastColumn="0" w:lastRowFirstColumn="0" w:lastRowLastColumn="0"/>
            <w:tcW w:w="1833" w:type="dxa"/>
            <w:vMerge w:val="restart"/>
          </w:tcPr>
          <w:p w14:paraId="50E58606" w14:textId="77777777" w:rsidR="00152BC1" w:rsidRPr="00152BC1" w:rsidRDefault="00152BC1" w:rsidP="00B67020"/>
        </w:tc>
        <w:tc>
          <w:tcPr>
            <w:tcW w:w="1276" w:type="dxa"/>
          </w:tcPr>
          <w:p w14:paraId="10537A63"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EXP-</w:t>
            </w:r>
            <w:r w:rsidRPr="00152BC1">
              <w:rPr>
                <w:spacing w:val="-10"/>
              </w:rPr>
              <w:t>1</w:t>
            </w:r>
          </w:p>
        </w:tc>
        <w:tc>
          <w:tcPr>
            <w:tcW w:w="1275" w:type="dxa"/>
          </w:tcPr>
          <w:p w14:paraId="6D8AD226"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EXP-</w:t>
            </w:r>
            <w:r w:rsidRPr="00152BC1">
              <w:rPr>
                <w:spacing w:val="-10"/>
              </w:rPr>
              <w:t>2</w:t>
            </w:r>
          </w:p>
        </w:tc>
        <w:tc>
          <w:tcPr>
            <w:tcW w:w="1134" w:type="dxa"/>
          </w:tcPr>
          <w:p w14:paraId="01ACDFC3"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EXP-</w:t>
            </w:r>
            <w:r w:rsidRPr="00152BC1">
              <w:rPr>
                <w:spacing w:val="-10"/>
              </w:rPr>
              <w:t>3</w:t>
            </w:r>
          </w:p>
        </w:tc>
        <w:tc>
          <w:tcPr>
            <w:tcW w:w="1135" w:type="dxa"/>
          </w:tcPr>
          <w:p w14:paraId="6010FB4D"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EXP-</w:t>
            </w:r>
            <w:r w:rsidRPr="00152BC1">
              <w:rPr>
                <w:spacing w:val="-10"/>
              </w:rPr>
              <w:t>4</w:t>
            </w:r>
          </w:p>
        </w:tc>
        <w:tc>
          <w:tcPr>
            <w:tcW w:w="2417" w:type="dxa"/>
          </w:tcPr>
          <w:p w14:paraId="0685B369"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rPr>
                <w:spacing w:val="-2"/>
                <w:w w:val="105"/>
              </w:rPr>
              <w:t>Pre- treated (pooled)</w:t>
            </w:r>
          </w:p>
        </w:tc>
      </w:tr>
      <w:tr w:rsidR="00CD7106" w:rsidRPr="00152BC1" w14:paraId="632EC2E3" w14:textId="77777777" w:rsidTr="00B67020">
        <w:trPr>
          <w:gridAfter w:val="1"/>
          <w:wAfter w:w="14" w:type="dxa"/>
          <w:trHeight w:val="20"/>
        </w:trPr>
        <w:tc>
          <w:tcPr>
            <w:cnfStyle w:val="001000000000" w:firstRow="0" w:lastRow="0" w:firstColumn="1" w:lastColumn="0" w:oddVBand="0" w:evenVBand="0" w:oddHBand="0" w:evenHBand="0" w:firstRowFirstColumn="0" w:firstRowLastColumn="0" w:lastRowFirstColumn="0" w:lastRowLastColumn="0"/>
            <w:tcW w:w="1833" w:type="dxa"/>
            <w:vMerge/>
          </w:tcPr>
          <w:p w14:paraId="1060C8ED" w14:textId="77777777" w:rsidR="00152BC1" w:rsidRPr="00152BC1" w:rsidRDefault="00152BC1" w:rsidP="00B67020">
            <w:pPr>
              <w:rPr>
                <w:szCs w:val="22"/>
              </w:rPr>
            </w:pPr>
          </w:p>
        </w:tc>
        <w:tc>
          <w:tcPr>
            <w:tcW w:w="1276" w:type="dxa"/>
          </w:tcPr>
          <w:p w14:paraId="6C08DE4C"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rPr>
                <w:w w:val="105"/>
              </w:rPr>
              <w:t>(N</w:t>
            </w:r>
            <w:r w:rsidRPr="00152BC1">
              <w:rPr>
                <w:spacing w:val="-3"/>
                <w:w w:val="105"/>
              </w:rPr>
              <w:t xml:space="preserve"> </w:t>
            </w:r>
            <w:r w:rsidRPr="00152BC1">
              <w:rPr>
                <w:w w:val="105"/>
              </w:rPr>
              <w:t>=</w:t>
            </w:r>
            <w:r w:rsidRPr="00152BC1">
              <w:rPr>
                <w:spacing w:val="-4"/>
                <w:w w:val="105"/>
              </w:rPr>
              <w:t xml:space="preserve"> 121)</w:t>
            </w:r>
          </w:p>
        </w:tc>
        <w:tc>
          <w:tcPr>
            <w:tcW w:w="1275" w:type="dxa"/>
          </w:tcPr>
          <w:p w14:paraId="2B44FE46"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rPr>
                <w:w w:val="105"/>
              </w:rPr>
              <w:t>(N</w:t>
            </w:r>
            <w:r w:rsidRPr="00152BC1">
              <w:rPr>
                <w:spacing w:val="-3"/>
                <w:w w:val="105"/>
              </w:rPr>
              <w:t xml:space="preserve"> </w:t>
            </w:r>
            <w:r w:rsidRPr="00152BC1">
              <w:rPr>
                <w:w w:val="105"/>
              </w:rPr>
              <w:t>=</w:t>
            </w:r>
            <w:r w:rsidRPr="00152BC1">
              <w:rPr>
                <w:spacing w:val="-4"/>
                <w:w w:val="105"/>
              </w:rPr>
              <w:t xml:space="preserve"> </w:t>
            </w:r>
            <w:r w:rsidRPr="00152BC1">
              <w:rPr>
                <w:spacing w:val="-5"/>
                <w:w w:val="105"/>
              </w:rPr>
              <w:t>53)</w:t>
            </w:r>
          </w:p>
        </w:tc>
        <w:tc>
          <w:tcPr>
            <w:tcW w:w="1134" w:type="dxa"/>
          </w:tcPr>
          <w:p w14:paraId="10DB963B"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rPr>
                <w:w w:val="105"/>
              </w:rPr>
              <w:t>(N</w:t>
            </w:r>
            <w:r w:rsidRPr="00152BC1">
              <w:rPr>
                <w:spacing w:val="-3"/>
                <w:w w:val="105"/>
              </w:rPr>
              <w:t xml:space="preserve"> </w:t>
            </w:r>
            <w:r w:rsidRPr="00152BC1">
              <w:rPr>
                <w:w w:val="105"/>
              </w:rPr>
              <w:t>=</w:t>
            </w:r>
            <w:r w:rsidRPr="00152BC1">
              <w:rPr>
                <w:spacing w:val="-4"/>
                <w:w w:val="105"/>
              </w:rPr>
              <w:t xml:space="preserve"> </w:t>
            </w:r>
            <w:r w:rsidRPr="00152BC1">
              <w:rPr>
                <w:spacing w:val="-5"/>
                <w:w w:val="105"/>
              </w:rPr>
              <w:t>42)</w:t>
            </w:r>
          </w:p>
        </w:tc>
        <w:tc>
          <w:tcPr>
            <w:tcW w:w="1135" w:type="dxa"/>
          </w:tcPr>
          <w:p w14:paraId="531EFDE5"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rPr>
                <w:w w:val="105"/>
              </w:rPr>
              <w:t>(N</w:t>
            </w:r>
            <w:r w:rsidRPr="00152BC1">
              <w:rPr>
                <w:spacing w:val="-3"/>
                <w:w w:val="105"/>
              </w:rPr>
              <w:t xml:space="preserve"> </w:t>
            </w:r>
            <w:r w:rsidRPr="00152BC1">
              <w:rPr>
                <w:w w:val="105"/>
              </w:rPr>
              <w:t>=</w:t>
            </w:r>
            <w:r w:rsidRPr="00152BC1">
              <w:rPr>
                <w:spacing w:val="-4"/>
                <w:w w:val="105"/>
              </w:rPr>
              <w:t xml:space="preserve"> 107)</w:t>
            </w:r>
          </w:p>
        </w:tc>
        <w:tc>
          <w:tcPr>
            <w:tcW w:w="2417" w:type="dxa"/>
          </w:tcPr>
          <w:p w14:paraId="66FF1753"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rPr>
                <w:w w:val="105"/>
              </w:rPr>
              <w:t>(N</w:t>
            </w:r>
            <w:r w:rsidRPr="00152BC1">
              <w:rPr>
                <w:spacing w:val="-3"/>
                <w:w w:val="105"/>
              </w:rPr>
              <w:t xml:space="preserve"> </w:t>
            </w:r>
            <w:r w:rsidRPr="00152BC1">
              <w:rPr>
                <w:w w:val="105"/>
              </w:rPr>
              <w:t>=</w:t>
            </w:r>
            <w:r w:rsidRPr="00152BC1">
              <w:rPr>
                <w:spacing w:val="-4"/>
                <w:w w:val="105"/>
              </w:rPr>
              <w:t xml:space="preserve"> 202)</w:t>
            </w:r>
          </w:p>
        </w:tc>
      </w:tr>
      <w:tr w:rsidR="00152BC1" w:rsidRPr="00152BC1" w14:paraId="1006702F" w14:textId="77777777" w:rsidTr="00B67020">
        <w:trPr>
          <w:gridAfter w:val="1"/>
          <w:wAfter w:w="14" w:type="dxa"/>
          <w:trHeight w:val="20"/>
        </w:trPr>
        <w:tc>
          <w:tcPr>
            <w:cnfStyle w:val="001000000000" w:firstRow="0" w:lastRow="0" w:firstColumn="1" w:lastColumn="0" w:oddVBand="0" w:evenVBand="0" w:oddHBand="0" w:evenHBand="0" w:firstRowFirstColumn="0" w:firstRowLastColumn="0" w:lastRowFirstColumn="0" w:lastRowLastColumn="0"/>
            <w:tcW w:w="1833" w:type="dxa"/>
          </w:tcPr>
          <w:p w14:paraId="13F76259" w14:textId="77777777" w:rsidR="00152BC1" w:rsidRPr="00152BC1" w:rsidRDefault="00152BC1" w:rsidP="00B67020">
            <w:r w:rsidRPr="00152BC1">
              <w:t>Objective response rate</w:t>
            </w:r>
            <w:r w:rsidRPr="00152BC1">
              <w:rPr>
                <w:vertAlign w:val="superscript"/>
              </w:rPr>
              <w:t xml:space="preserve"> </w:t>
            </w:r>
            <w:r w:rsidRPr="00152BC1">
              <w:t>(confirmed responses)</w:t>
            </w:r>
          </w:p>
        </w:tc>
        <w:tc>
          <w:tcPr>
            <w:tcW w:w="1276" w:type="dxa"/>
          </w:tcPr>
          <w:p w14:paraId="1484A8AE"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spacing w:val="-4"/>
                <w:w w:val="105"/>
              </w:rPr>
            </w:pPr>
          </w:p>
        </w:tc>
        <w:tc>
          <w:tcPr>
            <w:tcW w:w="1275" w:type="dxa"/>
          </w:tcPr>
          <w:p w14:paraId="4047E577"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spacing w:val="-4"/>
                <w:w w:val="105"/>
              </w:rPr>
            </w:pPr>
            <w:r w:rsidRPr="00152BC1">
              <w:rPr>
                <w:spacing w:val="-4"/>
                <w:w w:val="105"/>
              </w:rPr>
              <w:t xml:space="preserve">n/N </w:t>
            </w:r>
          </w:p>
          <w:p w14:paraId="213AE04C"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spacing w:val="-4"/>
                <w:w w:val="105"/>
              </w:rPr>
            </w:pPr>
            <w:r w:rsidRPr="00152BC1">
              <w:rPr>
                <w:spacing w:val="-4"/>
                <w:w w:val="105"/>
              </w:rPr>
              <w:t>%</w:t>
            </w:r>
          </w:p>
          <w:p w14:paraId="6ABB83D2"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rPr>
                <w:spacing w:val="-4"/>
                <w:w w:val="105"/>
              </w:rPr>
              <w:t>(95% CI)</w:t>
            </w:r>
          </w:p>
        </w:tc>
        <w:tc>
          <w:tcPr>
            <w:tcW w:w="1134" w:type="dxa"/>
          </w:tcPr>
          <w:p w14:paraId="36BD02AE"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spacing w:val="-4"/>
                <w:w w:val="105"/>
              </w:rPr>
            </w:pPr>
            <w:r w:rsidRPr="00152BC1">
              <w:rPr>
                <w:spacing w:val="-4"/>
                <w:w w:val="105"/>
              </w:rPr>
              <w:t xml:space="preserve">n/N </w:t>
            </w:r>
          </w:p>
          <w:p w14:paraId="0C1C9C90"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spacing w:val="-4"/>
                <w:w w:val="105"/>
              </w:rPr>
            </w:pPr>
            <w:r w:rsidRPr="00152BC1">
              <w:rPr>
                <w:spacing w:val="-4"/>
                <w:w w:val="105"/>
              </w:rPr>
              <w:t>%</w:t>
            </w:r>
          </w:p>
          <w:p w14:paraId="40AF0180"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rPr>
                <w:spacing w:val="-4"/>
                <w:w w:val="105"/>
              </w:rPr>
              <w:t>(95% CI)</w:t>
            </w:r>
          </w:p>
        </w:tc>
        <w:tc>
          <w:tcPr>
            <w:tcW w:w="1135" w:type="dxa"/>
          </w:tcPr>
          <w:p w14:paraId="14D96664"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spacing w:val="-4"/>
                <w:w w:val="105"/>
              </w:rPr>
            </w:pPr>
            <w:r w:rsidRPr="00152BC1">
              <w:rPr>
                <w:spacing w:val="-4"/>
                <w:w w:val="105"/>
              </w:rPr>
              <w:t xml:space="preserve">n/N </w:t>
            </w:r>
          </w:p>
          <w:p w14:paraId="7339CA77"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spacing w:val="-4"/>
                <w:w w:val="105"/>
              </w:rPr>
            </w:pPr>
            <w:r w:rsidRPr="00152BC1">
              <w:rPr>
                <w:spacing w:val="-4"/>
                <w:w w:val="105"/>
              </w:rPr>
              <w:t>%</w:t>
            </w:r>
          </w:p>
          <w:p w14:paraId="0B1923A8"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rPr>
                <w:spacing w:val="-4"/>
                <w:w w:val="105"/>
              </w:rPr>
              <w:t>(95% CI)</w:t>
            </w:r>
          </w:p>
        </w:tc>
        <w:tc>
          <w:tcPr>
            <w:tcW w:w="2417" w:type="dxa"/>
          </w:tcPr>
          <w:p w14:paraId="5E799136"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spacing w:val="-4"/>
                <w:w w:val="105"/>
              </w:rPr>
            </w:pPr>
            <w:r w:rsidRPr="00152BC1">
              <w:rPr>
                <w:spacing w:val="-4"/>
                <w:w w:val="105"/>
              </w:rPr>
              <w:t xml:space="preserve">n/N </w:t>
            </w:r>
          </w:p>
          <w:p w14:paraId="78C4B2C2"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spacing w:val="-4"/>
                <w:w w:val="105"/>
              </w:rPr>
            </w:pPr>
            <w:r w:rsidRPr="00152BC1">
              <w:rPr>
                <w:spacing w:val="-4"/>
                <w:w w:val="105"/>
              </w:rPr>
              <w:t>%</w:t>
            </w:r>
          </w:p>
          <w:p w14:paraId="2D0ABD21"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rPr>
                <w:spacing w:val="-4"/>
                <w:w w:val="105"/>
              </w:rPr>
              <w:t>(95% CI)</w:t>
            </w:r>
          </w:p>
        </w:tc>
      </w:tr>
      <w:tr w:rsidR="00152BC1" w:rsidRPr="00152BC1" w14:paraId="35140663" w14:textId="77777777" w:rsidTr="00B67020">
        <w:trPr>
          <w:gridAfter w:val="1"/>
          <w:wAfter w:w="14" w:type="dxa"/>
          <w:trHeight w:val="20"/>
        </w:trPr>
        <w:tc>
          <w:tcPr>
            <w:cnfStyle w:val="001000000000" w:firstRow="0" w:lastRow="0" w:firstColumn="1" w:lastColumn="0" w:oddVBand="0" w:evenVBand="0" w:oddHBand="0" w:evenHBand="0" w:firstRowFirstColumn="0" w:firstRowLastColumn="0" w:lastRowFirstColumn="0" w:lastRowLastColumn="0"/>
            <w:tcW w:w="1833" w:type="dxa"/>
          </w:tcPr>
          <w:p w14:paraId="620A82B4" w14:textId="77777777" w:rsidR="00152BC1" w:rsidRPr="00152BC1" w:rsidRDefault="00152BC1" w:rsidP="00B67020">
            <w:r w:rsidRPr="00152BC1">
              <w:rPr>
                <w:spacing w:val="-4"/>
                <w:w w:val="105"/>
              </w:rPr>
              <w:lastRenderedPageBreak/>
              <w:t>Prior crizotinib</w:t>
            </w:r>
          </w:p>
        </w:tc>
        <w:tc>
          <w:tcPr>
            <w:tcW w:w="1276" w:type="dxa"/>
          </w:tcPr>
          <w:p w14:paraId="4845261B"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n/a</w:t>
            </w:r>
          </w:p>
        </w:tc>
        <w:tc>
          <w:tcPr>
            <w:tcW w:w="1275" w:type="dxa"/>
          </w:tcPr>
          <w:p w14:paraId="1FD3B72C"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16/41</w:t>
            </w:r>
          </w:p>
          <w:p w14:paraId="1826D2E7"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bCs/>
              </w:rPr>
            </w:pPr>
            <w:r w:rsidRPr="00152BC1">
              <w:rPr>
                <w:bCs/>
              </w:rPr>
              <w:t>39%</w:t>
            </w:r>
          </w:p>
          <w:p w14:paraId="24759913"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(24, 56)</w:t>
            </w:r>
          </w:p>
        </w:tc>
        <w:tc>
          <w:tcPr>
            <w:tcW w:w="1134" w:type="dxa"/>
          </w:tcPr>
          <w:p w14:paraId="4E7E275F"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12/39</w:t>
            </w:r>
          </w:p>
          <w:p w14:paraId="58B94D90"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bCs/>
              </w:rPr>
            </w:pPr>
            <w:r w:rsidRPr="00152BC1">
              <w:rPr>
                <w:bCs/>
              </w:rPr>
              <w:t>31%</w:t>
            </w:r>
          </w:p>
          <w:p w14:paraId="57E17649"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(17, 48)</w:t>
            </w:r>
          </w:p>
        </w:tc>
        <w:tc>
          <w:tcPr>
            <w:tcW w:w="1135" w:type="dxa"/>
          </w:tcPr>
          <w:p w14:paraId="7F83BAB6"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40/82</w:t>
            </w:r>
          </w:p>
          <w:p w14:paraId="7B9EE368"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bCs/>
              </w:rPr>
            </w:pPr>
            <w:r w:rsidRPr="00152BC1">
              <w:rPr>
                <w:bCs/>
              </w:rPr>
              <w:t>49%</w:t>
            </w:r>
          </w:p>
          <w:p w14:paraId="19870066"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(38, 60)</w:t>
            </w:r>
          </w:p>
        </w:tc>
        <w:tc>
          <w:tcPr>
            <w:tcW w:w="2417" w:type="dxa"/>
          </w:tcPr>
          <w:p w14:paraId="6B270705"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68/162</w:t>
            </w:r>
          </w:p>
          <w:p w14:paraId="53452CF9"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bCs/>
              </w:rPr>
            </w:pPr>
            <w:r w:rsidRPr="00152BC1">
              <w:rPr>
                <w:bCs/>
              </w:rPr>
              <w:t>42%</w:t>
            </w:r>
          </w:p>
          <w:p w14:paraId="1FDB2480"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(34, 50)</w:t>
            </w:r>
          </w:p>
        </w:tc>
      </w:tr>
      <w:tr w:rsidR="00152BC1" w:rsidRPr="00152BC1" w14:paraId="2BEA69EC" w14:textId="77777777" w:rsidTr="00B67020">
        <w:trPr>
          <w:gridAfter w:val="1"/>
          <w:wAfter w:w="14" w:type="dxa"/>
          <w:trHeight w:val="20"/>
        </w:trPr>
        <w:tc>
          <w:tcPr>
            <w:cnfStyle w:val="001000000000" w:firstRow="0" w:lastRow="0" w:firstColumn="1" w:lastColumn="0" w:oddVBand="0" w:evenVBand="0" w:oddHBand="0" w:evenHBand="0" w:firstRowFirstColumn="0" w:firstRowLastColumn="0" w:lastRowFirstColumn="0" w:lastRowLastColumn="0"/>
            <w:tcW w:w="1833" w:type="dxa"/>
          </w:tcPr>
          <w:p w14:paraId="5C45CD2B" w14:textId="77777777" w:rsidR="00152BC1" w:rsidRPr="00152BC1" w:rsidRDefault="00152BC1" w:rsidP="00B67020">
            <w:r w:rsidRPr="00152BC1">
              <w:rPr>
                <w:spacing w:val="-5"/>
                <w:w w:val="105"/>
              </w:rPr>
              <w:t xml:space="preserve">Prior </w:t>
            </w:r>
            <w:proofErr w:type="spellStart"/>
            <w:r w:rsidRPr="00152BC1">
              <w:rPr>
                <w:spacing w:val="-5"/>
                <w:w w:val="105"/>
              </w:rPr>
              <w:t>entrectinib</w:t>
            </w:r>
            <w:proofErr w:type="spellEnd"/>
          </w:p>
        </w:tc>
        <w:tc>
          <w:tcPr>
            <w:tcW w:w="1276" w:type="dxa"/>
          </w:tcPr>
          <w:p w14:paraId="7CDCD637"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n/a</w:t>
            </w:r>
          </w:p>
        </w:tc>
        <w:tc>
          <w:tcPr>
            <w:tcW w:w="1275" w:type="dxa"/>
          </w:tcPr>
          <w:p w14:paraId="3F12F5E4"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2/9</w:t>
            </w:r>
          </w:p>
          <w:p w14:paraId="556FF3AF"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bCs/>
              </w:rPr>
            </w:pPr>
            <w:r w:rsidRPr="00152BC1">
              <w:rPr>
                <w:bCs/>
              </w:rPr>
              <w:t>22%</w:t>
            </w:r>
          </w:p>
          <w:p w14:paraId="42E461D5"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(3, 60)</w:t>
            </w:r>
          </w:p>
        </w:tc>
        <w:tc>
          <w:tcPr>
            <w:tcW w:w="1134" w:type="dxa"/>
          </w:tcPr>
          <w:p w14:paraId="4E89F960"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6/11</w:t>
            </w:r>
          </w:p>
          <w:p w14:paraId="1E30BF47"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bCs/>
              </w:rPr>
            </w:pPr>
            <w:r w:rsidRPr="00152BC1">
              <w:rPr>
                <w:bCs/>
              </w:rPr>
              <w:t>55%</w:t>
            </w:r>
          </w:p>
          <w:p w14:paraId="4F26D3BE"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(23, 83)</w:t>
            </w:r>
          </w:p>
        </w:tc>
        <w:tc>
          <w:tcPr>
            <w:tcW w:w="1135" w:type="dxa"/>
          </w:tcPr>
          <w:p w14:paraId="1F960EC5"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10/22</w:t>
            </w:r>
          </w:p>
          <w:p w14:paraId="5AC160E0"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bCs/>
              </w:rPr>
            </w:pPr>
            <w:r w:rsidRPr="00152BC1">
              <w:rPr>
                <w:bCs/>
              </w:rPr>
              <w:t>46%</w:t>
            </w:r>
          </w:p>
          <w:p w14:paraId="47AE4BE3"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(24, 68)</w:t>
            </w:r>
          </w:p>
        </w:tc>
        <w:tc>
          <w:tcPr>
            <w:tcW w:w="2417" w:type="dxa"/>
          </w:tcPr>
          <w:p w14:paraId="04A22D7E"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18/42</w:t>
            </w:r>
          </w:p>
          <w:p w14:paraId="5CB7EF12"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rPr>
                <w:bCs/>
              </w:rPr>
            </w:pPr>
            <w:r w:rsidRPr="00152BC1">
              <w:rPr>
                <w:bCs/>
              </w:rPr>
              <w:t>43%</w:t>
            </w:r>
          </w:p>
          <w:p w14:paraId="175B7D81" w14:textId="77777777" w:rsidR="00152BC1" w:rsidRPr="00152BC1" w:rsidRDefault="00152BC1" w:rsidP="00B67020">
            <w:pPr>
              <w:cnfStyle w:val="000000000000" w:firstRow="0" w:lastRow="0" w:firstColumn="0" w:lastColumn="0" w:oddVBand="0" w:evenVBand="0" w:oddHBand="0" w:evenHBand="0" w:firstRowFirstColumn="0" w:firstRowLastColumn="0" w:lastRowFirstColumn="0" w:lastRowLastColumn="0"/>
            </w:pPr>
            <w:r w:rsidRPr="00152BC1">
              <w:t>(28, 59)</w:t>
            </w:r>
          </w:p>
        </w:tc>
      </w:tr>
    </w:tbl>
    <w:p w14:paraId="5773034B" w14:textId="0258E98E" w:rsidR="00E142B1" w:rsidRPr="00E142B1" w:rsidRDefault="00E142B1" w:rsidP="00E142B1">
      <w:pPr>
        <w:pStyle w:val="Heading5"/>
      </w:pPr>
      <w:r w:rsidRPr="00E142B1">
        <w:t xml:space="preserve">Patients who did not receive the </w:t>
      </w:r>
      <w:r w:rsidR="006946D7">
        <w:t>recommended phase 2 dose</w:t>
      </w:r>
    </w:p>
    <w:p w14:paraId="72523D5E" w14:textId="417E0501" w:rsidR="00E142B1" w:rsidRPr="00E142B1" w:rsidRDefault="00E142B1" w:rsidP="00E142B1">
      <w:r w:rsidRPr="00E142B1">
        <w:t>Amongst the dataset reviewed by FDA:</w:t>
      </w:r>
      <w:r w:rsidR="00296971">
        <w:rPr>
          <w:rStyle w:val="FootnoteReference"/>
        </w:rPr>
        <w:footnoteReference w:id="71"/>
      </w:r>
      <w:r w:rsidR="00296971" w:rsidRPr="00E142B1">
        <w:t xml:space="preserve"> </w:t>
      </w:r>
    </w:p>
    <w:p w14:paraId="58093948" w14:textId="5183A17C" w:rsidR="00E142B1" w:rsidRPr="00E142B1" w:rsidRDefault="00E142B1" w:rsidP="00E142B1">
      <w:pPr>
        <w:pStyle w:val="ListBullet"/>
      </w:pPr>
      <w:r w:rsidRPr="00E142B1">
        <w:t xml:space="preserve">Patients treated at the </w:t>
      </w:r>
      <w:r w:rsidR="006946D7" w:rsidRPr="006946D7">
        <w:t xml:space="preserve">recommended phase 2 dose </w:t>
      </w:r>
      <w:r w:rsidR="006946D7">
        <w:t>(</w:t>
      </w:r>
      <w:r w:rsidRPr="00E142B1">
        <w:t>RP2D</w:t>
      </w:r>
      <w:r w:rsidR="006946D7">
        <w:t>)</w:t>
      </w:r>
      <w:r w:rsidRPr="00E142B1">
        <w:t xml:space="preserve"> accounted for 79% of the pooled EXP-1 cohort. Among the 8 patients who were treated with doses other than the RP2D, 4 demonstrated PRs, 3 demonstrated SD and one demonstrated PD.</w:t>
      </w:r>
    </w:p>
    <w:p w14:paraId="74E75BFD" w14:textId="77777777" w:rsidR="00E142B1" w:rsidRPr="00E142B1" w:rsidRDefault="00E142B1" w:rsidP="00E142B1">
      <w:pPr>
        <w:pStyle w:val="ListBullet"/>
      </w:pPr>
      <w:r w:rsidRPr="00E142B1">
        <w:t>Patients treated at the RP2D accounted for 78.6% of the pooled EXP-4 cohort. Among the 3 patients included in the pooled EXP-4 cohort not treated at the RP2D, all patients demonstrated PRs.</w:t>
      </w:r>
    </w:p>
    <w:p w14:paraId="6AC0FB22" w14:textId="77777777" w:rsidR="00E142B1" w:rsidRPr="00E142B1" w:rsidRDefault="00E142B1" w:rsidP="004B1844">
      <w:pPr>
        <w:pStyle w:val="Heading5"/>
      </w:pPr>
      <w:r w:rsidRPr="00E142B1">
        <w:t>Repotrectinib treatment-emergent resistance mutations</w:t>
      </w:r>
    </w:p>
    <w:p w14:paraId="086F3BDE" w14:textId="09596C83" w:rsidR="00E142B1" w:rsidRPr="00E142B1" w:rsidRDefault="00E142B1" w:rsidP="00E142B1">
      <w:r w:rsidRPr="00E142B1">
        <w:t xml:space="preserve">Whilst the data are of limited interpretability due to the sensitivity of ctDNA assays, serum samples were taken at baseline and again at progression for an exploratory analysis reported in the literature of paired samples with a view to investigating </w:t>
      </w:r>
      <w:proofErr w:type="spellStart"/>
      <w:r w:rsidRPr="00E142B1">
        <w:t>repotrectinib</w:t>
      </w:r>
      <w:proofErr w:type="spellEnd"/>
      <w:r w:rsidRPr="00E142B1">
        <w:t xml:space="preserve"> resistance mechanisms.</w:t>
      </w:r>
      <w:bookmarkStart w:id="56" w:name="_Ref197356860"/>
      <w:r w:rsidR="00232493">
        <w:rPr>
          <w:rStyle w:val="FootnoteReference"/>
        </w:rPr>
        <w:footnoteReference w:id="72"/>
      </w:r>
      <w:r w:rsidRPr="00E142B1">
        <w:rPr>
          <w:vertAlign w:val="superscript"/>
        </w:rPr>
        <w:t xml:space="preserve"> </w:t>
      </w:r>
      <w:bookmarkEnd w:id="56"/>
    </w:p>
    <w:p w14:paraId="2E58786F" w14:textId="77777777" w:rsidR="00E142B1" w:rsidRPr="00E142B1" w:rsidRDefault="00E142B1" w:rsidP="00E142B1">
      <w:r w:rsidRPr="00E142B1">
        <w:t xml:space="preserve">In EXP-1 (the treatment-naïve cohort), there were 14 patients who experienced progression on </w:t>
      </w:r>
      <w:proofErr w:type="spellStart"/>
      <w:r w:rsidRPr="00E142B1">
        <w:t>repotrectinib</w:t>
      </w:r>
      <w:proofErr w:type="spellEnd"/>
      <w:r w:rsidRPr="00E142B1">
        <w:t xml:space="preserve">. A </w:t>
      </w:r>
      <w:r w:rsidRPr="00E142B1">
        <w:rPr>
          <w:i/>
          <w:iCs/>
        </w:rPr>
        <w:t>ROS1</w:t>
      </w:r>
      <w:r w:rsidRPr="00E142B1">
        <w:t xml:space="preserve"> resistance mutation was not detected for any of this group. </w:t>
      </w:r>
    </w:p>
    <w:p w14:paraId="13110A6D" w14:textId="4373A053" w:rsidR="00E142B1" w:rsidRPr="00E142B1" w:rsidRDefault="00E142B1" w:rsidP="00E142B1">
      <w:pPr>
        <w:rPr>
          <w:lang w:val="en-GB"/>
        </w:rPr>
      </w:pPr>
      <w:r w:rsidRPr="00E142B1">
        <w:t xml:space="preserve">Amongst the other cohorts (EXP-2 -3, and -4; patients who’d all received at least one prior anti-ROS1 TKI), there were a total of 43 patients who experienced progression on </w:t>
      </w:r>
      <w:proofErr w:type="spellStart"/>
      <w:r w:rsidRPr="00E142B1">
        <w:t>repotrectinib</w:t>
      </w:r>
      <w:proofErr w:type="spellEnd"/>
      <w:r w:rsidRPr="00E142B1">
        <w:t xml:space="preserve">. In this group, </w:t>
      </w:r>
      <w:proofErr w:type="spellStart"/>
      <w:r w:rsidRPr="00E142B1">
        <w:t>repotrectinib</w:t>
      </w:r>
      <w:proofErr w:type="spellEnd"/>
      <w:r w:rsidRPr="00E142B1">
        <w:t xml:space="preserve"> treatment-emergent resistance mutations in the </w:t>
      </w:r>
      <w:r w:rsidRPr="00E142B1">
        <w:rPr>
          <w:i/>
          <w:iCs/>
        </w:rPr>
        <w:t>ROS1</w:t>
      </w:r>
      <w:r w:rsidRPr="00E142B1">
        <w:t xml:space="preserve"> gene were detected for six patients, as summarised in </w:t>
      </w:r>
      <w:r w:rsidRPr="00E142B1">
        <w:fldChar w:fldCharType="begin"/>
      </w:r>
      <w:r w:rsidRPr="00E142B1">
        <w:instrText xml:space="preserve"> REF _Ref197357429 \h </w:instrText>
      </w:r>
      <w:r w:rsidRPr="00E142B1">
        <w:fldChar w:fldCharType="separate"/>
      </w:r>
      <w:r w:rsidRPr="00E142B1">
        <w:t xml:space="preserve">Table </w:t>
      </w:r>
      <w:r w:rsidRPr="00E142B1">
        <w:fldChar w:fldCharType="end"/>
      </w:r>
      <w:r w:rsidR="00CD7106">
        <w:t>10</w:t>
      </w:r>
      <w:r w:rsidRPr="00E142B1">
        <w:t>.</w:t>
      </w:r>
      <w:r w:rsidRPr="00E142B1">
        <w:rPr>
          <w:lang w:val="en-GB"/>
        </w:rPr>
        <w:t xml:space="preserve"> </w:t>
      </w:r>
    </w:p>
    <w:p w14:paraId="0FC9B1BF" w14:textId="43F8CE32" w:rsidR="00E142B1" w:rsidRPr="00E142B1" w:rsidRDefault="00E142B1" w:rsidP="00E142B1">
      <w:r w:rsidRPr="00E142B1">
        <w:rPr>
          <w:lang w:val="en-GB"/>
        </w:rPr>
        <w:t xml:space="preserve">The EMA notes in the EPAR that the </w:t>
      </w:r>
      <w:r w:rsidR="009526AA">
        <w:rPr>
          <w:lang w:val="en-GB"/>
        </w:rPr>
        <w:t>Sponsor</w:t>
      </w:r>
      <w:r w:rsidRPr="00E142B1">
        <w:rPr>
          <w:lang w:val="en-GB"/>
        </w:rPr>
        <w:t xml:space="preserve"> has committed to continuing to investigate the emergence of resistance.</w:t>
      </w:r>
      <w:r w:rsidRPr="00E142B1">
        <w:rPr>
          <w:lang w:val="en-GB"/>
        </w:rPr>
        <w:fldChar w:fldCharType="begin"/>
      </w:r>
      <w:r w:rsidRPr="00E142B1">
        <w:rPr>
          <w:lang w:val="en-GB"/>
        </w:rPr>
        <w:instrText xml:space="preserve"> NOTEREF _Ref197413831 \f \h </w:instrText>
      </w:r>
      <w:r w:rsidRPr="00E142B1">
        <w:rPr>
          <w:lang w:val="en-GB"/>
        </w:rPr>
      </w:r>
      <w:r w:rsidRPr="00E142B1">
        <w:rPr>
          <w:lang w:val="en-GB"/>
        </w:rPr>
        <w:fldChar w:fldCharType="separate"/>
      </w:r>
      <w:r w:rsidRPr="00E142B1">
        <w:rPr>
          <w:vertAlign w:val="superscript"/>
        </w:rPr>
        <w:t>11</w:t>
      </w:r>
      <w:r w:rsidRPr="00E142B1">
        <w:fldChar w:fldCharType="end"/>
      </w:r>
    </w:p>
    <w:p w14:paraId="579B7C3A" w14:textId="0D3139E8" w:rsidR="00470D5B" w:rsidRPr="00E142B1" w:rsidRDefault="00E142B1" w:rsidP="00B6458D">
      <w:pPr>
        <w:pStyle w:val="TableTitle"/>
      </w:pPr>
      <w:bookmarkStart w:id="57" w:name="_Ref197357429"/>
      <w:r w:rsidRPr="00E142B1">
        <w:t xml:space="preserve">Table </w:t>
      </w:r>
      <w:bookmarkEnd w:id="57"/>
      <w:r w:rsidR="00CD7106">
        <w:t>10</w:t>
      </w:r>
      <w:r w:rsidRPr="00E142B1">
        <w:t xml:space="preserve">. </w:t>
      </w:r>
      <w:r w:rsidR="00C63AC2" w:rsidRPr="00C63AC2">
        <w:rPr>
          <w:lang w:val="en-US"/>
        </w:rPr>
        <w:t xml:space="preserve">Emergent </w:t>
      </w:r>
      <w:r w:rsidR="00C63AC2" w:rsidRPr="00C63AC2">
        <w:rPr>
          <w:i/>
          <w:iCs/>
          <w:lang w:val="en-US"/>
        </w:rPr>
        <w:t xml:space="preserve">ROS1 </w:t>
      </w:r>
      <w:r w:rsidR="00C63AC2" w:rsidRPr="00C63AC2">
        <w:rPr>
          <w:lang w:val="en-US"/>
        </w:rPr>
        <w:t>Mutations in TKI-Pretreated Patients Who Progressed on Repotrectinib</w:t>
      </w:r>
      <w:r w:rsidR="00A46CDB">
        <w:rPr>
          <w:lang w:val="en-US"/>
        </w:rPr>
        <w:t>.</w:t>
      </w:r>
      <w:r w:rsidR="00A46CDB">
        <w:rPr>
          <w:rStyle w:val="FootnoteReference"/>
          <w:lang w:val="en-US"/>
        </w:rPr>
        <w:footnoteReference w:id="73"/>
      </w:r>
      <w:r w:rsidR="00A46CDB">
        <w:rPr>
          <w:lang w:val="en-US"/>
        </w:rPr>
        <w:t xml:space="preserve"> </w:t>
      </w:r>
      <w:r w:rsidR="00C63AC2" w:rsidRPr="00E142B1">
        <w:t xml:space="preserve"> </w:t>
      </w:r>
    </w:p>
    <w:tbl>
      <w:tblPr>
        <w:tblStyle w:val="TableTGAblue"/>
        <w:tblW w:w="8642" w:type="dxa"/>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ook w:val="04A0" w:firstRow="1" w:lastRow="0" w:firstColumn="1" w:lastColumn="0" w:noHBand="0" w:noVBand="1"/>
      </w:tblPr>
      <w:tblGrid>
        <w:gridCol w:w="1233"/>
        <w:gridCol w:w="1597"/>
        <w:gridCol w:w="1701"/>
        <w:gridCol w:w="1989"/>
        <w:gridCol w:w="2122"/>
      </w:tblGrid>
      <w:tr w:rsidR="00470D5B" w:rsidRPr="003D27A6" w14:paraId="78273416" w14:textId="77777777" w:rsidTr="00115B46">
        <w:trPr>
          <w:cnfStyle w:val="100000000000" w:firstRow="1" w:lastRow="0" w:firstColumn="0" w:lastColumn="0" w:oddVBand="0" w:evenVBand="0" w:oddHBand="0" w:evenHBand="0" w:firstRowFirstColumn="0" w:firstRowLastColumn="0" w:lastRowFirstColumn="0" w:lastRowLastColumn="0"/>
          <w:trHeight w:val="523"/>
        </w:trPr>
        <w:tc>
          <w:tcPr>
            <w:tcW w:w="123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EEAF6"/>
            <w:hideMark/>
          </w:tcPr>
          <w:p w14:paraId="02F9A560" w14:textId="77777777" w:rsidR="00470D5B" w:rsidRPr="003D27A6" w:rsidRDefault="00470D5B" w:rsidP="00115B46">
            <w:pPr>
              <w:ind w:left="0" w:right="0"/>
              <w:rPr>
                <w:bCs/>
                <w:color w:val="263287"/>
                <w:szCs w:val="22"/>
                <w:lang w:val="en-US"/>
              </w:rPr>
            </w:pPr>
            <w:r w:rsidRPr="003D27A6">
              <w:rPr>
                <w:bCs/>
                <w:color w:val="263287"/>
                <w:szCs w:val="22"/>
                <w:lang w:val="en-US"/>
              </w:rPr>
              <w:t>Patient</w:t>
            </w:r>
          </w:p>
        </w:tc>
        <w:tc>
          <w:tcPr>
            <w:tcW w:w="159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EEAF6"/>
            <w:hideMark/>
          </w:tcPr>
          <w:p w14:paraId="3E4A015B" w14:textId="77777777" w:rsidR="00470D5B" w:rsidRPr="003D27A6" w:rsidRDefault="00470D5B" w:rsidP="00115B46">
            <w:pPr>
              <w:ind w:left="0" w:right="0"/>
              <w:rPr>
                <w:bCs/>
                <w:color w:val="263287"/>
                <w:szCs w:val="22"/>
                <w:lang w:val="en-US"/>
              </w:rPr>
            </w:pPr>
            <w:r w:rsidRPr="003D27A6">
              <w:rPr>
                <w:bCs/>
                <w:color w:val="263287"/>
                <w:szCs w:val="22"/>
                <w:lang w:val="en-US"/>
              </w:rPr>
              <w:t xml:space="preserve">Baseline </w:t>
            </w:r>
            <w:r w:rsidRPr="003D27A6">
              <w:rPr>
                <w:bCs/>
                <w:i/>
                <w:iCs/>
                <w:color w:val="263287"/>
                <w:szCs w:val="22"/>
                <w:lang w:val="en-US"/>
              </w:rPr>
              <w:t>ROS1</w:t>
            </w:r>
            <w:r w:rsidRPr="003D27A6">
              <w:rPr>
                <w:bCs/>
                <w:color w:val="263287"/>
                <w:szCs w:val="22"/>
                <w:lang w:val="en-US"/>
              </w:rPr>
              <w:t xml:space="preserve"> mutation</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EEAF6"/>
            <w:hideMark/>
          </w:tcPr>
          <w:p w14:paraId="3822E3B7" w14:textId="77777777" w:rsidR="00470D5B" w:rsidRPr="003D27A6" w:rsidRDefault="00470D5B" w:rsidP="00115B46">
            <w:pPr>
              <w:ind w:left="0" w:right="0"/>
              <w:rPr>
                <w:bCs/>
                <w:color w:val="263287"/>
                <w:szCs w:val="22"/>
                <w:lang w:val="en-US"/>
              </w:rPr>
            </w:pPr>
            <w:r w:rsidRPr="003D27A6">
              <w:rPr>
                <w:bCs/>
                <w:color w:val="263287"/>
                <w:szCs w:val="22"/>
                <w:lang w:val="en-US"/>
              </w:rPr>
              <w:t xml:space="preserve">Emergent </w:t>
            </w:r>
            <w:r w:rsidRPr="003D27A6">
              <w:rPr>
                <w:bCs/>
                <w:i/>
                <w:iCs/>
                <w:color w:val="263287"/>
                <w:szCs w:val="22"/>
                <w:lang w:val="en-US"/>
              </w:rPr>
              <w:t>ROS1</w:t>
            </w:r>
            <w:r w:rsidRPr="003D27A6">
              <w:rPr>
                <w:bCs/>
                <w:color w:val="263287"/>
                <w:szCs w:val="22"/>
                <w:lang w:val="en-US"/>
              </w:rPr>
              <w:t xml:space="preserve"> mutation</w:t>
            </w:r>
          </w:p>
        </w:tc>
        <w:tc>
          <w:tcPr>
            <w:tcW w:w="19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EEAF6"/>
            <w:hideMark/>
          </w:tcPr>
          <w:p w14:paraId="2D86C44A" w14:textId="77777777" w:rsidR="00470D5B" w:rsidRPr="003D27A6" w:rsidRDefault="00470D5B" w:rsidP="00115B46">
            <w:pPr>
              <w:ind w:left="0" w:right="0"/>
              <w:rPr>
                <w:bCs/>
                <w:color w:val="263287"/>
                <w:szCs w:val="22"/>
                <w:lang w:val="en-US"/>
              </w:rPr>
            </w:pPr>
            <w:r w:rsidRPr="003D27A6">
              <w:rPr>
                <w:bCs/>
                <w:color w:val="263287"/>
                <w:szCs w:val="22"/>
                <w:lang w:val="en-US"/>
              </w:rPr>
              <w:t>Emergent ROS1 Mutation Allele Frequency (%)</w:t>
            </w:r>
          </w:p>
        </w:tc>
        <w:tc>
          <w:tcPr>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EEAF6"/>
            <w:hideMark/>
          </w:tcPr>
          <w:p w14:paraId="2625186F" w14:textId="77777777" w:rsidR="00470D5B" w:rsidRPr="003D27A6" w:rsidRDefault="00470D5B" w:rsidP="00115B46">
            <w:pPr>
              <w:ind w:left="0" w:right="0"/>
              <w:rPr>
                <w:bCs/>
                <w:color w:val="263287"/>
                <w:szCs w:val="22"/>
                <w:lang w:val="en-US"/>
              </w:rPr>
            </w:pPr>
            <w:r w:rsidRPr="003D27A6">
              <w:rPr>
                <w:bCs/>
                <w:color w:val="263287"/>
                <w:szCs w:val="22"/>
                <w:lang w:val="en-US"/>
              </w:rPr>
              <w:t>Best Overall Response</w:t>
            </w:r>
          </w:p>
        </w:tc>
      </w:tr>
      <w:tr w:rsidR="00470D5B" w:rsidRPr="003D27A6" w14:paraId="5F6757B6" w14:textId="77777777" w:rsidTr="00115B46">
        <w:trPr>
          <w:trHeight w:val="62"/>
        </w:trPr>
        <w:tc>
          <w:tcPr>
            <w:tcW w:w="1233" w:type="dxa"/>
            <w:hideMark/>
          </w:tcPr>
          <w:p w14:paraId="13062110"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Patient 1</w:t>
            </w:r>
          </w:p>
        </w:tc>
        <w:tc>
          <w:tcPr>
            <w:tcW w:w="1597" w:type="dxa"/>
            <w:hideMark/>
          </w:tcPr>
          <w:p w14:paraId="6D2F1A08"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None</w:t>
            </w:r>
          </w:p>
        </w:tc>
        <w:tc>
          <w:tcPr>
            <w:tcW w:w="1701" w:type="dxa"/>
            <w:hideMark/>
          </w:tcPr>
          <w:p w14:paraId="4306A017"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G2032R</w:t>
            </w:r>
          </w:p>
        </w:tc>
        <w:tc>
          <w:tcPr>
            <w:tcW w:w="1989" w:type="dxa"/>
            <w:hideMark/>
          </w:tcPr>
          <w:p w14:paraId="70385D82"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0.2</w:t>
            </w:r>
          </w:p>
        </w:tc>
        <w:tc>
          <w:tcPr>
            <w:tcW w:w="2122" w:type="dxa"/>
            <w:hideMark/>
          </w:tcPr>
          <w:p w14:paraId="3D68252F"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Partial response</w:t>
            </w:r>
          </w:p>
        </w:tc>
      </w:tr>
      <w:tr w:rsidR="00470D5B" w:rsidRPr="003D27A6" w14:paraId="173C8FCF" w14:textId="77777777" w:rsidTr="00115B46">
        <w:trPr>
          <w:trHeight w:val="62"/>
        </w:trPr>
        <w:tc>
          <w:tcPr>
            <w:tcW w:w="1233" w:type="dxa"/>
            <w:hideMark/>
          </w:tcPr>
          <w:p w14:paraId="1A9CC094"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Patient 2</w:t>
            </w:r>
          </w:p>
        </w:tc>
        <w:tc>
          <w:tcPr>
            <w:tcW w:w="1597" w:type="dxa"/>
            <w:hideMark/>
          </w:tcPr>
          <w:p w14:paraId="0A94B0FB"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None</w:t>
            </w:r>
          </w:p>
        </w:tc>
        <w:tc>
          <w:tcPr>
            <w:tcW w:w="1701" w:type="dxa"/>
            <w:hideMark/>
          </w:tcPr>
          <w:p w14:paraId="05563E0A"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G2032R</w:t>
            </w:r>
          </w:p>
        </w:tc>
        <w:tc>
          <w:tcPr>
            <w:tcW w:w="1989" w:type="dxa"/>
            <w:hideMark/>
          </w:tcPr>
          <w:p w14:paraId="5896C997"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0.26</w:t>
            </w:r>
          </w:p>
        </w:tc>
        <w:tc>
          <w:tcPr>
            <w:tcW w:w="2122" w:type="dxa"/>
            <w:hideMark/>
          </w:tcPr>
          <w:p w14:paraId="2BC09C65"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Partial response</w:t>
            </w:r>
          </w:p>
        </w:tc>
      </w:tr>
      <w:tr w:rsidR="00470D5B" w:rsidRPr="003D27A6" w14:paraId="7F964A8D" w14:textId="77777777" w:rsidTr="00115B46">
        <w:trPr>
          <w:trHeight w:val="62"/>
        </w:trPr>
        <w:tc>
          <w:tcPr>
            <w:tcW w:w="1233" w:type="dxa"/>
            <w:hideMark/>
          </w:tcPr>
          <w:p w14:paraId="0965A5C2"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Patient 3</w:t>
            </w:r>
          </w:p>
        </w:tc>
        <w:tc>
          <w:tcPr>
            <w:tcW w:w="1597" w:type="dxa"/>
            <w:hideMark/>
          </w:tcPr>
          <w:p w14:paraId="1B94C7BD"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L2026M</w:t>
            </w:r>
          </w:p>
        </w:tc>
        <w:tc>
          <w:tcPr>
            <w:tcW w:w="1701" w:type="dxa"/>
            <w:hideMark/>
          </w:tcPr>
          <w:p w14:paraId="35BF6358"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G2032R</w:t>
            </w:r>
          </w:p>
        </w:tc>
        <w:tc>
          <w:tcPr>
            <w:tcW w:w="1989" w:type="dxa"/>
            <w:hideMark/>
          </w:tcPr>
          <w:p w14:paraId="0A52FDF7"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1.08</w:t>
            </w:r>
          </w:p>
        </w:tc>
        <w:tc>
          <w:tcPr>
            <w:tcW w:w="2122" w:type="dxa"/>
            <w:hideMark/>
          </w:tcPr>
          <w:p w14:paraId="2CE59BC9"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Stable disease</w:t>
            </w:r>
          </w:p>
        </w:tc>
      </w:tr>
      <w:tr w:rsidR="00470D5B" w:rsidRPr="003D27A6" w14:paraId="3D5B8107" w14:textId="77777777" w:rsidTr="00115B46">
        <w:trPr>
          <w:trHeight w:val="62"/>
        </w:trPr>
        <w:tc>
          <w:tcPr>
            <w:tcW w:w="1233" w:type="dxa"/>
            <w:hideMark/>
          </w:tcPr>
          <w:p w14:paraId="43B70FF0"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Patient 4</w:t>
            </w:r>
          </w:p>
        </w:tc>
        <w:tc>
          <w:tcPr>
            <w:tcW w:w="1597" w:type="dxa"/>
            <w:hideMark/>
          </w:tcPr>
          <w:p w14:paraId="60EB48D2"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F2004I</w:t>
            </w:r>
          </w:p>
        </w:tc>
        <w:tc>
          <w:tcPr>
            <w:tcW w:w="1701" w:type="dxa"/>
            <w:hideMark/>
          </w:tcPr>
          <w:p w14:paraId="3D5589F0"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G2032R</w:t>
            </w:r>
          </w:p>
        </w:tc>
        <w:tc>
          <w:tcPr>
            <w:tcW w:w="1989" w:type="dxa"/>
            <w:hideMark/>
          </w:tcPr>
          <w:p w14:paraId="15999A60"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1.01</w:t>
            </w:r>
          </w:p>
        </w:tc>
        <w:tc>
          <w:tcPr>
            <w:tcW w:w="2122" w:type="dxa"/>
            <w:hideMark/>
          </w:tcPr>
          <w:p w14:paraId="40C414B7"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Stable disease</w:t>
            </w:r>
          </w:p>
        </w:tc>
      </w:tr>
      <w:tr w:rsidR="00470D5B" w:rsidRPr="003D27A6" w14:paraId="1245D132" w14:textId="77777777" w:rsidTr="00115B46">
        <w:trPr>
          <w:trHeight w:val="62"/>
        </w:trPr>
        <w:tc>
          <w:tcPr>
            <w:tcW w:w="1233" w:type="dxa"/>
            <w:hideMark/>
          </w:tcPr>
          <w:p w14:paraId="7A71CD7E"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Patient 5</w:t>
            </w:r>
          </w:p>
        </w:tc>
        <w:tc>
          <w:tcPr>
            <w:tcW w:w="1597" w:type="dxa"/>
            <w:hideMark/>
          </w:tcPr>
          <w:p w14:paraId="7AE566D0"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None</w:t>
            </w:r>
          </w:p>
        </w:tc>
        <w:tc>
          <w:tcPr>
            <w:tcW w:w="1701" w:type="dxa"/>
            <w:hideMark/>
          </w:tcPr>
          <w:p w14:paraId="4DA62622"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G2032R</w:t>
            </w:r>
          </w:p>
        </w:tc>
        <w:tc>
          <w:tcPr>
            <w:tcW w:w="1989" w:type="dxa"/>
            <w:hideMark/>
          </w:tcPr>
          <w:p w14:paraId="7A11C7D4"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0.82</w:t>
            </w:r>
          </w:p>
        </w:tc>
        <w:tc>
          <w:tcPr>
            <w:tcW w:w="2122" w:type="dxa"/>
            <w:hideMark/>
          </w:tcPr>
          <w:p w14:paraId="172C1C49"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Progressive disease</w:t>
            </w:r>
          </w:p>
        </w:tc>
      </w:tr>
      <w:tr w:rsidR="00470D5B" w:rsidRPr="003D27A6" w14:paraId="226A8AC5" w14:textId="77777777" w:rsidTr="00115B46">
        <w:trPr>
          <w:trHeight w:val="62"/>
        </w:trPr>
        <w:tc>
          <w:tcPr>
            <w:tcW w:w="1233" w:type="dxa"/>
            <w:hideMark/>
          </w:tcPr>
          <w:p w14:paraId="1B77393E"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Patient 6</w:t>
            </w:r>
          </w:p>
        </w:tc>
        <w:tc>
          <w:tcPr>
            <w:tcW w:w="1597" w:type="dxa"/>
            <w:hideMark/>
          </w:tcPr>
          <w:p w14:paraId="47DBBD57"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None</w:t>
            </w:r>
          </w:p>
        </w:tc>
        <w:tc>
          <w:tcPr>
            <w:tcW w:w="1701" w:type="dxa"/>
            <w:hideMark/>
          </w:tcPr>
          <w:p w14:paraId="53FB86D3"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L2086F</w:t>
            </w:r>
          </w:p>
        </w:tc>
        <w:tc>
          <w:tcPr>
            <w:tcW w:w="1989" w:type="dxa"/>
            <w:hideMark/>
          </w:tcPr>
          <w:p w14:paraId="73702CC8"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0.32</w:t>
            </w:r>
          </w:p>
        </w:tc>
        <w:tc>
          <w:tcPr>
            <w:tcW w:w="2122" w:type="dxa"/>
            <w:hideMark/>
          </w:tcPr>
          <w:p w14:paraId="3172F695" w14:textId="77777777" w:rsidR="00470D5B" w:rsidRPr="003D27A6" w:rsidRDefault="00470D5B" w:rsidP="00115B46">
            <w:pPr>
              <w:pStyle w:val="TableParagraph"/>
              <w:ind w:left="0" w:right="0"/>
              <w:rPr>
                <w:rFonts w:ascii="Cambria" w:hAnsi="Cambria" w:cs="Calibri"/>
                <w:spacing w:val="-4"/>
                <w:w w:val="105"/>
              </w:rPr>
            </w:pPr>
            <w:r w:rsidRPr="003D27A6">
              <w:rPr>
                <w:rFonts w:ascii="Cambria" w:hAnsi="Cambria" w:cs="Calibri"/>
                <w:spacing w:val="-4"/>
                <w:w w:val="105"/>
              </w:rPr>
              <w:t>Progressive disease</w:t>
            </w:r>
          </w:p>
        </w:tc>
      </w:tr>
    </w:tbl>
    <w:p w14:paraId="6302613D" w14:textId="77777777" w:rsidR="00AC0B43" w:rsidRDefault="00AC0B43" w:rsidP="003B25D0">
      <w:pPr>
        <w:pStyle w:val="Heading4"/>
      </w:pPr>
      <w:bookmarkStart w:id="58" w:name="_Toc219813787"/>
      <w:r>
        <w:lastRenderedPageBreak/>
        <w:t>Safety</w:t>
      </w:r>
      <w:bookmarkEnd w:id="58"/>
    </w:p>
    <w:p w14:paraId="6D594FD4" w14:textId="77777777" w:rsidR="00AC0B43" w:rsidRDefault="00AC0B43" w:rsidP="003B25D0">
      <w:pPr>
        <w:pStyle w:val="Heading5"/>
      </w:pPr>
      <w:r>
        <w:t>Safety analysis populations</w:t>
      </w:r>
    </w:p>
    <w:p w14:paraId="16585CB9" w14:textId="06E74EA5" w:rsidR="00AC0B43" w:rsidRDefault="00AC0B43" w:rsidP="00AC0B43">
      <w:r>
        <w:t xml:space="preserve">FDA’s Safety Analysis Set included all subjects who received any dose of </w:t>
      </w:r>
      <w:proofErr w:type="spellStart"/>
      <w:r>
        <w:t>repotrectinib</w:t>
      </w:r>
      <w:proofErr w:type="spellEnd"/>
      <w:r>
        <w:t xml:space="preserve"> in either the Phase 1 or Phase 2 portion of TRIDENT-1, and additional data were presented specific to patients who received the recommended phase 2 dose. </w:t>
      </w:r>
    </w:p>
    <w:p w14:paraId="56E9DD7A" w14:textId="02D11DE7" w:rsidR="00AC0B43" w:rsidRDefault="00AC0B43" w:rsidP="00AC0B43">
      <w:r>
        <w:t xml:space="preserve">EMA’s safety review was based on a larger data set, consisting of 565 patients who received at least one dose of </w:t>
      </w:r>
      <w:proofErr w:type="spellStart"/>
      <w:r>
        <w:t>repotrectinib</w:t>
      </w:r>
      <w:proofErr w:type="spellEnd"/>
      <w:r>
        <w:t xml:space="preserve"> in TRIDENT-1, including 367 patients with ROS1-positive NSCLC, 335 of whom had received the recommended phase 2 dose. EMA’s safety set also included 38 paediatric patients who received at least one dose of </w:t>
      </w:r>
      <w:proofErr w:type="spellStart"/>
      <w:r>
        <w:t>repotrectinib</w:t>
      </w:r>
      <w:proofErr w:type="spellEnd"/>
      <w:r>
        <w:t xml:space="preserve"> in CARE.</w:t>
      </w:r>
      <w:r w:rsidR="005C4154">
        <w:rPr>
          <w:rStyle w:val="FootnoteReference"/>
        </w:rPr>
        <w:footnoteReference w:id="74"/>
      </w:r>
      <w:r>
        <w:t xml:space="preserve"> The initial DCO for safety data matched the data submitted to TGA, but EMA reviewed additional safety data provided to them on request, with a DCO of 15 </w:t>
      </w:r>
      <w:r w:rsidR="004B36DA">
        <w:t>October</w:t>
      </w:r>
      <w:r>
        <w:t xml:space="preserve"> 2023 (i.e. matching the DCO for the efficacy data reported above).</w:t>
      </w:r>
    </w:p>
    <w:p w14:paraId="64E27AF8" w14:textId="7E6250D5" w:rsidR="00AC0B43" w:rsidRDefault="00AC0B43" w:rsidP="00AC0B43">
      <w:r>
        <w:t>The CARE data are not relevant to the proposed Australian indications, and are very limited, as described in the EPAR.</w:t>
      </w:r>
      <w:r w:rsidR="005C4154">
        <w:rPr>
          <w:rStyle w:val="FootnoteReference"/>
        </w:rPr>
        <w:footnoteReference w:id="75"/>
      </w:r>
      <w:r>
        <w:t xml:space="preserve"> These data do not contribute significantly to the current Australian regulatory decision.</w:t>
      </w:r>
    </w:p>
    <w:p w14:paraId="59583BFE" w14:textId="77777777" w:rsidR="00AC0B43" w:rsidRDefault="00AC0B43" w:rsidP="00193538">
      <w:pPr>
        <w:pStyle w:val="Heading5"/>
      </w:pPr>
      <w:r>
        <w:t>ROS1 TKI class safety</w:t>
      </w:r>
    </w:p>
    <w:p w14:paraId="29027630" w14:textId="02A6635F" w:rsidR="00AC0B43" w:rsidRDefault="00AC0B43" w:rsidP="00AC0B43">
      <w:r>
        <w:t xml:space="preserve">Safety events of interest for </w:t>
      </w:r>
      <w:proofErr w:type="spellStart"/>
      <w:r>
        <w:t>repotrectinib</w:t>
      </w:r>
      <w:proofErr w:type="spellEnd"/>
      <w:r>
        <w:t>, based on warnings and precautions for the two currently registered ROS1 TKI, are:</w:t>
      </w:r>
      <w:r w:rsidR="00E70C86">
        <w:rPr>
          <w:rStyle w:val="FootnoteReference"/>
        </w:rPr>
        <w:footnoteReference w:id="76"/>
      </w:r>
    </w:p>
    <w:p w14:paraId="5E7CCD07" w14:textId="2EC074C2" w:rsidR="00AC0B43" w:rsidRDefault="00AC0B43" w:rsidP="003B25D0">
      <w:pPr>
        <w:pStyle w:val="ListBullet"/>
      </w:pPr>
      <w:r>
        <w:t>Hepatotoxicity</w:t>
      </w:r>
    </w:p>
    <w:p w14:paraId="74D26B38" w14:textId="091DA4F9" w:rsidR="00AC0B43" w:rsidRDefault="00AC0B43" w:rsidP="003B25D0">
      <w:pPr>
        <w:pStyle w:val="ListBullet"/>
      </w:pPr>
      <w:r>
        <w:t>Interstitial lung disease (pneumonitis)</w:t>
      </w:r>
    </w:p>
    <w:p w14:paraId="47682FD7" w14:textId="69AC3062" w:rsidR="00AC0B43" w:rsidRDefault="00AC0B43" w:rsidP="003B25D0">
      <w:pPr>
        <w:pStyle w:val="ListBullet"/>
      </w:pPr>
      <w:r>
        <w:t>QT prolongation</w:t>
      </w:r>
    </w:p>
    <w:p w14:paraId="0300258C" w14:textId="75748EEC" w:rsidR="00AC0B43" w:rsidRDefault="00AC0B43" w:rsidP="003B25D0">
      <w:pPr>
        <w:pStyle w:val="ListBullet"/>
      </w:pPr>
      <w:r>
        <w:t>Bradycardia</w:t>
      </w:r>
    </w:p>
    <w:p w14:paraId="37AD288D" w14:textId="3271B2D3" w:rsidR="00AC0B43" w:rsidRDefault="00AC0B43" w:rsidP="003B25D0">
      <w:pPr>
        <w:pStyle w:val="ListBullet"/>
      </w:pPr>
      <w:r>
        <w:t>Vision disorders</w:t>
      </w:r>
    </w:p>
    <w:p w14:paraId="08F98803" w14:textId="31291C1E" w:rsidR="00AC0B43" w:rsidRDefault="00AC0B43" w:rsidP="003B25D0">
      <w:pPr>
        <w:pStyle w:val="ListBullet"/>
      </w:pPr>
      <w:r>
        <w:t>Congestive cardiac failure</w:t>
      </w:r>
    </w:p>
    <w:p w14:paraId="67E39CF3" w14:textId="5AC3D4F8" w:rsidR="00AC0B43" w:rsidRDefault="00AC0B43" w:rsidP="003B25D0">
      <w:pPr>
        <w:pStyle w:val="ListBullet"/>
      </w:pPr>
      <w:r>
        <w:t>Leukopenia</w:t>
      </w:r>
    </w:p>
    <w:p w14:paraId="22090985" w14:textId="6D32A090" w:rsidR="00AC0B43" w:rsidRDefault="00AC0B43" w:rsidP="003B25D0">
      <w:pPr>
        <w:pStyle w:val="ListBullet"/>
      </w:pPr>
      <w:r>
        <w:t>Gastrointestinal perforation</w:t>
      </w:r>
    </w:p>
    <w:p w14:paraId="4FBEF4BA" w14:textId="11326F9F" w:rsidR="00AC0B43" w:rsidRDefault="00AC0B43" w:rsidP="003B25D0">
      <w:pPr>
        <w:pStyle w:val="ListBullet"/>
      </w:pPr>
      <w:r>
        <w:t>Central nervous system effects</w:t>
      </w:r>
    </w:p>
    <w:p w14:paraId="6BBF735C" w14:textId="777F4CE1" w:rsidR="00AC0B43" w:rsidRDefault="00AC0B43" w:rsidP="003B25D0">
      <w:pPr>
        <w:pStyle w:val="ListBullet"/>
      </w:pPr>
      <w:r>
        <w:t>Including cognitive impairment, mood disorders, dizziness and sleep disturbances</w:t>
      </w:r>
    </w:p>
    <w:p w14:paraId="2AB990ED" w14:textId="0B1C303E" w:rsidR="00AC0B43" w:rsidRDefault="00AC0B43" w:rsidP="003B25D0">
      <w:pPr>
        <w:pStyle w:val="ListBullet"/>
      </w:pPr>
      <w:r>
        <w:t>Bone effects and fracture</w:t>
      </w:r>
    </w:p>
    <w:p w14:paraId="2BF99B5B" w14:textId="0E91E4B3" w:rsidR="00AC0B43" w:rsidRDefault="00AC0B43" w:rsidP="003B25D0">
      <w:pPr>
        <w:pStyle w:val="ListBullet"/>
      </w:pPr>
      <w:r>
        <w:t>Hyperuricaemia</w:t>
      </w:r>
    </w:p>
    <w:p w14:paraId="5421B96D" w14:textId="77777777" w:rsidR="00AC0B43" w:rsidRDefault="00AC0B43" w:rsidP="000D1DA5">
      <w:pPr>
        <w:pStyle w:val="Heading5"/>
      </w:pPr>
      <w:r>
        <w:t>Exposure</w:t>
      </w:r>
    </w:p>
    <w:p w14:paraId="2CD36F01" w14:textId="77777777" w:rsidR="00AC0B43" w:rsidRDefault="00AC0B43" w:rsidP="00AC0B43">
      <w:r>
        <w:t xml:space="preserve">Amongst the 367 patients with ROS1-positive NSCLC described in the EPAR, the mean (SD) duration of exposure to </w:t>
      </w:r>
      <w:proofErr w:type="spellStart"/>
      <w:r>
        <w:t>repotrectinib</w:t>
      </w:r>
      <w:proofErr w:type="spellEnd"/>
      <w:r>
        <w:t xml:space="preserve"> was 12.7 (12.2) months, with a median of 9 months. A </w:t>
      </w:r>
      <w:r>
        <w:lastRenderedPageBreak/>
        <w:t xml:space="preserve">third had brain metastases at baseline according to BICR. Most (79%) were treated at the recommended phase 2 dose. </w:t>
      </w:r>
    </w:p>
    <w:p w14:paraId="754D6B64" w14:textId="77777777" w:rsidR="00AC0B43" w:rsidRDefault="00AC0B43" w:rsidP="000D1DA5">
      <w:pPr>
        <w:pStyle w:val="Heading5"/>
      </w:pPr>
      <w:r>
        <w:t>Adverse events</w:t>
      </w:r>
    </w:p>
    <w:p w14:paraId="361DDE61" w14:textId="7D2BC250" w:rsidR="00AC0B43" w:rsidRDefault="00AC0B43" w:rsidP="00AC0B43">
      <w:r>
        <w:t xml:space="preserve">The adverse event profile in the study (though at different </w:t>
      </w:r>
      <w:r w:rsidR="00D51157">
        <w:t>DCOs</w:t>
      </w:r>
      <w:r>
        <w:t xml:space="preserve"> and potentially grouped differently) is summarised in the FDA label and EMA SmPC.</w:t>
      </w:r>
      <w:r w:rsidR="00B809BF">
        <w:rPr>
          <w:rStyle w:val="FootnoteReference"/>
        </w:rPr>
        <w:footnoteReference w:id="77"/>
      </w:r>
      <w:r w:rsidR="00B809BF" w:rsidRPr="00B809BF">
        <w:rPr>
          <w:vertAlign w:val="superscript"/>
        </w:rPr>
        <w:t>,</w:t>
      </w:r>
      <w:r w:rsidR="00B809BF">
        <w:rPr>
          <w:rStyle w:val="FootnoteReference"/>
        </w:rPr>
        <w:footnoteReference w:id="78"/>
      </w:r>
      <w:r>
        <w:t xml:space="preserve"> The most common TEAE overall was dizziness, which occurred in around 65% of patients. </w:t>
      </w:r>
    </w:p>
    <w:p w14:paraId="32E8FD3D" w14:textId="3E2201C1" w:rsidR="00AC0B43" w:rsidRDefault="00AC0B43" w:rsidP="00AC0B43">
      <w:r>
        <w:t>The FDA summary of the safety profile is as follows:</w:t>
      </w:r>
      <w:r w:rsidR="002572EC">
        <w:rPr>
          <w:rStyle w:val="FootnoteReference"/>
        </w:rPr>
        <w:footnoteReference w:id="79"/>
      </w:r>
    </w:p>
    <w:p w14:paraId="2F47EA5F" w14:textId="58CD5293" w:rsidR="00AC0B43" w:rsidRDefault="00AC0B43" w:rsidP="004D390D">
      <w:pPr>
        <w:ind w:left="720"/>
      </w:pPr>
      <w:r>
        <w:t xml:space="preserve">Serious adverse reactions occurred in 35% of patients who received </w:t>
      </w:r>
      <w:r w:rsidR="00C00D00">
        <w:t>Augtyro</w:t>
      </w:r>
      <w:r>
        <w:t xml:space="preserve">. Serious adverse reactions in ≥2% of patients included pneumonia (6.3%), </w:t>
      </w:r>
      <w:proofErr w:type="spellStart"/>
      <w:r>
        <w:t>dyspnea</w:t>
      </w:r>
      <w:proofErr w:type="spellEnd"/>
      <w:r>
        <w:t xml:space="preserve"> (3.1%), pleural effusion (2.8%), and hypoxia (2.6%). Fatal adverse reactions occurred in 3.5% of patients who received </w:t>
      </w:r>
      <w:r w:rsidR="00C00D00">
        <w:t>Augtyro</w:t>
      </w:r>
      <w:r>
        <w:t xml:space="preserve">, including pneumonia, pneumonia aspiration, cardiac arrest, sudden cardiac death, cardiac failure, hypoxia, </w:t>
      </w:r>
      <w:proofErr w:type="spellStart"/>
      <w:r>
        <w:t>dyspnea</w:t>
      </w:r>
      <w:proofErr w:type="spellEnd"/>
      <w:r>
        <w:t xml:space="preserve">, respiratory failure, tremor, and disseminated intravascular coagulation. </w:t>
      </w:r>
    </w:p>
    <w:p w14:paraId="74F716D9" w14:textId="22292CB7" w:rsidR="00AC0B43" w:rsidRDefault="00AC0B43" w:rsidP="004D390D">
      <w:pPr>
        <w:ind w:left="720"/>
      </w:pPr>
      <w:r>
        <w:t xml:space="preserve">Permanent discontinuation of </w:t>
      </w:r>
      <w:r w:rsidR="00C00D00">
        <w:t>Augtyro</w:t>
      </w:r>
      <w:r>
        <w:t xml:space="preserve"> due to an adverse reaction occurred in 7% of patients. There were no specific adverse reactions that accounted for ≥1% of permanent discontinuations. </w:t>
      </w:r>
    </w:p>
    <w:p w14:paraId="463488F4" w14:textId="78EF1A85" w:rsidR="00AC0B43" w:rsidRDefault="00AC0B43" w:rsidP="004D390D">
      <w:pPr>
        <w:ind w:left="720"/>
      </w:pPr>
      <w:r>
        <w:t xml:space="preserve">Dosage interruptions of </w:t>
      </w:r>
      <w:r w:rsidR="00C00D00">
        <w:t>Augtyro</w:t>
      </w:r>
      <w:r>
        <w:t xml:space="preserve"> due to an adverse reaction occurred in 50% of patients. Adverse reactions that required dosage interruption in ≥2% of patients were dizziness, </w:t>
      </w:r>
      <w:proofErr w:type="spellStart"/>
      <w:r>
        <w:t>dyspnea</w:t>
      </w:r>
      <w:proofErr w:type="spellEnd"/>
      <w:r>
        <w:t xml:space="preserve">, muscular weakness, ataxia, pneumonia, peripheral neuropathy, </w:t>
      </w:r>
      <w:proofErr w:type="spellStart"/>
      <w:r>
        <w:t>anemia</w:t>
      </w:r>
      <w:proofErr w:type="spellEnd"/>
      <w:r>
        <w:t xml:space="preserve">, and vomiting. </w:t>
      </w:r>
    </w:p>
    <w:p w14:paraId="6876D7DF" w14:textId="359E4B00" w:rsidR="00AC0B43" w:rsidRDefault="00AC0B43" w:rsidP="004D390D">
      <w:pPr>
        <w:ind w:left="720"/>
      </w:pPr>
      <w:r>
        <w:t xml:space="preserve">Dose reductions of </w:t>
      </w:r>
      <w:r w:rsidR="00C00D00">
        <w:t>Augtyro</w:t>
      </w:r>
      <w:r>
        <w:t xml:space="preserve"> due to an adverse reaction occurred in 38% of patients. Adverse reactions that required dosage reductions in ≥2% of patients included dizziness, ataxia, muscular weakness, peripheral neuropathy, and cognitive impairment. </w:t>
      </w:r>
    </w:p>
    <w:p w14:paraId="3244810C" w14:textId="41C16CC5" w:rsidR="00AC0B43" w:rsidRDefault="00AC0B43" w:rsidP="004D390D">
      <w:pPr>
        <w:ind w:left="720"/>
      </w:pPr>
      <w:r>
        <w:t xml:space="preserve">The most common (≥20%) adverse reactions that occurred in patients receiving </w:t>
      </w:r>
      <w:r w:rsidR="00C00D00">
        <w:t>Augtyro</w:t>
      </w:r>
      <w:r>
        <w:t xml:space="preserve"> were dizziness, dysgeusia, peripheral neuropathy, constipation, </w:t>
      </w:r>
      <w:proofErr w:type="spellStart"/>
      <w:r>
        <w:t>dyspnea</w:t>
      </w:r>
      <w:proofErr w:type="spellEnd"/>
      <w:r>
        <w:t xml:space="preserve">, fatigue, ataxia, cognitive impairment, muscular weakness and nausea. </w:t>
      </w:r>
    </w:p>
    <w:p w14:paraId="09176694" w14:textId="32C02EDD" w:rsidR="00AC0B43" w:rsidRDefault="00AC0B43" w:rsidP="00AC0B43">
      <w:r>
        <w:t>At the latest 15 Oct</w:t>
      </w:r>
      <w:r w:rsidR="00F34D15">
        <w:t>ober</w:t>
      </w:r>
      <w:r>
        <w:t xml:space="preserve"> 2023 cut-off, treatment emergent adverse events (TEAEs) had led to discontinuation in 11% of the 367 patients with ROS1-positive NSCLC; and to dose modification in 61% of patients, dose interruption in 55% of patients, and dose reduction in 38%. Serious TEAEs were experienced by 58% of patients, and fatal TEAEs occurred in 7% of patients.</w:t>
      </w:r>
      <w:r w:rsidR="002572EC">
        <w:rPr>
          <w:rStyle w:val="FootnoteReference"/>
        </w:rPr>
        <w:footnoteReference w:id="80"/>
      </w:r>
      <w:r>
        <w:t xml:space="preserve">  The FDA review concluded these were not unexpected </w:t>
      </w:r>
      <w:proofErr w:type="gramStart"/>
      <w:r>
        <w:t>in light of</w:t>
      </w:r>
      <w:proofErr w:type="gramEnd"/>
      <w:r>
        <w:t xml:space="preserve"> the population under study:</w:t>
      </w:r>
      <w:r w:rsidR="00F6798E">
        <w:rPr>
          <w:rStyle w:val="FootnoteReference"/>
        </w:rPr>
        <w:footnoteReference w:id="81"/>
      </w:r>
    </w:p>
    <w:p w14:paraId="61C6FE9A" w14:textId="77777777" w:rsidR="00AC0B43" w:rsidRDefault="00AC0B43" w:rsidP="004D390D">
      <w:pPr>
        <w:ind w:left="720"/>
      </w:pPr>
      <w:r>
        <w:t xml:space="preserve">Overall, the deaths reported across the </w:t>
      </w:r>
      <w:proofErr w:type="spellStart"/>
      <w:r>
        <w:t>repotrectinib</w:t>
      </w:r>
      <w:proofErr w:type="spellEnd"/>
      <w:r>
        <w:t xml:space="preserve"> clinical program are consistent with the seriousness, complications and/or progression of the underlying malignancy (Nichols 2012), and life-threatening nature of disease under investigation.</w:t>
      </w:r>
    </w:p>
    <w:p w14:paraId="2A2234AF" w14:textId="358C3E13" w:rsidR="00AC0B43" w:rsidRDefault="00AC0B43" w:rsidP="00AC0B43">
      <w:r>
        <w:t xml:space="preserve">Amongst the 565 adults who received </w:t>
      </w:r>
      <w:proofErr w:type="spellStart"/>
      <w:r>
        <w:t>repotrectinib</w:t>
      </w:r>
      <w:proofErr w:type="spellEnd"/>
      <w:r>
        <w:t xml:space="preserve"> in TRIDENT-1 (whether for ROS1-positive NSCLC, NTRK solid tumour, or for other tumours), two of the fatal TEAEs were recorded as possibly treatment-related according to the investigators: one case of sudden death at 10 months after commencing treatment, and one case of cardiorespiratory arrest at 11 months after commencing treatment. The </w:t>
      </w:r>
      <w:r w:rsidR="009526AA">
        <w:t>Sponsor</w:t>
      </w:r>
      <w:r>
        <w:t xml:space="preserve"> considers these unlikely to be related to </w:t>
      </w:r>
      <w:proofErr w:type="spellStart"/>
      <w:r>
        <w:lastRenderedPageBreak/>
        <w:t>repotrectinib</w:t>
      </w:r>
      <w:proofErr w:type="spellEnd"/>
      <w:r>
        <w:t>, based on the multiple risk factors and extensive medical history for these patients, and the time course of onset of the events (after many months on treatment).</w:t>
      </w:r>
      <w:r w:rsidR="00F6798E">
        <w:rPr>
          <w:rStyle w:val="FootnoteReference"/>
        </w:rPr>
        <w:footnoteReference w:id="82"/>
      </w:r>
      <w:r>
        <w:t xml:space="preserve"> </w:t>
      </w:r>
    </w:p>
    <w:p w14:paraId="7D4BF623" w14:textId="77777777" w:rsidR="00AC0B43" w:rsidRDefault="00AC0B43" w:rsidP="00AC0B43">
      <w:r>
        <w:t>At 15 Oct 2023, Grade 3 or higher events with an incidence of at least 2% were dyspnoea (7.1%), anaemia (7.6%), pneumonia (5.7%%), pulmonary embolism (3.5%), hypoxia (3.5%), pleural effusion (3.0%), blood creatine phosphokinase increased (3.8%), weight increased (4.1%), aspartate aminotransferase increased (2.5%), neutrophil count decreased (2.7%), dizziness (2.2%), and syncope (2.7%).</w:t>
      </w:r>
    </w:p>
    <w:p w14:paraId="662E9160" w14:textId="77777777" w:rsidR="00AC0B43" w:rsidRDefault="00AC0B43" w:rsidP="00AC0B43">
      <w:r>
        <w:t xml:space="preserve">At 15 Oct 2023, Grade 4 adverse events were dyspnoea (7 [1.2%]), blood creatine phosphokinase increased (6 [1.1%]), respiratory failure (4 [0.7%]), hypoxia (3 [0.5%]), sepsis (3 [0.5%]), </w:t>
      </w:r>
      <w:proofErr w:type="spellStart"/>
      <w:r>
        <w:t>hypertriglyceridaemia</w:t>
      </w:r>
      <w:proofErr w:type="spellEnd"/>
      <w:r>
        <w:t xml:space="preserve"> (2 [0.4%]), neutrophil count decreased (2 [0.4%]) and hyperuricaemia (2 [0.4%]).</w:t>
      </w:r>
    </w:p>
    <w:p w14:paraId="4E436D18" w14:textId="77777777" w:rsidR="00AC0B43" w:rsidRDefault="00AC0B43" w:rsidP="00F6798E">
      <w:pPr>
        <w:pStyle w:val="Heading5"/>
      </w:pPr>
      <w:r>
        <w:t>Proposed Australian Product Information</w:t>
      </w:r>
    </w:p>
    <w:p w14:paraId="0BBD0EDC" w14:textId="6DC309F0" w:rsidR="00AC0B43" w:rsidRDefault="00AC0B43" w:rsidP="00AC0B43">
      <w:r>
        <w:t xml:space="preserve">The </w:t>
      </w:r>
      <w:r w:rsidR="009526AA">
        <w:t>Sponsor</w:t>
      </w:r>
      <w:r>
        <w:t xml:space="preserve"> has included in sequence 003 version 3.0 of the Australian draft Product Information (PI). Changes have been made from previous drafts in alignment with requests from the TGA evaluator. The current draft safety section is based on the recommended phase 2 dose safety set, at the earlier </w:t>
      </w:r>
      <w:r w:rsidR="00D51157">
        <w:t>DCO</w:t>
      </w:r>
      <w:r>
        <w:t xml:space="preserve"> of 19 DEC 2022, and is reproduced in Appendix 1 for reference. The summary of adverse events presented in the draft Australian PI is a good representation of the study data. Warning and precaution text in the draft Australian PI aligns with the approved US label and EU SmPC, with the following warnings covered:</w:t>
      </w:r>
    </w:p>
    <w:p w14:paraId="6EEFB8EE" w14:textId="12833488" w:rsidR="00AC0B43" w:rsidRDefault="00AC0B43" w:rsidP="00F6798E">
      <w:pPr>
        <w:pStyle w:val="ListBullet"/>
      </w:pPr>
      <w:r>
        <w:t>Central Nervous System (CNS) adverse reactions (including dizziness, ataxia, cognitive disorders)</w:t>
      </w:r>
    </w:p>
    <w:p w14:paraId="7D966656" w14:textId="14D46246" w:rsidR="00AC0B43" w:rsidRDefault="00AC0B43" w:rsidP="00F6798E">
      <w:pPr>
        <w:pStyle w:val="ListBullet"/>
      </w:pPr>
      <w:r>
        <w:t>Interstitial Lung Disease (ILD)/Pneumonitis</w:t>
      </w:r>
    </w:p>
    <w:p w14:paraId="0DE0F665" w14:textId="27E582D1" w:rsidR="00AC0B43" w:rsidRDefault="00AC0B43" w:rsidP="00F6798E">
      <w:pPr>
        <w:pStyle w:val="ListBullet"/>
      </w:pPr>
      <w:r>
        <w:t>Hepatotoxicity</w:t>
      </w:r>
    </w:p>
    <w:p w14:paraId="0A592BA1" w14:textId="4AD62119" w:rsidR="00AC0B43" w:rsidRDefault="00AC0B43" w:rsidP="00F6798E">
      <w:pPr>
        <w:pStyle w:val="ListBullet"/>
      </w:pPr>
      <w:r>
        <w:t>Myalgia with creatinine phosphokinase (CPK) elevation</w:t>
      </w:r>
    </w:p>
    <w:p w14:paraId="19EB760A" w14:textId="603E39A5" w:rsidR="00AC0B43" w:rsidRDefault="00AC0B43" w:rsidP="00F6798E">
      <w:pPr>
        <w:pStyle w:val="ListBullet"/>
      </w:pPr>
      <w:r>
        <w:t>Hyperuricemia</w:t>
      </w:r>
    </w:p>
    <w:p w14:paraId="791C1A19" w14:textId="140BACE6" w:rsidR="00AC0B43" w:rsidRDefault="00AC0B43" w:rsidP="00F6798E">
      <w:pPr>
        <w:pStyle w:val="ListBullet"/>
      </w:pPr>
      <w:r>
        <w:t>Skeletal fractures</w:t>
      </w:r>
    </w:p>
    <w:p w14:paraId="46222153" w14:textId="2D761006" w:rsidR="00AC0B43" w:rsidRDefault="00AC0B43" w:rsidP="00F6798E">
      <w:pPr>
        <w:pStyle w:val="ListBullet"/>
      </w:pPr>
      <w:r>
        <w:t>Embryofetal toxicity</w:t>
      </w:r>
    </w:p>
    <w:p w14:paraId="26654AE4" w14:textId="43C7303B" w:rsidR="00AC0B43" w:rsidRDefault="00AC0B43" w:rsidP="00F6798E">
      <w:pPr>
        <w:pStyle w:val="ListBullet"/>
      </w:pPr>
      <w:r>
        <w:t xml:space="preserve">Patients on a controlled sodium diet </w:t>
      </w:r>
    </w:p>
    <w:p w14:paraId="16F6C939" w14:textId="416C3C95" w:rsidR="00AC0B43" w:rsidRDefault="00AC0B43" w:rsidP="00F6798E">
      <w:pPr>
        <w:pStyle w:val="ListBullet"/>
      </w:pPr>
      <w:r>
        <w:t>Paediatric population – efficacy and safety not established</w:t>
      </w:r>
    </w:p>
    <w:p w14:paraId="4C78591B" w14:textId="77777777" w:rsidR="00AC0B43" w:rsidRDefault="00AC0B43" w:rsidP="00222736">
      <w:pPr>
        <w:pStyle w:val="Heading5"/>
      </w:pPr>
      <w:r>
        <w:t>Companion diagnostic</w:t>
      </w:r>
    </w:p>
    <w:p w14:paraId="3FFF3541" w14:textId="20764BFF" w:rsidR="00AC0B43" w:rsidRDefault="00AC0B43" w:rsidP="00AC0B43">
      <w:r>
        <w:t>The NCCN guideline makes the following observations about testing for ROS1:</w:t>
      </w:r>
      <w:r w:rsidR="00222736">
        <w:rPr>
          <w:rStyle w:val="FootnoteReference"/>
        </w:rPr>
        <w:footnoteReference w:id="83"/>
      </w:r>
    </w:p>
    <w:p w14:paraId="3CAACD4A" w14:textId="77777777" w:rsidR="00AC0B43" w:rsidRDefault="00AC0B43" w:rsidP="004D390D">
      <w:pPr>
        <w:ind w:left="720"/>
      </w:pPr>
      <w:r>
        <w:t xml:space="preserve">FISH break-apart probe methodology can be deployed; however, it may under-detect the FIG-ROS1 variant. </w:t>
      </w:r>
    </w:p>
    <w:p w14:paraId="7F925F14" w14:textId="54E938A7" w:rsidR="00AC0B43" w:rsidRDefault="00AC0B43" w:rsidP="004D390D">
      <w:pPr>
        <w:ind w:left="720"/>
      </w:pPr>
      <w:r>
        <w:t xml:space="preserve">IHC approaches can be deployed; however, IHC for ROS1 fusions has low specificity, and follow-up confirmatory testing is a necessary component of utilizing ROS1 IHC as a screening modality. </w:t>
      </w:r>
    </w:p>
    <w:p w14:paraId="2D56823F" w14:textId="5BBB432B" w:rsidR="00AC0B43" w:rsidRDefault="00AC0B43" w:rsidP="004D390D">
      <w:pPr>
        <w:ind w:left="720"/>
      </w:pPr>
      <w:r>
        <w:t xml:space="preserve">Numerous NGS methodologies can detect ROS1 fusions, although DNA-based NGS may under-detect ROS1 fusions. </w:t>
      </w:r>
    </w:p>
    <w:p w14:paraId="6ACF67A7" w14:textId="135F47EB" w:rsidR="00AC0B43" w:rsidRDefault="00AC0B43" w:rsidP="004D390D">
      <w:pPr>
        <w:ind w:left="720"/>
      </w:pPr>
      <w:r>
        <w:lastRenderedPageBreak/>
        <w:t>Targeted real-time PCR assays are utilized in some settings, although they are unlikely to detect fusions with novel partners.</w:t>
      </w:r>
    </w:p>
    <w:p w14:paraId="31C8576C" w14:textId="7B8C307F" w:rsidR="00AC0B43" w:rsidRDefault="00AC0B43" w:rsidP="00AC0B43">
      <w:r>
        <w:t>The EPAR also contains the following information:</w:t>
      </w:r>
      <w:r w:rsidR="00222736">
        <w:rPr>
          <w:rStyle w:val="FootnoteReference"/>
        </w:rPr>
        <w:footnoteReference w:id="84"/>
      </w:r>
    </w:p>
    <w:p w14:paraId="6DCE977C" w14:textId="30A3DF88" w:rsidR="00AC0B43" w:rsidRDefault="00AC0B43" w:rsidP="004D390D">
      <w:pPr>
        <w:ind w:left="720"/>
      </w:pPr>
      <w:r>
        <w:t xml:space="preserve">For study TRIDENT-1, a prototype </w:t>
      </w:r>
      <w:proofErr w:type="spellStart"/>
      <w:r>
        <w:t>CDx</w:t>
      </w:r>
      <w:proofErr w:type="spellEnd"/>
      <w:r>
        <w:t xml:space="preserve"> was developed, validated, and used as a Clinical Trial Assay (CTA) in Almac’s CLIA/CAP accredited laboratory. This test is a qualitative in vitro diagnostic assay that uses targeted next-generation sequencing to detect fusions in ALK, ROS1, and NTRK1-3 genes. The assay profiles RNA isolated from FFPE solid tumour tissue. The analytically validated test was granted IDE approval in May 2019 (G190086) and IRB approval in May 2019. European Conformity (CE) marking was obtained in May 2019. Originally, Almac’s test was developed to be used as a </w:t>
      </w:r>
      <w:proofErr w:type="spellStart"/>
      <w:r>
        <w:t>CDx</w:t>
      </w:r>
      <w:proofErr w:type="spellEnd"/>
      <w:r>
        <w:t xml:space="preserve"> for </w:t>
      </w:r>
      <w:r w:rsidR="00C00D00">
        <w:t>Augtyro</w:t>
      </w:r>
      <w:r>
        <w:t xml:space="preserve">. However, it was determined that this assay is no longer the best testing option for patients in the EU, and the </w:t>
      </w:r>
      <w:r w:rsidR="009526AA">
        <w:t>Sponsor</w:t>
      </w:r>
      <w:r>
        <w:t xml:space="preserve"> has now contracted with Foundation Medicine, Inc. for the validation of a </w:t>
      </w:r>
      <w:proofErr w:type="spellStart"/>
      <w:r>
        <w:t>CDx</w:t>
      </w:r>
      <w:proofErr w:type="spellEnd"/>
      <w:r>
        <w:t xml:space="preserve"> assay (F1CDx) for the identification of patients that are candidates for treatment with </w:t>
      </w:r>
      <w:proofErr w:type="spellStart"/>
      <w:r>
        <w:t>repotrectinib</w:t>
      </w:r>
      <w:proofErr w:type="spellEnd"/>
      <w:r>
        <w:t xml:space="preserve">. </w:t>
      </w:r>
    </w:p>
    <w:p w14:paraId="2996544D" w14:textId="0AA01B33" w:rsidR="00AC0B43" w:rsidRDefault="00AC0B43" w:rsidP="004D390D">
      <w:pPr>
        <w:ind w:left="720"/>
      </w:pPr>
      <w:r>
        <w:t xml:space="preserve">Originally, prospective central confirmation testing with the Almac test was performed for all patients in TRIDENT-1 locally tested with either FISH, qPCR or an NGS. However, the protocol was later amended, and prospective confirmatory central testing was no longer required if the test was performed locally by qPCR or NGS. Later, also retrospective central testing was omitted for patients tested locally with qPCR and NGS. Approximately half of all patients included in TRIDENT-1 did not have a confirmation by central testing with the CTA after the change in testing strategy. Most of the local testing was performed with an NGS method. However, for ROS1+ NSCLC a large proportion of patients were also included in the Phase 2 part of the study based on local qPCR test (22%). </w:t>
      </w:r>
    </w:p>
    <w:p w14:paraId="60FF65A5" w14:textId="4A7E1E1C" w:rsidR="00AC0B43" w:rsidRDefault="00AC0B43" w:rsidP="004D390D">
      <w:pPr>
        <w:ind w:left="720"/>
      </w:pPr>
      <w:r>
        <w:t xml:space="preserve">All Phase 2 patients of TRIDENT-1 locally tested for ROS1 or NTRK1/2/3 fusions by FISH were prospectively confirmed by central CTA. The 6 patients in the pooled analysis included from Phase 1 who were locally tested with FISH, were retrospectively confirmed as ROS1+. </w:t>
      </w:r>
    </w:p>
    <w:p w14:paraId="40EB6500" w14:textId="77777777" w:rsidR="00AC0B43" w:rsidRDefault="00AC0B43" w:rsidP="004D390D">
      <w:pPr>
        <w:ind w:left="720"/>
      </w:pPr>
      <w:r>
        <w:t xml:space="preserve">The applicant has provided information on the agreement between the results of local NGS testing and prospective central testing with the CTA which shows acceptable agreement between the tests (PPA 92.9%). Based on information from all 26 patients with local qPCR test and central CTA test, a relatively low agreement between the tests (PPA 69.2%) was shown, thus, 30% of the qPCR tested patients without central confirmation were potentially ROS1 negative but received treatment with </w:t>
      </w:r>
      <w:proofErr w:type="spellStart"/>
      <w:r>
        <w:t>repotrectinib</w:t>
      </w:r>
      <w:proofErr w:type="spellEnd"/>
      <w:r>
        <w:t>.</w:t>
      </w:r>
    </w:p>
    <w:p w14:paraId="218E86B8" w14:textId="77777777" w:rsidR="00AC0B43" w:rsidRDefault="00AC0B43" w:rsidP="00AC0B43">
      <w:r>
        <w:t xml:space="preserve">In Australia, companion testing for the purposes of identifying patients for treatment could be conducted using any of these methodologies. Such testing reflects the testing used in the pivotal trial and deems the results likely to have adequate external validity for an Australian population. </w:t>
      </w:r>
    </w:p>
    <w:p w14:paraId="73D312E3" w14:textId="4FF41723" w:rsidR="00AC0B43" w:rsidRDefault="00AC0B43" w:rsidP="00AC0B43">
      <w:proofErr w:type="gramStart"/>
      <w:r>
        <w:t>In light of</w:t>
      </w:r>
      <w:proofErr w:type="gramEnd"/>
      <w:r>
        <w:t xml:space="preserve"> the current recommendations for the use of an NGS panel wherever possible,</w:t>
      </w:r>
      <w:r w:rsidR="003F6AE6">
        <w:rPr>
          <w:rStyle w:val="FootnoteReference"/>
        </w:rPr>
        <w:footnoteReference w:id="85"/>
      </w:r>
      <w:r>
        <w:t xml:space="preserve"> and the corresponding MBS funding,</w:t>
      </w:r>
      <w:r w:rsidR="00566498">
        <w:rPr>
          <w:rStyle w:val="FootnoteReference"/>
        </w:rPr>
        <w:footnoteReference w:id="86"/>
      </w:r>
      <w:r>
        <w:t xml:space="preserve"> it is likely that this methodology will be used widely in Australia going forward. Based on the underlying mechanistic rationale, rational design, and the sum of the preclinical and clinical data, if anything, patients selected using an NGS-only methodology would be expected to have better outcomes than patients selected per the testing used in TRIDENT-1, </w:t>
      </w:r>
      <w:r w:rsidR="00E76BD2">
        <w:t>i.e.</w:t>
      </w:r>
      <w:r>
        <w:t xml:space="preserve"> by a range of local methodologies, therefore possibly including some patients who were, as EMA put it, “potentially ROS1-negative.”</w:t>
      </w:r>
    </w:p>
    <w:p w14:paraId="03888AB3" w14:textId="01D0F8B3" w:rsidR="00AC0B43" w:rsidRDefault="00D44592" w:rsidP="00AC0B43">
      <w:r>
        <w:lastRenderedPageBreak/>
        <w:t xml:space="preserve">It is not </w:t>
      </w:r>
      <w:r w:rsidR="00AC0B43">
        <w:t xml:space="preserve">rational to require the medicine </w:t>
      </w:r>
      <w:r w:rsidR="009526AA">
        <w:t>Sponsor</w:t>
      </w:r>
      <w:r w:rsidR="00AC0B43">
        <w:t xml:space="preserve"> to nominate a particular IVD companion diagnostic in a companion testing plan for this medicine on that basis. If a </w:t>
      </w:r>
      <w:r w:rsidR="009526AA">
        <w:t>Sponsor</w:t>
      </w:r>
      <w:r>
        <w:t xml:space="preserve"> was to seek </w:t>
      </w:r>
      <w:r w:rsidR="00BF6F66">
        <w:t xml:space="preserve">registration for a </w:t>
      </w:r>
      <w:r w:rsidR="00AC0B43">
        <w:t xml:space="preserve">companion diagnostic for this </w:t>
      </w:r>
      <w:proofErr w:type="spellStart"/>
      <w:r w:rsidR="00AC0B43">
        <w:t>repotrectinib</w:t>
      </w:r>
      <w:proofErr w:type="spellEnd"/>
      <w:r w:rsidR="00AC0B43">
        <w:t xml:space="preserve"> indication, </w:t>
      </w:r>
      <w:r w:rsidR="00BF6F66">
        <w:t>they</w:t>
      </w:r>
      <w:r w:rsidR="00AC0B43">
        <w:t xml:space="preserve"> would need to provide</w:t>
      </w:r>
      <w:r w:rsidR="00BF6F66">
        <w:t xml:space="preserve"> a</w:t>
      </w:r>
      <w:r w:rsidR="00AC0B43">
        <w:t xml:space="preserve"> justification based on clinical comparability between </w:t>
      </w:r>
      <w:r w:rsidR="00F83792" w:rsidRPr="00F83792">
        <w:t xml:space="preserve">companion diagnostic </w:t>
      </w:r>
      <w:r w:rsidR="00F83792">
        <w:t xml:space="preserve">testing </w:t>
      </w:r>
      <w:r w:rsidR="00AC0B43">
        <w:t xml:space="preserve">the TRIDENT-1 trial testing. </w:t>
      </w:r>
    </w:p>
    <w:p w14:paraId="283DAECD" w14:textId="77777777" w:rsidR="00AC0B43" w:rsidRDefault="00AC0B43" w:rsidP="009C6B37">
      <w:pPr>
        <w:pStyle w:val="Heading5"/>
      </w:pPr>
      <w:r>
        <w:t>Real world evidence/real world data</w:t>
      </w:r>
    </w:p>
    <w:p w14:paraId="6167A3AC" w14:textId="4E5F9CD0" w:rsidR="00AC0B43" w:rsidRDefault="00AC0B43" w:rsidP="00AC0B43">
      <w:r>
        <w:t>Real-world evidence (RWE) is clinical evidence about the usage and potential benefits or risks of a medical product derived from analysis of real-world data (RWD).</w:t>
      </w:r>
      <w:r w:rsidR="00FB3127">
        <w:rPr>
          <w:rStyle w:val="FootnoteReference"/>
        </w:rPr>
        <w:footnoteReference w:id="87"/>
      </w:r>
      <w:r>
        <w:t xml:space="preserve"> </w:t>
      </w:r>
    </w:p>
    <w:p w14:paraId="5FFED5F9" w14:textId="77777777" w:rsidR="00AC0B43" w:rsidRDefault="00AC0B43" w:rsidP="00AC0B43">
      <w:r>
        <w:t xml:space="preserve">RWD are data relating to patient health status and/or the delivery of health care routinely collected from a variety of sources. Examples of RWD include data derived from electronic health records, medical claims data, data from product or disease registries, and data gathered from other sources (such as digital health technologies) that can inform on health status. </w:t>
      </w:r>
    </w:p>
    <w:p w14:paraId="47B49E10" w14:textId="3E040AD5" w:rsidR="00E142B1" w:rsidRPr="00E142B1" w:rsidRDefault="00AC0B43" w:rsidP="00AC0B43">
      <w:r>
        <w:t>This application did not include a formal submission of RWD/</w:t>
      </w:r>
      <w:r w:rsidR="00A36562">
        <w:t>RWE but</w:t>
      </w:r>
      <w:r>
        <w:t xml:space="preserve"> </w:t>
      </w:r>
      <w:proofErr w:type="gramStart"/>
      <w:r>
        <w:t>made reference</w:t>
      </w:r>
      <w:proofErr w:type="gramEnd"/>
      <w:r>
        <w:t xml:space="preserve"> to real-world data in justifying the representativeness of the pivotal study population </w:t>
      </w:r>
      <w:proofErr w:type="gramStart"/>
      <w:r>
        <w:t>with regard to</w:t>
      </w:r>
      <w:proofErr w:type="gramEnd"/>
      <w:r>
        <w:t xml:space="preserve"> demographics, and in considering the therapeutic context for the proposed usage (see Discussion).</w:t>
      </w:r>
    </w:p>
    <w:p w14:paraId="2858B006" w14:textId="77777777" w:rsidR="00C22214" w:rsidRDefault="00C22214" w:rsidP="00C22214">
      <w:pPr>
        <w:pStyle w:val="Heading3"/>
        <w:rPr>
          <w:lang w:eastAsia="en-AU"/>
        </w:rPr>
      </w:pPr>
      <w:bookmarkStart w:id="60" w:name="_Toc103679298"/>
      <w:bookmarkStart w:id="61" w:name="_Toc219813788"/>
      <w:r>
        <w:rPr>
          <w:lang w:eastAsia="en-AU"/>
        </w:rPr>
        <w:t>Risk management plan</w:t>
      </w:r>
      <w:bookmarkEnd w:id="46"/>
      <w:bookmarkEnd w:id="60"/>
      <w:bookmarkEnd w:id="61"/>
    </w:p>
    <w:p w14:paraId="1DA9113E" w14:textId="5529CF34" w:rsidR="00EB56A0" w:rsidRPr="00EB56A0" w:rsidRDefault="00EB56A0" w:rsidP="00EB56A0">
      <w:pPr>
        <w:rPr>
          <w:lang w:eastAsia="en-AU"/>
        </w:rPr>
      </w:pPr>
      <w:r w:rsidRPr="00EB56A0">
        <w:rPr>
          <w:lang w:eastAsia="en-AU"/>
        </w:rPr>
        <w:t xml:space="preserve">The European Union RMP version 0.3 (dated 26 September 2024; DLP 15 October 2023) and ASA version 2.0 (dated 19 February 2025) were submitted and evaluated.  The summary of safety concerns is presented in Table </w:t>
      </w:r>
      <w:r w:rsidR="00CD7106">
        <w:rPr>
          <w:lang w:eastAsia="en-AU"/>
        </w:rPr>
        <w:t>11</w:t>
      </w:r>
      <w:r w:rsidRPr="00EB56A0">
        <w:rPr>
          <w:lang w:eastAsia="en-AU"/>
        </w:rPr>
        <w:t>. The summary of safety concerns in the ASA aligns with the EU-RMP.</w:t>
      </w:r>
    </w:p>
    <w:p w14:paraId="56B51A93" w14:textId="577DC4A7" w:rsidR="006A277A" w:rsidRDefault="00C22214" w:rsidP="00C22214">
      <w:pPr>
        <w:pStyle w:val="TableTitle"/>
      </w:pPr>
      <w:bookmarkStart w:id="62" w:name="_Ref97629131"/>
      <w:bookmarkStart w:id="63" w:name="_Toc247691531"/>
      <w:bookmarkStart w:id="64" w:name="_Toc314842515"/>
      <w:r>
        <w:t>Table</w:t>
      </w:r>
      <w:bookmarkEnd w:id="62"/>
      <w:r w:rsidR="00EB56A0">
        <w:t xml:space="preserve"> </w:t>
      </w:r>
      <w:r w:rsidR="00CD7106">
        <w:t>11</w:t>
      </w:r>
      <w:r w:rsidR="00EB56A0">
        <w:t>.</w:t>
      </w:r>
      <w:r>
        <w:t xml:space="preserve"> Summary of safety concerns</w:t>
      </w:r>
    </w:p>
    <w:tbl>
      <w:tblPr>
        <w:tblStyle w:val="TableGrid"/>
        <w:tblW w:w="9168" w:type="dxa"/>
        <w:jc w:val="cente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CellMar>
          <w:left w:w="85" w:type="dxa"/>
          <w:right w:w="85" w:type="dxa"/>
        </w:tblCellMar>
        <w:tblLook w:val="04A0" w:firstRow="1" w:lastRow="0" w:firstColumn="1" w:lastColumn="0" w:noHBand="0" w:noVBand="1"/>
      </w:tblPr>
      <w:tblGrid>
        <w:gridCol w:w="1706"/>
        <w:gridCol w:w="2542"/>
        <w:gridCol w:w="1224"/>
        <w:gridCol w:w="11"/>
        <w:gridCol w:w="1264"/>
        <w:gridCol w:w="11"/>
        <w:gridCol w:w="7"/>
        <w:gridCol w:w="1117"/>
        <w:gridCol w:w="11"/>
        <w:gridCol w:w="1264"/>
        <w:gridCol w:w="11"/>
      </w:tblGrid>
      <w:tr w:rsidR="002B2500" w:rsidRPr="002B2500" w14:paraId="373EA530" w14:textId="77777777" w:rsidTr="004D390D">
        <w:trPr>
          <w:trHeight w:val="131"/>
          <w:jc w:val="center"/>
        </w:trPr>
        <w:tc>
          <w:tcPr>
            <w:tcW w:w="4248" w:type="dxa"/>
            <w:gridSpan w:val="2"/>
            <w:vMerge w:val="restart"/>
            <w:shd w:val="clear" w:color="auto" w:fill="DEEAF6"/>
          </w:tcPr>
          <w:p w14:paraId="24029D52" w14:textId="77777777" w:rsidR="002B2500" w:rsidRPr="00961E0E" w:rsidRDefault="002B2500" w:rsidP="009175CE">
            <w:pPr>
              <w:pStyle w:val="Tabletext0"/>
              <w:rPr>
                <w:rFonts w:ascii="Cambria" w:hAnsi="Cambria"/>
                <w:b/>
                <w:color w:val="263287"/>
                <w:sz w:val="22"/>
              </w:rPr>
            </w:pPr>
            <w:r w:rsidRPr="00961E0E">
              <w:rPr>
                <w:rFonts w:ascii="Cambria" w:hAnsi="Cambria"/>
                <w:b/>
                <w:color w:val="263287"/>
                <w:sz w:val="22"/>
              </w:rPr>
              <w:t>Summary of safety concerns</w:t>
            </w:r>
          </w:p>
        </w:tc>
        <w:tc>
          <w:tcPr>
            <w:tcW w:w="2517" w:type="dxa"/>
            <w:gridSpan w:val="5"/>
            <w:shd w:val="clear" w:color="auto" w:fill="DEEAF6"/>
          </w:tcPr>
          <w:p w14:paraId="135A23CA" w14:textId="77777777" w:rsidR="002B2500" w:rsidRPr="00961E0E" w:rsidRDefault="002B2500" w:rsidP="009175CE">
            <w:pPr>
              <w:pStyle w:val="Tabletext0"/>
              <w:rPr>
                <w:rFonts w:ascii="Cambria" w:hAnsi="Cambria"/>
                <w:b/>
                <w:color w:val="263287"/>
                <w:sz w:val="22"/>
              </w:rPr>
            </w:pPr>
            <w:r w:rsidRPr="00961E0E">
              <w:rPr>
                <w:rFonts w:ascii="Cambria" w:hAnsi="Cambria"/>
                <w:b/>
                <w:color w:val="263287"/>
                <w:sz w:val="22"/>
              </w:rPr>
              <w:t>Pharmacovigilance</w:t>
            </w:r>
          </w:p>
        </w:tc>
        <w:tc>
          <w:tcPr>
            <w:tcW w:w="2403" w:type="dxa"/>
            <w:gridSpan w:val="4"/>
            <w:shd w:val="clear" w:color="auto" w:fill="DEEAF6"/>
          </w:tcPr>
          <w:p w14:paraId="041BBD6D" w14:textId="77777777" w:rsidR="002B2500" w:rsidRPr="00961E0E" w:rsidRDefault="002B2500" w:rsidP="009175CE">
            <w:pPr>
              <w:pStyle w:val="Tabletext0"/>
              <w:rPr>
                <w:rFonts w:ascii="Cambria" w:hAnsi="Cambria"/>
                <w:b/>
                <w:color w:val="263287"/>
                <w:sz w:val="22"/>
              </w:rPr>
            </w:pPr>
            <w:r w:rsidRPr="00961E0E">
              <w:rPr>
                <w:rFonts w:ascii="Cambria" w:hAnsi="Cambria"/>
                <w:b/>
                <w:color w:val="263287"/>
                <w:sz w:val="22"/>
              </w:rPr>
              <w:t>Risk Minimisation</w:t>
            </w:r>
          </w:p>
        </w:tc>
      </w:tr>
      <w:tr w:rsidR="002B2500" w:rsidRPr="002B2500" w14:paraId="7ADC11BC" w14:textId="77777777" w:rsidTr="004D390D">
        <w:trPr>
          <w:trHeight w:val="150"/>
          <w:jc w:val="center"/>
        </w:trPr>
        <w:tc>
          <w:tcPr>
            <w:tcW w:w="4248" w:type="dxa"/>
            <w:gridSpan w:val="2"/>
            <w:vMerge/>
            <w:shd w:val="clear" w:color="auto" w:fill="DEEAF6"/>
          </w:tcPr>
          <w:p w14:paraId="7953EAD1" w14:textId="77777777" w:rsidR="002B2500" w:rsidRPr="00961E0E" w:rsidRDefault="002B2500" w:rsidP="009175CE">
            <w:pPr>
              <w:pStyle w:val="Tabletext0"/>
              <w:rPr>
                <w:rFonts w:ascii="Cambria" w:hAnsi="Cambria"/>
                <w:b/>
                <w:color w:val="263287"/>
                <w:sz w:val="22"/>
              </w:rPr>
            </w:pPr>
          </w:p>
        </w:tc>
        <w:tc>
          <w:tcPr>
            <w:tcW w:w="1235" w:type="dxa"/>
            <w:gridSpan w:val="2"/>
            <w:shd w:val="clear" w:color="auto" w:fill="DEEAF6"/>
          </w:tcPr>
          <w:p w14:paraId="23643F9A" w14:textId="77777777" w:rsidR="002B2500" w:rsidRPr="00961E0E" w:rsidRDefault="002B2500" w:rsidP="009175CE">
            <w:pPr>
              <w:pStyle w:val="Tabletext0"/>
              <w:rPr>
                <w:rFonts w:ascii="Cambria" w:hAnsi="Cambria"/>
                <w:color w:val="263287"/>
                <w:sz w:val="22"/>
              </w:rPr>
            </w:pPr>
            <w:r w:rsidRPr="00961E0E">
              <w:rPr>
                <w:rFonts w:ascii="Cambria" w:hAnsi="Cambria"/>
                <w:color w:val="263287"/>
                <w:sz w:val="22"/>
              </w:rPr>
              <w:t>Routine</w:t>
            </w:r>
          </w:p>
        </w:tc>
        <w:tc>
          <w:tcPr>
            <w:tcW w:w="1275" w:type="dxa"/>
            <w:gridSpan w:val="2"/>
            <w:shd w:val="clear" w:color="auto" w:fill="DEEAF6"/>
          </w:tcPr>
          <w:p w14:paraId="57E8AB2B" w14:textId="77777777" w:rsidR="002B2500" w:rsidRPr="00961E0E" w:rsidRDefault="002B2500" w:rsidP="009175CE">
            <w:pPr>
              <w:pStyle w:val="Tabletext0"/>
              <w:rPr>
                <w:rFonts w:ascii="Cambria" w:hAnsi="Cambria"/>
                <w:color w:val="263287"/>
                <w:sz w:val="22"/>
              </w:rPr>
            </w:pPr>
            <w:r w:rsidRPr="00961E0E">
              <w:rPr>
                <w:rFonts w:ascii="Cambria" w:hAnsi="Cambria"/>
                <w:color w:val="263287"/>
                <w:sz w:val="22"/>
              </w:rPr>
              <w:t>Additional</w:t>
            </w:r>
          </w:p>
        </w:tc>
        <w:tc>
          <w:tcPr>
            <w:tcW w:w="1135" w:type="dxa"/>
            <w:gridSpan w:val="3"/>
            <w:shd w:val="clear" w:color="auto" w:fill="DEEAF6"/>
          </w:tcPr>
          <w:p w14:paraId="13FB819E" w14:textId="77777777" w:rsidR="002B2500" w:rsidRPr="00961E0E" w:rsidRDefault="002B2500" w:rsidP="009175CE">
            <w:pPr>
              <w:pStyle w:val="Tabletext0"/>
              <w:rPr>
                <w:rFonts w:ascii="Cambria" w:hAnsi="Cambria"/>
                <w:color w:val="263287"/>
                <w:sz w:val="22"/>
              </w:rPr>
            </w:pPr>
            <w:r w:rsidRPr="00961E0E">
              <w:rPr>
                <w:rFonts w:ascii="Cambria" w:hAnsi="Cambria"/>
                <w:color w:val="263287"/>
                <w:sz w:val="22"/>
              </w:rPr>
              <w:t>Routine</w:t>
            </w:r>
          </w:p>
        </w:tc>
        <w:tc>
          <w:tcPr>
            <w:tcW w:w="1275" w:type="dxa"/>
            <w:gridSpan w:val="2"/>
            <w:shd w:val="clear" w:color="auto" w:fill="DEEAF6"/>
          </w:tcPr>
          <w:p w14:paraId="32A83A94" w14:textId="77777777" w:rsidR="002B2500" w:rsidRPr="00961E0E" w:rsidRDefault="002B2500" w:rsidP="009175CE">
            <w:pPr>
              <w:pStyle w:val="Tabletext0"/>
              <w:rPr>
                <w:rFonts w:ascii="Cambria" w:hAnsi="Cambria"/>
                <w:color w:val="263287"/>
                <w:sz w:val="22"/>
              </w:rPr>
            </w:pPr>
            <w:r w:rsidRPr="00961E0E">
              <w:rPr>
                <w:rFonts w:ascii="Cambria" w:hAnsi="Cambria"/>
                <w:color w:val="263287"/>
                <w:sz w:val="22"/>
              </w:rPr>
              <w:t>Additional</w:t>
            </w:r>
          </w:p>
        </w:tc>
      </w:tr>
      <w:tr w:rsidR="002B2500" w:rsidRPr="002B2500" w14:paraId="795D7219" w14:textId="77777777" w:rsidTr="004D390D">
        <w:trPr>
          <w:gridAfter w:val="1"/>
          <w:wAfter w:w="11" w:type="dxa"/>
          <w:trHeight w:val="137"/>
          <w:jc w:val="center"/>
        </w:trPr>
        <w:tc>
          <w:tcPr>
            <w:tcW w:w="1706" w:type="dxa"/>
          </w:tcPr>
          <w:p w14:paraId="67A14E8F" w14:textId="77777777" w:rsidR="002B2500" w:rsidRPr="002B2500" w:rsidRDefault="002B2500" w:rsidP="009175CE">
            <w:pPr>
              <w:pStyle w:val="Tabletext0"/>
              <w:rPr>
                <w:rFonts w:ascii="Cambria" w:hAnsi="Cambria"/>
                <w:b/>
                <w:sz w:val="22"/>
              </w:rPr>
            </w:pPr>
            <w:r w:rsidRPr="002B2500">
              <w:rPr>
                <w:rFonts w:ascii="Cambria" w:hAnsi="Cambria"/>
                <w:b/>
                <w:sz w:val="22"/>
              </w:rPr>
              <w:t>Important identified risks</w:t>
            </w:r>
          </w:p>
        </w:tc>
        <w:tc>
          <w:tcPr>
            <w:tcW w:w="2542" w:type="dxa"/>
          </w:tcPr>
          <w:p w14:paraId="324FA821" w14:textId="77777777" w:rsidR="002B2500" w:rsidRPr="002B2500" w:rsidRDefault="002B2500" w:rsidP="009175CE">
            <w:pPr>
              <w:pStyle w:val="Tabletext0"/>
              <w:rPr>
                <w:rFonts w:ascii="Cambria" w:hAnsi="Cambria"/>
                <w:sz w:val="22"/>
              </w:rPr>
            </w:pPr>
            <w:r w:rsidRPr="002B2500">
              <w:rPr>
                <w:rFonts w:ascii="Cambria" w:hAnsi="Cambria"/>
                <w:sz w:val="22"/>
              </w:rPr>
              <w:t>Skeletal fractures</w:t>
            </w:r>
          </w:p>
        </w:tc>
        <w:tc>
          <w:tcPr>
            <w:tcW w:w="1224" w:type="dxa"/>
            <w:vAlign w:val="center"/>
          </w:tcPr>
          <w:p w14:paraId="34F1CE35" w14:textId="77777777" w:rsidR="002B2500" w:rsidRPr="002B2500" w:rsidRDefault="002B2500" w:rsidP="009175CE">
            <w:pPr>
              <w:pStyle w:val="Tabletext0"/>
              <w:jc w:val="center"/>
              <w:rPr>
                <w:rFonts w:ascii="Cambria" w:hAnsi="Cambria"/>
                <w:sz w:val="22"/>
              </w:rPr>
            </w:pPr>
            <w:r w:rsidRPr="002B2500">
              <w:rPr>
                <w:rFonts w:ascii="Wingdings" w:eastAsia="Wingdings" w:hAnsi="Wingdings" w:cs="Wingdings"/>
                <w:sz w:val="22"/>
              </w:rPr>
              <w:t>ü</w:t>
            </w:r>
          </w:p>
        </w:tc>
        <w:tc>
          <w:tcPr>
            <w:tcW w:w="1275" w:type="dxa"/>
            <w:gridSpan w:val="2"/>
            <w:vAlign w:val="center"/>
          </w:tcPr>
          <w:p w14:paraId="3B80A763" w14:textId="77777777" w:rsidR="002B2500" w:rsidRPr="002B2500" w:rsidRDefault="002B2500" w:rsidP="009175CE">
            <w:pPr>
              <w:pStyle w:val="Tabletext0"/>
              <w:jc w:val="center"/>
              <w:rPr>
                <w:rFonts w:ascii="Cambria" w:hAnsi="Cambria"/>
                <w:sz w:val="22"/>
              </w:rPr>
            </w:pPr>
            <w:r w:rsidRPr="002B2500">
              <w:rPr>
                <w:rFonts w:ascii="Cambria" w:hAnsi="Cambria"/>
                <w:sz w:val="22"/>
              </w:rPr>
              <w:t>–</w:t>
            </w:r>
          </w:p>
        </w:tc>
        <w:tc>
          <w:tcPr>
            <w:tcW w:w="1135" w:type="dxa"/>
            <w:gridSpan w:val="3"/>
            <w:vAlign w:val="center"/>
          </w:tcPr>
          <w:p w14:paraId="51A25C87" w14:textId="77777777" w:rsidR="002B2500" w:rsidRPr="002B2500" w:rsidRDefault="002B2500" w:rsidP="009175CE">
            <w:pPr>
              <w:pStyle w:val="Tabletext0"/>
              <w:jc w:val="center"/>
              <w:rPr>
                <w:rFonts w:ascii="Cambria" w:hAnsi="Cambria"/>
                <w:sz w:val="22"/>
              </w:rPr>
            </w:pPr>
            <w:r w:rsidRPr="002B2500">
              <w:rPr>
                <w:rFonts w:ascii="Wingdings" w:eastAsia="Wingdings" w:hAnsi="Wingdings" w:cs="Wingdings"/>
                <w:sz w:val="22"/>
              </w:rPr>
              <w:t>ü</w:t>
            </w:r>
          </w:p>
        </w:tc>
        <w:tc>
          <w:tcPr>
            <w:tcW w:w="1275" w:type="dxa"/>
            <w:gridSpan w:val="2"/>
            <w:vAlign w:val="center"/>
          </w:tcPr>
          <w:p w14:paraId="5CC47F88" w14:textId="77777777" w:rsidR="002B2500" w:rsidRPr="002B2500" w:rsidRDefault="002B2500" w:rsidP="009175CE">
            <w:pPr>
              <w:pStyle w:val="Tabletext0"/>
              <w:jc w:val="center"/>
              <w:rPr>
                <w:rFonts w:ascii="Cambria" w:hAnsi="Cambria"/>
                <w:sz w:val="22"/>
              </w:rPr>
            </w:pPr>
            <w:r w:rsidRPr="002B2500">
              <w:rPr>
                <w:rFonts w:ascii="Cambria" w:hAnsi="Cambria"/>
                <w:sz w:val="22"/>
              </w:rPr>
              <w:t>–</w:t>
            </w:r>
          </w:p>
        </w:tc>
      </w:tr>
      <w:tr w:rsidR="002B2500" w:rsidRPr="002B2500" w14:paraId="50CE9D1A" w14:textId="77777777" w:rsidTr="004D390D">
        <w:trPr>
          <w:gridAfter w:val="1"/>
          <w:wAfter w:w="11" w:type="dxa"/>
          <w:jc w:val="center"/>
        </w:trPr>
        <w:tc>
          <w:tcPr>
            <w:tcW w:w="1706" w:type="dxa"/>
          </w:tcPr>
          <w:p w14:paraId="10EF264A" w14:textId="77777777" w:rsidR="002B2500" w:rsidRPr="002B2500" w:rsidRDefault="002B2500" w:rsidP="009175CE">
            <w:pPr>
              <w:pStyle w:val="Tabletext0"/>
              <w:rPr>
                <w:rFonts w:ascii="Cambria" w:hAnsi="Cambria"/>
                <w:b/>
                <w:sz w:val="22"/>
              </w:rPr>
            </w:pPr>
            <w:r w:rsidRPr="002B2500">
              <w:rPr>
                <w:rFonts w:ascii="Cambria" w:hAnsi="Cambria"/>
                <w:b/>
                <w:sz w:val="22"/>
              </w:rPr>
              <w:t>Important potential risks</w:t>
            </w:r>
          </w:p>
        </w:tc>
        <w:tc>
          <w:tcPr>
            <w:tcW w:w="2542" w:type="dxa"/>
          </w:tcPr>
          <w:p w14:paraId="419CAC71" w14:textId="77777777" w:rsidR="002B2500" w:rsidRPr="002B2500" w:rsidRDefault="002B2500" w:rsidP="009175CE">
            <w:pPr>
              <w:pStyle w:val="Tabletext0"/>
              <w:rPr>
                <w:rFonts w:ascii="Cambria" w:hAnsi="Cambria"/>
                <w:sz w:val="22"/>
              </w:rPr>
            </w:pPr>
            <w:r w:rsidRPr="002B2500">
              <w:rPr>
                <w:rFonts w:ascii="Cambria" w:hAnsi="Cambria"/>
                <w:sz w:val="22"/>
              </w:rPr>
              <w:t>None</w:t>
            </w:r>
          </w:p>
        </w:tc>
        <w:tc>
          <w:tcPr>
            <w:tcW w:w="1224" w:type="dxa"/>
            <w:vAlign w:val="center"/>
          </w:tcPr>
          <w:p w14:paraId="3290306F" w14:textId="77777777" w:rsidR="002B2500" w:rsidRPr="002B2500" w:rsidRDefault="002B2500" w:rsidP="009175CE">
            <w:pPr>
              <w:pStyle w:val="Tabletext0"/>
              <w:jc w:val="center"/>
              <w:rPr>
                <w:rFonts w:ascii="Cambria" w:hAnsi="Cambria"/>
                <w:sz w:val="22"/>
              </w:rPr>
            </w:pPr>
            <w:r w:rsidRPr="002B2500">
              <w:rPr>
                <w:rFonts w:ascii="Cambria" w:hAnsi="Cambria"/>
                <w:sz w:val="22"/>
              </w:rPr>
              <w:t>–</w:t>
            </w:r>
          </w:p>
        </w:tc>
        <w:tc>
          <w:tcPr>
            <w:tcW w:w="1275" w:type="dxa"/>
            <w:gridSpan w:val="2"/>
            <w:vAlign w:val="center"/>
          </w:tcPr>
          <w:p w14:paraId="609EF3CE" w14:textId="77777777" w:rsidR="002B2500" w:rsidRPr="002B2500" w:rsidRDefault="002B2500" w:rsidP="009175CE">
            <w:pPr>
              <w:pStyle w:val="Tabletext0"/>
              <w:jc w:val="center"/>
              <w:rPr>
                <w:rFonts w:ascii="Cambria" w:hAnsi="Cambria"/>
                <w:sz w:val="22"/>
              </w:rPr>
            </w:pPr>
            <w:r w:rsidRPr="002B2500">
              <w:rPr>
                <w:rFonts w:ascii="Cambria" w:hAnsi="Cambria"/>
                <w:sz w:val="22"/>
              </w:rPr>
              <w:t>–</w:t>
            </w:r>
          </w:p>
        </w:tc>
        <w:tc>
          <w:tcPr>
            <w:tcW w:w="1135" w:type="dxa"/>
            <w:gridSpan w:val="3"/>
            <w:vAlign w:val="center"/>
          </w:tcPr>
          <w:p w14:paraId="4CFC0BBD" w14:textId="77777777" w:rsidR="002B2500" w:rsidRPr="002B2500" w:rsidRDefault="002B2500" w:rsidP="009175CE">
            <w:pPr>
              <w:pStyle w:val="Tabletext0"/>
              <w:jc w:val="center"/>
              <w:rPr>
                <w:rFonts w:ascii="Cambria" w:hAnsi="Cambria"/>
                <w:sz w:val="22"/>
              </w:rPr>
            </w:pPr>
            <w:r w:rsidRPr="002B2500">
              <w:rPr>
                <w:rFonts w:ascii="Cambria" w:hAnsi="Cambria"/>
                <w:sz w:val="22"/>
              </w:rPr>
              <w:t>–</w:t>
            </w:r>
          </w:p>
        </w:tc>
        <w:tc>
          <w:tcPr>
            <w:tcW w:w="1275" w:type="dxa"/>
            <w:gridSpan w:val="2"/>
            <w:vAlign w:val="center"/>
          </w:tcPr>
          <w:p w14:paraId="7C5B2CB2" w14:textId="77777777" w:rsidR="002B2500" w:rsidRPr="002B2500" w:rsidRDefault="002B2500" w:rsidP="009175CE">
            <w:pPr>
              <w:pStyle w:val="Tabletext0"/>
              <w:jc w:val="center"/>
              <w:rPr>
                <w:rFonts w:ascii="Cambria" w:hAnsi="Cambria"/>
                <w:sz w:val="22"/>
              </w:rPr>
            </w:pPr>
            <w:r w:rsidRPr="002B2500">
              <w:rPr>
                <w:rFonts w:ascii="Cambria" w:hAnsi="Cambria"/>
                <w:sz w:val="22"/>
              </w:rPr>
              <w:t>–</w:t>
            </w:r>
          </w:p>
        </w:tc>
      </w:tr>
      <w:tr w:rsidR="002B2500" w:rsidRPr="002B2500" w14:paraId="2B8CFD00" w14:textId="77777777" w:rsidTr="004D390D">
        <w:trPr>
          <w:gridAfter w:val="1"/>
          <w:wAfter w:w="11" w:type="dxa"/>
          <w:trHeight w:val="592"/>
          <w:jc w:val="center"/>
        </w:trPr>
        <w:tc>
          <w:tcPr>
            <w:tcW w:w="1706" w:type="dxa"/>
          </w:tcPr>
          <w:p w14:paraId="216DD2C7" w14:textId="77777777" w:rsidR="002B2500" w:rsidRPr="002B2500" w:rsidRDefault="002B2500" w:rsidP="009175CE">
            <w:pPr>
              <w:pStyle w:val="Tabletext0"/>
              <w:rPr>
                <w:rFonts w:ascii="Cambria" w:hAnsi="Cambria"/>
                <w:b/>
                <w:sz w:val="22"/>
              </w:rPr>
            </w:pPr>
            <w:r w:rsidRPr="002B2500">
              <w:rPr>
                <w:rFonts w:ascii="Cambria" w:hAnsi="Cambria"/>
                <w:b/>
                <w:sz w:val="22"/>
              </w:rPr>
              <w:t>Missing information</w:t>
            </w:r>
          </w:p>
        </w:tc>
        <w:tc>
          <w:tcPr>
            <w:tcW w:w="2542" w:type="dxa"/>
          </w:tcPr>
          <w:p w14:paraId="0D3BD817" w14:textId="77777777" w:rsidR="002B2500" w:rsidRPr="002B2500" w:rsidRDefault="002B2500" w:rsidP="009175CE">
            <w:pPr>
              <w:pStyle w:val="Tabletext0"/>
              <w:rPr>
                <w:rFonts w:ascii="Cambria" w:hAnsi="Cambria"/>
                <w:sz w:val="22"/>
              </w:rPr>
            </w:pPr>
            <w:r w:rsidRPr="002B2500">
              <w:rPr>
                <w:rFonts w:ascii="Cambria" w:hAnsi="Cambria"/>
                <w:sz w:val="22"/>
              </w:rPr>
              <w:t>Safety in long-term use</w:t>
            </w:r>
          </w:p>
        </w:tc>
        <w:tc>
          <w:tcPr>
            <w:tcW w:w="1224" w:type="dxa"/>
            <w:vAlign w:val="center"/>
          </w:tcPr>
          <w:p w14:paraId="4BDD9BE2" w14:textId="77777777" w:rsidR="002B2500" w:rsidRPr="002B2500" w:rsidRDefault="002B2500" w:rsidP="009175CE">
            <w:pPr>
              <w:pStyle w:val="Tabletext0"/>
              <w:jc w:val="center"/>
              <w:rPr>
                <w:rFonts w:ascii="Cambria" w:hAnsi="Cambria"/>
                <w:sz w:val="22"/>
              </w:rPr>
            </w:pPr>
            <w:r w:rsidRPr="002B2500">
              <w:rPr>
                <w:rFonts w:ascii="Wingdings" w:eastAsia="Wingdings" w:hAnsi="Wingdings" w:cs="Wingdings"/>
                <w:sz w:val="22"/>
              </w:rPr>
              <w:t>ü</w:t>
            </w:r>
          </w:p>
        </w:tc>
        <w:tc>
          <w:tcPr>
            <w:tcW w:w="1275" w:type="dxa"/>
            <w:gridSpan w:val="2"/>
            <w:vAlign w:val="center"/>
          </w:tcPr>
          <w:p w14:paraId="0FB2096B" w14:textId="77777777" w:rsidR="002B2500" w:rsidRPr="002B2500" w:rsidRDefault="002B2500" w:rsidP="009175CE">
            <w:pPr>
              <w:pStyle w:val="Tabletext0"/>
              <w:jc w:val="center"/>
              <w:rPr>
                <w:rFonts w:ascii="Cambria" w:hAnsi="Cambria"/>
                <w:sz w:val="22"/>
              </w:rPr>
            </w:pPr>
            <w:r w:rsidRPr="002B2500">
              <w:rPr>
                <w:rFonts w:ascii="Cambria" w:hAnsi="Cambria"/>
                <w:color w:val="7030A0"/>
                <w:sz w:val="22"/>
              </w:rPr>
              <w:t>–</w:t>
            </w:r>
          </w:p>
        </w:tc>
        <w:tc>
          <w:tcPr>
            <w:tcW w:w="1135" w:type="dxa"/>
            <w:gridSpan w:val="3"/>
            <w:vAlign w:val="center"/>
          </w:tcPr>
          <w:p w14:paraId="3C1FF8F5" w14:textId="77777777" w:rsidR="002B2500" w:rsidRPr="002B2500" w:rsidRDefault="002B2500" w:rsidP="009175CE">
            <w:pPr>
              <w:pStyle w:val="Tabletext0"/>
              <w:jc w:val="center"/>
              <w:rPr>
                <w:rFonts w:ascii="Cambria" w:hAnsi="Cambria"/>
                <w:sz w:val="22"/>
              </w:rPr>
            </w:pPr>
            <w:r w:rsidRPr="002B2500">
              <w:rPr>
                <w:rFonts w:ascii="Cambria" w:hAnsi="Cambria"/>
                <w:sz w:val="22"/>
              </w:rPr>
              <w:t>–</w:t>
            </w:r>
          </w:p>
        </w:tc>
        <w:tc>
          <w:tcPr>
            <w:tcW w:w="1275" w:type="dxa"/>
            <w:gridSpan w:val="2"/>
            <w:vAlign w:val="center"/>
          </w:tcPr>
          <w:p w14:paraId="319E937D" w14:textId="77777777" w:rsidR="002B2500" w:rsidRPr="002B2500" w:rsidRDefault="002B2500" w:rsidP="009175CE">
            <w:pPr>
              <w:pStyle w:val="Tabletext0"/>
              <w:jc w:val="center"/>
              <w:rPr>
                <w:rFonts w:ascii="Cambria" w:hAnsi="Cambria"/>
                <w:sz w:val="22"/>
              </w:rPr>
            </w:pPr>
            <w:r w:rsidRPr="002B2500">
              <w:rPr>
                <w:rFonts w:ascii="Cambria" w:hAnsi="Cambria"/>
                <w:sz w:val="22"/>
              </w:rPr>
              <w:t>–</w:t>
            </w:r>
          </w:p>
        </w:tc>
      </w:tr>
    </w:tbl>
    <w:p w14:paraId="74A4F87F" w14:textId="77777777" w:rsidR="00C22214" w:rsidRDefault="00C22214" w:rsidP="00CF4ABD">
      <w:pPr>
        <w:pStyle w:val="Heading2"/>
      </w:pPr>
      <w:bookmarkStart w:id="65" w:name="_Toc103679299"/>
      <w:bookmarkStart w:id="66" w:name="_Toc219813789"/>
      <w:r>
        <w:t>Risk-benefit analysis</w:t>
      </w:r>
      <w:bookmarkEnd w:id="63"/>
      <w:bookmarkEnd w:id="64"/>
      <w:bookmarkEnd w:id="65"/>
      <w:bookmarkEnd w:id="66"/>
    </w:p>
    <w:p w14:paraId="70D68C4B" w14:textId="7DFA2491" w:rsidR="008871FE" w:rsidRPr="008871FE" w:rsidRDefault="008871FE" w:rsidP="008871FE">
      <w:proofErr w:type="gramStart"/>
      <w:r w:rsidRPr="008871FE">
        <w:t>In order to</w:t>
      </w:r>
      <w:proofErr w:type="gramEnd"/>
      <w:r w:rsidRPr="008871FE">
        <w:t xml:space="preserve"> </w:t>
      </w:r>
      <w:proofErr w:type="gramStart"/>
      <w:r w:rsidRPr="008871FE">
        <w:t>make a decision</w:t>
      </w:r>
      <w:proofErr w:type="gramEnd"/>
      <w:r w:rsidRPr="008871FE">
        <w:t xml:space="preserve"> that </w:t>
      </w:r>
      <w:proofErr w:type="spellStart"/>
      <w:r w:rsidRPr="008871FE">
        <w:t>repotrectinib</w:t>
      </w:r>
      <w:proofErr w:type="spellEnd"/>
      <w:r w:rsidRPr="008871FE">
        <w:t xml:space="preserve"> should be registered in Australia, the efficacy, safety and quality of the goods for the intended usage </w:t>
      </w:r>
      <w:r w:rsidR="006134C5">
        <w:t>need to be</w:t>
      </w:r>
      <w:r w:rsidRPr="008871FE">
        <w:t xml:space="preserve"> established. There is no explicit requirement for </w:t>
      </w:r>
      <w:proofErr w:type="gramStart"/>
      <w:r w:rsidRPr="008871FE">
        <w:t>particular kinds</w:t>
      </w:r>
      <w:proofErr w:type="gramEnd"/>
      <w:r w:rsidRPr="008871FE">
        <w:t xml:space="preserve"> of data or comparators; establishment is based on the objective strength of information, contextualised by the existing therapeutic landscape for an indication. </w:t>
      </w:r>
    </w:p>
    <w:p w14:paraId="71D11D58" w14:textId="77777777" w:rsidR="008871FE" w:rsidRPr="008871FE" w:rsidRDefault="008871FE" w:rsidP="008871FE">
      <w:r w:rsidRPr="008871FE">
        <w:t>The intended usage in this case is for the treatment of adult patients with ROS1-positive NSCLC, in a line-agnostic fashion. Existing therapeutic options in this setting have limitations:</w:t>
      </w:r>
    </w:p>
    <w:p w14:paraId="7E5F9BCC" w14:textId="5B89B71D" w:rsidR="008871FE" w:rsidRPr="008871FE" w:rsidRDefault="008871FE" w:rsidP="003659A4">
      <w:pPr>
        <w:pStyle w:val="ListBullet"/>
      </w:pPr>
      <w:r w:rsidRPr="008871FE">
        <w:lastRenderedPageBreak/>
        <w:t>Prior to the advent of targeted therapies, platinum-based chemotherapy for biomarker-agnostic NSCLC had been associated with a median OS of 10-11 months,</w:t>
      </w:r>
      <w:r w:rsidR="00D45F8D">
        <w:rPr>
          <w:rStyle w:val="FootnoteReference"/>
        </w:rPr>
        <w:footnoteReference w:id="88"/>
      </w:r>
      <w:r w:rsidRPr="008871FE">
        <w:t xml:space="preserve"> with an increase to around 14 months with the addition of pemetrexed. The associated toxicities are well described.</w:t>
      </w:r>
    </w:p>
    <w:p w14:paraId="34E8D16E" w14:textId="190ADF5A" w:rsidR="008871FE" w:rsidRPr="008871FE" w:rsidRDefault="008871FE" w:rsidP="003659A4">
      <w:pPr>
        <w:pStyle w:val="ListBullet"/>
      </w:pPr>
      <w:r w:rsidRPr="008871FE">
        <w:t>Crizotinib elicits an anti-tumour response in a large proportion of patients (probably 70-80%) in the first-line setting when used to treat ROS1-positive NSCLC, and has been associated – based on real-world data – with median OS of 40 months.</w:t>
      </w:r>
      <w:r w:rsidR="00136262">
        <w:rPr>
          <w:rStyle w:val="FootnoteReference"/>
        </w:rPr>
        <w:footnoteReference w:id="89"/>
      </w:r>
      <w:r w:rsidRPr="008871FE">
        <w:t xml:space="preserve"> The magnitude of effect on response rates was such that in context of the scientific rationale and preclinical data, randomisation against chemotherapy was very challenging. A small randomised trial was conducted, and indicated further randomisation should not be undertaken, with a larger ORR and longer PFS with crizotinib than first-line platinum-pemetrexed (PFS with crizotinib 18.4 months [95% CI: 6.4, 30.3] versus PFS with platinum-pemetrexed chemotherapy 8.6 months [95% CI: 6.9-10.3] P &lt; .001).</w:t>
      </w:r>
      <w:r w:rsidR="00A30278">
        <w:rPr>
          <w:rStyle w:val="FootnoteReference"/>
        </w:rPr>
        <w:footnoteReference w:id="90"/>
      </w:r>
      <w:r w:rsidRPr="008871FE">
        <w:t xml:space="preserve"> OS was confounded by crossover. </w:t>
      </w:r>
    </w:p>
    <w:p w14:paraId="62B72739" w14:textId="77777777" w:rsidR="008871FE" w:rsidRPr="008871FE" w:rsidRDefault="008871FE" w:rsidP="003659A4">
      <w:pPr>
        <w:pStyle w:val="ListBullet"/>
      </w:pPr>
      <w:r w:rsidRPr="008871FE">
        <w:t xml:space="preserve">Despite the success of crizotinib as an initial anti-ROS1 TKI, it does not cross the blood brain barrier, and CNS progression comprises a large proportion of progression on crizotinib. Also notable is the development of mutations in ROS1 that confer crizotinib resistance. </w:t>
      </w:r>
    </w:p>
    <w:p w14:paraId="2768B3BD" w14:textId="0806B794" w:rsidR="008871FE" w:rsidRPr="008871FE" w:rsidRDefault="008871FE" w:rsidP="003659A4">
      <w:pPr>
        <w:pStyle w:val="ListBullet"/>
      </w:pPr>
      <w:proofErr w:type="spellStart"/>
      <w:r w:rsidRPr="008871FE">
        <w:t>Entrectinib</w:t>
      </w:r>
      <w:proofErr w:type="spellEnd"/>
      <w:r w:rsidRPr="008871FE">
        <w:t xml:space="preserve"> is another TKI that has been registered based on similar data to crizotinib for treatment of ROS1-positive NSCLC, in large part because in being able cross the blood-brain barrier, </w:t>
      </w:r>
      <w:proofErr w:type="spellStart"/>
      <w:r w:rsidRPr="008871FE">
        <w:t>entrectinib</w:t>
      </w:r>
      <w:proofErr w:type="spellEnd"/>
      <w:r w:rsidRPr="008871FE">
        <w:t xml:space="preserve"> was able to address the need for intracranial efficacy. For patients with CNS-only progression on crizotinib </w:t>
      </w:r>
      <w:proofErr w:type="spellStart"/>
      <w:r w:rsidRPr="008871FE">
        <w:t>entrectinib</w:t>
      </w:r>
      <w:proofErr w:type="spellEnd"/>
      <w:r w:rsidRPr="008871FE">
        <w:t xml:space="preserve"> provides a treatment option. However, nonclinical data predicted it would have poor activity against ROS1 mutations known to confer crizotinib resistance including G2032R and L2026M.</w:t>
      </w:r>
      <w:r w:rsidR="00296CF7">
        <w:rPr>
          <w:rStyle w:val="FootnoteReference"/>
        </w:rPr>
        <w:footnoteReference w:id="91"/>
      </w:r>
      <w:r w:rsidRPr="008871FE">
        <w:t xml:space="preserve"> In keeping with this, disappointing efficacy was seen amongst patients with non-CNS progression on crizotinib (with an ORR around 11%).</w:t>
      </w:r>
      <w:r w:rsidR="000B0197">
        <w:rPr>
          <w:rStyle w:val="FootnoteReference"/>
        </w:rPr>
        <w:footnoteReference w:id="92"/>
      </w:r>
      <w:r w:rsidRPr="008871FE">
        <w:t xml:space="preserve"> </w:t>
      </w:r>
    </w:p>
    <w:p w14:paraId="76C42110" w14:textId="5CF4E92D" w:rsidR="008871FE" w:rsidRPr="008871FE" w:rsidRDefault="008871FE" w:rsidP="008871FE">
      <w:r w:rsidRPr="008871FE">
        <w:t xml:space="preserve">For patients who progress on crizotinib or </w:t>
      </w:r>
      <w:proofErr w:type="spellStart"/>
      <w:r w:rsidRPr="008871FE">
        <w:t>entrectinib</w:t>
      </w:r>
      <w:proofErr w:type="spellEnd"/>
      <w:r w:rsidRPr="008871FE">
        <w:t xml:space="preserve">, platinum-pemetrexed chemotherapy remains a valid treatment option. However, despite the lack of a direct randomised comparison, it </w:t>
      </w:r>
      <w:r w:rsidR="004C3A9C">
        <w:t xml:space="preserve">is </w:t>
      </w:r>
      <w:r w:rsidRPr="008871FE">
        <w:t xml:space="preserve">highly likely that </w:t>
      </w:r>
      <w:proofErr w:type="spellStart"/>
      <w:r w:rsidRPr="008871FE">
        <w:t>repotrectinib</w:t>
      </w:r>
      <w:proofErr w:type="spellEnd"/>
      <w:r w:rsidRPr="008871FE">
        <w:t xml:space="preserve"> represents at least a reasonable treatment option compared to platinum-pemetrexed chemotherapy after the failure of first-line crizotinib or </w:t>
      </w:r>
      <w:proofErr w:type="spellStart"/>
      <w:r w:rsidRPr="008871FE">
        <w:t>entrectinib</w:t>
      </w:r>
      <w:proofErr w:type="spellEnd"/>
      <w:r w:rsidRPr="008871FE">
        <w:t xml:space="preserve">. </w:t>
      </w:r>
      <w:r w:rsidR="00670BF6">
        <w:t>The evidence for this includes the following</w:t>
      </w:r>
      <w:r w:rsidRPr="008871FE">
        <w:t>:</w:t>
      </w:r>
    </w:p>
    <w:p w14:paraId="5D3566FC" w14:textId="77777777" w:rsidR="008871FE" w:rsidRPr="008871FE" w:rsidRDefault="008871FE" w:rsidP="00670BF6">
      <w:pPr>
        <w:pStyle w:val="ListBullet"/>
      </w:pPr>
      <w:r w:rsidRPr="008871FE">
        <w:t>TKIs appear to have superior efficacy to chemotherapy when used in the first-line setting, as outlined above.</w:t>
      </w:r>
    </w:p>
    <w:p w14:paraId="64BCBB45" w14:textId="77777777" w:rsidR="008871FE" w:rsidRPr="008871FE" w:rsidRDefault="008871FE" w:rsidP="00670BF6">
      <w:pPr>
        <w:pStyle w:val="ListBullet"/>
      </w:pPr>
      <w:r w:rsidRPr="008871FE">
        <w:t xml:space="preserve">The safety profile of </w:t>
      </w:r>
      <w:proofErr w:type="spellStart"/>
      <w:r w:rsidRPr="008871FE">
        <w:t>repotrectinib</w:t>
      </w:r>
      <w:proofErr w:type="spellEnd"/>
      <w:r w:rsidRPr="008871FE">
        <w:t xml:space="preserve"> is different, if not favourable, from chemotherapy.</w:t>
      </w:r>
    </w:p>
    <w:p w14:paraId="37692B38" w14:textId="10276487" w:rsidR="008871FE" w:rsidRPr="008871FE" w:rsidRDefault="008871FE" w:rsidP="00670BF6">
      <w:pPr>
        <w:pStyle w:val="ListBullet"/>
      </w:pPr>
      <w:r w:rsidRPr="008871FE">
        <w:t xml:space="preserve">The proportion of patients likely to experience tumour regression with </w:t>
      </w:r>
      <w:proofErr w:type="spellStart"/>
      <w:r w:rsidRPr="008871FE">
        <w:t>repotrectinib</w:t>
      </w:r>
      <w:proofErr w:type="spellEnd"/>
      <w:r w:rsidRPr="008871FE">
        <w:t xml:space="preserve"> after one prior TKI is clinically meaningful (49% [39, 59]) and is probably similar regardless of whether crizotinib or </w:t>
      </w:r>
      <w:proofErr w:type="spellStart"/>
      <w:r w:rsidRPr="008871FE">
        <w:t>entrectinib</w:t>
      </w:r>
      <w:proofErr w:type="spellEnd"/>
      <w:r w:rsidRPr="008871FE">
        <w:t xml:space="preserve"> was used first.</w:t>
      </w:r>
    </w:p>
    <w:p w14:paraId="58ABE56C" w14:textId="77777777" w:rsidR="008871FE" w:rsidRPr="008871FE" w:rsidRDefault="008871FE" w:rsidP="00670BF6">
      <w:pPr>
        <w:pStyle w:val="ListBullet"/>
      </w:pPr>
      <w:r w:rsidRPr="008871FE">
        <w:t xml:space="preserve">The duration of responses in the post-TKI setting (EXP-4) is clinically meaningful with a median of close to 15 months.  </w:t>
      </w:r>
    </w:p>
    <w:p w14:paraId="558D5785" w14:textId="696A6CAB" w:rsidR="008871FE" w:rsidRPr="008871FE" w:rsidRDefault="00723383" w:rsidP="008871FE">
      <w:r>
        <w:lastRenderedPageBreak/>
        <w:t>T</w:t>
      </w:r>
      <w:r w:rsidR="008871FE" w:rsidRPr="008871FE">
        <w:t>herefore</w:t>
      </w:r>
      <w:r>
        <w:t xml:space="preserve">, </w:t>
      </w:r>
      <w:r w:rsidR="008871FE" w:rsidRPr="008871FE">
        <w:t xml:space="preserve">the efficacy of </w:t>
      </w:r>
      <w:proofErr w:type="spellStart"/>
      <w:r w:rsidR="008871FE" w:rsidRPr="008871FE">
        <w:t>repotrectinib</w:t>
      </w:r>
      <w:proofErr w:type="spellEnd"/>
      <w:r w:rsidR="008871FE" w:rsidRPr="008871FE">
        <w:t xml:space="preserve"> for the treatment of ROS1-positive NSCLC after failure of first-line TKI </w:t>
      </w:r>
      <w:r>
        <w:t>is</w:t>
      </w:r>
      <w:r w:rsidR="008871FE" w:rsidRPr="008871FE">
        <w:t xml:space="preserve"> established. </w:t>
      </w:r>
      <w:r w:rsidR="009C2D75">
        <w:t>Whilst t</w:t>
      </w:r>
      <w:r>
        <w:t>he</w:t>
      </w:r>
      <w:r w:rsidR="008871FE" w:rsidRPr="008871FE">
        <w:t xml:space="preserve"> proposed dose for registration (the recommended phase 2 dose/RP2D) was not a requirement for inclusion in the efficacy population, durable responses were seen in a meaningful proportion of patients who did not receive the RP2D. </w:t>
      </w:r>
      <w:r w:rsidR="009C2D75">
        <w:t>W</w:t>
      </w:r>
      <w:r w:rsidR="008871FE" w:rsidRPr="008871FE">
        <w:t xml:space="preserve">hilst a source of additional uncertainty, </w:t>
      </w:r>
      <w:r w:rsidR="009C2D75">
        <w:t xml:space="preserve">this is </w:t>
      </w:r>
      <w:r w:rsidR="008871FE" w:rsidRPr="008871FE">
        <w:t xml:space="preserve">not </w:t>
      </w:r>
      <w:r w:rsidR="009C2D75">
        <w:t xml:space="preserve">a </w:t>
      </w:r>
      <w:r w:rsidR="008871FE" w:rsidRPr="008871FE">
        <w:t>barrier to decision.</w:t>
      </w:r>
    </w:p>
    <w:p w14:paraId="2A6369C0" w14:textId="77777777" w:rsidR="008871FE" w:rsidRPr="008871FE" w:rsidRDefault="008871FE" w:rsidP="008871FE">
      <w:r w:rsidRPr="008871FE">
        <w:t>The establishment of efficacy in the treatment-naïve setting is partially supported by the establishment of efficacy in the ROS1 TKI pre-treated setting.</w:t>
      </w:r>
    </w:p>
    <w:p w14:paraId="42DCBBD3" w14:textId="599F3790" w:rsidR="008871FE" w:rsidRPr="008871FE" w:rsidRDefault="009C2D75" w:rsidP="008871FE">
      <w:r>
        <w:t>The u</w:t>
      </w:r>
      <w:r w:rsidR="008871FE" w:rsidRPr="008871FE">
        <w:t xml:space="preserve">se of crizotinib or </w:t>
      </w:r>
      <w:proofErr w:type="spellStart"/>
      <w:r w:rsidR="008871FE" w:rsidRPr="008871FE">
        <w:t>entrectinib</w:t>
      </w:r>
      <w:proofErr w:type="spellEnd"/>
      <w:r w:rsidR="008871FE" w:rsidRPr="008871FE">
        <w:t xml:space="preserve"> for the treatment of TKI-naïve ROS1 fusion-positive NSCLC results in response rates around 65-80%, depending on who is conducting the assessment (BICR versus investigator) and how precise an estimate the study is powered for. The response rate seen with </w:t>
      </w:r>
      <w:proofErr w:type="spellStart"/>
      <w:r w:rsidR="008871FE" w:rsidRPr="008871FE">
        <w:t>repotrectinib</w:t>
      </w:r>
      <w:proofErr w:type="spellEnd"/>
      <w:r w:rsidR="008871FE" w:rsidRPr="008871FE">
        <w:t xml:space="preserve"> in TRIDENT-1 in treatment-naïve ROS1-positive NSCLC appears to be at least similar to these. Contextualised by the biological rationale, rational molecular design, and preclinical data, inferior effectiveness is highly unlikely (though uncertainty persists in the absence of an internal control). Despite the uncertainty inherent in cross-trial comparison, the duration of response does appear to probably be longer with </w:t>
      </w:r>
      <w:proofErr w:type="spellStart"/>
      <w:r w:rsidR="008871FE" w:rsidRPr="008871FE">
        <w:t>repotrectinib</w:t>
      </w:r>
      <w:proofErr w:type="spellEnd"/>
      <w:r w:rsidR="008871FE" w:rsidRPr="008871FE">
        <w:t xml:space="preserve"> (median DOR 34 months) than with either crizotinib (median DOR 25 months)</w:t>
      </w:r>
      <w:r w:rsidR="00F618AB">
        <w:rPr>
          <w:rStyle w:val="FootnoteReference"/>
        </w:rPr>
        <w:footnoteReference w:id="93"/>
      </w:r>
      <w:r w:rsidR="008871FE" w:rsidRPr="008871FE">
        <w:t xml:space="preserve"> or </w:t>
      </w:r>
      <w:proofErr w:type="spellStart"/>
      <w:r w:rsidR="008871FE" w:rsidRPr="008871FE">
        <w:t>entrectinib</w:t>
      </w:r>
      <w:proofErr w:type="spellEnd"/>
      <w:r w:rsidR="008871FE" w:rsidRPr="008871FE">
        <w:t xml:space="preserve"> (median DOR 21 months).</w:t>
      </w:r>
      <w:r w:rsidR="002B73FB">
        <w:rPr>
          <w:rStyle w:val="FootnoteReference"/>
        </w:rPr>
        <w:footnoteReference w:id="94"/>
      </w:r>
      <w:r w:rsidR="008871FE" w:rsidRPr="008871FE">
        <w:t xml:space="preserve"> It is important to acknowledge that the absence of direct comparative data at this time poses difficulties in truly understanding the relative clinical benefit of crizotinib, </w:t>
      </w:r>
      <w:proofErr w:type="spellStart"/>
      <w:r w:rsidR="008871FE" w:rsidRPr="008871FE">
        <w:t>entrectinib</w:t>
      </w:r>
      <w:proofErr w:type="spellEnd"/>
      <w:r w:rsidR="008871FE" w:rsidRPr="008871FE">
        <w:t xml:space="preserve"> and </w:t>
      </w:r>
      <w:proofErr w:type="spellStart"/>
      <w:r w:rsidR="008871FE" w:rsidRPr="008871FE">
        <w:t>repotrectinib</w:t>
      </w:r>
      <w:proofErr w:type="spellEnd"/>
      <w:r w:rsidR="008871FE" w:rsidRPr="008871FE">
        <w:t xml:space="preserve">. However, direct comparison is currently being conducted between crizotinib and </w:t>
      </w:r>
      <w:proofErr w:type="spellStart"/>
      <w:r w:rsidR="008871FE" w:rsidRPr="008871FE">
        <w:t>entrectinib</w:t>
      </w:r>
      <w:proofErr w:type="spellEnd"/>
      <w:r w:rsidR="008871FE" w:rsidRPr="008871FE">
        <w:t>,</w:t>
      </w:r>
      <w:r w:rsidR="009D6589">
        <w:rPr>
          <w:rStyle w:val="FootnoteReference"/>
        </w:rPr>
        <w:footnoteReference w:id="95"/>
      </w:r>
      <w:r w:rsidR="008871FE" w:rsidRPr="008871FE">
        <w:t xml:space="preserve"> as well as between crizotinib and </w:t>
      </w:r>
      <w:proofErr w:type="spellStart"/>
      <w:r w:rsidR="008871FE" w:rsidRPr="008871FE">
        <w:t>repotrectinib</w:t>
      </w:r>
      <w:proofErr w:type="spellEnd"/>
      <w:r w:rsidR="008871FE" w:rsidRPr="008871FE">
        <w:t xml:space="preserve"> in the first-line setting,</w:t>
      </w:r>
      <w:r w:rsidR="00AE3792">
        <w:rPr>
          <w:rStyle w:val="FootnoteReference"/>
        </w:rPr>
        <w:footnoteReference w:id="96"/>
      </w:r>
      <w:r w:rsidR="008871FE" w:rsidRPr="008871FE">
        <w:t xml:space="preserve"> providing reassurance that uncertainties over comparative benefit are unlikely to be persistent. </w:t>
      </w:r>
    </w:p>
    <w:p w14:paraId="291E55A9" w14:textId="7AABBD90" w:rsidR="008871FE" w:rsidRPr="008871FE" w:rsidRDefault="008871FE" w:rsidP="008871FE">
      <w:r w:rsidRPr="008871FE">
        <w:t xml:space="preserve">Nevertheless, with crizotinib and </w:t>
      </w:r>
      <w:proofErr w:type="spellStart"/>
      <w:r w:rsidRPr="008871FE">
        <w:t>entrectinib</w:t>
      </w:r>
      <w:proofErr w:type="spellEnd"/>
      <w:r w:rsidRPr="008871FE">
        <w:t xml:space="preserve"> available in the first line setting, it could be considered contentious to accept single arm data as adequate to establish clinical benefit without direct randomised data. Whilst those therapies were both approved themselves based on single arm data, some limited randomised data comparing crizotinib and pemetrexed-platinum is available,</w:t>
      </w:r>
      <w:r w:rsidR="00675112">
        <w:rPr>
          <w:rStyle w:val="FootnoteReference"/>
        </w:rPr>
        <w:footnoteReference w:id="97"/>
      </w:r>
      <w:r w:rsidRPr="008871FE">
        <w:t xml:space="preserve"> and an abundance of real-world data indicates that the observed clinical benefit in ORR and DOR translates to benefits on more traditional trial endpoints like PFS and OS. The potential for this to be contentious is mitigated, to my mind, by the presence of groups for whom existing options are severely limited, or non-existent. These groups are in keeping with the cohorts defined in TRIDENT-1, i.e.:</w:t>
      </w:r>
    </w:p>
    <w:p w14:paraId="0BC8FD3A" w14:textId="77777777" w:rsidR="008871FE" w:rsidRPr="008871FE" w:rsidRDefault="008871FE" w:rsidP="00675112">
      <w:pPr>
        <w:pStyle w:val="ListBullet"/>
      </w:pPr>
      <w:r w:rsidRPr="008871FE">
        <w:t xml:space="preserve">Patients with progression on either crizotinib or </w:t>
      </w:r>
      <w:proofErr w:type="spellStart"/>
      <w:r w:rsidRPr="008871FE">
        <w:t>entrectinib</w:t>
      </w:r>
      <w:proofErr w:type="spellEnd"/>
      <w:r w:rsidRPr="008871FE">
        <w:t>, whose only option is chemotherapy (EXP-4)</w:t>
      </w:r>
    </w:p>
    <w:p w14:paraId="38A762D4" w14:textId="77777777" w:rsidR="008871FE" w:rsidRPr="008871FE" w:rsidRDefault="008871FE" w:rsidP="00675112">
      <w:pPr>
        <w:pStyle w:val="ListBullet"/>
      </w:pPr>
      <w:r w:rsidRPr="008871FE">
        <w:t xml:space="preserve">Patients who have received both a TKI and prior chemotherapy (EXP-2) </w:t>
      </w:r>
    </w:p>
    <w:p w14:paraId="088720CE" w14:textId="77777777" w:rsidR="008871FE" w:rsidRPr="008871FE" w:rsidRDefault="008871FE" w:rsidP="00675112">
      <w:pPr>
        <w:pStyle w:val="ListBullet"/>
      </w:pPr>
      <w:r w:rsidRPr="008871FE">
        <w:t>Patients who have received two prior TKIs only (EXP-3)</w:t>
      </w:r>
    </w:p>
    <w:p w14:paraId="430244BF" w14:textId="77777777" w:rsidR="008871FE" w:rsidRPr="008871FE" w:rsidRDefault="008871FE" w:rsidP="008871FE">
      <w:r w:rsidRPr="008871FE">
        <w:t xml:space="preserve">Acknowledging that it is limited, there is objective evidence of clinically meaningful activity amongst these patient groups in the submitted dataset. </w:t>
      </w:r>
    </w:p>
    <w:p w14:paraId="491418EC" w14:textId="77777777" w:rsidR="008871FE" w:rsidRPr="008871FE" w:rsidRDefault="008871FE" w:rsidP="008871FE">
      <w:r w:rsidRPr="008871FE">
        <w:t xml:space="preserve">One important limitation relates to amendment 9 leading to Version 10.0 of the study protocol (20 OCT 2020), in which the EXP-3 inclusion criteria were modified to remove the requirement </w:t>
      </w:r>
      <w:r w:rsidRPr="008871FE">
        <w:lastRenderedPageBreak/>
        <w:t xml:space="preserve">for previous treatment with one line of platinum-based chemo/immuno-therapy due to the limited activity of </w:t>
      </w:r>
      <w:proofErr w:type="spellStart"/>
      <w:r w:rsidRPr="008871FE">
        <w:t>repotrectinib</w:t>
      </w:r>
      <w:proofErr w:type="spellEnd"/>
      <w:r w:rsidRPr="008871FE">
        <w:t xml:space="preserve"> seen in the 4th line setting (2 prior TKIs + 1 line chemotherapy). </w:t>
      </w:r>
    </w:p>
    <w:p w14:paraId="230CDECB" w14:textId="43E50CD7" w:rsidR="008871FE" w:rsidRPr="008871FE" w:rsidRDefault="008871FE" w:rsidP="008871FE">
      <w:r w:rsidRPr="008871FE">
        <w:t xml:space="preserve">In terms of clinical safety, the toxicities of treatment with this molecule, whilst certainly not </w:t>
      </w:r>
      <w:r w:rsidR="00A36562" w:rsidRPr="008871FE">
        <w:t>dismissible</w:t>
      </w:r>
      <w:r w:rsidRPr="008871FE">
        <w:t>, differ to those of chemotherapy, and compare reasonably with toxicities seen for similar TKIs. CNS effects are prevalent, and account for most of the need for dose reduction or interruption. Hepatotoxicity, ILD, myalgia with CPK elevation, hyperuricaemia and skeletal fractures are proposed warnings, aligned with the US label. QT prolongation, bradycardia and congestive cardiac failure don’t appear to be significant risks as for crizotinib/</w:t>
      </w:r>
      <w:proofErr w:type="spellStart"/>
      <w:r w:rsidRPr="008871FE">
        <w:t>entrectinib</w:t>
      </w:r>
      <w:proofErr w:type="spellEnd"/>
      <w:r w:rsidRPr="008871FE">
        <w:t xml:space="preserve">, however, the potential for ocular toxicity/visual disorders with </w:t>
      </w:r>
      <w:proofErr w:type="spellStart"/>
      <w:r w:rsidRPr="008871FE">
        <w:t>repotrectinib</w:t>
      </w:r>
      <w:proofErr w:type="spellEnd"/>
      <w:r w:rsidRPr="008871FE">
        <w:t xml:space="preserve"> has been flagged as requiring additional follow-up, with an FDA post-marketing requirement issued for a study on this topic (PMR 4547-2; anticipated to be available around August 2028). The effects of moderate and severe hepatic impairment on PK are the subject of a second PMR (4547-3; anticipated to be available mid 2026). Leukopenia and gastrointestinal perforation are warnings in the crizotinib PI that have not been notable with </w:t>
      </w:r>
      <w:proofErr w:type="spellStart"/>
      <w:r w:rsidRPr="008871FE">
        <w:t>entrectinib</w:t>
      </w:r>
      <w:proofErr w:type="spellEnd"/>
      <w:r w:rsidRPr="008871FE">
        <w:t xml:space="preserve"> and </w:t>
      </w:r>
      <w:proofErr w:type="spellStart"/>
      <w:r w:rsidRPr="008871FE">
        <w:t>repotrectinib</w:t>
      </w:r>
      <w:proofErr w:type="spellEnd"/>
      <w:r w:rsidRPr="008871FE">
        <w:t xml:space="preserve"> data to date. </w:t>
      </w:r>
    </w:p>
    <w:p w14:paraId="3FCBC90B" w14:textId="77777777" w:rsidR="008871FE" w:rsidRPr="008871FE" w:rsidRDefault="008871FE" w:rsidP="008871FE">
      <w:r w:rsidRPr="008871FE">
        <w:t>Additional FDA PMRs relate to clinical and PBPK DDI studies (in relation to CYP3a and P-</w:t>
      </w:r>
      <w:proofErr w:type="spellStart"/>
      <w:r w:rsidRPr="008871FE">
        <w:t>gp</w:t>
      </w:r>
      <w:proofErr w:type="spellEnd"/>
      <w:r w:rsidRPr="008871FE">
        <w:t xml:space="preserve"> inhibitors: PMR 4547-4, expected June 2026), and inhibitory effect on the PK of MATE2-K, P-</w:t>
      </w:r>
      <w:proofErr w:type="spellStart"/>
      <w:r w:rsidRPr="008871FE">
        <w:t>gp</w:t>
      </w:r>
      <w:proofErr w:type="spellEnd"/>
      <w:r w:rsidRPr="008871FE">
        <w:t>, OATP1B1, and BCRP substrates (4547-5, expected July 2029). Additionally, post-marketing commitments are in place regarding updated data from TRIDENT-1 to improve precision of response rate and durability estimates (PMC 4547-6), application of the PBPK model to anticipate DDI with CYP3A inducers (PMC 4547-7), clinical PK trials to investigate effects on single dose PK of CYP2B6, CYP2C9, and CYP2C19 substrates (PMC 4547-8) and validation of an appropriate IVD diagnostic device (PMC 4547-9).</w:t>
      </w:r>
    </w:p>
    <w:p w14:paraId="07EC86C9" w14:textId="0A80B49B" w:rsidR="008871FE" w:rsidRPr="008871FE" w:rsidRDefault="008871FE" w:rsidP="008871FE">
      <w:r w:rsidRPr="008871FE">
        <w:t>Fatal adverse events (7%) and permanent discontinuations due to adverse events (11%) were reported in the trial, but specific patterns of suspected treatment-related drug effects were not discernible. Deaths were for the most part in keeping with events common in an advanced NSCLC population, including a case of DIC. Thromboembolism, thrombotic microangiopathy and DIC are reported to be more common in patients with ROS-1 rearranged tumours than other NSCLC.</w:t>
      </w:r>
      <w:r w:rsidR="004B19E8">
        <w:rPr>
          <w:rStyle w:val="FootnoteReference"/>
        </w:rPr>
        <w:footnoteReference w:id="98"/>
      </w:r>
    </w:p>
    <w:p w14:paraId="17FB940E" w14:textId="0D5358FC" w:rsidR="008871FE" w:rsidRPr="008871FE" w:rsidRDefault="008871FE" w:rsidP="008871FE">
      <w:r w:rsidRPr="008871FE">
        <w:t xml:space="preserve">Overall, this appears to be an adequately described safety profile for this rare condition, with a set of toxicities that are in keeping with the </w:t>
      </w:r>
      <w:r w:rsidR="00A36562" w:rsidRPr="008871FE">
        <w:t>class and</w:t>
      </w:r>
      <w:r w:rsidRPr="008871FE">
        <w:t xml:space="preserve"> are likely to be acceptable in the context of this life-threatening condition.</w:t>
      </w:r>
    </w:p>
    <w:p w14:paraId="296B980E" w14:textId="77777777" w:rsidR="008871FE" w:rsidRPr="008871FE" w:rsidRDefault="008871FE" w:rsidP="008871FE">
      <w:pPr>
        <w:rPr>
          <w:b/>
          <w:bCs/>
        </w:rPr>
      </w:pPr>
      <w:r w:rsidRPr="008871FE">
        <w:rPr>
          <w:b/>
          <w:bCs/>
        </w:rPr>
        <w:t>Conclusions</w:t>
      </w:r>
    </w:p>
    <w:p w14:paraId="1E4C5145" w14:textId="1FB5290E" w:rsidR="008871FE" w:rsidRPr="008871FE" w:rsidRDefault="008871FE" w:rsidP="008871FE">
      <w:r w:rsidRPr="008871FE">
        <w:t xml:space="preserve">The magnitude of response rate and durability of responses observed with </w:t>
      </w:r>
      <w:proofErr w:type="spellStart"/>
      <w:r w:rsidRPr="008871FE">
        <w:t>repotrectinib</w:t>
      </w:r>
      <w:proofErr w:type="spellEnd"/>
      <w:r w:rsidRPr="008871FE">
        <w:t xml:space="preserve"> treatment for patients with ROS1-positive NSCLC are clinically meaningful for this population with a poor prognosis. There is meaningful evidence of anti-tumour activity in patients who received one prior ROS1 TKI, two prior ROS1 TKIs or one prior ROS1 TKI </w:t>
      </w:r>
      <w:proofErr w:type="gramStart"/>
      <w:r w:rsidRPr="008871FE">
        <w:t>and also</w:t>
      </w:r>
      <w:proofErr w:type="gramEnd"/>
      <w:r w:rsidRPr="008871FE">
        <w:t xml:space="preserve"> prior chemotherapy. There is meaningful evidence of anti-tumour activity in patients with intracranial disease, and there is meaningful evidence of anti-tumour activity in patients with mutations of ROS1 known to confer crizotinib resistance. This evidence supports </w:t>
      </w:r>
      <w:proofErr w:type="spellStart"/>
      <w:r w:rsidRPr="008871FE">
        <w:t>repotrectinib</w:t>
      </w:r>
      <w:proofErr w:type="spellEnd"/>
      <w:r w:rsidRPr="008871FE">
        <w:t xml:space="preserve"> as a therapeutic option for these patient subpopulations with no standard treatment options. The ORR observed in ROS1 TKI-naïve patients is comparable to the response rates observed in other approved therapies for this indication (crizotinib and </w:t>
      </w:r>
      <w:proofErr w:type="spellStart"/>
      <w:r w:rsidRPr="008871FE">
        <w:t>entrectinib</w:t>
      </w:r>
      <w:proofErr w:type="spellEnd"/>
      <w:r w:rsidRPr="008871FE">
        <w:t>). As a package, the data supports approval of an indication that is line-agnostic</w:t>
      </w:r>
    </w:p>
    <w:p w14:paraId="307F236C" w14:textId="7FD19BD3" w:rsidR="00C22214" w:rsidRPr="002E238E" w:rsidRDefault="0046285C" w:rsidP="00C22214">
      <w:pPr>
        <w:pStyle w:val="Heading2"/>
      </w:pPr>
      <w:bookmarkStart w:id="67" w:name="_Toc247691532"/>
      <w:bookmarkStart w:id="68" w:name="_Toc314842516"/>
      <w:bookmarkStart w:id="69" w:name="_Toc103679300"/>
      <w:bookmarkStart w:id="70" w:name="_Toc219813790"/>
      <w:r>
        <w:lastRenderedPageBreak/>
        <w:t>Assessment</w:t>
      </w:r>
      <w:r w:rsidR="00190853">
        <w:t xml:space="preserve"> </w:t>
      </w:r>
      <w:r>
        <w:t>o</w:t>
      </w:r>
      <w:r w:rsidR="00C22214">
        <w:t>utcome</w:t>
      </w:r>
      <w:bookmarkEnd w:id="67"/>
      <w:bookmarkEnd w:id="68"/>
      <w:bookmarkEnd w:id="69"/>
      <w:bookmarkEnd w:id="70"/>
    </w:p>
    <w:p w14:paraId="4EF22939" w14:textId="72FB3485" w:rsidR="00C22214" w:rsidRDefault="00C22214" w:rsidP="0006104E">
      <w:r w:rsidRPr="0017005C">
        <w:t xml:space="preserve">Based on a review of quality, safety, and efficacy, the TGA </w:t>
      </w:r>
      <w:r w:rsidR="00B46DFB">
        <w:t>decided to</w:t>
      </w:r>
      <w:r w:rsidRPr="0017005C">
        <w:t xml:space="preserve"> regist</w:t>
      </w:r>
      <w:r w:rsidR="00B46DFB">
        <w:t>er</w:t>
      </w:r>
      <w:r w:rsidRPr="0017005C">
        <w:t xml:space="preserve"> </w:t>
      </w:r>
      <w:r w:rsidR="00C00D00">
        <w:t>Augtyro</w:t>
      </w:r>
      <w:r w:rsidR="00FF2DAD">
        <w:t xml:space="preserve"> (</w:t>
      </w:r>
      <w:proofErr w:type="spellStart"/>
      <w:r w:rsidR="00FF2DAD" w:rsidRPr="00FF2DAD">
        <w:t>repotrectinib</w:t>
      </w:r>
      <w:proofErr w:type="spellEnd"/>
      <w:r w:rsidR="00FF2DAD">
        <w:t>)</w:t>
      </w:r>
      <w:r w:rsidR="00FF2DAD" w:rsidRPr="00FF2DAD">
        <w:t xml:space="preserve"> </w:t>
      </w:r>
      <w:r w:rsidRPr="0017005C">
        <w:t>for the following indication:</w:t>
      </w:r>
    </w:p>
    <w:p w14:paraId="42F6BF27" w14:textId="60BAB944" w:rsidR="00416535" w:rsidRPr="0017005C" w:rsidRDefault="00C00D00" w:rsidP="00416535">
      <w:pPr>
        <w:pStyle w:val="Indication"/>
      </w:pPr>
      <w:r>
        <w:t>Augtyro</w:t>
      </w:r>
      <w:r w:rsidR="00416535" w:rsidRPr="00416535">
        <w:t>, as monotherapy, is indicated for the treatment of adult patients with ROS1-positive locally advanced or metastatic non-small cell lung cancer (NSCLC).</w:t>
      </w:r>
    </w:p>
    <w:p w14:paraId="5F9DAF06" w14:textId="77777777" w:rsidR="00820876" w:rsidRDefault="00854D98" w:rsidP="00CF4ABD">
      <w:pPr>
        <w:pStyle w:val="Heading3"/>
      </w:pPr>
      <w:bookmarkStart w:id="71" w:name="_Toc219813791"/>
      <w:bookmarkStart w:id="72" w:name="_Toc103679301"/>
      <w:r w:rsidRPr="00D23139">
        <w:t>Specific conditions of registration</w:t>
      </w:r>
      <w:bookmarkEnd w:id="71"/>
    </w:p>
    <w:bookmarkEnd w:id="72"/>
    <w:p w14:paraId="34E3666F" w14:textId="5CB880B0" w:rsidR="00820876" w:rsidRDefault="00C00D00" w:rsidP="00820876">
      <w:r>
        <w:t>Augtyro</w:t>
      </w:r>
      <w:r w:rsidR="00820876">
        <w:t xml:space="preserve"> (</w:t>
      </w:r>
      <w:proofErr w:type="spellStart"/>
      <w:r w:rsidR="00820876">
        <w:t>repotrectinib</w:t>
      </w:r>
      <w:proofErr w:type="spellEnd"/>
      <w:r w:rsidR="00820876">
        <w:t xml:space="preserve">) is to be included in the Black Triangle Scheme. The PI and CMI for </w:t>
      </w:r>
      <w:r>
        <w:t>Augtyro</w:t>
      </w:r>
      <w:r w:rsidR="00820876">
        <w:t xml:space="preserve"> must include the black triangle symbol and mandatory accompanying text for five years, which starts from the date of first supply of the product.</w:t>
      </w:r>
    </w:p>
    <w:p w14:paraId="58213DE5" w14:textId="4FE645D3" w:rsidR="00820876" w:rsidRDefault="00820876" w:rsidP="00820876">
      <w:r>
        <w:t xml:space="preserve">The </w:t>
      </w:r>
      <w:r w:rsidR="00C00D00">
        <w:t>Augtyro</w:t>
      </w:r>
      <w:r>
        <w:t xml:space="preserve"> EU-Risk Management Plan (RMP) (version 0.3, dated 26 September 2024, data lock point 15 October 2023), with Australia-Specific Annex (ASA) (version 2.0, dated 19 February 2025), included with submission PM-2024-01468-1-4, and any subsequent revisions, as agreed with the TGA will be implemented in Australia.</w:t>
      </w:r>
    </w:p>
    <w:p w14:paraId="0E5058FB" w14:textId="09BAA912" w:rsidR="00820876" w:rsidRDefault="00820876" w:rsidP="00820876">
      <w:r>
        <w:t>An obligatory component of risk management plans is routine pharmacovigilance. Routine pharmacovigilance includes the submission of periodic safety update reports (PSURs).</w:t>
      </w:r>
    </w:p>
    <w:p w14:paraId="5BA9CD23" w14:textId="74C3418B" w:rsidR="00820876" w:rsidRDefault="00820876" w:rsidP="00820876">
      <w:r>
        <w:t>Reports are to be provided in line with the current published list of EU reference dates and frequency of submission of PSURs until the period covered by such reports is not less than three years from the date of this approval letter. Each report must be submitted within ninety calendar days of the data lock point for that report.</w:t>
      </w:r>
    </w:p>
    <w:p w14:paraId="1C2FA796" w14:textId="77777777" w:rsidR="00820876" w:rsidRDefault="00820876" w:rsidP="00820876">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6B3CE03C" w14:textId="7376024F" w:rsidR="00820876" w:rsidRDefault="00820876" w:rsidP="00820876">
      <w:r>
        <w:t>The final clinical study report from Study CA127-1030/ TRIDENT-3 should be submitted to the TGA as a Category 1 submission when available.</w:t>
      </w:r>
    </w:p>
    <w:p w14:paraId="19734739" w14:textId="268A2AAB" w:rsidR="00820876" w:rsidRDefault="00820876" w:rsidP="00820876">
      <w:r>
        <w:t xml:space="preserve">The final report from a prospective study to evaluate risk factors, manifestations, and outcomes associated with the signal of serious ocular toxicity with </w:t>
      </w:r>
      <w:proofErr w:type="spellStart"/>
      <w:r>
        <w:t>repotrectinib</w:t>
      </w:r>
      <w:proofErr w:type="spellEnd"/>
      <w:r>
        <w:t xml:space="preserve"> in patients with ROS1 positive NSCLC or solid tumours, should be submitted to the TGA as a Category 1 submission when available. (US-FDA commitment 4547-2)</w:t>
      </w:r>
    </w:p>
    <w:p w14:paraId="2C347BFC" w14:textId="29E60E6E" w:rsidR="00820876" w:rsidRDefault="00820876" w:rsidP="00820876">
      <w:r>
        <w:t xml:space="preserve">The final study report from a clinical pharmacokinetic trial in non-cancer hepatically impaired subjects to evaluate the effect of moderate and severe hepatic impairment on the single dose pharmacokinetics and safety of </w:t>
      </w:r>
      <w:proofErr w:type="spellStart"/>
      <w:r>
        <w:t>repotrectinib</w:t>
      </w:r>
      <w:proofErr w:type="spellEnd"/>
      <w:r>
        <w:t>, should be submitted to the TGA as a Category 1 submission when available. (US-FDA commitment 4547-3).</w:t>
      </w:r>
    </w:p>
    <w:p w14:paraId="74853DFF" w14:textId="3E3C744C" w:rsidR="00820876" w:rsidRDefault="00820876" w:rsidP="00820876">
      <w:r>
        <w:t>The final study report from a clinical pharmacokinetic trial to evaluate the effects of multiple doses of a specific strong CYP3A inhibitor and a specific P-</w:t>
      </w:r>
      <w:proofErr w:type="spellStart"/>
      <w:r>
        <w:t>gp</w:t>
      </w:r>
      <w:proofErr w:type="spellEnd"/>
      <w:r>
        <w:t xml:space="preserve"> inhibitor, respectively on the single-dose pharmacokinetics and safety of </w:t>
      </w:r>
      <w:proofErr w:type="spellStart"/>
      <w:r>
        <w:t>repotrectinib</w:t>
      </w:r>
      <w:proofErr w:type="spellEnd"/>
      <w:r>
        <w:t>, should be submitted to the TGA as a Category 1 submission when available (US-FDA commitment 4547-4).</w:t>
      </w:r>
    </w:p>
    <w:p w14:paraId="73F032BE" w14:textId="716DE6BF" w:rsidR="00820876" w:rsidRDefault="00820876" w:rsidP="00820876">
      <w:r>
        <w:t xml:space="preserve">The final study report from a clinical pharmacokinetic trial to evaluate the effect of multiple doses of </w:t>
      </w:r>
      <w:proofErr w:type="spellStart"/>
      <w:r>
        <w:t>repotrectinib</w:t>
      </w:r>
      <w:proofErr w:type="spellEnd"/>
      <w:r>
        <w:t xml:space="preserve"> on the single dose pharmacokinetics of a substrate of MATE2-K, P-</w:t>
      </w:r>
      <w:proofErr w:type="spellStart"/>
      <w:r>
        <w:t>gp</w:t>
      </w:r>
      <w:proofErr w:type="spellEnd"/>
      <w:r>
        <w:t>, OATP1B1, and BCRP, should be submitted to the TGA as a Category 1 submission when available (US-FDA commitment 4547-5).</w:t>
      </w:r>
    </w:p>
    <w:p w14:paraId="60D7AA58" w14:textId="342E14DF" w:rsidR="00820876" w:rsidRDefault="00820876" w:rsidP="00820876">
      <w:r>
        <w:t xml:space="preserve">The final study report from a physiologically based pharmacokinetic (PBPK) modelling study, to assess the magnitude of decreased drug exposure with appropriate dosage recommendations of </w:t>
      </w:r>
      <w:proofErr w:type="spellStart"/>
      <w:r>
        <w:lastRenderedPageBreak/>
        <w:t>repotrectinib</w:t>
      </w:r>
      <w:proofErr w:type="spellEnd"/>
      <w:r>
        <w:t xml:space="preserve"> when concomitantly used with moderate CYP3A inducers, should be submitted to the TGA as a Category 1 submission when available (US-FDA Commitment 4547-7).</w:t>
      </w:r>
    </w:p>
    <w:p w14:paraId="0D732DA4" w14:textId="24769FBB" w:rsidR="00854D98" w:rsidRPr="00D23139" w:rsidRDefault="00820876" w:rsidP="00820876">
      <w:r>
        <w:t xml:space="preserve">The final study report from a clinical pharmacokinetic trial to assess the magnitude of decreased drug exposure, with repeat doses of </w:t>
      </w:r>
      <w:proofErr w:type="spellStart"/>
      <w:r>
        <w:t>repotrectinib</w:t>
      </w:r>
      <w:proofErr w:type="spellEnd"/>
      <w:r>
        <w:t xml:space="preserve"> on the single dose pharmacokinetics of a substrate of CYP2B6, CYP2C9, and CYP2C19, should be submitted to the TGA as a Category 1 submission when available (US-FDA Commitment 4547-8).</w:t>
      </w:r>
    </w:p>
    <w:p w14:paraId="0F9C1952" w14:textId="46BD475E" w:rsidR="00BA657C" w:rsidRPr="00BA657C" w:rsidRDefault="00BA657C" w:rsidP="00B67020">
      <w:pPr>
        <w:pStyle w:val="Heading2"/>
      </w:pPr>
      <w:bookmarkStart w:id="73" w:name="_Toc219813792"/>
      <w:bookmarkStart w:id="74" w:name="_Toc196738290"/>
      <w:r w:rsidRPr="00BA657C">
        <w:t>Product Information and Consumer Medicine Information</w:t>
      </w:r>
      <w:bookmarkEnd w:id="73"/>
      <w:r w:rsidRPr="00BA657C">
        <w:t xml:space="preserve"> </w:t>
      </w:r>
      <w:bookmarkEnd w:id="74"/>
    </w:p>
    <w:p w14:paraId="5F276616" w14:textId="6667B73D" w:rsidR="004D0933" w:rsidRDefault="004D0933" w:rsidP="004D0933">
      <w:bookmarkStart w:id="75" w:name="_Hlk200021736"/>
      <w:r w:rsidRPr="004D0933">
        <w:t xml:space="preserve">For the most recent Product Information (PI) and Consumer Medicine Information (CMI), please refer to the TGA </w:t>
      </w:r>
      <w:hyperlink r:id="rId31" w:history="1">
        <w:r w:rsidRPr="004D0933">
          <w:rPr>
            <w:rStyle w:val="Hyperlink"/>
          </w:rPr>
          <w:t>PI/CMI search facility.</w:t>
        </w:r>
      </w:hyperlink>
    </w:p>
    <w:p w14:paraId="62C3EEC3" w14:textId="77777777" w:rsidR="009F4526" w:rsidRDefault="009F4526">
      <w:pPr>
        <w:rPr>
          <w:rFonts w:ascii="Arial" w:eastAsia="Times New Roman" w:hAnsi="Arial" w:cs="Times New Roman"/>
          <w:b/>
          <w:bCs/>
          <w:color w:val="001871"/>
          <w:sz w:val="32"/>
          <w:szCs w:val="32"/>
        </w:rPr>
      </w:pPr>
      <w:r>
        <w:br w:type="page"/>
      </w:r>
    </w:p>
    <w:p w14:paraId="633E7B07" w14:textId="36C94760" w:rsidR="0010475A" w:rsidRDefault="0010475A" w:rsidP="0010475A">
      <w:pPr>
        <w:pStyle w:val="Heading3"/>
      </w:pPr>
      <w:bookmarkStart w:id="76" w:name="_Toc219813793"/>
      <w:r>
        <w:lastRenderedPageBreak/>
        <w:t>Appendix</w:t>
      </w:r>
      <w:bookmarkEnd w:id="76"/>
    </w:p>
    <w:p w14:paraId="37FB94A7" w14:textId="389B7AFB" w:rsidR="00D3708E" w:rsidRPr="00D3708E" w:rsidRDefault="00D3708E" w:rsidP="00D3708E">
      <w:pPr>
        <w:pStyle w:val="TableTitle"/>
      </w:pPr>
      <w:r w:rsidRPr="00D3708E">
        <w:t>Table</w:t>
      </w:r>
      <w:r w:rsidR="00E15841">
        <w:t xml:space="preserve"> A1</w:t>
      </w:r>
      <w:r w:rsidRPr="00D3708E">
        <w:t>. Comparison of methods of diagnostic testing for ROS1 gene mutation</w:t>
      </w:r>
    </w:p>
    <w:tbl>
      <w:tblPr>
        <w:tblStyle w:val="TableTGAblue2023"/>
        <w:tblW w:w="9067" w:type="dxa"/>
        <w:tblLook w:val="04A0" w:firstRow="1" w:lastRow="0" w:firstColumn="1" w:lastColumn="0" w:noHBand="0" w:noVBand="1"/>
      </w:tblPr>
      <w:tblGrid>
        <w:gridCol w:w="846"/>
        <w:gridCol w:w="3969"/>
        <w:gridCol w:w="4252"/>
      </w:tblGrid>
      <w:tr w:rsidR="0010475A" w:rsidRPr="00D3708E" w14:paraId="1A3C8846" w14:textId="77777777" w:rsidTr="00B67020">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846" w:type="dxa"/>
          </w:tcPr>
          <w:p w14:paraId="30335868" w14:textId="77777777" w:rsidR="0010475A" w:rsidRPr="00820876" w:rsidRDefault="0010475A" w:rsidP="00B67020">
            <w:pPr>
              <w:rPr>
                <w:b w:val="0"/>
                <w:lang w:eastAsia="ja-JP"/>
              </w:rPr>
            </w:pPr>
          </w:p>
        </w:tc>
        <w:tc>
          <w:tcPr>
            <w:tcW w:w="3969" w:type="dxa"/>
          </w:tcPr>
          <w:p w14:paraId="3CD35989" w14:textId="77777777" w:rsidR="0010475A" w:rsidRPr="00820876" w:rsidRDefault="0010475A" w:rsidP="00B67020">
            <w:pPr>
              <w:cnfStyle w:val="100000000000" w:firstRow="1" w:lastRow="0" w:firstColumn="0" w:lastColumn="0" w:oddVBand="0" w:evenVBand="0" w:oddHBand="0" w:evenHBand="0" w:firstRowFirstColumn="0" w:firstRowLastColumn="0" w:lastRowFirstColumn="0" w:lastRowLastColumn="0"/>
              <w:rPr>
                <w:b w:val="0"/>
                <w:lang w:eastAsia="ja-JP"/>
              </w:rPr>
            </w:pPr>
            <w:r w:rsidRPr="00820876">
              <w:rPr>
                <w:lang w:eastAsia="ja-JP"/>
              </w:rPr>
              <w:t>Test description</w:t>
            </w:r>
          </w:p>
        </w:tc>
        <w:tc>
          <w:tcPr>
            <w:tcW w:w="4252" w:type="dxa"/>
          </w:tcPr>
          <w:p w14:paraId="131EA8C0" w14:textId="77777777" w:rsidR="0010475A" w:rsidRPr="00820876" w:rsidRDefault="0010475A" w:rsidP="00B67020">
            <w:pPr>
              <w:cnfStyle w:val="100000000000" w:firstRow="1" w:lastRow="0" w:firstColumn="0" w:lastColumn="0" w:oddVBand="0" w:evenVBand="0" w:oddHBand="0" w:evenHBand="0" w:firstRowFirstColumn="0" w:firstRowLastColumn="0" w:lastRowFirstColumn="0" w:lastRowLastColumn="0"/>
              <w:rPr>
                <w:b w:val="0"/>
                <w:lang w:eastAsia="ja-JP"/>
              </w:rPr>
            </w:pPr>
            <w:r w:rsidRPr="00820876">
              <w:rPr>
                <w:lang w:eastAsia="ja-JP"/>
              </w:rPr>
              <w:t>Strengths and limitations</w:t>
            </w:r>
          </w:p>
        </w:tc>
      </w:tr>
      <w:tr w:rsidR="0010475A" w:rsidRPr="00D3708E" w14:paraId="7FF5DBFB" w14:textId="77777777" w:rsidTr="00B67020">
        <w:tc>
          <w:tcPr>
            <w:cnfStyle w:val="001000000000" w:firstRow="0" w:lastRow="0" w:firstColumn="1" w:lastColumn="0" w:oddVBand="0" w:evenVBand="0" w:oddHBand="0" w:evenHBand="0" w:firstRowFirstColumn="0" w:firstRowLastColumn="0" w:lastRowFirstColumn="0" w:lastRowLastColumn="0"/>
            <w:tcW w:w="846" w:type="dxa"/>
          </w:tcPr>
          <w:p w14:paraId="1F449396" w14:textId="77777777" w:rsidR="0010475A" w:rsidRPr="00820876" w:rsidRDefault="0010475A" w:rsidP="00B67020">
            <w:pPr>
              <w:rPr>
                <w:lang w:eastAsia="ja-JP"/>
              </w:rPr>
            </w:pPr>
            <w:r w:rsidRPr="00820876">
              <w:rPr>
                <w:lang w:eastAsia="ja-JP"/>
              </w:rPr>
              <w:t>FISH</w:t>
            </w:r>
          </w:p>
        </w:tc>
        <w:tc>
          <w:tcPr>
            <w:tcW w:w="3969" w:type="dxa"/>
          </w:tcPr>
          <w:p w14:paraId="24DEB723"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Also known as ‘break-apart’ FISH. Fluorescent labels are attached to either end of the ROS1 gene (red at one end, green at the other – usually at the kinase end).</w:t>
            </w:r>
          </w:p>
          <w:p w14:paraId="0F2484CC"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 xml:space="preserve">Normal expression results in a yellow signal, as the two labels emit light from the same spot in the cell. </w:t>
            </w:r>
          </w:p>
          <w:p w14:paraId="070739BD"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 xml:space="preserve">Gene rearrangement results in separation of the signals in the genetic material, appearing as separate red and green dots, or in the case of a deletion as just a </w:t>
            </w:r>
            <w:proofErr w:type="gramStart"/>
            <w:r w:rsidRPr="00D3708E">
              <w:rPr>
                <w:lang w:eastAsia="ja-JP"/>
              </w:rPr>
              <w:t>single coloured</w:t>
            </w:r>
            <w:proofErr w:type="gramEnd"/>
            <w:r w:rsidRPr="00D3708E">
              <w:rPr>
                <w:lang w:eastAsia="ja-JP"/>
              </w:rPr>
              <w:t xml:space="preserve"> dot remaining. </w:t>
            </w:r>
          </w:p>
        </w:tc>
        <w:tc>
          <w:tcPr>
            <w:tcW w:w="4252" w:type="dxa"/>
          </w:tcPr>
          <w:p w14:paraId="3B3EC0E8"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Fast but provides limited information (what fusion partner, where the break is).</w:t>
            </w:r>
          </w:p>
          <w:p w14:paraId="717B556D"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High specificity.</w:t>
            </w:r>
          </w:p>
          <w:p w14:paraId="23892BF0"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Good sensitivity, but:</w:t>
            </w:r>
          </w:p>
          <w:p w14:paraId="781CB26C" w14:textId="33A0353B"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pPr>
            <w:r w:rsidRPr="00D3708E">
              <w:t>May not detect minimally-displaced changes, e.g. intrachromosomal deletion GOPC–ROS1 fusion variant;</w:t>
            </w:r>
            <w:r w:rsidR="00E3721E">
              <w:rPr>
                <w:rStyle w:val="FootnoteReference"/>
              </w:rPr>
              <w:footnoteReference w:id="99"/>
            </w:r>
            <w:r w:rsidRPr="00D3708E">
              <w:t xml:space="preserve"> and</w:t>
            </w:r>
            <w:r w:rsidR="00E3721E">
              <w:t xml:space="preserve"> </w:t>
            </w:r>
            <w:r w:rsidRPr="00D3708E">
              <w:t>unable to detect other mutations or epigenetic mechanisms (e.g. rearrangements at transcriptional level, alternative transcript initiation).</w:t>
            </w:r>
          </w:p>
        </w:tc>
      </w:tr>
      <w:tr w:rsidR="0010475A" w:rsidRPr="00D3708E" w14:paraId="1AC48E0B" w14:textId="77777777" w:rsidTr="00B67020">
        <w:tc>
          <w:tcPr>
            <w:cnfStyle w:val="001000000000" w:firstRow="0" w:lastRow="0" w:firstColumn="1" w:lastColumn="0" w:oddVBand="0" w:evenVBand="0" w:oddHBand="0" w:evenHBand="0" w:firstRowFirstColumn="0" w:firstRowLastColumn="0" w:lastRowFirstColumn="0" w:lastRowLastColumn="0"/>
            <w:tcW w:w="846" w:type="dxa"/>
          </w:tcPr>
          <w:p w14:paraId="16052B0A" w14:textId="77777777" w:rsidR="0010475A" w:rsidRPr="00820876" w:rsidRDefault="0010475A" w:rsidP="00B67020">
            <w:pPr>
              <w:rPr>
                <w:lang w:eastAsia="ja-JP"/>
              </w:rPr>
            </w:pPr>
            <w:r w:rsidRPr="00820876">
              <w:rPr>
                <w:lang w:eastAsia="ja-JP"/>
              </w:rPr>
              <w:t>IHC</w:t>
            </w:r>
          </w:p>
        </w:tc>
        <w:tc>
          <w:tcPr>
            <w:tcW w:w="3969" w:type="dxa"/>
          </w:tcPr>
          <w:p w14:paraId="5F50E60A" w14:textId="40D661A8"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Tissue slides are incubated with a monoclonal antibody that binds ROS1,</w:t>
            </w:r>
            <w:r w:rsidR="008B680A">
              <w:rPr>
                <w:rStyle w:val="FootnoteReference"/>
                <w:lang w:eastAsia="ja-JP"/>
              </w:rPr>
              <w:footnoteReference w:id="100"/>
            </w:r>
            <w:r w:rsidRPr="00D3708E">
              <w:rPr>
                <w:lang w:eastAsia="ja-JP"/>
              </w:rPr>
              <w:t xml:space="preserve"> conjugated to a molecule that allows visualisation by staining. Staining intensity is used semi-quantitatively to estimate ROS1 expression. ROS1 is absent from normal lung tissue but reactive pneumocytes and osteoclasts may stain positive, so a positive tumour control is mandatory.</w:t>
            </w:r>
            <w:bookmarkStart w:id="77" w:name="_Ref28874242"/>
            <w:r w:rsidRPr="00D3708E">
              <w:rPr>
                <w:rStyle w:val="EndnoteReference"/>
                <w:rFonts w:cs="Calibri"/>
                <w:lang w:eastAsia="ja-JP"/>
              </w:rPr>
              <w:t xml:space="preserve"> </w:t>
            </w:r>
            <w:bookmarkStart w:id="78" w:name="_Ref196923393"/>
            <w:bookmarkEnd w:id="77"/>
            <w:r w:rsidRPr="00D3708E">
              <w:rPr>
                <w:rStyle w:val="FootnoteReference"/>
                <w:rFonts w:cs="Calibri"/>
                <w:lang w:eastAsia="ja-JP"/>
              </w:rPr>
              <w:footnoteReference w:id="101"/>
            </w:r>
            <w:bookmarkEnd w:id="78"/>
            <w:r w:rsidRPr="00D3708E">
              <w:t xml:space="preserve"> </w:t>
            </w:r>
            <w:r w:rsidRPr="00D3708E">
              <w:rPr>
                <w:lang w:eastAsia="ja-JP"/>
              </w:rPr>
              <w:t>Sensitivity of IHC is reportedly 94% to 100% with specificity of 76% to 100%, but this is dependent on the cut-off for ‘positive’, which varies. Increasing the cut-off to 3+ increases specificity but reduces sensitivity.</w:t>
            </w:r>
            <w:r w:rsidR="009575A9">
              <w:rPr>
                <w:rStyle w:val="FootnoteReference"/>
                <w:lang w:eastAsia="ja-JP"/>
              </w:rPr>
              <w:footnoteReference w:id="102"/>
            </w:r>
            <w:r w:rsidRPr="00D3708E">
              <w:rPr>
                <w:lang w:eastAsia="ja-JP"/>
              </w:rPr>
              <w:t xml:space="preserve"> </w:t>
            </w:r>
          </w:p>
        </w:tc>
        <w:tc>
          <w:tcPr>
            <w:tcW w:w="4252" w:type="dxa"/>
          </w:tcPr>
          <w:p w14:paraId="3D95EB72"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 xml:space="preserve">Fast </w:t>
            </w:r>
          </w:p>
          <w:p w14:paraId="3B7637C6"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 xml:space="preserve">Cheaper than FISH. </w:t>
            </w:r>
          </w:p>
          <w:p w14:paraId="41468C15"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Good sensitivity.</w:t>
            </w:r>
          </w:p>
          <w:p w14:paraId="4A78E3B6"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Not as specific as FISH: prone to false positives, and results are subject to inter-observer variability.</w:t>
            </w:r>
          </w:p>
        </w:tc>
      </w:tr>
      <w:tr w:rsidR="0010475A" w:rsidRPr="00D3708E" w14:paraId="75D9282F" w14:textId="77777777" w:rsidTr="00B67020">
        <w:tc>
          <w:tcPr>
            <w:cnfStyle w:val="001000000000" w:firstRow="0" w:lastRow="0" w:firstColumn="1" w:lastColumn="0" w:oddVBand="0" w:evenVBand="0" w:oddHBand="0" w:evenHBand="0" w:firstRowFirstColumn="0" w:firstRowLastColumn="0" w:lastRowFirstColumn="0" w:lastRowLastColumn="0"/>
            <w:tcW w:w="846" w:type="dxa"/>
          </w:tcPr>
          <w:p w14:paraId="0189F612" w14:textId="77777777" w:rsidR="0010475A" w:rsidRPr="00820876" w:rsidRDefault="0010475A" w:rsidP="00B67020">
            <w:pPr>
              <w:rPr>
                <w:lang w:eastAsia="ja-JP"/>
              </w:rPr>
            </w:pPr>
            <w:r w:rsidRPr="00820876">
              <w:rPr>
                <w:lang w:eastAsia="ja-JP"/>
              </w:rPr>
              <w:lastRenderedPageBreak/>
              <w:t>RT-PCR</w:t>
            </w:r>
          </w:p>
        </w:tc>
        <w:tc>
          <w:tcPr>
            <w:tcW w:w="3969" w:type="dxa"/>
          </w:tcPr>
          <w:p w14:paraId="24B1BB40"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Quantitative RT-PCR estimates expression of a gene based on RNA in a sample. RNA is reverse-transcribed into complementary (cDNA), which is then amplified through a series of rounds of polymerase chain reaction using a heat-sensitive DNA polymerase and primers that flank the specific gene of choice. Incorporation of labelled probes at each round of amplification allows quantitation of the RNA of interest, proportional to the amount of RNA that was initially present. Multiplex designs may allow multiple analytes to be assessed in the one assay.</w:t>
            </w:r>
          </w:p>
        </w:tc>
        <w:tc>
          <w:tcPr>
            <w:tcW w:w="4252" w:type="dxa"/>
          </w:tcPr>
          <w:p w14:paraId="51694E42"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Slow, sequencing large amounts not feasible.</w:t>
            </w:r>
          </w:p>
          <w:p w14:paraId="4FEC0E4F"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More expensive than FISH and IHC.</w:t>
            </w:r>
          </w:p>
          <w:p w14:paraId="2DEDC411" w14:textId="1F97B4D0"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 xml:space="preserve">Good </w:t>
            </w:r>
            <w:r w:rsidR="00A36562" w:rsidRPr="00D3708E">
              <w:rPr>
                <w:lang w:eastAsia="ja-JP"/>
              </w:rPr>
              <w:t>sensitivity but</w:t>
            </w:r>
            <w:r w:rsidRPr="00D3708E">
              <w:rPr>
                <w:lang w:eastAsia="ja-JP"/>
              </w:rPr>
              <w:t xml:space="preserve"> relies on primer selection (unknown fusions may not be identified).</w:t>
            </w:r>
          </w:p>
          <w:p w14:paraId="15879213"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Good specificity.</w:t>
            </w:r>
          </w:p>
          <w:p w14:paraId="0CFBAAD6"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Limited by requiring high quality RNA – this is not always available, especially from formalin-fixed, paraffin-embedded samples.</w:t>
            </w:r>
          </w:p>
          <w:p w14:paraId="2DD5959B"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p>
        </w:tc>
      </w:tr>
      <w:tr w:rsidR="0010475A" w:rsidRPr="00D3708E" w14:paraId="458D8A3C" w14:textId="77777777" w:rsidTr="00B67020">
        <w:tc>
          <w:tcPr>
            <w:cnfStyle w:val="001000000000" w:firstRow="0" w:lastRow="0" w:firstColumn="1" w:lastColumn="0" w:oddVBand="0" w:evenVBand="0" w:oddHBand="0" w:evenHBand="0" w:firstRowFirstColumn="0" w:firstRowLastColumn="0" w:lastRowFirstColumn="0" w:lastRowLastColumn="0"/>
            <w:tcW w:w="846" w:type="dxa"/>
          </w:tcPr>
          <w:p w14:paraId="26E77ADA" w14:textId="77777777" w:rsidR="0010475A" w:rsidRPr="00820876" w:rsidRDefault="0010475A" w:rsidP="00B67020">
            <w:pPr>
              <w:rPr>
                <w:lang w:eastAsia="ja-JP"/>
              </w:rPr>
            </w:pPr>
            <w:r w:rsidRPr="00820876">
              <w:rPr>
                <w:lang w:eastAsia="ja-JP"/>
              </w:rPr>
              <w:t>NGS</w:t>
            </w:r>
          </w:p>
        </w:tc>
        <w:tc>
          <w:tcPr>
            <w:tcW w:w="3969" w:type="dxa"/>
          </w:tcPr>
          <w:p w14:paraId="1960C6B4"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 xml:space="preserve">DNA or RNA sample is directly sequenced. Large scale sequencing (e.g. whole gene, whole chromosome, or whole genome) is made faster by cutting up the DNA into small fragments, sequencing them all simultaneously (in parallel), and then reassembling the sequence by automated assembly of contiguous sequences. </w:t>
            </w:r>
          </w:p>
          <w:p w14:paraId="30B3A223"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 xml:space="preserve">The genetic sequence of the tumour can be compared to a normal </w:t>
            </w:r>
            <w:proofErr w:type="gramStart"/>
            <w:r w:rsidRPr="00D3708E">
              <w:rPr>
                <w:lang w:eastAsia="ja-JP"/>
              </w:rPr>
              <w:t>control</w:t>
            </w:r>
            <w:proofErr w:type="gramEnd"/>
            <w:r w:rsidRPr="00D3708E">
              <w:rPr>
                <w:lang w:eastAsia="ja-JP"/>
              </w:rPr>
              <w:t xml:space="preserve"> and any differences can be assessed for meaning.</w:t>
            </w:r>
          </w:p>
        </w:tc>
        <w:tc>
          <w:tcPr>
            <w:tcW w:w="4252" w:type="dxa"/>
          </w:tcPr>
          <w:p w14:paraId="765FDBC6"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Fast but more expensive than other methods.</w:t>
            </w:r>
          </w:p>
          <w:p w14:paraId="567F2A92"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 xml:space="preserve">Good sensitivity and specificity. </w:t>
            </w:r>
          </w:p>
          <w:p w14:paraId="679115C1"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 xml:space="preserve">Rare or undescribed mutations are not likely to be missed. </w:t>
            </w:r>
          </w:p>
          <w:p w14:paraId="43FC6A79" w14:textId="77777777" w:rsidR="0010475A" w:rsidRPr="00D3708E" w:rsidRDefault="0010475A" w:rsidP="00B67020">
            <w:pPr>
              <w:cnfStyle w:val="000000000000" w:firstRow="0" w:lastRow="0" w:firstColumn="0" w:lastColumn="0" w:oddVBand="0" w:evenVBand="0" w:oddHBand="0" w:evenHBand="0" w:firstRowFirstColumn="0" w:firstRowLastColumn="0" w:lastRowFirstColumn="0" w:lastRowLastColumn="0"/>
              <w:rPr>
                <w:lang w:eastAsia="ja-JP"/>
              </w:rPr>
            </w:pPr>
            <w:r w:rsidRPr="00D3708E">
              <w:rPr>
                <w:lang w:eastAsia="ja-JP"/>
              </w:rPr>
              <w:t>One test on one sample may be used to test for multiple genetic alterations/potential oncogenic drivers. This is particularly salient in NSCLC where multiple ‘druggable’ targets are known and tissue samples may be difficult to obtain.</w:t>
            </w:r>
          </w:p>
        </w:tc>
      </w:tr>
    </w:tbl>
    <w:p w14:paraId="50EC9637" w14:textId="1BE9D36B" w:rsidR="0010475A" w:rsidRPr="0010475A" w:rsidRDefault="00107AC0" w:rsidP="00107AC0">
      <w:pPr>
        <w:pStyle w:val="TableDescription"/>
      </w:pPr>
      <w:r w:rsidRPr="00107AC0">
        <w:t>FISH = fluorescent in-situ hybridisation, IHC = immunohistochemistry, RT-PCR = reverse-transcription polymerase chain reaction, NGS = next-generation sequencing</w:t>
      </w:r>
      <w:r>
        <w:t>.</w:t>
      </w:r>
    </w:p>
    <w:bookmarkEnd w:id="75"/>
    <w:p w14:paraId="11222186" w14:textId="77777777" w:rsidR="004D0933" w:rsidRPr="00BD5DBD" w:rsidRDefault="004D0933" w:rsidP="00675F81">
      <w:pPr>
        <w:rPr>
          <w:szCs w:val="22"/>
        </w:rPr>
      </w:pPr>
    </w:p>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32"/>
          <w:footerReference w:type="default" r:id="rId33"/>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4"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215D48" w:rsidRDefault="00F02AEC">
            <w:pPr>
              <w:pStyle w:val="Address"/>
              <w:jc w:val="center"/>
              <w:rPr>
                <w:rStyle w:val="Hyperlink"/>
                <w:b/>
                <w:color w:val="auto"/>
                <w:sz w:val="22"/>
              </w:rPr>
            </w:pPr>
            <w:hyperlink r:id="rId35" w:history="1">
              <w:r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36"/>
      <w:footerReference w:type="first" r:id="rId3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3D0D" w14:textId="77777777" w:rsidR="00D84BFF" w:rsidRDefault="00D84BFF" w:rsidP="00F02AEC">
      <w:pPr>
        <w:spacing w:after="0" w:line="240" w:lineRule="auto"/>
      </w:pPr>
      <w:r>
        <w:separator/>
      </w:r>
    </w:p>
  </w:endnote>
  <w:endnote w:type="continuationSeparator" w:id="0">
    <w:p w14:paraId="6034B8D4" w14:textId="77777777" w:rsidR="00D84BFF" w:rsidRDefault="00D84BFF"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E2B2" w14:textId="52E35EB2" w:rsidR="004C3B23" w:rsidRDefault="004C3B23">
    <w:pPr>
      <w:pStyle w:val="Footer"/>
    </w:pPr>
    <w:r>
      <w:rPr>
        <w:noProof/>
      </w:rPr>
      <mc:AlternateContent>
        <mc:Choice Requires="wps">
          <w:drawing>
            <wp:anchor distT="0" distB="0" distL="0" distR="0" simplePos="0" relativeHeight="251658247" behindDoc="0" locked="0" layoutInCell="1" allowOverlap="1" wp14:anchorId="77B4C095" wp14:editId="6E0E3EF9">
              <wp:simplePos x="635" y="635"/>
              <wp:positionH relativeFrom="page">
                <wp:align>center</wp:align>
              </wp:positionH>
              <wp:positionV relativeFrom="page">
                <wp:align>bottom</wp:align>
              </wp:positionV>
              <wp:extent cx="622300" cy="391160"/>
              <wp:effectExtent l="0" t="0" r="6350" b="0"/>
              <wp:wrapNone/>
              <wp:docPr id="10824990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1B61848" w14:textId="41CE358F"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4C095" id="_x0000_t202" coordsize="21600,21600" o:spt="202" path="m,l,21600r21600,l21600,xe">
              <v:stroke joinstyle="miter"/>
              <v:path gradientshapeok="t" o:connecttype="rect"/>
            </v:shapetype>
            <v:shape id="Text Box 7" o:spid="_x0000_s1028" type="#_x0000_t202" alt="OFFICIAL" style="position:absolute;margin-left:0;margin-top:0;width:49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01B61848" w14:textId="41CE358F"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2017479D" w:rsidR="007452E8" w:rsidRDefault="004C3B23" w:rsidP="007452E8">
          <w:pPr>
            <w:pStyle w:val="Footer"/>
          </w:pPr>
          <w:r>
            <w:rPr>
              <w:noProof/>
            </w:rPr>
            <mc:AlternateContent>
              <mc:Choice Requires="wps">
                <w:drawing>
                  <wp:anchor distT="0" distB="0" distL="0" distR="0" simplePos="0" relativeHeight="251658248" behindDoc="0" locked="0" layoutInCell="1" allowOverlap="1" wp14:anchorId="38231745" wp14:editId="568D4D06">
                    <wp:simplePos x="635" y="635"/>
                    <wp:positionH relativeFrom="page">
                      <wp:align>center</wp:align>
                    </wp:positionH>
                    <wp:positionV relativeFrom="page">
                      <wp:align>bottom</wp:align>
                    </wp:positionV>
                    <wp:extent cx="622300" cy="391160"/>
                    <wp:effectExtent l="0" t="0" r="6350" b="0"/>
                    <wp:wrapNone/>
                    <wp:docPr id="80302622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7C9EF38" w14:textId="68EAE619"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231745" id="_x0000_t202" coordsize="21600,21600" o:spt="202" path="m,l,21600r21600,l21600,xe">
                    <v:stroke joinstyle="miter"/>
                    <v:path gradientshapeok="t" o:connecttype="rect"/>
                  </v:shapetype>
                  <v:shape id="Text Box 8" o:spid="_x0000_s1029" type="#_x0000_t202" alt="OFFICIAL" style="position:absolute;margin-left:0;margin-top:0;width:49pt;height:30.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07C9EF38" w14:textId="68EAE619"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v:textbox>
                    <w10:wrap anchorx="page" anchory="page"/>
                  </v:shape>
                </w:pict>
              </mc:Fallback>
            </mc:AlternateContent>
          </w: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2B6BBFEA" w:rsidR="007452E8" w:rsidRDefault="004C3B23" w:rsidP="007452E8">
    <w:pPr>
      <w:pStyle w:val="Footer"/>
      <w:ind w:left="-1701"/>
    </w:pPr>
    <w:r>
      <w:rPr>
        <w:noProof/>
      </w:rPr>
      <mc:AlternateContent>
        <mc:Choice Requires="wps">
          <w:drawing>
            <wp:anchor distT="0" distB="0" distL="0" distR="0" simplePos="0" relativeHeight="251658246" behindDoc="0" locked="0" layoutInCell="1" allowOverlap="1" wp14:anchorId="5FAE4C59" wp14:editId="1F4182A0">
              <wp:simplePos x="635" y="635"/>
              <wp:positionH relativeFrom="page">
                <wp:align>center</wp:align>
              </wp:positionH>
              <wp:positionV relativeFrom="page">
                <wp:align>bottom</wp:align>
              </wp:positionV>
              <wp:extent cx="622300" cy="391160"/>
              <wp:effectExtent l="0" t="0" r="6350" b="0"/>
              <wp:wrapNone/>
              <wp:docPr id="782039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54B04C8" w14:textId="5A03587A"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E4C59" id="_x0000_t202" coordsize="21600,21600" o:spt="202" path="m,l,21600r21600,l21600,xe">
              <v:stroke joinstyle="miter"/>
              <v:path gradientshapeok="t" o:connecttype="rect"/>
            </v:shapetype>
            <v:shape id="Text Box 6" o:spid="_x0000_s1031" type="#_x0000_t202" alt="OFFICIAL" style="position:absolute;left:0;text-align:left;margin-left:0;margin-top:0;width:49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754B04C8" w14:textId="5A03587A"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v:textbox>
              <w10:wrap anchorx="page" anchory="page"/>
            </v:shape>
          </w:pict>
        </mc:Fallback>
      </mc:AlternateContent>
    </w:r>
    <w:r w:rsidR="007452E8"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65CCA69A" w:rsidR="007452E8" w:rsidRPr="004A3084" w:rsidRDefault="004C3B23" w:rsidP="007452E8">
          <w:pPr>
            <w:pStyle w:val="Footer"/>
          </w:pPr>
          <w:r>
            <w:rPr>
              <w:noProof/>
            </w:rPr>
            <mc:AlternateContent>
              <mc:Choice Requires="wps">
                <w:drawing>
                  <wp:anchor distT="0" distB="0" distL="0" distR="0" simplePos="0" relativeHeight="251658249" behindDoc="0" locked="0" layoutInCell="1" allowOverlap="1" wp14:anchorId="07AE5B45" wp14:editId="0395DFB1">
                    <wp:simplePos x="0" y="0"/>
                    <wp:positionH relativeFrom="page">
                      <wp:posOffset>2564130</wp:posOffset>
                    </wp:positionH>
                    <wp:positionV relativeFrom="page">
                      <wp:posOffset>137160</wp:posOffset>
                    </wp:positionV>
                    <wp:extent cx="622300" cy="391160"/>
                    <wp:effectExtent l="0" t="0" r="6350" b="0"/>
                    <wp:wrapNone/>
                    <wp:docPr id="91030012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0531F4C" w14:textId="1FE49821"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AE5B45" id="_x0000_t202" coordsize="21600,21600" o:spt="202" path="m,l,21600r21600,l21600,xe">
                    <v:stroke joinstyle="miter"/>
                    <v:path gradientshapeok="t" o:connecttype="rect"/>
                  </v:shapetype>
                  <v:shape id="Text Box 9" o:spid="_x0000_s1033" type="#_x0000_t202" alt="OFFICIAL" style="position:absolute;margin-left:201.9pt;margin-top:10.8pt;width:49pt;height:30.8pt;z-index:251658249;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YDgIAABwEAAAOAAAAZHJzL2Uyb0RvYy54bWysU01v2zAMvQ/YfxB0X2ynWLY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" filled="f" stroked="f">
                    <v:textbox style="mso-fit-shape-to-text:t" inset="0,0,0,15pt">
                      <w:txbxContent>
                        <w:p w14:paraId="50531F4C" w14:textId="1FE49821"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v:textbox>
                    <w10:wrap anchorx="page" anchory="page"/>
                  </v:shape>
                </w:pict>
              </mc:Fallback>
            </mc:AlternateContent>
          </w:r>
          <w:r w:rsidR="007452E8" w:rsidRPr="00487162">
            <w:t>AusPA</w:t>
          </w:r>
          <w:r w:rsidR="007452E8">
            <w:t xml:space="preserve">R </w:t>
          </w:r>
          <w:r>
            <w:t>–</w:t>
          </w:r>
          <w:r w:rsidR="007452E8">
            <w:t xml:space="preserve"> </w:t>
          </w:r>
          <w:bookmarkStart w:id="79" w:name="_Hlk215837430"/>
          <w:r w:rsidRPr="004C3B23">
            <w:t>A</w:t>
          </w:r>
          <w:r w:rsidR="00284A58">
            <w:t>ugtyro</w:t>
          </w:r>
          <w:r>
            <w:t xml:space="preserve"> - </w:t>
          </w:r>
          <w:proofErr w:type="spellStart"/>
          <w:r w:rsidRPr="004C3B23">
            <w:t>repotrectinib</w:t>
          </w:r>
          <w:proofErr w:type="spellEnd"/>
          <w:r w:rsidRPr="004C3B23">
            <w:t xml:space="preserve"> </w:t>
          </w:r>
          <w:bookmarkEnd w:id="79"/>
          <w:r w:rsidR="008C754C">
            <w:t>-</w:t>
          </w:r>
          <w:r w:rsidR="007452E8">
            <w:t xml:space="preserve"> </w:t>
          </w:r>
          <w:r w:rsidRPr="004C3B23">
            <w:t xml:space="preserve">Bristol-Myers Squibb Australia Pty Ltd </w:t>
          </w:r>
          <w:r w:rsidR="007452E8">
            <w:t xml:space="preserve">- </w:t>
          </w:r>
          <w:r w:rsidRPr="004C3B23">
            <w:t>PM-2024-01468-1-4</w:t>
          </w:r>
          <w:r w:rsidR="007452E8">
            <w:br/>
          </w:r>
          <w:r w:rsidR="007452E8" w:rsidRPr="003448BA">
            <w:t>Date of Finalisation</w:t>
          </w:r>
          <w:r w:rsidR="003448BA">
            <w:t xml:space="preserve"> – 20 January 2026</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fldChar w:fldCharType="begin"/>
              </w:r>
              <w:r>
                <w:instrText>NUMPAGES</w:instrText>
              </w:r>
              <w:r>
                <w:fldChar w:fldCharType="separate"/>
              </w:r>
              <w:r w:rsidR="006D6B44">
                <w:rPr>
                  <w:noProof/>
                </w:rPr>
                <w:t>17</w:t>
              </w:r>
              <w: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4939C41" w:rsidR="007452E8" w:rsidRPr="008E3C43" w:rsidRDefault="004C3B23" w:rsidP="007452E8">
    <w:pPr>
      <w:pStyle w:val="Footer"/>
    </w:pPr>
    <w:r>
      <w:rPr>
        <w:noProof/>
      </w:rPr>
      <mc:AlternateContent>
        <mc:Choice Requires="wps">
          <w:drawing>
            <wp:anchor distT="0" distB="0" distL="0" distR="0" simplePos="0" relativeHeight="251658250" behindDoc="0" locked="0" layoutInCell="1" allowOverlap="1" wp14:anchorId="5DDE4EFD" wp14:editId="087368EA">
              <wp:simplePos x="635" y="635"/>
              <wp:positionH relativeFrom="page">
                <wp:align>center</wp:align>
              </wp:positionH>
              <wp:positionV relativeFrom="page">
                <wp:align>bottom</wp:align>
              </wp:positionV>
              <wp:extent cx="622300" cy="391160"/>
              <wp:effectExtent l="0" t="0" r="6350" b="0"/>
              <wp:wrapNone/>
              <wp:docPr id="210476058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301D5FC" w14:textId="387AEB6E"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DE4EFD" id="_x0000_t202" coordsize="21600,21600" o:spt="202" path="m,l,21600r21600,l21600,xe">
              <v:stroke joinstyle="miter"/>
              <v:path gradientshapeok="t" o:connecttype="rect"/>
            </v:shapetype>
            <v:shape id="Text Box 10" o:spid="_x0000_s1035" type="#_x0000_t202" alt="OFFICIAL" style="position:absolute;margin-left:0;margin-top:0;width:49pt;height:30.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QjDg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fjtOv4X6SEshnPj2Tq5aar0WPjwLJIJpWhJt&#10;eKJDG+grDmeLswbw59/8MZ9wpyhnPQmm4pYUzZn5bomPqK3RwNHYJqO4zT9HeOy+uweSYUEvwslk&#10;kheDGU2N0L2SnJexEYWEldSu4tvRvA8n5dJzkGq5TEkkIyfC2m6cjKUjXBHLl+FVoDsDHoipRxjV&#10;JMp3uJ9y403vlvtA6CdSIrQnIM+IkwQTV+fnEjX+9j9lXR/14h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AkMMQjDgIAABwE&#10;AAAOAAAAAAAAAAAAAAAAAC4CAABkcnMvZTJvRG9jLnhtbFBLAQItABQABgAIAAAAIQCCUZTX2gAA&#10;AAMBAAAPAAAAAAAAAAAAAAAAAGgEAABkcnMvZG93bnJldi54bWxQSwUGAAAAAAQABADzAAAAbwUA&#10;AAAA&#10;" filled="f" stroked="f">
              <v:textbox style="mso-fit-shape-to-text:t" inset="0,0,0,15pt">
                <w:txbxContent>
                  <w:p w14:paraId="4301D5FC" w14:textId="387AEB6E"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E72E" w14:textId="77777777" w:rsidR="00D84BFF" w:rsidRDefault="00D84BFF" w:rsidP="00F02AEC">
      <w:pPr>
        <w:spacing w:after="0" w:line="240" w:lineRule="auto"/>
      </w:pPr>
      <w:r>
        <w:separator/>
      </w:r>
    </w:p>
  </w:footnote>
  <w:footnote w:type="continuationSeparator" w:id="0">
    <w:p w14:paraId="549C261F" w14:textId="77777777" w:rsidR="00D84BFF" w:rsidRDefault="00D84BFF" w:rsidP="00F02AEC">
      <w:pPr>
        <w:spacing w:after="0" w:line="240" w:lineRule="auto"/>
      </w:pPr>
      <w:r>
        <w:continuationSeparator/>
      </w:r>
    </w:p>
  </w:footnote>
  <w:footnote w:id="1">
    <w:p w14:paraId="68402A9B" w14:textId="71D25787" w:rsidR="007452E8" w:rsidRPr="00A93DC6" w:rsidRDefault="007452E8">
      <w:pPr>
        <w:pStyle w:val="FootnoteText"/>
        <w:rPr>
          <w:lang w:val="en-GB"/>
        </w:rPr>
      </w:pPr>
      <w:r>
        <w:rPr>
          <w:rStyle w:val="FootnoteReference"/>
        </w:rPr>
        <w:footnoteRef/>
      </w:r>
      <w:r>
        <w:t xml:space="preserve"> </w:t>
      </w:r>
      <w:r w:rsidR="00FB236E">
        <w:t xml:space="preserve">This is the original indication proposed by the </w:t>
      </w:r>
      <w:r w:rsidR="009526AA">
        <w:t>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5E483345" w14:textId="39C5EEB5" w:rsidR="00B8752E" w:rsidRDefault="00B8752E">
      <w:pPr>
        <w:pStyle w:val="FootnoteText"/>
      </w:pPr>
      <w:r>
        <w:rPr>
          <w:rStyle w:val="FootnoteReference"/>
        </w:rPr>
        <w:footnoteRef/>
      </w:r>
      <w:r>
        <w:t xml:space="preserve"> </w:t>
      </w:r>
      <w:r w:rsidRPr="00B8752E">
        <w:t xml:space="preserve">Australian Institute of Health and Welfare (2021) </w:t>
      </w:r>
      <w:hyperlink r:id="rId1" w:history="1">
        <w:r w:rsidRPr="00E84016">
          <w:rPr>
            <w:rStyle w:val="Hyperlink"/>
          </w:rPr>
          <w:t>Cancer in Australia 2021</w:t>
        </w:r>
      </w:hyperlink>
      <w:r w:rsidR="008C7893">
        <w:t>,</w:t>
      </w:r>
      <w:r w:rsidR="004C431E">
        <w:t xml:space="preserve"> </w:t>
      </w:r>
      <w:r w:rsidRPr="00B8752E">
        <w:t xml:space="preserve">Release date </w:t>
      </w:r>
      <w:r w:rsidR="004C431E">
        <w:t>1 Dec</w:t>
      </w:r>
      <w:r w:rsidRPr="00B8752E">
        <w:t xml:space="preserve"> 2021</w:t>
      </w:r>
      <w:r w:rsidR="004C431E">
        <w:t xml:space="preserve"> and </w:t>
      </w:r>
      <w:hyperlink r:id="rId2" w:history="1">
        <w:r w:rsidR="008C7893" w:rsidRPr="008C7893">
          <w:rPr>
            <w:rStyle w:val="Hyperlink"/>
          </w:rPr>
          <w:t>Data tables: Cancer in Australia chapter 8 - Number of deaths</w:t>
        </w:r>
      </w:hyperlink>
      <w:r w:rsidR="008C7893">
        <w:t xml:space="preserve"> (</w:t>
      </w:r>
      <w:r w:rsidR="008C7893" w:rsidRPr="008C7893">
        <w:t>mortality data table)</w:t>
      </w:r>
      <w:r w:rsidRPr="00B8752E">
        <w:t>. DOI: 10.25816/ye05-nm50. Accessed 28 A</w:t>
      </w:r>
      <w:r>
        <w:t>pril</w:t>
      </w:r>
      <w:r w:rsidRPr="00B8752E">
        <w:t xml:space="preserve"> 2025 </w:t>
      </w:r>
    </w:p>
  </w:footnote>
  <w:footnote w:id="3">
    <w:p w14:paraId="0867777A" w14:textId="74BF59D2" w:rsidR="00932CC8" w:rsidRDefault="00932CC8">
      <w:pPr>
        <w:pStyle w:val="FootnoteText"/>
      </w:pPr>
      <w:r>
        <w:rPr>
          <w:rStyle w:val="FootnoteReference"/>
        </w:rPr>
        <w:footnoteRef/>
      </w:r>
      <w:r>
        <w:t xml:space="preserve"> </w:t>
      </w:r>
      <w:r w:rsidRPr="00932CC8">
        <w:t xml:space="preserve">Australian Institute of Health and Welfare (2019) </w:t>
      </w:r>
      <w:hyperlink r:id="rId3" w:history="1">
        <w:r w:rsidRPr="001C2412">
          <w:rPr>
            <w:rStyle w:val="Hyperlink"/>
          </w:rPr>
          <w:t>Cancer in Australia 2019</w:t>
        </w:r>
      </w:hyperlink>
      <w:r w:rsidRPr="00932CC8">
        <w:t>. Release date 21/03/2019.</w:t>
      </w:r>
    </w:p>
  </w:footnote>
  <w:footnote w:id="4">
    <w:p w14:paraId="0675D8FF" w14:textId="323D9E14" w:rsidR="00C22E3A" w:rsidRDefault="00C22E3A">
      <w:pPr>
        <w:pStyle w:val="FootnoteText"/>
      </w:pPr>
      <w:r>
        <w:rPr>
          <w:rStyle w:val="FootnoteReference"/>
        </w:rPr>
        <w:footnoteRef/>
      </w:r>
      <w:r>
        <w:t xml:space="preserve"> AIHW, 2021. </w:t>
      </w:r>
    </w:p>
  </w:footnote>
  <w:footnote w:id="5">
    <w:p w14:paraId="19C27AFF" w14:textId="34BEE8A0" w:rsidR="00C22E3A" w:rsidRDefault="00C22E3A">
      <w:pPr>
        <w:pStyle w:val="FootnoteText"/>
      </w:pPr>
      <w:r>
        <w:rPr>
          <w:rStyle w:val="FootnoteReference"/>
        </w:rPr>
        <w:footnoteRef/>
      </w:r>
      <w:r>
        <w:t xml:space="preserve"> AIHW, 2021.</w:t>
      </w:r>
    </w:p>
  </w:footnote>
  <w:footnote w:id="6">
    <w:p w14:paraId="0B25CDD0" w14:textId="5D5732E2" w:rsidR="009E399F" w:rsidRDefault="009E399F">
      <w:pPr>
        <w:pStyle w:val="FootnoteText"/>
      </w:pPr>
      <w:r>
        <w:rPr>
          <w:rStyle w:val="FootnoteReference"/>
        </w:rPr>
        <w:footnoteRef/>
      </w:r>
      <w:r>
        <w:t xml:space="preserve"> </w:t>
      </w:r>
      <w:r w:rsidR="00F3784E">
        <w:t>European Medicines Agency</w:t>
      </w:r>
      <w:r w:rsidR="00835943">
        <w:t>,</w:t>
      </w:r>
      <w:r w:rsidR="00F3784E">
        <w:t xml:space="preserve"> </w:t>
      </w:r>
      <w:hyperlink r:id="rId4" w:history="1">
        <w:r w:rsidR="00104997" w:rsidRPr="00104997">
          <w:rPr>
            <w:rStyle w:val="Hyperlink"/>
          </w:rPr>
          <w:t xml:space="preserve">Augtyro </w:t>
        </w:r>
        <w:r w:rsidRPr="00104997">
          <w:rPr>
            <w:rStyle w:val="Hyperlink"/>
          </w:rPr>
          <w:t>European public assessment report (EPAR)</w:t>
        </w:r>
      </w:hyperlink>
      <w:r w:rsidR="00835943">
        <w:t xml:space="preserve">, 2024. </w:t>
      </w:r>
      <w:r w:rsidRPr="009E399F">
        <w:t xml:space="preserve"> Accessed 24 A</w:t>
      </w:r>
      <w:r w:rsidR="00104997">
        <w:t>pril</w:t>
      </w:r>
      <w:r w:rsidRPr="009E399F">
        <w:t xml:space="preserve"> 2025</w:t>
      </w:r>
      <w:r w:rsidR="00104997">
        <w:t xml:space="preserve">. </w:t>
      </w:r>
    </w:p>
  </w:footnote>
  <w:footnote w:id="7">
    <w:p w14:paraId="2439CEE8" w14:textId="4C719895" w:rsidR="00702273" w:rsidRDefault="00702273">
      <w:pPr>
        <w:pStyle w:val="FootnoteText"/>
      </w:pPr>
      <w:r>
        <w:rPr>
          <w:rStyle w:val="FootnoteReference"/>
        </w:rPr>
        <w:footnoteRef/>
      </w:r>
      <w:r>
        <w:t xml:space="preserve"> EMA,</w:t>
      </w:r>
      <w:r w:rsidR="00835943">
        <w:t xml:space="preserve"> 2024.</w:t>
      </w:r>
      <w:r>
        <w:t xml:space="preserve"> </w:t>
      </w:r>
    </w:p>
  </w:footnote>
  <w:footnote w:id="8">
    <w:p w14:paraId="7CEB54F8" w14:textId="32D67628" w:rsidR="00083C68" w:rsidRDefault="00083C68">
      <w:pPr>
        <w:pStyle w:val="FootnoteText"/>
      </w:pPr>
      <w:r>
        <w:rPr>
          <w:rStyle w:val="FootnoteReference"/>
        </w:rPr>
        <w:footnoteRef/>
      </w:r>
      <w:r>
        <w:t xml:space="preserve"> </w:t>
      </w:r>
      <w:r w:rsidRPr="00083C68">
        <w:t xml:space="preserve">Lin JJ, Shaw AT. Recent Advances in Targeting ROS1 in Lung Cancer. J Thorac Oncol. 2017;12(11):1611–1625. </w:t>
      </w:r>
      <w:proofErr w:type="gramStart"/>
      <w:r w:rsidRPr="00083C68">
        <w:t>doi:10.1016/j.jtho</w:t>
      </w:r>
      <w:proofErr w:type="gramEnd"/>
      <w:r w:rsidRPr="00083C68">
        <w:t>.2017.08.002</w:t>
      </w:r>
    </w:p>
  </w:footnote>
  <w:footnote w:id="9">
    <w:p w14:paraId="70686322" w14:textId="71966615" w:rsidR="00F241C8" w:rsidRDefault="00F241C8">
      <w:pPr>
        <w:pStyle w:val="FootnoteText"/>
      </w:pPr>
      <w:r>
        <w:rPr>
          <w:rStyle w:val="FootnoteReference"/>
        </w:rPr>
        <w:footnoteRef/>
      </w:r>
      <w:r>
        <w:t xml:space="preserve"> </w:t>
      </w:r>
      <w:r w:rsidRPr="00F241C8">
        <w:t xml:space="preserve">Paul MK, Mukhopadhyay AK. Tyrosine kinase - Role and significance in Cancer. Int J Med Sci. 2004;1(2):101-115. </w:t>
      </w:r>
      <w:proofErr w:type="spellStart"/>
      <w:r w:rsidRPr="00F241C8">
        <w:t>doi</w:t>
      </w:r>
      <w:proofErr w:type="spellEnd"/>
      <w:r w:rsidRPr="00F241C8">
        <w:t xml:space="preserve">: 10.7150/ijms.1.101. </w:t>
      </w:r>
      <w:proofErr w:type="spellStart"/>
      <w:r w:rsidRPr="00F241C8">
        <w:t>Epub</w:t>
      </w:r>
      <w:proofErr w:type="spellEnd"/>
      <w:r w:rsidRPr="00F241C8">
        <w:t xml:space="preserve"> 2004 Jun 1. PMID: 15912202; PMCID: PMC1074718</w:t>
      </w:r>
      <w:r>
        <w:t>.</w:t>
      </w:r>
    </w:p>
  </w:footnote>
  <w:footnote w:id="10">
    <w:p w14:paraId="4B93CF05" w14:textId="4159749C" w:rsidR="001961A7" w:rsidRDefault="001961A7">
      <w:pPr>
        <w:pStyle w:val="FootnoteText"/>
      </w:pPr>
      <w:r>
        <w:rPr>
          <w:rStyle w:val="FootnoteReference"/>
        </w:rPr>
        <w:footnoteRef/>
      </w:r>
      <w:r>
        <w:t xml:space="preserve"> </w:t>
      </w:r>
      <w:r w:rsidRPr="001961A7">
        <w:t xml:space="preserve">Cerrato, A., Visconti, R. &amp; </w:t>
      </w:r>
      <w:proofErr w:type="spellStart"/>
      <w:r w:rsidRPr="001961A7">
        <w:t>Celetti</w:t>
      </w:r>
      <w:proofErr w:type="spellEnd"/>
      <w:r w:rsidRPr="001961A7">
        <w:t xml:space="preserve">, A. The rationale for </w:t>
      </w:r>
      <w:proofErr w:type="spellStart"/>
      <w:r w:rsidRPr="001961A7">
        <w:t>druggability</w:t>
      </w:r>
      <w:proofErr w:type="spellEnd"/>
      <w:r w:rsidRPr="001961A7">
        <w:t xml:space="preserve"> of CCDC6-tyrosine kinase fusions in lung cancer. Mol Cancer 17, 46 (2018). https://doi.org/10.1186/s12943-018-0799-8</w:t>
      </w:r>
    </w:p>
  </w:footnote>
  <w:footnote w:id="11">
    <w:p w14:paraId="52C649CC" w14:textId="0DF15487" w:rsidR="003E63DF" w:rsidRDefault="003E63DF">
      <w:pPr>
        <w:pStyle w:val="FootnoteText"/>
      </w:pPr>
      <w:r>
        <w:rPr>
          <w:rStyle w:val="FootnoteReference"/>
        </w:rPr>
        <w:footnoteRef/>
      </w:r>
      <w:r>
        <w:t xml:space="preserve"> Lin JJ, </w:t>
      </w:r>
      <w:r w:rsidR="006002D1" w:rsidRPr="006002D1">
        <w:t xml:space="preserve">J </w:t>
      </w:r>
      <w:proofErr w:type="spellStart"/>
      <w:r w:rsidR="006002D1" w:rsidRPr="006002D1">
        <w:t>Thorac</w:t>
      </w:r>
      <w:proofErr w:type="spellEnd"/>
      <w:r w:rsidR="006002D1" w:rsidRPr="006002D1">
        <w:t xml:space="preserve"> Onco</w:t>
      </w:r>
      <w:r w:rsidR="006002D1">
        <w:t xml:space="preserve">, </w:t>
      </w:r>
      <w:r>
        <w:t>2017</w:t>
      </w:r>
      <w:r w:rsidR="00DD338A">
        <w:t xml:space="preserve">. </w:t>
      </w:r>
    </w:p>
  </w:footnote>
  <w:footnote w:id="12">
    <w:p w14:paraId="530C6BFB" w14:textId="7106F071" w:rsidR="007A5ADE" w:rsidRDefault="007A5ADE">
      <w:pPr>
        <w:pStyle w:val="FootnoteText"/>
      </w:pPr>
      <w:r>
        <w:rPr>
          <w:rStyle w:val="FootnoteReference"/>
        </w:rPr>
        <w:footnoteRef/>
      </w:r>
      <w:r>
        <w:t xml:space="preserve"> </w:t>
      </w:r>
      <w:proofErr w:type="spellStart"/>
      <w:r w:rsidRPr="007A5ADE">
        <w:t>Bergethon</w:t>
      </w:r>
      <w:proofErr w:type="spellEnd"/>
      <w:r w:rsidRPr="007A5ADE">
        <w:t xml:space="preserve"> K, Shaw AT, Ou SH, et al. ROS1 rearrangements define a unique molecular class of lung cancers. J Clin Oncol. </w:t>
      </w:r>
      <w:proofErr w:type="gramStart"/>
      <w:r w:rsidRPr="007A5ADE">
        <w:t>2012;30:863</w:t>
      </w:r>
      <w:proofErr w:type="gramEnd"/>
      <w:r w:rsidRPr="007A5ADE">
        <w:t xml:space="preserve">–870. </w:t>
      </w:r>
      <w:proofErr w:type="spellStart"/>
      <w:r w:rsidRPr="007A5ADE">
        <w:t>doi</w:t>
      </w:r>
      <w:proofErr w:type="spellEnd"/>
      <w:r w:rsidRPr="007A5ADE">
        <w:t>: 10.1200/JCO.2011.35.6345.</w:t>
      </w:r>
    </w:p>
  </w:footnote>
  <w:footnote w:id="13">
    <w:p w14:paraId="79661B79" w14:textId="1945E2DA" w:rsidR="004259F0" w:rsidRDefault="004259F0">
      <w:pPr>
        <w:pStyle w:val="FootnoteText"/>
      </w:pPr>
      <w:r>
        <w:rPr>
          <w:rStyle w:val="FootnoteReference"/>
        </w:rPr>
        <w:footnoteRef/>
      </w:r>
      <w:r>
        <w:t xml:space="preserve"> </w:t>
      </w:r>
      <w:r w:rsidRPr="004259F0">
        <w:t xml:space="preserve">Zhu Q, Zhan P, Zhang X, </w:t>
      </w:r>
      <w:proofErr w:type="spellStart"/>
      <w:r w:rsidRPr="004259F0">
        <w:t>Lv</w:t>
      </w:r>
      <w:proofErr w:type="spellEnd"/>
      <w:r w:rsidRPr="004259F0">
        <w:t xml:space="preserve"> T, Song Y. Clinicopathologic characteristics of patients with ROS1 fusion gene in non-small cell lung cancer: a meta-analysis. </w:t>
      </w:r>
      <w:proofErr w:type="spellStart"/>
      <w:r w:rsidRPr="004259F0">
        <w:t>Transl</w:t>
      </w:r>
      <w:proofErr w:type="spellEnd"/>
      <w:r w:rsidRPr="004259F0">
        <w:t xml:space="preserve"> Lung Cancer Res. 2015 Jun;4(3):300-9. </w:t>
      </w:r>
      <w:proofErr w:type="spellStart"/>
      <w:r w:rsidRPr="004259F0">
        <w:t>doi</w:t>
      </w:r>
      <w:proofErr w:type="spellEnd"/>
      <w:r w:rsidRPr="004259F0">
        <w:t>: 10.3978/j.issn.2218-6751.2015.05.01. PMID: 26207220; PMCID: PMC4483477.</w:t>
      </w:r>
    </w:p>
  </w:footnote>
  <w:footnote w:id="14">
    <w:p w14:paraId="791A28A9" w14:textId="19DF3C5B" w:rsidR="00EF2671" w:rsidRDefault="00EF2671">
      <w:pPr>
        <w:pStyle w:val="FootnoteText"/>
      </w:pPr>
      <w:r>
        <w:rPr>
          <w:rStyle w:val="FootnoteReference"/>
        </w:rPr>
        <w:footnoteRef/>
      </w:r>
      <w:r>
        <w:t xml:space="preserve"> </w:t>
      </w:r>
      <w:proofErr w:type="spellStart"/>
      <w:r w:rsidRPr="00EF2671">
        <w:t>Bergethon</w:t>
      </w:r>
      <w:proofErr w:type="spellEnd"/>
      <w:r w:rsidRPr="00EF2671">
        <w:t xml:space="preserve"> K</w:t>
      </w:r>
      <w:r>
        <w:t xml:space="preserve">, </w:t>
      </w:r>
      <w:r w:rsidR="00005E15">
        <w:t xml:space="preserve">2012. </w:t>
      </w:r>
    </w:p>
  </w:footnote>
  <w:footnote w:id="15">
    <w:p w14:paraId="2E360AEA" w14:textId="4B330BA8" w:rsidR="008174EF" w:rsidRDefault="008174EF">
      <w:pPr>
        <w:pStyle w:val="FootnoteText"/>
      </w:pPr>
      <w:r>
        <w:rPr>
          <w:rStyle w:val="FootnoteReference"/>
        </w:rPr>
        <w:footnoteRef/>
      </w:r>
      <w:r>
        <w:t xml:space="preserve"> </w:t>
      </w:r>
      <w:r w:rsidRPr="008174EF">
        <w:t>Medical Services Advisory Committee (MSAC)</w:t>
      </w:r>
      <w:r w:rsidR="0018302F">
        <w:t>,</w:t>
      </w:r>
      <w:r w:rsidRPr="008174EF">
        <w:t xml:space="preserve"> </w:t>
      </w:r>
      <w:hyperlink r:id="rId5" w:history="1">
        <w:r w:rsidR="00F85841" w:rsidRPr="003B40BD">
          <w:rPr>
            <w:rStyle w:val="Hyperlink"/>
          </w:rPr>
          <w:t>1454 – Diagnostic testing for ROS proto-oncogene 1 (ROS1) rearrangements in non-small cell lung cancer (NSCLC) to determine eligibility for crizotinib treatment</w:t>
        </w:r>
      </w:hyperlink>
      <w:r w:rsidR="00F85841">
        <w:t xml:space="preserve">. </w:t>
      </w:r>
      <w:r w:rsidR="0018302F">
        <w:t>P</w:t>
      </w:r>
      <w:r w:rsidRPr="008174EF">
        <w:t>ublic summary document for application number 1454. Accessed 06/01/2020</w:t>
      </w:r>
      <w:r w:rsidR="003B40BD">
        <w:t>.</w:t>
      </w:r>
    </w:p>
  </w:footnote>
  <w:footnote w:id="16">
    <w:p w14:paraId="61AA8C54" w14:textId="6A88C00B" w:rsidR="005E6BFD" w:rsidRDefault="005E6BFD">
      <w:pPr>
        <w:pStyle w:val="FootnoteText"/>
      </w:pPr>
      <w:r>
        <w:rPr>
          <w:rStyle w:val="FootnoteReference"/>
        </w:rPr>
        <w:footnoteRef/>
      </w:r>
      <w:r>
        <w:t xml:space="preserve"> </w:t>
      </w:r>
      <w:r w:rsidRPr="005E6BFD">
        <w:t xml:space="preserve">Lin JJ, </w:t>
      </w:r>
      <w:proofErr w:type="spellStart"/>
      <w:r w:rsidRPr="005E6BFD">
        <w:t>Ritterhouse</w:t>
      </w:r>
      <w:proofErr w:type="spellEnd"/>
      <w:r w:rsidRPr="005E6BFD">
        <w:t xml:space="preserve"> LL, Ali SM, Bailey M, Schrock AB, Gainor JF, Ferris LA, Mino-</w:t>
      </w:r>
      <w:proofErr w:type="spellStart"/>
      <w:r w:rsidRPr="005E6BFD">
        <w:t>Kenudson</w:t>
      </w:r>
      <w:proofErr w:type="spellEnd"/>
      <w:r w:rsidRPr="005E6BFD">
        <w:t xml:space="preserve"> M, Miller VA, Iafrate AJ, </w:t>
      </w:r>
      <w:proofErr w:type="spellStart"/>
      <w:r w:rsidRPr="005E6BFD">
        <w:t>Lennerz</w:t>
      </w:r>
      <w:proofErr w:type="spellEnd"/>
      <w:r w:rsidRPr="005E6BFD">
        <w:t xml:space="preserve"> JK, Shaw AT. ROS1 Fusions Rarely Overlap with Other Oncogenic Drivers in Non-Small Cell Lung Cancer. J Thorac Oncol. 2017 May;12(5):872-877. </w:t>
      </w:r>
      <w:proofErr w:type="spellStart"/>
      <w:r w:rsidRPr="005E6BFD">
        <w:t>doi</w:t>
      </w:r>
      <w:proofErr w:type="spellEnd"/>
      <w:r w:rsidRPr="005E6BFD">
        <w:t xml:space="preserve">: 10.1016/j.jtho.2017.01.004. </w:t>
      </w:r>
      <w:proofErr w:type="spellStart"/>
      <w:r w:rsidRPr="005E6BFD">
        <w:t>Epub</w:t>
      </w:r>
      <w:proofErr w:type="spellEnd"/>
      <w:r w:rsidRPr="005E6BFD">
        <w:t xml:space="preserve"> 2017 Jan 11. PMID: 28088512; PMCID: PMC5403618.</w:t>
      </w:r>
      <w:r>
        <w:t xml:space="preserve"> </w:t>
      </w:r>
    </w:p>
  </w:footnote>
  <w:footnote w:id="17">
    <w:p w14:paraId="5E596508" w14:textId="1EC0F395" w:rsidR="00A5271C" w:rsidRDefault="00A5271C">
      <w:pPr>
        <w:pStyle w:val="FootnoteText"/>
      </w:pPr>
      <w:r>
        <w:rPr>
          <w:rStyle w:val="FootnoteReference"/>
        </w:rPr>
        <w:footnoteRef/>
      </w:r>
      <w:r>
        <w:t xml:space="preserve"> Lin, </w:t>
      </w:r>
      <w:r w:rsidR="00377789">
        <w:t>JJ, 2017.</w:t>
      </w:r>
    </w:p>
  </w:footnote>
  <w:footnote w:id="18">
    <w:p w14:paraId="7A820F00" w14:textId="41E417E4" w:rsidR="008A30AB" w:rsidRDefault="008A30AB">
      <w:pPr>
        <w:pStyle w:val="FootnoteText"/>
      </w:pPr>
      <w:r>
        <w:rPr>
          <w:rStyle w:val="FootnoteReference"/>
        </w:rPr>
        <w:footnoteRef/>
      </w:r>
      <w:r>
        <w:t xml:space="preserve"> </w:t>
      </w:r>
      <w:r w:rsidRPr="008A30AB">
        <w:t xml:space="preserve">Search for “ROS1” in </w:t>
      </w:r>
      <w:hyperlink r:id="rId6" w:history="1">
        <w:r w:rsidRPr="00FB5D4D">
          <w:rPr>
            <w:rStyle w:val="Hyperlink"/>
          </w:rPr>
          <w:t>Companion Diagnostics (</w:t>
        </w:r>
        <w:proofErr w:type="spellStart"/>
        <w:r w:rsidRPr="00FB5D4D">
          <w:rPr>
            <w:rStyle w:val="Hyperlink"/>
          </w:rPr>
          <w:t>CDx</w:t>
        </w:r>
        <w:proofErr w:type="spellEnd"/>
        <w:r w:rsidRPr="00FB5D4D">
          <w:rPr>
            <w:rStyle w:val="Hyperlink"/>
          </w:rPr>
          <w:t>) list | Therapeutic Goods Administration (TGA)</w:t>
        </w:r>
      </w:hyperlink>
    </w:p>
  </w:footnote>
  <w:footnote w:id="19">
    <w:p w14:paraId="4EFAB9D7" w14:textId="5B1C2B77" w:rsidR="0090229C" w:rsidRDefault="0090229C">
      <w:pPr>
        <w:pStyle w:val="FootnoteText"/>
      </w:pPr>
      <w:r>
        <w:rPr>
          <w:rStyle w:val="FootnoteReference"/>
        </w:rPr>
        <w:footnoteRef/>
      </w:r>
      <w:r>
        <w:t xml:space="preserve"> </w:t>
      </w:r>
      <w:r w:rsidRPr="0090229C">
        <w:t xml:space="preserve">Cooper WA, Amanuel B, Cooper C, Fox SB, </w:t>
      </w:r>
      <w:proofErr w:type="spellStart"/>
      <w:r w:rsidRPr="0090229C">
        <w:t>Graftdyk</w:t>
      </w:r>
      <w:proofErr w:type="spellEnd"/>
      <w:r w:rsidRPr="0090229C">
        <w:t xml:space="preserve"> JWA, Jessup P, Klebe S, Lam WS, Leong TY, Lwin Z, Roberts-Thomson R, Solomon BJ, Tay RY, </w:t>
      </w:r>
      <w:proofErr w:type="spellStart"/>
      <w:r w:rsidRPr="0090229C">
        <w:t>Trowman</w:t>
      </w:r>
      <w:proofErr w:type="spellEnd"/>
      <w:r w:rsidRPr="0090229C">
        <w:t xml:space="preserve"> R, Wale JL, Pavlakis N. Molecular testing of lung cancer in Australia: consensus best practice recommendations from the Royal College of Pathologists of Australasia in collaboration with the Thoracic Oncology Group of Australasia. Pathology. 2025 Feb </w:t>
      </w:r>
      <w:proofErr w:type="gramStart"/>
      <w:r w:rsidRPr="0090229C">
        <w:t>14:S</w:t>
      </w:r>
      <w:proofErr w:type="gramEnd"/>
      <w:r w:rsidRPr="0090229C">
        <w:t xml:space="preserve">0031-3025(25)00066-2. </w:t>
      </w:r>
      <w:proofErr w:type="spellStart"/>
      <w:r w:rsidRPr="0090229C">
        <w:t>doi</w:t>
      </w:r>
      <w:proofErr w:type="spellEnd"/>
      <w:r w:rsidRPr="0090229C">
        <w:t xml:space="preserve">: 10.1016/j.pathol.2025.02.001. </w:t>
      </w:r>
      <w:proofErr w:type="spellStart"/>
      <w:r w:rsidRPr="0090229C">
        <w:t>Epub</w:t>
      </w:r>
      <w:proofErr w:type="spellEnd"/>
      <w:r w:rsidRPr="0090229C">
        <w:t xml:space="preserve"> ahead of print. PMID: 40102144.</w:t>
      </w:r>
    </w:p>
  </w:footnote>
  <w:footnote w:id="20">
    <w:p w14:paraId="538A9D3B" w14:textId="5C4BB02E" w:rsidR="00C03193" w:rsidRDefault="00C03193">
      <w:pPr>
        <w:pStyle w:val="FootnoteText"/>
      </w:pPr>
      <w:r>
        <w:rPr>
          <w:rStyle w:val="FootnoteReference"/>
        </w:rPr>
        <w:footnoteRef/>
      </w:r>
      <w:r>
        <w:t xml:space="preserve"> </w:t>
      </w:r>
      <w:r w:rsidRPr="00C03193">
        <w:t xml:space="preserve">Hendriks LE, Kerr KM, Menis J, Mok TS, Nestle U, Passaro A, Peters S, Planchard D, Smit EF, Solomon BJ, Veronesi G, Reck M; ESMO Guidelines Committee. Electronic address: clinicalguidelines@esmo.org. Oncogene-addicted metastatic non-small-cell lung cancer: ESMO Clinical Practice Guideline for diagnosis, treatment and follow-up. Ann Oncol. 2023 Apr;34(4):339-357. </w:t>
      </w:r>
      <w:proofErr w:type="spellStart"/>
      <w:r w:rsidRPr="00C03193">
        <w:t>doi</w:t>
      </w:r>
      <w:proofErr w:type="spellEnd"/>
      <w:r w:rsidRPr="00C03193">
        <w:t xml:space="preserve">: 10.1016/j.annonc.2022.12.009. </w:t>
      </w:r>
      <w:proofErr w:type="spellStart"/>
      <w:r w:rsidRPr="00C03193">
        <w:t>Epub</w:t>
      </w:r>
      <w:proofErr w:type="spellEnd"/>
      <w:r w:rsidRPr="00C03193">
        <w:t xml:space="preserve"> 2023 Jan 23. PMID: 36872130. Online tool accessed 6 MAY 2025 at: </w:t>
      </w:r>
      <w:hyperlink r:id="rId7" w:history="1">
        <w:r w:rsidRPr="005D3E62">
          <w:rPr>
            <w:rStyle w:val="Hyperlink"/>
          </w:rPr>
          <w:t>ESMO Interactive Guidelines</w:t>
        </w:r>
      </w:hyperlink>
    </w:p>
  </w:footnote>
  <w:footnote w:id="21">
    <w:p w14:paraId="75F3EAA4" w14:textId="4E2EF45B" w:rsidR="006B562C" w:rsidRDefault="006B562C">
      <w:pPr>
        <w:pStyle w:val="FootnoteText"/>
      </w:pPr>
      <w:r>
        <w:rPr>
          <w:rStyle w:val="FootnoteReference"/>
        </w:rPr>
        <w:footnoteRef/>
      </w:r>
      <w:r>
        <w:t xml:space="preserve"> </w:t>
      </w:r>
      <w:hyperlink r:id="rId8" w:history="1">
        <w:r w:rsidRPr="006B562C">
          <w:rPr>
            <w:rStyle w:val="Hyperlink"/>
          </w:rPr>
          <w:t>National Comprehensive Cancer Network (NCCN) guidelines version 3.2025 for NSCLC</w:t>
        </w:r>
      </w:hyperlink>
      <w:r w:rsidRPr="006B562C">
        <w:t>. Dated 14 J</w:t>
      </w:r>
      <w:r>
        <w:t>anuary</w:t>
      </w:r>
      <w:r w:rsidRPr="006B562C">
        <w:t xml:space="preserve"> 2025. Accessed 28 </w:t>
      </w:r>
      <w:r>
        <w:t>April</w:t>
      </w:r>
      <w:r w:rsidRPr="006B562C">
        <w:t xml:space="preserve"> 2025</w:t>
      </w:r>
    </w:p>
  </w:footnote>
  <w:footnote w:id="22">
    <w:p w14:paraId="12E0ACCA" w14:textId="2D62EA6E" w:rsidR="00B43A4A" w:rsidRDefault="00B43A4A">
      <w:pPr>
        <w:pStyle w:val="FootnoteText"/>
      </w:pPr>
      <w:r>
        <w:rPr>
          <w:rStyle w:val="FootnoteReference"/>
        </w:rPr>
        <w:footnoteRef/>
      </w:r>
      <w:r>
        <w:t xml:space="preserve"> </w:t>
      </w:r>
      <w:r w:rsidRPr="00B43A4A">
        <w:t xml:space="preserve">NGS panel including ROS1 MBS item for newly diagnosed NSCLC. Accessed 30 APR 2025 at: </w:t>
      </w:r>
      <w:hyperlink r:id="rId9" w:history="1">
        <w:r w:rsidRPr="00D22007">
          <w:rPr>
            <w:rStyle w:val="Hyperlink"/>
          </w:rPr>
          <w:t>Item 73437 | Medicare Benefits Schedule</w:t>
        </w:r>
      </w:hyperlink>
    </w:p>
  </w:footnote>
  <w:footnote w:id="23">
    <w:p w14:paraId="6A28E4DF" w14:textId="74A4213A" w:rsidR="00AC204A" w:rsidRPr="00AF635D" w:rsidRDefault="00AC204A">
      <w:pPr>
        <w:pStyle w:val="FootnoteText"/>
        <w:rPr>
          <w:lang w:val="it-IT"/>
        </w:rPr>
      </w:pPr>
      <w:r>
        <w:rPr>
          <w:rStyle w:val="FootnoteReference"/>
        </w:rPr>
        <w:footnoteRef/>
      </w:r>
      <w:r>
        <w:t xml:space="preserve"> </w:t>
      </w:r>
      <w:r w:rsidRPr="00AC204A">
        <w:t xml:space="preserve">Ou SI, Nagasaka M. A </w:t>
      </w:r>
      <w:proofErr w:type="spellStart"/>
      <w:r w:rsidRPr="00AC204A">
        <w:t>Catalog</w:t>
      </w:r>
      <w:proofErr w:type="spellEnd"/>
      <w:r w:rsidRPr="00AC204A">
        <w:t xml:space="preserve"> of 5' Fusion Partners in ROS1-Positive NSCLC Circa 2020. JTO Clin Res Rep. 2020 Apr 28;1(3):100048. </w:t>
      </w:r>
      <w:proofErr w:type="spellStart"/>
      <w:r w:rsidRPr="00AC204A">
        <w:t>doi</w:t>
      </w:r>
      <w:proofErr w:type="spellEnd"/>
      <w:r w:rsidRPr="00AC204A">
        <w:t xml:space="preserve">: 10.1016/j.jtocrr.2020.100048. </w:t>
      </w:r>
      <w:r w:rsidRPr="00AF635D">
        <w:rPr>
          <w:lang w:val="it-IT"/>
        </w:rPr>
        <w:t>PMID: 34589944; PMCID: PMC8474457.</w:t>
      </w:r>
    </w:p>
  </w:footnote>
  <w:footnote w:id="24">
    <w:p w14:paraId="7D76AB10" w14:textId="138A3D14" w:rsidR="00AF635D" w:rsidRDefault="00AF635D">
      <w:pPr>
        <w:pStyle w:val="FootnoteText"/>
      </w:pPr>
      <w:r>
        <w:rPr>
          <w:rStyle w:val="FootnoteReference"/>
        </w:rPr>
        <w:footnoteRef/>
      </w:r>
      <w:r w:rsidRPr="00AF635D">
        <w:rPr>
          <w:lang w:val="it-IT"/>
        </w:rPr>
        <w:t xml:space="preserve"> </w:t>
      </w:r>
      <w:r w:rsidRPr="00AF635D">
        <w:rPr>
          <w:lang w:val="it-IT"/>
        </w:rPr>
        <w:t xml:space="preserve">Rossi </w:t>
      </w:r>
      <w:r w:rsidRPr="00AF635D">
        <w:rPr>
          <w:lang w:val="it-IT"/>
        </w:rPr>
        <w:t xml:space="preserve">G, Jocollé G, Conti A, et al. </w:t>
      </w:r>
      <w:r w:rsidRPr="00AF635D">
        <w:t>Detection of ROS1 rearrangement in non-small cell lung cancer: current and future perspectives. Lung Cancer (</w:t>
      </w:r>
      <w:proofErr w:type="spellStart"/>
      <w:r w:rsidRPr="00AF635D">
        <w:t>Auckl</w:t>
      </w:r>
      <w:proofErr w:type="spellEnd"/>
      <w:r w:rsidRPr="00AF635D">
        <w:t xml:space="preserve">). </w:t>
      </w:r>
      <w:proofErr w:type="gramStart"/>
      <w:r w:rsidRPr="00AF635D">
        <w:t>2017;8:45</w:t>
      </w:r>
      <w:proofErr w:type="gramEnd"/>
      <w:r w:rsidRPr="00AF635D">
        <w:t>–55. Published 2017 Jul 7. doi:10.2147/LCTT.S120172</w:t>
      </w:r>
    </w:p>
  </w:footnote>
  <w:footnote w:id="25">
    <w:p w14:paraId="5F12523B" w14:textId="27278EA2" w:rsidR="000408C2" w:rsidRDefault="000408C2">
      <w:pPr>
        <w:pStyle w:val="FootnoteText"/>
      </w:pPr>
      <w:r>
        <w:rPr>
          <w:rStyle w:val="FootnoteReference"/>
        </w:rPr>
        <w:footnoteRef/>
      </w:r>
      <w:r>
        <w:t xml:space="preserve"> </w:t>
      </w:r>
      <w:r w:rsidRPr="000408C2">
        <w:t>Shaw AT, Riely GJ, Bang YJ, et al. Crizotinib in ROS1-rearranged advanced non-small-cell lung cancer (NSCLC): updated results, including overall survival, from PROFILE 1001. Ann Oncol. 2019;30(7):1121–1126. doi:10.1093/</w:t>
      </w:r>
      <w:proofErr w:type="spellStart"/>
      <w:r w:rsidRPr="000408C2">
        <w:t>annonc</w:t>
      </w:r>
      <w:proofErr w:type="spellEnd"/>
      <w:r w:rsidRPr="000408C2">
        <w:t>/mdz131</w:t>
      </w:r>
    </w:p>
  </w:footnote>
  <w:footnote w:id="26">
    <w:p w14:paraId="01E10458" w14:textId="24661C53" w:rsidR="00767DAA" w:rsidRDefault="00767DAA">
      <w:pPr>
        <w:pStyle w:val="FootnoteText"/>
      </w:pPr>
      <w:r>
        <w:rPr>
          <w:rStyle w:val="FootnoteReference"/>
        </w:rPr>
        <w:footnoteRef/>
      </w:r>
      <w:r>
        <w:t xml:space="preserve"> </w:t>
      </w:r>
      <w:r w:rsidRPr="00767DAA">
        <w:t xml:space="preserve">Neel D.S., </w:t>
      </w:r>
      <w:proofErr w:type="spellStart"/>
      <w:r w:rsidRPr="00767DAA">
        <w:t>Allegakoen</w:t>
      </w:r>
      <w:proofErr w:type="spellEnd"/>
      <w:r w:rsidRPr="00767DAA">
        <w:t xml:space="preserve"> D.V., Olivas V. Differential subcellular localization regulates oncogenic </w:t>
      </w:r>
      <w:proofErr w:type="spellStart"/>
      <w:r w:rsidRPr="00767DAA">
        <w:t>signaling</w:t>
      </w:r>
      <w:proofErr w:type="spellEnd"/>
      <w:r w:rsidRPr="00767DAA">
        <w:t xml:space="preserve"> by ROS1 kinase fusion proteins. Cancer Res. </w:t>
      </w:r>
      <w:proofErr w:type="gramStart"/>
      <w:r w:rsidRPr="00767DAA">
        <w:t>2019;79:546</w:t>
      </w:r>
      <w:proofErr w:type="gramEnd"/>
      <w:r w:rsidRPr="00767DAA">
        <w:t xml:space="preserve">–556. </w:t>
      </w:r>
      <w:proofErr w:type="spellStart"/>
      <w:r w:rsidRPr="00767DAA">
        <w:t>doi</w:t>
      </w:r>
      <w:proofErr w:type="spellEnd"/>
      <w:r w:rsidRPr="00767DAA">
        <w:t>: 10.1158/0008-5472.CAN-18-1492.</w:t>
      </w:r>
    </w:p>
  </w:footnote>
  <w:footnote w:id="27">
    <w:p w14:paraId="0ADA6C1B" w14:textId="10BFF873" w:rsidR="0055546D" w:rsidRDefault="0055546D">
      <w:pPr>
        <w:pStyle w:val="FootnoteText"/>
      </w:pPr>
      <w:r>
        <w:rPr>
          <w:rStyle w:val="FootnoteReference"/>
        </w:rPr>
        <w:footnoteRef/>
      </w:r>
      <w:r>
        <w:t xml:space="preserve"> </w:t>
      </w:r>
      <w:r w:rsidRPr="0055546D">
        <w:t xml:space="preserve">Li Z., Shen L., Ding D. Efficacy of crizotinib among different types of ROS1 fusion partners in patients with ROS1-rearranged non-small cell lung cancer. J Thorac Oncol. </w:t>
      </w:r>
      <w:proofErr w:type="gramStart"/>
      <w:r w:rsidRPr="0055546D">
        <w:t>2018;13:987</w:t>
      </w:r>
      <w:proofErr w:type="gramEnd"/>
      <w:r w:rsidRPr="0055546D">
        <w:t xml:space="preserve">–995. </w:t>
      </w:r>
      <w:proofErr w:type="spellStart"/>
      <w:r w:rsidRPr="0055546D">
        <w:t>doi</w:t>
      </w:r>
      <w:proofErr w:type="spellEnd"/>
      <w:r w:rsidRPr="0055546D">
        <w:t>: 10.1016/j.jtho.2018.04.016.</w:t>
      </w:r>
    </w:p>
  </w:footnote>
  <w:footnote w:id="28">
    <w:p w14:paraId="3D9589D9" w14:textId="5D3EF969" w:rsidR="008B7ACB" w:rsidRDefault="008B7ACB">
      <w:pPr>
        <w:pStyle w:val="FootnoteText"/>
      </w:pPr>
      <w:r>
        <w:rPr>
          <w:rStyle w:val="FootnoteReference"/>
        </w:rPr>
        <w:footnoteRef/>
      </w:r>
      <w:r>
        <w:t xml:space="preserve"> </w:t>
      </w:r>
      <w:r w:rsidRPr="008B7ACB">
        <w:t xml:space="preserve">FDA initial </w:t>
      </w:r>
      <w:hyperlink r:id="rId10" w:history="1">
        <w:r w:rsidRPr="00BD1A33">
          <w:rPr>
            <w:rStyle w:val="Hyperlink"/>
          </w:rPr>
          <w:t>Drug Approval Package for AUGTYRO (NDA 218213</w:t>
        </w:r>
      </w:hyperlink>
      <w:r w:rsidRPr="008B7ACB">
        <w:t>),</w:t>
      </w:r>
      <w:r w:rsidR="00B967BB">
        <w:t xml:space="preserve"> 2023</w:t>
      </w:r>
    </w:p>
  </w:footnote>
  <w:footnote w:id="29">
    <w:p w14:paraId="0B252176" w14:textId="71BD6910" w:rsidR="002D0726" w:rsidRDefault="002D0726">
      <w:pPr>
        <w:pStyle w:val="FootnoteText"/>
      </w:pPr>
      <w:r>
        <w:rPr>
          <w:rStyle w:val="FootnoteReference"/>
        </w:rPr>
        <w:footnoteRef/>
      </w:r>
      <w:r>
        <w:t xml:space="preserve"> </w:t>
      </w:r>
      <w:r w:rsidRPr="002D0726">
        <w:t xml:space="preserve">Choudhury NJ, Schneider JL, Patil T, Zhu VW, Goldman DA, Yang SR, Falcon CJ, Do A, Nie Y, </w:t>
      </w:r>
      <w:proofErr w:type="spellStart"/>
      <w:r w:rsidRPr="002D0726">
        <w:t>Plodkowski</w:t>
      </w:r>
      <w:proofErr w:type="spellEnd"/>
      <w:r w:rsidRPr="002D0726">
        <w:t xml:space="preserve"> AJ, </w:t>
      </w:r>
      <w:proofErr w:type="spellStart"/>
      <w:r w:rsidRPr="002D0726">
        <w:t>Chaft</w:t>
      </w:r>
      <w:proofErr w:type="spellEnd"/>
      <w:r w:rsidRPr="002D0726">
        <w:t xml:space="preserve"> JE, </w:t>
      </w:r>
      <w:proofErr w:type="spellStart"/>
      <w:r w:rsidRPr="002D0726">
        <w:t>Digumarthy</w:t>
      </w:r>
      <w:proofErr w:type="spellEnd"/>
      <w:r w:rsidRPr="002D0726">
        <w:t xml:space="preserve"> SR, </w:t>
      </w:r>
      <w:proofErr w:type="spellStart"/>
      <w:r w:rsidRPr="002D0726">
        <w:t>Rekhtman</w:t>
      </w:r>
      <w:proofErr w:type="spellEnd"/>
      <w:r w:rsidRPr="002D0726">
        <w:t xml:space="preserve"> N, Arcila ME, </w:t>
      </w:r>
      <w:proofErr w:type="spellStart"/>
      <w:r w:rsidRPr="002D0726">
        <w:t>Iasonos</w:t>
      </w:r>
      <w:proofErr w:type="spellEnd"/>
      <w:r w:rsidRPr="002D0726">
        <w:t xml:space="preserve"> A, Ou SI, Lin JJ, Drilon A. Response to Immune Checkpoint Inhibition as Monotherapy or in Combination </w:t>
      </w:r>
      <w:proofErr w:type="gramStart"/>
      <w:r w:rsidRPr="002D0726">
        <w:t>With</w:t>
      </w:r>
      <w:proofErr w:type="gramEnd"/>
      <w:r w:rsidRPr="002D0726">
        <w:t xml:space="preserve"> Chemotherapy in Metastatic ROS1-Rearranged Lung Cancers. JTO Clin Res Rep. 2021 May 18;2(7):100187. </w:t>
      </w:r>
      <w:proofErr w:type="spellStart"/>
      <w:r w:rsidRPr="002D0726">
        <w:t>doi</w:t>
      </w:r>
      <w:proofErr w:type="spellEnd"/>
      <w:r w:rsidRPr="002D0726">
        <w:t>: 10.1016/j.jtocrr.2021.100187. PMID: 34590036; PMCID: PMC8474494.</w:t>
      </w:r>
    </w:p>
  </w:footnote>
  <w:footnote w:id="30">
    <w:p w14:paraId="4E78C663" w14:textId="645B4103" w:rsidR="006B54BC" w:rsidRDefault="006B54BC">
      <w:pPr>
        <w:pStyle w:val="FootnoteText"/>
      </w:pPr>
      <w:r>
        <w:rPr>
          <w:rStyle w:val="FootnoteReference"/>
        </w:rPr>
        <w:footnoteRef/>
      </w:r>
      <w:r>
        <w:t xml:space="preserve"> </w:t>
      </w:r>
      <w:r w:rsidRPr="006B54BC">
        <w:t>Choudhury</w:t>
      </w:r>
      <w:r>
        <w:t xml:space="preserve">, NJ, </w:t>
      </w:r>
      <w:r w:rsidR="00AE4CA8">
        <w:t xml:space="preserve">2021. </w:t>
      </w:r>
    </w:p>
  </w:footnote>
  <w:footnote w:id="31">
    <w:p w14:paraId="53A5AD41" w14:textId="34CA20B2" w:rsidR="00A15FB3" w:rsidRDefault="00A15FB3">
      <w:pPr>
        <w:pStyle w:val="FootnoteText"/>
      </w:pPr>
      <w:r>
        <w:rPr>
          <w:rStyle w:val="FootnoteReference"/>
        </w:rPr>
        <w:footnoteRef/>
      </w:r>
      <w:r>
        <w:t xml:space="preserve"> </w:t>
      </w:r>
      <w:r w:rsidRPr="00A15FB3">
        <w:t>Hendriks LE, 2022.</w:t>
      </w:r>
    </w:p>
  </w:footnote>
  <w:footnote w:id="32">
    <w:p w14:paraId="73122A3E" w14:textId="3ADA731D" w:rsidR="002E7F30" w:rsidRDefault="002E7F30">
      <w:pPr>
        <w:pStyle w:val="FootnoteText"/>
      </w:pPr>
      <w:r>
        <w:rPr>
          <w:rStyle w:val="FootnoteReference"/>
        </w:rPr>
        <w:footnoteRef/>
      </w:r>
      <w:r>
        <w:t xml:space="preserve"> NCCN, 2025</w:t>
      </w:r>
    </w:p>
  </w:footnote>
  <w:footnote w:id="33">
    <w:p w14:paraId="4D0B3552" w14:textId="2775CD05" w:rsidR="009A3EE6" w:rsidRDefault="009A3EE6">
      <w:pPr>
        <w:pStyle w:val="FootnoteText"/>
      </w:pPr>
      <w:r>
        <w:rPr>
          <w:rStyle w:val="FootnoteReference"/>
        </w:rPr>
        <w:footnoteRef/>
      </w:r>
      <w:r>
        <w:t xml:space="preserve"> </w:t>
      </w:r>
      <w:r w:rsidRPr="009A3EE6">
        <w:t xml:space="preserve">Drilon A, Jenkins C, Iyer S, Schoenfeld A, Keddy C, </w:t>
      </w:r>
      <w:proofErr w:type="spellStart"/>
      <w:r w:rsidRPr="009A3EE6">
        <w:t>Davare</w:t>
      </w:r>
      <w:proofErr w:type="spellEnd"/>
      <w:r w:rsidRPr="009A3EE6">
        <w:t xml:space="preserve"> MA. ROS1-dependent cancers - biology, diagnostics and therapeutics. Nat Rev Clin Oncol. 2021 Jan;18(1):35-55. </w:t>
      </w:r>
      <w:proofErr w:type="spellStart"/>
      <w:r w:rsidRPr="009A3EE6">
        <w:t>doi</w:t>
      </w:r>
      <w:proofErr w:type="spellEnd"/>
      <w:r w:rsidRPr="009A3EE6">
        <w:t xml:space="preserve">: 10.1038/s41571-020-0408-9. </w:t>
      </w:r>
      <w:proofErr w:type="spellStart"/>
      <w:r w:rsidRPr="009A3EE6">
        <w:t>Epub</w:t>
      </w:r>
      <w:proofErr w:type="spellEnd"/>
      <w:r w:rsidRPr="009A3EE6">
        <w:t xml:space="preserve"> 2020 Aug 5. PMID: 32760015; PMCID: PMC8830365.</w:t>
      </w:r>
    </w:p>
  </w:footnote>
  <w:footnote w:id="34">
    <w:p w14:paraId="2620A09B" w14:textId="124D68AA" w:rsidR="0097476A" w:rsidRDefault="0097476A">
      <w:pPr>
        <w:pStyle w:val="FootnoteText"/>
      </w:pPr>
      <w:r>
        <w:rPr>
          <w:rStyle w:val="FootnoteReference"/>
        </w:rPr>
        <w:footnoteRef/>
      </w:r>
      <w:r>
        <w:t xml:space="preserve"> </w:t>
      </w:r>
      <w:r w:rsidRPr="0097476A">
        <w:t>Drilon</w:t>
      </w:r>
      <w:r>
        <w:t>, A</w:t>
      </w:r>
      <w:r w:rsidR="00241A55">
        <w:t xml:space="preserve"> 2020. </w:t>
      </w:r>
    </w:p>
  </w:footnote>
  <w:footnote w:id="35">
    <w:p w14:paraId="4A3D149A" w14:textId="22CA2AC0" w:rsidR="004D3702" w:rsidRDefault="004D3702">
      <w:pPr>
        <w:pStyle w:val="FootnoteText"/>
      </w:pPr>
      <w:r>
        <w:rPr>
          <w:rStyle w:val="FootnoteReference"/>
        </w:rPr>
        <w:footnoteRef/>
      </w:r>
      <w:r>
        <w:t xml:space="preserve"> </w:t>
      </w:r>
      <w:r w:rsidR="0087187C" w:rsidRPr="0087187C">
        <w:t>Therapeutic Goods Administration</w:t>
      </w:r>
      <w:r w:rsidR="0087187C">
        <w:t xml:space="preserve">. </w:t>
      </w:r>
      <w:hyperlink r:id="rId11" w:history="1">
        <w:r w:rsidRPr="007676CA">
          <w:rPr>
            <w:rStyle w:val="Hyperlink"/>
          </w:rPr>
          <w:t>Australian Product Information for crizotinib</w:t>
        </w:r>
      </w:hyperlink>
      <w:r w:rsidRPr="004D3702">
        <w:t xml:space="preserve">. Accessed 30 </w:t>
      </w:r>
      <w:r w:rsidR="00056E27">
        <w:t>April</w:t>
      </w:r>
      <w:r w:rsidRPr="004D3702">
        <w:t xml:space="preserve"> 2025</w:t>
      </w:r>
      <w:r w:rsidR="007676CA">
        <w:t>.</w:t>
      </w:r>
      <w:r w:rsidRPr="004D3702">
        <w:t xml:space="preserve"> </w:t>
      </w:r>
    </w:p>
  </w:footnote>
  <w:footnote w:id="36">
    <w:p w14:paraId="7BACAF9A" w14:textId="5EA5A8CA" w:rsidR="00412E98" w:rsidRDefault="00412E98">
      <w:pPr>
        <w:pStyle w:val="FootnoteText"/>
      </w:pPr>
      <w:r>
        <w:rPr>
          <w:rStyle w:val="FootnoteReference"/>
        </w:rPr>
        <w:footnoteRef/>
      </w:r>
      <w:r>
        <w:t xml:space="preserve"> </w:t>
      </w:r>
      <w:r w:rsidR="0087187C" w:rsidRPr="0087187C">
        <w:t>Therapeutic Goods Administration</w:t>
      </w:r>
      <w:r w:rsidR="0087187C">
        <w:t xml:space="preserve">. </w:t>
      </w:r>
      <w:hyperlink r:id="rId12" w:history="1">
        <w:r w:rsidRPr="00543536">
          <w:rPr>
            <w:rStyle w:val="Hyperlink"/>
          </w:rPr>
          <w:t xml:space="preserve">Australian Product Information for </w:t>
        </w:r>
        <w:proofErr w:type="spellStart"/>
        <w:r w:rsidRPr="00543536">
          <w:rPr>
            <w:rStyle w:val="Hyperlink"/>
          </w:rPr>
          <w:t>entrectinib</w:t>
        </w:r>
        <w:proofErr w:type="spellEnd"/>
      </w:hyperlink>
      <w:r w:rsidRPr="00412E98">
        <w:t xml:space="preserve">. Accessed 30 </w:t>
      </w:r>
      <w:r w:rsidR="006E3419">
        <w:t>April</w:t>
      </w:r>
      <w:r w:rsidRPr="00412E98">
        <w:t xml:space="preserve"> 2025</w:t>
      </w:r>
      <w:r w:rsidR="007676CA">
        <w:t>.</w:t>
      </w:r>
      <w:r w:rsidRPr="00412E98">
        <w:t xml:space="preserve">  </w:t>
      </w:r>
    </w:p>
  </w:footnote>
  <w:footnote w:id="37">
    <w:p w14:paraId="43BB8F89" w14:textId="31D959A8" w:rsidR="005E35B8" w:rsidRDefault="005E35B8">
      <w:pPr>
        <w:pStyle w:val="FootnoteText"/>
      </w:pPr>
      <w:r>
        <w:rPr>
          <w:rStyle w:val="FootnoteReference"/>
        </w:rPr>
        <w:footnoteRef/>
      </w:r>
      <w:r>
        <w:t xml:space="preserve"> </w:t>
      </w:r>
      <w:r w:rsidRPr="005E35B8">
        <w:t xml:space="preserve">Drilon A, Chiu CH, Fan Y, Cho BC, Lu S, Ahn MJ, Krebs MG, Liu SV, John T, Otterson GA, Tan DSW, Patil T, </w:t>
      </w:r>
      <w:proofErr w:type="spellStart"/>
      <w:r w:rsidRPr="005E35B8">
        <w:t>Dziadziuszko</w:t>
      </w:r>
      <w:proofErr w:type="spellEnd"/>
      <w:r w:rsidRPr="005E35B8">
        <w:t xml:space="preserve"> R, Massarelli E, Seto T, Doebele RC, Pitcher B, </w:t>
      </w:r>
      <w:proofErr w:type="spellStart"/>
      <w:r w:rsidRPr="005E35B8">
        <w:t>Kurtsikidze</w:t>
      </w:r>
      <w:proofErr w:type="spellEnd"/>
      <w:r w:rsidRPr="005E35B8">
        <w:t xml:space="preserve"> N, Heinzmann S, Siena S. Long-Term Efficacy and Safety of </w:t>
      </w:r>
      <w:proofErr w:type="spellStart"/>
      <w:r w:rsidRPr="005E35B8">
        <w:t>Entrectinib</w:t>
      </w:r>
      <w:proofErr w:type="spellEnd"/>
      <w:r w:rsidRPr="005E35B8">
        <w:t xml:space="preserve"> in ROS1 Fusion-Positive NSCLC. JTO Clin Res Rep. 2022 Apr 29;3(6):100332. </w:t>
      </w:r>
      <w:proofErr w:type="spellStart"/>
      <w:r w:rsidRPr="005E35B8">
        <w:t>doi</w:t>
      </w:r>
      <w:proofErr w:type="spellEnd"/>
      <w:r w:rsidRPr="005E35B8">
        <w:t>: 10.1016/j.jtocrr.2022.100332. PMID: 35663414; PMCID: PMC9160474</w:t>
      </w:r>
    </w:p>
  </w:footnote>
  <w:footnote w:id="38">
    <w:p w14:paraId="2290537D" w14:textId="4FEF868B" w:rsidR="008F23C2" w:rsidRDefault="008F23C2">
      <w:pPr>
        <w:pStyle w:val="FootnoteText"/>
      </w:pPr>
      <w:r>
        <w:rPr>
          <w:rStyle w:val="FootnoteReference"/>
        </w:rPr>
        <w:footnoteRef/>
      </w:r>
      <w:r>
        <w:t xml:space="preserve"> Therapeutic Goods Administration</w:t>
      </w:r>
      <w:r w:rsidR="001579B2">
        <w:t>.</w:t>
      </w:r>
      <w:r>
        <w:t xml:space="preserve"> </w:t>
      </w:r>
      <w:hyperlink r:id="rId13" w:history="1">
        <w:r w:rsidRPr="001579B2">
          <w:rPr>
            <w:rStyle w:val="Hyperlink"/>
          </w:rPr>
          <w:t>Crizotinib Australian Public Assessment Report</w:t>
        </w:r>
      </w:hyperlink>
      <w:r w:rsidR="001579B2">
        <w:t>. 2018</w:t>
      </w:r>
      <w:r w:rsidR="007676CA">
        <w:t xml:space="preserve">. </w:t>
      </w:r>
      <w:r w:rsidR="007676CA" w:rsidRPr="007676CA">
        <w:t>Accessed 30 April 2025</w:t>
      </w:r>
      <w:r w:rsidR="007676CA">
        <w:t>.</w:t>
      </w:r>
    </w:p>
  </w:footnote>
  <w:footnote w:id="39">
    <w:p w14:paraId="7CFEF116" w14:textId="001FE324" w:rsidR="008D6C4C" w:rsidRDefault="008D6C4C">
      <w:pPr>
        <w:pStyle w:val="FootnoteText"/>
      </w:pPr>
      <w:r>
        <w:rPr>
          <w:rStyle w:val="FootnoteReference"/>
        </w:rPr>
        <w:footnoteRef/>
      </w:r>
      <w:r>
        <w:t xml:space="preserve"> Shaw, AT, 2019. </w:t>
      </w:r>
    </w:p>
  </w:footnote>
  <w:footnote w:id="40">
    <w:p w14:paraId="2F3E83A8" w14:textId="692BDCE2" w:rsidR="0087187C" w:rsidRDefault="0087187C">
      <w:pPr>
        <w:pStyle w:val="FootnoteText"/>
      </w:pPr>
      <w:r>
        <w:rPr>
          <w:rStyle w:val="FootnoteReference"/>
        </w:rPr>
        <w:footnoteRef/>
      </w:r>
      <w:r>
        <w:t xml:space="preserve"> </w:t>
      </w:r>
      <w:r w:rsidRPr="0087187C">
        <w:t>Therapeutic Goods Administration</w:t>
      </w:r>
      <w:r>
        <w:t xml:space="preserve">. </w:t>
      </w:r>
      <w:hyperlink r:id="rId14" w:history="1">
        <w:r w:rsidRPr="007676CA">
          <w:rPr>
            <w:rStyle w:val="Hyperlink"/>
          </w:rPr>
          <w:t xml:space="preserve">Australian Product Information for </w:t>
        </w:r>
        <w:proofErr w:type="spellStart"/>
        <w:r w:rsidRPr="007676CA">
          <w:rPr>
            <w:rStyle w:val="Hyperlink"/>
          </w:rPr>
          <w:t>entrectinib</w:t>
        </w:r>
        <w:proofErr w:type="spellEnd"/>
      </w:hyperlink>
      <w:r w:rsidRPr="0087187C">
        <w:t xml:space="preserve">. Accessed 30 </w:t>
      </w:r>
      <w:r w:rsidR="007676CA">
        <w:t>April</w:t>
      </w:r>
      <w:r w:rsidRPr="0087187C">
        <w:t xml:space="preserve"> 202</w:t>
      </w:r>
      <w:r w:rsidR="007676CA">
        <w:t>5.</w:t>
      </w:r>
      <w:r w:rsidRPr="0087187C">
        <w:t xml:space="preserve"> </w:t>
      </w:r>
    </w:p>
  </w:footnote>
  <w:footnote w:id="41">
    <w:p w14:paraId="4BB0BD5C" w14:textId="16DDE1B0" w:rsidR="003754FB" w:rsidRDefault="003754FB">
      <w:pPr>
        <w:pStyle w:val="FootnoteText"/>
      </w:pPr>
      <w:r>
        <w:rPr>
          <w:rStyle w:val="FootnoteReference"/>
        </w:rPr>
        <w:footnoteRef/>
      </w:r>
      <w:r>
        <w:t xml:space="preserve"> European Medicines Agency. </w:t>
      </w:r>
      <w:hyperlink r:id="rId15" w:history="1">
        <w:r w:rsidRPr="00EC3C05">
          <w:rPr>
            <w:rStyle w:val="Hyperlink"/>
          </w:rPr>
          <w:t>European public assessment report (EPAR) for Augtyro</w:t>
        </w:r>
      </w:hyperlink>
      <w:r w:rsidRPr="003754FB">
        <w:t>.</w:t>
      </w:r>
      <w:r w:rsidR="00EC3C05">
        <w:t xml:space="preserve"> 2024.</w:t>
      </w:r>
      <w:r w:rsidRPr="003754FB">
        <w:t xml:space="preserve"> Accessed 24 </w:t>
      </w:r>
      <w:r w:rsidR="00EC3C05">
        <w:t>April</w:t>
      </w:r>
      <w:r w:rsidRPr="003754FB">
        <w:t xml:space="preserve"> 2025 </w:t>
      </w:r>
    </w:p>
  </w:footnote>
  <w:footnote w:id="42">
    <w:p w14:paraId="45B07E4D" w14:textId="5E64C25D" w:rsidR="007343DF" w:rsidRDefault="007343DF">
      <w:pPr>
        <w:pStyle w:val="FootnoteText"/>
      </w:pPr>
      <w:r>
        <w:rPr>
          <w:rStyle w:val="FootnoteReference"/>
        </w:rPr>
        <w:footnoteRef/>
      </w:r>
      <w:r>
        <w:t xml:space="preserve"> </w:t>
      </w:r>
      <w:r w:rsidRPr="007343DF">
        <w:t xml:space="preserve">Michels S, </w:t>
      </w:r>
      <w:proofErr w:type="spellStart"/>
      <w:r w:rsidRPr="007343DF">
        <w:t>Massutí</w:t>
      </w:r>
      <w:proofErr w:type="spellEnd"/>
      <w:r w:rsidRPr="007343DF">
        <w:t xml:space="preserve"> B, </w:t>
      </w:r>
      <w:proofErr w:type="spellStart"/>
      <w:r w:rsidRPr="007343DF">
        <w:t>Vasyliv</w:t>
      </w:r>
      <w:proofErr w:type="spellEnd"/>
      <w:r w:rsidRPr="007343DF">
        <w:t xml:space="preserve"> I, Stratmann J, Frank J, Adams A, Felip E, </w:t>
      </w:r>
      <w:proofErr w:type="spellStart"/>
      <w:r w:rsidRPr="007343DF">
        <w:t>Grohé</w:t>
      </w:r>
      <w:proofErr w:type="spellEnd"/>
      <w:r w:rsidRPr="007343DF">
        <w:t xml:space="preserve"> C, Rodriguez-Abreu D, Bischoff H, </w:t>
      </w:r>
      <w:proofErr w:type="spellStart"/>
      <w:r w:rsidRPr="007343DF">
        <w:t>Carcereny</w:t>
      </w:r>
      <w:proofErr w:type="spellEnd"/>
      <w:r w:rsidRPr="007343DF">
        <w:t xml:space="preserve"> I Costa E, Corral J, Pereira E, </w:t>
      </w:r>
      <w:proofErr w:type="spellStart"/>
      <w:r w:rsidRPr="007343DF">
        <w:t>Fassunke</w:t>
      </w:r>
      <w:proofErr w:type="spellEnd"/>
      <w:r w:rsidRPr="007343DF">
        <w:t xml:space="preserve"> J, Fischer RN, Insa A, </w:t>
      </w:r>
      <w:proofErr w:type="spellStart"/>
      <w:r w:rsidRPr="007343DF">
        <w:t>Koleczko</w:t>
      </w:r>
      <w:proofErr w:type="spellEnd"/>
      <w:r w:rsidRPr="007343DF">
        <w:t xml:space="preserve"> S, </w:t>
      </w:r>
      <w:proofErr w:type="spellStart"/>
      <w:r w:rsidRPr="007343DF">
        <w:t>Nogova</w:t>
      </w:r>
      <w:proofErr w:type="spellEnd"/>
      <w:r w:rsidRPr="007343DF">
        <w:t xml:space="preserve"> L, Reck M, Reutter T, Riedel R, Schaufler D, Scheffler M, </w:t>
      </w:r>
      <w:proofErr w:type="spellStart"/>
      <w:r w:rsidRPr="007343DF">
        <w:t>Weisthoff</w:t>
      </w:r>
      <w:proofErr w:type="spellEnd"/>
      <w:r w:rsidRPr="007343DF">
        <w:t xml:space="preserve"> M, Provencio M, </w:t>
      </w:r>
      <w:proofErr w:type="spellStart"/>
      <w:r w:rsidRPr="007343DF">
        <w:t>Merkelbach</w:t>
      </w:r>
      <w:proofErr w:type="spellEnd"/>
      <w:r w:rsidRPr="007343DF">
        <w:t xml:space="preserve">-Bruse S, Hellmich M, Sebastian M, Büttner R, </w:t>
      </w:r>
      <w:proofErr w:type="spellStart"/>
      <w:r w:rsidRPr="007343DF">
        <w:t>Persigehl</w:t>
      </w:r>
      <w:proofErr w:type="spellEnd"/>
      <w:r w:rsidRPr="007343DF">
        <w:t xml:space="preserve"> T, Rosell R, Wolf J. Overall survival and central nervous system activity of crizotinib in ROS1-rearranged lung cancer-final results of the EUCROSS trial. ESMO Open. 2024 Feb;9(2):102237. </w:t>
      </w:r>
      <w:proofErr w:type="spellStart"/>
      <w:r w:rsidRPr="007343DF">
        <w:t>doi</w:t>
      </w:r>
      <w:proofErr w:type="spellEnd"/>
      <w:r w:rsidRPr="007343DF">
        <w:t xml:space="preserve">: 10.1016/j.esmoop.2024.102237. </w:t>
      </w:r>
      <w:proofErr w:type="spellStart"/>
      <w:r w:rsidRPr="007343DF">
        <w:t>Epub</w:t>
      </w:r>
      <w:proofErr w:type="spellEnd"/>
      <w:r w:rsidRPr="007343DF">
        <w:t xml:space="preserve"> 2024 Feb 12. PMID: 38350336; PMCID: PMC10937203.</w:t>
      </w:r>
    </w:p>
  </w:footnote>
  <w:footnote w:id="43">
    <w:p w14:paraId="2667F1E2" w14:textId="10976369" w:rsidR="00FE2236" w:rsidRPr="007467E7" w:rsidRDefault="00FE2236">
      <w:pPr>
        <w:pStyle w:val="FootnoteText"/>
        <w:rPr>
          <w:lang w:val="it-IT"/>
        </w:rPr>
      </w:pPr>
      <w:r>
        <w:rPr>
          <w:rStyle w:val="FootnoteReference"/>
        </w:rPr>
        <w:footnoteRef/>
      </w:r>
      <w:r w:rsidRPr="007467E7">
        <w:rPr>
          <w:lang w:val="it-IT"/>
        </w:rPr>
        <w:t xml:space="preserve"> </w:t>
      </w:r>
      <w:r w:rsidRPr="007467E7">
        <w:rPr>
          <w:lang w:val="it-IT"/>
        </w:rPr>
        <w:t>Lin JJ, 2017</w:t>
      </w:r>
      <w:r w:rsidR="001E3010" w:rsidRPr="007467E7">
        <w:rPr>
          <w:lang w:val="it-IT"/>
        </w:rPr>
        <w:t>.</w:t>
      </w:r>
    </w:p>
  </w:footnote>
  <w:footnote w:id="44">
    <w:p w14:paraId="716FA9CF" w14:textId="3E143D46" w:rsidR="003B3698" w:rsidRPr="0089290C" w:rsidRDefault="003B3698">
      <w:pPr>
        <w:pStyle w:val="FootnoteText"/>
        <w:rPr>
          <w:lang w:val="it-IT"/>
        </w:rPr>
      </w:pPr>
      <w:r>
        <w:rPr>
          <w:rStyle w:val="FootnoteReference"/>
        </w:rPr>
        <w:footnoteRef/>
      </w:r>
      <w:r w:rsidRPr="0089290C">
        <w:rPr>
          <w:lang w:val="it-IT"/>
        </w:rPr>
        <w:t xml:space="preserve"> </w:t>
      </w:r>
      <w:r w:rsidRPr="0089290C">
        <w:rPr>
          <w:lang w:val="it-IT"/>
        </w:rPr>
        <w:t>Drilon, A</w:t>
      </w:r>
      <w:r w:rsidR="00241A55">
        <w:rPr>
          <w:lang w:val="it-IT"/>
        </w:rPr>
        <w:t>,</w:t>
      </w:r>
      <w:r w:rsidRPr="0089290C">
        <w:rPr>
          <w:lang w:val="it-IT"/>
        </w:rPr>
        <w:t xml:space="preserve"> 2022. </w:t>
      </w:r>
    </w:p>
  </w:footnote>
  <w:footnote w:id="45">
    <w:p w14:paraId="088D8A6B" w14:textId="56E4A4AF" w:rsidR="002F241D" w:rsidRDefault="002F241D">
      <w:pPr>
        <w:pStyle w:val="FootnoteText"/>
      </w:pPr>
      <w:r>
        <w:rPr>
          <w:rStyle w:val="FootnoteReference"/>
        </w:rPr>
        <w:footnoteRef/>
      </w:r>
      <w:r w:rsidRPr="0089290C">
        <w:rPr>
          <w:lang w:val="it-IT"/>
        </w:rPr>
        <w:t xml:space="preserve"> </w:t>
      </w:r>
      <w:r w:rsidRPr="0089290C">
        <w:rPr>
          <w:lang w:val="it-IT"/>
        </w:rPr>
        <w:t xml:space="preserve">Hoffmann-La </w:t>
      </w:r>
      <w:r w:rsidRPr="0089290C">
        <w:rPr>
          <w:lang w:val="it-IT"/>
        </w:rPr>
        <w:t xml:space="preserve">Roche. </w:t>
      </w:r>
      <w:r w:rsidR="0089290C">
        <w:fldChar w:fldCharType="begin"/>
      </w:r>
      <w:r w:rsidR="0089290C">
        <w:instrText>HYPERLINK "https://clinicaltrials.gov/study/NCT02568267"</w:instrText>
      </w:r>
      <w:r w:rsidR="0089290C">
        <w:fldChar w:fldCharType="separate"/>
      </w:r>
      <w:r w:rsidR="0089290C" w:rsidRPr="00391A9B">
        <w:rPr>
          <w:rStyle w:val="Hyperlink"/>
        </w:rPr>
        <w:t xml:space="preserve">Basket Study of </w:t>
      </w:r>
      <w:proofErr w:type="spellStart"/>
      <w:r w:rsidR="0089290C" w:rsidRPr="00391A9B">
        <w:rPr>
          <w:rStyle w:val="Hyperlink"/>
        </w:rPr>
        <w:t>Entrectinib</w:t>
      </w:r>
      <w:proofErr w:type="spellEnd"/>
      <w:r w:rsidR="0089290C" w:rsidRPr="00391A9B">
        <w:rPr>
          <w:rStyle w:val="Hyperlink"/>
        </w:rPr>
        <w:t xml:space="preserve"> (RXDX-101) for the Treatment of Patients </w:t>
      </w:r>
      <w:proofErr w:type="gramStart"/>
      <w:r w:rsidR="0089290C" w:rsidRPr="00391A9B">
        <w:rPr>
          <w:rStyle w:val="Hyperlink"/>
        </w:rPr>
        <w:t>With</w:t>
      </w:r>
      <w:proofErr w:type="gramEnd"/>
      <w:r w:rsidR="0089290C" w:rsidRPr="00391A9B">
        <w:rPr>
          <w:rStyle w:val="Hyperlink"/>
        </w:rPr>
        <w:t xml:space="preserve"> Solid </w:t>
      </w:r>
      <w:proofErr w:type="spellStart"/>
      <w:r w:rsidR="0089290C" w:rsidRPr="00391A9B">
        <w:rPr>
          <w:rStyle w:val="Hyperlink"/>
        </w:rPr>
        <w:t>Tumors</w:t>
      </w:r>
      <w:proofErr w:type="spellEnd"/>
      <w:r w:rsidR="0089290C" w:rsidRPr="00391A9B">
        <w:rPr>
          <w:rStyle w:val="Hyperlink"/>
        </w:rPr>
        <w:t xml:space="preserve"> </w:t>
      </w:r>
      <w:proofErr w:type="spellStart"/>
      <w:r w:rsidR="0089290C" w:rsidRPr="00391A9B">
        <w:rPr>
          <w:rStyle w:val="Hyperlink"/>
        </w:rPr>
        <w:t>Harboring</w:t>
      </w:r>
      <w:proofErr w:type="spellEnd"/>
      <w:r w:rsidR="0089290C" w:rsidRPr="00391A9B">
        <w:rPr>
          <w:rStyle w:val="Hyperlink"/>
        </w:rPr>
        <w:t xml:space="preserve"> NTRK 1/​2/​3 (Trk A/​B/​C), ROS1, or ALK Gene Rearrangements (Fusions) (STARTRK-2)</w:t>
      </w:r>
      <w:r w:rsidR="0089290C">
        <w:fldChar w:fldCharType="end"/>
      </w:r>
      <w:r w:rsidR="002327B9">
        <w:t xml:space="preserve">. </w:t>
      </w:r>
      <w:r w:rsidR="002327B9" w:rsidRPr="002327B9">
        <w:t>ClinicalTrials.gov identifier:</w:t>
      </w:r>
      <w:r w:rsidR="002327B9">
        <w:t xml:space="preserve"> </w:t>
      </w:r>
      <w:r w:rsidR="002327B9" w:rsidRPr="002327B9">
        <w:t>NCT02568267</w:t>
      </w:r>
      <w:r w:rsidR="00391A9B">
        <w:t xml:space="preserve">. Updated 5 September 2025. </w:t>
      </w:r>
    </w:p>
  </w:footnote>
  <w:footnote w:id="46">
    <w:p w14:paraId="6FE44F0F" w14:textId="7B6B43EE" w:rsidR="009E2E51" w:rsidRPr="007467E7" w:rsidRDefault="009E2E51">
      <w:pPr>
        <w:pStyle w:val="FootnoteText"/>
      </w:pPr>
      <w:r>
        <w:rPr>
          <w:rStyle w:val="FootnoteReference"/>
        </w:rPr>
        <w:footnoteRef/>
      </w:r>
      <w:r w:rsidRPr="007467E7">
        <w:t xml:space="preserve"> Lin, JJ, 2017.</w:t>
      </w:r>
    </w:p>
  </w:footnote>
  <w:footnote w:id="47">
    <w:p w14:paraId="6736F62D" w14:textId="7C62F370" w:rsidR="00C22E83" w:rsidRDefault="00C22E83">
      <w:pPr>
        <w:pStyle w:val="FootnoteText"/>
      </w:pPr>
      <w:r>
        <w:rPr>
          <w:rStyle w:val="FootnoteReference"/>
        </w:rPr>
        <w:footnoteRef/>
      </w:r>
      <w:r w:rsidRPr="007467E7">
        <w:t xml:space="preserve"> Hoffmann-La Roche. </w:t>
      </w:r>
      <w:hyperlink r:id="rId16" w:history="1">
        <w:r w:rsidR="005C1247" w:rsidRPr="00E77DAD">
          <w:rPr>
            <w:rStyle w:val="Hyperlink"/>
          </w:rPr>
          <w:t xml:space="preserve">A Study to Compare the Efficacy and Safety of </w:t>
        </w:r>
        <w:proofErr w:type="spellStart"/>
        <w:r w:rsidR="005C1247" w:rsidRPr="00E77DAD">
          <w:rPr>
            <w:rStyle w:val="Hyperlink"/>
          </w:rPr>
          <w:t>Entrectinib</w:t>
        </w:r>
        <w:proofErr w:type="spellEnd"/>
        <w:r w:rsidR="005C1247" w:rsidRPr="00E77DAD">
          <w:rPr>
            <w:rStyle w:val="Hyperlink"/>
          </w:rPr>
          <w:t xml:space="preserve"> and Crizotinib in Participants </w:t>
        </w:r>
        <w:proofErr w:type="gramStart"/>
        <w:r w:rsidR="005C1247" w:rsidRPr="00E77DAD">
          <w:rPr>
            <w:rStyle w:val="Hyperlink"/>
          </w:rPr>
          <w:t>With</w:t>
        </w:r>
        <w:proofErr w:type="gramEnd"/>
        <w:r w:rsidR="005C1247" w:rsidRPr="00E77DAD">
          <w:rPr>
            <w:rStyle w:val="Hyperlink"/>
          </w:rPr>
          <w:t xml:space="preserve"> Advanced or Metastatic ROS1 Non-small Cell Lung Cancer (NSCLC) With and Without Central Nervous System (CNS) Metastases</w:t>
        </w:r>
      </w:hyperlink>
      <w:r w:rsidR="005C1247">
        <w:t xml:space="preserve">. </w:t>
      </w:r>
      <w:r w:rsidR="005C1247" w:rsidRPr="005C1247">
        <w:t>ClinicalTrials.gov identifier: NCT04603807</w:t>
      </w:r>
      <w:r w:rsidR="005C1247">
        <w:t xml:space="preserve">. Updated 4 November 2025. </w:t>
      </w:r>
    </w:p>
  </w:footnote>
  <w:footnote w:id="48">
    <w:p w14:paraId="0C1F5322" w14:textId="5356DEAD" w:rsidR="00F32A1E" w:rsidRDefault="00F32A1E">
      <w:pPr>
        <w:pStyle w:val="FootnoteText"/>
      </w:pPr>
      <w:r>
        <w:rPr>
          <w:rStyle w:val="FootnoteReference"/>
        </w:rPr>
        <w:footnoteRef/>
      </w:r>
      <w:r>
        <w:t xml:space="preserve"> </w:t>
      </w:r>
      <w:bookmarkStart w:id="19" w:name="_Hlk215834154"/>
      <w:r w:rsidRPr="00F32A1E">
        <w:t>Bristol-Myers Squibb</w:t>
      </w:r>
      <w:r>
        <w:t xml:space="preserve">. </w:t>
      </w:r>
      <w:hyperlink r:id="rId17" w:history="1">
        <w:r w:rsidR="00F74F2E" w:rsidRPr="00F74F2E">
          <w:rPr>
            <w:rStyle w:val="Hyperlink"/>
          </w:rPr>
          <w:t xml:space="preserve">A Study of Repotrectinib Versus Crizotinib in Participants </w:t>
        </w:r>
        <w:proofErr w:type="gramStart"/>
        <w:r w:rsidR="00F74F2E" w:rsidRPr="00F74F2E">
          <w:rPr>
            <w:rStyle w:val="Hyperlink"/>
          </w:rPr>
          <w:t>With</w:t>
        </w:r>
        <w:proofErr w:type="gramEnd"/>
        <w:r w:rsidR="00F74F2E" w:rsidRPr="00F74F2E">
          <w:rPr>
            <w:rStyle w:val="Hyperlink"/>
          </w:rPr>
          <w:t xml:space="preserve"> Locally Advanced or Metastatic Tyrosine Kinase Inhibitor (TKI)-naïve ROS1-positive Non-Small Cell Lung Cancer (NSCLC) (TRIDENT-3)</w:t>
        </w:r>
      </w:hyperlink>
      <w:r w:rsidR="00F74F2E">
        <w:t xml:space="preserve">. </w:t>
      </w:r>
      <w:r w:rsidR="00F74F2E" w:rsidRPr="00F74F2E">
        <w:t>ClinicalTrials.gov identifier:</w:t>
      </w:r>
      <w:r w:rsidR="001847DC">
        <w:t xml:space="preserve"> </w:t>
      </w:r>
      <w:r w:rsidR="001847DC" w:rsidRPr="001847DC">
        <w:t>NCT06140836</w:t>
      </w:r>
      <w:r w:rsidR="001847DC">
        <w:t xml:space="preserve">. Updated 21 November 2025. </w:t>
      </w:r>
      <w:bookmarkEnd w:id="19"/>
    </w:p>
  </w:footnote>
  <w:footnote w:id="49">
    <w:p w14:paraId="17BAA613" w14:textId="299A7D24" w:rsidR="002B00DD" w:rsidRDefault="002B00DD" w:rsidP="002B00DD">
      <w:pPr>
        <w:pStyle w:val="FootnoteText"/>
      </w:pPr>
      <w:r>
        <w:rPr>
          <w:rStyle w:val="FootnoteReference"/>
        </w:rPr>
        <w:footnoteRef/>
      </w:r>
      <w:r w:rsidRPr="0097476A">
        <w:t xml:space="preserve"> Drilon A, Ou SI, Cho BC, et al. </w:t>
      </w:r>
      <w:r>
        <w:t xml:space="preserve">Repotrectinib (TPX-0005) Is a Next-Generation ROS1/TRK/ALK Inhibitor That Potently Inhibits ROS1/TRK/ALK Solvent- Front Mutations. Cancer </w:t>
      </w:r>
      <w:proofErr w:type="spellStart"/>
      <w:r>
        <w:t>Discov</w:t>
      </w:r>
      <w:proofErr w:type="spellEnd"/>
      <w:r>
        <w:t>. 2018;8(10):1227-36.</w:t>
      </w:r>
    </w:p>
  </w:footnote>
  <w:footnote w:id="50">
    <w:p w14:paraId="0540499A" w14:textId="71B5C728" w:rsidR="0032584E" w:rsidRDefault="0032584E" w:rsidP="0032584E">
      <w:pPr>
        <w:pStyle w:val="FootnoteText"/>
      </w:pPr>
      <w:r>
        <w:rPr>
          <w:rStyle w:val="FootnoteReference"/>
        </w:rPr>
        <w:footnoteRef/>
      </w:r>
      <w:r>
        <w:t xml:space="preserve"> Murray BW, Rogers E, Zhai D, et al. Molecular Characteristics of Repotrectinib That Enable Potent Inhibition of TRK Fusion Proteins and Resistant Mutations. Mol Cancer Ther. 2021;20(12):2446-56.</w:t>
      </w:r>
    </w:p>
  </w:footnote>
  <w:footnote w:id="51">
    <w:p w14:paraId="28E771D8" w14:textId="6255A9B9" w:rsidR="00B61524" w:rsidRDefault="00B61524" w:rsidP="00B61524">
      <w:pPr>
        <w:pStyle w:val="FootnoteText"/>
      </w:pPr>
      <w:r>
        <w:rPr>
          <w:rStyle w:val="FootnoteReference"/>
        </w:rPr>
        <w:footnoteRef/>
      </w:r>
      <w:r w:rsidRPr="007467E7">
        <w:t xml:space="preserve"> Awad MM, Katayama R, McTigue M, et al. </w:t>
      </w:r>
      <w:r>
        <w:t>Acquired resistance to</w:t>
      </w:r>
      <w:r w:rsidR="00CE562C">
        <w:t xml:space="preserve"> </w:t>
      </w:r>
      <w:r>
        <w:t>crizotinib from a mutation in CD74-ROS1. N Engl J Med.</w:t>
      </w:r>
    </w:p>
    <w:p w14:paraId="051EC24C" w14:textId="0B5D0FF4" w:rsidR="00B61524" w:rsidRDefault="00B61524" w:rsidP="00B61524">
      <w:pPr>
        <w:pStyle w:val="FootnoteText"/>
      </w:pPr>
      <w:r>
        <w:t>2013;368(25):2395-2401.</w:t>
      </w:r>
      <w:r w:rsidR="00CE562C">
        <w:t xml:space="preserve"> </w:t>
      </w:r>
    </w:p>
  </w:footnote>
  <w:footnote w:id="52">
    <w:p w14:paraId="32CFB2AA" w14:textId="2F01AF20" w:rsidR="00CE562C" w:rsidRDefault="00CE562C" w:rsidP="00CE562C">
      <w:pPr>
        <w:pStyle w:val="FootnoteText"/>
      </w:pPr>
      <w:r>
        <w:rPr>
          <w:rStyle w:val="FootnoteReference"/>
        </w:rPr>
        <w:footnoteRef/>
      </w:r>
      <w:r>
        <w:t xml:space="preserve"> Drilon A, </w:t>
      </w:r>
      <w:proofErr w:type="spellStart"/>
      <w:r>
        <w:t>Somwar</w:t>
      </w:r>
      <w:proofErr w:type="spellEnd"/>
      <w:r>
        <w:t xml:space="preserve"> R, Wagner JP, et al. A novel crizotinib-resistant solvent-front mutation responsive to cabozantinib therapy in a patient with ROS1-rearranged lung cancer. Clin Cancer Res. 2016;22(10):2351-2358.</w:t>
      </w:r>
    </w:p>
  </w:footnote>
  <w:footnote w:id="53">
    <w:p w14:paraId="28EE4D28" w14:textId="0F5BCD08" w:rsidR="005A40A1" w:rsidRDefault="005A40A1">
      <w:pPr>
        <w:pStyle w:val="FootnoteText"/>
      </w:pPr>
      <w:r>
        <w:rPr>
          <w:rStyle w:val="FootnoteReference"/>
        </w:rPr>
        <w:footnoteRef/>
      </w:r>
      <w:r>
        <w:t xml:space="preserve"> </w:t>
      </w:r>
      <w:r w:rsidRPr="005A40A1">
        <w:t xml:space="preserve">National </w:t>
      </w:r>
      <w:proofErr w:type="spellStart"/>
      <w:r w:rsidRPr="005A40A1">
        <w:t>Center</w:t>
      </w:r>
      <w:proofErr w:type="spellEnd"/>
      <w:r w:rsidRPr="005A40A1">
        <w:t xml:space="preserve"> for Biotechnology Information. PubChem Compound Summary for CID 135565923, Repotrectinib. </w:t>
      </w:r>
      <w:hyperlink r:id="rId18" w:history="1">
        <w:r w:rsidR="00AD2176" w:rsidRPr="009D3889">
          <w:rPr>
            <w:rStyle w:val="Hyperlink"/>
          </w:rPr>
          <w:t>https://pubchem.ncbi.nlm.nih.gov/compound/Repotrectinib</w:t>
        </w:r>
      </w:hyperlink>
      <w:r w:rsidRPr="005A40A1">
        <w:t>.</w:t>
      </w:r>
      <w:r w:rsidR="00AD2176">
        <w:t xml:space="preserve"> </w:t>
      </w:r>
    </w:p>
  </w:footnote>
  <w:footnote w:id="54">
    <w:p w14:paraId="10701789" w14:textId="21172AB4" w:rsidR="00AD2176" w:rsidRDefault="00AD2176">
      <w:pPr>
        <w:pStyle w:val="FootnoteText"/>
      </w:pPr>
      <w:r>
        <w:rPr>
          <w:rStyle w:val="FootnoteReference"/>
        </w:rPr>
        <w:footnoteRef/>
      </w:r>
      <w:r>
        <w:t xml:space="preserve"> </w:t>
      </w:r>
      <w:r w:rsidRPr="00AD2176">
        <w:t xml:space="preserve">National </w:t>
      </w:r>
      <w:proofErr w:type="spellStart"/>
      <w:r w:rsidRPr="00AD2176">
        <w:t>Center</w:t>
      </w:r>
      <w:proofErr w:type="spellEnd"/>
      <w:r w:rsidRPr="00AD2176">
        <w:t xml:space="preserve"> for Biotechnology Information. PubChem Compound Summary for CID 25141092, </w:t>
      </w:r>
      <w:proofErr w:type="spellStart"/>
      <w:r w:rsidRPr="00AD2176">
        <w:t>Entrectinib</w:t>
      </w:r>
      <w:proofErr w:type="spellEnd"/>
      <w:r w:rsidRPr="00AD2176">
        <w:t xml:space="preserve">. </w:t>
      </w:r>
      <w:hyperlink r:id="rId19" w:history="1">
        <w:r w:rsidRPr="009D3889">
          <w:rPr>
            <w:rStyle w:val="Hyperlink"/>
          </w:rPr>
          <w:t>https://pubchem.ncbi.nlm.nih.gov/compound/Entrectinib</w:t>
        </w:r>
      </w:hyperlink>
      <w:r w:rsidRPr="00AD2176">
        <w:t>.</w:t>
      </w:r>
      <w:r>
        <w:t xml:space="preserve">  </w:t>
      </w:r>
      <w:r w:rsidRPr="00AD2176">
        <w:t xml:space="preserve"> </w:t>
      </w:r>
    </w:p>
  </w:footnote>
  <w:footnote w:id="55">
    <w:p w14:paraId="1E05D908" w14:textId="40907358" w:rsidR="00244A1F" w:rsidRDefault="00244A1F">
      <w:pPr>
        <w:pStyle w:val="FootnoteText"/>
      </w:pPr>
      <w:r>
        <w:rPr>
          <w:rStyle w:val="FootnoteReference"/>
        </w:rPr>
        <w:footnoteRef/>
      </w:r>
      <w:r>
        <w:t xml:space="preserve"> </w:t>
      </w:r>
      <w:r w:rsidRPr="00244A1F">
        <w:t>Cui JJ, Zhai D, Deng W, Huang Z, Rogers E, Ung J, Whitten J, Li Y. P3. 02a-009 TPX-0005: A Multi-Faceted Approach to Overcoming Clinical Resistances from Current ALK or ROS1 Inhibitor Treatment in Lung Cancer: Topic: ALK Biomarkers. Journal of thoracic oncology. 2017 Jan 1;12(1</w:t>
      </w:r>
      <w:proofErr w:type="gramStart"/>
      <w:r w:rsidRPr="00244A1F">
        <w:t>):S</w:t>
      </w:r>
      <w:proofErr w:type="gramEnd"/>
      <w:r w:rsidRPr="00244A1F">
        <w:t>1164-5</w:t>
      </w:r>
    </w:p>
  </w:footnote>
  <w:footnote w:id="56">
    <w:p w14:paraId="486D4C2D" w14:textId="2EA5B9C0" w:rsidR="00AC663A" w:rsidRDefault="00AC663A">
      <w:pPr>
        <w:pStyle w:val="FootnoteText"/>
      </w:pPr>
      <w:r>
        <w:rPr>
          <w:rStyle w:val="FootnoteReference"/>
        </w:rPr>
        <w:footnoteRef/>
      </w:r>
      <w:r>
        <w:t xml:space="preserve"> </w:t>
      </w:r>
      <w:r w:rsidRPr="00AC663A">
        <w:t xml:space="preserve">Drilon A, Ou SI, Cho BC, Kim DW, Lee J, Lin JJ, Zhu VW, Ahn MJ, Camidge DR, Nguyen J, Zhai D, Deng W, Huang Z, Rogers E, Liu J, Whitten J, Lim JK, </w:t>
      </w:r>
      <w:proofErr w:type="spellStart"/>
      <w:r w:rsidRPr="00AC663A">
        <w:t>Stopatschinskaja</w:t>
      </w:r>
      <w:proofErr w:type="spellEnd"/>
      <w:r w:rsidRPr="00AC663A">
        <w:t xml:space="preserve"> S, Hyman DM, Doebele RC, Cui JJ, Shaw AT. Repotrectinib (TPX-0005) Is a Next-Generation ROS1/TRK/ALK Inhibitor That Potently Inhibits ROS1/TRK/ALK Solvent- Front Mutations. Cancer </w:t>
      </w:r>
      <w:proofErr w:type="spellStart"/>
      <w:r w:rsidRPr="00AC663A">
        <w:t>Discov</w:t>
      </w:r>
      <w:proofErr w:type="spellEnd"/>
      <w:r w:rsidRPr="00AC663A">
        <w:t xml:space="preserve">. 2018 Oct;8(10):1227-1236. </w:t>
      </w:r>
      <w:proofErr w:type="spellStart"/>
      <w:r w:rsidRPr="00AC663A">
        <w:t>doi</w:t>
      </w:r>
      <w:proofErr w:type="spellEnd"/>
      <w:r w:rsidRPr="00AC663A">
        <w:t xml:space="preserve">: 10.1158/2159-8290.CD-18-0484. </w:t>
      </w:r>
      <w:proofErr w:type="spellStart"/>
      <w:r w:rsidRPr="00AC663A">
        <w:t>Epub</w:t>
      </w:r>
      <w:proofErr w:type="spellEnd"/>
      <w:r w:rsidRPr="00AC663A">
        <w:t xml:space="preserve"> 2018 Aug 9. PMID: 30093503.</w:t>
      </w:r>
    </w:p>
  </w:footnote>
  <w:footnote w:id="57">
    <w:p w14:paraId="1734534B" w14:textId="7157E4BA" w:rsidR="007E6346" w:rsidRDefault="007E6346">
      <w:pPr>
        <w:pStyle w:val="FootnoteText"/>
      </w:pPr>
      <w:r>
        <w:rPr>
          <w:rStyle w:val="FootnoteReference"/>
        </w:rPr>
        <w:footnoteRef/>
      </w:r>
      <w:r>
        <w:t xml:space="preserve"> European Medicines Agency. </w:t>
      </w:r>
      <w:hyperlink r:id="rId20" w:history="1">
        <w:r w:rsidRPr="00CD1EFA">
          <w:rPr>
            <w:rStyle w:val="Hyperlink"/>
          </w:rPr>
          <w:t>ICH Q3A (R2) Impurities in new drug substances</w:t>
        </w:r>
      </w:hyperlink>
      <w:r w:rsidRPr="007E6346">
        <w:t xml:space="preserve"> - Scientific guideline</w:t>
      </w:r>
      <w:r>
        <w:t xml:space="preserve">. </w:t>
      </w:r>
      <w:r w:rsidR="00CD1EFA">
        <w:t>2006.</w:t>
      </w:r>
    </w:p>
  </w:footnote>
  <w:footnote w:id="58">
    <w:p w14:paraId="6A841E26" w14:textId="686A5B07" w:rsidR="00306002" w:rsidRDefault="00306002">
      <w:pPr>
        <w:pStyle w:val="FootnoteText"/>
      </w:pPr>
      <w:r>
        <w:rPr>
          <w:rStyle w:val="FootnoteReference"/>
        </w:rPr>
        <w:footnoteRef/>
      </w:r>
      <w:r>
        <w:t xml:space="preserve"> European Medicines Agency. </w:t>
      </w:r>
      <w:r w:rsidRPr="00306002">
        <w:t xml:space="preserve">ICH Q3B (R2) </w:t>
      </w:r>
      <w:hyperlink r:id="rId21" w:history="1">
        <w:r w:rsidRPr="009C7712">
          <w:rPr>
            <w:rStyle w:val="Hyperlink"/>
          </w:rPr>
          <w:t>Impurities in new drug products - Scientific guideline</w:t>
        </w:r>
      </w:hyperlink>
      <w:r w:rsidR="00992D22">
        <w:t xml:space="preserve">. 2006. </w:t>
      </w:r>
    </w:p>
  </w:footnote>
  <w:footnote w:id="59">
    <w:p w14:paraId="501A9D0E" w14:textId="1670869B" w:rsidR="004C3AEE" w:rsidRDefault="004C3AEE">
      <w:pPr>
        <w:pStyle w:val="FootnoteText"/>
      </w:pPr>
      <w:r>
        <w:rPr>
          <w:rStyle w:val="FootnoteReference"/>
        </w:rPr>
        <w:footnoteRef/>
      </w:r>
      <w:r>
        <w:t xml:space="preserve"> European Medicine Agency</w:t>
      </w:r>
      <w:r w:rsidR="00C26BB1">
        <w:t xml:space="preserve">. </w:t>
      </w:r>
      <w:hyperlink r:id="rId22" w:history="1">
        <w:r w:rsidR="00C26BB1" w:rsidRPr="00FC7131">
          <w:rPr>
            <w:rStyle w:val="Hyperlink"/>
          </w:rPr>
          <w:t>Augtyro Assessment Report</w:t>
        </w:r>
      </w:hyperlink>
      <w:r w:rsidR="00C26BB1">
        <w:t xml:space="preserve">. </w:t>
      </w:r>
      <w:r w:rsidR="00225E29">
        <w:t>2024</w:t>
      </w:r>
      <w:r w:rsidR="00C26BB1">
        <w:t xml:space="preserve"> </w:t>
      </w:r>
    </w:p>
  </w:footnote>
  <w:footnote w:id="60">
    <w:p w14:paraId="46A0D295" w14:textId="5E496E4F" w:rsidR="005E7F8F" w:rsidRDefault="005E7F8F">
      <w:pPr>
        <w:pStyle w:val="FootnoteText"/>
      </w:pPr>
      <w:r>
        <w:rPr>
          <w:rStyle w:val="FootnoteReference"/>
        </w:rPr>
        <w:footnoteRef/>
      </w:r>
      <w:r>
        <w:t xml:space="preserve"> </w:t>
      </w:r>
      <w:r w:rsidRPr="005E7F8F">
        <w:t>FDA</w:t>
      </w:r>
      <w:r w:rsidR="00B967BB">
        <w:t>, 2023</w:t>
      </w:r>
    </w:p>
  </w:footnote>
  <w:footnote w:id="61">
    <w:p w14:paraId="19FF670C" w14:textId="530F1D0F" w:rsidR="002A221C" w:rsidRDefault="002A221C">
      <w:pPr>
        <w:pStyle w:val="FootnoteText"/>
      </w:pPr>
      <w:r>
        <w:rPr>
          <w:rStyle w:val="FootnoteReference"/>
        </w:rPr>
        <w:footnoteRef/>
      </w:r>
      <w:r>
        <w:t xml:space="preserve"> </w:t>
      </w:r>
      <w:bookmarkStart w:id="48" w:name="_Hlk215750387"/>
      <w:r w:rsidR="003569CC">
        <w:t>EMA, 2024</w:t>
      </w:r>
      <w:r w:rsidRPr="002A221C">
        <w:t xml:space="preserve">. </w:t>
      </w:r>
      <w:bookmarkEnd w:id="48"/>
    </w:p>
  </w:footnote>
  <w:footnote w:id="62">
    <w:p w14:paraId="33C49A7A" w14:textId="52EF6545" w:rsidR="00EF720F" w:rsidRDefault="00EF720F">
      <w:pPr>
        <w:pStyle w:val="FootnoteText"/>
      </w:pPr>
      <w:r>
        <w:rPr>
          <w:rStyle w:val="FootnoteReference"/>
        </w:rPr>
        <w:footnoteRef/>
      </w:r>
      <w:r>
        <w:t xml:space="preserve"> </w:t>
      </w:r>
      <w:r w:rsidR="00575F76">
        <w:t xml:space="preserve">Food and Drug Administration. </w:t>
      </w:r>
      <w:hyperlink r:id="rId23" w:history="1">
        <w:r w:rsidR="00575F76" w:rsidRPr="007251CE">
          <w:rPr>
            <w:rStyle w:val="Hyperlink"/>
          </w:rPr>
          <w:t>Augtyro Full Prescribing Information</w:t>
        </w:r>
      </w:hyperlink>
      <w:r w:rsidR="00575F76">
        <w:t>.</w:t>
      </w:r>
      <w:r w:rsidR="007251CE">
        <w:t xml:space="preserve"> June 2024</w:t>
      </w:r>
      <w:r w:rsidR="00575F76">
        <w:t xml:space="preserve"> </w:t>
      </w:r>
    </w:p>
  </w:footnote>
  <w:footnote w:id="63">
    <w:p w14:paraId="779027E9" w14:textId="3F71F650" w:rsidR="007F7238" w:rsidRDefault="007F7238">
      <w:pPr>
        <w:pStyle w:val="FootnoteText"/>
      </w:pPr>
      <w:r>
        <w:rPr>
          <w:rStyle w:val="FootnoteReference"/>
        </w:rPr>
        <w:footnoteRef/>
      </w:r>
      <w:r>
        <w:t xml:space="preserve"> </w:t>
      </w:r>
      <w:r w:rsidRPr="007F7238">
        <w:t>European Medicines Agency.</w:t>
      </w:r>
      <w:r>
        <w:t xml:space="preserve"> </w:t>
      </w:r>
      <w:hyperlink r:id="rId24" w:history="1">
        <w:r w:rsidRPr="00680895">
          <w:rPr>
            <w:rStyle w:val="Hyperlink"/>
          </w:rPr>
          <w:t>Augtyro Summary of Product Characteristics</w:t>
        </w:r>
      </w:hyperlink>
      <w:r>
        <w:t>.</w:t>
      </w:r>
    </w:p>
  </w:footnote>
  <w:footnote w:id="64">
    <w:p w14:paraId="2696B3F1" w14:textId="213DF401" w:rsidR="00B45FC0" w:rsidRDefault="00B45FC0">
      <w:pPr>
        <w:pStyle w:val="FootnoteText"/>
      </w:pPr>
      <w:r>
        <w:rPr>
          <w:rStyle w:val="FootnoteReference"/>
        </w:rPr>
        <w:footnoteRef/>
      </w:r>
      <w:r>
        <w:t xml:space="preserve"> </w:t>
      </w:r>
      <w:r w:rsidRPr="00B45FC0">
        <w:t xml:space="preserve">Food and Drug Administration. </w:t>
      </w:r>
      <w:hyperlink r:id="rId25" w:history="1">
        <w:r w:rsidRPr="00B45FC0">
          <w:rPr>
            <w:rStyle w:val="Hyperlink"/>
          </w:rPr>
          <w:t>Augtyro Full Prescribing Information</w:t>
        </w:r>
      </w:hyperlink>
      <w:r w:rsidRPr="00B45FC0">
        <w:t>. June 2024</w:t>
      </w:r>
    </w:p>
  </w:footnote>
  <w:footnote w:id="65">
    <w:p w14:paraId="78CF4039" w14:textId="5980D0A0" w:rsidR="00D56382" w:rsidRDefault="00D56382">
      <w:pPr>
        <w:pStyle w:val="FootnoteText"/>
      </w:pPr>
      <w:r>
        <w:rPr>
          <w:rStyle w:val="FootnoteReference"/>
        </w:rPr>
        <w:footnoteRef/>
      </w:r>
      <w:r>
        <w:t xml:space="preserve"> </w:t>
      </w:r>
      <w:r w:rsidRPr="00D56382">
        <w:t xml:space="preserve">European Medicines Agency. </w:t>
      </w:r>
      <w:hyperlink r:id="rId26" w:history="1">
        <w:r w:rsidRPr="00D56382">
          <w:rPr>
            <w:rStyle w:val="Hyperlink"/>
          </w:rPr>
          <w:t>Augtyro Summary of Product Characteristics</w:t>
        </w:r>
      </w:hyperlink>
      <w:r w:rsidRPr="00D56382">
        <w:t>. Accessed 2 May 2025</w:t>
      </w:r>
    </w:p>
  </w:footnote>
  <w:footnote w:id="66">
    <w:p w14:paraId="5E32B137" w14:textId="38E075C9" w:rsidR="007C1B94" w:rsidRPr="000E7A2F" w:rsidRDefault="007C1B94">
      <w:pPr>
        <w:pStyle w:val="FootnoteText"/>
        <w:rPr>
          <w:lang w:val="it-IT"/>
        </w:rPr>
      </w:pPr>
      <w:r>
        <w:rPr>
          <w:rStyle w:val="FootnoteReference"/>
        </w:rPr>
        <w:footnoteRef/>
      </w:r>
      <w:r w:rsidRPr="000E7A2F">
        <w:rPr>
          <w:lang w:val="it-IT"/>
        </w:rPr>
        <w:t xml:space="preserve"> </w:t>
      </w:r>
      <w:r w:rsidR="00040F11" w:rsidRPr="000E7A2F">
        <w:rPr>
          <w:lang w:val="it-IT"/>
        </w:rPr>
        <w:t>EMA,</w:t>
      </w:r>
      <w:r w:rsidRPr="000E7A2F">
        <w:rPr>
          <w:lang w:val="it-IT"/>
        </w:rPr>
        <w:t xml:space="preserve"> 2024.</w:t>
      </w:r>
    </w:p>
  </w:footnote>
  <w:footnote w:id="67">
    <w:p w14:paraId="41F7A399" w14:textId="44D125EF" w:rsidR="00AA0073" w:rsidRPr="000E7A2F" w:rsidRDefault="00AA0073">
      <w:pPr>
        <w:pStyle w:val="FootnoteText"/>
        <w:rPr>
          <w:lang w:val="it-IT"/>
        </w:rPr>
      </w:pPr>
      <w:r>
        <w:rPr>
          <w:rStyle w:val="FootnoteReference"/>
        </w:rPr>
        <w:footnoteRef/>
      </w:r>
      <w:r w:rsidRPr="000E7A2F">
        <w:rPr>
          <w:lang w:val="it-IT"/>
        </w:rPr>
        <w:t xml:space="preserve"> </w:t>
      </w:r>
      <w:r w:rsidRPr="000E7A2F">
        <w:rPr>
          <w:lang w:val="it-IT"/>
        </w:rPr>
        <w:t>FDA</w:t>
      </w:r>
      <w:r w:rsidR="00B967BB" w:rsidRPr="000E7A2F">
        <w:rPr>
          <w:lang w:val="it-IT"/>
        </w:rPr>
        <w:t>, 2023</w:t>
      </w:r>
    </w:p>
  </w:footnote>
  <w:footnote w:id="68">
    <w:p w14:paraId="2CCF46E3" w14:textId="37DCC75E" w:rsidR="003E2D6F" w:rsidRPr="000E7A2F" w:rsidRDefault="003E2D6F">
      <w:pPr>
        <w:pStyle w:val="FootnoteText"/>
        <w:rPr>
          <w:lang w:val="it-IT"/>
        </w:rPr>
      </w:pPr>
      <w:r>
        <w:rPr>
          <w:rStyle w:val="FootnoteReference"/>
        </w:rPr>
        <w:footnoteRef/>
      </w:r>
      <w:r w:rsidRPr="000E7A2F">
        <w:rPr>
          <w:lang w:val="it-IT"/>
        </w:rPr>
        <w:t xml:space="preserve"> </w:t>
      </w:r>
      <w:bookmarkStart w:id="50" w:name="_Hlk215752387"/>
      <w:r w:rsidR="003569CC" w:rsidRPr="000E7A2F">
        <w:rPr>
          <w:lang w:val="it-IT"/>
        </w:rPr>
        <w:t xml:space="preserve">EMA, </w:t>
      </w:r>
      <w:r w:rsidR="003569CC" w:rsidRPr="000E7A2F">
        <w:rPr>
          <w:lang w:val="it-IT"/>
        </w:rPr>
        <w:t>2024</w:t>
      </w:r>
      <w:r w:rsidRPr="000E7A2F">
        <w:rPr>
          <w:lang w:val="it-IT"/>
        </w:rPr>
        <w:t>.</w:t>
      </w:r>
      <w:bookmarkEnd w:id="50"/>
    </w:p>
  </w:footnote>
  <w:footnote w:id="69">
    <w:p w14:paraId="4EDB2A2A" w14:textId="5B6BE8F4" w:rsidR="0008760E" w:rsidRPr="000E7A2F" w:rsidRDefault="0008760E">
      <w:pPr>
        <w:pStyle w:val="FootnoteText"/>
        <w:rPr>
          <w:lang w:val="it-IT"/>
        </w:rPr>
      </w:pPr>
      <w:r>
        <w:rPr>
          <w:rStyle w:val="FootnoteReference"/>
        </w:rPr>
        <w:footnoteRef/>
      </w:r>
      <w:r w:rsidRPr="000E7A2F">
        <w:rPr>
          <w:lang w:val="it-IT"/>
        </w:rPr>
        <w:t xml:space="preserve"> </w:t>
      </w:r>
      <w:r w:rsidR="003569CC" w:rsidRPr="000E7A2F">
        <w:rPr>
          <w:lang w:val="it-IT"/>
        </w:rPr>
        <w:t xml:space="preserve">EMA, </w:t>
      </w:r>
      <w:r w:rsidRPr="000E7A2F">
        <w:rPr>
          <w:lang w:val="it-IT"/>
        </w:rPr>
        <w:t>2024.</w:t>
      </w:r>
    </w:p>
  </w:footnote>
  <w:footnote w:id="70">
    <w:p w14:paraId="1B974BC9" w14:textId="77AB6D0E" w:rsidR="0008760E" w:rsidRPr="000E7A2F" w:rsidRDefault="0008760E">
      <w:pPr>
        <w:pStyle w:val="FootnoteText"/>
        <w:rPr>
          <w:lang w:val="it-IT"/>
        </w:rPr>
      </w:pPr>
      <w:r>
        <w:rPr>
          <w:rStyle w:val="FootnoteReference"/>
        </w:rPr>
        <w:footnoteRef/>
      </w:r>
      <w:r w:rsidRPr="000E7A2F">
        <w:rPr>
          <w:lang w:val="it-IT"/>
        </w:rPr>
        <w:t xml:space="preserve"> </w:t>
      </w:r>
      <w:r w:rsidR="003569CC" w:rsidRPr="000E7A2F">
        <w:rPr>
          <w:lang w:val="it-IT"/>
        </w:rPr>
        <w:t xml:space="preserve">EMA, </w:t>
      </w:r>
      <w:r w:rsidRPr="000E7A2F">
        <w:rPr>
          <w:lang w:val="it-IT"/>
        </w:rPr>
        <w:t>2024.</w:t>
      </w:r>
    </w:p>
  </w:footnote>
  <w:footnote w:id="71">
    <w:p w14:paraId="1A92CF68" w14:textId="13664F16" w:rsidR="00296971" w:rsidRDefault="00296971">
      <w:pPr>
        <w:pStyle w:val="FootnoteText"/>
      </w:pPr>
      <w:r>
        <w:rPr>
          <w:rStyle w:val="FootnoteReference"/>
        </w:rPr>
        <w:footnoteRef/>
      </w:r>
      <w:r>
        <w:t xml:space="preserve"> </w:t>
      </w:r>
      <w:bookmarkStart w:id="55" w:name="_Hlk215757646"/>
      <w:r w:rsidRPr="00296971">
        <w:t>FDA</w:t>
      </w:r>
      <w:bookmarkEnd w:id="55"/>
      <w:r w:rsidR="00B967BB">
        <w:t>, 2023</w:t>
      </w:r>
    </w:p>
  </w:footnote>
  <w:footnote w:id="72">
    <w:p w14:paraId="46A48633" w14:textId="0BBA3494" w:rsidR="00232493" w:rsidRDefault="00232493">
      <w:pPr>
        <w:pStyle w:val="FootnoteText"/>
      </w:pPr>
      <w:r>
        <w:rPr>
          <w:rStyle w:val="FootnoteReference"/>
        </w:rPr>
        <w:footnoteRef/>
      </w:r>
      <w:r>
        <w:t xml:space="preserve"> </w:t>
      </w:r>
      <w:r w:rsidRPr="00232493">
        <w:t>Drilon A,</w:t>
      </w:r>
      <w:r>
        <w:t xml:space="preserve"> 2024. </w:t>
      </w:r>
    </w:p>
  </w:footnote>
  <w:footnote w:id="73">
    <w:p w14:paraId="65A7AF16" w14:textId="2067312C" w:rsidR="00A46CDB" w:rsidRDefault="00A46CDB">
      <w:pPr>
        <w:pStyle w:val="FootnoteText"/>
      </w:pPr>
      <w:r>
        <w:rPr>
          <w:rStyle w:val="FootnoteReference"/>
        </w:rPr>
        <w:footnoteRef/>
      </w:r>
      <w:r>
        <w:t xml:space="preserve"> </w:t>
      </w:r>
      <w:r w:rsidR="003D27A6" w:rsidRPr="003D27A6">
        <w:t>Drilon A, 2024</w:t>
      </w:r>
      <w:r w:rsidR="003D27A6">
        <w:t xml:space="preserve">, Supplementary Data, Table 10. </w:t>
      </w:r>
    </w:p>
  </w:footnote>
  <w:footnote w:id="74">
    <w:p w14:paraId="2B74E795" w14:textId="4668B33B" w:rsidR="005C4154" w:rsidRDefault="005C4154">
      <w:pPr>
        <w:pStyle w:val="FootnoteText"/>
      </w:pPr>
      <w:r>
        <w:rPr>
          <w:rStyle w:val="FootnoteReference"/>
        </w:rPr>
        <w:footnoteRef/>
      </w:r>
      <w:r>
        <w:t xml:space="preserve"> </w:t>
      </w:r>
      <w:r w:rsidR="003569CC">
        <w:t>EMA,</w:t>
      </w:r>
      <w:r w:rsidRPr="005C4154">
        <w:t xml:space="preserve"> 2024</w:t>
      </w:r>
    </w:p>
  </w:footnote>
  <w:footnote w:id="75">
    <w:p w14:paraId="1CC408C5" w14:textId="3402E12C" w:rsidR="005C4154" w:rsidRDefault="005C4154">
      <w:pPr>
        <w:pStyle w:val="FootnoteText"/>
      </w:pPr>
      <w:r>
        <w:rPr>
          <w:rStyle w:val="FootnoteReference"/>
        </w:rPr>
        <w:footnoteRef/>
      </w:r>
      <w:r>
        <w:t xml:space="preserve"> </w:t>
      </w:r>
      <w:r w:rsidR="003569CC">
        <w:t xml:space="preserve">EMA, </w:t>
      </w:r>
      <w:r w:rsidRPr="005C4154">
        <w:t>2024</w:t>
      </w:r>
    </w:p>
  </w:footnote>
  <w:footnote w:id="76">
    <w:p w14:paraId="443EEABC" w14:textId="6E3E781B" w:rsidR="00E70C86" w:rsidRDefault="00E70C86">
      <w:pPr>
        <w:pStyle w:val="FootnoteText"/>
      </w:pPr>
      <w:r>
        <w:rPr>
          <w:rStyle w:val="FootnoteReference"/>
        </w:rPr>
        <w:footnoteRef/>
      </w:r>
      <w:r>
        <w:t xml:space="preserve"> Data from </w:t>
      </w:r>
      <w:r w:rsidR="00391F56">
        <w:t>Therapeutic Goods Administration</w:t>
      </w:r>
      <w:r w:rsidR="000F70B8">
        <w:t xml:space="preserve">, </w:t>
      </w:r>
      <w:hyperlink r:id="rId27" w:history="1">
        <w:r w:rsidR="00391F56" w:rsidRPr="00391F56">
          <w:rPr>
            <w:rStyle w:val="Hyperlink"/>
          </w:rPr>
          <w:t>Australian Product Information for crizotinib</w:t>
        </w:r>
      </w:hyperlink>
      <w:r w:rsidR="004231AF">
        <w:t xml:space="preserve"> and </w:t>
      </w:r>
      <w:hyperlink r:id="rId28" w:history="1">
        <w:r w:rsidR="000F70B8" w:rsidRPr="000F70B8">
          <w:rPr>
            <w:rStyle w:val="Hyperlink"/>
          </w:rPr>
          <w:t xml:space="preserve">Australian Product Information for </w:t>
        </w:r>
        <w:proofErr w:type="spellStart"/>
        <w:r w:rsidR="000F70B8" w:rsidRPr="000F70B8">
          <w:rPr>
            <w:rStyle w:val="Hyperlink"/>
          </w:rPr>
          <w:t>entrectinib</w:t>
        </w:r>
        <w:proofErr w:type="spellEnd"/>
      </w:hyperlink>
      <w:r w:rsidR="000F70B8" w:rsidRPr="000F70B8">
        <w:t>.</w:t>
      </w:r>
    </w:p>
  </w:footnote>
  <w:footnote w:id="77">
    <w:p w14:paraId="28831482" w14:textId="5F3CCE28" w:rsidR="00B809BF" w:rsidRDefault="00B809BF">
      <w:pPr>
        <w:pStyle w:val="FootnoteText"/>
      </w:pPr>
      <w:r>
        <w:rPr>
          <w:rStyle w:val="FootnoteReference"/>
        </w:rPr>
        <w:footnoteRef/>
      </w:r>
      <w:r>
        <w:t xml:space="preserve"> </w:t>
      </w:r>
      <w:bookmarkStart w:id="59" w:name="_Hlk215757559"/>
      <w:r w:rsidRPr="00B809BF">
        <w:t xml:space="preserve">Food and Drug Administration. </w:t>
      </w:r>
      <w:hyperlink r:id="rId29" w:history="1">
        <w:r w:rsidRPr="00B809BF">
          <w:rPr>
            <w:rStyle w:val="Hyperlink"/>
          </w:rPr>
          <w:t>Augtyro Full Prescribing Information</w:t>
        </w:r>
      </w:hyperlink>
      <w:r w:rsidRPr="00B809BF">
        <w:t>. June 2024</w:t>
      </w:r>
      <w:bookmarkEnd w:id="59"/>
    </w:p>
  </w:footnote>
  <w:footnote w:id="78">
    <w:p w14:paraId="1C5BD754" w14:textId="453667FE" w:rsidR="00B809BF" w:rsidRDefault="00B809BF">
      <w:pPr>
        <w:pStyle w:val="FootnoteText"/>
      </w:pPr>
      <w:r>
        <w:rPr>
          <w:rStyle w:val="FootnoteReference"/>
        </w:rPr>
        <w:footnoteRef/>
      </w:r>
      <w:r>
        <w:t xml:space="preserve"> </w:t>
      </w:r>
      <w:r w:rsidRPr="00B809BF">
        <w:t xml:space="preserve">European Medicines Agency. </w:t>
      </w:r>
      <w:hyperlink r:id="rId30" w:history="1">
        <w:r w:rsidRPr="00B809BF">
          <w:rPr>
            <w:rStyle w:val="Hyperlink"/>
          </w:rPr>
          <w:t>Augtyro Summary of Product Characteristics</w:t>
        </w:r>
      </w:hyperlink>
      <w:r w:rsidRPr="00B809BF">
        <w:t>.</w:t>
      </w:r>
    </w:p>
  </w:footnote>
  <w:footnote w:id="79">
    <w:p w14:paraId="39AA171D" w14:textId="468C9B13" w:rsidR="002572EC" w:rsidRDefault="002572EC">
      <w:pPr>
        <w:pStyle w:val="FootnoteText"/>
      </w:pPr>
      <w:r>
        <w:rPr>
          <w:rStyle w:val="FootnoteReference"/>
        </w:rPr>
        <w:footnoteRef/>
      </w:r>
      <w:r>
        <w:t xml:space="preserve"> </w:t>
      </w:r>
      <w:r w:rsidRPr="002572EC">
        <w:t xml:space="preserve">Food and Drug Administration. </w:t>
      </w:r>
      <w:hyperlink r:id="rId31" w:history="1">
        <w:r w:rsidRPr="002572EC">
          <w:rPr>
            <w:rStyle w:val="Hyperlink"/>
          </w:rPr>
          <w:t>Augtyro Full Prescribing Information</w:t>
        </w:r>
      </w:hyperlink>
      <w:r w:rsidRPr="002572EC">
        <w:t>. June 2024</w:t>
      </w:r>
    </w:p>
  </w:footnote>
  <w:footnote w:id="80">
    <w:p w14:paraId="225AD49C" w14:textId="6C6CD5FC" w:rsidR="002572EC" w:rsidRDefault="002572EC">
      <w:pPr>
        <w:pStyle w:val="FootnoteText"/>
      </w:pPr>
      <w:r>
        <w:rPr>
          <w:rStyle w:val="FootnoteReference"/>
        </w:rPr>
        <w:footnoteRef/>
      </w:r>
      <w:r>
        <w:t xml:space="preserve"> </w:t>
      </w:r>
      <w:r w:rsidRPr="002572EC">
        <w:t>E</w:t>
      </w:r>
      <w:r w:rsidR="00040F11">
        <w:t>MA,</w:t>
      </w:r>
      <w:r w:rsidRPr="002572EC">
        <w:t xml:space="preserve"> 2024</w:t>
      </w:r>
    </w:p>
  </w:footnote>
  <w:footnote w:id="81">
    <w:p w14:paraId="11D29D6C" w14:textId="798E1A51" w:rsidR="00F6798E" w:rsidRDefault="00F6798E">
      <w:pPr>
        <w:pStyle w:val="FootnoteText"/>
      </w:pPr>
      <w:r>
        <w:rPr>
          <w:rStyle w:val="FootnoteReference"/>
        </w:rPr>
        <w:footnoteRef/>
      </w:r>
      <w:r>
        <w:t xml:space="preserve"> </w:t>
      </w:r>
      <w:r w:rsidRPr="00F6798E">
        <w:t>FDA</w:t>
      </w:r>
      <w:r w:rsidR="00B967BB">
        <w:t>, 2023</w:t>
      </w:r>
    </w:p>
  </w:footnote>
  <w:footnote w:id="82">
    <w:p w14:paraId="13D4DC82" w14:textId="38DBBC37" w:rsidR="00F6798E" w:rsidRDefault="00F6798E">
      <w:pPr>
        <w:pStyle w:val="FootnoteText"/>
      </w:pPr>
      <w:r>
        <w:rPr>
          <w:rStyle w:val="FootnoteReference"/>
        </w:rPr>
        <w:footnoteRef/>
      </w:r>
      <w:r>
        <w:t xml:space="preserve"> </w:t>
      </w:r>
      <w:r w:rsidR="00040F11">
        <w:t xml:space="preserve">EMA, </w:t>
      </w:r>
      <w:r w:rsidRPr="00F6798E">
        <w:t>2024</w:t>
      </w:r>
    </w:p>
  </w:footnote>
  <w:footnote w:id="83">
    <w:p w14:paraId="7DD95804" w14:textId="439E06C3" w:rsidR="00222736" w:rsidRDefault="00222736">
      <w:pPr>
        <w:pStyle w:val="FootnoteText"/>
      </w:pPr>
      <w:r>
        <w:rPr>
          <w:rStyle w:val="FootnoteReference"/>
        </w:rPr>
        <w:footnoteRef/>
      </w:r>
      <w:r>
        <w:t xml:space="preserve"> </w:t>
      </w:r>
      <w:r w:rsidRPr="00222736">
        <w:t>NCCN</w:t>
      </w:r>
      <w:r>
        <w:t>, 2</w:t>
      </w:r>
      <w:r w:rsidRPr="00222736">
        <w:t>025.</w:t>
      </w:r>
    </w:p>
  </w:footnote>
  <w:footnote w:id="84">
    <w:p w14:paraId="4C2D763E" w14:textId="0130052E" w:rsidR="00222736" w:rsidRDefault="00222736">
      <w:pPr>
        <w:pStyle w:val="FootnoteText"/>
      </w:pPr>
      <w:r>
        <w:rPr>
          <w:rStyle w:val="FootnoteReference"/>
        </w:rPr>
        <w:footnoteRef/>
      </w:r>
      <w:r>
        <w:t xml:space="preserve"> </w:t>
      </w:r>
      <w:r w:rsidR="00040F11">
        <w:t xml:space="preserve">EMA, 2024. </w:t>
      </w:r>
    </w:p>
  </w:footnote>
  <w:footnote w:id="85">
    <w:p w14:paraId="0765FB46" w14:textId="4B83CC42" w:rsidR="003F6AE6" w:rsidRDefault="003F6AE6">
      <w:pPr>
        <w:pStyle w:val="FootnoteText"/>
      </w:pPr>
      <w:r>
        <w:rPr>
          <w:rStyle w:val="FootnoteReference"/>
        </w:rPr>
        <w:footnoteRef/>
      </w:r>
      <w:r>
        <w:t xml:space="preserve"> </w:t>
      </w:r>
      <w:r w:rsidRPr="003F6AE6">
        <w:t>Cooper WA</w:t>
      </w:r>
      <w:r>
        <w:t xml:space="preserve">, 2025. </w:t>
      </w:r>
    </w:p>
  </w:footnote>
  <w:footnote w:id="86">
    <w:p w14:paraId="021EDAF1" w14:textId="1D1766F6" w:rsidR="00566498" w:rsidRDefault="00566498">
      <w:pPr>
        <w:pStyle w:val="FootnoteText"/>
      </w:pPr>
      <w:r>
        <w:rPr>
          <w:rStyle w:val="FootnoteReference"/>
        </w:rPr>
        <w:footnoteRef/>
      </w:r>
      <w:r>
        <w:t xml:space="preserve"> Department of Health, </w:t>
      </w:r>
      <w:r w:rsidR="00C24D4E">
        <w:t xml:space="preserve">Disability and Ageing. </w:t>
      </w:r>
      <w:hyperlink r:id="rId32" w:history="1">
        <w:r w:rsidR="00C24D4E" w:rsidRPr="00E76BD2">
          <w:rPr>
            <w:rStyle w:val="Hyperlink"/>
          </w:rPr>
          <w:t>Medicare Benefits Schedule - Item 73437</w:t>
        </w:r>
      </w:hyperlink>
    </w:p>
  </w:footnote>
  <w:footnote w:id="87">
    <w:p w14:paraId="450FC5A2" w14:textId="04DFE5EF" w:rsidR="00FB3127" w:rsidRDefault="00FB3127">
      <w:pPr>
        <w:pStyle w:val="FootnoteText"/>
      </w:pPr>
      <w:r>
        <w:rPr>
          <w:rStyle w:val="FootnoteReference"/>
        </w:rPr>
        <w:footnoteRef/>
      </w:r>
      <w:r>
        <w:t xml:space="preserve"> Food and Drug Administration. </w:t>
      </w:r>
      <w:hyperlink r:id="rId33" w:history="1">
        <w:r w:rsidR="004A2437" w:rsidRPr="00871418">
          <w:rPr>
            <w:rStyle w:val="Hyperlink"/>
          </w:rPr>
          <w:t>Real-World Evidence</w:t>
        </w:r>
      </w:hyperlink>
      <w:r w:rsidR="00871418">
        <w:t xml:space="preserve">. Updated 22 September 2025. </w:t>
      </w:r>
    </w:p>
  </w:footnote>
  <w:footnote w:id="88">
    <w:p w14:paraId="7BC4CFDB" w14:textId="7C2E1576" w:rsidR="00D45F8D" w:rsidRDefault="00D45F8D">
      <w:pPr>
        <w:pStyle w:val="FootnoteText"/>
      </w:pPr>
      <w:r>
        <w:rPr>
          <w:rStyle w:val="FootnoteReference"/>
        </w:rPr>
        <w:footnoteRef/>
      </w:r>
      <w:r>
        <w:t xml:space="preserve"> </w:t>
      </w:r>
      <w:r w:rsidRPr="00D45F8D">
        <w:t xml:space="preserve">Schiller JH, Harrington D, Belani CP, et al. Comparison of four chemotherapy regimens for advanced non-small cell lung cancer. N Engl J Med </w:t>
      </w:r>
      <w:proofErr w:type="gramStart"/>
      <w:r w:rsidRPr="00D45F8D">
        <w:t>2002;346:92</w:t>
      </w:r>
      <w:proofErr w:type="gramEnd"/>
      <w:r w:rsidRPr="00D45F8D">
        <w:t>-8.</w:t>
      </w:r>
    </w:p>
  </w:footnote>
  <w:footnote w:id="89">
    <w:p w14:paraId="77A856DB" w14:textId="1172864D" w:rsidR="00136262" w:rsidRDefault="00136262">
      <w:pPr>
        <w:pStyle w:val="FootnoteText"/>
      </w:pPr>
      <w:r>
        <w:rPr>
          <w:rStyle w:val="FootnoteReference"/>
        </w:rPr>
        <w:footnoteRef/>
      </w:r>
      <w:r>
        <w:t xml:space="preserve"> </w:t>
      </w:r>
      <w:r w:rsidRPr="00136262">
        <w:t xml:space="preserve">Nadal E, </w:t>
      </w:r>
      <w:proofErr w:type="spellStart"/>
      <w:r w:rsidRPr="00136262">
        <w:t>Rifi</w:t>
      </w:r>
      <w:proofErr w:type="spellEnd"/>
      <w:r w:rsidRPr="00136262">
        <w:t xml:space="preserve"> N, Kane S, Mbacke S, Starkman L, Suero B, Le H, </w:t>
      </w:r>
      <w:proofErr w:type="spellStart"/>
      <w:r w:rsidRPr="00136262">
        <w:t>Samjoo</w:t>
      </w:r>
      <w:proofErr w:type="spellEnd"/>
      <w:r w:rsidRPr="00136262">
        <w:t xml:space="preserve"> IA. Efficacy and safety of crizotinib in the treatment of advanced non-small cell lung cancer with ROS1 gene fusion: a systematic literature review and meta-analysis of real-world evidence. Lung Cancer. 2024 </w:t>
      </w:r>
      <w:proofErr w:type="gramStart"/>
      <w:r w:rsidRPr="00136262">
        <w:t>Jun;192:107816</w:t>
      </w:r>
      <w:proofErr w:type="gramEnd"/>
      <w:r w:rsidRPr="00136262">
        <w:t xml:space="preserve">. </w:t>
      </w:r>
      <w:proofErr w:type="spellStart"/>
      <w:r w:rsidRPr="00136262">
        <w:t>doi</w:t>
      </w:r>
      <w:proofErr w:type="spellEnd"/>
      <w:r w:rsidRPr="00136262">
        <w:t xml:space="preserve">: 10.1016/j.lungcan.2024.107816. </w:t>
      </w:r>
      <w:proofErr w:type="spellStart"/>
      <w:r w:rsidRPr="00136262">
        <w:t>Epub</w:t>
      </w:r>
      <w:proofErr w:type="spellEnd"/>
      <w:r w:rsidRPr="00136262">
        <w:t xml:space="preserve"> 2024 May 9. PMID: 38749072.</w:t>
      </w:r>
    </w:p>
  </w:footnote>
  <w:footnote w:id="90">
    <w:p w14:paraId="51274B4C" w14:textId="004F08B4" w:rsidR="00A30278" w:rsidRDefault="00A30278">
      <w:pPr>
        <w:pStyle w:val="FootnoteText"/>
      </w:pPr>
      <w:r>
        <w:rPr>
          <w:rStyle w:val="FootnoteReference"/>
        </w:rPr>
        <w:footnoteRef/>
      </w:r>
      <w:r>
        <w:t xml:space="preserve"> </w:t>
      </w:r>
      <w:r w:rsidRPr="00A30278">
        <w:t xml:space="preserve">Shen L, Qiang T, Li Z, Ding D, Yu Y, Lu S. First-line crizotinib versus platinum-pemetrexed chemotherapy in patients with advanced ROS1-rearranged non-small-cell lung cancer. Cancer Med. 2020 May;9(10):3310-3318. </w:t>
      </w:r>
      <w:proofErr w:type="spellStart"/>
      <w:r w:rsidRPr="00A30278">
        <w:t>doi</w:t>
      </w:r>
      <w:proofErr w:type="spellEnd"/>
      <w:r w:rsidRPr="00A30278">
        <w:t xml:space="preserve">: 10.1002/cam4.2972. </w:t>
      </w:r>
      <w:proofErr w:type="spellStart"/>
      <w:r w:rsidRPr="00A30278">
        <w:t>Epub</w:t>
      </w:r>
      <w:proofErr w:type="spellEnd"/>
      <w:r w:rsidRPr="00A30278">
        <w:t xml:space="preserve"> 2020 Mar 13. PMID: 32167664; PMCID: PMC7221427.</w:t>
      </w:r>
    </w:p>
  </w:footnote>
  <w:footnote w:id="91">
    <w:p w14:paraId="591131CD" w14:textId="72C2C233" w:rsidR="00296CF7" w:rsidRDefault="00296CF7">
      <w:pPr>
        <w:pStyle w:val="FootnoteText"/>
      </w:pPr>
      <w:r>
        <w:rPr>
          <w:rStyle w:val="FootnoteReference"/>
        </w:rPr>
        <w:footnoteRef/>
      </w:r>
      <w:r w:rsidRPr="00296CF7">
        <w:rPr>
          <w:lang w:val="it-IT"/>
        </w:rPr>
        <w:t xml:space="preserve"> </w:t>
      </w:r>
      <w:r w:rsidRPr="00296CF7">
        <w:rPr>
          <w:lang w:val="it-IT"/>
        </w:rPr>
        <w:t xml:space="preserve">Chong CR, Bahcall M, Capelletti M, et al. </w:t>
      </w:r>
      <w:r w:rsidRPr="00296CF7">
        <w:t xml:space="preserve">Identification of existing drugs that effectively target NTRK1 and ROS1 rearrangements in lung cancer. Clin Cancer Res. </w:t>
      </w:r>
      <w:proofErr w:type="gramStart"/>
      <w:r w:rsidRPr="00296CF7">
        <w:t>2017;23:204</w:t>
      </w:r>
      <w:proofErr w:type="gramEnd"/>
      <w:r w:rsidRPr="00296CF7">
        <w:t xml:space="preserve">–213. </w:t>
      </w:r>
      <w:proofErr w:type="spellStart"/>
      <w:r w:rsidRPr="00296CF7">
        <w:t>doi</w:t>
      </w:r>
      <w:proofErr w:type="spellEnd"/>
      <w:r w:rsidRPr="00296CF7">
        <w:t>: 10.1158/1078-0432.CCR-15-1601.</w:t>
      </w:r>
    </w:p>
  </w:footnote>
  <w:footnote w:id="92">
    <w:p w14:paraId="04BD5B0C" w14:textId="190B9FE2" w:rsidR="000B0197" w:rsidRDefault="000B0197">
      <w:pPr>
        <w:pStyle w:val="FootnoteText"/>
      </w:pPr>
      <w:r>
        <w:rPr>
          <w:rStyle w:val="FootnoteReference"/>
        </w:rPr>
        <w:footnoteRef/>
      </w:r>
      <w:r>
        <w:t xml:space="preserve"> Drilon, A, 2022.</w:t>
      </w:r>
    </w:p>
  </w:footnote>
  <w:footnote w:id="93">
    <w:p w14:paraId="2411C08C" w14:textId="13DC238A" w:rsidR="00F618AB" w:rsidRDefault="00F618AB">
      <w:pPr>
        <w:pStyle w:val="FootnoteText"/>
      </w:pPr>
      <w:r>
        <w:rPr>
          <w:rStyle w:val="FootnoteReference"/>
        </w:rPr>
        <w:footnoteRef/>
      </w:r>
      <w:r>
        <w:t xml:space="preserve"> </w:t>
      </w:r>
      <w:r w:rsidRPr="00F618AB">
        <w:t xml:space="preserve">Therapeutic Goods Administration. </w:t>
      </w:r>
      <w:hyperlink r:id="rId34" w:history="1">
        <w:r w:rsidRPr="00F618AB">
          <w:rPr>
            <w:rStyle w:val="Hyperlink"/>
          </w:rPr>
          <w:t>Australian Product Information for crizotinib</w:t>
        </w:r>
      </w:hyperlink>
      <w:r w:rsidRPr="00F618AB">
        <w:t>. Accessed 30 April 2025</w:t>
      </w:r>
    </w:p>
  </w:footnote>
  <w:footnote w:id="94">
    <w:p w14:paraId="5305DD16" w14:textId="5AEBB142" w:rsidR="002B73FB" w:rsidRDefault="002B73FB">
      <w:pPr>
        <w:pStyle w:val="FootnoteText"/>
      </w:pPr>
      <w:r>
        <w:rPr>
          <w:rStyle w:val="FootnoteReference"/>
        </w:rPr>
        <w:footnoteRef/>
      </w:r>
      <w:r>
        <w:t xml:space="preserve"> Drilon, A, 2022. </w:t>
      </w:r>
    </w:p>
  </w:footnote>
  <w:footnote w:id="95">
    <w:p w14:paraId="25EEF463" w14:textId="4EC8CA73" w:rsidR="009D6589" w:rsidRDefault="009D6589">
      <w:pPr>
        <w:pStyle w:val="FootnoteText"/>
      </w:pPr>
      <w:r>
        <w:rPr>
          <w:rStyle w:val="FootnoteReference"/>
        </w:rPr>
        <w:footnoteRef/>
      </w:r>
      <w:r>
        <w:t xml:space="preserve"> </w:t>
      </w:r>
      <w:r w:rsidRPr="009D6589">
        <w:t xml:space="preserve">Hoffmann-La Roche. </w:t>
      </w:r>
      <w:hyperlink r:id="rId35" w:history="1">
        <w:r w:rsidRPr="009D6589">
          <w:rPr>
            <w:rStyle w:val="Hyperlink"/>
          </w:rPr>
          <w:t xml:space="preserve">A Study to Compare the Efficacy and Safety of </w:t>
        </w:r>
        <w:proofErr w:type="spellStart"/>
        <w:r w:rsidRPr="009D6589">
          <w:rPr>
            <w:rStyle w:val="Hyperlink"/>
          </w:rPr>
          <w:t>Entrectinib</w:t>
        </w:r>
        <w:proofErr w:type="spellEnd"/>
        <w:r w:rsidRPr="009D6589">
          <w:rPr>
            <w:rStyle w:val="Hyperlink"/>
          </w:rPr>
          <w:t xml:space="preserve"> and Crizotinib in Participants </w:t>
        </w:r>
        <w:proofErr w:type="gramStart"/>
        <w:r w:rsidRPr="009D6589">
          <w:rPr>
            <w:rStyle w:val="Hyperlink"/>
          </w:rPr>
          <w:t>With</w:t>
        </w:r>
        <w:proofErr w:type="gramEnd"/>
        <w:r w:rsidRPr="009D6589">
          <w:rPr>
            <w:rStyle w:val="Hyperlink"/>
          </w:rPr>
          <w:t xml:space="preserve"> Advanced or Metastatic ROS1 Non-small Cell Lung Cancer (NSCLC) With and Without Central Nervous System (CNS) Metastases</w:t>
        </w:r>
      </w:hyperlink>
      <w:r w:rsidRPr="009D6589">
        <w:t>. ClinicalTrials.gov identifier: NCT04603807. Updated 4 November 2025.</w:t>
      </w:r>
    </w:p>
  </w:footnote>
  <w:footnote w:id="96">
    <w:p w14:paraId="4C236B2D" w14:textId="2D26F73A" w:rsidR="00AE3792" w:rsidRDefault="00AE3792">
      <w:pPr>
        <w:pStyle w:val="FootnoteText"/>
      </w:pPr>
      <w:r>
        <w:rPr>
          <w:rStyle w:val="FootnoteReference"/>
        </w:rPr>
        <w:footnoteRef/>
      </w:r>
      <w:r>
        <w:t xml:space="preserve"> </w:t>
      </w:r>
      <w:r w:rsidRPr="00AE3792">
        <w:t xml:space="preserve">Bristol-Myers Squibb. </w:t>
      </w:r>
      <w:hyperlink r:id="rId36" w:history="1">
        <w:r w:rsidRPr="00AE3792">
          <w:rPr>
            <w:rStyle w:val="Hyperlink"/>
          </w:rPr>
          <w:t xml:space="preserve">A Study of Repotrectinib Versus Crizotinib in Participants </w:t>
        </w:r>
        <w:proofErr w:type="gramStart"/>
        <w:r w:rsidRPr="00AE3792">
          <w:rPr>
            <w:rStyle w:val="Hyperlink"/>
          </w:rPr>
          <w:t>With</w:t>
        </w:r>
        <w:proofErr w:type="gramEnd"/>
        <w:r w:rsidRPr="00AE3792">
          <w:rPr>
            <w:rStyle w:val="Hyperlink"/>
          </w:rPr>
          <w:t xml:space="preserve"> Locally Advanced or Metastatic Tyrosine Kinase Inhibitor (TKI)-naïve ROS1-positive Non-Small Cell Lung Cancer (NSCLC) (TRIDENT-3)</w:t>
        </w:r>
      </w:hyperlink>
      <w:r w:rsidRPr="00AE3792">
        <w:t>. ClinicalTrials.gov identifier: NCT06140836. Updated 21 November 2025.</w:t>
      </w:r>
    </w:p>
  </w:footnote>
  <w:footnote w:id="97">
    <w:p w14:paraId="29942816" w14:textId="0F47F576" w:rsidR="00675112" w:rsidRDefault="00675112">
      <w:pPr>
        <w:pStyle w:val="FootnoteText"/>
      </w:pPr>
      <w:r>
        <w:rPr>
          <w:rStyle w:val="FootnoteReference"/>
        </w:rPr>
        <w:footnoteRef/>
      </w:r>
      <w:r>
        <w:t xml:space="preserve"> Shen, L. 2020. </w:t>
      </w:r>
    </w:p>
  </w:footnote>
  <w:footnote w:id="98">
    <w:p w14:paraId="069D5F46" w14:textId="25D94A89" w:rsidR="004B19E8" w:rsidRDefault="004B19E8">
      <w:pPr>
        <w:pStyle w:val="FootnoteText"/>
      </w:pPr>
      <w:r>
        <w:rPr>
          <w:rStyle w:val="FootnoteReference"/>
        </w:rPr>
        <w:footnoteRef/>
      </w:r>
      <w:r>
        <w:t xml:space="preserve"> </w:t>
      </w:r>
      <w:r w:rsidRPr="004B19E8">
        <w:t xml:space="preserve">Gendarme S, </w:t>
      </w:r>
      <w:proofErr w:type="spellStart"/>
      <w:r w:rsidRPr="004B19E8">
        <w:t>Bylicki</w:t>
      </w:r>
      <w:proofErr w:type="spellEnd"/>
      <w:r w:rsidRPr="004B19E8">
        <w:t xml:space="preserve"> O, </w:t>
      </w:r>
      <w:proofErr w:type="spellStart"/>
      <w:r w:rsidRPr="004B19E8">
        <w:t>Chouaid</w:t>
      </w:r>
      <w:proofErr w:type="spellEnd"/>
      <w:r w:rsidRPr="004B19E8">
        <w:t xml:space="preserve"> C, </w:t>
      </w:r>
      <w:proofErr w:type="spellStart"/>
      <w:r w:rsidRPr="004B19E8">
        <w:t>Guisier</w:t>
      </w:r>
      <w:proofErr w:type="spellEnd"/>
      <w:r w:rsidRPr="004B19E8">
        <w:t xml:space="preserve"> F. ROS-1 Fusions in Non-Small-Cell Lung Cancer: Evidence to Date. Curr Oncol. 2022 Jan 28;29(2):641-658. </w:t>
      </w:r>
      <w:proofErr w:type="spellStart"/>
      <w:r w:rsidRPr="004B19E8">
        <w:t>doi</w:t>
      </w:r>
      <w:proofErr w:type="spellEnd"/>
      <w:r w:rsidRPr="004B19E8">
        <w:t>: 10.3390/curroncol29020057. PMID: 35200557; PMCID: PMC8870726</w:t>
      </w:r>
    </w:p>
  </w:footnote>
  <w:footnote w:id="99">
    <w:p w14:paraId="2426E0BE" w14:textId="5F0DBCC1" w:rsidR="00E3721E" w:rsidRDefault="00E3721E">
      <w:pPr>
        <w:pStyle w:val="FootnoteText"/>
      </w:pPr>
      <w:r>
        <w:rPr>
          <w:rStyle w:val="FootnoteReference"/>
        </w:rPr>
        <w:footnoteRef/>
      </w:r>
      <w:r>
        <w:t xml:space="preserve"> </w:t>
      </w:r>
      <w:r w:rsidRPr="00E3721E">
        <w:t xml:space="preserve">Savic S, </w:t>
      </w:r>
      <w:proofErr w:type="spellStart"/>
      <w:r w:rsidRPr="00E3721E">
        <w:t>Bubendorf</w:t>
      </w:r>
      <w:proofErr w:type="spellEnd"/>
      <w:r w:rsidRPr="00E3721E">
        <w:t xml:space="preserve"> L. Acta Cytol. 2012;56(6):611–621</w:t>
      </w:r>
    </w:p>
  </w:footnote>
  <w:footnote w:id="100">
    <w:p w14:paraId="1572A8E7" w14:textId="3C23DC4A" w:rsidR="008B680A" w:rsidRDefault="008B680A">
      <w:pPr>
        <w:pStyle w:val="FootnoteText"/>
      </w:pPr>
      <w:r>
        <w:rPr>
          <w:rStyle w:val="FootnoteReference"/>
        </w:rPr>
        <w:footnoteRef/>
      </w:r>
      <w:r>
        <w:t xml:space="preserve"> </w:t>
      </w:r>
      <w:r w:rsidRPr="008B680A">
        <w:t xml:space="preserve">Sholl LM, Sun H, Butaney M, Zhang C, Lee C, </w:t>
      </w:r>
      <w:proofErr w:type="spellStart"/>
      <w:r w:rsidRPr="008B680A">
        <w:t>Jänne</w:t>
      </w:r>
      <w:proofErr w:type="spellEnd"/>
      <w:r w:rsidRPr="008B680A">
        <w:t xml:space="preserve"> PA, Rodig SJ. Am J Surg </w:t>
      </w:r>
      <w:proofErr w:type="spellStart"/>
      <w:r w:rsidRPr="008B680A">
        <w:t>Pathol</w:t>
      </w:r>
      <w:proofErr w:type="spellEnd"/>
      <w:r w:rsidRPr="008B680A">
        <w:t xml:space="preserve">. 2013 Sep;37(9):1441-9. </w:t>
      </w:r>
      <w:proofErr w:type="spellStart"/>
      <w:r w:rsidRPr="008B680A">
        <w:t>doi</w:t>
      </w:r>
      <w:proofErr w:type="spellEnd"/>
      <w:r w:rsidRPr="008B680A">
        <w:t>: 10.1097/PAS.0b013e3182960fa7. PMID: 23887156; PMCID: PMC3831351.</w:t>
      </w:r>
    </w:p>
  </w:footnote>
  <w:footnote w:id="101">
    <w:p w14:paraId="1ED8123F" w14:textId="77777777" w:rsidR="0010475A" w:rsidRDefault="0010475A" w:rsidP="0010475A">
      <w:pPr>
        <w:pStyle w:val="FootnoteText"/>
      </w:pPr>
      <w:r>
        <w:rPr>
          <w:rStyle w:val="FootnoteReference"/>
        </w:rPr>
        <w:footnoteRef/>
      </w:r>
      <w:r>
        <w:t xml:space="preserve"> Luk PP, Selinger CI, Mahar A and Cooper WA (2018) Archives of Pathology &amp; Laboratory Medicine: August 2018, Vol. 142, No. 8, pp. 922-928. </w:t>
      </w:r>
      <w:hyperlink r:id="rId37" w:history="1">
        <w:r w:rsidRPr="00B81791">
          <w:rPr>
            <w:rStyle w:val="Hyperlink"/>
          </w:rPr>
          <w:t>https://doi.org/10.5858/arpa.2017-0502-RA</w:t>
        </w:r>
      </w:hyperlink>
      <w:r>
        <w:t xml:space="preserve"> </w:t>
      </w:r>
    </w:p>
  </w:footnote>
  <w:footnote w:id="102">
    <w:p w14:paraId="7B6D46A4" w14:textId="4CA7AD23" w:rsidR="009575A9" w:rsidRDefault="009575A9">
      <w:pPr>
        <w:pStyle w:val="FootnoteText"/>
      </w:pPr>
      <w:r>
        <w:rPr>
          <w:rStyle w:val="FootnoteReference"/>
        </w:rPr>
        <w:footnoteRef/>
      </w:r>
      <w:r>
        <w:t xml:space="preserve"> </w:t>
      </w:r>
      <w:r w:rsidRPr="009575A9">
        <w:t xml:space="preserve">Luk PP, </w:t>
      </w:r>
      <w:r w:rsidR="003607D8">
        <w:t>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168E" w14:textId="57CFF68C" w:rsidR="004C3B23" w:rsidRDefault="004C3B23">
    <w:pPr>
      <w:pStyle w:val="Header"/>
    </w:pPr>
    <w:r>
      <w:rPr>
        <w:noProof/>
      </w:rPr>
      <mc:AlternateContent>
        <mc:Choice Requires="wps">
          <w:drawing>
            <wp:anchor distT="0" distB="0" distL="0" distR="0" simplePos="0" relativeHeight="251658242" behindDoc="0" locked="0" layoutInCell="1" allowOverlap="1" wp14:anchorId="603249B3" wp14:editId="044A7C4C">
              <wp:simplePos x="635" y="635"/>
              <wp:positionH relativeFrom="page">
                <wp:align>center</wp:align>
              </wp:positionH>
              <wp:positionV relativeFrom="page">
                <wp:align>top</wp:align>
              </wp:positionV>
              <wp:extent cx="622300" cy="391160"/>
              <wp:effectExtent l="0" t="0" r="6350" b="8890"/>
              <wp:wrapNone/>
              <wp:docPr id="4202980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0D13F59" w14:textId="4677FE31"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3249B3"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10D13F59" w14:textId="4677FE31"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686C9BB4" w:rsidR="007452E8" w:rsidRPr="00CB0550" w:rsidRDefault="004C3B23" w:rsidP="00CB0550">
    <w:pPr>
      <w:pStyle w:val="Header"/>
      <w:jc w:val="left"/>
    </w:pPr>
    <w:r>
      <w:rPr>
        <w:noProof/>
      </w:rPr>
      <mc:AlternateContent>
        <mc:Choice Requires="wps">
          <w:drawing>
            <wp:anchor distT="0" distB="0" distL="0" distR="0" simplePos="0" relativeHeight="251658243" behindDoc="0" locked="0" layoutInCell="1" allowOverlap="1" wp14:anchorId="299E2C0C" wp14:editId="1A736D07">
              <wp:simplePos x="635" y="635"/>
              <wp:positionH relativeFrom="page">
                <wp:align>center</wp:align>
              </wp:positionH>
              <wp:positionV relativeFrom="page">
                <wp:align>top</wp:align>
              </wp:positionV>
              <wp:extent cx="622300" cy="391160"/>
              <wp:effectExtent l="0" t="0" r="6350" b="8890"/>
              <wp:wrapNone/>
              <wp:docPr id="4467757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BB00950" w14:textId="0B623335"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9E2C0C"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5BB00950" w14:textId="0B623335"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4B3014FE" w:rsidR="007452E8" w:rsidRPr="002B29B2" w:rsidRDefault="004C3B23" w:rsidP="007452E8">
          <w:pPr>
            <w:ind w:left="-57"/>
            <w:rPr>
              <w:noProof/>
            </w:rPr>
          </w:pPr>
          <w:r>
            <w:rPr>
              <w:noProof/>
            </w:rPr>
            <mc:AlternateContent>
              <mc:Choice Requires="wps">
                <w:drawing>
                  <wp:anchor distT="0" distB="0" distL="0" distR="0" simplePos="0" relativeHeight="251658241" behindDoc="0" locked="0" layoutInCell="1" allowOverlap="1" wp14:anchorId="0EA22234" wp14:editId="2860CDAD">
                    <wp:simplePos x="635" y="635"/>
                    <wp:positionH relativeFrom="page">
                      <wp:align>center</wp:align>
                    </wp:positionH>
                    <wp:positionV relativeFrom="page">
                      <wp:align>top</wp:align>
                    </wp:positionV>
                    <wp:extent cx="622300" cy="391160"/>
                    <wp:effectExtent l="0" t="0" r="6350" b="8890"/>
                    <wp:wrapNone/>
                    <wp:docPr id="11352583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4DFFA14" w14:textId="3F899B72"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A22234"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24DFFA14" w14:textId="3F899B72"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v:textbox>
                    <w10:wrap anchorx="page" anchory="page"/>
                  </v:shape>
                </w:pict>
              </mc:Fallback>
            </mc:AlternateContent>
          </w: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58240"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4C4600BE" w:rsidR="007452E8" w:rsidRDefault="004C3B23" w:rsidP="007452E8">
    <w:pPr>
      <w:pStyle w:val="Header"/>
    </w:pPr>
    <w:r>
      <w:rPr>
        <w:noProof/>
      </w:rPr>
      <mc:AlternateContent>
        <mc:Choice Requires="wps">
          <w:drawing>
            <wp:anchor distT="0" distB="0" distL="0" distR="0" simplePos="0" relativeHeight="251658244" behindDoc="0" locked="0" layoutInCell="1" allowOverlap="1" wp14:anchorId="34974C32" wp14:editId="1FBA1CF0">
              <wp:simplePos x="899160" y="365760"/>
              <wp:positionH relativeFrom="page">
                <wp:align>center</wp:align>
              </wp:positionH>
              <wp:positionV relativeFrom="page">
                <wp:align>top</wp:align>
              </wp:positionV>
              <wp:extent cx="622300" cy="391160"/>
              <wp:effectExtent l="0" t="0" r="6350" b="8890"/>
              <wp:wrapNone/>
              <wp:docPr id="13869092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87D9FE0" w14:textId="266B0049"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74C32"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wR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vTIOP0W6iPtJSHE9/ByVVLrdci4LPwRDBNS6LF&#10;Jzq0gb7icLY4a8D//Js/5hPuFOWsJ8FU3JKiOTPfLfERtZWM4jb/HMHwo3s7Gnbf3QPJsKAX4WQy&#10;Yx6a0dQeuleS8zI2opCwktpVHEfzHk/Kpecg1XKZkkhGTuDabpyMpSNcEcuX4VV4dwYcialHGNUk&#10;yne4n3LjzeCWeyT0EykR2hOQZ8RJgomr83OJGn/7n7Kuj3rxCw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JA2bBEMAgAAHAQAAA4A&#10;AAAAAAAAAAAAAAAALgIAAGRycy9lMm9Eb2MueG1sUEsBAi0AFAAGAAgAAAAhAGGiSGjYAAAAAwEA&#10;AA8AAAAAAAAAAAAAAAAAZgQAAGRycy9kb3ducmV2LnhtbFBLBQYAAAAABAAEAPMAAABrBQAAAAA=&#10;" filled="f" stroked="f">
              <v:textbox style="mso-fit-shape-to-text:t" inset="0,15pt,0,0">
                <w:txbxContent>
                  <w:p w14:paraId="187D9FE0" w14:textId="266B0049"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v:textbox>
              <w10:wrap anchorx="page" anchory="page"/>
            </v:shape>
          </w:pict>
        </mc:Fallback>
      </mc:AlternateContent>
    </w:r>
    <w:r w:rsidR="007452E8"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6A1DFAF1" w:rsidR="007452E8" w:rsidRPr="00FE501F" w:rsidRDefault="004C3B23" w:rsidP="007452E8">
    <w:pPr>
      <w:pStyle w:val="Headernoline"/>
    </w:pPr>
    <w:r>
      <w:rPr>
        <w:noProof/>
      </w:rPr>
      <mc:AlternateContent>
        <mc:Choice Requires="wps">
          <w:drawing>
            <wp:anchor distT="0" distB="0" distL="0" distR="0" simplePos="0" relativeHeight="251658245" behindDoc="0" locked="0" layoutInCell="1" allowOverlap="1" wp14:anchorId="1B30EE1B" wp14:editId="2907F114">
              <wp:simplePos x="635" y="635"/>
              <wp:positionH relativeFrom="page">
                <wp:align>center</wp:align>
              </wp:positionH>
              <wp:positionV relativeFrom="page">
                <wp:align>top</wp:align>
              </wp:positionV>
              <wp:extent cx="622300" cy="391160"/>
              <wp:effectExtent l="0" t="0" r="6350" b="8890"/>
              <wp:wrapNone/>
              <wp:docPr id="10486176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8F4CDE8" w14:textId="628C304B"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30EE1B" id="_x0000_t202" coordsize="21600,21600" o:spt="202" path="m,l,21600r21600,l21600,xe">
              <v:stroke joinstyle="miter"/>
              <v:path gradientshapeok="t" o:connecttype="rect"/>
            </v:shapetype>
            <v:shape id="Text Box 5" o:spid="_x0000_s1034" type="#_x0000_t202" alt="OFFICIAL" style="position:absolute;left:0;text-align:left;margin-left:0;margin-top:0;width:49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DXSCeqDQIAABwEAAAO&#10;AAAAAAAAAAAAAAAAAC4CAABkcnMvZTJvRG9jLnhtbFBLAQItABQABgAIAAAAIQBhokho2AAAAAMB&#10;AAAPAAAAAAAAAAAAAAAAAGcEAABkcnMvZG93bnJldi54bWxQSwUGAAAAAAQABADzAAAAbAUAAAAA&#10;" filled="f" stroked="f">
              <v:textbox style="mso-fit-shape-to-text:t" inset="0,15pt,0,0">
                <w:txbxContent>
                  <w:p w14:paraId="78F4CDE8" w14:textId="628C304B" w:rsidR="004C3B23" w:rsidRPr="004C3B23" w:rsidRDefault="004C3B23" w:rsidP="004C3B23">
                    <w:pPr>
                      <w:spacing w:after="0"/>
                      <w:rPr>
                        <w:rFonts w:ascii="Aptos" w:eastAsia="Aptos" w:hAnsi="Aptos" w:cs="Aptos"/>
                        <w:noProof/>
                        <w:color w:val="FF0000"/>
                        <w:sz w:val="24"/>
                        <w:szCs w:val="24"/>
                      </w:rPr>
                    </w:pPr>
                    <w:r w:rsidRPr="004C3B2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2057"/>
    <w:multiLevelType w:val="hybridMultilevel"/>
    <w:tmpl w:val="BAA28ED4"/>
    <w:lvl w:ilvl="0" w:tplc="3F389182">
      <w:start w:val="1"/>
      <w:numFmt w:val="decimal"/>
      <w:lvlText w:val="%1"/>
      <w:lvlJc w:val="left"/>
      <w:pPr>
        <w:ind w:left="720" w:hanging="360"/>
      </w:pPr>
      <w:rPr>
        <w:rFonts w:ascii="Calibri" w:hAnsi="Calibri" w:cs="Verdana" w:hint="default"/>
        <w:b w:val="0"/>
        <w:bCs w:val="0"/>
        <w:i w:val="0"/>
        <w:iCs w:val="0"/>
        <w:caps w:val="0"/>
        <w:strike w:val="0"/>
        <w:dstrike w:val="0"/>
        <w:vanish w:val="0"/>
        <w:spacing w:val="-1"/>
        <w:w w:val="100"/>
        <w:sz w:val="20"/>
        <w:szCs w:val="18"/>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0D7602"/>
    <w:multiLevelType w:val="hybridMultilevel"/>
    <w:tmpl w:val="1BDE9782"/>
    <w:lvl w:ilvl="0" w:tplc="7E54C910">
      <w:start w:val="1"/>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115CC"/>
    <w:multiLevelType w:val="hybridMultilevel"/>
    <w:tmpl w:val="D696E99C"/>
    <w:lvl w:ilvl="0" w:tplc="7E54C910">
      <w:start w:val="1"/>
      <w:numFmt w:val="bullet"/>
      <w:lvlText w:val="-"/>
      <w:lvlJc w:val="left"/>
      <w:pPr>
        <w:ind w:left="1145" w:hanging="360"/>
      </w:pPr>
      <w:rPr>
        <w:rFonts w:ascii="Calibri" w:eastAsia="Cambria" w:hAnsi="Calibri" w:cs="Calibri"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25167AB1"/>
    <w:multiLevelType w:val="hybridMultilevel"/>
    <w:tmpl w:val="31C84FCA"/>
    <w:lvl w:ilvl="0" w:tplc="7E54C910">
      <w:start w:val="1"/>
      <w:numFmt w:val="bullet"/>
      <w:lvlText w:val="-"/>
      <w:lvlJc w:val="left"/>
      <w:pPr>
        <w:ind w:left="1145" w:hanging="360"/>
      </w:pPr>
      <w:rPr>
        <w:rFonts w:ascii="Calibri" w:eastAsia="Cambria" w:hAnsi="Calibri" w:cs="Calibri"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0"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1"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5" w15:restartNumberingAfterBreak="0">
    <w:nsid w:val="62080834"/>
    <w:multiLevelType w:val="hybridMultilevel"/>
    <w:tmpl w:val="E5DCED80"/>
    <w:lvl w:ilvl="0" w:tplc="7E54C910">
      <w:start w:val="1"/>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E1248D"/>
    <w:multiLevelType w:val="hybridMultilevel"/>
    <w:tmpl w:val="D7DCC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E4216C"/>
    <w:multiLevelType w:val="hybridMultilevel"/>
    <w:tmpl w:val="A6C6693E"/>
    <w:lvl w:ilvl="0" w:tplc="D124085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FE28D7A">
      <w:numFmt w:val="bullet"/>
      <w:lvlText w:val="•"/>
      <w:lvlJc w:val="left"/>
      <w:pPr>
        <w:ind w:left="1318" w:hanging="360"/>
      </w:pPr>
      <w:rPr>
        <w:rFonts w:hint="default"/>
        <w:lang w:val="en-US" w:eastAsia="en-US" w:bidi="ar-SA"/>
      </w:rPr>
    </w:lvl>
    <w:lvl w:ilvl="2" w:tplc="F228A8E0">
      <w:numFmt w:val="bullet"/>
      <w:lvlText w:val="•"/>
      <w:lvlJc w:val="left"/>
      <w:pPr>
        <w:ind w:left="1816" w:hanging="360"/>
      </w:pPr>
      <w:rPr>
        <w:rFonts w:hint="default"/>
        <w:lang w:val="en-US" w:eastAsia="en-US" w:bidi="ar-SA"/>
      </w:rPr>
    </w:lvl>
    <w:lvl w:ilvl="3" w:tplc="237E1A84">
      <w:numFmt w:val="bullet"/>
      <w:lvlText w:val="•"/>
      <w:lvlJc w:val="left"/>
      <w:pPr>
        <w:ind w:left="2314" w:hanging="360"/>
      </w:pPr>
      <w:rPr>
        <w:rFonts w:hint="default"/>
        <w:lang w:val="en-US" w:eastAsia="en-US" w:bidi="ar-SA"/>
      </w:rPr>
    </w:lvl>
    <w:lvl w:ilvl="4" w:tplc="AE02061E">
      <w:numFmt w:val="bullet"/>
      <w:lvlText w:val="•"/>
      <w:lvlJc w:val="left"/>
      <w:pPr>
        <w:ind w:left="2813" w:hanging="360"/>
      </w:pPr>
      <w:rPr>
        <w:rFonts w:hint="default"/>
        <w:lang w:val="en-US" w:eastAsia="en-US" w:bidi="ar-SA"/>
      </w:rPr>
    </w:lvl>
    <w:lvl w:ilvl="5" w:tplc="1B1A2090">
      <w:numFmt w:val="bullet"/>
      <w:lvlText w:val="•"/>
      <w:lvlJc w:val="left"/>
      <w:pPr>
        <w:ind w:left="3311" w:hanging="360"/>
      </w:pPr>
      <w:rPr>
        <w:rFonts w:hint="default"/>
        <w:lang w:val="en-US" w:eastAsia="en-US" w:bidi="ar-SA"/>
      </w:rPr>
    </w:lvl>
    <w:lvl w:ilvl="6" w:tplc="A5E4AE9A">
      <w:numFmt w:val="bullet"/>
      <w:lvlText w:val="•"/>
      <w:lvlJc w:val="left"/>
      <w:pPr>
        <w:ind w:left="3809" w:hanging="360"/>
      </w:pPr>
      <w:rPr>
        <w:rFonts w:hint="default"/>
        <w:lang w:val="en-US" w:eastAsia="en-US" w:bidi="ar-SA"/>
      </w:rPr>
    </w:lvl>
    <w:lvl w:ilvl="7" w:tplc="FEAEEFCA">
      <w:numFmt w:val="bullet"/>
      <w:lvlText w:val="•"/>
      <w:lvlJc w:val="left"/>
      <w:pPr>
        <w:ind w:left="4308" w:hanging="360"/>
      </w:pPr>
      <w:rPr>
        <w:rFonts w:hint="default"/>
        <w:lang w:val="en-US" w:eastAsia="en-US" w:bidi="ar-SA"/>
      </w:rPr>
    </w:lvl>
    <w:lvl w:ilvl="8" w:tplc="CDC815B8">
      <w:numFmt w:val="bullet"/>
      <w:lvlText w:val="•"/>
      <w:lvlJc w:val="left"/>
      <w:pPr>
        <w:ind w:left="4806" w:hanging="360"/>
      </w:pPr>
      <w:rPr>
        <w:rFonts w:hint="default"/>
        <w:lang w:val="en-US" w:eastAsia="en-US" w:bidi="ar-SA"/>
      </w:rPr>
    </w:lvl>
  </w:abstractNum>
  <w:abstractNum w:abstractNumId="18"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6"/>
  </w:num>
  <w:num w:numId="2" w16cid:durableId="1856573705">
    <w:abstractNumId w:val="3"/>
  </w:num>
  <w:num w:numId="3" w16cid:durableId="357703499">
    <w:abstractNumId w:val="5"/>
  </w:num>
  <w:num w:numId="4" w16cid:durableId="1869176708">
    <w:abstractNumId w:val="13"/>
  </w:num>
  <w:num w:numId="5" w16cid:durableId="1652950129">
    <w:abstractNumId w:val="8"/>
  </w:num>
  <w:num w:numId="6" w16cid:durableId="1053193207">
    <w:abstractNumId w:val="11"/>
  </w:num>
  <w:num w:numId="7" w16cid:durableId="201135927">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12"/>
  </w:num>
  <w:num w:numId="9" w16cid:durableId="173421270">
    <w:abstractNumId w:val="4"/>
  </w:num>
  <w:num w:numId="10" w16cid:durableId="2108043357">
    <w:abstractNumId w:val="7"/>
  </w:num>
  <w:num w:numId="11" w16cid:durableId="1725904230">
    <w:abstractNumId w:val="10"/>
  </w:num>
  <w:num w:numId="12" w16cid:durableId="141579354">
    <w:abstractNumId w:val="14"/>
  </w:num>
  <w:num w:numId="13" w16cid:durableId="283735081">
    <w:abstractNumId w:val="18"/>
  </w:num>
  <w:num w:numId="14" w16cid:durableId="1767380719">
    <w:abstractNumId w:val="17"/>
  </w:num>
  <w:num w:numId="15" w16cid:durableId="608047994">
    <w:abstractNumId w:val="16"/>
  </w:num>
  <w:num w:numId="16" w16cid:durableId="876699663">
    <w:abstractNumId w:val="15"/>
  </w:num>
  <w:num w:numId="17" w16cid:durableId="500586571">
    <w:abstractNumId w:val="2"/>
  </w:num>
  <w:num w:numId="18" w16cid:durableId="694304519">
    <w:abstractNumId w:val="9"/>
  </w:num>
  <w:num w:numId="19" w16cid:durableId="370956627">
    <w:abstractNumId w:val="0"/>
  </w:num>
  <w:num w:numId="20" w16cid:durableId="2104301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1ADC"/>
    <w:rsid w:val="0000384E"/>
    <w:rsid w:val="00004431"/>
    <w:rsid w:val="00005062"/>
    <w:rsid w:val="00005DFC"/>
    <w:rsid w:val="00005E15"/>
    <w:rsid w:val="00007B73"/>
    <w:rsid w:val="0001064C"/>
    <w:rsid w:val="00010A5D"/>
    <w:rsid w:val="0001384A"/>
    <w:rsid w:val="00016079"/>
    <w:rsid w:val="00021C13"/>
    <w:rsid w:val="00030934"/>
    <w:rsid w:val="00032A0F"/>
    <w:rsid w:val="00035EAE"/>
    <w:rsid w:val="000408C2"/>
    <w:rsid w:val="00040D8D"/>
    <w:rsid w:val="00040F11"/>
    <w:rsid w:val="0004130A"/>
    <w:rsid w:val="00046423"/>
    <w:rsid w:val="000477F5"/>
    <w:rsid w:val="000500C6"/>
    <w:rsid w:val="0005067C"/>
    <w:rsid w:val="00056E27"/>
    <w:rsid w:val="000609E4"/>
    <w:rsid w:val="0006104E"/>
    <w:rsid w:val="00061E21"/>
    <w:rsid w:val="000640BD"/>
    <w:rsid w:val="000646A0"/>
    <w:rsid w:val="00065839"/>
    <w:rsid w:val="00065FDF"/>
    <w:rsid w:val="0006693A"/>
    <w:rsid w:val="00076813"/>
    <w:rsid w:val="00077844"/>
    <w:rsid w:val="00083763"/>
    <w:rsid w:val="00083C68"/>
    <w:rsid w:val="00085304"/>
    <w:rsid w:val="0008760E"/>
    <w:rsid w:val="00090510"/>
    <w:rsid w:val="000917AE"/>
    <w:rsid w:val="00094B81"/>
    <w:rsid w:val="00095C6A"/>
    <w:rsid w:val="0009690F"/>
    <w:rsid w:val="000975AA"/>
    <w:rsid w:val="000A1EB4"/>
    <w:rsid w:val="000B0197"/>
    <w:rsid w:val="000B6B15"/>
    <w:rsid w:val="000C25A7"/>
    <w:rsid w:val="000C33CC"/>
    <w:rsid w:val="000D1DA5"/>
    <w:rsid w:val="000D2F47"/>
    <w:rsid w:val="000D78EC"/>
    <w:rsid w:val="000D7934"/>
    <w:rsid w:val="000E2434"/>
    <w:rsid w:val="000E2597"/>
    <w:rsid w:val="000E49A9"/>
    <w:rsid w:val="000E4A8B"/>
    <w:rsid w:val="000E504E"/>
    <w:rsid w:val="000E5195"/>
    <w:rsid w:val="000E6746"/>
    <w:rsid w:val="000E7A2F"/>
    <w:rsid w:val="000F4118"/>
    <w:rsid w:val="000F70B8"/>
    <w:rsid w:val="000F7B51"/>
    <w:rsid w:val="00101BEE"/>
    <w:rsid w:val="00101CE6"/>
    <w:rsid w:val="00101FB1"/>
    <w:rsid w:val="00103966"/>
    <w:rsid w:val="0010475A"/>
    <w:rsid w:val="00104997"/>
    <w:rsid w:val="0010558A"/>
    <w:rsid w:val="00106AF1"/>
    <w:rsid w:val="00107AC0"/>
    <w:rsid w:val="001101FF"/>
    <w:rsid w:val="00111989"/>
    <w:rsid w:val="0011366C"/>
    <w:rsid w:val="00113F9F"/>
    <w:rsid w:val="00114025"/>
    <w:rsid w:val="00115B46"/>
    <w:rsid w:val="0012473C"/>
    <w:rsid w:val="00127A74"/>
    <w:rsid w:val="0013132F"/>
    <w:rsid w:val="00131B1B"/>
    <w:rsid w:val="0013306D"/>
    <w:rsid w:val="00133CA1"/>
    <w:rsid w:val="0013528C"/>
    <w:rsid w:val="00136262"/>
    <w:rsid w:val="00136657"/>
    <w:rsid w:val="00137F52"/>
    <w:rsid w:val="001442A2"/>
    <w:rsid w:val="0014688D"/>
    <w:rsid w:val="001468CA"/>
    <w:rsid w:val="001500A8"/>
    <w:rsid w:val="00150F3F"/>
    <w:rsid w:val="00152BC1"/>
    <w:rsid w:val="00155D85"/>
    <w:rsid w:val="001579B2"/>
    <w:rsid w:val="001600D6"/>
    <w:rsid w:val="001624DF"/>
    <w:rsid w:val="00163C57"/>
    <w:rsid w:val="00165D28"/>
    <w:rsid w:val="00167CE3"/>
    <w:rsid w:val="0017005C"/>
    <w:rsid w:val="00172D96"/>
    <w:rsid w:val="00175CD8"/>
    <w:rsid w:val="00182BD8"/>
    <w:rsid w:val="0018302F"/>
    <w:rsid w:val="001847DC"/>
    <w:rsid w:val="00186903"/>
    <w:rsid w:val="00190853"/>
    <w:rsid w:val="00193538"/>
    <w:rsid w:val="001956DE"/>
    <w:rsid w:val="001961A7"/>
    <w:rsid w:val="001A1381"/>
    <w:rsid w:val="001A510A"/>
    <w:rsid w:val="001A7218"/>
    <w:rsid w:val="001A76F9"/>
    <w:rsid w:val="001B06FF"/>
    <w:rsid w:val="001B1703"/>
    <w:rsid w:val="001C1C2E"/>
    <w:rsid w:val="001C2412"/>
    <w:rsid w:val="001C31A1"/>
    <w:rsid w:val="001C3FA2"/>
    <w:rsid w:val="001C5EE2"/>
    <w:rsid w:val="001C7C42"/>
    <w:rsid w:val="001D0077"/>
    <w:rsid w:val="001E3010"/>
    <w:rsid w:val="001E407B"/>
    <w:rsid w:val="001E7FC6"/>
    <w:rsid w:val="001F2502"/>
    <w:rsid w:val="001F6389"/>
    <w:rsid w:val="001F70A5"/>
    <w:rsid w:val="0020235D"/>
    <w:rsid w:val="0020369B"/>
    <w:rsid w:val="00207B4D"/>
    <w:rsid w:val="00210F9B"/>
    <w:rsid w:val="002117B1"/>
    <w:rsid w:val="00212CE6"/>
    <w:rsid w:val="002137EE"/>
    <w:rsid w:val="00217CCE"/>
    <w:rsid w:val="002203B1"/>
    <w:rsid w:val="00221C1E"/>
    <w:rsid w:val="00222736"/>
    <w:rsid w:val="00225E29"/>
    <w:rsid w:val="00226F39"/>
    <w:rsid w:val="00232493"/>
    <w:rsid w:val="002327B9"/>
    <w:rsid w:val="00232EFC"/>
    <w:rsid w:val="002334AD"/>
    <w:rsid w:val="002342FE"/>
    <w:rsid w:val="00236AD3"/>
    <w:rsid w:val="0024116F"/>
    <w:rsid w:val="00241A55"/>
    <w:rsid w:val="00241B60"/>
    <w:rsid w:val="00244A1F"/>
    <w:rsid w:val="00252938"/>
    <w:rsid w:val="002572EC"/>
    <w:rsid w:val="0025785B"/>
    <w:rsid w:val="00257969"/>
    <w:rsid w:val="00265CD1"/>
    <w:rsid w:val="002705DB"/>
    <w:rsid w:val="00272330"/>
    <w:rsid w:val="00280048"/>
    <w:rsid w:val="0028489E"/>
    <w:rsid w:val="002848DE"/>
    <w:rsid w:val="00284A58"/>
    <w:rsid w:val="0028794E"/>
    <w:rsid w:val="00296971"/>
    <w:rsid w:val="00296CF7"/>
    <w:rsid w:val="0029733B"/>
    <w:rsid w:val="002A0E6A"/>
    <w:rsid w:val="002A221C"/>
    <w:rsid w:val="002A310A"/>
    <w:rsid w:val="002A444B"/>
    <w:rsid w:val="002A4ABC"/>
    <w:rsid w:val="002A5841"/>
    <w:rsid w:val="002A61F9"/>
    <w:rsid w:val="002B00DD"/>
    <w:rsid w:val="002B1EDF"/>
    <w:rsid w:val="002B2061"/>
    <w:rsid w:val="002B2500"/>
    <w:rsid w:val="002B33C3"/>
    <w:rsid w:val="002B73FB"/>
    <w:rsid w:val="002C1232"/>
    <w:rsid w:val="002C1E44"/>
    <w:rsid w:val="002C33CB"/>
    <w:rsid w:val="002C4CF4"/>
    <w:rsid w:val="002C5C92"/>
    <w:rsid w:val="002C5E29"/>
    <w:rsid w:val="002D0192"/>
    <w:rsid w:val="002D0478"/>
    <w:rsid w:val="002D0585"/>
    <w:rsid w:val="002D0726"/>
    <w:rsid w:val="002D7127"/>
    <w:rsid w:val="002D7D01"/>
    <w:rsid w:val="002E7F30"/>
    <w:rsid w:val="002F241D"/>
    <w:rsid w:val="002F47F5"/>
    <w:rsid w:val="002F599E"/>
    <w:rsid w:val="003008D8"/>
    <w:rsid w:val="00301D9A"/>
    <w:rsid w:val="00302A44"/>
    <w:rsid w:val="00303959"/>
    <w:rsid w:val="0030454C"/>
    <w:rsid w:val="0030501B"/>
    <w:rsid w:val="00306002"/>
    <w:rsid w:val="00306E72"/>
    <w:rsid w:val="00310EC1"/>
    <w:rsid w:val="00312AC3"/>
    <w:rsid w:val="00314430"/>
    <w:rsid w:val="003163BC"/>
    <w:rsid w:val="003212D9"/>
    <w:rsid w:val="0032351A"/>
    <w:rsid w:val="00324B33"/>
    <w:rsid w:val="0032584E"/>
    <w:rsid w:val="00326129"/>
    <w:rsid w:val="00327488"/>
    <w:rsid w:val="00330DBD"/>
    <w:rsid w:val="0033594C"/>
    <w:rsid w:val="00336FE1"/>
    <w:rsid w:val="00337BD8"/>
    <w:rsid w:val="00342D56"/>
    <w:rsid w:val="003448BA"/>
    <w:rsid w:val="003456E7"/>
    <w:rsid w:val="00346EC2"/>
    <w:rsid w:val="003477F9"/>
    <w:rsid w:val="0035444D"/>
    <w:rsid w:val="003569CC"/>
    <w:rsid w:val="00356D62"/>
    <w:rsid w:val="003607D8"/>
    <w:rsid w:val="00363EE3"/>
    <w:rsid w:val="003659A4"/>
    <w:rsid w:val="003659C0"/>
    <w:rsid w:val="00365A73"/>
    <w:rsid w:val="0037179B"/>
    <w:rsid w:val="003735F3"/>
    <w:rsid w:val="00374729"/>
    <w:rsid w:val="003754FB"/>
    <w:rsid w:val="00377789"/>
    <w:rsid w:val="00387298"/>
    <w:rsid w:val="00387984"/>
    <w:rsid w:val="00391A9B"/>
    <w:rsid w:val="00391F56"/>
    <w:rsid w:val="00395140"/>
    <w:rsid w:val="003A2422"/>
    <w:rsid w:val="003A2C74"/>
    <w:rsid w:val="003A3E3D"/>
    <w:rsid w:val="003A6FDB"/>
    <w:rsid w:val="003B149C"/>
    <w:rsid w:val="003B25D0"/>
    <w:rsid w:val="003B3698"/>
    <w:rsid w:val="003B40BD"/>
    <w:rsid w:val="003C0FDB"/>
    <w:rsid w:val="003C1192"/>
    <w:rsid w:val="003C2CBD"/>
    <w:rsid w:val="003C55E2"/>
    <w:rsid w:val="003C63D5"/>
    <w:rsid w:val="003C7AA8"/>
    <w:rsid w:val="003D27A6"/>
    <w:rsid w:val="003D5F35"/>
    <w:rsid w:val="003D71A1"/>
    <w:rsid w:val="003E2D6F"/>
    <w:rsid w:val="003E3F6E"/>
    <w:rsid w:val="003E4710"/>
    <w:rsid w:val="003E63DF"/>
    <w:rsid w:val="003F3C6F"/>
    <w:rsid w:val="003F6AE6"/>
    <w:rsid w:val="003F7321"/>
    <w:rsid w:val="00400470"/>
    <w:rsid w:val="0040389A"/>
    <w:rsid w:val="0040561F"/>
    <w:rsid w:val="00406808"/>
    <w:rsid w:val="00412E98"/>
    <w:rsid w:val="00416535"/>
    <w:rsid w:val="0041688F"/>
    <w:rsid w:val="004231AF"/>
    <w:rsid w:val="0042376F"/>
    <w:rsid w:val="004246B8"/>
    <w:rsid w:val="004248F1"/>
    <w:rsid w:val="004259F0"/>
    <w:rsid w:val="00425FD5"/>
    <w:rsid w:val="00427C0F"/>
    <w:rsid w:val="00430FA5"/>
    <w:rsid w:val="00433318"/>
    <w:rsid w:val="00440497"/>
    <w:rsid w:val="00440650"/>
    <w:rsid w:val="004411D9"/>
    <w:rsid w:val="00442A56"/>
    <w:rsid w:val="004444B0"/>
    <w:rsid w:val="00446D19"/>
    <w:rsid w:val="00446F8A"/>
    <w:rsid w:val="0045060B"/>
    <w:rsid w:val="004626FF"/>
    <w:rsid w:val="0046285C"/>
    <w:rsid w:val="004639DA"/>
    <w:rsid w:val="00463F84"/>
    <w:rsid w:val="00466B78"/>
    <w:rsid w:val="0047068B"/>
    <w:rsid w:val="00470A52"/>
    <w:rsid w:val="00470D5B"/>
    <w:rsid w:val="00471BD5"/>
    <w:rsid w:val="0047521D"/>
    <w:rsid w:val="00477C4E"/>
    <w:rsid w:val="00477F07"/>
    <w:rsid w:val="00481503"/>
    <w:rsid w:val="00481D12"/>
    <w:rsid w:val="004854A6"/>
    <w:rsid w:val="00491A55"/>
    <w:rsid w:val="00494C3E"/>
    <w:rsid w:val="00497DF1"/>
    <w:rsid w:val="004A0E2A"/>
    <w:rsid w:val="004A1F65"/>
    <w:rsid w:val="004A2437"/>
    <w:rsid w:val="004A318E"/>
    <w:rsid w:val="004A45D4"/>
    <w:rsid w:val="004A57E8"/>
    <w:rsid w:val="004A6EB1"/>
    <w:rsid w:val="004B1844"/>
    <w:rsid w:val="004B19E8"/>
    <w:rsid w:val="004B3081"/>
    <w:rsid w:val="004B36DA"/>
    <w:rsid w:val="004B4A09"/>
    <w:rsid w:val="004C3A9C"/>
    <w:rsid w:val="004C3AEE"/>
    <w:rsid w:val="004C3B23"/>
    <w:rsid w:val="004C418D"/>
    <w:rsid w:val="004C41CE"/>
    <w:rsid w:val="004C431E"/>
    <w:rsid w:val="004C57A5"/>
    <w:rsid w:val="004C631B"/>
    <w:rsid w:val="004D0933"/>
    <w:rsid w:val="004D1326"/>
    <w:rsid w:val="004D2F00"/>
    <w:rsid w:val="004D31D8"/>
    <w:rsid w:val="004D35D1"/>
    <w:rsid w:val="004D3702"/>
    <w:rsid w:val="004D390D"/>
    <w:rsid w:val="004D4AD5"/>
    <w:rsid w:val="004D5388"/>
    <w:rsid w:val="004E0148"/>
    <w:rsid w:val="004E079E"/>
    <w:rsid w:val="004E0FF1"/>
    <w:rsid w:val="004E47B7"/>
    <w:rsid w:val="004E7F16"/>
    <w:rsid w:val="004F18EC"/>
    <w:rsid w:val="004F5CBE"/>
    <w:rsid w:val="004F6CCF"/>
    <w:rsid w:val="00500D68"/>
    <w:rsid w:val="00502387"/>
    <w:rsid w:val="00504CE7"/>
    <w:rsid w:val="00505287"/>
    <w:rsid w:val="00513D25"/>
    <w:rsid w:val="0051487D"/>
    <w:rsid w:val="00522C5C"/>
    <w:rsid w:val="005261DF"/>
    <w:rsid w:val="0053377D"/>
    <w:rsid w:val="00535DFE"/>
    <w:rsid w:val="00536498"/>
    <w:rsid w:val="005373B5"/>
    <w:rsid w:val="00537AB7"/>
    <w:rsid w:val="00543536"/>
    <w:rsid w:val="00543734"/>
    <w:rsid w:val="0054669B"/>
    <w:rsid w:val="00550780"/>
    <w:rsid w:val="00555135"/>
    <w:rsid w:val="0055546D"/>
    <w:rsid w:val="00557684"/>
    <w:rsid w:val="00560EC1"/>
    <w:rsid w:val="005610D1"/>
    <w:rsid w:val="00562F42"/>
    <w:rsid w:val="005648B8"/>
    <w:rsid w:val="00565739"/>
    <w:rsid w:val="00566498"/>
    <w:rsid w:val="0056766D"/>
    <w:rsid w:val="00575215"/>
    <w:rsid w:val="00575F76"/>
    <w:rsid w:val="005775D0"/>
    <w:rsid w:val="00577758"/>
    <w:rsid w:val="00580CC0"/>
    <w:rsid w:val="00581138"/>
    <w:rsid w:val="00585085"/>
    <w:rsid w:val="0058575E"/>
    <w:rsid w:val="0058783C"/>
    <w:rsid w:val="005911AE"/>
    <w:rsid w:val="005926E2"/>
    <w:rsid w:val="0059313A"/>
    <w:rsid w:val="005A40A1"/>
    <w:rsid w:val="005A54EA"/>
    <w:rsid w:val="005B023F"/>
    <w:rsid w:val="005B02A2"/>
    <w:rsid w:val="005B1417"/>
    <w:rsid w:val="005B6233"/>
    <w:rsid w:val="005B69CF"/>
    <w:rsid w:val="005B6DC2"/>
    <w:rsid w:val="005B7FC8"/>
    <w:rsid w:val="005C1247"/>
    <w:rsid w:val="005C3F07"/>
    <w:rsid w:val="005C4154"/>
    <w:rsid w:val="005C4B46"/>
    <w:rsid w:val="005C5DC5"/>
    <w:rsid w:val="005D0749"/>
    <w:rsid w:val="005D08E1"/>
    <w:rsid w:val="005D0E1E"/>
    <w:rsid w:val="005D2089"/>
    <w:rsid w:val="005D3E62"/>
    <w:rsid w:val="005D7514"/>
    <w:rsid w:val="005E0FC6"/>
    <w:rsid w:val="005E1A7B"/>
    <w:rsid w:val="005E231F"/>
    <w:rsid w:val="005E2755"/>
    <w:rsid w:val="005E35B8"/>
    <w:rsid w:val="005E6BFD"/>
    <w:rsid w:val="005E7F8F"/>
    <w:rsid w:val="005F6BB5"/>
    <w:rsid w:val="006002D1"/>
    <w:rsid w:val="00602D6E"/>
    <w:rsid w:val="00605C05"/>
    <w:rsid w:val="00606B27"/>
    <w:rsid w:val="00611351"/>
    <w:rsid w:val="0061217D"/>
    <w:rsid w:val="006129AE"/>
    <w:rsid w:val="006134C5"/>
    <w:rsid w:val="00622B5C"/>
    <w:rsid w:val="00622CDB"/>
    <w:rsid w:val="0062627B"/>
    <w:rsid w:val="00627567"/>
    <w:rsid w:val="006277A1"/>
    <w:rsid w:val="00633BD7"/>
    <w:rsid w:val="00634580"/>
    <w:rsid w:val="00634884"/>
    <w:rsid w:val="006351D9"/>
    <w:rsid w:val="00637130"/>
    <w:rsid w:val="00637F0E"/>
    <w:rsid w:val="006402E6"/>
    <w:rsid w:val="006423F2"/>
    <w:rsid w:val="006428C5"/>
    <w:rsid w:val="00646511"/>
    <w:rsid w:val="00650234"/>
    <w:rsid w:val="0066042A"/>
    <w:rsid w:val="0066044B"/>
    <w:rsid w:val="006630AA"/>
    <w:rsid w:val="00663544"/>
    <w:rsid w:val="00666539"/>
    <w:rsid w:val="00666911"/>
    <w:rsid w:val="00670BF6"/>
    <w:rsid w:val="00674114"/>
    <w:rsid w:val="00675112"/>
    <w:rsid w:val="00675196"/>
    <w:rsid w:val="00675F81"/>
    <w:rsid w:val="00680895"/>
    <w:rsid w:val="00680D2F"/>
    <w:rsid w:val="0068143E"/>
    <w:rsid w:val="006825BD"/>
    <w:rsid w:val="0068507D"/>
    <w:rsid w:val="00687373"/>
    <w:rsid w:val="00687399"/>
    <w:rsid w:val="00691AF2"/>
    <w:rsid w:val="00692B80"/>
    <w:rsid w:val="00692CCD"/>
    <w:rsid w:val="00692D51"/>
    <w:rsid w:val="00693C96"/>
    <w:rsid w:val="006946D7"/>
    <w:rsid w:val="00694DD7"/>
    <w:rsid w:val="00695F5C"/>
    <w:rsid w:val="0069636B"/>
    <w:rsid w:val="006979DF"/>
    <w:rsid w:val="006A1762"/>
    <w:rsid w:val="006A19CE"/>
    <w:rsid w:val="006A1F0B"/>
    <w:rsid w:val="006A277A"/>
    <w:rsid w:val="006A5629"/>
    <w:rsid w:val="006A5973"/>
    <w:rsid w:val="006B04F3"/>
    <w:rsid w:val="006B17A8"/>
    <w:rsid w:val="006B54BC"/>
    <w:rsid w:val="006B562C"/>
    <w:rsid w:val="006B56DB"/>
    <w:rsid w:val="006B5E64"/>
    <w:rsid w:val="006B7126"/>
    <w:rsid w:val="006C0B4E"/>
    <w:rsid w:val="006C6B86"/>
    <w:rsid w:val="006D2FC2"/>
    <w:rsid w:val="006D4553"/>
    <w:rsid w:val="006D4A35"/>
    <w:rsid w:val="006D6B44"/>
    <w:rsid w:val="006E0F71"/>
    <w:rsid w:val="006E27FE"/>
    <w:rsid w:val="006E3419"/>
    <w:rsid w:val="006F7570"/>
    <w:rsid w:val="00701110"/>
    <w:rsid w:val="00702273"/>
    <w:rsid w:val="00702E91"/>
    <w:rsid w:val="0070330F"/>
    <w:rsid w:val="00703624"/>
    <w:rsid w:val="007046ED"/>
    <w:rsid w:val="0070541F"/>
    <w:rsid w:val="007072A1"/>
    <w:rsid w:val="0071060C"/>
    <w:rsid w:val="00710BC5"/>
    <w:rsid w:val="00711844"/>
    <w:rsid w:val="007121CA"/>
    <w:rsid w:val="0072003B"/>
    <w:rsid w:val="00720DEA"/>
    <w:rsid w:val="00721059"/>
    <w:rsid w:val="007211E6"/>
    <w:rsid w:val="007220C4"/>
    <w:rsid w:val="00723383"/>
    <w:rsid w:val="007251CE"/>
    <w:rsid w:val="007305ED"/>
    <w:rsid w:val="00730D22"/>
    <w:rsid w:val="007311B9"/>
    <w:rsid w:val="00732361"/>
    <w:rsid w:val="007343DF"/>
    <w:rsid w:val="007357B9"/>
    <w:rsid w:val="00741AB9"/>
    <w:rsid w:val="00742D03"/>
    <w:rsid w:val="00744216"/>
    <w:rsid w:val="007452E8"/>
    <w:rsid w:val="007467E7"/>
    <w:rsid w:val="00746990"/>
    <w:rsid w:val="00747093"/>
    <w:rsid w:val="00750D70"/>
    <w:rsid w:val="007524F8"/>
    <w:rsid w:val="00756953"/>
    <w:rsid w:val="007575D0"/>
    <w:rsid w:val="00760DD0"/>
    <w:rsid w:val="00761315"/>
    <w:rsid w:val="007662E0"/>
    <w:rsid w:val="007676CA"/>
    <w:rsid w:val="00767DAA"/>
    <w:rsid w:val="00776E9C"/>
    <w:rsid w:val="007816D8"/>
    <w:rsid w:val="00784150"/>
    <w:rsid w:val="00793272"/>
    <w:rsid w:val="0079499A"/>
    <w:rsid w:val="00794B64"/>
    <w:rsid w:val="007951DE"/>
    <w:rsid w:val="0079657D"/>
    <w:rsid w:val="007967C3"/>
    <w:rsid w:val="007A0A33"/>
    <w:rsid w:val="007A460D"/>
    <w:rsid w:val="007A5774"/>
    <w:rsid w:val="007A5ADE"/>
    <w:rsid w:val="007B02CC"/>
    <w:rsid w:val="007B04DE"/>
    <w:rsid w:val="007B0AE6"/>
    <w:rsid w:val="007C0F0B"/>
    <w:rsid w:val="007C1B94"/>
    <w:rsid w:val="007C3885"/>
    <w:rsid w:val="007C57BC"/>
    <w:rsid w:val="007D04CA"/>
    <w:rsid w:val="007D0A2B"/>
    <w:rsid w:val="007D12A1"/>
    <w:rsid w:val="007D40E5"/>
    <w:rsid w:val="007D4138"/>
    <w:rsid w:val="007E4178"/>
    <w:rsid w:val="007E45C1"/>
    <w:rsid w:val="007E6346"/>
    <w:rsid w:val="007E6443"/>
    <w:rsid w:val="007E6FFC"/>
    <w:rsid w:val="007F0A77"/>
    <w:rsid w:val="007F1E37"/>
    <w:rsid w:val="007F50D3"/>
    <w:rsid w:val="007F6B1F"/>
    <w:rsid w:val="007F7238"/>
    <w:rsid w:val="008013F0"/>
    <w:rsid w:val="00803926"/>
    <w:rsid w:val="008039FA"/>
    <w:rsid w:val="00804897"/>
    <w:rsid w:val="00807E31"/>
    <w:rsid w:val="008174EF"/>
    <w:rsid w:val="00820876"/>
    <w:rsid w:val="008212B5"/>
    <w:rsid w:val="00821E93"/>
    <w:rsid w:val="00823E01"/>
    <w:rsid w:val="00825FA7"/>
    <w:rsid w:val="00827C1D"/>
    <w:rsid w:val="008302C3"/>
    <w:rsid w:val="008329DB"/>
    <w:rsid w:val="00835943"/>
    <w:rsid w:val="008361C5"/>
    <w:rsid w:val="0083628F"/>
    <w:rsid w:val="00837AB9"/>
    <w:rsid w:val="00840112"/>
    <w:rsid w:val="00842375"/>
    <w:rsid w:val="00850637"/>
    <w:rsid w:val="00854D98"/>
    <w:rsid w:val="00857112"/>
    <w:rsid w:val="008572A6"/>
    <w:rsid w:val="0085751E"/>
    <w:rsid w:val="00860B29"/>
    <w:rsid w:val="008622E8"/>
    <w:rsid w:val="008645EE"/>
    <w:rsid w:val="00870144"/>
    <w:rsid w:val="0087072C"/>
    <w:rsid w:val="0087086A"/>
    <w:rsid w:val="008710FD"/>
    <w:rsid w:val="00871312"/>
    <w:rsid w:val="00871418"/>
    <w:rsid w:val="0087187C"/>
    <w:rsid w:val="00873D7A"/>
    <w:rsid w:val="00877CB3"/>
    <w:rsid w:val="008804CF"/>
    <w:rsid w:val="00882D58"/>
    <w:rsid w:val="00882F19"/>
    <w:rsid w:val="00883D35"/>
    <w:rsid w:val="00884569"/>
    <w:rsid w:val="00884A3A"/>
    <w:rsid w:val="008871FE"/>
    <w:rsid w:val="008879AB"/>
    <w:rsid w:val="00887A51"/>
    <w:rsid w:val="0089038A"/>
    <w:rsid w:val="00890D9B"/>
    <w:rsid w:val="008914A2"/>
    <w:rsid w:val="00891C6C"/>
    <w:rsid w:val="0089290C"/>
    <w:rsid w:val="00893CA1"/>
    <w:rsid w:val="00893CCD"/>
    <w:rsid w:val="008964B3"/>
    <w:rsid w:val="008A2133"/>
    <w:rsid w:val="008A2346"/>
    <w:rsid w:val="008A2D7A"/>
    <w:rsid w:val="008A30AB"/>
    <w:rsid w:val="008B00C2"/>
    <w:rsid w:val="008B1CB5"/>
    <w:rsid w:val="008B680A"/>
    <w:rsid w:val="008B7ACB"/>
    <w:rsid w:val="008C0D0F"/>
    <w:rsid w:val="008C1337"/>
    <w:rsid w:val="008C2D69"/>
    <w:rsid w:val="008C30CB"/>
    <w:rsid w:val="008C4579"/>
    <w:rsid w:val="008C49C6"/>
    <w:rsid w:val="008C5A37"/>
    <w:rsid w:val="008C754C"/>
    <w:rsid w:val="008C7893"/>
    <w:rsid w:val="008D56C9"/>
    <w:rsid w:val="008D56CA"/>
    <w:rsid w:val="008D6A54"/>
    <w:rsid w:val="008D6C4C"/>
    <w:rsid w:val="008E2585"/>
    <w:rsid w:val="008E2D7A"/>
    <w:rsid w:val="008F23C2"/>
    <w:rsid w:val="008F3215"/>
    <w:rsid w:val="008F4A62"/>
    <w:rsid w:val="008F7256"/>
    <w:rsid w:val="0090229C"/>
    <w:rsid w:val="0090424C"/>
    <w:rsid w:val="0090605E"/>
    <w:rsid w:val="00906C74"/>
    <w:rsid w:val="009108CE"/>
    <w:rsid w:val="00913BE0"/>
    <w:rsid w:val="00915A9F"/>
    <w:rsid w:val="009175CE"/>
    <w:rsid w:val="009231A8"/>
    <w:rsid w:val="009265D1"/>
    <w:rsid w:val="00930D58"/>
    <w:rsid w:val="00932CC8"/>
    <w:rsid w:val="00935AAA"/>
    <w:rsid w:val="00940D60"/>
    <w:rsid w:val="0095031E"/>
    <w:rsid w:val="00950A0B"/>
    <w:rsid w:val="009526AA"/>
    <w:rsid w:val="009538AE"/>
    <w:rsid w:val="00954297"/>
    <w:rsid w:val="009575A9"/>
    <w:rsid w:val="00960A56"/>
    <w:rsid w:val="00961E0E"/>
    <w:rsid w:val="00966EF1"/>
    <w:rsid w:val="00967223"/>
    <w:rsid w:val="0097476A"/>
    <w:rsid w:val="009751F7"/>
    <w:rsid w:val="0097561B"/>
    <w:rsid w:val="0098168B"/>
    <w:rsid w:val="0098350E"/>
    <w:rsid w:val="00986E0F"/>
    <w:rsid w:val="00990C12"/>
    <w:rsid w:val="00992D22"/>
    <w:rsid w:val="0099373B"/>
    <w:rsid w:val="00993E19"/>
    <w:rsid w:val="0099404F"/>
    <w:rsid w:val="00994805"/>
    <w:rsid w:val="00996FA5"/>
    <w:rsid w:val="009A3EE6"/>
    <w:rsid w:val="009B0F5A"/>
    <w:rsid w:val="009B2E0A"/>
    <w:rsid w:val="009B5662"/>
    <w:rsid w:val="009C2211"/>
    <w:rsid w:val="009C22D6"/>
    <w:rsid w:val="009C2CA5"/>
    <w:rsid w:val="009C2D75"/>
    <w:rsid w:val="009C40E8"/>
    <w:rsid w:val="009C45C5"/>
    <w:rsid w:val="009C6B37"/>
    <w:rsid w:val="009C722B"/>
    <w:rsid w:val="009C7712"/>
    <w:rsid w:val="009D6589"/>
    <w:rsid w:val="009E2E51"/>
    <w:rsid w:val="009E399F"/>
    <w:rsid w:val="009E6858"/>
    <w:rsid w:val="009E6F8C"/>
    <w:rsid w:val="009F0540"/>
    <w:rsid w:val="009F16BB"/>
    <w:rsid w:val="009F405F"/>
    <w:rsid w:val="009F4526"/>
    <w:rsid w:val="00A01C56"/>
    <w:rsid w:val="00A04CD8"/>
    <w:rsid w:val="00A15FB3"/>
    <w:rsid w:val="00A24E20"/>
    <w:rsid w:val="00A27CBD"/>
    <w:rsid w:val="00A30278"/>
    <w:rsid w:val="00A32C50"/>
    <w:rsid w:val="00A358E7"/>
    <w:rsid w:val="00A36562"/>
    <w:rsid w:val="00A42799"/>
    <w:rsid w:val="00A4380B"/>
    <w:rsid w:val="00A46CDB"/>
    <w:rsid w:val="00A51A2D"/>
    <w:rsid w:val="00A5271C"/>
    <w:rsid w:val="00A5596B"/>
    <w:rsid w:val="00A57B7F"/>
    <w:rsid w:val="00A63C07"/>
    <w:rsid w:val="00A63D9B"/>
    <w:rsid w:val="00A63DE3"/>
    <w:rsid w:val="00A704DC"/>
    <w:rsid w:val="00A86426"/>
    <w:rsid w:val="00A86519"/>
    <w:rsid w:val="00A93DC6"/>
    <w:rsid w:val="00A9411A"/>
    <w:rsid w:val="00A97E74"/>
    <w:rsid w:val="00AA0073"/>
    <w:rsid w:val="00AA4A4B"/>
    <w:rsid w:val="00AA6682"/>
    <w:rsid w:val="00AB0613"/>
    <w:rsid w:val="00AB7C5C"/>
    <w:rsid w:val="00AB7CBF"/>
    <w:rsid w:val="00AC0B43"/>
    <w:rsid w:val="00AC204A"/>
    <w:rsid w:val="00AC663A"/>
    <w:rsid w:val="00AD0111"/>
    <w:rsid w:val="00AD0B68"/>
    <w:rsid w:val="00AD1CA6"/>
    <w:rsid w:val="00AD2176"/>
    <w:rsid w:val="00AD40C3"/>
    <w:rsid w:val="00AD426C"/>
    <w:rsid w:val="00AD4C72"/>
    <w:rsid w:val="00AD5451"/>
    <w:rsid w:val="00AE18BC"/>
    <w:rsid w:val="00AE1947"/>
    <w:rsid w:val="00AE27E8"/>
    <w:rsid w:val="00AE3792"/>
    <w:rsid w:val="00AE4CA8"/>
    <w:rsid w:val="00AF1C8B"/>
    <w:rsid w:val="00AF299B"/>
    <w:rsid w:val="00AF4836"/>
    <w:rsid w:val="00AF5C08"/>
    <w:rsid w:val="00AF635D"/>
    <w:rsid w:val="00AF68CB"/>
    <w:rsid w:val="00AF72F7"/>
    <w:rsid w:val="00AF7E43"/>
    <w:rsid w:val="00B02AE0"/>
    <w:rsid w:val="00B03F25"/>
    <w:rsid w:val="00B04584"/>
    <w:rsid w:val="00B05326"/>
    <w:rsid w:val="00B14545"/>
    <w:rsid w:val="00B14E60"/>
    <w:rsid w:val="00B15018"/>
    <w:rsid w:val="00B151BC"/>
    <w:rsid w:val="00B15FF4"/>
    <w:rsid w:val="00B17BA2"/>
    <w:rsid w:val="00B243C9"/>
    <w:rsid w:val="00B251A0"/>
    <w:rsid w:val="00B26DC3"/>
    <w:rsid w:val="00B30B9D"/>
    <w:rsid w:val="00B404B9"/>
    <w:rsid w:val="00B432AB"/>
    <w:rsid w:val="00B43347"/>
    <w:rsid w:val="00B43510"/>
    <w:rsid w:val="00B43A4A"/>
    <w:rsid w:val="00B4574D"/>
    <w:rsid w:val="00B45FC0"/>
    <w:rsid w:val="00B468E1"/>
    <w:rsid w:val="00B46BC0"/>
    <w:rsid w:val="00B46DFB"/>
    <w:rsid w:val="00B5141B"/>
    <w:rsid w:val="00B54BA4"/>
    <w:rsid w:val="00B55681"/>
    <w:rsid w:val="00B57AAD"/>
    <w:rsid w:val="00B61524"/>
    <w:rsid w:val="00B6374E"/>
    <w:rsid w:val="00B6458D"/>
    <w:rsid w:val="00B67020"/>
    <w:rsid w:val="00B72B16"/>
    <w:rsid w:val="00B74E58"/>
    <w:rsid w:val="00B80408"/>
    <w:rsid w:val="00B809BF"/>
    <w:rsid w:val="00B81397"/>
    <w:rsid w:val="00B8752E"/>
    <w:rsid w:val="00B92317"/>
    <w:rsid w:val="00B925DB"/>
    <w:rsid w:val="00B92DCA"/>
    <w:rsid w:val="00B9510C"/>
    <w:rsid w:val="00B95A0D"/>
    <w:rsid w:val="00B967BB"/>
    <w:rsid w:val="00B967FF"/>
    <w:rsid w:val="00B974B9"/>
    <w:rsid w:val="00BA1947"/>
    <w:rsid w:val="00BA3F6D"/>
    <w:rsid w:val="00BA4BE6"/>
    <w:rsid w:val="00BA4D68"/>
    <w:rsid w:val="00BA4FC0"/>
    <w:rsid w:val="00BA61E0"/>
    <w:rsid w:val="00BA657C"/>
    <w:rsid w:val="00BA7F7D"/>
    <w:rsid w:val="00BB1C14"/>
    <w:rsid w:val="00BB6847"/>
    <w:rsid w:val="00BB7F3D"/>
    <w:rsid w:val="00BB7F8F"/>
    <w:rsid w:val="00BC0A0B"/>
    <w:rsid w:val="00BC716A"/>
    <w:rsid w:val="00BD07DF"/>
    <w:rsid w:val="00BD1A33"/>
    <w:rsid w:val="00BD26F4"/>
    <w:rsid w:val="00BD5DBD"/>
    <w:rsid w:val="00BD5DF6"/>
    <w:rsid w:val="00BE0041"/>
    <w:rsid w:val="00BE6271"/>
    <w:rsid w:val="00BE640F"/>
    <w:rsid w:val="00BE6D2A"/>
    <w:rsid w:val="00BF3C49"/>
    <w:rsid w:val="00BF4638"/>
    <w:rsid w:val="00BF5130"/>
    <w:rsid w:val="00BF6F66"/>
    <w:rsid w:val="00C00844"/>
    <w:rsid w:val="00C00C85"/>
    <w:rsid w:val="00C00D00"/>
    <w:rsid w:val="00C03193"/>
    <w:rsid w:val="00C03BD6"/>
    <w:rsid w:val="00C059D0"/>
    <w:rsid w:val="00C06E18"/>
    <w:rsid w:val="00C07551"/>
    <w:rsid w:val="00C1109F"/>
    <w:rsid w:val="00C12D65"/>
    <w:rsid w:val="00C133AB"/>
    <w:rsid w:val="00C14BB6"/>
    <w:rsid w:val="00C20B56"/>
    <w:rsid w:val="00C22214"/>
    <w:rsid w:val="00C22E3A"/>
    <w:rsid w:val="00C22E83"/>
    <w:rsid w:val="00C24D4E"/>
    <w:rsid w:val="00C2536E"/>
    <w:rsid w:val="00C26BB1"/>
    <w:rsid w:val="00C26F72"/>
    <w:rsid w:val="00C309A7"/>
    <w:rsid w:val="00C31C54"/>
    <w:rsid w:val="00C335AB"/>
    <w:rsid w:val="00C34E21"/>
    <w:rsid w:val="00C407AB"/>
    <w:rsid w:val="00C4690D"/>
    <w:rsid w:val="00C528C0"/>
    <w:rsid w:val="00C52B7B"/>
    <w:rsid w:val="00C547CD"/>
    <w:rsid w:val="00C570FF"/>
    <w:rsid w:val="00C57CEA"/>
    <w:rsid w:val="00C60FEC"/>
    <w:rsid w:val="00C62B1C"/>
    <w:rsid w:val="00C63AC2"/>
    <w:rsid w:val="00C6574E"/>
    <w:rsid w:val="00C663D1"/>
    <w:rsid w:val="00C66C79"/>
    <w:rsid w:val="00C707FD"/>
    <w:rsid w:val="00C76DEB"/>
    <w:rsid w:val="00C811D8"/>
    <w:rsid w:val="00C816C6"/>
    <w:rsid w:val="00C863A7"/>
    <w:rsid w:val="00C86FE8"/>
    <w:rsid w:val="00C90502"/>
    <w:rsid w:val="00C912F4"/>
    <w:rsid w:val="00C9156F"/>
    <w:rsid w:val="00C9581A"/>
    <w:rsid w:val="00C97D29"/>
    <w:rsid w:val="00CA383A"/>
    <w:rsid w:val="00CA471A"/>
    <w:rsid w:val="00CB0550"/>
    <w:rsid w:val="00CB674A"/>
    <w:rsid w:val="00CB6813"/>
    <w:rsid w:val="00CC5219"/>
    <w:rsid w:val="00CD0E0F"/>
    <w:rsid w:val="00CD1EFA"/>
    <w:rsid w:val="00CD6056"/>
    <w:rsid w:val="00CD7106"/>
    <w:rsid w:val="00CE4A01"/>
    <w:rsid w:val="00CE562C"/>
    <w:rsid w:val="00CF03B9"/>
    <w:rsid w:val="00CF2FB9"/>
    <w:rsid w:val="00CF4ABD"/>
    <w:rsid w:val="00CF4EB0"/>
    <w:rsid w:val="00CF6A55"/>
    <w:rsid w:val="00CF6DC6"/>
    <w:rsid w:val="00CF6DCF"/>
    <w:rsid w:val="00D01DDB"/>
    <w:rsid w:val="00D078BE"/>
    <w:rsid w:val="00D13F8A"/>
    <w:rsid w:val="00D16F60"/>
    <w:rsid w:val="00D22007"/>
    <w:rsid w:val="00D22981"/>
    <w:rsid w:val="00D26914"/>
    <w:rsid w:val="00D3349B"/>
    <w:rsid w:val="00D3708E"/>
    <w:rsid w:val="00D379F0"/>
    <w:rsid w:val="00D424A8"/>
    <w:rsid w:val="00D44592"/>
    <w:rsid w:val="00D45F8D"/>
    <w:rsid w:val="00D4791F"/>
    <w:rsid w:val="00D51157"/>
    <w:rsid w:val="00D5431C"/>
    <w:rsid w:val="00D56382"/>
    <w:rsid w:val="00D56D91"/>
    <w:rsid w:val="00D6036F"/>
    <w:rsid w:val="00D62877"/>
    <w:rsid w:val="00D63760"/>
    <w:rsid w:val="00D6607B"/>
    <w:rsid w:val="00D6703F"/>
    <w:rsid w:val="00D734EB"/>
    <w:rsid w:val="00D73557"/>
    <w:rsid w:val="00D81BF9"/>
    <w:rsid w:val="00D82713"/>
    <w:rsid w:val="00D839DC"/>
    <w:rsid w:val="00D84BFF"/>
    <w:rsid w:val="00D86F00"/>
    <w:rsid w:val="00D918D5"/>
    <w:rsid w:val="00D93FBB"/>
    <w:rsid w:val="00D947DC"/>
    <w:rsid w:val="00D94C8E"/>
    <w:rsid w:val="00DB036D"/>
    <w:rsid w:val="00DB1372"/>
    <w:rsid w:val="00DB192C"/>
    <w:rsid w:val="00DB1CF3"/>
    <w:rsid w:val="00DB5425"/>
    <w:rsid w:val="00DB72A6"/>
    <w:rsid w:val="00DC33AF"/>
    <w:rsid w:val="00DC6611"/>
    <w:rsid w:val="00DD1188"/>
    <w:rsid w:val="00DD338A"/>
    <w:rsid w:val="00DD5AFB"/>
    <w:rsid w:val="00DD5D03"/>
    <w:rsid w:val="00DE1344"/>
    <w:rsid w:val="00DE6B58"/>
    <w:rsid w:val="00DF1CFD"/>
    <w:rsid w:val="00DF5BFE"/>
    <w:rsid w:val="00E0523F"/>
    <w:rsid w:val="00E1119E"/>
    <w:rsid w:val="00E11850"/>
    <w:rsid w:val="00E1324C"/>
    <w:rsid w:val="00E142B1"/>
    <w:rsid w:val="00E15841"/>
    <w:rsid w:val="00E23E50"/>
    <w:rsid w:val="00E25B17"/>
    <w:rsid w:val="00E26213"/>
    <w:rsid w:val="00E274DF"/>
    <w:rsid w:val="00E34D66"/>
    <w:rsid w:val="00E34FA4"/>
    <w:rsid w:val="00E35F18"/>
    <w:rsid w:val="00E362C4"/>
    <w:rsid w:val="00E3721E"/>
    <w:rsid w:val="00E43991"/>
    <w:rsid w:val="00E46CC2"/>
    <w:rsid w:val="00E47E0C"/>
    <w:rsid w:val="00E51813"/>
    <w:rsid w:val="00E52C0B"/>
    <w:rsid w:val="00E53D3F"/>
    <w:rsid w:val="00E549A0"/>
    <w:rsid w:val="00E5579B"/>
    <w:rsid w:val="00E57FF4"/>
    <w:rsid w:val="00E640E0"/>
    <w:rsid w:val="00E679D1"/>
    <w:rsid w:val="00E67C1C"/>
    <w:rsid w:val="00E70C86"/>
    <w:rsid w:val="00E72554"/>
    <w:rsid w:val="00E76BD2"/>
    <w:rsid w:val="00E77DAD"/>
    <w:rsid w:val="00E84016"/>
    <w:rsid w:val="00E86F86"/>
    <w:rsid w:val="00E9074D"/>
    <w:rsid w:val="00E91F11"/>
    <w:rsid w:val="00E9706D"/>
    <w:rsid w:val="00EA3591"/>
    <w:rsid w:val="00EA3AF4"/>
    <w:rsid w:val="00EA67EA"/>
    <w:rsid w:val="00EB56A0"/>
    <w:rsid w:val="00EC1B2B"/>
    <w:rsid w:val="00EC3C05"/>
    <w:rsid w:val="00EC5063"/>
    <w:rsid w:val="00ED50D8"/>
    <w:rsid w:val="00EE0F6A"/>
    <w:rsid w:val="00EE3906"/>
    <w:rsid w:val="00EE4B01"/>
    <w:rsid w:val="00EE60DA"/>
    <w:rsid w:val="00EE7DA4"/>
    <w:rsid w:val="00EF2671"/>
    <w:rsid w:val="00EF394B"/>
    <w:rsid w:val="00EF3F0B"/>
    <w:rsid w:val="00EF5583"/>
    <w:rsid w:val="00EF5D96"/>
    <w:rsid w:val="00EF64E5"/>
    <w:rsid w:val="00EF720F"/>
    <w:rsid w:val="00F0289D"/>
    <w:rsid w:val="00F02AEC"/>
    <w:rsid w:val="00F034DB"/>
    <w:rsid w:val="00F07572"/>
    <w:rsid w:val="00F157FC"/>
    <w:rsid w:val="00F21BD9"/>
    <w:rsid w:val="00F241C8"/>
    <w:rsid w:val="00F30AF3"/>
    <w:rsid w:val="00F32A1E"/>
    <w:rsid w:val="00F34D15"/>
    <w:rsid w:val="00F35F56"/>
    <w:rsid w:val="00F3784E"/>
    <w:rsid w:val="00F41422"/>
    <w:rsid w:val="00F43CD1"/>
    <w:rsid w:val="00F45AE0"/>
    <w:rsid w:val="00F56F50"/>
    <w:rsid w:val="00F60CF2"/>
    <w:rsid w:val="00F618AB"/>
    <w:rsid w:val="00F657B4"/>
    <w:rsid w:val="00F6798E"/>
    <w:rsid w:val="00F72725"/>
    <w:rsid w:val="00F74F2E"/>
    <w:rsid w:val="00F74F55"/>
    <w:rsid w:val="00F7649F"/>
    <w:rsid w:val="00F765C8"/>
    <w:rsid w:val="00F80333"/>
    <w:rsid w:val="00F8083B"/>
    <w:rsid w:val="00F815D1"/>
    <w:rsid w:val="00F82D1B"/>
    <w:rsid w:val="00F83792"/>
    <w:rsid w:val="00F8568E"/>
    <w:rsid w:val="00F85841"/>
    <w:rsid w:val="00F865A7"/>
    <w:rsid w:val="00FA0754"/>
    <w:rsid w:val="00FA1BC9"/>
    <w:rsid w:val="00FA49C3"/>
    <w:rsid w:val="00FB236E"/>
    <w:rsid w:val="00FB3127"/>
    <w:rsid w:val="00FB3F7B"/>
    <w:rsid w:val="00FB460D"/>
    <w:rsid w:val="00FB4B3D"/>
    <w:rsid w:val="00FB4C2A"/>
    <w:rsid w:val="00FB4CBE"/>
    <w:rsid w:val="00FB5D4D"/>
    <w:rsid w:val="00FC2107"/>
    <w:rsid w:val="00FC2918"/>
    <w:rsid w:val="00FC3D9D"/>
    <w:rsid w:val="00FC4318"/>
    <w:rsid w:val="00FC48FE"/>
    <w:rsid w:val="00FC6F56"/>
    <w:rsid w:val="00FC7131"/>
    <w:rsid w:val="00FC7EEB"/>
    <w:rsid w:val="00FD5B7D"/>
    <w:rsid w:val="00FE087C"/>
    <w:rsid w:val="00FE2236"/>
    <w:rsid w:val="00FE6218"/>
    <w:rsid w:val="00FE79A0"/>
    <w:rsid w:val="00FF0939"/>
    <w:rsid w:val="00FF2DAD"/>
    <w:rsid w:val="00FF3092"/>
    <w:rsid w:val="11EF73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05DAEDC5-DE92-46E6-9D0C-1C3A9785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1">
    <w:name w:val="heading 1"/>
    <w:basedOn w:val="Normal"/>
    <w:next w:val="Normal"/>
    <w:link w:val="Heading1Char"/>
    <w:uiPriority w:val="9"/>
    <w:qFormat/>
    <w:rsid w:val="00C528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7E45C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uiPriority w:val="99"/>
    <w:rsid w:val="00FE087C"/>
    <w:rPr>
      <w:rFonts w:ascii="Cambria" w:eastAsia="Cambria" w:hAnsi="Cambria" w:cs="Times New Roman"/>
      <w:color w:val="333F48"/>
      <w:sz w:val="17"/>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Heading1Char">
    <w:name w:val="Heading 1 Char"/>
    <w:basedOn w:val="DefaultParagraphFont"/>
    <w:link w:val="Heading1"/>
    <w:uiPriority w:val="9"/>
    <w:rsid w:val="00C528C0"/>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EA67EA"/>
    <w:pPr>
      <w:widowControl w:val="0"/>
      <w:autoSpaceDE w:val="0"/>
      <w:autoSpaceDN w:val="0"/>
      <w:spacing w:after="0" w:line="240" w:lineRule="auto"/>
      <w:ind w:left="107"/>
    </w:pPr>
    <w:rPr>
      <w:rFonts w:ascii="Times New Roman" w:eastAsia="Times New Roman" w:hAnsi="Times New Roman" w:cs="Times New Roman"/>
      <w:szCs w:val="22"/>
      <w:lang w:val="en-US"/>
    </w:rPr>
  </w:style>
  <w:style w:type="paragraph" w:customStyle="1" w:styleId="Tabletext0">
    <w:name w:val="Table text"/>
    <w:basedOn w:val="Normal"/>
    <w:link w:val="TabletextChar"/>
    <w:qFormat/>
    <w:rsid w:val="0010475A"/>
    <w:pPr>
      <w:spacing w:after="0" w:line="240" w:lineRule="auto"/>
    </w:pPr>
    <w:rPr>
      <w:rFonts w:ascii="Calibri" w:eastAsia="Cambria" w:hAnsi="Calibri" w:cs="Times New Roman"/>
      <w:sz w:val="19"/>
      <w:szCs w:val="22"/>
    </w:rPr>
  </w:style>
  <w:style w:type="character" w:styleId="EndnoteReference">
    <w:name w:val="endnote reference"/>
    <w:basedOn w:val="DefaultParagraphFont"/>
    <w:uiPriority w:val="99"/>
    <w:unhideWhenUsed/>
    <w:rsid w:val="0010475A"/>
    <w:rPr>
      <w:vertAlign w:val="superscript"/>
    </w:rPr>
  </w:style>
  <w:style w:type="character" w:customStyle="1" w:styleId="TabletextChar">
    <w:name w:val="Table text Char"/>
    <w:basedOn w:val="DefaultParagraphFont"/>
    <w:link w:val="Tabletext0"/>
    <w:rsid w:val="0010475A"/>
    <w:rPr>
      <w:rFonts w:ascii="Calibri" w:eastAsia="Cambria" w:hAnsi="Calibri" w:cs="Times New Roman"/>
      <w:sz w:val="19"/>
      <w:szCs w:val="22"/>
    </w:rPr>
  </w:style>
  <w:style w:type="paragraph" w:styleId="EndnoteText">
    <w:name w:val="endnote text"/>
    <w:basedOn w:val="Normal"/>
    <w:link w:val="EndnoteTextChar"/>
    <w:uiPriority w:val="99"/>
    <w:unhideWhenUsed/>
    <w:rsid w:val="00F74F55"/>
    <w:pPr>
      <w:spacing w:after="0" w:line="240" w:lineRule="auto"/>
    </w:pPr>
    <w:rPr>
      <w:rFonts w:ascii="Calibri" w:eastAsia="Cambria" w:hAnsi="Calibri" w:cs="Times New Roman"/>
      <w:sz w:val="20"/>
    </w:rPr>
  </w:style>
  <w:style w:type="character" w:customStyle="1" w:styleId="EndnoteTextChar">
    <w:name w:val="Endnote Text Char"/>
    <w:basedOn w:val="DefaultParagraphFont"/>
    <w:link w:val="EndnoteText"/>
    <w:uiPriority w:val="99"/>
    <w:rsid w:val="00F74F55"/>
    <w:rPr>
      <w:rFonts w:ascii="Calibri" w:eastAsia="Cambria" w:hAnsi="Calibri" w:cs="Times New Roman"/>
    </w:rPr>
  </w:style>
  <w:style w:type="character" w:customStyle="1" w:styleId="Heading7Char">
    <w:name w:val="Heading 7 Char"/>
    <w:basedOn w:val="DefaultParagraphFont"/>
    <w:link w:val="Heading7"/>
    <w:uiPriority w:val="9"/>
    <w:rsid w:val="007E45C1"/>
    <w:rPr>
      <w:rFonts w:asciiTheme="majorHAnsi" w:eastAsiaTheme="majorEastAsia" w:hAnsiTheme="majorHAnsi" w:cstheme="majorBidi"/>
      <w:i/>
      <w:iCs/>
      <w:color w:val="1F3763"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ga.gov.au/australian-public-assessment-report-auspar-guidance" TargetMode="External"/><Relationship Id="rId26" Type="http://schemas.openxmlformats.org/officeDocument/2006/relationships/hyperlink" Target="https://www.tga.gov.au/how-we-regulate/supply-therapeutic-good-0/supply-prescription-medicine/application-process/prescription-medicines-registration-process" TargetMode="External"/><Relationship Id="rId39" Type="http://schemas.openxmlformats.org/officeDocument/2006/relationships/theme" Target="theme/theme1.xml"/><Relationship Id="rId21" Type="http://schemas.openxmlformats.org/officeDocument/2006/relationships/hyperlink" Target="https://www.tga.gov.au/resources/artg/445678" TargetMode="External"/><Relationship Id="rId34" Type="http://schemas.openxmlformats.org/officeDocument/2006/relationships/hyperlink" Target="mailto:info@tga.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ga.gov.au/" TargetMode="External"/><Relationship Id="rId25" Type="http://schemas.openxmlformats.org/officeDocument/2006/relationships/hyperlink" Target="https://www.tga.gov.au/project-orbis"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ga.gov.au/resources/artg/445679"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obstetric-drug-information-services" TargetMode="External"/><Relationship Id="rId32" Type="http://schemas.openxmlformats.org/officeDocument/2006/relationships/header" Target="header4.xm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tga.gov.au/products/medicines/find-information-about-medicine/prescribing-medicines-pregnancy-database" TargetMode="External"/><Relationship Id="rId28" Type="http://schemas.microsoft.com/office/2007/relationships/hdphoto" Target="media/hdphoto1.wdp"/><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tga.copyright@tga.gov.au" TargetMode="External"/><Relationship Id="rId31" Type="http://schemas.openxmlformats.org/officeDocument/2006/relationships/hyperlink" Target="https://www.ebs.tg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black-triangle-scheme"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hyperlink" Target="https://www.tga.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tga.gov.au/sites/default/files/auspar-crizotinib-181018.pdf" TargetMode="External"/><Relationship Id="rId18" Type="http://schemas.openxmlformats.org/officeDocument/2006/relationships/hyperlink" Target="https://pubchem.ncbi.nlm.nih.gov/compound/Repotrectinib" TargetMode="External"/><Relationship Id="rId26" Type="http://schemas.openxmlformats.org/officeDocument/2006/relationships/hyperlink" Target="https://www.ema.europa.eu/en/documents/product-information/augtyro-epar-product-information_en.pdf" TargetMode="External"/><Relationship Id="rId21" Type="http://schemas.openxmlformats.org/officeDocument/2006/relationships/hyperlink" Target="https://www.ema.europa.eu/en/ich-q3b-r2-impurities-new-drug-products-scientific-guideline" TargetMode="External"/><Relationship Id="rId34" Type="http://schemas.openxmlformats.org/officeDocument/2006/relationships/hyperlink" Target="https://www.ebs.tga.gov.au/ebs/picmi/picmirepository.nsf/pdf?OpenAgent&amp;id=CP-2013-PI-02261-1&amp;d=20250430172310101" TargetMode="External"/><Relationship Id="rId7" Type="http://schemas.openxmlformats.org/officeDocument/2006/relationships/hyperlink" Target="https://interactiveguidelines.esmo.org/esmo-web-app/gl_toc/index.php?GL_id=111&amp;interactive_tool=291" TargetMode="External"/><Relationship Id="rId12" Type="http://schemas.openxmlformats.org/officeDocument/2006/relationships/hyperlink" Target="https://www.tga.gov.au/sites/default/files/auspar-entrectinib-201211.pdf" TargetMode="External"/><Relationship Id="rId17" Type="http://schemas.openxmlformats.org/officeDocument/2006/relationships/hyperlink" Target="https://clinicaltrials.gov/study/NCT06140836" TargetMode="External"/><Relationship Id="rId25" Type="http://schemas.openxmlformats.org/officeDocument/2006/relationships/hyperlink" Target="https://www.accessdata.fda.gov/drugsatfda_docs/label/2024/218213s001lbl.pdf" TargetMode="External"/><Relationship Id="rId33" Type="http://schemas.openxmlformats.org/officeDocument/2006/relationships/hyperlink" Target="https://www.fda.gov/science-research/science-and-research-special-topics/real-world-evidence" TargetMode="External"/><Relationship Id="rId2" Type="http://schemas.openxmlformats.org/officeDocument/2006/relationships/hyperlink" Target="https://www.aihw.gov.au/getmedia/5e4e34cf-9699-4561-8d1a-237996c620f7/aihw-can-144-data-tables-Ch-8-Mortality.xlsx.aspx" TargetMode="External"/><Relationship Id="rId16" Type="http://schemas.openxmlformats.org/officeDocument/2006/relationships/hyperlink" Target="https://clinicaltrials.gov/study/NCT04603807" TargetMode="External"/><Relationship Id="rId20" Type="http://schemas.openxmlformats.org/officeDocument/2006/relationships/hyperlink" Target="https://www.ema.europa.eu/en/ich-q3a-r2-impurities-new-drug-substances-scientific-guideline" TargetMode="External"/><Relationship Id="rId29" Type="http://schemas.openxmlformats.org/officeDocument/2006/relationships/hyperlink" Target="https://www.accessdata.fda.gov/drugsatfda_docs/label/2024/218213s001lbl.pdf" TargetMode="External"/><Relationship Id="rId1" Type="http://schemas.openxmlformats.org/officeDocument/2006/relationships/hyperlink" Target="https://www.aihw.gov.au/reports/cancer/cancer-in-australia-2021/summary" TargetMode="External"/><Relationship Id="rId6" Type="http://schemas.openxmlformats.org/officeDocument/2006/relationships/hyperlink" Target="https://www.tga.gov.au/products/medical-devices/specific-types-medical-devices/companion-diagnostics-cdx-list" TargetMode="External"/><Relationship Id="rId11" Type="http://schemas.openxmlformats.org/officeDocument/2006/relationships/hyperlink" Target="https://www.ebs.tga.gov.au/ebs/picmi/picmirepository.nsf/pdf?OpenAgent&amp;id=CP-2013-PI-02261-1&amp;d=20250430172310101" TargetMode="External"/><Relationship Id="rId24" Type="http://schemas.openxmlformats.org/officeDocument/2006/relationships/hyperlink" Target="https://www.ema.europa.eu/en/documents/product-information/augtyro-epar-product-information_en.pdf" TargetMode="External"/><Relationship Id="rId32" Type="http://schemas.openxmlformats.org/officeDocument/2006/relationships/hyperlink" Target="https://www9.health.gov.au/mbs/fullDisplay.cfm?type=item&amp;q=73437&amp;qt=item&amp;criteria=ros1" TargetMode="External"/><Relationship Id="rId37" Type="http://schemas.openxmlformats.org/officeDocument/2006/relationships/hyperlink" Target="https://doi.org/10.5858/arpa.2017-0502-RA" TargetMode="External"/><Relationship Id="rId5" Type="http://schemas.openxmlformats.org/officeDocument/2006/relationships/hyperlink" Target="https://www.msac.gov.au/applications/1454" TargetMode="External"/><Relationship Id="rId15" Type="http://schemas.openxmlformats.org/officeDocument/2006/relationships/hyperlink" Target="https://www.ema.europa.eu/en/documents/assessment-report/augtyro-epar-public-assessment-report_en.pdf" TargetMode="External"/><Relationship Id="rId23" Type="http://schemas.openxmlformats.org/officeDocument/2006/relationships/hyperlink" Target="https://www.accessdata.fda.gov/drugsatfda_docs/label/2024/218213s001lbl.pdf" TargetMode="External"/><Relationship Id="rId28" Type="http://schemas.openxmlformats.org/officeDocument/2006/relationships/hyperlink" Target="https://www.ebs.tga.gov.au/ebs/picmi/picmirepository.nsf/pdf?OpenAgent&amp;id=CP-2020-PI-01721-1&amp;d=20250430172310101" TargetMode="External"/><Relationship Id="rId36" Type="http://schemas.openxmlformats.org/officeDocument/2006/relationships/hyperlink" Target="https://clinicaltrials.gov/study/NCT06140836" TargetMode="External"/><Relationship Id="rId10" Type="http://schemas.openxmlformats.org/officeDocument/2006/relationships/hyperlink" Target="https://www.accessdata.fda.gov/drugsatfda_docs/nda/2023/218213Orig1s000TOC.cfm" TargetMode="External"/><Relationship Id="rId19" Type="http://schemas.openxmlformats.org/officeDocument/2006/relationships/hyperlink" Target="https://pubchem.ncbi.nlm.nih.gov/compound/Entrectinib" TargetMode="External"/><Relationship Id="rId31" Type="http://schemas.openxmlformats.org/officeDocument/2006/relationships/hyperlink" Target="https://www.accessdata.fda.gov/drugsatfda_docs/label/2024/218213s001lbl.pdf" TargetMode="External"/><Relationship Id="rId4" Type="http://schemas.openxmlformats.org/officeDocument/2006/relationships/hyperlink" Target="https://www.ema.europa.eu/en/documents/assessment-report/augtyro-epar-public-assessment-report_en.pdf" TargetMode="External"/><Relationship Id="rId9" Type="http://schemas.openxmlformats.org/officeDocument/2006/relationships/hyperlink" Target="https://www9.health.gov.au/mbs/fullDisplay.cfm?type=item&amp;q=73437&amp;qt=item&amp;criteria=ros1" TargetMode="External"/><Relationship Id="rId14" Type="http://schemas.openxmlformats.org/officeDocument/2006/relationships/hyperlink" Target="https://www.ebs.tga.gov.au/ebs/picmi/picmirepository.nsf/pdf?OpenAgent&amp;id=CP-2020-PI-01721-1&amp;d=20250430172310101" TargetMode="External"/><Relationship Id="rId22" Type="http://schemas.openxmlformats.org/officeDocument/2006/relationships/hyperlink" Target="https://www.ema.europa.eu/en/documents/assessment-report/augtyro-epar-public-assessment-report_en.pdf" TargetMode="External"/><Relationship Id="rId27" Type="http://schemas.openxmlformats.org/officeDocument/2006/relationships/hyperlink" Target="https://www.ebs.tga.gov.au/ebs/picmi/picmirepository.nsf/pdf?OpenAgent&amp;id=CP-2013-PI-02261-1&amp;d=20250430172310101" TargetMode="External"/><Relationship Id="rId30" Type="http://schemas.openxmlformats.org/officeDocument/2006/relationships/hyperlink" Target="https://www.ema.europa.eu/en/documents/product-information/augtyro-epar-product-information_en.pdf" TargetMode="External"/><Relationship Id="rId35" Type="http://schemas.openxmlformats.org/officeDocument/2006/relationships/hyperlink" Target="https://clinicaltrials.gov/study/NCT04603807" TargetMode="External"/><Relationship Id="rId8" Type="http://schemas.openxmlformats.org/officeDocument/2006/relationships/hyperlink" Target="https://www.nccn.org/professionals/physician_gls/pdf/nscl.pdf" TargetMode="External"/><Relationship Id="rId3" Type="http://schemas.openxmlformats.org/officeDocument/2006/relationships/hyperlink" Target="https://www.aihw.gov.au/reports/cancer/cancer-in-australia-2019"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46b709-8ecf-42fd-81b0-d282e67de71a">
      <Terms xmlns="http://schemas.microsoft.com/office/infopath/2007/PartnerControls"/>
    </lcf76f155ced4ddcb4097134ff3c332f>
    <TaxCatchAll xmlns="4212292e-fee3-4e58-b645-17c47387aa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78E1642ACF814DAE5C915C9F90BBB2" ma:contentTypeVersion="17" ma:contentTypeDescription="Create a new document." ma:contentTypeScope="" ma:versionID="311a734e1709d322dc907ced655bdd28">
  <xsd:schema xmlns:xsd="http://www.w3.org/2001/XMLSchema" xmlns:xs="http://www.w3.org/2001/XMLSchema" xmlns:p="http://schemas.microsoft.com/office/2006/metadata/properties" xmlns:ns2="8a46b709-8ecf-42fd-81b0-d282e67de71a" xmlns:ns3="4212292e-fee3-4e58-b645-17c47387aa0e" targetNamespace="http://schemas.microsoft.com/office/2006/metadata/properties" ma:root="true" ma:fieldsID="1392f33924735d8138316c10c7cc937c" ns2:_="" ns3:_="">
    <xsd:import namespace="8a46b709-8ecf-42fd-81b0-d282e67de71a"/>
    <xsd:import namespace="4212292e-fee3-4e58-b645-17c47387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6b709-8ecf-42fd-81b0-d282e67de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2292e-fee3-4e58-b645-17c47387aa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3151a9-9420-42c1-97d3-0cfd098718a8}" ma:internalName="TaxCatchAll" ma:showField="CatchAllData" ma:web="4212292e-fee3-4e58-b645-17c47387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243A2-0725-4046-A2FC-13309544B40C}">
  <ds:schemaRefs>
    <ds:schemaRef ds:uri="http://schemas.microsoft.com/sharepoint/v3/contenttype/forms"/>
  </ds:schemaRefs>
</ds:datastoreItem>
</file>

<file path=customXml/itemProps2.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customXml/itemProps3.xml><?xml version="1.0" encoding="utf-8"?>
<ds:datastoreItem xmlns:ds="http://schemas.openxmlformats.org/officeDocument/2006/customXml" ds:itemID="{808A7F1F-89D8-408A-82E0-BA1783468F0E}">
  <ds:schemaRefs>
    <ds:schemaRef ds:uri="http://schemas.microsoft.com/office/2006/metadata/properties"/>
    <ds:schemaRef ds:uri="http://schemas.microsoft.com/office/infopath/2007/PartnerControls"/>
    <ds:schemaRef ds:uri="8a46b709-8ecf-42fd-81b0-d282e67de71a"/>
    <ds:schemaRef ds:uri="4212292e-fee3-4e58-b645-17c47387aa0e"/>
  </ds:schemaRefs>
</ds:datastoreItem>
</file>

<file path=customXml/itemProps4.xml><?xml version="1.0" encoding="utf-8"?>
<ds:datastoreItem xmlns:ds="http://schemas.openxmlformats.org/officeDocument/2006/customXml" ds:itemID="{DBC27032-8396-4E1C-9F42-27786ED0C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6b709-8ecf-42fd-81b0-d282e67de71a"/>
    <ds:schemaRef ds:uri="4212292e-fee3-4e58-b645-17c47387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13893</Words>
  <Characters>79335</Characters>
  <Application>Microsoft Office Word</Application>
  <DocSecurity>0</DocSecurity>
  <Lines>2034</Lines>
  <Paragraphs>1210</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Disability and Ageing</Company>
  <LinksUpToDate>false</LinksUpToDate>
  <CharactersWithSpaces>92018</CharactersWithSpaces>
  <SharedDoc>false</SharedDoc>
  <HLinks>
    <vt:vector size="456" baseType="variant">
      <vt:variant>
        <vt:i4>3473445</vt:i4>
      </vt:variant>
      <vt:variant>
        <vt:i4>210</vt:i4>
      </vt:variant>
      <vt:variant>
        <vt:i4>0</vt:i4>
      </vt:variant>
      <vt:variant>
        <vt:i4>5</vt:i4>
      </vt:variant>
      <vt:variant>
        <vt:lpwstr>https://www.tga.gov.au/</vt:lpwstr>
      </vt:variant>
      <vt:variant>
        <vt:lpwstr/>
      </vt:variant>
      <vt:variant>
        <vt:i4>5242926</vt:i4>
      </vt:variant>
      <vt:variant>
        <vt:i4>207</vt:i4>
      </vt:variant>
      <vt:variant>
        <vt:i4>0</vt:i4>
      </vt:variant>
      <vt:variant>
        <vt:i4>5</vt:i4>
      </vt:variant>
      <vt:variant>
        <vt:lpwstr>mailto:info@tga.gov.au</vt:lpwstr>
      </vt:variant>
      <vt:variant>
        <vt:lpwstr/>
      </vt:variant>
      <vt:variant>
        <vt:i4>7929907</vt:i4>
      </vt:variant>
      <vt:variant>
        <vt:i4>204</vt:i4>
      </vt:variant>
      <vt:variant>
        <vt:i4>0</vt:i4>
      </vt:variant>
      <vt:variant>
        <vt:i4>5</vt:i4>
      </vt:variant>
      <vt:variant>
        <vt:lpwstr>https://www.ebs.tga.gov.au/</vt:lpwstr>
      </vt:variant>
      <vt:variant>
        <vt:lpwstr/>
      </vt:variant>
      <vt:variant>
        <vt:i4>1835097</vt:i4>
      </vt:variant>
      <vt:variant>
        <vt:i4>180</vt:i4>
      </vt:variant>
      <vt:variant>
        <vt:i4>0</vt:i4>
      </vt:variant>
      <vt:variant>
        <vt:i4>5</vt:i4>
      </vt:variant>
      <vt:variant>
        <vt:lpwstr>https://www.tga.gov.au/how-we-regulate/supply-therapeutic-good-0/supply-prescription-medicine/application-process/prescription-medicines-registration-process</vt:lpwstr>
      </vt:variant>
      <vt:variant>
        <vt:lpwstr/>
      </vt:variant>
      <vt:variant>
        <vt:i4>4522055</vt:i4>
      </vt:variant>
      <vt:variant>
        <vt:i4>177</vt:i4>
      </vt:variant>
      <vt:variant>
        <vt:i4>0</vt:i4>
      </vt:variant>
      <vt:variant>
        <vt:i4>5</vt:i4>
      </vt:variant>
      <vt:variant>
        <vt:lpwstr>https://www.tga.gov.au/project-orbis</vt:lpwstr>
      </vt:variant>
      <vt:variant>
        <vt:lpwstr/>
      </vt:variant>
      <vt:variant>
        <vt:i4>3670063</vt:i4>
      </vt:variant>
      <vt:variant>
        <vt:i4>174</vt:i4>
      </vt:variant>
      <vt:variant>
        <vt:i4>0</vt:i4>
      </vt:variant>
      <vt:variant>
        <vt:i4>5</vt:i4>
      </vt:variant>
      <vt:variant>
        <vt:lpwstr>https://www.tga.gov.au/obstetric-drug-information-services</vt:lpwstr>
      </vt:variant>
      <vt:variant>
        <vt:lpwstr/>
      </vt:variant>
      <vt:variant>
        <vt:i4>2949173</vt:i4>
      </vt:variant>
      <vt:variant>
        <vt:i4>171</vt:i4>
      </vt:variant>
      <vt:variant>
        <vt:i4>0</vt:i4>
      </vt:variant>
      <vt:variant>
        <vt:i4>5</vt:i4>
      </vt:variant>
      <vt:variant>
        <vt:lpwstr>https://www.tga.gov.au/products/medicines/find-information-about-medicine/prescribing-medicines-pregnancy-database</vt:lpwstr>
      </vt:variant>
      <vt:variant>
        <vt:lpwstr/>
      </vt:variant>
      <vt:variant>
        <vt:i4>786511</vt:i4>
      </vt:variant>
      <vt:variant>
        <vt:i4>168</vt:i4>
      </vt:variant>
      <vt:variant>
        <vt:i4>0</vt:i4>
      </vt:variant>
      <vt:variant>
        <vt:i4>5</vt:i4>
      </vt:variant>
      <vt:variant>
        <vt:lpwstr>https://www.tga.gov.au/black-triangle-scheme</vt:lpwstr>
      </vt:variant>
      <vt:variant>
        <vt:lpwstr/>
      </vt:variant>
      <vt:variant>
        <vt:i4>5308443</vt:i4>
      </vt:variant>
      <vt:variant>
        <vt:i4>165</vt:i4>
      </vt:variant>
      <vt:variant>
        <vt:i4>0</vt:i4>
      </vt:variant>
      <vt:variant>
        <vt:i4>5</vt:i4>
      </vt:variant>
      <vt:variant>
        <vt:lpwstr>https://www.tga.gov.au/resources/artg/445678</vt:lpwstr>
      </vt:variant>
      <vt:variant>
        <vt:lpwstr/>
      </vt:variant>
      <vt:variant>
        <vt:i4>5242907</vt:i4>
      </vt:variant>
      <vt:variant>
        <vt:i4>162</vt:i4>
      </vt:variant>
      <vt:variant>
        <vt:i4>0</vt:i4>
      </vt:variant>
      <vt:variant>
        <vt:i4>5</vt:i4>
      </vt:variant>
      <vt:variant>
        <vt:lpwstr>https://www.tga.gov.au/resources/artg/445679</vt:lpwstr>
      </vt:variant>
      <vt:variant>
        <vt:lpwstr/>
      </vt:variant>
      <vt:variant>
        <vt:i4>1376309</vt:i4>
      </vt:variant>
      <vt:variant>
        <vt:i4>155</vt:i4>
      </vt:variant>
      <vt:variant>
        <vt:i4>0</vt:i4>
      </vt:variant>
      <vt:variant>
        <vt:i4>5</vt:i4>
      </vt:variant>
      <vt:variant>
        <vt:lpwstr/>
      </vt:variant>
      <vt:variant>
        <vt:lpwstr>_Toc216258494</vt:lpwstr>
      </vt:variant>
      <vt:variant>
        <vt:i4>1376309</vt:i4>
      </vt:variant>
      <vt:variant>
        <vt:i4>149</vt:i4>
      </vt:variant>
      <vt:variant>
        <vt:i4>0</vt:i4>
      </vt:variant>
      <vt:variant>
        <vt:i4>5</vt:i4>
      </vt:variant>
      <vt:variant>
        <vt:lpwstr/>
      </vt:variant>
      <vt:variant>
        <vt:lpwstr>_Toc216258493</vt:lpwstr>
      </vt:variant>
      <vt:variant>
        <vt:i4>1376309</vt:i4>
      </vt:variant>
      <vt:variant>
        <vt:i4>143</vt:i4>
      </vt:variant>
      <vt:variant>
        <vt:i4>0</vt:i4>
      </vt:variant>
      <vt:variant>
        <vt:i4>5</vt:i4>
      </vt:variant>
      <vt:variant>
        <vt:lpwstr/>
      </vt:variant>
      <vt:variant>
        <vt:lpwstr>_Toc216258492</vt:lpwstr>
      </vt:variant>
      <vt:variant>
        <vt:i4>1376309</vt:i4>
      </vt:variant>
      <vt:variant>
        <vt:i4>137</vt:i4>
      </vt:variant>
      <vt:variant>
        <vt:i4>0</vt:i4>
      </vt:variant>
      <vt:variant>
        <vt:i4>5</vt:i4>
      </vt:variant>
      <vt:variant>
        <vt:lpwstr/>
      </vt:variant>
      <vt:variant>
        <vt:lpwstr>_Toc216258491</vt:lpwstr>
      </vt:variant>
      <vt:variant>
        <vt:i4>1376309</vt:i4>
      </vt:variant>
      <vt:variant>
        <vt:i4>131</vt:i4>
      </vt:variant>
      <vt:variant>
        <vt:i4>0</vt:i4>
      </vt:variant>
      <vt:variant>
        <vt:i4>5</vt:i4>
      </vt:variant>
      <vt:variant>
        <vt:lpwstr/>
      </vt:variant>
      <vt:variant>
        <vt:lpwstr>_Toc216258490</vt:lpwstr>
      </vt:variant>
      <vt:variant>
        <vt:i4>1310773</vt:i4>
      </vt:variant>
      <vt:variant>
        <vt:i4>125</vt:i4>
      </vt:variant>
      <vt:variant>
        <vt:i4>0</vt:i4>
      </vt:variant>
      <vt:variant>
        <vt:i4>5</vt:i4>
      </vt:variant>
      <vt:variant>
        <vt:lpwstr/>
      </vt:variant>
      <vt:variant>
        <vt:lpwstr>_Toc216258489</vt:lpwstr>
      </vt:variant>
      <vt:variant>
        <vt:i4>1310773</vt:i4>
      </vt:variant>
      <vt:variant>
        <vt:i4>119</vt:i4>
      </vt:variant>
      <vt:variant>
        <vt:i4>0</vt:i4>
      </vt:variant>
      <vt:variant>
        <vt:i4>5</vt:i4>
      </vt:variant>
      <vt:variant>
        <vt:lpwstr/>
      </vt:variant>
      <vt:variant>
        <vt:lpwstr>_Toc216258488</vt:lpwstr>
      </vt:variant>
      <vt:variant>
        <vt:i4>1310773</vt:i4>
      </vt:variant>
      <vt:variant>
        <vt:i4>113</vt:i4>
      </vt:variant>
      <vt:variant>
        <vt:i4>0</vt:i4>
      </vt:variant>
      <vt:variant>
        <vt:i4>5</vt:i4>
      </vt:variant>
      <vt:variant>
        <vt:lpwstr/>
      </vt:variant>
      <vt:variant>
        <vt:lpwstr>_Toc216258487</vt:lpwstr>
      </vt:variant>
      <vt:variant>
        <vt:i4>1310773</vt:i4>
      </vt:variant>
      <vt:variant>
        <vt:i4>107</vt:i4>
      </vt:variant>
      <vt:variant>
        <vt:i4>0</vt:i4>
      </vt:variant>
      <vt:variant>
        <vt:i4>5</vt:i4>
      </vt:variant>
      <vt:variant>
        <vt:lpwstr/>
      </vt:variant>
      <vt:variant>
        <vt:lpwstr>_Toc216258486</vt:lpwstr>
      </vt:variant>
      <vt:variant>
        <vt:i4>1310773</vt:i4>
      </vt:variant>
      <vt:variant>
        <vt:i4>101</vt:i4>
      </vt:variant>
      <vt:variant>
        <vt:i4>0</vt:i4>
      </vt:variant>
      <vt:variant>
        <vt:i4>5</vt:i4>
      </vt:variant>
      <vt:variant>
        <vt:lpwstr/>
      </vt:variant>
      <vt:variant>
        <vt:lpwstr>_Toc216258485</vt:lpwstr>
      </vt:variant>
      <vt:variant>
        <vt:i4>1310773</vt:i4>
      </vt:variant>
      <vt:variant>
        <vt:i4>95</vt:i4>
      </vt:variant>
      <vt:variant>
        <vt:i4>0</vt:i4>
      </vt:variant>
      <vt:variant>
        <vt:i4>5</vt:i4>
      </vt:variant>
      <vt:variant>
        <vt:lpwstr/>
      </vt:variant>
      <vt:variant>
        <vt:lpwstr>_Toc216258484</vt:lpwstr>
      </vt:variant>
      <vt:variant>
        <vt:i4>1310773</vt:i4>
      </vt:variant>
      <vt:variant>
        <vt:i4>89</vt:i4>
      </vt:variant>
      <vt:variant>
        <vt:i4>0</vt:i4>
      </vt:variant>
      <vt:variant>
        <vt:i4>5</vt:i4>
      </vt:variant>
      <vt:variant>
        <vt:lpwstr/>
      </vt:variant>
      <vt:variant>
        <vt:lpwstr>_Toc216258483</vt:lpwstr>
      </vt:variant>
      <vt:variant>
        <vt:i4>1310773</vt:i4>
      </vt:variant>
      <vt:variant>
        <vt:i4>83</vt:i4>
      </vt:variant>
      <vt:variant>
        <vt:i4>0</vt:i4>
      </vt:variant>
      <vt:variant>
        <vt:i4>5</vt:i4>
      </vt:variant>
      <vt:variant>
        <vt:lpwstr/>
      </vt:variant>
      <vt:variant>
        <vt:lpwstr>_Toc216258482</vt:lpwstr>
      </vt:variant>
      <vt:variant>
        <vt:i4>1310773</vt:i4>
      </vt:variant>
      <vt:variant>
        <vt:i4>77</vt:i4>
      </vt:variant>
      <vt:variant>
        <vt:i4>0</vt:i4>
      </vt:variant>
      <vt:variant>
        <vt:i4>5</vt:i4>
      </vt:variant>
      <vt:variant>
        <vt:lpwstr/>
      </vt:variant>
      <vt:variant>
        <vt:lpwstr>_Toc216258481</vt:lpwstr>
      </vt:variant>
      <vt:variant>
        <vt:i4>1310773</vt:i4>
      </vt:variant>
      <vt:variant>
        <vt:i4>71</vt:i4>
      </vt:variant>
      <vt:variant>
        <vt:i4>0</vt:i4>
      </vt:variant>
      <vt:variant>
        <vt:i4>5</vt:i4>
      </vt:variant>
      <vt:variant>
        <vt:lpwstr/>
      </vt:variant>
      <vt:variant>
        <vt:lpwstr>_Toc216258480</vt:lpwstr>
      </vt:variant>
      <vt:variant>
        <vt:i4>1769525</vt:i4>
      </vt:variant>
      <vt:variant>
        <vt:i4>65</vt:i4>
      </vt:variant>
      <vt:variant>
        <vt:i4>0</vt:i4>
      </vt:variant>
      <vt:variant>
        <vt:i4>5</vt:i4>
      </vt:variant>
      <vt:variant>
        <vt:lpwstr/>
      </vt:variant>
      <vt:variant>
        <vt:lpwstr>_Toc216258479</vt:lpwstr>
      </vt:variant>
      <vt:variant>
        <vt:i4>1769525</vt:i4>
      </vt:variant>
      <vt:variant>
        <vt:i4>59</vt:i4>
      </vt:variant>
      <vt:variant>
        <vt:i4>0</vt:i4>
      </vt:variant>
      <vt:variant>
        <vt:i4>5</vt:i4>
      </vt:variant>
      <vt:variant>
        <vt:lpwstr/>
      </vt:variant>
      <vt:variant>
        <vt:lpwstr>_Toc216258478</vt:lpwstr>
      </vt:variant>
      <vt:variant>
        <vt:i4>1769525</vt:i4>
      </vt:variant>
      <vt:variant>
        <vt:i4>53</vt:i4>
      </vt:variant>
      <vt:variant>
        <vt:i4>0</vt:i4>
      </vt:variant>
      <vt:variant>
        <vt:i4>5</vt:i4>
      </vt:variant>
      <vt:variant>
        <vt:lpwstr/>
      </vt:variant>
      <vt:variant>
        <vt:lpwstr>_Toc216258477</vt:lpwstr>
      </vt:variant>
      <vt:variant>
        <vt:i4>1769525</vt:i4>
      </vt:variant>
      <vt:variant>
        <vt:i4>47</vt:i4>
      </vt:variant>
      <vt:variant>
        <vt:i4>0</vt:i4>
      </vt:variant>
      <vt:variant>
        <vt:i4>5</vt:i4>
      </vt:variant>
      <vt:variant>
        <vt:lpwstr/>
      </vt:variant>
      <vt:variant>
        <vt:lpwstr>_Toc216258476</vt:lpwstr>
      </vt:variant>
      <vt:variant>
        <vt:i4>1769525</vt:i4>
      </vt:variant>
      <vt:variant>
        <vt:i4>41</vt:i4>
      </vt:variant>
      <vt:variant>
        <vt:i4>0</vt:i4>
      </vt:variant>
      <vt:variant>
        <vt:i4>5</vt:i4>
      </vt:variant>
      <vt:variant>
        <vt:lpwstr/>
      </vt:variant>
      <vt:variant>
        <vt:lpwstr>_Toc216258475</vt:lpwstr>
      </vt:variant>
      <vt:variant>
        <vt:i4>1769525</vt:i4>
      </vt:variant>
      <vt:variant>
        <vt:i4>35</vt:i4>
      </vt:variant>
      <vt:variant>
        <vt:i4>0</vt:i4>
      </vt:variant>
      <vt:variant>
        <vt:i4>5</vt:i4>
      </vt:variant>
      <vt:variant>
        <vt:lpwstr/>
      </vt:variant>
      <vt:variant>
        <vt:lpwstr>_Toc216258474</vt:lpwstr>
      </vt:variant>
      <vt:variant>
        <vt:i4>1769525</vt:i4>
      </vt:variant>
      <vt:variant>
        <vt:i4>29</vt:i4>
      </vt:variant>
      <vt:variant>
        <vt:i4>0</vt:i4>
      </vt:variant>
      <vt:variant>
        <vt:i4>5</vt:i4>
      </vt:variant>
      <vt:variant>
        <vt:lpwstr/>
      </vt:variant>
      <vt:variant>
        <vt:lpwstr>_Toc216258473</vt:lpwstr>
      </vt:variant>
      <vt:variant>
        <vt:i4>1769525</vt:i4>
      </vt:variant>
      <vt:variant>
        <vt:i4>23</vt:i4>
      </vt:variant>
      <vt:variant>
        <vt:i4>0</vt:i4>
      </vt:variant>
      <vt:variant>
        <vt:i4>5</vt:i4>
      </vt:variant>
      <vt:variant>
        <vt:lpwstr/>
      </vt:variant>
      <vt:variant>
        <vt:lpwstr>_Toc216258472</vt:lpwstr>
      </vt:variant>
      <vt:variant>
        <vt:i4>1769525</vt:i4>
      </vt:variant>
      <vt:variant>
        <vt:i4>17</vt:i4>
      </vt:variant>
      <vt:variant>
        <vt:i4>0</vt:i4>
      </vt:variant>
      <vt:variant>
        <vt:i4>5</vt:i4>
      </vt:variant>
      <vt:variant>
        <vt:lpwstr/>
      </vt:variant>
      <vt:variant>
        <vt:lpwstr>_Toc216258471</vt:lpwstr>
      </vt:variant>
      <vt:variant>
        <vt:i4>1769525</vt:i4>
      </vt:variant>
      <vt:variant>
        <vt:i4>11</vt:i4>
      </vt:variant>
      <vt:variant>
        <vt:i4>0</vt:i4>
      </vt:variant>
      <vt:variant>
        <vt:i4>5</vt:i4>
      </vt:variant>
      <vt:variant>
        <vt:lpwstr/>
      </vt:variant>
      <vt:variant>
        <vt:lpwstr>_Toc216258470</vt:lpwstr>
      </vt:variant>
      <vt:variant>
        <vt:i4>6291548</vt:i4>
      </vt:variant>
      <vt:variant>
        <vt:i4>6</vt:i4>
      </vt:variant>
      <vt:variant>
        <vt:i4>0</vt:i4>
      </vt:variant>
      <vt:variant>
        <vt:i4>5</vt:i4>
      </vt:variant>
      <vt:variant>
        <vt:lpwstr>mailto:tga.copyright@tga.gov.au</vt:lpwstr>
      </vt:variant>
      <vt:variant>
        <vt:lpwstr/>
      </vt:variant>
      <vt:variant>
        <vt:i4>7995497</vt:i4>
      </vt:variant>
      <vt:variant>
        <vt:i4>3</vt:i4>
      </vt:variant>
      <vt:variant>
        <vt:i4>0</vt:i4>
      </vt:variant>
      <vt:variant>
        <vt:i4>5</vt:i4>
      </vt:variant>
      <vt:variant>
        <vt:lpwstr>https://www.tga.gov.au/australian-public-assessment-report-auspar-guidance</vt:lpwstr>
      </vt:variant>
      <vt:variant>
        <vt:lpwstr/>
      </vt:variant>
      <vt:variant>
        <vt:i4>3473445</vt:i4>
      </vt:variant>
      <vt:variant>
        <vt:i4>0</vt:i4>
      </vt:variant>
      <vt:variant>
        <vt:i4>0</vt:i4>
      </vt:variant>
      <vt:variant>
        <vt:i4>5</vt:i4>
      </vt:variant>
      <vt:variant>
        <vt:lpwstr>https://www.tga.gov.au/</vt:lpwstr>
      </vt:variant>
      <vt:variant>
        <vt:lpwstr/>
      </vt:variant>
      <vt:variant>
        <vt:i4>5898319</vt:i4>
      </vt:variant>
      <vt:variant>
        <vt:i4>111</vt:i4>
      </vt:variant>
      <vt:variant>
        <vt:i4>0</vt:i4>
      </vt:variant>
      <vt:variant>
        <vt:i4>5</vt:i4>
      </vt:variant>
      <vt:variant>
        <vt:lpwstr>https://doi.org/10.5858/arpa.2017-0502-RA</vt:lpwstr>
      </vt:variant>
      <vt:variant>
        <vt:lpwstr/>
      </vt:variant>
      <vt:variant>
        <vt:i4>262147</vt:i4>
      </vt:variant>
      <vt:variant>
        <vt:i4>108</vt:i4>
      </vt:variant>
      <vt:variant>
        <vt:i4>0</vt:i4>
      </vt:variant>
      <vt:variant>
        <vt:i4>5</vt:i4>
      </vt:variant>
      <vt:variant>
        <vt:lpwstr>https://clinicaltrials.gov/study/NCT06140836</vt:lpwstr>
      </vt:variant>
      <vt:variant>
        <vt:lpwstr/>
      </vt:variant>
      <vt:variant>
        <vt:i4>196612</vt:i4>
      </vt:variant>
      <vt:variant>
        <vt:i4>105</vt:i4>
      </vt:variant>
      <vt:variant>
        <vt:i4>0</vt:i4>
      </vt:variant>
      <vt:variant>
        <vt:i4>5</vt:i4>
      </vt:variant>
      <vt:variant>
        <vt:lpwstr>https://clinicaltrials.gov/study/NCT04603807</vt:lpwstr>
      </vt:variant>
      <vt:variant>
        <vt:lpwstr/>
      </vt:variant>
      <vt:variant>
        <vt:i4>4849746</vt:i4>
      </vt:variant>
      <vt:variant>
        <vt:i4>102</vt:i4>
      </vt:variant>
      <vt:variant>
        <vt:i4>0</vt:i4>
      </vt:variant>
      <vt:variant>
        <vt:i4>5</vt:i4>
      </vt:variant>
      <vt:variant>
        <vt:lpwstr>https://www.ebs.tga.gov.au/ebs/picmi/picmirepository.nsf/pdf?OpenAgent&amp;id=CP-2013-PI-02261-1&amp;d=20250430172310101</vt:lpwstr>
      </vt:variant>
      <vt:variant>
        <vt:lpwstr/>
      </vt:variant>
      <vt:variant>
        <vt:i4>589891</vt:i4>
      </vt:variant>
      <vt:variant>
        <vt:i4>99</vt:i4>
      </vt:variant>
      <vt:variant>
        <vt:i4>0</vt:i4>
      </vt:variant>
      <vt:variant>
        <vt:i4>5</vt:i4>
      </vt:variant>
      <vt:variant>
        <vt:lpwstr>https://www.fda.gov/science-research/science-and-research-special-topics/real-world-evidence</vt:lpwstr>
      </vt:variant>
      <vt:variant>
        <vt:lpwstr/>
      </vt:variant>
      <vt:variant>
        <vt:i4>7667820</vt:i4>
      </vt:variant>
      <vt:variant>
        <vt:i4>96</vt:i4>
      </vt:variant>
      <vt:variant>
        <vt:i4>0</vt:i4>
      </vt:variant>
      <vt:variant>
        <vt:i4>5</vt:i4>
      </vt:variant>
      <vt:variant>
        <vt:lpwstr>https://www9.health.gov.au/mbs/fullDisplay.cfm?type=item&amp;q=73437&amp;qt=item&amp;criteria=ros1</vt:lpwstr>
      </vt:variant>
      <vt:variant>
        <vt:lpwstr/>
      </vt:variant>
      <vt:variant>
        <vt:i4>5111929</vt:i4>
      </vt:variant>
      <vt:variant>
        <vt:i4>93</vt:i4>
      </vt:variant>
      <vt:variant>
        <vt:i4>0</vt:i4>
      </vt:variant>
      <vt:variant>
        <vt:i4>5</vt:i4>
      </vt:variant>
      <vt:variant>
        <vt:lpwstr>https://www.accessdata.fda.gov/drugsatfda_docs/label/2024/218213s001lbl.pdf</vt:lpwstr>
      </vt:variant>
      <vt:variant>
        <vt:lpwstr/>
      </vt:variant>
      <vt:variant>
        <vt:i4>1507424</vt:i4>
      </vt:variant>
      <vt:variant>
        <vt:i4>90</vt:i4>
      </vt:variant>
      <vt:variant>
        <vt:i4>0</vt:i4>
      </vt:variant>
      <vt:variant>
        <vt:i4>5</vt:i4>
      </vt:variant>
      <vt:variant>
        <vt:lpwstr>https://www.ema.europa.eu/en/documents/product-information/augtyro-epar-product-information_en.pdf</vt:lpwstr>
      </vt:variant>
      <vt:variant>
        <vt:lpwstr/>
      </vt:variant>
      <vt:variant>
        <vt:i4>5111929</vt:i4>
      </vt:variant>
      <vt:variant>
        <vt:i4>87</vt:i4>
      </vt:variant>
      <vt:variant>
        <vt:i4>0</vt:i4>
      </vt:variant>
      <vt:variant>
        <vt:i4>5</vt:i4>
      </vt:variant>
      <vt:variant>
        <vt:lpwstr>https://www.accessdata.fda.gov/drugsatfda_docs/label/2024/218213s001lbl.pdf</vt:lpwstr>
      </vt:variant>
      <vt:variant>
        <vt:lpwstr/>
      </vt:variant>
      <vt:variant>
        <vt:i4>4980822</vt:i4>
      </vt:variant>
      <vt:variant>
        <vt:i4>84</vt:i4>
      </vt:variant>
      <vt:variant>
        <vt:i4>0</vt:i4>
      </vt:variant>
      <vt:variant>
        <vt:i4>5</vt:i4>
      </vt:variant>
      <vt:variant>
        <vt:lpwstr>https://www.ebs.tga.gov.au/ebs/picmi/picmirepository.nsf/pdf?OpenAgent&amp;id=CP-2020-PI-01721-1&amp;d=20250430172310101</vt:lpwstr>
      </vt:variant>
      <vt:variant>
        <vt:lpwstr/>
      </vt:variant>
      <vt:variant>
        <vt:i4>4849746</vt:i4>
      </vt:variant>
      <vt:variant>
        <vt:i4>81</vt:i4>
      </vt:variant>
      <vt:variant>
        <vt:i4>0</vt:i4>
      </vt:variant>
      <vt:variant>
        <vt:i4>5</vt:i4>
      </vt:variant>
      <vt:variant>
        <vt:lpwstr>https://www.ebs.tga.gov.au/ebs/picmi/picmirepository.nsf/pdf?OpenAgent&amp;id=CP-2013-PI-02261-1&amp;d=20250430172310101</vt:lpwstr>
      </vt:variant>
      <vt:variant>
        <vt:lpwstr/>
      </vt:variant>
      <vt:variant>
        <vt:i4>1507424</vt:i4>
      </vt:variant>
      <vt:variant>
        <vt:i4>78</vt:i4>
      </vt:variant>
      <vt:variant>
        <vt:i4>0</vt:i4>
      </vt:variant>
      <vt:variant>
        <vt:i4>5</vt:i4>
      </vt:variant>
      <vt:variant>
        <vt:lpwstr>https://www.ema.europa.eu/en/documents/product-information/augtyro-epar-product-information_en.pdf</vt:lpwstr>
      </vt:variant>
      <vt:variant>
        <vt:lpwstr/>
      </vt:variant>
      <vt:variant>
        <vt:i4>5111929</vt:i4>
      </vt:variant>
      <vt:variant>
        <vt:i4>75</vt:i4>
      </vt:variant>
      <vt:variant>
        <vt:i4>0</vt:i4>
      </vt:variant>
      <vt:variant>
        <vt:i4>5</vt:i4>
      </vt:variant>
      <vt:variant>
        <vt:lpwstr>https://www.accessdata.fda.gov/drugsatfda_docs/label/2024/218213s001lbl.pdf</vt:lpwstr>
      </vt:variant>
      <vt:variant>
        <vt:lpwstr/>
      </vt:variant>
      <vt:variant>
        <vt:i4>1507424</vt:i4>
      </vt:variant>
      <vt:variant>
        <vt:i4>72</vt:i4>
      </vt:variant>
      <vt:variant>
        <vt:i4>0</vt:i4>
      </vt:variant>
      <vt:variant>
        <vt:i4>5</vt:i4>
      </vt:variant>
      <vt:variant>
        <vt:lpwstr>https://www.ema.europa.eu/en/documents/product-information/augtyro-epar-product-information_en.pdf</vt:lpwstr>
      </vt:variant>
      <vt:variant>
        <vt:lpwstr/>
      </vt:variant>
      <vt:variant>
        <vt:i4>5111929</vt:i4>
      </vt:variant>
      <vt:variant>
        <vt:i4>69</vt:i4>
      </vt:variant>
      <vt:variant>
        <vt:i4>0</vt:i4>
      </vt:variant>
      <vt:variant>
        <vt:i4>5</vt:i4>
      </vt:variant>
      <vt:variant>
        <vt:lpwstr>https://www.accessdata.fda.gov/drugsatfda_docs/label/2024/218213s001lbl.pdf</vt:lpwstr>
      </vt:variant>
      <vt:variant>
        <vt:lpwstr/>
      </vt:variant>
      <vt:variant>
        <vt:i4>5177458</vt:i4>
      </vt:variant>
      <vt:variant>
        <vt:i4>66</vt:i4>
      </vt:variant>
      <vt:variant>
        <vt:i4>0</vt:i4>
      </vt:variant>
      <vt:variant>
        <vt:i4>5</vt:i4>
      </vt:variant>
      <vt:variant>
        <vt:lpwstr>https://www.ema.europa.eu/en/documents/assessment-report/augtyro-epar-public-assessment-report_en.pdf</vt:lpwstr>
      </vt:variant>
      <vt:variant>
        <vt:lpwstr/>
      </vt:variant>
      <vt:variant>
        <vt:i4>1769500</vt:i4>
      </vt:variant>
      <vt:variant>
        <vt:i4>63</vt:i4>
      </vt:variant>
      <vt:variant>
        <vt:i4>0</vt:i4>
      </vt:variant>
      <vt:variant>
        <vt:i4>5</vt:i4>
      </vt:variant>
      <vt:variant>
        <vt:lpwstr>https://www.ema.europa.eu/en/ich-q3b-r2-impurities-new-drug-products-scientific-guideline</vt:lpwstr>
      </vt:variant>
      <vt:variant>
        <vt:lpwstr/>
      </vt:variant>
      <vt:variant>
        <vt:i4>6881388</vt:i4>
      </vt:variant>
      <vt:variant>
        <vt:i4>60</vt:i4>
      </vt:variant>
      <vt:variant>
        <vt:i4>0</vt:i4>
      </vt:variant>
      <vt:variant>
        <vt:i4>5</vt:i4>
      </vt:variant>
      <vt:variant>
        <vt:lpwstr>https://www.ema.europa.eu/en/ich-q3a-r2-impurities-new-drug-substances-scientific-guideline</vt:lpwstr>
      </vt:variant>
      <vt:variant>
        <vt:lpwstr/>
      </vt:variant>
      <vt:variant>
        <vt:i4>852048</vt:i4>
      </vt:variant>
      <vt:variant>
        <vt:i4>57</vt:i4>
      </vt:variant>
      <vt:variant>
        <vt:i4>0</vt:i4>
      </vt:variant>
      <vt:variant>
        <vt:i4>5</vt:i4>
      </vt:variant>
      <vt:variant>
        <vt:lpwstr>https://pubchem.ncbi.nlm.nih.gov/compound/Entrectinib</vt:lpwstr>
      </vt:variant>
      <vt:variant>
        <vt:lpwstr/>
      </vt:variant>
      <vt:variant>
        <vt:i4>6881335</vt:i4>
      </vt:variant>
      <vt:variant>
        <vt:i4>54</vt:i4>
      </vt:variant>
      <vt:variant>
        <vt:i4>0</vt:i4>
      </vt:variant>
      <vt:variant>
        <vt:i4>5</vt:i4>
      </vt:variant>
      <vt:variant>
        <vt:lpwstr>https://pubchem.ncbi.nlm.nih.gov/compound/Repotrectinib</vt:lpwstr>
      </vt:variant>
      <vt:variant>
        <vt:lpwstr/>
      </vt:variant>
      <vt:variant>
        <vt:i4>262147</vt:i4>
      </vt:variant>
      <vt:variant>
        <vt:i4>51</vt:i4>
      </vt:variant>
      <vt:variant>
        <vt:i4>0</vt:i4>
      </vt:variant>
      <vt:variant>
        <vt:i4>5</vt:i4>
      </vt:variant>
      <vt:variant>
        <vt:lpwstr>https://clinicaltrials.gov/study/NCT06140836</vt:lpwstr>
      </vt:variant>
      <vt:variant>
        <vt:lpwstr/>
      </vt:variant>
      <vt:variant>
        <vt:i4>196612</vt:i4>
      </vt:variant>
      <vt:variant>
        <vt:i4>48</vt:i4>
      </vt:variant>
      <vt:variant>
        <vt:i4>0</vt:i4>
      </vt:variant>
      <vt:variant>
        <vt:i4>5</vt:i4>
      </vt:variant>
      <vt:variant>
        <vt:lpwstr>https://clinicaltrials.gov/study/NCT04603807</vt:lpwstr>
      </vt:variant>
      <vt:variant>
        <vt:lpwstr/>
      </vt:variant>
      <vt:variant>
        <vt:i4>589834</vt:i4>
      </vt:variant>
      <vt:variant>
        <vt:i4>45</vt:i4>
      </vt:variant>
      <vt:variant>
        <vt:i4>0</vt:i4>
      </vt:variant>
      <vt:variant>
        <vt:i4>5</vt:i4>
      </vt:variant>
      <vt:variant>
        <vt:lpwstr>https://clinicaltrials.gov/study/NCT02568267</vt:lpwstr>
      </vt:variant>
      <vt:variant>
        <vt:lpwstr/>
      </vt:variant>
      <vt:variant>
        <vt:i4>5177458</vt:i4>
      </vt:variant>
      <vt:variant>
        <vt:i4>42</vt:i4>
      </vt:variant>
      <vt:variant>
        <vt:i4>0</vt:i4>
      </vt:variant>
      <vt:variant>
        <vt:i4>5</vt:i4>
      </vt:variant>
      <vt:variant>
        <vt:lpwstr>https://www.ema.europa.eu/en/documents/assessment-report/augtyro-epar-public-assessment-report_en.pdf</vt:lpwstr>
      </vt:variant>
      <vt:variant>
        <vt:lpwstr/>
      </vt:variant>
      <vt:variant>
        <vt:i4>4980822</vt:i4>
      </vt:variant>
      <vt:variant>
        <vt:i4>39</vt:i4>
      </vt:variant>
      <vt:variant>
        <vt:i4>0</vt:i4>
      </vt:variant>
      <vt:variant>
        <vt:i4>5</vt:i4>
      </vt:variant>
      <vt:variant>
        <vt:lpwstr>https://www.ebs.tga.gov.au/ebs/picmi/picmirepository.nsf/pdf?OpenAgent&amp;id=CP-2020-PI-01721-1&amp;d=20250430172310101</vt:lpwstr>
      </vt:variant>
      <vt:variant>
        <vt:lpwstr/>
      </vt:variant>
      <vt:variant>
        <vt:i4>7209010</vt:i4>
      </vt:variant>
      <vt:variant>
        <vt:i4>36</vt:i4>
      </vt:variant>
      <vt:variant>
        <vt:i4>0</vt:i4>
      </vt:variant>
      <vt:variant>
        <vt:i4>5</vt:i4>
      </vt:variant>
      <vt:variant>
        <vt:lpwstr>https://www.tga.gov.au/sites/default/files/auspar-crizotinib-181018.pdf</vt:lpwstr>
      </vt:variant>
      <vt:variant>
        <vt:lpwstr/>
      </vt:variant>
      <vt:variant>
        <vt:i4>1179726</vt:i4>
      </vt:variant>
      <vt:variant>
        <vt:i4>33</vt:i4>
      </vt:variant>
      <vt:variant>
        <vt:i4>0</vt:i4>
      </vt:variant>
      <vt:variant>
        <vt:i4>5</vt:i4>
      </vt:variant>
      <vt:variant>
        <vt:lpwstr>https://www.tga.gov.au/sites/default/files/auspar-entrectinib-201211.pdf</vt:lpwstr>
      </vt:variant>
      <vt:variant>
        <vt:lpwstr/>
      </vt:variant>
      <vt:variant>
        <vt:i4>4849746</vt:i4>
      </vt:variant>
      <vt:variant>
        <vt:i4>30</vt:i4>
      </vt:variant>
      <vt:variant>
        <vt:i4>0</vt:i4>
      </vt:variant>
      <vt:variant>
        <vt:i4>5</vt:i4>
      </vt:variant>
      <vt:variant>
        <vt:lpwstr>https://www.ebs.tga.gov.au/ebs/picmi/picmirepository.nsf/pdf?OpenAgent&amp;id=CP-2013-PI-02261-1&amp;d=20250430172310101</vt:lpwstr>
      </vt:variant>
      <vt:variant>
        <vt:lpwstr/>
      </vt:variant>
      <vt:variant>
        <vt:i4>4522045</vt:i4>
      </vt:variant>
      <vt:variant>
        <vt:i4>27</vt:i4>
      </vt:variant>
      <vt:variant>
        <vt:i4>0</vt:i4>
      </vt:variant>
      <vt:variant>
        <vt:i4>5</vt:i4>
      </vt:variant>
      <vt:variant>
        <vt:lpwstr>https://www.accessdata.fda.gov/drugsatfda_docs/nda/2023/218213Orig1s000TOC.cfm</vt:lpwstr>
      </vt:variant>
      <vt:variant>
        <vt:lpwstr/>
      </vt:variant>
      <vt:variant>
        <vt:i4>7667820</vt:i4>
      </vt:variant>
      <vt:variant>
        <vt:i4>24</vt:i4>
      </vt:variant>
      <vt:variant>
        <vt:i4>0</vt:i4>
      </vt:variant>
      <vt:variant>
        <vt:i4>5</vt:i4>
      </vt:variant>
      <vt:variant>
        <vt:lpwstr>https://www9.health.gov.au/mbs/fullDisplay.cfm?type=item&amp;q=73437&amp;qt=item&amp;criteria=ros1</vt:lpwstr>
      </vt:variant>
      <vt:variant>
        <vt:lpwstr/>
      </vt:variant>
      <vt:variant>
        <vt:i4>1769532</vt:i4>
      </vt:variant>
      <vt:variant>
        <vt:i4>21</vt:i4>
      </vt:variant>
      <vt:variant>
        <vt:i4>0</vt:i4>
      </vt:variant>
      <vt:variant>
        <vt:i4>5</vt:i4>
      </vt:variant>
      <vt:variant>
        <vt:lpwstr>https://www.nccn.org/professionals/physician_gls/pdf/nscl.pdf</vt:lpwstr>
      </vt:variant>
      <vt:variant>
        <vt:lpwstr/>
      </vt:variant>
      <vt:variant>
        <vt:i4>5963872</vt:i4>
      </vt:variant>
      <vt:variant>
        <vt:i4>18</vt:i4>
      </vt:variant>
      <vt:variant>
        <vt:i4>0</vt:i4>
      </vt:variant>
      <vt:variant>
        <vt:i4>5</vt:i4>
      </vt:variant>
      <vt:variant>
        <vt:lpwstr>https://interactiveguidelines.esmo.org/esmo-web-app/gl_toc/index.php?GL_id=111&amp;interactive_tool=291</vt:lpwstr>
      </vt:variant>
      <vt:variant>
        <vt:lpwstr/>
      </vt:variant>
      <vt:variant>
        <vt:i4>589900</vt:i4>
      </vt:variant>
      <vt:variant>
        <vt:i4>15</vt:i4>
      </vt:variant>
      <vt:variant>
        <vt:i4>0</vt:i4>
      </vt:variant>
      <vt:variant>
        <vt:i4>5</vt:i4>
      </vt:variant>
      <vt:variant>
        <vt:lpwstr>https://www.tga.gov.au/products/medical-devices/specific-types-medical-devices/companion-diagnostics-cdx-list</vt:lpwstr>
      </vt:variant>
      <vt:variant>
        <vt:lpwstr/>
      </vt:variant>
      <vt:variant>
        <vt:i4>1310803</vt:i4>
      </vt:variant>
      <vt:variant>
        <vt:i4>12</vt:i4>
      </vt:variant>
      <vt:variant>
        <vt:i4>0</vt:i4>
      </vt:variant>
      <vt:variant>
        <vt:i4>5</vt:i4>
      </vt:variant>
      <vt:variant>
        <vt:lpwstr>https://www.msac.gov.au/applications/1454</vt:lpwstr>
      </vt:variant>
      <vt:variant>
        <vt:lpwstr/>
      </vt:variant>
      <vt:variant>
        <vt:i4>5177458</vt:i4>
      </vt:variant>
      <vt:variant>
        <vt:i4>9</vt:i4>
      </vt:variant>
      <vt:variant>
        <vt:i4>0</vt:i4>
      </vt:variant>
      <vt:variant>
        <vt:i4>5</vt:i4>
      </vt:variant>
      <vt:variant>
        <vt:lpwstr>https://www.ema.europa.eu/en/documents/assessment-report/augtyro-epar-public-assessment-report_en.pdf</vt:lpwstr>
      </vt:variant>
      <vt:variant>
        <vt:lpwstr/>
      </vt:variant>
      <vt:variant>
        <vt:i4>7143479</vt:i4>
      </vt:variant>
      <vt:variant>
        <vt:i4>6</vt:i4>
      </vt:variant>
      <vt:variant>
        <vt:i4>0</vt:i4>
      </vt:variant>
      <vt:variant>
        <vt:i4>5</vt:i4>
      </vt:variant>
      <vt:variant>
        <vt:lpwstr>https://www.aihw.gov.au/reports/cancer/cancer-in-australia-2019</vt:lpwstr>
      </vt:variant>
      <vt:variant>
        <vt:lpwstr/>
      </vt:variant>
      <vt:variant>
        <vt:i4>6750326</vt:i4>
      </vt:variant>
      <vt:variant>
        <vt:i4>3</vt:i4>
      </vt:variant>
      <vt:variant>
        <vt:i4>0</vt:i4>
      </vt:variant>
      <vt:variant>
        <vt:i4>5</vt:i4>
      </vt:variant>
      <vt:variant>
        <vt:lpwstr>https://www.aihw.gov.au/getmedia/5e4e34cf-9699-4561-8d1a-237996c620f7/aihw-can-144-data-tables-Ch-8-Mortality.xlsx.aspx</vt:lpwstr>
      </vt:variant>
      <vt:variant>
        <vt:lpwstr/>
      </vt:variant>
      <vt:variant>
        <vt:i4>2818169</vt:i4>
      </vt:variant>
      <vt:variant>
        <vt:i4>0</vt:i4>
      </vt:variant>
      <vt:variant>
        <vt:i4>0</vt:i4>
      </vt:variant>
      <vt:variant>
        <vt:i4>5</vt:i4>
      </vt:variant>
      <vt:variant>
        <vt:lpwstr>https://www.aihw.gov.au/reports/cancer/cancer-in-australia-2021/summary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Augtyro</dc:title>
  <dc:subject>Prescription medicines</dc:subject>
  <dc:creator>Therapeutic Goods Administration</dc:creator>
  <cp:keywords/>
  <dc:description/>
  <cp:lastModifiedBy>LACK, Janet</cp:lastModifiedBy>
  <cp:revision>2</cp:revision>
  <dcterms:created xsi:type="dcterms:W3CDTF">2026-02-01T21:47:00Z</dcterms:created>
  <dcterms:modified xsi:type="dcterms:W3CDTF">2026-02-01T21:47:00Z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43aaab02,190d3d68,1aa141d3,52aa8e3d,3e80a2cb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4a94c23,673c333,2fdd3531,364213df,7d741909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2025-12-01T02:43:35Z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0998391e-b25b-49fd-b5e3-7b2baf67ba64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0x010100F678E1642ACF814DAE5C915C9F90BBB2</vt:lpwstr>
  </property>
  <property fmtid="{D5CDD505-2E9C-101B-9397-08002B2CF9AE}" pid="17" name="MediaServiceImageTags">
    <vt:lpwstr/>
  </property>
</Properties>
</file>