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D733" w14:textId="344E4CD9" w:rsidR="00D7074D" w:rsidRPr="009F0A63" w:rsidRDefault="00EA04A1" w:rsidP="00A91D9E">
      <w:pPr>
        <w:pStyle w:val="BMSBodyText"/>
        <w:jc w:val="left"/>
        <w:rPr>
          <w:noProof/>
        </w:rPr>
      </w:pPr>
      <w:r w:rsidRPr="009F0A63">
        <w:rPr>
          <w:noProof/>
        </w:rPr>
        <w:drawing>
          <wp:inline distT="0" distB="0" distL="0" distR="0" wp14:anchorId="784FB0CB" wp14:editId="243E5CC6">
            <wp:extent cx="198120" cy="17272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9F0A63">
        <w:rPr>
          <w:sz w:val="22"/>
          <w:szCs w:val="22"/>
        </w:rPr>
        <w:t>This medicinal product is subject to additional monitoring</w:t>
      </w:r>
      <w:r w:rsidR="00525D03" w:rsidRPr="009F0A63">
        <w:rPr>
          <w:sz w:val="22"/>
          <w:szCs w:val="22"/>
        </w:rPr>
        <w:t xml:space="preserve"> in Australia</w:t>
      </w:r>
      <w:r w:rsidRPr="009F0A63">
        <w:rPr>
          <w:sz w:val="22"/>
          <w:szCs w:val="22"/>
        </w:rPr>
        <w:t xml:space="preserve">. This will allow quick identification of new safety information. Healthcare professionals are asked to report any suspected adverse </w:t>
      </w:r>
      <w:r w:rsidR="00525D03" w:rsidRPr="009F0A63">
        <w:rPr>
          <w:sz w:val="22"/>
          <w:szCs w:val="22"/>
        </w:rPr>
        <w:t xml:space="preserve">events </w:t>
      </w:r>
      <w:r w:rsidR="006A5DFA" w:rsidRPr="009F0A63">
        <w:rPr>
          <w:sz w:val="22"/>
          <w:szCs w:val="22"/>
        </w:rPr>
        <w:t>at www.tga.gov.au/reporting-problems</w:t>
      </w:r>
      <w:r w:rsidRPr="009F0A63">
        <w:rPr>
          <w:sz w:val="22"/>
          <w:szCs w:val="22"/>
        </w:rPr>
        <w:t>.</w:t>
      </w:r>
    </w:p>
    <w:p w14:paraId="73F7A17B" w14:textId="31DFCA59" w:rsidR="00473CDF" w:rsidRPr="009F0A63" w:rsidRDefault="004032BD" w:rsidP="00A91D9E">
      <w:pPr>
        <w:pStyle w:val="Title"/>
      </w:pPr>
      <w:r w:rsidRPr="009F0A63">
        <w:t>Australian P</w:t>
      </w:r>
      <w:r w:rsidR="00544A7F" w:rsidRPr="009F0A63">
        <w:t xml:space="preserve">roduct </w:t>
      </w:r>
      <w:r w:rsidRPr="009F0A63">
        <w:t>I</w:t>
      </w:r>
      <w:r w:rsidR="00544A7F" w:rsidRPr="009F0A63">
        <w:t>nformation</w:t>
      </w:r>
    </w:p>
    <w:p w14:paraId="510597A0" w14:textId="3544EDCB" w:rsidR="004032BD" w:rsidRPr="009F0A63" w:rsidRDefault="007975A6" w:rsidP="00A91D9E">
      <w:pPr>
        <w:pStyle w:val="Title"/>
      </w:pPr>
      <w:r w:rsidRPr="4E9596E8">
        <w:t>AUGTYRO</w:t>
      </w:r>
      <w:r w:rsidR="007D06F4">
        <w:rPr>
          <w:rFonts w:cs="Times New Roman"/>
          <w:bCs/>
          <w:szCs w:val="32"/>
          <w:vertAlign w:val="superscript"/>
        </w:rPr>
        <w:t>®</w:t>
      </w:r>
      <w:r w:rsidR="00544A7F" w:rsidRPr="009F0A63">
        <w:rPr>
          <w:szCs w:val="32"/>
          <w:vertAlign w:val="superscript"/>
          <w:lang w:val="en-US"/>
        </w:rPr>
        <w:t xml:space="preserve"> </w:t>
      </w:r>
      <w:r w:rsidR="00544A7F" w:rsidRPr="4E9596E8">
        <w:rPr>
          <w:lang w:val="en-US"/>
        </w:rPr>
        <w:t>(</w:t>
      </w:r>
      <w:r w:rsidR="00653417" w:rsidRPr="4E9596E8">
        <w:rPr>
          <w:lang w:val="en-US"/>
        </w:rPr>
        <w:t>REPOTRECTINIB</w:t>
      </w:r>
      <w:r w:rsidR="00F65196" w:rsidRPr="4E9596E8">
        <w:rPr>
          <w:lang w:val="en-US"/>
        </w:rPr>
        <w:t>)</w:t>
      </w:r>
      <w:r w:rsidR="00EE1A11">
        <w:rPr>
          <w:lang w:val="en-US"/>
        </w:rPr>
        <w:t xml:space="preserve"> </w:t>
      </w:r>
      <w:r w:rsidR="00D37002">
        <w:rPr>
          <w:lang w:val="en-US"/>
        </w:rPr>
        <w:t>capsules</w:t>
      </w:r>
    </w:p>
    <w:p w14:paraId="54F134D8" w14:textId="77777777" w:rsidR="001A3992" w:rsidRPr="009F0A63" w:rsidRDefault="001A3992" w:rsidP="00A91D9E">
      <w:pPr>
        <w:pStyle w:val="Heading1"/>
        <w:jc w:val="left"/>
      </w:pPr>
      <w:r w:rsidRPr="009F0A63">
        <w:t>Name of the medicine</w:t>
      </w:r>
    </w:p>
    <w:p w14:paraId="3ECECFD6" w14:textId="10CE7B86" w:rsidR="00D509F2" w:rsidRPr="009F0A63" w:rsidRDefault="00653417" w:rsidP="00A91D9E">
      <w:pPr>
        <w:pStyle w:val="BMSBodyText"/>
        <w:jc w:val="left"/>
        <w:rPr>
          <w:sz w:val="22"/>
          <w:szCs w:val="22"/>
        </w:rPr>
      </w:pPr>
      <w:r>
        <w:rPr>
          <w:noProof/>
          <w:sz w:val="22"/>
          <w:szCs w:val="22"/>
        </w:rPr>
        <w:t>repotrectinib</w:t>
      </w:r>
    </w:p>
    <w:p w14:paraId="40A1BF9F" w14:textId="77777777" w:rsidR="001A3992" w:rsidRPr="009F0A63" w:rsidRDefault="001A3992" w:rsidP="00A91D9E">
      <w:pPr>
        <w:pStyle w:val="Heading1"/>
        <w:jc w:val="left"/>
      </w:pPr>
      <w:r w:rsidRPr="009F0A63">
        <w:t>Qualitative and quantitative composition</w:t>
      </w:r>
    </w:p>
    <w:p w14:paraId="49EBCB9E" w14:textId="77777777" w:rsidR="007C31AC" w:rsidRPr="007C31AC" w:rsidRDefault="007C31AC" w:rsidP="00A91D9E">
      <w:pPr>
        <w:jc w:val="left"/>
        <w:rPr>
          <w:rFonts w:eastAsia="Times New Roman" w:cs="Times New Roman"/>
          <w:b/>
          <w:bCs/>
          <w:noProof/>
          <w:color w:val="000000"/>
          <w:lang w:val="en-US"/>
        </w:rPr>
      </w:pPr>
      <w:r w:rsidRPr="007C31AC">
        <w:rPr>
          <w:rFonts w:eastAsia="Times New Roman" w:cs="Times New Roman"/>
          <w:b/>
          <w:bCs/>
          <w:noProof/>
          <w:color w:val="000000"/>
          <w:lang w:val="en-US"/>
        </w:rPr>
        <w:t>40 mg hard capsules</w:t>
      </w:r>
    </w:p>
    <w:p w14:paraId="75EF3839" w14:textId="77777777" w:rsidR="007C31AC" w:rsidRDefault="007C31AC" w:rsidP="00A91D9E">
      <w:pPr>
        <w:jc w:val="left"/>
        <w:rPr>
          <w:rFonts w:eastAsia="Times New Roman" w:cs="Times New Roman"/>
          <w:noProof/>
          <w:color w:val="000000"/>
          <w:lang w:val="en-US"/>
        </w:rPr>
      </w:pPr>
      <w:r w:rsidRPr="007C31AC">
        <w:rPr>
          <w:rFonts w:eastAsia="Times New Roman" w:cs="Times New Roman"/>
          <w:noProof/>
          <w:color w:val="000000"/>
          <w:lang w:val="en-US"/>
        </w:rPr>
        <w:t>Each capsule contains 40 mg repotrectinib.</w:t>
      </w:r>
    </w:p>
    <w:p w14:paraId="11759C58" w14:textId="092FA284" w:rsidR="00B657AF" w:rsidRPr="007C31AC" w:rsidRDefault="00B657AF" w:rsidP="00A91D9E">
      <w:pPr>
        <w:jc w:val="left"/>
        <w:rPr>
          <w:rFonts w:eastAsia="Times New Roman" w:cs="Times New Roman"/>
          <w:noProof/>
          <w:color w:val="000000"/>
          <w:lang w:val="en-US"/>
        </w:rPr>
      </w:pPr>
      <w:r>
        <w:rPr>
          <w:rFonts w:eastAsia="Times New Roman" w:cs="Times New Roman"/>
          <w:noProof/>
          <w:color w:val="000000"/>
          <w:lang w:val="en-US"/>
        </w:rPr>
        <w:t>E</w:t>
      </w:r>
      <w:r w:rsidR="00FD141B">
        <w:rPr>
          <w:rFonts w:eastAsia="Times New Roman" w:cs="Times New Roman"/>
          <w:noProof/>
          <w:color w:val="000000"/>
          <w:lang w:val="en-US"/>
        </w:rPr>
        <w:t xml:space="preserve">xcipient with known effect: </w:t>
      </w:r>
      <w:r w:rsidR="003F6AAC" w:rsidRPr="00EA0651">
        <w:t>Contain</w:t>
      </w:r>
      <w:r w:rsidR="000E3592">
        <w:t>s</w:t>
      </w:r>
      <w:r w:rsidR="003F6AAC" w:rsidRPr="00EA0651">
        <w:t xml:space="preserve"> </w:t>
      </w:r>
      <w:proofErr w:type="spellStart"/>
      <w:r w:rsidR="003F6AAC" w:rsidRPr="00EA0651">
        <w:t>sulfites</w:t>
      </w:r>
      <w:proofErr w:type="spellEnd"/>
      <w:r w:rsidR="003F6AAC">
        <w:t>.</w:t>
      </w:r>
    </w:p>
    <w:p w14:paraId="754CDC03" w14:textId="77777777" w:rsidR="007C31AC" w:rsidRPr="007C31AC" w:rsidRDefault="007C31AC" w:rsidP="00A91D9E">
      <w:pPr>
        <w:jc w:val="left"/>
        <w:rPr>
          <w:rFonts w:eastAsia="Times New Roman" w:cs="Times New Roman"/>
          <w:b/>
          <w:bCs/>
          <w:noProof/>
          <w:color w:val="000000"/>
          <w:lang w:val="en-US"/>
        </w:rPr>
      </w:pPr>
      <w:r w:rsidRPr="007C31AC">
        <w:rPr>
          <w:rFonts w:eastAsia="Times New Roman" w:cs="Times New Roman"/>
          <w:b/>
          <w:bCs/>
          <w:noProof/>
          <w:color w:val="000000"/>
          <w:lang w:val="en-US"/>
        </w:rPr>
        <w:t>160 mg hard capsules</w:t>
      </w:r>
    </w:p>
    <w:p w14:paraId="4E6A084C" w14:textId="77777777" w:rsidR="007C31AC" w:rsidRDefault="007C31AC" w:rsidP="00A91D9E">
      <w:pPr>
        <w:jc w:val="left"/>
        <w:rPr>
          <w:rFonts w:eastAsia="Times New Roman" w:cs="Times New Roman"/>
          <w:noProof/>
          <w:color w:val="000000"/>
          <w:lang w:val="en-US"/>
        </w:rPr>
      </w:pPr>
      <w:r w:rsidRPr="007C31AC">
        <w:rPr>
          <w:rFonts w:eastAsia="Times New Roman" w:cs="Times New Roman"/>
          <w:noProof/>
          <w:color w:val="000000"/>
          <w:lang w:val="en-US"/>
        </w:rPr>
        <w:t>Each capsule contains 160 mg repotrectinib.</w:t>
      </w:r>
    </w:p>
    <w:p w14:paraId="2DABCCA8" w14:textId="6CC5E8D6" w:rsidR="00FD141B" w:rsidRDefault="00FD141B" w:rsidP="00A91D9E">
      <w:pPr>
        <w:jc w:val="left"/>
        <w:rPr>
          <w:rFonts w:eastAsia="Times New Roman" w:cs="Times New Roman"/>
          <w:noProof/>
          <w:color w:val="000000"/>
          <w:lang w:val="en-US"/>
        </w:rPr>
      </w:pPr>
      <w:r>
        <w:rPr>
          <w:rFonts w:eastAsia="Times New Roman" w:cs="Times New Roman"/>
          <w:noProof/>
          <w:color w:val="000000"/>
          <w:lang w:val="en-US"/>
        </w:rPr>
        <w:t>Excipient with know</w:t>
      </w:r>
      <w:r w:rsidR="007209DC">
        <w:rPr>
          <w:rFonts w:eastAsia="Times New Roman" w:cs="Times New Roman"/>
          <w:noProof/>
          <w:color w:val="000000"/>
          <w:lang w:val="en-US"/>
        </w:rPr>
        <w:t>n</w:t>
      </w:r>
      <w:r>
        <w:rPr>
          <w:rFonts w:eastAsia="Times New Roman" w:cs="Times New Roman"/>
          <w:noProof/>
          <w:color w:val="000000"/>
          <w:lang w:val="en-US"/>
        </w:rPr>
        <w:t xml:space="preserve"> effect:</w:t>
      </w:r>
      <w:r w:rsidR="003F6AAC">
        <w:rPr>
          <w:rFonts w:eastAsia="Times New Roman" w:cs="Times New Roman"/>
          <w:noProof/>
          <w:color w:val="000000"/>
          <w:lang w:val="en-US"/>
        </w:rPr>
        <w:t xml:space="preserve"> </w:t>
      </w:r>
      <w:r w:rsidR="003F6AAC" w:rsidRPr="00EA0651">
        <w:t>Contain</w:t>
      </w:r>
      <w:r w:rsidR="004D7B8D">
        <w:t>s</w:t>
      </w:r>
      <w:r w:rsidR="003F6AAC" w:rsidRPr="00EA0651">
        <w:t xml:space="preserve"> </w:t>
      </w:r>
      <w:proofErr w:type="spellStart"/>
      <w:r w:rsidR="003F6AAC" w:rsidRPr="00EA0651">
        <w:t>sulfites</w:t>
      </w:r>
      <w:proofErr w:type="spellEnd"/>
      <w:r w:rsidR="003F6AAC">
        <w:t>.</w:t>
      </w:r>
    </w:p>
    <w:p w14:paraId="7F999607" w14:textId="0CD7D098" w:rsidR="002441E6" w:rsidRPr="009F0A63" w:rsidRDefault="00A51FE7" w:rsidP="00A91D9E">
      <w:pPr>
        <w:jc w:val="left"/>
        <w:rPr>
          <w:lang w:val="en-US"/>
        </w:rPr>
      </w:pPr>
      <w:r w:rsidRPr="009F0A63">
        <w:rPr>
          <w:noProof/>
        </w:rPr>
        <w:t xml:space="preserve">For the full list of excipients, </w:t>
      </w:r>
      <w:r w:rsidR="003A5664" w:rsidRPr="009F0A63">
        <w:rPr>
          <w:snapToGrid w:val="0"/>
        </w:rPr>
        <w:t>see section 6.1 List of excipients</w:t>
      </w:r>
      <w:r w:rsidRPr="009F0A63">
        <w:rPr>
          <w:noProof/>
        </w:rPr>
        <w:t>.</w:t>
      </w:r>
    </w:p>
    <w:p w14:paraId="3F527148" w14:textId="77777777" w:rsidR="001A3992" w:rsidRPr="009F0A63" w:rsidRDefault="001A3992" w:rsidP="00A91D9E">
      <w:pPr>
        <w:pStyle w:val="Heading1"/>
        <w:jc w:val="left"/>
      </w:pPr>
      <w:r w:rsidRPr="009F0A63">
        <w:t>Pharmaceutical form</w:t>
      </w:r>
    </w:p>
    <w:p w14:paraId="77D75E06" w14:textId="77777777" w:rsidR="00723614" w:rsidRPr="00723614" w:rsidRDefault="00723614" w:rsidP="00A91D9E">
      <w:pPr>
        <w:autoSpaceDE w:val="0"/>
        <w:autoSpaceDN w:val="0"/>
        <w:adjustRightInd w:val="0"/>
        <w:jc w:val="left"/>
        <w:rPr>
          <w:b/>
          <w:bCs/>
          <w:lang w:val="en-US" w:eastAsia="fr-BE"/>
        </w:rPr>
      </w:pPr>
      <w:r w:rsidRPr="00723614">
        <w:rPr>
          <w:b/>
          <w:bCs/>
          <w:lang w:val="en-US" w:eastAsia="fr-BE"/>
        </w:rPr>
        <w:t>40 mg hard capsules</w:t>
      </w:r>
    </w:p>
    <w:p w14:paraId="1C3F1706" w14:textId="48C810D9" w:rsidR="00723614" w:rsidRPr="00723614" w:rsidRDefault="003C1662" w:rsidP="00A91D9E">
      <w:pPr>
        <w:autoSpaceDE w:val="0"/>
        <w:autoSpaceDN w:val="0"/>
        <w:adjustRightInd w:val="0"/>
        <w:jc w:val="left"/>
        <w:rPr>
          <w:lang w:val="en-US" w:eastAsia="fr-BE"/>
        </w:rPr>
      </w:pPr>
      <w:r>
        <w:rPr>
          <w:lang w:val="en-US" w:eastAsia="fr-BE"/>
        </w:rPr>
        <w:t>Size#0, h</w:t>
      </w:r>
      <w:r w:rsidR="00723614" w:rsidRPr="00723614">
        <w:rPr>
          <w:lang w:val="en-US" w:eastAsia="fr-BE"/>
        </w:rPr>
        <w:t>ard gelatin capsule with white opaque body and cap, and “REP 40” printed in blue ink on the cap.</w:t>
      </w:r>
    </w:p>
    <w:p w14:paraId="3B630AFC" w14:textId="77777777" w:rsidR="00723614" w:rsidRPr="00723614" w:rsidRDefault="00723614" w:rsidP="00A91D9E">
      <w:pPr>
        <w:autoSpaceDE w:val="0"/>
        <w:autoSpaceDN w:val="0"/>
        <w:adjustRightInd w:val="0"/>
        <w:jc w:val="left"/>
        <w:rPr>
          <w:b/>
          <w:bCs/>
          <w:lang w:val="en-US" w:eastAsia="fr-BE"/>
        </w:rPr>
      </w:pPr>
      <w:r w:rsidRPr="00723614">
        <w:rPr>
          <w:b/>
          <w:bCs/>
          <w:lang w:val="en-US" w:eastAsia="fr-BE"/>
        </w:rPr>
        <w:t>160 mg hard capsules</w:t>
      </w:r>
    </w:p>
    <w:p w14:paraId="1029B44A" w14:textId="3E3B25D4" w:rsidR="007D4FBF" w:rsidRDefault="004A7104" w:rsidP="00A91D9E">
      <w:pPr>
        <w:autoSpaceDE w:val="0"/>
        <w:autoSpaceDN w:val="0"/>
        <w:adjustRightInd w:val="0"/>
        <w:jc w:val="left"/>
        <w:rPr>
          <w:lang w:val="en-US" w:eastAsia="fr-BE"/>
        </w:rPr>
      </w:pPr>
      <w:r>
        <w:rPr>
          <w:lang w:val="en-US" w:eastAsia="fr-BE"/>
        </w:rPr>
        <w:t>Size</w:t>
      </w:r>
      <w:r w:rsidR="003C1662">
        <w:rPr>
          <w:lang w:val="en-US" w:eastAsia="fr-BE"/>
        </w:rPr>
        <w:t xml:space="preserve"> #0. h</w:t>
      </w:r>
      <w:r w:rsidR="00723614" w:rsidRPr="00723614">
        <w:rPr>
          <w:lang w:val="en-US" w:eastAsia="fr-BE"/>
        </w:rPr>
        <w:t>ard gelatin capsule with blue opaque body and cap, and “REP 160” printed in white ink on the cap.</w:t>
      </w:r>
    </w:p>
    <w:p w14:paraId="58C6FC72" w14:textId="77777777" w:rsidR="001A3992" w:rsidRPr="000A4651" w:rsidRDefault="001A3992" w:rsidP="00A91D9E">
      <w:pPr>
        <w:pStyle w:val="Heading1"/>
        <w:jc w:val="left"/>
      </w:pPr>
      <w:r w:rsidRPr="000A4651">
        <w:t>Clinical particulars</w:t>
      </w:r>
    </w:p>
    <w:p w14:paraId="64CF8B96" w14:textId="77777777" w:rsidR="001A3992" w:rsidRPr="000A4651" w:rsidRDefault="003B14A8" w:rsidP="00A91D9E">
      <w:pPr>
        <w:pStyle w:val="Heading2"/>
        <w:ind w:left="810" w:hanging="810"/>
      </w:pPr>
      <w:r w:rsidRPr="000A4651">
        <w:t>Therapeutic indications</w:t>
      </w:r>
    </w:p>
    <w:p w14:paraId="774BE08E" w14:textId="2B92DD42" w:rsidR="00B605E0" w:rsidRDefault="00900B06" w:rsidP="00A91D9E">
      <w:pPr>
        <w:jc w:val="left"/>
      </w:pPr>
      <w:bookmarkStart w:id="0" w:name="_Hlk77087057"/>
      <w:r w:rsidRPr="00900B06">
        <w:t>AUGTYRO</w:t>
      </w:r>
      <w:r w:rsidR="00AC5D5E">
        <w:t>,</w:t>
      </w:r>
      <w:r w:rsidRPr="00900B06">
        <w:t xml:space="preserve"> as monotherapy</w:t>
      </w:r>
      <w:r w:rsidR="002A351F">
        <w:t>,</w:t>
      </w:r>
      <w:r w:rsidRPr="00900B06">
        <w:t xml:space="preserve"> is indicated for the treatment of adult patients with </w:t>
      </w:r>
      <w:r w:rsidRPr="001E1FFB">
        <w:rPr>
          <w:i/>
          <w:iCs/>
        </w:rPr>
        <w:t>ROS1</w:t>
      </w:r>
      <w:r w:rsidRPr="00900B06">
        <w:t>-positive locally advanced or metastatic non-small cell lung cancer (NSCLC).</w:t>
      </w:r>
    </w:p>
    <w:bookmarkEnd w:id="0"/>
    <w:p w14:paraId="4D307C13" w14:textId="77777777" w:rsidR="001A3992" w:rsidRPr="000A4651" w:rsidRDefault="001A3992" w:rsidP="00A91D9E">
      <w:pPr>
        <w:pStyle w:val="Heading2"/>
        <w:ind w:left="810" w:hanging="810"/>
      </w:pPr>
      <w:r w:rsidRPr="000A4651">
        <w:t>Do</w:t>
      </w:r>
      <w:r w:rsidR="00413966" w:rsidRPr="000A4651">
        <w:t>se and method of administration</w:t>
      </w:r>
    </w:p>
    <w:p w14:paraId="33FD6D0D" w14:textId="77777777" w:rsidR="00AB7BD4" w:rsidRDefault="007A6BE4" w:rsidP="00A91D9E">
      <w:pPr>
        <w:autoSpaceDE w:val="0"/>
        <w:autoSpaceDN w:val="0"/>
        <w:adjustRightInd w:val="0"/>
        <w:jc w:val="left"/>
      </w:pPr>
      <w:r>
        <w:t>Treatment with AUGTYRO should be initiated and supervised by physicians experienced in the use of anticancer medicinal products.</w:t>
      </w:r>
      <w:r w:rsidR="00512477">
        <w:t xml:space="preserve"> </w:t>
      </w:r>
    </w:p>
    <w:p w14:paraId="24D352A5" w14:textId="1E379294" w:rsidR="007A6BE4" w:rsidRDefault="00512477" w:rsidP="00A91D9E">
      <w:pPr>
        <w:autoSpaceDE w:val="0"/>
        <w:autoSpaceDN w:val="0"/>
        <w:adjustRightInd w:val="0"/>
        <w:jc w:val="left"/>
      </w:pPr>
      <w:r>
        <w:t xml:space="preserve">Before </w:t>
      </w:r>
      <w:r w:rsidR="002003FF">
        <w:t xml:space="preserve">starting </w:t>
      </w:r>
      <w:r w:rsidR="004E6226">
        <w:t>AUGTYRO</w:t>
      </w:r>
      <w:r w:rsidR="002003FF">
        <w:t xml:space="preserve">, </w:t>
      </w:r>
      <w:r w:rsidR="00F9413D">
        <w:t xml:space="preserve">discontinue </w:t>
      </w:r>
      <w:r w:rsidR="0084015A">
        <w:t xml:space="preserve">strong or moderate </w:t>
      </w:r>
      <w:r w:rsidR="00F9413D">
        <w:t>CYP3A4 inhibitors</w:t>
      </w:r>
      <w:r w:rsidR="002651EB">
        <w:t xml:space="preserve"> (see Section 4.5 </w:t>
      </w:r>
      <w:r w:rsidR="002651EB" w:rsidRPr="009D1827">
        <w:rPr>
          <w:i/>
          <w:iCs/>
        </w:rPr>
        <w:t>Interactions with other medicines and other forms of interaction</w:t>
      </w:r>
      <w:r w:rsidR="002651EB">
        <w:rPr>
          <w:i/>
          <w:iCs/>
        </w:rPr>
        <w:t>)</w:t>
      </w:r>
      <w:r w:rsidR="002651EB">
        <w:t>,</w:t>
      </w:r>
      <w:r w:rsidR="00F9413D">
        <w:t xml:space="preserve"> and check liver function (including bilirubin) and urate</w:t>
      </w:r>
      <w:r w:rsidR="002651EB">
        <w:t xml:space="preserve"> (see </w:t>
      </w:r>
      <w:r w:rsidR="00827519">
        <w:t xml:space="preserve">Section </w:t>
      </w:r>
      <w:r w:rsidR="003A4063">
        <w:t xml:space="preserve">4.4 </w:t>
      </w:r>
      <w:r w:rsidR="003A4063" w:rsidRPr="0004164B">
        <w:rPr>
          <w:i/>
          <w:iCs/>
        </w:rPr>
        <w:t>Special warnings and precautions for use</w:t>
      </w:r>
      <w:r w:rsidR="00827519">
        <w:t>)</w:t>
      </w:r>
      <w:r w:rsidR="00F9413D">
        <w:t>.</w:t>
      </w:r>
    </w:p>
    <w:p w14:paraId="5A165264" w14:textId="73C78A4A" w:rsidR="007A6BE4" w:rsidRPr="007A6BE4" w:rsidRDefault="007A6BE4" w:rsidP="00A91D9E">
      <w:pPr>
        <w:autoSpaceDE w:val="0"/>
        <w:autoSpaceDN w:val="0"/>
        <w:adjustRightInd w:val="0"/>
        <w:jc w:val="left"/>
        <w:rPr>
          <w:b/>
          <w:bCs/>
        </w:rPr>
      </w:pPr>
      <w:r w:rsidRPr="001E1FFB">
        <w:rPr>
          <w:b/>
          <w:bCs/>
          <w:i/>
          <w:iCs/>
        </w:rPr>
        <w:t>ROS1</w:t>
      </w:r>
      <w:r w:rsidRPr="007A6BE4">
        <w:rPr>
          <w:b/>
          <w:bCs/>
        </w:rPr>
        <w:t xml:space="preserve"> </w:t>
      </w:r>
      <w:r w:rsidR="00615392">
        <w:rPr>
          <w:b/>
          <w:bCs/>
        </w:rPr>
        <w:t>t</w:t>
      </w:r>
      <w:r w:rsidRPr="007A6BE4">
        <w:rPr>
          <w:b/>
          <w:bCs/>
        </w:rPr>
        <w:t>esting</w:t>
      </w:r>
      <w:r w:rsidR="00F77FD5">
        <w:rPr>
          <w:b/>
          <w:bCs/>
        </w:rPr>
        <w:t xml:space="preserve"> for patient selection</w:t>
      </w:r>
    </w:p>
    <w:p w14:paraId="65934869" w14:textId="40C697EE" w:rsidR="0047598B" w:rsidRPr="00D86F71" w:rsidRDefault="00D86F71" w:rsidP="00A91D9E">
      <w:pPr>
        <w:autoSpaceDE w:val="0"/>
        <w:autoSpaceDN w:val="0"/>
        <w:adjustRightInd w:val="0"/>
        <w:jc w:val="left"/>
      </w:pPr>
      <w:r w:rsidRPr="00D86F71">
        <w:lastRenderedPageBreak/>
        <w:t xml:space="preserve">A validated assay (such as one included in the Australian Register of Therapeutic Goods or one that has Australian accreditation) is required for the selection of patients with </w:t>
      </w:r>
      <w:r w:rsidRPr="00D86F71">
        <w:rPr>
          <w:i/>
          <w:iCs/>
        </w:rPr>
        <w:t>ROS1</w:t>
      </w:r>
      <w:r w:rsidRPr="00D86F71">
        <w:t xml:space="preserve">-positive locally advanced or metastatic NSCLC. </w:t>
      </w:r>
      <w:r w:rsidRPr="00822553">
        <w:rPr>
          <w:i/>
          <w:iCs/>
        </w:rPr>
        <w:t>ROS1</w:t>
      </w:r>
      <w:r w:rsidRPr="00D86F71">
        <w:t>-positive tumour status must be established prior to initiation of treatment with AUGTYRO</w:t>
      </w:r>
      <w:r w:rsidR="0047598B" w:rsidRPr="0047598B">
        <w:t>.</w:t>
      </w:r>
    </w:p>
    <w:p w14:paraId="0524EB34" w14:textId="0C3D64D2" w:rsidR="00D14339" w:rsidRPr="005348B6" w:rsidRDefault="00D14339" w:rsidP="00A91D9E">
      <w:pPr>
        <w:autoSpaceDE w:val="0"/>
        <w:autoSpaceDN w:val="0"/>
        <w:adjustRightInd w:val="0"/>
        <w:jc w:val="left"/>
        <w:rPr>
          <w:b/>
          <w:bCs/>
          <w:lang w:val="en-US" w:eastAsia="fr-BE"/>
        </w:rPr>
      </w:pPr>
      <w:r>
        <w:rPr>
          <w:b/>
          <w:bCs/>
          <w:lang w:val="en-US" w:eastAsia="fr-BE"/>
        </w:rPr>
        <w:t>Dosage</w:t>
      </w:r>
      <w:r w:rsidR="00FA66F6">
        <w:rPr>
          <w:b/>
          <w:bCs/>
          <w:lang w:val="en-US" w:eastAsia="fr-BE"/>
        </w:rPr>
        <w:t xml:space="preserve"> and </w:t>
      </w:r>
      <w:r w:rsidR="000E0911">
        <w:rPr>
          <w:b/>
          <w:bCs/>
          <w:lang w:val="en-US" w:eastAsia="fr-BE"/>
        </w:rPr>
        <w:t>method of administration</w:t>
      </w:r>
    </w:p>
    <w:p w14:paraId="0B5A5BB4" w14:textId="7790085D" w:rsidR="008B432A" w:rsidRDefault="008B432A" w:rsidP="00A91D9E">
      <w:pPr>
        <w:autoSpaceDE w:val="0"/>
        <w:autoSpaceDN w:val="0"/>
        <w:adjustRightInd w:val="0"/>
        <w:jc w:val="left"/>
      </w:pPr>
      <w:r w:rsidRPr="008B432A">
        <w:t>The recommended dose is 160 mg orally once daily for 14 days, followed by 160 mg orally twice daily until disease progression or unacceptable toxicity.</w:t>
      </w:r>
      <w:r w:rsidR="007A64A5">
        <w:t xml:space="preserve"> </w:t>
      </w:r>
    </w:p>
    <w:p w14:paraId="75FC4BA5" w14:textId="43861314" w:rsidR="000E0911" w:rsidRDefault="000E0911" w:rsidP="00A91D9E">
      <w:pPr>
        <w:jc w:val="left"/>
      </w:pPr>
      <w:r>
        <w:t>Swallow capsules whole at the same time</w:t>
      </w:r>
      <w:r w:rsidR="00BF01A3">
        <w:t>(s)</w:t>
      </w:r>
      <w:r>
        <w:t xml:space="preserve"> </w:t>
      </w:r>
      <w:r w:rsidR="00BF01A3">
        <w:t>each</w:t>
      </w:r>
      <w:r>
        <w:t xml:space="preserve"> day. Do not open, crush, chew, or dissolve the contents of the capsule.</w:t>
      </w:r>
    </w:p>
    <w:p w14:paraId="6AEEDF11" w14:textId="3620803D" w:rsidR="000E0911" w:rsidRPr="00964BAB" w:rsidRDefault="000E0911" w:rsidP="00A91D9E">
      <w:pPr>
        <w:jc w:val="left"/>
      </w:pPr>
      <w:r>
        <w:t>AUGTYRO may be taken with or without food</w:t>
      </w:r>
      <w:r w:rsidR="0004164B">
        <w:t>.</w:t>
      </w:r>
    </w:p>
    <w:p w14:paraId="599268F7" w14:textId="77777777" w:rsidR="00E24C69" w:rsidRDefault="00E24C69" w:rsidP="00A91D9E">
      <w:pPr>
        <w:autoSpaceDE w:val="0"/>
        <w:autoSpaceDN w:val="0"/>
        <w:adjustRightInd w:val="0"/>
        <w:jc w:val="left"/>
        <w:rPr>
          <w:b/>
          <w:bCs/>
          <w:lang w:val="en-US" w:eastAsia="fr-BE"/>
        </w:rPr>
      </w:pPr>
      <w:r w:rsidRPr="005348B6">
        <w:rPr>
          <w:b/>
          <w:bCs/>
          <w:lang w:val="en-US" w:eastAsia="fr-BE"/>
        </w:rPr>
        <w:t>Missed dose</w:t>
      </w:r>
    </w:p>
    <w:p w14:paraId="746931FA" w14:textId="59ABB8E4" w:rsidR="004B51B3" w:rsidRPr="004B51B3" w:rsidRDefault="004B51B3" w:rsidP="00A91D9E">
      <w:pPr>
        <w:autoSpaceDE w:val="0"/>
        <w:autoSpaceDN w:val="0"/>
        <w:adjustRightInd w:val="0"/>
        <w:jc w:val="left"/>
        <w:rPr>
          <w:lang w:val="en-US" w:eastAsia="fr-BE"/>
        </w:rPr>
      </w:pPr>
      <w:r w:rsidRPr="004B51B3">
        <w:rPr>
          <w:lang w:val="en-US" w:eastAsia="fr-BE"/>
        </w:rPr>
        <w:t xml:space="preserve">If a dose of AUGTYRO is </w:t>
      </w:r>
      <w:proofErr w:type="gramStart"/>
      <w:r w:rsidRPr="004B51B3">
        <w:rPr>
          <w:lang w:val="en-US" w:eastAsia="fr-BE"/>
        </w:rPr>
        <w:t>missed</w:t>
      </w:r>
      <w:proofErr w:type="gramEnd"/>
      <w:r w:rsidRPr="004B51B3">
        <w:rPr>
          <w:lang w:val="en-US" w:eastAsia="fr-BE"/>
        </w:rPr>
        <w:t xml:space="preserve"> or if vomiting occurs at any time after taking a dose, skip the dose and resume AUGTYRO at its regularly scheduled time.</w:t>
      </w:r>
    </w:p>
    <w:p w14:paraId="64D54EB4" w14:textId="74E22394" w:rsidR="00E24C69" w:rsidRPr="005348B6" w:rsidRDefault="00E24C69" w:rsidP="00A91D9E">
      <w:pPr>
        <w:autoSpaceDE w:val="0"/>
        <w:autoSpaceDN w:val="0"/>
        <w:adjustRightInd w:val="0"/>
        <w:jc w:val="left"/>
        <w:rPr>
          <w:b/>
          <w:bCs/>
          <w:lang w:val="en-US" w:eastAsia="fr-BE"/>
        </w:rPr>
      </w:pPr>
      <w:r w:rsidRPr="005348B6">
        <w:rPr>
          <w:b/>
          <w:bCs/>
          <w:lang w:val="en-US" w:eastAsia="fr-BE"/>
        </w:rPr>
        <w:t xml:space="preserve">Dose </w:t>
      </w:r>
      <w:r w:rsidR="00967486">
        <w:rPr>
          <w:b/>
          <w:bCs/>
          <w:lang w:val="en-US" w:eastAsia="fr-BE"/>
        </w:rPr>
        <w:t>m</w:t>
      </w:r>
      <w:r w:rsidRPr="005348B6">
        <w:rPr>
          <w:b/>
          <w:bCs/>
          <w:lang w:val="en-US" w:eastAsia="fr-BE"/>
        </w:rPr>
        <w:t xml:space="preserve">odifications for </w:t>
      </w:r>
      <w:r w:rsidR="00967486">
        <w:rPr>
          <w:b/>
          <w:bCs/>
          <w:lang w:val="en-US" w:eastAsia="fr-BE"/>
        </w:rPr>
        <w:t>a</w:t>
      </w:r>
      <w:r w:rsidRPr="005348B6">
        <w:rPr>
          <w:b/>
          <w:bCs/>
          <w:lang w:val="en-US" w:eastAsia="fr-BE"/>
        </w:rPr>
        <w:t xml:space="preserve">dverse </w:t>
      </w:r>
      <w:r w:rsidR="00967486">
        <w:rPr>
          <w:b/>
          <w:bCs/>
          <w:lang w:val="en-US" w:eastAsia="fr-BE"/>
        </w:rPr>
        <w:t>e</w:t>
      </w:r>
      <w:r w:rsidRPr="005348B6">
        <w:rPr>
          <w:b/>
          <w:bCs/>
          <w:lang w:val="en-US" w:eastAsia="fr-BE"/>
        </w:rPr>
        <w:t>vents</w:t>
      </w:r>
    </w:p>
    <w:p w14:paraId="73F30FE7" w14:textId="0D46F3CB" w:rsidR="00D878B0" w:rsidRDefault="00BC5D04" w:rsidP="00A91D9E">
      <w:pPr>
        <w:autoSpaceDE w:val="0"/>
        <w:autoSpaceDN w:val="0"/>
        <w:adjustRightInd w:val="0"/>
        <w:jc w:val="left"/>
        <w:rPr>
          <w:lang w:val="en-US" w:eastAsia="fr-BE"/>
        </w:rPr>
      </w:pPr>
      <w:r>
        <w:rPr>
          <w:lang w:val="en-US" w:eastAsia="fr-BE"/>
        </w:rPr>
        <w:t>R</w:t>
      </w:r>
      <w:r w:rsidR="00E24C69" w:rsidRPr="00E24C69">
        <w:rPr>
          <w:lang w:val="en-US" w:eastAsia="fr-BE"/>
        </w:rPr>
        <w:t xml:space="preserve">ecommended dose reductions for adverse reactions are provided in </w:t>
      </w:r>
      <w:r w:rsidR="00D35685">
        <w:rPr>
          <w:lang w:val="en-US" w:eastAsia="fr-BE"/>
        </w:rPr>
        <w:fldChar w:fldCharType="begin" w:fldLock="1"/>
      </w:r>
      <w:r w:rsidR="00D35685">
        <w:rPr>
          <w:lang w:val="en-US" w:eastAsia="fr-BE"/>
        </w:rPr>
        <w:instrText xml:space="preserve"> REF _Ref160790837 \h </w:instrText>
      </w:r>
      <w:r w:rsidR="00A91D9E">
        <w:rPr>
          <w:lang w:val="en-US" w:eastAsia="fr-BE"/>
        </w:rPr>
        <w:instrText xml:space="preserve"> \* MERGEFORMAT </w:instrText>
      </w:r>
      <w:r w:rsidR="00D35685">
        <w:rPr>
          <w:lang w:val="en-US" w:eastAsia="fr-BE"/>
        </w:rPr>
      </w:r>
      <w:r w:rsidR="00D35685">
        <w:rPr>
          <w:lang w:val="en-US" w:eastAsia="fr-BE"/>
        </w:rPr>
        <w:fldChar w:fldCharType="separate"/>
      </w:r>
      <w:r w:rsidR="00135E21" w:rsidRPr="00447E39">
        <w:rPr>
          <w:sz w:val="24"/>
          <w:szCs w:val="24"/>
        </w:rPr>
        <w:t xml:space="preserve">Table </w:t>
      </w:r>
      <w:r w:rsidR="00135E21">
        <w:rPr>
          <w:noProof/>
          <w:sz w:val="24"/>
          <w:szCs w:val="24"/>
        </w:rPr>
        <w:t>1</w:t>
      </w:r>
      <w:r w:rsidR="00D35685">
        <w:rPr>
          <w:lang w:val="en-US" w:eastAsia="fr-BE"/>
        </w:rPr>
        <w:fldChar w:fldCharType="end"/>
      </w:r>
      <w:r w:rsidR="00CA1729">
        <w:rPr>
          <w:lang w:val="en-US" w:eastAsia="fr-BE"/>
        </w:rPr>
        <w:t>.</w:t>
      </w:r>
    </w:p>
    <w:tbl>
      <w:tblPr>
        <w:tblW w:w="0" w:type="auto"/>
        <w:tblCellMar>
          <w:left w:w="57" w:type="dxa"/>
          <w:right w:w="57" w:type="dxa"/>
        </w:tblCellMar>
        <w:tblLook w:val="04A0" w:firstRow="1" w:lastRow="0" w:firstColumn="1" w:lastColumn="0" w:noHBand="0" w:noVBand="1"/>
      </w:tblPr>
      <w:tblGrid>
        <w:gridCol w:w="2268"/>
        <w:gridCol w:w="2835"/>
        <w:gridCol w:w="3923"/>
      </w:tblGrid>
      <w:tr w:rsidR="00D878B0" w:rsidRPr="00D92AAA" w14:paraId="7BE2F8BB" w14:textId="77777777" w:rsidTr="00E55F90">
        <w:trPr>
          <w:tblHeader/>
        </w:trPr>
        <w:tc>
          <w:tcPr>
            <w:tcW w:w="9026" w:type="dxa"/>
            <w:gridSpan w:val="3"/>
            <w:tcBorders>
              <w:bottom w:val="single" w:sz="4" w:space="0" w:color="auto"/>
            </w:tcBorders>
          </w:tcPr>
          <w:p w14:paraId="15FBE73E" w14:textId="37AF11B0" w:rsidR="00D878B0" w:rsidRPr="00447E39" w:rsidRDefault="00320868" w:rsidP="00A91D9E">
            <w:pPr>
              <w:pStyle w:val="Caption"/>
              <w:keepNext/>
              <w:jc w:val="left"/>
              <w:rPr>
                <w:color w:val="000000"/>
                <w:sz w:val="24"/>
                <w:szCs w:val="24"/>
              </w:rPr>
            </w:pPr>
            <w:bookmarkStart w:id="1" w:name="_Ref160790837"/>
            <w:bookmarkStart w:id="2" w:name="BMS_TBL_vHhZC"/>
            <w:bookmarkStart w:id="3" w:name="BMS_TBL_TableTable1_"/>
            <w:bookmarkStart w:id="4" w:name="TBL1"/>
            <w:r w:rsidRPr="00447E39">
              <w:rPr>
                <w:sz w:val="24"/>
                <w:szCs w:val="24"/>
              </w:rPr>
              <w:t xml:space="preserve">Table </w:t>
            </w:r>
            <w:r w:rsidRPr="00447E39">
              <w:rPr>
                <w:sz w:val="24"/>
                <w:szCs w:val="24"/>
              </w:rPr>
              <w:fldChar w:fldCharType="begin"/>
            </w:r>
            <w:r w:rsidRPr="00447E39">
              <w:rPr>
                <w:sz w:val="24"/>
                <w:szCs w:val="24"/>
              </w:rPr>
              <w:instrText xml:space="preserve"> SEQ Table \* ARABIC </w:instrText>
            </w:r>
            <w:r w:rsidRPr="00447E39">
              <w:rPr>
                <w:sz w:val="24"/>
                <w:szCs w:val="24"/>
              </w:rPr>
              <w:fldChar w:fldCharType="separate"/>
            </w:r>
            <w:r w:rsidR="007D3B89">
              <w:rPr>
                <w:noProof/>
                <w:sz w:val="24"/>
                <w:szCs w:val="24"/>
              </w:rPr>
              <w:t>1</w:t>
            </w:r>
            <w:r w:rsidRPr="00447E39">
              <w:rPr>
                <w:sz w:val="24"/>
                <w:szCs w:val="24"/>
              </w:rPr>
              <w:fldChar w:fldCharType="end"/>
            </w:r>
            <w:bookmarkEnd w:id="1"/>
            <w:r w:rsidR="00D35685" w:rsidRPr="00447E39">
              <w:rPr>
                <w:sz w:val="24"/>
                <w:szCs w:val="24"/>
              </w:rPr>
              <w:t xml:space="preserve"> Recommended </w:t>
            </w:r>
            <w:r w:rsidR="00342E44">
              <w:rPr>
                <w:sz w:val="24"/>
                <w:szCs w:val="24"/>
              </w:rPr>
              <w:t>d</w:t>
            </w:r>
            <w:r w:rsidR="00D35685" w:rsidRPr="00447E39">
              <w:rPr>
                <w:sz w:val="24"/>
                <w:szCs w:val="24"/>
              </w:rPr>
              <w:t xml:space="preserve">ose </w:t>
            </w:r>
            <w:r w:rsidR="00342E44">
              <w:rPr>
                <w:sz w:val="24"/>
                <w:szCs w:val="24"/>
              </w:rPr>
              <w:t>r</w:t>
            </w:r>
            <w:r w:rsidR="00D35685" w:rsidRPr="00447E39">
              <w:rPr>
                <w:sz w:val="24"/>
                <w:szCs w:val="24"/>
              </w:rPr>
              <w:t xml:space="preserve">eductions for </w:t>
            </w:r>
            <w:r w:rsidR="00342E44">
              <w:rPr>
                <w:sz w:val="24"/>
                <w:szCs w:val="24"/>
              </w:rPr>
              <w:t>a</w:t>
            </w:r>
            <w:r w:rsidR="00D35685" w:rsidRPr="00447E39">
              <w:rPr>
                <w:sz w:val="24"/>
                <w:szCs w:val="24"/>
              </w:rPr>
              <w:t xml:space="preserve">dverse </w:t>
            </w:r>
            <w:r w:rsidR="00342E44">
              <w:rPr>
                <w:sz w:val="24"/>
                <w:szCs w:val="24"/>
              </w:rPr>
              <w:t>e</w:t>
            </w:r>
            <w:r w:rsidR="00D35685" w:rsidRPr="00447E39">
              <w:rPr>
                <w:sz w:val="24"/>
                <w:szCs w:val="24"/>
              </w:rPr>
              <w:t>vents</w:t>
            </w:r>
            <w:bookmarkEnd w:id="2"/>
            <w:bookmarkEnd w:id="3"/>
            <w:bookmarkEnd w:id="4"/>
            <w:r w:rsidR="003A1C0D">
              <w:rPr>
                <w:sz w:val="24"/>
                <w:szCs w:val="24"/>
              </w:rPr>
              <w:t xml:space="preserve"> (AE)</w:t>
            </w:r>
          </w:p>
        </w:tc>
      </w:tr>
      <w:tr w:rsidR="00ED1A1E" w:rsidRPr="00D92AAA" w14:paraId="4FDE7ECE" w14:textId="77777777" w:rsidTr="0004164B">
        <w:trPr>
          <w:trHeight w:val="283"/>
          <w:tblHeader/>
        </w:trPr>
        <w:tc>
          <w:tcPr>
            <w:tcW w:w="2268" w:type="dxa"/>
            <w:tcBorders>
              <w:top w:val="single" w:sz="4" w:space="0" w:color="auto"/>
              <w:left w:val="single" w:sz="4" w:space="0" w:color="auto"/>
              <w:bottom w:val="single" w:sz="4" w:space="0" w:color="auto"/>
              <w:right w:val="single" w:sz="4" w:space="0" w:color="auto"/>
            </w:tcBorders>
            <w:vAlign w:val="center"/>
          </w:tcPr>
          <w:p w14:paraId="214BE2D9" w14:textId="1DBC1E3C" w:rsidR="00ED1A1E" w:rsidRDefault="008C4B65" w:rsidP="00A91D9E">
            <w:pPr>
              <w:pStyle w:val="BMSTableHeader"/>
              <w:keepNext/>
              <w:keepLines/>
              <w:spacing w:before="0" w:after="0"/>
              <w:jc w:val="left"/>
              <w:rPr>
                <w:lang w:val="en-GB" w:eastAsia="en-US"/>
              </w:rPr>
            </w:pPr>
            <w:r>
              <w:rPr>
                <w:lang w:val="en-GB" w:eastAsia="en-US"/>
              </w:rPr>
              <w:t>Dose</w:t>
            </w:r>
          </w:p>
        </w:tc>
        <w:tc>
          <w:tcPr>
            <w:tcW w:w="2835" w:type="dxa"/>
            <w:tcBorders>
              <w:top w:val="single" w:sz="4" w:space="0" w:color="auto"/>
              <w:left w:val="single" w:sz="4" w:space="0" w:color="auto"/>
              <w:bottom w:val="single" w:sz="4" w:space="0" w:color="auto"/>
              <w:right w:val="single" w:sz="4" w:space="0" w:color="auto"/>
            </w:tcBorders>
            <w:vAlign w:val="center"/>
          </w:tcPr>
          <w:p w14:paraId="774A547A" w14:textId="77DC32ED" w:rsidR="00ED1A1E" w:rsidRDefault="00E20A60" w:rsidP="00A91D9E">
            <w:pPr>
              <w:pStyle w:val="BMSTableHeader"/>
              <w:keepNext/>
              <w:keepLines/>
              <w:jc w:val="left"/>
              <w:rPr>
                <w:lang w:val="en-GB" w:eastAsia="en-US"/>
              </w:rPr>
            </w:pPr>
            <w:r>
              <w:rPr>
                <w:lang w:val="en-GB" w:eastAsia="en-US"/>
              </w:rPr>
              <w:t>First dose reduction</w:t>
            </w:r>
          </w:p>
        </w:tc>
        <w:tc>
          <w:tcPr>
            <w:tcW w:w="3923" w:type="dxa"/>
            <w:tcBorders>
              <w:top w:val="single" w:sz="4" w:space="0" w:color="auto"/>
              <w:left w:val="single" w:sz="4" w:space="0" w:color="auto"/>
              <w:bottom w:val="single" w:sz="4" w:space="0" w:color="auto"/>
              <w:right w:val="single" w:sz="4" w:space="0" w:color="auto"/>
            </w:tcBorders>
            <w:vAlign w:val="center"/>
          </w:tcPr>
          <w:p w14:paraId="7997CE9E" w14:textId="7ED11B92" w:rsidR="00ED1A1E" w:rsidRPr="00D92AAA" w:rsidRDefault="00E20A60" w:rsidP="00A91D9E">
            <w:pPr>
              <w:pStyle w:val="BMSTableHeader"/>
              <w:keepNext/>
              <w:keepLines/>
              <w:jc w:val="left"/>
              <w:rPr>
                <w:lang w:val="en-GB" w:eastAsia="en-US"/>
              </w:rPr>
            </w:pPr>
            <w:r>
              <w:rPr>
                <w:lang w:val="en-GB" w:eastAsia="en-US"/>
              </w:rPr>
              <w:t>Second dose reduction</w:t>
            </w:r>
          </w:p>
        </w:tc>
      </w:tr>
      <w:tr w:rsidR="00931050" w:rsidRPr="00F63FFE" w14:paraId="329DF606" w14:textId="77777777" w:rsidTr="0004164B">
        <w:trPr>
          <w:trHeight w:val="283"/>
          <w:tblHeader/>
        </w:trPr>
        <w:tc>
          <w:tcPr>
            <w:tcW w:w="2268" w:type="dxa"/>
            <w:tcBorders>
              <w:top w:val="single" w:sz="4" w:space="0" w:color="auto"/>
              <w:left w:val="single" w:sz="4" w:space="0" w:color="auto"/>
              <w:bottom w:val="single" w:sz="4" w:space="0" w:color="auto"/>
              <w:right w:val="single" w:sz="4" w:space="0" w:color="auto"/>
            </w:tcBorders>
            <w:vAlign w:val="center"/>
          </w:tcPr>
          <w:p w14:paraId="30E4B3D4" w14:textId="39D26877" w:rsidR="00931050" w:rsidRPr="00F63FFE" w:rsidRDefault="00931050" w:rsidP="00A91D9E">
            <w:pPr>
              <w:pStyle w:val="BMSTableHeader"/>
              <w:keepNext/>
              <w:keepLines/>
              <w:spacing w:before="0" w:after="0"/>
              <w:jc w:val="left"/>
              <w:rPr>
                <w:b w:val="0"/>
                <w:bCs/>
                <w:lang w:val="en-GB" w:eastAsia="en-US"/>
              </w:rPr>
            </w:pPr>
            <w:r w:rsidRPr="00F63FFE">
              <w:rPr>
                <w:b w:val="0"/>
                <w:bCs/>
                <w:lang w:val="en-GB" w:eastAsia="en-US"/>
              </w:rPr>
              <w:t xml:space="preserve">160 mg </w:t>
            </w:r>
            <w:r w:rsidR="003A1C0D">
              <w:rPr>
                <w:b w:val="0"/>
                <w:bCs/>
                <w:lang w:val="en-GB" w:eastAsia="en-US"/>
              </w:rPr>
              <w:t>o</w:t>
            </w:r>
            <w:r w:rsidRPr="00F63FFE">
              <w:rPr>
                <w:b w:val="0"/>
                <w:bCs/>
                <w:lang w:val="en-GB" w:eastAsia="en-US"/>
              </w:rPr>
              <w:t xml:space="preserve">nce </w:t>
            </w:r>
            <w:r w:rsidR="003A1C0D">
              <w:rPr>
                <w:b w:val="0"/>
                <w:bCs/>
                <w:lang w:val="en-GB" w:eastAsia="en-US"/>
              </w:rPr>
              <w:t>d</w:t>
            </w:r>
            <w:r w:rsidRPr="00F63FFE">
              <w:rPr>
                <w:b w:val="0"/>
                <w:bCs/>
                <w:lang w:val="en-GB" w:eastAsia="en-US"/>
              </w:rPr>
              <w:t>aily</w:t>
            </w:r>
          </w:p>
        </w:tc>
        <w:tc>
          <w:tcPr>
            <w:tcW w:w="2835" w:type="dxa"/>
            <w:tcBorders>
              <w:top w:val="single" w:sz="4" w:space="0" w:color="auto"/>
              <w:left w:val="single" w:sz="4" w:space="0" w:color="auto"/>
              <w:bottom w:val="single" w:sz="4" w:space="0" w:color="auto"/>
              <w:right w:val="single" w:sz="4" w:space="0" w:color="auto"/>
            </w:tcBorders>
            <w:vAlign w:val="center"/>
          </w:tcPr>
          <w:p w14:paraId="50D39B70" w14:textId="55CC3A7F" w:rsidR="00931050" w:rsidRPr="00F63FFE" w:rsidRDefault="00931050" w:rsidP="00A91D9E">
            <w:pPr>
              <w:pStyle w:val="BMSTableHeader"/>
              <w:keepNext/>
              <w:keepLines/>
              <w:jc w:val="left"/>
              <w:rPr>
                <w:b w:val="0"/>
                <w:bCs/>
                <w:lang w:val="en-GB" w:eastAsia="en-US"/>
              </w:rPr>
            </w:pPr>
            <w:r w:rsidRPr="00F63FFE">
              <w:rPr>
                <w:b w:val="0"/>
                <w:bCs/>
                <w:lang w:val="en-GB" w:eastAsia="en-US"/>
              </w:rPr>
              <w:t xml:space="preserve">120 mg </w:t>
            </w:r>
            <w:r w:rsidR="003A1C0D">
              <w:rPr>
                <w:b w:val="0"/>
                <w:bCs/>
                <w:lang w:val="en-GB" w:eastAsia="en-US"/>
              </w:rPr>
              <w:t>o</w:t>
            </w:r>
            <w:r w:rsidRPr="00F63FFE">
              <w:rPr>
                <w:b w:val="0"/>
                <w:bCs/>
                <w:lang w:val="en-GB" w:eastAsia="en-US"/>
              </w:rPr>
              <w:t xml:space="preserve">nce </w:t>
            </w:r>
            <w:r w:rsidR="003A1C0D">
              <w:rPr>
                <w:b w:val="0"/>
                <w:bCs/>
                <w:lang w:val="en-GB" w:eastAsia="en-US"/>
              </w:rPr>
              <w:t>d</w:t>
            </w:r>
            <w:r w:rsidRPr="00F63FFE">
              <w:rPr>
                <w:b w:val="0"/>
                <w:bCs/>
                <w:lang w:val="en-GB" w:eastAsia="en-US"/>
              </w:rPr>
              <w:t>aily</w:t>
            </w:r>
          </w:p>
        </w:tc>
        <w:tc>
          <w:tcPr>
            <w:tcW w:w="3923" w:type="dxa"/>
            <w:tcBorders>
              <w:top w:val="single" w:sz="4" w:space="0" w:color="auto"/>
              <w:left w:val="single" w:sz="4" w:space="0" w:color="auto"/>
              <w:bottom w:val="single" w:sz="4" w:space="0" w:color="auto"/>
              <w:right w:val="single" w:sz="4" w:space="0" w:color="auto"/>
            </w:tcBorders>
            <w:vAlign w:val="center"/>
          </w:tcPr>
          <w:p w14:paraId="60FF0634" w14:textId="1F1B842C" w:rsidR="00931050" w:rsidRPr="00F63FFE" w:rsidRDefault="00A55593" w:rsidP="00A91D9E">
            <w:pPr>
              <w:pStyle w:val="BMSTableHeader"/>
              <w:keepNext/>
              <w:keepLines/>
              <w:jc w:val="left"/>
              <w:rPr>
                <w:b w:val="0"/>
                <w:bCs/>
                <w:lang w:val="en-GB" w:eastAsia="en-US"/>
              </w:rPr>
            </w:pPr>
            <w:r w:rsidRPr="00F63FFE">
              <w:rPr>
                <w:b w:val="0"/>
                <w:bCs/>
                <w:lang w:val="en-GB" w:eastAsia="en-US"/>
              </w:rPr>
              <w:t xml:space="preserve">80 mg </w:t>
            </w:r>
            <w:r w:rsidR="003A1C0D">
              <w:rPr>
                <w:b w:val="0"/>
                <w:bCs/>
                <w:lang w:val="en-GB" w:eastAsia="en-US"/>
              </w:rPr>
              <w:t>o</w:t>
            </w:r>
            <w:r w:rsidRPr="00F63FFE">
              <w:rPr>
                <w:b w:val="0"/>
                <w:bCs/>
                <w:lang w:val="en-GB" w:eastAsia="en-US"/>
              </w:rPr>
              <w:t xml:space="preserve">nce </w:t>
            </w:r>
            <w:r w:rsidR="003A1C0D">
              <w:rPr>
                <w:b w:val="0"/>
                <w:bCs/>
                <w:lang w:val="en-GB" w:eastAsia="en-US"/>
              </w:rPr>
              <w:t>d</w:t>
            </w:r>
            <w:r w:rsidRPr="00F63FFE">
              <w:rPr>
                <w:b w:val="0"/>
                <w:bCs/>
                <w:lang w:val="en-GB" w:eastAsia="en-US"/>
              </w:rPr>
              <w:t>aily</w:t>
            </w:r>
          </w:p>
        </w:tc>
      </w:tr>
      <w:tr w:rsidR="00931050" w:rsidRPr="00F63FFE" w14:paraId="2B1D189D" w14:textId="77777777" w:rsidTr="0004164B">
        <w:trPr>
          <w:trHeight w:val="283"/>
          <w:tblHeader/>
        </w:trPr>
        <w:tc>
          <w:tcPr>
            <w:tcW w:w="2268" w:type="dxa"/>
            <w:tcBorders>
              <w:top w:val="single" w:sz="4" w:space="0" w:color="auto"/>
              <w:left w:val="single" w:sz="4" w:space="0" w:color="auto"/>
              <w:bottom w:val="single" w:sz="4" w:space="0" w:color="auto"/>
              <w:right w:val="single" w:sz="4" w:space="0" w:color="auto"/>
            </w:tcBorders>
            <w:vAlign w:val="center"/>
          </w:tcPr>
          <w:p w14:paraId="30E61EA6" w14:textId="0754436A" w:rsidR="00931050" w:rsidRPr="00F63FFE" w:rsidRDefault="00A55593" w:rsidP="00A91D9E">
            <w:pPr>
              <w:pStyle w:val="BMSTableHeader"/>
              <w:keepNext/>
              <w:keepLines/>
              <w:spacing w:before="0" w:after="0"/>
              <w:jc w:val="left"/>
              <w:rPr>
                <w:b w:val="0"/>
                <w:bCs/>
                <w:lang w:val="en-GB" w:eastAsia="en-US"/>
              </w:rPr>
            </w:pPr>
            <w:r w:rsidRPr="00F63FFE">
              <w:rPr>
                <w:b w:val="0"/>
                <w:bCs/>
                <w:lang w:val="en-GB" w:eastAsia="en-US"/>
              </w:rPr>
              <w:t xml:space="preserve">160 mg </w:t>
            </w:r>
            <w:r w:rsidR="003A1C0D">
              <w:rPr>
                <w:b w:val="0"/>
                <w:bCs/>
                <w:lang w:val="en-GB" w:eastAsia="en-US"/>
              </w:rPr>
              <w:t>t</w:t>
            </w:r>
            <w:r w:rsidRPr="00F63FFE">
              <w:rPr>
                <w:b w:val="0"/>
                <w:bCs/>
                <w:lang w:val="en-GB" w:eastAsia="en-US"/>
              </w:rPr>
              <w:t xml:space="preserve">wice </w:t>
            </w:r>
            <w:r w:rsidR="003A1C0D">
              <w:rPr>
                <w:b w:val="0"/>
                <w:bCs/>
                <w:lang w:val="en-GB" w:eastAsia="en-US"/>
              </w:rPr>
              <w:t>d</w:t>
            </w:r>
            <w:r w:rsidRPr="00F63FFE">
              <w:rPr>
                <w:b w:val="0"/>
                <w:bCs/>
                <w:lang w:val="en-GB" w:eastAsia="en-US"/>
              </w:rPr>
              <w:t>aily</w:t>
            </w:r>
          </w:p>
        </w:tc>
        <w:tc>
          <w:tcPr>
            <w:tcW w:w="2835" w:type="dxa"/>
            <w:tcBorders>
              <w:top w:val="single" w:sz="4" w:space="0" w:color="auto"/>
              <w:left w:val="single" w:sz="4" w:space="0" w:color="auto"/>
              <w:bottom w:val="single" w:sz="4" w:space="0" w:color="auto"/>
              <w:right w:val="single" w:sz="4" w:space="0" w:color="auto"/>
            </w:tcBorders>
            <w:vAlign w:val="center"/>
          </w:tcPr>
          <w:p w14:paraId="07329C40" w14:textId="25A5D8FB" w:rsidR="00931050" w:rsidRPr="00F63FFE" w:rsidRDefault="00A55593" w:rsidP="00A91D9E">
            <w:pPr>
              <w:pStyle w:val="BMSTableHeader"/>
              <w:keepNext/>
              <w:keepLines/>
              <w:jc w:val="left"/>
              <w:rPr>
                <w:b w:val="0"/>
                <w:bCs/>
                <w:lang w:val="en-GB" w:eastAsia="en-US"/>
              </w:rPr>
            </w:pPr>
            <w:r w:rsidRPr="00F63FFE">
              <w:rPr>
                <w:b w:val="0"/>
                <w:bCs/>
                <w:lang w:val="en-GB" w:eastAsia="en-US"/>
              </w:rPr>
              <w:t xml:space="preserve">120 mg </w:t>
            </w:r>
            <w:r w:rsidR="003A1C0D">
              <w:rPr>
                <w:b w:val="0"/>
                <w:bCs/>
                <w:lang w:val="en-GB" w:eastAsia="en-US"/>
              </w:rPr>
              <w:t>t</w:t>
            </w:r>
            <w:r w:rsidRPr="00F63FFE">
              <w:rPr>
                <w:b w:val="0"/>
                <w:bCs/>
                <w:lang w:val="en-GB" w:eastAsia="en-US"/>
              </w:rPr>
              <w:t xml:space="preserve">wice </w:t>
            </w:r>
            <w:r w:rsidR="003A1C0D">
              <w:rPr>
                <w:b w:val="0"/>
                <w:bCs/>
                <w:lang w:val="en-GB" w:eastAsia="en-US"/>
              </w:rPr>
              <w:t>d</w:t>
            </w:r>
            <w:r w:rsidRPr="00F63FFE">
              <w:rPr>
                <w:b w:val="0"/>
                <w:bCs/>
                <w:lang w:val="en-GB" w:eastAsia="en-US"/>
              </w:rPr>
              <w:t>aily</w:t>
            </w:r>
          </w:p>
        </w:tc>
        <w:tc>
          <w:tcPr>
            <w:tcW w:w="3923" w:type="dxa"/>
            <w:tcBorders>
              <w:top w:val="single" w:sz="4" w:space="0" w:color="auto"/>
              <w:left w:val="single" w:sz="4" w:space="0" w:color="auto"/>
              <w:bottom w:val="single" w:sz="4" w:space="0" w:color="auto"/>
              <w:right w:val="single" w:sz="4" w:space="0" w:color="auto"/>
            </w:tcBorders>
            <w:vAlign w:val="center"/>
          </w:tcPr>
          <w:p w14:paraId="3BA103D7" w14:textId="1E79F05C" w:rsidR="00931050" w:rsidRPr="00F63FFE" w:rsidRDefault="00F63FFE" w:rsidP="00A91D9E">
            <w:pPr>
              <w:pStyle w:val="BMSTableHeader"/>
              <w:keepNext/>
              <w:keepLines/>
              <w:jc w:val="left"/>
              <w:rPr>
                <w:b w:val="0"/>
                <w:bCs/>
                <w:lang w:val="en-GB" w:eastAsia="en-US"/>
              </w:rPr>
            </w:pPr>
            <w:r w:rsidRPr="00F63FFE">
              <w:rPr>
                <w:b w:val="0"/>
                <w:bCs/>
                <w:lang w:val="en-GB" w:eastAsia="en-US"/>
              </w:rPr>
              <w:t xml:space="preserve">80 mg </w:t>
            </w:r>
            <w:r w:rsidR="003A1C0D">
              <w:rPr>
                <w:b w:val="0"/>
                <w:bCs/>
                <w:lang w:val="en-GB" w:eastAsia="en-US"/>
              </w:rPr>
              <w:t>t</w:t>
            </w:r>
            <w:r w:rsidRPr="00F63FFE">
              <w:rPr>
                <w:b w:val="0"/>
                <w:bCs/>
                <w:lang w:val="en-GB" w:eastAsia="en-US"/>
              </w:rPr>
              <w:t xml:space="preserve">wice </w:t>
            </w:r>
            <w:r w:rsidR="003A1C0D">
              <w:rPr>
                <w:b w:val="0"/>
                <w:bCs/>
                <w:lang w:val="en-GB" w:eastAsia="en-US"/>
              </w:rPr>
              <w:t>d</w:t>
            </w:r>
            <w:r w:rsidRPr="00F63FFE">
              <w:rPr>
                <w:b w:val="0"/>
                <w:bCs/>
                <w:lang w:val="en-GB" w:eastAsia="en-US"/>
              </w:rPr>
              <w:t>aily</w:t>
            </w:r>
          </w:p>
        </w:tc>
      </w:tr>
    </w:tbl>
    <w:p w14:paraId="6AF1A750" w14:textId="77777777" w:rsidR="00F63FFE" w:rsidRDefault="00F63FFE" w:rsidP="00A91D9E">
      <w:pPr>
        <w:pStyle w:val="EMEABodyText"/>
        <w:tabs>
          <w:tab w:val="left" w:pos="540"/>
        </w:tabs>
        <w:ind w:left="540" w:hanging="540"/>
        <w:rPr>
          <w:rStyle w:val="EMEASuperscript"/>
        </w:rPr>
      </w:pPr>
    </w:p>
    <w:p w14:paraId="34963585" w14:textId="76036326" w:rsidR="00F04F25" w:rsidRPr="00F04F25" w:rsidRDefault="00F04F25" w:rsidP="00A91D9E">
      <w:pPr>
        <w:pStyle w:val="EMEABodyText"/>
        <w:tabs>
          <w:tab w:val="left" w:pos="0"/>
        </w:tabs>
        <w:rPr>
          <w:rStyle w:val="EMEASuperscript"/>
          <w:vertAlign w:val="baseline"/>
        </w:rPr>
      </w:pPr>
      <w:r w:rsidRPr="00F04F25">
        <w:rPr>
          <w:rStyle w:val="EMEASuperscript"/>
          <w:vertAlign w:val="baseline"/>
        </w:rPr>
        <w:t>Recommended dos</w:t>
      </w:r>
      <w:r w:rsidR="00443A55">
        <w:rPr>
          <w:rStyle w:val="EMEASuperscript"/>
          <w:vertAlign w:val="baseline"/>
        </w:rPr>
        <w:t>ag</w:t>
      </w:r>
      <w:r w:rsidRPr="00F04F25">
        <w:rPr>
          <w:rStyle w:val="EMEASuperscript"/>
          <w:vertAlign w:val="baseline"/>
        </w:rPr>
        <w:t xml:space="preserve">e modifications for specific adverse reactions are provided in </w:t>
      </w:r>
      <w:r w:rsidR="00447E39">
        <w:rPr>
          <w:rStyle w:val="EMEASuperscript"/>
          <w:vertAlign w:val="baseline"/>
        </w:rPr>
        <w:fldChar w:fldCharType="begin" w:fldLock="1"/>
      </w:r>
      <w:r w:rsidR="00447E39">
        <w:rPr>
          <w:rStyle w:val="EMEASuperscript"/>
          <w:vertAlign w:val="baseline"/>
        </w:rPr>
        <w:instrText xml:space="preserve"> REF _Ref160790929 \h </w:instrText>
      </w:r>
      <w:r w:rsidR="00A91D9E">
        <w:rPr>
          <w:rStyle w:val="EMEASuperscript"/>
          <w:vertAlign w:val="baseline"/>
        </w:rPr>
        <w:instrText xml:space="preserve"> \* MERGEFORMAT </w:instrText>
      </w:r>
      <w:r w:rsidR="00447E39">
        <w:rPr>
          <w:rStyle w:val="EMEASuperscript"/>
          <w:vertAlign w:val="baseline"/>
        </w:rPr>
      </w:r>
      <w:r w:rsidR="00447E39">
        <w:rPr>
          <w:rStyle w:val="EMEASuperscript"/>
          <w:vertAlign w:val="baseline"/>
        </w:rPr>
        <w:fldChar w:fldCharType="separate"/>
      </w:r>
      <w:r w:rsidR="00135E21" w:rsidRPr="00447E39">
        <w:rPr>
          <w:sz w:val="24"/>
          <w:szCs w:val="24"/>
        </w:rPr>
        <w:t xml:space="preserve">Table </w:t>
      </w:r>
      <w:r w:rsidR="00135E21">
        <w:rPr>
          <w:noProof/>
          <w:sz w:val="24"/>
          <w:szCs w:val="24"/>
        </w:rPr>
        <w:t>2</w:t>
      </w:r>
      <w:r w:rsidR="00447E39">
        <w:rPr>
          <w:rStyle w:val="EMEASuperscript"/>
          <w:vertAlign w:val="baseline"/>
        </w:rPr>
        <w:fldChar w:fldCharType="end"/>
      </w:r>
      <w:r w:rsidRPr="00F04F25">
        <w:rPr>
          <w:rStyle w:val="EMEASuperscript"/>
          <w:vertAlign w:val="baseline"/>
        </w:rPr>
        <w:t>.</w:t>
      </w:r>
    </w:p>
    <w:p w14:paraId="6EA53515" w14:textId="77777777" w:rsidR="00163C83" w:rsidRDefault="00163C83" w:rsidP="00A91D9E">
      <w:pPr>
        <w:pStyle w:val="EMEABodyText"/>
        <w:tabs>
          <w:tab w:val="left" w:pos="540"/>
        </w:tabs>
        <w:ind w:left="540" w:hanging="540"/>
        <w:rPr>
          <w:sz w:val="24"/>
          <w:szCs w:val="24"/>
        </w:rPr>
      </w:pPr>
    </w:p>
    <w:p w14:paraId="220AC717" w14:textId="3F69EC18" w:rsidR="00F63FFE" w:rsidRPr="002C3FC7" w:rsidRDefault="0059523F" w:rsidP="00A91D9E">
      <w:pPr>
        <w:pStyle w:val="EMEABodyText"/>
        <w:tabs>
          <w:tab w:val="left" w:pos="540"/>
        </w:tabs>
        <w:ind w:left="540" w:hanging="540"/>
        <w:rPr>
          <w:b/>
          <w:bCs/>
          <w:sz w:val="24"/>
          <w:szCs w:val="24"/>
        </w:rPr>
      </w:pPr>
      <w:r w:rsidRPr="002C3FC7">
        <w:rPr>
          <w:b/>
          <w:bCs/>
          <w:sz w:val="24"/>
          <w:szCs w:val="24"/>
        </w:rPr>
        <w:t xml:space="preserve">Table </w:t>
      </w:r>
      <w:r w:rsidRPr="00B63658">
        <w:rPr>
          <w:b/>
          <w:bCs/>
          <w:sz w:val="24"/>
          <w:szCs w:val="24"/>
        </w:rPr>
        <w:fldChar w:fldCharType="begin"/>
      </w:r>
      <w:r w:rsidRPr="00B63658">
        <w:rPr>
          <w:b/>
          <w:bCs/>
          <w:sz w:val="24"/>
          <w:szCs w:val="24"/>
        </w:rPr>
        <w:instrText xml:space="preserve"> SEQ Table \* ARABIC </w:instrText>
      </w:r>
      <w:r w:rsidRPr="00B63658">
        <w:rPr>
          <w:b/>
          <w:bCs/>
          <w:sz w:val="24"/>
          <w:szCs w:val="24"/>
        </w:rPr>
        <w:fldChar w:fldCharType="separate"/>
      </w:r>
      <w:r w:rsidR="007D3B89">
        <w:rPr>
          <w:b/>
          <w:bCs/>
          <w:noProof/>
          <w:sz w:val="24"/>
          <w:szCs w:val="24"/>
        </w:rPr>
        <w:t>2</w:t>
      </w:r>
      <w:r w:rsidRPr="00B63658">
        <w:rPr>
          <w:b/>
          <w:bCs/>
          <w:sz w:val="24"/>
          <w:szCs w:val="24"/>
        </w:rPr>
        <w:fldChar w:fldCharType="end"/>
      </w:r>
      <w:r w:rsidRPr="002C3FC7">
        <w:rPr>
          <w:b/>
          <w:bCs/>
          <w:sz w:val="24"/>
          <w:szCs w:val="24"/>
        </w:rPr>
        <w:t xml:space="preserve"> Recommended </w:t>
      </w:r>
      <w:r w:rsidR="00E20A60">
        <w:rPr>
          <w:b/>
          <w:bCs/>
          <w:sz w:val="24"/>
          <w:szCs w:val="24"/>
        </w:rPr>
        <w:t>d</w:t>
      </w:r>
      <w:r w:rsidRPr="002C3FC7">
        <w:rPr>
          <w:b/>
          <w:bCs/>
          <w:sz w:val="24"/>
          <w:szCs w:val="24"/>
        </w:rPr>
        <w:t>os</w:t>
      </w:r>
      <w:r w:rsidR="00443A55">
        <w:rPr>
          <w:b/>
          <w:bCs/>
          <w:sz w:val="24"/>
          <w:szCs w:val="24"/>
        </w:rPr>
        <w:t>ag</w:t>
      </w:r>
      <w:r w:rsidRPr="002C3FC7">
        <w:rPr>
          <w:b/>
          <w:bCs/>
          <w:sz w:val="24"/>
          <w:szCs w:val="24"/>
        </w:rPr>
        <w:t xml:space="preserve">e </w:t>
      </w:r>
      <w:r w:rsidR="00E20A60">
        <w:rPr>
          <w:b/>
          <w:bCs/>
          <w:sz w:val="24"/>
          <w:szCs w:val="24"/>
        </w:rPr>
        <w:t>m</w:t>
      </w:r>
      <w:r w:rsidRPr="002C3FC7">
        <w:rPr>
          <w:b/>
          <w:bCs/>
          <w:sz w:val="24"/>
          <w:szCs w:val="24"/>
        </w:rPr>
        <w:t xml:space="preserve">odifications for </w:t>
      </w:r>
      <w:r w:rsidR="00E20A60">
        <w:rPr>
          <w:b/>
          <w:bCs/>
          <w:sz w:val="24"/>
          <w:szCs w:val="24"/>
        </w:rPr>
        <w:t>s</w:t>
      </w:r>
      <w:r w:rsidRPr="002C3FC7">
        <w:rPr>
          <w:b/>
          <w:bCs/>
          <w:sz w:val="24"/>
          <w:szCs w:val="24"/>
        </w:rPr>
        <w:t xml:space="preserve">pecific </w:t>
      </w:r>
      <w:r w:rsidR="00E20A60">
        <w:rPr>
          <w:b/>
          <w:bCs/>
          <w:sz w:val="24"/>
          <w:szCs w:val="24"/>
        </w:rPr>
        <w:t>a</w:t>
      </w:r>
      <w:r w:rsidRPr="002C3FC7">
        <w:rPr>
          <w:b/>
          <w:bCs/>
          <w:sz w:val="24"/>
          <w:szCs w:val="24"/>
        </w:rPr>
        <w:t>dverse</w:t>
      </w:r>
      <w:r w:rsidR="00E20A60">
        <w:rPr>
          <w:b/>
          <w:bCs/>
          <w:sz w:val="24"/>
          <w:szCs w:val="24"/>
        </w:rPr>
        <w:t xml:space="preserve"> e</w:t>
      </w:r>
      <w:r w:rsidRPr="002C3FC7">
        <w:rPr>
          <w:b/>
          <w:bCs/>
          <w:sz w:val="24"/>
          <w:szCs w:val="24"/>
        </w:rPr>
        <w:t>vents</w:t>
      </w:r>
    </w:p>
    <w:p w14:paraId="1201F6E6" w14:textId="77777777" w:rsidR="00B63658" w:rsidRDefault="00B63658" w:rsidP="00A91D9E">
      <w:pPr>
        <w:pStyle w:val="EMEABodyText"/>
        <w:tabs>
          <w:tab w:val="left" w:pos="540"/>
        </w:tabs>
        <w:ind w:left="540" w:hanging="540"/>
        <w:rPr>
          <w:rStyle w:val="EMEASuperscript"/>
        </w:rPr>
      </w:pPr>
    </w:p>
    <w:tbl>
      <w:tblPr>
        <w:tblW w:w="0" w:type="auto"/>
        <w:tblCellMar>
          <w:left w:w="57" w:type="dxa"/>
          <w:right w:w="57" w:type="dxa"/>
        </w:tblCellMar>
        <w:tblLook w:val="04A0" w:firstRow="1" w:lastRow="0" w:firstColumn="1" w:lastColumn="0" w:noHBand="0" w:noVBand="1"/>
      </w:tblPr>
      <w:tblGrid>
        <w:gridCol w:w="2263"/>
        <w:gridCol w:w="1843"/>
        <w:gridCol w:w="4910"/>
      </w:tblGrid>
      <w:tr w:rsidR="00CA3483" w:rsidRPr="00D92AAA" w14:paraId="5C1C0A59" w14:textId="77777777" w:rsidTr="0004164B">
        <w:trPr>
          <w:trHeight w:val="283"/>
          <w:tblHeader/>
        </w:trPr>
        <w:tc>
          <w:tcPr>
            <w:tcW w:w="2263" w:type="dxa"/>
            <w:tcBorders>
              <w:top w:val="single" w:sz="4" w:space="0" w:color="auto"/>
              <w:left w:val="single" w:sz="4" w:space="0" w:color="auto"/>
              <w:bottom w:val="single" w:sz="4" w:space="0" w:color="auto"/>
              <w:right w:val="single" w:sz="4" w:space="0" w:color="auto"/>
            </w:tcBorders>
            <w:vAlign w:val="center"/>
          </w:tcPr>
          <w:p w14:paraId="146E89A8" w14:textId="58B318BF" w:rsidR="00CA3483" w:rsidRPr="00D92AAA" w:rsidRDefault="00CA3483" w:rsidP="00A91D9E">
            <w:pPr>
              <w:pStyle w:val="BMSTableHeader"/>
              <w:keepLines/>
              <w:spacing w:before="0" w:after="0"/>
              <w:jc w:val="left"/>
              <w:rPr>
                <w:lang w:val="en-GB" w:eastAsia="en-US"/>
              </w:rPr>
            </w:pPr>
            <w:r>
              <w:rPr>
                <w:lang w:val="en-GB" w:eastAsia="en-US"/>
              </w:rPr>
              <w:t xml:space="preserve">Adverse </w:t>
            </w:r>
            <w:r w:rsidR="00823EB3">
              <w:rPr>
                <w:lang w:val="en-GB" w:eastAsia="en-US"/>
              </w:rPr>
              <w:t>e</w:t>
            </w:r>
            <w:r>
              <w:rPr>
                <w:lang w:val="en-GB" w:eastAsia="en-US"/>
              </w:rPr>
              <w:t>vents</w:t>
            </w:r>
          </w:p>
        </w:tc>
        <w:tc>
          <w:tcPr>
            <w:tcW w:w="1843" w:type="dxa"/>
            <w:tcBorders>
              <w:top w:val="single" w:sz="4" w:space="0" w:color="auto"/>
              <w:left w:val="single" w:sz="4" w:space="0" w:color="auto"/>
              <w:bottom w:val="single" w:sz="4" w:space="0" w:color="auto"/>
              <w:right w:val="single" w:sz="4" w:space="0" w:color="auto"/>
            </w:tcBorders>
            <w:vAlign w:val="center"/>
          </w:tcPr>
          <w:p w14:paraId="6FA3B04B" w14:textId="0DAD11E9" w:rsidR="00CA3483" w:rsidRPr="00D92AAA" w:rsidRDefault="00CA3483" w:rsidP="00A91D9E">
            <w:pPr>
              <w:pStyle w:val="BMSTableHeader"/>
              <w:keepLines/>
              <w:jc w:val="left"/>
              <w:rPr>
                <w:lang w:val="en-GB" w:eastAsia="en-US"/>
              </w:rPr>
            </w:pPr>
            <w:r>
              <w:rPr>
                <w:lang w:val="en-GB" w:eastAsia="en-US"/>
              </w:rPr>
              <w:t>Severity</w:t>
            </w:r>
            <w:r w:rsidR="00250BC9">
              <w:rPr>
                <w:lang w:val="en-GB" w:eastAsia="en-US"/>
              </w:rPr>
              <w:t>*</w:t>
            </w:r>
          </w:p>
        </w:tc>
        <w:tc>
          <w:tcPr>
            <w:tcW w:w="4910" w:type="dxa"/>
            <w:tcBorders>
              <w:top w:val="single" w:sz="4" w:space="0" w:color="auto"/>
              <w:left w:val="single" w:sz="4" w:space="0" w:color="auto"/>
              <w:bottom w:val="single" w:sz="4" w:space="0" w:color="auto"/>
              <w:right w:val="single" w:sz="4" w:space="0" w:color="auto"/>
            </w:tcBorders>
            <w:vAlign w:val="center"/>
          </w:tcPr>
          <w:p w14:paraId="75AF2B46" w14:textId="69C94468" w:rsidR="00CA3483" w:rsidRPr="00D92AAA" w:rsidRDefault="00CA3483" w:rsidP="00A91D9E">
            <w:pPr>
              <w:pStyle w:val="BMSTableHeader"/>
              <w:keepLines/>
              <w:jc w:val="left"/>
              <w:rPr>
                <w:lang w:val="en-GB" w:eastAsia="en-US"/>
              </w:rPr>
            </w:pPr>
            <w:r>
              <w:rPr>
                <w:lang w:val="en-GB" w:eastAsia="en-US"/>
              </w:rPr>
              <w:t>Dos</w:t>
            </w:r>
            <w:r w:rsidR="00443A55">
              <w:rPr>
                <w:lang w:val="en-GB" w:eastAsia="en-US"/>
              </w:rPr>
              <w:t>ag</w:t>
            </w:r>
            <w:r>
              <w:rPr>
                <w:lang w:val="en-GB" w:eastAsia="en-US"/>
              </w:rPr>
              <w:t xml:space="preserve">e </w:t>
            </w:r>
            <w:r w:rsidR="00823EB3">
              <w:rPr>
                <w:lang w:val="en-GB" w:eastAsia="en-US"/>
              </w:rPr>
              <w:t>m</w:t>
            </w:r>
            <w:r>
              <w:rPr>
                <w:lang w:val="en-GB" w:eastAsia="en-US"/>
              </w:rPr>
              <w:t>odification</w:t>
            </w:r>
          </w:p>
        </w:tc>
      </w:tr>
      <w:tr w:rsidR="008A3937" w:rsidRPr="000142C9" w14:paraId="6A0BE71F" w14:textId="77777777" w:rsidTr="00381143">
        <w:trPr>
          <w:trHeight w:val="283"/>
        </w:trPr>
        <w:tc>
          <w:tcPr>
            <w:tcW w:w="2263" w:type="dxa"/>
            <w:vMerge w:val="restart"/>
            <w:tcBorders>
              <w:top w:val="single" w:sz="4" w:space="0" w:color="auto"/>
              <w:left w:val="single" w:sz="4" w:space="0" w:color="auto"/>
              <w:right w:val="single" w:sz="4" w:space="0" w:color="auto"/>
            </w:tcBorders>
            <w:vAlign w:val="center"/>
          </w:tcPr>
          <w:p w14:paraId="3AC5E428" w14:textId="2CAEB5A5" w:rsidR="008A3937" w:rsidRPr="000142C9" w:rsidRDefault="008A3937" w:rsidP="00A91D9E">
            <w:pPr>
              <w:pStyle w:val="BMSTableHeader"/>
              <w:keepLines/>
              <w:spacing w:before="0" w:after="0"/>
              <w:jc w:val="left"/>
              <w:rPr>
                <w:b w:val="0"/>
                <w:bCs/>
                <w:lang w:val="en-GB" w:eastAsia="en-US"/>
              </w:rPr>
            </w:pPr>
            <w:r w:rsidRPr="000142C9">
              <w:rPr>
                <w:b w:val="0"/>
                <w:bCs/>
                <w:lang w:val="en-GB" w:eastAsia="en-US"/>
              </w:rPr>
              <w:t xml:space="preserve">Central </w:t>
            </w:r>
            <w:r w:rsidR="006714F0">
              <w:rPr>
                <w:b w:val="0"/>
                <w:bCs/>
                <w:lang w:val="en-GB" w:eastAsia="en-US"/>
              </w:rPr>
              <w:t>n</w:t>
            </w:r>
            <w:r w:rsidRPr="000142C9">
              <w:rPr>
                <w:b w:val="0"/>
                <w:bCs/>
                <w:lang w:val="en-GB" w:eastAsia="en-US"/>
              </w:rPr>
              <w:t xml:space="preserve">ervous </w:t>
            </w:r>
            <w:r w:rsidR="006714F0">
              <w:rPr>
                <w:b w:val="0"/>
                <w:bCs/>
                <w:lang w:val="en-GB" w:eastAsia="en-US"/>
              </w:rPr>
              <w:t>s</w:t>
            </w:r>
            <w:r w:rsidRPr="000142C9">
              <w:rPr>
                <w:b w:val="0"/>
                <w:bCs/>
                <w:lang w:val="en-GB" w:eastAsia="en-US"/>
              </w:rPr>
              <w:t xml:space="preserve">ystem </w:t>
            </w:r>
            <w:r w:rsidR="00AF03D0">
              <w:rPr>
                <w:b w:val="0"/>
                <w:bCs/>
                <w:lang w:val="en-GB" w:eastAsia="en-US"/>
              </w:rPr>
              <w:t>e</w:t>
            </w:r>
            <w:r w:rsidRPr="000142C9">
              <w:rPr>
                <w:b w:val="0"/>
                <w:bCs/>
                <w:lang w:val="en-GB" w:eastAsia="en-US"/>
              </w:rPr>
              <w:t>ffects</w:t>
            </w:r>
          </w:p>
        </w:tc>
        <w:tc>
          <w:tcPr>
            <w:tcW w:w="1843" w:type="dxa"/>
            <w:tcBorders>
              <w:top w:val="single" w:sz="4" w:space="0" w:color="auto"/>
              <w:left w:val="single" w:sz="4" w:space="0" w:color="auto"/>
              <w:bottom w:val="single" w:sz="4" w:space="0" w:color="auto"/>
              <w:right w:val="single" w:sz="4" w:space="0" w:color="auto"/>
            </w:tcBorders>
            <w:vAlign w:val="center"/>
          </w:tcPr>
          <w:p w14:paraId="54CE949E" w14:textId="585A1E73" w:rsidR="008A3937" w:rsidRPr="000142C9" w:rsidRDefault="008A3937" w:rsidP="00A91D9E">
            <w:pPr>
              <w:pStyle w:val="BMSTableHeader"/>
              <w:keepLines/>
              <w:jc w:val="left"/>
              <w:rPr>
                <w:b w:val="0"/>
                <w:bCs/>
                <w:lang w:val="en-GB" w:eastAsia="en-US"/>
              </w:rPr>
            </w:pPr>
            <w:r w:rsidRPr="000142C9">
              <w:rPr>
                <w:b w:val="0"/>
                <w:bCs/>
                <w:lang w:val="en-GB" w:eastAsia="en-US"/>
              </w:rPr>
              <w:t>Intolerable Grade 2</w:t>
            </w:r>
          </w:p>
        </w:tc>
        <w:tc>
          <w:tcPr>
            <w:tcW w:w="4910" w:type="dxa"/>
            <w:tcBorders>
              <w:top w:val="single" w:sz="4" w:space="0" w:color="auto"/>
              <w:left w:val="single" w:sz="4" w:space="0" w:color="auto"/>
              <w:bottom w:val="single" w:sz="4" w:space="0" w:color="auto"/>
              <w:right w:val="single" w:sz="4" w:space="0" w:color="auto"/>
            </w:tcBorders>
            <w:vAlign w:val="center"/>
          </w:tcPr>
          <w:p w14:paraId="04C3C665" w14:textId="77777777" w:rsidR="008A3937" w:rsidRPr="000142C9" w:rsidRDefault="008A3937" w:rsidP="00A91D9E">
            <w:pPr>
              <w:pStyle w:val="BMSTableHeader"/>
              <w:keepLines/>
              <w:numPr>
                <w:ilvl w:val="0"/>
                <w:numId w:val="4"/>
              </w:numPr>
              <w:jc w:val="left"/>
              <w:rPr>
                <w:b w:val="0"/>
                <w:bCs/>
                <w:lang w:val="en-GB" w:eastAsia="en-US"/>
              </w:rPr>
            </w:pPr>
            <w:r w:rsidRPr="000142C9">
              <w:rPr>
                <w:b w:val="0"/>
                <w:bCs/>
                <w:lang w:val="en-GB" w:eastAsia="en-US"/>
              </w:rPr>
              <w:t>Withhold until less than or equal to Grade 1 or baseline.</w:t>
            </w:r>
          </w:p>
          <w:p w14:paraId="1428532F" w14:textId="70EC9959" w:rsidR="008A3937" w:rsidRPr="000142C9" w:rsidRDefault="008A3937" w:rsidP="00A91D9E">
            <w:pPr>
              <w:pStyle w:val="BMSTableHeader"/>
              <w:keepLines/>
              <w:numPr>
                <w:ilvl w:val="0"/>
                <w:numId w:val="4"/>
              </w:numPr>
              <w:jc w:val="left"/>
              <w:rPr>
                <w:b w:val="0"/>
                <w:bCs/>
                <w:lang w:val="en-GB" w:eastAsia="en-US"/>
              </w:rPr>
            </w:pPr>
            <w:r w:rsidRPr="000142C9">
              <w:rPr>
                <w:b w:val="0"/>
                <w:bCs/>
                <w:lang w:val="en-GB" w:eastAsia="en-US"/>
              </w:rPr>
              <w:t>Resume at same or reduced dose, as clinically appropriate.</w:t>
            </w:r>
          </w:p>
        </w:tc>
      </w:tr>
      <w:tr w:rsidR="008A3937" w:rsidRPr="000142C9" w14:paraId="38B81CA3" w14:textId="77777777" w:rsidTr="00381143">
        <w:trPr>
          <w:trHeight w:val="283"/>
        </w:trPr>
        <w:tc>
          <w:tcPr>
            <w:tcW w:w="2263" w:type="dxa"/>
            <w:vMerge/>
            <w:tcBorders>
              <w:left w:val="single" w:sz="4" w:space="0" w:color="auto"/>
              <w:right w:val="single" w:sz="4" w:space="0" w:color="auto"/>
            </w:tcBorders>
            <w:vAlign w:val="center"/>
          </w:tcPr>
          <w:p w14:paraId="65AE812D" w14:textId="4A70658E" w:rsidR="008A3937" w:rsidRPr="000142C9" w:rsidRDefault="008A3937" w:rsidP="00A91D9E">
            <w:pPr>
              <w:pStyle w:val="BMSTableHeader"/>
              <w:keepLines/>
              <w:spacing w:before="0" w:after="0"/>
              <w:jc w:val="left"/>
              <w:rPr>
                <w:b w:val="0"/>
                <w:bCs/>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29E9148" w14:textId="7692CB6A" w:rsidR="008A3937" w:rsidRPr="000142C9" w:rsidRDefault="008A3937" w:rsidP="00A91D9E">
            <w:pPr>
              <w:pStyle w:val="BMSTableHeader"/>
              <w:keepLines/>
              <w:jc w:val="left"/>
              <w:rPr>
                <w:b w:val="0"/>
                <w:bCs/>
                <w:lang w:val="en-GB" w:eastAsia="en-US"/>
              </w:rPr>
            </w:pPr>
            <w:r w:rsidRPr="000142C9">
              <w:rPr>
                <w:b w:val="0"/>
                <w:bCs/>
                <w:lang w:val="en-GB" w:eastAsia="en-US"/>
              </w:rPr>
              <w:t>Grade 3</w:t>
            </w:r>
          </w:p>
        </w:tc>
        <w:tc>
          <w:tcPr>
            <w:tcW w:w="4910" w:type="dxa"/>
            <w:tcBorders>
              <w:top w:val="single" w:sz="4" w:space="0" w:color="auto"/>
              <w:left w:val="single" w:sz="4" w:space="0" w:color="auto"/>
              <w:bottom w:val="single" w:sz="4" w:space="0" w:color="auto"/>
              <w:right w:val="single" w:sz="4" w:space="0" w:color="auto"/>
            </w:tcBorders>
            <w:vAlign w:val="center"/>
          </w:tcPr>
          <w:p w14:paraId="526FCF22" w14:textId="77777777" w:rsidR="008A3937" w:rsidRPr="000142C9" w:rsidRDefault="008A3937" w:rsidP="00A91D9E">
            <w:pPr>
              <w:pStyle w:val="BMSTableHeader"/>
              <w:keepLines/>
              <w:numPr>
                <w:ilvl w:val="0"/>
                <w:numId w:val="5"/>
              </w:numPr>
              <w:jc w:val="left"/>
              <w:rPr>
                <w:b w:val="0"/>
                <w:bCs/>
                <w:lang w:val="en-GB" w:eastAsia="en-US"/>
              </w:rPr>
            </w:pPr>
            <w:r w:rsidRPr="000142C9">
              <w:rPr>
                <w:b w:val="0"/>
                <w:bCs/>
                <w:lang w:val="en-GB" w:eastAsia="en-US"/>
              </w:rPr>
              <w:t>Withhold until less than or equal to Grade 1 or baseline.</w:t>
            </w:r>
          </w:p>
          <w:p w14:paraId="4838739D" w14:textId="01AA40DA" w:rsidR="008A3937" w:rsidRPr="000142C9" w:rsidRDefault="008A3937" w:rsidP="00A91D9E">
            <w:pPr>
              <w:pStyle w:val="BMSTableHeader"/>
              <w:keepLines/>
              <w:numPr>
                <w:ilvl w:val="0"/>
                <w:numId w:val="5"/>
              </w:numPr>
              <w:jc w:val="left"/>
              <w:rPr>
                <w:b w:val="0"/>
                <w:bCs/>
                <w:lang w:val="en-GB" w:eastAsia="en-US"/>
              </w:rPr>
            </w:pPr>
            <w:r w:rsidRPr="000142C9">
              <w:rPr>
                <w:b w:val="0"/>
                <w:bCs/>
                <w:lang w:val="en-GB" w:eastAsia="en-US"/>
              </w:rPr>
              <w:t>Resume at reduced dose.</w:t>
            </w:r>
          </w:p>
        </w:tc>
      </w:tr>
      <w:tr w:rsidR="008A3937" w:rsidRPr="000142C9" w14:paraId="1079CB3A" w14:textId="77777777" w:rsidTr="00381143">
        <w:trPr>
          <w:trHeight w:val="283"/>
        </w:trPr>
        <w:tc>
          <w:tcPr>
            <w:tcW w:w="2263" w:type="dxa"/>
            <w:vMerge/>
            <w:tcBorders>
              <w:left w:val="single" w:sz="4" w:space="0" w:color="auto"/>
              <w:bottom w:val="single" w:sz="4" w:space="0" w:color="auto"/>
              <w:right w:val="single" w:sz="4" w:space="0" w:color="auto"/>
            </w:tcBorders>
            <w:vAlign w:val="center"/>
          </w:tcPr>
          <w:p w14:paraId="0A2F6173" w14:textId="1B1A37A9" w:rsidR="008A3937" w:rsidRPr="000142C9" w:rsidRDefault="008A3937" w:rsidP="00A91D9E">
            <w:pPr>
              <w:pStyle w:val="BMSTableHeader"/>
              <w:keepLines/>
              <w:spacing w:before="0" w:after="0"/>
              <w:jc w:val="left"/>
              <w:rPr>
                <w:b w:val="0"/>
                <w:bCs/>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6BA3026" w14:textId="6D712253" w:rsidR="008A3937" w:rsidRPr="000142C9" w:rsidRDefault="008A3937" w:rsidP="00A91D9E">
            <w:pPr>
              <w:pStyle w:val="BMSTableHeader"/>
              <w:keepLines/>
              <w:jc w:val="left"/>
              <w:rPr>
                <w:b w:val="0"/>
                <w:bCs/>
                <w:lang w:val="en-GB" w:eastAsia="en-US"/>
              </w:rPr>
            </w:pPr>
            <w:r w:rsidRPr="000142C9">
              <w:rPr>
                <w:b w:val="0"/>
                <w:bCs/>
                <w:lang w:val="en-GB" w:eastAsia="en-US"/>
              </w:rPr>
              <w:t>Grade 4</w:t>
            </w:r>
          </w:p>
        </w:tc>
        <w:tc>
          <w:tcPr>
            <w:tcW w:w="4910" w:type="dxa"/>
            <w:tcBorders>
              <w:top w:val="single" w:sz="4" w:space="0" w:color="auto"/>
              <w:left w:val="single" w:sz="4" w:space="0" w:color="auto"/>
              <w:bottom w:val="single" w:sz="4" w:space="0" w:color="auto"/>
              <w:right w:val="single" w:sz="4" w:space="0" w:color="auto"/>
            </w:tcBorders>
            <w:vAlign w:val="center"/>
          </w:tcPr>
          <w:p w14:paraId="3FD6048F" w14:textId="15EC68A8" w:rsidR="008A3937" w:rsidRPr="000142C9" w:rsidRDefault="008A3937" w:rsidP="00A91D9E">
            <w:pPr>
              <w:pStyle w:val="BMSTableHeader"/>
              <w:keepLines/>
              <w:numPr>
                <w:ilvl w:val="0"/>
                <w:numId w:val="6"/>
              </w:numPr>
              <w:jc w:val="left"/>
              <w:rPr>
                <w:b w:val="0"/>
                <w:bCs/>
                <w:lang w:val="en-GB" w:eastAsia="en-US"/>
              </w:rPr>
            </w:pPr>
            <w:r w:rsidRPr="000142C9">
              <w:rPr>
                <w:b w:val="0"/>
                <w:bCs/>
                <w:lang w:val="en-GB" w:eastAsia="en-US"/>
              </w:rPr>
              <w:t>Permanently discontinue.</w:t>
            </w:r>
          </w:p>
        </w:tc>
      </w:tr>
      <w:tr w:rsidR="003F0071" w:rsidRPr="000142C9" w14:paraId="35E733A9" w14:textId="77777777" w:rsidTr="0004164B">
        <w:trPr>
          <w:trHeight w:val="283"/>
        </w:trPr>
        <w:tc>
          <w:tcPr>
            <w:tcW w:w="2263" w:type="dxa"/>
            <w:tcBorders>
              <w:top w:val="single" w:sz="4" w:space="0" w:color="auto"/>
              <w:left w:val="single" w:sz="4" w:space="0" w:color="auto"/>
              <w:bottom w:val="single" w:sz="4" w:space="0" w:color="auto"/>
              <w:right w:val="single" w:sz="4" w:space="0" w:color="auto"/>
            </w:tcBorders>
            <w:vAlign w:val="center"/>
          </w:tcPr>
          <w:p w14:paraId="3E82DBC0" w14:textId="1DAB8B33" w:rsidR="003F0071" w:rsidRPr="000142C9" w:rsidRDefault="00017B30" w:rsidP="00A91D9E">
            <w:pPr>
              <w:pStyle w:val="BMSTableHeader"/>
              <w:keepLines/>
              <w:spacing w:before="0" w:after="0"/>
              <w:jc w:val="left"/>
              <w:rPr>
                <w:b w:val="0"/>
                <w:bCs/>
                <w:lang w:val="en-GB" w:eastAsia="en-US"/>
              </w:rPr>
            </w:pPr>
            <w:r w:rsidRPr="00017B30">
              <w:rPr>
                <w:b w:val="0"/>
                <w:bCs/>
                <w:lang w:val="en-GB" w:eastAsia="en-US"/>
              </w:rPr>
              <w:t xml:space="preserve">Interstitial </w:t>
            </w:r>
            <w:r w:rsidR="006714F0">
              <w:rPr>
                <w:b w:val="0"/>
                <w:bCs/>
                <w:lang w:val="en-GB" w:eastAsia="en-US"/>
              </w:rPr>
              <w:t>l</w:t>
            </w:r>
            <w:r w:rsidRPr="00017B30">
              <w:rPr>
                <w:b w:val="0"/>
                <w:bCs/>
                <w:lang w:val="en-GB" w:eastAsia="en-US"/>
              </w:rPr>
              <w:t xml:space="preserve">ung </w:t>
            </w:r>
            <w:r w:rsidR="006714F0">
              <w:rPr>
                <w:b w:val="0"/>
                <w:bCs/>
                <w:lang w:val="en-GB" w:eastAsia="en-US"/>
              </w:rPr>
              <w:t>d</w:t>
            </w:r>
            <w:r w:rsidRPr="00017B30">
              <w:rPr>
                <w:b w:val="0"/>
                <w:bCs/>
                <w:lang w:val="en-GB" w:eastAsia="en-US"/>
              </w:rPr>
              <w:t xml:space="preserve">isease </w:t>
            </w:r>
            <w:r w:rsidR="006714F0">
              <w:rPr>
                <w:b w:val="0"/>
                <w:bCs/>
                <w:lang w:val="en-GB" w:eastAsia="en-US"/>
              </w:rPr>
              <w:t>(</w:t>
            </w:r>
            <w:r w:rsidR="00CB4C51">
              <w:rPr>
                <w:b w:val="0"/>
                <w:bCs/>
                <w:lang w:val="en-GB" w:eastAsia="en-US"/>
              </w:rPr>
              <w:t>I</w:t>
            </w:r>
            <w:r w:rsidR="006714F0">
              <w:rPr>
                <w:b w:val="0"/>
                <w:bCs/>
                <w:lang w:val="en-GB" w:eastAsia="en-US"/>
              </w:rPr>
              <w:t>LD)</w:t>
            </w:r>
            <w:r w:rsidRPr="00017B30">
              <w:rPr>
                <w:b w:val="0"/>
                <w:bCs/>
                <w:lang w:val="en-GB" w:eastAsia="en-US"/>
              </w:rPr>
              <w:t>/</w:t>
            </w:r>
            <w:r w:rsidR="006714F0">
              <w:rPr>
                <w:b w:val="0"/>
                <w:bCs/>
                <w:lang w:val="en-GB" w:eastAsia="en-US"/>
              </w:rPr>
              <w:t>p</w:t>
            </w:r>
            <w:r w:rsidRPr="00017B30">
              <w:rPr>
                <w:b w:val="0"/>
                <w:bCs/>
                <w:lang w:val="en-GB" w:eastAsia="en-US"/>
              </w:rPr>
              <w:t>neumonitis</w:t>
            </w:r>
          </w:p>
        </w:tc>
        <w:tc>
          <w:tcPr>
            <w:tcW w:w="1843" w:type="dxa"/>
            <w:tcBorders>
              <w:top w:val="single" w:sz="4" w:space="0" w:color="auto"/>
              <w:left w:val="single" w:sz="4" w:space="0" w:color="auto"/>
              <w:bottom w:val="single" w:sz="4" w:space="0" w:color="auto"/>
              <w:right w:val="single" w:sz="4" w:space="0" w:color="auto"/>
            </w:tcBorders>
            <w:vAlign w:val="center"/>
          </w:tcPr>
          <w:p w14:paraId="3D353CD3" w14:textId="20DB4721" w:rsidR="003F0071" w:rsidRPr="000142C9" w:rsidRDefault="00017B30" w:rsidP="00A91D9E">
            <w:pPr>
              <w:pStyle w:val="BMSTableHeader"/>
              <w:keepLines/>
              <w:jc w:val="left"/>
              <w:rPr>
                <w:b w:val="0"/>
                <w:bCs/>
                <w:lang w:val="en-GB" w:eastAsia="en-US"/>
              </w:rPr>
            </w:pPr>
            <w:r>
              <w:rPr>
                <w:b w:val="0"/>
                <w:bCs/>
                <w:lang w:val="en-GB" w:eastAsia="en-US"/>
              </w:rPr>
              <w:t>Any Grade</w:t>
            </w:r>
          </w:p>
        </w:tc>
        <w:tc>
          <w:tcPr>
            <w:tcW w:w="4910" w:type="dxa"/>
            <w:tcBorders>
              <w:top w:val="single" w:sz="4" w:space="0" w:color="auto"/>
              <w:left w:val="single" w:sz="4" w:space="0" w:color="auto"/>
              <w:bottom w:val="single" w:sz="4" w:space="0" w:color="auto"/>
              <w:right w:val="single" w:sz="4" w:space="0" w:color="auto"/>
            </w:tcBorders>
            <w:vAlign w:val="center"/>
          </w:tcPr>
          <w:p w14:paraId="52E40701" w14:textId="17B48B1B" w:rsidR="00017B30" w:rsidRPr="00017B30" w:rsidRDefault="00017B30" w:rsidP="00A91D9E">
            <w:pPr>
              <w:pStyle w:val="BMSTableHeader"/>
              <w:keepLines/>
              <w:numPr>
                <w:ilvl w:val="0"/>
                <w:numId w:val="6"/>
              </w:numPr>
              <w:jc w:val="left"/>
              <w:rPr>
                <w:b w:val="0"/>
                <w:bCs/>
                <w:lang w:val="en-GB" w:eastAsia="en-US"/>
              </w:rPr>
            </w:pPr>
            <w:r w:rsidRPr="00017B30">
              <w:rPr>
                <w:b w:val="0"/>
                <w:bCs/>
                <w:lang w:val="en-GB" w:eastAsia="en-US"/>
              </w:rPr>
              <w:t>Withhold if ILD/pneumonitis is suspected.</w:t>
            </w:r>
          </w:p>
          <w:p w14:paraId="3E6B4FF5" w14:textId="08F2C7AE" w:rsidR="003F0071" w:rsidRPr="000142C9" w:rsidRDefault="00017B30" w:rsidP="00A91D9E">
            <w:pPr>
              <w:pStyle w:val="BMSTableHeader"/>
              <w:keepLines/>
              <w:numPr>
                <w:ilvl w:val="0"/>
                <w:numId w:val="6"/>
              </w:numPr>
              <w:jc w:val="left"/>
              <w:rPr>
                <w:b w:val="0"/>
                <w:bCs/>
                <w:lang w:val="en-GB" w:eastAsia="en-US"/>
              </w:rPr>
            </w:pPr>
            <w:r w:rsidRPr="00017B30">
              <w:rPr>
                <w:b w:val="0"/>
                <w:bCs/>
                <w:lang w:val="en-GB" w:eastAsia="en-US"/>
              </w:rPr>
              <w:t>Permanently discontinue if ILD/pneumonitis is confirmed.</w:t>
            </w:r>
          </w:p>
        </w:tc>
      </w:tr>
      <w:tr w:rsidR="003271D8" w:rsidRPr="000142C9" w14:paraId="05BB1607" w14:textId="77777777" w:rsidTr="0004164B">
        <w:trPr>
          <w:trHeight w:val="283"/>
        </w:trPr>
        <w:tc>
          <w:tcPr>
            <w:tcW w:w="2263" w:type="dxa"/>
            <w:vMerge w:val="restart"/>
            <w:tcBorders>
              <w:top w:val="single" w:sz="4" w:space="0" w:color="auto"/>
              <w:left w:val="single" w:sz="4" w:space="0" w:color="auto"/>
              <w:right w:val="single" w:sz="4" w:space="0" w:color="auto"/>
            </w:tcBorders>
            <w:vAlign w:val="center"/>
          </w:tcPr>
          <w:p w14:paraId="22E16D22" w14:textId="760A9A98" w:rsidR="003271D8" w:rsidRPr="00017B30" w:rsidRDefault="003271D8" w:rsidP="00A91D9E">
            <w:pPr>
              <w:pStyle w:val="BMSTableHeader"/>
              <w:keepLines/>
              <w:spacing w:before="0" w:after="0"/>
              <w:jc w:val="left"/>
              <w:rPr>
                <w:b w:val="0"/>
                <w:bCs/>
                <w:lang w:val="en-GB" w:eastAsia="en-US"/>
              </w:rPr>
            </w:pPr>
            <w:r>
              <w:rPr>
                <w:b w:val="0"/>
                <w:bCs/>
                <w:lang w:val="en-GB" w:eastAsia="en-US"/>
              </w:rPr>
              <w:t>Hepatotoxicity</w:t>
            </w:r>
          </w:p>
        </w:tc>
        <w:tc>
          <w:tcPr>
            <w:tcW w:w="1843" w:type="dxa"/>
            <w:tcBorders>
              <w:top w:val="single" w:sz="4" w:space="0" w:color="auto"/>
              <w:left w:val="single" w:sz="4" w:space="0" w:color="auto"/>
              <w:bottom w:val="single" w:sz="4" w:space="0" w:color="auto"/>
              <w:right w:val="single" w:sz="4" w:space="0" w:color="auto"/>
            </w:tcBorders>
            <w:vAlign w:val="center"/>
          </w:tcPr>
          <w:p w14:paraId="3D2478E9" w14:textId="0DB14561" w:rsidR="003271D8" w:rsidRDefault="003271D8" w:rsidP="00A91D9E">
            <w:pPr>
              <w:pStyle w:val="BMSTableHeader"/>
              <w:keepLines/>
              <w:jc w:val="left"/>
              <w:rPr>
                <w:b w:val="0"/>
                <w:bCs/>
                <w:lang w:val="en-GB" w:eastAsia="en-US"/>
              </w:rPr>
            </w:pPr>
            <w:r>
              <w:rPr>
                <w:b w:val="0"/>
                <w:bCs/>
                <w:lang w:val="en-GB" w:eastAsia="en-US"/>
              </w:rPr>
              <w:t>Grade 3</w:t>
            </w:r>
          </w:p>
        </w:tc>
        <w:tc>
          <w:tcPr>
            <w:tcW w:w="4910" w:type="dxa"/>
            <w:tcBorders>
              <w:top w:val="single" w:sz="4" w:space="0" w:color="auto"/>
              <w:left w:val="single" w:sz="4" w:space="0" w:color="auto"/>
              <w:bottom w:val="single" w:sz="4" w:space="0" w:color="auto"/>
              <w:right w:val="single" w:sz="4" w:space="0" w:color="auto"/>
            </w:tcBorders>
            <w:vAlign w:val="center"/>
          </w:tcPr>
          <w:p w14:paraId="2AB259B9" w14:textId="621DF53F" w:rsidR="003271D8" w:rsidRDefault="003271D8" w:rsidP="00A91D9E">
            <w:pPr>
              <w:pStyle w:val="BMSTableHeader"/>
              <w:keepLines/>
              <w:numPr>
                <w:ilvl w:val="0"/>
                <w:numId w:val="6"/>
              </w:numPr>
              <w:jc w:val="left"/>
              <w:rPr>
                <w:b w:val="0"/>
                <w:bCs/>
                <w:lang w:val="en-GB" w:eastAsia="en-US"/>
              </w:rPr>
            </w:pPr>
            <w:r w:rsidRPr="00F60CF1">
              <w:rPr>
                <w:b w:val="0"/>
                <w:bCs/>
                <w:lang w:val="en-GB" w:eastAsia="en-US"/>
              </w:rPr>
              <w:t>Withhold until ≤ Grade 1 or</w:t>
            </w:r>
            <w:r>
              <w:rPr>
                <w:b w:val="0"/>
                <w:bCs/>
                <w:lang w:val="en-GB" w:eastAsia="en-US"/>
              </w:rPr>
              <w:t xml:space="preserve"> </w:t>
            </w:r>
            <w:r w:rsidRPr="00F60CF1">
              <w:rPr>
                <w:b w:val="0"/>
                <w:bCs/>
                <w:lang w:val="en-GB" w:eastAsia="en-US"/>
              </w:rPr>
              <w:t>baseline</w:t>
            </w:r>
            <w:r>
              <w:rPr>
                <w:b w:val="0"/>
                <w:bCs/>
                <w:lang w:val="en-GB" w:eastAsia="en-US"/>
              </w:rPr>
              <w:t>.</w:t>
            </w:r>
          </w:p>
          <w:p w14:paraId="02FE8C30" w14:textId="23AADDD6" w:rsidR="003271D8" w:rsidRDefault="003271D8" w:rsidP="00A91D9E">
            <w:pPr>
              <w:pStyle w:val="BMSTableHeader"/>
              <w:keepLines/>
              <w:numPr>
                <w:ilvl w:val="0"/>
                <w:numId w:val="6"/>
              </w:numPr>
              <w:jc w:val="left"/>
              <w:rPr>
                <w:b w:val="0"/>
                <w:bCs/>
                <w:lang w:val="en-GB" w:eastAsia="en-US"/>
              </w:rPr>
            </w:pPr>
            <w:r w:rsidRPr="00F60CF1">
              <w:rPr>
                <w:b w:val="0"/>
                <w:bCs/>
                <w:lang w:val="en-GB" w:eastAsia="en-US"/>
              </w:rPr>
              <w:t>Resume at same dose if resolution occurs</w:t>
            </w:r>
            <w:r>
              <w:rPr>
                <w:b w:val="0"/>
                <w:bCs/>
                <w:lang w:val="en-GB" w:eastAsia="en-US"/>
              </w:rPr>
              <w:t xml:space="preserve"> </w:t>
            </w:r>
            <w:r w:rsidRPr="00F60CF1">
              <w:rPr>
                <w:b w:val="0"/>
                <w:bCs/>
                <w:lang w:val="en-GB" w:eastAsia="en-US"/>
              </w:rPr>
              <w:t>within 4 weeks</w:t>
            </w:r>
            <w:r>
              <w:rPr>
                <w:b w:val="0"/>
                <w:bCs/>
                <w:lang w:val="en-GB" w:eastAsia="en-US"/>
              </w:rPr>
              <w:t>.</w:t>
            </w:r>
          </w:p>
          <w:p w14:paraId="3B3F4807" w14:textId="22F053A3" w:rsidR="003271D8" w:rsidRPr="00017B30" w:rsidRDefault="003271D8" w:rsidP="00A91D9E">
            <w:pPr>
              <w:pStyle w:val="BMSTableHeader"/>
              <w:keepLines/>
              <w:numPr>
                <w:ilvl w:val="0"/>
                <w:numId w:val="6"/>
              </w:numPr>
              <w:jc w:val="left"/>
              <w:rPr>
                <w:b w:val="0"/>
                <w:bCs/>
                <w:lang w:val="en-GB" w:eastAsia="en-US"/>
              </w:rPr>
            </w:pPr>
            <w:r w:rsidRPr="004F1B02">
              <w:rPr>
                <w:b w:val="0"/>
                <w:bCs/>
                <w:lang w:val="en-GB" w:eastAsia="en-US"/>
              </w:rPr>
              <w:lastRenderedPageBreak/>
              <w:t>Resume at a reduced dose for recurrent</w:t>
            </w:r>
            <w:r>
              <w:rPr>
                <w:b w:val="0"/>
                <w:bCs/>
                <w:lang w:val="en-GB" w:eastAsia="en-US"/>
              </w:rPr>
              <w:t xml:space="preserve"> </w:t>
            </w:r>
            <w:r w:rsidRPr="004F1B02">
              <w:rPr>
                <w:b w:val="0"/>
                <w:bCs/>
                <w:lang w:val="en-GB" w:eastAsia="en-US"/>
              </w:rPr>
              <w:t>Grade 3 events that resolve within 4</w:t>
            </w:r>
            <w:r>
              <w:rPr>
                <w:b w:val="0"/>
                <w:bCs/>
                <w:lang w:val="en-GB" w:eastAsia="en-US"/>
              </w:rPr>
              <w:t xml:space="preserve"> </w:t>
            </w:r>
            <w:r w:rsidRPr="004F1B02">
              <w:rPr>
                <w:b w:val="0"/>
                <w:bCs/>
                <w:lang w:val="en-GB" w:eastAsia="en-US"/>
              </w:rPr>
              <w:t>weeks.</w:t>
            </w:r>
          </w:p>
        </w:tc>
      </w:tr>
      <w:tr w:rsidR="003271D8" w:rsidRPr="000142C9" w14:paraId="41DA7B0B" w14:textId="77777777" w:rsidTr="00381143">
        <w:trPr>
          <w:trHeight w:val="283"/>
        </w:trPr>
        <w:tc>
          <w:tcPr>
            <w:tcW w:w="2263" w:type="dxa"/>
            <w:vMerge/>
            <w:tcBorders>
              <w:left w:val="single" w:sz="4" w:space="0" w:color="auto"/>
              <w:right w:val="single" w:sz="4" w:space="0" w:color="auto"/>
            </w:tcBorders>
            <w:vAlign w:val="center"/>
          </w:tcPr>
          <w:p w14:paraId="1037656B" w14:textId="77777777" w:rsidR="003271D8" w:rsidRDefault="003271D8" w:rsidP="00A91D9E">
            <w:pPr>
              <w:pStyle w:val="BMSTableHeader"/>
              <w:keepLines/>
              <w:spacing w:before="0" w:after="0"/>
              <w:jc w:val="left"/>
              <w:rPr>
                <w:b w:val="0"/>
                <w:bCs/>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83A622F" w14:textId="7EB0300D" w:rsidR="003271D8" w:rsidRDefault="003271D8" w:rsidP="00A91D9E">
            <w:pPr>
              <w:pStyle w:val="BMSTableHeader"/>
              <w:keepLines/>
              <w:jc w:val="left"/>
              <w:rPr>
                <w:b w:val="0"/>
                <w:bCs/>
                <w:lang w:val="en-GB" w:eastAsia="en-US"/>
              </w:rPr>
            </w:pPr>
            <w:r>
              <w:rPr>
                <w:b w:val="0"/>
                <w:bCs/>
                <w:lang w:val="en-GB" w:eastAsia="en-US"/>
              </w:rPr>
              <w:t>Grade 4</w:t>
            </w:r>
          </w:p>
        </w:tc>
        <w:tc>
          <w:tcPr>
            <w:tcW w:w="4910" w:type="dxa"/>
            <w:tcBorders>
              <w:top w:val="single" w:sz="4" w:space="0" w:color="auto"/>
              <w:left w:val="single" w:sz="4" w:space="0" w:color="auto"/>
              <w:bottom w:val="single" w:sz="4" w:space="0" w:color="auto"/>
              <w:right w:val="single" w:sz="4" w:space="0" w:color="auto"/>
            </w:tcBorders>
            <w:vAlign w:val="center"/>
          </w:tcPr>
          <w:p w14:paraId="3F120D1F" w14:textId="77777777" w:rsidR="003271D8" w:rsidRDefault="003271D8" w:rsidP="00A91D9E">
            <w:pPr>
              <w:pStyle w:val="BMSTableHeader"/>
              <w:keepLines/>
              <w:numPr>
                <w:ilvl w:val="0"/>
                <w:numId w:val="6"/>
              </w:numPr>
              <w:jc w:val="left"/>
              <w:rPr>
                <w:b w:val="0"/>
                <w:bCs/>
                <w:lang w:val="en-GB" w:eastAsia="en-US"/>
              </w:rPr>
            </w:pPr>
            <w:r w:rsidRPr="005C0D67">
              <w:rPr>
                <w:b w:val="0"/>
                <w:bCs/>
                <w:lang w:val="en-GB" w:eastAsia="en-US"/>
              </w:rPr>
              <w:t>Withhold AUGTYRO until ≤ Grade 1 or</w:t>
            </w:r>
            <w:r>
              <w:rPr>
                <w:b w:val="0"/>
                <w:bCs/>
                <w:lang w:val="en-GB" w:eastAsia="en-US"/>
              </w:rPr>
              <w:t xml:space="preserve"> </w:t>
            </w:r>
            <w:r w:rsidRPr="005C0D67">
              <w:rPr>
                <w:b w:val="0"/>
                <w:bCs/>
                <w:lang w:val="en-GB" w:eastAsia="en-US"/>
              </w:rPr>
              <w:t>baseline.</w:t>
            </w:r>
          </w:p>
          <w:p w14:paraId="6D42C642" w14:textId="77777777" w:rsidR="003271D8" w:rsidRDefault="003271D8" w:rsidP="00A91D9E">
            <w:pPr>
              <w:pStyle w:val="BMSTableHeader"/>
              <w:keepLines/>
              <w:numPr>
                <w:ilvl w:val="0"/>
                <w:numId w:val="6"/>
              </w:numPr>
              <w:jc w:val="left"/>
              <w:rPr>
                <w:b w:val="0"/>
                <w:bCs/>
                <w:lang w:val="en-GB" w:eastAsia="en-US"/>
              </w:rPr>
            </w:pPr>
            <w:r w:rsidRPr="005C0D67">
              <w:rPr>
                <w:b w:val="0"/>
                <w:bCs/>
                <w:lang w:val="en-GB" w:eastAsia="en-US"/>
              </w:rPr>
              <w:t>Resume at reduced dose.</w:t>
            </w:r>
          </w:p>
          <w:p w14:paraId="47352E03" w14:textId="77777777" w:rsidR="003271D8" w:rsidRDefault="003271D8" w:rsidP="00A91D9E">
            <w:pPr>
              <w:pStyle w:val="BMSTableHeader"/>
              <w:keepLines/>
              <w:numPr>
                <w:ilvl w:val="0"/>
                <w:numId w:val="6"/>
              </w:numPr>
              <w:jc w:val="left"/>
              <w:rPr>
                <w:b w:val="0"/>
                <w:bCs/>
                <w:lang w:val="en-GB" w:eastAsia="en-US"/>
              </w:rPr>
            </w:pPr>
            <w:r w:rsidRPr="00E45F5B">
              <w:rPr>
                <w:b w:val="0"/>
                <w:bCs/>
                <w:lang w:val="en-GB" w:eastAsia="en-US"/>
              </w:rPr>
              <w:t>Permanently discontinue if adverse</w:t>
            </w:r>
            <w:r>
              <w:rPr>
                <w:b w:val="0"/>
                <w:bCs/>
                <w:lang w:val="en-GB" w:eastAsia="en-US"/>
              </w:rPr>
              <w:t xml:space="preserve"> </w:t>
            </w:r>
            <w:r w:rsidRPr="00E45F5B">
              <w:rPr>
                <w:b w:val="0"/>
                <w:bCs/>
                <w:lang w:val="en-GB" w:eastAsia="en-US"/>
              </w:rPr>
              <w:t>reaction does not resolve within 4 weeks.</w:t>
            </w:r>
          </w:p>
          <w:p w14:paraId="32D57446" w14:textId="7851BC24" w:rsidR="003271D8" w:rsidRPr="00017B30" w:rsidRDefault="003271D8" w:rsidP="00A91D9E">
            <w:pPr>
              <w:pStyle w:val="BMSTableHeader"/>
              <w:keepLines/>
              <w:numPr>
                <w:ilvl w:val="0"/>
                <w:numId w:val="6"/>
              </w:numPr>
              <w:jc w:val="left"/>
              <w:rPr>
                <w:b w:val="0"/>
                <w:bCs/>
                <w:lang w:val="en-GB" w:eastAsia="en-US"/>
              </w:rPr>
            </w:pPr>
            <w:r w:rsidRPr="00E45F5B">
              <w:rPr>
                <w:b w:val="0"/>
                <w:bCs/>
                <w:lang w:val="en-GB" w:eastAsia="en-US"/>
              </w:rPr>
              <w:t>Permanently discontinue for recurrent</w:t>
            </w:r>
            <w:r>
              <w:rPr>
                <w:b w:val="0"/>
                <w:bCs/>
                <w:lang w:val="en-GB" w:eastAsia="en-US"/>
              </w:rPr>
              <w:t xml:space="preserve"> </w:t>
            </w:r>
            <w:r w:rsidRPr="00E45F5B">
              <w:rPr>
                <w:b w:val="0"/>
                <w:bCs/>
                <w:lang w:val="en-GB" w:eastAsia="en-US"/>
              </w:rPr>
              <w:t>Grade 4 events.</w:t>
            </w:r>
          </w:p>
        </w:tc>
      </w:tr>
      <w:tr w:rsidR="003271D8" w:rsidRPr="000142C9" w14:paraId="3592BD86" w14:textId="77777777" w:rsidTr="0004164B">
        <w:trPr>
          <w:trHeight w:val="283"/>
        </w:trPr>
        <w:tc>
          <w:tcPr>
            <w:tcW w:w="2263" w:type="dxa"/>
            <w:vMerge/>
            <w:tcBorders>
              <w:left w:val="single" w:sz="4" w:space="0" w:color="auto"/>
              <w:bottom w:val="single" w:sz="4" w:space="0" w:color="auto"/>
              <w:right w:val="single" w:sz="4" w:space="0" w:color="auto"/>
            </w:tcBorders>
            <w:vAlign w:val="center"/>
          </w:tcPr>
          <w:p w14:paraId="282FAC3B" w14:textId="77777777" w:rsidR="003271D8" w:rsidRDefault="003271D8" w:rsidP="00A91D9E">
            <w:pPr>
              <w:pStyle w:val="BMSTableHeader"/>
              <w:keepLines/>
              <w:spacing w:before="0" w:after="0"/>
              <w:jc w:val="left"/>
              <w:rPr>
                <w:b w:val="0"/>
                <w:bCs/>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7EF2E2C" w14:textId="5072282D" w:rsidR="003271D8" w:rsidRDefault="003271D8" w:rsidP="00A91D9E">
            <w:pPr>
              <w:pStyle w:val="BMSTableHeader"/>
              <w:keepLines/>
              <w:jc w:val="left"/>
              <w:rPr>
                <w:b w:val="0"/>
                <w:bCs/>
                <w:lang w:val="en-GB" w:eastAsia="en-US"/>
              </w:rPr>
            </w:pPr>
            <w:r w:rsidRPr="00A34071">
              <w:rPr>
                <w:b w:val="0"/>
                <w:bCs/>
                <w:lang w:val="en-GB" w:eastAsia="en-US"/>
              </w:rPr>
              <w:t>ALT or AST</w:t>
            </w:r>
            <w:r>
              <w:rPr>
                <w:b w:val="0"/>
                <w:bCs/>
                <w:lang w:val="en-GB" w:eastAsia="en-US"/>
              </w:rPr>
              <w:t xml:space="preserve"> </w:t>
            </w:r>
            <w:r w:rsidRPr="00A34071">
              <w:rPr>
                <w:b w:val="0"/>
                <w:bCs/>
                <w:lang w:val="en-GB" w:eastAsia="en-US"/>
              </w:rPr>
              <w:t>greater than 3</w:t>
            </w:r>
            <w:r>
              <w:rPr>
                <w:b w:val="0"/>
                <w:bCs/>
                <w:lang w:val="en-GB" w:eastAsia="en-US"/>
              </w:rPr>
              <w:t xml:space="preserve"> </w:t>
            </w:r>
            <w:r w:rsidRPr="00A34071">
              <w:rPr>
                <w:b w:val="0"/>
                <w:bCs/>
                <w:lang w:val="en-GB" w:eastAsia="en-US"/>
              </w:rPr>
              <w:t xml:space="preserve">times </w:t>
            </w:r>
            <w:r w:rsidR="00381143">
              <w:rPr>
                <w:b w:val="0"/>
                <w:bCs/>
                <w:lang w:val="en-GB" w:eastAsia="en-US"/>
              </w:rPr>
              <w:t>the upper limit of normal (</w:t>
            </w:r>
            <w:r w:rsidRPr="00A34071">
              <w:rPr>
                <w:b w:val="0"/>
                <w:bCs/>
                <w:lang w:val="en-GB" w:eastAsia="en-US"/>
              </w:rPr>
              <w:t>ULN</w:t>
            </w:r>
            <w:r w:rsidR="00381143">
              <w:rPr>
                <w:b w:val="0"/>
                <w:bCs/>
                <w:lang w:val="en-GB" w:eastAsia="en-US"/>
              </w:rPr>
              <w:t>)</w:t>
            </w:r>
            <w:r>
              <w:rPr>
                <w:b w:val="0"/>
                <w:bCs/>
                <w:lang w:val="en-GB" w:eastAsia="en-US"/>
              </w:rPr>
              <w:t xml:space="preserve"> </w:t>
            </w:r>
            <w:r w:rsidRPr="00A34071">
              <w:rPr>
                <w:b w:val="0"/>
                <w:bCs/>
                <w:lang w:val="en-GB" w:eastAsia="en-US"/>
              </w:rPr>
              <w:t>with</w:t>
            </w:r>
            <w:r>
              <w:rPr>
                <w:b w:val="0"/>
                <w:bCs/>
                <w:lang w:val="en-GB" w:eastAsia="en-US"/>
              </w:rPr>
              <w:t xml:space="preserve"> </w:t>
            </w:r>
            <w:r w:rsidRPr="00A34071">
              <w:rPr>
                <w:b w:val="0"/>
                <w:bCs/>
                <w:lang w:val="en-GB" w:eastAsia="en-US"/>
              </w:rPr>
              <w:t>concurrent</w:t>
            </w:r>
            <w:r>
              <w:rPr>
                <w:b w:val="0"/>
                <w:bCs/>
                <w:lang w:val="en-GB" w:eastAsia="en-US"/>
              </w:rPr>
              <w:t xml:space="preserve"> </w:t>
            </w:r>
            <w:r w:rsidRPr="00A34071">
              <w:rPr>
                <w:b w:val="0"/>
                <w:bCs/>
                <w:lang w:val="en-GB" w:eastAsia="en-US"/>
              </w:rPr>
              <w:t>total bilirubin</w:t>
            </w:r>
            <w:r>
              <w:rPr>
                <w:b w:val="0"/>
                <w:bCs/>
                <w:lang w:val="en-GB" w:eastAsia="en-US"/>
              </w:rPr>
              <w:t xml:space="preserve"> </w:t>
            </w:r>
            <w:r w:rsidRPr="00A34071">
              <w:rPr>
                <w:b w:val="0"/>
                <w:bCs/>
                <w:lang w:val="en-GB" w:eastAsia="en-US"/>
              </w:rPr>
              <w:t>greater than</w:t>
            </w:r>
            <w:r>
              <w:rPr>
                <w:b w:val="0"/>
                <w:bCs/>
                <w:lang w:val="en-GB" w:eastAsia="en-US"/>
              </w:rPr>
              <w:t xml:space="preserve"> </w:t>
            </w:r>
            <w:r w:rsidRPr="00A34071">
              <w:rPr>
                <w:b w:val="0"/>
                <w:bCs/>
                <w:lang w:val="en-GB" w:eastAsia="en-US"/>
              </w:rPr>
              <w:t>1.5 times</w:t>
            </w:r>
            <w:r>
              <w:rPr>
                <w:b w:val="0"/>
                <w:bCs/>
                <w:lang w:val="en-GB" w:eastAsia="en-US"/>
              </w:rPr>
              <w:t xml:space="preserve"> </w:t>
            </w:r>
            <w:r w:rsidRPr="00A34071">
              <w:rPr>
                <w:b w:val="0"/>
                <w:bCs/>
                <w:lang w:val="en-GB" w:eastAsia="en-US"/>
              </w:rPr>
              <w:t>ULN (in the</w:t>
            </w:r>
            <w:r>
              <w:rPr>
                <w:b w:val="0"/>
                <w:bCs/>
                <w:lang w:val="en-GB" w:eastAsia="en-US"/>
              </w:rPr>
              <w:t xml:space="preserve"> </w:t>
            </w:r>
            <w:r w:rsidRPr="00A34071">
              <w:rPr>
                <w:b w:val="0"/>
                <w:bCs/>
                <w:lang w:val="en-GB" w:eastAsia="en-US"/>
              </w:rPr>
              <w:t>absence of</w:t>
            </w:r>
            <w:r>
              <w:rPr>
                <w:b w:val="0"/>
                <w:bCs/>
                <w:lang w:val="en-GB" w:eastAsia="en-US"/>
              </w:rPr>
              <w:t xml:space="preserve"> </w:t>
            </w:r>
            <w:r w:rsidRPr="00A34071">
              <w:rPr>
                <w:b w:val="0"/>
                <w:bCs/>
                <w:lang w:val="en-GB" w:eastAsia="en-US"/>
              </w:rPr>
              <w:t>cholestasis or</w:t>
            </w:r>
            <w:r>
              <w:rPr>
                <w:b w:val="0"/>
                <w:bCs/>
                <w:lang w:val="en-GB" w:eastAsia="en-US"/>
              </w:rPr>
              <w:t xml:space="preserve"> </w:t>
            </w:r>
            <w:r w:rsidRPr="00A34071">
              <w:rPr>
                <w:b w:val="0"/>
                <w:bCs/>
                <w:lang w:val="en-GB" w:eastAsia="en-US"/>
              </w:rPr>
              <w:t>haemolysis)</w:t>
            </w:r>
          </w:p>
        </w:tc>
        <w:tc>
          <w:tcPr>
            <w:tcW w:w="4910" w:type="dxa"/>
            <w:tcBorders>
              <w:top w:val="single" w:sz="4" w:space="0" w:color="auto"/>
              <w:left w:val="single" w:sz="4" w:space="0" w:color="auto"/>
              <w:bottom w:val="single" w:sz="4" w:space="0" w:color="auto"/>
              <w:right w:val="single" w:sz="4" w:space="0" w:color="auto"/>
            </w:tcBorders>
            <w:vAlign w:val="center"/>
          </w:tcPr>
          <w:p w14:paraId="3DCB268D" w14:textId="190CC6E7" w:rsidR="003271D8" w:rsidRPr="00017B30" w:rsidRDefault="003271D8" w:rsidP="00A91D9E">
            <w:pPr>
              <w:pStyle w:val="BMSTableHeader"/>
              <w:keepLines/>
              <w:numPr>
                <w:ilvl w:val="0"/>
                <w:numId w:val="6"/>
              </w:numPr>
              <w:jc w:val="left"/>
              <w:rPr>
                <w:b w:val="0"/>
                <w:bCs/>
                <w:lang w:val="en-GB" w:eastAsia="en-US"/>
              </w:rPr>
            </w:pPr>
            <w:r w:rsidRPr="001001B6">
              <w:rPr>
                <w:b w:val="0"/>
                <w:bCs/>
                <w:lang w:val="en-GB" w:eastAsia="en-US"/>
              </w:rPr>
              <w:t>Permanently discontinue AUGTYRO</w:t>
            </w:r>
          </w:p>
        </w:tc>
      </w:tr>
      <w:tr w:rsidR="007E78BC" w:rsidRPr="000142C9" w14:paraId="3D3D1793" w14:textId="77777777" w:rsidTr="0004164B">
        <w:trPr>
          <w:trHeight w:val="283"/>
        </w:trPr>
        <w:tc>
          <w:tcPr>
            <w:tcW w:w="2263" w:type="dxa"/>
            <w:vMerge w:val="restart"/>
            <w:tcBorders>
              <w:top w:val="single" w:sz="4" w:space="0" w:color="auto"/>
              <w:left w:val="single" w:sz="4" w:space="0" w:color="auto"/>
              <w:right w:val="single" w:sz="4" w:space="0" w:color="auto"/>
            </w:tcBorders>
            <w:vAlign w:val="center"/>
          </w:tcPr>
          <w:p w14:paraId="13537498" w14:textId="208D47F9" w:rsidR="007E78BC" w:rsidRPr="00241CC2" w:rsidRDefault="007E78BC" w:rsidP="00A91D9E">
            <w:pPr>
              <w:pStyle w:val="BMSTableHeader"/>
              <w:keepLines/>
              <w:spacing w:after="0"/>
              <w:jc w:val="left"/>
              <w:rPr>
                <w:b w:val="0"/>
                <w:bCs/>
                <w:lang w:val="en-GB" w:eastAsia="en-US"/>
              </w:rPr>
            </w:pPr>
            <w:r w:rsidRPr="000F26AE">
              <w:rPr>
                <w:b w:val="0"/>
                <w:bCs/>
                <w:lang w:val="en-GB" w:eastAsia="en-US"/>
              </w:rPr>
              <w:t xml:space="preserve">Creatine </w:t>
            </w:r>
            <w:r w:rsidR="001E0993">
              <w:rPr>
                <w:b w:val="0"/>
                <w:bCs/>
                <w:lang w:val="en-GB" w:eastAsia="en-US"/>
              </w:rPr>
              <w:t>p</w:t>
            </w:r>
            <w:r w:rsidRPr="000F26AE">
              <w:rPr>
                <w:b w:val="0"/>
                <w:bCs/>
                <w:lang w:val="en-GB" w:eastAsia="en-US"/>
              </w:rPr>
              <w:t>hosphokinase</w:t>
            </w:r>
            <w:r>
              <w:rPr>
                <w:b w:val="0"/>
                <w:bCs/>
                <w:lang w:val="en-GB" w:eastAsia="en-US"/>
              </w:rPr>
              <w:t xml:space="preserve"> </w:t>
            </w:r>
            <w:r w:rsidRPr="000F26AE">
              <w:rPr>
                <w:b w:val="0"/>
                <w:bCs/>
                <w:lang w:val="en-GB" w:eastAsia="en-US"/>
              </w:rPr>
              <w:t xml:space="preserve">(CPK) </w:t>
            </w:r>
            <w:r w:rsidR="001E0993">
              <w:rPr>
                <w:b w:val="0"/>
                <w:bCs/>
                <w:lang w:val="en-GB" w:eastAsia="en-US"/>
              </w:rPr>
              <w:t>e</w:t>
            </w:r>
            <w:r w:rsidRPr="000F26AE">
              <w:rPr>
                <w:b w:val="0"/>
                <w:bCs/>
                <w:lang w:val="en-GB" w:eastAsia="en-US"/>
              </w:rPr>
              <w:t>levation</w:t>
            </w:r>
          </w:p>
        </w:tc>
        <w:tc>
          <w:tcPr>
            <w:tcW w:w="1843" w:type="dxa"/>
            <w:tcBorders>
              <w:top w:val="single" w:sz="4" w:space="0" w:color="auto"/>
              <w:left w:val="single" w:sz="4" w:space="0" w:color="auto"/>
              <w:bottom w:val="single" w:sz="4" w:space="0" w:color="auto"/>
              <w:right w:val="single" w:sz="4" w:space="0" w:color="auto"/>
            </w:tcBorders>
            <w:vAlign w:val="center"/>
          </w:tcPr>
          <w:p w14:paraId="03ACAA63" w14:textId="46CA4C29" w:rsidR="007E78BC" w:rsidRPr="00241CC2" w:rsidRDefault="007E78BC" w:rsidP="00A91D9E">
            <w:pPr>
              <w:pStyle w:val="BMSTableHeader"/>
              <w:keepLines/>
              <w:jc w:val="left"/>
              <w:rPr>
                <w:b w:val="0"/>
                <w:bCs/>
                <w:lang w:val="en-GB" w:eastAsia="en-US"/>
              </w:rPr>
            </w:pPr>
            <w:r w:rsidRPr="000F26AE">
              <w:rPr>
                <w:b w:val="0"/>
                <w:bCs/>
                <w:lang w:val="en-GB" w:eastAsia="en-US"/>
              </w:rPr>
              <w:t>CPK</w:t>
            </w:r>
            <w:r>
              <w:rPr>
                <w:b w:val="0"/>
                <w:bCs/>
                <w:lang w:val="en-GB" w:eastAsia="en-US"/>
              </w:rPr>
              <w:t xml:space="preserve"> </w:t>
            </w:r>
            <w:r w:rsidRPr="000F26AE">
              <w:rPr>
                <w:b w:val="0"/>
                <w:bCs/>
                <w:lang w:val="en-GB" w:eastAsia="en-US"/>
              </w:rPr>
              <w:t>elevation</w:t>
            </w:r>
            <w:r>
              <w:rPr>
                <w:b w:val="0"/>
                <w:bCs/>
                <w:lang w:val="en-GB" w:eastAsia="en-US"/>
              </w:rPr>
              <w:t xml:space="preserve"> </w:t>
            </w:r>
            <w:r w:rsidRPr="000F26AE">
              <w:rPr>
                <w:b w:val="0"/>
                <w:bCs/>
                <w:lang w:val="en-GB" w:eastAsia="en-US"/>
              </w:rPr>
              <w:t>greater than 5</w:t>
            </w:r>
            <w:r>
              <w:rPr>
                <w:b w:val="0"/>
                <w:bCs/>
                <w:lang w:val="en-GB" w:eastAsia="en-US"/>
              </w:rPr>
              <w:t xml:space="preserve"> </w:t>
            </w:r>
            <w:r w:rsidRPr="000F26AE">
              <w:rPr>
                <w:b w:val="0"/>
                <w:bCs/>
                <w:lang w:val="en-GB" w:eastAsia="en-US"/>
              </w:rPr>
              <w:t>times ULN</w:t>
            </w:r>
          </w:p>
        </w:tc>
        <w:tc>
          <w:tcPr>
            <w:tcW w:w="4910" w:type="dxa"/>
            <w:tcBorders>
              <w:top w:val="single" w:sz="4" w:space="0" w:color="auto"/>
              <w:left w:val="single" w:sz="4" w:space="0" w:color="auto"/>
              <w:bottom w:val="single" w:sz="4" w:space="0" w:color="auto"/>
              <w:right w:val="single" w:sz="4" w:space="0" w:color="auto"/>
            </w:tcBorders>
            <w:vAlign w:val="center"/>
          </w:tcPr>
          <w:p w14:paraId="1211502A" w14:textId="5861CB10" w:rsidR="007E78BC" w:rsidRPr="006251D3" w:rsidRDefault="007E78BC" w:rsidP="00A91D9E">
            <w:pPr>
              <w:pStyle w:val="BMSTableHeader"/>
              <w:keepLines/>
              <w:numPr>
                <w:ilvl w:val="0"/>
                <w:numId w:val="7"/>
              </w:numPr>
              <w:jc w:val="left"/>
              <w:rPr>
                <w:b w:val="0"/>
                <w:bCs/>
                <w:lang w:val="en-GB" w:eastAsia="en-US"/>
              </w:rPr>
            </w:pPr>
            <w:r w:rsidRPr="007E2D8D">
              <w:rPr>
                <w:b w:val="0"/>
                <w:bCs/>
                <w:lang w:val="en-GB" w:eastAsia="en-US"/>
              </w:rPr>
              <w:t>Withhold until recovery to baseline or to</w:t>
            </w:r>
            <w:r>
              <w:rPr>
                <w:b w:val="0"/>
                <w:bCs/>
                <w:lang w:val="en-GB" w:eastAsia="en-US"/>
              </w:rPr>
              <w:t xml:space="preserve"> </w:t>
            </w:r>
            <w:r w:rsidRPr="007E2D8D">
              <w:rPr>
                <w:b w:val="0"/>
                <w:bCs/>
                <w:lang w:val="en-GB" w:eastAsia="en-US"/>
              </w:rPr>
              <w:t>less than or equal to 2.5 times ULN, then</w:t>
            </w:r>
            <w:r>
              <w:rPr>
                <w:b w:val="0"/>
                <w:bCs/>
                <w:lang w:val="en-GB" w:eastAsia="en-US"/>
              </w:rPr>
              <w:t xml:space="preserve"> </w:t>
            </w:r>
            <w:r w:rsidRPr="007E2D8D">
              <w:rPr>
                <w:b w:val="0"/>
                <w:bCs/>
                <w:lang w:val="en-GB" w:eastAsia="en-US"/>
              </w:rPr>
              <w:t>resume at same dose.</w:t>
            </w:r>
          </w:p>
        </w:tc>
      </w:tr>
      <w:tr w:rsidR="007E78BC" w:rsidRPr="000142C9" w14:paraId="1D28D2DC" w14:textId="77777777" w:rsidTr="00381143">
        <w:trPr>
          <w:trHeight w:val="283"/>
        </w:trPr>
        <w:tc>
          <w:tcPr>
            <w:tcW w:w="2263" w:type="dxa"/>
            <w:vMerge/>
            <w:tcBorders>
              <w:left w:val="single" w:sz="4" w:space="0" w:color="auto"/>
              <w:right w:val="single" w:sz="4" w:space="0" w:color="auto"/>
            </w:tcBorders>
            <w:vAlign w:val="center"/>
          </w:tcPr>
          <w:p w14:paraId="5786B59A" w14:textId="77777777" w:rsidR="007E78BC" w:rsidRPr="00241CC2" w:rsidRDefault="007E78BC" w:rsidP="00A91D9E">
            <w:pPr>
              <w:pStyle w:val="BMSTableHeader"/>
              <w:keepLines/>
              <w:spacing w:before="0" w:after="0"/>
              <w:jc w:val="left"/>
              <w:rPr>
                <w:b w:val="0"/>
                <w:bCs/>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5F1C3EA" w14:textId="65835ECA" w:rsidR="007E78BC" w:rsidRPr="00241CC2" w:rsidRDefault="007E78BC" w:rsidP="00A91D9E">
            <w:pPr>
              <w:pStyle w:val="BMSTableHeader"/>
              <w:keepLines/>
              <w:jc w:val="left"/>
              <w:rPr>
                <w:b w:val="0"/>
                <w:bCs/>
                <w:lang w:val="en-GB" w:eastAsia="en-US"/>
              </w:rPr>
            </w:pPr>
            <w:r w:rsidRPr="00C92839">
              <w:rPr>
                <w:b w:val="0"/>
                <w:bCs/>
                <w:lang w:val="en-GB" w:eastAsia="en-US"/>
              </w:rPr>
              <w:t>CPK</w:t>
            </w:r>
            <w:r>
              <w:rPr>
                <w:b w:val="0"/>
                <w:bCs/>
                <w:lang w:val="en-GB" w:eastAsia="en-US"/>
              </w:rPr>
              <w:t xml:space="preserve"> </w:t>
            </w:r>
            <w:r w:rsidRPr="00C92839">
              <w:rPr>
                <w:b w:val="0"/>
                <w:bCs/>
                <w:lang w:val="en-GB" w:eastAsia="en-US"/>
              </w:rPr>
              <w:t>elevation</w:t>
            </w:r>
            <w:r>
              <w:rPr>
                <w:b w:val="0"/>
                <w:bCs/>
                <w:lang w:val="en-GB" w:eastAsia="en-US"/>
              </w:rPr>
              <w:t xml:space="preserve"> </w:t>
            </w:r>
            <w:r w:rsidRPr="00C92839">
              <w:rPr>
                <w:b w:val="0"/>
                <w:bCs/>
                <w:lang w:val="en-GB" w:eastAsia="en-US"/>
              </w:rPr>
              <w:t>greater than</w:t>
            </w:r>
            <w:r>
              <w:rPr>
                <w:b w:val="0"/>
                <w:bCs/>
                <w:lang w:val="en-GB" w:eastAsia="en-US"/>
              </w:rPr>
              <w:t xml:space="preserve"> </w:t>
            </w:r>
            <w:r w:rsidRPr="00C92839">
              <w:rPr>
                <w:b w:val="0"/>
                <w:bCs/>
                <w:lang w:val="en-GB" w:eastAsia="en-US"/>
              </w:rPr>
              <w:t>10 times ULN</w:t>
            </w:r>
            <w:r>
              <w:rPr>
                <w:b w:val="0"/>
                <w:bCs/>
                <w:lang w:val="en-GB" w:eastAsia="en-US"/>
              </w:rPr>
              <w:t xml:space="preserve"> </w:t>
            </w:r>
            <w:r w:rsidRPr="00C92839">
              <w:rPr>
                <w:b w:val="0"/>
                <w:bCs/>
                <w:lang w:val="en-GB" w:eastAsia="en-US"/>
              </w:rPr>
              <w:t>or second</w:t>
            </w:r>
            <w:r>
              <w:rPr>
                <w:b w:val="0"/>
                <w:bCs/>
                <w:lang w:val="en-GB" w:eastAsia="en-US"/>
              </w:rPr>
              <w:t xml:space="preserve"> </w:t>
            </w:r>
            <w:r w:rsidRPr="00C92839">
              <w:rPr>
                <w:b w:val="0"/>
                <w:bCs/>
                <w:lang w:val="en-GB" w:eastAsia="en-US"/>
              </w:rPr>
              <w:t>occurrence of</w:t>
            </w:r>
            <w:r>
              <w:rPr>
                <w:b w:val="0"/>
                <w:bCs/>
                <w:lang w:val="en-GB" w:eastAsia="en-US"/>
              </w:rPr>
              <w:t xml:space="preserve"> </w:t>
            </w:r>
            <w:r w:rsidRPr="00C92839">
              <w:rPr>
                <w:b w:val="0"/>
                <w:bCs/>
                <w:lang w:val="en-GB" w:eastAsia="en-US"/>
              </w:rPr>
              <w:t>CPK</w:t>
            </w:r>
            <w:r>
              <w:rPr>
                <w:b w:val="0"/>
                <w:bCs/>
                <w:lang w:val="en-GB" w:eastAsia="en-US"/>
              </w:rPr>
              <w:t xml:space="preserve"> </w:t>
            </w:r>
            <w:r w:rsidRPr="00C92839">
              <w:rPr>
                <w:b w:val="0"/>
                <w:bCs/>
                <w:lang w:val="en-GB" w:eastAsia="en-US"/>
              </w:rPr>
              <w:t>elevation of</w:t>
            </w:r>
            <w:r>
              <w:rPr>
                <w:b w:val="0"/>
                <w:bCs/>
                <w:lang w:val="en-GB" w:eastAsia="en-US"/>
              </w:rPr>
              <w:t xml:space="preserve"> </w:t>
            </w:r>
            <w:r w:rsidRPr="00C92839">
              <w:rPr>
                <w:b w:val="0"/>
                <w:bCs/>
                <w:lang w:val="en-GB" w:eastAsia="en-US"/>
              </w:rPr>
              <w:t>greater than 5</w:t>
            </w:r>
            <w:r>
              <w:rPr>
                <w:b w:val="0"/>
                <w:bCs/>
                <w:lang w:val="en-GB" w:eastAsia="en-US"/>
              </w:rPr>
              <w:t xml:space="preserve"> </w:t>
            </w:r>
            <w:r w:rsidRPr="00C92839">
              <w:rPr>
                <w:b w:val="0"/>
                <w:bCs/>
                <w:lang w:val="en-GB" w:eastAsia="en-US"/>
              </w:rPr>
              <w:t>times ULN</w:t>
            </w:r>
          </w:p>
        </w:tc>
        <w:tc>
          <w:tcPr>
            <w:tcW w:w="4910" w:type="dxa"/>
            <w:tcBorders>
              <w:top w:val="single" w:sz="4" w:space="0" w:color="auto"/>
              <w:left w:val="single" w:sz="4" w:space="0" w:color="auto"/>
              <w:bottom w:val="single" w:sz="4" w:space="0" w:color="auto"/>
              <w:right w:val="single" w:sz="4" w:space="0" w:color="auto"/>
            </w:tcBorders>
            <w:vAlign w:val="center"/>
          </w:tcPr>
          <w:p w14:paraId="06F5C23A" w14:textId="54CD671C" w:rsidR="007E78BC" w:rsidRPr="006251D3" w:rsidRDefault="007E78BC" w:rsidP="00A91D9E">
            <w:pPr>
              <w:pStyle w:val="BMSTableHeader"/>
              <w:keepLines/>
              <w:numPr>
                <w:ilvl w:val="0"/>
                <w:numId w:val="7"/>
              </w:numPr>
              <w:jc w:val="left"/>
              <w:rPr>
                <w:b w:val="0"/>
                <w:bCs/>
                <w:lang w:val="en-GB" w:eastAsia="en-US"/>
              </w:rPr>
            </w:pPr>
            <w:r w:rsidRPr="007E78BC">
              <w:rPr>
                <w:b w:val="0"/>
                <w:bCs/>
                <w:lang w:val="en-GB" w:eastAsia="en-US"/>
              </w:rPr>
              <w:t>Withhold until recovery to baseline or to</w:t>
            </w:r>
            <w:r>
              <w:rPr>
                <w:b w:val="0"/>
                <w:bCs/>
                <w:lang w:val="en-GB" w:eastAsia="en-US"/>
              </w:rPr>
              <w:t xml:space="preserve"> </w:t>
            </w:r>
            <w:r w:rsidRPr="007E78BC">
              <w:rPr>
                <w:b w:val="0"/>
                <w:bCs/>
                <w:lang w:val="en-GB" w:eastAsia="en-US"/>
              </w:rPr>
              <w:t>less than or equal to 2.5 times ULN, then</w:t>
            </w:r>
            <w:r>
              <w:rPr>
                <w:b w:val="0"/>
                <w:bCs/>
                <w:lang w:val="en-GB" w:eastAsia="en-US"/>
              </w:rPr>
              <w:t xml:space="preserve"> </w:t>
            </w:r>
            <w:r w:rsidRPr="007E78BC">
              <w:rPr>
                <w:b w:val="0"/>
                <w:bCs/>
                <w:lang w:val="en-GB" w:eastAsia="en-US"/>
              </w:rPr>
              <w:t>resume at reduced dose</w:t>
            </w:r>
          </w:p>
        </w:tc>
      </w:tr>
      <w:tr w:rsidR="00A320F7" w:rsidRPr="000142C9" w14:paraId="6194ECF6" w14:textId="77777777" w:rsidTr="0004164B">
        <w:trPr>
          <w:trHeight w:val="283"/>
        </w:trPr>
        <w:tc>
          <w:tcPr>
            <w:tcW w:w="2263" w:type="dxa"/>
            <w:tcBorders>
              <w:top w:val="single" w:sz="4" w:space="0" w:color="auto"/>
              <w:left w:val="single" w:sz="4" w:space="0" w:color="auto"/>
              <w:right w:val="single" w:sz="4" w:space="0" w:color="auto"/>
            </w:tcBorders>
            <w:vAlign w:val="center"/>
          </w:tcPr>
          <w:p w14:paraId="26909B3D" w14:textId="78C9C414" w:rsidR="00A320F7" w:rsidRPr="00241CC2" w:rsidRDefault="00F15305" w:rsidP="00A91D9E">
            <w:pPr>
              <w:pStyle w:val="BMSTableHeader"/>
              <w:keepLines/>
              <w:spacing w:before="0" w:after="0"/>
              <w:jc w:val="left"/>
              <w:rPr>
                <w:b w:val="0"/>
                <w:bCs/>
                <w:lang w:val="en-GB" w:eastAsia="en-US"/>
              </w:rPr>
            </w:pPr>
            <w:r w:rsidRPr="00F15305">
              <w:rPr>
                <w:b w:val="0"/>
                <w:bCs/>
                <w:lang w:val="en-GB" w:eastAsia="en-US"/>
              </w:rPr>
              <w:t>Hyperuric</w:t>
            </w:r>
            <w:r w:rsidR="003B7796">
              <w:rPr>
                <w:b w:val="0"/>
                <w:bCs/>
                <w:lang w:val="en-GB" w:eastAsia="en-US"/>
              </w:rPr>
              <w:t>a</w:t>
            </w:r>
            <w:r w:rsidRPr="00F15305">
              <w:rPr>
                <w:b w:val="0"/>
                <w:bCs/>
                <w:lang w:val="en-GB" w:eastAsia="en-US"/>
              </w:rPr>
              <w:t>emia</w:t>
            </w:r>
          </w:p>
        </w:tc>
        <w:tc>
          <w:tcPr>
            <w:tcW w:w="1843" w:type="dxa"/>
            <w:tcBorders>
              <w:top w:val="single" w:sz="4" w:space="0" w:color="auto"/>
              <w:left w:val="single" w:sz="4" w:space="0" w:color="auto"/>
              <w:bottom w:val="single" w:sz="4" w:space="0" w:color="auto"/>
              <w:right w:val="single" w:sz="4" w:space="0" w:color="auto"/>
            </w:tcBorders>
            <w:vAlign w:val="center"/>
          </w:tcPr>
          <w:p w14:paraId="14A042A9" w14:textId="2D8FA444" w:rsidR="00A320F7" w:rsidRPr="00241CC2" w:rsidRDefault="00F15305" w:rsidP="00A91D9E">
            <w:pPr>
              <w:pStyle w:val="BMSTableHeader"/>
              <w:keepLines/>
              <w:jc w:val="left"/>
              <w:rPr>
                <w:b w:val="0"/>
                <w:bCs/>
                <w:lang w:val="en-GB" w:eastAsia="en-US"/>
              </w:rPr>
            </w:pPr>
            <w:r w:rsidRPr="00F15305">
              <w:rPr>
                <w:b w:val="0"/>
                <w:bCs/>
                <w:lang w:val="en-GB" w:eastAsia="en-US"/>
              </w:rPr>
              <w:t>Grade 3 or</w:t>
            </w:r>
            <w:r>
              <w:rPr>
                <w:b w:val="0"/>
                <w:bCs/>
                <w:lang w:val="en-GB" w:eastAsia="en-US"/>
              </w:rPr>
              <w:t xml:space="preserve"> </w:t>
            </w:r>
            <w:r w:rsidRPr="00F15305">
              <w:rPr>
                <w:b w:val="0"/>
                <w:bCs/>
                <w:lang w:val="en-GB" w:eastAsia="en-US"/>
              </w:rPr>
              <w:t>Grade 4</w:t>
            </w:r>
          </w:p>
        </w:tc>
        <w:tc>
          <w:tcPr>
            <w:tcW w:w="4910" w:type="dxa"/>
            <w:tcBorders>
              <w:top w:val="single" w:sz="4" w:space="0" w:color="auto"/>
              <w:left w:val="single" w:sz="4" w:space="0" w:color="auto"/>
              <w:bottom w:val="single" w:sz="4" w:space="0" w:color="auto"/>
              <w:right w:val="single" w:sz="4" w:space="0" w:color="auto"/>
            </w:tcBorders>
            <w:vAlign w:val="center"/>
          </w:tcPr>
          <w:p w14:paraId="2760EBC1" w14:textId="77777777" w:rsidR="00A320F7" w:rsidRDefault="00F15305" w:rsidP="00A91D9E">
            <w:pPr>
              <w:pStyle w:val="BMSTableHeader"/>
              <w:keepLines/>
              <w:numPr>
                <w:ilvl w:val="0"/>
                <w:numId w:val="7"/>
              </w:numPr>
              <w:jc w:val="left"/>
              <w:rPr>
                <w:b w:val="0"/>
                <w:bCs/>
                <w:lang w:val="en-GB" w:eastAsia="en-US"/>
              </w:rPr>
            </w:pPr>
            <w:r w:rsidRPr="00F15305">
              <w:rPr>
                <w:b w:val="0"/>
                <w:bCs/>
                <w:lang w:val="en-GB" w:eastAsia="en-US"/>
              </w:rPr>
              <w:t>Withhold until improvement</w:t>
            </w:r>
            <w:r>
              <w:rPr>
                <w:b w:val="0"/>
                <w:bCs/>
                <w:lang w:val="en-GB" w:eastAsia="en-US"/>
              </w:rPr>
              <w:t xml:space="preserve"> </w:t>
            </w:r>
            <w:r w:rsidRPr="00F15305">
              <w:rPr>
                <w:b w:val="0"/>
                <w:bCs/>
                <w:lang w:val="en-GB" w:eastAsia="en-US"/>
              </w:rPr>
              <w:t>of signs or symptoms.</w:t>
            </w:r>
          </w:p>
          <w:p w14:paraId="632A1C84" w14:textId="744B6799" w:rsidR="00420C80" w:rsidRPr="006251D3" w:rsidRDefault="00420C80" w:rsidP="00A91D9E">
            <w:pPr>
              <w:pStyle w:val="BMSTableHeader"/>
              <w:keepLines/>
              <w:numPr>
                <w:ilvl w:val="0"/>
                <w:numId w:val="7"/>
              </w:numPr>
              <w:jc w:val="left"/>
              <w:rPr>
                <w:b w:val="0"/>
                <w:bCs/>
                <w:lang w:val="en-GB" w:eastAsia="en-US"/>
              </w:rPr>
            </w:pPr>
            <w:r w:rsidRPr="00420C80">
              <w:rPr>
                <w:b w:val="0"/>
                <w:bCs/>
                <w:lang w:val="en-GB" w:eastAsia="en-US"/>
              </w:rPr>
              <w:t>Resume AUGTYRO at same or reduced</w:t>
            </w:r>
            <w:r>
              <w:rPr>
                <w:b w:val="0"/>
                <w:bCs/>
                <w:lang w:val="en-GB" w:eastAsia="en-US"/>
              </w:rPr>
              <w:t xml:space="preserve"> </w:t>
            </w:r>
            <w:r w:rsidRPr="00420C80">
              <w:rPr>
                <w:b w:val="0"/>
                <w:bCs/>
                <w:lang w:val="en-GB" w:eastAsia="en-US"/>
              </w:rPr>
              <w:t>dose</w:t>
            </w:r>
          </w:p>
        </w:tc>
      </w:tr>
      <w:tr w:rsidR="008A3937" w:rsidRPr="000142C9" w14:paraId="3B8067E9" w14:textId="77777777" w:rsidTr="00381143">
        <w:trPr>
          <w:trHeight w:val="283"/>
        </w:trPr>
        <w:tc>
          <w:tcPr>
            <w:tcW w:w="2263" w:type="dxa"/>
            <w:vMerge w:val="restart"/>
            <w:tcBorders>
              <w:top w:val="single" w:sz="4" w:space="0" w:color="auto"/>
              <w:left w:val="single" w:sz="4" w:space="0" w:color="auto"/>
              <w:right w:val="single" w:sz="4" w:space="0" w:color="auto"/>
            </w:tcBorders>
            <w:vAlign w:val="center"/>
          </w:tcPr>
          <w:p w14:paraId="2D787F62" w14:textId="1C35C4C7" w:rsidR="008A3937" w:rsidRPr="000142C9" w:rsidRDefault="008A3937" w:rsidP="00A91D9E">
            <w:pPr>
              <w:pStyle w:val="BMSTableHeader"/>
              <w:keepLines/>
              <w:spacing w:before="0" w:after="0"/>
              <w:jc w:val="left"/>
              <w:rPr>
                <w:b w:val="0"/>
                <w:bCs/>
                <w:lang w:val="en-GB" w:eastAsia="en-US"/>
              </w:rPr>
            </w:pPr>
            <w:r w:rsidRPr="00241CC2">
              <w:rPr>
                <w:b w:val="0"/>
                <w:bCs/>
                <w:lang w:val="en-GB" w:eastAsia="en-US"/>
              </w:rPr>
              <w:t xml:space="preserve">Other </w:t>
            </w:r>
            <w:r w:rsidR="00A97883">
              <w:rPr>
                <w:b w:val="0"/>
                <w:bCs/>
                <w:lang w:val="en-GB" w:eastAsia="en-US"/>
              </w:rPr>
              <w:t>c</w:t>
            </w:r>
            <w:r w:rsidRPr="00241CC2">
              <w:rPr>
                <w:b w:val="0"/>
                <w:bCs/>
                <w:lang w:val="en-GB" w:eastAsia="en-US"/>
              </w:rPr>
              <w:t xml:space="preserve">linically </w:t>
            </w:r>
            <w:r w:rsidR="00A97883">
              <w:rPr>
                <w:b w:val="0"/>
                <w:bCs/>
                <w:lang w:val="en-GB" w:eastAsia="en-US"/>
              </w:rPr>
              <w:t>r</w:t>
            </w:r>
            <w:r w:rsidRPr="00241CC2">
              <w:rPr>
                <w:b w:val="0"/>
                <w:bCs/>
                <w:lang w:val="en-GB" w:eastAsia="en-US"/>
              </w:rPr>
              <w:t xml:space="preserve">elevant </w:t>
            </w:r>
            <w:r w:rsidR="00A97883">
              <w:rPr>
                <w:b w:val="0"/>
                <w:bCs/>
                <w:lang w:val="en-GB" w:eastAsia="en-US"/>
              </w:rPr>
              <w:t>a</w:t>
            </w:r>
            <w:r w:rsidRPr="00241CC2">
              <w:rPr>
                <w:b w:val="0"/>
                <w:bCs/>
                <w:lang w:val="en-GB" w:eastAsia="en-US"/>
              </w:rPr>
              <w:t xml:space="preserve">dverse </w:t>
            </w:r>
            <w:r w:rsidR="00A97883">
              <w:rPr>
                <w:b w:val="0"/>
                <w:bCs/>
                <w:lang w:val="en-GB" w:eastAsia="en-US"/>
              </w:rPr>
              <w:t>r</w:t>
            </w:r>
            <w:r w:rsidRPr="00241CC2">
              <w:rPr>
                <w:b w:val="0"/>
                <w:bCs/>
                <w:lang w:val="en-GB" w:eastAsia="en-US"/>
              </w:rPr>
              <w:t>eactions</w:t>
            </w:r>
          </w:p>
        </w:tc>
        <w:tc>
          <w:tcPr>
            <w:tcW w:w="1843" w:type="dxa"/>
            <w:tcBorders>
              <w:top w:val="single" w:sz="4" w:space="0" w:color="auto"/>
              <w:left w:val="single" w:sz="4" w:space="0" w:color="auto"/>
              <w:bottom w:val="single" w:sz="4" w:space="0" w:color="auto"/>
              <w:right w:val="single" w:sz="4" w:space="0" w:color="auto"/>
            </w:tcBorders>
            <w:vAlign w:val="center"/>
          </w:tcPr>
          <w:p w14:paraId="02BBAB8C" w14:textId="1891BEBC" w:rsidR="008A3937" w:rsidRPr="000142C9" w:rsidRDefault="008A3937" w:rsidP="00A91D9E">
            <w:pPr>
              <w:pStyle w:val="BMSTableHeader"/>
              <w:keepLines/>
              <w:jc w:val="left"/>
              <w:rPr>
                <w:b w:val="0"/>
                <w:bCs/>
                <w:lang w:val="en-GB" w:eastAsia="en-US"/>
              </w:rPr>
            </w:pPr>
            <w:r w:rsidRPr="00241CC2">
              <w:rPr>
                <w:b w:val="0"/>
                <w:bCs/>
                <w:lang w:val="en-GB" w:eastAsia="en-US"/>
              </w:rPr>
              <w:t>Intolerable Grade 2</w:t>
            </w:r>
          </w:p>
        </w:tc>
        <w:tc>
          <w:tcPr>
            <w:tcW w:w="4910" w:type="dxa"/>
            <w:tcBorders>
              <w:top w:val="single" w:sz="4" w:space="0" w:color="auto"/>
              <w:left w:val="single" w:sz="4" w:space="0" w:color="auto"/>
              <w:bottom w:val="single" w:sz="4" w:space="0" w:color="auto"/>
              <w:right w:val="single" w:sz="4" w:space="0" w:color="auto"/>
            </w:tcBorders>
            <w:vAlign w:val="center"/>
          </w:tcPr>
          <w:p w14:paraId="24CAC81B" w14:textId="635DE327" w:rsidR="008A3937" w:rsidRPr="006251D3" w:rsidRDefault="008A3937" w:rsidP="00A91D9E">
            <w:pPr>
              <w:pStyle w:val="BMSTableHeader"/>
              <w:keepLines/>
              <w:numPr>
                <w:ilvl w:val="0"/>
                <w:numId w:val="7"/>
              </w:numPr>
              <w:jc w:val="left"/>
              <w:rPr>
                <w:b w:val="0"/>
                <w:bCs/>
                <w:lang w:val="en-GB" w:eastAsia="en-US"/>
              </w:rPr>
            </w:pPr>
            <w:r w:rsidRPr="006251D3">
              <w:rPr>
                <w:b w:val="0"/>
                <w:bCs/>
                <w:lang w:val="en-GB" w:eastAsia="en-US"/>
              </w:rPr>
              <w:t>Withhold until less than or equal to Grade 1 or baseline.</w:t>
            </w:r>
          </w:p>
          <w:p w14:paraId="74B0BE46" w14:textId="69D7004B" w:rsidR="008A3937" w:rsidRPr="000142C9" w:rsidRDefault="008A3937" w:rsidP="00A91D9E">
            <w:pPr>
              <w:pStyle w:val="BMSTableHeader"/>
              <w:keepLines/>
              <w:numPr>
                <w:ilvl w:val="0"/>
                <w:numId w:val="7"/>
              </w:numPr>
              <w:jc w:val="left"/>
              <w:rPr>
                <w:b w:val="0"/>
                <w:bCs/>
                <w:lang w:val="en-GB" w:eastAsia="en-US"/>
              </w:rPr>
            </w:pPr>
            <w:r w:rsidRPr="006251D3">
              <w:rPr>
                <w:b w:val="0"/>
                <w:bCs/>
                <w:lang w:val="en-GB" w:eastAsia="en-US"/>
              </w:rPr>
              <w:t>Resume at the same or reduced dose if resolution occurs within 4 weeks.</w:t>
            </w:r>
          </w:p>
        </w:tc>
      </w:tr>
      <w:tr w:rsidR="008A3937" w:rsidRPr="000142C9" w14:paraId="26A3FB3D" w14:textId="77777777" w:rsidTr="00381143">
        <w:trPr>
          <w:trHeight w:val="283"/>
        </w:trPr>
        <w:tc>
          <w:tcPr>
            <w:tcW w:w="2263" w:type="dxa"/>
            <w:vMerge/>
            <w:tcBorders>
              <w:left w:val="single" w:sz="4" w:space="0" w:color="auto"/>
              <w:bottom w:val="single" w:sz="4" w:space="0" w:color="auto"/>
              <w:right w:val="single" w:sz="4" w:space="0" w:color="auto"/>
            </w:tcBorders>
            <w:vAlign w:val="center"/>
          </w:tcPr>
          <w:p w14:paraId="0240D94F" w14:textId="77777777" w:rsidR="008A3937" w:rsidRPr="000142C9" w:rsidRDefault="008A3937" w:rsidP="00A91D9E">
            <w:pPr>
              <w:pStyle w:val="BMSTableHeader"/>
              <w:keepLines/>
              <w:spacing w:before="0" w:after="0"/>
              <w:jc w:val="left"/>
              <w:rPr>
                <w:b w:val="0"/>
                <w:bCs/>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CDD6A1E" w14:textId="3DC554B5" w:rsidR="008A3937" w:rsidRPr="000142C9" w:rsidRDefault="008A3937" w:rsidP="00A91D9E">
            <w:pPr>
              <w:pStyle w:val="BMSTableHeader"/>
              <w:keepLines/>
              <w:jc w:val="left"/>
              <w:rPr>
                <w:b w:val="0"/>
                <w:bCs/>
                <w:lang w:val="en-GB" w:eastAsia="en-US"/>
              </w:rPr>
            </w:pPr>
            <w:r w:rsidRPr="00241CC2">
              <w:rPr>
                <w:b w:val="0"/>
                <w:bCs/>
                <w:lang w:val="en-GB" w:eastAsia="en-US"/>
              </w:rPr>
              <w:t>Grade 3 or 4</w:t>
            </w:r>
          </w:p>
        </w:tc>
        <w:tc>
          <w:tcPr>
            <w:tcW w:w="4910" w:type="dxa"/>
            <w:tcBorders>
              <w:top w:val="single" w:sz="4" w:space="0" w:color="auto"/>
              <w:left w:val="single" w:sz="4" w:space="0" w:color="auto"/>
              <w:bottom w:val="single" w:sz="4" w:space="0" w:color="auto"/>
              <w:right w:val="single" w:sz="4" w:space="0" w:color="auto"/>
            </w:tcBorders>
            <w:vAlign w:val="center"/>
          </w:tcPr>
          <w:p w14:paraId="56C76AFE" w14:textId="1F8A9F17" w:rsidR="008A3937" w:rsidRDefault="008A3937" w:rsidP="00A91D9E">
            <w:pPr>
              <w:pStyle w:val="Default"/>
              <w:keepLines/>
              <w:numPr>
                <w:ilvl w:val="0"/>
                <w:numId w:val="8"/>
              </w:numPr>
              <w:rPr>
                <w:rFonts w:ascii="Times New Roman" w:hAnsi="Times New Roman" w:cs="Times New Roman"/>
                <w:sz w:val="20"/>
                <w:szCs w:val="20"/>
              </w:rPr>
            </w:pPr>
            <w:r>
              <w:rPr>
                <w:rFonts w:ascii="Times New Roman" w:hAnsi="Times New Roman" w:cs="Times New Roman"/>
                <w:sz w:val="20"/>
                <w:szCs w:val="20"/>
              </w:rPr>
              <w:t xml:space="preserve">Withhold until adverse reaction resolves or improves to recovery or improvement to Grade 1 or baseline. </w:t>
            </w:r>
          </w:p>
          <w:p w14:paraId="3B607C26" w14:textId="13DB8CDF" w:rsidR="008A3937" w:rsidRDefault="008A3937" w:rsidP="00A91D9E">
            <w:pPr>
              <w:pStyle w:val="Default"/>
              <w:keepLines/>
              <w:numPr>
                <w:ilvl w:val="0"/>
                <w:numId w:val="8"/>
              </w:numPr>
              <w:rPr>
                <w:rFonts w:ascii="Times New Roman" w:hAnsi="Times New Roman" w:cs="Times New Roman"/>
                <w:sz w:val="20"/>
                <w:szCs w:val="20"/>
              </w:rPr>
            </w:pPr>
            <w:r>
              <w:rPr>
                <w:rFonts w:ascii="Times New Roman" w:hAnsi="Times New Roman" w:cs="Times New Roman"/>
                <w:sz w:val="20"/>
                <w:szCs w:val="20"/>
              </w:rPr>
              <w:t xml:space="preserve">Resume at the same or reduced dose if resolution occurs within 4 weeks. </w:t>
            </w:r>
          </w:p>
          <w:p w14:paraId="7F878A87" w14:textId="747EC5AD" w:rsidR="008A3937" w:rsidRDefault="008A3937" w:rsidP="00A91D9E">
            <w:pPr>
              <w:pStyle w:val="Default"/>
              <w:keepLines/>
              <w:numPr>
                <w:ilvl w:val="0"/>
                <w:numId w:val="8"/>
              </w:numPr>
              <w:rPr>
                <w:rFonts w:ascii="Times New Roman" w:hAnsi="Times New Roman" w:cs="Times New Roman"/>
                <w:sz w:val="20"/>
                <w:szCs w:val="20"/>
              </w:rPr>
            </w:pPr>
            <w:r>
              <w:rPr>
                <w:rFonts w:ascii="Times New Roman" w:hAnsi="Times New Roman" w:cs="Times New Roman"/>
                <w:sz w:val="20"/>
                <w:szCs w:val="20"/>
              </w:rPr>
              <w:t xml:space="preserve">Permanently discontinue if adverse reaction does not resolve within 4 weeks. </w:t>
            </w:r>
          </w:p>
          <w:p w14:paraId="0DDA5D40" w14:textId="4649CDDA" w:rsidR="008A3937" w:rsidRDefault="008A3937" w:rsidP="00A91D9E">
            <w:pPr>
              <w:pStyle w:val="Default"/>
              <w:keepLines/>
              <w:numPr>
                <w:ilvl w:val="0"/>
                <w:numId w:val="8"/>
              </w:numPr>
              <w:rPr>
                <w:rFonts w:ascii="Times New Roman" w:hAnsi="Times New Roman" w:cs="Times New Roman"/>
                <w:sz w:val="20"/>
                <w:szCs w:val="20"/>
              </w:rPr>
            </w:pPr>
            <w:r>
              <w:rPr>
                <w:rFonts w:ascii="Times New Roman" w:hAnsi="Times New Roman" w:cs="Times New Roman"/>
                <w:sz w:val="20"/>
                <w:szCs w:val="20"/>
              </w:rPr>
              <w:t xml:space="preserve">Permanently discontinue for recurrent Grade 4 events. </w:t>
            </w:r>
          </w:p>
          <w:p w14:paraId="253CC024" w14:textId="77777777" w:rsidR="008A3937" w:rsidRPr="000142C9" w:rsidRDefault="008A3937" w:rsidP="00A91D9E">
            <w:pPr>
              <w:pStyle w:val="BMSTableHeader"/>
              <w:keepLines/>
              <w:jc w:val="left"/>
              <w:rPr>
                <w:b w:val="0"/>
                <w:bCs/>
                <w:lang w:val="en-GB" w:eastAsia="en-US"/>
              </w:rPr>
            </w:pPr>
          </w:p>
        </w:tc>
      </w:tr>
    </w:tbl>
    <w:p w14:paraId="28695589" w14:textId="129C1125" w:rsidR="00662ED7" w:rsidRDefault="00FA7129" w:rsidP="00A91D9E">
      <w:pPr>
        <w:pStyle w:val="EMEABodyText"/>
        <w:ind w:left="567" w:hanging="567"/>
        <w:rPr>
          <w:noProof/>
          <w:sz w:val="20"/>
        </w:rPr>
      </w:pPr>
      <w:r w:rsidRPr="00FA7129">
        <w:rPr>
          <w:noProof/>
          <w:sz w:val="20"/>
        </w:rPr>
        <w:t>*Graded per Common Terminology Criteria for Adverse Events 4.0</w:t>
      </w:r>
    </w:p>
    <w:p w14:paraId="5AB22B6B" w14:textId="4503E13D" w:rsidR="001F03B7" w:rsidRPr="004E0F60" w:rsidRDefault="00EE2A60" w:rsidP="00A91D9E">
      <w:pPr>
        <w:pStyle w:val="Heading3"/>
      </w:pPr>
      <w:r>
        <w:lastRenderedPageBreak/>
        <w:t xml:space="preserve">DOSE IN </w:t>
      </w:r>
      <w:r w:rsidR="001F03B7" w:rsidRPr="004E0F60">
        <w:t>SPECIAL POPULATIONS</w:t>
      </w:r>
    </w:p>
    <w:p w14:paraId="1BE0F6A2" w14:textId="77777777" w:rsidR="00403F48" w:rsidRPr="00403F48" w:rsidRDefault="00403F48" w:rsidP="00A91D9E">
      <w:pPr>
        <w:pStyle w:val="Heading4"/>
        <w:rPr>
          <w:rFonts w:hint="eastAsia"/>
        </w:rPr>
      </w:pPr>
      <w:r w:rsidRPr="00403F48">
        <w:t>Paediatric patients</w:t>
      </w:r>
    </w:p>
    <w:p w14:paraId="5DCE5212" w14:textId="3AA292E1" w:rsidR="00A176A3" w:rsidRDefault="00FA7129" w:rsidP="00A91D9E">
      <w:pPr>
        <w:autoSpaceDE w:val="0"/>
        <w:autoSpaceDN w:val="0"/>
        <w:adjustRightInd w:val="0"/>
        <w:jc w:val="left"/>
        <w:rPr>
          <w:lang w:val="en-US" w:eastAsia="fr-BE"/>
        </w:rPr>
      </w:pPr>
      <w:r w:rsidRPr="00FA7129">
        <w:rPr>
          <w:rFonts w:eastAsia="TimesNewRoman"/>
          <w:lang w:val="en-US" w:eastAsia="fr-BE"/>
        </w:rPr>
        <w:t xml:space="preserve">The safety and efficacy of AUGTYRO in patients below 18 years of age with </w:t>
      </w:r>
      <w:r w:rsidRPr="001E1FFB">
        <w:rPr>
          <w:rFonts w:eastAsia="TimesNewRoman"/>
          <w:i/>
          <w:iCs/>
          <w:lang w:val="en-US" w:eastAsia="fr-BE"/>
        </w:rPr>
        <w:t>ROS1</w:t>
      </w:r>
      <w:r w:rsidRPr="00FA7129">
        <w:rPr>
          <w:rFonts w:eastAsia="TimesNewRoman"/>
          <w:lang w:val="en-US" w:eastAsia="fr-BE"/>
        </w:rPr>
        <w:t>-positive NSCLC have not been established.</w:t>
      </w:r>
    </w:p>
    <w:p w14:paraId="5E9DA20B" w14:textId="77777777" w:rsidR="009F1AB2" w:rsidRPr="009E2783" w:rsidRDefault="009F1AB2" w:rsidP="00A91D9E">
      <w:pPr>
        <w:pStyle w:val="Heading4"/>
        <w:rPr>
          <w:rFonts w:hint="eastAsia"/>
        </w:rPr>
      </w:pPr>
      <w:r w:rsidRPr="009E2783">
        <w:rPr>
          <w:rFonts w:hint="eastAsia"/>
        </w:rPr>
        <w:t xml:space="preserve">Elderly patients </w:t>
      </w:r>
    </w:p>
    <w:p w14:paraId="593BD47F" w14:textId="1FCAC745" w:rsidR="000A5DDF" w:rsidRPr="009E2783" w:rsidRDefault="00A176A3" w:rsidP="00A91D9E">
      <w:pPr>
        <w:jc w:val="left"/>
      </w:pPr>
      <w:r w:rsidRPr="00A176A3">
        <w:t>No dose adjustment is required for elderly patients (≥ 65 years).</w:t>
      </w:r>
    </w:p>
    <w:p w14:paraId="2444137C" w14:textId="77777777" w:rsidR="00D22A77" w:rsidRPr="009E2783" w:rsidRDefault="00D22A77" w:rsidP="00A91D9E">
      <w:pPr>
        <w:pStyle w:val="Heading4"/>
        <w:rPr>
          <w:rFonts w:hint="eastAsia"/>
        </w:rPr>
      </w:pPr>
      <w:r w:rsidRPr="009E2783">
        <w:rPr>
          <w:rFonts w:hint="eastAsia"/>
        </w:rPr>
        <w:t xml:space="preserve">Patients with renal impairment </w:t>
      </w:r>
    </w:p>
    <w:p w14:paraId="62AC50CA" w14:textId="792D4EE1" w:rsidR="00D22A77" w:rsidRPr="009E2783" w:rsidRDefault="003924EC" w:rsidP="00A91D9E">
      <w:pPr>
        <w:jc w:val="left"/>
      </w:pPr>
      <w:r w:rsidRPr="003924EC">
        <w:rPr>
          <w:bCs/>
          <w:iCs/>
        </w:rPr>
        <w:t xml:space="preserve">No dose adjustment is recommended for patients with mild or moderate renal impairment (eGFR-CKD-EPI 30 to 90 mL/min). </w:t>
      </w:r>
      <w:r w:rsidR="00480BE1" w:rsidRPr="00480BE1">
        <w:rPr>
          <w:bCs/>
          <w:iCs/>
        </w:rPr>
        <w:t xml:space="preserve">The recommended dosage of </w:t>
      </w:r>
      <w:proofErr w:type="spellStart"/>
      <w:r w:rsidR="00480BE1" w:rsidRPr="00480BE1">
        <w:rPr>
          <w:bCs/>
          <w:iCs/>
        </w:rPr>
        <w:t>repotrectinib</w:t>
      </w:r>
      <w:proofErr w:type="spellEnd"/>
      <w:r w:rsidR="00480BE1" w:rsidRPr="00480BE1">
        <w:rPr>
          <w:bCs/>
          <w:iCs/>
        </w:rPr>
        <w:t xml:space="preserve"> has not been established in patients with severe renal impairment or kidney failure (eGFR-CKD-EPI &lt;30 mL/min), and patients on dialysis</w:t>
      </w:r>
      <w:r w:rsidR="00480BE1" w:rsidRPr="00480BE1" w:rsidDel="00480BE1">
        <w:rPr>
          <w:bCs/>
          <w:iCs/>
        </w:rPr>
        <w:t xml:space="preserve"> </w:t>
      </w:r>
      <w:r w:rsidR="00972486" w:rsidRPr="00967993">
        <w:rPr>
          <w:bCs/>
          <w:iCs/>
        </w:rPr>
        <w:t>(</w:t>
      </w:r>
      <w:r w:rsidR="00967993" w:rsidRPr="00967993">
        <w:rPr>
          <w:bCs/>
          <w:iCs/>
        </w:rPr>
        <w:t>see Section 5.2 Pharmacokinetics</w:t>
      </w:r>
      <w:r w:rsidR="00972486" w:rsidRPr="00967993">
        <w:rPr>
          <w:bCs/>
          <w:iCs/>
        </w:rPr>
        <w:t>).</w:t>
      </w:r>
    </w:p>
    <w:p w14:paraId="07A43FEF" w14:textId="77777777" w:rsidR="00D22A77" w:rsidRPr="009E2783" w:rsidRDefault="00D22A77" w:rsidP="00A91D9E">
      <w:pPr>
        <w:pStyle w:val="Heading4"/>
        <w:rPr>
          <w:rFonts w:hint="eastAsia"/>
        </w:rPr>
      </w:pPr>
      <w:r w:rsidRPr="009E2783">
        <w:rPr>
          <w:rFonts w:hint="eastAsia"/>
        </w:rPr>
        <w:t>Patients with hepatic impairment</w:t>
      </w:r>
    </w:p>
    <w:p w14:paraId="4335728A" w14:textId="73417786" w:rsidR="00D22A77" w:rsidRPr="004E0F60" w:rsidRDefault="00480BE1" w:rsidP="00A91D9E">
      <w:pPr>
        <w:jc w:val="left"/>
      </w:pPr>
      <w:r w:rsidRPr="00480BE1">
        <w:t xml:space="preserve">No dose adjustment is recommended for patients with mild (total bilirubin &gt; 1 to 1.5 </w:t>
      </w:r>
      <w:r w:rsidR="00290A06">
        <w:t>times</w:t>
      </w:r>
      <w:r w:rsidRPr="00480BE1">
        <w:t xml:space="preserve"> upper limit of normal [ULN] or AST &gt; ULN) hepatic impairment. The recommended dosage of </w:t>
      </w:r>
      <w:proofErr w:type="spellStart"/>
      <w:r w:rsidRPr="00480BE1">
        <w:t>repotrectinib</w:t>
      </w:r>
      <w:proofErr w:type="spellEnd"/>
      <w:r w:rsidRPr="00480BE1">
        <w:t xml:space="preserve"> has not been established in patients with moderate (total bilirubin &gt;1.5 to 3 </w:t>
      </w:r>
      <w:r w:rsidR="00290A06">
        <w:t>times</w:t>
      </w:r>
      <w:r w:rsidRPr="00480BE1">
        <w:t xml:space="preserve"> ULN with any AST) or severe (total bilirubin &gt;3 </w:t>
      </w:r>
      <w:r w:rsidR="00290A06">
        <w:t>times</w:t>
      </w:r>
      <w:r w:rsidRPr="00480BE1">
        <w:t xml:space="preserve"> ULN with any AST) hepatic impairment</w:t>
      </w:r>
      <w:r w:rsidR="00FA24AD">
        <w:t xml:space="preserve"> (</w:t>
      </w:r>
      <w:r w:rsidR="00967993">
        <w:t>see Section 5.2 Pharmacokinetics</w:t>
      </w:r>
      <w:r w:rsidR="00FA24AD">
        <w:t xml:space="preserve">). </w:t>
      </w:r>
    </w:p>
    <w:p w14:paraId="6126740B" w14:textId="77777777" w:rsidR="001A3992" w:rsidRPr="00964BAB" w:rsidRDefault="001A3992" w:rsidP="00A91D9E">
      <w:pPr>
        <w:pStyle w:val="Heading2"/>
        <w:ind w:left="810" w:hanging="810"/>
      </w:pPr>
      <w:r w:rsidRPr="00964BAB">
        <w:t>Contraindications</w:t>
      </w:r>
    </w:p>
    <w:p w14:paraId="51AB619E" w14:textId="4E3BC5AE" w:rsidR="0088369C" w:rsidRDefault="00D36577" w:rsidP="00A91D9E">
      <w:pPr>
        <w:jc w:val="left"/>
        <w:rPr>
          <w:noProof/>
        </w:rPr>
      </w:pPr>
      <w:r w:rsidRPr="00D36577">
        <w:rPr>
          <w:noProof/>
        </w:rPr>
        <w:t>Hypersensitivity to the active substance or to any of the excipients</w:t>
      </w:r>
      <w:r w:rsidR="0088369C" w:rsidRPr="00964BAB">
        <w:rPr>
          <w:noProof/>
        </w:rPr>
        <w:t xml:space="preserve"> listed in section 6.1.</w:t>
      </w:r>
    </w:p>
    <w:p w14:paraId="5BAFDE01" w14:textId="0749AFA0" w:rsidR="001A3992" w:rsidRDefault="00E74A56" w:rsidP="00A91D9E">
      <w:pPr>
        <w:pStyle w:val="Heading2"/>
        <w:ind w:left="810" w:hanging="810"/>
      </w:pPr>
      <w:r w:rsidRPr="000A4651">
        <w:t>Special warnings and p</w:t>
      </w:r>
      <w:r w:rsidR="001A3992" w:rsidRPr="000A4651">
        <w:t xml:space="preserve">recautions </w:t>
      </w:r>
      <w:r w:rsidRPr="000A4651">
        <w:t>for use</w:t>
      </w:r>
    </w:p>
    <w:p w14:paraId="7E4E9BA2" w14:textId="1815A74C" w:rsidR="0018172E" w:rsidRPr="004E0F60" w:rsidRDefault="00CB37E4" w:rsidP="00A91D9E">
      <w:pPr>
        <w:pStyle w:val="Heading4"/>
        <w:rPr>
          <w:rFonts w:hint="eastAsia"/>
        </w:rPr>
      </w:pPr>
      <w:r>
        <w:t xml:space="preserve">Central </w:t>
      </w:r>
      <w:r w:rsidR="001936D1">
        <w:t>n</w:t>
      </w:r>
      <w:r>
        <w:t xml:space="preserve">ervous </w:t>
      </w:r>
      <w:r w:rsidR="001936D1">
        <w:t>s</w:t>
      </w:r>
      <w:r>
        <w:t>ystem (CNS)</w:t>
      </w:r>
    </w:p>
    <w:p w14:paraId="2A88C58E" w14:textId="198EA021" w:rsidR="00E338A2" w:rsidRDefault="00E338A2" w:rsidP="00A91D9E">
      <w:pPr>
        <w:spacing w:after="120"/>
        <w:jc w:val="left"/>
      </w:pPr>
      <w:r>
        <w:t xml:space="preserve">AUGTYRO </w:t>
      </w:r>
      <w:r w:rsidR="00737D88">
        <w:t xml:space="preserve">can cause a broad spectrum of CNS adverse reactions </w:t>
      </w:r>
      <w:r>
        <w:t>including dizziness, ataxia, and cognitive disorders</w:t>
      </w:r>
      <w:r w:rsidR="00BE3679">
        <w:t xml:space="preserve"> (see </w:t>
      </w:r>
      <w:r w:rsidR="007C38C4">
        <w:t>4.8 Adverse effects (undesirable effects))</w:t>
      </w:r>
      <w:r>
        <w:t>.</w:t>
      </w:r>
    </w:p>
    <w:p w14:paraId="28B59010" w14:textId="4C40D67B" w:rsidR="0018172E" w:rsidRPr="004E0F60" w:rsidRDefault="00E338A2" w:rsidP="00A91D9E">
      <w:pPr>
        <w:spacing w:after="120"/>
        <w:jc w:val="left"/>
      </w:pPr>
      <w:r>
        <w:t xml:space="preserve">Advise patients and caregivers of these risks with AUGTYRO as they may influence the ability to drive and use machines. Advise patients not to drive or use machines if they are experiencing CNS adverse reactions. Withhold and then resume at the same or reduced dose upon </w:t>
      </w:r>
      <w:proofErr w:type="gramStart"/>
      <w:r>
        <w:t>improvement, or</w:t>
      </w:r>
      <w:proofErr w:type="gramEnd"/>
      <w:r>
        <w:t xml:space="preserve"> permanently discontinue AUGTYRO based on severity (see </w:t>
      </w:r>
      <w:r w:rsidR="00090AB2">
        <w:t>S</w:t>
      </w:r>
      <w:r>
        <w:t>ection 4.2 Dos</w:t>
      </w:r>
      <w:r w:rsidR="00057ACA">
        <w:t xml:space="preserve">e and </w:t>
      </w:r>
      <w:r w:rsidR="00216764">
        <w:t>m</w:t>
      </w:r>
      <w:r w:rsidR="00057ACA">
        <w:t xml:space="preserve">ethod of </w:t>
      </w:r>
      <w:r w:rsidR="00216764">
        <w:t>a</w:t>
      </w:r>
      <w:r w:rsidR="00057ACA">
        <w:t>dministration</w:t>
      </w:r>
      <w:r>
        <w:t>).</w:t>
      </w:r>
      <w:r w:rsidR="0018172E" w:rsidRPr="00386E53">
        <w:t xml:space="preserve"> </w:t>
      </w:r>
    </w:p>
    <w:p w14:paraId="04E4B93D" w14:textId="5522A6FC" w:rsidR="001A3992" w:rsidRPr="000A4651" w:rsidRDefault="00E338A2" w:rsidP="00A91D9E">
      <w:pPr>
        <w:pStyle w:val="Heading4"/>
        <w:rPr>
          <w:rFonts w:hint="eastAsia"/>
        </w:rPr>
      </w:pPr>
      <w:r>
        <w:t xml:space="preserve">Interstitial </w:t>
      </w:r>
      <w:r w:rsidR="001936D1">
        <w:t>l</w:t>
      </w:r>
      <w:r>
        <w:t>un</w:t>
      </w:r>
      <w:r w:rsidR="0030511D">
        <w:t xml:space="preserve">g </w:t>
      </w:r>
      <w:r w:rsidR="001936D1">
        <w:t>d</w:t>
      </w:r>
      <w:r w:rsidR="0030511D">
        <w:t>isease (ILD)/</w:t>
      </w:r>
      <w:r w:rsidR="001936D1">
        <w:t>p</w:t>
      </w:r>
      <w:r w:rsidR="0030511D">
        <w:t>neumonitis</w:t>
      </w:r>
    </w:p>
    <w:p w14:paraId="150056CF" w14:textId="2D6CE817" w:rsidR="00C17C7D" w:rsidRDefault="00737D88" w:rsidP="00A91D9E">
      <w:pPr>
        <w:spacing w:after="120"/>
        <w:jc w:val="left"/>
      </w:pPr>
      <w:r>
        <w:t>AUGTYRO can cause ILD</w:t>
      </w:r>
      <w:r w:rsidR="00E55A7D">
        <w:t>/pneumonitis</w:t>
      </w:r>
      <w:r>
        <w:t xml:space="preserve">. </w:t>
      </w:r>
      <w:r w:rsidR="0030511D" w:rsidRPr="0030511D">
        <w:t xml:space="preserve">Advise patients to report </w:t>
      </w:r>
      <w:r w:rsidR="00E55A7D">
        <w:t xml:space="preserve">its </w:t>
      </w:r>
      <w:r w:rsidR="0030511D" w:rsidRPr="0030511D">
        <w:t>symptoms, which may include shortness of breath, cough, wheezing, chest pain or tightness, and haemoptysis. Monitor patients for new or worsening pulmonary symptoms indicative of ILD/pneumonitis. Immediately withhold AUGTYRO in patients with suspected ILD/pneumonitis and permanently discontinue AUGTYRO if ILD/pneumonitis is confirmed (</w:t>
      </w:r>
      <w:r w:rsidR="00090AB2">
        <w:t>see Section 4.2 Dose and Method of Administration</w:t>
      </w:r>
      <w:r w:rsidR="0030511D" w:rsidRPr="0030511D">
        <w:t>).</w:t>
      </w:r>
    </w:p>
    <w:p w14:paraId="0773D5B3" w14:textId="59737A5C" w:rsidR="00DF0474" w:rsidRPr="000A4651" w:rsidRDefault="00DF0474" w:rsidP="00A91D9E">
      <w:pPr>
        <w:pStyle w:val="Heading4"/>
        <w:rPr>
          <w:rFonts w:hint="eastAsia"/>
        </w:rPr>
      </w:pPr>
      <w:r>
        <w:t>Hepatotoxicity</w:t>
      </w:r>
    </w:p>
    <w:p w14:paraId="2937ADD2" w14:textId="5A2EB85C" w:rsidR="00DF0474" w:rsidRDefault="00E55A7D" w:rsidP="00A91D9E">
      <w:pPr>
        <w:spacing w:after="120"/>
        <w:jc w:val="left"/>
      </w:pPr>
      <w:r>
        <w:t xml:space="preserve">AUGTYRO can cause hepatotoxicity. </w:t>
      </w:r>
      <w:r w:rsidR="004350C6">
        <w:t>Monitor liver function tests, including ALT, AST and bilirubin, every 2 weeks during the first</w:t>
      </w:r>
      <w:r w:rsidR="00B94A20">
        <w:t xml:space="preserve"> </w:t>
      </w:r>
      <w:r w:rsidR="004350C6">
        <w:t>month of treatment, then monthly thereafter and as clinically indicated. Withhold and then resume</w:t>
      </w:r>
      <w:r w:rsidR="00B94A20">
        <w:t xml:space="preserve"> </w:t>
      </w:r>
      <w:r w:rsidR="004350C6">
        <w:t xml:space="preserve">at the same or reduced dose upon </w:t>
      </w:r>
      <w:proofErr w:type="gramStart"/>
      <w:r w:rsidR="004350C6">
        <w:t>improvement, or</w:t>
      </w:r>
      <w:proofErr w:type="gramEnd"/>
      <w:r w:rsidR="004350C6">
        <w:t xml:space="preserve"> permanently discontinue AUGTYRO based on</w:t>
      </w:r>
      <w:r w:rsidR="00B94A20">
        <w:t xml:space="preserve"> </w:t>
      </w:r>
      <w:r w:rsidR="004350C6">
        <w:t xml:space="preserve">the severity </w:t>
      </w:r>
      <w:r w:rsidR="00B94A20" w:rsidRPr="0030511D">
        <w:t>(</w:t>
      </w:r>
      <w:r w:rsidR="00B94A20">
        <w:t>see Section 4.2 Dose and Method of Administration</w:t>
      </w:r>
      <w:r w:rsidR="00B94A20" w:rsidRPr="0030511D">
        <w:t>)</w:t>
      </w:r>
      <w:r w:rsidR="00B94A20">
        <w:t>.</w:t>
      </w:r>
    </w:p>
    <w:p w14:paraId="17125638" w14:textId="7158A92C" w:rsidR="007D0168" w:rsidRPr="000A4651" w:rsidRDefault="0041172D" w:rsidP="00A91D9E">
      <w:pPr>
        <w:pStyle w:val="Heading4"/>
        <w:rPr>
          <w:rFonts w:hint="eastAsia"/>
        </w:rPr>
      </w:pPr>
      <w:r>
        <w:lastRenderedPageBreak/>
        <w:t>Myalgia with creatinine phosphokinase</w:t>
      </w:r>
      <w:r w:rsidR="002F70D3">
        <w:t xml:space="preserve"> (CPK)</w:t>
      </w:r>
      <w:r>
        <w:t xml:space="preserve"> elevation</w:t>
      </w:r>
      <w:r w:rsidR="002F70D3">
        <w:t xml:space="preserve"> </w:t>
      </w:r>
    </w:p>
    <w:p w14:paraId="180F878F" w14:textId="0290E83B" w:rsidR="00117CB8" w:rsidRDefault="00E55A7D" w:rsidP="00A91D9E">
      <w:pPr>
        <w:spacing w:after="120"/>
        <w:jc w:val="left"/>
      </w:pPr>
      <w:r>
        <w:t xml:space="preserve">AUGTYRO can cause </w:t>
      </w:r>
      <w:r w:rsidR="00F87A7D">
        <w:t>myalgia with</w:t>
      </w:r>
      <w:r w:rsidR="00F87A7D">
        <w:rPr>
          <w:spacing w:val="-1"/>
        </w:rPr>
        <w:t xml:space="preserve"> </w:t>
      </w:r>
      <w:r w:rsidR="00F87A7D">
        <w:t>or without</w:t>
      </w:r>
      <w:r w:rsidR="00F87A7D">
        <w:rPr>
          <w:spacing w:val="-2"/>
        </w:rPr>
        <w:t xml:space="preserve"> </w:t>
      </w:r>
      <w:r w:rsidR="00F87A7D">
        <w:t>creatine phosphokinase</w:t>
      </w:r>
      <w:r w:rsidR="00F87A7D">
        <w:rPr>
          <w:spacing w:val="-1"/>
        </w:rPr>
        <w:t xml:space="preserve"> </w:t>
      </w:r>
      <w:r w:rsidR="00F87A7D">
        <w:t xml:space="preserve">(CPK) </w:t>
      </w:r>
      <w:r w:rsidR="00F87A7D">
        <w:rPr>
          <w:spacing w:val="-2"/>
        </w:rPr>
        <w:t>elevation.</w:t>
      </w:r>
      <w:r w:rsidR="00F87A7D">
        <w:t xml:space="preserve"> </w:t>
      </w:r>
      <w:r w:rsidR="00117CB8">
        <w:t>Advise patients to report any unexplained muscle pain, tenderness, or weakness.</w:t>
      </w:r>
    </w:p>
    <w:p w14:paraId="417A1B10" w14:textId="45B03604" w:rsidR="007D0168" w:rsidRDefault="00117CB8" w:rsidP="00A91D9E">
      <w:pPr>
        <w:spacing w:after="120"/>
        <w:jc w:val="left"/>
      </w:pPr>
      <w:r>
        <w:t>Monitor serum CPK levels during AUGTYRO treatment and monitor CPK levels every 2 weeks</w:t>
      </w:r>
      <w:r w:rsidR="003863CD">
        <w:t xml:space="preserve"> </w:t>
      </w:r>
      <w:r>
        <w:t>during the first month of treatment and as needed in patients reporting unexplained muscle pain,</w:t>
      </w:r>
      <w:r w:rsidR="003863CD">
        <w:t xml:space="preserve"> </w:t>
      </w:r>
      <w:r>
        <w:t>tenderness, or weakness. Initiate supportive care as clinically indicated. Based on severity,</w:t>
      </w:r>
      <w:r w:rsidR="003863CD">
        <w:t xml:space="preserve"> </w:t>
      </w:r>
      <w:r>
        <w:t xml:space="preserve">withhold and then resume AUGTYRO at the same or reduced dose upon improvement </w:t>
      </w:r>
      <w:r w:rsidR="007E78BC" w:rsidRPr="0030511D">
        <w:t>(</w:t>
      </w:r>
      <w:r w:rsidR="007E78BC">
        <w:t>see Section 4.2 Dose and Method of Administration</w:t>
      </w:r>
      <w:r w:rsidR="007E78BC" w:rsidRPr="0030511D">
        <w:t>)</w:t>
      </w:r>
      <w:r>
        <w:t>.</w:t>
      </w:r>
    </w:p>
    <w:p w14:paraId="5488086D" w14:textId="705E674E" w:rsidR="007E78BC" w:rsidRPr="000A4651" w:rsidRDefault="007E78BC" w:rsidP="00A91D9E">
      <w:pPr>
        <w:pStyle w:val="Heading4"/>
        <w:rPr>
          <w:rFonts w:hint="eastAsia"/>
        </w:rPr>
      </w:pPr>
      <w:r>
        <w:t>Hyperur</w:t>
      </w:r>
      <w:r w:rsidR="00CE07C8">
        <w:t>ic</w:t>
      </w:r>
      <w:r w:rsidR="008545DD">
        <w:t>a</w:t>
      </w:r>
      <w:r w:rsidR="00CE07C8">
        <w:t>emia</w:t>
      </w:r>
    </w:p>
    <w:p w14:paraId="6C6534CD" w14:textId="44DB70FB" w:rsidR="00117CB8" w:rsidRDefault="00F87A7D" w:rsidP="00A91D9E">
      <w:pPr>
        <w:spacing w:after="120"/>
        <w:jc w:val="left"/>
      </w:pPr>
      <w:r>
        <w:t xml:space="preserve">AUGTYRO can cause hyperuricaemia. </w:t>
      </w:r>
      <w:r w:rsidR="00AA25C5">
        <w:t xml:space="preserve">Monitor serum uric acid levels prior to initiating AUGTYRO and periodically during treatment. Initiate treatment with urate-lowering medications as clinically indicated. Withhold and then resume at the same or reduced dose upon </w:t>
      </w:r>
      <w:proofErr w:type="gramStart"/>
      <w:r w:rsidR="00AA25C5">
        <w:t>improvement, or</w:t>
      </w:r>
      <w:proofErr w:type="gramEnd"/>
      <w:r w:rsidR="00AA25C5">
        <w:t xml:space="preserve"> permanently discontinue AUGTYRO based on severity </w:t>
      </w:r>
      <w:r w:rsidR="00AA25C5" w:rsidRPr="0030511D">
        <w:t>(</w:t>
      </w:r>
      <w:r w:rsidR="00AA25C5">
        <w:t>see Section 4.2 Dose and Method of Administration</w:t>
      </w:r>
      <w:r w:rsidR="00AA25C5" w:rsidRPr="0030511D">
        <w:t>)</w:t>
      </w:r>
      <w:r w:rsidR="00AA25C5">
        <w:t>.</w:t>
      </w:r>
    </w:p>
    <w:p w14:paraId="3F9FB709" w14:textId="556CF7E4" w:rsidR="00DD54E9" w:rsidRPr="00DD54E9" w:rsidRDefault="00DD54E9" w:rsidP="00A91D9E">
      <w:pPr>
        <w:pStyle w:val="Heading4"/>
        <w:rPr>
          <w:rFonts w:hint="eastAsia"/>
        </w:rPr>
      </w:pPr>
      <w:r w:rsidRPr="00DD54E9">
        <w:t>Skeletal fractures</w:t>
      </w:r>
    </w:p>
    <w:p w14:paraId="0F110151" w14:textId="37B54DA1" w:rsidR="00DD54E9" w:rsidRDefault="00986171" w:rsidP="00A91D9E">
      <w:pPr>
        <w:spacing w:after="120"/>
        <w:jc w:val="left"/>
      </w:pPr>
      <w:r>
        <w:t>AUGTYRO increase</w:t>
      </w:r>
      <w:r w:rsidR="00482858">
        <w:t>s</w:t>
      </w:r>
      <w:r>
        <w:t xml:space="preserve"> the risk of </w:t>
      </w:r>
      <w:r w:rsidR="00482858">
        <w:t xml:space="preserve">skeletal </w:t>
      </w:r>
      <w:r>
        <w:t xml:space="preserve">fractures. </w:t>
      </w:r>
      <w:r w:rsidR="0009296F">
        <w:t>Promptly evaluate patients with signs or symptoms (e.g., pain, changes in mobility, deformity) of fractures. There are no data on the effects of AUGTYRO on healing of known fractures and risk of future fractures</w:t>
      </w:r>
      <w:r w:rsidR="00862066">
        <w:t>.</w:t>
      </w:r>
    </w:p>
    <w:p w14:paraId="71669518" w14:textId="1ED9683D" w:rsidR="00752172" w:rsidRPr="007A61E4" w:rsidRDefault="00E031F8" w:rsidP="00A91D9E">
      <w:pPr>
        <w:pStyle w:val="Heading4"/>
        <w:rPr>
          <w:rFonts w:hint="eastAsia"/>
        </w:rPr>
      </w:pPr>
      <w:r>
        <w:t>Reproductive toxicity</w:t>
      </w:r>
    </w:p>
    <w:p w14:paraId="2E6145E6" w14:textId="6A150F40" w:rsidR="009D624D" w:rsidRPr="00813B18" w:rsidRDefault="001C69A5" w:rsidP="00A91D9E">
      <w:pPr>
        <w:spacing w:after="120"/>
        <w:jc w:val="left"/>
      </w:pPr>
      <w:r>
        <w:t>Based</w:t>
      </w:r>
      <w:r>
        <w:rPr>
          <w:spacing w:val="-15"/>
        </w:rPr>
        <w:t xml:space="preserve"> </w:t>
      </w:r>
      <w:r>
        <w:t>on</w:t>
      </w:r>
      <w:r>
        <w:rPr>
          <w:spacing w:val="-15"/>
        </w:rPr>
        <w:t xml:space="preserve"> </w:t>
      </w:r>
      <w:r>
        <w:t xml:space="preserve">findings from animal studies, and its mechanism of action, </w:t>
      </w:r>
      <w:r w:rsidR="0053621E" w:rsidRPr="002F16A5">
        <w:t xml:space="preserve">AUGTYRO </w:t>
      </w:r>
      <w:r w:rsidR="00952C00">
        <w:t>can</w:t>
      </w:r>
      <w:r w:rsidR="00952C00" w:rsidRPr="002F16A5">
        <w:t xml:space="preserve"> </w:t>
      </w:r>
      <w:r w:rsidR="0053621E" w:rsidRPr="002F16A5">
        <w:t>cause fetal harm</w:t>
      </w:r>
      <w:r>
        <w:t>.</w:t>
      </w:r>
      <w:r w:rsidR="0053621E" w:rsidRPr="002F16A5">
        <w:t xml:space="preserve"> </w:t>
      </w:r>
      <w:r>
        <w:t>E</w:t>
      </w:r>
      <w:r w:rsidR="006D4207">
        <w:t xml:space="preserve">xposure during pregnancy should be avoided </w:t>
      </w:r>
      <w:r w:rsidR="0053621E" w:rsidRPr="002F16A5">
        <w:t>(</w:t>
      </w:r>
      <w:r w:rsidR="005D3587" w:rsidRPr="002F16A5">
        <w:rPr>
          <w:bCs/>
          <w:iCs/>
        </w:rPr>
        <w:t>see Section 4.6 Fertility, Pregnancy and Lactation</w:t>
      </w:r>
      <w:r w:rsidR="0053621E">
        <w:t>).</w:t>
      </w:r>
      <w:r w:rsidR="00696827" w:rsidRPr="007A61E4">
        <w:t xml:space="preserve"> </w:t>
      </w:r>
    </w:p>
    <w:p w14:paraId="3EC28898" w14:textId="5D888D0D" w:rsidR="00450E1A" w:rsidRPr="009A0B0F" w:rsidRDefault="0053621E" w:rsidP="00A91D9E">
      <w:pPr>
        <w:pStyle w:val="Heading4"/>
        <w:rPr>
          <w:rFonts w:hint="eastAsia"/>
        </w:rPr>
      </w:pPr>
      <w:r>
        <w:t>Patients on a controlled sodium diet</w:t>
      </w:r>
    </w:p>
    <w:p w14:paraId="07956D45" w14:textId="395BAED8" w:rsidR="00BF779F" w:rsidRPr="001D52DE" w:rsidRDefault="002D621F" w:rsidP="00A91D9E">
      <w:pPr>
        <w:jc w:val="left"/>
        <w:rPr>
          <w:b/>
          <w:bCs/>
        </w:rPr>
      </w:pPr>
      <w:r>
        <w:t xml:space="preserve">AUGTYRO contains less than 1 mmol sodium (23 mg) per 40 mg and 160 mg capsule, this is to say </w:t>
      </w:r>
      <w:proofErr w:type="gramStart"/>
      <w:r>
        <w:t>essentially</w:t>
      </w:r>
      <w:proofErr w:type="gramEnd"/>
      <w:r>
        <w:t xml:space="preserve"> ‘sodium free’.</w:t>
      </w:r>
    </w:p>
    <w:p w14:paraId="189953EA" w14:textId="77777777" w:rsidR="003A5824" w:rsidRDefault="003A5824" w:rsidP="00A91D9E">
      <w:pPr>
        <w:pStyle w:val="Heading4"/>
        <w:rPr>
          <w:rFonts w:hint="eastAsia"/>
        </w:rPr>
      </w:pPr>
      <w:r>
        <w:t>Use in the elderly</w:t>
      </w:r>
    </w:p>
    <w:p w14:paraId="6A0F4C7D" w14:textId="447E7724" w:rsidR="003A5824" w:rsidRDefault="00FB5A72" w:rsidP="00A91D9E">
      <w:pPr>
        <w:jc w:val="left"/>
      </w:pPr>
      <w:r>
        <w:t>N</w:t>
      </w:r>
      <w:r w:rsidRPr="00A176A3">
        <w:t xml:space="preserve">o clinically meaningful differences in safety and efficacy between patients less than 65 years of age and patients 65 years of age or older. </w:t>
      </w:r>
    </w:p>
    <w:p w14:paraId="4C6B93E1" w14:textId="196C7694" w:rsidR="00450E1A" w:rsidRPr="000A4651" w:rsidRDefault="002D621F" w:rsidP="00A91D9E">
      <w:pPr>
        <w:pStyle w:val="Heading4"/>
        <w:rPr>
          <w:rFonts w:hint="eastAsia"/>
        </w:rPr>
      </w:pPr>
      <w:r>
        <w:t xml:space="preserve">Paediatric </w:t>
      </w:r>
      <w:r w:rsidR="00A01B37">
        <w:t xml:space="preserve">use </w:t>
      </w:r>
    </w:p>
    <w:p w14:paraId="065C7A3A" w14:textId="61DAAA5A" w:rsidR="00262198" w:rsidRDefault="0039675C" w:rsidP="00A91D9E">
      <w:pPr>
        <w:spacing w:after="120"/>
        <w:jc w:val="left"/>
      </w:pPr>
      <w:r w:rsidRPr="0039675C">
        <w:t xml:space="preserve">The safety and effectiveness of AUGTYRO in </w:t>
      </w:r>
      <w:r w:rsidR="00042533" w:rsidRPr="0039675C">
        <w:t>paediatric</w:t>
      </w:r>
      <w:r w:rsidRPr="0039675C">
        <w:t xml:space="preserve"> patients with </w:t>
      </w:r>
      <w:r w:rsidRPr="001D4FEA">
        <w:rPr>
          <w:i/>
          <w:iCs/>
        </w:rPr>
        <w:t>ROS1</w:t>
      </w:r>
      <w:r w:rsidRPr="0039675C">
        <w:t>-positive NSCLC has not been established.</w:t>
      </w:r>
      <w:r w:rsidR="00262198">
        <w:t xml:space="preserve"> </w:t>
      </w:r>
    </w:p>
    <w:p w14:paraId="29C7DE59" w14:textId="02E88B2B" w:rsidR="0053783C" w:rsidRDefault="0053783C" w:rsidP="00A91D9E">
      <w:pPr>
        <w:pStyle w:val="Heading4"/>
        <w:rPr>
          <w:rFonts w:hint="eastAsia"/>
        </w:rPr>
      </w:pPr>
      <w:r w:rsidRPr="0053783C">
        <w:t>Effects on laboratory tests</w:t>
      </w:r>
    </w:p>
    <w:p w14:paraId="2792DD23" w14:textId="673FA2E8" w:rsidR="00CC02EC" w:rsidRDefault="00CC02EC" w:rsidP="00A91D9E">
      <w:pPr>
        <w:spacing w:after="120"/>
        <w:jc w:val="left"/>
      </w:pPr>
      <w:r>
        <w:t xml:space="preserve">See </w:t>
      </w:r>
      <w:r>
        <w:fldChar w:fldCharType="begin"/>
      </w:r>
      <w:r>
        <w:instrText xml:space="preserve"> REF _Ref160791123 \h  \* MERGEFORMAT </w:instrText>
      </w:r>
      <w:r>
        <w:fldChar w:fldCharType="separate"/>
      </w:r>
      <w:r w:rsidR="007D3B89" w:rsidRPr="0081156F">
        <w:t>Table 4</w:t>
      </w:r>
      <w:r>
        <w:fldChar w:fldCharType="end"/>
      </w:r>
      <w:r>
        <w:t>, in Section 4.8 Adverse effects</w:t>
      </w:r>
      <w:r w:rsidR="00653686">
        <w:t xml:space="preserve"> (Undesirable effects)</w:t>
      </w:r>
      <w:r>
        <w:t>.</w:t>
      </w:r>
    </w:p>
    <w:p w14:paraId="188A04CB" w14:textId="77777777" w:rsidR="00D60631" w:rsidRDefault="00D60631" w:rsidP="00A91D9E">
      <w:pPr>
        <w:spacing w:after="120"/>
        <w:jc w:val="left"/>
      </w:pPr>
    </w:p>
    <w:p w14:paraId="37896E24" w14:textId="3DA6F6E2" w:rsidR="001A3992" w:rsidRDefault="001A3992" w:rsidP="00A91D9E">
      <w:pPr>
        <w:pStyle w:val="Heading2"/>
        <w:ind w:left="810" w:hanging="810"/>
      </w:pPr>
      <w:r w:rsidRPr="0083119C">
        <w:t>Interactions with other medicines and other forms of interactions</w:t>
      </w:r>
      <w:r w:rsidR="00BD37EB">
        <w:t>.</w:t>
      </w:r>
    </w:p>
    <w:p w14:paraId="57C40706" w14:textId="0B436DBF" w:rsidR="004F6068" w:rsidRDefault="004F6068" w:rsidP="00A91D9E">
      <w:pPr>
        <w:jc w:val="left"/>
        <w:rPr>
          <w:bCs/>
          <w:iCs/>
        </w:rPr>
      </w:pPr>
      <w:r w:rsidRPr="00774525">
        <w:rPr>
          <w:bCs/>
          <w:iCs/>
        </w:rPr>
        <w:t>Interaction studies have only been performed in adults.</w:t>
      </w:r>
    </w:p>
    <w:p w14:paraId="0D7E27C1" w14:textId="34C832C4" w:rsidR="00F13D99" w:rsidRPr="0083119C" w:rsidRDefault="00545794" w:rsidP="00A91D9E">
      <w:pPr>
        <w:pStyle w:val="Heading3"/>
      </w:pPr>
      <w:r>
        <w:t xml:space="preserve">Effects of other </w:t>
      </w:r>
      <w:r w:rsidR="00F75F9A">
        <w:t xml:space="preserve">drugs </w:t>
      </w:r>
      <w:r>
        <w:t xml:space="preserve">on </w:t>
      </w:r>
      <w:r w:rsidR="001154A4">
        <w:t>AUGTYRO</w:t>
      </w:r>
    </w:p>
    <w:p w14:paraId="471FFF29" w14:textId="6999F7E8" w:rsidR="008C1B8E" w:rsidRDefault="00761862" w:rsidP="00A91D9E">
      <w:pPr>
        <w:jc w:val="left"/>
        <w:rPr>
          <w:rFonts w:ascii="Times New Roman Bold" w:eastAsia="SimSun" w:hAnsi="Times New Roman Bold" w:cs="Times New Roman" w:hint="eastAsia"/>
          <w:b/>
          <w:bCs/>
        </w:rPr>
      </w:pPr>
      <w:r w:rsidRPr="00761862">
        <w:rPr>
          <w:rFonts w:ascii="Times New Roman Bold" w:eastAsia="SimSun" w:hAnsi="Times New Roman Bold" w:cs="Times New Roman"/>
          <w:b/>
          <w:bCs/>
        </w:rPr>
        <w:t>Strong and Moderate CYP3A Inhibitors</w:t>
      </w:r>
      <w:r w:rsidRPr="00761862" w:rsidDel="00761862">
        <w:rPr>
          <w:rFonts w:ascii="Times New Roman Bold" w:eastAsia="SimSun" w:hAnsi="Times New Roman Bold" w:cs="Times New Roman"/>
          <w:b/>
          <w:bCs/>
        </w:rPr>
        <w:t xml:space="preserve"> </w:t>
      </w:r>
      <w:r w:rsidR="008C1B8E" w:rsidRPr="008C1B8E">
        <w:rPr>
          <w:rFonts w:ascii="Times New Roman Bold" w:eastAsia="SimSun" w:hAnsi="Times New Roman Bold" w:cs="Times New Roman"/>
          <w:b/>
          <w:bCs/>
        </w:rPr>
        <w:t xml:space="preserve"> </w:t>
      </w:r>
    </w:p>
    <w:p w14:paraId="0D03A589" w14:textId="69090698" w:rsidR="00001BE1" w:rsidRPr="004F6068" w:rsidRDefault="00761862" w:rsidP="00A91D9E">
      <w:pPr>
        <w:jc w:val="left"/>
      </w:pPr>
      <w:r w:rsidRPr="00761862">
        <w:t>Avoid concomitant use with strong or moderate CYP3A inhibitors</w:t>
      </w:r>
      <w:r w:rsidR="002E5136">
        <w:t xml:space="preserve">. </w:t>
      </w:r>
      <w:r w:rsidR="00FB38A6">
        <w:rPr>
          <w:bCs/>
          <w:iCs/>
        </w:rPr>
        <w:t>AUGTYRO should not be taken with foods that inhibit CYP3A4 such as grapefruit or grapefruit juice.</w:t>
      </w:r>
    </w:p>
    <w:p w14:paraId="548FFC1B" w14:textId="0377FCB6" w:rsidR="00D678D5" w:rsidRPr="000B7CE4" w:rsidRDefault="00761862" w:rsidP="00A91D9E">
      <w:pPr>
        <w:jc w:val="left"/>
      </w:pPr>
      <w:r w:rsidRPr="00761862">
        <w:lastRenderedPageBreak/>
        <w:t xml:space="preserve">Concomitant use of </w:t>
      </w:r>
      <w:r w:rsidR="001154A4">
        <w:t>AUGTYRO</w:t>
      </w:r>
      <w:r w:rsidRPr="00761862">
        <w:t xml:space="preserve"> with a strong or a moderate CYP3A inhibitor may increase </w:t>
      </w:r>
      <w:r w:rsidR="001154A4">
        <w:t>AUGTYRO</w:t>
      </w:r>
      <w:r w:rsidRPr="00761862">
        <w:t xml:space="preserve"> exposure, which may increase the incidence and severity of adverse reactions of </w:t>
      </w:r>
      <w:r w:rsidR="001154A4">
        <w:t>AUGTYRO</w:t>
      </w:r>
      <w:r w:rsidRPr="00761862">
        <w:t xml:space="preserve">. Discontinue CYP3A inhibitors for 3 to 5 elimination half-lives of the CYP3A inhibitor prior to initiating </w:t>
      </w:r>
      <w:r w:rsidR="00D17BB6">
        <w:t>AUGTYRO</w:t>
      </w:r>
      <w:r>
        <w:t>.</w:t>
      </w:r>
    </w:p>
    <w:p w14:paraId="5B1142D5" w14:textId="710FCB4D" w:rsidR="00806295" w:rsidRPr="000B7CE4" w:rsidRDefault="00806295" w:rsidP="00A91D9E">
      <w:pPr>
        <w:jc w:val="left"/>
        <w:rPr>
          <w:rFonts w:ascii="Times New Roman Bold" w:eastAsia="SimSun" w:hAnsi="Times New Roman Bold" w:cs="Times New Roman" w:hint="eastAsia"/>
          <w:b/>
          <w:bCs/>
        </w:rPr>
      </w:pPr>
      <w:r w:rsidRPr="000B7CE4">
        <w:rPr>
          <w:rFonts w:ascii="Times New Roman Bold" w:eastAsia="SimSun" w:hAnsi="Times New Roman Bold" w:cs="Times New Roman"/>
          <w:b/>
          <w:bCs/>
        </w:rPr>
        <w:t>P-</w:t>
      </w:r>
      <w:proofErr w:type="spellStart"/>
      <w:r w:rsidRPr="000B7CE4">
        <w:rPr>
          <w:rFonts w:ascii="Times New Roman Bold" w:eastAsia="SimSun" w:hAnsi="Times New Roman Bold" w:cs="Times New Roman"/>
          <w:b/>
          <w:bCs/>
        </w:rPr>
        <w:t>gp</w:t>
      </w:r>
      <w:proofErr w:type="spellEnd"/>
      <w:r w:rsidRPr="000B7CE4">
        <w:rPr>
          <w:rFonts w:ascii="Times New Roman Bold" w:eastAsia="SimSun" w:hAnsi="Times New Roman Bold" w:cs="Times New Roman"/>
          <w:b/>
          <w:bCs/>
        </w:rPr>
        <w:t xml:space="preserve"> Inhibitors</w:t>
      </w:r>
    </w:p>
    <w:p w14:paraId="26DA4619" w14:textId="5F36619A" w:rsidR="00806295" w:rsidRPr="00806295" w:rsidRDefault="00806295" w:rsidP="00A91D9E">
      <w:pPr>
        <w:jc w:val="left"/>
      </w:pPr>
      <w:r w:rsidRPr="000B7CE4">
        <w:t>Avoid concomitant use with P-</w:t>
      </w:r>
      <w:proofErr w:type="spellStart"/>
      <w:r w:rsidRPr="000B7CE4">
        <w:t>gp</w:t>
      </w:r>
      <w:proofErr w:type="spellEnd"/>
      <w:r w:rsidRPr="000B7CE4">
        <w:t xml:space="preserve"> inhibitors. </w:t>
      </w:r>
      <w:r w:rsidR="00761862" w:rsidRPr="00761862">
        <w:t xml:space="preserve">Concomitant use of </w:t>
      </w:r>
      <w:r w:rsidR="00B13C43">
        <w:t>AUGTYRO</w:t>
      </w:r>
      <w:r w:rsidR="00761862" w:rsidRPr="00761862">
        <w:t xml:space="preserve"> with a P-</w:t>
      </w:r>
      <w:proofErr w:type="spellStart"/>
      <w:r w:rsidR="00761862" w:rsidRPr="00761862">
        <w:t>gp</w:t>
      </w:r>
      <w:proofErr w:type="spellEnd"/>
      <w:r w:rsidR="00761862" w:rsidRPr="00761862">
        <w:t xml:space="preserve"> inhibitor may increase </w:t>
      </w:r>
      <w:r w:rsidR="00DA6AB1" w:rsidRPr="00DA6AB1">
        <w:t>AUGTYRO</w:t>
      </w:r>
      <w:r w:rsidR="00761862" w:rsidRPr="00761862">
        <w:t xml:space="preserve"> exposure, which may increase the incidence and severity of adverse reactions of </w:t>
      </w:r>
      <w:r w:rsidR="00DA6AB1">
        <w:t>AUGTYRO</w:t>
      </w:r>
      <w:r w:rsidR="00761862">
        <w:t>.</w:t>
      </w:r>
    </w:p>
    <w:p w14:paraId="67E2E254" w14:textId="1ED0F57D" w:rsidR="00B74C28" w:rsidRDefault="00761862" w:rsidP="00A91D9E">
      <w:pPr>
        <w:jc w:val="left"/>
        <w:rPr>
          <w:rFonts w:ascii="Times New Roman Bold" w:eastAsia="SimSun" w:hAnsi="Times New Roman Bold" w:cs="Times New Roman" w:hint="eastAsia"/>
          <w:b/>
          <w:bCs/>
        </w:rPr>
      </w:pPr>
      <w:r w:rsidRPr="00761862">
        <w:rPr>
          <w:rFonts w:ascii="Times New Roman Bold" w:eastAsia="SimSun" w:hAnsi="Times New Roman Bold" w:cs="Times New Roman"/>
          <w:b/>
          <w:bCs/>
        </w:rPr>
        <w:t>Strong and Moderate CYP3A Inducers</w:t>
      </w:r>
      <w:r w:rsidRPr="00761862" w:rsidDel="00761862">
        <w:rPr>
          <w:rFonts w:ascii="Times New Roman Bold" w:eastAsia="SimSun" w:hAnsi="Times New Roman Bold" w:cs="Times New Roman"/>
          <w:b/>
          <w:bCs/>
        </w:rPr>
        <w:t xml:space="preserve"> </w:t>
      </w:r>
    </w:p>
    <w:p w14:paraId="2CB4EBA3" w14:textId="0991DD9B" w:rsidR="00A5455F" w:rsidRPr="00B74C28" w:rsidRDefault="00761862" w:rsidP="00A91D9E">
      <w:pPr>
        <w:jc w:val="left"/>
      </w:pPr>
      <w:r w:rsidRPr="00761862">
        <w:t xml:space="preserve">Avoid concomitant use with strong or moderate CYP3A inducers. Concomitant use of </w:t>
      </w:r>
      <w:r w:rsidR="00C76C8D">
        <w:t>AUGTYRO</w:t>
      </w:r>
      <w:r w:rsidRPr="00761862">
        <w:t xml:space="preserve"> with a strong or moderate CYP3A inducer may decrease </w:t>
      </w:r>
      <w:r w:rsidR="00C76C8D">
        <w:t>AUGTYRO</w:t>
      </w:r>
      <w:r w:rsidRPr="00761862">
        <w:t xml:space="preserve"> plasma concentrations, which may decrease efficacy of </w:t>
      </w:r>
      <w:r w:rsidR="00C76C8D">
        <w:t>AUGTYRO</w:t>
      </w:r>
      <w:r>
        <w:t>.</w:t>
      </w:r>
      <w:r w:rsidR="00A5455F" w:rsidRPr="00B74C28">
        <w:t xml:space="preserve"> </w:t>
      </w:r>
    </w:p>
    <w:p w14:paraId="06FB9ABC" w14:textId="2A5F4F54" w:rsidR="00B74C28" w:rsidRDefault="00B74C28" w:rsidP="00A91D9E">
      <w:pPr>
        <w:pStyle w:val="Heading3"/>
      </w:pPr>
      <w:r>
        <w:t xml:space="preserve">Effects of </w:t>
      </w:r>
      <w:proofErr w:type="spellStart"/>
      <w:r>
        <w:t>repotrectinib</w:t>
      </w:r>
      <w:proofErr w:type="spellEnd"/>
      <w:r>
        <w:t xml:space="preserve"> on other </w:t>
      </w:r>
      <w:r w:rsidR="00F75F9A">
        <w:t>drugs</w:t>
      </w:r>
    </w:p>
    <w:p w14:paraId="5ED381C4" w14:textId="25730DDA" w:rsidR="00B74C28" w:rsidRPr="00C25463" w:rsidRDefault="00F75F9A" w:rsidP="00A91D9E">
      <w:pPr>
        <w:jc w:val="left"/>
        <w:rPr>
          <w:rFonts w:ascii="Times New Roman Bold" w:eastAsia="SimSun" w:hAnsi="Times New Roman Bold" w:cs="Times New Roman" w:hint="eastAsia"/>
          <w:b/>
          <w:bCs/>
        </w:rPr>
      </w:pPr>
      <w:r w:rsidRPr="00F75F9A">
        <w:rPr>
          <w:rFonts w:ascii="Times New Roman Bold" w:eastAsia="SimSun" w:hAnsi="Times New Roman Bold" w:cs="Times New Roman"/>
          <w:b/>
          <w:bCs/>
        </w:rPr>
        <w:t>Certain CYP3A4 Substrates</w:t>
      </w:r>
      <w:r w:rsidRPr="00F75F9A" w:rsidDel="00F75F9A">
        <w:rPr>
          <w:rFonts w:ascii="Times New Roman Bold" w:eastAsia="SimSun" w:hAnsi="Times New Roman Bold" w:cs="Times New Roman"/>
          <w:b/>
          <w:bCs/>
        </w:rPr>
        <w:t xml:space="preserve"> </w:t>
      </w:r>
    </w:p>
    <w:p w14:paraId="603976B9" w14:textId="590D3AA0" w:rsidR="00F75F9A" w:rsidRPr="00F75F9A" w:rsidRDefault="00F75F9A" w:rsidP="00A91D9E">
      <w:pPr>
        <w:jc w:val="left"/>
        <w:rPr>
          <w:bCs/>
          <w:iCs/>
        </w:rPr>
      </w:pPr>
      <w:r w:rsidRPr="00F75F9A">
        <w:rPr>
          <w:bCs/>
          <w:iCs/>
        </w:rPr>
        <w:t xml:space="preserve">Avoid concomitant use </w:t>
      </w:r>
      <w:r w:rsidR="00850A6D">
        <w:rPr>
          <w:bCs/>
          <w:iCs/>
        </w:rPr>
        <w:t xml:space="preserve">- </w:t>
      </w:r>
      <w:r w:rsidRPr="00F75F9A">
        <w:rPr>
          <w:bCs/>
          <w:iCs/>
        </w:rPr>
        <w:t xml:space="preserve">unless otherwise recommended in </w:t>
      </w:r>
      <w:r w:rsidR="00850A6D">
        <w:rPr>
          <w:bCs/>
          <w:iCs/>
        </w:rPr>
        <w:t>its</w:t>
      </w:r>
      <w:r w:rsidR="00850A6D" w:rsidRPr="00F75F9A">
        <w:rPr>
          <w:bCs/>
          <w:iCs/>
        </w:rPr>
        <w:t xml:space="preserve"> </w:t>
      </w:r>
      <w:r w:rsidR="00C02D3E">
        <w:rPr>
          <w:bCs/>
          <w:iCs/>
        </w:rPr>
        <w:t>product information</w:t>
      </w:r>
      <w:r w:rsidRPr="00F75F9A">
        <w:rPr>
          <w:bCs/>
          <w:iCs/>
        </w:rPr>
        <w:t xml:space="preserve"> </w:t>
      </w:r>
      <w:r w:rsidR="00850A6D">
        <w:rPr>
          <w:bCs/>
          <w:iCs/>
        </w:rPr>
        <w:t xml:space="preserve">- </w:t>
      </w:r>
      <w:r w:rsidRPr="00F75F9A">
        <w:rPr>
          <w:bCs/>
          <w:iCs/>
        </w:rPr>
        <w:t xml:space="preserve">for CYP3A substrates where minimal concentration changes can cause reduced efficacy. If concomitant use is unavoidable, increase the CYP3A4 substrate dosage in accordance with approved product </w:t>
      </w:r>
      <w:r w:rsidR="002138B2">
        <w:rPr>
          <w:bCs/>
          <w:iCs/>
        </w:rPr>
        <w:t>information</w:t>
      </w:r>
      <w:r w:rsidRPr="00F75F9A">
        <w:rPr>
          <w:bCs/>
          <w:iCs/>
        </w:rPr>
        <w:t>.</w:t>
      </w:r>
    </w:p>
    <w:p w14:paraId="579353ED" w14:textId="71C828DB" w:rsidR="00A5455F" w:rsidRPr="00FE57AE" w:rsidRDefault="00D17BB6" w:rsidP="00A91D9E">
      <w:pPr>
        <w:jc w:val="left"/>
        <w:rPr>
          <w:bCs/>
          <w:iCs/>
        </w:rPr>
      </w:pPr>
      <w:r>
        <w:t>AUGTYRO</w:t>
      </w:r>
      <w:r w:rsidR="00F75F9A" w:rsidRPr="00F75F9A">
        <w:rPr>
          <w:bCs/>
          <w:iCs/>
        </w:rPr>
        <w:t xml:space="preserve"> is a moderate CYP3A4 inducer. Concomitant use of </w:t>
      </w:r>
      <w:r>
        <w:t>AUGTYRO</w:t>
      </w:r>
      <w:r w:rsidR="00F75F9A" w:rsidRPr="00F75F9A">
        <w:rPr>
          <w:bCs/>
          <w:iCs/>
        </w:rPr>
        <w:t xml:space="preserve"> decreases the </w:t>
      </w:r>
      <w:r w:rsidR="00F75F9A" w:rsidRPr="00FE57AE">
        <w:rPr>
          <w:bCs/>
          <w:iCs/>
        </w:rPr>
        <w:t>concentration of CYP3A4 substrates, which can reduce the efficacy of these substrates</w:t>
      </w:r>
      <w:r w:rsidR="002138B2" w:rsidRPr="00FE57AE">
        <w:rPr>
          <w:bCs/>
          <w:iCs/>
        </w:rPr>
        <w:t>.</w:t>
      </w:r>
    </w:p>
    <w:p w14:paraId="7A627CE6" w14:textId="5044FDED" w:rsidR="006D1E52" w:rsidRPr="006D1E52" w:rsidRDefault="006D1E52" w:rsidP="00A91D9E">
      <w:pPr>
        <w:jc w:val="left"/>
        <w:rPr>
          <w:rFonts w:ascii="Times New Roman Bold" w:eastAsia="SimSun" w:hAnsi="Times New Roman Bold" w:cs="Times New Roman" w:hint="eastAsia"/>
          <w:b/>
          <w:bCs/>
        </w:rPr>
      </w:pPr>
      <w:r w:rsidRPr="006D1E52">
        <w:rPr>
          <w:rFonts w:ascii="Times New Roman Bold" w:eastAsia="SimSun" w:hAnsi="Times New Roman Bold" w:cs="Times New Roman"/>
          <w:b/>
          <w:bCs/>
        </w:rPr>
        <w:t>Contraceptives</w:t>
      </w:r>
    </w:p>
    <w:p w14:paraId="55119C54" w14:textId="3C890E8E" w:rsidR="006D1E52" w:rsidRDefault="00D17BB6" w:rsidP="00A91D9E">
      <w:pPr>
        <w:jc w:val="left"/>
        <w:rPr>
          <w:bCs/>
          <w:iCs/>
        </w:rPr>
      </w:pPr>
      <w:r>
        <w:t>AUGTYRO</w:t>
      </w:r>
      <w:r w:rsidR="00DF57FC" w:rsidRPr="00DF57FC">
        <w:rPr>
          <w:bCs/>
          <w:iCs/>
        </w:rPr>
        <w:t xml:space="preserve"> is a moderate CYP3A4 inducer, which can decrease progestin or oestrogen exposure to an extent that could reduce the effectiveness of hormonal contraceptives (see </w:t>
      </w:r>
      <w:r w:rsidR="00A66B21">
        <w:rPr>
          <w:bCs/>
          <w:iCs/>
        </w:rPr>
        <w:t>Section</w:t>
      </w:r>
      <w:r w:rsidR="00DF57FC" w:rsidRPr="00DF57FC">
        <w:rPr>
          <w:bCs/>
          <w:iCs/>
        </w:rPr>
        <w:t xml:space="preserve"> 4.6</w:t>
      </w:r>
      <w:r w:rsidR="004F25FF">
        <w:rPr>
          <w:bCs/>
          <w:iCs/>
        </w:rPr>
        <w:t xml:space="preserve"> Fertility, Pregnancy and Lactation</w:t>
      </w:r>
      <w:r w:rsidR="00DF57FC" w:rsidRPr="00DF57FC">
        <w:rPr>
          <w:bCs/>
          <w:iCs/>
        </w:rPr>
        <w:t>).</w:t>
      </w:r>
    </w:p>
    <w:p w14:paraId="1BD6A098" w14:textId="77777777" w:rsidR="002644DA" w:rsidRPr="00FE57AE" w:rsidRDefault="002644DA" w:rsidP="00A91D9E">
      <w:pPr>
        <w:pStyle w:val="Heading3"/>
      </w:pPr>
      <w:r w:rsidRPr="00FE57AE">
        <w:t xml:space="preserve">Effects of </w:t>
      </w:r>
      <w:proofErr w:type="spellStart"/>
      <w:r w:rsidRPr="00FE57AE">
        <w:t>repotrectinib</w:t>
      </w:r>
      <w:proofErr w:type="spellEnd"/>
      <w:r w:rsidRPr="00FE57AE">
        <w:t xml:space="preserve"> on transporters and UGT</w:t>
      </w:r>
    </w:p>
    <w:p w14:paraId="256E13EF" w14:textId="16FC5C18" w:rsidR="00F62A4D" w:rsidRPr="00F62A4D" w:rsidRDefault="002644DA" w:rsidP="00A91D9E">
      <w:pPr>
        <w:jc w:val="left"/>
      </w:pPr>
      <w:r w:rsidRPr="00D75DC1">
        <w:rPr>
          <w:i/>
          <w:iCs/>
        </w:rPr>
        <w:t>In vitro</w:t>
      </w:r>
      <w:r w:rsidRPr="00D75DC1">
        <w:t xml:space="preserve"> data indicate that </w:t>
      </w:r>
      <w:proofErr w:type="spellStart"/>
      <w:r w:rsidRPr="00D75DC1">
        <w:t>repotrectinib</w:t>
      </w:r>
      <w:proofErr w:type="spellEnd"/>
      <w:r w:rsidRPr="00D75DC1">
        <w:t xml:space="preserve"> may</w:t>
      </w:r>
      <w:r w:rsidRPr="00FE57AE">
        <w:t xml:space="preserve"> affect exposure to drugs that are of P-</w:t>
      </w:r>
      <w:proofErr w:type="spellStart"/>
      <w:r w:rsidRPr="00FE57AE">
        <w:t>gp</w:t>
      </w:r>
      <w:proofErr w:type="spellEnd"/>
      <w:r w:rsidRPr="00FE57AE">
        <w:t xml:space="preserve">, BCRP or OATP1B1 substrates at clinically relevant concentrations. Based on </w:t>
      </w:r>
      <w:r w:rsidRPr="00311ECB">
        <w:rPr>
          <w:i/>
          <w:iCs/>
        </w:rPr>
        <w:t>in vitro</w:t>
      </w:r>
      <w:r w:rsidRPr="00FE57AE">
        <w:t xml:space="preserve"> data, interactions with UGT1A1, OATP1B3, MATE1 and MATE2-K are considered possible.</w:t>
      </w:r>
    </w:p>
    <w:p w14:paraId="47C33CD2" w14:textId="6248EAB7" w:rsidR="001A3992" w:rsidRPr="0083119C" w:rsidRDefault="001A3992" w:rsidP="00A91D9E">
      <w:pPr>
        <w:pStyle w:val="Heading2"/>
        <w:ind w:left="810" w:hanging="810"/>
      </w:pPr>
      <w:r w:rsidRPr="0083119C">
        <w:t xml:space="preserve">Fertility, pregnancy and lactation </w:t>
      </w:r>
    </w:p>
    <w:p w14:paraId="632CC5FE" w14:textId="77777777" w:rsidR="00227BA9" w:rsidRPr="0083119C" w:rsidRDefault="00227BA9" w:rsidP="00A91D9E">
      <w:pPr>
        <w:pStyle w:val="Heading3"/>
      </w:pPr>
      <w:r w:rsidRPr="0083119C">
        <w:t>Effects on fertility</w:t>
      </w:r>
    </w:p>
    <w:p w14:paraId="47B47AE3" w14:textId="5517720D" w:rsidR="00227BA9" w:rsidRPr="0083119C" w:rsidRDefault="00227BA9" w:rsidP="00A91D9E">
      <w:pPr>
        <w:jc w:val="left"/>
      </w:pPr>
      <w:r w:rsidRPr="43216421">
        <w:rPr>
          <w:noProof/>
        </w:rPr>
        <w:t xml:space="preserve">Studies to evaluate the effect </w:t>
      </w:r>
      <w:r w:rsidR="0BE204CD" w:rsidRPr="43216421">
        <w:rPr>
          <w:noProof/>
        </w:rPr>
        <w:t xml:space="preserve">repotrectinib </w:t>
      </w:r>
      <w:r w:rsidRPr="43216421">
        <w:rPr>
          <w:noProof/>
        </w:rPr>
        <w:t>on fertility have not been performed</w:t>
      </w:r>
      <w:r w:rsidR="00086739" w:rsidRPr="43216421">
        <w:rPr>
          <w:noProof/>
        </w:rPr>
        <w:t>, so</w:t>
      </w:r>
      <w:r w:rsidR="458C4BD9" w:rsidRPr="43216421">
        <w:rPr>
          <w:noProof/>
        </w:rPr>
        <w:t xml:space="preserve"> its</w:t>
      </w:r>
      <w:r w:rsidR="00086739" w:rsidRPr="43216421">
        <w:rPr>
          <w:noProof/>
        </w:rPr>
        <w:t xml:space="preserve"> effect on</w:t>
      </w:r>
      <w:r w:rsidRPr="43216421">
        <w:rPr>
          <w:noProof/>
        </w:rPr>
        <w:t xml:space="preserve"> fertility </w:t>
      </w:r>
      <w:r w:rsidR="00086739" w:rsidRPr="43216421">
        <w:rPr>
          <w:noProof/>
        </w:rPr>
        <w:t xml:space="preserve">(male and female) </w:t>
      </w:r>
      <w:r w:rsidRPr="43216421">
        <w:rPr>
          <w:noProof/>
        </w:rPr>
        <w:t>is unknown</w:t>
      </w:r>
      <w:r>
        <w:t>.</w:t>
      </w:r>
    </w:p>
    <w:p w14:paraId="00EF172F" w14:textId="58C5A1D5" w:rsidR="002A3C06" w:rsidRPr="0083119C" w:rsidRDefault="002A3C06" w:rsidP="00A91D9E">
      <w:pPr>
        <w:pStyle w:val="Heading3"/>
      </w:pPr>
      <w:r w:rsidRPr="0083119C">
        <w:t>Contraception</w:t>
      </w:r>
    </w:p>
    <w:p w14:paraId="1B17FF7A" w14:textId="2C093EC5" w:rsidR="00F22893" w:rsidRPr="0083119C" w:rsidRDefault="008B2AAF" w:rsidP="00A91D9E">
      <w:pPr>
        <w:jc w:val="left"/>
        <w:rPr>
          <w:noProof/>
        </w:rPr>
      </w:pPr>
      <w:r>
        <w:rPr>
          <w:noProof/>
        </w:rPr>
        <w:t xml:space="preserve">Exposure during pregnancy </w:t>
      </w:r>
      <w:r w:rsidR="00606ACC">
        <w:rPr>
          <w:noProof/>
        </w:rPr>
        <w:t xml:space="preserve">to repotrectinib </w:t>
      </w:r>
      <w:r>
        <w:rPr>
          <w:noProof/>
        </w:rPr>
        <w:t xml:space="preserve">could cause fetal harm (see </w:t>
      </w:r>
      <w:r w:rsidR="009D2007" w:rsidRPr="00CD732F">
        <w:rPr>
          <w:i/>
          <w:iCs/>
          <w:noProof/>
        </w:rPr>
        <w:t>Use in pregnancy</w:t>
      </w:r>
      <w:r w:rsidR="009D2007">
        <w:rPr>
          <w:noProof/>
        </w:rPr>
        <w:t>, below</w:t>
      </w:r>
      <w:r>
        <w:rPr>
          <w:noProof/>
        </w:rPr>
        <w:t xml:space="preserve">). </w:t>
      </w:r>
      <w:r w:rsidR="00F22893" w:rsidRPr="00606ACC">
        <w:rPr>
          <w:noProof/>
        </w:rPr>
        <w:t>Patients whose sperm could cause their partner to become pregnant should use condoms during treatment with AUGTYRO and for 4 months following the final dose</w:t>
      </w:r>
      <w:r w:rsidR="0077152A">
        <w:rPr>
          <w:noProof/>
        </w:rPr>
        <w:t xml:space="preserve">. </w:t>
      </w:r>
      <w:r w:rsidR="00F22893">
        <w:rPr>
          <w:noProof/>
        </w:rPr>
        <w:t xml:space="preserve"> </w:t>
      </w:r>
    </w:p>
    <w:p w14:paraId="3F169432" w14:textId="6031EEE7" w:rsidR="00DB630D" w:rsidRPr="00606ACC" w:rsidRDefault="00DB630D" w:rsidP="00A91D9E">
      <w:pPr>
        <w:jc w:val="left"/>
        <w:rPr>
          <w:noProof/>
        </w:rPr>
      </w:pPr>
      <w:r>
        <w:rPr>
          <w:noProof/>
        </w:rPr>
        <w:t xml:space="preserve">Advise </w:t>
      </w:r>
      <w:r w:rsidR="006F2E8A" w:rsidRPr="00606ACC">
        <w:rPr>
          <w:noProof/>
        </w:rPr>
        <w:t>patients who could become pregnant</w:t>
      </w:r>
      <w:r w:rsidRPr="00606ACC">
        <w:rPr>
          <w:noProof/>
        </w:rPr>
        <w:t xml:space="preserve"> to use</w:t>
      </w:r>
      <w:r w:rsidR="0044198C" w:rsidRPr="00606ACC">
        <w:rPr>
          <w:noProof/>
        </w:rPr>
        <w:t xml:space="preserve"> </w:t>
      </w:r>
      <w:r w:rsidRPr="00606ACC">
        <w:rPr>
          <w:noProof/>
        </w:rPr>
        <w:t xml:space="preserve">effective </w:t>
      </w:r>
      <w:r w:rsidRPr="00CD732F">
        <w:rPr>
          <w:noProof/>
          <w:u w:val="single"/>
        </w:rPr>
        <w:t>non-hormonal</w:t>
      </w:r>
      <w:r w:rsidRPr="00606ACC">
        <w:rPr>
          <w:noProof/>
        </w:rPr>
        <w:t xml:space="preserve"> contraception </w:t>
      </w:r>
      <w:r w:rsidR="00AA693C">
        <w:rPr>
          <w:noProof/>
        </w:rPr>
        <w:t>(</w:t>
      </w:r>
      <w:r w:rsidRPr="00606ACC">
        <w:rPr>
          <w:noProof/>
        </w:rPr>
        <w:t>since AUGTYRO can render some hormonal contraceptives ineffective</w:t>
      </w:r>
      <w:r w:rsidR="00AA693C">
        <w:rPr>
          <w:noProof/>
        </w:rPr>
        <w:t>)</w:t>
      </w:r>
      <w:r w:rsidR="00AA693C" w:rsidRPr="00AA693C">
        <w:rPr>
          <w:noProof/>
        </w:rPr>
        <w:t xml:space="preserve"> </w:t>
      </w:r>
      <w:r w:rsidR="00AA693C" w:rsidRPr="00606ACC">
        <w:rPr>
          <w:noProof/>
        </w:rPr>
        <w:t>during treatment with AUGTYRO and for 2 months after the last dose</w:t>
      </w:r>
      <w:r w:rsidR="00AA693C">
        <w:rPr>
          <w:noProof/>
        </w:rPr>
        <w:t xml:space="preserve">. </w:t>
      </w:r>
    </w:p>
    <w:p w14:paraId="7EA40642" w14:textId="27C32CFD" w:rsidR="006377C9" w:rsidRPr="0083119C" w:rsidRDefault="006377C9" w:rsidP="00A91D9E">
      <w:pPr>
        <w:pStyle w:val="Heading3"/>
      </w:pPr>
      <w:r>
        <w:lastRenderedPageBreak/>
        <w:t>Use in pregnanc</w:t>
      </w:r>
      <w:r w:rsidRPr="000157D1">
        <w:t>y (Category D)</w:t>
      </w:r>
    </w:p>
    <w:p w14:paraId="53E7D63D" w14:textId="27BDC9A5" w:rsidR="00677A23" w:rsidRDefault="003330F3" w:rsidP="00A91D9E">
      <w:pPr>
        <w:jc w:val="left"/>
        <w:rPr>
          <w:noProof/>
        </w:rPr>
      </w:pPr>
      <w:r>
        <w:t xml:space="preserve">There are no </w:t>
      </w:r>
      <w:r w:rsidR="0069237B">
        <w:t xml:space="preserve">clinical </w:t>
      </w:r>
      <w:r>
        <w:t xml:space="preserve">data on </w:t>
      </w:r>
      <w:proofErr w:type="spellStart"/>
      <w:r>
        <w:t>repotrectinib</w:t>
      </w:r>
      <w:proofErr w:type="spellEnd"/>
      <w:r>
        <w:t xml:space="preserve"> use in pregnan</w:t>
      </w:r>
      <w:r w:rsidR="0069237B">
        <w:t>cy</w:t>
      </w:r>
      <w:r>
        <w:t xml:space="preserve">. Based on animal studies and its mechanism of action, </w:t>
      </w:r>
      <w:proofErr w:type="spellStart"/>
      <w:r>
        <w:t>repotrectinib</w:t>
      </w:r>
      <w:proofErr w:type="spellEnd"/>
      <w:r>
        <w:t xml:space="preserve"> may cause fetal harm when administered </w:t>
      </w:r>
      <w:r w:rsidR="0069237B">
        <w:t xml:space="preserve">during </w:t>
      </w:r>
      <w:r>
        <w:t>pregnan</w:t>
      </w:r>
      <w:r w:rsidR="0069237B">
        <w:t>cy</w:t>
      </w:r>
      <w:r>
        <w:t>.</w:t>
      </w:r>
      <w:r w:rsidR="00726E96">
        <w:t xml:space="preserve"> </w:t>
      </w:r>
      <w:r w:rsidR="0048053B">
        <w:rPr>
          <w:noProof/>
        </w:rPr>
        <w:t>Verify patient pregnancy status prior to initiating AUGTYRO therapy, and a</w:t>
      </w:r>
      <w:proofErr w:type="spellStart"/>
      <w:r w:rsidR="00E94277">
        <w:t>dvise</w:t>
      </w:r>
      <w:proofErr w:type="spellEnd"/>
      <w:r w:rsidR="00E94277">
        <w:t xml:space="preserve"> patients of the potential risk to a fetus.</w:t>
      </w:r>
    </w:p>
    <w:p w14:paraId="64EF0968" w14:textId="5DEF703A" w:rsidR="00A629EC" w:rsidRPr="00936101" w:rsidRDefault="00FF3951" w:rsidP="00A91D9E">
      <w:pPr>
        <w:jc w:val="left"/>
        <w:rPr>
          <w:b/>
          <w:bCs/>
          <w:noProof/>
        </w:rPr>
      </w:pPr>
      <w:r w:rsidRPr="00936101">
        <w:rPr>
          <w:b/>
          <w:bCs/>
          <w:noProof/>
        </w:rPr>
        <w:t>Reproductive toxicology</w:t>
      </w:r>
    </w:p>
    <w:p w14:paraId="61CBB472" w14:textId="654F86D8" w:rsidR="00FF3951" w:rsidRPr="00936101" w:rsidRDefault="00FF3951" w:rsidP="00A91D9E">
      <w:pPr>
        <w:jc w:val="left"/>
        <w:rPr>
          <w:noProof/>
        </w:rPr>
      </w:pPr>
      <w:r w:rsidRPr="00936101">
        <w:rPr>
          <w:noProof/>
        </w:rPr>
        <w:t xml:space="preserve">In a preliminary embryo-fetal development study in rats, teratogenic effects (fetal external malformation of malrotated hindlimbs) </w:t>
      </w:r>
      <w:r w:rsidR="00340AC4" w:rsidRPr="00936101">
        <w:rPr>
          <w:noProof/>
        </w:rPr>
        <w:t>post implantation loss</w:t>
      </w:r>
      <w:r w:rsidR="00FC23A3" w:rsidRPr="00936101">
        <w:rPr>
          <w:noProof/>
        </w:rPr>
        <w:t xml:space="preserve"> </w:t>
      </w:r>
      <w:r w:rsidRPr="00936101">
        <w:rPr>
          <w:noProof/>
        </w:rPr>
        <w:t xml:space="preserve">and maternal effects (skin scabbing and abrasions in cervical and thoracic regions and increased body weight) were observed in pregnant rats </w:t>
      </w:r>
      <w:r w:rsidRPr="00CD732F">
        <w:rPr>
          <w:noProof/>
          <w:highlight w:val="cyan"/>
        </w:rPr>
        <w:t xml:space="preserve"> </w:t>
      </w:r>
      <w:r w:rsidR="000A62C4" w:rsidRPr="003E5F06">
        <w:rPr>
          <w:noProof/>
        </w:rPr>
        <w:t>from sub</w:t>
      </w:r>
      <w:r w:rsidR="00964746" w:rsidRPr="003E5F06">
        <w:rPr>
          <w:noProof/>
        </w:rPr>
        <w:t xml:space="preserve">clinical </w:t>
      </w:r>
      <w:r w:rsidRPr="003E5F06">
        <w:rPr>
          <w:noProof/>
        </w:rPr>
        <w:t xml:space="preserve">exposures </w:t>
      </w:r>
      <w:r w:rsidR="00964746" w:rsidRPr="003E5F06">
        <w:rPr>
          <w:noProof/>
        </w:rPr>
        <w:t xml:space="preserve">(estimated approximate ER </w:t>
      </w:r>
      <w:r w:rsidR="00964746" w:rsidRPr="003E5F06">
        <w:rPr>
          <w:noProof/>
          <w:vertAlign w:val="subscript"/>
        </w:rPr>
        <w:t>AUC</w:t>
      </w:r>
      <w:r w:rsidR="00964746" w:rsidRPr="003E5F06">
        <w:rPr>
          <w:noProof/>
        </w:rPr>
        <w:t xml:space="preserve"> </w:t>
      </w:r>
      <w:r w:rsidR="00493889" w:rsidRPr="003E5F06">
        <w:rPr>
          <w:rFonts w:cs="Times New Roman"/>
          <w:noProof/>
        </w:rPr>
        <w:t>≥</w:t>
      </w:r>
      <w:r w:rsidR="00182C22" w:rsidRPr="003E5F06">
        <w:rPr>
          <w:rFonts w:cs="Times New Roman"/>
          <w:noProof/>
        </w:rPr>
        <w:t xml:space="preserve"> </w:t>
      </w:r>
      <w:r w:rsidR="00493889" w:rsidRPr="003E5F06">
        <w:rPr>
          <w:noProof/>
        </w:rPr>
        <w:t>0.2</w:t>
      </w:r>
      <w:r w:rsidR="0014156E" w:rsidRPr="003E5F06">
        <w:rPr>
          <w:noProof/>
        </w:rPr>
        <w:t xml:space="preserve"> </w:t>
      </w:r>
      <w:r w:rsidR="00182C22">
        <w:rPr>
          <w:noProof/>
        </w:rPr>
        <w:t xml:space="preserve">times </w:t>
      </w:r>
      <w:r w:rsidRPr="00936101">
        <w:rPr>
          <w:noProof/>
        </w:rPr>
        <w:t>the clinical exposure at the recommended dose based on AUC</w:t>
      </w:r>
      <w:r w:rsidR="00FC6627" w:rsidRPr="003E5F06">
        <w:rPr>
          <w:noProof/>
        </w:rPr>
        <w:t>)</w:t>
      </w:r>
      <w:r w:rsidRPr="00936101">
        <w:rPr>
          <w:noProof/>
        </w:rPr>
        <w:t xml:space="preserve">. Decreased fetal body weights were observed for females and for the combined sexes at 2.4-fold the human exposure based on </w:t>
      </w:r>
      <w:r w:rsidR="00C31286" w:rsidRPr="00936101">
        <w:rPr>
          <w:noProof/>
        </w:rPr>
        <w:t xml:space="preserve">estimated </w:t>
      </w:r>
      <w:r w:rsidRPr="00936101">
        <w:rPr>
          <w:noProof/>
        </w:rPr>
        <w:t>AUC.</w:t>
      </w:r>
    </w:p>
    <w:p w14:paraId="5AE5A08E" w14:textId="52811B46" w:rsidR="00A629EC" w:rsidRDefault="00FF3951" w:rsidP="00A91D9E">
      <w:pPr>
        <w:jc w:val="left"/>
        <w:rPr>
          <w:noProof/>
        </w:rPr>
      </w:pPr>
      <w:r w:rsidRPr="00936101">
        <w:rPr>
          <w:noProof/>
        </w:rPr>
        <w:t xml:space="preserve">There were no effects on male and female reproductive organs observed in general toxicology studies conducted in rats and monkeys at any dose level tested, which equated to exposures of up to approximately </w:t>
      </w:r>
      <w:r w:rsidR="00FC6627" w:rsidRPr="003E5F06">
        <w:rPr>
          <w:noProof/>
        </w:rPr>
        <w:t>2.4</w:t>
      </w:r>
      <w:r w:rsidRPr="003E5F06">
        <w:rPr>
          <w:noProof/>
        </w:rPr>
        <w:t xml:space="preserve"> tim</w:t>
      </w:r>
      <w:r w:rsidRPr="00936101">
        <w:rPr>
          <w:noProof/>
        </w:rPr>
        <w:t>es the human exposure at the 160 mg twice daily dose based on AUC.</w:t>
      </w:r>
    </w:p>
    <w:p w14:paraId="0A6DEC77" w14:textId="77777777" w:rsidR="006377C9" w:rsidRPr="00712087" w:rsidRDefault="006377C9" w:rsidP="00A91D9E">
      <w:pPr>
        <w:pStyle w:val="Heading3"/>
      </w:pPr>
      <w:r w:rsidRPr="00712087">
        <w:t>Use in lactation</w:t>
      </w:r>
    </w:p>
    <w:p w14:paraId="271FA124" w14:textId="4941D91C" w:rsidR="003C741E" w:rsidRPr="00712087" w:rsidRDefault="0019325E" w:rsidP="00A91D9E">
      <w:pPr>
        <w:jc w:val="left"/>
        <w:rPr>
          <w:noProof/>
        </w:rPr>
      </w:pPr>
      <w:r w:rsidRPr="0019325E">
        <w:rPr>
          <w:noProof/>
        </w:rPr>
        <w:t xml:space="preserve">Repotrectinib has not been studied in </w:t>
      </w:r>
      <w:r w:rsidR="0069237B">
        <w:rPr>
          <w:noProof/>
        </w:rPr>
        <w:t>patients</w:t>
      </w:r>
      <w:r w:rsidR="0069237B" w:rsidRPr="0069237B">
        <w:rPr>
          <w:noProof/>
        </w:rPr>
        <w:t xml:space="preserve"> </w:t>
      </w:r>
      <w:r w:rsidR="0069237B">
        <w:rPr>
          <w:noProof/>
        </w:rPr>
        <w:t>who are breastfeeding</w:t>
      </w:r>
      <w:r w:rsidRPr="0019325E">
        <w:rPr>
          <w:noProof/>
        </w:rPr>
        <w:t xml:space="preserve">. There are no data on the presence of repotrectinib in human milk or its effects on either the breastfed child or on milk production. Because of the potential adverse reactions in breastfed children from repotrectinib, </w:t>
      </w:r>
      <w:r w:rsidR="0069237B">
        <w:rPr>
          <w:noProof/>
        </w:rPr>
        <w:t xml:space="preserve">patients </w:t>
      </w:r>
      <w:r w:rsidR="0057124B">
        <w:rPr>
          <w:noProof/>
        </w:rPr>
        <w:t>should</w:t>
      </w:r>
      <w:r w:rsidRPr="0019325E">
        <w:rPr>
          <w:noProof/>
        </w:rPr>
        <w:t xml:space="preserve"> discontinue breastfeeding during treatment with AUGTYRO and for 10 days after the final dose.</w:t>
      </w:r>
      <w:r w:rsidR="00CC07F0" w:rsidRPr="00712087" w:rsidDel="00CC07F0">
        <w:rPr>
          <w:noProof/>
        </w:rPr>
        <w:t xml:space="preserve"> </w:t>
      </w:r>
    </w:p>
    <w:p w14:paraId="0375B0C2" w14:textId="0DF7DEF7" w:rsidR="001A3992" w:rsidRDefault="001A3992" w:rsidP="00A91D9E">
      <w:pPr>
        <w:pStyle w:val="Heading2"/>
        <w:ind w:left="810" w:hanging="810"/>
      </w:pPr>
      <w:r w:rsidRPr="00712087">
        <w:t>Effects on ab</w:t>
      </w:r>
      <w:r w:rsidR="003C741E" w:rsidRPr="00712087">
        <w:t>ility to drive and use machines</w:t>
      </w:r>
    </w:p>
    <w:p w14:paraId="1136C267" w14:textId="6F474E8F" w:rsidR="00145D38" w:rsidRPr="00145D38" w:rsidRDefault="00145D38" w:rsidP="00A91D9E">
      <w:pPr>
        <w:jc w:val="left"/>
      </w:pPr>
      <w:r w:rsidRPr="00145D38">
        <w:t>AUGTYRO has moderate influence on the ability to drive and use machines. Patients and caregivers should be advised of CNS effects with AUGTYRO as these effects may influence the ability to drive and use machines. Patients should be advised not to drive or operate hazardous machinery if they are experiencing CNS adverse effects (</w:t>
      </w:r>
      <w:r w:rsidR="0093207B" w:rsidRPr="004E0F60">
        <w:t xml:space="preserve">see Section 4.4 Special </w:t>
      </w:r>
      <w:r w:rsidR="0093207B">
        <w:t>W</w:t>
      </w:r>
      <w:r w:rsidR="0093207B" w:rsidRPr="004E0F60">
        <w:t xml:space="preserve">arnings and </w:t>
      </w:r>
      <w:r w:rsidR="0093207B">
        <w:t>P</w:t>
      </w:r>
      <w:r w:rsidR="0093207B" w:rsidRPr="004E0F60">
        <w:t xml:space="preserve">recautions for </w:t>
      </w:r>
      <w:r w:rsidR="0093207B">
        <w:t>U</w:t>
      </w:r>
      <w:r w:rsidR="0093207B" w:rsidRPr="004E0F60">
        <w:t>se</w:t>
      </w:r>
      <w:r w:rsidR="0093207B" w:rsidRPr="00145D38">
        <w:t xml:space="preserve"> </w:t>
      </w:r>
      <w:r w:rsidRPr="00145D38">
        <w:t xml:space="preserve">and </w:t>
      </w:r>
      <w:r w:rsidR="00DE14AC">
        <w:t xml:space="preserve">Section </w:t>
      </w:r>
      <w:r w:rsidRPr="00145D38">
        <w:t>4.8</w:t>
      </w:r>
      <w:r w:rsidR="00DE14AC">
        <w:t xml:space="preserve"> Adverse Effects</w:t>
      </w:r>
      <w:r w:rsidRPr="00145D38">
        <w:t>).</w:t>
      </w:r>
    </w:p>
    <w:p w14:paraId="7150EC92" w14:textId="06AE7E64" w:rsidR="001A3992" w:rsidRPr="000A4651" w:rsidRDefault="001A3992" w:rsidP="00A91D9E">
      <w:pPr>
        <w:pStyle w:val="Heading2"/>
        <w:ind w:left="810" w:hanging="810"/>
      </w:pPr>
      <w:r w:rsidRPr="000A4651">
        <w:t>Adverse effects (Undesirable effects)</w:t>
      </w:r>
    </w:p>
    <w:p w14:paraId="5A55A107" w14:textId="77777777" w:rsidR="009E5F40" w:rsidRPr="00067540" w:rsidRDefault="009E5F40" w:rsidP="00A91D9E">
      <w:pPr>
        <w:pStyle w:val="Heading3"/>
      </w:pPr>
      <w:r w:rsidRPr="00067540">
        <w:t xml:space="preserve">Summary of the safety profile </w:t>
      </w:r>
    </w:p>
    <w:p w14:paraId="75C538DD" w14:textId="70FB6DE4" w:rsidR="009E2563" w:rsidRDefault="00D9120F" w:rsidP="00A91D9E">
      <w:pPr>
        <w:jc w:val="left"/>
        <w:rPr>
          <w:rFonts w:eastAsia="Times New Roman" w:cs="Times New Roman"/>
          <w:lang w:val="en-CA" w:eastAsia="en-CA"/>
        </w:rPr>
      </w:pPr>
      <w:r w:rsidRPr="00DD51E1">
        <w:rPr>
          <w:rFonts w:eastAsia="Times New Roman" w:cs="Times New Roman"/>
          <w:lang w:val="en-CA" w:eastAsia="en-CA"/>
        </w:rPr>
        <w:t>The safety of AUGTYRO was assessed in 3</w:t>
      </w:r>
      <w:r w:rsidR="009E2563">
        <w:rPr>
          <w:rFonts w:eastAsia="Times New Roman" w:cs="Times New Roman"/>
          <w:lang w:val="en-CA" w:eastAsia="en-CA"/>
        </w:rPr>
        <w:t>20</w:t>
      </w:r>
      <w:r w:rsidRPr="00DD51E1">
        <w:rPr>
          <w:rFonts w:eastAsia="Times New Roman" w:cs="Times New Roman"/>
          <w:lang w:val="en-CA" w:eastAsia="en-CA"/>
        </w:rPr>
        <w:t xml:space="preserve"> subject</w:t>
      </w:r>
      <w:r w:rsidRPr="00F55324">
        <w:rPr>
          <w:rFonts w:eastAsia="Times New Roman" w:cs="Times New Roman"/>
          <w:lang w:val="en-CA" w:eastAsia="en-CA"/>
        </w:rPr>
        <w:t xml:space="preserve">s </w:t>
      </w:r>
      <w:r w:rsidR="00191E62" w:rsidRPr="00F55324">
        <w:rPr>
          <w:rFonts w:eastAsia="Times New Roman" w:cs="Times New Roman"/>
          <w:lang w:val="en-CA" w:eastAsia="en-CA"/>
        </w:rPr>
        <w:t xml:space="preserve">with </w:t>
      </w:r>
      <w:r w:rsidR="00191E62" w:rsidRPr="00F55324">
        <w:rPr>
          <w:rFonts w:eastAsia="Times New Roman" w:cs="Times New Roman"/>
          <w:i/>
          <w:iCs/>
          <w:lang w:val="en-CA" w:eastAsia="en-CA"/>
        </w:rPr>
        <w:t>ROS1</w:t>
      </w:r>
      <w:r w:rsidR="00C23442" w:rsidRPr="00F55324">
        <w:rPr>
          <w:rFonts w:eastAsia="Times New Roman" w:cs="Times New Roman"/>
          <w:lang w:val="en-CA" w:eastAsia="en-CA"/>
        </w:rPr>
        <w:t>-</w:t>
      </w:r>
      <w:r w:rsidR="0044428C" w:rsidRPr="00F55324">
        <w:rPr>
          <w:rFonts w:eastAsia="Times New Roman" w:cs="Times New Roman"/>
          <w:lang w:val="en-CA" w:eastAsia="en-CA"/>
        </w:rPr>
        <w:t xml:space="preserve">positive </w:t>
      </w:r>
      <w:r w:rsidR="00191E62" w:rsidRPr="00F55324">
        <w:rPr>
          <w:rFonts w:eastAsia="Times New Roman" w:cs="Times New Roman"/>
          <w:lang w:val="en-CA" w:eastAsia="en-CA"/>
        </w:rPr>
        <w:t>NSCLC</w:t>
      </w:r>
      <w:r w:rsidR="00191E62">
        <w:rPr>
          <w:rFonts w:eastAsia="Times New Roman" w:cs="Times New Roman"/>
          <w:lang w:val="en-CA" w:eastAsia="en-CA"/>
        </w:rPr>
        <w:t xml:space="preserve"> </w:t>
      </w:r>
      <w:r w:rsidRPr="00DD51E1">
        <w:rPr>
          <w:rFonts w:eastAsia="Times New Roman" w:cs="Times New Roman"/>
          <w:lang w:val="en-CA" w:eastAsia="en-CA"/>
        </w:rPr>
        <w:t xml:space="preserve">in the TRIDENT-1 study. </w:t>
      </w:r>
      <w:r w:rsidR="00364054">
        <w:t>Patients received AUGTYRO at a dose of 160 mg orally once daily for the first 14 days, then increased to 160 mg orally twice daily until disease progression or unacceptable toxicit</w:t>
      </w:r>
      <w:r w:rsidR="003129DD">
        <w:t xml:space="preserve">y. </w:t>
      </w:r>
      <w:r w:rsidR="0061660F">
        <w:t>The median treatment duration of the recommended dose of AUGTYRO was 5.5 months</w:t>
      </w:r>
      <w:r w:rsidR="00386218">
        <w:t>.</w:t>
      </w:r>
    </w:p>
    <w:p w14:paraId="3566350F" w14:textId="0EFEA054" w:rsidR="00913B93" w:rsidRPr="003E5F06" w:rsidRDefault="00913B93" w:rsidP="00A91D9E">
      <w:pPr>
        <w:jc w:val="left"/>
        <w:rPr>
          <w:rFonts w:eastAsia="Times New Roman" w:cs="Times New Roman"/>
          <w:lang w:val="en-CA" w:eastAsia="en-CA"/>
        </w:rPr>
      </w:pPr>
      <w:r w:rsidRPr="003E5F06">
        <w:rPr>
          <w:rFonts w:eastAsia="Times New Roman" w:cs="Times New Roman"/>
          <w:lang w:val="en-CA" w:eastAsia="en-CA"/>
        </w:rPr>
        <w:t>The most common (≥20%) adverse event</w:t>
      </w:r>
      <w:r w:rsidR="00386218" w:rsidRPr="003E5F06">
        <w:rPr>
          <w:rFonts w:eastAsia="Times New Roman" w:cs="Times New Roman"/>
          <w:lang w:val="en-CA" w:eastAsia="en-CA"/>
        </w:rPr>
        <w:t>s</w:t>
      </w:r>
      <w:r w:rsidRPr="003E5F06">
        <w:rPr>
          <w:rFonts w:eastAsia="Times New Roman" w:cs="Times New Roman"/>
          <w:lang w:val="en-CA" w:eastAsia="en-CA"/>
        </w:rPr>
        <w:t xml:space="preserve"> that occurred in patients receiving AUGTYRO were dizziness, dysgeusia, peripheral neuropathy, constipation, dyspnea, fatigue, ataxia, cognitive impairment, muscular weakness and nausea.</w:t>
      </w:r>
    </w:p>
    <w:p w14:paraId="22E024D4" w14:textId="4BB1ED1B" w:rsidR="00913B93" w:rsidRDefault="00317A2B" w:rsidP="00A91D9E">
      <w:pPr>
        <w:jc w:val="left"/>
        <w:rPr>
          <w:rFonts w:eastAsia="Times New Roman" w:cs="Times New Roman"/>
          <w:lang w:val="en-CA" w:eastAsia="en-CA"/>
        </w:rPr>
      </w:pPr>
      <w:r w:rsidRPr="00317A2B">
        <w:rPr>
          <w:rFonts w:eastAsia="Times New Roman" w:cs="Times New Roman"/>
          <w:lang w:val="en-CA" w:eastAsia="en-CA"/>
        </w:rPr>
        <w:t>Serious adverse events occurred in 33.1% of patients who received AUGTYRO. Serious adverse events in ≥2% of patients included pneumonia (3.4%), dyspn</w:t>
      </w:r>
      <w:r w:rsidR="00F7573B">
        <w:rPr>
          <w:rFonts w:eastAsia="Times New Roman" w:cs="Times New Roman"/>
          <w:lang w:val="en-CA" w:eastAsia="en-CA"/>
        </w:rPr>
        <w:t>o</w:t>
      </w:r>
      <w:r w:rsidRPr="00317A2B">
        <w:rPr>
          <w:rFonts w:eastAsia="Times New Roman" w:cs="Times New Roman"/>
          <w:lang w:val="en-CA" w:eastAsia="en-CA"/>
        </w:rPr>
        <w:t>ea (3.4%), pleural effusion (3.4%), and hypoxia (3.1%).</w:t>
      </w:r>
      <w:r w:rsidR="00D506E5">
        <w:rPr>
          <w:rFonts w:eastAsia="Times New Roman" w:cs="Times New Roman"/>
          <w:lang w:val="en-CA" w:eastAsia="en-CA"/>
        </w:rPr>
        <w:t xml:space="preserve"> Fatal </w:t>
      </w:r>
      <w:r w:rsidRPr="00317A2B">
        <w:rPr>
          <w:rFonts w:eastAsia="Times New Roman" w:cs="Times New Roman"/>
          <w:lang w:val="en-CA" w:eastAsia="en-CA"/>
        </w:rPr>
        <w:t>adverse events occurred in 4.1% of patients who received AUGTYRO, including pneumonia, pneumonia aspiration, cardiac arrest, sudden cardiac death, cardiac failure, hypoxia, dyspn</w:t>
      </w:r>
      <w:r w:rsidR="00F7573B">
        <w:rPr>
          <w:rFonts w:eastAsia="Times New Roman" w:cs="Times New Roman"/>
          <w:lang w:val="en-CA" w:eastAsia="en-CA"/>
        </w:rPr>
        <w:t>o</w:t>
      </w:r>
      <w:r w:rsidRPr="00317A2B">
        <w:rPr>
          <w:rFonts w:eastAsia="Times New Roman" w:cs="Times New Roman"/>
          <w:lang w:val="en-CA" w:eastAsia="en-CA"/>
        </w:rPr>
        <w:t>ea, respiratory failure</w:t>
      </w:r>
      <w:r w:rsidR="00A9079D">
        <w:rPr>
          <w:rFonts w:eastAsia="Times New Roman" w:cs="Times New Roman"/>
          <w:lang w:val="en-CA" w:eastAsia="en-CA"/>
        </w:rPr>
        <w:t xml:space="preserve"> </w:t>
      </w:r>
      <w:r w:rsidRPr="00317A2B">
        <w:rPr>
          <w:rFonts w:eastAsia="Times New Roman" w:cs="Times New Roman"/>
          <w:lang w:val="en-CA" w:eastAsia="en-CA"/>
        </w:rPr>
        <w:t>and disseminated intravascular coagulation.</w:t>
      </w:r>
    </w:p>
    <w:p w14:paraId="187FA7F0" w14:textId="00F5CE18" w:rsidR="00A30145" w:rsidRPr="00A30145" w:rsidRDefault="00A30145" w:rsidP="00A91D9E">
      <w:pPr>
        <w:pStyle w:val="BMSBodyText"/>
        <w:jc w:val="left"/>
        <w:rPr>
          <w:sz w:val="22"/>
          <w:szCs w:val="22"/>
          <w:highlight w:val="yellow"/>
        </w:rPr>
      </w:pPr>
      <w:r w:rsidRPr="00AE593E">
        <w:lastRenderedPageBreak/>
        <w:t>P</w:t>
      </w:r>
      <w:r w:rsidRPr="00A30145">
        <w:rPr>
          <w:sz w:val="22"/>
          <w:szCs w:val="22"/>
        </w:rPr>
        <w:t>ermanent discontinuation of AUGTYRO due to a</w:t>
      </w:r>
      <w:r w:rsidR="00CC4B0B">
        <w:rPr>
          <w:sz w:val="22"/>
          <w:szCs w:val="22"/>
        </w:rPr>
        <w:t>n</w:t>
      </w:r>
      <w:r w:rsidRPr="00A30145">
        <w:rPr>
          <w:sz w:val="22"/>
          <w:szCs w:val="22"/>
        </w:rPr>
        <w:t xml:space="preserve"> adverse event occurred in 7.2% of patients. There were no specific adverse events that accounted for ≥1% of permanent discontinuations.</w:t>
      </w:r>
    </w:p>
    <w:p w14:paraId="745A67F1" w14:textId="457F91A9" w:rsidR="00A30145" w:rsidRPr="00A30145" w:rsidRDefault="00A30145" w:rsidP="00A91D9E">
      <w:pPr>
        <w:pStyle w:val="BMSBodyText"/>
        <w:jc w:val="left"/>
        <w:rPr>
          <w:sz w:val="22"/>
          <w:szCs w:val="22"/>
          <w:highlight w:val="yellow"/>
        </w:rPr>
      </w:pPr>
      <w:r w:rsidRPr="00A30145">
        <w:rPr>
          <w:sz w:val="22"/>
          <w:szCs w:val="22"/>
        </w:rPr>
        <w:t>Dosage interruptions of AUGTYRO due to a</w:t>
      </w:r>
      <w:r w:rsidR="00CC4B0B">
        <w:rPr>
          <w:sz w:val="22"/>
          <w:szCs w:val="22"/>
        </w:rPr>
        <w:t>n</w:t>
      </w:r>
      <w:r w:rsidRPr="00A30145">
        <w:rPr>
          <w:sz w:val="22"/>
          <w:szCs w:val="22"/>
        </w:rPr>
        <w:t xml:space="preserve"> adverse event occurred in 49.4% of patients. </w:t>
      </w:r>
      <w:r w:rsidR="00785571">
        <w:rPr>
          <w:sz w:val="22"/>
          <w:szCs w:val="22"/>
        </w:rPr>
        <w:t>A</w:t>
      </w:r>
      <w:r w:rsidRPr="00A30145">
        <w:rPr>
          <w:sz w:val="22"/>
          <w:szCs w:val="22"/>
        </w:rPr>
        <w:t>dverse events that required dosage interruption in ≥2% of patients were dizziness, dyspn</w:t>
      </w:r>
      <w:r w:rsidR="00F7573B">
        <w:rPr>
          <w:sz w:val="22"/>
          <w:szCs w:val="22"/>
        </w:rPr>
        <w:t>o</w:t>
      </w:r>
      <w:r w:rsidRPr="00A30145">
        <w:rPr>
          <w:sz w:val="22"/>
          <w:szCs w:val="22"/>
        </w:rPr>
        <w:t>ea, muscular weakness, ataxia, pneumonia,</w:t>
      </w:r>
      <w:r>
        <w:rPr>
          <w:sz w:val="22"/>
          <w:szCs w:val="22"/>
        </w:rPr>
        <w:t xml:space="preserve"> </w:t>
      </w:r>
      <w:r w:rsidRPr="00A30145">
        <w:rPr>
          <w:sz w:val="22"/>
          <w:szCs w:val="22"/>
        </w:rPr>
        <w:t>anaemia, hypoxia, COVID-19, blood creatinine phosphokinase increased</w:t>
      </w:r>
      <w:r w:rsidR="0058783A">
        <w:rPr>
          <w:sz w:val="22"/>
          <w:szCs w:val="22"/>
        </w:rPr>
        <w:t>,</w:t>
      </w:r>
      <w:r w:rsidRPr="00A30145">
        <w:rPr>
          <w:sz w:val="22"/>
          <w:szCs w:val="22"/>
        </w:rPr>
        <w:t xml:space="preserve"> and alanine aminotransferase increased.</w:t>
      </w:r>
      <w:r w:rsidRPr="00A30145">
        <w:rPr>
          <w:sz w:val="22"/>
          <w:szCs w:val="22"/>
          <w:highlight w:val="yellow"/>
        </w:rPr>
        <w:t xml:space="preserve"> </w:t>
      </w:r>
    </w:p>
    <w:p w14:paraId="048B31F3" w14:textId="3656392C" w:rsidR="00A30145" w:rsidRPr="00A30145" w:rsidRDefault="00A30145" w:rsidP="00A91D9E">
      <w:pPr>
        <w:jc w:val="left"/>
        <w:rPr>
          <w:rFonts w:eastAsia="Times New Roman" w:cs="Times New Roman"/>
          <w:lang w:val="en-CA" w:eastAsia="en-CA"/>
        </w:rPr>
      </w:pPr>
      <w:r w:rsidRPr="00A30145">
        <w:t>Dose reductions of AUGTYRO due to a</w:t>
      </w:r>
      <w:r w:rsidR="00785571">
        <w:t>n</w:t>
      </w:r>
      <w:r w:rsidRPr="00A30145">
        <w:t xml:space="preserve"> adverse event</w:t>
      </w:r>
      <w:r w:rsidR="0058783A">
        <w:t xml:space="preserve"> </w:t>
      </w:r>
      <w:r w:rsidRPr="00A30145">
        <w:t xml:space="preserve">occurred in 35% of patients. </w:t>
      </w:r>
      <w:r w:rsidR="00785571">
        <w:t>A</w:t>
      </w:r>
      <w:r w:rsidRPr="00A30145">
        <w:t>dverse events that required dosage reductions in ≥2% of patients included dizziness, ataxia, muscular weakness, dyspnoea and blood creatinine phosphokinase increased.</w:t>
      </w:r>
    </w:p>
    <w:p w14:paraId="54D7B0DE" w14:textId="3937EF30" w:rsidR="00291B75" w:rsidRPr="00DD51E1" w:rsidRDefault="00D9120F" w:rsidP="00A91D9E">
      <w:pPr>
        <w:jc w:val="left"/>
        <w:rPr>
          <w:rFonts w:eastAsia="Times New Roman" w:cs="Times New Roman"/>
          <w:lang w:val="en-CA" w:eastAsia="en-CA"/>
        </w:rPr>
      </w:pPr>
      <w:r w:rsidRPr="00343375">
        <w:rPr>
          <w:rFonts w:eastAsia="Times New Roman" w:cs="Times New Roman"/>
          <w:lang w:val="en-CA" w:eastAsia="en-CA"/>
        </w:rPr>
        <w:t xml:space="preserve"> </w:t>
      </w:r>
      <w:r w:rsidR="00D22003">
        <w:rPr>
          <w:rFonts w:eastAsia="Times New Roman" w:cs="Times New Roman"/>
          <w:lang w:val="en-CA" w:eastAsia="en-CA"/>
        </w:rPr>
        <w:fldChar w:fldCharType="begin" w:fldLock="1"/>
      </w:r>
      <w:r w:rsidR="00D22003">
        <w:rPr>
          <w:rFonts w:eastAsia="Times New Roman" w:cs="Times New Roman"/>
          <w:lang w:val="en-CA" w:eastAsia="en-CA"/>
        </w:rPr>
        <w:instrText xml:space="preserve"> REF _Ref160791056 \h </w:instrText>
      </w:r>
      <w:r w:rsidR="00A91D9E">
        <w:rPr>
          <w:rFonts w:eastAsia="Times New Roman" w:cs="Times New Roman"/>
          <w:lang w:val="en-CA" w:eastAsia="en-CA"/>
        </w:rPr>
        <w:instrText xml:space="preserve"> \* MERGEFORMAT </w:instrText>
      </w:r>
      <w:r w:rsidR="00D22003">
        <w:rPr>
          <w:rFonts w:eastAsia="Times New Roman" w:cs="Times New Roman"/>
          <w:lang w:val="en-CA" w:eastAsia="en-CA"/>
        </w:rPr>
      </w:r>
      <w:r w:rsidR="00D22003">
        <w:rPr>
          <w:rFonts w:eastAsia="Times New Roman" w:cs="Times New Roman"/>
          <w:lang w:val="en-CA" w:eastAsia="en-CA"/>
        </w:rPr>
        <w:fldChar w:fldCharType="separate"/>
      </w:r>
      <w:r w:rsidR="00135E21" w:rsidRPr="00D22003">
        <w:rPr>
          <w:sz w:val="24"/>
          <w:szCs w:val="24"/>
        </w:rPr>
        <w:t xml:space="preserve">Table </w:t>
      </w:r>
      <w:r w:rsidR="00135E21">
        <w:rPr>
          <w:noProof/>
          <w:sz w:val="24"/>
          <w:szCs w:val="24"/>
        </w:rPr>
        <w:t>3</w:t>
      </w:r>
      <w:r w:rsidR="00D22003">
        <w:rPr>
          <w:rFonts w:eastAsia="Times New Roman" w:cs="Times New Roman"/>
          <w:lang w:val="en-CA" w:eastAsia="en-CA"/>
        </w:rPr>
        <w:fldChar w:fldCharType="end"/>
      </w:r>
      <w:r w:rsidR="00291B75" w:rsidRPr="00DD51E1">
        <w:rPr>
          <w:rFonts w:eastAsia="Times New Roman" w:cs="Times New Roman"/>
          <w:lang w:val="en-CA" w:eastAsia="en-CA"/>
        </w:rPr>
        <w:t xml:space="preserve"> </w:t>
      </w:r>
      <w:r w:rsidR="00AB1014">
        <w:rPr>
          <w:rFonts w:eastAsia="Times New Roman" w:cs="Times New Roman"/>
          <w:lang w:val="en-CA" w:eastAsia="en-CA"/>
        </w:rPr>
        <w:t xml:space="preserve">and </w:t>
      </w:r>
      <w:r w:rsidR="00672670">
        <w:rPr>
          <w:rFonts w:eastAsia="Times New Roman" w:cs="Times New Roman"/>
          <w:lang w:val="en-CA" w:eastAsia="en-CA"/>
        </w:rPr>
        <w:fldChar w:fldCharType="begin" w:fldLock="1"/>
      </w:r>
      <w:r w:rsidR="00672670">
        <w:rPr>
          <w:rFonts w:eastAsia="Times New Roman" w:cs="Times New Roman"/>
          <w:lang w:val="en-CA" w:eastAsia="en-CA"/>
        </w:rPr>
        <w:instrText xml:space="preserve"> REF _Ref160791123 \h </w:instrText>
      </w:r>
      <w:r w:rsidR="00A91D9E">
        <w:rPr>
          <w:rFonts w:eastAsia="Times New Roman" w:cs="Times New Roman"/>
          <w:lang w:val="en-CA" w:eastAsia="en-CA"/>
        </w:rPr>
        <w:instrText xml:space="preserve"> \* MERGEFORMAT </w:instrText>
      </w:r>
      <w:r w:rsidR="00672670">
        <w:rPr>
          <w:rFonts w:eastAsia="Times New Roman" w:cs="Times New Roman"/>
          <w:lang w:val="en-CA" w:eastAsia="en-CA"/>
        </w:rPr>
      </w:r>
      <w:r w:rsidR="00672670">
        <w:rPr>
          <w:rFonts w:eastAsia="Times New Roman" w:cs="Times New Roman"/>
          <w:lang w:val="en-CA" w:eastAsia="en-CA"/>
        </w:rPr>
        <w:fldChar w:fldCharType="separate"/>
      </w:r>
      <w:r w:rsidR="00135E21" w:rsidRPr="00D22003">
        <w:rPr>
          <w:sz w:val="24"/>
          <w:szCs w:val="24"/>
        </w:rPr>
        <w:t xml:space="preserve">Table </w:t>
      </w:r>
      <w:r w:rsidR="00135E21">
        <w:rPr>
          <w:noProof/>
          <w:sz w:val="24"/>
          <w:szCs w:val="24"/>
        </w:rPr>
        <w:t>4</w:t>
      </w:r>
      <w:r w:rsidR="00672670">
        <w:rPr>
          <w:rFonts w:eastAsia="Times New Roman" w:cs="Times New Roman"/>
          <w:lang w:val="en-CA" w:eastAsia="en-CA"/>
        </w:rPr>
        <w:fldChar w:fldCharType="end"/>
      </w:r>
      <w:r w:rsidR="00AB1014">
        <w:rPr>
          <w:rFonts w:eastAsia="Times New Roman" w:cs="Times New Roman"/>
          <w:lang w:val="en-CA" w:eastAsia="en-CA"/>
        </w:rPr>
        <w:t xml:space="preserve"> </w:t>
      </w:r>
      <w:r w:rsidR="00291B75" w:rsidRPr="00DD51E1">
        <w:rPr>
          <w:rFonts w:eastAsia="Times New Roman" w:cs="Times New Roman"/>
          <w:lang w:val="en-CA" w:eastAsia="en-CA"/>
        </w:rPr>
        <w:t xml:space="preserve">summarises </w:t>
      </w:r>
      <w:r w:rsidR="003C3CFA">
        <w:rPr>
          <w:rFonts w:eastAsia="Times New Roman" w:cs="Times New Roman"/>
          <w:lang w:val="en-CA" w:eastAsia="en-CA"/>
        </w:rPr>
        <w:t>adverse events</w:t>
      </w:r>
      <w:r w:rsidR="00291B75" w:rsidRPr="00CD401C">
        <w:rPr>
          <w:rFonts w:eastAsia="Times New Roman" w:cs="Times New Roman"/>
          <w:lang w:val="en-CA" w:eastAsia="en-CA"/>
        </w:rPr>
        <w:t xml:space="preserve"> in </w:t>
      </w:r>
      <w:r w:rsidR="00C3642B" w:rsidRPr="00CD401C">
        <w:rPr>
          <w:rFonts w:eastAsia="Times New Roman" w:cs="Times New Roman"/>
          <w:i/>
          <w:iCs/>
          <w:lang w:val="en-CA" w:eastAsia="en-CA"/>
        </w:rPr>
        <w:t>ROS1</w:t>
      </w:r>
      <w:r w:rsidR="00C23442" w:rsidRPr="00CD401C">
        <w:rPr>
          <w:rFonts w:eastAsia="Times New Roman" w:cs="Times New Roman"/>
          <w:lang w:val="en-CA" w:eastAsia="en-CA"/>
        </w:rPr>
        <w:t>-</w:t>
      </w:r>
      <w:r w:rsidR="00C3642B" w:rsidRPr="00CD401C">
        <w:rPr>
          <w:rFonts w:eastAsia="Times New Roman" w:cs="Times New Roman"/>
          <w:lang w:val="en-CA" w:eastAsia="en-CA"/>
        </w:rPr>
        <w:t>positive NSCL</w:t>
      </w:r>
      <w:r w:rsidR="002B465B" w:rsidRPr="00CD401C">
        <w:rPr>
          <w:rFonts w:eastAsia="Times New Roman" w:cs="Times New Roman"/>
          <w:lang w:val="en-CA" w:eastAsia="en-CA"/>
        </w:rPr>
        <w:t xml:space="preserve">C </w:t>
      </w:r>
      <w:r w:rsidR="00291B75" w:rsidRPr="00CD401C">
        <w:rPr>
          <w:rFonts w:eastAsia="Times New Roman" w:cs="Times New Roman"/>
          <w:lang w:val="en-CA" w:eastAsia="en-CA"/>
        </w:rPr>
        <w:t>patie</w:t>
      </w:r>
      <w:r w:rsidR="00291B75" w:rsidRPr="00DD51E1">
        <w:rPr>
          <w:rFonts w:eastAsia="Times New Roman" w:cs="Times New Roman"/>
          <w:lang w:val="en-CA" w:eastAsia="en-CA"/>
        </w:rPr>
        <w:t>nts treated at a dose of 160 mg orally once daily for the first 14 days then increased to 160 mg orally twice daily in TRIDENT-1 study.</w:t>
      </w:r>
    </w:p>
    <w:p w14:paraId="7DC6372B" w14:textId="7343DDE0" w:rsidR="00FA54F1" w:rsidRDefault="00D22003" w:rsidP="00A91D9E">
      <w:pPr>
        <w:pStyle w:val="Caption"/>
        <w:keepNext/>
        <w:ind w:left="0" w:firstLine="0"/>
        <w:jc w:val="left"/>
        <w:rPr>
          <w:bCs/>
          <w:sz w:val="24"/>
          <w:szCs w:val="24"/>
        </w:rPr>
      </w:pPr>
      <w:bookmarkStart w:id="5" w:name="_Ref160791056"/>
      <w:r w:rsidRPr="00D22003">
        <w:rPr>
          <w:sz w:val="24"/>
          <w:szCs w:val="24"/>
        </w:rPr>
        <w:t xml:space="preserve">Table </w:t>
      </w:r>
      <w:r w:rsidRPr="00D22003">
        <w:rPr>
          <w:sz w:val="24"/>
          <w:szCs w:val="24"/>
        </w:rPr>
        <w:fldChar w:fldCharType="begin"/>
      </w:r>
      <w:r w:rsidRPr="00D22003">
        <w:rPr>
          <w:sz w:val="24"/>
          <w:szCs w:val="24"/>
        </w:rPr>
        <w:instrText xml:space="preserve"> SEQ Table \* ARABIC </w:instrText>
      </w:r>
      <w:r w:rsidRPr="00D22003">
        <w:rPr>
          <w:sz w:val="24"/>
          <w:szCs w:val="24"/>
        </w:rPr>
        <w:fldChar w:fldCharType="separate"/>
      </w:r>
      <w:r w:rsidR="007D3B89">
        <w:rPr>
          <w:noProof/>
          <w:sz w:val="24"/>
          <w:szCs w:val="24"/>
        </w:rPr>
        <w:t>3</w:t>
      </w:r>
      <w:r w:rsidRPr="00D22003">
        <w:rPr>
          <w:sz w:val="24"/>
          <w:szCs w:val="24"/>
        </w:rPr>
        <w:fldChar w:fldCharType="end"/>
      </w:r>
      <w:bookmarkEnd w:id="5"/>
      <w:r w:rsidR="009D2E91" w:rsidRPr="00D22003">
        <w:rPr>
          <w:bCs/>
          <w:sz w:val="24"/>
          <w:szCs w:val="24"/>
        </w:rPr>
        <w:t xml:space="preserve">: </w:t>
      </w:r>
      <w:r w:rsidR="00FA54F1" w:rsidRPr="00D22003">
        <w:rPr>
          <w:bCs/>
          <w:sz w:val="24"/>
          <w:szCs w:val="24"/>
        </w:rPr>
        <w:t>Adverse Events (≥1</w:t>
      </w:r>
      <w:r w:rsidR="004635E9">
        <w:rPr>
          <w:bCs/>
          <w:sz w:val="24"/>
          <w:szCs w:val="24"/>
        </w:rPr>
        <w:t>0</w:t>
      </w:r>
      <w:r w:rsidR="00FA54F1" w:rsidRPr="00D22003">
        <w:rPr>
          <w:bCs/>
          <w:sz w:val="24"/>
          <w:szCs w:val="24"/>
        </w:rPr>
        <w:t xml:space="preserve">%) in Patients with </w:t>
      </w:r>
      <w:r w:rsidR="00FA54F1" w:rsidRPr="00F55324">
        <w:rPr>
          <w:bCs/>
          <w:i/>
          <w:iCs w:val="0"/>
          <w:sz w:val="24"/>
          <w:szCs w:val="24"/>
        </w:rPr>
        <w:t>ROS1</w:t>
      </w:r>
      <w:r w:rsidR="00FA54F1" w:rsidRPr="00D22003">
        <w:rPr>
          <w:bCs/>
          <w:sz w:val="24"/>
          <w:szCs w:val="24"/>
        </w:rPr>
        <w:t xml:space="preserve">-positive NSCLC Who Received </w:t>
      </w:r>
      <w:r w:rsidR="001F31D7">
        <w:rPr>
          <w:bCs/>
          <w:sz w:val="24"/>
          <w:szCs w:val="24"/>
        </w:rPr>
        <w:t xml:space="preserve">the </w:t>
      </w:r>
      <w:r w:rsidR="00E95AF4">
        <w:rPr>
          <w:bCs/>
          <w:sz w:val="24"/>
          <w:szCs w:val="24"/>
        </w:rPr>
        <w:t>R</w:t>
      </w:r>
      <w:r w:rsidR="001F31D7">
        <w:rPr>
          <w:bCs/>
          <w:sz w:val="24"/>
          <w:szCs w:val="24"/>
        </w:rPr>
        <w:t xml:space="preserve">ecommended </w:t>
      </w:r>
      <w:r w:rsidR="00E95AF4">
        <w:rPr>
          <w:bCs/>
          <w:sz w:val="24"/>
          <w:szCs w:val="24"/>
        </w:rPr>
        <w:t>D</w:t>
      </w:r>
      <w:r w:rsidR="001F31D7">
        <w:rPr>
          <w:bCs/>
          <w:sz w:val="24"/>
          <w:szCs w:val="24"/>
        </w:rPr>
        <w:t xml:space="preserve">ose of </w:t>
      </w:r>
      <w:r w:rsidR="00FA54F1" w:rsidRPr="00D22003">
        <w:rPr>
          <w:bCs/>
          <w:sz w:val="24"/>
          <w:szCs w:val="24"/>
        </w:rPr>
        <w:t>AUGTYRO in TRIDENT-1.</w:t>
      </w:r>
    </w:p>
    <w:tbl>
      <w:tblPr>
        <w:tblStyle w:val="TableGrid"/>
        <w:tblW w:w="0" w:type="auto"/>
        <w:tblLook w:val="04A0" w:firstRow="1" w:lastRow="0" w:firstColumn="1" w:lastColumn="0" w:noHBand="0" w:noVBand="1"/>
      </w:tblPr>
      <w:tblGrid>
        <w:gridCol w:w="3005"/>
        <w:gridCol w:w="3005"/>
        <w:gridCol w:w="3006"/>
      </w:tblGrid>
      <w:tr w:rsidR="002244BE" w14:paraId="307193D5" w14:textId="77777777" w:rsidTr="003E5F06">
        <w:trPr>
          <w:tblHeader/>
        </w:trPr>
        <w:tc>
          <w:tcPr>
            <w:tcW w:w="3005" w:type="dxa"/>
          </w:tcPr>
          <w:p w14:paraId="5394F487" w14:textId="6253FD77" w:rsidR="002244BE" w:rsidRPr="004F2127" w:rsidRDefault="002244BE" w:rsidP="00A91D9E">
            <w:pPr>
              <w:jc w:val="left"/>
              <w:rPr>
                <w:b/>
                <w:bCs/>
              </w:rPr>
            </w:pPr>
            <w:r w:rsidRPr="004F2127">
              <w:rPr>
                <w:b/>
                <w:bCs/>
              </w:rPr>
              <w:t>Adverse Event</w:t>
            </w:r>
          </w:p>
        </w:tc>
        <w:tc>
          <w:tcPr>
            <w:tcW w:w="6011" w:type="dxa"/>
            <w:gridSpan w:val="2"/>
          </w:tcPr>
          <w:p w14:paraId="1182D1F1" w14:textId="77777777" w:rsidR="002244BE" w:rsidRPr="004F2127" w:rsidRDefault="002244BE" w:rsidP="00A91D9E">
            <w:pPr>
              <w:jc w:val="left"/>
              <w:rPr>
                <w:b/>
                <w:bCs/>
              </w:rPr>
            </w:pPr>
            <w:r w:rsidRPr="004F2127">
              <w:rPr>
                <w:b/>
                <w:bCs/>
              </w:rPr>
              <w:t>AUGTYRO</w:t>
            </w:r>
          </w:p>
          <w:p w14:paraId="02487307" w14:textId="05D02BAA" w:rsidR="002244BE" w:rsidRPr="004F2127" w:rsidRDefault="002244BE" w:rsidP="00A91D9E">
            <w:pPr>
              <w:jc w:val="left"/>
              <w:rPr>
                <w:b/>
                <w:bCs/>
              </w:rPr>
            </w:pPr>
            <w:r w:rsidRPr="004F2127">
              <w:rPr>
                <w:b/>
                <w:bCs/>
              </w:rPr>
              <w:t>N = 320</w:t>
            </w:r>
          </w:p>
        </w:tc>
      </w:tr>
      <w:tr w:rsidR="002244BE" w14:paraId="6157654F" w14:textId="77777777" w:rsidTr="002244BE">
        <w:tc>
          <w:tcPr>
            <w:tcW w:w="3005" w:type="dxa"/>
          </w:tcPr>
          <w:p w14:paraId="10412661" w14:textId="72923A78" w:rsidR="002244BE" w:rsidRPr="004F2127" w:rsidRDefault="002244BE" w:rsidP="00A91D9E">
            <w:pPr>
              <w:jc w:val="left"/>
              <w:rPr>
                <w:b/>
                <w:bCs/>
              </w:rPr>
            </w:pPr>
          </w:p>
        </w:tc>
        <w:tc>
          <w:tcPr>
            <w:tcW w:w="3005" w:type="dxa"/>
          </w:tcPr>
          <w:p w14:paraId="71F0F26D" w14:textId="77777777" w:rsidR="002244BE" w:rsidRPr="004F2127" w:rsidRDefault="00976856" w:rsidP="00A91D9E">
            <w:pPr>
              <w:jc w:val="left"/>
              <w:rPr>
                <w:b/>
                <w:bCs/>
              </w:rPr>
            </w:pPr>
            <w:r w:rsidRPr="004F2127">
              <w:rPr>
                <w:b/>
                <w:bCs/>
              </w:rPr>
              <w:t>All Grades</w:t>
            </w:r>
          </w:p>
          <w:p w14:paraId="2E6A131B" w14:textId="58E4B231" w:rsidR="00976856" w:rsidRPr="004F2127" w:rsidRDefault="00976856" w:rsidP="00A91D9E">
            <w:pPr>
              <w:jc w:val="left"/>
              <w:rPr>
                <w:b/>
                <w:bCs/>
              </w:rPr>
            </w:pPr>
            <w:r w:rsidRPr="004F2127">
              <w:rPr>
                <w:b/>
                <w:bCs/>
              </w:rPr>
              <w:t>(%)</w:t>
            </w:r>
          </w:p>
        </w:tc>
        <w:tc>
          <w:tcPr>
            <w:tcW w:w="3006" w:type="dxa"/>
          </w:tcPr>
          <w:p w14:paraId="4CE590F4" w14:textId="783971D7" w:rsidR="002244BE" w:rsidRPr="004F2127" w:rsidRDefault="00976856" w:rsidP="00A91D9E">
            <w:pPr>
              <w:jc w:val="left"/>
              <w:rPr>
                <w:b/>
                <w:bCs/>
              </w:rPr>
            </w:pPr>
            <w:r w:rsidRPr="004F2127">
              <w:rPr>
                <w:b/>
                <w:bCs/>
              </w:rPr>
              <w:t xml:space="preserve">Grade </w:t>
            </w:r>
            <w:r w:rsidR="00F16739" w:rsidRPr="00F16739">
              <w:rPr>
                <w:b/>
                <w:bCs/>
              </w:rPr>
              <w:t>≥</w:t>
            </w:r>
            <w:r w:rsidRPr="004F2127">
              <w:rPr>
                <w:b/>
                <w:bCs/>
              </w:rPr>
              <w:t>3</w:t>
            </w:r>
          </w:p>
          <w:p w14:paraId="366BD1AB" w14:textId="73BBA2B3" w:rsidR="00976856" w:rsidRPr="004F2127" w:rsidRDefault="00976856" w:rsidP="00A91D9E">
            <w:pPr>
              <w:jc w:val="left"/>
              <w:rPr>
                <w:b/>
                <w:bCs/>
              </w:rPr>
            </w:pPr>
            <w:r w:rsidRPr="004F2127">
              <w:rPr>
                <w:b/>
                <w:bCs/>
              </w:rPr>
              <w:t>(%)</w:t>
            </w:r>
          </w:p>
        </w:tc>
      </w:tr>
      <w:tr w:rsidR="00781D29" w14:paraId="1B0CB55D" w14:textId="77777777" w:rsidTr="00FB45C9">
        <w:tc>
          <w:tcPr>
            <w:tcW w:w="9016" w:type="dxa"/>
            <w:gridSpan w:val="3"/>
          </w:tcPr>
          <w:p w14:paraId="21858A05" w14:textId="365ED929" w:rsidR="00781D29" w:rsidRDefault="00781D29" w:rsidP="00A91D9E">
            <w:pPr>
              <w:jc w:val="left"/>
            </w:pPr>
            <w:r w:rsidRPr="001F056E">
              <w:rPr>
                <w:b/>
                <w:bCs/>
              </w:rPr>
              <w:t>Nervous System Disorder</w:t>
            </w:r>
          </w:p>
        </w:tc>
      </w:tr>
      <w:tr w:rsidR="00FD300F" w14:paraId="31736FDC" w14:textId="77777777" w:rsidTr="002244BE">
        <w:tc>
          <w:tcPr>
            <w:tcW w:w="3005" w:type="dxa"/>
          </w:tcPr>
          <w:p w14:paraId="51967891" w14:textId="4DF91EBB" w:rsidR="00FD300F" w:rsidRPr="001F056E" w:rsidRDefault="00FD300F" w:rsidP="00A91D9E">
            <w:pPr>
              <w:jc w:val="left"/>
              <w:rPr>
                <w:sz w:val="20"/>
                <w:szCs w:val="20"/>
              </w:rPr>
            </w:pPr>
            <w:proofErr w:type="spellStart"/>
            <w:r w:rsidRPr="001F056E">
              <w:rPr>
                <w:sz w:val="20"/>
                <w:szCs w:val="20"/>
              </w:rPr>
              <w:t>Dizziness</w:t>
            </w:r>
            <w:r w:rsidRPr="001F056E">
              <w:rPr>
                <w:rStyle w:val="BMSSuperscript"/>
                <w:sz w:val="20"/>
                <w:szCs w:val="20"/>
              </w:rPr>
              <w:t>a</w:t>
            </w:r>
            <w:proofErr w:type="spellEnd"/>
          </w:p>
        </w:tc>
        <w:tc>
          <w:tcPr>
            <w:tcW w:w="3005" w:type="dxa"/>
          </w:tcPr>
          <w:p w14:paraId="149C2CF8" w14:textId="0FC87F7F" w:rsidR="00FD300F" w:rsidRDefault="00FB7C39" w:rsidP="00A91D9E">
            <w:pPr>
              <w:jc w:val="center"/>
            </w:pPr>
            <w:r>
              <w:t>64.4</w:t>
            </w:r>
          </w:p>
        </w:tc>
        <w:tc>
          <w:tcPr>
            <w:tcW w:w="3006" w:type="dxa"/>
          </w:tcPr>
          <w:p w14:paraId="4675D4D9" w14:textId="25041AD1" w:rsidR="00FD300F" w:rsidRDefault="003A51D4" w:rsidP="00A91D9E">
            <w:pPr>
              <w:jc w:val="center"/>
            </w:pPr>
            <w:r>
              <w:t>1.9</w:t>
            </w:r>
          </w:p>
        </w:tc>
      </w:tr>
      <w:tr w:rsidR="00FD300F" w14:paraId="464F2210" w14:textId="77777777" w:rsidTr="002244BE">
        <w:tc>
          <w:tcPr>
            <w:tcW w:w="3005" w:type="dxa"/>
          </w:tcPr>
          <w:p w14:paraId="34971B65" w14:textId="691CB86F" w:rsidR="00FD300F" w:rsidRPr="001F056E" w:rsidRDefault="00FD300F" w:rsidP="00A91D9E">
            <w:pPr>
              <w:jc w:val="left"/>
              <w:rPr>
                <w:sz w:val="20"/>
                <w:szCs w:val="20"/>
              </w:rPr>
            </w:pPr>
            <w:proofErr w:type="spellStart"/>
            <w:r w:rsidRPr="001F056E">
              <w:rPr>
                <w:sz w:val="20"/>
                <w:szCs w:val="20"/>
              </w:rPr>
              <w:t>Dysgeusia</w:t>
            </w:r>
            <w:r w:rsidRPr="001F056E">
              <w:rPr>
                <w:rStyle w:val="BMSSuperscript"/>
                <w:sz w:val="20"/>
                <w:szCs w:val="20"/>
              </w:rPr>
              <w:t>b</w:t>
            </w:r>
            <w:proofErr w:type="spellEnd"/>
          </w:p>
        </w:tc>
        <w:tc>
          <w:tcPr>
            <w:tcW w:w="3005" w:type="dxa"/>
          </w:tcPr>
          <w:p w14:paraId="2402CEAE" w14:textId="2F4F937D" w:rsidR="00FD300F" w:rsidRDefault="005464D7" w:rsidP="00A91D9E">
            <w:pPr>
              <w:jc w:val="center"/>
            </w:pPr>
            <w:r>
              <w:t>51</w:t>
            </w:r>
            <w:r w:rsidR="006472CD">
              <w:t>.6</w:t>
            </w:r>
          </w:p>
        </w:tc>
        <w:tc>
          <w:tcPr>
            <w:tcW w:w="3006" w:type="dxa"/>
          </w:tcPr>
          <w:p w14:paraId="1ABFACA6" w14:textId="3E062C94" w:rsidR="00FD300F" w:rsidRDefault="004B51CC" w:rsidP="00A91D9E">
            <w:pPr>
              <w:jc w:val="center"/>
            </w:pPr>
            <w:r>
              <w:t>0</w:t>
            </w:r>
          </w:p>
        </w:tc>
      </w:tr>
      <w:tr w:rsidR="00FD300F" w14:paraId="4486EF04" w14:textId="77777777" w:rsidTr="002244BE">
        <w:tc>
          <w:tcPr>
            <w:tcW w:w="3005" w:type="dxa"/>
          </w:tcPr>
          <w:p w14:paraId="64DA9DC5" w14:textId="0DDC65A0" w:rsidR="00FD300F" w:rsidRPr="001F056E" w:rsidRDefault="00FD300F" w:rsidP="00A91D9E">
            <w:pPr>
              <w:jc w:val="left"/>
              <w:rPr>
                <w:sz w:val="20"/>
                <w:szCs w:val="20"/>
              </w:rPr>
            </w:pPr>
            <w:r w:rsidRPr="001F056E">
              <w:rPr>
                <w:sz w:val="20"/>
                <w:szCs w:val="20"/>
              </w:rPr>
              <w:t xml:space="preserve">Peripheral </w:t>
            </w:r>
            <w:proofErr w:type="spellStart"/>
            <w:r w:rsidRPr="001F056E">
              <w:rPr>
                <w:sz w:val="20"/>
                <w:szCs w:val="20"/>
              </w:rPr>
              <w:t>neuropathy</w:t>
            </w:r>
            <w:r w:rsidRPr="001F056E">
              <w:rPr>
                <w:rStyle w:val="BMSSuperscript"/>
                <w:sz w:val="20"/>
                <w:szCs w:val="20"/>
              </w:rPr>
              <w:t>c</w:t>
            </w:r>
            <w:proofErr w:type="spellEnd"/>
          </w:p>
        </w:tc>
        <w:tc>
          <w:tcPr>
            <w:tcW w:w="3005" w:type="dxa"/>
          </w:tcPr>
          <w:p w14:paraId="31E3863A" w14:textId="51CF00B5" w:rsidR="00FD300F" w:rsidRDefault="0058272E" w:rsidP="00A91D9E">
            <w:pPr>
              <w:jc w:val="center"/>
            </w:pPr>
            <w:r>
              <w:t>50.0</w:t>
            </w:r>
          </w:p>
        </w:tc>
        <w:tc>
          <w:tcPr>
            <w:tcW w:w="3006" w:type="dxa"/>
          </w:tcPr>
          <w:p w14:paraId="00A13BFC" w14:textId="55E60FF7" w:rsidR="00FD300F" w:rsidRDefault="00FD2CE7" w:rsidP="00A91D9E">
            <w:pPr>
              <w:jc w:val="center"/>
            </w:pPr>
            <w:r>
              <w:t>1.6</w:t>
            </w:r>
          </w:p>
        </w:tc>
      </w:tr>
      <w:tr w:rsidR="00FD300F" w14:paraId="303CC126" w14:textId="77777777" w:rsidTr="002244BE">
        <w:tc>
          <w:tcPr>
            <w:tcW w:w="3005" w:type="dxa"/>
          </w:tcPr>
          <w:p w14:paraId="078C3656" w14:textId="5B3362CC" w:rsidR="00FD300F" w:rsidRPr="001F056E" w:rsidRDefault="00FD300F" w:rsidP="00A91D9E">
            <w:pPr>
              <w:jc w:val="left"/>
              <w:rPr>
                <w:sz w:val="20"/>
                <w:szCs w:val="20"/>
              </w:rPr>
            </w:pPr>
            <w:proofErr w:type="spellStart"/>
            <w:r w:rsidRPr="001F056E">
              <w:rPr>
                <w:sz w:val="20"/>
                <w:szCs w:val="20"/>
              </w:rPr>
              <w:t>Ataxia</w:t>
            </w:r>
            <w:r w:rsidRPr="001F056E">
              <w:rPr>
                <w:rStyle w:val="BMSSuperscript"/>
                <w:sz w:val="20"/>
                <w:szCs w:val="20"/>
              </w:rPr>
              <w:t>d</w:t>
            </w:r>
            <w:proofErr w:type="spellEnd"/>
          </w:p>
        </w:tc>
        <w:tc>
          <w:tcPr>
            <w:tcW w:w="3005" w:type="dxa"/>
          </w:tcPr>
          <w:p w14:paraId="290D43EE" w14:textId="19CFD566" w:rsidR="00FD300F" w:rsidRDefault="00112FE7" w:rsidP="00A91D9E">
            <w:pPr>
              <w:jc w:val="center"/>
            </w:pPr>
            <w:r>
              <w:t>27.8</w:t>
            </w:r>
          </w:p>
        </w:tc>
        <w:tc>
          <w:tcPr>
            <w:tcW w:w="3006" w:type="dxa"/>
          </w:tcPr>
          <w:p w14:paraId="7CF3CE42" w14:textId="78799EF9" w:rsidR="00FD300F" w:rsidRDefault="005A2003" w:rsidP="00A91D9E">
            <w:pPr>
              <w:jc w:val="center"/>
            </w:pPr>
            <w:r>
              <w:t>0.6</w:t>
            </w:r>
          </w:p>
        </w:tc>
      </w:tr>
      <w:tr w:rsidR="00FD300F" w14:paraId="05FF0D93" w14:textId="77777777" w:rsidTr="002244BE">
        <w:tc>
          <w:tcPr>
            <w:tcW w:w="3005" w:type="dxa"/>
          </w:tcPr>
          <w:p w14:paraId="25CA9C5B" w14:textId="5D620460" w:rsidR="00FD300F" w:rsidRPr="001F056E" w:rsidRDefault="00FD300F" w:rsidP="00A91D9E">
            <w:pPr>
              <w:jc w:val="left"/>
              <w:rPr>
                <w:sz w:val="20"/>
                <w:szCs w:val="20"/>
              </w:rPr>
            </w:pPr>
            <w:r w:rsidRPr="001F056E">
              <w:rPr>
                <w:sz w:val="20"/>
                <w:szCs w:val="20"/>
              </w:rPr>
              <w:t xml:space="preserve">Cognitive </w:t>
            </w:r>
            <w:proofErr w:type="spellStart"/>
            <w:r w:rsidRPr="001F056E">
              <w:rPr>
                <w:sz w:val="20"/>
                <w:szCs w:val="20"/>
              </w:rPr>
              <w:t>impairment</w:t>
            </w:r>
            <w:r w:rsidRPr="001F056E">
              <w:rPr>
                <w:rStyle w:val="BMSSuperscript"/>
                <w:sz w:val="20"/>
                <w:szCs w:val="20"/>
              </w:rPr>
              <w:t>e</w:t>
            </w:r>
            <w:proofErr w:type="spellEnd"/>
          </w:p>
        </w:tc>
        <w:tc>
          <w:tcPr>
            <w:tcW w:w="3005" w:type="dxa"/>
          </w:tcPr>
          <w:p w14:paraId="68DD28D2" w14:textId="57DA1C31" w:rsidR="00FD300F" w:rsidRDefault="00FB47E7" w:rsidP="00A91D9E">
            <w:pPr>
              <w:jc w:val="center"/>
            </w:pPr>
            <w:r>
              <w:t>23.8</w:t>
            </w:r>
          </w:p>
        </w:tc>
        <w:tc>
          <w:tcPr>
            <w:tcW w:w="3006" w:type="dxa"/>
          </w:tcPr>
          <w:p w14:paraId="0773F15C" w14:textId="0FB60D20" w:rsidR="00FD300F" w:rsidRDefault="003A51D4" w:rsidP="00A91D9E">
            <w:pPr>
              <w:jc w:val="center"/>
            </w:pPr>
            <w:r>
              <w:t>0.9</w:t>
            </w:r>
          </w:p>
        </w:tc>
      </w:tr>
      <w:tr w:rsidR="00FD300F" w14:paraId="2710268E" w14:textId="77777777" w:rsidTr="002244BE">
        <w:tc>
          <w:tcPr>
            <w:tcW w:w="3005" w:type="dxa"/>
          </w:tcPr>
          <w:p w14:paraId="24B867E4" w14:textId="144EAFAB" w:rsidR="00FD300F" w:rsidRPr="001F056E" w:rsidRDefault="00FD300F" w:rsidP="00A91D9E">
            <w:pPr>
              <w:jc w:val="left"/>
              <w:rPr>
                <w:sz w:val="20"/>
                <w:szCs w:val="20"/>
              </w:rPr>
            </w:pPr>
            <w:proofErr w:type="spellStart"/>
            <w:r w:rsidRPr="001F056E">
              <w:rPr>
                <w:sz w:val="20"/>
                <w:szCs w:val="20"/>
              </w:rPr>
              <w:t>Headache</w:t>
            </w:r>
            <w:r w:rsidRPr="001F056E">
              <w:rPr>
                <w:sz w:val="20"/>
                <w:szCs w:val="20"/>
                <w:vertAlign w:val="superscript"/>
              </w:rPr>
              <w:t>f</w:t>
            </w:r>
            <w:proofErr w:type="spellEnd"/>
          </w:p>
        </w:tc>
        <w:tc>
          <w:tcPr>
            <w:tcW w:w="3005" w:type="dxa"/>
          </w:tcPr>
          <w:p w14:paraId="5176651A" w14:textId="7BBBC645" w:rsidR="00FD300F" w:rsidRDefault="00AF3971" w:rsidP="00A91D9E">
            <w:pPr>
              <w:jc w:val="center"/>
            </w:pPr>
            <w:r>
              <w:t>18.8</w:t>
            </w:r>
          </w:p>
        </w:tc>
        <w:tc>
          <w:tcPr>
            <w:tcW w:w="3006" w:type="dxa"/>
          </w:tcPr>
          <w:p w14:paraId="46117707" w14:textId="0A4BBD19" w:rsidR="00FD300F" w:rsidRDefault="004B51CC" w:rsidP="00A91D9E">
            <w:pPr>
              <w:jc w:val="center"/>
            </w:pPr>
            <w:r>
              <w:t>0</w:t>
            </w:r>
          </w:p>
        </w:tc>
      </w:tr>
      <w:tr w:rsidR="002244BE" w14:paraId="58880A3D" w14:textId="77777777" w:rsidTr="002244BE">
        <w:tc>
          <w:tcPr>
            <w:tcW w:w="3005" w:type="dxa"/>
          </w:tcPr>
          <w:p w14:paraId="31A3D55A" w14:textId="45392787" w:rsidR="002244BE" w:rsidRPr="001F056E" w:rsidRDefault="001273D6" w:rsidP="00A91D9E">
            <w:pPr>
              <w:jc w:val="left"/>
              <w:rPr>
                <w:b/>
                <w:bCs/>
              </w:rPr>
            </w:pPr>
            <w:r w:rsidRPr="001F056E">
              <w:rPr>
                <w:b/>
                <w:bCs/>
              </w:rPr>
              <w:t>Gastrointestinal Disorders</w:t>
            </w:r>
          </w:p>
        </w:tc>
        <w:tc>
          <w:tcPr>
            <w:tcW w:w="3005" w:type="dxa"/>
          </w:tcPr>
          <w:p w14:paraId="753CA746" w14:textId="77777777" w:rsidR="002244BE" w:rsidRDefault="002244BE" w:rsidP="00A91D9E">
            <w:pPr>
              <w:jc w:val="center"/>
            </w:pPr>
          </w:p>
        </w:tc>
        <w:tc>
          <w:tcPr>
            <w:tcW w:w="3006" w:type="dxa"/>
          </w:tcPr>
          <w:p w14:paraId="32EA1082" w14:textId="77777777" w:rsidR="002244BE" w:rsidRDefault="002244BE" w:rsidP="00A91D9E">
            <w:pPr>
              <w:jc w:val="center"/>
            </w:pPr>
          </w:p>
        </w:tc>
      </w:tr>
      <w:tr w:rsidR="00775985" w14:paraId="667DC7FF" w14:textId="77777777" w:rsidTr="002244BE">
        <w:tc>
          <w:tcPr>
            <w:tcW w:w="3005" w:type="dxa"/>
          </w:tcPr>
          <w:p w14:paraId="4B0AA5C5" w14:textId="686AF799" w:rsidR="00775985" w:rsidRPr="0093670B" w:rsidRDefault="00775985" w:rsidP="00A91D9E">
            <w:pPr>
              <w:jc w:val="left"/>
              <w:rPr>
                <w:sz w:val="20"/>
                <w:szCs w:val="20"/>
              </w:rPr>
            </w:pPr>
            <w:r w:rsidRPr="0093670B">
              <w:rPr>
                <w:sz w:val="20"/>
                <w:szCs w:val="20"/>
              </w:rPr>
              <w:t>Constipation</w:t>
            </w:r>
          </w:p>
        </w:tc>
        <w:tc>
          <w:tcPr>
            <w:tcW w:w="3005" w:type="dxa"/>
          </w:tcPr>
          <w:p w14:paraId="72864CA8" w14:textId="530ED284" w:rsidR="00775985" w:rsidRDefault="00C17D4C" w:rsidP="00A91D9E">
            <w:pPr>
              <w:jc w:val="center"/>
            </w:pPr>
            <w:r>
              <w:t>36.6</w:t>
            </w:r>
          </w:p>
        </w:tc>
        <w:tc>
          <w:tcPr>
            <w:tcW w:w="3006" w:type="dxa"/>
          </w:tcPr>
          <w:p w14:paraId="2537BDEC" w14:textId="41BFD3BD" w:rsidR="00775985" w:rsidRDefault="00C17D4C" w:rsidP="00A91D9E">
            <w:pPr>
              <w:jc w:val="center"/>
            </w:pPr>
            <w:r>
              <w:t>0</w:t>
            </w:r>
          </w:p>
        </w:tc>
      </w:tr>
      <w:tr w:rsidR="00775985" w14:paraId="12783F52" w14:textId="77777777" w:rsidTr="002244BE">
        <w:tc>
          <w:tcPr>
            <w:tcW w:w="3005" w:type="dxa"/>
          </w:tcPr>
          <w:p w14:paraId="229F6FD3" w14:textId="6AA985F1" w:rsidR="00775985" w:rsidRPr="0093670B" w:rsidRDefault="00775985" w:rsidP="00A91D9E">
            <w:pPr>
              <w:jc w:val="left"/>
              <w:rPr>
                <w:sz w:val="20"/>
                <w:szCs w:val="20"/>
              </w:rPr>
            </w:pPr>
            <w:r w:rsidRPr="0093670B">
              <w:rPr>
                <w:sz w:val="20"/>
                <w:szCs w:val="20"/>
              </w:rPr>
              <w:t>Nausea</w:t>
            </w:r>
          </w:p>
        </w:tc>
        <w:tc>
          <w:tcPr>
            <w:tcW w:w="3005" w:type="dxa"/>
          </w:tcPr>
          <w:p w14:paraId="5991A8E0" w14:textId="553A6E9D" w:rsidR="00775985" w:rsidRDefault="00112FE7" w:rsidP="00A91D9E">
            <w:pPr>
              <w:jc w:val="center"/>
            </w:pPr>
            <w:r>
              <w:t>18.1</w:t>
            </w:r>
          </w:p>
        </w:tc>
        <w:tc>
          <w:tcPr>
            <w:tcW w:w="3006" w:type="dxa"/>
          </w:tcPr>
          <w:p w14:paraId="44086E32" w14:textId="65434488" w:rsidR="00775985" w:rsidRDefault="00781D29" w:rsidP="00A91D9E">
            <w:pPr>
              <w:jc w:val="center"/>
            </w:pPr>
            <w:r>
              <w:t>0.6</w:t>
            </w:r>
          </w:p>
        </w:tc>
      </w:tr>
      <w:tr w:rsidR="00775985" w14:paraId="64459CA5" w14:textId="77777777" w:rsidTr="002244BE">
        <w:tc>
          <w:tcPr>
            <w:tcW w:w="3005" w:type="dxa"/>
          </w:tcPr>
          <w:p w14:paraId="02927F67" w14:textId="7AE92D24" w:rsidR="00775985" w:rsidRPr="0093670B" w:rsidRDefault="00775985" w:rsidP="00A91D9E">
            <w:pPr>
              <w:jc w:val="left"/>
              <w:rPr>
                <w:sz w:val="20"/>
                <w:szCs w:val="20"/>
              </w:rPr>
            </w:pPr>
            <w:r w:rsidRPr="0093670B">
              <w:rPr>
                <w:sz w:val="20"/>
                <w:szCs w:val="20"/>
              </w:rPr>
              <w:t>Diarrh</w:t>
            </w:r>
            <w:r w:rsidR="00AB1962">
              <w:rPr>
                <w:sz w:val="20"/>
                <w:szCs w:val="20"/>
              </w:rPr>
              <w:t>o</w:t>
            </w:r>
            <w:r w:rsidRPr="0093670B">
              <w:rPr>
                <w:sz w:val="20"/>
                <w:szCs w:val="20"/>
              </w:rPr>
              <w:t>ea</w:t>
            </w:r>
          </w:p>
        </w:tc>
        <w:tc>
          <w:tcPr>
            <w:tcW w:w="3005" w:type="dxa"/>
          </w:tcPr>
          <w:p w14:paraId="492E4957" w14:textId="66ACBD87" w:rsidR="00775985" w:rsidRDefault="00781D29" w:rsidP="00A91D9E">
            <w:pPr>
              <w:jc w:val="center"/>
            </w:pPr>
            <w:r>
              <w:t>12.5</w:t>
            </w:r>
          </w:p>
        </w:tc>
        <w:tc>
          <w:tcPr>
            <w:tcW w:w="3006" w:type="dxa"/>
          </w:tcPr>
          <w:p w14:paraId="0FC06DEB" w14:textId="494E3CBA" w:rsidR="00775985" w:rsidRDefault="00781D29" w:rsidP="00A91D9E">
            <w:pPr>
              <w:jc w:val="center"/>
            </w:pPr>
            <w:r>
              <w:t>0.3</w:t>
            </w:r>
          </w:p>
        </w:tc>
      </w:tr>
      <w:tr w:rsidR="00781D29" w14:paraId="3D541E18" w14:textId="77777777" w:rsidTr="00FB45C9">
        <w:tc>
          <w:tcPr>
            <w:tcW w:w="9016" w:type="dxa"/>
            <w:gridSpan w:val="3"/>
          </w:tcPr>
          <w:p w14:paraId="43E4D88B" w14:textId="31D7A4F6" w:rsidR="00781D29" w:rsidRPr="00781D29" w:rsidRDefault="00781D29" w:rsidP="00A91D9E">
            <w:pPr>
              <w:jc w:val="left"/>
            </w:pPr>
            <w:r w:rsidRPr="00781D29">
              <w:rPr>
                <w:b/>
                <w:bCs/>
              </w:rPr>
              <w:t>Respiratory, Thoracic, and Mediastinal Disorders</w:t>
            </w:r>
          </w:p>
        </w:tc>
      </w:tr>
      <w:tr w:rsidR="005A06A0" w14:paraId="2C1A1A59" w14:textId="77777777" w:rsidTr="002244BE">
        <w:tc>
          <w:tcPr>
            <w:tcW w:w="3005" w:type="dxa"/>
          </w:tcPr>
          <w:p w14:paraId="75FDBD25" w14:textId="75783CC1" w:rsidR="005A06A0" w:rsidRPr="001F056E" w:rsidRDefault="005A06A0" w:rsidP="00A91D9E">
            <w:pPr>
              <w:jc w:val="left"/>
              <w:rPr>
                <w:sz w:val="20"/>
                <w:szCs w:val="20"/>
              </w:rPr>
            </w:pPr>
            <w:proofErr w:type="spellStart"/>
            <w:r w:rsidRPr="001F056E">
              <w:rPr>
                <w:sz w:val="20"/>
                <w:szCs w:val="20"/>
              </w:rPr>
              <w:t>Dyspn</w:t>
            </w:r>
            <w:r w:rsidR="00F61F57">
              <w:rPr>
                <w:sz w:val="20"/>
                <w:szCs w:val="20"/>
              </w:rPr>
              <w:t>o</w:t>
            </w:r>
            <w:r w:rsidRPr="001F056E">
              <w:rPr>
                <w:sz w:val="20"/>
                <w:szCs w:val="20"/>
              </w:rPr>
              <w:t>ea</w:t>
            </w:r>
            <w:r w:rsidRPr="001F056E">
              <w:rPr>
                <w:sz w:val="20"/>
                <w:szCs w:val="20"/>
                <w:vertAlign w:val="superscript"/>
              </w:rPr>
              <w:t>g</w:t>
            </w:r>
            <w:proofErr w:type="spellEnd"/>
          </w:p>
        </w:tc>
        <w:tc>
          <w:tcPr>
            <w:tcW w:w="3005" w:type="dxa"/>
          </w:tcPr>
          <w:p w14:paraId="224E1F5E" w14:textId="529F1DF6" w:rsidR="005A06A0" w:rsidRDefault="00EF5043" w:rsidP="00A91D9E">
            <w:pPr>
              <w:jc w:val="center"/>
            </w:pPr>
            <w:r>
              <w:t>29.7</w:t>
            </w:r>
          </w:p>
        </w:tc>
        <w:tc>
          <w:tcPr>
            <w:tcW w:w="3006" w:type="dxa"/>
          </w:tcPr>
          <w:p w14:paraId="2A16146B" w14:textId="35447EB4" w:rsidR="005A06A0" w:rsidRDefault="00625C95" w:rsidP="00A91D9E">
            <w:pPr>
              <w:jc w:val="center"/>
            </w:pPr>
            <w:r>
              <w:t>6.6</w:t>
            </w:r>
          </w:p>
        </w:tc>
      </w:tr>
      <w:tr w:rsidR="005A06A0" w14:paraId="23565EE7" w14:textId="77777777" w:rsidTr="002244BE">
        <w:tc>
          <w:tcPr>
            <w:tcW w:w="3005" w:type="dxa"/>
          </w:tcPr>
          <w:p w14:paraId="00719B22" w14:textId="06C97ED5" w:rsidR="005A06A0" w:rsidRPr="001F056E" w:rsidRDefault="005A06A0" w:rsidP="00A91D9E">
            <w:pPr>
              <w:jc w:val="left"/>
              <w:rPr>
                <w:sz w:val="20"/>
                <w:szCs w:val="20"/>
              </w:rPr>
            </w:pPr>
            <w:proofErr w:type="spellStart"/>
            <w:r w:rsidRPr="001F056E">
              <w:rPr>
                <w:sz w:val="20"/>
                <w:szCs w:val="20"/>
              </w:rPr>
              <w:t>Cough</w:t>
            </w:r>
            <w:r w:rsidRPr="001F056E">
              <w:rPr>
                <w:sz w:val="20"/>
                <w:szCs w:val="20"/>
                <w:vertAlign w:val="superscript"/>
              </w:rPr>
              <w:t>h</w:t>
            </w:r>
            <w:proofErr w:type="spellEnd"/>
            <w:r w:rsidRPr="001F056E">
              <w:rPr>
                <w:sz w:val="20"/>
                <w:szCs w:val="20"/>
              </w:rPr>
              <w:t xml:space="preserve"> </w:t>
            </w:r>
          </w:p>
        </w:tc>
        <w:tc>
          <w:tcPr>
            <w:tcW w:w="3005" w:type="dxa"/>
          </w:tcPr>
          <w:p w14:paraId="21590FD1" w14:textId="63A3F81F" w:rsidR="005A06A0" w:rsidRDefault="00BA278A" w:rsidP="00A91D9E">
            <w:pPr>
              <w:jc w:val="center"/>
            </w:pPr>
            <w:r>
              <w:t>17.2</w:t>
            </w:r>
          </w:p>
        </w:tc>
        <w:tc>
          <w:tcPr>
            <w:tcW w:w="3006" w:type="dxa"/>
          </w:tcPr>
          <w:p w14:paraId="70C07BB2" w14:textId="09FE109C" w:rsidR="005A06A0" w:rsidRDefault="003A51D4" w:rsidP="00A91D9E">
            <w:pPr>
              <w:jc w:val="center"/>
            </w:pPr>
            <w:r>
              <w:t>0</w:t>
            </w:r>
          </w:p>
        </w:tc>
      </w:tr>
      <w:tr w:rsidR="002244BE" w14:paraId="17460C51" w14:textId="77777777" w:rsidTr="002244BE">
        <w:tc>
          <w:tcPr>
            <w:tcW w:w="3005" w:type="dxa"/>
          </w:tcPr>
          <w:p w14:paraId="46280AEC" w14:textId="524B9286" w:rsidR="002244BE" w:rsidRPr="001F056E" w:rsidRDefault="00483C51" w:rsidP="00A91D9E">
            <w:pPr>
              <w:jc w:val="left"/>
              <w:rPr>
                <w:b/>
                <w:bCs/>
              </w:rPr>
            </w:pPr>
            <w:r w:rsidRPr="001F056E">
              <w:rPr>
                <w:b/>
                <w:bCs/>
              </w:rPr>
              <w:t>General Disorders</w:t>
            </w:r>
          </w:p>
        </w:tc>
        <w:tc>
          <w:tcPr>
            <w:tcW w:w="3005" w:type="dxa"/>
          </w:tcPr>
          <w:p w14:paraId="0937E8A3" w14:textId="77777777" w:rsidR="002244BE" w:rsidRDefault="002244BE" w:rsidP="00A91D9E">
            <w:pPr>
              <w:jc w:val="center"/>
            </w:pPr>
          </w:p>
        </w:tc>
        <w:tc>
          <w:tcPr>
            <w:tcW w:w="3006" w:type="dxa"/>
          </w:tcPr>
          <w:p w14:paraId="40E47414" w14:textId="77777777" w:rsidR="002244BE" w:rsidRDefault="002244BE" w:rsidP="00A91D9E">
            <w:pPr>
              <w:jc w:val="center"/>
            </w:pPr>
          </w:p>
        </w:tc>
      </w:tr>
      <w:tr w:rsidR="00D74611" w14:paraId="43B896A6" w14:textId="77777777" w:rsidTr="002244BE">
        <w:tc>
          <w:tcPr>
            <w:tcW w:w="3005" w:type="dxa"/>
          </w:tcPr>
          <w:p w14:paraId="75534C39" w14:textId="7BAD320F" w:rsidR="00D74611" w:rsidRDefault="00D74611" w:rsidP="00A91D9E">
            <w:pPr>
              <w:jc w:val="left"/>
            </w:pPr>
            <w:proofErr w:type="spellStart"/>
            <w:r w:rsidRPr="00056F79">
              <w:t>Fatigue</w:t>
            </w:r>
            <w:r w:rsidR="002D5A6F" w:rsidRPr="002D5A6F">
              <w:rPr>
                <w:vertAlign w:val="superscript"/>
              </w:rPr>
              <w:t>i</w:t>
            </w:r>
            <w:proofErr w:type="spellEnd"/>
          </w:p>
        </w:tc>
        <w:tc>
          <w:tcPr>
            <w:tcW w:w="3005" w:type="dxa"/>
          </w:tcPr>
          <w:p w14:paraId="17A02DE1" w14:textId="1931D445" w:rsidR="00D74611" w:rsidRDefault="006947B5" w:rsidP="00A91D9E">
            <w:pPr>
              <w:jc w:val="center"/>
            </w:pPr>
            <w:r>
              <w:t>25.6</w:t>
            </w:r>
          </w:p>
        </w:tc>
        <w:tc>
          <w:tcPr>
            <w:tcW w:w="3006" w:type="dxa"/>
          </w:tcPr>
          <w:p w14:paraId="770CDE49" w14:textId="37DD6A8F" w:rsidR="00D74611" w:rsidRDefault="00FD2CE7" w:rsidP="00A91D9E">
            <w:pPr>
              <w:jc w:val="center"/>
            </w:pPr>
            <w:r>
              <w:t>0.9</w:t>
            </w:r>
          </w:p>
        </w:tc>
      </w:tr>
      <w:tr w:rsidR="00D74611" w14:paraId="3A4393D8" w14:textId="77777777" w:rsidTr="002244BE">
        <w:tc>
          <w:tcPr>
            <w:tcW w:w="3005" w:type="dxa"/>
          </w:tcPr>
          <w:p w14:paraId="1B782929" w14:textId="0955BE84" w:rsidR="00D74611" w:rsidRDefault="003A6796" w:rsidP="00A91D9E">
            <w:pPr>
              <w:jc w:val="left"/>
            </w:pPr>
            <w:proofErr w:type="spellStart"/>
            <w:r>
              <w:t>Oe</w:t>
            </w:r>
            <w:r w:rsidR="00D74611" w:rsidRPr="00056F79">
              <w:t>dema</w:t>
            </w:r>
            <w:r w:rsidR="00E00E92">
              <w:rPr>
                <w:vertAlign w:val="superscript"/>
              </w:rPr>
              <w:t>j</w:t>
            </w:r>
            <w:proofErr w:type="spellEnd"/>
            <w:r w:rsidR="00D74611" w:rsidRPr="00056F79">
              <w:t xml:space="preserve"> </w:t>
            </w:r>
          </w:p>
        </w:tc>
        <w:tc>
          <w:tcPr>
            <w:tcW w:w="3005" w:type="dxa"/>
          </w:tcPr>
          <w:p w14:paraId="6BCFCEFA" w14:textId="08CEA419" w:rsidR="00D74611" w:rsidRDefault="00560AAD" w:rsidP="00A91D9E">
            <w:pPr>
              <w:jc w:val="center"/>
            </w:pPr>
            <w:r>
              <w:t>15.3</w:t>
            </w:r>
          </w:p>
        </w:tc>
        <w:tc>
          <w:tcPr>
            <w:tcW w:w="3006" w:type="dxa"/>
          </w:tcPr>
          <w:p w14:paraId="1E4438CB" w14:textId="5EE1F86A" w:rsidR="00D74611" w:rsidRDefault="00625C95" w:rsidP="00A91D9E">
            <w:pPr>
              <w:jc w:val="center"/>
            </w:pPr>
            <w:r>
              <w:t>0.6</w:t>
            </w:r>
          </w:p>
        </w:tc>
      </w:tr>
      <w:tr w:rsidR="003C22C8" w14:paraId="6DC4451A" w14:textId="77777777" w:rsidTr="00FB45C9">
        <w:tc>
          <w:tcPr>
            <w:tcW w:w="9016" w:type="dxa"/>
            <w:gridSpan w:val="3"/>
          </w:tcPr>
          <w:p w14:paraId="516012F6" w14:textId="5955071C" w:rsidR="003C22C8" w:rsidRDefault="003C22C8" w:rsidP="00A91D9E">
            <w:pPr>
              <w:jc w:val="left"/>
            </w:pPr>
            <w:r w:rsidRPr="00343F31">
              <w:rPr>
                <w:b/>
                <w:bCs/>
              </w:rPr>
              <w:t>Musculoskeletal and Connective Tissue Disorders</w:t>
            </w:r>
          </w:p>
        </w:tc>
      </w:tr>
      <w:tr w:rsidR="00196A5B" w14:paraId="22227117" w14:textId="77777777" w:rsidTr="002244BE">
        <w:tc>
          <w:tcPr>
            <w:tcW w:w="3005" w:type="dxa"/>
          </w:tcPr>
          <w:p w14:paraId="1D9BD934" w14:textId="3C20E55A" w:rsidR="00196A5B" w:rsidRDefault="00196A5B" w:rsidP="00A91D9E">
            <w:pPr>
              <w:jc w:val="left"/>
            </w:pPr>
            <w:r w:rsidRPr="00C42FF2">
              <w:t>Muscular weakness</w:t>
            </w:r>
          </w:p>
        </w:tc>
        <w:tc>
          <w:tcPr>
            <w:tcW w:w="3005" w:type="dxa"/>
          </w:tcPr>
          <w:p w14:paraId="7EE862F3" w14:textId="68DCB429" w:rsidR="00196A5B" w:rsidRDefault="00B513C7" w:rsidP="00A91D9E">
            <w:pPr>
              <w:jc w:val="center"/>
            </w:pPr>
            <w:r>
              <w:t>21.9</w:t>
            </w:r>
          </w:p>
        </w:tc>
        <w:tc>
          <w:tcPr>
            <w:tcW w:w="3006" w:type="dxa"/>
          </w:tcPr>
          <w:p w14:paraId="3428F3EC" w14:textId="0C308E30" w:rsidR="00196A5B" w:rsidRDefault="00FD2CE7" w:rsidP="00A91D9E">
            <w:pPr>
              <w:jc w:val="center"/>
            </w:pPr>
            <w:r>
              <w:t>2.2</w:t>
            </w:r>
          </w:p>
        </w:tc>
      </w:tr>
      <w:tr w:rsidR="00196A5B" w14:paraId="1A335B4B" w14:textId="77777777" w:rsidTr="002244BE">
        <w:tc>
          <w:tcPr>
            <w:tcW w:w="3005" w:type="dxa"/>
          </w:tcPr>
          <w:p w14:paraId="1E59365B" w14:textId="0C314EF5" w:rsidR="00196A5B" w:rsidRDefault="00196A5B" w:rsidP="00A91D9E">
            <w:pPr>
              <w:jc w:val="left"/>
            </w:pPr>
            <w:proofErr w:type="spellStart"/>
            <w:r w:rsidRPr="00C42FF2">
              <w:t>Myalgia</w:t>
            </w:r>
            <w:r w:rsidR="00E00E92" w:rsidRPr="00E00E92">
              <w:rPr>
                <w:vertAlign w:val="superscript"/>
              </w:rPr>
              <w:t>k</w:t>
            </w:r>
            <w:proofErr w:type="spellEnd"/>
          </w:p>
        </w:tc>
        <w:tc>
          <w:tcPr>
            <w:tcW w:w="3005" w:type="dxa"/>
          </w:tcPr>
          <w:p w14:paraId="5F8700F9" w14:textId="04EE64EF" w:rsidR="00196A5B" w:rsidRDefault="00102E0D" w:rsidP="00A91D9E">
            <w:pPr>
              <w:jc w:val="center"/>
            </w:pPr>
            <w:r>
              <w:t>11.6</w:t>
            </w:r>
          </w:p>
        </w:tc>
        <w:tc>
          <w:tcPr>
            <w:tcW w:w="3006" w:type="dxa"/>
          </w:tcPr>
          <w:p w14:paraId="593D27F9" w14:textId="07A4ED95" w:rsidR="00196A5B" w:rsidRDefault="00FD2CE7" w:rsidP="00A91D9E">
            <w:pPr>
              <w:jc w:val="center"/>
            </w:pPr>
            <w:r>
              <w:t>0.6</w:t>
            </w:r>
          </w:p>
        </w:tc>
      </w:tr>
      <w:tr w:rsidR="003C22C8" w14:paraId="2D51D344" w14:textId="77777777" w:rsidTr="00FB45C9">
        <w:tc>
          <w:tcPr>
            <w:tcW w:w="9016" w:type="dxa"/>
            <w:gridSpan w:val="3"/>
          </w:tcPr>
          <w:p w14:paraId="594E564E" w14:textId="731E72FE" w:rsidR="003C22C8" w:rsidRDefault="003C22C8" w:rsidP="00A91D9E">
            <w:pPr>
              <w:jc w:val="left"/>
            </w:pPr>
            <w:r w:rsidRPr="00343F31">
              <w:rPr>
                <w:b/>
                <w:bCs/>
              </w:rPr>
              <w:t>Metabolism and Nutritional</w:t>
            </w:r>
          </w:p>
        </w:tc>
      </w:tr>
      <w:tr w:rsidR="002244BE" w14:paraId="30BF590C" w14:textId="77777777" w:rsidTr="002244BE">
        <w:tc>
          <w:tcPr>
            <w:tcW w:w="3005" w:type="dxa"/>
          </w:tcPr>
          <w:p w14:paraId="3722A4E1" w14:textId="4926EC67" w:rsidR="002244BE" w:rsidRPr="004C3F40" w:rsidRDefault="003C22C8" w:rsidP="00A91D9E">
            <w:pPr>
              <w:jc w:val="left"/>
            </w:pPr>
            <w:r w:rsidRPr="004C3F40">
              <w:t>Increased weight</w:t>
            </w:r>
          </w:p>
        </w:tc>
        <w:tc>
          <w:tcPr>
            <w:tcW w:w="3005" w:type="dxa"/>
          </w:tcPr>
          <w:p w14:paraId="471C2906" w14:textId="3DB25E98" w:rsidR="002244BE" w:rsidRDefault="00112FE7" w:rsidP="00A91D9E">
            <w:pPr>
              <w:jc w:val="center"/>
            </w:pPr>
            <w:r>
              <w:t>15.6</w:t>
            </w:r>
          </w:p>
        </w:tc>
        <w:tc>
          <w:tcPr>
            <w:tcW w:w="3006" w:type="dxa"/>
          </w:tcPr>
          <w:p w14:paraId="1E5EAA7E" w14:textId="08A80A3C" w:rsidR="002244BE" w:rsidRDefault="003C22C8" w:rsidP="00A91D9E">
            <w:pPr>
              <w:jc w:val="center"/>
            </w:pPr>
            <w:r>
              <w:t>3.1</w:t>
            </w:r>
          </w:p>
        </w:tc>
      </w:tr>
      <w:tr w:rsidR="003C22C8" w14:paraId="0FB97ACF" w14:textId="77777777" w:rsidTr="00FB45C9">
        <w:tc>
          <w:tcPr>
            <w:tcW w:w="9016" w:type="dxa"/>
            <w:gridSpan w:val="3"/>
          </w:tcPr>
          <w:p w14:paraId="7EFB74B7" w14:textId="6F1B9EA9" w:rsidR="003C22C8" w:rsidRPr="00DF285D" w:rsidRDefault="003C22C8" w:rsidP="00A91D9E">
            <w:pPr>
              <w:jc w:val="left"/>
            </w:pPr>
            <w:r w:rsidRPr="00DF285D">
              <w:rPr>
                <w:b/>
                <w:bCs/>
              </w:rPr>
              <w:t>Eye Disorders</w:t>
            </w:r>
          </w:p>
        </w:tc>
      </w:tr>
      <w:tr w:rsidR="002244BE" w14:paraId="69407F06" w14:textId="77777777" w:rsidTr="002244BE">
        <w:tc>
          <w:tcPr>
            <w:tcW w:w="3005" w:type="dxa"/>
          </w:tcPr>
          <w:p w14:paraId="59A90115" w14:textId="0BA4AA94" w:rsidR="002244BE" w:rsidRPr="004C3F40" w:rsidRDefault="000C5322" w:rsidP="00A91D9E">
            <w:pPr>
              <w:jc w:val="left"/>
            </w:pPr>
            <w:r w:rsidRPr="004C3F40">
              <w:t xml:space="preserve">Vision </w:t>
            </w:r>
            <w:proofErr w:type="spellStart"/>
            <w:r w:rsidRPr="004C3F40">
              <w:t>disorders</w:t>
            </w:r>
            <w:r w:rsidR="000D4742" w:rsidRPr="000D4742">
              <w:rPr>
                <w:vertAlign w:val="superscript"/>
              </w:rPr>
              <w:t>l</w:t>
            </w:r>
            <w:proofErr w:type="spellEnd"/>
          </w:p>
        </w:tc>
        <w:tc>
          <w:tcPr>
            <w:tcW w:w="3005" w:type="dxa"/>
          </w:tcPr>
          <w:p w14:paraId="439B7113" w14:textId="5F8660E3" w:rsidR="002244BE" w:rsidRDefault="00CF0A8E" w:rsidP="00A91D9E">
            <w:pPr>
              <w:jc w:val="center"/>
            </w:pPr>
            <w:r>
              <w:t>10.9</w:t>
            </w:r>
          </w:p>
        </w:tc>
        <w:tc>
          <w:tcPr>
            <w:tcW w:w="3006" w:type="dxa"/>
          </w:tcPr>
          <w:p w14:paraId="3D4DB5B4" w14:textId="53B10D8F" w:rsidR="002244BE" w:rsidRDefault="00BA1E88" w:rsidP="00A91D9E">
            <w:pPr>
              <w:jc w:val="center"/>
            </w:pPr>
            <w:r>
              <w:t>0.3</w:t>
            </w:r>
          </w:p>
        </w:tc>
      </w:tr>
    </w:tbl>
    <w:p w14:paraId="288EC74A" w14:textId="77777777" w:rsidR="004C3F40" w:rsidRDefault="004C3F40" w:rsidP="00A91D9E">
      <w:pPr>
        <w:pStyle w:val="BMSBodyText"/>
        <w:spacing w:after="0"/>
        <w:jc w:val="left"/>
        <w:rPr>
          <w:sz w:val="20"/>
          <w:vertAlign w:val="superscript"/>
          <w:lang w:eastAsia="x-none"/>
        </w:rPr>
      </w:pPr>
    </w:p>
    <w:p w14:paraId="7D913AF2" w14:textId="76334945" w:rsidR="0068224E" w:rsidRPr="00A42EEC" w:rsidRDefault="0068224E" w:rsidP="00A91D9E">
      <w:pPr>
        <w:pStyle w:val="BMSBodyText"/>
        <w:spacing w:after="0"/>
        <w:jc w:val="left"/>
        <w:rPr>
          <w:sz w:val="20"/>
          <w:lang w:eastAsia="x-none"/>
        </w:rPr>
      </w:pPr>
      <w:r w:rsidRPr="00A42EEC">
        <w:rPr>
          <w:sz w:val="20"/>
          <w:vertAlign w:val="superscript"/>
          <w:lang w:eastAsia="x-none"/>
        </w:rPr>
        <w:t>1</w:t>
      </w:r>
      <w:r w:rsidRPr="00A42EEC">
        <w:rPr>
          <w:sz w:val="20"/>
        </w:rPr>
        <w:t xml:space="preserve"> </w:t>
      </w:r>
      <w:r w:rsidRPr="00A42EEC">
        <w:rPr>
          <w:sz w:val="20"/>
          <w:lang w:eastAsia="x-none"/>
        </w:rPr>
        <w:t xml:space="preserve">Based on NCI CTCAE </w:t>
      </w:r>
      <w:bookmarkStart w:id="6" w:name="OLE_LINK42"/>
      <w:r w:rsidRPr="00A42EEC">
        <w:rPr>
          <w:sz w:val="20"/>
          <w:lang w:eastAsia="x-none"/>
        </w:rPr>
        <w:t>v4.03</w:t>
      </w:r>
      <w:bookmarkEnd w:id="6"/>
    </w:p>
    <w:p w14:paraId="478F57D7" w14:textId="77777777" w:rsidR="0068224E" w:rsidRPr="00A42EEC" w:rsidRDefault="0068224E" w:rsidP="00A91D9E">
      <w:pPr>
        <w:pStyle w:val="BMSTableNoteInfo"/>
        <w:spacing w:before="0"/>
        <w:jc w:val="left"/>
      </w:pPr>
      <w:r w:rsidRPr="00A42EEC">
        <w:t>ª</w:t>
      </w:r>
      <w:r w:rsidRPr="00A42EEC">
        <w:tab/>
        <w:t>Includes terms dizziness, vertigo, dizziness postural, dizziness exertional, vertigo positional</w:t>
      </w:r>
    </w:p>
    <w:p w14:paraId="6129ABBE" w14:textId="77777777" w:rsidR="0068224E" w:rsidRPr="00A42EEC" w:rsidRDefault="0068224E" w:rsidP="00A91D9E">
      <w:pPr>
        <w:pStyle w:val="BMSTableNoteInfo"/>
        <w:spacing w:before="0"/>
        <w:jc w:val="left"/>
      </w:pPr>
      <w:r w:rsidRPr="00A42EEC">
        <w:rPr>
          <w:rStyle w:val="BMSSuperscript"/>
          <w:sz w:val="20"/>
        </w:rPr>
        <w:t>b</w:t>
      </w:r>
      <w:r w:rsidRPr="00A42EEC">
        <w:tab/>
        <w:t xml:space="preserve">Includes terms dysgeusia, ageusia, anosmia, hypogeusia </w:t>
      </w:r>
    </w:p>
    <w:p w14:paraId="16AE93A8" w14:textId="1E3D5875" w:rsidR="0068224E" w:rsidRPr="00A42EEC" w:rsidRDefault="0068224E" w:rsidP="00A91D9E">
      <w:pPr>
        <w:pStyle w:val="BMSTableNoteInfo"/>
        <w:spacing w:before="0"/>
        <w:jc w:val="left"/>
      </w:pPr>
      <w:r w:rsidRPr="00A42EEC">
        <w:rPr>
          <w:rStyle w:val="BMSSuperscript"/>
          <w:sz w:val="20"/>
        </w:rPr>
        <w:t>c</w:t>
      </w:r>
      <w:r w:rsidRPr="00A42EEC">
        <w:tab/>
        <w:t xml:space="preserve">Includes terms neuralgia, neuropathy peripheral, peripheral sensory neuropathy, </w:t>
      </w:r>
      <w:proofErr w:type="spellStart"/>
      <w:r w:rsidRPr="00A42EEC">
        <w:t>dys</w:t>
      </w:r>
      <w:r w:rsidR="00F7573B">
        <w:t>a</w:t>
      </w:r>
      <w:r w:rsidRPr="00A42EEC">
        <w:t>esthesia</w:t>
      </w:r>
      <w:proofErr w:type="spellEnd"/>
      <w:r w:rsidRPr="00A42EEC">
        <w:t xml:space="preserve">, peripheral motor neuropathy, polyneuropathy, paresthesia, hypoesthesia, hyperesthesia </w:t>
      </w:r>
    </w:p>
    <w:p w14:paraId="426362A2" w14:textId="77777777" w:rsidR="0068224E" w:rsidRPr="00A42EEC" w:rsidRDefault="0068224E" w:rsidP="00A91D9E">
      <w:pPr>
        <w:pStyle w:val="BMSTableNoteInfo"/>
        <w:spacing w:before="0"/>
        <w:jc w:val="left"/>
      </w:pPr>
      <w:r w:rsidRPr="00A42EEC">
        <w:rPr>
          <w:rStyle w:val="BMSSuperscript"/>
          <w:sz w:val="20"/>
        </w:rPr>
        <w:lastRenderedPageBreak/>
        <w:t>d</w:t>
      </w:r>
      <w:r w:rsidRPr="00A42EEC">
        <w:tab/>
        <w:t>Includes terms ataxia, gait disturbance, balance disorder, cerebellar ataxia and coordination abnormal</w:t>
      </w:r>
    </w:p>
    <w:p w14:paraId="79CBA914" w14:textId="77777777" w:rsidR="0068224E" w:rsidRPr="00A42EEC" w:rsidRDefault="0068224E" w:rsidP="00A91D9E">
      <w:pPr>
        <w:pStyle w:val="BMSTableNoteInfo"/>
        <w:spacing w:before="0"/>
        <w:jc w:val="left"/>
      </w:pPr>
      <w:r w:rsidRPr="00A42EEC">
        <w:rPr>
          <w:rStyle w:val="BMSSuperscript"/>
          <w:sz w:val="20"/>
        </w:rPr>
        <w:t>e</w:t>
      </w:r>
      <w:r w:rsidRPr="00A42EEC">
        <w:tab/>
        <w:t>Includes terms memory impairment, disturbance in attention, cognitive disorder, confusional state, amnesia, attention deficit hyperactivity disorder, delirium, altered state of consciousness, aphasia, delusion, depressed level of consciousness, hallucination, mental status changes, neurological decompensation</w:t>
      </w:r>
    </w:p>
    <w:p w14:paraId="1522685E" w14:textId="77777777" w:rsidR="0068224E" w:rsidRPr="00A42EEC" w:rsidRDefault="0068224E" w:rsidP="00A91D9E">
      <w:pPr>
        <w:pStyle w:val="BMSTableNoteInfo"/>
        <w:spacing w:before="0"/>
        <w:jc w:val="left"/>
      </w:pPr>
      <w:r w:rsidRPr="00A42EEC">
        <w:rPr>
          <w:rStyle w:val="BMSSuperscript"/>
          <w:sz w:val="20"/>
        </w:rPr>
        <w:t>f</w:t>
      </w:r>
      <w:r w:rsidRPr="00A42EEC">
        <w:tab/>
        <w:t>Includes terms headache, migraine, tension headache</w:t>
      </w:r>
    </w:p>
    <w:p w14:paraId="640A9A9D" w14:textId="3EBBA452" w:rsidR="0068224E" w:rsidRPr="00A42EEC" w:rsidRDefault="0068224E" w:rsidP="00A91D9E">
      <w:pPr>
        <w:pStyle w:val="BMSTableNoteInfo"/>
        <w:spacing w:before="0"/>
        <w:jc w:val="left"/>
      </w:pPr>
      <w:r w:rsidRPr="00A42EEC">
        <w:rPr>
          <w:vertAlign w:val="superscript"/>
        </w:rPr>
        <w:t>g</w:t>
      </w:r>
      <w:r w:rsidRPr="00A42EEC">
        <w:rPr>
          <w:vertAlign w:val="superscript"/>
        </w:rPr>
        <w:tab/>
      </w:r>
      <w:r w:rsidRPr="00A42EEC">
        <w:t>Includes terms dyspn</w:t>
      </w:r>
      <w:r w:rsidR="007968E0" w:rsidRPr="00A42EEC">
        <w:t>o</w:t>
      </w:r>
      <w:r w:rsidRPr="00A42EEC">
        <w:t>ea and dyspn</w:t>
      </w:r>
      <w:r w:rsidR="007968E0" w:rsidRPr="00A42EEC">
        <w:t>o</w:t>
      </w:r>
      <w:r w:rsidRPr="00A42EEC">
        <w:t>ea exertional</w:t>
      </w:r>
    </w:p>
    <w:p w14:paraId="05DA6948" w14:textId="77777777" w:rsidR="0068224E" w:rsidRPr="00A42EEC" w:rsidRDefault="0068224E" w:rsidP="00A91D9E">
      <w:pPr>
        <w:pStyle w:val="BMSBodyText"/>
        <w:tabs>
          <w:tab w:val="left" w:pos="270"/>
        </w:tabs>
        <w:spacing w:after="0" w:line="240" w:lineRule="auto"/>
        <w:jc w:val="left"/>
        <w:rPr>
          <w:sz w:val="20"/>
          <w:lang w:eastAsia="x-none"/>
        </w:rPr>
      </w:pPr>
      <w:r w:rsidRPr="00A42EEC">
        <w:rPr>
          <w:sz w:val="20"/>
          <w:vertAlign w:val="superscript"/>
        </w:rPr>
        <w:t>h</w:t>
      </w:r>
      <w:r w:rsidRPr="00A42EEC">
        <w:rPr>
          <w:sz w:val="20"/>
        </w:rPr>
        <w:tab/>
      </w:r>
      <w:r w:rsidRPr="00A42EEC">
        <w:rPr>
          <w:sz w:val="20"/>
          <w:lang w:eastAsia="x-none"/>
        </w:rPr>
        <w:t>Includes terms productive cough, cough, and upper-airway cough syndrome</w:t>
      </w:r>
    </w:p>
    <w:p w14:paraId="4A482594" w14:textId="46FB06A6" w:rsidR="000D4742" w:rsidRPr="00A42EEC" w:rsidRDefault="0068224E" w:rsidP="00A91D9E">
      <w:pPr>
        <w:pStyle w:val="BMSTableNoteInfo"/>
        <w:spacing w:before="0"/>
        <w:jc w:val="left"/>
      </w:pPr>
      <w:proofErr w:type="gramStart"/>
      <w:r w:rsidRPr="00A42EEC">
        <w:rPr>
          <w:rStyle w:val="BMSSuperscript"/>
          <w:sz w:val="20"/>
        </w:rPr>
        <w:t>i</w:t>
      </w:r>
      <w:r w:rsidRPr="00A42EEC">
        <w:tab/>
      </w:r>
      <w:r w:rsidR="000D4742" w:rsidRPr="00A42EEC">
        <w:t>Includes</w:t>
      </w:r>
      <w:proofErr w:type="gramEnd"/>
      <w:r w:rsidR="000D4742" w:rsidRPr="00A42EEC">
        <w:t xml:space="preserve"> terms fatigue and asthenia </w:t>
      </w:r>
    </w:p>
    <w:p w14:paraId="4CD66B6B" w14:textId="1E949B0F" w:rsidR="000D4742" w:rsidRPr="00A42EEC" w:rsidRDefault="000D4742" w:rsidP="00A91D9E">
      <w:pPr>
        <w:pStyle w:val="BMSTableNoteInfo"/>
        <w:spacing w:before="0"/>
        <w:jc w:val="left"/>
      </w:pPr>
      <w:r>
        <w:rPr>
          <w:rStyle w:val="BMSSuperscript"/>
          <w:sz w:val="20"/>
        </w:rPr>
        <w:t>j</w:t>
      </w:r>
      <w:r w:rsidRPr="00A42EEC">
        <w:tab/>
        <w:t xml:space="preserve">Includes terms generalised oedema, periorbital oedema, </w:t>
      </w:r>
      <w:proofErr w:type="spellStart"/>
      <w:r w:rsidRPr="00A42EEC">
        <w:t>localised</w:t>
      </w:r>
      <w:proofErr w:type="spellEnd"/>
      <w:r w:rsidRPr="00A42EEC">
        <w:t xml:space="preserve"> </w:t>
      </w:r>
      <w:r w:rsidR="00715E17">
        <w:t>o</w:t>
      </w:r>
      <w:r w:rsidRPr="00A42EEC">
        <w:t>edema, face oedema, oedema peripheral, oedema, eye oedema, scrotal oedema</w:t>
      </w:r>
    </w:p>
    <w:p w14:paraId="58E3BABE" w14:textId="77777777" w:rsidR="000D4742" w:rsidRPr="00A42EEC" w:rsidRDefault="000D4742" w:rsidP="00A91D9E">
      <w:pPr>
        <w:pStyle w:val="BMSTableNoteInfo"/>
        <w:spacing w:before="0"/>
        <w:jc w:val="left"/>
      </w:pPr>
      <w:r>
        <w:rPr>
          <w:vertAlign w:val="superscript"/>
        </w:rPr>
        <w:t>k</w:t>
      </w:r>
      <w:r w:rsidRPr="00A42EEC">
        <w:rPr>
          <w:vertAlign w:val="superscript"/>
        </w:rPr>
        <w:tab/>
      </w:r>
      <w:r w:rsidRPr="00A42EEC">
        <w:t>Includes terms myalgia, myositis, musculoskeletal discomfort, musculoskeletal pain</w:t>
      </w:r>
    </w:p>
    <w:p w14:paraId="337FE0D1" w14:textId="77777777" w:rsidR="000D4742" w:rsidRPr="00A42EEC" w:rsidRDefault="000D4742" w:rsidP="00A91D9E">
      <w:pPr>
        <w:pStyle w:val="BMSTableNoteInfo"/>
        <w:spacing w:before="0"/>
        <w:jc w:val="left"/>
      </w:pPr>
      <w:r>
        <w:rPr>
          <w:vertAlign w:val="superscript"/>
        </w:rPr>
        <w:t>l</w:t>
      </w:r>
      <w:r w:rsidRPr="00A42EEC">
        <w:tab/>
        <w:t xml:space="preserve">Includes terms vision blurred, dry eye, visual impairment, visual field defect, cataract, conjunctivitis, eye pain, photophobia, photosensitivity reaction, visual acuity reduced, vitreous floaters, blepharospasm, colour blindness, diplopia, eye </w:t>
      </w:r>
      <w:proofErr w:type="spellStart"/>
      <w:r w:rsidRPr="00A42EEC">
        <w:t>h</w:t>
      </w:r>
      <w:r>
        <w:t>a</w:t>
      </w:r>
      <w:r w:rsidRPr="00A42EEC">
        <w:t>ematoma</w:t>
      </w:r>
      <w:proofErr w:type="spellEnd"/>
      <w:r w:rsidRPr="00A42EEC">
        <w:t>, eye swelling, eyelid disorder, eyelid injury, eyelids pruritus, glaucoma, night blindness, ophthalmic herpes zoster</w:t>
      </w:r>
    </w:p>
    <w:p w14:paraId="3EC3A86E" w14:textId="77777777" w:rsidR="00BB5683" w:rsidRDefault="00BB5683" w:rsidP="00A91D9E">
      <w:pPr>
        <w:jc w:val="left"/>
      </w:pPr>
    </w:p>
    <w:p w14:paraId="51ABA965" w14:textId="43E559F5" w:rsidR="00D509B9" w:rsidRDefault="00D509B9" w:rsidP="00A91D9E">
      <w:pPr>
        <w:pStyle w:val="BMSBodyText"/>
        <w:jc w:val="left"/>
        <w:rPr>
          <w:sz w:val="22"/>
          <w:szCs w:val="22"/>
        </w:rPr>
      </w:pPr>
      <w:r w:rsidRPr="0098558A">
        <w:rPr>
          <w:sz w:val="22"/>
          <w:szCs w:val="22"/>
        </w:rPr>
        <w:t xml:space="preserve">Clinically relevant adverse events occurring in &lt;10% of </w:t>
      </w:r>
      <w:r w:rsidR="0047532F">
        <w:rPr>
          <w:sz w:val="22"/>
          <w:szCs w:val="22"/>
        </w:rPr>
        <w:t xml:space="preserve">ROS1 NSCLC </w:t>
      </w:r>
      <w:r w:rsidRPr="0098558A">
        <w:rPr>
          <w:sz w:val="22"/>
          <w:szCs w:val="22"/>
        </w:rPr>
        <w:t xml:space="preserve">patients receiving AUGTYRO were </w:t>
      </w:r>
      <w:r w:rsidR="00643515">
        <w:rPr>
          <w:sz w:val="22"/>
          <w:szCs w:val="22"/>
        </w:rPr>
        <w:t>pneumonia (</w:t>
      </w:r>
      <w:r w:rsidR="00C85BA8">
        <w:rPr>
          <w:sz w:val="22"/>
          <w:szCs w:val="22"/>
        </w:rPr>
        <w:t>8.1%</w:t>
      </w:r>
      <w:r w:rsidR="00643515">
        <w:rPr>
          <w:sz w:val="22"/>
          <w:szCs w:val="22"/>
        </w:rPr>
        <w:t xml:space="preserve">), </w:t>
      </w:r>
      <w:r w:rsidRPr="0098558A">
        <w:rPr>
          <w:sz w:val="22"/>
          <w:szCs w:val="22"/>
        </w:rPr>
        <w:t>vomiting (9.7%), decreased appetite (8.4%), pyrexia (7.8%) and fall (</w:t>
      </w:r>
      <w:r w:rsidR="002B3B00">
        <w:rPr>
          <w:sz w:val="22"/>
          <w:szCs w:val="22"/>
        </w:rPr>
        <w:t>2.8</w:t>
      </w:r>
      <w:r w:rsidRPr="0098558A">
        <w:rPr>
          <w:sz w:val="22"/>
          <w:szCs w:val="22"/>
        </w:rPr>
        <w:t>%)</w:t>
      </w:r>
      <w:bookmarkStart w:id="7" w:name="_Hlk118293580"/>
      <w:r w:rsidRPr="0098558A">
        <w:rPr>
          <w:sz w:val="22"/>
          <w:szCs w:val="22"/>
        </w:rPr>
        <w:t>.</w:t>
      </w:r>
      <w:bookmarkEnd w:id="7"/>
    </w:p>
    <w:p w14:paraId="37841FD1" w14:textId="77777777" w:rsidR="00667DC3" w:rsidRDefault="00667DC3" w:rsidP="00A91D9E">
      <w:pPr>
        <w:pStyle w:val="BMSBodyText"/>
        <w:jc w:val="left"/>
        <w:rPr>
          <w:sz w:val="22"/>
          <w:szCs w:val="22"/>
        </w:rPr>
      </w:pPr>
    </w:p>
    <w:p w14:paraId="08DC45E3" w14:textId="77777777" w:rsidR="00667DC3" w:rsidRPr="00A91D9E" w:rsidRDefault="00667DC3" w:rsidP="00A91D9E">
      <w:pPr>
        <w:pStyle w:val="Heading3"/>
      </w:pPr>
      <w:r w:rsidRPr="00A91D9E">
        <w:t>Description of selected adverse events</w:t>
      </w:r>
    </w:p>
    <w:p w14:paraId="6A945C7E" w14:textId="2DBAD8D7" w:rsidR="00667DC3" w:rsidRPr="004E0F60" w:rsidRDefault="00667DC3" w:rsidP="00A91D9E">
      <w:pPr>
        <w:pStyle w:val="Heading4"/>
        <w:rPr>
          <w:rFonts w:hint="eastAsia"/>
        </w:rPr>
      </w:pPr>
      <w:r>
        <w:t xml:space="preserve">Central </w:t>
      </w:r>
      <w:r w:rsidR="00DA1E2F">
        <w:t>n</w:t>
      </w:r>
      <w:r>
        <w:t xml:space="preserve">ervous </w:t>
      </w:r>
      <w:r w:rsidR="00DA1E2F">
        <w:t>s</w:t>
      </w:r>
      <w:r>
        <w:t>ystem (CNS)</w:t>
      </w:r>
      <w:r w:rsidR="0093266D">
        <w:t xml:space="preserve"> reactions</w:t>
      </w:r>
    </w:p>
    <w:p w14:paraId="1F75785A" w14:textId="03671F6D" w:rsidR="007D0A2E" w:rsidRPr="003627CB" w:rsidRDefault="007D0A2E" w:rsidP="00A91D9E">
      <w:pPr>
        <w:pStyle w:val="BMSBodyText"/>
        <w:spacing w:line="240" w:lineRule="auto"/>
        <w:jc w:val="left"/>
        <w:rPr>
          <w:sz w:val="22"/>
          <w:szCs w:val="22"/>
        </w:rPr>
      </w:pPr>
      <w:r w:rsidRPr="003627CB">
        <w:rPr>
          <w:sz w:val="22"/>
          <w:szCs w:val="22"/>
        </w:rPr>
        <w:t>Among the 320 patients who received AUGTYRO in Study TRIDENT-1, a broad spectrum of central nervous system (CNS) adverse events including dizziness, ataxia, and cognitive disorders occurred</w:t>
      </w:r>
      <w:bookmarkStart w:id="8" w:name="_Hlk142987871"/>
      <w:r w:rsidRPr="003627CB">
        <w:rPr>
          <w:sz w:val="22"/>
          <w:szCs w:val="22"/>
        </w:rPr>
        <w:t xml:space="preserve"> in 77% of patients, with Grade 3 or 4 events occurring in 3.</w:t>
      </w:r>
      <w:r w:rsidR="00F2726D">
        <w:rPr>
          <w:sz w:val="22"/>
          <w:szCs w:val="22"/>
        </w:rPr>
        <w:t>8</w:t>
      </w:r>
      <w:r w:rsidRPr="003627CB">
        <w:rPr>
          <w:sz w:val="22"/>
          <w:szCs w:val="22"/>
        </w:rPr>
        <w:t xml:space="preserve">% of patients. </w:t>
      </w:r>
      <w:bookmarkEnd w:id="8"/>
    </w:p>
    <w:p w14:paraId="7896DB93" w14:textId="09E1000B" w:rsidR="007D0A2E" w:rsidRPr="00293494" w:rsidRDefault="007D0A2E" w:rsidP="00A91D9E">
      <w:pPr>
        <w:pStyle w:val="BMSBodyText"/>
        <w:spacing w:line="240" w:lineRule="auto"/>
        <w:jc w:val="left"/>
        <w:rPr>
          <w:sz w:val="22"/>
          <w:szCs w:val="22"/>
        </w:rPr>
      </w:pPr>
      <w:r w:rsidRPr="003627CB">
        <w:rPr>
          <w:sz w:val="22"/>
          <w:szCs w:val="22"/>
        </w:rPr>
        <w:t>Dizziness, including vertigo, occurred in 6</w:t>
      </w:r>
      <w:r w:rsidR="00084291">
        <w:rPr>
          <w:sz w:val="22"/>
          <w:szCs w:val="22"/>
        </w:rPr>
        <w:t>1.6</w:t>
      </w:r>
      <w:r w:rsidRPr="003627CB">
        <w:rPr>
          <w:sz w:val="22"/>
          <w:szCs w:val="22"/>
        </w:rPr>
        <w:t>% of patients; Grade 3 dizziness occurred in 1.</w:t>
      </w:r>
      <w:r w:rsidR="000273C8">
        <w:rPr>
          <w:sz w:val="22"/>
          <w:szCs w:val="22"/>
        </w:rPr>
        <w:t>6</w:t>
      </w:r>
      <w:r w:rsidRPr="003627CB">
        <w:rPr>
          <w:sz w:val="22"/>
          <w:szCs w:val="22"/>
        </w:rPr>
        <w:t xml:space="preserve">% of patients. </w:t>
      </w:r>
      <w:r w:rsidRPr="00293494">
        <w:rPr>
          <w:sz w:val="22"/>
          <w:szCs w:val="22"/>
        </w:rPr>
        <w:t xml:space="preserve">The median time to onset was 7 days (1 day to </w:t>
      </w:r>
      <w:r w:rsidR="00F9184A">
        <w:rPr>
          <w:sz w:val="22"/>
          <w:szCs w:val="22"/>
        </w:rPr>
        <w:t>1.4 years</w:t>
      </w:r>
      <w:r w:rsidRPr="00293494">
        <w:rPr>
          <w:sz w:val="22"/>
          <w:szCs w:val="22"/>
        </w:rPr>
        <w:t xml:space="preserve">). Dose interruption was required in 6.9% of patients, and 9.4% required dose reduction of AUGTYRO due to dizziness. </w:t>
      </w:r>
    </w:p>
    <w:p w14:paraId="4E729029" w14:textId="03929A4F" w:rsidR="007D0A2E" w:rsidRPr="003627CB" w:rsidRDefault="007D0A2E" w:rsidP="00A91D9E">
      <w:pPr>
        <w:pStyle w:val="BMSBodyText"/>
        <w:jc w:val="left"/>
        <w:rPr>
          <w:sz w:val="22"/>
          <w:szCs w:val="22"/>
        </w:rPr>
      </w:pPr>
      <w:r w:rsidRPr="00293494">
        <w:rPr>
          <w:sz w:val="22"/>
          <w:szCs w:val="22"/>
        </w:rPr>
        <w:t xml:space="preserve">Ataxia, including gait disturbance and balance disorder, occurred in </w:t>
      </w:r>
      <w:r w:rsidR="00C22CF6" w:rsidRPr="00293494">
        <w:rPr>
          <w:sz w:val="22"/>
          <w:szCs w:val="22"/>
        </w:rPr>
        <w:t>28</w:t>
      </w:r>
      <w:r w:rsidR="00FE791D" w:rsidRPr="00293494">
        <w:rPr>
          <w:sz w:val="22"/>
          <w:szCs w:val="22"/>
        </w:rPr>
        <w:t>.0</w:t>
      </w:r>
      <w:r w:rsidRPr="00293494">
        <w:rPr>
          <w:sz w:val="22"/>
          <w:szCs w:val="22"/>
        </w:rPr>
        <w:t>% of patients; Grade 3 ataxia occurred in 0.</w:t>
      </w:r>
      <w:r w:rsidR="00FE791D" w:rsidRPr="00293494">
        <w:rPr>
          <w:sz w:val="22"/>
          <w:szCs w:val="22"/>
        </w:rPr>
        <w:t>6</w:t>
      </w:r>
      <w:r w:rsidRPr="00293494">
        <w:rPr>
          <w:sz w:val="22"/>
          <w:szCs w:val="22"/>
        </w:rPr>
        <w:t>% of patients. The median time to onset was 18</w:t>
      </w:r>
      <w:r w:rsidR="008B0250" w:rsidRPr="00293494">
        <w:rPr>
          <w:sz w:val="22"/>
          <w:szCs w:val="22"/>
        </w:rPr>
        <w:t xml:space="preserve"> </w:t>
      </w:r>
      <w:r w:rsidRPr="00293494">
        <w:rPr>
          <w:sz w:val="22"/>
          <w:szCs w:val="22"/>
        </w:rPr>
        <w:t>days (1 day to 589 days). Dose interruption was required in 5% of patients, 7% required dose reduction, and one patient (0.3%) permanently discontinued AUGTYRO due to ataxia.</w:t>
      </w:r>
    </w:p>
    <w:p w14:paraId="1C11552E" w14:textId="4E02A412" w:rsidR="007D0A2E" w:rsidRPr="003627CB" w:rsidRDefault="007D0A2E" w:rsidP="00A91D9E">
      <w:pPr>
        <w:pStyle w:val="BMSBodyText"/>
        <w:jc w:val="left"/>
        <w:rPr>
          <w:sz w:val="22"/>
          <w:szCs w:val="22"/>
        </w:rPr>
      </w:pPr>
      <w:bookmarkStart w:id="9" w:name="_Hlk115441931"/>
      <w:r w:rsidRPr="003627CB">
        <w:rPr>
          <w:sz w:val="22"/>
          <w:szCs w:val="22"/>
        </w:rPr>
        <w:t>Cognitive disorders, including memory impairment and disturbance in attention, occurred in 24% of patients. Cognitive impairment included memory impairment (14%), disturbance in attention (11%), and confusional state (1.6%); Grade 3 cognitive disorders occurred in 0.9% of patients.</w:t>
      </w:r>
      <w:r w:rsidR="00193B02" w:rsidRPr="003627CB">
        <w:rPr>
          <w:sz w:val="22"/>
          <w:szCs w:val="22"/>
        </w:rPr>
        <w:t xml:space="preserve"> </w:t>
      </w:r>
      <w:r w:rsidRPr="003627CB">
        <w:rPr>
          <w:sz w:val="22"/>
          <w:szCs w:val="22"/>
        </w:rPr>
        <w:t xml:space="preserve">The median time to onset of cognitive disorders was 38 days (1 day to 519 days). </w:t>
      </w:r>
      <w:proofErr w:type="gramStart"/>
      <w:r w:rsidRPr="003627CB">
        <w:rPr>
          <w:sz w:val="22"/>
          <w:szCs w:val="22"/>
        </w:rPr>
        <w:t>Dose interruption</w:t>
      </w:r>
      <w:proofErr w:type="gramEnd"/>
      <w:r w:rsidRPr="003627CB">
        <w:rPr>
          <w:sz w:val="22"/>
          <w:szCs w:val="22"/>
        </w:rPr>
        <w:t xml:space="preserve"> was required in 1.9% of patients, 2.2% required dose reduction, and 0.3% patients permanently discontinued AUGTYRO due to cognitive adverse </w:t>
      </w:r>
      <w:r w:rsidR="00FA4EB4">
        <w:rPr>
          <w:sz w:val="22"/>
          <w:szCs w:val="22"/>
        </w:rPr>
        <w:t>events</w:t>
      </w:r>
      <w:r w:rsidRPr="003627CB">
        <w:rPr>
          <w:sz w:val="22"/>
          <w:szCs w:val="22"/>
        </w:rPr>
        <w:t>.</w:t>
      </w:r>
    </w:p>
    <w:bookmarkEnd w:id="9"/>
    <w:p w14:paraId="5FFD88D8" w14:textId="3E7B7092" w:rsidR="007D0A2E" w:rsidRPr="003627CB" w:rsidRDefault="007D0A2E" w:rsidP="00A91D9E">
      <w:pPr>
        <w:pStyle w:val="BMSBodyText"/>
        <w:jc w:val="left"/>
        <w:rPr>
          <w:sz w:val="22"/>
          <w:szCs w:val="22"/>
        </w:rPr>
      </w:pPr>
      <w:r w:rsidRPr="003627CB">
        <w:rPr>
          <w:sz w:val="22"/>
          <w:szCs w:val="22"/>
        </w:rPr>
        <w:t xml:space="preserve">Mood disorders occurred in 6% of patients. Mood disorders occurring in &gt;1% of patients included anxiety (3.1%); Grade 4 mood disorders (mania) occurred in 0.3% of patients. </w:t>
      </w:r>
      <w:proofErr w:type="gramStart"/>
      <w:r w:rsidRPr="003627CB">
        <w:rPr>
          <w:sz w:val="22"/>
          <w:szCs w:val="22"/>
        </w:rPr>
        <w:t>Dose interruption</w:t>
      </w:r>
      <w:proofErr w:type="gramEnd"/>
      <w:r w:rsidRPr="003627CB">
        <w:rPr>
          <w:sz w:val="22"/>
          <w:szCs w:val="22"/>
        </w:rPr>
        <w:t xml:space="preserve"> was required in 0.3% of patients and 0.2% of patients required a dose reduction due to mood disorders.</w:t>
      </w:r>
    </w:p>
    <w:p w14:paraId="1C77BD15" w14:textId="77777777" w:rsidR="007D0A2E" w:rsidRPr="003627CB" w:rsidRDefault="007D0A2E" w:rsidP="00A91D9E">
      <w:pPr>
        <w:pStyle w:val="BMSBodyText"/>
        <w:jc w:val="left"/>
        <w:rPr>
          <w:sz w:val="22"/>
          <w:szCs w:val="22"/>
        </w:rPr>
      </w:pPr>
      <w:r w:rsidRPr="003627CB">
        <w:rPr>
          <w:sz w:val="22"/>
          <w:szCs w:val="22"/>
        </w:rPr>
        <w:t xml:space="preserve">Sleep disorders including insomnia and hypersomnia occurred in 17% of patients. Sleep disorders observed in &gt; 1% of patients were </w:t>
      </w:r>
      <w:proofErr w:type="gramStart"/>
      <w:r w:rsidRPr="003627CB">
        <w:rPr>
          <w:sz w:val="22"/>
          <w:szCs w:val="22"/>
        </w:rPr>
        <w:t>somnolence</w:t>
      </w:r>
      <w:proofErr w:type="gramEnd"/>
      <w:r w:rsidRPr="003627CB">
        <w:rPr>
          <w:sz w:val="22"/>
          <w:szCs w:val="22"/>
        </w:rPr>
        <w:t xml:space="preserve"> (8%), insomnia (6%) and hypersomnia (1.6%). Dose interruption was required in 0% of patients, and 0% of patients required a dose reduction due to sleep disorders.</w:t>
      </w:r>
    </w:p>
    <w:p w14:paraId="68EF03B8" w14:textId="389D96B6" w:rsidR="00667DC3" w:rsidRPr="00B77B13" w:rsidRDefault="007D0A2E" w:rsidP="00A91D9E">
      <w:pPr>
        <w:pStyle w:val="BMSBodyText"/>
        <w:jc w:val="left"/>
        <w:rPr>
          <w:sz w:val="22"/>
          <w:szCs w:val="22"/>
        </w:rPr>
      </w:pPr>
      <w:r w:rsidRPr="003627CB">
        <w:rPr>
          <w:sz w:val="22"/>
          <w:szCs w:val="22"/>
        </w:rPr>
        <w:t>The incidences of CNS adverse reactions observed were similar in patients with and without CNS metastases.</w:t>
      </w:r>
    </w:p>
    <w:p w14:paraId="361345E3" w14:textId="5981B2C2" w:rsidR="00667DC3" w:rsidRPr="000A4651" w:rsidRDefault="00667DC3" w:rsidP="00A91D9E">
      <w:pPr>
        <w:pStyle w:val="Heading4"/>
        <w:rPr>
          <w:rFonts w:hint="eastAsia"/>
        </w:rPr>
      </w:pPr>
      <w:r>
        <w:lastRenderedPageBreak/>
        <w:t xml:space="preserve">Interstitial </w:t>
      </w:r>
      <w:r w:rsidR="0093266D">
        <w:t>l</w:t>
      </w:r>
      <w:r>
        <w:t xml:space="preserve">ung </w:t>
      </w:r>
      <w:r w:rsidR="0093266D">
        <w:t>d</w:t>
      </w:r>
      <w:r>
        <w:t>isease (ILD)/</w:t>
      </w:r>
      <w:r w:rsidR="0093266D">
        <w:t>p</w:t>
      </w:r>
      <w:r>
        <w:t>neumonitis</w:t>
      </w:r>
    </w:p>
    <w:p w14:paraId="61E883C3" w14:textId="6B68455C" w:rsidR="00667DC3" w:rsidRDefault="00B77B13" w:rsidP="00A91D9E">
      <w:pPr>
        <w:pStyle w:val="BMSBodyText"/>
        <w:jc w:val="left"/>
        <w:rPr>
          <w:sz w:val="22"/>
          <w:szCs w:val="22"/>
        </w:rPr>
      </w:pPr>
      <w:r w:rsidRPr="00B77B13">
        <w:rPr>
          <w:sz w:val="22"/>
          <w:szCs w:val="22"/>
        </w:rPr>
        <w:t xml:space="preserve">Among the 320 patients treated with AUGTYRO, ILD/pneumonitis (pneumonitis [2.8%] and ILD [0%]) occurred in 2.8% of patients; Grade 3 ILD/pneumonitis occurred in 1.3% of patients. The median time to onset was 42 days (19 days to 356 days). </w:t>
      </w:r>
      <w:proofErr w:type="gramStart"/>
      <w:r w:rsidRPr="00B77B13">
        <w:rPr>
          <w:sz w:val="22"/>
          <w:szCs w:val="22"/>
        </w:rPr>
        <w:t>Dose interruption</w:t>
      </w:r>
      <w:proofErr w:type="gramEnd"/>
      <w:r w:rsidRPr="00B77B13">
        <w:rPr>
          <w:sz w:val="22"/>
          <w:szCs w:val="22"/>
        </w:rPr>
        <w:t xml:space="preserve"> was required in 1.9% of patients, 0.5% of patients required dose reduction, and 0.6% of patients permanently discontinued AUGTYRO due to ILD/pneumonitis.</w:t>
      </w:r>
    </w:p>
    <w:p w14:paraId="0EC2CC73" w14:textId="77777777" w:rsidR="00667DC3" w:rsidRPr="000A4651" w:rsidRDefault="00667DC3" w:rsidP="00A91D9E">
      <w:pPr>
        <w:pStyle w:val="Heading4"/>
        <w:rPr>
          <w:rFonts w:hint="eastAsia"/>
        </w:rPr>
      </w:pPr>
      <w:r>
        <w:t>Hepatotoxicity</w:t>
      </w:r>
    </w:p>
    <w:p w14:paraId="6194C6D8" w14:textId="23796C71" w:rsidR="00667DC3" w:rsidRDefault="00E4123C" w:rsidP="00A91D9E">
      <w:pPr>
        <w:pStyle w:val="BMSBodyText"/>
        <w:jc w:val="left"/>
        <w:rPr>
          <w:sz w:val="22"/>
          <w:szCs w:val="22"/>
        </w:rPr>
      </w:pPr>
      <w:r w:rsidRPr="00E4123C">
        <w:rPr>
          <w:sz w:val="22"/>
          <w:szCs w:val="22"/>
        </w:rPr>
        <w:t>Among the 320 patients treated with AUGTYRO, increased alanine transaminase (ALT) occurred in 25%, increased aspartate aminotransferase (AST) occurred in 22%, including Grade 3 or 4 increased ALT in 1.6% and increased AST in 1.6%. The median time to onset of increased ALT or AST was 15 days (range: 1 day to 729 days). Increased ALT or AST leading to dose interruptions or reductions occurred in 2.2% and 0.6% of patients, respectively.</w:t>
      </w:r>
    </w:p>
    <w:p w14:paraId="143D26F6" w14:textId="77777777" w:rsidR="00667DC3" w:rsidRPr="000A4651" w:rsidRDefault="00667DC3" w:rsidP="00A91D9E">
      <w:pPr>
        <w:pStyle w:val="Heading4"/>
        <w:rPr>
          <w:rFonts w:hint="eastAsia"/>
        </w:rPr>
      </w:pPr>
      <w:r>
        <w:t xml:space="preserve">Myalgia with creatinine phosphokinase (CPK) elevation </w:t>
      </w:r>
    </w:p>
    <w:p w14:paraId="402F78C1" w14:textId="32CCEAB4" w:rsidR="00667DC3" w:rsidRDefault="00C2351B" w:rsidP="00A91D9E">
      <w:pPr>
        <w:pStyle w:val="BMSBodyText"/>
        <w:jc w:val="left"/>
        <w:rPr>
          <w:sz w:val="22"/>
          <w:szCs w:val="22"/>
        </w:rPr>
      </w:pPr>
      <w:r w:rsidRPr="00C2351B">
        <w:rPr>
          <w:sz w:val="22"/>
          <w:szCs w:val="22"/>
        </w:rPr>
        <w:t>Among the 320 patients treated with AUGTYRO, myalgia occurred in 12% of patients, with Grade 3 in 0.6%. Median time to onset of myalgia was 40</w:t>
      </w:r>
      <w:r>
        <w:rPr>
          <w:sz w:val="22"/>
          <w:szCs w:val="22"/>
        </w:rPr>
        <w:t xml:space="preserve"> </w:t>
      </w:r>
      <w:r w:rsidRPr="00C2351B">
        <w:rPr>
          <w:sz w:val="22"/>
          <w:szCs w:val="22"/>
        </w:rPr>
        <w:t>days (range: 3 day</w:t>
      </w:r>
      <w:r w:rsidR="002B6741">
        <w:rPr>
          <w:sz w:val="22"/>
          <w:szCs w:val="22"/>
        </w:rPr>
        <w:t>s</w:t>
      </w:r>
      <w:r w:rsidRPr="00C2351B">
        <w:rPr>
          <w:sz w:val="22"/>
          <w:szCs w:val="22"/>
        </w:rPr>
        <w:t xml:space="preserve"> to 731 days). Concurrent increased CPK within a 7-day window was observed in 3.7% of patients. AUGTYRO was interrupted in 1.3% </w:t>
      </w:r>
      <w:r w:rsidR="00B55098">
        <w:rPr>
          <w:sz w:val="22"/>
          <w:szCs w:val="22"/>
        </w:rPr>
        <w:t xml:space="preserve">of </w:t>
      </w:r>
      <w:r w:rsidRPr="00C2351B">
        <w:rPr>
          <w:sz w:val="22"/>
          <w:szCs w:val="22"/>
        </w:rPr>
        <w:t>patient</w:t>
      </w:r>
      <w:r w:rsidR="00B55098">
        <w:rPr>
          <w:sz w:val="22"/>
          <w:szCs w:val="22"/>
        </w:rPr>
        <w:t>s</w:t>
      </w:r>
      <w:r w:rsidRPr="00C2351B">
        <w:rPr>
          <w:sz w:val="22"/>
          <w:szCs w:val="22"/>
        </w:rPr>
        <w:t xml:space="preserve"> with myalgia</w:t>
      </w:r>
      <w:r w:rsidR="00B55098">
        <w:rPr>
          <w:sz w:val="22"/>
          <w:szCs w:val="22"/>
        </w:rPr>
        <w:t>.</w:t>
      </w:r>
    </w:p>
    <w:p w14:paraId="37E847F4" w14:textId="72C311FE" w:rsidR="00667DC3" w:rsidRPr="000A4651" w:rsidRDefault="00667DC3" w:rsidP="00A91D9E">
      <w:pPr>
        <w:pStyle w:val="Heading4"/>
        <w:rPr>
          <w:rFonts w:hint="eastAsia"/>
        </w:rPr>
      </w:pPr>
      <w:r>
        <w:t>Hyperuric</w:t>
      </w:r>
      <w:r w:rsidR="008030A8">
        <w:t>a</w:t>
      </w:r>
      <w:r>
        <w:t>emia</w:t>
      </w:r>
    </w:p>
    <w:p w14:paraId="1057862D" w14:textId="4A5ECA3C" w:rsidR="00667DC3" w:rsidRDefault="009136DE" w:rsidP="00A91D9E">
      <w:pPr>
        <w:pStyle w:val="BMSBodyText"/>
        <w:jc w:val="left"/>
        <w:rPr>
          <w:sz w:val="22"/>
          <w:szCs w:val="22"/>
        </w:rPr>
      </w:pPr>
      <w:r w:rsidRPr="009136DE">
        <w:rPr>
          <w:sz w:val="22"/>
          <w:szCs w:val="22"/>
        </w:rPr>
        <w:t xml:space="preserve">Among the 320 patients treated with AUGTYRO, 21 patients (4.1%) experienced </w:t>
      </w:r>
      <w:proofErr w:type="spellStart"/>
      <w:r w:rsidRPr="009136DE">
        <w:rPr>
          <w:sz w:val="22"/>
          <w:szCs w:val="22"/>
        </w:rPr>
        <w:t>hyperuric</w:t>
      </w:r>
      <w:r w:rsidR="008030A8">
        <w:rPr>
          <w:sz w:val="22"/>
          <w:szCs w:val="22"/>
        </w:rPr>
        <w:t>a</w:t>
      </w:r>
      <w:r w:rsidRPr="009136DE">
        <w:rPr>
          <w:sz w:val="22"/>
          <w:szCs w:val="22"/>
        </w:rPr>
        <w:t>emia</w:t>
      </w:r>
      <w:proofErr w:type="spellEnd"/>
      <w:r w:rsidRPr="009136DE">
        <w:rPr>
          <w:sz w:val="22"/>
          <w:szCs w:val="22"/>
        </w:rPr>
        <w:t xml:space="preserve"> reported as an adverse reaction and 0.3% of patients experienced Grade 3 or 4 </w:t>
      </w:r>
      <w:proofErr w:type="spellStart"/>
      <w:r w:rsidRPr="009136DE">
        <w:rPr>
          <w:sz w:val="22"/>
          <w:szCs w:val="22"/>
        </w:rPr>
        <w:t>hyperuric</w:t>
      </w:r>
      <w:r w:rsidR="008030A8">
        <w:rPr>
          <w:sz w:val="22"/>
          <w:szCs w:val="22"/>
        </w:rPr>
        <w:t>a</w:t>
      </w:r>
      <w:r w:rsidRPr="009136DE">
        <w:rPr>
          <w:sz w:val="22"/>
          <w:szCs w:val="22"/>
        </w:rPr>
        <w:t>emia</w:t>
      </w:r>
      <w:proofErr w:type="spellEnd"/>
      <w:r w:rsidRPr="009136DE">
        <w:rPr>
          <w:sz w:val="22"/>
          <w:szCs w:val="22"/>
        </w:rPr>
        <w:t>. One patient without pre-existing gout required urate-lowering medication.</w:t>
      </w:r>
    </w:p>
    <w:p w14:paraId="2FA17BE8" w14:textId="77777777" w:rsidR="00667DC3" w:rsidRPr="00DD54E9" w:rsidRDefault="00667DC3" w:rsidP="00A91D9E">
      <w:pPr>
        <w:pStyle w:val="Heading4"/>
        <w:rPr>
          <w:rFonts w:hint="eastAsia"/>
        </w:rPr>
      </w:pPr>
      <w:r w:rsidRPr="00DD54E9">
        <w:t>Skeletal fractures</w:t>
      </w:r>
    </w:p>
    <w:p w14:paraId="6E38CE31" w14:textId="06C4544C" w:rsidR="00667DC3" w:rsidRPr="0098558A" w:rsidRDefault="00520281" w:rsidP="00A91D9E">
      <w:pPr>
        <w:pStyle w:val="BMSBodyText"/>
        <w:jc w:val="left"/>
        <w:rPr>
          <w:sz w:val="22"/>
          <w:szCs w:val="22"/>
        </w:rPr>
      </w:pPr>
      <w:r w:rsidRPr="00520281">
        <w:rPr>
          <w:sz w:val="22"/>
          <w:szCs w:val="22"/>
        </w:rPr>
        <w:t>Among 320 adult patients who received AUGTYRO, fractures occurred in 2.5%. Fractures involved the ribs (0.6%), feet (0.3%), spine (0.3%), acetabulum (0.3%), sternum (0.3%), ankles (0.3%)</w:t>
      </w:r>
      <w:r>
        <w:rPr>
          <w:sz w:val="22"/>
          <w:szCs w:val="22"/>
        </w:rPr>
        <w:t xml:space="preserve"> and</w:t>
      </w:r>
      <w:r w:rsidRPr="00520281">
        <w:rPr>
          <w:sz w:val="22"/>
          <w:szCs w:val="22"/>
        </w:rPr>
        <w:t xml:space="preserve"> upper limb (0.3%). Some fractures occurred at sites of disease and prior radiation therapy. The median time to fracture was 71 days (range: 31 days to 496 days). AUGTYRO was interrupted in 0.6% of patients.</w:t>
      </w:r>
    </w:p>
    <w:p w14:paraId="2A7C805B" w14:textId="0A11992C" w:rsidR="008D17C6" w:rsidRPr="00D22003" w:rsidRDefault="00D22003" w:rsidP="00A91D9E">
      <w:pPr>
        <w:pStyle w:val="Caption"/>
        <w:keepNext/>
        <w:ind w:left="0" w:firstLine="0"/>
        <w:jc w:val="left"/>
        <w:rPr>
          <w:rFonts w:cs="Times New Roman"/>
          <w:b w:val="0"/>
          <w:bCs/>
          <w:sz w:val="24"/>
          <w:szCs w:val="24"/>
        </w:rPr>
      </w:pPr>
      <w:bookmarkStart w:id="10" w:name="_Ref160791123"/>
      <w:r w:rsidRPr="00D22003">
        <w:rPr>
          <w:sz w:val="24"/>
          <w:szCs w:val="24"/>
        </w:rPr>
        <w:t xml:space="preserve">Table </w:t>
      </w:r>
      <w:r w:rsidRPr="00D22003">
        <w:rPr>
          <w:sz w:val="24"/>
          <w:szCs w:val="24"/>
        </w:rPr>
        <w:fldChar w:fldCharType="begin"/>
      </w:r>
      <w:r w:rsidRPr="00D22003">
        <w:rPr>
          <w:sz w:val="24"/>
          <w:szCs w:val="24"/>
        </w:rPr>
        <w:instrText xml:space="preserve"> SEQ Table \* ARABIC </w:instrText>
      </w:r>
      <w:r w:rsidRPr="00D22003">
        <w:rPr>
          <w:sz w:val="24"/>
          <w:szCs w:val="24"/>
        </w:rPr>
        <w:fldChar w:fldCharType="separate"/>
      </w:r>
      <w:r w:rsidR="007D3B89">
        <w:rPr>
          <w:noProof/>
          <w:sz w:val="24"/>
          <w:szCs w:val="24"/>
        </w:rPr>
        <w:t>4</w:t>
      </w:r>
      <w:r w:rsidRPr="00D22003">
        <w:rPr>
          <w:sz w:val="24"/>
          <w:szCs w:val="24"/>
        </w:rPr>
        <w:fldChar w:fldCharType="end"/>
      </w:r>
      <w:bookmarkEnd w:id="10"/>
      <w:r w:rsidR="007F2F37" w:rsidRPr="00D22003">
        <w:rPr>
          <w:rFonts w:cs="Times New Roman"/>
          <w:b w:val="0"/>
          <w:bCs/>
          <w:sz w:val="24"/>
          <w:szCs w:val="24"/>
        </w:rPr>
        <w:t xml:space="preserve"> </w:t>
      </w:r>
      <w:r w:rsidR="008D17C6" w:rsidRPr="00D22003">
        <w:rPr>
          <w:rFonts w:cs="Times New Roman"/>
          <w:bCs/>
          <w:sz w:val="24"/>
          <w:szCs w:val="24"/>
        </w:rPr>
        <w:t xml:space="preserve">Laboratory Abnormalities (≥20%) Worsening from Baseline in </w:t>
      </w:r>
      <w:r w:rsidR="004C17E9">
        <w:rPr>
          <w:rFonts w:cs="Times New Roman"/>
          <w:bCs/>
          <w:sz w:val="24"/>
          <w:szCs w:val="24"/>
        </w:rPr>
        <w:t>ROS1</w:t>
      </w:r>
      <w:r w:rsidR="00FD70E2">
        <w:rPr>
          <w:rFonts w:cs="Times New Roman"/>
          <w:bCs/>
          <w:sz w:val="24"/>
          <w:szCs w:val="24"/>
        </w:rPr>
        <w:t>-</w:t>
      </w:r>
      <w:r w:rsidR="00D36F5D">
        <w:rPr>
          <w:rFonts w:cs="Times New Roman"/>
          <w:bCs/>
          <w:sz w:val="24"/>
          <w:szCs w:val="24"/>
        </w:rPr>
        <w:t>p</w:t>
      </w:r>
      <w:r w:rsidR="00FD70E2">
        <w:rPr>
          <w:rFonts w:cs="Times New Roman"/>
          <w:bCs/>
          <w:sz w:val="24"/>
          <w:szCs w:val="24"/>
        </w:rPr>
        <w:t xml:space="preserve">ositive NSCLC </w:t>
      </w:r>
      <w:r w:rsidR="008D17C6" w:rsidRPr="00D22003">
        <w:rPr>
          <w:rFonts w:cs="Times New Roman"/>
          <w:bCs/>
          <w:sz w:val="24"/>
          <w:szCs w:val="24"/>
        </w:rPr>
        <w:t xml:space="preserve">Patients </w:t>
      </w:r>
      <w:r w:rsidR="00FD70E2">
        <w:rPr>
          <w:rFonts w:cs="Times New Roman"/>
          <w:bCs/>
          <w:sz w:val="24"/>
          <w:szCs w:val="24"/>
        </w:rPr>
        <w:t>who received the recommended dose of AUGTYRO</w:t>
      </w:r>
      <w:r w:rsidR="00D36F5D">
        <w:rPr>
          <w:rFonts w:cs="Times New Roman"/>
          <w:bCs/>
          <w:sz w:val="24"/>
          <w:szCs w:val="24"/>
        </w:rPr>
        <w:t xml:space="preserve"> in TRIDENT-1</w:t>
      </w:r>
      <w:r w:rsidR="00FD70E2">
        <w:rPr>
          <w:rFonts w:cs="Times New Roman"/>
          <w:bCs/>
          <w:sz w:val="24"/>
          <w:szCs w:val="24"/>
        </w:rPr>
        <w:t>.</w:t>
      </w:r>
    </w:p>
    <w:tbl>
      <w:tblPr>
        <w:tblStyle w:val="TableGrid"/>
        <w:tblW w:w="0" w:type="auto"/>
        <w:tblLook w:val="04A0" w:firstRow="1" w:lastRow="0" w:firstColumn="1" w:lastColumn="0" w:noHBand="0" w:noVBand="1"/>
      </w:tblPr>
      <w:tblGrid>
        <w:gridCol w:w="2972"/>
        <w:gridCol w:w="3012"/>
        <w:gridCol w:w="3032"/>
      </w:tblGrid>
      <w:tr w:rsidR="00676A5B" w14:paraId="127A658D" w14:textId="0BA3123A" w:rsidTr="00A91D9E">
        <w:tc>
          <w:tcPr>
            <w:tcW w:w="2972" w:type="dxa"/>
          </w:tcPr>
          <w:p w14:paraId="61DF3B8E" w14:textId="4FEB34F5" w:rsidR="00676A5B" w:rsidRDefault="00676A5B" w:rsidP="00A91D9E">
            <w:pPr>
              <w:jc w:val="left"/>
              <w:rPr>
                <w:b/>
                <w:bCs/>
                <w:noProof/>
              </w:rPr>
            </w:pPr>
            <w:r w:rsidRPr="00B06624">
              <w:rPr>
                <w:b/>
                <w:bCs/>
                <w:noProof/>
              </w:rPr>
              <w:t>Laboratory Abnormality</w:t>
            </w:r>
          </w:p>
        </w:tc>
        <w:tc>
          <w:tcPr>
            <w:tcW w:w="6044" w:type="dxa"/>
            <w:gridSpan w:val="2"/>
          </w:tcPr>
          <w:p w14:paraId="246C2A06" w14:textId="5D7C3A97" w:rsidR="00676A5B" w:rsidRPr="00D3437D" w:rsidRDefault="00676A5B" w:rsidP="00A91D9E">
            <w:pPr>
              <w:jc w:val="left"/>
              <w:rPr>
                <w:b/>
                <w:bCs/>
                <w:noProof/>
              </w:rPr>
            </w:pPr>
            <w:r w:rsidRPr="00D3437D">
              <w:rPr>
                <w:b/>
                <w:bCs/>
                <w:noProof/>
              </w:rPr>
              <w:t>AUGTYRO (N=</w:t>
            </w:r>
            <w:r w:rsidR="00D922D3">
              <w:rPr>
                <w:b/>
                <w:bCs/>
                <w:noProof/>
              </w:rPr>
              <w:t>320</w:t>
            </w:r>
            <w:r w:rsidRPr="00D3437D">
              <w:rPr>
                <w:b/>
                <w:bCs/>
                <w:noProof/>
              </w:rPr>
              <w:t>)</w:t>
            </w:r>
          </w:p>
          <w:p w14:paraId="6494F25B" w14:textId="77777777" w:rsidR="00676A5B" w:rsidRDefault="00676A5B" w:rsidP="00A91D9E">
            <w:pPr>
              <w:jc w:val="left"/>
              <w:rPr>
                <w:b/>
                <w:bCs/>
                <w:noProof/>
              </w:rPr>
            </w:pPr>
            <w:r w:rsidRPr="00D3437D">
              <w:rPr>
                <w:b/>
                <w:bCs/>
                <w:noProof/>
              </w:rPr>
              <w:t>NCI CTCAE Grade</w:t>
            </w:r>
            <w:r w:rsidRPr="00D3437D">
              <w:rPr>
                <w:rFonts w:ascii="Times New Roman Bold" w:hAnsi="Times New Roman Bold"/>
                <w:b/>
                <w:bCs/>
                <w:noProof/>
                <w:vertAlign w:val="superscript"/>
              </w:rPr>
              <w:t>a</w:t>
            </w:r>
          </w:p>
          <w:p w14:paraId="09FEEE8D" w14:textId="23480360" w:rsidR="00676A5B" w:rsidRPr="00D3437D" w:rsidRDefault="00676A5B" w:rsidP="00A91D9E">
            <w:pPr>
              <w:jc w:val="left"/>
              <w:rPr>
                <w:b/>
                <w:bCs/>
                <w:noProof/>
              </w:rPr>
            </w:pPr>
          </w:p>
        </w:tc>
      </w:tr>
      <w:tr w:rsidR="00676A5B" w14:paraId="206992B8" w14:textId="77777777" w:rsidTr="00A91D9E">
        <w:tc>
          <w:tcPr>
            <w:tcW w:w="2972" w:type="dxa"/>
          </w:tcPr>
          <w:p w14:paraId="4B24AD45" w14:textId="77777777" w:rsidR="00676A5B" w:rsidRPr="00B06624" w:rsidRDefault="00676A5B" w:rsidP="00A91D9E">
            <w:pPr>
              <w:jc w:val="left"/>
              <w:rPr>
                <w:b/>
                <w:bCs/>
                <w:noProof/>
              </w:rPr>
            </w:pPr>
          </w:p>
        </w:tc>
        <w:tc>
          <w:tcPr>
            <w:tcW w:w="3012" w:type="dxa"/>
          </w:tcPr>
          <w:p w14:paraId="2B372D57" w14:textId="77777777" w:rsidR="00AA0DD8" w:rsidRDefault="00676A5B" w:rsidP="00A91D9E">
            <w:pPr>
              <w:jc w:val="left"/>
              <w:rPr>
                <w:b/>
                <w:bCs/>
                <w:noProof/>
              </w:rPr>
            </w:pPr>
            <w:r>
              <w:rPr>
                <w:b/>
                <w:bCs/>
                <w:noProof/>
              </w:rPr>
              <w:t xml:space="preserve">All Grade </w:t>
            </w:r>
          </w:p>
          <w:p w14:paraId="59180ACE" w14:textId="58435C42" w:rsidR="00676A5B" w:rsidRPr="00D3437D" w:rsidRDefault="00676A5B" w:rsidP="00A91D9E">
            <w:pPr>
              <w:jc w:val="left"/>
              <w:rPr>
                <w:b/>
                <w:bCs/>
                <w:noProof/>
              </w:rPr>
            </w:pPr>
            <w:r>
              <w:rPr>
                <w:b/>
                <w:bCs/>
                <w:noProof/>
              </w:rPr>
              <w:t>(%)</w:t>
            </w:r>
          </w:p>
        </w:tc>
        <w:tc>
          <w:tcPr>
            <w:tcW w:w="3032" w:type="dxa"/>
          </w:tcPr>
          <w:p w14:paraId="7B7996BD" w14:textId="77777777" w:rsidR="00AA0DD8" w:rsidRDefault="00676A5B" w:rsidP="00A91D9E">
            <w:pPr>
              <w:jc w:val="left"/>
              <w:rPr>
                <w:b/>
                <w:bCs/>
                <w:noProof/>
              </w:rPr>
            </w:pPr>
            <w:r>
              <w:rPr>
                <w:b/>
                <w:bCs/>
                <w:noProof/>
              </w:rPr>
              <w:t>Grade 3 or 4</w:t>
            </w:r>
            <w:r w:rsidR="00AA0DD8">
              <w:rPr>
                <w:b/>
                <w:bCs/>
                <w:noProof/>
              </w:rPr>
              <w:t xml:space="preserve"> </w:t>
            </w:r>
          </w:p>
          <w:p w14:paraId="0A635968" w14:textId="569A609F" w:rsidR="00676A5B" w:rsidRPr="00D3437D" w:rsidRDefault="00AA0DD8" w:rsidP="00A91D9E">
            <w:pPr>
              <w:jc w:val="left"/>
              <w:rPr>
                <w:b/>
                <w:bCs/>
                <w:noProof/>
              </w:rPr>
            </w:pPr>
            <w:r>
              <w:rPr>
                <w:b/>
                <w:bCs/>
                <w:noProof/>
              </w:rPr>
              <w:t>(%)</w:t>
            </w:r>
          </w:p>
        </w:tc>
      </w:tr>
      <w:tr w:rsidR="00676A5B" w14:paraId="3715245F" w14:textId="5FE94455" w:rsidTr="00906559">
        <w:tc>
          <w:tcPr>
            <w:tcW w:w="5984" w:type="dxa"/>
            <w:gridSpan w:val="2"/>
          </w:tcPr>
          <w:p w14:paraId="7C968FBC" w14:textId="51F3314B" w:rsidR="00676A5B" w:rsidRDefault="00676A5B" w:rsidP="00A91D9E">
            <w:pPr>
              <w:jc w:val="left"/>
              <w:rPr>
                <w:b/>
                <w:bCs/>
                <w:noProof/>
              </w:rPr>
            </w:pPr>
            <w:r w:rsidRPr="00677667">
              <w:rPr>
                <w:b/>
                <w:bCs/>
                <w:noProof/>
              </w:rPr>
              <w:t>H</w:t>
            </w:r>
            <w:r>
              <w:rPr>
                <w:b/>
                <w:bCs/>
                <w:noProof/>
              </w:rPr>
              <w:t>a</w:t>
            </w:r>
            <w:r w:rsidRPr="00677667">
              <w:rPr>
                <w:b/>
                <w:bCs/>
                <w:noProof/>
              </w:rPr>
              <w:t>ematology</w:t>
            </w:r>
          </w:p>
        </w:tc>
        <w:tc>
          <w:tcPr>
            <w:tcW w:w="3032" w:type="dxa"/>
          </w:tcPr>
          <w:p w14:paraId="12EF62FF" w14:textId="77777777" w:rsidR="00676A5B" w:rsidRPr="00677667" w:rsidRDefault="00676A5B" w:rsidP="00A91D9E">
            <w:pPr>
              <w:jc w:val="left"/>
              <w:rPr>
                <w:b/>
                <w:bCs/>
                <w:noProof/>
              </w:rPr>
            </w:pPr>
          </w:p>
        </w:tc>
      </w:tr>
      <w:tr w:rsidR="00676A5B" w14:paraId="37133648" w14:textId="0976F2E5" w:rsidTr="00A91D9E">
        <w:tc>
          <w:tcPr>
            <w:tcW w:w="2972" w:type="dxa"/>
          </w:tcPr>
          <w:p w14:paraId="41211AC4" w14:textId="450321E8" w:rsidR="00676A5B" w:rsidRPr="000C4523" w:rsidRDefault="00676A5B" w:rsidP="00A91D9E">
            <w:pPr>
              <w:jc w:val="left"/>
              <w:rPr>
                <w:noProof/>
              </w:rPr>
            </w:pPr>
            <w:r w:rsidRPr="00440D77">
              <w:t xml:space="preserve">Low Haemoglobin </w:t>
            </w:r>
          </w:p>
        </w:tc>
        <w:tc>
          <w:tcPr>
            <w:tcW w:w="3012" w:type="dxa"/>
          </w:tcPr>
          <w:p w14:paraId="2E0CAB45" w14:textId="1CB63A2B" w:rsidR="00676A5B" w:rsidRPr="000C4523" w:rsidRDefault="000243D8" w:rsidP="00A91D9E">
            <w:pPr>
              <w:jc w:val="left"/>
              <w:rPr>
                <w:noProof/>
              </w:rPr>
            </w:pPr>
            <w:r>
              <w:rPr>
                <w:noProof/>
              </w:rPr>
              <w:t>76.8</w:t>
            </w:r>
          </w:p>
        </w:tc>
        <w:tc>
          <w:tcPr>
            <w:tcW w:w="3032" w:type="dxa"/>
          </w:tcPr>
          <w:p w14:paraId="3350EA79" w14:textId="125D1DDF" w:rsidR="00676A5B" w:rsidRPr="000C4523" w:rsidRDefault="000803B1" w:rsidP="00A91D9E">
            <w:pPr>
              <w:jc w:val="left"/>
              <w:rPr>
                <w:noProof/>
              </w:rPr>
            </w:pPr>
            <w:r>
              <w:rPr>
                <w:noProof/>
              </w:rPr>
              <w:t>7.0</w:t>
            </w:r>
          </w:p>
        </w:tc>
      </w:tr>
      <w:tr w:rsidR="00676A5B" w14:paraId="543FE5DC" w14:textId="1376F197" w:rsidTr="00A91D9E">
        <w:tc>
          <w:tcPr>
            <w:tcW w:w="2972" w:type="dxa"/>
          </w:tcPr>
          <w:p w14:paraId="7716352E" w14:textId="5612B2A1" w:rsidR="00676A5B" w:rsidRPr="000C4523" w:rsidRDefault="00676A5B" w:rsidP="00A91D9E">
            <w:pPr>
              <w:jc w:val="left"/>
              <w:rPr>
                <w:noProof/>
              </w:rPr>
            </w:pPr>
            <w:r w:rsidRPr="00440D77">
              <w:t xml:space="preserve">Low Lymphocytes </w:t>
            </w:r>
          </w:p>
        </w:tc>
        <w:tc>
          <w:tcPr>
            <w:tcW w:w="3012" w:type="dxa"/>
          </w:tcPr>
          <w:p w14:paraId="2A031B6D" w14:textId="15E24842" w:rsidR="00676A5B" w:rsidRPr="000C4523" w:rsidRDefault="001A2875" w:rsidP="00A91D9E">
            <w:pPr>
              <w:jc w:val="left"/>
              <w:rPr>
                <w:noProof/>
              </w:rPr>
            </w:pPr>
            <w:r>
              <w:rPr>
                <w:noProof/>
              </w:rPr>
              <w:t>42.3</w:t>
            </w:r>
          </w:p>
        </w:tc>
        <w:tc>
          <w:tcPr>
            <w:tcW w:w="3032" w:type="dxa"/>
          </w:tcPr>
          <w:p w14:paraId="551ED8A3" w14:textId="780F1FDB" w:rsidR="00676A5B" w:rsidRPr="000C4523" w:rsidRDefault="001A2875" w:rsidP="00A91D9E">
            <w:pPr>
              <w:jc w:val="left"/>
              <w:rPr>
                <w:noProof/>
              </w:rPr>
            </w:pPr>
            <w:r>
              <w:rPr>
                <w:noProof/>
              </w:rPr>
              <w:t>10.6</w:t>
            </w:r>
          </w:p>
        </w:tc>
      </w:tr>
      <w:tr w:rsidR="00676A5B" w14:paraId="36BDF148" w14:textId="564CB2BD" w:rsidTr="00A91D9E">
        <w:tc>
          <w:tcPr>
            <w:tcW w:w="2972" w:type="dxa"/>
          </w:tcPr>
          <w:p w14:paraId="32620AC8" w14:textId="245760B7" w:rsidR="00676A5B" w:rsidRPr="000C4523" w:rsidRDefault="00676A5B" w:rsidP="00A91D9E">
            <w:pPr>
              <w:jc w:val="left"/>
              <w:rPr>
                <w:noProof/>
              </w:rPr>
            </w:pPr>
            <w:r w:rsidRPr="00440D77">
              <w:t xml:space="preserve">Low Leukocytes </w:t>
            </w:r>
          </w:p>
        </w:tc>
        <w:tc>
          <w:tcPr>
            <w:tcW w:w="3012" w:type="dxa"/>
          </w:tcPr>
          <w:p w14:paraId="764456AC" w14:textId="24FACE24" w:rsidR="00676A5B" w:rsidRPr="000C4523" w:rsidRDefault="00CC3352" w:rsidP="00A91D9E">
            <w:pPr>
              <w:jc w:val="left"/>
              <w:rPr>
                <w:noProof/>
              </w:rPr>
            </w:pPr>
            <w:r>
              <w:rPr>
                <w:noProof/>
              </w:rPr>
              <w:t>38.9</w:t>
            </w:r>
          </w:p>
        </w:tc>
        <w:tc>
          <w:tcPr>
            <w:tcW w:w="3032" w:type="dxa"/>
          </w:tcPr>
          <w:p w14:paraId="5771E14A" w14:textId="089394D4" w:rsidR="00676A5B" w:rsidRPr="000C4523" w:rsidRDefault="00CC3352" w:rsidP="00A91D9E">
            <w:pPr>
              <w:jc w:val="left"/>
              <w:rPr>
                <w:noProof/>
              </w:rPr>
            </w:pPr>
            <w:r>
              <w:rPr>
                <w:noProof/>
              </w:rPr>
              <w:t>4.1</w:t>
            </w:r>
          </w:p>
        </w:tc>
      </w:tr>
      <w:tr w:rsidR="00676A5B" w14:paraId="2267AE86" w14:textId="2167894D" w:rsidTr="00A91D9E">
        <w:tc>
          <w:tcPr>
            <w:tcW w:w="2972" w:type="dxa"/>
          </w:tcPr>
          <w:p w14:paraId="2FDE271B" w14:textId="1C261A25" w:rsidR="00676A5B" w:rsidRPr="000C4523" w:rsidRDefault="00676A5B" w:rsidP="00A91D9E">
            <w:pPr>
              <w:jc w:val="left"/>
              <w:rPr>
                <w:noProof/>
              </w:rPr>
            </w:pPr>
            <w:r w:rsidRPr="00440D77">
              <w:t xml:space="preserve">Low Neutrophils </w:t>
            </w:r>
          </w:p>
        </w:tc>
        <w:tc>
          <w:tcPr>
            <w:tcW w:w="3012" w:type="dxa"/>
          </w:tcPr>
          <w:p w14:paraId="788F0960" w14:textId="44C2FD77" w:rsidR="00676A5B" w:rsidRPr="000C4523" w:rsidRDefault="00CC3352" w:rsidP="00A91D9E">
            <w:pPr>
              <w:jc w:val="left"/>
              <w:rPr>
                <w:noProof/>
              </w:rPr>
            </w:pPr>
            <w:r>
              <w:rPr>
                <w:noProof/>
              </w:rPr>
              <w:t>33.8</w:t>
            </w:r>
          </w:p>
        </w:tc>
        <w:tc>
          <w:tcPr>
            <w:tcW w:w="3032" w:type="dxa"/>
          </w:tcPr>
          <w:p w14:paraId="1C0B1256" w14:textId="69725ABC" w:rsidR="00676A5B" w:rsidRPr="000C4523" w:rsidRDefault="00CC3352" w:rsidP="00A91D9E">
            <w:pPr>
              <w:jc w:val="left"/>
              <w:rPr>
                <w:noProof/>
              </w:rPr>
            </w:pPr>
            <w:r>
              <w:rPr>
                <w:noProof/>
              </w:rPr>
              <w:t>8.4</w:t>
            </w:r>
          </w:p>
        </w:tc>
      </w:tr>
      <w:tr w:rsidR="00676A5B" w14:paraId="48976BFF" w14:textId="20498AE9" w:rsidTr="00906559">
        <w:tc>
          <w:tcPr>
            <w:tcW w:w="5984" w:type="dxa"/>
            <w:gridSpan w:val="2"/>
          </w:tcPr>
          <w:p w14:paraId="13373921" w14:textId="29FEB3A4" w:rsidR="00676A5B" w:rsidRPr="00E26051" w:rsidRDefault="00676A5B" w:rsidP="00A91D9E">
            <w:pPr>
              <w:jc w:val="left"/>
              <w:rPr>
                <w:b/>
                <w:bCs/>
                <w:noProof/>
              </w:rPr>
            </w:pPr>
            <w:r w:rsidRPr="00B71A08">
              <w:rPr>
                <w:b/>
                <w:bCs/>
                <w:noProof/>
              </w:rPr>
              <w:t>Coagulation</w:t>
            </w:r>
          </w:p>
        </w:tc>
        <w:tc>
          <w:tcPr>
            <w:tcW w:w="3032" w:type="dxa"/>
          </w:tcPr>
          <w:p w14:paraId="4062CDAF" w14:textId="77777777" w:rsidR="00676A5B" w:rsidRPr="00B71A08" w:rsidRDefault="00676A5B" w:rsidP="00A91D9E">
            <w:pPr>
              <w:jc w:val="left"/>
              <w:rPr>
                <w:b/>
                <w:bCs/>
                <w:noProof/>
              </w:rPr>
            </w:pPr>
          </w:p>
        </w:tc>
      </w:tr>
      <w:tr w:rsidR="00676A5B" w14:paraId="27A54773" w14:textId="60B4E8E8" w:rsidTr="00A91D9E">
        <w:tc>
          <w:tcPr>
            <w:tcW w:w="2972" w:type="dxa"/>
          </w:tcPr>
          <w:p w14:paraId="7416FAA3" w14:textId="07829587" w:rsidR="00676A5B" w:rsidRPr="00E26051" w:rsidRDefault="000A69B3" w:rsidP="00A91D9E">
            <w:pPr>
              <w:jc w:val="left"/>
              <w:rPr>
                <w:noProof/>
              </w:rPr>
            </w:pPr>
            <w:r>
              <w:rPr>
                <w:noProof/>
              </w:rPr>
              <w:t xml:space="preserve">High </w:t>
            </w:r>
            <w:r w:rsidR="008612F2">
              <w:rPr>
                <w:noProof/>
              </w:rPr>
              <w:t xml:space="preserve">Activated Partial </w:t>
            </w:r>
            <w:r>
              <w:rPr>
                <w:noProof/>
              </w:rPr>
              <w:t>Thromboplastin Time</w:t>
            </w:r>
          </w:p>
        </w:tc>
        <w:tc>
          <w:tcPr>
            <w:tcW w:w="3012" w:type="dxa"/>
          </w:tcPr>
          <w:p w14:paraId="309A39B9" w14:textId="37AF009C" w:rsidR="00676A5B" w:rsidRPr="000C4523" w:rsidRDefault="000A69B3" w:rsidP="00A91D9E">
            <w:pPr>
              <w:jc w:val="left"/>
              <w:rPr>
                <w:noProof/>
              </w:rPr>
            </w:pPr>
            <w:r>
              <w:rPr>
                <w:noProof/>
              </w:rPr>
              <w:t>26.7</w:t>
            </w:r>
          </w:p>
        </w:tc>
        <w:tc>
          <w:tcPr>
            <w:tcW w:w="3032" w:type="dxa"/>
          </w:tcPr>
          <w:p w14:paraId="1757E6CC" w14:textId="00FCCF5F" w:rsidR="00676A5B" w:rsidRPr="000C4523" w:rsidRDefault="000A69B3" w:rsidP="00A91D9E">
            <w:pPr>
              <w:jc w:val="left"/>
              <w:rPr>
                <w:noProof/>
              </w:rPr>
            </w:pPr>
            <w:r>
              <w:rPr>
                <w:noProof/>
              </w:rPr>
              <w:t>0.3</w:t>
            </w:r>
          </w:p>
        </w:tc>
      </w:tr>
      <w:tr w:rsidR="00676A5B" w14:paraId="14328237" w14:textId="33E8C408" w:rsidTr="00A91D9E">
        <w:tc>
          <w:tcPr>
            <w:tcW w:w="2972" w:type="dxa"/>
          </w:tcPr>
          <w:p w14:paraId="0AB2C712" w14:textId="4FB72CB9" w:rsidR="00676A5B" w:rsidRPr="00E26051" w:rsidRDefault="007A5D60" w:rsidP="00A91D9E">
            <w:pPr>
              <w:jc w:val="left"/>
              <w:rPr>
                <w:noProof/>
              </w:rPr>
            </w:pPr>
            <w:r>
              <w:rPr>
                <w:noProof/>
              </w:rPr>
              <w:t xml:space="preserve">High </w:t>
            </w:r>
            <w:r w:rsidR="007D156D" w:rsidRPr="007D156D">
              <w:rPr>
                <w:noProof/>
              </w:rPr>
              <w:t>Prothrombin</w:t>
            </w:r>
            <w:r w:rsidR="007D156D">
              <w:rPr>
                <w:noProof/>
              </w:rPr>
              <w:t xml:space="preserve"> </w:t>
            </w:r>
            <w:r w:rsidR="007D156D" w:rsidRPr="007D156D">
              <w:rPr>
                <w:noProof/>
              </w:rPr>
              <w:t>Intl. Normali</w:t>
            </w:r>
            <w:r w:rsidR="006162F2">
              <w:rPr>
                <w:noProof/>
              </w:rPr>
              <w:t>s</w:t>
            </w:r>
            <w:r w:rsidR="007D156D" w:rsidRPr="007D156D">
              <w:rPr>
                <w:noProof/>
              </w:rPr>
              <w:t>ed Ratio</w:t>
            </w:r>
          </w:p>
        </w:tc>
        <w:tc>
          <w:tcPr>
            <w:tcW w:w="3012" w:type="dxa"/>
          </w:tcPr>
          <w:p w14:paraId="078BAB2D" w14:textId="413B9D0F" w:rsidR="00676A5B" w:rsidRPr="000C4523" w:rsidRDefault="007D156D" w:rsidP="00A91D9E">
            <w:pPr>
              <w:jc w:val="left"/>
              <w:rPr>
                <w:noProof/>
              </w:rPr>
            </w:pPr>
            <w:r>
              <w:rPr>
                <w:noProof/>
              </w:rPr>
              <w:t>23.3</w:t>
            </w:r>
          </w:p>
        </w:tc>
        <w:tc>
          <w:tcPr>
            <w:tcW w:w="3032" w:type="dxa"/>
          </w:tcPr>
          <w:p w14:paraId="03B53955" w14:textId="0C3EC580" w:rsidR="00676A5B" w:rsidRPr="000C4523" w:rsidRDefault="007D156D" w:rsidP="00A91D9E">
            <w:pPr>
              <w:jc w:val="left"/>
              <w:rPr>
                <w:noProof/>
              </w:rPr>
            </w:pPr>
            <w:r>
              <w:rPr>
                <w:noProof/>
              </w:rPr>
              <w:t>0</w:t>
            </w:r>
          </w:p>
        </w:tc>
      </w:tr>
      <w:tr w:rsidR="00676A5B" w14:paraId="14B97ED2" w14:textId="449D97B9" w:rsidTr="00906559">
        <w:tc>
          <w:tcPr>
            <w:tcW w:w="5984" w:type="dxa"/>
            <w:gridSpan w:val="2"/>
          </w:tcPr>
          <w:p w14:paraId="52B56A3D" w14:textId="30277218" w:rsidR="00676A5B" w:rsidRDefault="00676A5B" w:rsidP="00A91D9E">
            <w:pPr>
              <w:jc w:val="left"/>
              <w:rPr>
                <w:b/>
                <w:bCs/>
                <w:noProof/>
              </w:rPr>
            </w:pPr>
            <w:r w:rsidRPr="00050211">
              <w:rPr>
                <w:b/>
                <w:bCs/>
                <w:noProof/>
              </w:rPr>
              <w:lastRenderedPageBreak/>
              <w:t>Chemistry</w:t>
            </w:r>
          </w:p>
        </w:tc>
        <w:tc>
          <w:tcPr>
            <w:tcW w:w="3032" w:type="dxa"/>
          </w:tcPr>
          <w:p w14:paraId="6CD26FD8" w14:textId="77777777" w:rsidR="00676A5B" w:rsidRPr="00050211" w:rsidRDefault="00676A5B" w:rsidP="00A91D9E">
            <w:pPr>
              <w:jc w:val="left"/>
              <w:rPr>
                <w:b/>
                <w:bCs/>
                <w:noProof/>
              </w:rPr>
            </w:pPr>
          </w:p>
        </w:tc>
      </w:tr>
      <w:tr w:rsidR="00676A5B" w14:paraId="7A4931EE" w14:textId="6F540671" w:rsidTr="00A91D9E">
        <w:tc>
          <w:tcPr>
            <w:tcW w:w="2972" w:type="dxa"/>
          </w:tcPr>
          <w:p w14:paraId="2B430BB1" w14:textId="14C18E00" w:rsidR="00676A5B" w:rsidRPr="00E26051" w:rsidRDefault="00676A5B" w:rsidP="00A91D9E">
            <w:pPr>
              <w:jc w:val="left"/>
              <w:rPr>
                <w:noProof/>
              </w:rPr>
            </w:pPr>
            <w:r w:rsidRPr="00574258">
              <w:t>High Creatine Kinase</w:t>
            </w:r>
          </w:p>
        </w:tc>
        <w:tc>
          <w:tcPr>
            <w:tcW w:w="3012" w:type="dxa"/>
          </w:tcPr>
          <w:p w14:paraId="46245121" w14:textId="51F7B289" w:rsidR="00676A5B" w:rsidRPr="00E26051" w:rsidRDefault="00676A5B" w:rsidP="00A91D9E">
            <w:pPr>
              <w:jc w:val="left"/>
              <w:rPr>
                <w:noProof/>
              </w:rPr>
            </w:pPr>
            <w:r w:rsidRPr="00AB4F71">
              <w:t>61.4</w:t>
            </w:r>
          </w:p>
        </w:tc>
        <w:tc>
          <w:tcPr>
            <w:tcW w:w="3032" w:type="dxa"/>
          </w:tcPr>
          <w:p w14:paraId="0587FF23" w14:textId="1DF65BFA" w:rsidR="00676A5B" w:rsidRPr="00AB4F71" w:rsidRDefault="001679B7" w:rsidP="00A91D9E">
            <w:pPr>
              <w:jc w:val="left"/>
            </w:pPr>
            <w:r>
              <w:t>6.6</w:t>
            </w:r>
          </w:p>
        </w:tc>
      </w:tr>
      <w:tr w:rsidR="00676A5B" w14:paraId="0555E4D5" w14:textId="31B40E40" w:rsidTr="00A91D9E">
        <w:tc>
          <w:tcPr>
            <w:tcW w:w="2972" w:type="dxa"/>
          </w:tcPr>
          <w:p w14:paraId="650D7A95" w14:textId="6071450E" w:rsidR="00676A5B" w:rsidRPr="00E26051" w:rsidRDefault="00676A5B" w:rsidP="00A91D9E">
            <w:pPr>
              <w:jc w:val="left"/>
              <w:rPr>
                <w:noProof/>
              </w:rPr>
            </w:pPr>
            <w:r w:rsidRPr="00574258">
              <w:t>High Gamma Glutamyl Transferase</w:t>
            </w:r>
          </w:p>
        </w:tc>
        <w:tc>
          <w:tcPr>
            <w:tcW w:w="3012" w:type="dxa"/>
          </w:tcPr>
          <w:p w14:paraId="5124A189" w14:textId="4C7B5EE8" w:rsidR="00676A5B" w:rsidRPr="00E26051" w:rsidRDefault="001E5BE0" w:rsidP="00A91D9E">
            <w:pPr>
              <w:jc w:val="left"/>
              <w:rPr>
                <w:noProof/>
              </w:rPr>
            </w:pPr>
            <w:r>
              <w:t>50.0</w:t>
            </w:r>
          </w:p>
        </w:tc>
        <w:tc>
          <w:tcPr>
            <w:tcW w:w="3032" w:type="dxa"/>
          </w:tcPr>
          <w:p w14:paraId="639375A1" w14:textId="0A6FD1C7" w:rsidR="00676A5B" w:rsidRPr="00AB4F71" w:rsidRDefault="001E5BE0" w:rsidP="00A91D9E">
            <w:pPr>
              <w:jc w:val="left"/>
            </w:pPr>
            <w:r>
              <w:t>12.9</w:t>
            </w:r>
          </w:p>
        </w:tc>
      </w:tr>
      <w:tr w:rsidR="00676A5B" w14:paraId="6316757A" w14:textId="7518D7CD" w:rsidTr="00A91D9E">
        <w:tc>
          <w:tcPr>
            <w:tcW w:w="2972" w:type="dxa"/>
          </w:tcPr>
          <w:p w14:paraId="4B386D9C" w14:textId="7473069F" w:rsidR="00676A5B" w:rsidRPr="00E26051" w:rsidRDefault="00676A5B" w:rsidP="00A91D9E">
            <w:pPr>
              <w:jc w:val="left"/>
              <w:rPr>
                <w:noProof/>
              </w:rPr>
            </w:pPr>
            <w:r w:rsidRPr="00574258">
              <w:t>High Aspartate Aminotransferase</w:t>
            </w:r>
          </w:p>
        </w:tc>
        <w:tc>
          <w:tcPr>
            <w:tcW w:w="3012" w:type="dxa"/>
          </w:tcPr>
          <w:p w14:paraId="4ED1D648" w14:textId="33F4CA6A" w:rsidR="00676A5B" w:rsidRPr="00E26051" w:rsidRDefault="009F5F1E" w:rsidP="00A91D9E">
            <w:pPr>
              <w:jc w:val="left"/>
              <w:rPr>
                <w:noProof/>
              </w:rPr>
            </w:pPr>
            <w:r>
              <w:t>40.2</w:t>
            </w:r>
          </w:p>
        </w:tc>
        <w:tc>
          <w:tcPr>
            <w:tcW w:w="3032" w:type="dxa"/>
          </w:tcPr>
          <w:p w14:paraId="551BD480" w14:textId="03EAF435" w:rsidR="00676A5B" w:rsidRPr="00AB4F71" w:rsidRDefault="009F5F1E" w:rsidP="00A91D9E">
            <w:pPr>
              <w:jc w:val="left"/>
            </w:pPr>
            <w:r>
              <w:t>2.2</w:t>
            </w:r>
          </w:p>
        </w:tc>
      </w:tr>
      <w:tr w:rsidR="00676A5B" w14:paraId="7327CF2B" w14:textId="5182CBFD" w:rsidTr="00A91D9E">
        <w:tc>
          <w:tcPr>
            <w:tcW w:w="2972" w:type="dxa"/>
          </w:tcPr>
          <w:p w14:paraId="6522E8D7" w14:textId="7BD1E81C" w:rsidR="00676A5B" w:rsidRPr="00E26051" w:rsidRDefault="00676A5B" w:rsidP="00A91D9E">
            <w:pPr>
              <w:jc w:val="left"/>
              <w:rPr>
                <w:noProof/>
              </w:rPr>
            </w:pPr>
            <w:r w:rsidRPr="00574258">
              <w:t>High Alanine Aminotransferase</w:t>
            </w:r>
          </w:p>
        </w:tc>
        <w:tc>
          <w:tcPr>
            <w:tcW w:w="3012" w:type="dxa"/>
          </w:tcPr>
          <w:p w14:paraId="074B69D5" w14:textId="51062012" w:rsidR="00676A5B" w:rsidRPr="00E26051" w:rsidRDefault="009F5F1E" w:rsidP="00A91D9E">
            <w:pPr>
              <w:jc w:val="left"/>
              <w:rPr>
                <w:noProof/>
              </w:rPr>
            </w:pPr>
            <w:r>
              <w:t>36.8</w:t>
            </w:r>
          </w:p>
        </w:tc>
        <w:tc>
          <w:tcPr>
            <w:tcW w:w="3032" w:type="dxa"/>
          </w:tcPr>
          <w:p w14:paraId="21D89B67" w14:textId="3742D88A" w:rsidR="00676A5B" w:rsidRPr="00AB4F71" w:rsidRDefault="009F5F1E" w:rsidP="00A91D9E">
            <w:pPr>
              <w:jc w:val="left"/>
            </w:pPr>
            <w:r>
              <w:t>3.1</w:t>
            </w:r>
          </w:p>
        </w:tc>
      </w:tr>
      <w:tr w:rsidR="00676A5B" w14:paraId="44128DD4" w14:textId="26E0DC10" w:rsidTr="00A91D9E">
        <w:tc>
          <w:tcPr>
            <w:tcW w:w="2972" w:type="dxa"/>
          </w:tcPr>
          <w:p w14:paraId="41A160A2" w14:textId="3EC27F2C" w:rsidR="00676A5B" w:rsidRPr="00E26051" w:rsidRDefault="00676A5B" w:rsidP="00A91D9E">
            <w:pPr>
              <w:jc w:val="left"/>
              <w:rPr>
                <w:noProof/>
              </w:rPr>
            </w:pPr>
            <w:r w:rsidRPr="00574258">
              <w:t xml:space="preserve">High Sodium </w:t>
            </w:r>
          </w:p>
        </w:tc>
        <w:tc>
          <w:tcPr>
            <w:tcW w:w="3012" w:type="dxa"/>
          </w:tcPr>
          <w:p w14:paraId="6704F407" w14:textId="73092B07" w:rsidR="00676A5B" w:rsidRPr="00E26051" w:rsidRDefault="00C22088" w:rsidP="00A91D9E">
            <w:pPr>
              <w:jc w:val="left"/>
              <w:rPr>
                <w:noProof/>
              </w:rPr>
            </w:pPr>
            <w:r>
              <w:t>34.5</w:t>
            </w:r>
          </w:p>
        </w:tc>
        <w:tc>
          <w:tcPr>
            <w:tcW w:w="3032" w:type="dxa"/>
          </w:tcPr>
          <w:p w14:paraId="1B6715DA" w14:textId="7F1F241B" w:rsidR="00676A5B" w:rsidRPr="00AB4F71" w:rsidRDefault="00C22088" w:rsidP="00A91D9E">
            <w:pPr>
              <w:jc w:val="left"/>
            </w:pPr>
            <w:r>
              <w:t>0.3</w:t>
            </w:r>
          </w:p>
        </w:tc>
      </w:tr>
      <w:tr w:rsidR="00623FBE" w14:paraId="5054F34C" w14:textId="77777777" w:rsidTr="00A91D9E">
        <w:tc>
          <w:tcPr>
            <w:tcW w:w="2972" w:type="dxa"/>
          </w:tcPr>
          <w:p w14:paraId="16E80E3B" w14:textId="102BF28C" w:rsidR="00623FBE" w:rsidRPr="00574258" w:rsidRDefault="00623FBE" w:rsidP="00A91D9E">
            <w:pPr>
              <w:jc w:val="left"/>
            </w:pPr>
            <w:r>
              <w:t>High cholesterol</w:t>
            </w:r>
          </w:p>
        </w:tc>
        <w:tc>
          <w:tcPr>
            <w:tcW w:w="3012" w:type="dxa"/>
          </w:tcPr>
          <w:p w14:paraId="5F769DD6" w14:textId="3AE98C69" w:rsidR="00623FBE" w:rsidRPr="00AB4F71" w:rsidDel="00C22088" w:rsidRDefault="00623FBE" w:rsidP="00A91D9E">
            <w:pPr>
              <w:jc w:val="left"/>
            </w:pPr>
            <w:r>
              <w:t>30.0</w:t>
            </w:r>
          </w:p>
        </w:tc>
        <w:tc>
          <w:tcPr>
            <w:tcW w:w="3032" w:type="dxa"/>
          </w:tcPr>
          <w:p w14:paraId="6492019E" w14:textId="6A266C6F" w:rsidR="00623FBE" w:rsidRDefault="00623FBE" w:rsidP="00A91D9E">
            <w:pPr>
              <w:jc w:val="left"/>
            </w:pPr>
            <w:r>
              <w:t>0</w:t>
            </w:r>
          </w:p>
        </w:tc>
      </w:tr>
      <w:tr w:rsidR="00676A5B" w14:paraId="18103836" w14:textId="083162DC" w:rsidTr="00A91D9E">
        <w:tc>
          <w:tcPr>
            <w:tcW w:w="2972" w:type="dxa"/>
          </w:tcPr>
          <w:p w14:paraId="4C9C9D0F" w14:textId="46957E58" w:rsidR="00676A5B" w:rsidRPr="00E26051" w:rsidRDefault="00676A5B" w:rsidP="00A91D9E">
            <w:pPr>
              <w:jc w:val="left"/>
              <w:rPr>
                <w:noProof/>
              </w:rPr>
            </w:pPr>
            <w:r w:rsidRPr="00574258">
              <w:t>High Alkaline Phosphatase</w:t>
            </w:r>
          </w:p>
        </w:tc>
        <w:tc>
          <w:tcPr>
            <w:tcW w:w="3012" w:type="dxa"/>
          </w:tcPr>
          <w:p w14:paraId="2F422849" w14:textId="41C4993D" w:rsidR="00676A5B" w:rsidRPr="00E26051" w:rsidRDefault="00623FBE" w:rsidP="00A91D9E">
            <w:pPr>
              <w:jc w:val="left"/>
              <w:rPr>
                <w:noProof/>
              </w:rPr>
            </w:pPr>
            <w:r>
              <w:t>25.2</w:t>
            </w:r>
          </w:p>
        </w:tc>
        <w:tc>
          <w:tcPr>
            <w:tcW w:w="3032" w:type="dxa"/>
          </w:tcPr>
          <w:p w14:paraId="69AA52BC" w14:textId="1A4B4AE9" w:rsidR="00676A5B" w:rsidRPr="00AB4F71" w:rsidRDefault="00623FBE" w:rsidP="00A91D9E">
            <w:pPr>
              <w:jc w:val="left"/>
            </w:pPr>
            <w:r>
              <w:t>1.9</w:t>
            </w:r>
          </w:p>
        </w:tc>
      </w:tr>
      <w:tr w:rsidR="00676A5B" w14:paraId="028F2526" w14:textId="32DA0AB0" w:rsidTr="00A91D9E">
        <w:tc>
          <w:tcPr>
            <w:tcW w:w="2972" w:type="dxa"/>
          </w:tcPr>
          <w:p w14:paraId="2A5AA1DA" w14:textId="701CDB1F" w:rsidR="00676A5B" w:rsidRPr="00E26051" w:rsidRDefault="00676A5B" w:rsidP="00A91D9E">
            <w:pPr>
              <w:jc w:val="left"/>
              <w:rPr>
                <w:noProof/>
              </w:rPr>
            </w:pPr>
            <w:r w:rsidRPr="00574258">
              <w:t>High Glucose</w:t>
            </w:r>
          </w:p>
        </w:tc>
        <w:tc>
          <w:tcPr>
            <w:tcW w:w="3012" w:type="dxa"/>
          </w:tcPr>
          <w:p w14:paraId="71FFEF60" w14:textId="2E379001" w:rsidR="00676A5B" w:rsidRPr="00E26051" w:rsidRDefault="00691D93" w:rsidP="00A91D9E">
            <w:pPr>
              <w:jc w:val="left"/>
              <w:rPr>
                <w:noProof/>
              </w:rPr>
            </w:pPr>
            <w:r>
              <w:t>24.2</w:t>
            </w:r>
          </w:p>
        </w:tc>
        <w:tc>
          <w:tcPr>
            <w:tcW w:w="3032" w:type="dxa"/>
          </w:tcPr>
          <w:p w14:paraId="71D8C0CD" w14:textId="21830E6C" w:rsidR="00676A5B" w:rsidRPr="00AB4F71" w:rsidRDefault="00914825" w:rsidP="00A91D9E">
            <w:pPr>
              <w:jc w:val="left"/>
            </w:pPr>
            <w:r>
              <w:t>1.9</w:t>
            </w:r>
          </w:p>
        </w:tc>
      </w:tr>
      <w:tr w:rsidR="00267B28" w14:paraId="4CBC486B" w14:textId="77777777" w:rsidTr="00A91D9E">
        <w:tc>
          <w:tcPr>
            <w:tcW w:w="2972" w:type="dxa"/>
          </w:tcPr>
          <w:p w14:paraId="42F8F68B" w14:textId="22BCA1E1" w:rsidR="00267B28" w:rsidRPr="00574258" w:rsidRDefault="00267B28" w:rsidP="00A91D9E">
            <w:pPr>
              <w:jc w:val="left"/>
            </w:pPr>
            <w:r w:rsidRPr="00574258">
              <w:t>High Urate</w:t>
            </w:r>
          </w:p>
        </w:tc>
        <w:tc>
          <w:tcPr>
            <w:tcW w:w="3012" w:type="dxa"/>
          </w:tcPr>
          <w:p w14:paraId="6416FA80" w14:textId="399B048A" w:rsidR="00267B28" w:rsidRPr="00AB4F71" w:rsidDel="00914825" w:rsidRDefault="00267B28" w:rsidP="00A91D9E">
            <w:pPr>
              <w:jc w:val="left"/>
            </w:pPr>
            <w:r>
              <w:t>22.7</w:t>
            </w:r>
          </w:p>
        </w:tc>
        <w:tc>
          <w:tcPr>
            <w:tcW w:w="3032" w:type="dxa"/>
          </w:tcPr>
          <w:p w14:paraId="6094EFB1" w14:textId="0B09E6C5" w:rsidR="00267B28" w:rsidRDefault="00267B28" w:rsidP="00A91D9E">
            <w:pPr>
              <w:jc w:val="left"/>
            </w:pPr>
            <w:r>
              <w:t>12.6</w:t>
            </w:r>
          </w:p>
        </w:tc>
      </w:tr>
      <w:tr w:rsidR="004B61E3" w14:paraId="78D95C33" w14:textId="77777777" w:rsidTr="00A91D9E">
        <w:tc>
          <w:tcPr>
            <w:tcW w:w="2972" w:type="dxa"/>
          </w:tcPr>
          <w:p w14:paraId="45648B0B" w14:textId="6752A408" w:rsidR="004B61E3" w:rsidRPr="00574258" w:rsidRDefault="004B61E3" w:rsidP="00A91D9E">
            <w:pPr>
              <w:jc w:val="left"/>
            </w:pPr>
            <w:r w:rsidRPr="00574258">
              <w:t>High Potassium</w:t>
            </w:r>
          </w:p>
        </w:tc>
        <w:tc>
          <w:tcPr>
            <w:tcW w:w="3012" w:type="dxa"/>
          </w:tcPr>
          <w:p w14:paraId="3D370BA6" w14:textId="686BAD68" w:rsidR="004B61E3" w:rsidRDefault="004B61E3" w:rsidP="00A91D9E">
            <w:pPr>
              <w:jc w:val="left"/>
            </w:pPr>
            <w:r>
              <w:t>22.3</w:t>
            </w:r>
          </w:p>
        </w:tc>
        <w:tc>
          <w:tcPr>
            <w:tcW w:w="3032" w:type="dxa"/>
          </w:tcPr>
          <w:p w14:paraId="03C6B34E" w14:textId="05E85B35" w:rsidR="004B61E3" w:rsidRDefault="004B61E3" w:rsidP="00A91D9E">
            <w:pPr>
              <w:jc w:val="left"/>
            </w:pPr>
            <w:r>
              <w:t>0.3</w:t>
            </w:r>
          </w:p>
        </w:tc>
      </w:tr>
      <w:tr w:rsidR="00676A5B" w14:paraId="06C27DD8" w14:textId="50D6F53B" w:rsidTr="00A91D9E">
        <w:tc>
          <w:tcPr>
            <w:tcW w:w="2972" w:type="dxa"/>
          </w:tcPr>
          <w:p w14:paraId="08666C55" w14:textId="1E0F1658" w:rsidR="00676A5B" w:rsidRPr="00E26051" w:rsidRDefault="00676A5B" w:rsidP="00A91D9E">
            <w:pPr>
              <w:jc w:val="left"/>
              <w:rPr>
                <w:noProof/>
              </w:rPr>
            </w:pPr>
            <w:r w:rsidRPr="00574258">
              <w:t xml:space="preserve">Low Glomerular Filtration Rate </w:t>
            </w:r>
          </w:p>
        </w:tc>
        <w:tc>
          <w:tcPr>
            <w:tcW w:w="3012" w:type="dxa"/>
          </w:tcPr>
          <w:p w14:paraId="5C56BDF6" w14:textId="249C3DD9" w:rsidR="00676A5B" w:rsidRPr="00E26051" w:rsidRDefault="00914825" w:rsidP="00A91D9E">
            <w:pPr>
              <w:jc w:val="left"/>
              <w:rPr>
                <w:noProof/>
              </w:rPr>
            </w:pPr>
            <w:r>
              <w:t>24.</w:t>
            </w:r>
            <w:r w:rsidR="00691D93">
              <w:t>8</w:t>
            </w:r>
          </w:p>
        </w:tc>
        <w:tc>
          <w:tcPr>
            <w:tcW w:w="3032" w:type="dxa"/>
          </w:tcPr>
          <w:p w14:paraId="618AC41B" w14:textId="204952E4" w:rsidR="00676A5B" w:rsidRPr="00AB4F71" w:rsidRDefault="00691D93" w:rsidP="00A91D9E">
            <w:pPr>
              <w:jc w:val="left"/>
            </w:pPr>
            <w:r>
              <w:t>2.0</w:t>
            </w:r>
          </w:p>
        </w:tc>
      </w:tr>
      <w:tr w:rsidR="00676A5B" w14:paraId="16C18711" w14:textId="48E72AD9" w:rsidTr="00A91D9E">
        <w:tc>
          <w:tcPr>
            <w:tcW w:w="2972" w:type="dxa"/>
          </w:tcPr>
          <w:p w14:paraId="13F6E6FE" w14:textId="76BA3121" w:rsidR="00676A5B" w:rsidRPr="00E26051" w:rsidRDefault="00676A5B" w:rsidP="00A91D9E">
            <w:pPr>
              <w:jc w:val="left"/>
              <w:rPr>
                <w:noProof/>
              </w:rPr>
            </w:pPr>
            <w:r w:rsidRPr="00574258">
              <w:t>Low Phosphate</w:t>
            </w:r>
          </w:p>
        </w:tc>
        <w:tc>
          <w:tcPr>
            <w:tcW w:w="3012" w:type="dxa"/>
          </w:tcPr>
          <w:p w14:paraId="020862C3" w14:textId="0EB6AAF1" w:rsidR="00676A5B" w:rsidRPr="00E26051" w:rsidRDefault="005B659B" w:rsidP="00A91D9E">
            <w:pPr>
              <w:jc w:val="left"/>
              <w:rPr>
                <w:noProof/>
              </w:rPr>
            </w:pPr>
            <w:r>
              <w:t>20.3</w:t>
            </w:r>
          </w:p>
        </w:tc>
        <w:tc>
          <w:tcPr>
            <w:tcW w:w="3032" w:type="dxa"/>
          </w:tcPr>
          <w:p w14:paraId="67639654" w14:textId="3B145A31" w:rsidR="00676A5B" w:rsidRPr="00AB4F71" w:rsidRDefault="009B63AC" w:rsidP="00A91D9E">
            <w:pPr>
              <w:jc w:val="left"/>
            </w:pPr>
            <w:r>
              <w:t>6.0</w:t>
            </w:r>
          </w:p>
        </w:tc>
      </w:tr>
      <w:tr w:rsidR="00676A5B" w14:paraId="2985B144" w14:textId="6447A039" w:rsidTr="00A91D9E">
        <w:tc>
          <w:tcPr>
            <w:tcW w:w="2972" w:type="dxa"/>
          </w:tcPr>
          <w:p w14:paraId="690AC81D" w14:textId="11E79207" w:rsidR="00676A5B" w:rsidRPr="00E26051" w:rsidRDefault="00676A5B" w:rsidP="00A91D9E">
            <w:pPr>
              <w:jc w:val="left"/>
              <w:rPr>
                <w:noProof/>
              </w:rPr>
            </w:pPr>
            <w:r w:rsidRPr="00574258">
              <w:t>Low Glucose</w:t>
            </w:r>
          </w:p>
        </w:tc>
        <w:tc>
          <w:tcPr>
            <w:tcW w:w="3012" w:type="dxa"/>
          </w:tcPr>
          <w:p w14:paraId="5DABF93E" w14:textId="353128A9" w:rsidR="00676A5B" w:rsidRPr="00E26051" w:rsidRDefault="00026C6B" w:rsidP="00A91D9E">
            <w:pPr>
              <w:jc w:val="left"/>
              <w:rPr>
                <w:noProof/>
              </w:rPr>
            </w:pPr>
            <w:r>
              <w:t>21.1</w:t>
            </w:r>
          </w:p>
        </w:tc>
        <w:tc>
          <w:tcPr>
            <w:tcW w:w="3032" w:type="dxa"/>
          </w:tcPr>
          <w:p w14:paraId="2ADA9A0D" w14:textId="362F4A9F" w:rsidR="00676A5B" w:rsidRPr="00AB4F71" w:rsidRDefault="00026C6B" w:rsidP="00A91D9E">
            <w:pPr>
              <w:jc w:val="left"/>
            </w:pPr>
            <w:r>
              <w:t>0.3</w:t>
            </w:r>
          </w:p>
        </w:tc>
      </w:tr>
    </w:tbl>
    <w:p w14:paraId="0BBD48A6" w14:textId="56FF09DC" w:rsidR="00E17FA4" w:rsidRDefault="00E17FA4" w:rsidP="00A91D9E">
      <w:pPr>
        <w:jc w:val="left"/>
        <w:rPr>
          <w:rFonts w:cs="Times New Roman"/>
          <w:sz w:val="18"/>
          <w:szCs w:val="18"/>
        </w:rPr>
      </w:pPr>
      <w:proofErr w:type="spellStart"/>
      <w:proofErr w:type="gramStart"/>
      <w:r w:rsidRPr="00597F2D">
        <w:rPr>
          <w:rFonts w:cs="Times New Roman"/>
          <w:sz w:val="18"/>
          <w:szCs w:val="18"/>
          <w:vertAlign w:val="superscript"/>
        </w:rPr>
        <w:t>a.</w:t>
      </w:r>
      <w:r w:rsidRPr="00597F2D">
        <w:rPr>
          <w:rFonts w:cs="Times New Roman"/>
          <w:sz w:val="18"/>
          <w:szCs w:val="18"/>
        </w:rPr>
        <w:t>Based</w:t>
      </w:r>
      <w:proofErr w:type="spellEnd"/>
      <w:proofErr w:type="gramEnd"/>
      <w:r w:rsidRPr="00597F2D">
        <w:rPr>
          <w:rFonts w:cs="Times New Roman"/>
          <w:sz w:val="18"/>
          <w:szCs w:val="18"/>
        </w:rPr>
        <w:t xml:space="preserve"> on NCI CTCAE v4.03</w:t>
      </w:r>
    </w:p>
    <w:p w14:paraId="7C24FDA8" w14:textId="08DF8287" w:rsidR="00F677B7" w:rsidRPr="007A0FFA" w:rsidRDefault="00F677B7" w:rsidP="00A91D9E">
      <w:pPr>
        <w:pStyle w:val="Heading3"/>
      </w:pPr>
      <w:r w:rsidRPr="007A0FFA">
        <w:t>Reporting suspected adverse effects</w:t>
      </w:r>
    </w:p>
    <w:p w14:paraId="3D139680" w14:textId="0A299D06" w:rsidR="00B57C92" w:rsidRPr="000A4651" w:rsidRDefault="00B57C92" w:rsidP="00A91D9E">
      <w:pPr>
        <w:jc w:val="left"/>
        <w:rPr>
          <w:rFonts w:cs="Times New Roman"/>
        </w:rPr>
      </w:pPr>
      <w:r w:rsidRPr="00481C37">
        <w:rPr>
          <w:noProof/>
        </w:rPr>
        <w:t xml:space="preserve">Reporting suspected adverse reactions after registration of the medicinal product is important. It allows continued monitoring of the benefit-risk balance of the medicinal product. </w:t>
      </w:r>
      <w:r w:rsidR="003D202A" w:rsidRPr="00481C37">
        <w:rPr>
          <w:noProof/>
        </w:rPr>
        <w:t>Healthcare professionals are asked to report any suspected adverse reactions at http://www.tga.gov.au/reporting-problems</w:t>
      </w:r>
      <w:r w:rsidR="003D202A" w:rsidRPr="007A0FFA">
        <w:rPr>
          <w:rFonts w:cs="Times New Roman"/>
          <w:lang w:val="en-US"/>
        </w:rPr>
        <w:t>.</w:t>
      </w:r>
    </w:p>
    <w:p w14:paraId="6D047B41" w14:textId="77777777" w:rsidR="001A3992" w:rsidRPr="000A4651" w:rsidRDefault="001A3992" w:rsidP="00A91D9E">
      <w:pPr>
        <w:pStyle w:val="Heading2"/>
        <w:ind w:left="810" w:hanging="810"/>
      </w:pPr>
      <w:r w:rsidRPr="000A4651">
        <w:t>Overdose</w:t>
      </w:r>
    </w:p>
    <w:p w14:paraId="06784230" w14:textId="77777777" w:rsidR="00E87299" w:rsidRDefault="00E87299" w:rsidP="00A91D9E">
      <w:pPr>
        <w:jc w:val="left"/>
        <w:rPr>
          <w:noProof/>
        </w:rPr>
      </w:pPr>
      <w:r w:rsidRPr="003F0F23">
        <w:rPr>
          <w:noProof/>
        </w:rPr>
        <w:t>Patients who experience overdose should be closely supervised and supportive care instituted</w:t>
      </w:r>
      <w:r>
        <w:rPr>
          <w:noProof/>
        </w:rPr>
        <w:t>.</w:t>
      </w:r>
    </w:p>
    <w:p w14:paraId="3A089AC3" w14:textId="547B700F" w:rsidR="003D202A" w:rsidRPr="00BF2535" w:rsidRDefault="003D202A" w:rsidP="00A91D9E">
      <w:pPr>
        <w:jc w:val="left"/>
        <w:rPr>
          <w:noProof/>
        </w:rPr>
      </w:pPr>
      <w:r w:rsidRPr="00BF2535">
        <w:rPr>
          <w:noProof/>
        </w:rPr>
        <w:t>For information on the management of overdose, contact the Poison Information Centre on 131126 (Australia).</w:t>
      </w:r>
    </w:p>
    <w:p w14:paraId="5FF95703" w14:textId="77777777" w:rsidR="001A3992" w:rsidRPr="000A4651" w:rsidRDefault="001A3992" w:rsidP="00A91D9E">
      <w:pPr>
        <w:pStyle w:val="Heading1"/>
        <w:jc w:val="left"/>
      </w:pPr>
      <w:r w:rsidRPr="000A4651">
        <w:t>Pharmacological properties</w:t>
      </w:r>
    </w:p>
    <w:p w14:paraId="7B8BE53A" w14:textId="3076F219" w:rsidR="001A3992" w:rsidRPr="000A4651" w:rsidRDefault="00E61227" w:rsidP="00A91D9E">
      <w:pPr>
        <w:pStyle w:val="Heading2"/>
        <w:ind w:left="810" w:hanging="810"/>
      </w:pPr>
      <w:r w:rsidRPr="000A4651">
        <w:t>Pharmacodynamic properties</w:t>
      </w:r>
    </w:p>
    <w:p w14:paraId="40E5EBCA" w14:textId="204C7C86" w:rsidR="001A3992" w:rsidRPr="00011842" w:rsidRDefault="001A3992" w:rsidP="00A91D9E">
      <w:pPr>
        <w:pStyle w:val="Heading3"/>
      </w:pPr>
      <w:r w:rsidRPr="00011842">
        <w:t>Mechanism of action</w:t>
      </w:r>
    </w:p>
    <w:p w14:paraId="77D908F0" w14:textId="77777777" w:rsidR="00075954" w:rsidRPr="00075954" w:rsidRDefault="00075954" w:rsidP="00A91D9E">
      <w:pPr>
        <w:jc w:val="left"/>
        <w:rPr>
          <w:noProof/>
        </w:rPr>
      </w:pPr>
      <w:r w:rsidRPr="00075954">
        <w:rPr>
          <w:noProof/>
        </w:rPr>
        <w:t>Repotrectinib is a tyrosine kinase inhibitor (TKI) that inhibits the proto-oncogene tyrosine-protein kinase ROS1 (ROS1).</w:t>
      </w:r>
    </w:p>
    <w:p w14:paraId="5C38E948" w14:textId="77777777" w:rsidR="00075954" w:rsidRPr="00075954" w:rsidRDefault="00075954" w:rsidP="00A91D9E">
      <w:pPr>
        <w:jc w:val="left"/>
        <w:rPr>
          <w:noProof/>
        </w:rPr>
      </w:pPr>
      <w:r w:rsidRPr="00075954">
        <w:rPr>
          <w:noProof/>
        </w:rPr>
        <w:t xml:space="preserve">Fusion proteins containing a ROS1 kinase domain can drive oncogenesis via constitutive activation of downstream signalling pathways and unconstrained cell proliferation. Point mutations within the ROS1 kinase domain, including those affecting the solvent front (e.g. </w:t>
      </w:r>
      <w:r w:rsidRPr="00075954">
        <w:rPr>
          <w:noProof/>
          <w:lang w:val="en-US"/>
        </w:rPr>
        <w:t>G2032R</w:t>
      </w:r>
      <w:r w:rsidRPr="00075954">
        <w:rPr>
          <w:noProof/>
        </w:rPr>
        <w:t xml:space="preserve">) or gatekeeper residue (e.g. L2026M), can confer resistance to treatment with TKIs through steric hindrance of drug binding. Repotrectinib is a compact, macrocyclic TKI that binds entirely within the ATP-binding pocket of the kinase domain and lacks structural extensions into the solvent front region. </w:t>
      </w:r>
    </w:p>
    <w:p w14:paraId="4B768577" w14:textId="11FECB85" w:rsidR="00E10747" w:rsidRDefault="00075954" w:rsidP="00A91D9E">
      <w:pPr>
        <w:jc w:val="left"/>
        <w:rPr>
          <w:rFonts w:ascii="Times New Roman Bold" w:eastAsiaTheme="majorEastAsia" w:hAnsi="Times New Roman Bold" w:cs="Times New Roman" w:hint="eastAsia"/>
          <w:b/>
          <w:bCs/>
          <w:noProof/>
          <w:sz w:val="24"/>
          <w:szCs w:val="28"/>
          <w:u w:val="single"/>
        </w:rPr>
      </w:pPr>
      <w:r w:rsidRPr="00075954">
        <w:rPr>
          <w:noProof/>
        </w:rPr>
        <w:t>In a biochemical kinase assay, repotrectinib inhibited wild-type ROS1 and ROS1</w:t>
      </w:r>
      <w:r w:rsidRPr="00075954">
        <w:rPr>
          <w:noProof/>
          <w:vertAlign w:val="superscript"/>
        </w:rPr>
        <w:t>G2032R</w:t>
      </w:r>
      <w:r w:rsidRPr="00075954">
        <w:rPr>
          <w:noProof/>
        </w:rPr>
        <w:t xml:space="preserve"> with IC</w:t>
      </w:r>
      <w:r w:rsidRPr="00075954">
        <w:rPr>
          <w:noProof/>
          <w:vertAlign w:val="subscript"/>
        </w:rPr>
        <w:t>50</w:t>
      </w:r>
      <w:r w:rsidRPr="00075954">
        <w:rPr>
          <w:noProof/>
        </w:rPr>
        <w:t xml:space="preserve"> values of 0.07 and 0.46 nM, respectively. In cell-based assays using Ba/F3 cells engineered to express ROS1 fusion proteins (CD74-ROS1 or SDC4-ROS1) or corresponding mutant variants (CD74-ROS1</w:t>
      </w:r>
      <w:r w:rsidRPr="00075954">
        <w:rPr>
          <w:noProof/>
          <w:vertAlign w:val="superscript"/>
        </w:rPr>
        <w:t>G2032R</w:t>
      </w:r>
      <w:r w:rsidRPr="00075954">
        <w:rPr>
          <w:noProof/>
        </w:rPr>
        <w:t>, CD74-ROS1</w:t>
      </w:r>
      <w:r w:rsidRPr="00075954">
        <w:rPr>
          <w:noProof/>
          <w:vertAlign w:val="superscript"/>
        </w:rPr>
        <w:t>D2033N</w:t>
      </w:r>
      <w:r w:rsidRPr="00075954">
        <w:rPr>
          <w:noProof/>
        </w:rPr>
        <w:t>, CD74-ROS1</w:t>
      </w:r>
      <w:r w:rsidRPr="00075954">
        <w:rPr>
          <w:noProof/>
          <w:vertAlign w:val="superscript"/>
        </w:rPr>
        <w:t>L2026M</w:t>
      </w:r>
      <w:r w:rsidRPr="00075954">
        <w:rPr>
          <w:noProof/>
          <w:vertAlign w:val="subscript"/>
        </w:rPr>
        <w:t>,</w:t>
      </w:r>
      <w:r w:rsidRPr="00075954">
        <w:rPr>
          <w:noProof/>
        </w:rPr>
        <w:t xml:space="preserve"> and </w:t>
      </w:r>
      <w:r w:rsidRPr="00075954">
        <w:rPr>
          <w:noProof/>
          <w:lang w:val="en-US"/>
        </w:rPr>
        <w:t>SDC4-ROS1</w:t>
      </w:r>
      <w:r w:rsidRPr="00075954">
        <w:rPr>
          <w:noProof/>
          <w:vertAlign w:val="superscript"/>
          <w:lang w:val="en-US"/>
        </w:rPr>
        <w:t>G2032R</w:t>
      </w:r>
      <w:r w:rsidRPr="00075954">
        <w:rPr>
          <w:noProof/>
        </w:rPr>
        <w:t>), repotrectinib inhibited cell proliferation with IC</w:t>
      </w:r>
      <w:r w:rsidRPr="00075954">
        <w:rPr>
          <w:noProof/>
          <w:vertAlign w:val="subscript"/>
        </w:rPr>
        <w:t>50</w:t>
      </w:r>
      <w:r w:rsidRPr="00075954">
        <w:rPr>
          <w:noProof/>
        </w:rPr>
        <w:t xml:space="preserve"> values ranging from &lt;0.2 to 10 nM. </w:t>
      </w:r>
    </w:p>
    <w:p w14:paraId="063161CA" w14:textId="49A45656" w:rsidR="00D979CF" w:rsidRPr="007A0FFA" w:rsidRDefault="002E37AD" w:rsidP="00A91D9E">
      <w:pPr>
        <w:jc w:val="left"/>
        <w:rPr>
          <w:rFonts w:ascii="Times New Roman Bold" w:eastAsiaTheme="majorEastAsia" w:hAnsi="Times New Roman Bold" w:cs="Times New Roman" w:hint="eastAsia"/>
          <w:b/>
          <w:bCs/>
          <w:sz w:val="24"/>
          <w:szCs w:val="28"/>
          <w:u w:val="single"/>
        </w:rPr>
      </w:pPr>
      <w:r>
        <w:rPr>
          <w:rFonts w:ascii="Times New Roman Bold" w:eastAsiaTheme="majorEastAsia" w:hAnsi="Times New Roman Bold" w:cs="Times New Roman"/>
          <w:b/>
          <w:bCs/>
          <w:sz w:val="24"/>
          <w:szCs w:val="28"/>
          <w:u w:val="single"/>
        </w:rPr>
        <w:lastRenderedPageBreak/>
        <w:t xml:space="preserve">Cardiac </w:t>
      </w:r>
      <w:r w:rsidR="00847351">
        <w:rPr>
          <w:rFonts w:ascii="Times New Roman Bold" w:eastAsiaTheme="majorEastAsia" w:hAnsi="Times New Roman Bold" w:cs="Times New Roman"/>
          <w:b/>
          <w:bCs/>
          <w:sz w:val="24"/>
          <w:szCs w:val="28"/>
          <w:u w:val="single"/>
        </w:rPr>
        <w:t>e</w:t>
      </w:r>
      <w:r>
        <w:rPr>
          <w:rFonts w:ascii="Times New Roman Bold" w:eastAsiaTheme="majorEastAsia" w:hAnsi="Times New Roman Bold" w:cs="Times New Roman"/>
          <w:b/>
          <w:bCs/>
          <w:sz w:val="24"/>
          <w:szCs w:val="28"/>
          <w:u w:val="single"/>
        </w:rPr>
        <w:t>lectrophysiology</w:t>
      </w:r>
    </w:p>
    <w:p w14:paraId="42EE7BD7" w14:textId="7ED2E5C6" w:rsidR="00474714" w:rsidRPr="00DE36E5" w:rsidRDefault="007E152E" w:rsidP="00A91D9E">
      <w:pPr>
        <w:jc w:val="left"/>
        <w:rPr>
          <w:noProof/>
        </w:rPr>
      </w:pPr>
      <w:r>
        <w:rPr>
          <w:noProof/>
        </w:rPr>
        <w:t xml:space="preserve">AUGTYRO does not cause a mean increase in the QTc interval &gt; 20 milliseconds (ms) at 160 mg QD </w:t>
      </w:r>
      <w:r w:rsidRPr="00DE36E5">
        <w:rPr>
          <w:noProof/>
        </w:rPr>
        <w:t>followed by 160 mg BID, the approved recommended dosage.</w:t>
      </w:r>
      <w:r w:rsidR="002F1ACD" w:rsidRPr="00DE36E5" w:rsidDel="002F1ACD">
        <w:rPr>
          <w:noProof/>
        </w:rPr>
        <w:t xml:space="preserve"> </w:t>
      </w:r>
    </w:p>
    <w:p w14:paraId="4F9378D4" w14:textId="12477C19" w:rsidR="001A3992" w:rsidRPr="00DE36E5" w:rsidRDefault="001A3992" w:rsidP="00A91D9E">
      <w:pPr>
        <w:pStyle w:val="Heading3"/>
      </w:pPr>
      <w:r w:rsidRPr="00DE36E5">
        <w:t>Clinical trials</w:t>
      </w:r>
    </w:p>
    <w:p w14:paraId="422155D8" w14:textId="2019EF6D" w:rsidR="002C0E1E" w:rsidRPr="00C03F0E" w:rsidRDefault="000E77E5" w:rsidP="00A91D9E">
      <w:pPr>
        <w:jc w:val="left"/>
        <w:rPr>
          <w:noProof/>
        </w:rPr>
      </w:pPr>
      <w:r w:rsidRPr="00DE36E5">
        <w:rPr>
          <w:noProof/>
        </w:rPr>
        <w:t xml:space="preserve">The efficacy of AUGTYRO was evaluated in </w:t>
      </w:r>
      <w:r w:rsidR="00DD0263" w:rsidRPr="00DE36E5">
        <w:rPr>
          <w:noProof/>
        </w:rPr>
        <w:t xml:space="preserve">adult </w:t>
      </w:r>
      <w:r w:rsidRPr="00DE36E5">
        <w:rPr>
          <w:noProof/>
        </w:rPr>
        <w:t xml:space="preserve">patients with </w:t>
      </w:r>
      <w:r w:rsidRPr="00DE36E5">
        <w:rPr>
          <w:i/>
          <w:iCs/>
          <w:noProof/>
        </w:rPr>
        <w:t>ROS1</w:t>
      </w:r>
      <w:r w:rsidRPr="00DE36E5">
        <w:rPr>
          <w:noProof/>
        </w:rPr>
        <w:t xml:space="preserve">-positive locally advanced or metastatic NSCLC </w:t>
      </w:r>
      <w:r w:rsidR="00DD0263" w:rsidRPr="00DE36E5">
        <w:rPr>
          <w:noProof/>
        </w:rPr>
        <w:t>in a phase 1/2, multicentre, single-arm, open-label, multi-cohort clinical study (TRIDENT-1).</w:t>
      </w:r>
      <w:r w:rsidR="000B11D2" w:rsidRPr="00DE36E5">
        <w:rPr>
          <w:noProof/>
        </w:rPr>
        <w:t xml:space="preserve"> </w:t>
      </w:r>
      <w:r w:rsidR="00D5748B" w:rsidRPr="00F21AB1">
        <w:rPr>
          <w:noProof/>
        </w:rPr>
        <w:t xml:space="preserve">Phase 1 </w:t>
      </w:r>
      <w:r w:rsidR="00DE36E5">
        <w:rPr>
          <w:noProof/>
        </w:rPr>
        <w:t>comprised</w:t>
      </w:r>
      <w:r w:rsidR="00D5748B" w:rsidRPr="00F21AB1">
        <w:rPr>
          <w:noProof/>
        </w:rPr>
        <w:t xml:space="preserve"> dose escalation, and i</w:t>
      </w:r>
      <w:r w:rsidR="00857D24" w:rsidRPr="00F21AB1">
        <w:rPr>
          <w:noProof/>
        </w:rPr>
        <w:t>n phase 2</w:t>
      </w:r>
      <w:r w:rsidR="007E6BF2" w:rsidRPr="00F21AB1">
        <w:rPr>
          <w:noProof/>
        </w:rPr>
        <w:t xml:space="preserve"> patients</w:t>
      </w:r>
      <w:r w:rsidR="002C0E1E" w:rsidRPr="00DE36E5">
        <w:rPr>
          <w:noProof/>
        </w:rPr>
        <w:t xml:space="preserve"> received repotrectinib </w:t>
      </w:r>
      <w:r w:rsidR="007C1129" w:rsidRPr="00DE36E5">
        <w:rPr>
          <w:noProof/>
        </w:rPr>
        <w:t xml:space="preserve">at the recommended </w:t>
      </w:r>
      <w:r w:rsidR="00AD78F9" w:rsidRPr="00DE36E5">
        <w:rPr>
          <w:noProof/>
        </w:rPr>
        <w:t>dose (</w:t>
      </w:r>
      <w:r w:rsidR="002C0E1E" w:rsidRPr="00DE36E5">
        <w:rPr>
          <w:noProof/>
        </w:rPr>
        <w:t>160 mg orally once daily for the first 14 days of treatment</w:t>
      </w:r>
      <w:r w:rsidR="00DE36E5">
        <w:rPr>
          <w:noProof/>
        </w:rPr>
        <w:t>,</w:t>
      </w:r>
      <w:r w:rsidR="002C0E1E" w:rsidRPr="00DE36E5">
        <w:rPr>
          <w:noProof/>
        </w:rPr>
        <w:t xml:space="preserve"> followed by 160 mg </w:t>
      </w:r>
      <w:r w:rsidR="002C0E1E" w:rsidRPr="00C03F0E">
        <w:rPr>
          <w:noProof/>
        </w:rPr>
        <w:t>orally twice daily until disease progression or unacceptable toxicity).</w:t>
      </w:r>
      <w:r w:rsidR="002C07FB" w:rsidRPr="002C07FB">
        <w:rPr>
          <w:noProof/>
        </w:rPr>
        <w:t xml:space="preserve"> </w:t>
      </w:r>
      <w:r w:rsidR="002C07FB" w:rsidRPr="00C03F0E">
        <w:rPr>
          <w:noProof/>
        </w:rPr>
        <w:t>Patients required ECOG performance status ≤1</w:t>
      </w:r>
      <w:r w:rsidR="002C07FB" w:rsidRPr="00902D52">
        <w:rPr>
          <w:noProof/>
        </w:rPr>
        <w:t xml:space="preserve"> and</w:t>
      </w:r>
      <w:r w:rsidR="002C07FB" w:rsidRPr="00C03F0E">
        <w:rPr>
          <w:noProof/>
        </w:rPr>
        <w:t xml:space="preserve"> measurable disease per RECIST v 1.1. All patients were assessed for CNS lesions at baseline, and patients with symptomatic brain metastases were excluded from the trial.</w:t>
      </w:r>
    </w:p>
    <w:p w14:paraId="764A333A" w14:textId="032B3AFE" w:rsidR="00175527" w:rsidRPr="00F21AB1" w:rsidRDefault="00BD44E8" w:rsidP="00A91D9E">
      <w:pPr>
        <w:jc w:val="left"/>
      </w:pPr>
      <w:r>
        <w:rPr>
          <w:noProof/>
        </w:rPr>
        <w:t>Two efficacy cohorts were defined</w:t>
      </w:r>
      <w:r w:rsidR="00E509D1" w:rsidRPr="00C03F0E">
        <w:rPr>
          <w:noProof/>
        </w:rPr>
        <w:t xml:space="preserve"> based on prior</w:t>
      </w:r>
      <w:r>
        <w:rPr>
          <w:noProof/>
        </w:rPr>
        <w:t xml:space="preserve"> receipt of</w:t>
      </w:r>
      <w:r w:rsidR="00E509D1" w:rsidRPr="00C03F0E">
        <w:rPr>
          <w:noProof/>
        </w:rPr>
        <w:t xml:space="preserve"> treatment with a</w:t>
      </w:r>
      <w:r w:rsidR="00E76CB4" w:rsidRPr="00C03F0E">
        <w:rPr>
          <w:noProof/>
        </w:rPr>
        <w:t xml:space="preserve"> tyrosine kinase inhibitor </w:t>
      </w:r>
      <w:r w:rsidR="00972BC1" w:rsidRPr="00C03F0E">
        <w:rPr>
          <w:noProof/>
        </w:rPr>
        <w:t>of</w:t>
      </w:r>
      <w:r w:rsidR="00E76CB4" w:rsidRPr="00C03F0E">
        <w:rPr>
          <w:noProof/>
        </w:rPr>
        <w:t xml:space="preserve"> ROS1 (ROS1 TKI</w:t>
      </w:r>
      <w:r w:rsidR="00D17301" w:rsidRPr="00C03F0E">
        <w:rPr>
          <w:noProof/>
        </w:rPr>
        <w:t>)</w:t>
      </w:r>
      <w:r w:rsidR="00F7573B" w:rsidRPr="00C03F0E">
        <w:t xml:space="preserve">: </w:t>
      </w:r>
    </w:p>
    <w:p w14:paraId="327498EB" w14:textId="5C28874A" w:rsidR="00E509D1" w:rsidRPr="00F21AB1" w:rsidRDefault="00A00950" w:rsidP="00A91D9E">
      <w:pPr>
        <w:pStyle w:val="ListParagraph"/>
        <w:numPr>
          <w:ilvl w:val="0"/>
          <w:numId w:val="9"/>
        </w:numPr>
        <w:jc w:val="left"/>
        <w:rPr>
          <w:rFonts w:ascii="Times New Roman" w:hAnsi="Times New Roman" w:cs="Times New Roman"/>
          <w:noProof/>
          <w:u w:val="single"/>
        </w:rPr>
      </w:pPr>
      <w:r w:rsidRPr="00F21AB1">
        <w:rPr>
          <w:rFonts w:ascii="Times New Roman" w:hAnsi="Times New Roman" w:cs="Times New Roman"/>
          <w:u w:val="single"/>
        </w:rPr>
        <w:t>TKI</w:t>
      </w:r>
      <w:r w:rsidR="005A739E">
        <w:rPr>
          <w:rFonts w:ascii="Times New Roman" w:hAnsi="Times New Roman" w:cs="Times New Roman"/>
          <w:u w:val="single"/>
        </w:rPr>
        <w:t xml:space="preserve"> naïve </w:t>
      </w:r>
    </w:p>
    <w:p w14:paraId="0225C7BC" w14:textId="173AA65F" w:rsidR="00175527" w:rsidRPr="00F21AB1" w:rsidRDefault="00E509D1" w:rsidP="00A91D9E">
      <w:pPr>
        <w:pStyle w:val="ListParagraph"/>
        <w:jc w:val="left"/>
        <w:rPr>
          <w:rFonts w:ascii="Times New Roman" w:hAnsi="Times New Roman" w:cs="Times New Roman"/>
          <w:noProof/>
        </w:rPr>
      </w:pPr>
      <w:r w:rsidRPr="00F21AB1">
        <w:rPr>
          <w:rFonts w:ascii="Times New Roman" w:hAnsi="Times New Roman" w:cs="Times New Roman"/>
        </w:rPr>
        <w:t>P</w:t>
      </w:r>
      <w:r w:rsidR="00F7573B" w:rsidRPr="00F21AB1">
        <w:rPr>
          <w:rFonts w:ascii="Times New Roman" w:hAnsi="Times New Roman" w:cs="Times New Roman"/>
        </w:rPr>
        <w:t xml:space="preserve">atients who had </w:t>
      </w:r>
      <w:r w:rsidR="005A739E">
        <w:rPr>
          <w:rFonts w:ascii="Times New Roman" w:hAnsi="Times New Roman" w:cs="Times New Roman"/>
        </w:rPr>
        <w:t>not received a</w:t>
      </w:r>
      <w:r w:rsidR="00F81D05">
        <w:rPr>
          <w:rFonts w:ascii="Times New Roman" w:hAnsi="Times New Roman" w:cs="Times New Roman"/>
        </w:rPr>
        <w:t xml:space="preserve">ny prior treatment with a ROS1 TKI, but had </w:t>
      </w:r>
      <w:r w:rsidR="00F7573B" w:rsidRPr="00F21AB1">
        <w:rPr>
          <w:rFonts w:ascii="Times New Roman" w:hAnsi="Times New Roman" w:cs="Times New Roman"/>
        </w:rPr>
        <w:t xml:space="preserve">received up to 1 prior line of platinum-based chemotherapy and/or immunotherapy </w:t>
      </w:r>
      <w:r w:rsidR="00C706AE" w:rsidRPr="00F21AB1">
        <w:rPr>
          <w:rFonts w:ascii="Times New Roman" w:hAnsi="Times New Roman" w:cs="Times New Roman"/>
        </w:rPr>
        <w:t>(n=71</w:t>
      </w:r>
      <w:r w:rsidR="009B503E" w:rsidRPr="00F21AB1">
        <w:rPr>
          <w:rFonts w:ascii="Times New Roman" w:hAnsi="Times New Roman" w:cs="Times New Roman"/>
        </w:rPr>
        <w:t xml:space="preserve">, including 8 </w:t>
      </w:r>
      <w:proofErr w:type="gramStart"/>
      <w:r w:rsidR="009B503E" w:rsidRPr="00F21AB1">
        <w:rPr>
          <w:rFonts w:ascii="Times New Roman" w:hAnsi="Times New Roman" w:cs="Times New Roman"/>
        </w:rPr>
        <w:t>phase</w:t>
      </w:r>
      <w:proofErr w:type="gramEnd"/>
      <w:r w:rsidR="009B503E" w:rsidRPr="00F21AB1">
        <w:rPr>
          <w:rFonts w:ascii="Times New Roman" w:hAnsi="Times New Roman" w:cs="Times New Roman"/>
        </w:rPr>
        <w:t xml:space="preserve"> 1 and 63 phase 2 participants)</w:t>
      </w:r>
    </w:p>
    <w:p w14:paraId="20922064" w14:textId="6F866E31" w:rsidR="00E509D1" w:rsidRPr="00F21AB1" w:rsidRDefault="00E509D1" w:rsidP="00A91D9E">
      <w:pPr>
        <w:pStyle w:val="ListParagraph"/>
        <w:numPr>
          <w:ilvl w:val="0"/>
          <w:numId w:val="9"/>
        </w:numPr>
        <w:jc w:val="left"/>
        <w:rPr>
          <w:rFonts w:ascii="Times New Roman" w:hAnsi="Times New Roman" w:cs="Times New Roman"/>
          <w:noProof/>
          <w:u w:val="single"/>
        </w:rPr>
      </w:pPr>
      <w:r w:rsidRPr="00F21AB1">
        <w:rPr>
          <w:rFonts w:ascii="Times New Roman" w:hAnsi="Times New Roman" w:cs="Times New Roman"/>
          <w:u w:val="single"/>
        </w:rPr>
        <w:t>TKI</w:t>
      </w:r>
      <w:r w:rsidR="005A739E">
        <w:rPr>
          <w:rFonts w:ascii="Times New Roman" w:hAnsi="Times New Roman" w:cs="Times New Roman"/>
          <w:u w:val="single"/>
        </w:rPr>
        <w:t xml:space="preserve"> pretreated</w:t>
      </w:r>
    </w:p>
    <w:p w14:paraId="001893C2" w14:textId="4109181B" w:rsidR="000868F4" w:rsidRPr="00F21AB1" w:rsidRDefault="00F7573B" w:rsidP="00A91D9E">
      <w:pPr>
        <w:pStyle w:val="ListParagraph"/>
        <w:jc w:val="left"/>
        <w:rPr>
          <w:rFonts w:ascii="Times New Roman" w:hAnsi="Times New Roman" w:cs="Times New Roman"/>
          <w:noProof/>
        </w:rPr>
      </w:pPr>
      <w:r w:rsidRPr="00F21AB1">
        <w:rPr>
          <w:rFonts w:ascii="Times New Roman" w:hAnsi="Times New Roman" w:cs="Times New Roman"/>
        </w:rPr>
        <w:t xml:space="preserve">56 patients who had received 1 prior ROS1 TKI </w:t>
      </w:r>
      <w:r w:rsidR="00F81D05">
        <w:rPr>
          <w:rFonts w:ascii="Times New Roman" w:hAnsi="Times New Roman" w:cs="Times New Roman"/>
        </w:rPr>
        <w:t>but</w:t>
      </w:r>
      <w:r w:rsidRPr="00F21AB1">
        <w:rPr>
          <w:rFonts w:ascii="Times New Roman" w:hAnsi="Times New Roman" w:cs="Times New Roman"/>
        </w:rPr>
        <w:t xml:space="preserve"> no prior platinum-based chemotherapy or </w:t>
      </w:r>
      <w:r w:rsidRPr="00F21AB1">
        <w:rPr>
          <w:rFonts w:ascii="Times New Roman" w:hAnsi="Times New Roman" w:cs="Times New Roman"/>
          <w:spacing w:val="-2"/>
        </w:rPr>
        <w:t>immunotherapy</w:t>
      </w:r>
      <w:r w:rsidR="009B503E" w:rsidRPr="00F21AB1">
        <w:rPr>
          <w:rFonts w:ascii="Times New Roman" w:hAnsi="Times New Roman" w:cs="Times New Roman"/>
          <w:spacing w:val="-2"/>
        </w:rPr>
        <w:t xml:space="preserve"> (n=56, including </w:t>
      </w:r>
      <w:r w:rsidR="00C473FC" w:rsidRPr="00F21AB1">
        <w:rPr>
          <w:rFonts w:ascii="Times New Roman" w:hAnsi="Times New Roman" w:cs="Times New Roman"/>
          <w:spacing w:val="-2"/>
        </w:rPr>
        <w:t xml:space="preserve">3 </w:t>
      </w:r>
      <w:proofErr w:type="gramStart"/>
      <w:r w:rsidR="00C473FC" w:rsidRPr="00F21AB1">
        <w:rPr>
          <w:rFonts w:ascii="Times New Roman" w:hAnsi="Times New Roman" w:cs="Times New Roman"/>
          <w:spacing w:val="-2"/>
        </w:rPr>
        <w:t>phase</w:t>
      </w:r>
      <w:proofErr w:type="gramEnd"/>
      <w:r w:rsidR="00C473FC" w:rsidRPr="00F21AB1">
        <w:rPr>
          <w:rFonts w:ascii="Times New Roman" w:hAnsi="Times New Roman" w:cs="Times New Roman"/>
          <w:spacing w:val="-2"/>
        </w:rPr>
        <w:t xml:space="preserve"> 1 and 53 phase 2 participants)</w:t>
      </w:r>
    </w:p>
    <w:p w14:paraId="45F132AF" w14:textId="444753D3" w:rsidR="00A81C46" w:rsidRPr="00C03F0E" w:rsidRDefault="00A81C46" w:rsidP="00A91D9E">
      <w:pPr>
        <w:jc w:val="left"/>
        <w:rPr>
          <w:noProof/>
        </w:rPr>
      </w:pPr>
      <w:r w:rsidRPr="00C03F0E">
        <w:rPr>
          <w:noProof/>
        </w:rPr>
        <w:t xml:space="preserve">Identification of </w:t>
      </w:r>
      <w:r w:rsidRPr="00C03F0E">
        <w:rPr>
          <w:i/>
          <w:iCs/>
          <w:noProof/>
        </w:rPr>
        <w:t>ROS1</w:t>
      </w:r>
      <w:r w:rsidRPr="00C03F0E">
        <w:rPr>
          <w:noProof/>
        </w:rPr>
        <w:t xml:space="preserve"> </w:t>
      </w:r>
      <w:r w:rsidR="00077D8E" w:rsidRPr="00C03F0E">
        <w:rPr>
          <w:noProof/>
        </w:rPr>
        <w:t>gene</w:t>
      </w:r>
      <w:r w:rsidR="006D2749" w:rsidRPr="00C03F0E">
        <w:rPr>
          <w:noProof/>
        </w:rPr>
        <w:t xml:space="preserve"> </w:t>
      </w:r>
      <w:r w:rsidRPr="00C03F0E">
        <w:rPr>
          <w:noProof/>
        </w:rPr>
        <w:t xml:space="preserve">fusions in tumour specimens was prospectively determined in local laboratories using next-generation sequencing (NGS), polymerase chain reaction (PCR) or fluorescence in situ </w:t>
      </w:r>
      <w:r w:rsidR="00D362B8" w:rsidRPr="00C03F0E">
        <w:rPr>
          <w:noProof/>
        </w:rPr>
        <w:t xml:space="preserve">hybridisation </w:t>
      </w:r>
      <w:r w:rsidRPr="00C03F0E">
        <w:rPr>
          <w:noProof/>
        </w:rPr>
        <w:t xml:space="preserve">(FISH) tests. All </w:t>
      </w:r>
      <w:r w:rsidRPr="00C03F0E">
        <w:rPr>
          <w:i/>
          <w:iCs/>
          <w:noProof/>
        </w:rPr>
        <w:t>ROS1</w:t>
      </w:r>
      <w:r w:rsidRPr="00C03F0E">
        <w:rPr>
          <w:noProof/>
        </w:rPr>
        <w:t xml:space="preserve">-positive tumours by local FISH testing required central laboratory confirmation using an analytically validated NGS test. </w:t>
      </w:r>
      <w:r w:rsidRPr="00C03F0E">
        <w:rPr>
          <w:i/>
          <w:iCs/>
          <w:noProof/>
        </w:rPr>
        <w:t>ROS1</w:t>
      </w:r>
      <w:r w:rsidRPr="00C03F0E">
        <w:rPr>
          <w:noProof/>
        </w:rPr>
        <w:t xml:space="preserve"> </w:t>
      </w:r>
      <w:r w:rsidR="008B4E0F" w:rsidRPr="00C03F0E">
        <w:rPr>
          <w:noProof/>
        </w:rPr>
        <w:t xml:space="preserve">gene </w:t>
      </w:r>
      <w:r w:rsidRPr="00C03F0E">
        <w:rPr>
          <w:noProof/>
        </w:rPr>
        <w:t xml:space="preserve">fusions were identified by NGS </w:t>
      </w:r>
      <w:r w:rsidR="007B04D6" w:rsidRPr="00C03F0E">
        <w:rPr>
          <w:noProof/>
        </w:rPr>
        <w:t>(</w:t>
      </w:r>
      <w:r w:rsidRPr="00C03F0E">
        <w:rPr>
          <w:noProof/>
        </w:rPr>
        <w:t>51%</w:t>
      </w:r>
      <w:r w:rsidR="007B04D6" w:rsidRPr="00C03F0E">
        <w:rPr>
          <w:noProof/>
        </w:rPr>
        <w:t>)</w:t>
      </w:r>
      <w:r w:rsidRPr="00C03F0E">
        <w:rPr>
          <w:noProof/>
        </w:rPr>
        <w:t xml:space="preserve">, FISH </w:t>
      </w:r>
      <w:r w:rsidR="007B04D6" w:rsidRPr="00C03F0E">
        <w:rPr>
          <w:noProof/>
        </w:rPr>
        <w:t>(</w:t>
      </w:r>
      <w:r w:rsidRPr="00C03F0E">
        <w:rPr>
          <w:noProof/>
        </w:rPr>
        <w:t>26%</w:t>
      </w:r>
      <w:r w:rsidR="007B04D6" w:rsidRPr="00C03F0E">
        <w:rPr>
          <w:noProof/>
        </w:rPr>
        <w:t>)</w:t>
      </w:r>
      <w:r w:rsidRPr="00C03F0E">
        <w:rPr>
          <w:noProof/>
        </w:rPr>
        <w:t xml:space="preserve"> </w:t>
      </w:r>
      <w:r w:rsidR="001C26BD" w:rsidRPr="00C03F0E">
        <w:rPr>
          <w:noProof/>
        </w:rPr>
        <w:t>or</w:t>
      </w:r>
      <w:r w:rsidRPr="00C03F0E">
        <w:rPr>
          <w:noProof/>
        </w:rPr>
        <w:t xml:space="preserve"> PCR </w:t>
      </w:r>
      <w:r w:rsidR="007B04D6" w:rsidRPr="00C03F0E">
        <w:rPr>
          <w:noProof/>
        </w:rPr>
        <w:t>(</w:t>
      </w:r>
      <w:r w:rsidRPr="00C03F0E">
        <w:rPr>
          <w:noProof/>
        </w:rPr>
        <w:t>23%</w:t>
      </w:r>
      <w:r w:rsidR="007B04D6" w:rsidRPr="00C03F0E">
        <w:rPr>
          <w:noProof/>
        </w:rPr>
        <w:t>)</w:t>
      </w:r>
      <w:r w:rsidRPr="00C03F0E">
        <w:rPr>
          <w:noProof/>
        </w:rPr>
        <w:t xml:space="preserve">. </w:t>
      </w:r>
    </w:p>
    <w:p w14:paraId="54F3FB67" w14:textId="1E5AA81F" w:rsidR="00674BF2" w:rsidRPr="00C03F0E" w:rsidRDefault="00674BF2" w:rsidP="00A91D9E">
      <w:pPr>
        <w:jc w:val="left"/>
        <w:rPr>
          <w:noProof/>
        </w:rPr>
      </w:pPr>
      <w:r w:rsidRPr="00C03F0E">
        <w:rPr>
          <w:noProof/>
        </w:rPr>
        <w:t>Key efficacy endpoints were overall response rate (ORR) and duration of response (DOR) assessed by blinded independent central review (BICR) according to Response Evaluation Criteria in Solid Tumours (RECIST) v1.1. Intracranial response according to modified RECIST v1.1 was also assessed by BICR. Tumour assessments with imaging were performed at least every 8 weeks.</w:t>
      </w:r>
      <w:r w:rsidR="00BD44E8">
        <w:rPr>
          <w:noProof/>
        </w:rPr>
        <w:t xml:space="preserve"> </w:t>
      </w:r>
    </w:p>
    <w:p w14:paraId="51322E34" w14:textId="34009446" w:rsidR="00A81C46" w:rsidRPr="00C03F0E" w:rsidRDefault="00A81C46" w:rsidP="00A91D9E">
      <w:pPr>
        <w:jc w:val="left"/>
        <w:rPr>
          <w:noProof/>
        </w:rPr>
      </w:pPr>
      <w:r w:rsidRPr="00C03F0E">
        <w:rPr>
          <w:noProof/>
        </w:rPr>
        <w:t>Among the 71 ROS1 inhibitor naïve patients, the median age was 57 years (range: 28 – 80), 26.8% and 5.6% were 65 years or older and 75 years or older respectively. The majority were female (61%) Asian (68%) or White (25%); and</w:t>
      </w:r>
      <w:r w:rsidR="00D362B8" w:rsidRPr="00C03F0E">
        <w:rPr>
          <w:noProof/>
        </w:rPr>
        <w:t xml:space="preserve"> had</w:t>
      </w:r>
      <w:r w:rsidRPr="00C03F0E">
        <w:rPr>
          <w:noProof/>
        </w:rPr>
        <w:t xml:space="preserve"> never smoked (63%). Baseline ECOG performance status was 0 (34%) and 1 (66%). At baseline, 94% of patients had metastatic disease, 24% of patients had CNS metastases by BICR; 97% of patients had adenocarcinoma; 28% of patients had prior platinum-based chemotherapy for locally advanced or metastatic disease.</w:t>
      </w:r>
    </w:p>
    <w:p w14:paraId="0A831C68" w14:textId="0AB5C350" w:rsidR="002E37AD" w:rsidRPr="00C03F0E" w:rsidRDefault="00A81C46" w:rsidP="00A91D9E">
      <w:pPr>
        <w:jc w:val="left"/>
        <w:rPr>
          <w:noProof/>
        </w:rPr>
      </w:pPr>
      <w:r w:rsidRPr="00C03F0E">
        <w:rPr>
          <w:noProof/>
        </w:rPr>
        <w:t>Among the 56 patients who had received 1 prior ROS1 TKI (crizotinib 82%, entrectinib 16%, and ceritinib 2%) with no prior platinum-based chemotherapy, the median age was 57 years, (range: 33-78)</w:t>
      </w:r>
      <w:r w:rsidR="003E479B" w:rsidRPr="00C03F0E">
        <w:rPr>
          <w:noProof/>
        </w:rPr>
        <w:t>:</w:t>
      </w:r>
      <w:r w:rsidRPr="00C03F0E">
        <w:rPr>
          <w:noProof/>
        </w:rPr>
        <w:t xml:space="preserve"> 2</w:t>
      </w:r>
      <w:r w:rsidR="003E479B" w:rsidRPr="00C03F0E">
        <w:rPr>
          <w:noProof/>
        </w:rPr>
        <w:t>8</w:t>
      </w:r>
      <w:r w:rsidRPr="00C03F0E">
        <w:rPr>
          <w:noProof/>
        </w:rPr>
        <w:t xml:space="preserve">% were 65 years or older and </w:t>
      </w:r>
      <w:r w:rsidR="003E479B" w:rsidRPr="00C03F0E">
        <w:rPr>
          <w:noProof/>
        </w:rPr>
        <w:t xml:space="preserve">9% were </w:t>
      </w:r>
      <w:r w:rsidRPr="00C03F0E">
        <w:rPr>
          <w:noProof/>
        </w:rPr>
        <w:t>75 years or older. The majority were female (68%), Asian (48%) or White (45%); never smoked (64%); and ECOG performance status of 1 at baseline (68%). At baseline, 98% patients had metastatic disease, 46% had CNS metastases by BICR, and 95% had adenocarcinoma.</w:t>
      </w:r>
    </w:p>
    <w:p w14:paraId="17577C15" w14:textId="24E5660F" w:rsidR="002E37AD" w:rsidRPr="00C03F0E" w:rsidRDefault="00E4779C" w:rsidP="00A91D9E">
      <w:pPr>
        <w:jc w:val="left"/>
        <w:rPr>
          <w:noProof/>
        </w:rPr>
      </w:pPr>
      <w:r w:rsidRPr="00C03F0E">
        <w:rPr>
          <w:noProof/>
        </w:rPr>
        <w:t xml:space="preserve">Efficacy results </w:t>
      </w:r>
      <w:r w:rsidR="00BD44E8">
        <w:rPr>
          <w:noProof/>
        </w:rPr>
        <w:t xml:space="preserve">for patients </w:t>
      </w:r>
      <w:r w:rsidRPr="00C03F0E">
        <w:rPr>
          <w:noProof/>
        </w:rPr>
        <w:t>with a minimum follow up of 14.2 months</w:t>
      </w:r>
      <w:r w:rsidR="00BD44E8">
        <w:rPr>
          <w:noProof/>
        </w:rPr>
        <w:t xml:space="preserve"> (</w:t>
      </w:r>
      <w:r w:rsidR="00BD44E8" w:rsidRPr="00643037">
        <w:t xml:space="preserve">data cut-off date </w:t>
      </w:r>
      <w:r w:rsidR="00BD44E8" w:rsidRPr="00C03F0E">
        <w:rPr>
          <w:noProof/>
        </w:rPr>
        <w:t>19 DEC 2022</w:t>
      </w:r>
      <w:r w:rsidR="00BD44E8">
        <w:rPr>
          <w:noProof/>
        </w:rPr>
        <w:t>)</w:t>
      </w:r>
      <w:r w:rsidRPr="00C03F0E">
        <w:rPr>
          <w:noProof/>
        </w:rPr>
        <w:t xml:space="preserve"> are </w:t>
      </w:r>
      <w:r w:rsidR="003F5819" w:rsidRPr="00C03F0E">
        <w:rPr>
          <w:noProof/>
        </w:rPr>
        <w:t xml:space="preserve">summarised </w:t>
      </w:r>
      <w:r w:rsidRPr="00C03F0E">
        <w:rPr>
          <w:noProof/>
        </w:rPr>
        <w:t xml:space="preserve">in </w:t>
      </w:r>
      <w:r w:rsidR="00E61AE7" w:rsidRPr="006B30AE">
        <w:rPr>
          <w:noProof/>
        </w:rPr>
        <w:fldChar w:fldCharType="begin" w:fldLock="1"/>
      </w:r>
      <w:r w:rsidR="00E61AE7" w:rsidRPr="006B30AE">
        <w:rPr>
          <w:noProof/>
        </w:rPr>
        <w:instrText xml:space="preserve"> REF _Ref160791195 \h </w:instrText>
      </w:r>
      <w:r w:rsidR="00F22893" w:rsidRPr="006B30AE">
        <w:rPr>
          <w:noProof/>
        </w:rPr>
        <w:instrText xml:space="preserve"> \* MERGEFORMAT </w:instrText>
      </w:r>
      <w:r w:rsidR="00E61AE7" w:rsidRPr="006B30AE">
        <w:rPr>
          <w:noProof/>
        </w:rPr>
      </w:r>
      <w:r w:rsidR="00E61AE7" w:rsidRPr="006B30AE">
        <w:rPr>
          <w:noProof/>
        </w:rPr>
        <w:fldChar w:fldCharType="separate"/>
      </w:r>
      <w:r w:rsidR="00135E21" w:rsidRPr="006B30AE">
        <w:t xml:space="preserve">Table </w:t>
      </w:r>
      <w:r w:rsidR="00135E21" w:rsidRPr="006B30AE">
        <w:rPr>
          <w:noProof/>
        </w:rPr>
        <w:t>5</w:t>
      </w:r>
      <w:r w:rsidR="00E61AE7" w:rsidRPr="006B30AE">
        <w:rPr>
          <w:noProof/>
        </w:rPr>
        <w:fldChar w:fldCharType="end"/>
      </w:r>
      <w:r w:rsidRPr="00C03F0E">
        <w:rPr>
          <w:noProof/>
        </w:rPr>
        <w:t>.</w:t>
      </w:r>
    </w:p>
    <w:p w14:paraId="3D92FDBE" w14:textId="7578B6CA" w:rsidR="009F53F5" w:rsidRPr="00C146ED" w:rsidRDefault="00672670" w:rsidP="00A91D9E">
      <w:pPr>
        <w:pStyle w:val="Caption"/>
        <w:keepNext/>
        <w:jc w:val="left"/>
        <w:rPr>
          <w:b w:val="0"/>
          <w:bCs/>
          <w:noProof/>
          <w:sz w:val="24"/>
          <w:szCs w:val="24"/>
        </w:rPr>
      </w:pPr>
      <w:bookmarkStart w:id="11" w:name="_Ref160791195"/>
      <w:r w:rsidRPr="00C146ED">
        <w:rPr>
          <w:sz w:val="24"/>
          <w:szCs w:val="24"/>
        </w:rPr>
        <w:lastRenderedPageBreak/>
        <w:t xml:space="preserve">Table </w:t>
      </w:r>
      <w:r w:rsidRPr="00C146ED">
        <w:rPr>
          <w:sz w:val="24"/>
          <w:szCs w:val="24"/>
        </w:rPr>
        <w:fldChar w:fldCharType="begin"/>
      </w:r>
      <w:r w:rsidRPr="00C146ED">
        <w:rPr>
          <w:sz w:val="24"/>
          <w:szCs w:val="24"/>
        </w:rPr>
        <w:instrText xml:space="preserve"> SEQ Table \* ARABIC </w:instrText>
      </w:r>
      <w:r w:rsidRPr="00C146ED">
        <w:rPr>
          <w:sz w:val="24"/>
          <w:szCs w:val="24"/>
        </w:rPr>
        <w:fldChar w:fldCharType="separate"/>
      </w:r>
      <w:r w:rsidR="007D3B89">
        <w:rPr>
          <w:noProof/>
          <w:sz w:val="24"/>
          <w:szCs w:val="24"/>
        </w:rPr>
        <w:t>5</w:t>
      </w:r>
      <w:r w:rsidRPr="00C146ED">
        <w:rPr>
          <w:sz w:val="24"/>
          <w:szCs w:val="24"/>
        </w:rPr>
        <w:fldChar w:fldCharType="end"/>
      </w:r>
      <w:bookmarkEnd w:id="11"/>
      <w:r w:rsidR="00866A0F" w:rsidRPr="00C146ED">
        <w:rPr>
          <w:bCs/>
          <w:noProof/>
          <w:sz w:val="24"/>
          <w:szCs w:val="24"/>
        </w:rPr>
        <w:t xml:space="preserve">: Efficacy </w:t>
      </w:r>
      <w:r w:rsidR="00ED5456" w:rsidRPr="00F21AB1">
        <w:rPr>
          <w:bCs/>
          <w:noProof/>
          <w:sz w:val="24"/>
          <w:szCs w:val="24"/>
        </w:rPr>
        <w:t>r</w:t>
      </w:r>
      <w:r w:rsidR="00866A0F" w:rsidRPr="00C146ED">
        <w:rPr>
          <w:bCs/>
          <w:noProof/>
          <w:sz w:val="24"/>
          <w:szCs w:val="24"/>
        </w:rPr>
        <w:t xml:space="preserve">esults in </w:t>
      </w:r>
      <w:r w:rsidR="00866A0F" w:rsidRPr="00C146ED">
        <w:rPr>
          <w:bCs/>
          <w:i/>
          <w:iCs w:val="0"/>
          <w:noProof/>
          <w:sz w:val="24"/>
          <w:szCs w:val="24"/>
        </w:rPr>
        <w:t>ROS1</w:t>
      </w:r>
      <w:r w:rsidR="00866A0F" w:rsidRPr="00C146ED">
        <w:rPr>
          <w:bCs/>
          <w:noProof/>
          <w:sz w:val="24"/>
          <w:szCs w:val="24"/>
        </w:rPr>
        <w:t>-</w:t>
      </w:r>
      <w:r w:rsidR="00ED5456" w:rsidRPr="00F21AB1">
        <w:rPr>
          <w:bCs/>
          <w:noProof/>
          <w:sz w:val="24"/>
          <w:szCs w:val="24"/>
        </w:rPr>
        <w:t>p</w:t>
      </w:r>
      <w:r w:rsidR="00866A0F" w:rsidRPr="00C146ED">
        <w:rPr>
          <w:bCs/>
          <w:noProof/>
          <w:sz w:val="24"/>
          <w:szCs w:val="24"/>
        </w:rPr>
        <w:t xml:space="preserve">ositive NSCLC </w:t>
      </w:r>
      <w:r w:rsidR="00ED5456" w:rsidRPr="00F21AB1">
        <w:rPr>
          <w:bCs/>
          <w:noProof/>
          <w:sz w:val="24"/>
          <w:szCs w:val="24"/>
        </w:rPr>
        <w:t>p</w:t>
      </w:r>
      <w:r w:rsidR="00866A0F" w:rsidRPr="00C146ED">
        <w:rPr>
          <w:bCs/>
          <w:noProof/>
          <w:sz w:val="24"/>
          <w:szCs w:val="24"/>
        </w:rPr>
        <w:t xml:space="preserve">atients per BICR </w:t>
      </w:r>
      <w:r w:rsidR="00ED5456" w:rsidRPr="00F21AB1">
        <w:rPr>
          <w:bCs/>
          <w:noProof/>
          <w:sz w:val="24"/>
          <w:szCs w:val="24"/>
        </w:rPr>
        <w:t>a</w:t>
      </w:r>
      <w:r w:rsidR="00866A0F" w:rsidRPr="00C146ED">
        <w:rPr>
          <w:bCs/>
          <w:noProof/>
          <w:sz w:val="24"/>
          <w:szCs w:val="24"/>
        </w:rPr>
        <w:t>ssessment</w:t>
      </w:r>
    </w:p>
    <w:tbl>
      <w:tblPr>
        <w:tblStyle w:val="TableGrid"/>
        <w:tblW w:w="9067" w:type="dxa"/>
        <w:tblLayout w:type="fixed"/>
        <w:tblLook w:val="04A0" w:firstRow="1" w:lastRow="0" w:firstColumn="1" w:lastColumn="0" w:noHBand="0" w:noVBand="1"/>
      </w:tblPr>
      <w:tblGrid>
        <w:gridCol w:w="5382"/>
        <w:gridCol w:w="1843"/>
        <w:gridCol w:w="1842"/>
      </w:tblGrid>
      <w:tr w:rsidR="00B72F4B" w:rsidRPr="00C146ED" w14:paraId="4714C9D5" w14:textId="77777777" w:rsidTr="00652811">
        <w:tc>
          <w:tcPr>
            <w:tcW w:w="5382" w:type="dxa"/>
          </w:tcPr>
          <w:p w14:paraId="7B251CEA" w14:textId="591685F5" w:rsidR="009F53F5" w:rsidRPr="00C146ED" w:rsidRDefault="00866A0F" w:rsidP="00A91D9E">
            <w:pPr>
              <w:jc w:val="left"/>
              <w:rPr>
                <w:b/>
                <w:bCs/>
                <w:noProof/>
              </w:rPr>
            </w:pPr>
            <w:r w:rsidRPr="00C146ED">
              <w:rPr>
                <w:b/>
                <w:bCs/>
                <w:noProof/>
              </w:rPr>
              <w:t xml:space="preserve">Efficacy </w:t>
            </w:r>
            <w:r w:rsidR="00643461" w:rsidRPr="00F21AB1">
              <w:rPr>
                <w:b/>
                <w:bCs/>
                <w:noProof/>
              </w:rPr>
              <w:t>p</w:t>
            </w:r>
            <w:r w:rsidRPr="00C146ED">
              <w:rPr>
                <w:b/>
                <w:bCs/>
                <w:noProof/>
              </w:rPr>
              <w:t>arameters</w:t>
            </w:r>
          </w:p>
        </w:tc>
        <w:tc>
          <w:tcPr>
            <w:tcW w:w="1843" w:type="dxa"/>
          </w:tcPr>
          <w:p w14:paraId="5C9F1D6E" w14:textId="237EC04B" w:rsidR="00866A0F" w:rsidRPr="00C146ED" w:rsidRDefault="006E49D1" w:rsidP="00A91D9E">
            <w:pPr>
              <w:jc w:val="left"/>
              <w:rPr>
                <w:b/>
                <w:bCs/>
                <w:noProof/>
              </w:rPr>
            </w:pPr>
            <w:r w:rsidRPr="00F21AB1">
              <w:rPr>
                <w:b/>
                <w:bCs/>
                <w:noProof/>
              </w:rPr>
              <w:t>TKI</w:t>
            </w:r>
            <w:r w:rsidR="006F57C0" w:rsidRPr="00F21AB1">
              <w:rPr>
                <w:b/>
                <w:bCs/>
                <w:noProof/>
              </w:rPr>
              <w:t xml:space="preserve"> naïve </w:t>
            </w:r>
          </w:p>
          <w:p w14:paraId="59D342E7" w14:textId="5F38FA39" w:rsidR="009F53F5" w:rsidRPr="00C146ED" w:rsidRDefault="00866A0F" w:rsidP="00A91D9E">
            <w:pPr>
              <w:jc w:val="left"/>
              <w:rPr>
                <w:b/>
                <w:bCs/>
                <w:noProof/>
              </w:rPr>
            </w:pPr>
            <w:r w:rsidRPr="00C146ED">
              <w:rPr>
                <w:b/>
                <w:bCs/>
                <w:noProof/>
              </w:rPr>
              <w:t>(N = 71)</w:t>
            </w:r>
          </w:p>
        </w:tc>
        <w:tc>
          <w:tcPr>
            <w:tcW w:w="1842" w:type="dxa"/>
          </w:tcPr>
          <w:p w14:paraId="1F3A444D" w14:textId="761F347C" w:rsidR="00E01F5E" w:rsidRPr="00C146ED" w:rsidRDefault="002E04D7" w:rsidP="00A91D9E">
            <w:pPr>
              <w:jc w:val="left"/>
              <w:rPr>
                <w:b/>
                <w:bCs/>
                <w:noProof/>
              </w:rPr>
            </w:pPr>
            <w:r w:rsidRPr="00F21AB1">
              <w:rPr>
                <w:b/>
                <w:bCs/>
                <w:noProof/>
              </w:rPr>
              <w:t>TKI</w:t>
            </w:r>
            <w:r w:rsidR="006E49D1" w:rsidRPr="00F21AB1">
              <w:rPr>
                <w:b/>
                <w:bCs/>
                <w:noProof/>
              </w:rPr>
              <w:t xml:space="preserve"> </w:t>
            </w:r>
            <w:r w:rsidR="006F57C0" w:rsidRPr="00F21AB1">
              <w:rPr>
                <w:b/>
                <w:bCs/>
                <w:noProof/>
              </w:rPr>
              <w:t>pretreated</w:t>
            </w:r>
            <w:r w:rsidR="00221A8D" w:rsidRPr="00C146ED">
              <w:rPr>
                <w:rFonts w:ascii="Times New Roman Bold" w:hAnsi="Times New Roman Bold"/>
                <w:b/>
                <w:bCs/>
                <w:noProof/>
                <w:vertAlign w:val="superscript"/>
              </w:rPr>
              <w:t>a</w:t>
            </w:r>
          </w:p>
          <w:p w14:paraId="18BA888A" w14:textId="195B0635" w:rsidR="009F53F5" w:rsidRPr="00C146ED" w:rsidRDefault="00E01F5E" w:rsidP="00A91D9E">
            <w:pPr>
              <w:jc w:val="left"/>
              <w:rPr>
                <w:b/>
                <w:bCs/>
                <w:noProof/>
              </w:rPr>
            </w:pPr>
            <w:r w:rsidRPr="00C146ED">
              <w:rPr>
                <w:b/>
                <w:bCs/>
                <w:noProof/>
              </w:rPr>
              <w:t>(N = 56)</w:t>
            </w:r>
          </w:p>
        </w:tc>
      </w:tr>
      <w:tr w:rsidR="00B72F4B" w:rsidRPr="00C146ED" w14:paraId="3ACD312A" w14:textId="77777777" w:rsidTr="00652811">
        <w:tc>
          <w:tcPr>
            <w:tcW w:w="5382" w:type="dxa"/>
          </w:tcPr>
          <w:p w14:paraId="038FD6F6" w14:textId="25AC2A55" w:rsidR="009F53F5" w:rsidRPr="00C146ED" w:rsidRDefault="00E01F5E" w:rsidP="00A91D9E">
            <w:pPr>
              <w:jc w:val="left"/>
              <w:rPr>
                <w:rFonts w:cs="Times New Roman"/>
                <w:noProof/>
              </w:rPr>
            </w:pPr>
            <w:r w:rsidRPr="00C146ED">
              <w:rPr>
                <w:rFonts w:cs="Times New Roman"/>
                <w:noProof/>
              </w:rPr>
              <w:t xml:space="preserve">Confirmed </w:t>
            </w:r>
            <w:r w:rsidR="00643461" w:rsidRPr="00F21AB1">
              <w:rPr>
                <w:rFonts w:cs="Times New Roman"/>
                <w:noProof/>
              </w:rPr>
              <w:t>objective</w:t>
            </w:r>
            <w:r w:rsidRPr="00C146ED">
              <w:rPr>
                <w:rFonts w:cs="Times New Roman"/>
                <w:noProof/>
              </w:rPr>
              <w:t xml:space="preserve"> </w:t>
            </w:r>
            <w:r w:rsidR="00643461" w:rsidRPr="00F21AB1">
              <w:rPr>
                <w:rFonts w:cs="Times New Roman"/>
                <w:noProof/>
              </w:rPr>
              <w:t>r</w:t>
            </w:r>
            <w:r w:rsidRPr="00C146ED">
              <w:rPr>
                <w:rFonts w:cs="Times New Roman"/>
                <w:noProof/>
              </w:rPr>
              <w:t xml:space="preserve">esponse </w:t>
            </w:r>
            <w:r w:rsidR="00643461" w:rsidRPr="00F21AB1">
              <w:rPr>
                <w:rFonts w:cs="Times New Roman"/>
                <w:noProof/>
              </w:rPr>
              <w:t>r</w:t>
            </w:r>
            <w:r w:rsidRPr="00C146ED">
              <w:rPr>
                <w:rFonts w:cs="Times New Roman"/>
                <w:noProof/>
              </w:rPr>
              <w:t>ate, % (95% CI)</w:t>
            </w:r>
          </w:p>
        </w:tc>
        <w:tc>
          <w:tcPr>
            <w:tcW w:w="1843" w:type="dxa"/>
          </w:tcPr>
          <w:p w14:paraId="40364208" w14:textId="7891403D" w:rsidR="009F53F5" w:rsidRPr="00C146ED" w:rsidRDefault="00092914" w:rsidP="00A91D9E">
            <w:pPr>
              <w:jc w:val="left"/>
              <w:rPr>
                <w:b/>
                <w:bCs/>
                <w:noProof/>
              </w:rPr>
            </w:pPr>
            <w:r w:rsidRPr="00C146ED">
              <w:rPr>
                <w:noProof/>
              </w:rPr>
              <w:t>7</w:t>
            </w:r>
            <w:r w:rsidR="00B175C2" w:rsidRPr="00C146ED">
              <w:rPr>
                <w:noProof/>
              </w:rPr>
              <w:t>9</w:t>
            </w:r>
            <w:r w:rsidR="0034758D" w:rsidRPr="00F21AB1">
              <w:rPr>
                <w:noProof/>
              </w:rPr>
              <w:t xml:space="preserve"> </w:t>
            </w:r>
            <w:r w:rsidRPr="00C146ED">
              <w:rPr>
                <w:noProof/>
              </w:rPr>
              <w:t>(6</w:t>
            </w:r>
            <w:r w:rsidR="00643461" w:rsidRPr="00F21AB1">
              <w:rPr>
                <w:noProof/>
              </w:rPr>
              <w:t>8</w:t>
            </w:r>
            <w:r w:rsidRPr="00C146ED">
              <w:rPr>
                <w:noProof/>
              </w:rPr>
              <w:t>, 8</w:t>
            </w:r>
            <w:r w:rsidR="00643461" w:rsidRPr="00F21AB1">
              <w:rPr>
                <w:noProof/>
              </w:rPr>
              <w:t>8</w:t>
            </w:r>
            <w:r w:rsidRPr="00C146ED">
              <w:rPr>
                <w:noProof/>
              </w:rPr>
              <w:t>)</w:t>
            </w:r>
          </w:p>
        </w:tc>
        <w:tc>
          <w:tcPr>
            <w:tcW w:w="1842" w:type="dxa"/>
          </w:tcPr>
          <w:p w14:paraId="7C8FFC40" w14:textId="307B89F9" w:rsidR="009F53F5" w:rsidRPr="00C146ED" w:rsidRDefault="00092914" w:rsidP="00A91D9E">
            <w:pPr>
              <w:jc w:val="left"/>
              <w:rPr>
                <w:b/>
                <w:bCs/>
                <w:noProof/>
              </w:rPr>
            </w:pPr>
            <w:r w:rsidRPr="00C146ED">
              <w:rPr>
                <w:noProof/>
              </w:rPr>
              <w:t>3</w:t>
            </w:r>
            <w:r w:rsidR="00643461" w:rsidRPr="00F21AB1">
              <w:rPr>
                <w:noProof/>
              </w:rPr>
              <w:t>8</w:t>
            </w:r>
            <w:r w:rsidR="0034758D" w:rsidRPr="00F21AB1">
              <w:rPr>
                <w:noProof/>
              </w:rPr>
              <w:t xml:space="preserve"> </w:t>
            </w:r>
            <w:r w:rsidRPr="00C146ED">
              <w:rPr>
                <w:noProof/>
              </w:rPr>
              <w:t>(2</w:t>
            </w:r>
            <w:r w:rsidR="00643461" w:rsidRPr="00F21AB1">
              <w:rPr>
                <w:noProof/>
              </w:rPr>
              <w:t>5</w:t>
            </w:r>
            <w:r w:rsidRPr="00C146ED">
              <w:rPr>
                <w:noProof/>
              </w:rPr>
              <w:t>, 52)</w:t>
            </w:r>
          </w:p>
        </w:tc>
      </w:tr>
      <w:tr w:rsidR="00B72F4B" w:rsidRPr="00C146ED" w14:paraId="772A4125" w14:textId="77777777" w:rsidTr="00652811">
        <w:tc>
          <w:tcPr>
            <w:tcW w:w="5382" w:type="dxa"/>
          </w:tcPr>
          <w:p w14:paraId="6CE3F34B" w14:textId="6A076FE9" w:rsidR="009F53F5" w:rsidRPr="00C146ED" w:rsidRDefault="00B56C30" w:rsidP="00A91D9E">
            <w:pPr>
              <w:pStyle w:val="ListParagraph"/>
              <w:jc w:val="left"/>
              <w:rPr>
                <w:rFonts w:ascii="Times New Roman" w:hAnsi="Times New Roman" w:cs="Times New Roman"/>
                <w:noProof/>
              </w:rPr>
            </w:pPr>
            <w:r w:rsidRPr="00C146ED">
              <w:rPr>
                <w:rFonts w:ascii="Times New Roman" w:hAnsi="Times New Roman" w:cs="Times New Roman"/>
                <w:noProof/>
              </w:rPr>
              <w:t xml:space="preserve">Complete </w:t>
            </w:r>
            <w:r w:rsidR="0034758D" w:rsidRPr="00F21AB1">
              <w:rPr>
                <w:rFonts w:ascii="Times New Roman" w:hAnsi="Times New Roman" w:cs="Times New Roman"/>
                <w:noProof/>
              </w:rPr>
              <w:t>r</w:t>
            </w:r>
            <w:r w:rsidRPr="00C146ED">
              <w:rPr>
                <w:rFonts w:ascii="Times New Roman" w:hAnsi="Times New Roman" w:cs="Times New Roman"/>
                <w:noProof/>
              </w:rPr>
              <w:t>esponse</w:t>
            </w:r>
            <w:r w:rsidR="0034758D" w:rsidRPr="00F21AB1">
              <w:rPr>
                <w:rFonts w:ascii="Times New Roman" w:hAnsi="Times New Roman" w:cs="Times New Roman"/>
                <w:noProof/>
              </w:rPr>
              <w:t>s,</w:t>
            </w:r>
            <w:r w:rsidRPr="00C146ED">
              <w:rPr>
                <w:rFonts w:ascii="Times New Roman" w:hAnsi="Times New Roman" w:cs="Times New Roman"/>
                <w:noProof/>
              </w:rPr>
              <w:t xml:space="preserve"> N</w:t>
            </w:r>
            <w:r w:rsidR="00343BFA" w:rsidRPr="00C146ED">
              <w:rPr>
                <w:rFonts w:ascii="Times New Roman" w:hAnsi="Times New Roman" w:cs="Times New Roman"/>
                <w:noProof/>
              </w:rPr>
              <w:t xml:space="preserve"> </w:t>
            </w:r>
            <w:r w:rsidRPr="00C146ED">
              <w:rPr>
                <w:rFonts w:ascii="Times New Roman" w:hAnsi="Times New Roman" w:cs="Times New Roman"/>
                <w:noProof/>
              </w:rPr>
              <w:t>(%)</w:t>
            </w:r>
          </w:p>
        </w:tc>
        <w:tc>
          <w:tcPr>
            <w:tcW w:w="1843" w:type="dxa"/>
          </w:tcPr>
          <w:p w14:paraId="7FF978AE" w14:textId="3A5D23FF" w:rsidR="009F53F5" w:rsidRPr="00C146ED" w:rsidRDefault="00433476" w:rsidP="00A91D9E">
            <w:pPr>
              <w:jc w:val="left"/>
              <w:rPr>
                <w:noProof/>
              </w:rPr>
            </w:pPr>
            <w:r w:rsidRPr="00C146ED">
              <w:rPr>
                <w:noProof/>
              </w:rPr>
              <w:t>7 (</w:t>
            </w:r>
            <w:r w:rsidR="00D70BFE" w:rsidRPr="00F21AB1">
              <w:rPr>
                <w:noProof/>
              </w:rPr>
              <w:t>10</w:t>
            </w:r>
            <w:r w:rsidRPr="00C146ED">
              <w:rPr>
                <w:noProof/>
              </w:rPr>
              <w:t>)</w:t>
            </w:r>
          </w:p>
        </w:tc>
        <w:tc>
          <w:tcPr>
            <w:tcW w:w="1842" w:type="dxa"/>
          </w:tcPr>
          <w:p w14:paraId="2097B5E8" w14:textId="223ACC20" w:rsidR="009F53F5" w:rsidRPr="00C146ED" w:rsidRDefault="00433476" w:rsidP="00A91D9E">
            <w:pPr>
              <w:jc w:val="left"/>
              <w:rPr>
                <w:noProof/>
              </w:rPr>
            </w:pPr>
            <w:r w:rsidRPr="00C146ED">
              <w:rPr>
                <w:noProof/>
              </w:rPr>
              <w:t>3 (5)</w:t>
            </w:r>
          </w:p>
        </w:tc>
      </w:tr>
      <w:tr w:rsidR="00B72F4B" w:rsidRPr="00C146ED" w14:paraId="52CDC057" w14:textId="77777777" w:rsidTr="00652811">
        <w:tc>
          <w:tcPr>
            <w:tcW w:w="5382" w:type="dxa"/>
          </w:tcPr>
          <w:p w14:paraId="2B122DAA" w14:textId="0653E2E3" w:rsidR="009F53F5" w:rsidRPr="00C146ED" w:rsidRDefault="000D4C46" w:rsidP="00A91D9E">
            <w:pPr>
              <w:pStyle w:val="ListParagraph"/>
              <w:jc w:val="left"/>
              <w:rPr>
                <w:rFonts w:ascii="Times New Roman" w:hAnsi="Times New Roman" w:cs="Times New Roman"/>
                <w:noProof/>
              </w:rPr>
            </w:pPr>
            <w:r w:rsidRPr="00C146ED">
              <w:rPr>
                <w:rFonts w:ascii="Times New Roman" w:hAnsi="Times New Roman" w:cs="Times New Roman"/>
                <w:noProof/>
              </w:rPr>
              <w:t xml:space="preserve">Partial </w:t>
            </w:r>
            <w:r w:rsidR="0034758D" w:rsidRPr="00F21AB1">
              <w:rPr>
                <w:rFonts w:ascii="Times New Roman" w:hAnsi="Times New Roman" w:cs="Times New Roman"/>
                <w:noProof/>
              </w:rPr>
              <w:t>r</w:t>
            </w:r>
            <w:r w:rsidRPr="00C146ED">
              <w:rPr>
                <w:rFonts w:ascii="Times New Roman" w:hAnsi="Times New Roman" w:cs="Times New Roman"/>
                <w:noProof/>
              </w:rPr>
              <w:t>esponse</w:t>
            </w:r>
            <w:r w:rsidR="0034758D" w:rsidRPr="00F21AB1">
              <w:rPr>
                <w:rFonts w:ascii="Times New Roman" w:hAnsi="Times New Roman" w:cs="Times New Roman"/>
                <w:noProof/>
              </w:rPr>
              <w:t>s,</w:t>
            </w:r>
            <w:r w:rsidRPr="00C146ED">
              <w:rPr>
                <w:rFonts w:ascii="Times New Roman" w:hAnsi="Times New Roman" w:cs="Times New Roman"/>
                <w:noProof/>
              </w:rPr>
              <w:t xml:space="preserve"> N</w:t>
            </w:r>
            <w:r w:rsidR="00343BFA" w:rsidRPr="00C146ED">
              <w:rPr>
                <w:rFonts w:ascii="Times New Roman" w:hAnsi="Times New Roman" w:cs="Times New Roman"/>
                <w:noProof/>
              </w:rPr>
              <w:t xml:space="preserve"> </w:t>
            </w:r>
            <w:r w:rsidRPr="00C146ED">
              <w:rPr>
                <w:rFonts w:ascii="Times New Roman" w:hAnsi="Times New Roman" w:cs="Times New Roman"/>
                <w:noProof/>
              </w:rPr>
              <w:t>(%)</w:t>
            </w:r>
          </w:p>
        </w:tc>
        <w:tc>
          <w:tcPr>
            <w:tcW w:w="1843" w:type="dxa"/>
          </w:tcPr>
          <w:p w14:paraId="736EAB18" w14:textId="70FE21A9" w:rsidR="009F53F5" w:rsidRPr="00C146ED" w:rsidRDefault="00433476" w:rsidP="00A91D9E">
            <w:pPr>
              <w:jc w:val="left"/>
              <w:rPr>
                <w:noProof/>
              </w:rPr>
            </w:pPr>
            <w:r w:rsidRPr="00C146ED">
              <w:rPr>
                <w:noProof/>
              </w:rPr>
              <w:t>49 (69)</w:t>
            </w:r>
          </w:p>
        </w:tc>
        <w:tc>
          <w:tcPr>
            <w:tcW w:w="1842" w:type="dxa"/>
          </w:tcPr>
          <w:p w14:paraId="77A6BDD6" w14:textId="5B33DD8E" w:rsidR="009F53F5" w:rsidRPr="00C146ED" w:rsidRDefault="0075394B" w:rsidP="00A91D9E">
            <w:pPr>
              <w:jc w:val="left"/>
              <w:rPr>
                <w:noProof/>
              </w:rPr>
            </w:pPr>
            <w:r w:rsidRPr="00C146ED">
              <w:rPr>
                <w:noProof/>
              </w:rPr>
              <w:t>18 (32)</w:t>
            </w:r>
          </w:p>
        </w:tc>
      </w:tr>
      <w:tr w:rsidR="00B72F4B" w:rsidRPr="00C146ED" w14:paraId="684A2F1D" w14:textId="77777777" w:rsidTr="00652811">
        <w:tc>
          <w:tcPr>
            <w:tcW w:w="5382" w:type="dxa"/>
          </w:tcPr>
          <w:p w14:paraId="3A589E5A" w14:textId="52417076" w:rsidR="009F53F5" w:rsidRPr="00C146ED" w:rsidRDefault="0094056B" w:rsidP="00A91D9E">
            <w:pPr>
              <w:jc w:val="left"/>
              <w:rPr>
                <w:rFonts w:cs="Times New Roman"/>
                <w:b/>
                <w:bCs/>
                <w:noProof/>
              </w:rPr>
            </w:pPr>
            <w:r w:rsidRPr="00C146ED">
              <w:rPr>
                <w:rFonts w:cs="Times New Roman"/>
                <w:noProof/>
              </w:rPr>
              <w:t xml:space="preserve">Median </w:t>
            </w:r>
            <w:r w:rsidR="0034758D" w:rsidRPr="00F21AB1">
              <w:rPr>
                <w:rFonts w:cs="Times New Roman"/>
                <w:noProof/>
              </w:rPr>
              <w:t>d</w:t>
            </w:r>
            <w:r w:rsidR="0034758D" w:rsidRPr="00C146ED">
              <w:rPr>
                <w:rFonts w:cs="Times New Roman"/>
                <w:noProof/>
              </w:rPr>
              <w:t xml:space="preserve">uration </w:t>
            </w:r>
            <w:r w:rsidRPr="00C146ED">
              <w:rPr>
                <w:rFonts w:cs="Times New Roman"/>
                <w:noProof/>
              </w:rPr>
              <w:t xml:space="preserve">of </w:t>
            </w:r>
            <w:r w:rsidR="0034758D" w:rsidRPr="00F21AB1">
              <w:rPr>
                <w:rFonts w:cs="Times New Roman"/>
                <w:noProof/>
              </w:rPr>
              <w:t>r</w:t>
            </w:r>
            <w:r w:rsidR="0034758D" w:rsidRPr="00C146ED">
              <w:rPr>
                <w:rFonts w:cs="Times New Roman"/>
                <w:noProof/>
              </w:rPr>
              <w:t xml:space="preserve">esponse </w:t>
            </w:r>
            <w:r w:rsidRPr="00C146ED">
              <w:rPr>
                <w:rFonts w:cs="Times New Roman"/>
                <w:noProof/>
              </w:rPr>
              <w:t>(DOR)</w:t>
            </w:r>
            <w:r w:rsidR="0034758D" w:rsidRPr="00F21AB1">
              <w:rPr>
                <w:rFonts w:cs="Times New Roman"/>
                <w:noProof/>
              </w:rPr>
              <w:t>,</w:t>
            </w:r>
            <w:r w:rsidR="0034758D" w:rsidRPr="00C146ED">
              <w:rPr>
                <w:rFonts w:cs="Times New Roman"/>
                <w:noProof/>
              </w:rPr>
              <w:t xml:space="preserve"> </w:t>
            </w:r>
            <w:r w:rsidR="0034758D" w:rsidRPr="00F21AB1">
              <w:rPr>
                <w:rFonts w:cs="Times New Roman"/>
                <w:noProof/>
              </w:rPr>
              <w:t>m</w:t>
            </w:r>
            <w:r w:rsidR="0034758D" w:rsidRPr="00C146ED">
              <w:rPr>
                <w:rFonts w:cs="Times New Roman"/>
                <w:noProof/>
              </w:rPr>
              <w:t xml:space="preserve">onths </w:t>
            </w:r>
            <w:r w:rsidRPr="00C146ED">
              <w:rPr>
                <w:rFonts w:cs="Times New Roman"/>
                <w:noProof/>
              </w:rPr>
              <w:t>(95% CI)</w:t>
            </w:r>
          </w:p>
        </w:tc>
        <w:tc>
          <w:tcPr>
            <w:tcW w:w="1843" w:type="dxa"/>
          </w:tcPr>
          <w:p w14:paraId="48E9E543" w14:textId="77777777" w:rsidR="0094056B" w:rsidRPr="00C146ED" w:rsidRDefault="0094056B" w:rsidP="00A91D9E">
            <w:pPr>
              <w:jc w:val="left"/>
              <w:rPr>
                <w:noProof/>
              </w:rPr>
            </w:pPr>
            <w:r w:rsidRPr="00C146ED">
              <w:rPr>
                <w:noProof/>
              </w:rPr>
              <w:t>34.1</w:t>
            </w:r>
          </w:p>
          <w:p w14:paraId="74BFA6E1" w14:textId="500D2656" w:rsidR="009F53F5" w:rsidRPr="00C146ED" w:rsidRDefault="0094056B" w:rsidP="00A91D9E">
            <w:pPr>
              <w:jc w:val="left"/>
              <w:rPr>
                <w:b/>
                <w:bCs/>
                <w:noProof/>
              </w:rPr>
            </w:pPr>
            <w:r w:rsidRPr="00C146ED">
              <w:rPr>
                <w:noProof/>
              </w:rPr>
              <w:t>(25.6, NE)</w:t>
            </w:r>
          </w:p>
        </w:tc>
        <w:tc>
          <w:tcPr>
            <w:tcW w:w="1842" w:type="dxa"/>
          </w:tcPr>
          <w:p w14:paraId="13929FFD" w14:textId="77777777" w:rsidR="00863C90" w:rsidRPr="00C146ED" w:rsidRDefault="00863C90" w:rsidP="00A91D9E">
            <w:pPr>
              <w:jc w:val="left"/>
              <w:rPr>
                <w:noProof/>
              </w:rPr>
            </w:pPr>
            <w:r w:rsidRPr="00C146ED">
              <w:rPr>
                <w:noProof/>
              </w:rPr>
              <w:t>14.8</w:t>
            </w:r>
          </w:p>
          <w:p w14:paraId="7771EAD0" w14:textId="7B10652E" w:rsidR="009F53F5" w:rsidRPr="00C146ED" w:rsidRDefault="00863C90" w:rsidP="00A91D9E">
            <w:pPr>
              <w:jc w:val="left"/>
              <w:rPr>
                <w:b/>
                <w:bCs/>
                <w:noProof/>
              </w:rPr>
            </w:pPr>
            <w:r w:rsidRPr="00C146ED">
              <w:rPr>
                <w:noProof/>
              </w:rPr>
              <w:t>(7.6, NE)</w:t>
            </w:r>
          </w:p>
        </w:tc>
      </w:tr>
      <w:tr w:rsidR="00B72F4B" w:rsidRPr="00C146ED" w14:paraId="12690806" w14:textId="77777777" w:rsidTr="00652811">
        <w:tc>
          <w:tcPr>
            <w:tcW w:w="5382" w:type="dxa"/>
          </w:tcPr>
          <w:p w14:paraId="00FE47A0" w14:textId="4091F78D" w:rsidR="009F53F5" w:rsidRPr="00C146ED" w:rsidRDefault="00863C90" w:rsidP="00A91D9E">
            <w:pPr>
              <w:pStyle w:val="ListParagraph"/>
              <w:jc w:val="left"/>
              <w:rPr>
                <w:rFonts w:ascii="Times New Roman" w:hAnsi="Times New Roman" w:cs="Times New Roman"/>
                <w:noProof/>
              </w:rPr>
            </w:pPr>
            <w:r w:rsidRPr="00C146ED">
              <w:rPr>
                <w:rFonts w:ascii="Times New Roman" w:hAnsi="Times New Roman" w:cs="Times New Roman"/>
                <w:noProof/>
              </w:rPr>
              <w:t>Range (months)</w:t>
            </w:r>
          </w:p>
        </w:tc>
        <w:tc>
          <w:tcPr>
            <w:tcW w:w="1843" w:type="dxa"/>
          </w:tcPr>
          <w:p w14:paraId="360E81AB" w14:textId="6AF94C47" w:rsidR="009F53F5" w:rsidRPr="00C146ED" w:rsidRDefault="000C091F" w:rsidP="00A91D9E">
            <w:pPr>
              <w:jc w:val="left"/>
              <w:rPr>
                <w:noProof/>
              </w:rPr>
            </w:pPr>
            <w:r w:rsidRPr="00C146ED">
              <w:rPr>
                <w:noProof/>
              </w:rPr>
              <w:t>1.4+ – 42.4+</w:t>
            </w:r>
          </w:p>
        </w:tc>
        <w:tc>
          <w:tcPr>
            <w:tcW w:w="1842" w:type="dxa"/>
          </w:tcPr>
          <w:p w14:paraId="65914DF8" w14:textId="74B7D442" w:rsidR="009F53F5" w:rsidRPr="00C146ED" w:rsidRDefault="000C091F" w:rsidP="00A91D9E">
            <w:pPr>
              <w:jc w:val="left"/>
              <w:rPr>
                <w:noProof/>
              </w:rPr>
            </w:pPr>
            <w:r w:rsidRPr="00C146ED">
              <w:rPr>
                <w:noProof/>
              </w:rPr>
              <w:t>3.6 – 22.9+</w:t>
            </w:r>
          </w:p>
        </w:tc>
      </w:tr>
      <w:tr w:rsidR="00B72F4B" w:rsidRPr="00C146ED" w14:paraId="382B796E" w14:textId="77777777" w:rsidTr="00652811">
        <w:tc>
          <w:tcPr>
            <w:tcW w:w="5382" w:type="dxa"/>
          </w:tcPr>
          <w:p w14:paraId="62659B5B" w14:textId="33844C0A" w:rsidR="009F53F5" w:rsidRPr="00C146ED" w:rsidRDefault="00411003" w:rsidP="00A91D9E">
            <w:pPr>
              <w:ind w:left="720"/>
              <w:jc w:val="left"/>
              <w:rPr>
                <w:rFonts w:cs="Times New Roman"/>
                <w:noProof/>
              </w:rPr>
            </w:pPr>
            <w:r w:rsidRPr="00C146ED">
              <w:rPr>
                <w:rFonts w:cs="Times New Roman"/>
                <w:noProof/>
              </w:rPr>
              <w:t xml:space="preserve">% </w:t>
            </w:r>
            <w:r w:rsidR="00C146ED" w:rsidRPr="00F21AB1">
              <w:rPr>
                <w:rFonts w:cs="Times New Roman"/>
                <w:noProof/>
              </w:rPr>
              <w:t xml:space="preserve">with DOR at least 6 months </w:t>
            </w:r>
            <w:r w:rsidRPr="00C146ED">
              <w:rPr>
                <w:rFonts w:cs="Times New Roman"/>
                <w:noProof/>
              </w:rPr>
              <w:t>(95% CI)</w:t>
            </w:r>
          </w:p>
        </w:tc>
        <w:tc>
          <w:tcPr>
            <w:tcW w:w="1843" w:type="dxa"/>
          </w:tcPr>
          <w:p w14:paraId="6F05CF57" w14:textId="7D91F48C" w:rsidR="009F53F5" w:rsidRPr="00C146ED" w:rsidRDefault="00411003" w:rsidP="00A91D9E">
            <w:pPr>
              <w:jc w:val="left"/>
              <w:rPr>
                <w:noProof/>
              </w:rPr>
            </w:pPr>
            <w:r w:rsidRPr="00C146ED">
              <w:rPr>
                <w:noProof/>
              </w:rPr>
              <w:t>9</w:t>
            </w:r>
            <w:r w:rsidR="00490D14" w:rsidRPr="00C146ED">
              <w:rPr>
                <w:noProof/>
              </w:rPr>
              <w:t>0.8</w:t>
            </w:r>
            <w:r w:rsidRPr="00C146ED">
              <w:rPr>
                <w:noProof/>
              </w:rPr>
              <w:t xml:space="preserve"> (83, 99)</w:t>
            </w:r>
          </w:p>
        </w:tc>
        <w:tc>
          <w:tcPr>
            <w:tcW w:w="1842" w:type="dxa"/>
          </w:tcPr>
          <w:p w14:paraId="4CF04247" w14:textId="635FA0B5" w:rsidR="009F53F5" w:rsidRPr="00C146ED" w:rsidRDefault="001056F5" w:rsidP="00A91D9E">
            <w:pPr>
              <w:jc w:val="left"/>
              <w:rPr>
                <w:noProof/>
              </w:rPr>
            </w:pPr>
            <w:r w:rsidRPr="00C146ED">
              <w:rPr>
                <w:noProof/>
              </w:rPr>
              <w:t>7</w:t>
            </w:r>
            <w:r w:rsidR="00490D14" w:rsidRPr="00C146ED">
              <w:rPr>
                <w:noProof/>
              </w:rPr>
              <w:t>5.9</w:t>
            </w:r>
            <w:r w:rsidRPr="00C146ED">
              <w:rPr>
                <w:noProof/>
              </w:rPr>
              <w:t xml:space="preserve"> (58, 94)</w:t>
            </w:r>
          </w:p>
        </w:tc>
      </w:tr>
      <w:tr w:rsidR="00B72F4B" w:rsidRPr="00C146ED" w14:paraId="0D4A38B0" w14:textId="77777777" w:rsidTr="00652811">
        <w:tc>
          <w:tcPr>
            <w:tcW w:w="5382" w:type="dxa"/>
          </w:tcPr>
          <w:p w14:paraId="76DE506B" w14:textId="7565E80F" w:rsidR="009F53F5" w:rsidRPr="00C146ED" w:rsidRDefault="00C146ED" w:rsidP="00A91D9E">
            <w:pPr>
              <w:ind w:left="720"/>
              <w:jc w:val="left"/>
              <w:rPr>
                <w:rFonts w:cs="Times New Roman"/>
                <w:noProof/>
              </w:rPr>
            </w:pPr>
            <w:r w:rsidRPr="00F21AB1">
              <w:rPr>
                <w:rFonts w:cs="Times New Roman"/>
                <w:noProof/>
              </w:rPr>
              <w:t>% with DOR at least 9 months</w:t>
            </w:r>
            <w:r w:rsidRPr="00F21AB1" w:rsidDel="00C146ED">
              <w:rPr>
                <w:rFonts w:cs="Times New Roman"/>
                <w:noProof/>
              </w:rPr>
              <w:t xml:space="preserve"> </w:t>
            </w:r>
            <w:r w:rsidR="001056F5" w:rsidRPr="00C146ED">
              <w:rPr>
                <w:rFonts w:cs="Times New Roman"/>
                <w:noProof/>
              </w:rPr>
              <w:t>(95% CI)</w:t>
            </w:r>
          </w:p>
        </w:tc>
        <w:tc>
          <w:tcPr>
            <w:tcW w:w="1843" w:type="dxa"/>
          </w:tcPr>
          <w:p w14:paraId="49C00272" w14:textId="239F1340" w:rsidR="009F53F5" w:rsidRPr="00C146ED" w:rsidRDefault="002A35C1" w:rsidP="00A91D9E">
            <w:pPr>
              <w:jc w:val="left"/>
              <w:rPr>
                <w:noProof/>
              </w:rPr>
            </w:pPr>
            <w:r w:rsidRPr="00C146ED">
              <w:rPr>
                <w:noProof/>
              </w:rPr>
              <w:t>8</w:t>
            </w:r>
            <w:r w:rsidR="00490D14" w:rsidRPr="00C146ED">
              <w:rPr>
                <w:noProof/>
              </w:rPr>
              <w:t>8.</w:t>
            </w:r>
            <w:r w:rsidRPr="00C146ED">
              <w:rPr>
                <w:noProof/>
              </w:rPr>
              <w:t>9 (81, 97)</w:t>
            </w:r>
          </w:p>
        </w:tc>
        <w:tc>
          <w:tcPr>
            <w:tcW w:w="1842" w:type="dxa"/>
          </w:tcPr>
          <w:p w14:paraId="662AA6B4" w14:textId="66A537B6" w:rsidR="009F53F5" w:rsidRPr="00C146ED" w:rsidRDefault="002A35C1" w:rsidP="00A91D9E">
            <w:pPr>
              <w:jc w:val="left"/>
              <w:rPr>
                <w:noProof/>
              </w:rPr>
            </w:pPr>
            <w:r w:rsidRPr="00C146ED">
              <w:rPr>
                <w:noProof/>
              </w:rPr>
              <w:t>6</w:t>
            </w:r>
            <w:r w:rsidR="00490D14" w:rsidRPr="00C146ED">
              <w:rPr>
                <w:noProof/>
              </w:rPr>
              <w:t>0.7</w:t>
            </w:r>
            <w:r w:rsidRPr="00C146ED">
              <w:rPr>
                <w:noProof/>
              </w:rPr>
              <w:t xml:space="preserve"> (39, 82)</w:t>
            </w:r>
          </w:p>
        </w:tc>
      </w:tr>
      <w:tr w:rsidR="00B72F4B" w:rsidRPr="00C146ED" w14:paraId="34C53F1B" w14:textId="77777777" w:rsidTr="00652811">
        <w:tc>
          <w:tcPr>
            <w:tcW w:w="5382" w:type="dxa"/>
          </w:tcPr>
          <w:p w14:paraId="736D5DA0" w14:textId="61846BC7" w:rsidR="009F53F5" w:rsidRPr="00C146ED" w:rsidRDefault="00C146ED" w:rsidP="00A91D9E">
            <w:pPr>
              <w:ind w:left="720"/>
              <w:jc w:val="left"/>
              <w:rPr>
                <w:rFonts w:cs="Times New Roman"/>
                <w:noProof/>
              </w:rPr>
            </w:pPr>
            <w:r w:rsidRPr="00F21AB1">
              <w:rPr>
                <w:rFonts w:cs="Times New Roman"/>
                <w:noProof/>
              </w:rPr>
              <w:t>% with DOR at least 12 months</w:t>
            </w:r>
            <w:r w:rsidRPr="00F21AB1" w:rsidDel="00C146ED">
              <w:rPr>
                <w:rFonts w:cs="Times New Roman"/>
                <w:noProof/>
              </w:rPr>
              <w:t xml:space="preserve"> </w:t>
            </w:r>
            <w:r w:rsidR="00FE3C24" w:rsidRPr="00C146ED">
              <w:rPr>
                <w:rFonts w:cs="Times New Roman"/>
                <w:noProof/>
              </w:rPr>
              <w:t>(95% CI)</w:t>
            </w:r>
          </w:p>
        </w:tc>
        <w:tc>
          <w:tcPr>
            <w:tcW w:w="1843" w:type="dxa"/>
          </w:tcPr>
          <w:p w14:paraId="45ADAAFA" w14:textId="2515FB0A" w:rsidR="009F53F5" w:rsidRPr="00C146ED" w:rsidRDefault="00FE3C24" w:rsidP="00A91D9E">
            <w:pPr>
              <w:jc w:val="left"/>
              <w:rPr>
                <w:noProof/>
              </w:rPr>
            </w:pPr>
            <w:r w:rsidRPr="00C146ED">
              <w:rPr>
                <w:noProof/>
              </w:rPr>
              <w:t>83</w:t>
            </w:r>
            <w:r w:rsidR="00490D14" w:rsidRPr="00C146ED">
              <w:rPr>
                <w:noProof/>
              </w:rPr>
              <w:t>.1</w:t>
            </w:r>
            <w:r w:rsidRPr="00C146ED">
              <w:rPr>
                <w:noProof/>
              </w:rPr>
              <w:t xml:space="preserve"> (73, 93)</w:t>
            </w:r>
          </w:p>
        </w:tc>
        <w:tc>
          <w:tcPr>
            <w:tcW w:w="1842" w:type="dxa"/>
          </w:tcPr>
          <w:p w14:paraId="3285095F" w14:textId="6B5739E6" w:rsidR="009F53F5" w:rsidRPr="00C146ED" w:rsidRDefault="00E86F05" w:rsidP="00A91D9E">
            <w:pPr>
              <w:jc w:val="left"/>
              <w:rPr>
                <w:noProof/>
              </w:rPr>
            </w:pPr>
            <w:r w:rsidRPr="00C146ED">
              <w:rPr>
                <w:noProof/>
              </w:rPr>
              <w:t>5</w:t>
            </w:r>
            <w:r w:rsidR="00490D14" w:rsidRPr="00C146ED">
              <w:rPr>
                <w:noProof/>
              </w:rPr>
              <w:t>5.7</w:t>
            </w:r>
            <w:r w:rsidRPr="00C146ED">
              <w:rPr>
                <w:noProof/>
              </w:rPr>
              <w:t xml:space="preserve"> (34, 77)</w:t>
            </w:r>
          </w:p>
        </w:tc>
      </w:tr>
    </w:tbl>
    <w:p w14:paraId="39C5D9AB" w14:textId="77777777" w:rsidR="00DC4FF7" w:rsidRPr="00C146ED" w:rsidRDefault="00DC4FF7" w:rsidP="00A91D9E">
      <w:pPr>
        <w:spacing w:after="0"/>
        <w:jc w:val="left"/>
        <w:rPr>
          <w:sz w:val="16"/>
          <w:szCs w:val="16"/>
        </w:rPr>
      </w:pPr>
      <w:r w:rsidRPr="00C146ED">
        <w:rPr>
          <w:sz w:val="16"/>
          <w:szCs w:val="16"/>
        </w:rPr>
        <w:t>Abbreviations: CI = confidence interval; NE = not evaluable; “+” indicates ongoing response</w:t>
      </w:r>
    </w:p>
    <w:p w14:paraId="41A27F57" w14:textId="56C11972" w:rsidR="000C2ED7" w:rsidRPr="00C146ED" w:rsidRDefault="00395EA3" w:rsidP="00A91D9E">
      <w:pPr>
        <w:spacing w:after="0"/>
        <w:jc w:val="left"/>
        <w:rPr>
          <w:sz w:val="16"/>
          <w:szCs w:val="16"/>
        </w:rPr>
      </w:pPr>
      <w:r w:rsidRPr="00C146ED">
        <w:rPr>
          <w:sz w:val="16"/>
          <w:szCs w:val="16"/>
        </w:rPr>
        <w:t>DOR are by K</w:t>
      </w:r>
      <w:r w:rsidR="00A26359">
        <w:rPr>
          <w:sz w:val="16"/>
          <w:szCs w:val="16"/>
        </w:rPr>
        <w:t>aplan</w:t>
      </w:r>
      <w:r w:rsidRPr="00C146ED">
        <w:rPr>
          <w:sz w:val="16"/>
          <w:szCs w:val="16"/>
        </w:rPr>
        <w:t>-M</w:t>
      </w:r>
      <w:r w:rsidR="00A26359">
        <w:rPr>
          <w:sz w:val="16"/>
          <w:szCs w:val="16"/>
        </w:rPr>
        <w:t>eier</w:t>
      </w:r>
      <w:r w:rsidRPr="00C146ED">
        <w:rPr>
          <w:sz w:val="16"/>
          <w:szCs w:val="16"/>
        </w:rPr>
        <w:t xml:space="preserve"> estimates.</w:t>
      </w:r>
    </w:p>
    <w:p w14:paraId="7DD51025" w14:textId="3D480358" w:rsidR="008F1C08" w:rsidRPr="00C146ED" w:rsidRDefault="00221A8D" w:rsidP="00A91D9E">
      <w:pPr>
        <w:spacing w:after="0"/>
        <w:jc w:val="left"/>
        <w:rPr>
          <w:sz w:val="16"/>
          <w:szCs w:val="16"/>
        </w:rPr>
      </w:pPr>
      <w:r w:rsidRPr="00C146ED">
        <w:rPr>
          <w:sz w:val="16"/>
          <w:szCs w:val="16"/>
          <w:vertAlign w:val="superscript"/>
        </w:rPr>
        <w:t>a</w:t>
      </w:r>
      <w:r w:rsidR="00C7475E" w:rsidRPr="00C146ED">
        <w:rPr>
          <w:sz w:val="16"/>
          <w:szCs w:val="16"/>
        </w:rPr>
        <w:t xml:space="preserve"> </w:t>
      </w:r>
      <w:r w:rsidR="00A26359">
        <w:rPr>
          <w:sz w:val="16"/>
          <w:szCs w:val="16"/>
        </w:rPr>
        <w:t xml:space="preserve">Patients who had received </w:t>
      </w:r>
      <w:r w:rsidR="00C7475E" w:rsidRPr="00C146ED">
        <w:rPr>
          <w:sz w:val="16"/>
          <w:szCs w:val="16"/>
        </w:rPr>
        <w:t>one prior TKI and no chemotherapy</w:t>
      </w:r>
    </w:p>
    <w:p w14:paraId="10018B79" w14:textId="77777777" w:rsidR="00DC4FF7" w:rsidRPr="00B36812" w:rsidRDefault="00DC4FF7" w:rsidP="00A91D9E">
      <w:pPr>
        <w:spacing w:after="0"/>
        <w:jc w:val="left"/>
        <w:rPr>
          <w:b/>
          <w:bCs/>
          <w:noProof/>
          <w:highlight w:val="yellow"/>
        </w:rPr>
      </w:pPr>
    </w:p>
    <w:p w14:paraId="5BDEDC96" w14:textId="47CA2F12" w:rsidR="006374B8" w:rsidRPr="00D66B05" w:rsidRDefault="006374B8" w:rsidP="00A91D9E">
      <w:pPr>
        <w:jc w:val="left"/>
        <w:rPr>
          <w:noProof/>
        </w:rPr>
      </w:pPr>
      <w:r w:rsidRPr="00D66B05">
        <w:rPr>
          <w:noProof/>
        </w:rPr>
        <w:t xml:space="preserve">The median time to response was 1.84 (range 0.9, 5.6) months for </w:t>
      </w:r>
      <w:r w:rsidR="00BD44E8" w:rsidRPr="00B36812">
        <w:rPr>
          <w:noProof/>
        </w:rPr>
        <w:t xml:space="preserve">the </w:t>
      </w:r>
      <w:r w:rsidRPr="00D66B05">
        <w:rPr>
          <w:noProof/>
        </w:rPr>
        <w:t>TKI</w:t>
      </w:r>
      <w:r w:rsidR="00BD44E8" w:rsidRPr="00B36812">
        <w:rPr>
          <w:noProof/>
        </w:rPr>
        <w:t xml:space="preserve"> </w:t>
      </w:r>
      <w:r w:rsidRPr="00D66B05">
        <w:rPr>
          <w:noProof/>
        </w:rPr>
        <w:t xml:space="preserve">naïve </w:t>
      </w:r>
      <w:r w:rsidR="00BD44E8" w:rsidRPr="00B36812">
        <w:rPr>
          <w:noProof/>
        </w:rPr>
        <w:t>cohort</w:t>
      </w:r>
      <w:r w:rsidR="00BD44E8" w:rsidRPr="00D66B05">
        <w:rPr>
          <w:noProof/>
        </w:rPr>
        <w:t xml:space="preserve"> </w:t>
      </w:r>
      <w:r w:rsidRPr="00D66B05">
        <w:rPr>
          <w:noProof/>
        </w:rPr>
        <w:t xml:space="preserve">and 1.81 (range 1.6, 3.6) months for </w:t>
      </w:r>
      <w:r w:rsidR="00BD44E8" w:rsidRPr="00B36812">
        <w:rPr>
          <w:noProof/>
        </w:rPr>
        <w:t xml:space="preserve">the </w:t>
      </w:r>
      <w:r w:rsidRPr="00D66B05">
        <w:rPr>
          <w:noProof/>
        </w:rPr>
        <w:t>TKI</w:t>
      </w:r>
      <w:r w:rsidR="00BD44E8" w:rsidRPr="00B36812">
        <w:rPr>
          <w:noProof/>
        </w:rPr>
        <w:t xml:space="preserve"> </w:t>
      </w:r>
      <w:r w:rsidRPr="00D66B05">
        <w:rPr>
          <w:noProof/>
        </w:rPr>
        <w:t xml:space="preserve">pretreated </w:t>
      </w:r>
      <w:r w:rsidR="00BD44E8" w:rsidRPr="00B36812">
        <w:rPr>
          <w:noProof/>
        </w:rPr>
        <w:t>cohort</w:t>
      </w:r>
      <w:r w:rsidRPr="00D66B05">
        <w:rPr>
          <w:noProof/>
        </w:rPr>
        <w:t>.</w:t>
      </w:r>
    </w:p>
    <w:p w14:paraId="09A1D6D8" w14:textId="4E9EAE20" w:rsidR="000C2ED7" w:rsidRPr="006374B8" w:rsidRDefault="006374B8" w:rsidP="00A91D9E">
      <w:pPr>
        <w:jc w:val="left"/>
        <w:rPr>
          <w:noProof/>
        </w:rPr>
      </w:pPr>
      <w:r w:rsidRPr="00D66B05">
        <w:rPr>
          <w:noProof/>
        </w:rPr>
        <w:t>Among 9</w:t>
      </w:r>
      <w:r w:rsidR="005A739E" w:rsidRPr="00B36812">
        <w:rPr>
          <w:noProof/>
        </w:rPr>
        <w:t xml:space="preserve"> </w:t>
      </w:r>
      <w:r w:rsidRPr="00D66B05">
        <w:rPr>
          <w:noProof/>
        </w:rPr>
        <w:t>patients</w:t>
      </w:r>
      <w:r w:rsidR="003F459C" w:rsidRPr="00B36812">
        <w:rPr>
          <w:noProof/>
        </w:rPr>
        <w:t xml:space="preserve"> in the</w:t>
      </w:r>
      <w:r w:rsidRPr="00D66B05">
        <w:rPr>
          <w:noProof/>
        </w:rPr>
        <w:t xml:space="preserve"> </w:t>
      </w:r>
      <w:r w:rsidR="003F459C" w:rsidRPr="00B36812">
        <w:rPr>
          <w:noProof/>
        </w:rPr>
        <w:t>TKI naïve cohort</w:t>
      </w:r>
      <w:r w:rsidR="003F459C" w:rsidRPr="00B36812" w:rsidDel="00D92672">
        <w:rPr>
          <w:noProof/>
        </w:rPr>
        <w:t xml:space="preserve"> </w:t>
      </w:r>
      <w:r w:rsidR="00D92672" w:rsidRPr="00B36812">
        <w:rPr>
          <w:noProof/>
        </w:rPr>
        <w:t>who had</w:t>
      </w:r>
      <w:r w:rsidR="00D92672" w:rsidRPr="00D66B05">
        <w:rPr>
          <w:noProof/>
        </w:rPr>
        <w:t xml:space="preserve"> </w:t>
      </w:r>
      <w:r w:rsidRPr="00D66B05">
        <w:rPr>
          <w:noProof/>
        </w:rPr>
        <w:t xml:space="preserve">measurable CNS metastases at baseline as assessed by BICR, intracranial response was observed in 8 patients (1 CR and 7 PR). Among 13 </w:t>
      </w:r>
      <w:r w:rsidR="003F459C" w:rsidRPr="00B36812">
        <w:rPr>
          <w:noProof/>
        </w:rPr>
        <w:t xml:space="preserve">patients in the </w:t>
      </w:r>
      <w:r w:rsidRPr="00D66B05">
        <w:rPr>
          <w:noProof/>
        </w:rPr>
        <w:t xml:space="preserve">TKI pretreated </w:t>
      </w:r>
      <w:r w:rsidR="003F459C" w:rsidRPr="00B36812">
        <w:rPr>
          <w:noProof/>
        </w:rPr>
        <w:t>cohort</w:t>
      </w:r>
      <w:r w:rsidR="00D66B05" w:rsidRPr="00B36812">
        <w:rPr>
          <w:noProof/>
        </w:rPr>
        <w:t xml:space="preserve"> who had</w:t>
      </w:r>
      <w:r w:rsidRPr="00D66B05">
        <w:rPr>
          <w:noProof/>
        </w:rPr>
        <w:t xml:space="preserve"> measurable CNS metastases at baseline as assessed by BICR, intracranial response was observed in 5 patients (5 PR</w:t>
      </w:r>
      <w:r w:rsidR="00D66B05" w:rsidRPr="00B36812">
        <w:rPr>
          <w:noProof/>
        </w:rPr>
        <w:t>)</w:t>
      </w:r>
      <w:r w:rsidRPr="00D66B05">
        <w:rPr>
          <w:noProof/>
        </w:rPr>
        <w:t>.</w:t>
      </w:r>
    </w:p>
    <w:p w14:paraId="6081D4A1" w14:textId="27292F52" w:rsidR="00DB0E56" w:rsidRPr="00A302C6" w:rsidRDefault="00D66B05" w:rsidP="00A91D9E">
      <w:pPr>
        <w:jc w:val="left"/>
      </w:pPr>
      <w:r>
        <w:rPr>
          <w:noProof/>
        </w:rPr>
        <w:t xml:space="preserve">Among </w:t>
      </w:r>
      <w:r w:rsidR="000C0F64">
        <w:rPr>
          <w:noProof/>
        </w:rPr>
        <w:t xml:space="preserve">the </w:t>
      </w:r>
      <w:r w:rsidR="00F25F5F" w:rsidRPr="43216421">
        <w:rPr>
          <w:noProof/>
        </w:rPr>
        <w:t xml:space="preserve">TKI pretreated </w:t>
      </w:r>
      <w:r w:rsidR="006D62E3">
        <w:rPr>
          <w:noProof/>
        </w:rPr>
        <w:t>cohort</w:t>
      </w:r>
      <w:r w:rsidR="000C0F64">
        <w:rPr>
          <w:noProof/>
        </w:rPr>
        <w:t xml:space="preserve">, </w:t>
      </w:r>
      <w:r w:rsidR="0019768E">
        <w:rPr>
          <w:noProof/>
        </w:rPr>
        <w:t>mutations associated with TKI resistance</w:t>
      </w:r>
      <w:r w:rsidR="000C0F64">
        <w:rPr>
          <w:noProof/>
        </w:rPr>
        <w:t xml:space="preserve"> were</w:t>
      </w:r>
      <w:r w:rsidR="0019768E">
        <w:rPr>
          <w:noProof/>
        </w:rPr>
        <w:t xml:space="preserve"> detected in tumour samples for</w:t>
      </w:r>
      <w:r w:rsidR="006D62E3">
        <w:rPr>
          <w:noProof/>
        </w:rPr>
        <w:t xml:space="preserve"> </w:t>
      </w:r>
      <w:r w:rsidR="14BCFF85" w:rsidRPr="6A9AC465">
        <w:rPr>
          <w:noProof/>
        </w:rPr>
        <w:t>100</w:t>
      </w:r>
      <w:r w:rsidR="000C0F64">
        <w:rPr>
          <w:noProof/>
        </w:rPr>
        <w:t xml:space="preserve"> patients </w:t>
      </w:r>
      <w:r w:rsidR="00F058AE">
        <w:rPr>
          <w:noProof/>
        </w:rPr>
        <w:t xml:space="preserve">following their prior TKI therapy. </w:t>
      </w:r>
      <w:r w:rsidR="00770D65">
        <w:rPr>
          <w:noProof/>
        </w:rPr>
        <w:t xml:space="preserve">Amongst 17 patients </w:t>
      </w:r>
      <w:r w:rsidR="00F25F5F" w:rsidRPr="43216421">
        <w:rPr>
          <w:noProof/>
        </w:rPr>
        <w:t xml:space="preserve">with </w:t>
      </w:r>
      <w:r>
        <w:rPr>
          <w:noProof/>
        </w:rPr>
        <w:t>a</w:t>
      </w:r>
      <w:r w:rsidRPr="43216421">
        <w:rPr>
          <w:noProof/>
        </w:rPr>
        <w:t xml:space="preserve"> </w:t>
      </w:r>
      <w:r w:rsidR="00F25F5F" w:rsidRPr="43216421">
        <w:rPr>
          <w:noProof/>
        </w:rPr>
        <w:t xml:space="preserve">solvent front mutation (G2032R) </w:t>
      </w:r>
      <w:r>
        <w:rPr>
          <w:noProof/>
        </w:rPr>
        <w:t xml:space="preserve">at </w:t>
      </w:r>
      <w:r w:rsidR="000015B3">
        <w:rPr>
          <w:noProof/>
        </w:rPr>
        <w:t xml:space="preserve">TRIDENT-1 </w:t>
      </w:r>
      <w:r w:rsidR="00770D65">
        <w:rPr>
          <w:noProof/>
        </w:rPr>
        <w:t>study entry</w:t>
      </w:r>
      <w:r>
        <w:rPr>
          <w:noProof/>
        </w:rPr>
        <w:t xml:space="preserve">, </w:t>
      </w:r>
      <w:r w:rsidR="003B29DF">
        <w:rPr>
          <w:noProof/>
        </w:rPr>
        <w:t xml:space="preserve">an objective response </w:t>
      </w:r>
      <w:r w:rsidR="006D62E3">
        <w:rPr>
          <w:noProof/>
        </w:rPr>
        <w:t>was</w:t>
      </w:r>
      <w:r w:rsidR="00F25F5F" w:rsidRPr="43216421">
        <w:rPr>
          <w:noProof/>
        </w:rPr>
        <w:t xml:space="preserve"> </w:t>
      </w:r>
      <w:r w:rsidR="000015B3">
        <w:rPr>
          <w:noProof/>
        </w:rPr>
        <w:t>observed in 10 patients</w:t>
      </w:r>
      <w:r w:rsidR="00F25F5F" w:rsidRPr="43216421">
        <w:rPr>
          <w:noProof/>
        </w:rPr>
        <w:t>.</w:t>
      </w:r>
      <w:r w:rsidR="000015B3">
        <w:rPr>
          <w:noProof/>
        </w:rPr>
        <w:t xml:space="preserve"> Responses </w:t>
      </w:r>
      <w:r w:rsidR="00B73428">
        <w:rPr>
          <w:noProof/>
        </w:rPr>
        <w:t xml:space="preserve">following repotrectinib treatment </w:t>
      </w:r>
      <w:r w:rsidR="000015B3">
        <w:rPr>
          <w:noProof/>
        </w:rPr>
        <w:t xml:space="preserve">were also observed in patients with </w:t>
      </w:r>
      <w:r w:rsidR="00F05674">
        <w:t>gatekeeper (</w:t>
      </w:r>
      <w:r w:rsidR="00F05674">
        <w:rPr>
          <w:i/>
        </w:rPr>
        <w:t>ROS1</w:t>
      </w:r>
      <w:r w:rsidR="00F05674">
        <w:rPr>
          <w:vertAlign w:val="superscript"/>
        </w:rPr>
        <w:t>L2026M</w:t>
      </w:r>
      <w:r w:rsidR="00F05674">
        <w:t>), and other mutations (</w:t>
      </w:r>
      <w:r w:rsidR="00F05674">
        <w:rPr>
          <w:i/>
        </w:rPr>
        <w:t>ROS1</w:t>
      </w:r>
      <w:r w:rsidR="00F05674">
        <w:rPr>
          <w:vertAlign w:val="superscript"/>
        </w:rPr>
        <w:t>S1986F/Y</w:t>
      </w:r>
      <w:r w:rsidR="00F05674">
        <w:t>).</w:t>
      </w:r>
    </w:p>
    <w:p w14:paraId="678F2BB0" w14:textId="4FC4ACB6" w:rsidR="001A3992" w:rsidRPr="00DF1788" w:rsidRDefault="00E61227" w:rsidP="00A91D9E">
      <w:pPr>
        <w:pStyle w:val="Heading2"/>
        <w:ind w:left="810" w:hanging="810"/>
      </w:pPr>
      <w:r w:rsidRPr="00DF1788">
        <w:t>Pharmacokinetic properties</w:t>
      </w:r>
    </w:p>
    <w:p w14:paraId="3D75B72B" w14:textId="06950C26" w:rsidR="00986B0C" w:rsidRPr="00887985" w:rsidRDefault="00887985" w:rsidP="00A91D9E">
      <w:pPr>
        <w:jc w:val="left"/>
        <w:rPr>
          <w:rFonts w:cs="Times New Roman"/>
        </w:rPr>
      </w:pPr>
      <w:r w:rsidRPr="00887985">
        <w:rPr>
          <w:rFonts w:cs="Times New Roman"/>
        </w:rPr>
        <w:t xml:space="preserve">The geometric mean (CV%) of </w:t>
      </w:r>
      <w:proofErr w:type="spellStart"/>
      <w:r w:rsidRPr="00887985">
        <w:rPr>
          <w:rFonts w:cs="Times New Roman"/>
        </w:rPr>
        <w:t>repotrectinib</w:t>
      </w:r>
      <w:proofErr w:type="spellEnd"/>
      <w:r w:rsidRPr="00887985">
        <w:rPr>
          <w:rFonts w:cs="Times New Roman"/>
        </w:rPr>
        <w:t xml:space="preserve"> steady state peak concentration (</w:t>
      </w:r>
      <w:proofErr w:type="gramStart"/>
      <w:r w:rsidRPr="00887985">
        <w:rPr>
          <w:rFonts w:cs="Times New Roman"/>
        </w:rPr>
        <w:t>C</w:t>
      </w:r>
      <w:r w:rsidRPr="00CD401C">
        <w:rPr>
          <w:rStyle w:val="BMSSubscript"/>
          <w:rFonts w:cs="Times New Roman"/>
          <w:sz w:val="22"/>
        </w:rPr>
        <w:t>max,ss</w:t>
      </w:r>
      <w:proofErr w:type="gramEnd"/>
      <w:r w:rsidRPr="00744B56">
        <w:rPr>
          <w:rStyle w:val="BMSSubscript"/>
          <w:rFonts w:cs="Times New Roman"/>
          <w:sz w:val="22"/>
          <w:vertAlign w:val="baseline"/>
        </w:rPr>
        <w:t>)</w:t>
      </w:r>
      <w:r w:rsidRPr="00887985">
        <w:rPr>
          <w:rFonts w:cs="Times New Roman"/>
        </w:rPr>
        <w:t xml:space="preserve"> is 713 (32.5 %) ng/mL and the area under the time concentration curve (AUC</w:t>
      </w:r>
      <w:r w:rsidRPr="00CD401C">
        <w:rPr>
          <w:rStyle w:val="BMSSubscript"/>
          <w:rFonts w:cs="Times New Roman"/>
          <w:sz w:val="22"/>
        </w:rPr>
        <w:t>0-24</w:t>
      </w:r>
      <w:proofErr w:type="gramStart"/>
      <w:r w:rsidRPr="00CD401C">
        <w:rPr>
          <w:rStyle w:val="BMSSubscript"/>
          <w:rFonts w:cs="Times New Roman"/>
          <w:sz w:val="22"/>
        </w:rPr>
        <w:t>h,ss</w:t>
      </w:r>
      <w:proofErr w:type="gramEnd"/>
      <w:r w:rsidRPr="00CD401C">
        <w:rPr>
          <w:rStyle w:val="BMSSubscript"/>
          <w:rFonts w:cs="Times New Roman"/>
          <w:sz w:val="22"/>
        </w:rPr>
        <w:t>)</w:t>
      </w:r>
      <w:r w:rsidRPr="00887985">
        <w:rPr>
          <w:rFonts w:cs="Times New Roman"/>
        </w:rPr>
        <w:t xml:space="preserve"> is 7210 (40.1%) </w:t>
      </w:r>
      <w:proofErr w:type="spellStart"/>
      <w:r w:rsidRPr="00887985">
        <w:rPr>
          <w:rFonts w:cs="Times New Roman"/>
        </w:rPr>
        <w:t>ng•h</w:t>
      </w:r>
      <w:proofErr w:type="spellEnd"/>
      <w:r w:rsidRPr="00887985">
        <w:rPr>
          <w:rFonts w:cs="Times New Roman"/>
        </w:rPr>
        <w:t xml:space="preserve">/mL following the approved recommended twice daily dosage in patients with cancer. Repotrectinib </w:t>
      </w:r>
      <w:proofErr w:type="spellStart"/>
      <w:r w:rsidRPr="00887985">
        <w:rPr>
          <w:rFonts w:cs="Times New Roman"/>
        </w:rPr>
        <w:t>C</w:t>
      </w:r>
      <w:r w:rsidRPr="00887985">
        <w:rPr>
          <w:rFonts w:cs="Times New Roman"/>
          <w:vertAlign w:val="subscript"/>
        </w:rPr>
        <w:t>max</w:t>
      </w:r>
      <w:proofErr w:type="spellEnd"/>
      <w:r w:rsidRPr="00887985">
        <w:rPr>
          <w:rFonts w:cs="Times New Roman"/>
        </w:rPr>
        <w:t xml:space="preserve"> and </w:t>
      </w:r>
      <w:r w:rsidR="008E4981">
        <w:rPr>
          <w:rFonts w:cs="Times New Roman"/>
        </w:rPr>
        <w:t xml:space="preserve">         </w:t>
      </w:r>
      <w:r w:rsidRPr="00887985">
        <w:rPr>
          <w:rFonts w:cs="Times New Roman"/>
        </w:rPr>
        <w:t>AUC</w:t>
      </w:r>
      <w:r w:rsidRPr="00887985">
        <w:rPr>
          <w:rFonts w:cs="Times New Roman"/>
          <w:vertAlign w:val="subscript"/>
        </w:rPr>
        <w:t xml:space="preserve">0-inf </w:t>
      </w:r>
      <w:r w:rsidRPr="00887985">
        <w:rPr>
          <w:rFonts w:cs="Times New Roman"/>
        </w:rPr>
        <w:t xml:space="preserve">increases </w:t>
      </w:r>
      <w:r w:rsidR="00EC33A9">
        <w:rPr>
          <w:rFonts w:cs="Times New Roman"/>
        </w:rPr>
        <w:t xml:space="preserve">are </w:t>
      </w:r>
      <w:r w:rsidRPr="00887985">
        <w:rPr>
          <w:rFonts w:cs="Times New Roman"/>
        </w:rPr>
        <w:t>approximately dose proportional (but less than linear with estimated slopes of 0.78 and 0.70, respectively</w:t>
      </w:r>
      <w:r w:rsidRPr="00887985" w:rsidDel="00B4462E">
        <w:rPr>
          <w:rFonts w:cs="Times New Roman"/>
        </w:rPr>
        <w:t>)</w:t>
      </w:r>
      <w:r w:rsidRPr="00887985">
        <w:rPr>
          <w:rFonts w:cs="Times New Roman"/>
        </w:rPr>
        <w:t xml:space="preserve"> over the single dose range of 40 mg to 240 mg (0.25 to 1.5 times the approved recommended dosage). Steady state PK was time-dependent with an autoinduction of CYP3A4. Steady state is achieved within 14</w:t>
      </w:r>
      <w:r w:rsidR="00153DD5">
        <w:rPr>
          <w:rFonts w:cs="Times New Roman"/>
        </w:rPr>
        <w:t xml:space="preserve"> </w:t>
      </w:r>
      <w:r w:rsidRPr="00887985">
        <w:rPr>
          <w:rFonts w:cs="Times New Roman"/>
        </w:rPr>
        <w:t xml:space="preserve">days of daily administration of 160 mg of </w:t>
      </w:r>
      <w:proofErr w:type="spellStart"/>
      <w:r w:rsidRPr="00887985">
        <w:rPr>
          <w:rFonts w:cs="Times New Roman"/>
        </w:rPr>
        <w:t>repotrectinib</w:t>
      </w:r>
      <w:proofErr w:type="spellEnd"/>
      <w:r w:rsidRPr="00887985">
        <w:rPr>
          <w:rFonts w:cs="Times New Roman"/>
        </w:rPr>
        <w:t>.</w:t>
      </w:r>
    </w:p>
    <w:p w14:paraId="0D728C11" w14:textId="34C67A30" w:rsidR="00986B0C" w:rsidRDefault="00986B0C" w:rsidP="00A91D9E">
      <w:pPr>
        <w:pStyle w:val="Heading3"/>
      </w:pPr>
      <w:r>
        <w:t>Absorption</w:t>
      </w:r>
      <w:r w:rsidR="00887985" w:rsidRPr="00CD401C">
        <w:t xml:space="preserve"> </w:t>
      </w:r>
    </w:p>
    <w:p w14:paraId="38BAFBB6" w14:textId="19BAE42E" w:rsidR="00887985" w:rsidRPr="00CD401C" w:rsidRDefault="00887985" w:rsidP="00A91D9E">
      <w:pPr>
        <w:pStyle w:val="BMSBodyText"/>
        <w:jc w:val="left"/>
        <w:rPr>
          <w:bCs/>
          <w:sz w:val="22"/>
          <w:szCs w:val="22"/>
        </w:rPr>
      </w:pPr>
      <w:bookmarkStart w:id="12" w:name="_Hlk161408648"/>
      <w:r w:rsidRPr="00CD401C">
        <w:rPr>
          <w:sz w:val="22"/>
          <w:szCs w:val="22"/>
        </w:rPr>
        <w:t xml:space="preserve">The geometric mean (CV%) absolute bioavailability of </w:t>
      </w:r>
      <w:proofErr w:type="spellStart"/>
      <w:r w:rsidRPr="00CD401C">
        <w:rPr>
          <w:sz w:val="22"/>
          <w:szCs w:val="22"/>
        </w:rPr>
        <w:t>repotrectinib</w:t>
      </w:r>
      <w:proofErr w:type="spellEnd"/>
      <w:r w:rsidRPr="00CD401C">
        <w:rPr>
          <w:sz w:val="22"/>
          <w:szCs w:val="22"/>
        </w:rPr>
        <w:t xml:space="preserve"> is 45.7% (19.6</w:t>
      </w:r>
      <w:r w:rsidRPr="00CD401C" w:rsidDel="00E42971">
        <w:rPr>
          <w:sz w:val="22"/>
          <w:szCs w:val="22"/>
        </w:rPr>
        <w:t>%</w:t>
      </w:r>
      <w:r w:rsidRPr="00CD401C" w:rsidDel="00E42971">
        <w:rPr>
          <w:bCs/>
          <w:sz w:val="22"/>
          <w:szCs w:val="22"/>
        </w:rPr>
        <w:t>)</w:t>
      </w:r>
      <w:r w:rsidRPr="00CD401C">
        <w:rPr>
          <w:bCs/>
          <w:sz w:val="22"/>
          <w:szCs w:val="22"/>
        </w:rPr>
        <w:t>.</w:t>
      </w:r>
      <w:r>
        <w:rPr>
          <w:bCs/>
          <w:sz w:val="22"/>
          <w:szCs w:val="22"/>
        </w:rPr>
        <w:t xml:space="preserve"> </w:t>
      </w:r>
      <w:r w:rsidRPr="00CD401C">
        <w:rPr>
          <w:sz w:val="22"/>
          <w:szCs w:val="22"/>
        </w:rPr>
        <w:t xml:space="preserve">Peak </w:t>
      </w:r>
      <w:proofErr w:type="spellStart"/>
      <w:r w:rsidRPr="00CD401C">
        <w:rPr>
          <w:sz w:val="22"/>
          <w:szCs w:val="22"/>
        </w:rPr>
        <w:t>repotrectinib</w:t>
      </w:r>
      <w:proofErr w:type="spellEnd"/>
      <w:r w:rsidRPr="00CD401C">
        <w:rPr>
          <w:sz w:val="22"/>
          <w:szCs w:val="22"/>
        </w:rPr>
        <w:t xml:space="preserve"> concentration occurred at approximately 2-3 hours post a single oral dose of 40 mg to 240 mg (0.25 to 1.5 times the approved recommended dosage) under fasted conditions</w:t>
      </w:r>
      <w:bookmarkEnd w:id="12"/>
      <w:r w:rsidRPr="00CD401C" w:rsidDel="00E42971">
        <w:rPr>
          <w:sz w:val="22"/>
          <w:szCs w:val="22"/>
        </w:rPr>
        <w:t>.</w:t>
      </w:r>
      <w:r w:rsidRPr="00887985">
        <w:rPr>
          <w:bCs/>
          <w:sz w:val="22"/>
          <w:szCs w:val="22"/>
        </w:rPr>
        <w:t xml:space="preserve"> </w:t>
      </w:r>
    </w:p>
    <w:p w14:paraId="78573E8B" w14:textId="3DA578BC" w:rsidR="00887985" w:rsidRPr="00CD401C" w:rsidRDefault="00887985" w:rsidP="00A91D9E">
      <w:pPr>
        <w:pStyle w:val="BMSBodyText"/>
        <w:jc w:val="left"/>
        <w:rPr>
          <w:i/>
          <w:iCs/>
          <w:sz w:val="22"/>
          <w:szCs w:val="22"/>
        </w:rPr>
      </w:pPr>
      <w:r w:rsidRPr="00CD401C">
        <w:rPr>
          <w:i/>
          <w:iCs/>
          <w:sz w:val="22"/>
          <w:szCs w:val="22"/>
        </w:rPr>
        <w:t xml:space="preserve">Effect of </w:t>
      </w:r>
      <w:r w:rsidR="003E7143">
        <w:rPr>
          <w:i/>
          <w:iCs/>
          <w:sz w:val="22"/>
          <w:szCs w:val="22"/>
        </w:rPr>
        <w:t>f</w:t>
      </w:r>
      <w:r w:rsidRPr="00CD401C">
        <w:rPr>
          <w:i/>
          <w:iCs/>
          <w:sz w:val="22"/>
          <w:szCs w:val="22"/>
        </w:rPr>
        <w:t>ood</w:t>
      </w:r>
    </w:p>
    <w:p w14:paraId="3B6279DC" w14:textId="338542B0" w:rsidR="00986B0C" w:rsidRPr="00887985" w:rsidRDefault="00887985" w:rsidP="00A91D9E">
      <w:pPr>
        <w:jc w:val="left"/>
        <w:rPr>
          <w:rFonts w:cs="Times New Roman"/>
        </w:rPr>
      </w:pPr>
      <w:bookmarkStart w:id="13" w:name="_Hlk108703211"/>
      <w:bookmarkStart w:id="14" w:name="OLE_LINK16"/>
      <w:r w:rsidRPr="00887985">
        <w:rPr>
          <w:rFonts w:cs="Times New Roman"/>
        </w:rPr>
        <w:t xml:space="preserve">No clinically significant differences in </w:t>
      </w:r>
      <w:proofErr w:type="spellStart"/>
      <w:r w:rsidRPr="00887985">
        <w:rPr>
          <w:rFonts w:cs="Times New Roman"/>
        </w:rPr>
        <w:t>repotrectinib</w:t>
      </w:r>
      <w:proofErr w:type="spellEnd"/>
      <w:r w:rsidRPr="00887985">
        <w:rPr>
          <w:rFonts w:cs="Times New Roman"/>
        </w:rPr>
        <w:t xml:space="preserve"> pharmacokinetics were observed in patients with cancer following administration of a high-fat meal (approximately 800-1000 calories, 50% fat)</w:t>
      </w:r>
      <w:bookmarkEnd w:id="13"/>
      <w:bookmarkEnd w:id="14"/>
      <w:r>
        <w:rPr>
          <w:rFonts w:cs="Times New Roman"/>
        </w:rPr>
        <w:t>.</w:t>
      </w:r>
    </w:p>
    <w:p w14:paraId="122E6D6E" w14:textId="14856292" w:rsidR="001B113F" w:rsidRDefault="001B113F" w:rsidP="00A91D9E">
      <w:pPr>
        <w:pStyle w:val="Heading3"/>
      </w:pPr>
      <w:r>
        <w:lastRenderedPageBreak/>
        <w:t>Distribution</w:t>
      </w:r>
    </w:p>
    <w:p w14:paraId="72561F66" w14:textId="4FC3A7CB" w:rsidR="00887985" w:rsidRPr="00CD401C" w:rsidRDefault="00887985" w:rsidP="00A91D9E">
      <w:pPr>
        <w:pStyle w:val="BMSBodyText"/>
        <w:jc w:val="left"/>
        <w:rPr>
          <w:bCs/>
          <w:sz w:val="22"/>
          <w:szCs w:val="22"/>
        </w:rPr>
      </w:pPr>
      <w:bookmarkStart w:id="15" w:name="OLE_LINK82"/>
      <w:r w:rsidRPr="00CD401C">
        <w:rPr>
          <w:sz w:val="22"/>
          <w:szCs w:val="22"/>
        </w:rPr>
        <w:t>The geometric mean (CV%) apparent volume of distribution (Vz/F) was 432 L (55.9%) in patients</w:t>
      </w:r>
      <w:r w:rsidRPr="00CD401C" w:rsidDel="00A00FC9">
        <w:rPr>
          <w:sz w:val="22"/>
          <w:szCs w:val="22"/>
        </w:rPr>
        <w:t xml:space="preserve"> </w:t>
      </w:r>
      <w:r w:rsidRPr="00CD401C">
        <w:rPr>
          <w:sz w:val="22"/>
          <w:szCs w:val="22"/>
        </w:rPr>
        <w:t>with cancer following a single 160 mg</w:t>
      </w:r>
      <w:r w:rsidRPr="00CD401C" w:rsidDel="00A00FC9">
        <w:rPr>
          <w:sz w:val="22"/>
          <w:szCs w:val="22"/>
        </w:rPr>
        <w:t xml:space="preserve"> </w:t>
      </w:r>
      <w:r w:rsidRPr="00CD401C">
        <w:rPr>
          <w:sz w:val="22"/>
          <w:szCs w:val="22"/>
        </w:rPr>
        <w:t xml:space="preserve">oral dose of </w:t>
      </w:r>
      <w:proofErr w:type="spellStart"/>
      <w:r w:rsidRPr="00CD401C">
        <w:rPr>
          <w:sz w:val="22"/>
          <w:szCs w:val="22"/>
        </w:rPr>
        <w:t>repoterctinib</w:t>
      </w:r>
      <w:proofErr w:type="spellEnd"/>
      <w:r w:rsidRPr="00CD401C">
        <w:rPr>
          <w:bCs/>
          <w:sz w:val="22"/>
          <w:szCs w:val="22"/>
        </w:rPr>
        <w:t>.</w:t>
      </w:r>
      <w:r w:rsidRPr="00CD401C">
        <w:rPr>
          <w:rStyle w:val="BMSSuperscript"/>
          <w:color w:val="0000FF"/>
          <w:sz w:val="22"/>
          <w:szCs w:val="22"/>
        </w:rPr>
        <w:t xml:space="preserve"> </w:t>
      </w:r>
      <w:r w:rsidR="001B113F" w:rsidRPr="00CD401C">
        <w:rPr>
          <w:sz w:val="22"/>
          <w:szCs w:val="22"/>
        </w:rPr>
        <w:t xml:space="preserve">Binding of </w:t>
      </w:r>
      <w:proofErr w:type="spellStart"/>
      <w:r w:rsidR="00D64C6B">
        <w:rPr>
          <w:sz w:val="22"/>
          <w:szCs w:val="22"/>
        </w:rPr>
        <w:t>repotrectinib</w:t>
      </w:r>
      <w:proofErr w:type="spellEnd"/>
      <w:r w:rsidR="00D64C6B">
        <w:rPr>
          <w:sz w:val="22"/>
          <w:szCs w:val="22"/>
        </w:rPr>
        <w:t xml:space="preserve"> </w:t>
      </w:r>
      <w:bookmarkEnd w:id="15"/>
      <w:r w:rsidR="001B113F" w:rsidRPr="00CD401C">
        <w:rPr>
          <w:sz w:val="22"/>
          <w:szCs w:val="22"/>
        </w:rPr>
        <w:t>to human plasma protein was 95.4%</w:t>
      </w:r>
      <w:r w:rsidR="001B113F" w:rsidRPr="00CD401C">
        <w:rPr>
          <w:i/>
          <w:sz w:val="22"/>
          <w:szCs w:val="22"/>
        </w:rPr>
        <w:t xml:space="preserve"> in vitro</w:t>
      </w:r>
      <w:r w:rsidR="001B113F" w:rsidRPr="00CD401C">
        <w:rPr>
          <w:sz w:val="22"/>
          <w:szCs w:val="22"/>
        </w:rPr>
        <w:t xml:space="preserve">. </w:t>
      </w:r>
      <w:r w:rsidRPr="00CD401C">
        <w:rPr>
          <w:sz w:val="22"/>
          <w:szCs w:val="22"/>
        </w:rPr>
        <w:t xml:space="preserve">Repotrectinib binding to plasma protein was 95.4% </w:t>
      </w:r>
      <w:r w:rsidRPr="008B5834">
        <w:rPr>
          <w:i/>
          <w:iCs/>
          <w:sz w:val="22"/>
          <w:szCs w:val="22"/>
        </w:rPr>
        <w:t>in vitro</w:t>
      </w:r>
      <w:r w:rsidRPr="00CD401C">
        <w:rPr>
          <w:sz w:val="22"/>
          <w:szCs w:val="22"/>
        </w:rPr>
        <w:t xml:space="preserve">. </w:t>
      </w:r>
      <w:r w:rsidR="001B113F" w:rsidRPr="00CD401C">
        <w:rPr>
          <w:sz w:val="22"/>
          <w:szCs w:val="22"/>
        </w:rPr>
        <w:t xml:space="preserve">The blood-to-plasma ratio was 0.56 </w:t>
      </w:r>
      <w:r w:rsidR="001B113F" w:rsidRPr="008B5834">
        <w:rPr>
          <w:i/>
          <w:iCs/>
          <w:sz w:val="22"/>
          <w:szCs w:val="22"/>
        </w:rPr>
        <w:t>in vitro.</w:t>
      </w:r>
    </w:p>
    <w:p w14:paraId="75803235" w14:textId="53A71FE6" w:rsidR="00D57277" w:rsidRDefault="00350147" w:rsidP="00A91D9E">
      <w:pPr>
        <w:pStyle w:val="Heading3"/>
      </w:pPr>
      <w:r w:rsidRPr="00350147">
        <w:t>Metabolism</w:t>
      </w:r>
    </w:p>
    <w:p w14:paraId="46F99D3C" w14:textId="6341513A" w:rsidR="001F11CC" w:rsidRDefault="00350147" w:rsidP="00A91D9E">
      <w:pPr>
        <w:jc w:val="left"/>
      </w:pPr>
      <w:r w:rsidRPr="00DD1AE7">
        <w:t>Repotrectinib is primarily metaboli</w:t>
      </w:r>
      <w:r w:rsidR="009351BF">
        <w:t>s</w:t>
      </w:r>
      <w:r w:rsidRPr="00DD1AE7">
        <w:t>ed by CYP3A4 followed by secondary glucuronidation</w:t>
      </w:r>
      <w:r w:rsidR="001F11CC" w:rsidRPr="001F11CC">
        <w:t>.</w:t>
      </w:r>
    </w:p>
    <w:p w14:paraId="1F930410" w14:textId="4F17EE83" w:rsidR="001F11CC" w:rsidRDefault="001F11CC" w:rsidP="00A91D9E">
      <w:pPr>
        <w:pStyle w:val="Heading3"/>
      </w:pPr>
      <w:r>
        <w:t>Elimination</w:t>
      </w:r>
    </w:p>
    <w:p w14:paraId="193AC21F" w14:textId="77777777" w:rsidR="00A524F1" w:rsidRPr="009C22C6" w:rsidRDefault="00A524F1" w:rsidP="00A91D9E">
      <w:pPr>
        <w:jc w:val="left"/>
        <w:rPr>
          <w:rFonts w:eastAsia="Times New Roman" w:cs="Times New Roman"/>
        </w:rPr>
      </w:pPr>
      <w:bookmarkStart w:id="16" w:name="OLE_LINK78"/>
      <w:r w:rsidRPr="009C22C6">
        <w:rPr>
          <w:rFonts w:cs="Times New Roman"/>
        </w:rPr>
        <w:t>Repotrectinib elimination is time-dependent due to autoinduction of CYP3A4.</w:t>
      </w:r>
    </w:p>
    <w:bookmarkEnd w:id="16"/>
    <w:p w14:paraId="7E35CCAA" w14:textId="654882BB" w:rsidR="00A524F1" w:rsidRPr="009C22C6" w:rsidRDefault="00A524F1" w:rsidP="00A91D9E">
      <w:pPr>
        <w:pStyle w:val="BMSBodyText"/>
        <w:jc w:val="left"/>
        <w:rPr>
          <w:sz w:val="22"/>
          <w:szCs w:val="22"/>
        </w:rPr>
      </w:pPr>
      <w:r w:rsidRPr="009C22C6">
        <w:rPr>
          <w:sz w:val="22"/>
          <w:szCs w:val="22"/>
        </w:rPr>
        <w:t xml:space="preserve">The </w:t>
      </w:r>
      <w:proofErr w:type="spellStart"/>
      <w:r w:rsidRPr="009C22C6">
        <w:rPr>
          <w:sz w:val="22"/>
          <w:szCs w:val="22"/>
        </w:rPr>
        <w:t>repotrectinib</w:t>
      </w:r>
      <w:proofErr w:type="spellEnd"/>
      <w:r w:rsidRPr="009C22C6">
        <w:rPr>
          <w:sz w:val="22"/>
          <w:szCs w:val="22"/>
        </w:rPr>
        <w:t xml:space="preserve"> mean terminal half-life is approximately 60.7 hours for patients with cancer following a single dose. The steady state </w:t>
      </w:r>
      <w:proofErr w:type="spellStart"/>
      <w:r w:rsidRPr="009C22C6">
        <w:rPr>
          <w:sz w:val="22"/>
          <w:szCs w:val="22"/>
        </w:rPr>
        <w:t>repotrectinib</w:t>
      </w:r>
      <w:proofErr w:type="spellEnd"/>
      <w:r w:rsidRPr="009C22C6">
        <w:rPr>
          <w:sz w:val="22"/>
          <w:szCs w:val="22"/>
        </w:rPr>
        <w:t xml:space="preserve"> terminal half-life is approximately 40.3 hours for patients with cancer</w:t>
      </w:r>
      <w:r w:rsidRPr="009C22C6">
        <w:rPr>
          <w:bCs/>
          <w:sz w:val="22"/>
          <w:szCs w:val="22"/>
        </w:rPr>
        <w:t>.</w:t>
      </w:r>
      <w:r w:rsidRPr="009C22C6">
        <w:rPr>
          <w:sz w:val="22"/>
          <w:szCs w:val="22"/>
        </w:rPr>
        <w:t xml:space="preserve"> </w:t>
      </w:r>
    </w:p>
    <w:p w14:paraId="169C1C1B" w14:textId="6440DC0F" w:rsidR="00A866CC" w:rsidRDefault="00A524F1" w:rsidP="00A91D9E">
      <w:pPr>
        <w:jc w:val="left"/>
      </w:pPr>
      <w:r w:rsidRPr="00A524F1">
        <w:rPr>
          <w:rFonts w:cs="Times New Roman"/>
        </w:rPr>
        <w:t xml:space="preserve">The geometric mean (CV%) apparent oral clearance (CL/F) was 15.9 L/h (45.5%) in patients with cancer following a single 160 mg oral dose of </w:t>
      </w:r>
      <w:proofErr w:type="spellStart"/>
      <w:r w:rsidRPr="00A524F1">
        <w:rPr>
          <w:rFonts w:cs="Times New Roman"/>
        </w:rPr>
        <w:t>repotrectinib</w:t>
      </w:r>
      <w:proofErr w:type="spellEnd"/>
      <w:r w:rsidRPr="00A524F1">
        <w:rPr>
          <w:rFonts w:cs="Times New Roman"/>
        </w:rPr>
        <w:t>.</w:t>
      </w:r>
      <w:r w:rsidDel="00A524F1">
        <w:t xml:space="preserve"> </w:t>
      </w:r>
    </w:p>
    <w:p w14:paraId="69F859E1" w14:textId="77777777" w:rsidR="00A866CC" w:rsidRPr="009C22C6" w:rsidRDefault="00A866CC" w:rsidP="00A91D9E">
      <w:pPr>
        <w:pStyle w:val="BMSBodyText"/>
        <w:jc w:val="left"/>
        <w:rPr>
          <w:rFonts w:eastAsiaTheme="majorEastAsia"/>
          <w:b/>
          <w:bCs/>
          <w:color w:val="auto"/>
          <w:szCs w:val="24"/>
          <w:u w:val="single"/>
          <w:lang w:val="en-AU"/>
        </w:rPr>
      </w:pPr>
      <w:r w:rsidRPr="009C22C6">
        <w:rPr>
          <w:rFonts w:eastAsiaTheme="majorEastAsia"/>
          <w:b/>
          <w:bCs/>
          <w:color w:val="auto"/>
          <w:szCs w:val="24"/>
          <w:u w:val="single"/>
          <w:lang w:val="en-AU"/>
        </w:rPr>
        <w:t>Excretion</w:t>
      </w:r>
    </w:p>
    <w:p w14:paraId="222CB249" w14:textId="648BBC1C" w:rsidR="001F11CC" w:rsidRDefault="00A866CC" w:rsidP="00A91D9E">
      <w:pPr>
        <w:jc w:val="left"/>
      </w:pPr>
      <w:r w:rsidRPr="00F078FE">
        <w:t xml:space="preserve">Following a single oral 160 mg dose of </w:t>
      </w:r>
      <w:proofErr w:type="spellStart"/>
      <w:r w:rsidRPr="00DD1AE7">
        <w:t>radiolabeled</w:t>
      </w:r>
      <w:proofErr w:type="spellEnd"/>
      <w:r w:rsidRPr="00F078FE" w:rsidDel="00AE41C8">
        <w:t xml:space="preserve"> </w:t>
      </w:r>
      <w:proofErr w:type="spellStart"/>
      <w:r w:rsidRPr="00F078FE">
        <w:t>repotrectinib</w:t>
      </w:r>
      <w:proofErr w:type="spellEnd"/>
      <w:r w:rsidRPr="00F078FE">
        <w:t xml:space="preserve">, </w:t>
      </w:r>
      <w:bookmarkStart w:id="17" w:name="_Hlk127458903"/>
      <w:r w:rsidRPr="00F078FE">
        <w:t>4.84% (0.56% as unchanged) was recovered in urine and 88.8% (50.6% unchanged) in f</w:t>
      </w:r>
      <w:r w:rsidR="000B648B">
        <w:t>a</w:t>
      </w:r>
      <w:r w:rsidRPr="00F078FE">
        <w:t>eces</w:t>
      </w:r>
      <w:bookmarkEnd w:id="17"/>
      <w:r>
        <w:rPr>
          <w:rFonts w:ascii="Calibri" w:hAnsi="Calibri" w:cs="Calibri"/>
          <w:bCs/>
        </w:rPr>
        <w:t>.</w:t>
      </w:r>
    </w:p>
    <w:p w14:paraId="51B8612D" w14:textId="4359EA21" w:rsidR="00607B2A" w:rsidRDefault="00607B2A" w:rsidP="00A91D9E">
      <w:pPr>
        <w:pStyle w:val="Heading3"/>
      </w:pPr>
      <w:r>
        <w:t>Pharmacokinetics in special populations</w:t>
      </w:r>
    </w:p>
    <w:p w14:paraId="6B1512BC" w14:textId="3C48D130" w:rsidR="00607B2A" w:rsidRPr="00607B2A" w:rsidRDefault="00607B2A" w:rsidP="00A91D9E">
      <w:pPr>
        <w:jc w:val="left"/>
        <w:rPr>
          <w:b/>
          <w:bCs/>
        </w:rPr>
      </w:pPr>
      <w:r w:rsidRPr="00607B2A">
        <w:rPr>
          <w:b/>
          <w:bCs/>
        </w:rPr>
        <w:t xml:space="preserve">Renal </w:t>
      </w:r>
      <w:r w:rsidR="00F22893">
        <w:rPr>
          <w:b/>
          <w:bCs/>
        </w:rPr>
        <w:t>i</w:t>
      </w:r>
      <w:r w:rsidRPr="00607B2A">
        <w:rPr>
          <w:b/>
          <w:bCs/>
        </w:rPr>
        <w:t>mpairment</w:t>
      </w:r>
    </w:p>
    <w:p w14:paraId="2CF24595" w14:textId="40809148" w:rsidR="00607B2A" w:rsidRDefault="008029A7" w:rsidP="00A91D9E">
      <w:pPr>
        <w:jc w:val="left"/>
      </w:pPr>
      <w:r w:rsidRPr="00F078FE">
        <w:t xml:space="preserve">The effect of renal impairment on the </w:t>
      </w:r>
      <w:r w:rsidRPr="00DD1AE7">
        <w:t>pharmacokinetics</w:t>
      </w:r>
      <w:r w:rsidRPr="00F078FE">
        <w:t xml:space="preserve"> of </w:t>
      </w:r>
      <w:proofErr w:type="spellStart"/>
      <w:r w:rsidRPr="00F078FE">
        <w:t>repotrectinib</w:t>
      </w:r>
      <w:proofErr w:type="spellEnd"/>
      <w:r w:rsidRPr="00F078FE">
        <w:t xml:space="preserve"> was evaluated by a population PK analysis</w:t>
      </w:r>
      <w:r w:rsidR="006E043F">
        <w:t xml:space="preserve"> in patients</w:t>
      </w:r>
      <w:r w:rsidRPr="00F078FE">
        <w:t xml:space="preserve">. No clinically </w:t>
      </w:r>
      <w:r>
        <w:t>significant</w:t>
      </w:r>
      <w:r w:rsidRPr="00F078FE">
        <w:t xml:space="preserve"> differences in the </w:t>
      </w:r>
      <w:r w:rsidRPr="00DD1AE7">
        <w:t>pharmacokinetics</w:t>
      </w:r>
      <w:r w:rsidRPr="00F078FE">
        <w:t xml:space="preserve"> of </w:t>
      </w:r>
      <w:proofErr w:type="spellStart"/>
      <w:r w:rsidRPr="00F078FE">
        <w:t>repotrectinib</w:t>
      </w:r>
      <w:proofErr w:type="spellEnd"/>
      <w:r w:rsidRPr="00F078FE">
        <w:t xml:space="preserve"> were found between patients with mild or moderate (eGFR-</w:t>
      </w:r>
      <w:bookmarkStart w:id="18" w:name="OLE_LINK2"/>
      <w:r>
        <w:t>CKD-EPI</w:t>
      </w:r>
      <w:r w:rsidRPr="00F078FE">
        <w:t xml:space="preserve"> </w:t>
      </w:r>
      <w:bookmarkEnd w:id="18"/>
      <w:r w:rsidRPr="00F078FE">
        <w:t>30 to 90 mL/min) renal impairment and patients with normal renal function. Repotrectinib has not been studied in patients with severe renal impairment (eGFR-</w:t>
      </w:r>
      <w:r>
        <w:t>CKD-EPI</w:t>
      </w:r>
      <w:r w:rsidRPr="00F078FE" w:rsidDel="00120198">
        <w:t xml:space="preserve"> </w:t>
      </w:r>
      <w:r w:rsidRPr="00F078FE">
        <w:t>&lt;30 mL/min)</w:t>
      </w:r>
      <w:r w:rsidR="00EA1094">
        <w:t xml:space="preserve"> including those </w:t>
      </w:r>
      <w:r w:rsidR="006B008D">
        <w:t xml:space="preserve">with end-stage renal failure </w:t>
      </w:r>
      <w:r w:rsidR="00EA1094">
        <w:t>on dialysis</w:t>
      </w:r>
      <w:r w:rsidRPr="00F078FE">
        <w:t>.</w:t>
      </w:r>
    </w:p>
    <w:p w14:paraId="75AC7187" w14:textId="508DF44E" w:rsidR="00385754" w:rsidRPr="00607B2A" w:rsidRDefault="00385754" w:rsidP="00A91D9E">
      <w:pPr>
        <w:jc w:val="left"/>
        <w:rPr>
          <w:b/>
          <w:bCs/>
        </w:rPr>
      </w:pPr>
      <w:r>
        <w:rPr>
          <w:b/>
          <w:bCs/>
        </w:rPr>
        <w:t>Hepatic</w:t>
      </w:r>
      <w:r w:rsidRPr="00607B2A">
        <w:rPr>
          <w:b/>
          <w:bCs/>
        </w:rPr>
        <w:t xml:space="preserve"> </w:t>
      </w:r>
      <w:r w:rsidR="00F22893">
        <w:rPr>
          <w:b/>
          <w:bCs/>
        </w:rPr>
        <w:t>i</w:t>
      </w:r>
      <w:r w:rsidRPr="00607B2A">
        <w:rPr>
          <w:b/>
          <w:bCs/>
        </w:rPr>
        <w:t>mpairment</w:t>
      </w:r>
    </w:p>
    <w:p w14:paraId="27C63184" w14:textId="30FDFB6B" w:rsidR="00385754" w:rsidRDefault="008029A7" w:rsidP="00A91D9E">
      <w:pPr>
        <w:jc w:val="left"/>
      </w:pPr>
      <w:r w:rsidRPr="005A74C1">
        <w:t xml:space="preserve">The effect of hepatic impairment on the pharmacokinetics of </w:t>
      </w:r>
      <w:proofErr w:type="spellStart"/>
      <w:r w:rsidRPr="005A74C1">
        <w:t>repotrectinib</w:t>
      </w:r>
      <w:proofErr w:type="spellEnd"/>
      <w:r w:rsidRPr="005A74C1">
        <w:t xml:space="preserve"> was evaluated by population PK analysis in patients. No clinically significant differences in the pharmacokinetics of </w:t>
      </w:r>
      <w:proofErr w:type="spellStart"/>
      <w:r w:rsidRPr="005A74C1">
        <w:t>repotrectinib</w:t>
      </w:r>
      <w:proofErr w:type="spellEnd"/>
      <w:r w:rsidRPr="005A74C1">
        <w:t xml:space="preserve"> were found between patients with mild hepatic impairment (total bilirubin &gt;1.0 to 1.5 times ULN or AST </w:t>
      </w:r>
      <w:bookmarkStart w:id="19" w:name="OLE_LINK53"/>
      <w:r w:rsidRPr="005A74C1">
        <w:t>&gt;</w:t>
      </w:r>
      <w:bookmarkEnd w:id="19"/>
      <w:r w:rsidRPr="005A74C1">
        <w:t xml:space="preserve"> ULN) and patients with normal hepatic function. </w:t>
      </w:r>
      <w:r w:rsidR="002C0164">
        <w:t>The p</w:t>
      </w:r>
      <w:r w:rsidRPr="005A74C1">
        <w:t xml:space="preserve">harmacokinetics of </w:t>
      </w:r>
      <w:proofErr w:type="spellStart"/>
      <w:r w:rsidRPr="005A74C1">
        <w:t>repotrectinib</w:t>
      </w:r>
      <w:proofErr w:type="spellEnd"/>
      <w:r w:rsidRPr="005A74C1">
        <w:t xml:space="preserve"> ha</w:t>
      </w:r>
      <w:r w:rsidR="002C0164">
        <w:t>ve</w:t>
      </w:r>
      <w:r w:rsidRPr="005A74C1">
        <w:t xml:space="preserve"> not been established in patients with moderate (total bilirubin &gt;1.5 to 3 x ULN with any AST) or severe (total bilirubin &gt;3 x ULN with any AST) hepatic impairment.</w:t>
      </w:r>
    </w:p>
    <w:p w14:paraId="5981A4DA" w14:textId="45D17BA3" w:rsidR="00385754" w:rsidRDefault="00385754" w:rsidP="00A91D9E">
      <w:pPr>
        <w:jc w:val="left"/>
        <w:rPr>
          <w:b/>
          <w:bCs/>
        </w:rPr>
      </w:pPr>
      <w:r>
        <w:rPr>
          <w:b/>
          <w:bCs/>
        </w:rPr>
        <w:t>Effects of age, body weight, race and gender</w:t>
      </w:r>
    </w:p>
    <w:p w14:paraId="3D9D5212" w14:textId="59647B16" w:rsidR="00385754" w:rsidRDefault="0005667E" w:rsidP="00A91D9E">
      <w:pPr>
        <w:jc w:val="left"/>
      </w:pPr>
      <w:r w:rsidRPr="0005667E">
        <w:t xml:space="preserve">No clinically significant differences in the pharmacokinetics of </w:t>
      </w:r>
      <w:proofErr w:type="spellStart"/>
      <w:r w:rsidRPr="0005667E">
        <w:t>repotrectinib</w:t>
      </w:r>
      <w:proofErr w:type="spellEnd"/>
      <w:r w:rsidRPr="0005667E">
        <w:t xml:space="preserve"> were identified based on gender, age (12 years to 93 years), body weight (3</w:t>
      </w:r>
      <w:r w:rsidR="007418D1">
        <w:t>9.5</w:t>
      </w:r>
      <w:r w:rsidRPr="0005667E">
        <w:t xml:space="preserve"> kg to 169 kg), race (</w:t>
      </w:r>
      <w:r w:rsidR="00010D45">
        <w:t>Caucasian</w:t>
      </w:r>
      <w:r w:rsidR="00010D45" w:rsidRPr="00F078FE">
        <w:t>,</w:t>
      </w:r>
      <w:r w:rsidR="00010D45">
        <w:t xml:space="preserve"> Asian,</w:t>
      </w:r>
      <w:r w:rsidR="00010D45" w:rsidRPr="00F078FE">
        <w:t xml:space="preserve"> and </w:t>
      </w:r>
      <w:r w:rsidR="00010D45" w:rsidRPr="00DD1AE7">
        <w:t>Black or African American</w:t>
      </w:r>
      <w:r w:rsidRPr="0005667E">
        <w:t>).</w:t>
      </w:r>
    </w:p>
    <w:p w14:paraId="24380358" w14:textId="0EE044AC" w:rsidR="002168BE" w:rsidRDefault="005011F3" w:rsidP="00A91D9E">
      <w:pPr>
        <w:jc w:val="left"/>
        <w:rPr>
          <w:b/>
          <w:bCs/>
        </w:rPr>
      </w:pPr>
      <w:r w:rsidRPr="005011F3">
        <w:rPr>
          <w:b/>
          <w:bCs/>
        </w:rPr>
        <w:t>Effect of CYP3A</w:t>
      </w:r>
      <w:r w:rsidR="00A65C19">
        <w:rPr>
          <w:b/>
          <w:bCs/>
        </w:rPr>
        <w:t xml:space="preserve"> and P-</w:t>
      </w:r>
      <w:proofErr w:type="spellStart"/>
      <w:r w:rsidR="00A65C19">
        <w:rPr>
          <w:b/>
          <w:bCs/>
        </w:rPr>
        <w:t>gp</w:t>
      </w:r>
      <w:proofErr w:type="spellEnd"/>
      <w:r w:rsidRPr="005011F3">
        <w:rPr>
          <w:b/>
          <w:bCs/>
        </w:rPr>
        <w:t xml:space="preserve"> inhibitor</w:t>
      </w:r>
      <w:r w:rsidR="00FD31E6">
        <w:rPr>
          <w:b/>
          <w:bCs/>
        </w:rPr>
        <w:t>s</w:t>
      </w:r>
      <w:r w:rsidRPr="005011F3">
        <w:rPr>
          <w:b/>
          <w:bCs/>
        </w:rPr>
        <w:t xml:space="preserve"> on </w:t>
      </w:r>
      <w:proofErr w:type="spellStart"/>
      <w:r w:rsidR="00CA6E94">
        <w:rPr>
          <w:b/>
          <w:bCs/>
        </w:rPr>
        <w:t>r</w:t>
      </w:r>
      <w:r w:rsidRPr="005011F3">
        <w:rPr>
          <w:b/>
          <w:bCs/>
        </w:rPr>
        <w:t>epotrectinib</w:t>
      </w:r>
      <w:proofErr w:type="spellEnd"/>
    </w:p>
    <w:p w14:paraId="596E82A4" w14:textId="68561A51" w:rsidR="00DF6928" w:rsidRDefault="00A65C19" w:rsidP="00A91D9E">
      <w:pPr>
        <w:jc w:val="left"/>
        <w:rPr>
          <w:b/>
          <w:bCs/>
        </w:rPr>
      </w:pPr>
      <w:r w:rsidRPr="00DD1AE7">
        <w:rPr>
          <w:szCs w:val="24"/>
        </w:rPr>
        <w:t>Repotrectinib AUC</w:t>
      </w:r>
      <w:r w:rsidRPr="00C8263A">
        <w:rPr>
          <w:rStyle w:val="BMSSubscript"/>
          <w:sz w:val="22"/>
        </w:rPr>
        <w:t>0-inf</w:t>
      </w:r>
      <w:r w:rsidRPr="00DD1AE7">
        <w:rPr>
          <w:rStyle w:val="BMSSubscript"/>
        </w:rPr>
        <w:t xml:space="preserve"> </w:t>
      </w:r>
      <w:r w:rsidRPr="009C22C6">
        <w:rPr>
          <w:rStyle w:val="BMSSubscript"/>
          <w:sz w:val="22"/>
          <w:vertAlign w:val="baseline"/>
        </w:rPr>
        <w:t>increased</w:t>
      </w:r>
      <w:r w:rsidRPr="00DD1AE7">
        <w:rPr>
          <w:rStyle w:val="BMSSubscript"/>
        </w:rPr>
        <w:t xml:space="preserve"> </w:t>
      </w:r>
      <w:r w:rsidRPr="00DD1AE7">
        <w:rPr>
          <w:szCs w:val="24"/>
        </w:rPr>
        <w:t>by 5.9-fold and C</w:t>
      </w:r>
      <w:r w:rsidRPr="004E5C57">
        <w:rPr>
          <w:rStyle w:val="BMSSubscript"/>
          <w:sz w:val="22"/>
        </w:rPr>
        <w:t>max</w:t>
      </w:r>
      <w:r w:rsidRPr="00DD1AE7">
        <w:rPr>
          <w:szCs w:val="24"/>
        </w:rPr>
        <w:t xml:space="preserve"> by 1.7-fold </w:t>
      </w:r>
      <w:r w:rsidRPr="00DD1AE7">
        <w:t>following concomitant use with itraconazole (</w:t>
      </w:r>
      <w:r w:rsidR="002C0164">
        <w:t xml:space="preserve">a </w:t>
      </w:r>
      <w:r w:rsidRPr="00DD1AE7">
        <w:t xml:space="preserve">strong CYP3A </w:t>
      </w:r>
      <w:r>
        <w:t>and P-</w:t>
      </w:r>
      <w:proofErr w:type="spellStart"/>
      <w:r>
        <w:t>gp</w:t>
      </w:r>
      <w:proofErr w:type="spellEnd"/>
      <w:r>
        <w:t xml:space="preserve"> </w:t>
      </w:r>
      <w:r w:rsidRPr="00DD1AE7">
        <w:t>inhibitor)</w:t>
      </w:r>
      <w:r w:rsidRPr="00DD1AE7">
        <w:rPr>
          <w:szCs w:val="24"/>
        </w:rPr>
        <w:t>.</w:t>
      </w:r>
    </w:p>
    <w:p w14:paraId="25C0CF0B" w14:textId="4CB72AE3" w:rsidR="005011F3" w:rsidRDefault="005011F3" w:rsidP="00A91D9E">
      <w:pPr>
        <w:jc w:val="left"/>
        <w:rPr>
          <w:b/>
          <w:bCs/>
        </w:rPr>
      </w:pPr>
      <w:r w:rsidRPr="005011F3">
        <w:rPr>
          <w:b/>
          <w:bCs/>
        </w:rPr>
        <w:lastRenderedPageBreak/>
        <w:t>Effect of CYP3A</w:t>
      </w:r>
      <w:r w:rsidR="00A65C19">
        <w:rPr>
          <w:b/>
          <w:bCs/>
        </w:rPr>
        <w:t xml:space="preserve"> and P-</w:t>
      </w:r>
      <w:proofErr w:type="spellStart"/>
      <w:r w:rsidR="00A65C19">
        <w:rPr>
          <w:b/>
          <w:bCs/>
        </w:rPr>
        <w:t>gp</w:t>
      </w:r>
      <w:proofErr w:type="spellEnd"/>
      <w:r w:rsidRPr="005011F3">
        <w:rPr>
          <w:b/>
          <w:bCs/>
        </w:rPr>
        <w:t xml:space="preserve"> </w:t>
      </w:r>
      <w:r>
        <w:rPr>
          <w:b/>
          <w:bCs/>
        </w:rPr>
        <w:t>inducer</w:t>
      </w:r>
      <w:r w:rsidR="00FD31E6">
        <w:rPr>
          <w:b/>
          <w:bCs/>
        </w:rPr>
        <w:t>s</w:t>
      </w:r>
      <w:r w:rsidRPr="005011F3">
        <w:rPr>
          <w:b/>
          <w:bCs/>
        </w:rPr>
        <w:t xml:space="preserve"> on </w:t>
      </w:r>
      <w:proofErr w:type="spellStart"/>
      <w:r w:rsidR="00CA6E94">
        <w:rPr>
          <w:b/>
          <w:bCs/>
        </w:rPr>
        <w:t>r</w:t>
      </w:r>
      <w:r w:rsidRPr="005011F3">
        <w:rPr>
          <w:b/>
          <w:bCs/>
        </w:rPr>
        <w:t>epotrectinib</w:t>
      </w:r>
      <w:proofErr w:type="spellEnd"/>
    </w:p>
    <w:p w14:paraId="02CCFCB9" w14:textId="0FE4B04C" w:rsidR="005011F3" w:rsidRDefault="00A65C19" w:rsidP="00A91D9E">
      <w:pPr>
        <w:jc w:val="left"/>
        <w:rPr>
          <w:b/>
          <w:bCs/>
        </w:rPr>
      </w:pPr>
      <w:r w:rsidRPr="00DD1AE7">
        <w:t xml:space="preserve">Repotrectinib </w:t>
      </w:r>
      <w:r w:rsidRPr="00DD1AE7">
        <w:rPr>
          <w:szCs w:val="24"/>
        </w:rPr>
        <w:t>AUC</w:t>
      </w:r>
      <w:r w:rsidRPr="00C8263A">
        <w:rPr>
          <w:rStyle w:val="BMSSubscript"/>
          <w:sz w:val="22"/>
        </w:rPr>
        <w:t>0-inf</w:t>
      </w:r>
      <w:r w:rsidRPr="00DD1AE7">
        <w:rPr>
          <w:rStyle w:val="BMSSubscript"/>
        </w:rPr>
        <w:t xml:space="preserve"> </w:t>
      </w:r>
      <w:r w:rsidRPr="00BB14E6">
        <w:rPr>
          <w:rStyle w:val="BMSSubscript"/>
          <w:sz w:val="22"/>
          <w:vertAlign w:val="baseline"/>
        </w:rPr>
        <w:t>decreased</w:t>
      </w:r>
      <w:r w:rsidRPr="00DD1AE7">
        <w:rPr>
          <w:rStyle w:val="BMSSubscript"/>
        </w:rPr>
        <w:t xml:space="preserve"> </w:t>
      </w:r>
      <w:r w:rsidRPr="00DD1AE7">
        <w:rPr>
          <w:szCs w:val="24"/>
        </w:rPr>
        <w:t>by 92% and C</w:t>
      </w:r>
      <w:r w:rsidRPr="004E5C57">
        <w:rPr>
          <w:rStyle w:val="BMSSubscript"/>
          <w:sz w:val="22"/>
        </w:rPr>
        <w:t>max</w:t>
      </w:r>
      <w:r w:rsidRPr="00DD1AE7">
        <w:rPr>
          <w:rStyle w:val="BMSSubscript"/>
        </w:rPr>
        <w:t xml:space="preserve"> </w:t>
      </w:r>
      <w:r w:rsidRPr="00DD1AE7">
        <w:rPr>
          <w:szCs w:val="24"/>
        </w:rPr>
        <w:t xml:space="preserve">by 79% </w:t>
      </w:r>
      <w:r w:rsidRPr="00DD1AE7">
        <w:t>following concomitant use with rifampin (</w:t>
      </w:r>
      <w:r w:rsidR="002C0164">
        <w:t xml:space="preserve">a </w:t>
      </w:r>
      <w:r w:rsidRPr="00DD1AE7">
        <w:t xml:space="preserve">strong CYP3A </w:t>
      </w:r>
      <w:r>
        <w:t>and P-</w:t>
      </w:r>
      <w:proofErr w:type="spellStart"/>
      <w:r>
        <w:t>gp</w:t>
      </w:r>
      <w:proofErr w:type="spellEnd"/>
      <w:r>
        <w:t xml:space="preserve"> </w:t>
      </w:r>
      <w:r w:rsidRPr="00DD1AE7">
        <w:t>inducer)</w:t>
      </w:r>
      <w:r w:rsidRPr="00DD1AE7">
        <w:rPr>
          <w:szCs w:val="24"/>
        </w:rPr>
        <w:t>.</w:t>
      </w:r>
    </w:p>
    <w:p w14:paraId="4E0B9E97" w14:textId="7767334B" w:rsidR="00C17E58" w:rsidRDefault="00C17E58" w:rsidP="00A91D9E">
      <w:pPr>
        <w:jc w:val="left"/>
        <w:rPr>
          <w:b/>
          <w:bCs/>
        </w:rPr>
      </w:pPr>
      <w:r w:rsidRPr="005011F3">
        <w:rPr>
          <w:b/>
          <w:bCs/>
        </w:rPr>
        <w:t xml:space="preserve">Effect of </w:t>
      </w:r>
      <w:proofErr w:type="spellStart"/>
      <w:r w:rsidR="00CA6E94">
        <w:rPr>
          <w:b/>
          <w:bCs/>
        </w:rPr>
        <w:t>r</w:t>
      </w:r>
      <w:r w:rsidRPr="005011F3">
        <w:rPr>
          <w:b/>
          <w:bCs/>
        </w:rPr>
        <w:t>epotrectinib</w:t>
      </w:r>
      <w:proofErr w:type="spellEnd"/>
      <w:r>
        <w:rPr>
          <w:b/>
          <w:bCs/>
        </w:rPr>
        <w:t xml:space="preserve"> on CYP3A substrates</w:t>
      </w:r>
    </w:p>
    <w:p w14:paraId="6488D963" w14:textId="30E5ABE2" w:rsidR="00C17E58" w:rsidRPr="00F2554B" w:rsidRDefault="00A65C19" w:rsidP="00A91D9E">
      <w:pPr>
        <w:jc w:val="left"/>
      </w:pPr>
      <w:r w:rsidRPr="00DD1AE7">
        <w:t>Midazolam (CYP3A substrate AUC</w:t>
      </w:r>
      <w:r w:rsidRPr="00DD1AE7">
        <w:rPr>
          <w:rStyle w:val="BMSSubscript"/>
        </w:rPr>
        <w:t xml:space="preserve">0-inf </w:t>
      </w:r>
      <w:r w:rsidRPr="00BB14E6">
        <w:rPr>
          <w:rStyle w:val="BMSSubscript"/>
          <w:sz w:val="22"/>
          <w:vertAlign w:val="baseline"/>
        </w:rPr>
        <w:t>decreased</w:t>
      </w:r>
      <w:r w:rsidRPr="00DD1AE7">
        <w:rPr>
          <w:rStyle w:val="BMSSubscript"/>
        </w:rPr>
        <w:t xml:space="preserve"> </w:t>
      </w:r>
      <w:r w:rsidRPr="00DD1AE7">
        <w:t>by 69% and C</w:t>
      </w:r>
      <w:r w:rsidRPr="00DD1AE7">
        <w:rPr>
          <w:rStyle w:val="BMSSubscript"/>
        </w:rPr>
        <w:t>max</w:t>
      </w:r>
      <w:r w:rsidRPr="00DD1AE7">
        <w:t xml:space="preserve"> by 48% following concomitant use in subjects that were previously administered 160 mg </w:t>
      </w:r>
      <w:proofErr w:type="spellStart"/>
      <w:r w:rsidRPr="00DD1AE7">
        <w:t>repotrectinib</w:t>
      </w:r>
      <w:proofErr w:type="spellEnd"/>
      <w:r w:rsidRPr="00DD1AE7">
        <w:t xml:space="preserve"> once daily for 14 days followed by 160 mg twice daily for 7 days.</w:t>
      </w:r>
    </w:p>
    <w:p w14:paraId="7C0DB8BF" w14:textId="267DAEEC" w:rsidR="00F2554B" w:rsidRDefault="00F2554B" w:rsidP="00A91D9E">
      <w:pPr>
        <w:jc w:val="left"/>
        <w:rPr>
          <w:b/>
          <w:bCs/>
        </w:rPr>
      </w:pPr>
      <w:r w:rsidRPr="00F2554B">
        <w:rPr>
          <w:b/>
          <w:bCs/>
        </w:rPr>
        <w:t>In vitro Studies</w:t>
      </w:r>
    </w:p>
    <w:p w14:paraId="33129E0B" w14:textId="4F4A85A2" w:rsidR="00C90034" w:rsidRPr="00C90034" w:rsidRDefault="00C90034" w:rsidP="00A91D9E">
      <w:pPr>
        <w:jc w:val="left"/>
      </w:pPr>
      <w:r w:rsidRPr="00AF1481">
        <w:rPr>
          <w:i/>
          <w:iCs/>
        </w:rPr>
        <w:t>CYP Enzymes</w:t>
      </w:r>
      <w:r>
        <w:t>: Repotrectinib induces CYP3A4, CYP2B6, CYP2C8, CYP2C19, CYP2C9 and inhibits CYP3A4/5 (</w:t>
      </w:r>
      <w:r w:rsidR="6AE895BD">
        <w:t xml:space="preserve">gastrointestinal </w:t>
      </w:r>
      <w:r>
        <w:t>tract).</w:t>
      </w:r>
    </w:p>
    <w:p w14:paraId="6C45DEF0" w14:textId="77777777" w:rsidR="00C90034" w:rsidRPr="00D92AC7" w:rsidRDefault="00C90034" w:rsidP="00A91D9E">
      <w:pPr>
        <w:jc w:val="left"/>
        <w:rPr>
          <w:b/>
          <w:bCs/>
        </w:rPr>
      </w:pPr>
      <w:r w:rsidRPr="00AF1481">
        <w:rPr>
          <w:i/>
          <w:iCs/>
        </w:rPr>
        <w:t>Other Metabolic Pathway</w:t>
      </w:r>
      <w:r w:rsidRPr="00BB14E6">
        <w:t>s:</w:t>
      </w:r>
      <w:r w:rsidRPr="00D92AC7">
        <w:rPr>
          <w:b/>
          <w:bCs/>
        </w:rPr>
        <w:t xml:space="preserve"> </w:t>
      </w:r>
      <w:r w:rsidRPr="00BB14E6">
        <w:t>Repotrectinib inhibits UGT1A1.</w:t>
      </w:r>
    </w:p>
    <w:p w14:paraId="02276C6E" w14:textId="1E3E2CCD" w:rsidR="00986B0C" w:rsidRDefault="00C90034" w:rsidP="00A91D9E">
      <w:pPr>
        <w:jc w:val="left"/>
      </w:pPr>
      <w:r w:rsidRPr="00AF1481">
        <w:rPr>
          <w:i/>
          <w:iCs/>
        </w:rPr>
        <w:t>Transporter Systems</w:t>
      </w:r>
      <w:r w:rsidRPr="00C90034">
        <w:t>: Repotrectinib inhibits P-</w:t>
      </w:r>
      <w:proofErr w:type="spellStart"/>
      <w:r w:rsidRPr="00C90034">
        <w:t>gp</w:t>
      </w:r>
      <w:proofErr w:type="spellEnd"/>
      <w:r w:rsidRPr="00C90034">
        <w:t>, BCRP, OATP1B1, MATE1 and MATE2-K. Repotrectinib is a substrate for P-</w:t>
      </w:r>
      <w:proofErr w:type="spellStart"/>
      <w:r w:rsidRPr="00C90034">
        <w:t>gp</w:t>
      </w:r>
      <w:proofErr w:type="spellEnd"/>
      <w:r w:rsidRPr="00C90034">
        <w:t>.</w:t>
      </w:r>
    </w:p>
    <w:p w14:paraId="298FA0B1" w14:textId="457E60DF" w:rsidR="001A3992" w:rsidRPr="00DF1788" w:rsidRDefault="001A3992" w:rsidP="00A91D9E">
      <w:pPr>
        <w:pStyle w:val="Heading2"/>
        <w:ind w:left="810" w:hanging="810"/>
      </w:pPr>
      <w:r w:rsidRPr="00DF1788">
        <w:t>Preclinical safety data</w:t>
      </w:r>
    </w:p>
    <w:p w14:paraId="16360E84" w14:textId="6883D5C5" w:rsidR="00F6154A" w:rsidRPr="004A0783" w:rsidRDefault="00E241AC" w:rsidP="00A91D9E">
      <w:pPr>
        <w:pStyle w:val="Heading3"/>
      </w:pPr>
      <w:r w:rsidRPr="004A0783">
        <w:t>Genotoxicity</w:t>
      </w:r>
    </w:p>
    <w:p w14:paraId="48C3E3F0" w14:textId="2C9FEA0D" w:rsidR="00B91D1E" w:rsidRPr="004A0783" w:rsidRDefault="00B91D1E" w:rsidP="00A91D9E">
      <w:pPr>
        <w:jc w:val="left"/>
      </w:pPr>
      <w:r w:rsidRPr="004A0783">
        <w:t>Repotrectinib was not mutag</w:t>
      </w:r>
      <w:r w:rsidRPr="00141D9A">
        <w:t xml:space="preserve">enic </w:t>
      </w:r>
      <w:r w:rsidRPr="00141D9A">
        <w:rPr>
          <w:i/>
          <w:iCs/>
        </w:rPr>
        <w:t>in vitro</w:t>
      </w:r>
      <w:r w:rsidRPr="00141D9A">
        <w:t xml:space="preserve"> in the bacterial reverse mutation (Ames) assay. Repotrectinib was </w:t>
      </w:r>
      <w:proofErr w:type="spellStart"/>
      <w:r w:rsidRPr="00141D9A">
        <w:t>aneugenic</w:t>
      </w:r>
      <w:proofErr w:type="spellEnd"/>
      <w:r w:rsidRPr="00141D9A">
        <w:t xml:space="preserve"> in an </w:t>
      </w:r>
      <w:r w:rsidRPr="00141D9A">
        <w:rPr>
          <w:i/>
          <w:iCs/>
        </w:rPr>
        <w:t>in vitro</w:t>
      </w:r>
      <w:r w:rsidRPr="00141D9A">
        <w:t xml:space="preserve"> a</w:t>
      </w:r>
      <w:r w:rsidRPr="004A0783">
        <w:t xml:space="preserve">ssay in human lymphoblastoid TK6 cells and positive for micronuclei formation </w:t>
      </w:r>
      <w:r w:rsidRPr="004A0783">
        <w:rPr>
          <w:i/>
          <w:iCs/>
        </w:rPr>
        <w:t>in vivo</w:t>
      </w:r>
      <w:r w:rsidRPr="004A0783">
        <w:t xml:space="preserve"> in the bone marrow of rats at a threshold of &gt;100 mg/kg nominal dose (resulting in</w:t>
      </w:r>
      <w:r w:rsidR="00A629EC" w:rsidRPr="004A0783">
        <w:t xml:space="preserve"> exposures approximately </w:t>
      </w:r>
      <w:r w:rsidR="00654A75" w:rsidRPr="004A0783">
        <w:t>4</w:t>
      </w:r>
      <w:r w:rsidR="00FE67F0" w:rsidRPr="004A0783">
        <w:t xml:space="preserve"> </w:t>
      </w:r>
      <w:r w:rsidR="00A629EC" w:rsidRPr="004A0783">
        <w:t xml:space="preserve">times the human exposure at the 160 mg twice daily dose based on </w:t>
      </w:r>
      <w:r w:rsidR="00811016" w:rsidRPr="004A0783">
        <w:t>C</w:t>
      </w:r>
      <w:r w:rsidR="00811016" w:rsidRPr="004A0783">
        <w:rPr>
          <w:vertAlign w:val="subscript"/>
        </w:rPr>
        <w:t>max</w:t>
      </w:r>
      <w:r w:rsidR="00A629EC" w:rsidRPr="004A0783">
        <w:t>).</w:t>
      </w:r>
    </w:p>
    <w:p w14:paraId="5AFD9CD4" w14:textId="3502D576" w:rsidR="001A3992" w:rsidRPr="004A0783" w:rsidRDefault="001A3992" w:rsidP="00A91D9E">
      <w:pPr>
        <w:pStyle w:val="Heading3"/>
      </w:pPr>
      <w:r w:rsidRPr="004A0783">
        <w:t>Carcinogenicity</w:t>
      </w:r>
    </w:p>
    <w:p w14:paraId="65A87083" w14:textId="205C07E7" w:rsidR="001451F0" w:rsidRPr="004A0783" w:rsidRDefault="001451F0" w:rsidP="00A91D9E">
      <w:pPr>
        <w:jc w:val="left"/>
      </w:pPr>
      <w:r w:rsidRPr="004A0783">
        <w:t>Studies to evaluate the carcino</w:t>
      </w:r>
      <w:r w:rsidR="00F6154A" w:rsidRPr="004A0783">
        <w:t xml:space="preserve">genic potential of </w:t>
      </w:r>
      <w:proofErr w:type="spellStart"/>
      <w:r w:rsidR="00B91D1E" w:rsidRPr="004A0783">
        <w:t>repotrectinib</w:t>
      </w:r>
      <w:proofErr w:type="spellEnd"/>
      <w:r w:rsidR="00ED22AE" w:rsidRPr="004A0783">
        <w:t xml:space="preserve"> </w:t>
      </w:r>
      <w:r w:rsidR="00F6154A" w:rsidRPr="004A0783">
        <w:t>have not been perfo</w:t>
      </w:r>
      <w:r w:rsidR="00E241AC" w:rsidRPr="004A0783">
        <w:t>r</w:t>
      </w:r>
      <w:r w:rsidR="00F6154A" w:rsidRPr="004A0783">
        <w:t>med.</w:t>
      </w:r>
    </w:p>
    <w:p w14:paraId="0E1F21CD" w14:textId="77777777" w:rsidR="007F151D" w:rsidRPr="004A0783" w:rsidRDefault="007F151D" w:rsidP="00A91D9E">
      <w:pPr>
        <w:pStyle w:val="Heading3"/>
      </w:pPr>
      <w:r w:rsidRPr="004A0783">
        <w:t>Repeat dose toxicity studies</w:t>
      </w:r>
    </w:p>
    <w:p w14:paraId="5B608139" w14:textId="663C0248" w:rsidR="007F151D" w:rsidRPr="004A0783" w:rsidRDefault="007F151D" w:rsidP="00A91D9E">
      <w:pPr>
        <w:jc w:val="left"/>
        <w:rPr>
          <w:noProof/>
        </w:rPr>
      </w:pPr>
      <w:r w:rsidRPr="004A0783">
        <w:rPr>
          <w:noProof/>
        </w:rPr>
        <w:t>Following repeat-dose oral administration of repotrectinib daily for up to 3 months in Sprague Dawley rats and cynomolgus monkeys, the main toxicities observed were skin scabs/ulcerations at ≥ 0.</w:t>
      </w:r>
      <w:r w:rsidR="00865B5A" w:rsidRPr="004A0783">
        <w:rPr>
          <w:noProof/>
        </w:rPr>
        <w:t>33</w:t>
      </w:r>
      <w:r w:rsidRPr="004A0783">
        <w:rPr>
          <w:noProof/>
        </w:rPr>
        <w:t xml:space="preserve"> times the human exposures based on AUC; </w:t>
      </w:r>
      <w:r w:rsidR="00443319" w:rsidRPr="004A0783">
        <w:rPr>
          <w:noProof/>
        </w:rPr>
        <w:t xml:space="preserve">severe </w:t>
      </w:r>
      <w:r w:rsidRPr="004A0783">
        <w:rPr>
          <w:noProof/>
        </w:rPr>
        <w:t xml:space="preserve">CNS effects (i.e. ataxia, tremors) in rats at </w:t>
      </w:r>
      <w:r w:rsidR="00C166AE">
        <w:rPr>
          <w:rFonts w:ascii="Symbol" w:eastAsia="Symbol" w:hAnsi="Symbol" w:cs="Symbol"/>
          <w:noProof/>
        </w:rPr>
        <w:t>~</w:t>
      </w:r>
      <w:r w:rsidRPr="004A0783">
        <w:rPr>
          <w:noProof/>
        </w:rPr>
        <w:t xml:space="preserve"> 2.</w:t>
      </w:r>
      <w:r w:rsidR="00E439D8" w:rsidRPr="004A0783">
        <w:rPr>
          <w:noProof/>
        </w:rPr>
        <w:t>1</w:t>
      </w:r>
      <w:r w:rsidRPr="004A0783">
        <w:rPr>
          <w:noProof/>
        </w:rPr>
        <w:t xml:space="preserve"> times the human exposures based on </w:t>
      </w:r>
      <w:r w:rsidR="000765FA">
        <w:rPr>
          <w:noProof/>
          <w:vertAlign w:val="subscript"/>
        </w:rPr>
        <w:t xml:space="preserve"> </w:t>
      </w:r>
      <w:r w:rsidR="000765FA" w:rsidRPr="00724B22">
        <w:rPr>
          <w:noProof/>
        </w:rPr>
        <w:t>AUC</w:t>
      </w:r>
      <w:r w:rsidRPr="004A0783">
        <w:rPr>
          <w:noProof/>
        </w:rPr>
        <w:t>; and gastrointestinal tract effects (i.e. emesis, watery faeces, and minimal subacute/chronic inflammation and/or minimal to mild mucosal gland hyperplasia in the large intestines) in monkeys at ≥ 0.1</w:t>
      </w:r>
      <w:r w:rsidR="0001796E" w:rsidRPr="004A0783">
        <w:rPr>
          <w:noProof/>
        </w:rPr>
        <w:t>1</w:t>
      </w:r>
      <w:r w:rsidRPr="004A0783">
        <w:rPr>
          <w:noProof/>
        </w:rPr>
        <w:t xml:space="preserve"> times the human exposures based on AUC in monkeys. The skin ulcerations were considered secondary to TRK inhibition resulting in loss of sensation and bodily injury.</w:t>
      </w:r>
    </w:p>
    <w:p w14:paraId="204A5A0D" w14:textId="77777777" w:rsidR="007F151D" w:rsidRPr="006204C5" w:rsidRDefault="007F151D" w:rsidP="00A91D9E">
      <w:pPr>
        <w:pStyle w:val="Heading3"/>
      </w:pPr>
      <w:r w:rsidRPr="006204C5">
        <w:t>Juvenile rat toxicity studies</w:t>
      </w:r>
    </w:p>
    <w:p w14:paraId="61AD8604" w14:textId="5FCF9AFE" w:rsidR="007F151D" w:rsidRPr="001451F0" w:rsidRDefault="007F151D" w:rsidP="00A91D9E">
      <w:pPr>
        <w:jc w:val="left"/>
      </w:pPr>
      <w:r w:rsidRPr="006204C5">
        <w:rPr>
          <w:noProof/>
        </w:rPr>
        <w:t xml:space="preserve">The effects of repotrectinib in juvenile rats were investigated in dose range finding (postnatal day [PND] 12 to PND 40) and definitive (PND 12 to PND 70) repeat-dose juvenile toxicity studies. CNS-related mortality was observed in very young rats (PND 13 to PND 15; approximately equivalent to infant) at ≥  </w:t>
      </w:r>
      <w:r w:rsidR="00C05392">
        <w:rPr>
          <w:noProof/>
        </w:rPr>
        <w:t>1.5</w:t>
      </w:r>
      <w:r w:rsidR="003B67FB">
        <w:rPr>
          <w:noProof/>
        </w:rPr>
        <w:t xml:space="preserve"> </w:t>
      </w:r>
      <w:r w:rsidRPr="006204C5">
        <w:rPr>
          <w:noProof/>
        </w:rPr>
        <w:t xml:space="preserve">times the adolescent human exposure based on </w:t>
      </w:r>
      <w:r w:rsidR="003B67FB">
        <w:rPr>
          <w:noProof/>
        </w:rPr>
        <w:t>AUC</w:t>
      </w:r>
      <w:r w:rsidRPr="006204C5">
        <w:rPr>
          <w:noProof/>
        </w:rPr>
        <w:t>. Decreased effects on growth (decreased body weight, food consumption and femur length) were observed at ≥ 0.</w:t>
      </w:r>
      <w:r w:rsidR="001C1203" w:rsidRPr="006204C5">
        <w:rPr>
          <w:noProof/>
        </w:rPr>
        <w:t>035</w:t>
      </w:r>
      <w:r w:rsidRPr="006204C5">
        <w:rPr>
          <w:noProof/>
        </w:rPr>
        <w:t xml:space="preserve"> times the adolescent human exposure based on AUC.</w:t>
      </w:r>
    </w:p>
    <w:p w14:paraId="4E764C47" w14:textId="77777777" w:rsidR="001A3992" w:rsidRPr="000A4651" w:rsidRDefault="001A3992" w:rsidP="00A91D9E">
      <w:pPr>
        <w:pStyle w:val="Heading1"/>
        <w:jc w:val="left"/>
      </w:pPr>
      <w:r w:rsidRPr="000A4651">
        <w:lastRenderedPageBreak/>
        <w:t>Pharmaceutical particulars</w:t>
      </w:r>
    </w:p>
    <w:p w14:paraId="2B5922C6" w14:textId="7D1A6621" w:rsidR="001A3992" w:rsidRPr="001700A7" w:rsidRDefault="00F01F58" w:rsidP="00A91D9E">
      <w:pPr>
        <w:pStyle w:val="Heading2"/>
        <w:ind w:left="810" w:hanging="810"/>
      </w:pPr>
      <w:r w:rsidRPr="001700A7">
        <w:t>List of excipients</w:t>
      </w:r>
    </w:p>
    <w:p w14:paraId="1246F0BA" w14:textId="77777777" w:rsidR="00415810" w:rsidRPr="00415810" w:rsidRDefault="00415810" w:rsidP="00A91D9E">
      <w:pPr>
        <w:spacing w:after="120"/>
        <w:jc w:val="left"/>
        <w:rPr>
          <w:b/>
          <w:bCs/>
          <w:lang w:val="en-US" w:eastAsia="fr-BE"/>
        </w:rPr>
      </w:pPr>
      <w:r w:rsidRPr="00415810">
        <w:rPr>
          <w:b/>
          <w:bCs/>
          <w:lang w:val="en-US" w:eastAsia="fr-BE"/>
        </w:rPr>
        <w:t>Capsule content</w:t>
      </w:r>
    </w:p>
    <w:p w14:paraId="275B9A15" w14:textId="3A921BF2" w:rsidR="00415810" w:rsidRPr="00415810" w:rsidRDefault="00415810" w:rsidP="00A91D9E">
      <w:pPr>
        <w:spacing w:after="120"/>
        <w:jc w:val="left"/>
        <w:rPr>
          <w:lang w:val="en-US" w:eastAsia="fr-BE"/>
        </w:rPr>
      </w:pPr>
      <w:r w:rsidRPr="00415810">
        <w:rPr>
          <w:lang w:val="en-US" w:eastAsia="fr-BE"/>
        </w:rPr>
        <w:t>Microcrystalline cellulose</w:t>
      </w:r>
    </w:p>
    <w:p w14:paraId="0032CF28" w14:textId="77777777" w:rsidR="00415810" w:rsidRPr="00415810" w:rsidRDefault="00415810" w:rsidP="00A91D9E">
      <w:pPr>
        <w:spacing w:after="120"/>
        <w:jc w:val="left"/>
        <w:rPr>
          <w:lang w:val="en-US" w:eastAsia="fr-BE"/>
        </w:rPr>
      </w:pPr>
      <w:r w:rsidRPr="00415810">
        <w:rPr>
          <w:lang w:val="en-US" w:eastAsia="fr-BE"/>
        </w:rPr>
        <w:t>Sodium lauryl sulfate</w:t>
      </w:r>
    </w:p>
    <w:p w14:paraId="3841D57F" w14:textId="77777777" w:rsidR="00415810" w:rsidRPr="00415810" w:rsidRDefault="00415810" w:rsidP="00A91D9E">
      <w:pPr>
        <w:spacing w:after="120"/>
        <w:jc w:val="left"/>
        <w:rPr>
          <w:lang w:val="en-US" w:eastAsia="fr-BE"/>
        </w:rPr>
      </w:pPr>
      <w:r w:rsidRPr="00415810">
        <w:rPr>
          <w:lang w:val="en-US" w:eastAsia="fr-BE"/>
        </w:rPr>
        <w:t>Croscarmellose sodium</w:t>
      </w:r>
    </w:p>
    <w:p w14:paraId="50A84A2B" w14:textId="103CD35B" w:rsidR="00415810" w:rsidRPr="00415810" w:rsidRDefault="0069255C" w:rsidP="00A91D9E">
      <w:pPr>
        <w:spacing w:after="120"/>
        <w:jc w:val="left"/>
        <w:rPr>
          <w:lang w:val="en-US" w:eastAsia="fr-BE"/>
        </w:rPr>
      </w:pPr>
      <w:r>
        <w:rPr>
          <w:lang w:val="en-US" w:eastAsia="fr-BE"/>
        </w:rPr>
        <w:t>S</w:t>
      </w:r>
      <w:r w:rsidR="00415810" w:rsidRPr="00415810">
        <w:rPr>
          <w:lang w:val="en-US" w:eastAsia="fr-BE"/>
        </w:rPr>
        <w:t>ilicon dioxide</w:t>
      </w:r>
    </w:p>
    <w:p w14:paraId="16507C6C" w14:textId="63324476" w:rsidR="00415810" w:rsidRDefault="00415810" w:rsidP="00A91D9E">
      <w:pPr>
        <w:spacing w:after="120"/>
        <w:jc w:val="left"/>
        <w:rPr>
          <w:lang w:val="en-US" w:eastAsia="fr-BE"/>
        </w:rPr>
      </w:pPr>
      <w:r w:rsidRPr="00415810">
        <w:rPr>
          <w:lang w:val="en-US" w:eastAsia="fr-BE"/>
        </w:rPr>
        <w:t>Magnesium stearate (for 160 mg hard capsule only)</w:t>
      </w:r>
    </w:p>
    <w:p w14:paraId="35C9ACF1" w14:textId="0DBA1BDC" w:rsidR="00415810" w:rsidRPr="00415810" w:rsidRDefault="00415810" w:rsidP="00A91D9E">
      <w:pPr>
        <w:spacing w:after="120"/>
        <w:jc w:val="left"/>
        <w:rPr>
          <w:b/>
          <w:bCs/>
          <w:lang w:val="en-US" w:eastAsia="fr-BE"/>
        </w:rPr>
      </w:pPr>
      <w:r w:rsidRPr="00415810">
        <w:rPr>
          <w:b/>
          <w:bCs/>
          <w:lang w:val="en-US" w:eastAsia="fr-BE"/>
        </w:rPr>
        <w:t>Capsule shell content</w:t>
      </w:r>
    </w:p>
    <w:p w14:paraId="07496C41" w14:textId="77777777" w:rsidR="00667C9B" w:rsidRPr="00667C9B" w:rsidRDefault="00667C9B" w:rsidP="00A91D9E">
      <w:pPr>
        <w:spacing w:after="120"/>
        <w:jc w:val="left"/>
        <w:rPr>
          <w:lang w:val="en-US" w:eastAsia="fr-BE"/>
        </w:rPr>
      </w:pPr>
      <w:r w:rsidRPr="00667C9B">
        <w:rPr>
          <w:lang w:val="en-US" w:eastAsia="fr-BE"/>
        </w:rPr>
        <w:t>Gelatin</w:t>
      </w:r>
    </w:p>
    <w:p w14:paraId="26CA9BB5" w14:textId="38ABCCE0" w:rsidR="00667C9B" w:rsidRPr="00667C9B" w:rsidRDefault="00667C9B" w:rsidP="00A91D9E">
      <w:pPr>
        <w:spacing w:after="120"/>
        <w:jc w:val="left"/>
        <w:rPr>
          <w:lang w:val="en-US" w:eastAsia="fr-BE"/>
        </w:rPr>
      </w:pPr>
      <w:r w:rsidRPr="00667C9B">
        <w:rPr>
          <w:lang w:val="en-US" w:eastAsia="fr-BE"/>
        </w:rPr>
        <w:t xml:space="preserve">Titanium dioxide </w:t>
      </w:r>
    </w:p>
    <w:p w14:paraId="0613FAFD" w14:textId="090E18EB" w:rsidR="00415810" w:rsidRDefault="00667C9B" w:rsidP="00A91D9E">
      <w:pPr>
        <w:spacing w:after="120"/>
        <w:jc w:val="left"/>
        <w:rPr>
          <w:lang w:val="en-US" w:eastAsia="fr-BE"/>
        </w:rPr>
      </w:pPr>
      <w:r w:rsidRPr="00667C9B">
        <w:rPr>
          <w:lang w:val="en-US" w:eastAsia="fr-BE"/>
        </w:rPr>
        <w:t xml:space="preserve">Brilliant blue </w:t>
      </w:r>
      <w:r w:rsidR="0069255C">
        <w:rPr>
          <w:lang w:val="en-US" w:eastAsia="fr-BE"/>
        </w:rPr>
        <w:t xml:space="preserve">FCF </w:t>
      </w:r>
      <w:r w:rsidRPr="00667C9B">
        <w:rPr>
          <w:lang w:val="en-US" w:eastAsia="fr-BE"/>
        </w:rPr>
        <w:t>(for 160 mg hard capsule only)</w:t>
      </w:r>
    </w:p>
    <w:p w14:paraId="0BB380FF" w14:textId="4CC8CA20" w:rsidR="00667C9B" w:rsidRPr="00415810" w:rsidRDefault="00667C9B" w:rsidP="00A91D9E">
      <w:pPr>
        <w:spacing w:after="120"/>
        <w:jc w:val="left"/>
        <w:rPr>
          <w:b/>
          <w:bCs/>
          <w:lang w:val="en-US" w:eastAsia="fr-BE"/>
        </w:rPr>
      </w:pPr>
      <w:r>
        <w:rPr>
          <w:b/>
          <w:bCs/>
          <w:lang w:val="en-US" w:eastAsia="fr-BE"/>
        </w:rPr>
        <w:t>Printing ink (40mg hard capsule)</w:t>
      </w:r>
    </w:p>
    <w:p w14:paraId="1C9B9D94" w14:textId="77777777" w:rsidR="00BF44E5" w:rsidRDefault="00A91BF5" w:rsidP="00A91D9E">
      <w:pPr>
        <w:spacing w:after="120"/>
        <w:jc w:val="left"/>
        <w:rPr>
          <w:lang w:val="en-US" w:eastAsia="fr-BE"/>
        </w:rPr>
      </w:pPr>
      <w:proofErr w:type="spellStart"/>
      <w:r w:rsidRPr="00703CA3">
        <w:t>TekPrint</w:t>
      </w:r>
      <w:proofErr w:type="spellEnd"/>
      <w:r w:rsidRPr="00703CA3">
        <w:t>™ SB-6018 Blue Ink</w:t>
      </w:r>
      <w:r w:rsidRPr="00194F1F" w:rsidDel="00A91BF5">
        <w:rPr>
          <w:lang w:val="en-US" w:eastAsia="fr-BE"/>
        </w:rPr>
        <w:t xml:space="preserve"> </w:t>
      </w:r>
    </w:p>
    <w:p w14:paraId="0941606C" w14:textId="725406F3" w:rsidR="00194F1F" w:rsidRPr="00415810" w:rsidRDefault="00194F1F" w:rsidP="00A91D9E">
      <w:pPr>
        <w:spacing w:after="120"/>
        <w:jc w:val="left"/>
        <w:rPr>
          <w:b/>
          <w:bCs/>
          <w:lang w:val="en-US" w:eastAsia="fr-BE"/>
        </w:rPr>
      </w:pPr>
      <w:r>
        <w:rPr>
          <w:b/>
          <w:bCs/>
          <w:lang w:val="en-US" w:eastAsia="fr-BE"/>
        </w:rPr>
        <w:t>Printing ink (160mg hard capsule)</w:t>
      </w:r>
    </w:p>
    <w:p w14:paraId="322EA8A9" w14:textId="70629A72" w:rsidR="00415810" w:rsidRDefault="00AA7AB2" w:rsidP="00A91D9E">
      <w:pPr>
        <w:spacing w:after="120"/>
        <w:jc w:val="left"/>
        <w:rPr>
          <w:lang w:val="en-US" w:eastAsia="fr-BE"/>
        </w:rPr>
      </w:pPr>
      <w:proofErr w:type="spellStart"/>
      <w:r w:rsidRPr="00AA7AB2">
        <w:rPr>
          <w:lang w:val="en-US" w:eastAsia="fr-BE"/>
        </w:rPr>
        <w:t>TekPrint</w:t>
      </w:r>
      <w:proofErr w:type="spellEnd"/>
      <w:r w:rsidRPr="00AA7AB2">
        <w:rPr>
          <w:lang w:val="en-US" w:eastAsia="fr-BE"/>
        </w:rPr>
        <w:t xml:space="preserve"> SW-0012 White Ink</w:t>
      </w:r>
    </w:p>
    <w:p w14:paraId="1597DDC0" w14:textId="0608399F" w:rsidR="001A3992" w:rsidRPr="001700A7" w:rsidRDefault="00F01F58" w:rsidP="00A91D9E">
      <w:pPr>
        <w:pStyle w:val="Heading2"/>
        <w:ind w:left="810" w:hanging="810"/>
      </w:pPr>
      <w:r w:rsidRPr="001700A7">
        <w:t>Incompatibilities</w:t>
      </w:r>
    </w:p>
    <w:p w14:paraId="58620724" w14:textId="514AD829" w:rsidR="00A40034" w:rsidRPr="00A40034" w:rsidRDefault="001D6449" w:rsidP="00A91D9E">
      <w:pPr>
        <w:jc w:val="left"/>
        <w:rPr>
          <w:rFonts w:cs="Times New Roman"/>
        </w:rPr>
      </w:pPr>
      <w:r>
        <w:rPr>
          <w:noProof/>
        </w:rPr>
        <w:t>Not applicable</w:t>
      </w:r>
      <w:r w:rsidR="00876C5B">
        <w:rPr>
          <w:noProof/>
        </w:rPr>
        <w:t>.</w:t>
      </w:r>
    </w:p>
    <w:p w14:paraId="7E22BDBA" w14:textId="55EA094E" w:rsidR="001A3992" w:rsidRPr="001700A7" w:rsidRDefault="00F01F58" w:rsidP="00A91D9E">
      <w:pPr>
        <w:pStyle w:val="Heading2"/>
        <w:ind w:left="810" w:hanging="810"/>
      </w:pPr>
      <w:r w:rsidRPr="001700A7">
        <w:t>Shelf life</w:t>
      </w:r>
    </w:p>
    <w:p w14:paraId="36780BD0" w14:textId="4BC54F04" w:rsidR="00F01F58" w:rsidRPr="000A4651" w:rsidRDefault="00F01F58" w:rsidP="00A91D9E">
      <w:pPr>
        <w:jc w:val="left"/>
        <w:rPr>
          <w:rFonts w:cs="Times New Roman"/>
        </w:rPr>
      </w:pPr>
      <w:r w:rsidRPr="000A4651">
        <w:rPr>
          <w:rFonts w:cs="Times New Roman"/>
        </w:rPr>
        <w:t xml:space="preserve">In Australia, information on the shelf life can be found on the public summary of the </w:t>
      </w:r>
      <w:r w:rsidR="00BF3128">
        <w:rPr>
          <w:rFonts w:cs="Times New Roman"/>
        </w:rPr>
        <w:t>Australian Register of Therapeutic Goods (</w:t>
      </w:r>
      <w:r w:rsidRPr="000A4651">
        <w:rPr>
          <w:rFonts w:cs="Times New Roman"/>
        </w:rPr>
        <w:t>ARTG</w:t>
      </w:r>
      <w:r w:rsidR="00BF3128">
        <w:rPr>
          <w:rFonts w:cs="Times New Roman"/>
        </w:rPr>
        <w:t>)</w:t>
      </w:r>
      <w:r w:rsidRPr="000A4651">
        <w:rPr>
          <w:rFonts w:cs="Times New Roman"/>
        </w:rPr>
        <w:t>. The expiry date can be found on the packaging</w:t>
      </w:r>
      <w:r w:rsidR="00BF3128">
        <w:rPr>
          <w:rFonts w:cs="Times New Roman"/>
        </w:rPr>
        <w:t>.</w:t>
      </w:r>
      <w:r w:rsidRPr="000A4651">
        <w:rPr>
          <w:rFonts w:cs="Times New Roman"/>
        </w:rPr>
        <w:t xml:space="preserve"> </w:t>
      </w:r>
    </w:p>
    <w:p w14:paraId="15D58481" w14:textId="71640D57" w:rsidR="001A3992" w:rsidRPr="001700A7" w:rsidRDefault="00F01F58" w:rsidP="00A91D9E">
      <w:pPr>
        <w:pStyle w:val="Heading2"/>
        <w:ind w:left="810" w:hanging="810"/>
      </w:pPr>
      <w:r w:rsidRPr="001700A7">
        <w:t>Special precautions for storage</w:t>
      </w:r>
    </w:p>
    <w:p w14:paraId="17FA0486" w14:textId="5DE818FF" w:rsidR="006A5D75" w:rsidRDefault="006A5D75" w:rsidP="00A91D9E">
      <w:pPr>
        <w:jc w:val="left"/>
      </w:pPr>
      <w:r>
        <w:t xml:space="preserve">Store below 25°C. </w:t>
      </w:r>
    </w:p>
    <w:p w14:paraId="3B490D20" w14:textId="1D5F4E69" w:rsidR="001A3992" w:rsidRPr="001700A7" w:rsidRDefault="001A3992" w:rsidP="00A91D9E">
      <w:pPr>
        <w:pStyle w:val="Heading2"/>
        <w:ind w:left="810" w:hanging="810"/>
      </w:pPr>
      <w:r w:rsidRPr="001700A7">
        <w:t>N</w:t>
      </w:r>
      <w:r w:rsidR="005A7542" w:rsidRPr="001700A7">
        <w:t>ature and contents of container</w:t>
      </w:r>
    </w:p>
    <w:p w14:paraId="10949A8B" w14:textId="1D65E528" w:rsidR="002516CA" w:rsidRPr="00F0208D" w:rsidRDefault="002516CA" w:rsidP="00A91D9E">
      <w:pPr>
        <w:jc w:val="left"/>
        <w:rPr>
          <w:b/>
          <w:bCs/>
        </w:rPr>
      </w:pPr>
      <w:r w:rsidRPr="00F0208D">
        <w:rPr>
          <w:b/>
          <w:bCs/>
        </w:rPr>
        <w:t>AUGTYRO</w:t>
      </w:r>
      <w:r w:rsidR="005B7308">
        <w:rPr>
          <w:b/>
          <w:bCs/>
        </w:rPr>
        <w:t xml:space="preserve"> </w:t>
      </w:r>
      <w:r w:rsidRPr="00F0208D">
        <w:rPr>
          <w:b/>
          <w:bCs/>
        </w:rPr>
        <w:t>40 mg hard capsules</w:t>
      </w:r>
    </w:p>
    <w:p w14:paraId="2FF97ADF" w14:textId="730403BA" w:rsidR="002516CA" w:rsidRDefault="00E76033" w:rsidP="00A91D9E">
      <w:pPr>
        <w:jc w:val="left"/>
      </w:pPr>
      <w:r>
        <w:t>120</w:t>
      </w:r>
      <w:r w:rsidR="003D6C80">
        <w:t>-</w:t>
      </w:r>
      <w:r>
        <w:t xml:space="preserve">cc and </w:t>
      </w:r>
      <w:r w:rsidR="003D6C80">
        <w:t>200-cc, h</w:t>
      </w:r>
      <w:r w:rsidR="002516CA" w:rsidRPr="00F0208D">
        <w:t>igh-density polyethylene (HDPE) bottles with 2-piece child-resistant continuous thread (CRCT) polypropylene (PP) closures.</w:t>
      </w:r>
    </w:p>
    <w:p w14:paraId="0E6FE175" w14:textId="594F6D50" w:rsidR="00607F5C" w:rsidRPr="00F0208D" w:rsidRDefault="00243076" w:rsidP="00A91D9E">
      <w:pPr>
        <w:jc w:val="left"/>
      </w:pPr>
      <w:r>
        <w:t>Pack sizes: 60 and 120 hard capsules</w:t>
      </w:r>
    </w:p>
    <w:p w14:paraId="0925E7E6" w14:textId="61C6D3F2" w:rsidR="002516CA" w:rsidRPr="00F0208D" w:rsidRDefault="002516CA" w:rsidP="00A91D9E">
      <w:pPr>
        <w:jc w:val="left"/>
        <w:rPr>
          <w:b/>
          <w:bCs/>
        </w:rPr>
      </w:pPr>
      <w:r w:rsidRPr="00F0208D">
        <w:rPr>
          <w:b/>
          <w:bCs/>
        </w:rPr>
        <w:t>AUGTYRO 160 mg hard capsules</w:t>
      </w:r>
    </w:p>
    <w:p w14:paraId="3898A6FF" w14:textId="393B5119" w:rsidR="002516CA" w:rsidRDefault="002516CA" w:rsidP="00A91D9E">
      <w:pPr>
        <w:jc w:val="left"/>
      </w:pPr>
      <w:r w:rsidRPr="00F965E7">
        <w:t>Polyvinyl chloride/</w:t>
      </w:r>
      <w:proofErr w:type="spellStart"/>
      <w:r w:rsidRPr="00F965E7">
        <w:t>Aclar</w:t>
      </w:r>
      <w:proofErr w:type="spellEnd"/>
      <w:r w:rsidRPr="00F965E7">
        <w:t xml:space="preserve"> (PVC/</w:t>
      </w:r>
      <w:proofErr w:type="spellStart"/>
      <w:r w:rsidRPr="00F965E7">
        <w:t>Aclar</w:t>
      </w:r>
      <w:proofErr w:type="spellEnd"/>
      <w:r w:rsidRPr="00F965E7">
        <w:t xml:space="preserve">) clear blister with push through aluminium foil lidding. </w:t>
      </w:r>
      <w:proofErr w:type="spellStart"/>
      <w:r w:rsidRPr="00F965E7">
        <w:t>Aclar</w:t>
      </w:r>
      <w:proofErr w:type="spellEnd"/>
      <w:r w:rsidRPr="00F965E7">
        <w:t xml:space="preserve"> refers to polychlorotrifluoroethylene (PCTFE).</w:t>
      </w:r>
    </w:p>
    <w:p w14:paraId="0CCBBDDC" w14:textId="4CDE37E4" w:rsidR="00B84A6B" w:rsidRPr="00DF16ED" w:rsidRDefault="00B84A6B" w:rsidP="00A91D9E">
      <w:pPr>
        <w:jc w:val="left"/>
      </w:pPr>
      <w:r>
        <w:t xml:space="preserve">Pack </w:t>
      </w:r>
      <w:r w:rsidR="00A22A69">
        <w:t xml:space="preserve">sizes: </w:t>
      </w:r>
      <w:r w:rsidR="00B50DAD">
        <w:t xml:space="preserve">20 and 60 </w:t>
      </w:r>
      <w:r w:rsidR="00F965E7">
        <w:t xml:space="preserve">hard </w:t>
      </w:r>
      <w:r w:rsidR="00B50DAD">
        <w:t>capsules.</w:t>
      </w:r>
    </w:p>
    <w:p w14:paraId="7C894A4E" w14:textId="249B8E5F" w:rsidR="001A3992" w:rsidRPr="001700A7" w:rsidRDefault="001A3992" w:rsidP="00A91D9E">
      <w:pPr>
        <w:pStyle w:val="Heading2"/>
        <w:ind w:left="810" w:hanging="810"/>
      </w:pPr>
      <w:r w:rsidRPr="001700A7">
        <w:t>S</w:t>
      </w:r>
      <w:r w:rsidR="004F767B" w:rsidRPr="001700A7">
        <w:t>pecial precautions for disposal</w:t>
      </w:r>
    </w:p>
    <w:p w14:paraId="5FB7A837" w14:textId="77777777" w:rsidR="009D5A41" w:rsidRPr="004E0F60" w:rsidRDefault="009D5A41" w:rsidP="00A91D9E">
      <w:pPr>
        <w:spacing w:after="0"/>
        <w:jc w:val="left"/>
      </w:pPr>
      <w:r>
        <w:lastRenderedPageBreak/>
        <w:t>In Australia, a</w:t>
      </w:r>
      <w:r w:rsidRPr="004E0F60">
        <w:t>ny unused medicinal product or waste material should be discarded in accordance with local requirements.</w:t>
      </w:r>
    </w:p>
    <w:p w14:paraId="39F48FB1" w14:textId="77777777" w:rsidR="001A3992" w:rsidRPr="001700A7" w:rsidRDefault="001A3992" w:rsidP="00A91D9E">
      <w:pPr>
        <w:pStyle w:val="Heading2"/>
        <w:ind w:left="810" w:hanging="810"/>
      </w:pPr>
      <w:r w:rsidRPr="001700A7">
        <w:t>Physicochemical properties</w:t>
      </w:r>
    </w:p>
    <w:p w14:paraId="5BAB2BA8" w14:textId="3C9853F5" w:rsidR="001628EA" w:rsidRDefault="001628EA" w:rsidP="00A91D9E">
      <w:pPr>
        <w:jc w:val="left"/>
      </w:pPr>
      <w:r>
        <w:t xml:space="preserve">Repotrectinib is a kinase inhibitor. The molecular formula for </w:t>
      </w:r>
      <w:proofErr w:type="spellStart"/>
      <w:r>
        <w:t>repotrectinib</w:t>
      </w:r>
      <w:proofErr w:type="spellEnd"/>
      <w:r>
        <w:t xml:space="preserve"> is </w:t>
      </w:r>
      <w:r w:rsidRPr="00724410">
        <w:t>C</w:t>
      </w:r>
      <w:r w:rsidRPr="004312A8">
        <w:rPr>
          <w:vertAlign w:val="subscript"/>
        </w:rPr>
        <w:t>18</w:t>
      </w:r>
      <w:r w:rsidRPr="00724410">
        <w:t>H</w:t>
      </w:r>
      <w:r w:rsidRPr="004312A8">
        <w:rPr>
          <w:vertAlign w:val="subscript"/>
        </w:rPr>
        <w:t>18</w:t>
      </w:r>
      <w:r w:rsidRPr="00724410">
        <w:t>FN</w:t>
      </w:r>
      <w:r w:rsidRPr="004312A8">
        <w:rPr>
          <w:vertAlign w:val="subscript"/>
        </w:rPr>
        <w:t>5</w:t>
      </w:r>
      <w:r w:rsidRPr="00724410">
        <w:t>O</w:t>
      </w:r>
      <w:r w:rsidRPr="004312A8">
        <w:rPr>
          <w:vertAlign w:val="subscript"/>
        </w:rPr>
        <w:t>2</w:t>
      </w:r>
      <w:r>
        <w:t xml:space="preserve"> and the molecular weight is 355.37 g/mol. The chemical name is (3R,11S)-6-Fluoro-3,11-dimethyl-10-oxa-2,13,17,18,21-</w:t>
      </w:r>
      <w:proofErr w:type="gramStart"/>
      <w:r>
        <w:t>pentaazatetracyclo[</w:t>
      </w:r>
      <w:proofErr w:type="gramEnd"/>
      <w:r>
        <w:t>13.5.2.0 4,9 .0 18,</w:t>
      </w:r>
      <w:proofErr w:type="gramStart"/>
      <w:r>
        <w:t>22 ]docosa</w:t>
      </w:r>
      <w:proofErr w:type="gramEnd"/>
      <w:r>
        <w:t>-1(21),4,6,8,15(22),16,19-heptaen-14-</w:t>
      </w:r>
      <w:proofErr w:type="gramStart"/>
      <w:r>
        <w:t>one .</w:t>
      </w:r>
      <w:proofErr w:type="gramEnd"/>
    </w:p>
    <w:p w14:paraId="50B6BC7F" w14:textId="3C4B5F1D" w:rsidR="001628EA" w:rsidRDefault="001628EA" w:rsidP="00A91D9E">
      <w:pPr>
        <w:jc w:val="left"/>
      </w:pPr>
      <w:r>
        <w:t xml:space="preserve">The chemical structure of </w:t>
      </w:r>
      <w:proofErr w:type="spellStart"/>
      <w:r>
        <w:t>repotrectinib</w:t>
      </w:r>
      <w:proofErr w:type="spellEnd"/>
      <w:r>
        <w:t xml:space="preserve"> is as follows:</w:t>
      </w:r>
    </w:p>
    <w:p w14:paraId="73136FA5" w14:textId="5E3D8184" w:rsidR="00E00E9B" w:rsidRDefault="00E00E9B" w:rsidP="00A91D9E">
      <w:pPr>
        <w:jc w:val="left"/>
      </w:pPr>
      <w:r>
        <w:rPr>
          <w:noProof/>
        </w:rPr>
        <w:drawing>
          <wp:inline distT="0" distB="0" distL="0" distR="0" wp14:anchorId="789E7BCB" wp14:editId="34962FFC">
            <wp:extent cx="1669774" cy="1132050"/>
            <wp:effectExtent l="0" t="0" r="6985" b="0"/>
            <wp:docPr id="824259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59610" name=""/>
                    <pic:cNvPicPr/>
                  </pic:nvPicPr>
                  <pic:blipFill>
                    <a:blip r:embed="rId12"/>
                    <a:stretch>
                      <a:fillRect/>
                    </a:stretch>
                  </pic:blipFill>
                  <pic:spPr>
                    <a:xfrm>
                      <a:off x="0" y="0"/>
                      <a:ext cx="1688681" cy="1144868"/>
                    </a:xfrm>
                    <a:prstGeom prst="rect">
                      <a:avLst/>
                    </a:prstGeom>
                  </pic:spPr>
                </pic:pic>
              </a:graphicData>
            </a:graphic>
          </wp:inline>
        </w:drawing>
      </w:r>
    </w:p>
    <w:p w14:paraId="3CE9364B" w14:textId="0D6A46A1" w:rsidR="001628EA" w:rsidRDefault="001628EA" w:rsidP="00A91D9E">
      <w:pPr>
        <w:jc w:val="left"/>
      </w:pPr>
      <w:r>
        <w:t>Repotrectinib is a white to off-white powder.</w:t>
      </w:r>
    </w:p>
    <w:p w14:paraId="0F90A541" w14:textId="47E525D5" w:rsidR="001A3992" w:rsidRPr="000A4651" w:rsidRDefault="001A3992" w:rsidP="00A91D9E">
      <w:pPr>
        <w:pStyle w:val="Heading3"/>
      </w:pPr>
      <w:r w:rsidRPr="000A4651">
        <w:t>CAS number</w:t>
      </w:r>
    </w:p>
    <w:p w14:paraId="26C59F2F" w14:textId="368E40A9" w:rsidR="006D78C3" w:rsidRPr="0077166E" w:rsidRDefault="00DC4D91" w:rsidP="00A91D9E">
      <w:pPr>
        <w:spacing w:after="120"/>
        <w:jc w:val="left"/>
        <w:rPr>
          <w:rFonts w:cs="Times New Roman"/>
        </w:rPr>
      </w:pPr>
      <w:r>
        <w:rPr>
          <w:rFonts w:cs="Times New Roman"/>
        </w:rPr>
        <w:t>Repotrectinib</w:t>
      </w:r>
      <w:r w:rsidR="0077166E" w:rsidRPr="0077166E">
        <w:rPr>
          <w:rFonts w:cs="Times New Roman"/>
        </w:rPr>
        <w:t xml:space="preserve">: </w:t>
      </w:r>
      <w:r w:rsidR="00274692">
        <w:rPr>
          <w:rFonts w:cs="Times New Roman"/>
        </w:rPr>
        <w:t xml:space="preserve">CAS: </w:t>
      </w:r>
      <w:r w:rsidR="006D78C3" w:rsidRPr="006D78C3">
        <w:rPr>
          <w:rFonts w:cs="Times New Roman"/>
        </w:rPr>
        <w:t>1802220-02-5</w:t>
      </w:r>
    </w:p>
    <w:p w14:paraId="3B206A7B" w14:textId="77777777" w:rsidR="001A3992" w:rsidRPr="000A4651" w:rsidRDefault="001A3992" w:rsidP="00A91D9E">
      <w:pPr>
        <w:pStyle w:val="Heading1"/>
        <w:jc w:val="left"/>
      </w:pPr>
      <w:r w:rsidRPr="000A4651">
        <w:t>Medicine schedule (Poisons Standard)</w:t>
      </w:r>
    </w:p>
    <w:p w14:paraId="3B8B424C" w14:textId="30ABA54E" w:rsidR="00207448" w:rsidRPr="000A4651" w:rsidRDefault="00BF3128" w:rsidP="00A91D9E">
      <w:pPr>
        <w:jc w:val="left"/>
        <w:rPr>
          <w:rFonts w:cs="Times New Roman"/>
          <w:lang w:val="en-US"/>
        </w:rPr>
      </w:pPr>
      <w:r>
        <w:rPr>
          <w:rFonts w:cs="Times New Roman"/>
          <w:lang w:val="en-US"/>
        </w:rPr>
        <w:t xml:space="preserve">Schedule 4 - </w:t>
      </w:r>
      <w:r w:rsidR="00207448" w:rsidRPr="000A4651">
        <w:rPr>
          <w:rFonts w:cs="Times New Roman"/>
          <w:lang w:val="en-US"/>
        </w:rPr>
        <w:t>Prescription Only Medicine</w:t>
      </w:r>
      <w:r w:rsidR="00C300B1" w:rsidRPr="000A4651">
        <w:rPr>
          <w:rFonts w:cs="Times New Roman"/>
          <w:lang w:val="en-US"/>
        </w:rPr>
        <w:t>.</w:t>
      </w:r>
    </w:p>
    <w:p w14:paraId="65A1CF8A" w14:textId="77777777" w:rsidR="001A3992" w:rsidRPr="000A4651" w:rsidRDefault="001A3992" w:rsidP="00A91D9E">
      <w:pPr>
        <w:pStyle w:val="Heading1"/>
        <w:jc w:val="left"/>
      </w:pPr>
      <w:r w:rsidRPr="000A4651">
        <w:t>Sponsor</w:t>
      </w:r>
    </w:p>
    <w:p w14:paraId="3BDC93D9" w14:textId="77777777" w:rsidR="00C300B1" w:rsidRPr="000A4651" w:rsidRDefault="00A20060" w:rsidP="00A91D9E">
      <w:pPr>
        <w:spacing w:after="0"/>
        <w:jc w:val="left"/>
        <w:rPr>
          <w:rFonts w:cs="Times New Roman"/>
        </w:rPr>
      </w:pPr>
      <w:r w:rsidRPr="000A4651">
        <w:rPr>
          <w:rFonts w:cs="Times New Roman"/>
        </w:rPr>
        <w:t>Bristol-Myers Squibb Australia Pty Ltd</w:t>
      </w:r>
    </w:p>
    <w:p w14:paraId="1D4FA472" w14:textId="77777777" w:rsidR="00C300B1" w:rsidRPr="000A4651" w:rsidRDefault="00A20060" w:rsidP="00A91D9E">
      <w:pPr>
        <w:spacing w:after="0"/>
        <w:jc w:val="left"/>
        <w:rPr>
          <w:rFonts w:cs="Times New Roman"/>
        </w:rPr>
      </w:pPr>
      <w:r w:rsidRPr="000A4651">
        <w:rPr>
          <w:rFonts w:cs="Times New Roman"/>
        </w:rPr>
        <w:t>4 Nexus Court, Mulgrave,</w:t>
      </w:r>
    </w:p>
    <w:p w14:paraId="6CF9DC6B" w14:textId="13646A3B" w:rsidR="00A20060" w:rsidRPr="000A4651" w:rsidRDefault="00A20060" w:rsidP="00A91D9E">
      <w:pPr>
        <w:spacing w:after="0"/>
        <w:jc w:val="left"/>
        <w:rPr>
          <w:rFonts w:cs="Times New Roman"/>
        </w:rPr>
      </w:pPr>
      <w:r w:rsidRPr="000A4651">
        <w:rPr>
          <w:rFonts w:cs="Times New Roman"/>
        </w:rPr>
        <w:t>Victoria 3170, Australia.</w:t>
      </w:r>
    </w:p>
    <w:p w14:paraId="0F2BF442" w14:textId="36101B0E" w:rsidR="004E0E70" w:rsidRPr="000A4651" w:rsidRDefault="004E0E70" w:rsidP="00A91D9E">
      <w:pPr>
        <w:spacing w:after="0"/>
        <w:jc w:val="left"/>
        <w:rPr>
          <w:rFonts w:cs="Times New Roman"/>
        </w:rPr>
      </w:pPr>
      <w:r w:rsidRPr="000A4651">
        <w:rPr>
          <w:rFonts w:cs="Times New Roman"/>
        </w:rPr>
        <w:t>Toll free number: 1800 067 567</w:t>
      </w:r>
    </w:p>
    <w:p w14:paraId="24463FF3" w14:textId="1C592443" w:rsidR="004E0E70" w:rsidRPr="000A4651" w:rsidRDefault="004E0E70" w:rsidP="00A91D9E">
      <w:pPr>
        <w:jc w:val="left"/>
        <w:rPr>
          <w:rFonts w:cs="Times New Roman"/>
        </w:rPr>
      </w:pPr>
      <w:r w:rsidRPr="000A4651">
        <w:rPr>
          <w:rFonts w:cs="Times New Roman"/>
        </w:rPr>
        <w:t xml:space="preserve">Email: </w:t>
      </w:r>
      <w:hyperlink r:id="rId13" w:history="1">
        <w:r w:rsidRPr="000A4651">
          <w:rPr>
            <w:rFonts w:cs="Times New Roman"/>
          </w:rPr>
          <w:t>MedInfo.Australia@bms.com</w:t>
        </w:r>
      </w:hyperlink>
    </w:p>
    <w:p w14:paraId="0BA3DFB1" w14:textId="4EBC4DBA" w:rsidR="001A3992" w:rsidRPr="000A4651" w:rsidRDefault="001A3992" w:rsidP="00A91D9E">
      <w:pPr>
        <w:pStyle w:val="Heading1"/>
        <w:jc w:val="left"/>
      </w:pPr>
      <w:r w:rsidRPr="000A4651">
        <w:t>Date</w:t>
      </w:r>
      <w:r w:rsidR="007C4044" w:rsidRPr="000A4651">
        <w:t xml:space="preserve"> of first approval (ARTG entry)</w:t>
      </w:r>
    </w:p>
    <w:p w14:paraId="2273C7B2" w14:textId="77777777" w:rsidR="00DC4D91" w:rsidRPr="0048517D" w:rsidRDefault="00DC4D91" w:rsidP="00A91D9E">
      <w:pPr>
        <w:ind w:left="630" w:hanging="630"/>
        <w:jc w:val="left"/>
        <w:rPr>
          <w:rFonts w:cs="Times New Roman"/>
        </w:rPr>
      </w:pPr>
    </w:p>
    <w:p w14:paraId="28C934C3" w14:textId="77777777" w:rsidR="001A3992" w:rsidRPr="000A4651" w:rsidRDefault="001A3992" w:rsidP="00A91D9E">
      <w:pPr>
        <w:pStyle w:val="Heading1"/>
        <w:jc w:val="left"/>
      </w:pPr>
      <w:r w:rsidRPr="000A4651">
        <w:t>Date of revision of the text</w:t>
      </w:r>
    </w:p>
    <w:p w14:paraId="6CBD3527" w14:textId="2FE0848A" w:rsidR="007C4044" w:rsidRPr="0048517D" w:rsidRDefault="00870CF1" w:rsidP="00A91D9E">
      <w:pPr>
        <w:ind w:left="630" w:hanging="630"/>
        <w:jc w:val="left"/>
        <w:rPr>
          <w:rFonts w:cs="Times New Roman"/>
        </w:rPr>
      </w:pPr>
      <w:r>
        <w:rPr>
          <w:rFonts w:cs="Times New Roman"/>
        </w:rPr>
        <w:t>N/A</w:t>
      </w:r>
    </w:p>
    <w:p w14:paraId="49F9DDCD" w14:textId="77777777" w:rsidR="001A3992" w:rsidRPr="000A4651" w:rsidRDefault="001A3992" w:rsidP="00A91D9E">
      <w:pPr>
        <w:pStyle w:val="Heading2"/>
        <w:numPr>
          <w:ilvl w:val="0"/>
          <w:numId w:val="0"/>
        </w:numPr>
        <w:rPr>
          <w:lang w:val="en-US"/>
        </w:rPr>
      </w:pPr>
      <w:r w:rsidRPr="000A4651">
        <w:rPr>
          <w:lang w:val="en-US"/>
        </w:rPr>
        <w:t>Summary table of changes</w:t>
      </w:r>
    </w:p>
    <w:p w14:paraId="49726D29" w14:textId="3205F8FB" w:rsidR="00AB778A" w:rsidRPr="00DF1788" w:rsidRDefault="00AB778A" w:rsidP="00A91D9E">
      <w:pPr>
        <w:jc w:val="left"/>
        <w:rPr>
          <w:rFonts w:cs="Times New Roman"/>
        </w:rPr>
      </w:pPr>
    </w:p>
    <w:tbl>
      <w:tblPr>
        <w:tblStyle w:val="LightGrid"/>
        <w:tblW w:w="9062" w:type="dxa"/>
        <w:tblCellMar>
          <w:top w:w="57" w:type="dxa"/>
          <w:bottom w:w="57" w:type="dxa"/>
        </w:tblCellMar>
        <w:tblLook w:val="06A0" w:firstRow="1" w:lastRow="0" w:firstColumn="1" w:lastColumn="0" w:noHBand="1" w:noVBand="1"/>
      </w:tblPr>
      <w:tblGrid>
        <w:gridCol w:w="1368"/>
        <w:gridCol w:w="7694"/>
      </w:tblGrid>
      <w:tr w:rsidR="003217A8" w:rsidRPr="000A4651" w14:paraId="7BCF663E" w14:textId="77777777" w:rsidTr="00BF3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2F2F2" w:themeFill="background1" w:themeFillShade="F2"/>
            <w:vAlign w:val="center"/>
          </w:tcPr>
          <w:p w14:paraId="11BEEDD2" w14:textId="77777777" w:rsidR="003217A8" w:rsidRPr="000A4651" w:rsidRDefault="003217A8" w:rsidP="00A91D9E">
            <w:pPr>
              <w:jc w:val="left"/>
              <w:rPr>
                <w:rFonts w:cs="Times New Roman"/>
                <w:sz w:val="20"/>
                <w:lang w:val="en-US"/>
              </w:rPr>
            </w:pPr>
            <w:r w:rsidRPr="000A4651">
              <w:rPr>
                <w:rFonts w:cs="Times New Roman"/>
                <w:sz w:val="20"/>
                <w:lang w:val="en-US"/>
              </w:rPr>
              <w:t>Section Changed</w:t>
            </w:r>
          </w:p>
        </w:tc>
        <w:tc>
          <w:tcPr>
            <w:tcW w:w="7694" w:type="dxa"/>
            <w:shd w:val="clear" w:color="auto" w:fill="F2F2F2" w:themeFill="background1" w:themeFillShade="F2"/>
            <w:vAlign w:val="center"/>
          </w:tcPr>
          <w:p w14:paraId="4338F9AE" w14:textId="77777777" w:rsidR="003217A8" w:rsidRPr="000A4651" w:rsidRDefault="003217A8" w:rsidP="00A91D9E">
            <w:pPr>
              <w:jc w:val="left"/>
              <w:cnfStyle w:val="100000000000" w:firstRow="1" w:lastRow="0" w:firstColumn="0" w:lastColumn="0" w:oddVBand="0" w:evenVBand="0" w:oddHBand="0" w:evenHBand="0" w:firstRowFirstColumn="0" w:firstRowLastColumn="0" w:lastRowFirstColumn="0" w:lastRowLastColumn="0"/>
              <w:rPr>
                <w:rFonts w:cs="Times New Roman"/>
                <w:sz w:val="20"/>
                <w:lang w:val="en-US"/>
              </w:rPr>
            </w:pPr>
            <w:r w:rsidRPr="000A4651">
              <w:rPr>
                <w:rFonts w:cs="Times New Roman"/>
                <w:sz w:val="20"/>
                <w:lang w:val="en-US"/>
              </w:rPr>
              <w:t>Summary of new information</w:t>
            </w:r>
          </w:p>
        </w:tc>
      </w:tr>
      <w:tr w:rsidR="003217A8" w:rsidRPr="000A4651" w14:paraId="74F286C1" w14:textId="77777777" w:rsidTr="00BF3128">
        <w:tc>
          <w:tcPr>
            <w:cnfStyle w:val="001000000000" w:firstRow="0" w:lastRow="0" w:firstColumn="1" w:lastColumn="0" w:oddVBand="0" w:evenVBand="0" w:oddHBand="0" w:evenHBand="0" w:firstRowFirstColumn="0" w:firstRowLastColumn="0" w:lastRowFirstColumn="0" w:lastRowLastColumn="0"/>
            <w:tcW w:w="1368" w:type="dxa"/>
            <w:vAlign w:val="center"/>
          </w:tcPr>
          <w:p w14:paraId="5E925727" w14:textId="54953904" w:rsidR="003217A8" w:rsidRPr="000A4651" w:rsidRDefault="00F74D06" w:rsidP="00A91D9E">
            <w:pPr>
              <w:jc w:val="left"/>
              <w:rPr>
                <w:rFonts w:cs="Times New Roman"/>
                <w:lang w:val="en-US"/>
              </w:rPr>
            </w:pPr>
            <w:r>
              <w:rPr>
                <w:rFonts w:cs="Times New Roman"/>
                <w:lang w:val="en-US"/>
              </w:rPr>
              <w:t>V1.0</w:t>
            </w:r>
          </w:p>
        </w:tc>
        <w:tc>
          <w:tcPr>
            <w:tcW w:w="7694" w:type="dxa"/>
            <w:vAlign w:val="center"/>
          </w:tcPr>
          <w:p w14:paraId="6B4298F3" w14:textId="4E63D2EA" w:rsidR="003217A8" w:rsidRPr="000A4651" w:rsidRDefault="0048517D" w:rsidP="00A91D9E">
            <w:pPr>
              <w:jc w:val="left"/>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 xml:space="preserve">This is the first </w:t>
            </w:r>
            <w:r w:rsidR="00F74D06">
              <w:rPr>
                <w:rFonts w:cs="Times New Roman"/>
                <w:lang w:val="en-US"/>
              </w:rPr>
              <w:t xml:space="preserve">version of the </w:t>
            </w:r>
            <w:r w:rsidR="009F48F0">
              <w:rPr>
                <w:rFonts w:cs="Times New Roman"/>
                <w:lang w:val="en-US"/>
              </w:rPr>
              <w:t>PI</w:t>
            </w:r>
            <w:r w:rsidR="00F74D06">
              <w:rPr>
                <w:rFonts w:cs="Times New Roman"/>
                <w:lang w:val="en-US"/>
              </w:rPr>
              <w:t>.</w:t>
            </w:r>
          </w:p>
        </w:tc>
      </w:tr>
    </w:tbl>
    <w:p w14:paraId="1E6CBE4A" w14:textId="1CB93A95" w:rsidR="00960CD5" w:rsidRPr="000A4651" w:rsidRDefault="00DC4D91" w:rsidP="00A91D9E">
      <w:pPr>
        <w:spacing w:before="240" w:after="120"/>
        <w:jc w:val="left"/>
        <w:rPr>
          <w:rFonts w:cs="Times New Roman"/>
        </w:rPr>
      </w:pPr>
      <w:r w:rsidRPr="5F8B1FFD">
        <w:rPr>
          <w:rFonts w:cs="Times New Roman"/>
          <w:lang w:val="en-US"/>
        </w:rPr>
        <w:t>AUGTYRO</w:t>
      </w:r>
      <w:r w:rsidR="0097010B" w:rsidRPr="5F8B1FFD">
        <w:rPr>
          <w:rFonts w:cs="Times New Roman"/>
          <w:vertAlign w:val="superscript"/>
          <w:lang w:val="en-US"/>
        </w:rPr>
        <w:t>®</w:t>
      </w:r>
      <w:r w:rsidR="004704A9" w:rsidRPr="5F8B1FFD">
        <w:rPr>
          <w:rFonts w:cs="Times New Roman"/>
          <w:lang w:val="en-US"/>
        </w:rPr>
        <w:t xml:space="preserve"> is a trademark of </w:t>
      </w:r>
      <w:r w:rsidR="008A6529" w:rsidRPr="5F8B1FFD">
        <w:rPr>
          <w:rFonts w:cs="Times New Roman"/>
          <w:lang w:val="en-US"/>
        </w:rPr>
        <w:t>Turning Point Thera</w:t>
      </w:r>
      <w:r w:rsidR="00084304" w:rsidRPr="5F8B1FFD">
        <w:rPr>
          <w:rFonts w:cs="Times New Roman"/>
          <w:lang w:val="en-US"/>
        </w:rPr>
        <w:t>pe</w:t>
      </w:r>
      <w:r w:rsidR="008A6529" w:rsidRPr="5F8B1FFD">
        <w:rPr>
          <w:rFonts w:cs="Times New Roman"/>
          <w:lang w:val="en-US"/>
        </w:rPr>
        <w:t>utics</w:t>
      </w:r>
      <w:r w:rsidR="00084304" w:rsidRPr="5F8B1FFD">
        <w:rPr>
          <w:rFonts w:cs="Times New Roman"/>
          <w:lang w:val="en-US"/>
        </w:rPr>
        <w:t xml:space="preserve"> Inc, a </w:t>
      </w:r>
      <w:r w:rsidR="004704A9" w:rsidRPr="5F8B1FFD">
        <w:rPr>
          <w:rFonts w:cs="Times New Roman"/>
          <w:lang w:val="en-US"/>
        </w:rPr>
        <w:t>Bristol-Myers Squibb</w:t>
      </w:r>
      <w:r w:rsidR="004D18C7" w:rsidRPr="5F8B1FFD">
        <w:rPr>
          <w:rFonts w:cs="Times New Roman"/>
          <w:lang w:val="en-US"/>
        </w:rPr>
        <w:t xml:space="preserve"> Company</w:t>
      </w:r>
      <w:r w:rsidR="00CB5929" w:rsidRPr="5F8B1FFD">
        <w:rPr>
          <w:rFonts w:cs="Times New Roman"/>
          <w:lang w:val="en-US"/>
        </w:rPr>
        <w:t>.</w:t>
      </w:r>
    </w:p>
    <w:sectPr w:rsidR="00960CD5" w:rsidRPr="000A4651" w:rsidSect="0051298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06B2" w14:textId="77777777" w:rsidR="00A6252D" w:rsidRDefault="00A6252D" w:rsidP="001A3992">
      <w:pPr>
        <w:spacing w:after="0"/>
      </w:pPr>
      <w:r>
        <w:separator/>
      </w:r>
    </w:p>
  </w:endnote>
  <w:endnote w:type="continuationSeparator" w:id="0">
    <w:p w14:paraId="4CF1B71B" w14:textId="77777777" w:rsidR="00A6252D" w:rsidRDefault="00A6252D" w:rsidP="001A3992">
      <w:pPr>
        <w:spacing w:after="0"/>
      </w:pPr>
      <w:r>
        <w:continuationSeparator/>
      </w:r>
    </w:p>
  </w:endnote>
  <w:endnote w:type="continuationNotice" w:id="1">
    <w:p w14:paraId="5AC87F5A" w14:textId="77777777" w:rsidR="00A6252D" w:rsidRDefault="00A625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Klee One"/>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796D" w14:textId="71F98DB8" w:rsidR="004B2981" w:rsidRDefault="004B2981">
    <w:pPr>
      <w:pStyle w:val="Footer"/>
    </w:pPr>
    <w:r>
      <w:rPr>
        <w:noProof/>
      </w:rPr>
      <mc:AlternateContent>
        <mc:Choice Requires="wps">
          <w:drawing>
            <wp:anchor distT="0" distB="0" distL="0" distR="0" simplePos="0" relativeHeight="251662336" behindDoc="0" locked="0" layoutInCell="1" allowOverlap="1" wp14:anchorId="0DBEB0C7" wp14:editId="3D8D9E00">
              <wp:simplePos x="635" y="635"/>
              <wp:positionH relativeFrom="page">
                <wp:align>center</wp:align>
              </wp:positionH>
              <wp:positionV relativeFrom="page">
                <wp:align>bottom</wp:align>
              </wp:positionV>
              <wp:extent cx="622300" cy="376555"/>
              <wp:effectExtent l="0" t="0" r="6350" b="0"/>
              <wp:wrapNone/>
              <wp:docPr id="4753287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F8F7EC" w14:textId="5B4BCE62"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EB0C7"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5F8F7EC" w14:textId="5B4BCE62"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8EB3" w14:textId="184FCA86" w:rsidR="00532AD1" w:rsidRPr="003109D8" w:rsidRDefault="004B2981" w:rsidP="003109D8">
    <w:pPr>
      <w:pStyle w:val="Footer"/>
      <w:tabs>
        <w:tab w:val="clear" w:pos="4513"/>
      </w:tabs>
      <w:rPr>
        <w:rFonts w:ascii="Times New Roman" w:hAnsi="Times New Roman" w:cs="Times New Roman"/>
        <w:sz w:val="20"/>
      </w:rPr>
    </w:pPr>
    <w:r>
      <w:rPr>
        <w:rFonts w:ascii="Times New Roman" w:hAnsi="Times New Roman" w:cs="Times New Roman"/>
        <w:noProof/>
      </w:rPr>
      <mc:AlternateContent>
        <mc:Choice Requires="wps">
          <w:drawing>
            <wp:anchor distT="0" distB="0" distL="0" distR="0" simplePos="0" relativeHeight="251663360" behindDoc="0" locked="0" layoutInCell="1" allowOverlap="1" wp14:anchorId="481944D4" wp14:editId="0263022C">
              <wp:simplePos x="914400" y="10096500"/>
              <wp:positionH relativeFrom="page">
                <wp:align>center</wp:align>
              </wp:positionH>
              <wp:positionV relativeFrom="page">
                <wp:align>bottom</wp:align>
              </wp:positionV>
              <wp:extent cx="622300" cy="376555"/>
              <wp:effectExtent l="0" t="0" r="6350" b="0"/>
              <wp:wrapNone/>
              <wp:docPr id="3791949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B1D692" w14:textId="6D8150B7"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944D4"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CB1D692" w14:textId="6D8150B7"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v:textbox>
              <w10:wrap anchorx="page" anchory="page"/>
            </v:shape>
          </w:pict>
        </mc:Fallback>
      </mc:AlternateContent>
    </w:r>
    <w:sdt>
      <w:sdtPr>
        <w:rPr>
          <w:rFonts w:ascii="Times New Roman" w:hAnsi="Times New Roman" w:cs="Times New Roman"/>
        </w:rPr>
        <w:id w:val="-593163430"/>
        <w:docPartObj>
          <w:docPartGallery w:val="Page Numbers (Bottom of Page)"/>
          <w:docPartUnique/>
        </w:docPartObj>
      </w:sdtPr>
      <w:sdtEndPr>
        <w:rPr>
          <w:sz w:val="20"/>
          <w:szCs w:val="20"/>
        </w:rPr>
      </w:sdtEndPr>
      <w:sdtContent>
        <w:r w:rsidR="00532AD1" w:rsidRPr="003109D8">
          <w:rPr>
            <w:rFonts w:ascii="Times New Roman" w:hAnsi="Times New Roman" w:cs="Times New Roman"/>
            <w:sz w:val="20"/>
            <w:szCs w:val="20"/>
          </w:rPr>
          <w:t>AU_PI_</w:t>
        </w:r>
        <w:r w:rsidR="00A9459C">
          <w:rPr>
            <w:rFonts w:ascii="Times New Roman" w:hAnsi="Times New Roman" w:cs="Times New Roman"/>
            <w:sz w:val="20"/>
            <w:szCs w:val="20"/>
          </w:rPr>
          <w:t>AUGTYRO_v0.</w:t>
        </w:r>
        <w:r w:rsidR="007362EA">
          <w:rPr>
            <w:rFonts w:ascii="Times New Roman" w:hAnsi="Times New Roman" w:cs="Times New Roman"/>
            <w:sz w:val="20"/>
            <w:szCs w:val="20"/>
          </w:rPr>
          <w:t>1</w:t>
        </w:r>
        <w:r w:rsidR="005A07A4">
          <w:rPr>
            <w:rFonts w:ascii="Times New Roman" w:hAnsi="Times New Roman" w:cs="Times New Roman"/>
            <w:sz w:val="20"/>
            <w:szCs w:val="20"/>
          </w:rPr>
          <w:t>2</w:t>
        </w:r>
        <w:r w:rsidR="001A27EE">
          <w:rPr>
            <w:rFonts w:ascii="Times New Roman" w:hAnsi="Times New Roman" w:cs="Times New Roman"/>
            <w:sz w:val="20"/>
            <w:szCs w:val="20"/>
          </w:rPr>
          <w:t>_</w:t>
        </w:r>
        <w:r w:rsidR="0004164B">
          <w:rPr>
            <w:rFonts w:ascii="Times New Roman" w:hAnsi="Times New Roman" w:cs="Times New Roman"/>
            <w:sz w:val="20"/>
            <w:szCs w:val="20"/>
          </w:rPr>
          <w:t>Clean</w:t>
        </w:r>
        <w:r w:rsidR="00532AD1">
          <w:rPr>
            <w:rFonts w:ascii="Times New Roman" w:hAnsi="Times New Roman" w:cs="Times New Roman"/>
            <w:sz w:val="20"/>
            <w:szCs w:val="20"/>
          </w:rPr>
          <w:tab/>
        </w:r>
        <w:r w:rsidR="00532AD1" w:rsidRPr="003109D8">
          <w:rPr>
            <w:rFonts w:ascii="Times New Roman" w:hAnsi="Times New Roman" w:cs="Times New Roman"/>
            <w:sz w:val="20"/>
          </w:rPr>
          <w:fldChar w:fldCharType="begin"/>
        </w:r>
        <w:r w:rsidR="00532AD1" w:rsidRPr="003109D8">
          <w:rPr>
            <w:rFonts w:ascii="Times New Roman" w:hAnsi="Times New Roman" w:cs="Times New Roman"/>
            <w:sz w:val="20"/>
          </w:rPr>
          <w:instrText xml:space="preserve"> PAGE   \* MERGEFORMAT </w:instrText>
        </w:r>
        <w:r w:rsidR="00532AD1" w:rsidRPr="003109D8">
          <w:rPr>
            <w:rFonts w:ascii="Times New Roman" w:hAnsi="Times New Roman" w:cs="Times New Roman"/>
            <w:sz w:val="20"/>
          </w:rPr>
          <w:fldChar w:fldCharType="separate"/>
        </w:r>
        <w:r w:rsidR="00532AD1">
          <w:rPr>
            <w:rFonts w:ascii="Times New Roman" w:hAnsi="Times New Roman" w:cs="Times New Roman"/>
            <w:noProof/>
            <w:sz w:val="20"/>
          </w:rPr>
          <w:t>1</w:t>
        </w:r>
        <w:r w:rsidR="00532AD1" w:rsidRPr="003109D8">
          <w:rPr>
            <w:rFonts w:ascii="Times New Roman" w:hAnsi="Times New Roman" w:cs="Times New Roman"/>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165E" w14:textId="0FAB5420" w:rsidR="004B2981" w:rsidRDefault="004B2981">
    <w:pPr>
      <w:pStyle w:val="Footer"/>
    </w:pPr>
    <w:r>
      <w:rPr>
        <w:noProof/>
      </w:rPr>
      <mc:AlternateContent>
        <mc:Choice Requires="wps">
          <w:drawing>
            <wp:anchor distT="0" distB="0" distL="0" distR="0" simplePos="0" relativeHeight="251661312" behindDoc="0" locked="0" layoutInCell="1" allowOverlap="1" wp14:anchorId="3AC710BD" wp14:editId="4608F509">
              <wp:simplePos x="635" y="635"/>
              <wp:positionH relativeFrom="page">
                <wp:align>center</wp:align>
              </wp:positionH>
              <wp:positionV relativeFrom="page">
                <wp:align>bottom</wp:align>
              </wp:positionV>
              <wp:extent cx="622300" cy="376555"/>
              <wp:effectExtent l="0" t="0" r="6350" b="0"/>
              <wp:wrapNone/>
              <wp:docPr id="5910360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2BA004" w14:textId="45A68116"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710BD" id="_x0000_t202" coordsize="21600,21600" o:spt="202" path="m,l,21600r21600,l21600,xe">
              <v:stroke joinstyle="miter"/>
              <v:path gradientshapeok="t" o:connecttype="rect"/>
            </v:shapetype>
            <v:shape id="Text Box 4" o:spid="_x0000_s1030"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52BA004" w14:textId="45A68116"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0308" w14:textId="77777777" w:rsidR="00A6252D" w:rsidRDefault="00A6252D" w:rsidP="001A3992">
      <w:pPr>
        <w:spacing w:after="0"/>
      </w:pPr>
      <w:r>
        <w:separator/>
      </w:r>
    </w:p>
  </w:footnote>
  <w:footnote w:type="continuationSeparator" w:id="0">
    <w:p w14:paraId="012EFDB8" w14:textId="77777777" w:rsidR="00A6252D" w:rsidRDefault="00A6252D" w:rsidP="001A3992">
      <w:pPr>
        <w:spacing w:after="0"/>
      </w:pPr>
      <w:r>
        <w:continuationSeparator/>
      </w:r>
    </w:p>
  </w:footnote>
  <w:footnote w:type="continuationNotice" w:id="1">
    <w:p w14:paraId="546D52BB" w14:textId="77777777" w:rsidR="00A6252D" w:rsidRDefault="00A625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0DB0" w14:textId="3288D090" w:rsidR="004B2981" w:rsidRDefault="004B2981">
    <w:pPr>
      <w:pStyle w:val="Header"/>
    </w:pPr>
    <w:r>
      <w:rPr>
        <w:noProof/>
      </w:rPr>
      <mc:AlternateContent>
        <mc:Choice Requires="wps">
          <w:drawing>
            <wp:anchor distT="0" distB="0" distL="0" distR="0" simplePos="0" relativeHeight="251659264" behindDoc="0" locked="0" layoutInCell="1" allowOverlap="1" wp14:anchorId="45B5F157" wp14:editId="744EF970">
              <wp:simplePos x="635" y="635"/>
              <wp:positionH relativeFrom="page">
                <wp:align>center</wp:align>
              </wp:positionH>
              <wp:positionV relativeFrom="page">
                <wp:align>top</wp:align>
              </wp:positionV>
              <wp:extent cx="622300" cy="376555"/>
              <wp:effectExtent l="0" t="0" r="6350" b="4445"/>
              <wp:wrapNone/>
              <wp:docPr id="12868053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7517D6" w14:textId="5620612E"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5F15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B7517D6" w14:textId="5620612E"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A91D9E" w:rsidRPr="00A91D9E" w14:paraId="69893335" w14:textId="77777777" w:rsidTr="001929C6">
      <w:trPr>
        <w:trHeight w:val="1012"/>
      </w:trPr>
      <w:tc>
        <w:tcPr>
          <w:tcW w:w="9180" w:type="dxa"/>
          <w:shd w:val="clear" w:color="auto" w:fill="E4F2E0"/>
        </w:tcPr>
        <w:p w14:paraId="60BDB9AE" w14:textId="6A77F5BF" w:rsidR="00A91D9E" w:rsidRPr="00A91D9E" w:rsidRDefault="00A91D9E" w:rsidP="00A91D9E">
          <w:pPr>
            <w:pStyle w:val="Footer"/>
            <w:jc w:val="left"/>
            <w:rPr>
              <w:b/>
              <w:sz w:val="16"/>
              <w:szCs w:val="16"/>
            </w:rPr>
          </w:pPr>
          <w:bookmarkStart w:id="20" w:name="_Hlk109054010"/>
          <w:r w:rsidRPr="00A91D9E">
            <w:rPr>
              <w:b/>
              <w:bCs/>
              <w:sz w:val="16"/>
              <w:szCs w:val="16"/>
            </w:rPr>
            <w:t xml:space="preserve">AusPAR – </w:t>
          </w:r>
          <w:bookmarkStart w:id="21" w:name="_Hlk215837430"/>
          <w:r w:rsidRPr="00A91D9E">
            <w:rPr>
              <w:b/>
              <w:bCs/>
              <w:sz w:val="16"/>
              <w:szCs w:val="16"/>
            </w:rPr>
            <w:t xml:space="preserve">Augtyro - </w:t>
          </w:r>
          <w:proofErr w:type="spellStart"/>
          <w:r w:rsidRPr="00A91D9E">
            <w:rPr>
              <w:b/>
              <w:bCs/>
              <w:sz w:val="16"/>
              <w:szCs w:val="16"/>
            </w:rPr>
            <w:t>repotrectinib</w:t>
          </w:r>
          <w:proofErr w:type="spellEnd"/>
          <w:r w:rsidRPr="00A91D9E">
            <w:rPr>
              <w:b/>
              <w:bCs/>
              <w:sz w:val="16"/>
              <w:szCs w:val="16"/>
            </w:rPr>
            <w:t xml:space="preserve"> </w:t>
          </w:r>
          <w:bookmarkEnd w:id="21"/>
          <w:r w:rsidRPr="00A91D9E">
            <w:rPr>
              <w:b/>
              <w:bCs/>
              <w:sz w:val="16"/>
              <w:szCs w:val="16"/>
            </w:rPr>
            <w:t>- Bristol-Myers Squibb Australia Pty Ltd - PM-2024-01468-1-4 Date of Finalisation – 20 January 2026</w:t>
          </w:r>
          <w:r w:rsidRPr="00A91D9E">
            <w:rPr>
              <w:sz w:val="16"/>
              <w:szCs w:val="16"/>
            </w:rPr>
            <w:t>.</w:t>
          </w:r>
          <w:r w:rsidRPr="00A91D9E">
            <w:rPr>
              <w:b/>
              <w:bCs/>
              <w:sz w:val="16"/>
              <w:szCs w:val="16"/>
            </w:rPr>
            <w:t xml:space="preserve"> </w:t>
          </w:r>
          <w:r w:rsidRPr="00A91D9E">
            <w:rPr>
              <w:b/>
              <w:sz w:val="16"/>
              <w:szCs w:val="16"/>
            </w:rPr>
            <w:t>This is the Product Information that was approved with the submission described in this AusPAR. It may have been superseded. For the most recent PI, please refer to the TGA website at &lt;</w:t>
          </w:r>
          <w:hyperlink r:id="rId1" w:history="1">
            <w:r w:rsidRPr="00037825">
              <w:rPr>
                <w:rStyle w:val="Hyperlink"/>
                <w:sz w:val="16"/>
                <w:szCs w:val="16"/>
              </w:rPr>
              <w:t>https://www.tga.gov.au/products/australian-register-therapeutic-goods-artg/product-information-pi</w:t>
            </w:r>
          </w:hyperlink>
          <w:r w:rsidRPr="00A91D9E">
            <w:rPr>
              <w:b/>
              <w:sz w:val="16"/>
              <w:szCs w:val="16"/>
              <w:u w:val="single"/>
            </w:rPr>
            <w:t>&gt;</w:t>
          </w:r>
        </w:p>
      </w:tc>
    </w:tr>
    <w:bookmarkEnd w:id="20"/>
  </w:tbl>
  <w:p w14:paraId="17A1051E" w14:textId="2BAC63D2" w:rsidR="004B2981" w:rsidRPr="00A91D9E" w:rsidRDefault="004B298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6E4A" w14:textId="6FBAFD1C" w:rsidR="004B2981" w:rsidRDefault="004B2981">
    <w:pPr>
      <w:pStyle w:val="Header"/>
    </w:pPr>
    <w:r>
      <w:rPr>
        <w:noProof/>
      </w:rPr>
      <mc:AlternateContent>
        <mc:Choice Requires="wps">
          <w:drawing>
            <wp:anchor distT="0" distB="0" distL="0" distR="0" simplePos="0" relativeHeight="251658240" behindDoc="0" locked="0" layoutInCell="1" allowOverlap="1" wp14:anchorId="738D12FB" wp14:editId="294166CC">
              <wp:simplePos x="635" y="635"/>
              <wp:positionH relativeFrom="page">
                <wp:align>center</wp:align>
              </wp:positionH>
              <wp:positionV relativeFrom="page">
                <wp:align>top</wp:align>
              </wp:positionV>
              <wp:extent cx="622300" cy="376555"/>
              <wp:effectExtent l="0" t="0" r="6350" b="4445"/>
              <wp:wrapNone/>
              <wp:docPr id="9324907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57F786" w14:textId="63BFC8D6"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D12FB"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257F786" w14:textId="63BFC8D6" w:rsidR="004B2981" w:rsidRPr="004B2981" w:rsidRDefault="004B2981" w:rsidP="004B2981">
                    <w:pPr>
                      <w:spacing w:after="0"/>
                      <w:rPr>
                        <w:rFonts w:ascii="Aptos" w:eastAsia="Aptos" w:hAnsi="Aptos" w:cs="Aptos"/>
                        <w:noProof/>
                        <w:color w:val="FF0000"/>
                        <w:sz w:val="24"/>
                        <w:szCs w:val="24"/>
                      </w:rPr>
                    </w:pPr>
                    <w:r w:rsidRPr="004B2981">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1BF"/>
    <w:multiLevelType w:val="hybridMultilevel"/>
    <w:tmpl w:val="6534F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719FA"/>
    <w:multiLevelType w:val="hybridMultilevel"/>
    <w:tmpl w:val="86920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591682"/>
    <w:multiLevelType w:val="multilevel"/>
    <w:tmpl w:val="507ACA76"/>
    <w:styleLink w:val="BMSBulletMulti"/>
    <w:lvl w:ilvl="0">
      <w:start w:val="1"/>
      <w:numFmt w:val="bullet"/>
      <w:lvlRestart w:val="0"/>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272E3768"/>
    <w:multiLevelType w:val="hybridMultilevel"/>
    <w:tmpl w:val="3A5A1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0C681D"/>
    <w:multiLevelType w:val="hybridMultilevel"/>
    <w:tmpl w:val="C634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E556DF"/>
    <w:multiLevelType w:val="hybridMultilevel"/>
    <w:tmpl w:val="F698C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BD1837"/>
    <w:multiLevelType w:val="hybridMultilevel"/>
    <w:tmpl w:val="1866818A"/>
    <w:lvl w:ilvl="0" w:tplc="A16AFA74">
      <w:start w:val="1"/>
      <w:numFmt w:val="decimal"/>
      <w:pStyle w:val="BMSHeadingAnnex"/>
      <w:lvlText w:val="Annex %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337D0"/>
    <w:multiLevelType w:val="hybridMultilevel"/>
    <w:tmpl w:val="B6C885E6"/>
    <w:lvl w:ilvl="0" w:tplc="04090001">
      <w:start w:val="1"/>
      <w:numFmt w:val="bullet"/>
      <w:pStyle w:val="BM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332797"/>
    <w:multiLevelType w:val="multilevel"/>
    <w:tmpl w:val="50D8E38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1273893"/>
    <w:multiLevelType w:val="hybridMultilevel"/>
    <w:tmpl w:val="55806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4545472">
    <w:abstractNumId w:val="8"/>
  </w:num>
  <w:num w:numId="2" w16cid:durableId="998268583">
    <w:abstractNumId w:val="7"/>
  </w:num>
  <w:num w:numId="3" w16cid:durableId="874654917">
    <w:abstractNumId w:val="2"/>
  </w:num>
  <w:num w:numId="4" w16cid:durableId="1508714578">
    <w:abstractNumId w:val="0"/>
  </w:num>
  <w:num w:numId="5" w16cid:durableId="1166749289">
    <w:abstractNumId w:val="5"/>
  </w:num>
  <w:num w:numId="6" w16cid:durableId="1825195373">
    <w:abstractNumId w:val="3"/>
  </w:num>
  <w:num w:numId="7" w16cid:durableId="1326938374">
    <w:abstractNumId w:val="4"/>
  </w:num>
  <w:num w:numId="8" w16cid:durableId="1080521154">
    <w:abstractNumId w:val="9"/>
  </w:num>
  <w:num w:numId="9" w16cid:durableId="10107367">
    <w:abstractNumId w:val="1"/>
  </w:num>
  <w:num w:numId="10" w16cid:durableId="322513682">
    <w:abstractNumId w:val="6"/>
  </w:num>
  <w:num w:numId="11" w16cid:durableId="1030688105">
    <w:abstractNumId w:val="6"/>
  </w:num>
  <w:num w:numId="12" w16cid:durableId="66521058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SCT_StylesUpdated" w:val="N"/>
    <w:docVar w:name="CurrentCoreTemplateVersion" w:val="4.01"/>
    <w:docVar w:name="InitialCoreTemplateVersion" w:val="4.01"/>
  </w:docVars>
  <w:rsids>
    <w:rsidRoot w:val="001829B1"/>
    <w:rsid w:val="00000290"/>
    <w:rsid w:val="00000E67"/>
    <w:rsid w:val="000015B3"/>
    <w:rsid w:val="000017D1"/>
    <w:rsid w:val="000018E0"/>
    <w:rsid w:val="00001BE1"/>
    <w:rsid w:val="00002130"/>
    <w:rsid w:val="00002F9E"/>
    <w:rsid w:val="000035B1"/>
    <w:rsid w:val="00004A88"/>
    <w:rsid w:val="000051D1"/>
    <w:rsid w:val="000053DB"/>
    <w:rsid w:val="000065DE"/>
    <w:rsid w:val="00006720"/>
    <w:rsid w:val="00006A6D"/>
    <w:rsid w:val="00006CF9"/>
    <w:rsid w:val="000073DA"/>
    <w:rsid w:val="00007CAE"/>
    <w:rsid w:val="00010D45"/>
    <w:rsid w:val="00011842"/>
    <w:rsid w:val="00011CF1"/>
    <w:rsid w:val="0001246E"/>
    <w:rsid w:val="00012B8E"/>
    <w:rsid w:val="000142C9"/>
    <w:rsid w:val="00014334"/>
    <w:rsid w:val="000150C8"/>
    <w:rsid w:val="00015269"/>
    <w:rsid w:val="000157D1"/>
    <w:rsid w:val="00015910"/>
    <w:rsid w:val="0001621B"/>
    <w:rsid w:val="00016463"/>
    <w:rsid w:val="00016A44"/>
    <w:rsid w:val="0001796E"/>
    <w:rsid w:val="00017B30"/>
    <w:rsid w:val="00020401"/>
    <w:rsid w:val="000209AB"/>
    <w:rsid w:val="00022E5C"/>
    <w:rsid w:val="00022F96"/>
    <w:rsid w:val="00023CCD"/>
    <w:rsid w:val="000241C3"/>
    <w:rsid w:val="0002432C"/>
    <w:rsid w:val="000243D8"/>
    <w:rsid w:val="0002494F"/>
    <w:rsid w:val="00024EC4"/>
    <w:rsid w:val="00025617"/>
    <w:rsid w:val="00025C9D"/>
    <w:rsid w:val="00025D4A"/>
    <w:rsid w:val="00026441"/>
    <w:rsid w:val="00026C6B"/>
    <w:rsid w:val="00027145"/>
    <w:rsid w:val="000273C8"/>
    <w:rsid w:val="00027AF6"/>
    <w:rsid w:val="00027AF7"/>
    <w:rsid w:val="00030302"/>
    <w:rsid w:val="00031A93"/>
    <w:rsid w:val="00032E88"/>
    <w:rsid w:val="00033CCA"/>
    <w:rsid w:val="00034006"/>
    <w:rsid w:val="000348E3"/>
    <w:rsid w:val="000353B1"/>
    <w:rsid w:val="0003555F"/>
    <w:rsid w:val="00035856"/>
    <w:rsid w:val="00035C10"/>
    <w:rsid w:val="00035E15"/>
    <w:rsid w:val="000360CA"/>
    <w:rsid w:val="000362CF"/>
    <w:rsid w:val="000366C1"/>
    <w:rsid w:val="000367E2"/>
    <w:rsid w:val="00036DAE"/>
    <w:rsid w:val="000375BD"/>
    <w:rsid w:val="0004054E"/>
    <w:rsid w:val="0004109F"/>
    <w:rsid w:val="0004164B"/>
    <w:rsid w:val="00041BBB"/>
    <w:rsid w:val="00041F50"/>
    <w:rsid w:val="0004216A"/>
    <w:rsid w:val="00042533"/>
    <w:rsid w:val="00043919"/>
    <w:rsid w:val="00044191"/>
    <w:rsid w:val="0004420D"/>
    <w:rsid w:val="00044CA3"/>
    <w:rsid w:val="00045F61"/>
    <w:rsid w:val="0004690D"/>
    <w:rsid w:val="00046E69"/>
    <w:rsid w:val="00047B3A"/>
    <w:rsid w:val="00050211"/>
    <w:rsid w:val="00050932"/>
    <w:rsid w:val="00050EC4"/>
    <w:rsid w:val="000519AE"/>
    <w:rsid w:val="00051ADA"/>
    <w:rsid w:val="00051D5E"/>
    <w:rsid w:val="00052511"/>
    <w:rsid w:val="00052B8D"/>
    <w:rsid w:val="00053060"/>
    <w:rsid w:val="00054202"/>
    <w:rsid w:val="00054B5E"/>
    <w:rsid w:val="00054E74"/>
    <w:rsid w:val="00055006"/>
    <w:rsid w:val="00056539"/>
    <w:rsid w:val="0005667E"/>
    <w:rsid w:val="00056ECD"/>
    <w:rsid w:val="00057ACA"/>
    <w:rsid w:val="00057D81"/>
    <w:rsid w:val="00060852"/>
    <w:rsid w:val="0006163B"/>
    <w:rsid w:val="00061D3C"/>
    <w:rsid w:val="000636A5"/>
    <w:rsid w:val="00063D05"/>
    <w:rsid w:val="00063D3E"/>
    <w:rsid w:val="0006524F"/>
    <w:rsid w:val="00065E3A"/>
    <w:rsid w:val="00067018"/>
    <w:rsid w:val="0006728B"/>
    <w:rsid w:val="00067540"/>
    <w:rsid w:val="00067896"/>
    <w:rsid w:val="000703B6"/>
    <w:rsid w:val="0007066C"/>
    <w:rsid w:val="00071301"/>
    <w:rsid w:val="00071753"/>
    <w:rsid w:val="00071C8F"/>
    <w:rsid w:val="00071E17"/>
    <w:rsid w:val="000720F0"/>
    <w:rsid w:val="000720F7"/>
    <w:rsid w:val="0007238B"/>
    <w:rsid w:val="00072439"/>
    <w:rsid w:val="00072897"/>
    <w:rsid w:val="00072AD5"/>
    <w:rsid w:val="0007518D"/>
    <w:rsid w:val="000753A1"/>
    <w:rsid w:val="00075954"/>
    <w:rsid w:val="0007651D"/>
    <w:rsid w:val="000765FA"/>
    <w:rsid w:val="00076841"/>
    <w:rsid w:val="00077024"/>
    <w:rsid w:val="00077269"/>
    <w:rsid w:val="00077D8E"/>
    <w:rsid w:val="000801AC"/>
    <w:rsid w:val="000803B1"/>
    <w:rsid w:val="00080693"/>
    <w:rsid w:val="00081343"/>
    <w:rsid w:val="00082527"/>
    <w:rsid w:val="000829C3"/>
    <w:rsid w:val="00082E6F"/>
    <w:rsid w:val="000839F8"/>
    <w:rsid w:val="000840E8"/>
    <w:rsid w:val="00084291"/>
    <w:rsid w:val="00084304"/>
    <w:rsid w:val="000847F4"/>
    <w:rsid w:val="000850B8"/>
    <w:rsid w:val="000850D2"/>
    <w:rsid w:val="000853C1"/>
    <w:rsid w:val="00085443"/>
    <w:rsid w:val="00086724"/>
    <w:rsid w:val="00086739"/>
    <w:rsid w:val="000868F4"/>
    <w:rsid w:val="00087061"/>
    <w:rsid w:val="00087FE6"/>
    <w:rsid w:val="0009065F"/>
    <w:rsid w:val="00090A7A"/>
    <w:rsid w:val="00090AB2"/>
    <w:rsid w:val="00091430"/>
    <w:rsid w:val="00091A30"/>
    <w:rsid w:val="00091C57"/>
    <w:rsid w:val="0009261B"/>
    <w:rsid w:val="00092914"/>
    <w:rsid w:val="0009296F"/>
    <w:rsid w:val="00092B93"/>
    <w:rsid w:val="00092CE3"/>
    <w:rsid w:val="00093063"/>
    <w:rsid w:val="000935C2"/>
    <w:rsid w:val="00094035"/>
    <w:rsid w:val="0009452E"/>
    <w:rsid w:val="0009504F"/>
    <w:rsid w:val="0009616C"/>
    <w:rsid w:val="00096B4C"/>
    <w:rsid w:val="000A02E3"/>
    <w:rsid w:val="000A0430"/>
    <w:rsid w:val="000A0CD5"/>
    <w:rsid w:val="000A0DBA"/>
    <w:rsid w:val="000A123C"/>
    <w:rsid w:val="000A1724"/>
    <w:rsid w:val="000A26A6"/>
    <w:rsid w:val="000A2D7F"/>
    <w:rsid w:val="000A2E89"/>
    <w:rsid w:val="000A326E"/>
    <w:rsid w:val="000A413F"/>
    <w:rsid w:val="000A4651"/>
    <w:rsid w:val="000A541C"/>
    <w:rsid w:val="000A5DDF"/>
    <w:rsid w:val="000A62C4"/>
    <w:rsid w:val="000A65E2"/>
    <w:rsid w:val="000A69B3"/>
    <w:rsid w:val="000A6AE9"/>
    <w:rsid w:val="000A6AEB"/>
    <w:rsid w:val="000A6FBC"/>
    <w:rsid w:val="000A735F"/>
    <w:rsid w:val="000A751A"/>
    <w:rsid w:val="000A78FE"/>
    <w:rsid w:val="000B0282"/>
    <w:rsid w:val="000B0793"/>
    <w:rsid w:val="000B0DA9"/>
    <w:rsid w:val="000B11D2"/>
    <w:rsid w:val="000B241E"/>
    <w:rsid w:val="000B242D"/>
    <w:rsid w:val="000B2D75"/>
    <w:rsid w:val="000B3521"/>
    <w:rsid w:val="000B3BF9"/>
    <w:rsid w:val="000B3D41"/>
    <w:rsid w:val="000B4E30"/>
    <w:rsid w:val="000B586A"/>
    <w:rsid w:val="000B5CBB"/>
    <w:rsid w:val="000B62FF"/>
    <w:rsid w:val="000B648B"/>
    <w:rsid w:val="000B7CE4"/>
    <w:rsid w:val="000C0006"/>
    <w:rsid w:val="000C091F"/>
    <w:rsid w:val="000C0F64"/>
    <w:rsid w:val="000C15A1"/>
    <w:rsid w:val="000C1CEB"/>
    <w:rsid w:val="000C1D08"/>
    <w:rsid w:val="000C1DA7"/>
    <w:rsid w:val="000C2ED7"/>
    <w:rsid w:val="000C3E61"/>
    <w:rsid w:val="000C4523"/>
    <w:rsid w:val="000C45B3"/>
    <w:rsid w:val="000C4BD3"/>
    <w:rsid w:val="000C5322"/>
    <w:rsid w:val="000C551F"/>
    <w:rsid w:val="000C5DB5"/>
    <w:rsid w:val="000C606D"/>
    <w:rsid w:val="000C6409"/>
    <w:rsid w:val="000C7105"/>
    <w:rsid w:val="000C78EE"/>
    <w:rsid w:val="000C79BC"/>
    <w:rsid w:val="000C7C26"/>
    <w:rsid w:val="000C7C49"/>
    <w:rsid w:val="000D0B47"/>
    <w:rsid w:val="000D0DA5"/>
    <w:rsid w:val="000D0F90"/>
    <w:rsid w:val="000D13EF"/>
    <w:rsid w:val="000D244C"/>
    <w:rsid w:val="000D34CD"/>
    <w:rsid w:val="000D36DC"/>
    <w:rsid w:val="000D3BBF"/>
    <w:rsid w:val="000D4330"/>
    <w:rsid w:val="000D4742"/>
    <w:rsid w:val="000D4773"/>
    <w:rsid w:val="000D4C46"/>
    <w:rsid w:val="000D588F"/>
    <w:rsid w:val="000D5A46"/>
    <w:rsid w:val="000D5DD4"/>
    <w:rsid w:val="000D5F29"/>
    <w:rsid w:val="000D699B"/>
    <w:rsid w:val="000D772D"/>
    <w:rsid w:val="000D7FB7"/>
    <w:rsid w:val="000E0911"/>
    <w:rsid w:val="000E094C"/>
    <w:rsid w:val="000E10BC"/>
    <w:rsid w:val="000E2A6E"/>
    <w:rsid w:val="000E2D80"/>
    <w:rsid w:val="000E2D86"/>
    <w:rsid w:val="000E3592"/>
    <w:rsid w:val="000E3754"/>
    <w:rsid w:val="000E45D4"/>
    <w:rsid w:val="000E4927"/>
    <w:rsid w:val="000E4CF0"/>
    <w:rsid w:val="000E58CA"/>
    <w:rsid w:val="000E5B93"/>
    <w:rsid w:val="000E5E46"/>
    <w:rsid w:val="000E6328"/>
    <w:rsid w:val="000E63D2"/>
    <w:rsid w:val="000E64D8"/>
    <w:rsid w:val="000E6CD7"/>
    <w:rsid w:val="000E77E5"/>
    <w:rsid w:val="000F03E1"/>
    <w:rsid w:val="000F05C3"/>
    <w:rsid w:val="000F07E3"/>
    <w:rsid w:val="000F2666"/>
    <w:rsid w:val="000F26AE"/>
    <w:rsid w:val="000F2AC1"/>
    <w:rsid w:val="000F2F08"/>
    <w:rsid w:val="000F389A"/>
    <w:rsid w:val="000F4361"/>
    <w:rsid w:val="000F551B"/>
    <w:rsid w:val="000F5A7A"/>
    <w:rsid w:val="000F5D2B"/>
    <w:rsid w:val="000F62BA"/>
    <w:rsid w:val="000F6A5A"/>
    <w:rsid w:val="000F73D0"/>
    <w:rsid w:val="001001B6"/>
    <w:rsid w:val="00100DED"/>
    <w:rsid w:val="00102B8F"/>
    <w:rsid w:val="00102C7F"/>
    <w:rsid w:val="00102E0D"/>
    <w:rsid w:val="00103CE8"/>
    <w:rsid w:val="00104595"/>
    <w:rsid w:val="00104CFF"/>
    <w:rsid w:val="001056F5"/>
    <w:rsid w:val="00105CD8"/>
    <w:rsid w:val="00105E0D"/>
    <w:rsid w:val="0010621E"/>
    <w:rsid w:val="00106859"/>
    <w:rsid w:val="00106E59"/>
    <w:rsid w:val="00106EE8"/>
    <w:rsid w:val="00107192"/>
    <w:rsid w:val="00107254"/>
    <w:rsid w:val="001103E2"/>
    <w:rsid w:val="00110844"/>
    <w:rsid w:val="001125BA"/>
    <w:rsid w:val="00112C28"/>
    <w:rsid w:val="00112FE7"/>
    <w:rsid w:val="00113851"/>
    <w:rsid w:val="00113FCD"/>
    <w:rsid w:val="00114031"/>
    <w:rsid w:val="001154A4"/>
    <w:rsid w:val="00116220"/>
    <w:rsid w:val="00116C65"/>
    <w:rsid w:val="00117CB8"/>
    <w:rsid w:val="00120CE2"/>
    <w:rsid w:val="001222C6"/>
    <w:rsid w:val="00122717"/>
    <w:rsid w:val="0012306C"/>
    <w:rsid w:val="001230F3"/>
    <w:rsid w:val="0012337E"/>
    <w:rsid w:val="001233E9"/>
    <w:rsid w:val="001239C4"/>
    <w:rsid w:val="00123DDC"/>
    <w:rsid w:val="00124A98"/>
    <w:rsid w:val="00124B3E"/>
    <w:rsid w:val="00124C8B"/>
    <w:rsid w:val="00125508"/>
    <w:rsid w:val="00125568"/>
    <w:rsid w:val="00125721"/>
    <w:rsid w:val="0012577B"/>
    <w:rsid w:val="00125909"/>
    <w:rsid w:val="001264F7"/>
    <w:rsid w:val="001267F2"/>
    <w:rsid w:val="001273D6"/>
    <w:rsid w:val="001276F1"/>
    <w:rsid w:val="00127E19"/>
    <w:rsid w:val="00130C44"/>
    <w:rsid w:val="00130FE2"/>
    <w:rsid w:val="00131708"/>
    <w:rsid w:val="001319CE"/>
    <w:rsid w:val="00131CDB"/>
    <w:rsid w:val="00131EBB"/>
    <w:rsid w:val="001323CD"/>
    <w:rsid w:val="00132806"/>
    <w:rsid w:val="00132927"/>
    <w:rsid w:val="00133195"/>
    <w:rsid w:val="001338C2"/>
    <w:rsid w:val="00135E21"/>
    <w:rsid w:val="00135E24"/>
    <w:rsid w:val="001364AF"/>
    <w:rsid w:val="00136C25"/>
    <w:rsid w:val="00136CA2"/>
    <w:rsid w:val="00137252"/>
    <w:rsid w:val="00140C98"/>
    <w:rsid w:val="00141504"/>
    <w:rsid w:val="0014156E"/>
    <w:rsid w:val="00141D9A"/>
    <w:rsid w:val="00141EB0"/>
    <w:rsid w:val="001423CC"/>
    <w:rsid w:val="0014414C"/>
    <w:rsid w:val="001451CB"/>
    <w:rsid w:val="001451F0"/>
    <w:rsid w:val="00145B57"/>
    <w:rsid w:val="00145D38"/>
    <w:rsid w:val="00146610"/>
    <w:rsid w:val="001479C1"/>
    <w:rsid w:val="00147F7D"/>
    <w:rsid w:val="0015087C"/>
    <w:rsid w:val="00150DAA"/>
    <w:rsid w:val="00150DC2"/>
    <w:rsid w:val="0015108C"/>
    <w:rsid w:val="00151172"/>
    <w:rsid w:val="00151A6A"/>
    <w:rsid w:val="001529CB"/>
    <w:rsid w:val="00152D3D"/>
    <w:rsid w:val="00153DD5"/>
    <w:rsid w:val="0015479F"/>
    <w:rsid w:val="00154B21"/>
    <w:rsid w:val="0015542A"/>
    <w:rsid w:val="00155CB5"/>
    <w:rsid w:val="001560D4"/>
    <w:rsid w:val="001568FB"/>
    <w:rsid w:val="00157090"/>
    <w:rsid w:val="00157460"/>
    <w:rsid w:val="00157CC3"/>
    <w:rsid w:val="00157D24"/>
    <w:rsid w:val="0016000A"/>
    <w:rsid w:val="0016039A"/>
    <w:rsid w:val="00160B46"/>
    <w:rsid w:val="001628EA"/>
    <w:rsid w:val="00162FD8"/>
    <w:rsid w:val="0016320A"/>
    <w:rsid w:val="00163C83"/>
    <w:rsid w:val="00164A1A"/>
    <w:rsid w:val="00165721"/>
    <w:rsid w:val="00165ED5"/>
    <w:rsid w:val="001671A9"/>
    <w:rsid w:val="001671D2"/>
    <w:rsid w:val="00167658"/>
    <w:rsid w:val="001679B7"/>
    <w:rsid w:val="00167F1C"/>
    <w:rsid w:val="001700A7"/>
    <w:rsid w:val="00170DBF"/>
    <w:rsid w:val="00173F4D"/>
    <w:rsid w:val="00175527"/>
    <w:rsid w:val="00175CCE"/>
    <w:rsid w:val="00176176"/>
    <w:rsid w:val="001761D4"/>
    <w:rsid w:val="00176400"/>
    <w:rsid w:val="00176C38"/>
    <w:rsid w:val="00176C48"/>
    <w:rsid w:val="00177335"/>
    <w:rsid w:val="00177574"/>
    <w:rsid w:val="00177DB9"/>
    <w:rsid w:val="0018034D"/>
    <w:rsid w:val="0018119C"/>
    <w:rsid w:val="0018172E"/>
    <w:rsid w:val="001818EE"/>
    <w:rsid w:val="0018200B"/>
    <w:rsid w:val="00182032"/>
    <w:rsid w:val="001829B1"/>
    <w:rsid w:val="00182C22"/>
    <w:rsid w:val="001839D7"/>
    <w:rsid w:val="001842EB"/>
    <w:rsid w:val="001846DD"/>
    <w:rsid w:val="0018591D"/>
    <w:rsid w:val="00185EF9"/>
    <w:rsid w:val="00186534"/>
    <w:rsid w:val="00187B14"/>
    <w:rsid w:val="0019019E"/>
    <w:rsid w:val="00190DC2"/>
    <w:rsid w:val="00190F8A"/>
    <w:rsid w:val="001910E8"/>
    <w:rsid w:val="001913AD"/>
    <w:rsid w:val="001918E2"/>
    <w:rsid w:val="00191BBA"/>
    <w:rsid w:val="00191D60"/>
    <w:rsid w:val="00191E62"/>
    <w:rsid w:val="0019228B"/>
    <w:rsid w:val="001923EE"/>
    <w:rsid w:val="001927BF"/>
    <w:rsid w:val="00192A6F"/>
    <w:rsid w:val="0019325E"/>
    <w:rsid w:val="001933E5"/>
    <w:rsid w:val="001935E8"/>
    <w:rsid w:val="001936D1"/>
    <w:rsid w:val="00193B02"/>
    <w:rsid w:val="00193C9B"/>
    <w:rsid w:val="001947FA"/>
    <w:rsid w:val="00194F1F"/>
    <w:rsid w:val="00196607"/>
    <w:rsid w:val="0019665A"/>
    <w:rsid w:val="00196A5B"/>
    <w:rsid w:val="0019768E"/>
    <w:rsid w:val="00197C54"/>
    <w:rsid w:val="00197E85"/>
    <w:rsid w:val="001A15EA"/>
    <w:rsid w:val="001A2060"/>
    <w:rsid w:val="001A27EE"/>
    <w:rsid w:val="001A2875"/>
    <w:rsid w:val="001A2DA0"/>
    <w:rsid w:val="001A2FAD"/>
    <w:rsid w:val="001A31B5"/>
    <w:rsid w:val="001A3992"/>
    <w:rsid w:val="001A3D1E"/>
    <w:rsid w:val="001A3E9C"/>
    <w:rsid w:val="001A4028"/>
    <w:rsid w:val="001A4987"/>
    <w:rsid w:val="001A4A74"/>
    <w:rsid w:val="001A4DD4"/>
    <w:rsid w:val="001A53E4"/>
    <w:rsid w:val="001A5A2A"/>
    <w:rsid w:val="001A6CEB"/>
    <w:rsid w:val="001A6E69"/>
    <w:rsid w:val="001B006E"/>
    <w:rsid w:val="001B04B8"/>
    <w:rsid w:val="001B06BF"/>
    <w:rsid w:val="001B113F"/>
    <w:rsid w:val="001B1285"/>
    <w:rsid w:val="001B20C2"/>
    <w:rsid w:val="001B21CA"/>
    <w:rsid w:val="001B4C7E"/>
    <w:rsid w:val="001B4CCA"/>
    <w:rsid w:val="001B517E"/>
    <w:rsid w:val="001B56C0"/>
    <w:rsid w:val="001B5C15"/>
    <w:rsid w:val="001B64BE"/>
    <w:rsid w:val="001B6758"/>
    <w:rsid w:val="001B71C0"/>
    <w:rsid w:val="001B7495"/>
    <w:rsid w:val="001C0E7D"/>
    <w:rsid w:val="001C1203"/>
    <w:rsid w:val="001C1E50"/>
    <w:rsid w:val="001C26BD"/>
    <w:rsid w:val="001C2A1B"/>
    <w:rsid w:val="001C372D"/>
    <w:rsid w:val="001C4B10"/>
    <w:rsid w:val="001C6673"/>
    <w:rsid w:val="001C66E1"/>
    <w:rsid w:val="001C6877"/>
    <w:rsid w:val="001C69A5"/>
    <w:rsid w:val="001C6D5A"/>
    <w:rsid w:val="001C6EED"/>
    <w:rsid w:val="001C7659"/>
    <w:rsid w:val="001D0049"/>
    <w:rsid w:val="001D0233"/>
    <w:rsid w:val="001D08C3"/>
    <w:rsid w:val="001D0B40"/>
    <w:rsid w:val="001D0E07"/>
    <w:rsid w:val="001D1274"/>
    <w:rsid w:val="001D16EA"/>
    <w:rsid w:val="001D216A"/>
    <w:rsid w:val="001D2FF5"/>
    <w:rsid w:val="001D3AD4"/>
    <w:rsid w:val="001D45BB"/>
    <w:rsid w:val="001D496D"/>
    <w:rsid w:val="001D4FEA"/>
    <w:rsid w:val="001D50A0"/>
    <w:rsid w:val="001D52DE"/>
    <w:rsid w:val="001D593A"/>
    <w:rsid w:val="001D5C14"/>
    <w:rsid w:val="001D5FA5"/>
    <w:rsid w:val="001D6010"/>
    <w:rsid w:val="001D6449"/>
    <w:rsid w:val="001D67A9"/>
    <w:rsid w:val="001D76DB"/>
    <w:rsid w:val="001D7E9B"/>
    <w:rsid w:val="001E0993"/>
    <w:rsid w:val="001E0A9F"/>
    <w:rsid w:val="001E0AA2"/>
    <w:rsid w:val="001E0E5A"/>
    <w:rsid w:val="001E0F6A"/>
    <w:rsid w:val="001E1858"/>
    <w:rsid w:val="001E1945"/>
    <w:rsid w:val="001E1FFB"/>
    <w:rsid w:val="001E221A"/>
    <w:rsid w:val="001E2B4B"/>
    <w:rsid w:val="001E3D24"/>
    <w:rsid w:val="001E43F9"/>
    <w:rsid w:val="001E4421"/>
    <w:rsid w:val="001E571F"/>
    <w:rsid w:val="001E5BE0"/>
    <w:rsid w:val="001E6FD4"/>
    <w:rsid w:val="001E7DEC"/>
    <w:rsid w:val="001F007F"/>
    <w:rsid w:val="001F03B7"/>
    <w:rsid w:val="001F056E"/>
    <w:rsid w:val="001F05FC"/>
    <w:rsid w:val="001F0663"/>
    <w:rsid w:val="001F094C"/>
    <w:rsid w:val="001F11CC"/>
    <w:rsid w:val="001F190A"/>
    <w:rsid w:val="001F2D80"/>
    <w:rsid w:val="001F31D7"/>
    <w:rsid w:val="001F3A1F"/>
    <w:rsid w:val="001F3A6B"/>
    <w:rsid w:val="001F3B1D"/>
    <w:rsid w:val="001F4D78"/>
    <w:rsid w:val="001F53A0"/>
    <w:rsid w:val="001F57B8"/>
    <w:rsid w:val="001F58D1"/>
    <w:rsid w:val="001F691E"/>
    <w:rsid w:val="002003F3"/>
    <w:rsid w:val="002003FF"/>
    <w:rsid w:val="00200EF2"/>
    <w:rsid w:val="00201BAF"/>
    <w:rsid w:val="00201C3B"/>
    <w:rsid w:val="0020264B"/>
    <w:rsid w:val="0020308D"/>
    <w:rsid w:val="00203D51"/>
    <w:rsid w:val="00203E29"/>
    <w:rsid w:val="0020501F"/>
    <w:rsid w:val="00205B70"/>
    <w:rsid w:val="002069FF"/>
    <w:rsid w:val="00206F87"/>
    <w:rsid w:val="00207448"/>
    <w:rsid w:val="00207F0A"/>
    <w:rsid w:val="00210900"/>
    <w:rsid w:val="00210D54"/>
    <w:rsid w:val="00211EBF"/>
    <w:rsid w:val="00212215"/>
    <w:rsid w:val="00212618"/>
    <w:rsid w:val="00212812"/>
    <w:rsid w:val="00213128"/>
    <w:rsid w:val="002133B4"/>
    <w:rsid w:val="002138B2"/>
    <w:rsid w:val="00213A72"/>
    <w:rsid w:val="00213C8E"/>
    <w:rsid w:val="0021455A"/>
    <w:rsid w:val="002156B1"/>
    <w:rsid w:val="002163A8"/>
    <w:rsid w:val="00216764"/>
    <w:rsid w:val="002168BE"/>
    <w:rsid w:val="002171D2"/>
    <w:rsid w:val="00217E09"/>
    <w:rsid w:val="0022005D"/>
    <w:rsid w:val="00220A04"/>
    <w:rsid w:val="00220B47"/>
    <w:rsid w:val="00221A8D"/>
    <w:rsid w:val="00221D07"/>
    <w:rsid w:val="00221D9D"/>
    <w:rsid w:val="00221E45"/>
    <w:rsid w:val="00222213"/>
    <w:rsid w:val="002222FB"/>
    <w:rsid w:val="0022264C"/>
    <w:rsid w:val="0022277E"/>
    <w:rsid w:val="00223B08"/>
    <w:rsid w:val="00223BF5"/>
    <w:rsid w:val="002244BE"/>
    <w:rsid w:val="00224861"/>
    <w:rsid w:val="0022502C"/>
    <w:rsid w:val="00225A77"/>
    <w:rsid w:val="00225F71"/>
    <w:rsid w:val="002268D8"/>
    <w:rsid w:val="00226968"/>
    <w:rsid w:val="00226EE8"/>
    <w:rsid w:val="00227234"/>
    <w:rsid w:val="00227BA9"/>
    <w:rsid w:val="002304A6"/>
    <w:rsid w:val="0023227F"/>
    <w:rsid w:val="002335B0"/>
    <w:rsid w:val="00234942"/>
    <w:rsid w:val="00234B84"/>
    <w:rsid w:val="00234C6E"/>
    <w:rsid w:val="00234F41"/>
    <w:rsid w:val="00235FCA"/>
    <w:rsid w:val="002360EB"/>
    <w:rsid w:val="0023703B"/>
    <w:rsid w:val="00237D80"/>
    <w:rsid w:val="002403A2"/>
    <w:rsid w:val="00240867"/>
    <w:rsid w:val="00241037"/>
    <w:rsid w:val="0024139B"/>
    <w:rsid w:val="002419EC"/>
    <w:rsid w:val="00241CC2"/>
    <w:rsid w:val="00241CDE"/>
    <w:rsid w:val="00241D2A"/>
    <w:rsid w:val="00243076"/>
    <w:rsid w:val="002441E6"/>
    <w:rsid w:val="0024476D"/>
    <w:rsid w:val="00245072"/>
    <w:rsid w:val="00245919"/>
    <w:rsid w:val="00246969"/>
    <w:rsid w:val="00246FC2"/>
    <w:rsid w:val="00247C54"/>
    <w:rsid w:val="00250BC9"/>
    <w:rsid w:val="002514E1"/>
    <w:rsid w:val="00251625"/>
    <w:rsid w:val="002516CA"/>
    <w:rsid w:val="00252AD2"/>
    <w:rsid w:val="00252DBC"/>
    <w:rsid w:val="00254214"/>
    <w:rsid w:val="002547A6"/>
    <w:rsid w:val="00254DD3"/>
    <w:rsid w:val="00254E51"/>
    <w:rsid w:val="00255FB3"/>
    <w:rsid w:val="00256075"/>
    <w:rsid w:val="002568A5"/>
    <w:rsid w:val="00256F7D"/>
    <w:rsid w:val="002573AE"/>
    <w:rsid w:val="00257C8F"/>
    <w:rsid w:val="00257D2B"/>
    <w:rsid w:val="00257EA0"/>
    <w:rsid w:val="002602D9"/>
    <w:rsid w:val="00260439"/>
    <w:rsid w:val="0026088D"/>
    <w:rsid w:val="00260EDC"/>
    <w:rsid w:val="00262198"/>
    <w:rsid w:val="00263131"/>
    <w:rsid w:val="00263162"/>
    <w:rsid w:val="002644DA"/>
    <w:rsid w:val="0026472E"/>
    <w:rsid w:val="00264A45"/>
    <w:rsid w:val="002651EB"/>
    <w:rsid w:val="002660C8"/>
    <w:rsid w:val="00266329"/>
    <w:rsid w:val="002663CE"/>
    <w:rsid w:val="00267404"/>
    <w:rsid w:val="00267B28"/>
    <w:rsid w:val="00267C0B"/>
    <w:rsid w:val="00270251"/>
    <w:rsid w:val="002708A7"/>
    <w:rsid w:val="00270E3C"/>
    <w:rsid w:val="00270F5B"/>
    <w:rsid w:val="00271205"/>
    <w:rsid w:val="002713F1"/>
    <w:rsid w:val="00271717"/>
    <w:rsid w:val="00271C92"/>
    <w:rsid w:val="00272164"/>
    <w:rsid w:val="002731F5"/>
    <w:rsid w:val="00273A05"/>
    <w:rsid w:val="00273A72"/>
    <w:rsid w:val="00273B66"/>
    <w:rsid w:val="002741AE"/>
    <w:rsid w:val="002744BE"/>
    <w:rsid w:val="00274692"/>
    <w:rsid w:val="00275FD0"/>
    <w:rsid w:val="00276143"/>
    <w:rsid w:val="00277504"/>
    <w:rsid w:val="002776C7"/>
    <w:rsid w:val="00281E2C"/>
    <w:rsid w:val="00281E78"/>
    <w:rsid w:val="00281F0C"/>
    <w:rsid w:val="002824AC"/>
    <w:rsid w:val="002824B5"/>
    <w:rsid w:val="00282E79"/>
    <w:rsid w:val="0028333D"/>
    <w:rsid w:val="002835A5"/>
    <w:rsid w:val="0028475E"/>
    <w:rsid w:val="00284BE0"/>
    <w:rsid w:val="00286456"/>
    <w:rsid w:val="002865F9"/>
    <w:rsid w:val="002875B1"/>
    <w:rsid w:val="002875E8"/>
    <w:rsid w:val="00290099"/>
    <w:rsid w:val="00290189"/>
    <w:rsid w:val="002905B2"/>
    <w:rsid w:val="00290A06"/>
    <w:rsid w:val="00291B75"/>
    <w:rsid w:val="002930AD"/>
    <w:rsid w:val="00293494"/>
    <w:rsid w:val="002934C5"/>
    <w:rsid w:val="00293B91"/>
    <w:rsid w:val="002941B3"/>
    <w:rsid w:val="0029459C"/>
    <w:rsid w:val="002946A1"/>
    <w:rsid w:val="002953F2"/>
    <w:rsid w:val="00295868"/>
    <w:rsid w:val="002959A0"/>
    <w:rsid w:val="00296087"/>
    <w:rsid w:val="00296095"/>
    <w:rsid w:val="002968C2"/>
    <w:rsid w:val="002968D1"/>
    <w:rsid w:val="00296CE5"/>
    <w:rsid w:val="00297581"/>
    <w:rsid w:val="002A0891"/>
    <w:rsid w:val="002A0902"/>
    <w:rsid w:val="002A0B9A"/>
    <w:rsid w:val="002A1A3E"/>
    <w:rsid w:val="002A2253"/>
    <w:rsid w:val="002A27B2"/>
    <w:rsid w:val="002A29F6"/>
    <w:rsid w:val="002A2A20"/>
    <w:rsid w:val="002A351F"/>
    <w:rsid w:val="002A35C1"/>
    <w:rsid w:val="002A3B6B"/>
    <w:rsid w:val="002A3C06"/>
    <w:rsid w:val="002A3F90"/>
    <w:rsid w:val="002A410D"/>
    <w:rsid w:val="002A487E"/>
    <w:rsid w:val="002A5C28"/>
    <w:rsid w:val="002A5C73"/>
    <w:rsid w:val="002A7369"/>
    <w:rsid w:val="002A7C79"/>
    <w:rsid w:val="002B07BB"/>
    <w:rsid w:val="002B157F"/>
    <w:rsid w:val="002B1886"/>
    <w:rsid w:val="002B25FD"/>
    <w:rsid w:val="002B2A9B"/>
    <w:rsid w:val="002B3B00"/>
    <w:rsid w:val="002B3E94"/>
    <w:rsid w:val="002B40CE"/>
    <w:rsid w:val="002B4230"/>
    <w:rsid w:val="002B465B"/>
    <w:rsid w:val="002B483E"/>
    <w:rsid w:val="002B5860"/>
    <w:rsid w:val="002B5B33"/>
    <w:rsid w:val="002B5C4C"/>
    <w:rsid w:val="002B6741"/>
    <w:rsid w:val="002B75AD"/>
    <w:rsid w:val="002B7DAE"/>
    <w:rsid w:val="002B7FF3"/>
    <w:rsid w:val="002C00DE"/>
    <w:rsid w:val="002C0164"/>
    <w:rsid w:val="002C07FB"/>
    <w:rsid w:val="002C0E1E"/>
    <w:rsid w:val="002C17E6"/>
    <w:rsid w:val="002C1A36"/>
    <w:rsid w:val="002C2EC2"/>
    <w:rsid w:val="002C3C58"/>
    <w:rsid w:val="002C3FC7"/>
    <w:rsid w:val="002C5874"/>
    <w:rsid w:val="002C591A"/>
    <w:rsid w:val="002C6AEB"/>
    <w:rsid w:val="002C6C5D"/>
    <w:rsid w:val="002C70CC"/>
    <w:rsid w:val="002D0C94"/>
    <w:rsid w:val="002D18BB"/>
    <w:rsid w:val="002D2009"/>
    <w:rsid w:val="002D28D1"/>
    <w:rsid w:val="002D3D0B"/>
    <w:rsid w:val="002D3DBA"/>
    <w:rsid w:val="002D431B"/>
    <w:rsid w:val="002D4941"/>
    <w:rsid w:val="002D4B6B"/>
    <w:rsid w:val="002D594E"/>
    <w:rsid w:val="002D5961"/>
    <w:rsid w:val="002D5A6F"/>
    <w:rsid w:val="002D5E48"/>
    <w:rsid w:val="002D6133"/>
    <w:rsid w:val="002D621F"/>
    <w:rsid w:val="002D6992"/>
    <w:rsid w:val="002D7370"/>
    <w:rsid w:val="002E04D7"/>
    <w:rsid w:val="002E0987"/>
    <w:rsid w:val="002E0E75"/>
    <w:rsid w:val="002E11B2"/>
    <w:rsid w:val="002E15A6"/>
    <w:rsid w:val="002E1D4C"/>
    <w:rsid w:val="002E2279"/>
    <w:rsid w:val="002E277D"/>
    <w:rsid w:val="002E2E03"/>
    <w:rsid w:val="002E37AD"/>
    <w:rsid w:val="002E3B7D"/>
    <w:rsid w:val="002E3E49"/>
    <w:rsid w:val="002E4066"/>
    <w:rsid w:val="002E5136"/>
    <w:rsid w:val="002E552A"/>
    <w:rsid w:val="002E5FEC"/>
    <w:rsid w:val="002E6319"/>
    <w:rsid w:val="002F026B"/>
    <w:rsid w:val="002F0C39"/>
    <w:rsid w:val="002F0D19"/>
    <w:rsid w:val="002F16A5"/>
    <w:rsid w:val="002F1ACD"/>
    <w:rsid w:val="002F2743"/>
    <w:rsid w:val="002F2898"/>
    <w:rsid w:val="002F3363"/>
    <w:rsid w:val="002F4194"/>
    <w:rsid w:val="002F44F8"/>
    <w:rsid w:val="002F54B5"/>
    <w:rsid w:val="002F55EC"/>
    <w:rsid w:val="002F5C36"/>
    <w:rsid w:val="002F6422"/>
    <w:rsid w:val="002F6475"/>
    <w:rsid w:val="002F6599"/>
    <w:rsid w:val="002F70D3"/>
    <w:rsid w:val="002F75A3"/>
    <w:rsid w:val="002F794C"/>
    <w:rsid w:val="002F7F1F"/>
    <w:rsid w:val="0030249B"/>
    <w:rsid w:val="00302503"/>
    <w:rsid w:val="00302E9D"/>
    <w:rsid w:val="0030383C"/>
    <w:rsid w:val="00303FE5"/>
    <w:rsid w:val="0030511D"/>
    <w:rsid w:val="0030512F"/>
    <w:rsid w:val="003051EF"/>
    <w:rsid w:val="00305898"/>
    <w:rsid w:val="00306156"/>
    <w:rsid w:val="003067DE"/>
    <w:rsid w:val="0030695D"/>
    <w:rsid w:val="00306B4E"/>
    <w:rsid w:val="00307B92"/>
    <w:rsid w:val="003102A5"/>
    <w:rsid w:val="0031041E"/>
    <w:rsid w:val="003109D8"/>
    <w:rsid w:val="00311050"/>
    <w:rsid w:val="003115CC"/>
    <w:rsid w:val="00311872"/>
    <w:rsid w:val="00311DE3"/>
    <w:rsid w:val="00311ECB"/>
    <w:rsid w:val="003129DD"/>
    <w:rsid w:val="00312CDB"/>
    <w:rsid w:val="0031350A"/>
    <w:rsid w:val="00313A4A"/>
    <w:rsid w:val="00314293"/>
    <w:rsid w:val="003144B2"/>
    <w:rsid w:val="00314EAF"/>
    <w:rsid w:val="003151C3"/>
    <w:rsid w:val="003168A1"/>
    <w:rsid w:val="00317737"/>
    <w:rsid w:val="00317A2B"/>
    <w:rsid w:val="0032081A"/>
    <w:rsid w:val="00320868"/>
    <w:rsid w:val="00320D89"/>
    <w:rsid w:val="003217A8"/>
    <w:rsid w:val="0032363C"/>
    <w:rsid w:val="00324138"/>
    <w:rsid w:val="003242E8"/>
    <w:rsid w:val="00324B07"/>
    <w:rsid w:val="00324B3C"/>
    <w:rsid w:val="00324FDE"/>
    <w:rsid w:val="00325137"/>
    <w:rsid w:val="00325B93"/>
    <w:rsid w:val="00325B97"/>
    <w:rsid w:val="00325DFB"/>
    <w:rsid w:val="00325FCC"/>
    <w:rsid w:val="00326A4B"/>
    <w:rsid w:val="00326C0A"/>
    <w:rsid w:val="00326CFA"/>
    <w:rsid w:val="003271D8"/>
    <w:rsid w:val="00327B98"/>
    <w:rsid w:val="00330876"/>
    <w:rsid w:val="00330BBC"/>
    <w:rsid w:val="00330D83"/>
    <w:rsid w:val="003320B9"/>
    <w:rsid w:val="003330F3"/>
    <w:rsid w:val="00333F1D"/>
    <w:rsid w:val="003340CB"/>
    <w:rsid w:val="003349B0"/>
    <w:rsid w:val="00335E8A"/>
    <w:rsid w:val="0033640B"/>
    <w:rsid w:val="00336EF8"/>
    <w:rsid w:val="00336FAF"/>
    <w:rsid w:val="00337A8D"/>
    <w:rsid w:val="00337C77"/>
    <w:rsid w:val="00340AC4"/>
    <w:rsid w:val="003412AD"/>
    <w:rsid w:val="003417EF"/>
    <w:rsid w:val="00341DFE"/>
    <w:rsid w:val="00341E11"/>
    <w:rsid w:val="00342E44"/>
    <w:rsid w:val="00343010"/>
    <w:rsid w:val="00343375"/>
    <w:rsid w:val="00343993"/>
    <w:rsid w:val="00343BFA"/>
    <w:rsid w:val="00343F31"/>
    <w:rsid w:val="00344C4B"/>
    <w:rsid w:val="0034697B"/>
    <w:rsid w:val="00346F22"/>
    <w:rsid w:val="003472DD"/>
    <w:rsid w:val="0034758D"/>
    <w:rsid w:val="00347D2B"/>
    <w:rsid w:val="00350147"/>
    <w:rsid w:val="003503F0"/>
    <w:rsid w:val="00350E7F"/>
    <w:rsid w:val="003510D5"/>
    <w:rsid w:val="003510D7"/>
    <w:rsid w:val="0035119F"/>
    <w:rsid w:val="00351277"/>
    <w:rsid w:val="00352252"/>
    <w:rsid w:val="003525D5"/>
    <w:rsid w:val="003535AF"/>
    <w:rsid w:val="00354239"/>
    <w:rsid w:val="00354688"/>
    <w:rsid w:val="0035552F"/>
    <w:rsid w:val="00356319"/>
    <w:rsid w:val="003565DD"/>
    <w:rsid w:val="00356EAF"/>
    <w:rsid w:val="00357EC0"/>
    <w:rsid w:val="00357F6A"/>
    <w:rsid w:val="003608E1"/>
    <w:rsid w:val="00360F00"/>
    <w:rsid w:val="00361290"/>
    <w:rsid w:val="003613E8"/>
    <w:rsid w:val="00361458"/>
    <w:rsid w:val="00361AFF"/>
    <w:rsid w:val="00361CEB"/>
    <w:rsid w:val="00362084"/>
    <w:rsid w:val="003621DC"/>
    <w:rsid w:val="00362208"/>
    <w:rsid w:val="003627CB"/>
    <w:rsid w:val="003629E8"/>
    <w:rsid w:val="00362FF5"/>
    <w:rsid w:val="00363C35"/>
    <w:rsid w:val="00363E38"/>
    <w:rsid w:val="00364008"/>
    <w:rsid w:val="00364054"/>
    <w:rsid w:val="00364586"/>
    <w:rsid w:val="00364D97"/>
    <w:rsid w:val="0036523D"/>
    <w:rsid w:val="003653B6"/>
    <w:rsid w:val="003658C2"/>
    <w:rsid w:val="00365B2A"/>
    <w:rsid w:val="00366358"/>
    <w:rsid w:val="00366F21"/>
    <w:rsid w:val="0036704A"/>
    <w:rsid w:val="0036714C"/>
    <w:rsid w:val="0036779B"/>
    <w:rsid w:val="00367E94"/>
    <w:rsid w:val="00370225"/>
    <w:rsid w:val="0037064B"/>
    <w:rsid w:val="00370ABE"/>
    <w:rsid w:val="00371B0A"/>
    <w:rsid w:val="00371F9E"/>
    <w:rsid w:val="00372176"/>
    <w:rsid w:val="00372566"/>
    <w:rsid w:val="00373926"/>
    <w:rsid w:val="00374252"/>
    <w:rsid w:val="00374F99"/>
    <w:rsid w:val="003751AD"/>
    <w:rsid w:val="00377804"/>
    <w:rsid w:val="00377BC8"/>
    <w:rsid w:val="00377E14"/>
    <w:rsid w:val="003807E0"/>
    <w:rsid w:val="00380C5E"/>
    <w:rsid w:val="00381143"/>
    <w:rsid w:val="00381488"/>
    <w:rsid w:val="00382991"/>
    <w:rsid w:val="00382CE8"/>
    <w:rsid w:val="0038328D"/>
    <w:rsid w:val="00383A2E"/>
    <w:rsid w:val="003849A9"/>
    <w:rsid w:val="00385754"/>
    <w:rsid w:val="003859CF"/>
    <w:rsid w:val="00386218"/>
    <w:rsid w:val="003863CD"/>
    <w:rsid w:val="00386E53"/>
    <w:rsid w:val="00386EC8"/>
    <w:rsid w:val="00390762"/>
    <w:rsid w:val="00391285"/>
    <w:rsid w:val="0039162C"/>
    <w:rsid w:val="003918E4"/>
    <w:rsid w:val="003924EC"/>
    <w:rsid w:val="00392A02"/>
    <w:rsid w:val="00392A21"/>
    <w:rsid w:val="00394724"/>
    <w:rsid w:val="00394F91"/>
    <w:rsid w:val="00395152"/>
    <w:rsid w:val="00395BA2"/>
    <w:rsid w:val="00395EA3"/>
    <w:rsid w:val="00396713"/>
    <w:rsid w:val="0039675C"/>
    <w:rsid w:val="003967F7"/>
    <w:rsid w:val="00396AD8"/>
    <w:rsid w:val="00396C59"/>
    <w:rsid w:val="003974D8"/>
    <w:rsid w:val="0039792D"/>
    <w:rsid w:val="00397D61"/>
    <w:rsid w:val="003A1133"/>
    <w:rsid w:val="003A1985"/>
    <w:rsid w:val="003A1C0D"/>
    <w:rsid w:val="003A1DA5"/>
    <w:rsid w:val="003A37CD"/>
    <w:rsid w:val="003A3BD7"/>
    <w:rsid w:val="003A4063"/>
    <w:rsid w:val="003A51D4"/>
    <w:rsid w:val="003A5664"/>
    <w:rsid w:val="003A5824"/>
    <w:rsid w:val="003A6796"/>
    <w:rsid w:val="003A6A38"/>
    <w:rsid w:val="003A6CA8"/>
    <w:rsid w:val="003A77F3"/>
    <w:rsid w:val="003B08C0"/>
    <w:rsid w:val="003B0970"/>
    <w:rsid w:val="003B14A8"/>
    <w:rsid w:val="003B1D19"/>
    <w:rsid w:val="003B2178"/>
    <w:rsid w:val="003B25EC"/>
    <w:rsid w:val="003B29DF"/>
    <w:rsid w:val="003B2A14"/>
    <w:rsid w:val="003B2C9E"/>
    <w:rsid w:val="003B3297"/>
    <w:rsid w:val="003B409C"/>
    <w:rsid w:val="003B458B"/>
    <w:rsid w:val="003B4AE0"/>
    <w:rsid w:val="003B53D5"/>
    <w:rsid w:val="003B54E1"/>
    <w:rsid w:val="003B5731"/>
    <w:rsid w:val="003B630F"/>
    <w:rsid w:val="003B67FB"/>
    <w:rsid w:val="003B6878"/>
    <w:rsid w:val="003B6B21"/>
    <w:rsid w:val="003B74C6"/>
    <w:rsid w:val="003B7796"/>
    <w:rsid w:val="003B7FFC"/>
    <w:rsid w:val="003C0A6B"/>
    <w:rsid w:val="003C0AE3"/>
    <w:rsid w:val="003C1662"/>
    <w:rsid w:val="003C1E16"/>
    <w:rsid w:val="003C1FFD"/>
    <w:rsid w:val="003C22C8"/>
    <w:rsid w:val="003C2909"/>
    <w:rsid w:val="003C34B4"/>
    <w:rsid w:val="003C3CFA"/>
    <w:rsid w:val="003C3F54"/>
    <w:rsid w:val="003C5292"/>
    <w:rsid w:val="003C5B91"/>
    <w:rsid w:val="003C5E1F"/>
    <w:rsid w:val="003C741E"/>
    <w:rsid w:val="003C7ABE"/>
    <w:rsid w:val="003C7CB0"/>
    <w:rsid w:val="003D030C"/>
    <w:rsid w:val="003D033F"/>
    <w:rsid w:val="003D053D"/>
    <w:rsid w:val="003D117D"/>
    <w:rsid w:val="003D1220"/>
    <w:rsid w:val="003D1D1F"/>
    <w:rsid w:val="003D202A"/>
    <w:rsid w:val="003D23B3"/>
    <w:rsid w:val="003D2E7F"/>
    <w:rsid w:val="003D30CC"/>
    <w:rsid w:val="003D3721"/>
    <w:rsid w:val="003D3C9C"/>
    <w:rsid w:val="003D5868"/>
    <w:rsid w:val="003D5AF3"/>
    <w:rsid w:val="003D6C80"/>
    <w:rsid w:val="003D6F42"/>
    <w:rsid w:val="003D7174"/>
    <w:rsid w:val="003D71A1"/>
    <w:rsid w:val="003D7571"/>
    <w:rsid w:val="003D7906"/>
    <w:rsid w:val="003D7C71"/>
    <w:rsid w:val="003D7E2B"/>
    <w:rsid w:val="003E218D"/>
    <w:rsid w:val="003E3B4F"/>
    <w:rsid w:val="003E3CA6"/>
    <w:rsid w:val="003E479B"/>
    <w:rsid w:val="003E48CC"/>
    <w:rsid w:val="003E5830"/>
    <w:rsid w:val="003E5CFB"/>
    <w:rsid w:val="003E5DC7"/>
    <w:rsid w:val="003E5E5C"/>
    <w:rsid w:val="003E5F06"/>
    <w:rsid w:val="003E6731"/>
    <w:rsid w:val="003E7143"/>
    <w:rsid w:val="003E71D8"/>
    <w:rsid w:val="003F0071"/>
    <w:rsid w:val="003F05AA"/>
    <w:rsid w:val="003F060F"/>
    <w:rsid w:val="003F153D"/>
    <w:rsid w:val="003F1579"/>
    <w:rsid w:val="003F2092"/>
    <w:rsid w:val="003F221A"/>
    <w:rsid w:val="003F2527"/>
    <w:rsid w:val="003F29C1"/>
    <w:rsid w:val="003F2B23"/>
    <w:rsid w:val="003F2BD4"/>
    <w:rsid w:val="003F43E9"/>
    <w:rsid w:val="003F459C"/>
    <w:rsid w:val="003F4742"/>
    <w:rsid w:val="003F533C"/>
    <w:rsid w:val="003F5819"/>
    <w:rsid w:val="003F5D07"/>
    <w:rsid w:val="003F67B9"/>
    <w:rsid w:val="003F696D"/>
    <w:rsid w:val="003F6AAC"/>
    <w:rsid w:val="003F70B4"/>
    <w:rsid w:val="003F74BC"/>
    <w:rsid w:val="003F7C0B"/>
    <w:rsid w:val="003F7CC2"/>
    <w:rsid w:val="00400B0B"/>
    <w:rsid w:val="004020B6"/>
    <w:rsid w:val="00402224"/>
    <w:rsid w:val="004031D1"/>
    <w:rsid w:val="00403264"/>
    <w:rsid w:val="004032BD"/>
    <w:rsid w:val="00403F48"/>
    <w:rsid w:val="00404498"/>
    <w:rsid w:val="004050AC"/>
    <w:rsid w:val="0040525F"/>
    <w:rsid w:val="00406083"/>
    <w:rsid w:val="0040793D"/>
    <w:rsid w:val="00411003"/>
    <w:rsid w:val="004113F9"/>
    <w:rsid w:val="00411692"/>
    <w:rsid w:val="0041172D"/>
    <w:rsid w:val="00413056"/>
    <w:rsid w:val="00413966"/>
    <w:rsid w:val="00414199"/>
    <w:rsid w:val="00414527"/>
    <w:rsid w:val="00414873"/>
    <w:rsid w:val="00415275"/>
    <w:rsid w:val="00415667"/>
    <w:rsid w:val="00415810"/>
    <w:rsid w:val="00415AE2"/>
    <w:rsid w:val="004161A0"/>
    <w:rsid w:val="004162F8"/>
    <w:rsid w:val="00416837"/>
    <w:rsid w:val="00416EF2"/>
    <w:rsid w:val="00420926"/>
    <w:rsid w:val="00420C80"/>
    <w:rsid w:val="0042150C"/>
    <w:rsid w:val="0042175B"/>
    <w:rsid w:val="00421CEC"/>
    <w:rsid w:val="0042242B"/>
    <w:rsid w:val="004225F2"/>
    <w:rsid w:val="00423402"/>
    <w:rsid w:val="00423531"/>
    <w:rsid w:val="00423F44"/>
    <w:rsid w:val="00424E0C"/>
    <w:rsid w:val="00425033"/>
    <w:rsid w:val="00425377"/>
    <w:rsid w:val="00425A96"/>
    <w:rsid w:val="00425BF1"/>
    <w:rsid w:val="00425FAB"/>
    <w:rsid w:val="00426339"/>
    <w:rsid w:val="00426C33"/>
    <w:rsid w:val="00426FF1"/>
    <w:rsid w:val="00427569"/>
    <w:rsid w:val="0043123A"/>
    <w:rsid w:val="004312A8"/>
    <w:rsid w:val="00431ACD"/>
    <w:rsid w:val="00431F56"/>
    <w:rsid w:val="004320FE"/>
    <w:rsid w:val="0043342B"/>
    <w:rsid w:val="00433476"/>
    <w:rsid w:val="00433C2B"/>
    <w:rsid w:val="004350C6"/>
    <w:rsid w:val="00435591"/>
    <w:rsid w:val="004361D7"/>
    <w:rsid w:val="00436ACF"/>
    <w:rsid w:val="00440438"/>
    <w:rsid w:val="0044198C"/>
    <w:rsid w:val="00442EF7"/>
    <w:rsid w:val="004430CD"/>
    <w:rsid w:val="00443319"/>
    <w:rsid w:val="00443A55"/>
    <w:rsid w:val="00444186"/>
    <w:rsid w:val="0044428C"/>
    <w:rsid w:val="0044458D"/>
    <w:rsid w:val="0044468F"/>
    <w:rsid w:val="00444E99"/>
    <w:rsid w:val="00447807"/>
    <w:rsid w:val="00447E39"/>
    <w:rsid w:val="00450E1A"/>
    <w:rsid w:val="00451B87"/>
    <w:rsid w:val="00452CEB"/>
    <w:rsid w:val="00454871"/>
    <w:rsid w:val="00455778"/>
    <w:rsid w:val="00456239"/>
    <w:rsid w:val="004608C8"/>
    <w:rsid w:val="00462825"/>
    <w:rsid w:val="00462E5F"/>
    <w:rsid w:val="00463237"/>
    <w:rsid w:val="0046349B"/>
    <w:rsid w:val="00463524"/>
    <w:rsid w:val="004635E9"/>
    <w:rsid w:val="00463A37"/>
    <w:rsid w:val="004647B5"/>
    <w:rsid w:val="0046492F"/>
    <w:rsid w:val="00464C9B"/>
    <w:rsid w:val="004655AB"/>
    <w:rsid w:val="0046635E"/>
    <w:rsid w:val="00466EA7"/>
    <w:rsid w:val="004670A9"/>
    <w:rsid w:val="0046730F"/>
    <w:rsid w:val="00467CF2"/>
    <w:rsid w:val="004704A9"/>
    <w:rsid w:val="00470ED6"/>
    <w:rsid w:val="0047148E"/>
    <w:rsid w:val="004718C9"/>
    <w:rsid w:val="00472158"/>
    <w:rsid w:val="00472531"/>
    <w:rsid w:val="00472F4A"/>
    <w:rsid w:val="00473CDF"/>
    <w:rsid w:val="00474225"/>
    <w:rsid w:val="00474714"/>
    <w:rsid w:val="00474AE0"/>
    <w:rsid w:val="00474D03"/>
    <w:rsid w:val="0047532F"/>
    <w:rsid w:val="004757E8"/>
    <w:rsid w:val="0047598B"/>
    <w:rsid w:val="00475BE5"/>
    <w:rsid w:val="00476843"/>
    <w:rsid w:val="00477EC4"/>
    <w:rsid w:val="004802EF"/>
    <w:rsid w:val="0048033F"/>
    <w:rsid w:val="0048053B"/>
    <w:rsid w:val="00480B08"/>
    <w:rsid w:val="00480BE1"/>
    <w:rsid w:val="00481544"/>
    <w:rsid w:val="00481C37"/>
    <w:rsid w:val="00481DB1"/>
    <w:rsid w:val="00482252"/>
    <w:rsid w:val="0048238B"/>
    <w:rsid w:val="004824F0"/>
    <w:rsid w:val="00482858"/>
    <w:rsid w:val="00483C51"/>
    <w:rsid w:val="00484E19"/>
    <w:rsid w:val="0048517D"/>
    <w:rsid w:val="00485845"/>
    <w:rsid w:val="0048712D"/>
    <w:rsid w:val="004871DC"/>
    <w:rsid w:val="004875FF"/>
    <w:rsid w:val="004879C9"/>
    <w:rsid w:val="00487F4C"/>
    <w:rsid w:val="004901FA"/>
    <w:rsid w:val="00490D14"/>
    <w:rsid w:val="00493889"/>
    <w:rsid w:val="00493FF6"/>
    <w:rsid w:val="00494A90"/>
    <w:rsid w:val="00494A9F"/>
    <w:rsid w:val="00495530"/>
    <w:rsid w:val="0049567C"/>
    <w:rsid w:val="00495BFB"/>
    <w:rsid w:val="0049606B"/>
    <w:rsid w:val="004963F0"/>
    <w:rsid w:val="00496490"/>
    <w:rsid w:val="00496C7A"/>
    <w:rsid w:val="00496F73"/>
    <w:rsid w:val="00497CF7"/>
    <w:rsid w:val="004A0783"/>
    <w:rsid w:val="004A0D97"/>
    <w:rsid w:val="004A199F"/>
    <w:rsid w:val="004A3928"/>
    <w:rsid w:val="004A3F48"/>
    <w:rsid w:val="004A56BC"/>
    <w:rsid w:val="004A5982"/>
    <w:rsid w:val="004A644C"/>
    <w:rsid w:val="004A7104"/>
    <w:rsid w:val="004A72BE"/>
    <w:rsid w:val="004A740F"/>
    <w:rsid w:val="004A7B56"/>
    <w:rsid w:val="004B0A1D"/>
    <w:rsid w:val="004B1115"/>
    <w:rsid w:val="004B1B26"/>
    <w:rsid w:val="004B1FEC"/>
    <w:rsid w:val="004B2981"/>
    <w:rsid w:val="004B3306"/>
    <w:rsid w:val="004B33FA"/>
    <w:rsid w:val="004B34F1"/>
    <w:rsid w:val="004B3BD4"/>
    <w:rsid w:val="004B40F2"/>
    <w:rsid w:val="004B49DE"/>
    <w:rsid w:val="004B4AA2"/>
    <w:rsid w:val="004B4B2D"/>
    <w:rsid w:val="004B4CDE"/>
    <w:rsid w:val="004B4E23"/>
    <w:rsid w:val="004B51B3"/>
    <w:rsid w:val="004B51CC"/>
    <w:rsid w:val="004B5C77"/>
    <w:rsid w:val="004B5CC9"/>
    <w:rsid w:val="004B61E3"/>
    <w:rsid w:val="004B7047"/>
    <w:rsid w:val="004B7165"/>
    <w:rsid w:val="004B757F"/>
    <w:rsid w:val="004C17E9"/>
    <w:rsid w:val="004C1D92"/>
    <w:rsid w:val="004C1DF7"/>
    <w:rsid w:val="004C2D27"/>
    <w:rsid w:val="004C3AA2"/>
    <w:rsid w:val="004C3B20"/>
    <w:rsid w:val="004C3F40"/>
    <w:rsid w:val="004C41B2"/>
    <w:rsid w:val="004C42D0"/>
    <w:rsid w:val="004C4900"/>
    <w:rsid w:val="004C5382"/>
    <w:rsid w:val="004C56F7"/>
    <w:rsid w:val="004C5DA8"/>
    <w:rsid w:val="004C682B"/>
    <w:rsid w:val="004C7160"/>
    <w:rsid w:val="004C79F2"/>
    <w:rsid w:val="004C7B44"/>
    <w:rsid w:val="004D18C7"/>
    <w:rsid w:val="004D21EA"/>
    <w:rsid w:val="004D28EF"/>
    <w:rsid w:val="004D3B8E"/>
    <w:rsid w:val="004D4257"/>
    <w:rsid w:val="004D453B"/>
    <w:rsid w:val="004D5A07"/>
    <w:rsid w:val="004D65C6"/>
    <w:rsid w:val="004D690A"/>
    <w:rsid w:val="004D716C"/>
    <w:rsid w:val="004D72E5"/>
    <w:rsid w:val="004D79F2"/>
    <w:rsid w:val="004D7B8D"/>
    <w:rsid w:val="004E01F9"/>
    <w:rsid w:val="004E0C04"/>
    <w:rsid w:val="004E0E70"/>
    <w:rsid w:val="004E3206"/>
    <w:rsid w:val="004E35BA"/>
    <w:rsid w:val="004E387F"/>
    <w:rsid w:val="004E47B7"/>
    <w:rsid w:val="004E4EB3"/>
    <w:rsid w:val="004E5016"/>
    <w:rsid w:val="004E5C57"/>
    <w:rsid w:val="004E61FB"/>
    <w:rsid w:val="004E6226"/>
    <w:rsid w:val="004E6D92"/>
    <w:rsid w:val="004E6E68"/>
    <w:rsid w:val="004E6F64"/>
    <w:rsid w:val="004E7BC2"/>
    <w:rsid w:val="004F0323"/>
    <w:rsid w:val="004F08F3"/>
    <w:rsid w:val="004F0956"/>
    <w:rsid w:val="004F0EF6"/>
    <w:rsid w:val="004F12DE"/>
    <w:rsid w:val="004F1B02"/>
    <w:rsid w:val="004F2127"/>
    <w:rsid w:val="004F25FF"/>
    <w:rsid w:val="004F4158"/>
    <w:rsid w:val="004F4877"/>
    <w:rsid w:val="004F4CA5"/>
    <w:rsid w:val="004F5626"/>
    <w:rsid w:val="004F56DD"/>
    <w:rsid w:val="004F6068"/>
    <w:rsid w:val="004F68DC"/>
    <w:rsid w:val="004F7282"/>
    <w:rsid w:val="004F74C9"/>
    <w:rsid w:val="004F767B"/>
    <w:rsid w:val="004F7802"/>
    <w:rsid w:val="004F9CE3"/>
    <w:rsid w:val="00500193"/>
    <w:rsid w:val="005001F3"/>
    <w:rsid w:val="005007DF"/>
    <w:rsid w:val="00500F38"/>
    <w:rsid w:val="005011F3"/>
    <w:rsid w:val="0050276B"/>
    <w:rsid w:val="00502ECB"/>
    <w:rsid w:val="00502FF6"/>
    <w:rsid w:val="00503D14"/>
    <w:rsid w:val="00503E83"/>
    <w:rsid w:val="0050451B"/>
    <w:rsid w:val="005045AC"/>
    <w:rsid w:val="00504968"/>
    <w:rsid w:val="00504AE9"/>
    <w:rsid w:val="0050580F"/>
    <w:rsid w:val="00505DC2"/>
    <w:rsid w:val="0050636D"/>
    <w:rsid w:val="00506857"/>
    <w:rsid w:val="00506F85"/>
    <w:rsid w:val="005070B5"/>
    <w:rsid w:val="00507586"/>
    <w:rsid w:val="0050763C"/>
    <w:rsid w:val="005077CB"/>
    <w:rsid w:val="00512477"/>
    <w:rsid w:val="00512987"/>
    <w:rsid w:val="0051298D"/>
    <w:rsid w:val="00512B7B"/>
    <w:rsid w:val="00512BA0"/>
    <w:rsid w:val="00512C2A"/>
    <w:rsid w:val="0051332E"/>
    <w:rsid w:val="0051374C"/>
    <w:rsid w:val="00513D29"/>
    <w:rsid w:val="00513E90"/>
    <w:rsid w:val="00513F26"/>
    <w:rsid w:val="0051481D"/>
    <w:rsid w:val="00514B5A"/>
    <w:rsid w:val="0051552A"/>
    <w:rsid w:val="00515799"/>
    <w:rsid w:val="00516008"/>
    <w:rsid w:val="005163AF"/>
    <w:rsid w:val="005164D3"/>
    <w:rsid w:val="0051686F"/>
    <w:rsid w:val="00516BE7"/>
    <w:rsid w:val="00516DCF"/>
    <w:rsid w:val="00517367"/>
    <w:rsid w:val="00517660"/>
    <w:rsid w:val="00517A8F"/>
    <w:rsid w:val="00520281"/>
    <w:rsid w:val="0052138F"/>
    <w:rsid w:val="0052232B"/>
    <w:rsid w:val="00522476"/>
    <w:rsid w:val="0052251A"/>
    <w:rsid w:val="00523567"/>
    <w:rsid w:val="00523C03"/>
    <w:rsid w:val="0052427B"/>
    <w:rsid w:val="00524FBB"/>
    <w:rsid w:val="0052506D"/>
    <w:rsid w:val="00525A92"/>
    <w:rsid w:val="00525D03"/>
    <w:rsid w:val="00525F66"/>
    <w:rsid w:val="005262AA"/>
    <w:rsid w:val="005269D4"/>
    <w:rsid w:val="00526A45"/>
    <w:rsid w:val="00526F7A"/>
    <w:rsid w:val="005271B4"/>
    <w:rsid w:val="00530066"/>
    <w:rsid w:val="0053199D"/>
    <w:rsid w:val="00532AD1"/>
    <w:rsid w:val="005348B6"/>
    <w:rsid w:val="00534985"/>
    <w:rsid w:val="00535761"/>
    <w:rsid w:val="005358B6"/>
    <w:rsid w:val="0053621E"/>
    <w:rsid w:val="00536875"/>
    <w:rsid w:val="005370E0"/>
    <w:rsid w:val="0053783C"/>
    <w:rsid w:val="00537F63"/>
    <w:rsid w:val="00541A30"/>
    <w:rsid w:val="00541BAC"/>
    <w:rsid w:val="00543FBC"/>
    <w:rsid w:val="005441BE"/>
    <w:rsid w:val="0054462E"/>
    <w:rsid w:val="00544A7F"/>
    <w:rsid w:val="00545794"/>
    <w:rsid w:val="005464D7"/>
    <w:rsid w:val="00546634"/>
    <w:rsid w:val="005472B3"/>
    <w:rsid w:val="00550321"/>
    <w:rsid w:val="00550D07"/>
    <w:rsid w:val="00550D4D"/>
    <w:rsid w:val="00551190"/>
    <w:rsid w:val="005512F2"/>
    <w:rsid w:val="0055231F"/>
    <w:rsid w:val="00552C71"/>
    <w:rsid w:val="0055342A"/>
    <w:rsid w:val="00553BAE"/>
    <w:rsid w:val="005541BA"/>
    <w:rsid w:val="005541C0"/>
    <w:rsid w:val="0055495D"/>
    <w:rsid w:val="005552D0"/>
    <w:rsid w:val="005556E1"/>
    <w:rsid w:val="00556043"/>
    <w:rsid w:val="00556433"/>
    <w:rsid w:val="00556BDA"/>
    <w:rsid w:val="005572B6"/>
    <w:rsid w:val="0055789A"/>
    <w:rsid w:val="005579B8"/>
    <w:rsid w:val="00557A83"/>
    <w:rsid w:val="00560131"/>
    <w:rsid w:val="0056038C"/>
    <w:rsid w:val="00560AAD"/>
    <w:rsid w:val="00560E60"/>
    <w:rsid w:val="00561983"/>
    <w:rsid w:val="0056199F"/>
    <w:rsid w:val="0056216F"/>
    <w:rsid w:val="0056285D"/>
    <w:rsid w:val="0056365C"/>
    <w:rsid w:val="00564017"/>
    <w:rsid w:val="00564332"/>
    <w:rsid w:val="00565AFA"/>
    <w:rsid w:val="00565EBC"/>
    <w:rsid w:val="00565F6D"/>
    <w:rsid w:val="00566D63"/>
    <w:rsid w:val="005673BE"/>
    <w:rsid w:val="005677E7"/>
    <w:rsid w:val="005702D8"/>
    <w:rsid w:val="0057097E"/>
    <w:rsid w:val="00570F21"/>
    <w:rsid w:val="00570F78"/>
    <w:rsid w:val="0057124B"/>
    <w:rsid w:val="0057149A"/>
    <w:rsid w:val="00572058"/>
    <w:rsid w:val="005726E6"/>
    <w:rsid w:val="00573633"/>
    <w:rsid w:val="00573DF2"/>
    <w:rsid w:val="00574C81"/>
    <w:rsid w:val="00575F09"/>
    <w:rsid w:val="005763B7"/>
    <w:rsid w:val="0057697C"/>
    <w:rsid w:val="00576DE5"/>
    <w:rsid w:val="00577D9C"/>
    <w:rsid w:val="005801D1"/>
    <w:rsid w:val="00580A99"/>
    <w:rsid w:val="00580C3A"/>
    <w:rsid w:val="00581AE9"/>
    <w:rsid w:val="005823FA"/>
    <w:rsid w:val="005824F0"/>
    <w:rsid w:val="005825A4"/>
    <w:rsid w:val="0058272E"/>
    <w:rsid w:val="0058280B"/>
    <w:rsid w:val="00583645"/>
    <w:rsid w:val="005837FA"/>
    <w:rsid w:val="00584190"/>
    <w:rsid w:val="0058491E"/>
    <w:rsid w:val="005849D8"/>
    <w:rsid w:val="00585458"/>
    <w:rsid w:val="00585509"/>
    <w:rsid w:val="00585A97"/>
    <w:rsid w:val="00585B82"/>
    <w:rsid w:val="00586608"/>
    <w:rsid w:val="00587085"/>
    <w:rsid w:val="005871A2"/>
    <w:rsid w:val="005872FE"/>
    <w:rsid w:val="0058783A"/>
    <w:rsid w:val="00587911"/>
    <w:rsid w:val="00587C69"/>
    <w:rsid w:val="00587F21"/>
    <w:rsid w:val="005900C9"/>
    <w:rsid w:val="0059010C"/>
    <w:rsid w:val="005904BB"/>
    <w:rsid w:val="00590598"/>
    <w:rsid w:val="00590B12"/>
    <w:rsid w:val="00591B6D"/>
    <w:rsid w:val="00592657"/>
    <w:rsid w:val="00592D4E"/>
    <w:rsid w:val="00593323"/>
    <w:rsid w:val="005934CC"/>
    <w:rsid w:val="00593E3B"/>
    <w:rsid w:val="005940CC"/>
    <w:rsid w:val="005946C1"/>
    <w:rsid w:val="0059523F"/>
    <w:rsid w:val="00595D52"/>
    <w:rsid w:val="00595E65"/>
    <w:rsid w:val="00595F20"/>
    <w:rsid w:val="00596BB4"/>
    <w:rsid w:val="00597ADB"/>
    <w:rsid w:val="00597B88"/>
    <w:rsid w:val="00597F2D"/>
    <w:rsid w:val="005A03E1"/>
    <w:rsid w:val="005A06A0"/>
    <w:rsid w:val="005A07A4"/>
    <w:rsid w:val="005A08D6"/>
    <w:rsid w:val="005A0ACC"/>
    <w:rsid w:val="005A0C23"/>
    <w:rsid w:val="005A1B38"/>
    <w:rsid w:val="005A1F13"/>
    <w:rsid w:val="005A2003"/>
    <w:rsid w:val="005A2CD7"/>
    <w:rsid w:val="005A30DE"/>
    <w:rsid w:val="005A3DA4"/>
    <w:rsid w:val="005A4492"/>
    <w:rsid w:val="005A4681"/>
    <w:rsid w:val="005A5261"/>
    <w:rsid w:val="005A56BF"/>
    <w:rsid w:val="005A6B88"/>
    <w:rsid w:val="005A6CC7"/>
    <w:rsid w:val="005A6D66"/>
    <w:rsid w:val="005A6F83"/>
    <w:rsid w:val="005A6FCD"/>
    <w:rsid w:val="005A71CB"/>
    <w:rsid w:val="005A739E"/>
    <w:rsid w:val="005A7542"/>
    <w:rsid w:val="005A780C"/>
    <w:rsid w:val="005B0F15"/>
    <w:rsid w:val="005B1272"/>
    <w:rsid w:val="005B19B3"/>
    <w:rsid w:val="005B2A97"/>
    <w:rsid w:val="005B2ADA"/>
    <w:rsid w:val="005B2C5F"/>
    <w:rsid w:val="005B2D21"/>
    <w:rsid w:val="005B3339"/>
    <w:rsid w:val="005B36DD"/>
    <w:rsid w:val="005B39C6"/>
    <w:rsid w:val="005B40AF"/>
    <w:rsid w:val="005B42EC"/>
    <w:rsid w:val="005B4D7E"/>
    <w:rsid w:val="005B599C"/>
    <w:rsid w:val="005B6458"/>
    <w:rsid w:val="005B659B"/>
    <w:rsid w:val="005B66A0"/>
    <w:rsid w:val="005B7308"/>
    <w:rsid w:val="005B73BF"/>
    <w:rsid w:val="005B7525"/>
    <w:rsid w:val="005C0202"/>
    <w:rsid w:val="005C0C5B"/>
    <w:rsid w:val="005C0D67"/>
    <w:rsid w:val="005C0EE9"/>
    <w:rsid w:val="005C1ABD"/>
    <w:rsid w:val="005C215E"/>
    <w:rsid w:val="005C4849"/>
    <w:rsid w:val="005C514E"/>
    <w:rsid w:val="005C5A27"/>
    <w:rsid w:val="005C5C87"/>
    <w:rsid w:val="005C6F66"/>
    <w:rsid w:val="005C7B1B"/>
    <w:rsid w:val="005D0B94"/>
    <w:rsid w:val="005D0D3A"/>
    <w:rsid w:val="005D1041"/>
    <w:rsid w:val="005D19E9"/>
    <w:rsid w:val="005D1E34"/>
    <w:rsid w:val="005D21D5"/>
    <w:rsid w:val="005D2AF1"/>
    <w:rsid w:val="005D309D"/>
    <w:rsid w:val="005D3587"/>
    <w:rsid w:val="005D3EB1"/>
    <w:rsid w:val="005D3F10"/>
    <w:rsid w:val="005D46BD"/>
    <w:rsid w:val="005D47C6"/>
    <w:rsid w:val="005D4924"/>
    <w:rsid w:val="005D4ADF"/>
    <w:rsid w:val="005D50F7"/>
    <w:rsid w:val="005D5804"/>
    <w:rsid w:val="005D5CA3"/>
    <w:rsid w:val="005D5D6A"/>
    <w:rsid w:val="005D5EBB"/>
    <w:rsid w:val="005D5ED5"/>
    <w:rsid w:val="005D5F77"/>
    <w:rsid w:val="005D6B9C"/>
    <w:rsid w:val="005D74D0"/>
    <w:rsid w:val="005D7958"/>
    <w:rsid w:val="005D7A87"/>
    <w:rsid w:val="005E031D"/>
    <w:rsid w:val="005E037C"/>
    <w:rsid w:val="005E0BB9"/>
    <w:rsid w:val="005E1054"/>
    <w:rsid w:val="005E3B86"/>
    <w:rsid w:val="005E44FB"/>
    <w:rsid w:val="005E4668"/>
    <w:rsid w:val="005E4E1A"/>
    <w:rsid w:val="005E4F38"/>
    <w:rsid w:val="005E5EDF"/>
    <w:rsid w:val="005E66B0"/>
    <w:rsid w:val="005E72F7"/>
    <w:rsid w:val="005E7D5F"/>
    <w:rsid w:val="005F0BCF"/>
    <w:rsid w:val="005F0CCC"/>
    <w:rsid w:val="005F1045"/>
    <w:rsid w:val="005F1789"/>
    <w:rsid w:val="005F285A"/>
    <w:rsid w:val="005F374F"/>
    <w:rsid w:val="005F437B"/>
    <w:rsid w:val="005F4C7B"/>
    <w:rsid w:val="005F5825"/>
    <w:rsid w:val="005F58FE"/>
    <w:rsid w:val="005F7274"/>
    <w:rsid w:val="005F74AD"/>
    <w:rsid w:val="005F7674"/>
    <w:rsid w:val="005F7EE6"/>
    <w:rsid w:val="006007F1"/>
    <w:rsid w:val="00600E65"/>
    <w:rsid w:val="00602CE3"/>
    <w:rsid w:val="00602FDB"/>
    <w:rsid w:val="0060354A"/>
    <w:rsid w:val="00603874"/>
    <w:rsid w:val="0060449C"/>
    <w:rsid w:val="0060494C"/>
    <w:rsid w:val="00604AD7"/>
    <w:rsid w:val="00605036"/>
    <w:rsid w:val="00605A02"/>
    <w:rsid w:val="00605D5F"/>
    <w:rsid w:val="00606ACC"/>
    <w:rsid w:val="00606C1E"/>
    <w:rsid w:val="00606CE4"/>
    <w:rsid w:val="006071C7"/>
    <w:rsid w:val="006075D1"/>
    <w:rsid w:val="006077D7"/>
    <w:rsid w:val="00607B2A"/>
    <w:rsid w:val="00607F5C"/>
    <w:rsid w:val="00610076"/>
    <w:rsid w:val="0061012F"/>
    <w:rsid w:val="006102AA"/>
    <w:rsid w:val="0061153A"/>
    <w:rsid w:val="00611D74"/>
    <w:rsid w:val="00612BE2"/>
    <w:rsid w:val="00613EB7"/>
    <w:rsid w:val="00614528"/>
    <w:rsid w:val="00614607"/>
    <w:rsid w:val="00615392"/>
    <w:rsid w:val="00615658"/>
    <w:rsid w:val="00616294"/>
    <w:rsid w:val="006162F2"/>
    <w:rsid w:val="0061660F"/>
    <w:rsid w:val="00616A8C"/>
    <w:rsid w:val="00616B58"/>
    <w:rsid w:val="0061700E"/>
    <w:rsid w:val="006177ED"/>
    <w:rsid w:val="006178C6"/>
    <w:rsid w:val="0062031C"/>
    <w:rsid w:val="006204C5"/>
    <w:rsid w:val="00620619"/>
    <w:rsid w:val="00620C3E"/>
    <w:rsid w:val="0062170C"/>
    <w:rsid w:val="00621B1A"/>
    <w:rsid w:val="00621C4C"/>
    <w:rsid w:val="006229AB"/>
    <w:rsid w:val="00622D0E"/>
    <w:rsid w:val="0062335E"/>
    <w:rsid w:val="006236DB"/>
    <w:rsid w:val="0062370A"/>
    <w:rsid w:val="00623FBE"/>
    <w:rsid w:val="00624057"/>
    <w:rsid w:val="0062436E"/>
    <w:rsid w:val="0062454E"/>
    <w:rsid w:val="006251D3"/>
    <w:rsid w:val="006258D0"/>
    <w:rsid w:val="00625C05"/>
    <w:rsid w:val="00625C83"/>
    <w:rsid w:val="00625C95"/>
    <w:rsid w:val="00625DE9"/>
    <w:rsid w:val="00626416"/>
    <w:rsid w:val="00626A76"/>
    <w:rsid w:val="00627046"/>
    <w:rsid w:val="00627143"/>
    <w:rsid w:val="006272A6"/>
    <w:rsid w:val="00627E5C"/>
    <w:rsid w:val="00630514"/>
    <w:rsid w:val="00630F4D"/>
    <w:rsid w:val="0063227B"/>
    <w:rsid w:val="0063281D"/>
    <w:rsid w:val="00632B0A"/>
    <w:rsid w:val="00632ECA"/>
    <w:rsid w:val="006333E6"/>
    <w:rsid w:val="00633A81"/>
    <w:rsid w:val="00633C0B"/>
    <w:rsid w:val="0063433D"/>
    <w:rsid w:val="006346BA"/>
    <w:rsid w:val="0063487C"/>
    <w:rsid w:val="006348AD"/>
    <w:rsid w:val="00634AB1"/>
    <w:rsid w:val="00634B89"/>
    <w:rsid w:val="00634F72"/>
    <w:rsid w:val="006357FA"/>
    <w:rsid w:val="00635C6C"/>
    <w:rsid w:val="00636766"/>
    <w:rsid w:val="006369F9"/>
    <w:rsid w:val="006374B8"/>
    <w:rsid w:val="006377C9"/>
    <w:rsid w:val="00637D52"/>
    <w:rsid w:val="0064047E"/>
    <w:rsid w:val="00640762"/>
    <w:rsid w:val="0064134D"/>
    <w:rsid w:val="00641862"/>
    <w:rsid w:val="00641A81"/>
    <w:rsid w:val="00642075"/>
    <w:rsid w:val="00642200"/>
    <w:rsid w:val="006422EA"/>
    <w:rsid w:val="00642410"/>
    <w:rsid w:val="00642450"/>
    <w:rsid w:val="0064247F"/>
    <w:rsid w:val="00643461"/>
    <w:rsid w:val="00643515"/>
    <w:rsid w:val="00643944"/>
    <w:rsid w:val="00643CF9"/>
    <w:rsid w:val="00644643"/>
    <w:rsid w:val="006449D8"/>
    <w:rsid w:val="006456E5"/>
    <w:rsid w:val="00645706"/>
    <w:rsid w:val="00645E4D"/>
    <w:rsid w:val="006467B5"/>
    <w:rsid w:val="006472CD"/>
    <w:rsid w:val="0064730F"/>
    <w:rsid w:val="006473E5"/>
    <w:rsid w:val="006515FE"/>
    <w:rsid w:val="00651758"/>
    <w:rsid w:val="0065183E"/>
    <w:rsid w:val="00651B8C"/>
    <w:rsid w:val="00651F7D"/>
    <w:rsid w:val="00652811"/>
    <w:rsid w:val="00653417"/>
    <w:rsid w:val="00653686"/>
    <w:rsid w:val="0065418F"/>
    <w:rsid w:val="00654A75"/>
    <w:rsid w:val="00654AE6"/>
    <w:rsid w:val="00654AEE"/>
    <w:rsid w:val="006569B3"/>
    <w:rsid w:val="00656C29"/>
    <w:rsid w:val="00656D59"/>
    <w:rsid w:val="0065728D"/>
    <w:rsid w:val="00657B67"/>
    <w:rsid w:val="0066091D"/>
    <w:rsid w:val="00660AC7"/>
    <w:rsid w:val="00662029"/>
    <w:rsid w:val="00662431"/>
    <w:rsid w:val="00662ED7"/>
    <w:rsid w:val="006637D1"/>
    <w:rsid w:val="00664156"/>
    <w:rsid w:val="006643FE"/>
    <w:rsid w:val="006644BC"/>
    <w:rsid w:val="00664626"/>
    <w:rsid w:val="00664D38"/>
    <w:rsid w:val="00666415"/>
    <w:rsid w:val="00666658"/>
    <w:rsid w:val="00666714"/>
    <w:rsid w:val="00666CEC"/>
    <w:rsid w:val="00667C9B"/>
    <w:rsid w:val="00667DC3"/>
    <w:rsid w:val="006714F0"/>
    <w:rsid w:val="0067159A"/>
    <w:rsid w:val="00671DD5"/>
    <w:rsid w:val="00672379"/>
    <w:rsid w:val="00672670"/>
    <w:rsid w:val="00672673"/>
    <w:rsid w:val="00672EC2"/>
    <w:rsid w:val="006745AA"/>
    <w:rsid w:val="00674BF2"/>
    <w:rsid w:val="00675186"/>
    <w:rsid w:val="00675B78"/>
    <w:rsid w:val="0067653F"/>
    <w:rsid w:val="00676A5B"/>
    <w:rsid w:val="00677454"/>
    <w:rsid w:val="00677667"/>
    <w:rsid w:val="00677A23"/>
    <w:rsid w:val="00677B65"/>
    <w:rsid w:val="00680402"/>
    <w:rsid w:val="0068040B"/>
    <w:rsid w:val="00680CA1"/>
    <w:rsid w:val="00680CB6"/>
    <w:rsid w:val="006812EF"/>
    <w:rsid w:val="006813B0"/>
    <w:rsid w:val="00681729"/>
    <w:rsid w:val="00682187"/>
    <w:rsid w:val="0068224E"/>
    <w:rsid w:val="00682266"/>
    <w:rsid w:val="0068305D"/>
    <w:rsid w:val="00683594"/>
    <w:rsid w:val="00683639"/>
    <w:rsid w:val="00685763"/>
    <w:rsid w:val="00686B62"/>
    <w:rsid w:val="00686CB9"/>
    <w:rsid w:val="00687083"/>
    <w:rsid w:val="00691D93"/>
    <w:rsid w:val="0069237B"/>
    <w:rsid w:val="00692558"/>
    <w:rsid w:val="0069255C"/>
    <w:rsid w:val="00692702"/>
    <w:rsid w:val="00692A60"/>
    <w:rsid w:val="006933C5"/>
    <w:rsid w:val="006940E3"/>
    <w:rsid w:val="00694558"/>
    <w:rsid w:val="006947B5"/>
    <w:rsid w:val="00695027"/>
    <w:rsid w:val="006951D1"/>
    <w:rsid w:val="00695BC8"/>
    <w:rsid w:val="00695FDD"/>
    <w:rsid w:val="0069617F"/>
    <w:rsid w:val="006965A3"/>
    <w:rsid w:val="0069667D"/>
    <w:rsid w:val="00696827"/>
    <w:rsid w:val="00696C89"/>
    <w:rsid w:val="00696EF8"/>
    <w:rsid w:val="00696FB4"/>
    <w:rsid w:val="0069764E"/>
    <w:rsid w:val="00697A47"/>
    <w:rsid w:val="006A07BC"/>
    <w:rsid w:val="006A254F"/>
    <w:rsid w:val="006A2F76"/>
    <w:rsid w:val="006A3284"/>
    <w:rsid w:val="006A3B44"/>
    <w:rsid w:val="006A4046"/>
    <w:rsid w:val="006A4542"/>
    <w:rsid w:val="006A5AF8"/>
    <w:rsid w:val="006A5B95"/>
    <w:rsid w:val="006A5D75"/>
    <w:rsid w:val="006A5DFA"/>
    <w:rsid w:val="006A60DD"/>
    <w:rsid w:val="006A6840"/>
    <w:rsid w:val="006A6941"/>
    <w:rsid w:val="006A76DC"/>
    <w:rsid w:val="006A77DC"/>
    <w:rsid w:val="006A7B32"/>
    <w:rsid w:val="006A7E75"/>
    <w:rsid w:val="006B008D"/>
    <w:rsid w:val="006B0E04"/>
    <w:rsid w:val="006B2577"/>
    <w:rsid w:val="006B25FA"/>
    <w:rsid w:val="006B30AE"/>
    <w:rsid w:val="006B3FF7"/>
    <w:rsid w:val="006B49FA"/>
    <w:rsid w:val="006B4AF3"/>
    <w:rsid w:val="006B52C4"/>
    <w:rsid w:val="006B5677"/>
    <w:rsid w:val="006B56BE"/>
    <w:rsid w:val="006B5CB8"/>
    <w:rsid w:val="006B746C"/>
    <w:rsid w:val="006C14C7"/>
    <w:rsid w:val="006C1BD1"/>
    <w:rsid w:val="006C1BDA"/>
    <w:rsid w:val="006C1E36"/>
    <w:rsid w:val="006C1F89"/>
    <w:rsid w:val="006C3DDD"/>
    <w:rsid w:val="006C4117"/>
    <w:rsid w:val="006C4280"/>
    <w:rsid w:val="006C436D"/>
    <w:rsid w:val="006C4C81"/>
    <w:rsid w:val="006C4EC5"/>
    <w:rsid w:val="006C51DC"/>
    <w:rsid w:val="006C52BE"/>
    <w:rsid w:val="006C5659"/>
    <w:rsid w:val="006C5A5B"/>
    <w:rsid w:val="006C604D"/>
    <w:rsid w:val="006C61C9"/>
    <w:rsid w:val="006C6415"/>
    <w:rsid w:val="006C6911"/>
    <w:rsid w:val="006C71A7"/>
    <w:rsid w:val="006D0111"/>
    <w:rsid w:val="006D012E"/>
    <w:rsid w:val="006D0961"/>
    <w:rsid w:val="006D172F"/>
    <w:rsid w:val="006D1E52"/>
    <w:rsid w:val="006D2749"/>
    <w:rsid w:val="006D3108"/>
    <w:rsid w:val="006D34E0"/>
    <w:rsid w:val="006D4207"/>
    <w:rsid w:val="006D4C89"/>
    <w:rsid w:val="006D4F7F"/>
    <w:rsid w:val="006D53BC"/>
    <w:rsid w:val="006D58FC"/>
    <w:rsid w:val="006D5C8B"/>
    <w:rsid w:val="006D5F3F"/>
    <w:rsid w:val="006D60BF"/>
    <w:rsid w:val="006D62E3"/>
    <w:rsid w:val="006D6565"/>
    <w:rsid w:val="006D6A53"/>
    <w:rsid w:val="006D78C3"/>
    <w:rsid w:val="006D79F2"/>
    <w:rsid w:val="006D7A9E"/>
    <w:rsid w:val="006E0142"/>
    <w:rsid w:val="006E043F"/>
    <w:rsid w:val="006E0E25"/>
    <w:rsid w:val="006E1E7F"/>
    <w:rsid w:val="006E2802"/>
    <w:rsid w:val="006E2C15"/>
    <w:rsid w:val="006E2DD4"/>
    <w:rsid w:val="006E3364"/>
    <w:rsid w:val="006E38F8"/>
    <w:rsid w:val="006E3986"/>
    <w:rsid w:val="006E49D1"/>
    <w:rsid w:val="006E5049"/>
    <w:rsid w:val="006E513F"/>
    <w:rsid w:val="006E5CCB"/>
    <w:rsid w:val="006E6271"/>
    <w:rsid w:val="006E68FB"/>
    <w:rsid w:val="006E72A2"/>
    <w:rsid w:val="006F0054"/>
    <w:rsid w:val="006F0772"/>
    <w:rsid w:val="006F2C48"/>
    <w:rsid w:val="006F2E8A"/>
    <w:rsid w:val="006F5194"/>
    <w:rsid w:val="006F533D"/>
    <w:rsid w:val="006F57C0"/>
    <w:rsid w:val="006F62FB"/>
    <w:rsid w:val="006F654B"/>
    <w:rsid w:val="006F6F64"/>
    <w:rsid w:val="006F6FE1"/>
    <w:rsid w:val="006F7204"/>
    <w:rsid w:val="006F73FF"/>
    <w:rsid w:val="006F7E04"/>
    <w:rsid w:val="00700407"/>
    <w:rsid w:val="00701A15"/>
    <w:rsid w:val="00702A12"/>
    <w:rsid w:val="00702BA0"/>
    <w:rsid w:val="0070409D"/>
    <w:rsid w:val="00705116"/>
    <w:rsid w:val="007051EB"/>
    <w:rsid w:val="00705634"/>
    <w:rsid w:val="00706403"/>
    <w:rsid w:val="007064FC"/>
    <w:rsid w:val="007067BC"/>
    <w:rsid w:val="00706800"/>
    <w:rsid w:val="007077D5"/>
    <w:rsid w:val="00710CD6"/>
    <w:rsid w:val="0071135C"/>
    <w:rsid w:val="00711C40"/>
    <w:rsid w:val="00712087"/>
    <w:rsid w:val="00712501"/>
    <w:rsid w:val="00713219"/>
    <w:rsid w:val="0071332C"/>
    <w:rsid w:val="007150C2"/>
    <w:rsid w:val="00715139"/>
    <w:rsid w:val="00715A81"/>
    <w:rsid w:val="00715E17"/>
    <w:rsid w:val="007162AC"/>
    <w:rsid w:val="007164AD"/>
    <w:rsid w:val="00716CDF"/>
    <w:rsid w:val="00717312"/>
    <w:rsid w:val="007176DC"/>
    <w:rsid w:val="0072065C"/>
    <w:rsid w:val="007209DC"/>
    <w:rsid w:val="007210CE"/>
    <w:rsid w:val="00721289"/>
    <w:rsid w:val="00721425"/>
    <w:rsid w:val="00721765"/>
    <w:rsid w:val="00721C8B"/>
    <w:rsid w:val="007225CB"/>
    <w:rsid w:val="00722649"/>
    <w:rsid w:val="007229FB"/>
    <w:rsid w:val="00722B34"/>
    <w:rsid w:val="00723614"/>
    <w:rsid w:val="00723FC4"/>
    <w:rsid w:val="00724410"/>
    <w:rsid w:val="0072467C"/>
    <w:rsid w:val="00724B22"/>
    <w:rsid w:val="0072553B"/>
    <w:rsid w:val="00725D61"/>
    <w:rsid w:val="00725DF0"/>
    <w:rsid w:val="0072634B"/>
    <w:rsid w:val="00726720"/>
    <w:rsid w:val="00726CBA"/>
    <w:rsid w:val="00726CF1"/>
    <w:rsid w:val="00726E96"/>
    <w:rsid w:val="00727669"/>
    <w:rsid w:val="007307E8"/>
    <w:rsid w:val="00730856"/>
    <w:rsid w:val="0073176B"/>
    <w:rsid w:val="00731DCE"/>
    <w:rsid w:val="007325B2"/>
    <w:rsid w:val="007326B7"/>
    <w:rsid w:val="00732BFF"/>
    <w:rsid w:val="007336BB"/>
    <w:rsid w:val="0073375E"/>
    <w:rsid w:val="007338C3"/>
    <w:rsid w:val="00733955"/>
    <w:rsid w:val="00734929"/>
    <w:rsid w:val="00734A68"/>
    <w:rsid w:val="00734FA5"/>
    <w:rsid w:val="007362EA"/>
    <w:rsid w:val="00736E49"/>
    <w:rsid w:val="0073751E"/>
    <w:rsid w:val="0073786D"/>
    <w:rsid w:val="00737D88"/>
    <w:rsid w:val="00740412"/>
    <w:rsid w:val="00740527"/>
    <w:rsid w:val="007409A9"/>
    <w:rsid w:val="007418D1"/>
    <w:rsid w:val="0074193E"/>
    <w:rsid w:val="00741C91"/>
    <w:rsid w:val="007424EC"/>
    <w:rsid w:val="0074255B"/>
    <w:rsid w:val="00743208"/>
    <w:rsid w:val="0074323B"/>
    <w:rsid w:val="0074336F"/>
    <w:rsid w:val="00743CEA"/>
    <w:rsid w:val="0074436C"/>
    <w:rsid w:val="00744550"/>
    <w:rsid w:val="00744B56"/>
    <w:rsid w:val="0074533F"/>
    <w:rsid w:val="007455E6"/>
    <w:rsid w:val="00745A0E"/>
    <w:rsid w:val="00745EF4"/>
    <w:rsid w:val="00746688"/>
    <w:rsid w:val="0075103B"/>
    <w:rsid w:val="007515EF"/>
    <w:rsid w:val="0075207E"/>
    <w:rsid w:val="00752172"/>
    <w:rsid w:val="0075310E"/>
    <w:rsid w:val="00753598"/>
    <w:rsid w:val="0075394B"/>
    <w:rsid w:val="00754B00"/>
    <w:rsid w:val="0075590C"/>
    <w:rsid w:val="007562AD"/>
    <w:rsid w:val="00756AD1"/>
    <w:rsid w:val="007570EF"/>
    <w:rsid w:val="00757BC9"/>
    <w:rsid w:val="007604F1"/>
    <w:rsid w:val="00760589"/>
    <w:rsid w:val="00761013"/>
    <w:rsid w:val="007611E7"/>
    <w:rsid w:val="00761862"/>
    <w:rsid w:val="00761AED"/>
    <w:rsid w:val="00761F46"/>
    <w:rsid w:val="0076291A"/>
    <w:rsid w:val="0076456C"/>
    <w:rsid w:val="00765719"/>
    <w:rsid w:val="00766417"/>
    <w:rsid w:val="007664CF"/>
    <w:rsid w:val="00766B91"/>
    <w:rsid w:val="00766E81"/>
    <w:rsid w:val="0077034C"/>
    <w:rsid w:val="00770D65"/>
    <w:rsid w:val="0077152A"/>
    <w:rsid w:val="0077166E"/>
    <w:rsid w:val="007717D3"/>
    <w:rsid w:val="00772010"/>
    <w:rsid w:val="00773C65"/>
    <w:rsid w:val="00774525"/>
    <w:rsid w:val="0077457D"/>
    <w:rsid w:val="00774DD1"/>
    <w:rsid w:val="00774F52"/>
    <w:rsid w:val="00775985"/>
    <w:rsid w:val="00775E42"/>
    <w:rsid w:val="0077617B"/>
    <w:rsid w:val="0077653B"/>
    <w:rsid w:val="007776CE"/>
    <w:rsid w:val="0077770D"/>
    <w:rsid w:val="00777EE5"/>
    <w:rsid w:val="00780070"/>
    <w:rsid w:val="007808F9"/>
    <w:rsid w:val="00780F69"/>
    <w:rsid w:val="00781450"/>
    <w:rsid w:val="007819CC"/>
    <w:rsid w:val="00781D29"/>
    <w:rsid w:val="00781D71"/>
    <w:rsid w:val="00781FE7"/>
    <w:rsid w:val="007820C5"/>
    <w:rsid w:val="00782AF0"/>
    <w:rsid w:val="0078347B"/>
    <w:rsid w:val="00783994"/>
    <w:rsid w:val="007839CC"/>
    <w:rsid w:val="00784FC0"/>
    <w:rsid w:val="00785571"/>
    <w:rsid w:val="0078597F"/>
    <w:rsid w:val="00786294"/>
    <w:rsid w:val="007868AC"/>
    <w:rsid w:val="00786CE9"/>
    <w:rsid w:val="0078744E"/>
    <w:rsid w:val="00787E3D"/>
    <w:rsid w:val="00790148"/>
    <w:rsid w:val="00792CDE"/>
    <w:rsid w:val="00792FA1"/>
    <w:rsid w:val="007930EB"/>
    <w:rsid w:val="0079420D"/>
    <w:rsid w:val="0079548A"/>
    <w:rsid w:val="00795C2B"/>
    <w:rsid w:val="007968E0"/>
    <w:rsid w:val="00797246"/>
    <w:rsid w:val="007975A6"/>
    <w:rsid w:val="007A056F"/>
    <w:rsid w:val="007A089E"/>
    <w:rsid w:val="007A0D60"/>
    <w:rsid w:val="007A0FFA"/>
    <w:rsid w:val="007A1942"/>
    <w:rsid w:val="007A2A1D"/>
    <w:rsid w:val="007A32D2"/>
    <w:rsid w:val="007A384A"/>
    <w:rsid w:val="007A433C"/>
    <w:rsid w:val="007A43D0"/>
    <w:rsid w:val="007A47D9"/>
    <w:rsid w:val="007A5D15"/>
    <w:rsid w:val="007A5D60"/>
    <w:rsid w:val="007A61E4"/>
    <w:rsid w:val="007A6277"/>
    <w:rsid w:val="007A64A5"/>
    <w:rsid w:val="007A64B3"/>
    <w:rsid w:val="007A6BE4"/>
    <w:rsid w:val="007B02EF"/>
    <w:rsid w:val="007B04D6"/>
    <w:rsid w:val="007B0DA3"/>
    <w:rsid w:val="007B12DA"/>
    <w:rsid w:val="007B137D"/>
    <w:rsid w:val="007B2B18"/>
    <w:rsid w:val="007B452D"/>
    <w:rsid w:val="007B47AD"/>
    <w:rsid w:val="007B49FD"/>
    <w:rsid w:val="007B618A"/>
    <w:rsid w:val="007B6AC1"/>
    <w:rsid w:val="007B7353"/>
    <w:rsid w:val="007B7716"/>
    <w:rsid w:val="007B7E5C"/>
    <w:rsid w:val="007C1129"/>
    <w:rsid w:val="007C166A"/>
    <w:rsid w:val="007C1A35"/>
    <w:rsid w:val="007C1EDB"/>
    <w:rsid w:val="007C2626"/>
    <w:rsid w:val="007C2B2D"/>
    <w:rsid w:val="007C31AC"/>
    <w:rsid w:val="007C38C4"/>
    <w:rsid w:val="007C4044"/>
    <w:rsid w:val="007C4201"/>
    <w:rsid w:val="007C5649"/>
    <w:rsid w:val="007C62B1"/>
    <w:rsid w:val="007D0168"/>
    <w:rsid w:val="007D045E"/>
    <w:rsid w:val="007D04D2"/>
    <w:rsid w:val="007D06F4"/>
    <w:rsid w:val="007D0A2E"/>
    <w:rsid w:val="007D0B85"/>
    <w:rsid w:val="007D156D"/>
    <w:rsid w:val="007D1CEB"/>
    <w:rsid w:val="007D29F0"/>
    <w:rsid w:val="007D2C1F"/>
    <w:rsid w:val="007D33DA"/>
    <w:rsid w:val="007D3B89"/>
    <w:rsid w:val="007D4FBF"/>
    <w:rsid w:val="007D501F"/>
    <w:rsid w:val="007D59A0"/>
    <w:rsid w:val="007D5EB4"/>
    <w:rsid w:val="007D5FBD"/>
    <w:rsid w:val="007D62A2"/>
    <w:rsid w:val="007D6A50"/>
    <w:rsid w:val="007D6AD0"/>
    <w:rsid w:val="007E0E64"/>
    <w:rsid w:val="007E140C"/>
    <w:rsid w:val="007E152E"/>
    <w:rsid w:val="007E19AE"/>
    <w:rsid w:val="007E2D8D"/>
    <w:rsid w:val="007E3507"/>
    <w:rsid w:val="007E4E05"/>
    <w:rsid w:val="007E577A"/>
    <w:rsid w:val="007E674F"/>
    <w:rsid w:val="007E6BF2"/>
    <w:rsid w:val="007E7401"/>
    <w:rsid w:val="007E78BC"/>
    <w:rsid w:val="007E7F4D"/>
    <w:rsid w:val="007F0067"/>
    <w:rsid w:val="007F0215"/>
    <w:rsid w:val="007F151D"/>
    <w:rsid w:val="007F1858"/>
    <w:rsid w:val="007F22EB"/>
    <w:rsid w:val="007F2374"/>
    <w:rsid w:val="007F2F37"/>
    <w:rsid w:val="007F41ED"/>
    <w:rsid w:val="007F452C"/>
    <w:rsid w:val="007F6310"/>
    <w:rsid w:val="007F6384"/>
    <w:rsid w:val="007F677A"/>
    <w:rsid w:val="007F6F00"/>
    <w:rsid w:val="007F73DC"/>
    <w:rsid w:val="0080031A"/>
    <w:rsid w:val="00800481"/>
    <w:rsid w:val="008005B1"/>
    <w:rsid w:val="008029A7"/>
    <w:rsid w:val="008030A8"/>
    <w:rsid w:val="00804E1E"/>
    <w:rsid w:val="00804F8F"/>
    <w:rsid w:val="00805D2F"/>
    <w:rsid w:val="008060D3"/>
    <w:rsid w:val="00806295"/>
    <w:rsid w:val="00806749"/>
    <w:rsid w:val="00806B1C"/>
    <w:rsid w:val="00807223"/>
    <w:rsid w:val="00811016"/>
    <w:rsid w:val="00811415"/>
    <w:rsid w:val="0081156F"/>
    <w:rsid w:val="00812065"/>
    <w:rsid w:val="00812985"/>
    <w:rsid w:val="00812CE2"/>
    <w:rsid w:val="00813B18"/>
    <w:rsid w:val="00814522"/>
    <w:rsid w:val="00814AAA"/>
    <w:rsid w:val="0081567A"/>
    <w:rsid w:val="00817032"/>
    <w:rsid w:val="00820266"/>
    <w:rsid w:val="00820C0C"/>
    <w:rsid w:val="00820FED"/>
    <w:rsid w:val="00822549"/>
    <w:rsid w:val="00822553"/>
    <w:rsid w:val="00822EE2"/>
    <w:rsid w:val="00823191"/>
    <w:rsid w:val="00823523"/>
    <w:rsid w:val="00823EB3"/>
    <w:rsid w:val="008243AA"/>
    <w:rsid w:val="00825285"/>
    <w:rsid w:val="00825D10"/>
    <w:rsid w:val="00827519"/>
    <w:rsid w:val="0082757B"/>
    <w:rsid w:val="00827BDB"/>
    <w:rsid w:val="0083037F"/>
    <w:rsid w:val="0083102E"/>
    <w:rsid w:val="00831140"/>
    <w:rsid w:val="00831173"/>
    <w:rsid w:val="0083119C"/>
    <w:rsid w:val="0083152E"/>
    <w:rsid w:val="00832D85"/>
    <w:rsid w:val="0083334F"/>
    <w:rsid w:val="008338A5"/>
    <w:rsid w:val="008338A6"/>
    <w:rsid w:val="00833BB2"/>
    <w:rsid w:val="008341C4"/>
    <w:rsid w:val="00834A7A"/>
    <w:rsid w:val="0083565D"/>
    <w:rsid w:val="00837432"/>
    <w:rsid w:val="0084015A"/>
    <w:rsid w:val="00840D43"/>
    <w:rsid w:val="00841544"/>
    <w:rsid w:val="00841793"/>
    <w:rsid w:val="008419ED"/>
    <w:rsid w:val="00841CC2"/>
    <w:rsid w:val="00842127"/>
    <w:rsid w:val="00843158"/>
    <w:rsid w:val="00843400"/>
    <w:rsid w:val="008438AF"/>
    <w:rsid w:val="00843934"/>
    <w:rsid w:val="00843979"/>
    <w:rsid w:val="00843B8D"/>
    <w:rsid w:val="00844317"/>
    <w:rsid w:val="0084448F"/>
    <w:rsid w:val="00844BA4"/>
    <w:rsid w:val="00844D00"/>
    <w:rsid w:val="008459B9"/>
    <w:rsid w:val="0084618B"/>
    <w:rsid w:val="008470CB"/>
    <w:rsid w:val="00847351"/>
    <w:rsid w:val="00850301"/>
    <w:rsid w:val="00850A6D"/>
    <w:rsid w:val="00851662"/>
    <w:rsid w:val="00851963"/>
    <w:rsid w:val="0085321F"/>
    <w:rsid w:val="008533AD"/>
    <w:rsid w:val="00853E4F"/>
    <w:rsid w:val="008545DD"/>
    <w:rsid w:val="00854CA4"/>
    <w:rsid w:val="008552DE"/>
    <w:rsid w:val="00856093"/>
    <w:rsid w:val="00856712"/>
    <w:rsid w:val="00856C07"/>
    <w:rsid w:val="00857156"/>
    <w:rsid w:val="0085786F"/>
    <w:rsid w:val="00857D24"/>
    <w:rsid w:val="00857D42"/>
    <w:rsid w:val="00861104"/>
    <w:rsid w:val="008612F2"/>
    <w:rsid w:val="00861C72"/>
    <w:rsid w:val="00862066"/>
    <w:rsid w:val="00862BD1"/>
    <w:rsid w:val="00862E7C"/>
    <w:rsid w:val="00863898"/>
    <w:rsid w:val="008639BD"/>
    <w:rsid w:val="00863C90"/>
    <w:rsid w:val="008642F8"/>
    <w:rsid w:val="008644CD"/>
    <w:rsid w:val="00864698"/>
    <w:rsid w:val="00864804"/>
    <w:rsid w:val="008654F9"/>
    <w:rsid w:val="00865B5A"/>
    <w:rsid w:val="0086615D"/>
    <w:rsid w:val="008666D3"/>
    <w:rsid w:val="00866A0F"/>
    <w:rsid w:val="00867237"/>
    <w:rsid w:val="00867C60"/>
    <w:rsid w:val="008701C3"/>
    <w:rsid w:val="00870A48"/>
    <w:rsid w:val="00870A50"/>
    <w:rsid w:val="00870CF1"/>
    <w:rsid w:val="00871298"/>
    <w:rsid w:val="00871BDB"/>
    <w:rsid w:val="00871CF9"/>
    <w:rsid w:val="00872367"/>
    <w:rsid w:val="00872460"/>
    <w:rsid w:val="00872FFD"/>
    <w:rsid w:val="008730D2"/>
    <w:rsid w:val="008731FE"/>
    <w:rsid w:val="008732F9"/>
    <w:rsid w:val="00873312"/>
    <w:rsid w:val="00874CE5"/>
    <w:rsid w:val="0087534B"/>
    <w:rsid w:val="0087541F"/>
    <w:rsid w:val="00875C00"/>
    <w:rsid w:val="00876C5B"/>
    <w:rsid w:val="00876D6E"/>
    <w:rsid w:val="00877977"/>
    <w:rsid w:val="00877AD9"/>
    <w:rsid w:val="0088012F"/>
    <w:rsid w:val="0088023F"/>
    <w:rsid w:val="0088047D"/>
    <w:rsid w:val="008806CE"/>
    <w:rsid w:val="00880CB3"/>
    <w:rsid w:val="00881230"/>
    <w:rsid w:val="00881619"/>
    <w:rsid w:val="00881798"/>
    <w:rsid w:val="00881CFA"/>
    <w:rsid w:val="008820BD"/>
    <w:rsid w:val="008821E7"/>
    <w:rsid w:val="00882EA1"/>
    <w:rsid w:val="0088330F"/>
    <w:rsid w:val="00883512"/>
    <w:rsid w:val="0088369C"/>
    <w:rsid w:val="008842CA"/>
    <w:rsid w:val="0088500A"/>
    <w:rsid w:val="008850A5"/>
    <w:rsid w:val="0088616C"/>
    <w:rsid w:val="008868B3"/>
    <w:rsid w:val="00886D96"/>
    <w:rsid w:val="00886EDF"/>
    <w:rsid w:val="008874A4"/>
    <w:rsid w:val="00887985"/>
    <w:rsid w:val="00887EB1"/>
    <w:rsid w:val="00890419"/>
    <w:rsid w:val="00890F13"/>
    <w:rsid w:val="00891836"/>
    <w:rsid w:val="00891A00"/>
    <w:rsid w:val="00891D30"/>
    <w:rsid w:val="00892188"/>
    <w:rsid w:val="008925BF"/>
    <w:rsid w:val="00892A50"/>
    <w:rsid w:val="00892B25"/>
    <w:rsid w:val="00893479"/>
    <w:rsid w:val="0089457D"/>
    <w:rsid w:val="008949F0"/>
    <w:rsid w:val="00894DAB"/>
    <w:rsid w:val="00896E25"/>
    <w:rsid w:val="00896EEC"/>
    <w:rsid w:val="00897AA6"/>
    <w:rsid w:val="008A164F"/>
    <w:rsid w:val="008A19EC"/>
    <w:rsid w:val="008A1C63"/>
    <w:rsid w:val="008A2513"/>
    <w:rsid w:val="008A2896"/>
    <w:rsid w:val="008A2B6E"/>
    <w:rsid w:val="008A31D0"/>
    <w:rsid w:val="008A3529"/>
    <w:rsid w:val="008A3937"/>
    <w:rsid w:val="008A439D"/>
    <w:rsid w:val="008A45CE"/>
    <w:rsid w:val="008A4E4E"/>
    <w:rsid w:val="008A5103"/>
    <w:rsid w:val="008A5D59"/>
    <w:rsid w:val="008A6529"/>
    <w:rsid w:val="008A6DDD"/>
    <w:rsid w:val="008A788C"/>
    <w:rsid w:val="008A7A37"/>
    <w:rsid w:val="008B00D3"/>
    <w:rsid w:val="008B0250"/>
    <w:rsid w:val="008B0718"/>
    <w:rsid w:val="008B1825"/>
    <w:rsid w:val="008B1BA6"/>
    <w:rsid w:val="008B2236"/>
    <w:rsid w:val="008B2AAF"/>
    <w:rsid w:val="008B2B65"/>
    <w:rsid w:val="008B38FF"/>
    <w:rsid w:val="008B3C54"/>
    <w:rsid w:val="008B4025"/>
    <w:rsid w:val="008B432A"/>
    <w:rsid w:val="008B4702"/>
    <w:rsid w:val="008B4E0F"/>
    <w:rsid w:val="008B51BC"/>
    <w:rsid w:val="008B5759"/>
    <w:rsid w:val="008B57B9"/>
    <w:rsid w:val="008B5834"/>
    <w:rsid w:val="008B5B48"/>
    <w:rsid w:val="008B5D7C"/>
    <w:rsid w:val="008B60A1"/>
    <w:rsid w:val="008B73C4"/>
    <w:rsid w:val="008B7FC3"/>
    <w:rsid w:val="008C010D"/>
    <w:rsid w:val="008C0563"/>
    <w:rsid w:val="008C0EFE"/>
    <w:rsid w:val="008C1831"/>
    <w:rsid w:val="008C1B8E"/>
    <w:rsid w:val="008C2961"/>
    <w:rsid w:val="008C3695"/>
    <w:rsid w:val="008C4AF9"/>
    <w:rsid w:val="008C4B65"/>
    <w:rsid w:val="008C57EE"/>
    <w:rsid w:val="008C5CCD"/>
    <w:rsid w:val="008C644E"/>
    <w:rsid w:val="008C6BE5"/>
    <w:rsid w:val="008C71E2"/>
    <w:rsid w:val="008C724E"/>
    <w:rsid w:val="008C79D9"/>
    <w:rsid w:val="008D079C"/>
    <w:rsid w:val="008D163B"/>
    <w:rsid w:val="008D17C6"/>
    <w:rsid w:val="008D24DD"/>
    <w:rsid w:val="008D262B"/>
    <w:rsid w:val="008D2667"/>
    <w:rsid w:val="008D4BE5"/>
    <w:rsid w:val="008D4E0A"/>
    <w:rsid w:val="008D5745"/>
    <w:rsid w:val="008D59BC"/>
    <w:rsid w:val="008D5AA3"/>
    <w:rsid w:val="008D6841"/>
    <w:rsid w:val="008E052B"/>
    <w:rsid w:val="008E05F7"/>
    <w:rsid w:val="008E066A"/>
    <w:rsid w:val="008E0AEB"/>
    <w:rsid w:val="008E2B99"/>
    <w:rsid w:val="008E2E2F"/>
    <w:rsid w:val="008E38BA"/>
    <w:rsid w:val="008E3D26"/>
    <w:rsid w:val="008E4981"/>
    <w:rsid w:val="008E4A62"/>
    <w:rsid w:val="008E5197"/>
    <w:rsid w:val="008E57FA"/>
    <w:rsid w:val="008E580D"/>
    <w:rsid w:val="008E5B40"/>
    <w:rsid w:val="008E5F5D"/>
    <w:rsid w:val="008E63F7"/>
    <w:rsid w:val="008E6BEC"/>
    <w:rsid w:val="008E7235"/>
    <w:rsid w:val="008E7B20"/>
    <w:rsid w:val="008E7E50"/>
    <w:rsid w:val="008F006B"/>
    <w:rsid w:val="008F07BB"/>
    <w:rsid w:val="008F0837"/>
    <w:rsid w:val="008F0AAD"/>
    <w:rsid w:val="008F1C08"/>
    <w:rsid w:val="008F1E56"/>
    <w:rsid w:val="008F38AF"/>
    <w:rsid w:val="008F3C1C"/>
    <w:rsid w:val="008F3C92"/>
    <w:rsid w:val="008F493D"/>
    <w:rsid w:val="008F4F67"/>
    <w:rsid w:val="008F524C"/>
    <w:rsid w:val="008F61FE"/>
    <w:rsid w:val="008F6E49"/>
    <w:rsid w:val="008F7570"/>
    <w:rsid w:val="009001C8"/>
    <w:rsid w:val="00900B06"/>
    <w:rsid w:val="00900C11"/>
    <w:rsid w:val="00901D61"/>
    <w:rsid w:val="00902C33"/>
    <w:rsid w:val="00903A4C"/>
    <w:rsid w:val="00903B11"/>
    <w:rsid w:val="00904154"/>
    <w:rsid w:val="00904245"/>
    <w:rsid w:val="00904F22"/>
    <w:rsid w:val="00905492"/>
    <w:rsid w:val="00905AAF"/>
    <w:rsid w:val="00905DFE"/>
    <w:rsid w:val="00906559"/>
    <w:rsid w:val="00907887"/>
    <w:rsid w:val="00907B35"/>
    <w:rsid w:val="00907D2C"/>
    <w:rsid w:val="0091104F"/>
    <w:rsid w:val="00911189"/>
    <w:rsid w:val="00911671"/>
    <w:rsid w:val="00911962"/>
    <w:rsid w:val="00912305"/>
    <w:rsid w:val="0091245E"/>
    <w:rsid w:val="009124A7"/>
    <w:rsid w:val="009128A1"/>
    <w:rsid w:val="009136DE"/>
    <w:rsid w:val="0091387B"/>
    <w:rsid w:val="0091391B"/>
    <w:rsid w:val="00913B93"/>
    <w:rsid w:val="0091427E"/>
    <w:rsid w:val="00914825"/>
    <w:rsid w:val="00914992"/>
    <w:rsid w:val="00914D9D"/>
    <w:rsid w:val="00915015"/>
    <w:rsid w:val="00915113"/>
    <w:rsid w:val="00916B48"/>
    <w:rsid w:val="00916DB5"/>
    <w:rsid w:val="009171E7"/>
    <w:rsid w:val="0091779A"/>
    <w:rsid w:val="00920B28"/>
    <w:rsid w:val="00920B7E"/>
    <w:rsid w:val="00920C15"/>
    <w:rsid w:val="00920C83"/>
    <w:rsid w:val="0092114D"/>
    <w:rsid w:val="00921CF7"/>
    <w:rsid w:val="00922889"/>
    <w:rsid w:val="00923BFA"/>
    <w:rsid w:val="00925AF0"/>
    <w:rsid w:val="009261E1"/>
    <w:rsid w:val="00926A30"/>
    <w:rsid w:val="00927D72"/>
    <w:rsid w:val="00930F9E"/>
    <w:rsid w:val="00931050"/>
    <w:rsid w:val="009310FE"/>
    <w:rsid w:val="00931886"/>
    <w:rsid w:val="0093207B"/>
    <w:rsid w:val="0093266D"/>
    <w:rsid w:val="00932C3E"/>
    <w:rsid w:val="0093343A"/>
    <w:rsid w:val="009337B4"/>
    <w:rsid w:val="0093388B"/>
    <w:rsid w:val="0093470F"/>
    <w:rsid w:val="009351BF"/>
    <w:rsid w:val="00936101"/>
    <w:rsid w:val="0093670B"/>
    <w:rsid w:val="0093728F"/>
    <w:rsid w:val="00937CF2"/>
    <w:rsid w:val="00937F08"/>
    <w:rsid w:val="0094056B"/>
    <w:rsid w:val="009409D4"/>
    <w:rsid w:val="00941A0A"/>
    <w:rsid w:val="00941D84"/>
    <w:rsid w:val="00942371"/>
    <w:rsid w:val="00942409"/>
    <w:rsid w:val="00942827"/>
    <w:rsid w:val="00942C18"/>
    <w:rsid w:val="00942EDF"/>
    <w:rsid w:val="0094360C"/>
    <w:rsid w:val="009437C7"/>
    <w:rsid w:val="00946225"/>
    <w:rsid w:val="009462E4"/>
    <w:rsid w:val="00946CCC"/>
    <w:rsid w:val="00947557"/>
    <w:rsid w:val="00950038"/>
    <w:rsid w:val="00950195"/>
    <w:rsid w:val="009518B7"/>
    <w:rsid w:val="00951C8C"/>
    <w:rsid w:val="009522A1"/>
    <w:rsid w:val="009526AA"/>
    <w:rsid w:val="00952C00"/>
    <w:rsid w:val="00952E3D"/>
    <w:rsid w:val="00952F77"/>
    <w:rsid w:val="009555AC"/>
    <w:rsid w:val="00955910"/>
    <w:rsid w:val="009572D4"/>
    <w:rsid w:val="00957F83"/>
    <w:rsid w:val="00960CD5"/>
    <w:rsid w:val="00961F02"/>
    <w:rsid w:val="009624F0"/>
    <w:rsid w:val="009627EB"/>
    <w:rsid w:val="00962F18"/>
    <w:rsid w:val="0096334D"/>
    <w:rsid w:val="0096358A"/>
    <w:rsid w:val="00963790"/>
    <w:rsid w:val="009639FE"/>
    <w:rsid w:val="00963DC0"/>
    <w:rsid w:val="00964746"/>
    <w:rsid w:val="00964929"/>
    <w:rsid w:val="00964BAB"/>
    <w:rsid w:val="009653EB"/>
    <w:rsid w:val="0096588E"/>
    <w:rsid w:val="00967486"/>
    <w:rsid w:val="009675EC"/>
    <w:rsid w:val="00967993"/>
    <w:rsid w:val="009679FE"/>
    <w:rsid w:val="0097010B"/>
    <w:rsid w:val="00971E5E"/>
    <w:rsid w:val="00972486"/>
    <w:rsid w:val="00972BC1"/>
    <w:rsid w:val="00972E2B"/>
    <w:rsid w:val="00974798"/>
    <w:rsid w:val="00974D29"/>
    <w:rsid w:val="009751B9"/>
    <w:rsid w:val="0097552A"/>
    <w:rsid w:val="009755B2"/>
    <w:rsid w:val="00975799"/>
    <w:rsid w:val="00976856"/>
    <w:rsid w:val="00976B58"/>
    <w:rsid w:val="00977D5B"/>
    <w:rsid w:val="009825A9"/>
    <w:rsid w:val="00982A0A"/>
    <w:rsid w:val="00983E8F"/>
    <w:rsid w:val="009846E9"/>
    <w:rsid w:val="009847BC"/>
    <w:rsid w:val="009849E7"/>
    <w:rsid w:val="0098558A"/>
    <w:rsid w:val="009859AF"/>
    <w:rsid w:val="00986171"/>
    <w:rsid w:val="00986730"/>
    <w:rsid w:val="00986B0C"/>
    <w:rsid w:val="00986E40"/>
    <w:rsid w:val="009870F2"/>
    <w:rsid w:val="00994857"/>
    <w:rsid w:val="00994FCB"/>
    <w:rsid w:val="0099530C"/>
    <w:rsid w:val="00995B8B"/>
    <w:rsid w:val="00995F6B"/>
    <w:rsid w:val="00996720"/>
    <w:rsid w:val="00997449"/>
    <w:rsid w:val="00997F2C"/>
    <w:rsid w:val="009A098F"/>
    <w:rsid w:val="009A0A4F"/>
    <w:rsid w:val="009A0B0F"/>
    <w:rsid w:val="009A0F59"/>
    <w:rsid w:val="009A2176"/>
    <w:rsid w:val="009A228B"/>
    <w:rsid w:val="009A29D3"/>
    <w:rsid w:val="009A3D98"/>
    <w:rsid w:val="009A4784"/>
    <w:rsid w:val="009A4A87"/>
    <w:rsid w:val="009A4F5B"/>
    <w:rsid w:val="009A7643"/>
    <w:rsid w:val="009B0918"/>
    <w:rsid w:val="009B14C8"/>
    <w:rsid w:val="009B150D"/>
    <w:rsid w:val="009B1D8C"/>
    <w:rsid w:val="009B1D8F"/>
    <w:rsid w:val="009B1F8D"/>
    <w:rsid w:val="009B22AE"/>
    <w:rsid w:val="009B26E6"/>
    <w:rsid w:val="009B35FE"/>
    <w:rsid w:val="009B438F"/>
    <w:rsid w:val="009B43A5"/>
    <w:rsid w:val="009B49A0"/>
    <w:rsid w:val="009B4D09"/>
    <w:rsid w:val="009B503E"/>
    <w:rsid w:val="009B59BA"/>
    <w:rsid w:val="009B618F"/>
    <w:rsid w:val="009B63AC"/>
    <w:rsid w:val="009B67C9"/>
    <w:rsid w:val="009B6C1E"/>
    <w:rsid w:val="009B7A09"/>
    <w:rsid w:val="009B7EC4"/>
    <w:rsid w:val="009C006F"/>
    <w:rsid w:val="009C1182"/>
    <w:rsid w:val="009C22C6"/>
    <w:rsid w:val="009C3FA6"/>
    <w:rsid w:val="009C49F8"/>
    <w:rsid w:val="009C4B51"/>
    <w:rsid w:val="009C4C35"/>
    <w:rsid w:val="009C5296"/>
    <w:rsid w:val="009C62CA"/>
    <w:rsid w:val="009C7853"/>
    <w:rsid w:val="009D10EF"/>
    <w:rsid w:val="009D16A8"/>
    <w:rsid w:val="009D1754"/>
    <w:rsid w:val="009D1BCA"/>
    <w:rsid w:val="009D2007"/>
    <w:rsid w:val="009D2289"/>
    <w:rsid w:val="009D2E91"/>
    <w:rsid w:val="009D3598"/>
    <w:rsid w:val="009D3CBF"/>
    <w:rsid w:val="009D479C"/>
    <w:rsid w:val="009D48E4"/>
    <w:rsid w:val="009D4C78"/>
    <w:rsid w:val="009D5058"/>
    <w:rsid w:val="009D5A41"/>
    <w:rsid w:val="009D61EB"/>
    <w:rsid w:val="009D624D"/>
    <w:rsid w:val="009D6780"/>
    <w:rsid w:val="009D72C7"/>
    <w:rsid w:val="009D78E6"/>
    <w:rsid w:val="009E0B5D"/>
    <w:rsid w:val="009E15AA"/>
    <w:rsid w:val="009E186D"/>
    <w:rsid w:val="009E1B6B"/>
    <w:rsid w:val="009E2563"/>
    <w:rsid w:val="009E2770"/>
    <w:rsid w:val="009E2783"/>
    <w:rsid w:val="009E2D9A"/>
    <w:rsid w:val="009E2E03"/>
    <w:rsid w:val="009E306A"/>
    <w:rsid w:val="009E35FE"/>
    <w:rsid w:val="009E37D5"/>
    <w:rsid w:val="009E529B"/>
    <w:rsid w:val="009E544E"/>
    <w:rsid w:val="009E5820"/>
    <w:rsid w:val="009E5F40"/>
    <w:rsid w:val="009E709D"/>
    <w:rsid w:val="009E71C3"/>
    <w:rsid w:val="009E7462"/>
    <w:rsid w:val="009F0A63"/>
    <w:rsid w:val="009F0D90"/>
    <w:rsid w:val="009F0FF0"/>
    <w:rsid w:val="009F1919"/>
    <w:rsid w:val="009F1AB2"/>
    <w:rsid w:val="009F39A3"/>
    <w:rsid w:val="009F48F0"/>
    <w:rsid w:val="009F4AC5"/>
    <w:rsid w:val="009F53F5"/>
    <w:rsid w:val="009F5F1E"/>
    <w:rsid w:val="009F6855"/>
    <w:rsid w:val="009F6F88"/>
    <w:rsid w:val="00A005F4"/>
    <w:rsid w:val="00A00950"/>
    <w:rsid w:val="00A00B5D"/>
    <w:rsid w:val="00A0192F"/>
    <w:rsid w:val="00A01B37"/>
    <w:rsid w:val="00A035A2"/>
    <w:rsid w:val="00A03FC8"/>
    <w:rsid w:val="00A04894"/>
    <w:rsid w:val="00A050C5"/>
    <w:rsid w:val="00A068CB"/>
    <w:rsid w:val="00A07386"/>
    <w:rsid w:val="00A10441"/>
    <w:rsid w:val="00A10A31"/>
    <w:rsid w:val="00A10A3A"/>
    <w:rsid w:val="00A112D3"/>
    <w:rsid w:val="00A1180B"/>
    <w:rsid w:val="00A12382"/>
    <w:rsid w:val="00A131A2"/>
    <w:rsid w:val="00A1364C"/>
    <w:rsid w:val="00A14AA3"/>
    <w:rsid w:val="00A15D35"/>
    <w:rsid w:val="00A16895"/>
    <w:rsid w:val="00A16C50"/>
    <w:rsid w:val="00A171A6"/>
    <w:rsid w:val="00A172E5"/>
    <w:rsid w:val="00A176A3"/>
    <w:rsid w:val="00A179FA"/>
    <w:rsid w:val="00A17F85"/>
    <w:rsid w:val="00A20060"/>
    <w:rsid w:val="00A212D9"/>
    <w:rsid w:val="00A21CD5"/>
    <w:rsid w:val="00A22471"/>
    <w:rsid w:val="00A22A69"/>
    <w:rsid w:val="00A235F7"/>
    <w:rsid w:val="00A236B9"/>
    <w:rsid w:val="00A2392D"/>
    <w:rsid w:val="00A23F92"/>
    <w:rsid w:val="00A25E00"/>
    <w:rsid w:val="00A26359"/>
    <w:rsid w:val="00A266C6"/>
    <w:rsid w:val="00A2687D"/>
    <w:rsid w:val="00A26DAA"/>
    <w:rsid w:val="00A27AAB"/>
    <w:rsid w:val="00A27C74"/>
    <w:rsid w:val="00A27EA1"/>
    <w:rsid w:val="00A30145"/>
    <w:rsid w:val="00A302BA"/>
    <w:rsid w:val="00A302C6"/>
    <w:rsid w:val="00A3044D"/>
    <w:rsid w:val="00A305D9"/>
    <w:rsid w:val="00A31BC4"/>
    <w:rsid w:val="00A31C34"/>
    <w:rsid w:val="00A31CAC"/>
    <w:rsid w:val="00A320F7"/>
    <w:rsid w:val="00A32403"/>
    <w:rsid w:val="00A33CC3"/>
    <w:rsid w:val="00A34071"/>
    <w:rsid w:val="00A341F4"/>
    <w:rsid w:val="00A34688"/>
    <w:rsid w:val="00A34709"/>
    <w:rsid w:val="00A34ACB"/>
    <w:rsid w:val="00A35419"/>
    <w:rsid w:val="00A356F5"/>
    <w:rsid w:val="00A35CDC"/>
    <w:rsid w:val="00A36E31"/>
    <w:rsid w:val="00A37066"/>
    <w:rsid w:val="00A37DEA"/>
    <w:rsid w:val="00A40034"/>
    <w:rsid w:val="00A4210D"/>
    <w:rsid w:val="00A423B3"/>
    <w:rsid w:val="00A42EEC"/>
    <w:rsid w:val="00A43A22"/>
    <w:rsid w:val="00A44019"/>
    <w:rsid w:val="00A44C96"/>
    <w:rsid w:val="00A45155"/>
    <w:rsid w:val="00A45DF7"/>
    <w:rsid w:val="00A46469"/>
    <w:rsid w:val="00A46638"/>
    <w:rsid w:val="00A466D0"/>
    <w:rsid w:val="00A46E26"/>
    <w:rsid w:val="00A47239"/>
    <w:rsid w:val="00A472EA"/>
    <w:rsid w:val="00A47D6B"/>
    <w:rsid w:val="00A47F2F"/>
    <w:rsid w:val="00A5087B"/>
    <w:rsid w:val="00A51FE7"/>
    <w:rsid w:val="00A524F1"/>
    <w:rsid w:val="00A5260F"/>
    <w:rsid w:val="00A528D9"/>
    <w:rsid w:val="00A52964"/>
    <w:rsid w:val="00A531E1"/>
    <w:rsid w:val="00A53472"/>
    <w:rsid w:val="00A5455F"/>
    <w:rsid w:val="00A5469A"/>
    <w:rsid w:val="00A54989"/>
    <w:rsid w:val="00A54AE7"/>
    <w:rsid w:val="00A54C4D"/>
    <w:rsid w:val="00A55593"/>
    <w:rsid w:val="00A55A35"/>
    <w:rsid w:val="00A55D35"/>
    <w:rsid w:val="00A55EA3"/>
    <w:rsid w:val="00A5672E"/>
    <w:rsid w:val="00A57200"/>
    <w:rsid w:val="00A60E17"/>
    <w:rsid w:val="00A61683"/>
    <w:rsid w:val="00A61930"/>
    <w:rsid w:val="00A619B6"/>
    <w:rsid w:val="00A61A84"/>
    <w:rsid w:val="00A62088"/>
    <w:rsid w:val="00A6252D"/>
    <w:rsid w:val="00A62838"/>
    <w:rsid w:val="00A629BB"/>
    <w:rsid w:val="00A629EC"/>
    <w:rsid w:val="00A6326C"/>
    <w:rsid w:val="00A6416B"/>
    <w:rsid w:val="00A641E1"/>
    <w:rsid w:val="00A6480A"/>
    <w:rsid w:val="00A64905"/>
    <w:rsid w:val="00A6583E"/>
    <w:rsid w:val="00A65A6C"/>
    <w:rsid w:val="00A65AAE"/>
    <w:rsid w:val="00A65C19"/>
    <w:rsid w:val="00A66B21"/>
    <w:rsid w:val="00A66BAD"/>
    <w:rsid w:val="00A66ED8"/>
    <w:rsid w:val="00A6760F"/>
    <w:rsid w:val="00A70034"/>
    <w:rsid w:val="00A701B7"/>
    <w:rsid w:val="00A70201"/>
    <w:rsid w:val="00A703FF"/>
    <w:rsid w:val="00A713FC"/>
    <w:rsid w:val="00A71E8B"/>
    <w:rsid w:val="00A72074"/>
    <w:rsid w:val="00A72FB3"/>
    <w:rsid w:val="00A740AB"/>
    <w:rsid w:val="00A741C3"/>
    <w:rsid w:val="00A74570"/>
    <w:rsid w:val="00A75719"/>
    <w:rsid w:val="00A75C6E"/>
    <w:rsid w:val="00A76522"/>
    <w:rsid w:val="00A77365"/>
    <w:rsid w:val="00A778BB"/>
    <w:rsid w:val="00A77D7A"/>
    <w:rsid w:val="00A806DF"/>
    <w:rsid w:val="00A81584"/>
    <w:rsid w:val="00A816A8"/>
    <w:rsid w:val="00A81C46"/>
    <w:rsid w:val="00A82152"/>
    <w:rsid w:val="00A826BA"/>
    <w:rsid w:val="00A82FB6"/>
    <w:rsid w:val="00A83005"/>
    <w:rsid w:val="00A83EA6"/>
    <w:rsid w:val="00A846EB"/>
    <w:rsid w:val="00A84714"/>
    <w:rsid w:val="00A857DD"/>
    <w:rsid w:val="00A85E8F"/>
    <w:rsid w:val="00A86126"/>
    <w:rsid w:val="00A866CC"/>
    <w:rsid w:val="00A86A2B"/>
    <w:rsid w:val="00A87555"/>
    <w:rsid w:val="00A9012A"/>
    <w:rsid w:val="00A9079D"/>
    <w:rsid w:val="00A913D6"/>
    <w:rsid w:val="00A91AC0"/>
    <w:rsid w:val="00A91BF5"/>
    <w:rsid w:val="00A91D9E"/>
    <w:rsid w:val="00A91FF1"/>
    <w:rsid w:val="00A92E8E"/>
    <w:rsid w:val="00A93A6E"/>
    <w:rsid w:val="00A93B0D"/>
    <w:rsid w:val="00A9459C"/>
    <w:rsid w:val="00A945D9"/>
    <w:rsid w:val="00A95B56"/>
    <w:rsid w:val="00A9636D"/>
    <w:rsid w:val="00A965B1"/>
    <w:rsid w:val="00A97066"/>
    <w:rsid w:val="00A975FA"/>
    <w:rsid w:val="00A9787A"/>
    <w:rsid w:val="00A97883"/>
    <w:rsid w:val="00A97A89"/>
    <w:rsid w:val="00A97E07"/>
    <w:rsid w:val="00AA05E2"/>
    <w:rsid w:val="00AA0DD8"/>
    <w:rsid w:val="00AA11E9"/>
    <w:rsid w:val="00AA25C5"/>
    <w:rsid w:val="00AA29DC"/>
    <w:rsid w:val="00AA422C"/>
    <w:rsid w:val="00AA472E"/>
    <w:rsid w:val="00AA595B"/>
    <w:rsid w:val="00AA657C"/>
    <w:rsid w:val="00AA693C"/>
    <w:rsid w:val="00AA69D3"/>
    <w:rsid w:val="00AA6B11"/>
    <w:rsid w:val="00AA7AB2"/>
    <w:rsid w:val="00AA7E77"/>
    <w:rsid w:val="00AB1014"/>
    <w:rsid w:val="00AB15A1"/>
    <w:rsid w:val="00AB1962"/>
    <w:rsid w:val="00AB199B"/>
    <w:rsid w:val="00AB1AA7"/>
    <w:rsid w:val="00AB1EFA"/>
    <w:rsid w:val="00AB2B11"/>
    <w:rsid w:val="00AB3679"/>
    <w:rsid w:val="00AB3B14"/>
    <w:rsid w:val="00AB3EBA"/>
    <w:rsid w:val="00AB4982"/>
    <w:rsid w:val="00AB4B49"/>
    <w:rsid w:val="00AB50D6"/>
    <w:rsid w:val="00AB511E"/>
    <w:rsid w:val="00AB5A99"/>
    <w:rsid w:val="00AB5D6F"/>
    <w:rsid w:val="00AB6BEE"/>
    <w:rsid w:val="00AB7449"/>
    <w:rsid w:val="00AB778A"/>
    <w:rsid w:val="00AB7BD4"/>
    <w:rsid w:val="00AC00BF"/>
    <w:rsid w:val="00AC03BB"/>
    <w:rsid w:val="00AC1C6F"/>
    <w:rsid w:val="00AC27FD"/>
    <w:rsid w:val="00AC2EF3"/>
    <w:rsid w:val="00AC436D"/>
    <w:rsid w:val="00AC586A"/>
    <w:rsid w:val="00AC5B1C"/>
    <w:rsid w:val="00AC5D5E"/>
    <w:rsid w:val="00AC7198"/>
    <w:rsid w:val="00AD054A"/>
    <w:rsid w:val="00AD2186"/>
    <w:rsid w:val="00AD34DD"/>
    <w:rsid w:val="00AD3614"/>
    <w:rsid w:val="00AD383D"/>
    <w:rsid w:val="00AD3B5D"/>
    <w:rsid w:val="00AD43E1"/>
    <w:rsid w:val="00AD4576"/>
    <w:rsid w:val="00AD4ABB"/>
    <w:rsid w:val="00AD4B77"/>
    <w:rsid w:val="00AD62CE"/>
    <w:rsid w:val="00AD63EF"/>
    <w:rsid w:val="00AD6644"/>
    <w:rsid w:val="00AD6941"/>
    <w:rsid w:val="00AD75F9"/>
    <w:rsid w:val="00AD78F9"/>
    <w:rsid w:val="00AE06A6"/>
    <w:rsid w:val="00AE0E75"/>
    <w:rsid w:val="00AE1114"/>
    <w:rsid w:val="00AE12C9"/>
    <w:rsid w:val="00AE1665"/>
    <w:rsid w:val="00AE178C"/>
    <w:rsid w:val="00AE1839"/>
    <w:rsid w:val="00AE2C20"/>
    <w:rsid w:val="00AE3066"/>
    <w:rsid w:val="00AE38B1"/>
    <w:rsid w:val="00AE52E9"/>
    <w:rsid w:val="00AE5FDF"/>
    <w:rsid w:val="00AE6264"/>
    <w:rsid w:val="00AE63B5"/>
    <w:rsid w:val="00AE644B"/>
    <w:rsid w:val="00AF0077"/>
    <w:rsid w:val="00AF03D0"/>
    <w:rsid w:val="00AF062C"/>
    <w:rsid w:val="00AF0ECD"/>
    <w:rsid w:val="00AF1481"/>
    <w:rsid w:val="00AF223A"/>
    <w:rsid w:val="00AF2DCB"/>
    <w:rsid w:val="00AF3971"/>
    <w:rsid w:val="00AF52BE"/>
    <w:rsid w:val="00AF566D"/>
    <w:rsid w:val="00AF5A24"/>
    <w:rsid w:val="00AF6909"/>
    <w:rsid w:val="00AF69C5"/>
    <w:rsid w:val="00AF6D4C"/>
    <w:rsid w:val="00AF7CCE"/>
    <w:rsid w:val="00B0072C"/>
    <w:rsid w:val="00B020CA"/>
    <w:rsid w:val="00B02246"/>
    <w:rsid w:val="00B03195"/>
    <w:rsid w:val="00B031AD"/>
    <w:rsid w:val="00B04019"/>
    <w:rsid w:val="00B04119"/>
    <w:rsid w:val="00B04865"/>
    <w:rsid w:val="00B04F1E"/>
    <w:rsid w:val="00B06624"/>
    <w:rsid w:val="00B07278"/>
    <w:rsid w:val="00B079AF"/>
    <w:rsid w:val="00B07BFE"/>
    <w:rsid w:val="00B11B72"/>
    <w:rsid w:val="00B11F3C"/>
    <w:rsid w:val="00B122AE"/>
    <w:rsid w:val="00B124A4"/>
    <w:rsid w:val="00B12AF7"/>
    <w:rsid w:val="00B1379C"/>
    <w:rsid w:val="00B139CC"/>
    <w:rsid w:val="00B13C43"/>
    <w:rsid w:val="00B13EAF"/>
    <w:rsid w:val="00B144B4"/>
    <w:rsid w:val="00B14785"/>
    <w:rsid w:val="00B15668"/>
    <w:rsid w:val="00B15A13"/>
    <w:rsid w:val="00B1677B"/>
    <w:rsid w:val="00B17068"/>
    <w:rsid w:val="00B171AF"/>
    <w:rsid w:val="00B175C2"/>
    <w:rsid w:val="00B20158"/>
    <w:rsid w:val="00B2039B"/>
    <w:rsid w:val="00B20943"/>
    <w:rsid w:val="00B20A32"/>
    <w:rsid w:val="00B20BE1"/>
    <w:rsid w:val="00B22015"/>
    <w:rsid w:val="00B234C6"/>
    <w:rsid w:val="00B265FC"/>
    <w:rsid w:val="00B266BE"/>
    <w:rsid w:val="00B26E43"/>
    <w:rsid w:val="00B2772A"/>
    <w:rsid w:val="00B3016B"/>
    <w:rsid w:val="00B307EC"/>
    <w:rsid w:val="00B3109B"/>
    <w:rsid w:val="00B3293C"/>
    <w:rsid w:val="00B32A91"/>
    <w:rsid w:val="00B32FDE"/>
    <w:rsid w:val="00B334E6"/>
    <w:rsid w:val="00B34399"/>
    <w:rsid w:val="00B34574"/>
    <w:rsid w:val="00B35F8B"/>
    <w:rsid w:val="00B36324"/>
    <w:rsid w:val="00B36398"/>
    <w:rsid w:val="00B36812"/>
    <w:rsid w:val="00B36D9A"/>
    <w:rsid w:val="00B3734C"/>
    <w:rsid w:val="00B37359"/>
    <w:rsid w:val="00B374FB"/>
    <w:rsid w:val="00B37CB0"/>
    <w:rsid w:val="00B402D6"/>
    <w:rsid w:val="00B408CB"/>
    <w:rsid w:val="00B4168F"/>
    <w:rsid w:val="00B420BF"/>
    <w:rsid w:val="00B4282E"/>
    <w:rsid w:val="00B43C9B"/>
    <w:rsid w:val="00B43D81"/>
    <w:rsid w:val="00B43F3F"/>
    <w:rsid w:val="00B441A0"/>
    <w:rsid w:val="00B44706"/>
    <w:rsid w:val="00B44BAC"/>
    <w:rsid w:val="00B44BDC"/>
    <w:rsid w:val="00B4533D"/>
    <w:rsid w:val="00B456BD"/>
    <w:rsid w:val="00B45992"/>
    <w:rsid w:val="00B461F7"/>
    <w:rsid w:val="00B462FC"/>
    <w:rsid w:val="00B46F6B"/>
    <w:rsid w:val="00B47908"/>
    <w:rsid w:val="00B47E0D"/>
    <w:rsid w:val="00B5021B"/>
    <w:rsid w:val="00B50C4D"/>
    <w:rsid w:val="00B50DAD"/>
    <w:rsid w:val="00B51054"/>
    <w:rsid w:val="00B513C7"/>
    <w:rsid w:val="00B516E8"/>
    <w:rsid w:val="00B51E2D"/>
    <w:rsid w:val="00B52251"/>
    <w:rsid w:val="00B5281E"/>
    <w:rsid w:val="00B5324C"/>
    <w:rsid w:val="00B53A16"/>
    <w:rsid w:val="00B55098"/>
    <w:rsid w:val="00B5617D"/>
    <w:rsid w:val="00B56C30"/>
    <w:rsid w:val="00B57C92"/>
    <w:rsid w:val="00B605E0"/>
    <w:rsid w:val="00B60E5F"/>
    <w:rsid w:val="00B625B4"/>
    <w:rsid w:val="00B62E7E"/>
    <w:rsid w:val="00B63658"/>
    <w:rsid w:val="00B636D1"/>
    <w:rsid w:val="00B63BCE"/>
    <w:rsid w:val="00B64095"/>
    <w:rsid w:val="00B643CC"/>
    <w:rsid w:val="00B6482A"/>
    <w:rsid w:val="00B64A3E"/>
    <w:rsid w:val="00B64BA8"/>
    <w:rsid w:val="00B65203"/>
    <w:rsid w:val="00B652BC"/>
    <w:rsid w:val="00B657AF"/>
    <w:rsid w:val="00B65DF7"/>
    <w:rsid w:val="00B65FF7"/>
    <w:rsid w:val="00B66633"/>
    <w:rsid w:val="00B71257"/>
    <w:rsid w:val="00B71907"/>
    <w:rsid w:val="00B71A08"/>
    <w:rsid w:val="00B720D7"/>
    <w:rsid w:val="00B721D1"/>
    <w:rsid w:val="00B723ED"/>
    <w:rsid w:val="00B728EB"/>
    <w:rsid w:val="00B7292E"/>
    <w:rsid w:val="00B72D80"/>
    <w:rsid w:val="00B72DBA"/>
    <w:rsid w:val="00B72F4B"/>
    <w:rsid w:val="00B731AF"/>
    <w:rsid w:val="00B73428"/>
    <w:rsid w:val="00B749F1"/>
    <w:rsid w:val="00B74C28"/>
    <w:rsid w:val="00B74D67"/>
    <w:rsid w:val="00B75393"/>
    <w:rsid w:val="00B75DA6"/>
    <w:rsid w:val="00B76AC9"/>
    <w:rsid w:val="00B76FAF"/>
    <w:rsid w:val="00B77B13"/>
    <w:rsid w:val="00B8096D"/>
    <w:rsid w:val="00B8107F"/>
    <w:rsid w:val="00B82429"/>
    <w:rsid w:val="00B82718"/>
    <w:rsid w:val="00B82A56"/>
    <w:rsid w:val="00B830E2"/>
    <w:rsid w:val="00B83551"/>
    <w:rsid w:val="00B83837"/>
    <w:rsid w:val="00B845EF"/>
    <w:rsid w:val="00B84770"/>
    <w:rsid w:val="00B84A6B"/>
    <w:rsid w:val="00B85208"/>
    <w:rsid w:val="00B86E64"/>
    <w:rsid w:val="00B86E89"/>
    <w:rsid w:val="00B90290"/>
    <w:rsid w:val="00B905D0"/>
    <w:rsid w:val="00B9157C"/>
    <w:rsid w:val="00B91660"/>
    <w:rsid w:val="00B91D1E"/>
    <w:rsid w:val="00B91E95"/>
    <w:rsid w:val="00B92801"/>
    <w:rsid w:val="00B92D5C"/>
    <w:rsid w:val="00B92E1C"/>
    <w:rsid w:val="00B93653"/>
    <w:rsid w:val="00B93FCB"/>
    <w:rsid w:val="00B94136"/>
    <w:rsid w:val="00B942CB"/>
    <w:rsid w:val="00B94669"/>
    <w:rsid w:val="00B94A20"/>
    <w:rsid w:val="00B95703"/>
    <w:rsid w:val="00B965B2"/>
    <w:rsid w:val="00B972B2"/>
    <w:rsid w:val="00B976B0"/>
    <w:rsid w:val="00B978A1"/>
    <w:rsid w:val="00B97A9C"/>
    <w:rsid w:val="00BA1992"/>
    <w:rsid w:val="00BA1E88"/>
    <w:rsid w:val="00BA278A"/>
    <w:rsid w:val="00BA2C24"/>
    <w:rsid w:val="00BA2EEF"/>
    <w:rsid w:val="00BA3F55"/>
    <w:rsid w:val="00BA4B7F"/>
    <w:rsid w:val="00BA5034"/>
    <w:rsid w:val="00BA59DE"/>
    <w:rsid w:val="00BA6D47"/>
    <w:rsid w:val="00BA6F58"/>
    <w:rsid w:val="00BA731B"/>
    <w:rsid w:val="00BA741C"/>
    <w:rsid w:val="00BB0E76"/>
    <w:rsid w:val="00BB124C"/>
    <w:rsid w:val="00BB1428"/>
    <w:rsid w:val="00BB14E6"/>
    <w:rsid w:val="00BB20A4"/>
    <w:rsid w:val="00BB2EB4"/>
    <w:rsid w:val="00BB36AC"/>
    <w:rsid w:val="00BB3852"/>
    <w:rsid w:val="00BB439C"/>
    <w:rsid w:val="00BB4FC5"/>
    <w:rsid w:val="00BB536D"/>
    <w:rsid w:val="00BB5683"/>
    <w:rsid w:val="00BB5BF0"/>
    <w:rsid w:val="00BB6F01"/>
    <w:rsid w:val="00BB7890"/>
    <w:rsid w:val="00BB7C0B"/>
    <w:rsid w:val="00BB7C7B"/>
    <w:rsid w:val="00BC04D5"/>
    <w:rsid w:val="00BC080B"/>
    <w:rsid w:val="00BC23FE"/>
    <w:rsid w:val="00BC28F8"/>
    <w:rsid w:val="00BC2DA0"/>
    <w:rsid w:val="00BC30E4"/>
    <w:rsid w:val="00BC37FE"/>
    <w:rsid w:val="00BC485B"/>
    <w:rsid w:val="00BC49E6"/>
    <w:rsid w:val="00BC4E3B"/>
    <w:rsid w:val="00BC537D"/>
    <w:rsid w:val="00BC5791"/>
    <w:rsid w:val="00BC5D04"/>
    <w:rsid w:val="00BC6730"/>
    <w:rsid w:val="00BC6978"/>
    <w:rsid w:val="00BC7EEE"/>
    <w:rsid w:val="00BD0702"/>
    <w:rsid w:val="00BD0790"/>
    <w:rsid w:val="00BD0F8E"/>
    <w:rsid w:val="00BD20B0"/>
    <w:rsid w:val="00BD2914"/>
    <w:rsid w:val="00BD335A"/>
    <w:rsid w:val="00BD35C5"/>
    <w:rsid w:val="00BD37EB"/>
    <w:rsid w:val="00BD381B"/>
    <w:rsid w:val="00BD3DA4"/>
    <w:rsid w:val="00BD44E8"/>
    <w:rsid w:val="00BD4BE9"/>
    <w:rsid w:val="00BD50F6"/>
    <w:rsid w:val="00BD5AC3"/>
    <w:rsid w:val="00BD5CC4"/>
    <w:rsid w:val="00BD6130"/>
    <w:rsid w:val="00BD6A9F"/>
    <w:rsid w:val="00BD6AC8"/>
    <w:rsid w:val="00BD6F06"/>
    <w:rsid w:val="00BD74DF"/>
    <w:rsid w:val="00BD7589"/>
    <w:rsid w:val="00BE01EB"/>
    <w:rsid w:val="00BE0E29"/>
    <w:rsid w:val="00BE1838"/>
    <w:rsid w:val="00BE1C5C"/>
    <w:rsid w:val="00BE2634"/>
    <w:rsid w:val="00BE27A5"/>
    <w:rsid w:val="00BE355A"/>
    <w:rsid w:val="00BE3639"/>
    <w:rsid w:val="00BE3679"/>
    <w:rsid w:val="00BE3C66"/>
    <w:rsid w:val="00BE447D"/>
    <w:rsid w:val="00BE471C"/>
    <w:rsid w:val="00BE5436"/>
    <w:rsid w:val="00BE5866"/>
    <w:rsid w:val="00BE61CE"/>
    <w:rsid w:val="00BF01A3"/>
    <w:rsid w:val="00BF02DE"/>
    <w:rsid w:val="00BF0384"/>
    <w:rsid w:val="00BF0540"/>
    <w:rsid w:val="00BF0B90"/>
    <w:rsid w:val="00BF199E"/>
    <w:rsid w:val="00BF1C5B"/>
    <w:rsid w:val="00BF2004"/>
    <w:rsid w:val="00BF24C0"/>
    <w:rsid w:val="00BF2535"/>
    <w:rsid w:val="00BF289F"/>
    <w:rsid w:val="00BF2B76"/>
    <w:rsid w:val="00BF309E"/>
    <w:rsid w:val="00BF3128"/>
    <w:rsid w:val="00BF44E5"/>
    <w:rsid w:val="00BF58F6"/>
    <w:rsid w:val="00BF5C1D"/>
    <w:rsid w:val="00BF6859"/>
    <w:rsid w:val="00BF6A35"/>
    <w:rsid w:val="00BF6BB9"/>
    <w:rsid w:val="00BF6EA1"/>
    <w:rsid w:val="00BF7158"/>
    <w:rsid w:val="00BF779F"/>
    <w:rsid w:val="00BF7AF1"/>
    <w:rsid w:val="00BF7D9C"/>
    <w:rsid w:val="00BF7E7F"/>
    <w:rsid w:val="00C0040A"/>
    <w:rsid w:val="00C00538"/>
    <w:rsid w:val="00C01AED"/>
    <w:rsid w:val="00C02707"/>
    <w:rsid w:val="00C02D3E"/>
    <w:rsid w:val="00C03C38"/>
    <w:rsid w:val="00C03F0E"/>
    <w:rsid w:val="00C046F7"/>
    <w:rsid w:val="00C04CA7"/>
    <w:rsid w:val="00C04CD9"/>
    <w:rsid w:val="00C050E0"/>
    <w:rsid w:val="00C05392"/>
    <w:rsid w:val="00C05A6A"/>
    <w:rsid w:val="00C05BB9"/>
    <w:rsid w:val="00C067F5"/>
    <w:rsid w:val="00C06ACE"/>
    <w:rsid w:val="00C06D99"/>
    <w:rsid w:val="00C07138"/>
    <w:rsid w:val="00C07954"/>
    <w:rsid w:val="00C10018"/>
    <w:rsid w:val="00C101C0"/>
    <w:rsid w:val="00C10794"/>
    <w:rsid w:val="00C109D3"/>
    <w:rsid w:val="00C1117B"/>
    <w:rsid w:val="00C1158D"/>
    <w:rsid w:val="00C115BF"/>
    <w:rsid w:val="00C12B10"/>
    <w:rsid w:val="00C13495"/>
    <w:rsid w:val="00C13A8C"/>
    <w:rsid w:val="00C14088"/>
    <w:rsid w:val="00C145DC"/>
    <w:rsid w:val="00C146ED"/>
    <w:rsid w:val="00C14B5E"/>
    <w:rsid w:val="00C14DBE"/>
    <w:rsid w:val="00C15A59"/>
    <w:rsid w:val="00C15D4E"/>
    <w:rsid w:val="00C163E3"/>
    <w:rsid w:val="00C16549"/>
    <w:rsid w:val="00C166AE"/>
    <w:rsid w:val="00C168FB"/>
    <w:rsid w:val="00C16FF7"/>
    <w:rsid w:val="00C171D9"/>
    <w:rsid w:val="00C1768D"/>
    <w:rsid w:val="00C17C7D"/>
    <w:rsid w:val="00C17D4C"/>
    <w:rsid w:val="00C17D8F"/>
    <w:rsid w:val="00C17E10"/>
    <w:rsid w:val="00C17E58"/>
    <w:rsid w:val="00C2090F"/>
    <w:rsid w:val="00C21727"/>
    <w:rsid w:val="00C21D1C"/>
    <w:rsid w:val="00C21DB0"/>
    <w:rsid w:val="00C22088"/>
    <w:rsid w:val="00C22181"/>
    <w:rsid w:val="00C22B0D"/>
    <w:rsid w:val="00C22CF6"/>
    <w:rsid w:val="00C22E3A"/>
    <w:rsid w:val="00C22FEB"/>
    <w:rsid w:val="00C23123"/>
    <w:rsid w:val="00C2334E"/>
    <w:rsid w:val="00C23442"/>
    <w:rsid w:val="00C2351B"/>
    <w:rsid w:val="00C2379D"/>
    <w:rsid w:val="00C23890"/>
    <w:rsid w:val="00C23914"/>
    <w:rsid w:val="00C23A58"/>
    <w:rsid w:val="00C24885"/>
    <w:rsid w:val="00C252B9"/>
    <w:rsid w:val="00C25463"/>
    <w:rsid w:val="00C2605F"/>
    <w:rsid w:val="00C26E33"/>
    <w:rsid w:val="00C273AE"/>
    <w:rsid w:val="00C276B1"/>
    <w:rsid w:val="00C27979"/>
    <w:rsid w:val="00C27B03"/>
    <w:rsid w:val="00C300B1"/>
    <w:rsid w:val="00C30BCB"/>
    <w:rsid w:val="00C31286"/>
    <w:rsid w:val="00C3145D"/>
    <w:rsid w:val="00C31988"/>
    <w:rsid w:val="00C332B4"/>
    <w:rsid w:val="00C33DE7"/>
    <w:rsid w:val="00C3642B"/>
    <w:rsid w:val="00C3760A"/>
    <w:rsid w:val="00C37C11"/>
    <w:rsid w:val="00C40AD0"/>
    <w:rsid w:val="00C40D0C"/>
    <w:rsid w:val="00C4105A"/>
    <w:rsid w:val="00C422EB"/>
    <w:rsid w:val="00C4308B"/>
    <w:rsid w:val="00C43097"/>
    <w:rsid w:val="00C43509"/>
    <w:rsid w:val="00C43CEA"/>
    <w:rsid w:val="00C43F08"/>
    <w:rsid w:val="00C44226"/>
    <w:rsid w:val="00C442ED"/>
    <w:rsid w:val="00C44317"/>
    <w:rsid w:val="00C44FA5"/>
    <w:rsid w:val="00C4581A"/>
    <w:rsid w:val="00C473FC"/>
    <w:rsid w:val="00C47AE6"/>
    <w:rsid w:val="00C47EA9"/>
    <w:rsid w:val="00C50316"/>
    <w:rsid w:val="00C50A62"/>
    <w:rsid w:val="00C51818"/>
    <w:rsid w:val="00C51C44"/>
    <w:rsid w:val="00C52002"/>
    <w:rsid w:val="00C524A3"/>
    <w:rsid w:val="00C54945"/>
    <w:rsid w:val="00C550C2"/>
    <w:rsid w:val="00C55483"/>
    <w:rsid w:val="00C554B9"/>
    <w:rsid w:val="00C55867"/>
    <w:rsid w:val="00C55D1D"/>
    <w:rsid w:val="00C55D6A"/>
    <w:rsid w:val="00C56452"/>
    <w:rsid w:val="00C57573"/>
    <w:rsid w:val="00C6131B"/>
    <w:rsid w:val="00C61A2D"/>
    <w:rsid w:val="00C61A8F"/>
    <w:rsid w:val="00C61D16"/>
    <w:rsid w:val="00C62CA1"/>
    <w:rsid w:val="00C62D3A"/>
    <w:rsid w:val="00C63E42"/>
    <w:rsid w:val="00C642BC"/>
    <w:rsid w:val="00C6485F"/>
    <w:rsid w:val="00C64ACB"/>
    <w:rsid w:val="00C64AFF"/>
    <w:rsid w:val="00C65823"/>
    <w:rsid w:val="00C65ECB"/>
    <w:rsid w:val="00C669AA"/>
    <w:rsid w:val="00C67028"/>
    <w:rsid w:val="00C704AD"/>
    <w:rsid w:val="00C705C9"/>
    <w:rsid w:val="00C706AE"/>
    <w:rsid w:val="00C707E7"/>
    <w:rsid w:val="00C713F7"/>
    <w:rsid w:val="00C7155C"/>
    <w:rsid w:val="00C7344D"/>
    <w:rsid w:val="00C734A5"/>
    <w:rsid w:val="00C745EF"/>
    <w:rsid w:val="00C7467A"/>
    <w:rsid w:val="00C7475E"/>
    <w:rsid w:val="00C747A3"/>
    <w:rsid w:val="00C76C53"/>
    <w:rsid w:val="00C76C8D"/>
    <w:rsid w:val="00C77982"/>
    <w:rsid w:val="00C779E4"/>
    <w:rsid w:val="00C77F99"/>
    <w:rsid w:val="00C80219"/>
    <w:rsid w:val="00C81335"/>
    <w:rsid w:val="00C8174A"/>
    <w:rsid w:val="00C81BA5"/>
    <w:rsid w:val="00C8261C"/>
    <w:rsid w:val="00C8263A"/>
    <w:rsid w:val="00C84D8B"/>
    <w:rsid w:val="00C85BA8"/>
    <w:rsid w:val="00C87FBA"/>
    <w:rsid w:val="00C90034"/>
    <w:rsid w:val="00C90099"/>
    <w:rsid w:val="00C900A8"/>
    <w:rsid w:val="00C90EBC"/>
    <w:rsid w:val="00C912F4"/>
    <w:rsid w:val="00C9158C"/>
    <w:rsid w:val="00C92839"/>
    <w:rsid w:val="00C939C3"/>
    <w:rsid w:val="00C93E13"/>
    <w:rsid w:val="00C93FD4"/>
    <w:rsid w:val="00C96CB4"/>
    <w:rsid w:val="00CA02F7"/>
    <w:rsid w:val="00CA119D"/>
    <w:rsid w:val="00CA1729"/>
    <w:rsid w:val="00CA2B29"/>
    <w:rsid w:val="00CA2CD7"/>
    <w:rsid w:val="00CA3483"/>
    <w:rsid w:val="00CA3507"/>
    <w:rsid w:val="00CA3882"/>
    <w:rsid w:val="00CA4447"/>
    <w:rsid w:val="00CA4570"/>
    <w:rsid w:val="00CA5001"/>
    <w:rsid w:val="00CA6133"/>
    <w:rsid w:val="00CA622A"/>
    <w:rsid w:val="00CA6530"/>
    <w:rsid w:val="00CA6CCF"/>
    <w:rsid w:val="00CA6E94"/>
    <w:rsid w:val="00CA7233"/>
    <w:rsid w:val="00CA78B2"/>
    <w:rsid w:val="00CA7A2E"/>
    <w:rsid w:val="00CA7D21"/>
    <w:rsid w:val="00CB0C11"/>
    <w:rsid w:val="00CB15A3"/>
    <w:rsid w:val="00CB2958"/>
    <w:rsid w:val="00CB362D"/>
    <w:rsid w:val="00CB37E4"/>
    <w:rsid w:val="00CB4366"/>
    <w:rsid w:val="00CB4402"/>
    <w:rsid w:val="00CB4592"/>
    <w:rsid w:val="00CB476A"/>
    <w:rsid w:val="00CB4C51"/>
    <w:rsid w:val="00CB53E5"/>
    <w:rsid w:val="00CB5929"/>
    <w:rsid w:val="00CB6822"/>
    <w:rsid w:val="00CB7F8E"/>
    <w:rsid w:val="00CC02EC"/>
    <w:rsid w:val="00CC042B"/>
    <w:rsid w:val="00CC07F0"/>
    <w:rsid w:val="00CC13F3"/>
    <w:rsid w:val="00CC2129"/>
    <w:rsid w:val="00CC3352"/>
    <w:rsid w:val="00CC3F40"/>
    <w:rsid w:val="00CC4044"/>
    <w:rsid w:val="00CC4B0B"/>
    <w:rsid w:val="00CC55B8"/>
    <w:rsid w:val="00CC656E"/>
    <w:rsid w:val="00CC6D54"/>
    <w:rsid w:val="00CC71B3"/>
    <w:rsid w:val="00CC7217"/>
    <w:rsid w:val="00CD0258"/>
    <w:rsid w:val="00CD202A"/>
    <w:rsid w:val="00CD2CEC"/>
    <w:rsid w:val="00CD3D5C"/>
    <w:rsid w:val="00CD401C"/>
    <w:rsid w:val="00CD4384"/>
    <w:rsid w:val="00CD4CB0"/>
    <w:rsid w:val="00CD506C"/>
    <w:rsid w:val="00CD5501"/>
    <w:rsid w:val="00CD56BB"/>
    <w:rsid w:val="00CD5E07"/>
    <w:rsid w:val="00CD65C0"/>
    <w:rsid w:val="00CD67E1"/>
    <w:rsid w:val="00CD732F"/>
    <w:rsid w:val="00CD77F1"/>
    <w:rsid w:val="00CE07C8"/>
    <w:rsid w:val="00CE119A"/>
    <w:rsid w:val="00CE159F"/>
    <w:rsid w:val="00CE15AD"/>
    <w:rsid w:val="00CE16E7"/>
    <w:rsid w:val="00CE1D51"/>
    <w:rsid w:val="00CE285C"/>
    <w:rsid w:val="00CE3665"/>
    <w:rsid w:val="00CE456A"/>
    <w:rsid w:val="00CE4760"/>
    <w:rsid w:val="00CE4B01"/>
    <w:rsid w:val="00CE4C36"/>
    <w:rsid w:val="00CE4CBC"/>
    <w:rsid w:val="00CE511A"/>
    <w:rsid w:val="00CE61F0"/>
    <w:rsid w:val="00CE6383"/>
    <w:rsid w:val="00CE6CD3"/>
    <w:rsid w:val="00CE7F21"/>
    <w:rsid w:val="00CF0A8E"/>
    <w:rsid w:val="00CF0C54"/>
    <w:rsid w:val="00CF0FEE"/>
    <w:rsid w:val="00CF148B"/>
    <w:rsid w:val="00CF195B"/>
    <w:rsid w:val="00CF1B1A"/>
    <w:rsid w:val="00CF23D0"/>
    <w:rsid w:val="00CF2466"/>
    <w:rsid w:val="00CF32F2"/>
    <w:rsid w:val="00CF3A7A"/>
    <w:rsid w:val="00CF3B37"/>
    <w:rsid w:val="00CF3ECF"/>
    <w:rsid w:val="00CF48DC"/>
    <w:rsid w:val="00CF4D25"/>
    <w:rsid w:val="00CF5559"/>
    <w:rsid w:val="00CF60DC"/>
    <w:rsid w:val="00CF7631"/>
    <w:rsid w:val="00CF7708"/>
    <w:rsid w:val="00CF7890"/>
    <w:rsid w:val="00CF7BB6"/>
    <w:rsid w:val="00D00489"/>
    <w:rsid w:val="00D00FAC"/>
    <w:rsid w:val="00D01801"/>
    <w:rsid w:val="00D022FE"/>
    <w:rsid w:val="00D026DC"/>
    <w:rsid w:val="00D02EFA"/>
    <w:rsid w:val="00D03F92"/>
    <w:rsid w:val="00D047BF"/>
    <w:rsid w:val="00D0512E"/>
    <w:rsid w:val="00D0568D"/>
    <w:rsid w:val="00D058CC"/>
    <w:rsid w:val="00D060D7"/>
    <w:rsid w:val="00D07EDA"/>
    <w:rsid w:val="00D10402"/>
    <w:rsid w:val="00D10474"/>
    <w:rsid w:val="00D10630"/>
    <w:rsid w:val="00D113F8"/>
    <w:rsid w:val="00D1366B"/>
    <w:rsid w:val="00D14339"/>
    <w:rsid w:val="00D14C60"/>
    <w:rsid w:val="00D14D3F"/>
    <w:rsid w:val="00D154A5"/>
    <w:rsid w:val="00D17301"/>
    <w:rsid w:val="00D17B56"/>
    <w:rsid w:val="00D17BB6"/>
    <w:rsid w:val="00D20588"/>
    <w:rsid w:val="00D20734"/>
    <w:rsid w:val="00D214A3"/>
    <w:rsid w:val="00D21824"/>
    <w:rsid w:val="00D21DA5"/>
    <w:rsid w:val="00D22003"/>
    <w:rsid w:val="00D222E4"/>
    <w:rsid w:val="00D22A77"/>
    <w:rsid w:val="00D22FB0"/>
    <w:rsid w:val="00D251B8"/>
    <w:rsid w:val="00D25E47"/>
    <w:rsid w:val="00D26FF1"/>
    <w:rsid w:val="00D27CDA"/>
    <w:rsid w:val="00D30257"/>
    <w:rsid w:val="00D302DF"/>
    <w:rsid w:val="00D3057A"/>
    <w:rsid w:val="00D3084A"/>
    <w:rsid w:val="00D3165E"/>
    <w:rsid w:val="00D32D7D"/>
    <w:rsid w:val="00D3437D"/>
    <w:rsid w:val="00D34CFE"/>
    <w:rsid w:val="00D34D74"/>
    <w:rsid w:val="00D35685"/>
    <w:rsid w:val="00D35A26"/>
    <w:rsid w:val="00D362B8"/>
    <w:rsid w:val="00D36577"/>
    <w:rsid w:val="00D369AB"/>
    <w:rsid w:val="00D36F5D"/>
    <w:rsid w:val="00D37002"/>
    <w:rsid w:val="00D376B7"/>
    <w:rsid w:val="00D37787"/>
    <w:rsid w:val="00D40547"/>
    <w:rsid w:val="00D40B32"/>
    <w:rsid w:val="00D415BE"/>
    <w:rsid w:val="00D41CAC"/>
    <w:rsid w:val="00D41CC7"/>
    <w:rsid w:val="00D42070"/>
    <w:rsid w:val="00D42155"/>
    <w:rsid w:val="00D42B1C"/>
    <w:rsid w:val="00D42F21"/>
    <w:rsid w:val="00D4310A"/>
    <w:rsid w:val="00D43868"/>
    <w:rsid w:val="00D44991"/>
    <w:rsid w:val="00D45111"/>
    <w:rsid w:val="00D45F90"/>
    <w:rsid w:val="00D476DA"/>
    <w:rsid w:val="00D47FCC"/>
    <w:rsid w:val="00D506E5"/>
    <w:rsid w:val="00D50752"/>
    <w:rsid w:val="00D509B9"/>
    <w:rsid w:val="00D509F2"/>
    <w:rsid w:val="00D510D2"/>
    <w:rsid w:val="00D52718"/>
    <w:rsid w:val="00D5280C"/>
    <w:rsid w:val="00D5408E"/>
    <w:rsid w:val="00D5620D"/>
    <w:rsid w:val="00D571B7"/>
    <w:rsid w:val="00D57277"/>
    <w:rsid w:val="00D57428"/>
    <w:rsid w:val="00D5748B"/>
    <w:rsid w:val="00D57E48"/>
    <w:rsid w:val="00D605EA"/>
    <w:rsid w:val="00D60631"/>
    <w:rsid w:val="00D61453"/>
    <w:rsid w:val="00D61FA0"/>
    <w:rsid w:val="00D6214D"/>
    <w:rsid w:val="00D628E4"/>
    <w:rsid w:val="00D62998"/>
    <w:rsid w:val="00D62EE3"/>
    <w:rsid w:val="00D63925"/>
    <w:rsid w:val="00D64174"/>
    <w:rsid w:val="00D644D8"/>
    <w:rsid w:val="00D64C6B"/>
    <w:rsid w:val="00D65213"/>
    <w:rsid w:val="00D652E5"/>
    <w:rsid w:val="00D666EC"/>
    <w:rsid w:val="00D66B05"/>
    <w:rsid w:val="00D678D5"/>
    <w:rsid w:val="00D7074D"/>
    <w:rsid w:val="00D70BFE"/>
    <w:rsid w:val="00D70C45"/>
    <w:rsid w:val="00D7113E"/>
    <w:rsid w:val="00D71198"/>
    <w:rsid w:val="00D72C7E"/>
    <w:rsid w:val="00D72D02"/>
    <w:rsid w:val="00D738FB"/>
    <w:rsid w:val="00D73AFD"/>
    <w:rsid w:val="00D743F4"/>
    <w:rsid w:val="00D744E0"/>
    <w:rsid w:val="00D74611"/>
    <w:rsid w:val="00D74D47"/>
    <w:rsid w:val="00D75692"/>
    <w:rsid w:val="00D75727"/>
    <w:rsid w:val="00D75DC1"/>
    <w:rsid w:val="00D7672F"/>
    <w:rsid w:val="00D77485"/>
    <w:rsid w:val="00D7796C"/>
    <w:rsid w:val="00D81271"/>
    <w:rsid w:val="00D81351"/>
    <w:rsid w:val="00D81835"/>
    <w:rsid w:val="00D81F3A"/>
    <w:rsid w:val="00D81FD4"/>
    <w:rsid w:val="00D8263F"/>
    <w:rsid w:val="00D8288F"/>
    <w:rsid w:val="00D833A3"/>
    <w:rsid w:val="00D837F7"/>
    <w:rsid w:val="00D8535B"/>
    <w:rsid w:val="00D85707"/>
    <w:rsid w:val="00D857DB"/>
    <w:rsid w:val="00D85A44"/>
    <w:rsid w:val="00D86429"/>
    <w:rsid w:val="00D86958"/>
    <w:rsid w:val="00D86F71"/>
    <w:rsid w:val="00D878B0"/>
    <w:rsid w:val="00D90C7F"/>
    <w:rsid w:val="00D9120F"/>
    <w:rsid w:val="00D91B92"/>
    <w:rsid w:val="00D922D3"/>
    <w:rsid w:val="00D92672"/>
    <w:rsid w:val="00D92AAA"/>
    <w:rsid w:val="00D92AC7"/>
    <w:rsid w:val="00D92BC9"/>
    <w:rsid w:val="00D9364C"/>
    <w:rsid w:val="00D9395F"/>
    <w:rsid w:val="00D939E6"/>
    <w:rsid w:val="00D94302"/>
    <w:rsid w:val="00D94D79"/>
    <w:rsid w:val="00D95552"/>
    <w:rsid w:val="00D95980"/>
    <w:rsid w:val="00D973C5"/>
    <w:rsid w:val="00D9784A"/>
    <w:rsid w:val="00D979CF"/>
    <w:rsid w:val="00DA04C7"/>
    <w:rsid w:val="00DA0956"/>
    <w:rsid w:val="00DA0C1E"/>
    <w:rsid w:val="00DA1921"/>
    <w:rsid w:val="00DA1E2F"/>
    <w:rsid w:val="00DA40A6"/>
    <w:rsid w:val="00DA5D82"/>
    <w:rsid w:val="00DA5DA4"/>
    <w:rsid w:val="00DA61DF"/>
    <w:rsid w:val="00DA6317"/>
    <w:rsid w:val="00DA663A"/>
    <w:rsid w:val="00DA6AB1"/>
    <w:rsid w:val="00DA6B0F"/>
    <w:rsid w:val="00DB0E56"/>
    <w:rsid w:val="00DB1E12"/>
    <w:rsid w:val="00DB1FD9"/>
    <w:rsid w:val="00DB2BA9"/>
    <w:rsid w:val="00DB4648"/>
    <w:rsid w:val="00DB48D9"/>
    <w:rsid w:val="00DB53CF"/>
    <w:rsid w:val="00DB5666"/>
    <w:rsid w:val="00DB592A"/>
    <w:rsid w:val="00DB6281"/>
    <w:rsid w:val="00DB630D"/>
    <w:rsid w:val="00DB6337"/>
    <w:rsid w:val="00DB6731"/>
    <w:rsid w:val="00DB6962"/>
    <w:rsid w:val="00DB6E7D"/>
    <w:rsid w:val="00DC0285"/>
    <w:rsid w:val="00DC06F9"/>
    <w:rsid w:val="00DC09D1"/>
    <w:rsid w:val="00DC2E5E"/>
    <w:rsid w:val="00DC2FD8"/>
    <w:rsid w:val="00DC468A"/>
    <w:rsid w:val="00DC4D91"/>
    <w:rsid w:val="00DC4DF3"/>
    <w:rsid w:val="00DC4FF7"/>
    <w:rsid w:val="00DC53AB"/>
    <w:rsid w:val="00DC7C00"/>
    <w:rsid w:val="00DC7F57"/>
    <w:rsid w:val="00DD0263"/>
    <w:rsid w:val="00DD050C"/>
    <w:rsid w:val="00DD1B94"/>
    <w:rsid w:val="00DD2DD3"/>
    <w:rsid w:val="00DD3183"/>
    <w:rsid w:val="00DD47A7"/>
    <w:rsid w:val="00DD4980"/>
    <w:rsid w:val="00DD4F95"/>
    <w:rsid w:val="00DD5010"/>
    <w:rsid w:val="00DD51E1"/>
    <w:rsid w:val="00DD54E9"/>
    <w:rsid w:val="00DD5C73"/>
    <w:rsid w:val="00DD5D04"/>
    <w:rsid w:val="00DD6122"/>
    <w:rsid w:val="00DD6253"/>
    <w:rsid w:val="00DD63E8"/>
    <w:rsid w:val="00DD6B86"/>
    <w:rsid w:val="00DD6D3E"/>
    <w:rsid w:val="00DD7206"/>
    <w:rsid w:val="00DD76C4"/>
    <w:rsid w:val="00DE006C"/>
    <w:rsid w:val="00DE0C73"/>
    <w:rsid w:val="00DE0C8C"/>
    <w:rsid w:val="00DE14AC"/>
    <w:rsid w:val="00DE2EAD"/>
    <w:rsid w:val="00DE36E5"/>
    <w:rsid w:val="00DE4863"/>
    <w:rsid w:val="00DE49D8"/>
    <w:rsid w:val="00DE5300"/>
    <w:rsid w:val="00DE53FA"/>
    <w:rsid w:val="00DE57BD"/>
    <w:rsid w:val="00DE587B"/>
    <w:rsid w:val="00DE58BA"/>
    <w:rsid w:val="00DE5A4D"/>
    <w:rsid w:val="00DE5CCE"/>
    <w:rsid w:val="00DE5D07"/>
    <w:rsid w:val="00DE6D5E"/>
    <w:rsid w:val="00DF0117"/>
    <w:rsid w:val="00DF0474"/>
    <w:rsid w:val="00DF04AC"/>
    <w:rsid w:val="00DF16D8"/>
    <w:rsid w:val="00DF16ED"/>
    <w:rsid w:val="00DF1788"/>
    <w:rsid w:val="00DF21E1"/>
    <w:rsid w:val="00DF2579"/>
    <w:rsid w:val="00DF285D"/>
    <w:rsid w:val="00DF3983"/>
    <w:rsid w:val="00DF3A08"/>
    <w:rsid w:val="00DF3A49"/>
    <w:rsid w:val="00DF3ED5"/>
    <w:rsid w:val="00DF3F2A"/>
    <w:rsid w:val="00DF4359"/>
    <w:rsid w:val="00DF45FF"/>
    <w:rsid w:val="00DF4A1D"/>
    <w:rsid w:val="00DF4AA4"/>
    <w:rsid w:val="00DF4C2C"/>
    <w:rsid w:val="00DF57FC"/>
    <w:rsid w:val="00DF5CF5"/>
    <w:rsid w:val="00DF5E58"/>
    <w:rsid w:val="00DF5F38"/>
    <w:rsid w:val="00DF6140"/>
    <w:rsid w:val="00DF65A3"/>
    <w:rsid w:val="00DF6928"/>
    <w:rsid w:val="00DF719E"/>
    <w:rsid w:val="00DF77DF"/>
    <w:rsid w:val="00E00E92"/>
    <w:rsid w:val="00E00E9B"/>
    <w:rsid w:val="00E01881"/>
    <w:rsid w:val="00E01F5E"/>
    <w:rsid w:val="00E02AE6"/>
    <w:rsid w:val="00E02E1A"/>
    <w:rsid w:val="00E031F8"/>
    <w:rsid w:val="00E03D86"/>
    <w:rsid w:val="00E04483"/>
    <w:rsid w:val="00E05493"/>
    <w:rsid w:val="00E057C1"/>
    <w:rsid w:val="00E0600D"/>
    <w:rsid w:val="00E0685A"/>
    <w:rsid w:val="00E06CCA"/>
    <w:rsid w:val="00E0772D"/>
    <w:rsid w:val="00E10198"/>
    <w:rsid w:val="00E102B7"/>
    <w:rsid w:val="00E10747"/>
    <w:rsid w:val="00E10DC3"/>
    <w:rsid w:val="00E10EBC"/>
    <w:rsid w:val="00E11928"/>
    <w:rsid w:val="00E14C24"/>
    <w:rsid w:val="00E14DCC"/>
    <w:rsid w:val="00E152C8"/>
    <w:rsid w:val="00E15EAC"/>
    <w:rsid w:val="00E1660B"/>
    <w:rsid w:val="00E16ADD"/>
    <w:rsid w:val="00E16F07"/>
    <w:rsid w:val="00E17FA4"/>
    <w:rsid w:val="00E20567"/>
    <w:rsid w:val="00E20A60"/>
    <w:rsid w:val="00E2121B"/>
    <w:rsid w:val="00E2294E"/>
    <w:rsid w:val="00E232A3"/>
    <w:rsid w:val="00E23A6A"/>
    <w:rsid w:val="00E241AC"/>
    <w:rsid w:val="00E24A6B"/>
    <w:rsid w:val="00E24C69"/>
    <w:rsid w:val="00E2569F"/>
    <w:rsid w:val="00E26051"/>
    <w:rsid w:val="00E262CA"/>
    <w:rsid w:val="00E26C52"/>
    <w:rsid w:val="00E2758B"/>
    <w:rsid w:val="00E30BD6"/>
    <w:rsid w:val="00E318A3"/>
    <w:rsid w:val="00E31E63"/>
    <w:rsid w:val="00E31F8C"/>
    <w:rsid w:val="00E32586"/>
    <w:rsid w:val="00E329CE"/>
    <w:rsid w:val="00E32FB2"/>
    <w:rsid w:val="00E3301F"/>
    <w:rsid w:val="00E338A2"/>
    <w:rsid w:val="00E3436C"/>
    <w:rsid w:val="00E34C9C"/>
    <w:rsid w:val="00E3617A"/>
    <w:rsid w:val="00E36CC4"/>
    <w:rsid w:val="00E36F1D"/>
    <w:rsid w:val="00E37032"/>
    <w:rsid w:val="00E373B7"/>
    <w:rsid w:val="00E376B1"/>
    <w:rsid w:val="00E376E0"/>
    <w:rsid w:val="00E37D22"/>
    <w:rsid w:val="00E37EF7"/>
    <w:rsid w:val="00E40855"/>
    <w:rsid w:val="00E40B62"/>
    <w:rsid w:val="00E4123C"/>
    <w:rsid w:val="00E41BDD"/>
    <w:rsid w:val="00E42A43"/>
    <w:rsid w:val="00E43667"/>
    <w:rsid w:val="00E43961"/>
    <w:rsid w:val="00E439D8"/>
    <w:rsid w:val="00E45F5B"/>
    <w:rsid w:val="00E462EC"/>
    <w:rsid w:val="00E4703C"/>
    <w:rsid w:val="00E47755"/>
    <w:rsid w:val="00E4779C"/>
    <w:rsid w:val="00E47BCF"/>
    <w:rsid w:val="00E47E3B"/>
    <w:rsid w:val="00E5032A"/>
    <w:rsid w:val="00E5049B"/>
    <w:rsid w:val="00E5066A"/>
    <w:rsid w:val="00E509D1"/>
    <w:rsid w:val="00E51BB3"/>
    <w:rsid w:val="00E51C1A"/>
    <w:rsid w:val="00E52803"/>
    <w:rsid w:val="00E53554"/>
    <w:rsid w:val="00E5373B"/>
    <w:rsid w:val="00E5397E"/>
    <w:rsid w:val="00E53E91"/>
    <w:rsid w:val="00E54929"/>
    <w:rsid w:val="00E549CF"/>
    <w:rsid w:val="00E5517B"/>
    <w:rsid w:val="00E55A7D"/>
    <w:rsid w:val="00E55C85"/>
    <w:rsid w:val="00E55F90"/>
    <w:rsid w:val="00E563CA"/>
    <w:rsid w:val="00E5681F"/>
    <w:rsid w:val="00E57392"/>
    <w:rsid w:val="00E573AB"/>
    <w:rsid w:val="00E60065"/>
    <w:rsid w:val="00E6046B"/>
    <w:rsid w:val="00E60CDE"/>
    <w:rsid w:val="00E61227"/>
    <w:rsid w:val="00E61AE7"/>
    <w:rsid w:val="00E62454"/>
    <w:rsid w:val="00E634A1"/>
    <w:rsid w:val="00E636DD"/>
    <w:rsid w:val="00E638E3"/>
    <w:rsid w:val="00E63AE5"/>
    <w:rsid w:val="00E64208"/>
    <w:rsid w:val="00E666DE"/>
    <w:rsid w:val="00E66C7A"/>
    <w:rsid w:val="00E711B6"/>
    <w:rsid w:val="00E71E5F"/>
    <w:rsid w:val="00E7202C"/>
    <w:rsid w:val="00E726E9"/>
    <w:rsid w:val="00E736EB"/>
    <w:rsid w:val="00E73FBA"/>
    <w:rsid w:val="00E7482E"/>
    <w:rsid w:val="00E74A56"/>
    <w:rsid w:val="00E74D38"/>
    <w:rsid w:val="00E7601A"/>
    <w:rsid w:val="00E76033"/>
    <w:rsid w:val="00E76218"/>
    <w:rsid w:val="00E7668F"/>
    <w:rsid w:val="00E76AF8"/>
    <w:rsid w:val="00E76CB4"/>
    <w:rsid w:val="00E76DAF"/>
    <w:rsid w:val="00E76FE2"/>
    <w:rsid w:val="00E77193"/>
    <w:rsid w:val="00E77D9B"/>
    <w:rsid w:val="00E801BC"/>
    <w:rsid w:val="00E839AE"/>
    <w:rsid w:val="00E83BCD"/>
    <w:rsid w:val="00E83EAF"/>
    <w:rsid w:val="00E854EB"/>
    <w:rsid w:val="00E8557B"/>
    <w:rsid w:val="00E856CF"/>
    <w:rsid w:val="00E85CC5"/>
    <w:rsid w:val="00E86F05"/>
    <w:rsid w:val="00E86F5F"/>
    <w:rsid w:val="00E87299"/>
    <w:rsid w:val="00E9042C"/>
    <w:rsid w:val="00E9069A"/>
    <w:rsid w:val="00E90768"/>
    <w:rsid w:val="00E90AE4"/>
    <w:rsid w:val="00E91FFF"/>
    <w:rsid w:val="00E9300A"/>
    <w:rsid w:val="00E9322B"/>
    <w:rsid w:val="00E9358C"/>
    <w:rsid w:val="00E93A84"/>
    <w:rsid w:val="00E94277"/>
    <w:rsid w:val="00E94DE9"/>
    <w:rsid w:val="00E95125"/>
    <w:rsid w:val="00E959B9"/>
    <w:rsid w:val="00E95AF4"/>
    <w:rsid w:val="00E976BF"/>
    <w:rsid w:val="00EA04A1"/>
    <w:rsid w:val="00EA1094"/>
    <w:rsid w:val="00EA21F7"/>
    <w:rsid w:val="00EA2402"/>
    <w:rsid w:val="00EA3727"/>
    <w:rsid w:val="00EA4084"/>
    <w:rsid w:val="00EA48C0"/>
    <w:rsid w:val="00EA4B79"/>
    <w:rsid w:val="00EA4C31"/>
    <w:rsid w:val="00EA53CB"/>
    <w:rsid w:val="00EA5651"/>
    <w:rsid w:val="00EA5A3B"/>
    <w:rsid w:val="00EA6163"/>
    <w:rsid w:val="00EA634A"/>
    <w:rsid w:val="00EA6A24"/>
    <w:rsid w:val="00EA7584"/>
    <w:rsid w:val="00EA78D3"/>
    <w:rsid w:val="00EB0FA5"/>
    <w:rsid w:val="00EB211E"/>
    <w:rsid w:val="00EB3D78"/>
    <w:rsid w:val="00EB5539"/>
    <w:rsid w:val="00EB56C7"/>
    <w:rsid w:val="00EB59F5"/>
    <w:rsid w:val="00EB5E73"/>
    <w:rsid w:val="00EB6EF9"/>
    <w:rsid w:val="00EB7174"/>
    <w:rsid w:val="00EB7822"/>
    <w:rsid w:val="00EB7A13"/>
    <w:rsid w:val="00EB7C6A"/>
    <w:rsid w:val="00EC0430"/>
    <w:rsid w:val="00EC1D2B"/>
    <w:rsid w:val="00EC1F05"/>
    <w:rsid w:val="00EC30BC"/>
    <w:rsid w:val="00EC33A9"/>
    <w:rsid w:val="00EC37BC"/>
    <w:rsid w:val="00EC3AA8"/>
    <w:rsid w:val="00EC3D6E"/>
    <w:rsid w:val="00EC4BC8"/>
    <w:rsid w:val="00EC4F90"/>
    <w:rsid w:val="00EC5568"/>
    <w:rsid w:val="00EC55CB"/>
    <w:rsid w:val="00EC5C3A"/>
    <w:rsid w:val="00EC69B0"/>
    <w:rsid w:val="00EC74FD"/>
    <w:rsid w:val="00EC7E6F"/>
    <w:rsid w:val="00ED0992"/>
    <w:rsid w:val="00ED0A5B"/>
    <w:rsid w:val="00ED0F82"/>
    <w:rsid w:val="00ED0FC1"/>
    <w:rsid w:val="00ED1446"/>
    <w:rsid w:val="00ED1900"/>
    <w:rsid w:val="00ED1A1E"/>
    <w:rsid w:val="00ED1BC3"/>
    <w:rsid w:val="00ED2085"/>
    <w:rsid w:val="00ED22AE"/>
    <w:rsid w:val="00ED26BF"/>
    <w:rsid w:val="00ED2715"/>
    <w:rsid w:val="00ED27C1"/>
    <w:rsid w:val="00ED2BC3"/>
    <w:rsid w:val="00ED2C44"/>
    <w:rsid w:val="00ED3A0D"/>
    <w:rsid w:val="00ED44AF"/>
    <w:rsid w:val="00ED451C"/>
    <w:rsid w:val="00ED4918"/>
    <w:rsid w:val="00ED4A02"/>
    <w:rsid w:val="00ED5456"/>
    <w:rsid w:val="00ED6602"/>
    <w:rsid w:val="00ED68A5"/>
    <w:rsid w:val="00ED6ABC"/>
    <w:rsid w:val="00ED6F74"/>
    <w:rsid w:val="00ED73BB"/>
    <w:rsid w:val="00ED7CED"/>
    <w:rsid w:val="00ED7FDF"/>
    <w:rsid w:val="00EE12E2"/>
    <w:rsid w:val="00EE1A11"/>
    <w:rsid w:val="00EE238B"/>
    <w:rsid w:val="00EE2A60"/>
    <w:rsid w:val="00EE3059"/>
    <w:rsid w:val="00EE3477"/>
    <w:rsid w:val="00EE36B3"/>
    <w:rsid w:val="00EE3DE9"/>
    <w:rsid w:val="00EE3E75"/>
    <w:rsid w:val="00EE4306"/>
    <w:rsid w:val="00EE5EB7"/>
    <w:rsid w:val="00EE621B"/>
    <w:rsid w:val="00EE6744"/>
    <w:rsid w:val="00EE6E0F"/>
    <w:rsid w:val="00EE7464"/>
    <w:rsid w:val="00EE7718"/>
    <w:rsid w:val="00EF0A1D"/>
    <w:rsid w:val="00EF0AB7"/>
    <w:rsid w:val="00EF0C83"/>
    <w:rsid w:val="00EF1092"/>
    <w:rsid w:val="00EF15BD"/>
    <w:rsid w:val="00EF272C"/>
    <w:rsid w:val="00EF2E00"/>
    <w:rsid w:val="00EF35D3"/>
    <w:rsid w:val="00EF5043"/>
    <w:rsid w:val="00EF5100"/>
    <w:rsid w:val="00EF6773"/>
    <w:rsid w:val="00EF677C"/>
    <w:rsid w:val="00EF6E68"/>
    <w:rsid w:val="00EF71EE"/>
    <w:rsid w:val="00EF74C1"/>
    <w:rsid w:val="00F0026F"/>
    <w:rsid w:val="00F01197"/>
    <w:rsid w:val="00F01CE7"/>
    <w:rsid w:val="00F01F58"/>
    <w:rsid w:val="00F01F70"/>
    <w:rsid w:val="00F0208D"/>
    <w:rsid w:val="00F0214D"/>
    <w:rsid w:val="00F027C5"/>
    <w:rsid w:val="00F04512"/>
    <w:rsid w:val="00F04536"/>
    <w:rsid w:val="00F04BB3"/>
    <w:rsid w:val="00F04F25"/>
    <w:rsid w:val="00F05674"/>
    <w:rsid w:val="00F058AE"/>
    <w:rsid w:val="00F05D8A"/>
    <w:rsid w:val="00F06431"/>
    <w:rsid w:val="00F06DC8"/>
    <w:rsid w:val="00F07277"/>
    <w:rsid w:val="00F10966"/>
    <w:rsid w:val="00F132F9"/>
    <w:rsid w:val="00F1382B"/>
    <w:rsid w:val="00F13B45"/>
    <w:rsid w:val="00F13D99"/>
    <w:rsid w:val="00F1406A"/>
    <w:rsid w:val="00F140E8"/>
    <w:rsid w:val="00F146E1"/>
    <w:rsid w:val="00F14BF3"/>
    <w:rsid w:val="00F1519F"/>
    <w:rsid w:val="00F15305"/>
    <w:rsid w:val="00F16739"/>
    <w:rsid w:val="00F16E09"/>
    <w:rsid w:val="00F170F2"/>
    <w:rsid w:val="00F1773B"/>
    <w:rsid w:val="00F20F26"/>
    <w:rsid w:val="00F214F3"/>
    <w:rsid w:val="00F21A5A"/>
    <w:rsid w:val="00F21AB1"/>
    <w:rsid w:val="00F21E3F"/>
    <w:rsid w:val="00F22893"/>
    <w:rsid w:val="00F22ADD"/>
    <w:rsid w:val="00F22B7E"/>
    <w:rsid w:val="00F22EEC"/>
    <w:rsid w:val="00F232EE"/>
    <w:rsid w:val="00F2384C"/>
    <w:rsid w:val="00F242D5"/>
    <w:rsid w:val="00F24458"/>
    <w:rsid w:val="00F2554B"/>
    <w:rsid w:val="00F25F5F"/>
    <w:rsid w:val="00F2625E"/>
    <w:rsid w:val="00F2726D"/>
    <w:rsid w:val="00F30408"/>
    <w:rsid w:val="00F30EFC"/>
    <w:rsid w:val="00F31671"/>
    <w:rsid w:val="00F31CB8"/>
    <w:rsid w:val="00F32895"/>
    <w:rsid w:val="00F32BB0"/>
    <w:rsid w:val="00F3393A"/>
    <w:rsid w:val="00F33BF6"/>
    <w:rsid w:val="00F34025"/>
    <w:rsid w:val="00F341B1"/>
    <w:rsid w:val="00F34648"/>
    <w:rsid w:val="00F356FB"/>
    <w:rsid w:val="00F35701"/>
    <w:rsid w:val="00F3593B"/>
    <w:rsid w:val="00F35A37"/>
    <w:rsid w:val="00F407C1"/>
    <w:rsid w:val="00F40B0D"/>
    <w:rsid w:val="00F41C70"/>
    <w:rsid w:val="00F41E94"/>
    <w:rsid w:val="00F4226D"/>
    <w:rsid w:val="00F4298C"/>
    <w:rsid w:val="00F42FC7"/>
    <w:rsid w:val="00F440B8"/>
    <w:rsid w:val="00F45402"/>
    <w:rsid w:val="00F456E9"/>
    <w:rsid w:val="00F46C94"/>
    <w:rsid w:val="00F47F0A"/>
    <w:rsid w:val="00F50312"/>
    <w:rsid w:val="00F50DBA"/>
    <w:rsid w:val="00F510FE"/>
    <w:rsid w:val="00F51298"/>
    <w:rsid w:val="00F52C6C"/>
    <w:rsid w:val="00F53512"/>
    <w:rsid w:val="00F535EA"/>
    <w:rsid w:val="00F53759"/>
    <w:rsid w:val="00F5428A"/>
    <w:rsid w:val="00F544C7"/>
    <w:rsid w:val="00F54F46"/>
    <w:rsid w:val="00F551D3"/>
    <w:rsid w:val="00F55324"/>
    <w:rsid w:val="00F5563B"/>
    <w:rsid w:val="00F565BA"/>
    <w:rsid w:val="00F5685D"/>
    <w:rsid w:val="00F56954"/>
    <w:rsid w:val="00F56E35"/>
    <w:rsid w:val="00F56F50"/>
    <w:rsid w:val="00F57798"/>
    <w:rsid w:val="00F6074D"/>
    <w:rsid w:val="00F60850"/>
    <w:rsid w:val="00F6093E"/>
    <w:rsid w:val="00F60CF1"/>
    <w:rsid w:val="00F610BD"/>
    <w:rsid w:val="00F611C7"/>
    <w:rsid w:val="00F6136A"/>
    <w:rsid w:val="00F613D2"/>
    <w:rsid w:val="00F6154A"/>
    <w:rsid w:val="00F61C12"/>
    <w:rsid w:val="00F61F57"/>
    <w:rsid w:val="00F62A4D"/>
    <w:rsid w:val="00F63AFB"/>
    <w:rsid w:val="00F63E37"/>
    <w:rsid w:val="00F63FFE"/>
    <w:rsid w:val="00F64988"/>
    <w:rsid w:val="00F64AD4"/>
    <w:rsid w:val="00F6504B"/>
    <w:rsid w:val="00F65196"/>
    <w:rsid w:val="00F6553D"/>
    <w:rsid w:val="00F65776"/>
    <w:rsid w:val="00F662D3"/>
    <w:rsid w:val="00F66DFC"/>
    <w:rsid w:val="00F67465"/>
    <w:rsid w:val="00F677B7"/>
    <w:rsid w:val="00F7076C"/>
    <w:rsid w:val="00F710AE"/>
    <w:rsid w:val="00F717E5"/>
    <w:rsid w:val="00F71840"/>
    <w:rsid w:val="00F728E9"/>
    <w:rsid w:val="00F733FA"/>
    <w:rsid w:val="00F73595"/>
    <w:rsid w:val="00F735D3"/>
    <w:rsid w:val="00F73F40"/>
    <w:rsid w:val="00F7463C"/>
    <w:rsid w:val="00F748A7"/>
    <w:rsid w:val="00F74D06"/>
    <w:rsid w:val="00F74E27"/>
    <w:rsid w:val="00F7573B"/>
    <w:rsid w:val="00F75D59"/>
    <w:rsid w:val="00F75F9A"/>
    <w:rsid w:val="00F76B53"/>
    <w:rsid w:val="00F77208"/>
    <w:rsid w:val="00F774C9"/>
    <w:rsid w:val="00F774E1"/>
    <w:rsid w:val="00F7756F"/>
    <w:rsid w:val="00F77B57"/>
    <w:rsid w:val="00F77FD5"/>
    <w:rsid w:val="00F804E5"/>
    <w:rsid w:val="00F80A6E"/>
    <w:rsid w:val="00F813B7"/>
    <w:rsid w:val="00F81764"/>
    <w:rsid w:val="00F817D0"/>
    <w:rsid w:val="00F81D05"/>
    <w:rsid w:val="00F81E26"/>
    <w:rsid w:val="00F82603"/>
    <w:rsid w:val="00F82AC9"/>
    <w:rsid w:val="00F84376"/>
    <w:rsid w:val="00F84983"/>
    <w:rsid w:val="00F84D8F"/>
    <w:rsid w:val="00F84FE1"/>
    <w:rsid w:val="00F853BC"/>
    <w:rsid w:val="00F85BB2"/>
    <w:rsid w:val="00F85F1F"/>
    <w:rsid w:val="00F87A7D"/>
    <w:rsid w:val="00F87B69"/>
    <w:rsid w:val="00F9184A"/>
    <w:rsid w:val="00F9279F"/>
    <w:rsid w:val="00F92BD9"/>
    <w:rsid w:val="00F93368"/>
    <w:rsid w:val="00F933C7"/>
    <w:rsid w:val="00F9413D"/>
    <w:rsid w:val="00F94BDE"/>
    <w:rsid w:val="00F954DC"/>
    <w:rsid w:val="00F95826"/>
    <w:rsid w:val="00F95C59"/>
    <w:rsid w:val="00F965E7"/>
    <w:rsid w:val="00F9662E"/>
    <w:rsid w:val="00FA0066"/>
    <w:rsid w:val="00FA1553"/>
    <w:rsid w:val="00FA20B3"/>
    <w:rsid w:val="00FA22DD"/>
    <w:rsid w:val="00FA24AD"/>
    <w:rsid w:val="00FA2D16"/>
    <w:rsid w:val="00FA3608"/>
    <w:rsid w:val="00FA4863"/>
    <w:rsid w:val="00FA4EB4"/>
    <w:rsid w:val="00FA5085"/>
    <w:rsid w:val="00FA5181"/>
    <w:rsid w:val="00FA54F1"/>
    <w:rsid w:val="00FA5AED"/>
    <w:rsid w:val="00FA64F6"/>
    <w:rsid w:val="00FA66F6"/>
    <w:rsid w:val="00FA69F1"/>
    <w:rsid w:val="00FA6A33"/>
    <w:rsid w:val="00FA6C84"/>
    <w:rsid w:val="00FA7129"/>
    <w:rsid w:val="00FA7130"/>
    <w:rsid w:val="00FA78D0"/>
    <w:rsid w:val="00FA7B4E"/>
    <w:rsid w:val="00FB054A"/>
    <w:rsid w:val="00FB0C31"/>
    <w:rsid w:val="00FB0DD9"/>
    <w:rsid w:val="00FB1F56"/>
    <w:rsid w:val="00FB2741"/>
    <w:rsid w:val="00FB27DB"/>
    <w:rsid w:val="00FB2ED9"/>
    <w:rsid w:val="00FB38A6"/>
    <w:rsid w:val="00FB3CE0"/>
    <w:rsid w:val="00FB40ED"/>
    <w:rsid w:val="00FB45C9"/>
    <w:rsid w:val="00FB47E7"/>
    <w:rsid w:val="00FB48AB"/>
    <w:rsid w:val="00FB5038"/>
    <w:rsid w:val="00FB5A72"/>
    <w:rsid w:val="00FB5B39"/>
    <w:rsid w:val="00FB62B1"/>
    <w:rsid w:val="00FB6A4E"/>
    <w:rsid w:val="00FB7C39"/>
    <w:rsid w:val="00FC0BFA"/>
    <w:rsid w:val="00FC19D6"/>
    <w:rsid w:val="00FC2183"/>
    <w:rsid w:val="00FC23A3"/>
    <w:rsid w:val="00FC325A"/>
    <w:rsid w:val="00FC3BC0"/>
    <w:rsid w:val="00FC3E17"/>
    <w:rsid w:val="00FC432B"/>
    <w:rsid w:val="00FC4B3F"/>
    <w:rsid w:val="00FC6081"/>
    <w:rsid w:val="00FC6627"/>
    <w:rsid w:val="00FC6681"/>
    <w:rsid w:val="00FC7C04"/>
    <w:rsid w:val="00FC7C8E"/>
    <w:rsid w:val="00FD0D1A"/>
    <w:rsid w:val="00FD0DE1"/>
    <w:rsid w:val="00FD141B"/>
    <w:rsid w:val="00FD154D"/>
    <w:rsid w:val="00FD18A0"/>
    <w:rsid w:val="00FD1B7E"/>
    <w:rsid w:val="00FD1C8D"/>
    <w:rsid w:val="00FD2CE7"/>
    <w:rsid w:val="00FD300F"/>
    <w:rsid w:val="00FD31E6"/>
    <w:rsid w:val="00FD32F0"/>
    <w:rsid w:val="00FD3E87"/>
    <w:rsid w:val="00FD697E"/>
    <w:rsid w:val="00FD70E2"/>
    <w:rsid w:val="00FD7485"/>
    <w:rsid w:val="00FD74A7"/>
    <w:rsid w:val="00FD7F25"/>
    <w:rsid w:val="00FE13D3"/>
    <w:rsid w:val="00FE2158"/>
    <w:rsid w:val="00FE2EC0"/>
    <w:rsid w:val="00FE3400"/>
    <w:rsid w:val="00FE369E"/>
    <w:rsid w:val="00FE3723"/>
    <w:rsid w:val="00FE3A88"/>
    <w:rsid w:val="00FE3C24"/>
    <w:rsid w:val="00FE4391"/>
    <w:rsid w:val="00FE5359"/>
    <w:rsid w:val="00FE54AD"/>
    <w:rsid w:val="00FE57AE"/>
    <w:rsid w:val="00FE5B33"/>
    <w:rsid w:val="00FE5FED"/>
    <w:rsid w:val="00FE623B"/>
    <w:rsid w:val="00FE654E"/>
    <w:rsid w:val="00FE67F0"/>
    <w:rsid w:val="00FE6945"/>
    <w:rsid w:val="00FE791D"/>
    <w:rsid w:val="00FE7B22"/>
    <w:rsid w:val="00FE7E18"/>
    <w:rsid w:val="00FE7E58"/>
    <w:rsid w:val="00FF022F"/>
    <w:rsid w:val="00FF0610"/>
    <w:rsid w:val="00FF0CF8"/>
    <w:rsid w:val="00FF12F3"/>
    <w:rsid w:val="00FF2296"/>
    <w:rsid w:val="00FF2539"/>
    <w:rsid w:val="00FF28F9"/>
    <w:rsid w:val="00FF3951"/>
    <w:rsid w:val="00FF4E79"/>
    <w:rsid w:val="00FF509A"/>
    <w:rsid w:val="00FF5301"/>
    <w:rsid w:val="00FF5D50"/>
    <w:rsid w:val="037D57E1"/>
    <w:rsid w:val="049AAD6E"/>
    <w:rsid w:val="06AAD020"/>
    <w:rsid w:val="081CD963"/>
    <w:rsid w:val="08C1C1AB"/>
    <w:rsid w:val="08D7FE28"/>
    <w:rsid w:val="0BE204CD"/>
    <w:rsid w:val="0C16EA30"/>
    <w:rsid w:val="0D41EB65"/>
    <w:rsid w:val="14BCFF85"/>
    <w:rsid w:val="16F8027D"/>
    <w:rsid w:val="180F145A"/>
    <w:rsid w:val="1A369A31"/>
    <w:rsid w:val="1A8DE205"/>
    <w:rsid w:val="1BCDAFD0"/>
    <w:rsid w:val="1C02B178"/>
    <w:rsid w:val="1D80694B"/>
    <w:rsid w:val="20D44264"/>
    <w:rsid w:val="21C89178"/>
    <w:rsid w:val="22F1B0F0"/>
    <w:rsid w:val="24FC8677"/>
    <w:rsid w:val="25057E1A"/>
    <w:rsid w:val="3677CB26"/>
    <w:rsid w:val="36AD7E83"/>
    <w:rsid w:val="38ECFD90"/>
    <w:rsid w:val="39003B3D"/>
    <w:rsid w:val="392A6585"/>
    <w:rsid w:val="3DB0D6D3"/>
    <w:rsid w:val="3E712CA4"/>
    <w:rsid w:val="3EE45005"/>
    <w:rsid w:val="40492993"/>
    <w:rsid w:val="43216421"/>
    <w:rsid w:val="4331DF5F"/>
    <w:rsid w:val="44D59296"/>
    <w:rsid w:val="458C4BD9"/>
    <w:rsid w:val="465FA178"/>
    <w:rsid w:val="470F2501"/>
    <w:rsid w:val="4A2632CA"/>
    <w:rsid w:val="4E9596E8"/>
    <w:rsid w:val="5D5D11F7"/>
    <w:rsid w:val="5F15B136"/>
    <w:rsid w:val="5F8B1FFD"/>
    <w:rsid w:val="60B9A039"/>
    <w:rsid w:val="647626DF"/>
    <w:rsid w:val="66861583"/>
    <w:rsid w:val="6A9AC465"/>
    <w:rsid w:val="6AE895BD"/>
    <w:rsid w:val="6D7556CF"/>
    <w:rsid w:val="6E7DF39C"/>
    <w:rsid w:val="6F5D3542"/>
    <w:rsid w:val="6F8135B8"/>
    <w:rsid w:val="72920F2C"/>
    <w:rsid w:val="74C4DA79"/>
    <w:rsid w:val="75F6F940"/>
    <w:rsid w:val="7708DACA"/>
    <w:rsid w:val="77A3C335"/>
    <w:rsid w:val="78D1120C"/>
    <w:rsid w:val="7BF4DAC9"/>
    <w:rsid w:val="7DA5E5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CE35"/>
  <w15:docId w15:val="{D2AE75DF-3D31-4676-B180-97FC2CDB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0B1"/>
    <w:pPr>
      <w:spacing w:line="240" w:lineRule="auto"/>
      <w:jc w:val="both"/>
    </w:pPr>
    <w:rPr>
      <w:rFonts w:ascii="Times New Roman" w:hAnsi="Times New Roman"/>
    </w:rPr>
  </w:style>
  <w:style w:type="paragraph" w:styleId="Heading1">
    <w:name w:val="heading 1"/>
    <w:basedOn w:val="Normal"/>
    <w:next w:val="Normal"/>
    <w:link w:val="Heading1Char"/>
    <w:autoRedefine/>
    <w:uiPriority w:val="9"/>
    <w:qFormat/>
    <w:rsid w:val="00324B3C"/>
    <w:pPr>
      <w:keepNext/>
      <w:keepLines/>
      <w:numPr>
        <w:numId w:val="1"/>
      </w:numPr>
      <w:spacing w:before="200" w:after="120"/>
      <w:outlineLvl w:val="0"/>
    </w:pPr>
    <w:rPr>
      <w:rFonts w:eastAsiaTheme="majorEastAsia" w:cs="Times New Roman"/>
      <w:b/>
      <w:bCs/>
      <w:caps/>
      <w:sz w:val="28"/>
      <w:szCs w:val="28"/>
      <w:lang w:val="en-US"/>
    </w:rPr>
  </w:style>
  <w:style w:type="paragraph" w:styleId="Heading2">
    <w:name w:val="heading 2"/>
    <w:basedOn w:val="Normal"/>
    <w:next w:val="Normal"/>
    <w:link w:val="Heading2Char"/>
    <w:autoRedefine/>
    <w:uiPriority w:val="9"/>
    <w:unhideWhenUsed/>
    <w:qFormat/>
    <w:rsid w:val="00145D38"/>
    <w:pPr>
      <w:numPr>
        <w:ilvl w:val="1"/>
        <w:numId w:val="1"/>
      </w:numPr>
      <w:spacing w:before="120" w:after="120"/>
      <w:jc w:val="left"/>
      <w:outlineLvl w:val="1"/>
    </w:pPr>
    <w:rPr>
      <w:rFonts w:ascii="Times New Roman Bold" w:hAnsi="Times New Roman Bold" w:cs="Times New Roman"/>
      <w:b/>
      <w:caps/>
      <w:sz w:val="26"/>
      <w:szCs w:val="26"/>
    </w:rPr>
  </w:style>
  <w:style w:type="paragraph" w:styleId="Heading3">
    <w:name w:val="heading 3"/>
    <w:basedOn w:val="Normal"/>
    <w:next w:val="Normal"/>
    <w:link w:val="Heading3Char"/>
    <w:autoRedefine/>
    <w:uiPriority w:val="9"/>
    <w:unhideWhenUsed/>
    <w:qFormat/>
    <w:rsid w:val="00A91D9E"/>
    <w:pPr>
      <w:keepNext/>
      <w:keepLines/>
      <w:spacing w:before="120" w:after="120"/>
      <w:jc w:val="left"/>
      <w:outlineLvl w:val="2"/>
    </w:pPr>
    <w:rPr>
      <w:rFonts w:eastAsiaTheme="majorEastAsia" w:cs="Times New Roman"/>
      <w:b/>
      <w:bCs/>
      <w:sz w:val="24"/>
      <w:szCs w:val="24"/>
    </w:rPr>
  </w:style>
  <w:style w:type="paragraph" w:styleId="Heading4">
    <w:name w:val="heading 4"/>
    <w:basedOn w:val="Normal"/>
    <w:next w:val="Normal"/>
    <w:link w:val="Heading4Char"/>
    <w:autoRedefine/>
    <w:uiPriority w:val="9"/>
    <w:unhideWhenUsed/>
    <w:qFormat/>
    <w:rsid w:val="00F94BDE"/>
    <w:pPr>
      <w:keepNext/>
      <w:keepLines/>
      <w:spacing w:before="120" w:after="120"/>
      <w:jc w:val="left"/>
      <w:outlineLvl w:val="3"/>
    </w:pPr>
    <w:rPr>
      <w:rFonts w:ascii="Times New Roman Bold" w:eastAsia="SimSun" w:hAnsi="Times New Roman Bold" w:cs="Times New Roman"/>
      <w:b/>
      <w:bCs/>
      <w:sz w:val="24"/>
      <w:szCs w:val="24"/>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endix Heading"/>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B3C"/>
    <w:rPr>
      <w:rFonts w:ascii="Times New Roman" w:eastAsiaTheme="majorEastAsia" w:hAnsi="Times New Roman" w:cs="Times New Roman"/>
      <w:b/>
      <w:bCs/>
      <w:caps/>
      <w:sz w:val="28"/>
      <w:szCs w:val="28"/>
      <w:lang w:val="en-US"/>
    </w:rPr>
  </w:style>
  <w:style w:type="character" w:customStyle="1" w:styleId="Heading2Char">
    <w:name w:val="Heading 2 Char"/>
    <w:basedOn w:val="DefaultParagraphFont"/>
    <w:link w:val="Heading2"/>
    <w:uiPriority w:val="9"/>
    <w:rsid w:val="00145D38"/>
    <w:rPr>
      <w:rFonts w:ascii="Times New Roman Bold" w:hAnsi="Times New Roman Bold" w:cs="Times New Roman"/>
      <w:b/>
      <w:caps/>
      <w:sz w:val="26"/>
      <w:szCs w:val="26"/>
    </w:rPr>
  </w:style>
  <w:style w:type="character" w:customStyle="1" w:styleId="Heading3Char">
    <w:name w:val="Heading 3 Char"/>
    <w:basedOn w:val="DefaultParagraphFont"/>
    <w:link w:val="Heading3"/>
    <w:uiPriority w:val="9"/>
    <w:rsid w:val="00A91D9E"/>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F94BDE"/>
    <w:rPr>
      <w:rFonts w:ascii="Times New Roman Bold" w:eastAsia="SimSun" w:hAnsi="Times New Roman Bold" w:cs="Times New Roman"/>
      <w:b/>
      <w:bCs/>
      <w:sz w:val="24"/>
      <w:szCs w:val="24"/>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aliases w:val="Appendix Heading Char"/>
    <w:basedOn w:val="DefaultParagraphFont"/>
    <w:link w:val="Heading7"/>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aliases w:val="Annotationmark,-H18"/>
    <w:basedOn w:val="DefaultParagraphFont"/>
    <w:unhideWhenUsed/>
    <w:qFormat/>
    <w:rsid w:val="001A3992"/>
    <w:rPr>
      <w:sz w:val="16"/>
      <w:szCs w:val="16"/>
    </w:rPr>
  </w:style>
  <w:style w:type="paragraph" w:styleId="CommentText">
    <w:name w:val="annotation text"/>
    <w:aliases w:val="Annotationtext,Comment Text Char Char,Comment Text Char1 Char Char,Comment Text Char Char Char Char,Comment Text Char Char1,- H19,Comment Text Char1 Char,Comment Text Char2 Char,Comment Text Char2,Comment Text Char1,Car6,Char1,Char2, Char1"/>
    <w:basedOn w:val="Normal"/>
    <w:link w:val="CommentTextChar"/>
    <w:unhideWhenUsed/>
    <w:qFormat/>
    <w:rsid w:val="001A3992"/>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1 Char Char1,Comment Text Char2 Char Char,Car6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nhideWhenUsed/>
    <w:rsid w:val="00C046F7"/>
    <w:rPr>
      <w:rFonts w:asciiTheme="minorHAnsi" w:hAnsiTheme="minorHAnsi"/>
      <w:b/>
      <w:bCs/>
    </w:rPr>
  </w:style>
  <w:style w:type="character" w:customStyle="1" w:styleId="CommentSubjectChar">
    <w:name w:val="Comment Subject Char"/>
    <w:basedOn w:val="CommentTextChar"/>
    <w:link w:val="CommentSubject"/>
    <w:rsid w:val="00C046F7"/>
    <w:rPr>
      <w:rFonts w:ascii="Cambria" w:hAnsi="Cambria"/>
      <w:b/>
      <w:bCs/>
      <w:sz w:val="20"/>
      <w:szCs w:val="20"/>
    </w:rPr>
  </w:style>
  <w:style w:type="paragraph" w:customStyle="1" w:styleId="Default">
    <w:name w:val="Default"/>
    <w:rsid w:val="00C046F7"/>
    <w:pPr>
      <w:autoSpaceDE w:val="0"/>
      <w:autoSpaceDN w:val="0"/>
      <w:adjustRightInd w:val="0"/>
      <w:spacing w:after="0" w:line="240" w:lineRule="auto"/>
    </w:pPr>
    <w:rPr>
      <w:rFonts w:ascii="Cambria" w:hAnsi="Cambria" w:cs="Cambria"/>
      <w:color w:val="000000"/>
      <w:sz w:val="24"/>
      <w:szCs w:val="24"/>
      <w:lang w:val="en-US"/>
    </w:rPr>
  </w:style>
  <w:style w:type="paragraph" w:styleId="Title">
    <w:name w:val="Title"/>
    <w:basedOn w:val="Normal"/>
    <w:next w:val="Normal"/>
    <w:link w:val="TitleChar"/>
    <w:autoRedefine/>
    <w:uiPriority w:val="10"/>
    <w:qFormat/>
    <w:rsid w:val="00A91D9E"/>
    <w:pPr>
      <w:spacing w:before="240" w:after="24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A91D9E"/>
    <w:rPr>
      <w:rFonts w:ascii="Times New Roman" w:eastAsiaTheme="majorEastAsia" w:hAnsi="Times New Roman" w:cstheme="majorBidi"/>
      <w:b/>
      <w:caps/>
      <w:spacing w:val="-10"/>
      <w:kern w:val="28"/>
      <w:sz w:val="32"/>
      <w:szCs w:val="56"/>
    </w:rPr>
  </w:style>
  <w:style w:type="paragraph" w:styleId="NoSpacing">
    <w:name w:val="No Spacing"/>
    <w:aliases w:val="Bullet"/>
    <w:autoRedefine/>
    <w:uiPriority w:val="1"/>
    <w:qFormat/>
    <w:rsid w:val="00F0208D"/>
    <w:pPr>
      <w:spacing w:before="120" w:after="120" w:line="240" w:lineRule="auto"/>
    </w:pPr>
    <w:rPr>
      <w:rFonts w:ascii="Times New Roman" w:hAnsi="Times New Roman" w:cs="Times New Roman"/>
    </w:rPr>
  </w:style>
  <w:style w:type="character" w:styleId="IntenseReference">
    <w:name w:val="Intense Reference"/>
    <w:basedOn w:val="DefaultParagraphFont"/>
    <w:uiPriority w:val="32"/>
    <w:rsid w:val="00570F78"/>
    <w:rPr>
      <w:b/>
      <w:bCs/>
      <w:smallCaps/>
      <w:color w:val="4F81BD" w:themeColor="accent1"/>
      <w:spacing w:val="5"/>
    </w:rPr>
  </w:style>
  <w:style w:type="character" w:styleId="Strong">
    <w:name w:val="Strong"/>
    <w:basedOn w:val="DefaultParagraphFont"/>
    <w:uiPriority w:val="22"/>
    <w:rsid w:val="007D33DA"/>
    <w:rPr>
      <w:b/>
      <w:bCs/>
    </w:rPr>
  </w:style>
  <w:style w:type="table" w:styleId="TableGrid">
    <w:name w:val="Table Grid"/>
    <w:basedOn w:val="TableNormal"/>
    <w:uiPriority w:val="59"/>
    <w:rsid w:val="007D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38E3"/>
    <w:pPr>
      <w:ind w:left="720" w:hanging="720"/>
    </w:pPr>
    <w:rPr>
      <w:b/>
      <w:iCs/>
      <w:szCs w:val="18"/>
    </w:rPr>
  </w:style>
  <w:style w:type="paragraph" w:styleId="TOC1">
    <w:name w:val="toc 1"/>
    <w:basedOn w:val="Normal"/>
    <w:next w:val="Normal"/>
    <w:autoRedefine/>
    <w:uiPriority w:val="39"/>
    <w:semiHidden/>
    <w:unhideWhenUsed/>
    <w:rsid w:val="00C23890"/>
    <w:pPr>
      <w:tabs>
        <w:tab w:val="right" w:leader="dot" w:pos="9360"/>
      </w:tabs>
      <w:spacing w:after="100"/>
    </w:pPr>
  </w:style>
  <w:style w:type="paragraph" w:styleId="TOC2">
    <w:name w:val="toc 2"/>
    <w:basedOn w:val="Normal"/>
    <w:next w:val="Normal"/>
    <w:autoRedefine/>
    <w:uiPriority w:val="39"/>
    <w:semiHidden/>
    <w:unhideWhenUsed/>
    <w:rsid w:val="00C23890"/>
    <w:pPr>
      <w:tabs>
        <w:tab w:val="right" w:leader="dot" w:pos="9360"/>
      </w:tabs>
      <w:spacing w:after="100"/>
      <w:ind w:left="220"/>
    </w:pPr>
  </w:style>
  <w:style w:type="paragraph" w:styleId="TOC3">
    <w:name w:val="toc 3"/>
    <w:basedOn w:val="Normal"/>
    <w:next w:val="Normal"/>
    <w:autoRedefine/>
    <w:uiPriority w:val="39"/>
    <w:semiHidden/>
    <w:unhideWhenUsed/>
    <w:rsid w:val="00C23890"/>
    <w:pPr>
      <w:tabs>
        <w:tab w:val="right" w:leader="dot" w:pos="9360"/>
      </w:tabs>
      <w:spacing w:after="100"/>
      <w:ind w:left="440"/>
    </w:pPr>
  </w:style>
  <w:style w:type="character" w:customStyle="1" w:styleId="BMSTableNote">
    <w:name w:val="BMS Table Note"/>
    <w:rsid w:val="00BF0540"/>
    <w:rPr>
      <w:rFonts w:ascii="Times New Roman" w:hAnsi="Times New Roman"/>
      <w:dstrike w:val="0"/>
      <w:color w:val="auto"/>
      <w:sz w:val="28"/>
      <w:vertAlign w:val="superscript"/>
    </w:rPr>
  </w:style>
  <w:style w:type="paragraph" w:styleId="TOC4">
    <w:name w:val="toc 4"/>
    <w:basedOn w:val="Normal"/>
    <w:next w:val="Normal"/>
    <w:autoRedefine/>
    <w:uiPriority w:val="39"/>
    <w:semiHidden/>
    <w:unhideWhenUsed/>
    <w:rsid w:val="008C5CCD"/>
    <w:pPr>
      <w:tabs>
        <w:tab w:val="right" w:leader="dot" w:pos="9360"/>
      </w:tabs>
      <w:spacing w:after="100"/>
      <w:ind w:left="660"/>
    </w:pPr>
  </w:style>
  <w:style w:type="paragraph" w:customStyle="1" w:styleId="BMSBodyText">
    <w:name w:val="BMS Body Text"/>
    <w:link w:val="BMSBodyTextChar"/>
    <w:qFormat/>
    <w:rsid w:val="00D509F2"/>
    <w:pPr>
      <w:spacing w:after="120" w:line="264" w:lineRule="auto"/>
      <w:jc w:val="both"/>
    </w:pPr>
    <w:rPr>
      <w:rFonts w:ascii="Times New Roman" w:eastAsia="Times New Roman" w:hAnsi="Times New Roman" w:cs="Times New Roman"/>
      <w:color w:val="000000"/>
      <w:sz w:val="24"/>
      <w:szCs w:val="20"/>
      <w:lang w:val="en-US"/>
    </w:rPr>
  </w:style>
  <w:style w:type="character" w:customStyle="1" w:styleId="BMSBodyTextChar">
    <w:name w:val="BMS Body Text Char"/>
    <w:link w:val="BMSBodyText"/>
    <w:rsid w:val="00D509F2"/>
    <w:rPr>
      <w:rFonts w:ascii="Times New Roman" w:eastAsia="Times New Roman" w:hAnsi="Times New Roman" w:cs="Times New Roman"/>
      <w:color w:val="000000"/>
      <w:sz w:val="24"/>
      <w:szCs w:val="20"/>
      <w:lang w:val="en-US"/>
    </w:rPr>
  </w:style>
  <w:style w:type="paragraph" w:customStyle="1" w:styleId="BMSTableTitle">
    <w:name w:val="BMS Table Title"/>
    <w:next w:val="BMSBodyText"/>
    <w:link w:val="BMSTableTitleChar"/>
    <w:rsid w:val="00D878B0"/>
    <w:pPr>
      <w:keepNext/>
      <w:keepLines/>
      <w:tabs>
        <w:tab w:val="left" w:pos="2160"/>
      </w:tabs>
      <w:spacing w:before="120" w:after="120" w:line="240" w:lineRule="auto"/>
      <w:ind w:left="2160" w:hanging="2160"/>
    </w:pPr>
    <w:rPr>
      <w:rFonts w:ascii="Times New Roman" w:eastAsia="Times New Roman" w:hAnsi="Times New Roman" w:cs="Times New Roman"/>
      <w:b/>
      <w:sz w:val="24"/>
      <w:szCs w:val="20"/>
      <w:lang w:val="en-US"/>
    </w:rPr>
  </w:style>
  <w:style w:type="paragraph" w:customStyle="1" w:styleId="BMSTableHeader">
    <w:name w:val="BMS Table Header"/>
    <w:basedOn w:val="BMSTableText"/>
    <w:link w:val="BMSTableHeaderChar"/>
    <w:rsid w:val="00D878B0"/>
    <w:rPr>
      <w:b/>
      <w:lang w:val="x-none" w:eastAsia="x-none"/>
    </w:rPr>
  </w:style>
  <w:style w:type="character" w:customStyle="1" w:styleId="BMSSuperscript">
    <w:name w:val="BMS Superscript"/>
    <w:rsid w:val="00D878B0"/>
    <w:rPr>
      <w:sz w:val="28"/>
      <w:vertAlign w:val="superscript"/>
    </w:rPr>
  </w:style>
  <w:style w:type="paragraph" w:customStyle="1" w:styleId="BMSTableText">
    <w:name w:val="BMS Table Text"/>
    <w:link w:val="BMSTableTextChar"/>
    <w:rsid w:val="00D878B0"/>
    <w:pPr>
      <w:tabs>
        <w:tab w:val="left" w:pos="360"/>
      </w:tabs>
      <w:spacing w:before="60" w:after="60" w:line="240" w:lineRule="auto"/>
      <w:jc w:val="center"/>
    </w:pPr>
    <w:rPr>
      <w:rFonts w:ascii="Times New Roman" w:eastAsia="Times New Roman" w:hAnsi="Times New Roman" w:cs="Times New Roman"/>
      <w:sz w:val="20"/>
      <w:szCs w:val="20"/>
      <w:lang w:val="en-US"/>
    </w:rPr>
  </w:style>
  <w:style w:type="character" w:customStyle="1" w:styleId="BMSTableTextChar">
    <w:name w:val="BMS Table Text Char"/>
    <w:link w:val="BMSTableText"/>
    <w:rsid w:val="00D878B0"/>
    <w:rPr>
      <w:rFonts w:ascii="Times New Roman" w:eastAsia="Times New Roman" w:hAnsi="Times New Roman" w:cs="Times New Roman"/>
      <w:sz w:val="20"/>
      <w:szCs w:val="20"/>
      <w:lang w:val="en-US"/>
    </w:rPr>
  </w:style>
  <w:style w:type="character" w:customStyle="1" w:styleId="BMSTableHeaderChar">
    <w:name w:val="BMS Table Header Char"/>
    <w:link w:val="BMSTableHeader"/>
    <w:rsid w:val="00D878B0"/>
    <w:rPr>
      <w:rFonts w:ascii="Times New Roman" w:eastAsia="Times New Roman" w:hAnsi="Times New Roman" w:cs="Times New Roman"/>
      <w:b/>
      <w:sz w:val="20"/>
      <w:szCs w:val="20"/>
      <w:lang w:val="x-none" w:eastAsia="x-none"/>
    </w:rPr>
  </w:style>
  <w:style w:type="character" w:customStyle="1" w:styleId="BMSTableTitleChar">
    <w:name w:val="BMS Table Title Char"/>
    <w:link w:val="BMSTableTitle"/>
    <w:rsid w:val="00D878B0"/>
    <w:rPr>
      <w:rFonts w:ascii="Times New Roman" w:eastAsia="Times New Roman" w:hAnsi="Times New Roman" w:cs="Times New Roman"/>
      <w:b/>
      <w:sz w:val="24"/>
      <w:szCs w:val="20"/>
      <w:lang w:val="en-US"/>
    </w:rPr>
  </w:style>
  <w:style w:type="paragraph" w:customStyle="1" w:styleId="EMEABodyText">
    <w:name w:val="EMEA Body Text"/>
    <w:basedOn w:val="Normal"/>
    <w:link w:val="EMEABodyTextChar"/>
    <w:rsid w:val="00662ED7"/>
    <w:pPr>
      <w:spacing w:after="0"/>
      <w:jc w:val="left"/>
    </w:pPr>
    <w:rPr>
      <w:rFonts w:eastAsia="Times New Roman" w:cs="Times New Roman"/>
      <w:szCs w:val="20"/>
      <w:lang w:val="en-GB"/>
    </w:rPr>
  </w:style>
  <w:style w:type="character" w:customStyle="1" w:styleId="EMEASuperscript">
    <w:name w:val="EMEA Superscript"/>
    <w:rsid w:val="00662ED7"/>
    <w:rPr>
      <w:sz w:val="22"/>
      <w:vertAlign w:val="superscript"/>
    </w:rPr>
  </w:style>
  <w:style w:type="character" w:customStyle="1" w:styleId="EMEABodyTextChar">
    <w:name w:val="EMEA Body Text Char"/>
    <w:link w:val="EMEABodyText"/>
    <w:rsid w:val="00662ED7"/>
    <w:rPr>
      <w:rFonts w:ascii="Times New Roman" w:eastAsia="Times New Roman" w:hAnsi="Times New Roman" w:cs="Times New Roman"/>
      <w:szCs w:val="20"/>
      <w:lang w:val="en-GB"/>
    </w:rPr>
  </w:style>
  <w:style w:type="character" w:customStyle="1" w:styleId="EMEASubscript">
    <w:name w:val="EMEA Subscript"/>
    <w:rsid w:val="005A1F13"/>
    <w:rPr>
      <w:sz w:val="22"/>
      <w:vertAlign w:val="subscript"/>
    </w:rPr>
  </w:style>
  <w:style w:type="character" w:styleId="Mention">
    <w:name w:val="Mention"/>
    <w:basedOn w:val="DefaultParagraphFont"/>
    <w:uiPriority w:val="99"/>
    <w:unhideWhenUsed/>
    <w:rsid w:val="00474714"/>
    <w:rPr>
      <w:color w:val="2B579A"/>
      <w:shd w:val="clear" w:color="auto" w:fill="E1DFDD"/>
    </w:rPr>
  </w:style>
  <w:style w:type="paragraph" w:customStyle="1" w:styleId="BMSFigureCaption">
    <w:name w:val="BMS Figure Caption"/>
    <w:basedOn w:val="BMSTableTitle"/>
    <w:next w:val="BMSBodyText"/>
    <w:rsid w:val="00583645"/>
  </w:style>
  <w:style w:type="paragraph" w:customStyle="1" w:styleId="BMSBullets">
    <w:name w:val="BMS Bullets"/>
    <w:basedOn w:val="BMSBodyText"/>
    <w:link w:val="BMSBulletsChar"/>
    <w:rsid w:val="0007066C"/>
    <w:pPr>
      <w:numPr>
        <w:numId w:val="2"/>
      </w:numPr>
      <w:spacing w:after="60" w:line="240" w:lineRule="auto"/>
    </w:pPr>
  </w:style>
  <w:style w:type="character" w:customStyle="1" w:styleId="BMSBulletsChar">
    <w:name w:val="BMS Bullets Char"/>
    <w:basedOn w:val="BMSBodyTextChar"/>
    <w:link w:val="BMSBullets"/>
    <w:rsid w:val="0007066C"/>
    <w:rPr>
      <w:rFonts w:ascii="Times New Roman" w:eastAsia="Times New Roman" w:hAnsi="Times New Roman" w:cs="Times New Roman"/>
      <w:color w:val="000000"/>
      <w:sz w:val="24"/>
      <w:szCs w:val="20"/>
      <w:lang w:val="en-US"/>
    </w:rPr>
  </w:style>
  <w:style w:type="paragraph" w:customStyle="1" w:styleId="TableheadingrowsAgency">
    <w:name w:val="Table heading rows (Agency)"/>
    <w:basedOn w:val="Normal"/>
    <w:rsid w:val="002F55EC"/>
    <w:pPr>
      <w:keepNext/>
      <w:spacing w:after="140" w:line="280" w:lineRule="atLeast"/>
      <w:jc w:val="left"/>
    </w:pPr>
    <w:rPr>
      <w:rFonts w:ascii="Verdana" w:eastAsia="Times New Roman" w:hAnsi="Verdana" w:cs="Verdana"/>
      <w:b/>
      <w:sz w:val="18"/>
      <w:szCs w:val="18"/>
      <w:lang w:val="en-GB" w:eastAsia="en-GB"/>
    </w:rPr>
  </w:style>
  <w:style w:type="paragraph" w:customStyle="1" w:styleId="BMSTableNoteInfo">
    <w:name w:val="BMS Table Note Info"/>
    <w:basedOn w:val="BMSBodyText"/>
    <w:next w:val="BMSBodyText"/>
    <w:link w:val="BMSTableNoteInfoChar"/>
    <w:rsid w:val="00C55867"/>
    <w:pPr>
      <w:tabs>
        <w:tab w:val="left" w:pos="216"/>
      </w:tabs>
      <w:spacing w:before="40" w:after="0" w:line="240" w:lineRule="auto"/>
      <w:ind w:left="216" w:hanging="216"/>
    </w:pPr>
    <w:rPr>
      <w:color w:val="auto"/>
      <w:sz w:val="20"/>
    </w:rPr>
  </w:style>
  <w:style w:type="character" w:customStyle="1" w:styleId="BMSTableNoteInfoChar">
    <w:name w:val="BMS Table Note Info Char"/>
    <w:link w:val="BMSTableNoteInfo"/>
    <w:rsid w:val="00C55867"/>
    <w:rPr>
      <w:rFonts w:ascii="Times New Roman" w:eastAsia="Times New Roman" w:hAnsi="Times New Roman" w:cs="Times New Roman"/>
      <w:sz w:val="20"/>
      <w:szCs w:val="20"/>
      <w:lang w:val="en-US"/>
    </w:rPr>
  </w:style>
  <w:style w:type="numbering" w:customStyle="1" w:styleId="BMSBulletMulti">
    <w:name w:val="BMS_Bullet_Multi"/>
    <w:uiPriority w:val="99"/>
    <w:rsid w:val="0030695D"/>
    <w:pPr>
      <w:numPr>
        <w:numId w:val="3"/>
      </w:numPr>
    </w:pPr>
  </w:style>
  <w:style w:type="paragraph" w:styleId="EndnoteText">
    <w:name w:val="endnote text"/>
    <w:basedOn w:val="BMSBodyText"/>
    <w:link w:val="EndnoteTextChar"/>
    <w:rsid w:val="00AE5FDF"/>
    <w:pPr>
      <w:tabs>
        <w:tab w:val="left" w:pos="360"/>
      </w:tabs>
      <w:spacing w:line="240" w:lineRule="auto"/>
      <w:ind w:left="360" w:hanging="360"/>
    </w:pPr>
    <w:rPr>
      <w:rFonts w:eastAsia="MS Mincho"/>
      <w:lang w:val="x-none" w:eastAsia="x-none"/>
    </w:rPr>
  </w:style>
  <w:style w:type="character" w:customStyle="1" w:styleId="EndnoteTextChar">
    <w:name w:val="Endnote Text Char"/>
    <w:basedOn w:val="DefaultParagraphFont"/>
    <w:link w:val="EndnoteText"/>
    <w:rsid w:val="00AE5FDF"/>
    <w:rPr>
      <w:rFonts w:ascii="Times New Roman" w:eastAsia="MS Mincho" w:hAnsi="Times New Roman" w:cs="Times New Roman"/>
      <w:color w:val="000000"/>
      <w:sz w:val="24"/>
      <w:szCs w:val="20"/>
      <w:lang w:val="x-none" w:eastAsia="x-none"/>
    </w:rPr>
  </w:style>
  <w:style w:type="character" w:styleId="EndnoteReference">
    <w:name w:val="endnote reference"/>
    <w:qFormat/>
    <w:rsid w:val="00AE5FDF"/>
    <w:rPr>
      <w:color w:val="0000FF"/>
      <w:sz w:val="28"/>
      <w:vertAlign w:val="superscript"/>
    </w:rPr>
  </w:style>
  <w:style w:type="paragraph" w:styleId="DocumentMap">
    <w:name w:val="Document Map"/>
    <w:basedOn w:val="Normal"/>
    <w:link w:val="DocumentMapChar"/>
    <w:semiHidden/>
    <w:rsid w:val="00092CE3"/>
    <w:pPr>
      <w:shd w:val="clear" w:color="auto" w:fill="000080"/>
      <w:spacing w:after="0"/>
      <w:jc w:val="left"/>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092CE3"/>
    <w:rPr>
      <w:rFonts w:ascii="Tahoma" w:eastAsia="Times New Roman" w:hAnsi="Tahoma" w:cs="Times New Roman"/>
      <w:szCs w:val="20"/>
      <w:shd w:val="clear" w:color="auto" w:fill="000080"/>
      <w:lang w:val="en-GB"/>
    </w:rPr>
  </w:style>
  <w:style w:type="paragraph" w:styleId="TOC9">
    <w:name w:val="toc 9"/>
    <w:basedOn w:val="Normal"/>
    <w:next w:val="Normal"/>
    <w:autoRedefine/>
    <w:uiPriority w:val="39"/>
    <w:semiHidden/>
    <w:unhideWhenUsed/>
    <w:rsid w:val="002B7FF3"/>
    <w:pPr>
      <w:spacing w:after="100"/>
      <w:ind w:left="1760"/>
    </w:pPr>
  </w:style>
  <w:style w:type="paragraph" w:styleId="Revision">
    <w:name w:val="Revision"/>
    <w:hidden/>
    <w:uiPriority w:val="99"/>
    <w:semiHidden/>
    <w:rsid w:val="00EF0AB7"/>
    <w:pPr>
      <w:spacing w:after="0" w:line="240" w:lineRule="auto"/>
    </w:pPr>
    <w:rPr>
      <w:rFonts w:ascii="Times New Roman" w:hAnsi="Times New Roman"/>
    </w:rPr>
  </w:style>
  <w:style w:type="paragraph" w:customStyle="1" w:styleId="xmsonormal">
    <w:name w:val="x_msonormal"/>
    <w:basedOn w:val="Normal"/>
    <w:rsid w:val="00D8263F"/>
    <w:pPr>
      <w:spacing w:after="0"/>
      <w:jc w:val="left"/>
    </w:pPr>
    <w:rPr>
      <w:rFonts w:ascii="Calibri" w:hAnsi="Calibri" w:cs="Calibri"/>
      <w:lang w:eastAsia="en-AU"/>
    </w:rPr>
  </w:style>
  <w:style w:type="character" w:customStyle="1" w:styleId="BMSInstructiontextUnhidden">
    <w:name w:val="BMS Instruction text Unhidden"/>
    <w:basedOn w:val="DefaultParagraphFont"/>
    <w:uiPriority w:val="1"/>
    <w:qFormat/>
    <w:rsid w:val="00BF0540"/>
    <w:rPr>
      <w:rFonts w:ascii="Times New Roman" w:hAnsi="Times New Roman"/>
      <w:i w:val="0"/>
      <w:strike w:val="0"/>
      <w:dstrike w:val="0"/>
      <w:vanish w:val="0"/>
      <w:color w:val="FF0000"/>
      <w:sz w:val="24"/>
      <w:u w:val="none"/>
      <w:vertAlign w:val="baseline"/>
    </w:rPr>
  </w:style>
  <w:style w:type="paragraph" w:customStyle="1" w:styleId="BMSHeadingAnnex">
    <w:name w:val="BMS Heading Annex"/>
    <w:rsid w:val="00BF0540"/>
    <w:pPr>
      <w:keepNext/>
      <w:keepLines/>
      <w:numPr>
        <w:numId w:val="12"/>
      </w:numPr>
      <w:tabs>
        <w:tab w:val="left" w:pos="2160"/>
      </w:tabs>
      <w:spacing w:before="120" w:after="120" w:line="240" w:lineRule="auto"/>
      <w:outlineLvl w:val="0"/>
    </w:pPr>
    <w:rPr>
      <w:rFonts w:ascii="Arial" w:eastAsia="MS Mincho" w:hAnsi="Arial" w:cs="Arial"/>
      <w:b/>
      <w:caps/>
      <w:sz w:val="24"/>
      <w:szCs w:val="20"/>
      <w:lang w:val="en-US"/>
    </w:rPr>
  </w:style>
  <w:style w:type="paragraph" w:customStyle="1" w:styleId="BMSHeadingTitle">
    <w:name w:val="BMS Heading Title"/>
    <w:link w:val="BMSHeadingTitleChar"/>
    <w:rsid w:val="00BF0540"/>
    <w:pPr>
      <w:spacing w:after="120" w:line="264" w:lineRule="auto"/>
      <w:jc w:val="both"/>
    </w:pPr>
    <w:rPr>
      <w:rFonts w:ascii="Arial" w:eastAsia="MS Mincho" w:hAnsi="Arial" w:cs="Times New Roman"/>
      <w:color w:val="00B050"/>
      <w:sz w:val="20"/>
      <w:szCs w:val="20"/>
      <w:lang w:val="en-US"/>
    </w:rPr>
  </w:style>
  <w:style w:type="character" w:customStyle="1" w:styleId="BMSHeadingTitleChar">
    <w:name w:val="BMS Heading Title Char"/>
    <w:basedOn w:val="DefaultParagraphFont"/>
    <w:link w:val="BMSHeadingTitle"/>
    <w:rsid w:val="00BF0540"/>
    <w:rPr>
      <w:rFonts w:ascii="Arial" w:eastAsia="MS Mincho" w:hAnsi="Arial" w:cs="Times New Roman"/>
      <w:color w:val="00B050"/>
      <w:sz w:val="20"/>
      <w:szCs w:val="20"/>
      <w:lang w:val="en-US"/>
    </w:rPr>
  </w:style>
  <w:style w:type="paragraph" w:customStyle="1" w:styleId="BMSHeadingCentered">
    <w:name w:val="BMS Heading Centered"/>
    <w:next w:val="BMSBodyText"/>
    <w:link w:val="BMSHeadingCenteredChar"/>
    <w:qFormat/>
    <w:rsid w:val="00BF0540"/>
    <w:pPr>
      <w:keepNext/>
      <w:spacing w:before="120" w:after="120" w:line="240" w:lineRule="auto"/>
      <w:jc w:val="center"/>
    </w:pPr>
    <w:rPr>
      <w:rFonts w:ascii="Arial" w:eastAsia="MS Mincho" w:hAnsi="Arial" w:cs="Arial"/>
      <w:b/>
      <w:caps/>
      <w:noProof/>
      <w:sz w:val="24"/>
      <w:szCs w:val="20"/>
      <w:lang w:val="en-US" w:eastAsia="ja-JP"/>
    </w:rPr>
  </w:style>
  <w:style w:type="character" w:customStyle="1" w:styleId="BMSHeadingCenteredChar">
    <w:name w:val="BMS Heading Centered Char"/>
    <w:link w:val="BMSHeadingCentered"/>
    <w:rsid w:val="00BF0540"/>
    <w:rPr>
      <w:rFonts w:ascii="Arial" w:eastAsia="MS Mincho" w:hAnsi="Arial" w:cs="Arial"/>
      <w:b/>
      <w:caps/>
      <w:noProof/>
      <w:sz w:val="24"/>
      <w:szCs w:val="20"/>
      <w:lang w:val="en-US" w:eastAsia="ja-JP"/>
    </w:rPr>
  </w:style>
  <w:style w:type="character" w:styleId="UnresolvedMention">
    <w:name w:val="Unresolved Mention"/>
    <w:basedOn w:val="DefaultParagraphFont"/>
    <w:uiPriority w:val="99"/>
    <w:unhideWhenUsed/>
    <w:rsid w:val="006F62FB"/>
    <w:rPr>
      <w:color w:val="605E5C"/>
      <w:shd w:val="clear" w:color="auto" w:fill="E1DFDD"/>
    </w:rPr>
  </w:style>
  <w:style w:type="character" w:customStyle="1" w:styleId="BMSSubscript">
    <w:name w:val="BMS Subscript"/>
    <w:rsid w:val="006F62FB"/>
    <w:rPr>
      <w:sz w:val="28"/>
      <w:vertAlign w:val="subscript"/>
    </w:rPr>
  </w:style>
  <w:style w:type="paragraph" w:styleId="BodyText3">
    <w:name w:val="Body Text 3"/>
    <w:basedOn w:val="Normal"/>
    <w:link w:val="BodyText3Char"/>
    <w:uiPriority w:val="99"/>
    <w:unhideWhenUsed/>
    <w:rsid w:val="007D0A2E"/>
    <w:pPr>
      <w:spacing w:after="120"/>
      <w:jc w:val="left"/>
    </w:pPr>
    <w:rPr>
      <w:rFonts w:eastAsia="MS Mincho" w:cs="Times New Roman"/>
      <w:sz w:val="16"/>
      <w:szCs w:val="16"/>
      <w:lang w:val="en-US"/>
    </w:rPr>
  </w:style>
  <w:style w:type="character" w:customStyle="1" w:styleId="BodyText3Char">
    <w:name w:val="Body Text 3 Char"/>
    <w:basedOn w:val="DefaultParagraphFont"/>
    <w:link w:val="BodyText3"/>
    <w:uiPriority w:val="99"/>
    <w:rsid w:val="007D0A2E"/>
    <w:rPr>
      <w:rFonts w:ascii="Times New Roman" w:eastAsia="MS Mincho" w:hAnsi="Times New Roman" w:cs="Times New Roman"/>
      <w:sz w:val="16"/>
      <w:szCs w:val="16"/>
      <w:lang w:val="en-US"/>
    </w:rPr>
  </w:style>
  <w:style w:type="paragraph" w:styleId="BodyText">
    <w:name w:val="Body Text"/>
    <w:basedOn w:val="Normal"/>
    <w:link w:val="BodyTextChar"/>
    <w:uiPriority w:val="99"/>
    <w:semiHidden/>
    <w:unhideWhenUsed/>
    <w:rsid w:val="001A3E9C"/>
    <w:pPr>
      <w:spacing w:after="120"/>
    </w:pPr>
  </w:style>
  <w:style w:type="character" w:customStyle="1" w:styleId="BodyTextChar">
    <w:name w:val="Body Text Char"/>
    <w:basedOn w:val="DefaultParagraphFont"/>
    <w:link w:val="BodyText"/>
    <w:uiPriority w:val="99"/>
    <w:semiHidden/>
    <w:rsid w:val="001A3E9C"/>
    <w:rPr>
      <w:rFonts w:ascii="Times New Roman" w:hAnsi="Times New Roman"/>
    </w:rPr>
  </w:style>
  <w:style w:type="character" w:styleId="FollowedHyperlink">
    <w:name w:val="FollowedHyperlink"/>
    <w:basedOn w:val="DefaultParagraphFont"/>
    <w:uiPriority w:val="99"/>
    <w:semiHidden/>
    <w:unhideWhenUsed/>
    <w:rsid w:val="00812C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8424">
      <w:bodyDiv w:val="1"/>
      <w:marLeft w:val="0"/>
      <w:marRight w:val="0"/>
      <w:marTop w:val="0"/>
      <w:marBottom w:val="0"/>
      <w:divBdr>
        <w:top w:val="none" w:sz="0" w:space="0" w:color="auto"/>
        <w:left w:val="none" w:sz="0" w:space="0" w:color="auto"/>
        <w:bottom w:val="none" w:sz="0" w:space="0" w:color="auto"/>
        <w:right w:val="none" w:sz="0" w:space="0" w:color="auto"/>
      </w:divBdr>
    </w:div>
    <w:div w:id="170725218">
      <w:bodyDiv w:val="1"/>
      <w:marLeft w:val="0"/>
      <w:marRight w:val="0"/>
      <w:marTop w:val="0"/>
      <w:marBottom w:val="0"/>
      <w:divBdr>
        <w:top w:val="none" w:sz="0" w:space="0" w:color="auto"/>
        <w:left w:val="none" w:sz="0" w:space="0" w:color="auto"/>
        <w:bottom w:val="none" w:sz="0" w:space="0" w:color="auto"/>
        <w:right w:val="none" w:sz="0" w:space="0" w:color="auto"/>
      </w:divBdr>
    </w:div>
    <w:div w:id="332686366">
      <w:bodyDiv w:val="1"/>
      <w:marLeft w:val="0"/>
      <w:marRight w:val="0"/>
      <w:marTop w:val="0"/>
      <w:marBottom w:val="0"/>
      <w:divBdr>
        <w:top w:val="none" w:sz="0" w:space="0" w:color="auto"/>
        <w:left w:val="none" w:sz="0" w:space="0" w:color="auto"/>
        <w:bottom w:val="none" w:sz="0" w:space="0" w:color="auto"/>
        <w:right w:val="none" w:sz="0" w:space="0" w:color="auto"/>
      </w:divBdr>
    </w:div>
    <w:div w:id="530606620">
      <w:bodyDiv w:val="1"/>
      <w:marLeft w:val="0"/>
      <w:marRight w:val="0"/>
      <w:marTop w:val="0"/>
      <w:marBottom w:val="0"/>
      <w:divBdr>
        <w:top w:val="none" w:sz="0" w:space="0" w:color="auto"/>
        <w:left w:val="none" w:sz="0" w:space="0" w:color="auto"/>
        <w:bottom w:val="none" w:sz="0" w:space="0" w:color="auto"/>
        <w:right w:val="none" w:sz="0" w:space="0" w:color="auto"/>
      </w:divBdr>
    </w:div>
    <w:div w:id="601378365">
      <w:bodyDiv w:val="1"/>
      <w:marLeft w:val="0"/>
      <w:marRight w:val="0"/>
      <w:marTop w:val="0"/>
      <w:marBottom w:val="0"/>
      <w:divBdr>
        <w:top w:val="none" w:sz="0" w:space="0" w:color="auto"/>
        <w:left w:val="none" w:sz="0" w:space="0" w:color="auto"/>
        <w:bottom w:val="none" w:sz="0" w:space="0" w:color="auto"/>
        <w:right w:val="none" w:sz="0" w:space="0" w:color="auto"/>
      </w:divBdr>
    </w:div>
    <w:div w:id="618027075">
      <w:bodyDiv w:val="1"/>
      <w:marLeft w:val="0"/>
      <w:marRight w:val="0"/>
      <w:marTop w:val="0"/>
      <w:marBottom w:val="0"/>
      <w:divBdr>
        <w:top w:val="none" w:sz="0" w:space="0" w:color="auto"/>
        <w:left w:val="none" w:sz="0" w:space="0" w:color="auto"/>
        <w:bottom w:val="none" w:sz="0" w:space="0" w:color="auto"/>
        <w:right w:val="none" w:sz="0" w:space="0" w:color="auto"/>
      </w:divBdr>
    </w:div>
    <w:div w:id="623998404">
      <w:bodyDiv w:val="1"/>
      <w:marLeft w:val="0"/>
      <w:marRight w:val="0"/>
      <w:marTop w:val="0"/>
      <w:marBottom w:val="0"/>
      <w:divBdr>
        <w:top w:val="none" w:sz="0" w:space="0" w:color="auto"/>
        <w:left w:val="none" w:sz="0" w:space="0" w:color="auto"/>
        <w:bottom w:val="none" w:sz="0" w:space="0" w:color="auto"/>
        <w:right w:val="none" w:sz="0" w:space="0" w:color="auto"/>
      </w:divBdr>
    </w:div>
    <w:div w:id="646399373">
      <w:bodyDiv w:val="1"/>
      <w:marLeft w:val="0"/>
      <w:marRight w:val="0"/>
      <w:marTop w:val="0"/>
      <w:marBottom w:val="0"/>
      <w:divBdr>
        <w:top w:val="none" w:sz="0" w:space="0" w:color="auto"/>
        <w:left w:val="none" w:sz="0" w:space="0" w:color="auto"/>
        <w:bottom w:val="none" w:sz="0" w:space="0" w:color="auto"/>
        <w:right w:val="none" w:sz="0" w:space="0" w:color="auto"/>
      </w:divBdr>
    </w:div>
    <w:div w:id="771361548">
      <w:bodyDiv w:val="1"/>
      <w:marLeft w:val="0"/>
      <w:marRight w:val="0"/>
      <w:marTop w:val="0"/>
      <w:marBottom w:val="0"/>
      <w:divBdr>
        <w:top w:val="none" w:sz="0" w:space="0" w:color="auto"/>
        <w:left w:val="none" w:sz="0" w:space="0" w:color="auto"/>
        <w:bottom w:val="none" w:sz="0" w:space="0" w:color="auto"/>
        <w:right w:val="none" w:sz="0" w:space="0" w:color="auto"/>
      </w:divBdr>
    </w:div>
    <w:div w:id="881668810">
      <w:bodyDiv w:val="1"/>
      <w:marLeft w:val="0"/>
      <w:marRight w:val="0"/>
      <w:marTop w:val="0"/>
      <w:marBottom w:val="0"/>
      <w:divBdr>
        <w:top w:val="none" w:sz="0" w:space="0" w:color="auto"/>
        <w:left w:val="none" w:sz="0" w:space="0" w:color="auto"/>
        <w:bottom w:val="none" w:sz="0" w:space="0" w:color="auto"/>
        <w:right w:val="none" w:sz="0" w:space="0" w:color="auto"/>
      </w:divBdr>
    </w:div>
    <w:div w:id="972295290">
      <w:bodyDiv w:val="1"/>
      <w:marLeft w:val="0"/>
      <w:marRight w:val="0"/>
      <w:marTop w:val="0"/>
      <w:marBottom w:val="0"/>
      <w:divBdr>
        <w:top w:val="none" w:sz="0" w:space="0" w:color="auto"/>
        <w:left w:val="none" w:sz="0" w:space="0" w:color="auto"/>
        <w:bottom w:val="none" w:sz="0" w:space="0" w:color="auto"/>
        <w:right w:val="none" w:sz="0" w:space="0" w:color="auto"/>
      </w:divBdr>
    </w:div>
    <w:div w:id="1231117578">
      <w:bodyDiv w:val="1"/>
      <w:marLeft w:val="0"/>
      <w:marRight w:val="0"/>
      <w:marTop w:val="0"/>
      <w:marBottom w:val="0"/>
      <w:divBdr>
        <w:top w:val="none" w:sz="0" w:space="0" w:color="auto"/>
        <w:left w:val="none" w:sz="0" w:space="0" w:color="auto"/>
        <w:bottom w:val="none" w:sz="0" w:space="0" w:color="auto"/>
        <w:right w:val="none" w:sz="0" w:space="0" w:color="auto"/>
      </w:divBdr>
    </w:div>
    <w:div w:id="1396663132">
      <w:bodyDiv w:val="1"/>
      <w:marLeft w:val="0"/>
      <w:marRight w:val="0"/>
      <w:marTop w:val="0"/>
      <w:marBottom w:val="0"/>
      <w:divBdr>
        <w:top w:val="none" w:sz="0" w:space="0" w:color="auto"/>
        <w:left w:val="none" w:sz="0" w:space="0" w:color="auto"/>
        <w:bottom w:val="none" w:sz="0" w:space="0" w:color="auto"/>
        <w:right w:val="none" w:sz="0" w:space="0" w:color="auto"/>
      </w:divBdr>
    </w:div>
    <w:div w:id="1502238275">
      <w:bodyDiv w:val="1"/>
      <w:marLeft w:val="0"/>
      <w:marRight w:val="0"/>
      <w:marTop w:val="0"/>
      <w:marBottom w:val="0"/>
      <w:divBdr>
        <w:top w:val="none" w:sz="0" w:space="0" w:color="auto"/>
        <w:left w:val="none" w:sz="0" w:space="0" w:color="auto"/>
        <w:bottom w:val="none" w:sz="0" w:space="0" w:color="auto"/>
        <w:right w:val="none" w:sz="0" w:space="0" w:color="auto"/>
      </w:divBdr>
    </w:div>
    <w:div w:id="1524200222">
      <w:bodyDiv w:val="1"/>
      <w:marLeft w:val="0"/>
      <w:marRight w:val="0"/>
      <w:marTop w:val="0"/>
      <w:marBottom w:val="0"/>
      <w:divBdr>
        <w:top w:val="none" w:sz="0" w:space="0" w:color="auto"/>
        <w:left w:val="none" w:sz="0" w:space="0" w:color="auto"/>
        <w:bottom w:val="none" w:sz="0" w:space="0" w:color="auto"/>
        <w:right w:val="none" w:sz="0" w:space="0" w:color="auto"/>
      </w:divBdr>
    </w:div>
    <w:div w:id="1582449257">
      <w:bodyDiv w:val="1"/>
      <w:marLeft w:val="0"/>
      <w:marRight w:val="0"/>
      <w:marTop w:val="0"/>
      <w:marBottom w:val="0"/>
      <w:divBdr>
        <w:top w:val="none" w:sz="0" w:space="0" w:color="auto"/>
        <w:left w:val="none" w:sz="0" w:space="0" w:color="auto"/>
        <w:bottom w:val="none" w:sz="0" w:space="0" w:color="auto"/>
        <w:right w:val="none" w:sz="0" w:space="0" w:color="auto"/>
      </w:divBdr>
    </w:div>
    <w:div w:id="1951163174">
      <w:bodyDiv w:val="1"/>
      <w:marLeft w:val="0"/>
      <w:marRight w:val="0"/>
      <w:marTop w:val="0"/>
      <w:marBottom w:val="0"/>
      <w:divBdr>
        <w:top w:val="none" w:sz="0" w:space="0" w:color="auto"/>
        <w:left w:val="none" w:sz="0" w:space="0" w:color="auto"/>
        <w:bottom w:val="none" w:sz="0" w:space="0" w:color="auto"/>
        <w:right w:val="none" w:sz="0" w:space="0" w:color="auto"/>
      </w:divBdr>
    </w:div>
    <w:div w:id="20756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nfo.Australia@bm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2292e-fee3-4e58-b645-17c47387aa0e" xsi:nil="true"/>
    <lcf76f155ced4ddcb4097134ff3c332f xmlns="8a46b709-8ecf-42fd-81b0-d282e67de7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7" ma:contentTypeDescription="Create a new document." ma:contentTypeScope="" ma:versionID="d2d9d5e7c85f0037f699b96d2c7400f6">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519cae3187f22150e1be8f6fe2c312fd"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670FF-C8D8-40DF-B8CA-5382F69E1C40}">
  <ds:schemaRefs>
    <ds:schemaRef ds:uri="http://schemas.microsoft.com/sharepoint/v3/contenttype/forms"/>
  </ds:schemaRefs>
</ds:datastoreItem>
</file>

<file path=customXml/itemProps2.xml><?xml version="1.0" encoding="utf-8"?>
<ds:datastoreItem xmlns:ds="http://schemas.openxmlformats.org/officeDocument/2006/customXml" ds:itemID="{E450888C-5377-4602-882E-BFFCC21A9BA0}">
  <ds:schemaRefs>
    <ds:schemaRef ds:uri="http://schemas.openxmlformats.org/officeDocument/2006/bibliography"/>
  </ds:schemaRefs>
</ds:datastoreItem>
</file>

<file path=customXml/itemProps3.xml><?xml version="1.0" encoding="utf-8"?>
<ds:datastoreItem xmlns:ds="http://schemas.openxmlformats.org/officeDocument/2006/customXml" ds:itemID="{9AEA0F35-5A72-472E-A82D-DAA19B3025E9}">
  <ds:schemaRefs>
    <ds:schemaRef ds:uri="http://schemas.microsoft.com/office/2006/metadata/properties"/>
    <ds:schemaRef ds:uri="http://schemas.microsoft.com/office/infopath/2007/PartnerControls"/>
    <ds:schemaRef ds:uri="4212292e-fee3-4e58-b645-17c47387aa0e"/>
    <ds:schemaRef ds:uri="8a46b709-8ecf-42fd-81b0-d282e67de71a"/>
  </ds:schemaRefs>
</ds:datastoreItem>
</file>

<file path=customXml/itemProps4.xml><?xml version="1.0" encoding="utf-8"?>
<ds:datastoreItem xmlns:ds="http://schemas.openxmlformats.org/officeDocument/2006/customXml" ds:itemID="{C3BABAC6-F518-4FBC-A54B-341C4AF8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17</Pages>
  <Words>5973</Words>
  <Characters>34333</Characters>
  <Application>Microsoft Office Word</Application>
  <DocSecurity>0</DocSecurity>
  <Lines>833</Lines>
  <Paragraphs>498</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Augtyro</dc:title>
  <dc:subject>prescription medicines</dc:subject>
  <dc:creator>Bristol-Myers Squibb Company</dc:creator>
  <cp:keywords/>
  <dc:description>||5.5;||</dc:description>
  <cp:lastModifiedBy>LACK, Janet</cp:lastModifiedBy>
  <cp:revision>4</cp:revision>
  <cp:lastPrinted>2025-07-23T05:58:00Z</cp:lastPrinted>
  <dcterms:created xsi:type="dcterms:W3CDTF">2026-02-01T21:54:00Z</dcterms:created>
  <dcterms:modified xsi:type="dcterms:W3CDTF">2026-02-01T22:16:00Z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3794add2,4cb31775,57bb3983</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233a7e65,1c54f0ea,169a0e1f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2025-11-30T23:53:45Z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539eb584-9d04-49f3-a4cd-f182b0c787cf</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