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496"/>
        <w:gridCol w:w="4053"/>
      </w:tblGrid>
      <w:tr w:rsidR="00D3276C" w14:paraId="72F2E6DC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0B80544B" w14:textId="77777777" w:rsidR="00D3276C" w:rsidRDefault="00695CB2" w:rsidP="006D7E16">
            <w:pPr>
              <w:pStyle w:val="LegalCopy"/>
              <w:spacing w:before="240"/>
            </w:pPr>
            <w:r>
              <w:rPr>
                <w:noProof/>
              </w:rPr>
              <w:drawing>
                <wp:inline distT="0" distB="0" distL="0" distR="0" wp14:anchorId="12F7F2DB" wp14:editId="4D2C6D89">
                  <wp:extent cx="3344545" cy="694055"/>
                  <wp:effectExtent l="0" t="0" r="8255" b="0"/>
                  <wp:docPr id="815463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54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1" w:type="dxa"/>
            <w:vAlign w:val="center"/>
          </w:tcPr>
          <w:p w14:paraId="552E795E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</w:rPr>
            </w:pPr>
            <w:r w:rsidRPr="00484978">
              <w:rPr>
                <w:bCs/>
              </w:rPr>
              <w:t>TGA USE ONLY</w:t>
            </w:r>
          </w:p>
        </w:tc>
      </w:tr>
    </w:tbl>
    <w:p w14:paraId="6B8F6C59" w14:textId="18ABFC16" w:rsidR="006D7E16" w:rsidRPr="009A2501" w:rsidRDefault="006D7E16" w:rsidP="006D7E16">
      <w:pPr>
        <w:pStyle w:val="LegalCopy"/>
        <w:spacing w:before="240"/>
      </w:pPr>
      <w:r w:rsidRPr="009A2501">
        <w:t xml:space="preserve">This form, when completed, will be classified as </w:t>
      </w:r>
      <w:r w:rsidRPr="0030196B">
        <w:rPr>
          <w:b/>
          <w:bCs/>
        </w:rPr>
        <w:t>'</w:t>
      </w:r>
      <w:r w:rsidR="005139F9">
        <w:rPr>
          <w:b/>
        </w:rPr>
        <w:t>OFFICIAL’</w:t>
      </w:r>
      <w:r w:rsidRPr="009A2501">
        <w:t>.</w:t>
      </w:r>
      <w:r w:rsidRPr="009A2501">
        <w:br/>
        <w:t xml:space="preserve">For guidance on how your information will be treated by the TGA see: Treatment of information provided to the TGA at </w:t>
      </w:r>
      <w:hyperlink r:id="rId12" w:history="1">
        <w:r w:rsidR="009305E2" w:rsidRPr="00DB2AEA">
          <w:rPr>
            <w:rStyle w:val="Hyperlink"/>
          </w:rPr>
          <w:t>https://www.tga.gov.au/treatment-information-provided-tga</w:t>
        </w:r>
      </w:hyperlink>
      <w:r w:rsidRPr="009A2501">
        <w:t>.</w:t>
      </w:r>
    </w:p>
    <w:p w14:paraId="783C77DB" w14:textId="4DBB89B5" w:rsidR="00DC7445" w:rsidRPr="009A2501" w:rsidRDefault="00FC5FB5" w:rsidP="00221E5B">
      <w:pPr>
        <w:pStyle w:val="Heading1"/>
      </w:pPr>
      <w:r>
        <w:t>A</w:t>
      </w:r>
      <w:r w:rsidR="00132CAF">
        <w:t>ssurances</w:t>
      </w:r>
      <w:r w:rsidR="00650263">
        <w:t xml:space="preserve"> to accompany an OTC new medicine N2 application</w:t>
      </w:r>
    </w:p>
    <w:p w14:paraId="42CF118E" w14:textId="3467D79D" w:rsidR="00DC7445" w:rsidRPr="009A2501" w:rsidRDefault="00053170" w:rsidP="00666D03">
      <w:pPr>
        <w:pStyle w:val="Subtitl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These assurances confirm that the </w:t>
      </w:r>
      <w:r w:rsidR="001B07D7">
        <w:rPr>
          <w:rFonts w:asciiTheme="majorHAnsi" w:hAnsiTheme="majorHAnsi" w:cstheme="majorHAnsi"/>
        </w:rPr>
        <w:t>application</w:t>
      </w:r>
      <w:r>
        <w:rPr>
          <w:rFonts w:asciiTheme="majorHAnsi" w:hAnsiTheme="majorHAnsi" w:cstheme="majorHAnsi"/>
        </w:rPr>
        <w:t xml:space="preserve"> meets</w:t>
      </w:r>
      <w:r w:rsidR="001B07D7">
        <w:rPr>
          <w:rFonts w:asciiTheme="majorHAnsi" w:hAnsiTheme="majorHAnsi" w:cstheme="majorHAnsi"/>
        </w:rPr>
        <w:t xml:space="preserve"> the</w:t>
      </w:r>
      <w:r>
        <w:rPr>
          <w:rFonts w:asciiTheme="majorHAnsi" w:hAnsiTheme="majorHAnsi" w:cstheme="majorHAnsi"/>
        </w:rPr>
        <w:t xml:space="preserve"> requirements</w:t>
      </w:r>
      <w:r w:rsidR="00B66B5C">
        <w:rPr>
          <w:rFonts w:asciiTheme="majorHAnsi" w:hAnsiTheme="majorHAnsi" w:cstheme="majorHAnsi"/>
        </w:rPr>
        <w:t xml:space="preserve"> for an N2 level application.</w:t>
      </w:r>
    </w:p>
    <w:p w14:paraId="3D77CE1C" w14:textId="02CBD38A" w:rsidR="00827CA6" w:rsidRPr="009A2501" w:rsidRDefault="00827CA6" w:rsidP="00827CA6">
      <w:pPr>
        <w:pStyle w:val="Heading2"/>
      </w:pPr>
      <w:r>
        <w:t>The importance of assurances</w:t>
      </w:r>
    </w:p>
    <w:p w14:paraId="630BAAEB" w14:textId="4BABA613" w:rsidR="00827CA6" w:rsidRDefault="00827CA6" w:rsidP="00827CA6">
      <w:r>
        <w:t>Making an N2 application for a new OTC medicine:</w:t>
      </w:r>
    </w:p>
    <w:p w14:paraId="51A8E139" w14:textId="77777777" w:rsidR="00827CA6" w:rsidRPr="00827CA6" w:rsidRDefault="00827CA6" w:rsidP="00827CA6">
      <w:pPr>
        <w:pStyle w:val="ListBullet"/>
      </w:pPr>
      <w:r w:rsidRPr="00827CA6">
        <w:t>reduces the amount of data that needs to be submitted to the TGA at the initial application stage, which reduces the evaluation time</w:t>
      </w:r>
    </w:p>
    <w:p w14:paraId="6D41E48E" w14:textId="07799BEA" w:rsidR="00827CA6" w:rsidRDefault="00827CA6" w:rsidP="00827CA6">
      <w:pPr>
        <w:pStyle w:val="ListBullet"/>
      </w:pPr>
      <w:r w:rsidRPr="00827CA6">
        <w:t>does not reduce the amount of data that the sponsor is required to hold.</w:t>
      </w:r>
    </w:p>
    <w:p w14:paraId="0F960680" w14:textId="6FA48154" w:rsidR="002344EE" w:rsidRPr="002344EE" w:rsidRDefault="00827CA6" w:rsidP="002344EE">
      <w:r>
        <w:t>Instead of providing full supporting data with the application, a</w:t>
      </w:r>
      <w:r w:rsidR="00A57AEC">
        <w:t xml:space="preserve">n applicant </w:t>
      </w:r>
      <w:r>
        <w:t xml:space="preserve">completes a </w:t>
      </w:r>
      <w:r w:rsidRPr="00827CA6">
        <w:t>list of assurances</w:t>
      </w:r>
      <w:r>
        <w:t xml:space="preserve"> confirming that the product meets the specified requirements</w:t>
      </w:r>
      <w:r w:rsidR="00B66B5C">
        <w:t xml:space="preserve"> for an N2 level application</w:t>
      </w:r>
      <w:r>
        <w:t>.</w:t>
      </w:r>
    </w:p>
    <w:p w14:paraId="32AAA489" w14:textId="56153E89" w:rsidR="0078793E" w:rsidRPr="00570797" w:rsidRDefault="002344EE" w:rsidP="00570797">
      <w:pPr>
        <w:pStyle w:val="Calloutforquotinglegislation"/>
        <w:rPr>
          <w:color w:val="000000"/>
        </w:rPr>
      </w:pPr>
      <w:r w:rsidRPr="002344EE">
        <w:rPr>
          <w:color w:val="000000"/>
        </w:rPr>
        <w:t>Giving information</w:t>
      </w:r>
      <w:r w:rsidRPr="002344EE">
        <w:rPr>
          <w:color w:val="000000"/>
          <w:spacing w:val="-4"/>
        </w:rPr>
        <w:t xml:space="preserve"> </w:t>
      </w:r>
      <w:r w:rsidRPr="002344EE">
        <w:rPr>
          <w:color w:val="000000"/>
        </w:rPr>
        <w:t>that</w:t>
      </w:r>
      <w:r w:rsidRPr="002344EE">
        <w:rPr>
          <w:color w:val="000000"/>
          <w:spacing w:val="-2"/>
        </w:rPr>
        <w:t xml:space="preserve"> </w:t>
      </w:r>
      <w:r w:rsidRPr="002344EE">
        <w:rPr>
          <w:color w:val="000000"/>
        </w:rPr>
        <w:t>is</w:t>
      </w:r>
      <w:r w:rsidRPr="002344EE">
        <w:rPr>
          <w:color w:val="000000"/>
          <w:spacing w:val="-2"/>
        </w:rPr>
        <w:t xml:space="preserve"> </w:t>
      </w:r>
      <w:r w:rsidRPr="002344EE">
        <w:rPr>
          <w:color w:val="000000"/>
        </w:rPr>
        <w:t>false</w:t>
      </w:r>
      <w:r w:rsidRPr="002344EE">
        <w:rPr>
          <w:color w:val="000000"/>
          <w:spacing w:val="-4"/>
        </w:rPr>
        <w:t xml:space="preserve"> </w:t>
      </w:r>
      <w:r w:rsidRPr="002344EE">
        <w:rPr>
          <w:color w:val="000000"/>
        </w:rPr>
        <w:t>or</w:t>
      </w:r>
      <w:r w:rsidRPr="002344EE">
        <w:rPr>
          <w:color w:val="000000"/>
          <w:spacing w:val="-3"/>
        </w:rPr>
        <w:t xml:space="preserve"> </w:t>
      </w:r>
      <w:r w:rsidRPr="002344EE">
        <w:rPr>
          <w:color w:val="000000"/>
        </w:rPr>
        <w:t>misleading</w:t>
      </w:r>
      <w:r w:rsidRPr="002344EE">
        <w:rPr>
          <w:color w:val="000000"/>
          <w:spacing w:val="-5"/>
        </w:rPr>
        <w:t xml:space="preserve"> </w:t>
      </w:r>
      <w:r w:rsidRPr="002344EE">
        <w:rPr>
          <w:color w:val="000000"/>
        </w:rPr>
        <w:t>in</w:t>
      </w:r>
      <w:r w:rsidRPr="002344EE">
        <w:rPr>
          <w:color w:val="000000"/>
          <w:spacing w:val="-3"/>
        </w:rPr>
        <w:t xml:space="preserve"> </w:t>
      </w:r>
      <w:r w:rsidRPr="002344EE">
        <w:rPr>
          <w:color w:val="000000"/>
        </w:rPr>
        <w:t>a material</w:t>
      </w:r>
      <w:r w:rsidRPr="002344EE">
        <w:rPr>
          <w:color w:val="000000"/>
          <w:spacing w:val="-3"/>
        </w:rPr>
        <w:t xml:space="preserve"> </w:t>
      </w:r>
      <w:r w:rsidRPr="002344EE">
        <w:rPr>
          <w:color w:val="000000"/>
        </w:rPr>
        <w:t>particular</w:t>
      </w:r>
      <w:r w:rsidRPr="002344EE">
        <w:rPr>
          <w:color w:val="000000"/>
          <w:spacing w:val="-3"/>
        </w:rPr>
        <w:t xml:space="preserve"> </w:t>
      </w:r>
      <w:r w:rsidRPr="002344EE">
        <w:rPr>
          <w:color w:val="000000"/>
        </w:rPr>
        <w:t>is</w:t>
      </w:r>
      <w:r w:rsidRPr="002344EE">
        <w:rPr>
          <w:color w:val="000000"/>
          <w:spacing w:val="-6"/>
        </w:rPr>
        <w:t xml:space="preserve"> </w:t>
      </w:r>
      <w:r w:rsidRPr="002344EE">
        <w:rPr>
          <w:color w:val="000000"/>
        </w:rPr>
        <w:t>an</w:t>
      </w:r>
      <w:r w:rsidRPr="002344EE">
        <w:rPr>
          <w:color w:val="000000"/>
          <w:spacing w:val="-4"/>
        </w:rPr>
        <w:t xml:space="preserve"> </w:t>
      </w:r>
      <w:r w:rsidRPr="002344EE">
        <w:rPr>
          <w:color w:val="000000"/>
        </w:rPr>
        <w:t>offence</w:t>
      </w:r>
      <w:r w:rsidRPr="002344EE">
        <w:rPr>
          <w:color w:val="000000"/>
          <w:spacing w:val="-4"/>
        </w:rPr>
        <w:t xml:space="preserve"> </w:t>
      </w:r>
      <w:r w:rsidRPr="002344EE">
        <w:rPr>
          <w:color w:val="000000"/>
        </w:rPr>
        <w:t xml:space="preserve">under the </w:t>
      </w:r>
      <w:r w:rsidRPr="002344EE">
        <w:rPr>
          <w:i/>
          <w:iCs/>
          <w:color w:val="000000"/>
        </w:rPr>
        <w:t xml:space="preserve">Therapeutic Goods Act 1989 </w:t>
      </w:r>
      <w:r w:rsidRPr="002344EE">
        <w:rPr>
          <w:color w:val="000000"/>
        </w:rPr>
        <w:t>(section 22A) and can give rise to civil penalties under the Act (section 22B).</w:t>
      </w:r>
    </w:p>
    <w:p w14:paraId="00FF8DA5" w14:textId="77777777" w:rsidR="00570797" w:rsidRDefault="00570797" w:rsidP="00570797">
      <w:pPr>
        <w:pStyle w:val="BodyText"/>
        <w:spacing w:before="106"/>
        <w:rPr>
          <w:b/>
          <w:sz w:val="20"/>
        </w:rPr>
      </w:pPr>
    </w:p>
    <w:p w14:paraId="66E99E9F" w14:textId="77777777" w:rsidR="00570797" w:rsidRDefault="00570797" w:rsidP="00570797">
      <w:pPr>
        <w:pStyle w:val="Calloutforquotinglegislation"/>
      </w:pPr>
      <w:r>
        <w:t>Under subsection 24(2) of the Act, an application for registration of an OTC medicine lapses if:</w:t>
      </w:r>
    </w:p>
    <w:p w14:paraId="2B7735FF" w14:textId="77777777" w:rsidR="00570797" w:rsidRDefault="00570797" w:rsidP="00570797">
      <w:pPr>
        <w:pStyle w:val="Calloutforquotinglegislation"/>
        <w:numPr>
          <w:ilvl w:val="0"/>
          <w:numId w:val="32"/>
        </w:numPr>
        <w:ind w:left="426" w:hanging="426"/>
      </w:pPr>
      <w:r>
        <w:t>it contains information that is inaccurate or misleading in a material particular</w:t>
      </w:r>
    </w:p>
    <w:p w14:paraId="175F3CB9" w14:textId="77777777" w:rsidR="00570797" w:rsidRPr="002344EE" w:rsidRDefault="00570797" w:rsidP="00570797">
      <w:pPr>
        <w:pStyle w:val="Calloutforquotinglegislation"/>
        <w:numPr>
          <w:ilvl w:val="0"/>
          <w:numId w:val="32"/>
        </w:numPr>
        <w:ind w:left="426" w:hanging="426"/>
      </w:pPr>
      <w:r>
        <w:t>information that is inaccurate or misleading in a material particular is given to the TGA in connection with an OTC medicine application, including information given for the purposes of section 31 of the Act</w:t>
      </w:r>
    </w:p>
    <w:p w14:paraId="29F95BF4" w14:textId="7FB6C97B" w:rsidR="00650263" w:rsidRPr="00570797" w:rsidRDefault="0078793E" w:rsidP="000B1A45">
      <w:pPr>
        <w:rPr>
          <w:lang w:val="en-US"/>
        </w:rPr>
      </w:pPr>
      <w:bookmarkStart w:id="0" w:name="_Hlk206430953"/>
      <w:r>
        <w:rPr>
          <w:lang w:val="en-US"/>
        </w:rPr>
        <w:t>Following approval, medicines found not to comply with standard and specific conditions of registration could be subject to regulatory action.</w:t>
      </w:r>
      <w:bookmarkEnd w:id="0"/>
    </w:p>
    <w:p w14:paraId="0CEBE1DB" w14:textId="4E316F7B" w:rsidR="00DC7445" w:rsidRPr="009A2501" w:rsidRDefault="0083026C" w:rsidP="00221E5B">
      <w:pPr>
        <w:pStyle w:val="Heading2"/>
      </w:pPr>
      <w:r>
        <w:t>Completing this form</w:t>
      </w:r>
    </w:p>
    <w:p w14:paraId="2377962B" w14:textId="252A010E" w:rsidR="0083026C" w:rsidRDefault="0083026C" w:rsidP="0083026C"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provides the</w:t>
      </w:r>
      <w:r>
        <w:rPr>
          <w:spacing w:val="-3"/>
        </w:rPr>
        <w:t xml:space="preserve"> </w:t>
      </w:r>
      <w:r>
        <w:t>assurances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accompany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OTC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N2 application. Ensure you:</w:t>
      </w:r>
    </w:p>
    <w:p w14:paraId="79768281" w14:textId="0B42723D" w:rsidR="00827CA6" w:rsidRDefault="00570797" w:rsidP="00827CA6">
      <w:pPr>
        <w:pStyle w:val="ListBullet"/>
      </w:pPr>
      <w:r>
        <w:rPr>
          <w:b/>
          <w:bCs/>
        </w:rPr>
        <w:t>Provide a</w:t>
      </w:r>
      <w:r w:rsidR="00827CA6" w:rsidRPr="00A57AEC">
        <w:rPr>
          <w:b/>
          <w:bCs/>
        </w:rPr>
        <w:t>ll</w:t>
      </w:r>
      <w:r w:rsidR="00827CA6" w:rsidRPr="00A57AEC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 xml:space="preserve">the </w:t>
      </w:r>
      <w:r w:rsidR="00827CA6" w:rsidRPr="00A57AEC">
        <w:rPr>
          <w:b/>
          <w:bCs/>
        </w:rPr>
        <w:t>assurances</w:t>
      </w:r>
      <w:r w:rsidR="00827CA6">
        <w:rPr>
          <w:spacing w:val="-1"/>
        </w:rPr>
        <w:t xml:space="preserve"> </w:t>
      </w:r>
      <w:r w:rsidR="00827CA6">
        <w:t>in this</w:t>
      </w:r>
      <w:r w:rsidR="00827CA6">
        <w:rPr>
          <w:spacing w:val="-6"/>
        </w:rPr>
        <w:t xml:space="preserve"> </w:t>
      </w:r>
      <w:r w:rsidR="00827CA6">
        <w:t>form. If you cannot</w:t>
      </w:r>
      <w:r w:rsidR="00827CA6">
        <w:rPr>
          <w:spacing w:val="-5"/>
        </w:rPr>
        <w:t xml:space="preserve"> </w:t>
      </w:r>
      <w:r w:rsidR="00827CA6">
        <w:t>provide</w:t>
      </w:r>
      <w:r w:rsidR="00827CA6">
        <w:rPr>
          <w:spacing w:val="-4"/>
        </w:rPr>
        <w:t xml:space="preserve"> </w:t>
      </w:r>
      <w:r w:rsidR="00827CA6">
        <w:t>all</w:t>
      </w:r>
      <w:r w:rsidR="00827CA6">
        <w:rPr>
          <w:spacing w:val="-2"/>
        </w:rPr>
        <w:t xml:space="preserve"> </w:t>
      </w:r>
      <w:r w:rsidR="00827CA6">
        <w:t>of the</w:t>
      </w:r>
      <w:r>
        <w:t xml:space="preserve"> </w:t>
      </w:r>
      <w:r w:rsidRPr="00E70BD2">
        <w:rPr>
          <w:b/>
          <w:bCs/>
        </w:rPr>
        <w:t>required</w:t>
      </w:r>
      <w:r w:rsidR="00827CA6" w:rsidRPr="00E70BD2">
        <w:rPr>
          <w:b/>
          <w:bCs/>
          <w:spacing w:val="-4"/>
        </w:rPr>
        <w:t xml:space="preserve"> </w:t>
      </w:r>
      <w:r w:rsidR="00827CA6">
        <w:t>assurances,</w:t>
      </w:r>
      <w:r w:rsidR="00827CA6">
        <w:rPr>
          <w:spacing w:val="-5"/>
        </w:rPr>
        <w:t xml:space="preserve"> </w:t>
      </w:r>
      <w:r w:rsidR="00827CA6">
        <w:t xml:space="preserve">do not submit an OTC </w:t>
      </w:r>
      <w:r w:rsidR="00925BE0">
        <w:t>n</w:t>
      </w:r>
      <w:r w:rsidR="00827CA6">
        <w:t>ew medicine N2 application</w:t>
      </w:r>
      <w:r w:rsidR="00925BE0">
        <w:t>, because</w:t>
      </w:r>
      <w:r w:rsidR="00827CA6">
        <w:t xml:space="preserve"> this is not the correct application level.</w:t>
      </w:r>
    </w:p>
    <w:p w14:paraId="3DC8BE5F" w14:textId="52797630" w:rsidR="0083026C" w:rsidRDefault="0083026C" w:rsidP="0083026C">
      <w:pPr>
        <w:pStyle w:val="ListBullet"/>
        <w:rPr>
          <w:spacing w:val="-10"/>
        </w:rPr>
      </w:pP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rPr>
          <w:spacing w:val="-10"/>
        </w:rPr>
        <w:t>1</w:t>
      </w:r>
      <w:r w:rsidR="00827CA6">
        <w:rPr>
          <w:spacing w:val="-10"/>
        </w:rPr>
        <w:t>.</w:t>
      </w:r>
    </w:p>
    <w:p w14:paraId="593C18AE" w14:textId="1E68C406" w:rsidR="0083026C" w:rsidRDefault="0083026C" w:rsidP="0083026C">
      <w:pPr>
        <w:pStyle w:val="ListBullet"/>
      </w:pPr>
      <w:r>
        <w:lastRenderedPageBreak/>
        <w:t>Select</w:t>
      </w:r>
      <w:r>
        <w:rPr>
          <w:spacing w:val="-1"/>
        </w:rPr>
        <w:t xml:space="preserve"> </w:t>
      </w:r>
      <w:r>
        <w:t>‘Yes’</w:t>
      </w:r>
      <w:r>
        <w:rPr>
          <w:spacing w:val="-3"/>
        </w:rPr>
        <w:t xml:space="preserve"> </w:t>
      </w:r>
      <w:r>
        <w:t>to provide the</w:t>
      </w:r>
      <w:r>
        <w:rPr>
          <w:spacing w:val="-5"/>
        </w:rPr>
        <w:t xml:space="preserve"> </w:t>
      </w:r>
      <w:r>
        <w:t>assurance</w:t>
      </w:r>
      <w:r w:rsidR="00570797">
        <w:t>.</w:t>
      </w:r>
      <w:r>
        <w:rPr>
          <w:spacing w:val="-4"/>
        </w:rPr>
        <w:t xml:space="preserve"> </w:t>
      </w:r>
      <w:r>
        <w:t>‘Not</w:t>
      </w:r>
      <w:r>
        <w:rPr>
          <w:spacing w:val="-6"/>
        </w:rPr>
        <w:t xml:space="preserve"> </w:t>
      </w:r>
      <w:r>
        <w:t>applicable’</w:t>
      </w:r>
      <w:r>
        <w:rPr>
          <w:spacing w:val="-8"/>
        </w:rPr>
        <w:t xml:space="preserve"> </w:t>
      </w:r>
      <w:r w:rsidR="00570797">
        <w:rPr>
          <w:spacing w:val="-8"/>
        </w:rPr>
        <w:t xml:space="preserve">is only an option where a ‘Not applicable’ check box has been provided. </w:t>
      </w:r>
    </w:p>
    <w:p w14:paraId="14A0FCE6" w14:textId="2361E3ED" w:rsidR="0083026C" w:rsidRDefault="0083026C" w:rsidP="0083026C">
      <w:pPr>
        <w:pStyle w:val="ListBullet"/>
      </w:pPr>
      <w:r>
        <w:t>Ensure this form is signed by a person authorised to conduct business on behalf of the applicant.</w:t>
      </w:r>
      <w:r w:rsidR="00053170">
        <w:rPr>
          <w:spacing w:val="4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person must</w:t>
      </w:r>
      <w:r>
        <w:rPr>
          <w:spacing w:val="-5"/>
        </w:rPr>
        <w:t xml:space="preserve"> </w:t>
      </w:r>
      <w:r>
        <w:t>be listed</w:t>
      </w:r>
      <w:r>
        <w:rPr>
          <w:spacing w:val="-4"/>
        </w:rPr>
        <w:t xml:space="preserve"> </w:t>
      </w:r>
      <w:r>
        <w:t>on the</w:t>
      </w:r>
      <w:r>
        <w:rPr>
          <w:spacing w:val="-4"/>
        </w:rPr>
        <w:t xml:space="preserve"> </w:t>
      </w:r>
      <w:r>
        <w:t>TGA</w:t>
      </w:r>
      <w:r>
        <w:rPr>
          <w:spacing w:val="-9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and may be a company employee or an agent.</w:t>
      </w:r>
    </w:p>
    <w:p w14:paraId="50444A47" w14:textId="0642967A" w:rsidR="00FF71FF" w:rsidRPr="00827CA6" w:rsidRDefault="0083026C" w:rsidP="000B1A45">
      <w:pPr>
        <w:pStyle w:val="ListBullet"/>
        <w:rPr>
          <w:spacing w:val="-2"/>
        </w:rPr>
      </w:pPr>
      <w:r>
        <w:t>Include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 w:rsidRPr="00CC2741">
        <w:t>Module</w:t>
      </w:r>
      <w:r>
        <w:rPr>
          <w:spacing w:val="-7"/>
        </w:rPr>
        <w:t xml:space="preserve"> </w:t>
      </w:r>
      <w:r>
        <w:t>1.5</w:t>
      </w:r>
      <w:r w:rsidR="00CC2741">
        <w:t>.7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OTC</w:t>
      </w:r>
      <w:r>
        <w:rPr>
          <w:spacing w:val="-5"/>
        </w:rPr>
        <w:t xml:space="preserve"> </w:t>
      </w:r>
      <w:r w:rsidR="00925BE0">
        <w:t>n</w:t>
      </w:r>
      <w:r>
        <w:t>ew</w:t>
      </w:r>
      <w:r>
        <w:rPr>
          <w:spacing w:val="-4"/>
        </w:rPr>
        <w:t xml:space="preserve"> </w:t>
      </w:r>
      <w:r w:rsidR="00925BE0">
        <w:t>m</w:t>
      </w:r>
      <w:r>
        <w:t>edicine</w:t>
      </w:r>
      <w:r>
        <w:rPr>
          <w:spacing w:val="-1"/>
        </w:rPr>
        <w:t xml:space="preserve"> </w:t>
      </w:r>
      <w:r>
        <w:t>N2</w:t>
      </w:r>
      <w:r>
        <w:rPr>
          <w:spacing w:val="-6"/>
        </w:rPr>
        <w:t xml:space="preserve"> </w:t>
      </w:r>
      <w:r>
        <w:rPr>
          <w:spacing w:val="-2"/>
        </w:rPr>
        <w:t>application.</w:t>
      </w:r>
    </w:p>
    <w:p w14:paraId="792FAF74" w14:textId="7D71C666" w:rsidR="0083026C" w:rsidRPr="00053170" w:rsidRDefault="0083026C" w:rsidP="00053170">
      <w:pPr>
        <w:pStyle w:val="Heading2"/>
        <w:rPr>
          <w:b w:val="0"/>
          <w:bCs w:val="0"/>
          <w:sz w:val="15"/>
          <w:szCs w:val="15"/>
        </w:rPr>
      </w:pPr>
      <w:r>
        <w:t>Section 1: Administrative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7848"/>
      </w:tblGrid>
      <w:tr w:rsidR="0083026C" w:rsidRPr="009A2501" w14:paraId="6D11C8BA" w14:textId="77777777" w:rsidTr="00830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356AF006" w14:textId="00AD6E0C" w:rsidR="0083026C" w:rsidRPr="009A2501" w:rsidRDefault="0083026C" w:rsidP="00FA4D22">
            <w:r>
              <w:t>Proposed trade name</w:t>
            </w:r>
          </w:p>
        </w:tc>
        <w:tc>
          <w:tcPr>
            <w:tcW w:w="7848" w:type="dxa"/>
            <w:vAlign w:val="center"/>
          </w:tcPr>
          <w:p w14:paraId="6286EBD2" w14:textId="214944F9" w:rsidR="0083026C" w:rsidRPr="009A2501" w:rsidRDefault="00734F98" w:rsidP="00FA4D22">
            <w:r>
              <w:fldChar w:fldCharType="begin">
                <w:ffData>
                  <w:name w:val=""/>
                  <w:enabled/>
                  <w:calcOnExit w:val="0"/>
                  <w:statusText w:type="text" w:val="Proposed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026C" w:rsidRPr="009A2501" w14:paraId="630408FC" w14:textId="77777777" w:rsidTr="0083026C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5E4E87EC" w14:textId="171DAFE3" w:rsidR="0083026C" w:rsidRPr="009A2501" w:rsidRDefault="0083026C" w:rsidP="00FA4D22">
            <w:r>
              <w:t>Active ingredients</w:t>
            </w:r>
          </w:p>
        </w:tc>
        <w:tc>
          <w:tcPr>
            <w:tcW w:w="7848" w:type="dxa"/>
            <w:vAlign w:val="center"/>
          </w:tcPr>
          <w:p w14:paraId="228694FE" w14:textId="77777777" w:rsidR="00734F98" w:rsidRDefault="00734F98" w:rsidP="00734F98">
            <w:r>
              <w:fldChar w:fldCharType="begin">
                <w:ffData>
                  <w:name w:val=""/>
                  <w:enabled/>
                  <w:calcOnExit w:val="0"/>
                  <w:statusText w:type="text" w:val="Active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69B2DF" w14:textId="77777777" w:rsidR="00734F98" w:rsidRDefault="00734F98" w:rsidP="00734F98">
            <w:r>
              <w:fldChar w:fldCharType="begin">
                <w:ffData>
                  <w:name w:val=""/>
                  <w:enabled/>
                  <w:calcOnExit w:val="0"/>
                  <w:statusText w:type="text" w:val="Active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C1486C" w14:textId="0DEC6724" w:rsidR="00A262AD" w:rsidRPr="009A2501" w:rsidRDefault="00734F98" w:rsidP="00FA4D22">
            <w:r>
              <w:fldChar w:fldCharType="begin">
                <w:ffData>
                  <w:name w:val=""/>
                  <w:enabled/>
                  <w:calcOnExit w:val="0"/>
                  <w:statusText w:type="text" w:val="Active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026C" w:rsidRPr="009A2501" w14:paraId="3759011B" w14:textId="77777777" w:rsidTr="0083026C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63A2F5E0" w14:textId="4207CF4B" w:rsidR="0083026C" w:rsidRPr="009A2501" w:rsidRDefault="0083026C" w:rsidP="00FA4D22">
            <w:r>
              <w:t>Dosage form</w:t>
            </w:r>
          </w:p>
        </w:tc>
        <w:tc>
          <w:tcPr>
            <w:tcW w:w="7848" w:type="dxa"/>
            <w:vAlign w:val="center"/>
          </w:tcPr>
          <w:p w14:paraId="7DBF84DD" w14:textId="45CAC5D9" w:rsidR="0083026C" w:rsidRPr="009A2501" w:rsidRDefault="00734F98" w:rsidP="00FA4D22">
            <w:r>
              <w:fldChar w:fldCharType="begin">
                <w:ffData>
                  <w:name w:val="Text2"/>
                  <w:enabled/>
                  <w:calcOnExit w:val="0"/>
                  <w:statusText w:type="text" w:val="Dosage form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3026C" w:rsidRPr="009A2501" w14:paraId="2F922B47" w14:textId="77777777" w:rsidTr="0083026C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299CB078" w14:textId="25FCFF6C" w:rsidR="0083026C" w:rsidRPr="009A2501" w:rsidRDefault="0083026C" w:rsidP="00FA4D22">
            <w:r>
              <w:t>Name of sponsor</w:t>
            </w:r>
          </w:p>
        </w:tc>
        <w:tc>
          <w:tcPr>
            <w:tcW w:w="7848" w:type="dxa"/>
            <w:vAlign w:val="center"/>
          </w:tcPr>
          <w:p w14:paraId="7B2AAF40" w14:textId="2F32322A" w:rsidR="0083026C" w:rsidRPr="009A2501" w:rsidRDefault="00734F98" w:rsidP="00FA4D22">
            <w:r>
              <w:fldChar w:fldCharType="begin">
                <w:ffData>
                  <w:name w:val=""/>
                  <w:enabled/>
                  <w:calcOnExit w:val="0"/>
                  <w:statusText w:type="text" w:val="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026C" w:rsidRPr="009A2501" w14:paraId="7DC66C7D" w14:textId="77777777" w:rsidTr="0083026C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2CD99CC4" w14:textId="397E3C50" w:rsidR="0083026C" w:rsidRPr="009A2501" w:rsidRDefault="0083026C" w:rsidP="00FA4D22">
            <w:r>
              <w:t xml:space="preserve">Name of agent </w:t>
            </w:r>
            <w:r w:rsidR="004E1091">
              <w:br/>
            </w:r>
            <w:r>
              <w:t>(if applicable)</w:t>
            </w:r>
          </w:p>
        </w:tc>
        <w:tc>
          <w:tcPr>
            <w:tcW w:w="7848" w:type="dxa"/>
            <w:vAlign w:val="center"/>
          </w:tcPr>
          <w:p w14:paraId="335FD04A" w14:textId="54620183" w:rsidR="0083026C" w:rsidRPr="009A2501" w:rsidRDefault="00734F98" w:rsidP="00FA4D22">
            <w:r>
              <w:fldChar w:fldCharType="begin">
                <w:ffData>
                  <w:name w:val=""/>
                  <w:enabled/>
                  <w:calcOnExit w:val="0"/>
                  <w:statusText w:type="text" w:val="Agenet (if applicabl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168AE2" w14:textId="6A247B78" w:rsidR="0083026C" w:rsidRDefault="0083026C" w:rsidP="0083026C">
      <w:pPr>
        <w:pStyle w:val="Heading2"/>
      </w:pPr>
      <w:r>
        <w:t>Section 2: Assurances</w:t>
      </w:r>
    </w:p>
    <w:p w14:paraId="5322F17D" w14:textId="0E2C7474" w:rsidR="00563C42" w:rsidRDefault="0083026C" w:rsidP="00C72B4D">
      <w:pPr>
        <w:pStyle w:val="Heading3"/>
        <w:spacing w:before="240"/>
      </w:pPr>
      <w:bookmarkStart w:id="2" w:name="_Hlk206080023"/>
      <w:r>
        <w:t>General</w:t>
      </w:r>
    </w:p>
    <w:tbl>
      <w:tblPr>
        <w:tblStyle w:val="TableTGAblue"/>
        <w:tblW w:w="9776" w:type="dxa"/>
        <w:tblLook w:val="04A0" w:firstRow="1" w:lastRow="0" w:firstColumn="1" w:lastColumn="0" w:noHBand="0" w:noVBand="1"/>
      </w:tblPr>
      <w:tblGrid>
        <w:gridCol w:w="704"/>
        <w:gridCol w:w="6981"/>
        <w:gridCol w:w="2091"/>
      </w:tblGrid>
      <w:tr w:rsidR="00563C42" w14:paraId="7B39A354" w14:textId="0DAE0A43" w:rsidTr="00D3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7E971B5A" w14:textId="2D72C84E" w:rsidR="00563C42" w:rsidRDefault="00563C42" w:rsidP="00FA4D22">
            <w:r>
              <w:t>N</w:t>
            </w:r>
            <w:r w:rsidR="00D32E6F">
              <w:t>o.</w:t>
            </w:r>
          </w:p>
        </w:tc>
        <w:tc>
          <w:tcPr>
            <w:tcW w:w="6981" w:type="dxa"/>
          </w:tcPr>
          <w:p w14:paraId="06014ED3" w14:textId="55940C6A" w:rsidR="00563C42" w:rsidRDefault="00563C42" w:rsidP="00FA4D22">
            <w:r>
              <w:t>Assurance</w:t>
            </w:r>
          </w:p>
        </w:tc>
        <w:tc>
          <w:tcPr>
            <w:tcW w:w="2091" w:type="dxa"/>
          </w:tcPr>
          <w:p w14:paraId="68CC73BF" w14:textId="69F8877D" w:rsidR="00563C42" w:rsidRDefault="00563C42" w:rsidP="00FA4D22"/>
        </w:tc>
      </w:tr>
      <w:tr w:rsidR="00563C42" w14:paraId="15CBFF16" w14:textId="06814433" w:rsidTr="00D32E6F">
        <w:tc>
          <w:tcPr>
            <w:tcW w:w="704" w:type="dxa"/>
          </w:tcPr>
          <w:p w14:paraId="6D3BD3EF" w14:textId="551AF7C1" w:rsidR="00563C42" w:rsidRDefault="00563C42" w:rsidP="00FA4D22">
            <w:r>
              <w:t>1</w:t>
            </w:r>
          </w:p>
        </w:tc>
        <w:tc>
          <w:tcPr>
            <w:tcW w:w="6981" w:type="dxa"/>
          </w:tcPr>
          <w:p w14:paraId="0CA0AADA" w14:textId="77777777" w:rsidR="00563C42" w:rsidRDefault="00563C42" w:rsidP="00563C42">
            <w:pPr>
              <w:ind w:left="0"/>
            </w:pPr>
            <w:r>
              <w:t>The medicine that is the subject of this application complies with the:</w:t>
            </w:r>
          </w:p>
          <w:p w14:paraId="1E4748DD" w14:textId="672A518F" w:rsidR="00563C42" w:rsidRDefault="00563C42" w:rsidP="00563C42">
            <w:pPr>
              <w:pStyle w:val="ListBullet"/>
            </w:pPr>
            <w:hyperlink r:id="rId13" w:history="1">
              <w:r w:rsidRPr="00F81E59">
                <w:rPr>
                  <w:rStyle w:val="Hyperlink"/>
                </w:rPr>
                <w:t xml:space="preserve">relevant OTC </w:t>
              </w:r>
              <w:r w:rsidRPr="00F81E59">
                <w:rPr>
                  <w:rStyle w:val="Hyperlink"/>
                </w:rPr>
                <w:t>m</w:t>
              </w:r>
              <w:r w:rsidRPr="00F81E59">
                <w:rPr>
                  <w:rStyle w:val="Hyperlink"/>
                </w:rPr>
                <w:t>edicine monograph</w:t>
              </w:r>
            </w:hyperlink>
          </w:p>
          <w:p w14:paraId="2B3E72EF" w14:textId="5F53EDAF" w:rsidR="00563C42" w:rsidRDefault="00563C42" w:rsidP="00563C42">
            <w:pPr>
              <w:pStyle w:val="ListBullet"/>
            </w:pPr>
            <w:hyperlink r:id="rId14" w:history="1">
              <w:r w:rsidRPr="00F81E59">
                <w:rPr>
                  <w:rStyle w:val="Hyperlink"/>
                </w:rPr>
                <w:t>requirements for OTC new medi</w:t>
              </w:r>
              <w:r w:rsidRPr="00F81E59">
                <w:rPr>
                  <w:rStyle w:val="Hyperlink"/>
                </w:rPr>
                <w:t>c</w:t>
              </w:r>
              <w:r w:rsidRPr="00F81E59">
                <w:rPr>
                  <w:rStyle w:val="Hyperlink"/>
                </w:rPr>
                <w:t>ine N2 app</w:t>
              </w:r>
              <w:r w:rsidRPr="00F81E59">
                <w:rPr>
                  <w:rStyle w:val="Hyperlink"/>
                </w:rPr>
                <w:t>l</w:t>
              </w:r>
              <w:r w:rsidRPr="00F81E59">
                <w:rPr>
                  <w:rStyle w:val="Hyperlink"/>
                </w:rPr>
                <w:t>ications</w:t>
              </w:r>
            </w:hyperlink>
          </w:p>
        </w:tc>
        <w:tc>
          <w:tcPr>
            <w:tcW w:w="2091" w:type="dxa"/>
          </w:tcPr>
          <w:p w14:paraId="28221BE4" w14:textId="3A278C8F" w:rsidR="00563C42" w:rsidRPr="009A2501" w:rsidRDefault="00734F98" w:rsidP="00FA4D22"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="00832FB7" w:rsidRPr="009A2501">
              <w:t xml:space="preserve"> Yes</w:t>
            </w:r>
          </w:p>
        </w:tc>
      </w:tr>
      <w:tr w:rsidR="00563C42" w14:paraId="7D923885" w14:textId="3F94B89E" w:rsidTr="00D32E6F">
        <w:tc>
          <w:tcPr>
            <w:tcW w:w="704" w:type="dxa"/>
          </w:tcPr>
          <w:p w14:paraId="4E05B4AD" w14:textId="069F87A0" w:rsidR="00563C42" w:rsidRDefault="00563C42" w:rsidP="00FA4D22">
            <w:r>
              <w:t>2</w:t>
            </w:r>
          </w:p>
        </w:tc>
        <w:tc>
          <w:tcPr>
            <w:tcW w:w="6981" w:type="dxa"/>
          </w:tcPr>
          <w:p w14:paraId="4BF127D7" w14:textId="2DD35E96" w:rsidR="00563C42" w:rsidRDefault="00563C42" w:rsidP="00563C42">
            <w:pPr>
              <w:ind w:left="0"/>
            </w:pPr>
            <w:r>
              <w:t xml:space="preserve">The sponsor </w:t>
            </w:r>
            <w:r w:rsidR="00C82E72">
              <w:t>holds a complete data set for their product, as would be required for a higher level application.</w:t>
            </w:r>
            <w:r w:rsidR="00053170">
              <w:t xml:space="preserve"> These data will be made available to the TGA in the required format within </w:t>
            </w:r>
            <w:r w:rsidR="007F1AAE">
              <w:t>20 working</w:t>
            </w:r>
            <w:r w:rsidR="00A93E45">
              <w:t xml:space="preserve"> </w:t>
            </w:r>
            <w:r w:rsidR="00053170">
              <w:t>days of a request.</w:t>
            </w:r>
          </w:p>
        </w:tc>
        <w:tc>
          <w:tcPr>
            <w:tcW w:w="2091" w:type="dxa"/>
          </w:tcPr>
          <w:p w14:paraId="477B677B" w14:textId="176568CC" w:rsidR="00563C42" w:rsidRPr="009A2501" w:rsidRDefault="00734F98" w:rsidP="00FA4D22"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832FB7" w:rsidRPr="009A2501">
              <w:t>Yes</w:t>
            </w:r>
          </w:p>
        </w:tc>
      </w:tr>
    </w:tbl>
    <w:p w14:paraId="7D1FDACE" w14:textId="0F8D72A7" w:rsidR="00563C42" w:rsidRDefault="00563C42" w:rsidP="00181289">
      <w:pPr>
        <w:pStyle w:val="Heading3"/>
      </w:pPr>
      <w:r>
        <w:t>Labelling</w:t>
      </w:r>
    </w:p>
    <w:tbl>
      <w:tblPr>
        <w:tblStyle w:val="TableTGAblue"/>
        <w:tblW w:w="9776" w:type="dxa"/>
        <w:tblLook w:val="04A0" w:firstRow="1" w:lastRow="0" w:firstColumn="1" w:lastColumn="0" w:noHBand="0" w:noVBand="1"/>
      </w:tblPr>
      <w:tblGrid>
        <w:gridCol w:w="704"/>
        <w:gridCol w:w="6946"/>
        <w:gridCol w:w="2126"/>
      </w:tblGrid>
      <w:tr w:rsidR="00563C42" w14:paraId="617E57A0" w14:textId="77777777" w:rsidTr="00D3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4A1A09FF" w14:textId="54687ED0" w:rsidR="00563C42" w:rsidRDefault="00D32E6F" w:rsidP="00FA4D22">
            <w:r>
              <w:t>No.</w:t>
            </w:r>
          </w:p>
        </w:tc>
        <w:tc>
          <w:tcPr>
            <w:tcW w:w="6946" w:type="dxa"/>
          </w:tcPr>
          <w:p w14:paraId="63FE4A89" w14:textId="77777777" w:rsidR="00563C42" w:rsidRDefault="00563C42" w:rsidP="00FA4D22">
            <w:r>
              <w:t>Assurance</w:t>
            </w:r>
          </w:p>
        </w:tc>
        <w:tc>
          <w:tcPr>
            <w:tcW w:w="2126" w:type="dxa"/>
          </w:tcPr>
          <w:p w14:paraId="2D7E4DE0" w14:textId="480A5F14" w:rsidR="00563C42" w:rsidRDefault="00563C42" w:rsidP="00FA4D22"/>
        </w:tc>
      </w:tr>
      <w:tr w:rsidR="00563C42" w14:paraId="018F478B" w14:textId="77777777" w:rsidTr="00D32E6F">
        <w:tc>
          <w:tcPr>
            <w:tcW w:w="704" w:type="dxa"/>
          </w:tcPr>
          <w:p w14:paraId="46F47961" w14:textId="77777777" w:rsidR="00563C42" w:rsidRDefault="00563C42" w:rsidP="00FA4D22">
            <w:r>
              <w:t>1</w:t>
            </w:r>
          </w:p>
        </w:tc>
        <w:tc>
          <w:tcPr>
            <w:tcW w:w="6946" w:type="dxa"/>
          </w:tcPr>
          <w:p w14:paraId="03A8EA9D" w14:textId="4258A716" w:rsidR="00563C42" w:rsidRDefault="00563C42" w:rsidP="006D5C1A">
            <w:pPr>
              <w:ind w:left="0"/>
            </w:pPr>
            <w:r>
              <w:t>Where claims are made</w:t>
            </w:r>
            <w:r w:rsidR="00C82E72">
              <w:t xml:space="preserve"> that the medicine does not </w:t>
            </w:r>
            <w:r w:rsidR="00DA72BE">
              <w:t xml:space="preserve">contain </w:t>
            </w:r>
            <w:r w:rsidR="00C82E72">
              <w:t>a particular excipient (e.g. gluten free,</w:t>
            </w:r>
            <w:r w:rsidR="007D12D5">
              <w:t xml:space="preserve"> </w:t>
            </w:r>
            <w:r w:rsidR="00C82E72">
              <w:t xml:space="preserve">alcohol free, lactose free), the statement is true and in accordance with </w:t>
            </w:r>
            <w:r w:rsidR="00914EFA">
              <w:t xml:space="preserve">any relevant </w:t>
            </w:r>
            <w:r w:rsidR="00C82E72">
              <w:t>requirements</w:t>
            </w:r>
            <w:r w:rsidR="00914EFA">
              <w:t xml:space="preserve"> in </w:t>
            </w:r>
            <w:r w:rsidR="003C6433">
              <w:rPr>
                <w:szCs w:val="18"/>
              </w:rPr>
              <w:t>Therapeutic Goods Order No. 92 – Standard for labels of non-prescription medicines (TGO 92)</w:t>
            </w:r>
            <w:r w:rsidR="00C82E72">
              <w:t>.</w:t>
            </w:r>
          </w:p>
        </w:tc>
        <w:tc>
          <w:tcPr>
            <w:tcW w:w="2126" w:type="dxa"/>
          </w:tcPr>
          <w:p w14:paraId="44D0712D" w14:textId="77777777" w:rsidR="00734F98" w:rsidRDefault="00734F98" w:rsidP="00734F98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023D37B8" w14:textId="0B92B201" w:rsidR="00563C42" w:rsidRPr="009A2501" w:rsidRDefault="00734F98" w:rsidP="00734F98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Pr="00E70BD2">
              <w:t>Not applicable</w:t>
            </w:r>
          </w:p>
        </w:tc>
      </w:tr>
      <w:tr w:rsidR="00563C42" w14:paraId="68CAB3E5" w14:textId="77777777" w:rsidTr="00D32E6F">
        <w:tc>
          <w:tcPr>
            <w:tcW w:w="704" w:type="dxa"/>
          </w:tcPr>
          <w:p w14:paraId="70B84DBA" w14:textId="77777777" w:rsidR="00563C42" w:rsidRDefault="00563C42" w:rsidP="00FA4D22">
            <w:r>
              <w:t>2</w:t>
            </w:r>
          </w:p>
        </w:tc>
        <w:tc>
          <w:tcPr>
            <w:tcW w:w="6946" w:type="dxa"/>
          </w:tcPr>
          <w:p w14:paraId="41A71C1B" w14:textId="45DFC48C" w:rsidR="00563C42" w:rsidRDefault="00C82E72" w:rsidP="00FA4D22">
            <w:pPr>
              <w:ind w:left="0"/>
            </w:pPr>
            <w:r>
              <w:t xml:space="preserve">Where an internet address or QR code is included, the information about the medicine on the website (including </w:t>
            </w:r>
            <w:r w:rsidR="007D12D5">
              <w:t>any direct links</w:t>
            </w:r>
            <w:r>
              <w:t xml:space="preserve"> from that website) will be consistent with the information approved by the TGA for the medicine.</w:t>
            </w:r>
          </w:p>
          <w:p w14:paraId="698ACC2D" w14:textId="77777777" w:rsidR="00563C42" w:rsidRDefault="00563C42" w:rsidP="00FA4D22">
            <w:pPr>
              <w:ind w:left="0"/>
            </w:pPr>
          </w:p>
        </w:tc>
        <w:tc>
          <w:tcPr>
            <w:tcW w:w="2126" w:type="dxa"/>
          </w:tcPr>
          <w:p w14:paraId="5CB56565" w14:textId="77777777" w:rsidR="00734F98" w:rsidRDefault="00734F98" w:rsidP="00734F98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0CC7D1DD" w14:textId="35FFBE3E" w:rsidR="00563C42" w:rsidRPr="009A2501" w:rsidRDefault="00734F98" w:rsidP="00734F98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0BD2">
              <w:t>Not applicable</w:t>
            </w:r>
          </w:p>
        </w:tc>
      </w:tr>
    </w:tbl>
    <w:bookmarkEnd w:id="2"/>
    <w:p w14:paraId="3F3833A3" w14:textId="7CD3733D" w:rsidR="00C82E72" w:rsidRDefault="00C82E72" w:rsidP="00181289">
      <w:pPr>
        <w:pStyle w:val="Heading3"/>
      </w:pPr>
      <w:r>
        <w:t>Active ingredients</w:t>
      </w:r>
    </w:p>
    <w:tbl>
      <w:tblPr>
        <w:tblStyle w:val="TableTGAblue"/>
        <w:tblW w:w="9776" w:type="dxa"/>
        <w:tblLook w:val="04A0" w:firstRow="1" w:lastRow="0" w:firstColumn="1" w:lastColumn="0" w:noHBand="0" w:noVBand="1"/>
      </w:tblPr>
      <w:tblGrid>
        <w:gridCol w:w="704"/>
        <w:gridCol w:w="6947"/>
        <w:gridCol w:w="2125"/>
      </w:tblGrid>
      <w:tr w:rsidR="00C82E72" w14:paraId="6FB61BFE" w14:textId="77777777" w:rsidTr="00D3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6A21CBE1" w14:textId="2AFB37C3" w:rsidR="00C82E72" w:rsidRDefault="00C82E72" w:rsidP="00607A39">
            <w:r>
              <w:t>N</w:t>
            </w:r>
            <w:r w:rsidR="00D32E6F">
              <w:t>o.</w:t>
            </w:r>
          </w:p>
        </w:tc>
        <w:tc>
          <w:tcPr>
            <w:tcW w:w="6947" w:type="dxa"/>
          </w:tcPr>
          <w:p w14:paraId="2D976482" w14:textId="77777777" w:rsidR="00C82E72" w:rsidRDefault="00C82E72" w:rsidP="00607A39">
            <w:r>
              <w:t>Assurance</w:t>
            </w:r>
          </w:p>
        </w:tc>
        <w:tc>
          <w:tcPr>
            <w:tcW w:w="2125" w:type="dxa"/>
          </w:tcPr>
          <w:p w14:paraId="23F7AD0A" w14:textId="47B0FF25" w:rsidR="00C82E72" w:rsidRDefault="00C82E72" w:rsidP="00607A39"/>
        </w:tc>
      </w:tr>
      <w:tr w:rsidR="00C82E72" w14:paraId="4C19C37F" w14:textId="77777777" w:rsidTr="00D32E6F">
        <w:tc>
          <w:tcPr>
            <w:tcW w:w="704" w:type="dxa"/>
          </w:tcPr>
          <w:p w14:paraId="385CC46D" w14:textId="77777777" w:rsidR="00C82E72" w:rsidRDefault="00C82E72" w:rsidP="00607A39">
            <w:r>
              <w:t>1</w:t>
            </w:r>
          </w:p>
        </w:tc>
        <w:tc>
          <w:tcPr>
            <w:tcW w:w="6947" w:type="dxa"/>
          </w:tcPr>
          <w:p w14:paraId="59E86BD4" w14:textId="1D613CDC" w:rsidR="00C82E72" w:rsidRPr="00574900" w:rsidRDefault="00F06666" w:rsidP="00607A39">
            <w:pPr>
              <w:ind w:left="0"/>
              <w:rPr>
                <w:szCs w:val="18"/>
              </w:rPr>
            </w:pPr>
            <w:r w:rsidRPr="00574900">
              <w:rPr>
                <w:szCs w:val="18"/>
              </w:rPr>
              <w:t>All active</w:t>
            </w:r>
            <w:r w:rsidRPr="00574900">
              <w:rPr>
                <w:spacing w:val="-7"/>
                <w:szCs w:val="18"/>
              </w:rPr>
              <w:t xml:space="preserve"> </w:t>
            </w:r>
            <w:r w:rsidRPr="00574900">
              <w:rPr>
                <w:szCs w:val="18"/>
              </w:rPr>
              <w:t>ingredients</w:t>
            </w:r>
            <w:r w:rsidRPr="00574900">
              <w:rPr>
                <w:spacing w:val="-5"/>
                <w:szCs w:val="18"/>
              </w:rPr>
              <w:t xml:space="preserve"> </w:t>
            </w:r>
            <w:r w:rsidRPr="00574900">
              <w:rPr>
                <w:szCs w:val="18"/>
              </w:rPr>
              <w:t>are</w:t>
            </w:r>
            <w:r w:rsidRPr="00574900">
              <w:rPr>
                <w:spacing w:val="-2"/>
                <w:szCs w:val="18"/>
              </w:rPr>
              <w:t xml:space="preserve"> </w:t>
            </w:r>
            <w:r w:rsidRPr="00574900">
              <w:rPr>
                <w:szCs w:val="18"/>
              </w:rPr>
              <w:t>controlled</w:t>
            </w:r>
            <w:r w:rsidRPr="00574900">
              <w:rPr>
                <w:spacing w:val="-2"/>
                <w:szCs w:val="18"/>
              </w:rPr>
              <w:t xml:space="preserve"> </w:t>
            </w:r>
            <w:r w:rsidRPr="00574900">
              <w:rPr>
                <w:szCs w:val="18"/>
              </w:rPr>
              <w:t>by</w:t>
            </w:r>
            <w:r w:rsidRPr="00574900">
              <w:rPr>
                <w:spacing w:val="-5"/>
                <w:szCs w:val="18"/>
              </w:rPr>
              <w:t xml:space="preserve"> </w:t>
            </w:r>
            <w:r w:rsidRPr="00574900">
              <w:rPr>
                <w:szCs w:val="18"/>
              </w:rPr>
              <w:t>the</w:t>
            </w:r>
            <w:r w:rsidRPr="00574900">
              <w:rPr>
                <w:spacing w:val="-7"/>
                <w:szCs w:val="18"/>
              </w:rPr>
              <w:t xml:space="preserve"> </w:t>
            </w:r>
            <w:r w:rsidRPr="00574900">
              <w:rPr>
                <w:szCs w:val="18"/>
              </w:rPr>
              <w:t>finished</w:t>
            </w:r>
            <w:r w:rsidRPr="00574900">
              <w:rPr>
                <w:spacing w:val="-2"/>
                <w:szCs w:val="18"/>
              </w:rPr>
              <w:t xml:space="preserve"> </w:t>
            </w:r>
            <w:r w:rsidRPr="00574900">
              <w:rPr>
                <w:szCs w:val="18"/>
              </w:rPr>
              <w:t>product</w:t>
            </w:r>
            <w:r w:rsidRPr="00574900">
              <w:rPr>
                <w:spacing w:val="-4"/>
                <w:szCs w:val="18"/>
              </w:rPr>
              <w:t xml:space="preserve"> </w:t>
            </w:r>
            <w:r w:rsidRPr="00574900">
              <w:rPr>
                <w:szCs w:val="18"/>
              </w:rPr>
              <w:t>manufacturer</w:t>
            </w:r>
            <w:r w:rsidRPr="00574900">
              <w:rPr>
                <w:spacing w:val="-5"/>
                <w:szCs w:val="18"/>
              </w:rPr>
              <w:t xml:space="preserve"> </w:t>
            </w:r>
            <w:r w:rsidRPr="00574900">
              <w:rPr>
                <w:szCs w:val="18"/>
              </w:rPr>
              <w:t>to</w:t>
            </w:r>
            <w:r w:rsidRPr="00574900">
              <w:rPr>
                <w:spacing w:val="-7"/>
                <w:szCs w:val="18"/>
              </w:rPr>
              <w:t xml:space="preserve"> </w:t>
            </w:r>
            <w:r w:rsidRPr="00574900">
              <w:rPr>
                <w:szCs w:val="18"/>
              </w:rPr>
              <w:t>the requirements</w:t>
            </w:r>
            <w:r w:rsidRPr="00574900">
              <w:rPr>
                <w:spacing w:val="-1"/>
                <w:szCs w:val="18"/>
              </w:rPr>
              <w:t xml:space="preserve"> </w:t>
            </w:r>
            <w:r w:rsidRPr="00574900">
              <w:rPr>
                <w:szCs w:val="18"/>
              </w:rPr>
              <w:t>of the</w:t>
            </w:r>
            <w:r w:rsidRPr="00574900">
              <w:rPr>
                <w:spacing w:val="-3"/>
                <w:szCs w:val="18"/>
              </w:rPr>
              <w:t xml:space="preserve"> </w:t>
            </w:r>
            <w:r w:rsidRPr="00574900">
              <w:rPr>
                <w:szCs w:val="18"/>
              </w:rPr>
              <w:t>relevant and current BP, Ph. Eur. or USP/NF, as</w:t>
            </w:r>
            <w:r w:rsidRPr="00574900">
              <w:rPr>
                <w:spacing w:val="-1"/>
                <w:szCs w:val="18"/>
              </w:rPr>
              <w:t xml:space="preserve"> </w:t>
            </w:r>
            <w:r w:rsidR="004A2FBA">
              <w:rPr>
                <w:spacing w:val="-1"/>
                <w:szCs w:val="18"/>
              </w:rPr>
              <w:t xml:space="preserve">described in </w:t>
            </w:r>
            <w:hyperlink r:id="rId15" w:history="1">
              <w:r w:rsidR="004A2FBA" w:rsidRPr="004A2FBA">
                <w:rPr>
                  <w:rStyle w:val="Hyperlink"/>
                  <w:spacing w:val="-1"/>
                  <w:szCs w:val="18"/>
                </w:rPr>
                <w:t>ARGOM Appendix 2: Guidelin</w:t>
              </w:r>
              <w:r w:rsidR="004A2FBA" w:rsidRPr="004A2FBA">
                <w:rPr>
                  <w:rStyle w:val="Hyperlink"/>
                  <w:spacing w:val="-1"/>
                  <w:szCs w:val="18"/>
                </w:rPr>
                <w:t>e</w:t>
              </w:r>
              <w:r w:rsidR="004A2FBA" w:rsidRPr="004A2FBA">
                <w:rPr>
                  <w:rStyle w:val="Hyperlink"/>
                  <w:spacing w:val="-1"/>
                  <w:szCs w:val="18"/>
                </w:rPr>
                <w:t>s on quality aspects of OTC applications</w:t>
              </w:r>
            </w:hyperlink>
            <w:r w:rsidR="004A2FBA">
              <w:rPr>
                <w:spacing w:val="-1"/>
                <w:szCs w:val="18"/>
              </w:rPr>
              <w:t xml:space="preserve">. </w:t>
            </w:r>
          </w:p>
        </w:tc>
        <w:tc>
          <w:tcPr>
            <w:tcW w:w="2125" w:type="dxa"/>
          </w:tcPr>
          <w:p w14:paraId="1E12A391" w14:textId="219ED5B9" w:rsidR="00C82E72" w:rsidRPr="009A2501" w:rsidRDefault="001E2AF9" w:rsidP="00607A3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</w:t>
            </w:r>
            <w:r w:rsidR="00832FB7" w:rsidRPr="009A2501">
              <w:t>Yes</w:t>
            </w:r>
            <w:r w:rsidR="00832FB7">
              <w:t xml:space="preserve"> </w:t>
            </w:r>
          </w:p>
        </w:tc>
      </w:tr>
      <w:tr w:rsidR="00C82E72" w14:paraId="6F7F5BF8" w14:textId="77777777" w:rsidTr="00D32E6F">
        <w:tc>
          <w:tcPr>
            <w:tcW w:w="704" w:type="dxa"/>
          </w:tcPr>
          <w:p w14:paraId="588863D0" w14:textId="56F8E631" w:rsidR="00C82E72" w:rsidRDefault="00C82E72" w:rsidP="00607A39">
            <w:r>
              <w:lastRenderedPageBreak/>
              <w:t>2</w:t>
            </w:r>
          </w:p>
        </w:tc>
        <w:tc>
          <w:tcPr>
            <w:tcW w:w="6947" w:type="dxa"/>
          </w:tcPr>
          <w:p w14:paraId="24A70E01" w14:textId="59051EFA" w:rsidR="00C82E72" w:rsidRPr="00574900" w:rsidRDefault="00F06666" w:rsidP="00F06666">
            <w:pPr>
              <w:ind w:left="0"/>
              <w:rPr>
                <w:spacing w:val="-2"/>
                <w:szCs w:val="18"/>
              </w:rPr>
            </w:pPr>
            <w:r w:rsidRPr="00574900">
              <w:rPr>
                <w:szCs w:val="18"/>
              </w:rPr>
              <w:t>The</w:t>
            </w:r>
            <w:r w:rsidRPr="00574900">
              <w:rPr>
                <w:spacing w:val="-7"/>
                <w:szCs w:val="18"/>
              </w:rPr>
              <w:t xml:space="preserve"> </w:t>
            </w:r>
            <w:r w:rsidRPr="00574900">
              <w:rPr>
                <w:szCs w:val="18"/>
              </w:rPr>
              <w:t>formulation</w:t>
            </w:r>
            <w:r w:rsidRPr="00574900">
              <w:rPr>
                <w:spacing w:val="-7"/>
                <w:szCs w:val="18"/>
              </w:rPr>
              <w:t xml:space="preserve"> </w:t>
            </w:r>
            <w:r w:rsidRPr="00574900">
              <w:rPr>
                <w:szCs w:val="18"/>
              </w:rPr>
              <w:t>includes</w:t>
            </w:r>
            <w:r w:rsidRPr="00574900">
              <w:rPr>
                <w:spacing w:val="-5"/>
                <w:szCs w:val="18"/>
              </w:rPr>
              <w:t xml:space="preserve"> </w:t>
            </w:r>
            <w:r w:rsidRPr="00574900">
              <w:rPr>
                <w:szCs w:val="18"/>
              </w:rPr>
              <w:t>the</w:t>
            </w:r>
            <w:r w:rsidRPr="00574900">
              <w:rPr>
                <w:spacing w:val="-7"/>
                <w:szCs w:val="18"/>
              </w:rPr>
              <w:t xml:space="preserve"> </w:t>
            </w:r>
            <w:r w:rsidRPr="00574900">
              <w:rPr>
                <w:szCs w:val="18"/>
              </w:rPr>
              <w:t>following</w:t>
            </w:r>
            <w:r w:rsidRPr="00574900">
              <w:rPr>
                <w:spacing w:val="-3"/>
                <w:szCs w:val="18"/>
              </w:rPr>
              <w:t xml:space="preserve"> </w:t>
            </w:r>
            <w:r w:rsidRPr="00574900">
              <w:rPr>
                <w:b/>
                <w:bCs/>
                <w:szCs w:val="18"/>
              </w:rPr>
              <w:t>active</w:t>
            </w:r>
            <w:r w:rsidRPr="00574900">
              <w:rPr>
                <w:b/>
                <w:bCs/>
                <w:spacing w:val="-3"/>
                <w:szCs w:val="18"/>
              </w:rPr>
              <w:t xml:space="preserve"> </w:t>
            </w:r>
            <w:r w:rsidRPr="00574900">
              <w:rPr>
                <w:szCs w:val="18"/>
              </w:rPr>
              <w:t>ingredient</w:t>
            </w:r>
            <w:r w:rsidRPr="00574900">
              <w:rPr>
                <w:spacing w:val="-4"/>
                <w:szCs w:val="18"/>
              </w:rPr>
              <w:t xml:space="preserve"> </w:t>
            </w:r>
            <w:r w:rsidRPr="00574900">
              <w:rPr>
                <w:szCs w:val="18"/>
              </w:rPr>
              <w:t>premixes</w:t>
            </w:r>
            <w:r w:rsidR="00E61B81" w:rsidRPr="00574900">
              <w:rPr>
                <w:szCs w:val="18"/>
              </w:rPr>
              <w:t xml:space="preserve"> </w:t>
            </w:r>
            <w:r w:rsidR="00E61B81">
              <w:rPr>
                <w:szCs w:val="18"/>
              </w:rPr>
              <w:t>(</w:t>
            </w:r>
            <w:r w:rsidR="00E61B81" w:rsidRPr="00574900">
              <w:rPr>
                <w:szCs w:val="18"/>
              </w:rPr>
              <w:t xml:space="preserve">include proprietary </w:t>
            </w:r>
            <w:r w:rsidR="00E61B81" w:rsidRPr="00574900">
              <w:rPr>
                <w:spacing w:val="-2"/>
                <w:szCs w:val="18"/>
              </w:rPr>
              <w:t>name)</w:t>
            </w:r>
            <w:r w:rsidRPr="00574900">
              <w:rPr>
                <w:spacing w:val="-5"/>
                <w:szCs w:val="18"/>
              </w:rPr>
              <w:t xml:space="preserve"> </w:t>
            </w:r>
            <w:r w:rsidRPr="00574900">
              <w:rPr>
                <w:szCs w:val="18"/>
              </w:rPr>
              <w:t>(only</w:t>
            </w:r>
            <w:r w:rsidRPr="00574900">
              <w:rPr>
                <w:spacing w:val="-5"/>
                <w:szCs w:val="18"/>
              </w:rPr>
              <w:t xml:space="preserve"> </w:t>
            </w:r>
            <w:r w:rsidRPr="00574900">
              <w:rPr>
                <w:szCs w:val="18"/>
              </w:rPr>
              <w:t>if permitted by the relevant</w:t>
            </w:r>
            <w:r w:rsidRPr="00574900">
              <w:rPr>
                <w:spacing w:val="-3"/>
                <w:szCs w:val="18"/>
              </w:rPr>
              <w:t xml:space="preserve"> </w:t>
            </w:r>
            <w:hyperlink r:id="rId16" w:history="1">
              <w:r w:rsidRPr="00E61B81">
                <w:rPr>
                  <w:rStyle w:val="Hyperlink"/>
                  <w:szCs w:val="18"/>
                </w:rPr>
                <w:t>OTC</w:t>
              </w:r>
              <w:r w:rsidRPr="00E61B81">
                <w:rPr>
                  <w:rStyle w:val="Hyperlink"/>
                  <w:spacing w:val="-2"/>
                  <w:szCs w:val="18"/>
                </w:rPr>
                <w:t xml:space="preserve"> </w:t>
              </w:r>
              <w:r w:rsidR="00E61B81" w:rsidRPr="00E61B81">
                <w:rPr>
                  <w:rStyle w:val="Hyperlink"/>
                  <w:spacing w:val="-2"/>
                  <w:szCs w:val="18"/>
                </w:rPr>
                <w:t>m</w:t>
              </w:r>
              <w:r w:rsidRPr="00E61B81">
                <w:rPr>
                  <w:rStyle w:val="Hyperlink"/>
                  <w:szCs w:val="18"/>
                </w:rPr>
                <w:t>e</w:t>
              </w:r>
              <w:r w:rsidRPr="00E61B81">
                <w:rPr>
                  <w:rStyle w:val="Hyperlink"/>
                  <w:szCs w:val="18"/>
                </w:rPr>
                <w:t>d</w:t>
              </w:r>
              <w:r w:rsidRPr="00E61B81">
                <w:rPr>
                  <w:rStyle w:val="Hyperlink"/>
                  <w:szCs w:val="18"/>
                </w:rPr>
                <w:t>i</w:t>
              </w:r>
              <w:r w:rsidRPr="00E61B81">
                <w:rPr>
                  <w:rStyle w:val="Hyperlink"/>
                  <w:szCs w:val="18"/>
                </w:rPr>
                <w:t xml:space="preserve">cine </w:t>
              </w:r>
              <w:r w:rsidR="00E61B81" w:rsidRPr="00E61B81">
                <w:rPr>
                  <w:rStyle w:val="Hyperlink"/>
                  <w:szCs w:val="18"/>
                </w:rPr>
                <w:t>m</w:t>
              </w:r>
              <w:r w:rsidRPr="00E61B81">
                <w:rPr>
                  <w:rStyle w:val="Hyperlink"/>
                  <w:szCs w:val="18"/>
                </w:rPr>
                <w:t>onograph</w:t>
              </w:r>
              <w:r w:rsidR="00E61B81" w:rsidRPr="00E61B81">
                <w:rPr>
                  <w:rStyle w:val="Hyperlink"/>
                  <w:szCs w:val="18"/>
                </w:rPr>
                <w:t xml:space="preserve"> for N2 applications</w:t>
              </w:r>
            </w:hyperlink>
            <w:r w:rsidR="00E61B81">
              <w:rPr>
                <w:spacing w:val="-2"/>
                <w:szCs w:val="18"/>
              </w:rPr>
              <w:t>):</w:t>
            </w:r>
          </w:p>
          <w:p w14:paraId="6F3BE478" w14:textId="77777777" w:rsidR="00F06666" w:rsidRDefault="00F06666" w:rsidP="00F06666">
            <w:pPr>
              <w:ind w:left="0"/>
            </w:pPr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  <w:p w14:paraId="65D2D9AC" w14:textId="67B8C5E7" w:rsidR="00F06666" w:rsidRDefault="00F06666" w:rsidP="00F06666">
            <w:pPr>
              <w:ind w:left="0"/>
              <w:rPr>
                <w:spacing w:val="-2"/>
              </w:rPr>
            </w:pPr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  <w:p w14:paraId="036A0AA4" w14:textId="41AE4BBE" w:rsidR="00F06666" w:rsidRPr="00F06666" w:rsidRDefault="00F06666" w:rsidP="00F06666">
            <w:pPr>
              <w:ind w:left="0"/>
              <w:rPr>
                <w:spacing w:val="-2"/>
              </w:rPr>
            </w:pPr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  <w:tc>
          <w:tcPr>
            <w:tcW w:w="2125" w:type="dxa"/>
          </w:tcPr>
          <w:p w14:paraId="1F971707" w14:textId="16F23D97" w:rsidR="00832FB7" w:rsidRDefault="001E2AF9" w:rsidP="00832FB7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</w:t>
            </w:r>
            <w:r w:rsidR="00832FB7" w:rsidRPr="009A2501">
              <w:t>Yes</w:t>
            </w:r>
            <w:r w:rsidR="00832FB7">
              <w:t xml:space="preserve"> </w:t>
            </w:r>
          </w:p>
          <w:p w14:paraId="5DE53A53" w14:textId="3009216C" w:rsidR="007D12D5" w:rsidRDefault="001E2AF9" w:rsidP="00832FB7">
            <w:pPr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if "/>
                  <w:statusText w:type="text" w:val="Not applicable (move to next section)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2FB7">
              <w:t xml:space="preserve"> </w:t>
            </w:r>
            <w:r w:rsidR="007D12D5" w:rsidRPr="00E70BD2">
              <w:t>Not applicable</w:t>
            </w:r>
          </w:p>
          <w:p w14:paraId="1626F485" w14:textId="223443DD" w:rsidR="007D12D5" w:rsidRPr="009A2501" w:rsidRDefault="007D12D5" w:rsidP="007D12D5">
            <w:pPr>
              <w:ind w:left="0"/>
            </w:pPr>
            <w:r>
              <w:t>(Move to next section)</w:t>
            </w:r>
          </w:p>
        </w:tc>
      </w:tr>
      <w:tr w:rsidR="00C82E72" w14:paraId="77E1417F" w14:textId="77777777" w:rsidTr="00D32E6F">
        <w:tc>
          <w:tcPr>
            <w:tcW w:w="704" w:type="dxa"/>
          </w:tcPr>
          <w:p w14:paraId="136DC677" w14:textId="1777372F" w:rsidR="00C82E72" w:rsidRDefault="00C82E72" w:rsidP="00607A39">
            <w:r>
              <w:t>3</w:t>
            </w:r>
          </w:p>
        </w:tc>
        <w:tc>
          <w:tcPr>
            <w:tcW w:w="6947" w:type="dxa"/>
          </w:tcPr>
          <w:p w14:paraId="0693CF7C" w14:textId="1712BA7A" w:rsidR="00C82E72" w:rsidRDefault="00574900" w:rsidP="00607A39">
            <w:pPr>
              <w:ind w:left="0"/>
            </w:pPr>
            <w:r w:rsidRPr="00574900">
              <w:rPr>
                <w:szCs w:val="18"/>
              </w:rPr>
              <w:t>The individual components in the above premix(es) are controlled by the supplier</w:t>
            </w:r>
            <w:r w:rsidRPr="00574900">
              <w:rPr>
                <w:spacing w:val="-2"/>
                <w:szCs w:val="18"/>
              </w:rPr>
              <w:t xml:space="preserve"> </w:t>
            </w:r>
            <w:r w:rsidRPr="00574900">
              <w:rPr>
                <w:szCs w:val="18"/>
              </w:rPr>
              <w:t>to</w:t>
            </w:r>
            <w:r w:rsidRPr="00574900">
              <w:rPr>
                <w:spacing w:val="-4"/>
                <w:szCs w:val="18"/>
              </w:rPr>
              <w:t xml:space="preserve"> </w:t>
            </w:r>
            <w:r w:rsidRPr="00574900">
              <w:rPr>
                <w:szCs w:val="18"/>
              </w:rPr>
              <w:t>relevant</w:t>
            </w:r>
            <w:r w:rsidRPr="00574900">
              <w:rPr>
                <w:spacing w:val="-1"/>
                <w:szCs w:val="18"/>
              </w:rPr>
              <w:t xml:space="preserve"> </w:t>
            </w:r>
            <w:r w:rsidRPr="00574900">
              <w:rPr>
                <w:szCs w:val="18"/>
              </w:rPr>
              <w:t>and</w:t>
            </w:r>
            <w:r w:rsidRPr="00574900">
              <w:rPr>
                <w:spacing w:val="-9"/>
                <w:szCs w:val="18"/>
              </w:rPr>
              <w:t xml:space="preserve"> </w:t>
            </w:r>
            <w:r w:rsidRPr="00574900">
              <w:rPr>
                <w:szCs w:val="18"/>
              </w:rPr>
              <w:t>current</w:t>
            </w:r>
            <w:r w:rsidRPr="00574900">
              <w:rPr>
                <w:spacing w:val="-1"/>
                <w:szCs w:val="18"/>
              </w:rPr>
              <w:t xml:space="preserve"> </w:t>
            </w:r>
            <w:r w:rsidRPr="00574900">
              <w:rPr>
                <w:szCs w:val="18"/>
              </w:rPr>
              <w:t>BP,</w:t>
            </w:r>
            <w:r w:rsidRPr="00574900">
              <w:rPr>
                <w:spacing w:val="-6"/>
                <w:szCs w:val="18"/>
              </w:rPr>
              <w:t xml:space="preserve"> </w:t>
            </w:r>
            <w:r w:rsidRPr="00574900">
              <w:rPr>
                <w:szCs w:val="18"/>
              </w:rPr>
              <w:t>Ph.</w:t>
            </w:r>
            <w:r w:rsidRPr="00574900">
              <w:rPr>
                <w:spacing w:val="-1"/>
                <w:szCs w:val="18"/>
              </w:rPr>
              <w:t xml:space="preserve"> </w:t>
            </w:r>
            <w:r w:rsidRPr="00574900">
              <w:rPr>
                <w:szCs w:val="18"/>
              </w:rPr>
              <w:t>Eur.</w:t>
            </w:r>
            <w:r w:rsidRPr="00574900">
              <w:rPr>
                <w:spacing w:val="-1"/>
                <w:szCs w:val="18"/>
              </w:rPr>
              <w:t xml:space="preserve"> </w:t>
            </w:r>
            <w:r w:rsidRPr="00574900">
              <w:rPr>
                <w:szCs w:val="18"/>
              </w:rPr>
              <w:t>or</w:t>
            </w:r>
            <w:r w:rsidRPr="00574900">
              <w:rPr>
                <w:spacing w:val="-7"/>
                <w:szCs w:val="18"/>
              </w:rPr>
              <w:t xml:space="preserve"> </w:t>
            </w:r>
            <w:r w:rsidRPr="00574900">
              <w:rPr>
                <w:szCs w:val="18"/>
              </w:rPr>
              <w:t>USP/NF</w:t>
            </w:r>
            <w:r w:rsidRPr="00574900">
              <w:rPr>
                <w:spacing w:val="-6"/>
                <w:szCs w:val="18"/>
              </w:rPr>
              <w:t xml:space="preserve"> </w:t>
            </w:r>
            <w:r w:rsidRPr="00574900">
              <w:rPr>
                <w:szCs w:val="18"/>
              </w:rPr>
              <w:t xml:space="preserve">monographs. The finished product manufacturer’s acceptance specifications for the active ingredient premix include testing as specified in the relevant specific </w:t>
            </w:r>
            <w:hyperlink r:id="rId17" w:history="1">
              <w:r w:rsidRPr="00574900">
                <w:rPr>
                  <w:rStyle w:val="Hyperlink"/>
                  <w:szCs w:val="18"/>
                </w:rPr>
                <w:t>OTC medicine monograph for N2 applications</w:t>
              </w:r>
            </w:hyperlink>
            <w:r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</w:tcPr>
          <w:p w14:paraId="57AF3717" w14:textId="0D44785E" w:rsidR="00C82E72" w:rsidRPr="009A2501" w:rsidRDefault="001E2AF9" w:rsidP="00832FB7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</w:t>
            </w:r>
            <w:r w:rsidR="00832FB7" w:rsidRPr="009A2501">
              <w:t>Yes</w:t>
            </w:r>
            <w:r w:rsidR="00832FB7">
              <w:t xml:space="preserve"> </w:t>
            </w:r>
          </w:p>
        </w:tc>
      </w:tr>
    </w:tbl>
    <w:p w14:paraId="1A1C1799" w14:textId="361795A3" w:rsidR="007D12D5" w:rsidRDefault="007D12D5" w:rsidP="00181289">
      <w:pPr>
        <w:pStyle w:val="Heading3"/>
      </w:pPr>
      <w:r>
        <w:t>Formulation</w:t>
      </w:r>
    </w:p>
    <w:tbl>
      <w:tblPr>
        <w:tblStyle w:val="TableTGAblue"/>
        <w:tblW w:w="9776" w:type="dxa"/>
        <w:tblLook w:val="04A0" w:firstRow="1" w:lastRow="0" w:firstColumn="1" w:lastColumn="0" w:noHBand="0" w:noVBand="1"/>
      </w:tblPr>
      <w:tblGrid>
        <w:gridCol w:w="684"/>
        <w:gridCol w:w="6987"/>
        <w:gridCol w:w="2105"/>
      </w:tblGrid>
      <w:tr w:rsidR="007D12D5" w14:paraId="60471237" w14:textId="77777777" w:rsidTr="00D3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42C21A7B" w14:textId="6CA6DE32" w:rsidR="007D12D5" w:rsidRDefault="007D12D5" w:rsidP="00607A39">
            <w:r>
              <w:t>N</w:t>
            </w:r>
            <w:r w:rsidR="00D32E6F">
              <w:t>o.</w:t>
            </w:r>
          </w:p>
        </w:tc>
        <w:tc>
          <w:tcPr>
            <w:tcW w:w="7089" w:type="dxa"/>
          </w:tcPr>
          <w:p w14:paraId="2B7EA89E" w14:textId="77777777" w:rsidR="007D12D5" w:rsidRDefault="007D12D5" w:rsidP="00607A39">
            <w:r>
              <w:t>Assurance</w:t>
            </w:r>
          </w:p>
        </w:tc>
        <w:tc>
          <w:tcPr>
            <w:tcW w:w="2125" w:type="dxa"/>
          </w:tcPr>
          <w:p w14:paraId="35177743" w14:textId="384CA2C1" w:rsidR="007D12D5" w:rsidRDefault="007D12D5" w:rsidP="00607A39"/>
        </w:tc>
      </w:tr>
      <w:tr w:rsidR="007D12D5" w14:paraId="29FEBA6B" w14:textId="77777777" w:rsidTr="00D32E6F">
        <w:tc>
          <w:tcPr>
            <w:tcW w:w="562" w:type="dxa"/>
          </w:tcPr>
          <w:p w14:paraId="2192AFC2" w14:textId="77777777" w:rsidR="007D12D5" w:rsidRDefault="007D12D5" w:rsidP="007D12D5">
            <w:r>
              <w:t>1</w:t>
            </w:r>
          </w:p>
        </w:tc>
        <w:tc>
          <w:tcPr>
            <w:tcW w:w="7089" w:type="dxa"/>
          </w:tcPr>
          <w:p w14:paraId="136D6EE9" w14:textId="5DEEF090" w:rsidR="007D12D5" w:rsidRPr="00D32E6F" w:rsidRDefault="00D32E6F" w:rsidP="007D12D5">
            <w:pPr>
              <w:ind w:left="0"/>
              <w:rPr>
                <w:szCs w:val="18"/>
              </w:rPr>
            </w:pPr>
            <w:r w:rsidRPr="00D32E6F">
              <w:rPr>
                <w:szCs w:val="18"/>
              </w:rPr>
              <w:t>Any excipient-only premixes included in the formulation are restricted to colourings,</w:t>
            </w:r>
            <w:r w:rsidRPr="00D32E6F">
              <w:rPr>
                <w:spacing w:val="-6"/>
                <w:szCs w:val="18"/>
              </w:rPr>
              <w:t xml:space="preserve"> </w:t>
            </w:r>
            <w:r w:rsidRPr="00D32E6F">
              <w:rPr>
                <w:szCs w:val="18"/>
              </w:rPr>
              <w:t>flavours,</w:t>
            </w:r>
            <w:r w:rsidRPr="00D32E6F">
              <w:rPr>
                <w:spacing w:val="-6"/>
                <w:szCs w:val="18"/>
              </w:rPr>
              <w:t xml:space="preserve"> </w:t>
            </w:r>
            <w:r w:rsidRPr="00D32E6F">
              <w:rPr>
                <w:szCs w:val="18"/>
              </w:rPr>
              <w:t>fragrances,</w:t>
            </w:r>
            <w:r w:rsidRPr="00D32E6F">
              <w:rPr>
                <w:spacing w:val="-1"/>
                <w:szCs w:val="18"/>
              </w:rPr>
              <w:t xml:space="preserve"> </w:t>
            </w:r>
            <w:r w:rsidRPr="00D32E6F">
              <w:rPr>
                <w:szCs w:val="18"/>
              </w:rPr>
              <w:t>printing</w:t>
            </w:r>
            <w:r w:rsidRPr="00D32E6F">
              <w:rPr>
                <w:spacing w:val="-4"/>
                <w:szCs w:val="18"/>
              </w:rPr>
              <w:t xml:space="preserve"> </w:t>
            </w:r>
            <w:r w:rsidRPr="00D32E6F">
              <w:rPr>
                <w:szCs w:val="18"/>
              </w:rPr>
              <w:t>inks,</w:t>
            </w:r>
            <w:r w:rsidRPr="00D32E6F">
              <w:rPr>
                <w:spacing w:val="-10"/>
                <w:szCs w:val="18"/>
              </w:rPr>
              <w:t xml:space="preserve"> </w:t>
            </w:r>
            <w:r w:rsidRPr="00D32E6F">
              <w:rPr>
                <w:szCs w:val="18"/>
              </w:rPr>
              <w:t>film</w:t>
            </w:r>
            <w:r w:rsidRPr="00D32E6F">
              <w:rPr>
                <w:spacing w:val="-2"/>
                <w:szCs w:val="18"/>
              </w:rPr>
              <w:t xml:space="preserve"> </w:t>
            </w:r>
            <w:r w:rsidRPr="00D32E6F">
              <w:rPr>
                <w:szCs w:val="18"/>
              </w:rPr>
              <w:t>coatings</w:t>
            </w:r>
            <w:r w:rsidRPr="00D32E6F">
              <w:rPr>
                <w:spacing w:val="-7"/>
                <w:szCs w:val="18"/>
              </w:rPr>
              <w:t xml:space="preserve"> </w:t>
            </w:r>
            <w:r w:rsidRPr="00D32E6F">
              <w:rPr>
                <w:szCs w:val="18"/>
              </w:rPr>
              <w:t>and/or</w:t>
            </w:r>
            <w:r w:rsidRPr="00D32E6F">
              <w:rPr>
                <w:spacing w:val="-2"/>
                <w:szCs w:val="18"/>
              </w:rPr>
              <w:t xml:space="preserve"> </w:t>
            </w:r>
            <w:r w:rsidRPr="00D32E6F">
              <w:rPr>
                <w:szCs w:val="18"/>
              </w:rPr>
              <w:t xml:space="preserve">capsule </w:t>
            </w:r>
            <w:r w:rsidRPr="00D32E6F">
              <w:rPr>
                <w:spacing w:val="-2"/>
                <w:szCs w:val="18"/>
              </w:rPr>
              <w:t>shells.</w:t>
            </w:r>
          </w:p>
        </w:tc>
        <w:tc>
          <w:tcPr>
            <w:tcW w:w="2125" w:type="dxa"/>
          </w:tcPr>
          <w:p w14:paraId="1C0F7B25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6844946B" w14:textId="18F403B9" w:rsidR="007D12D5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0BD2">
              <w:t>Not applicable</w:t>
            </w:r>
          </w:p>
        </w:tc>
      </w:tr>
      <w:tr w:rsidR="007D12D5" w14:paraId="440A5875" w14:textId="77777777" w:rsidTr="00D32E6F">
        <w:tc>
          <w:tcPr>
            <w:tcW w:w="562" w:type="dxa"/>
          </w:tcPr>
          <w:p w14:paraId="2C4263C7" w14:textId="77777777" w:rsidR="007D12D5" w:rsidRDefault="007D12D5" w:rsidP="00607A39">
            <w:r>
              <w:t>2</w:t>
            </w:r>
          </w:p>
        </w:tc>
        <w:tc>
          <w:tcPr>
            <w:tcW w:w="7089" w:type="dxa"/>
          </w:tcPr>
          <w:p w14:paraId="09FA9905" w14:textId="6BF186B2" w:rsidR="007D12D5" w:rsidRPr="00D32E6F" w:rsidRDefault="00D32E6F" w:rsidP="00D32E6F">
            <w:pPr>
              <w:ind w:left="0"/>
              <w:rPr>
                <w:szCs w:val="18"/>
              </w:rPr>
            </w:pPr>
            <w:r w:rsidRPr="00D32E6F">
              <w:rPr>
                <w:szCs w:val="18"/>
              </w:rPr>
              <w:t>Any</w:t>
            </w:r>
            <w:r w:rsidRPr="00D32E6F">
              <w:rPr>
                <w:spacing w:val="-2"/>
                <w:szCs w:val="18"/>
              </w:rPr>
              <w:t xml:space="preserve"> </w:t>
            </w:r>
            <w:r w:rsidRPr="00D32E6F">
              <w:rPr>
                <w:szCs w:val="18"/>
              </w:rPr>
              <w:t>colourings,</w:t>
            </w:r>
            <w:r w:rsidRPr="00D32E6F">
              <w:rPr>
                <w:spacing w:val="-6"/>
                <w:szCs w:val="18"/>
              </w:rPr>
              <w:t xml:space="preserve"> </w:t>
            </w:r>
            <w:r w:rsidRPr="00D32E6F">
              <w:rPr>
                <w:szCs w:val="18"/>
              </w:rPr>
              <w:t>flavours,</w:t>
            </w:r>
            <w:r w:rsidRPr="00D32E6F">
              <w:rPr>
                <w:spacing w:val="-1"/>
                <w:szCs w:val="18"/>
              </w:rPr>
              <w:t xml:space="preserve"> </w:t>
            </w:r>
            <w:r w:rsidRPr="00D32E6F">
              <w:rPr>
                <w:szCs w:val="18"/>
              </w:rPr>
              <w:t>or</w:t>
            </w:r>
            <w:r w:rsidRPr="00D32E6F">
              <w:rPr>
                <w:spacing w:val="-7"/>
                <w:szCs w:val="18"/>
              </w:rPr>
              <w:t xml:space="preserve"> </w:t>
            </w:r>
            <w:r w:rsidRPr="00D32E6F">
              <w:rPr>
                <w:szCs w:val="18"/>
              </w:rPr>
              <w:t>fragrances</w:t>
            </w:r>
            <w:r w:rsidRPr="00D32E6F">
              <w:rPr>
                <w:spacing w:val="-7"/>
                <w:szCs w:val="18"/>
              </w:rPr>
              <w:t xml:space="preserve"> </w:t>
            </w:r>
            <w:r w:rsidRPr="00D32E6F">
              <w:rPr>
                <w:szCs w:val="18"/>
              </w:rPr>
              <w:t>do</w:t>
            </w:r>
            <w:r w:rsidRPr="00D32E6F">
              <w:rPr>
                <w:spacing w:val="-4"/>
                <w:szCs w:val="18"/>
              </w:rPr>
              <w:t xml:space="preserve"> </w:t>
            </w:r>
            <w:r w:rsidRPr="00D32E6F">
              <w:rPr>
                <w:szCs w:val="18"/>
              </w:rPr>
              <w:t>not</w:t>
            </w:r>
            <w:r w:rsidRPr="00D32E6F">
              <w:rPr>
                <w:spacing w:val="-1"/>
                <w:szCs w:val="18"/>
              </w:rPr>
              <w:t xml:space="preserve"> </w:t>
            </w:r>
            <w:r w:rsidRPr="00D32E6F">
              <w:rPr>
                <w:szCs w:val="18"/>
              </w:rPr>
              <w:t>exceed</w:t>
            </w:r>
            <w:r w:rsidRPr="00D32E6F">
              <w:rPr>
                <w:spacing w:val="-4"/>
                <w:szCs w:val="18"/>
              </w:rPr>
              <w:t xml:space="preserve"> </w:t>
            </w:r>
            <w:r w:rsidRPr="00D32E6F">
              <w:rPr>
                <w:szCs w:val="18"/>
              </w:rPr>
              <w:t>2%</w:t>
            </w:r>
            <w:r w:rsidRPr="00D32E6F">
              <w:rPr>
                <w:spacing w:val="-4"/>
                <w:szCs w:val="18"/>
              </w:rPr>
              <w:t xml:space="preserve"> </w:t>
            </w:r>
            <w:r w:rsidRPr="00D32E6F">
              <w:rPr>
                <w:szCs w:val="18"/>
              </w:rPr>
              <w:t>w/w</w:t>
            </w:r>
            <w:r w:rsidRPr="00D32E6F">
              <w:rPr>
                <w:spacing w:val="-9"/>
                <w:szCs w:val="18"/>
              </w:rPr>
              <w:t xml:space="preserve"> </w:t>
            </w:r>
            <w:r w:rsidRPr="00D32E6F">
              <w:rPr>
                <w:szCs w:val="18"/>
              </w:rPr>
              <w:t>or w/v of</w:t>
            </w:r>
            <w:r w:rsidRPr="00D32E6F">
              <w:rPr>
                <w:spacing w:val="-1"/>
                <w:szCs w:val="18"/>
              </w:rPr>
              <w:t xml:space="preserve"> </w:t>
            </w:r>
            <w:r w:rsidRPr="00D32E6F">
              <w:rPr>
                <w:szCs w:val="18"/>
              </w:rPr>
              <w:t>the finished product.</w:t>
            </w:r>
          </w:p>
        </w:tc>
        <w:tc>
          <w:tcPr>
            <w:tcW w:w="2125" w:type="dxa"/>
          </w:tcPr>
          <w:p w14:paraId="4EAF49F9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274CB00B" w14:textId="35B5C7CC" w:rsidR="007D12D5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0BD2">
              <w:t>Not applicable</w:t>
            </w:r>
          </w:p>
        </w:tc>
      </w:tr>
      <w:tr w:rsidR="007D12D5" w14:paraId="6C99BAF4" w14:textId="77777777" w:rsidTr="00D32E6F">
        <w:tc>
          <w:tcPr>
            <w:tcW w:w="562" w:type="dxa"/>
          </w:tcPr>
          <w:p w14:paraId="5BF05EC3" w14:textId="77777777" w:rsidR="007D12D5" w:rsidRDefault="007D12D5" w:rsidP="00607A39">
            <w:r>
              <w:t>3</w:t>
            </w:r>
          </w:p>
        </w:tc>
        <w:tc>
          <w:tcPr>
            <w:tcW w:w="7089" w:type="dxa"/>
          </w:tcPr>
          <w:p w14:paraId="0220DB85" w14:textId="6856F186" w:rsidR="007D12D5" w:rsidRPr="00D32E6F" w:rsidRDefault="00D32E6F" w:rsidP="00607A39">
            <w:pPr>
              <w:ind w:left="0"/>
              <w:rPr>
                <w:szCs w:val="18"/>
              </w:rPr>
            </w:pPr>
            <w:r w:rsidRPr="00D32E6F">
              <w:rPr>
                <w:szCs w:val="18"/>
              </w:rPr>
              <w:t>Only</w:t>
            </w:r>
            <w:r w:rsidRPr="00D32E6F">
              <w:rPr>
                <w:spacing w:val="-4"/>
                <w:szCs w:val="18"/>
              </w:rPr>
              <w:t xml:space="preserve"> </w:t>
            </w:r>
            <w:r w:rsidRPr="00D32E6F">
              <w:rPr>
                <w:szCs w:val="18"/>
              </w:rPr>
              <w:t>colourings</w:t>
            </w:r>
            <w:r w:rsidRPr="00D32E6F">
              <w:rPr>
                <w:spacing w:val="-4"/>
                <w:szCs w:val="18"/>
              </w:rPr>
              <w:t xml:space="preserve"> </w:t>
            </w:r>
            <w:r w:rsidRPr="00D32E6F">
              <w:rPr>
                <w:szCs w:val="18"/>
              </w:rPr>
              <w:t>permitted</w:t>
            </w:r>
            <w:r w:rsidRPr="00D32E6F">
              <w:rPr>
                <w:spacing w:val="-6"/>
                <w:szCs w:val="18"/>
              </w:rPr>
              <w:t xml:space="preserve"> </w:t>
            </w:r>
            <w:r w:rsidRPr="00D32E6F">
              <w:rPr>
                <w:szCs w:val="18"/>
              </w:rPr>
              <w:t>for</w:t>
            </w:r>
            <w:r w:rsidRPr="00D32E6F">
              <w:rPr>
                <w:spacing w:val="-4"/>
                <w:szCs w:val="18"/>
              </w:rPr>
              <w:t xml:space="preserve"> </w:t>
            </w:r>
            <w:r w:rsidRPr="00D32E6F">
              <w:rPr>
                <w:szCs w:val="18"/>
              </w:rPr>
              <w:t>use</w:t>
            </w:r>
            <w:r w:rsidRPr="00D32E6F">
              <w:rPr>
                <w:spacing w:val="-1"/>
                <w:szCs w:val="18"/>
              </w:rPr>
              <w:t xml:space="preserve"> </w:t>
            </w:r>
            <w:r w:rsidRPr="00D32E6F">
              <w:rPr>
                <w:szCs w:val="18"/>
              </w:rPr>
              <w:t>in</w:t>
            </w:r>
            <w:r w:rsidRPr="00D32E6F">
              <w:rPr>
                <w:spacing w:val="-6"/>
                <w:szCs w:val="18"/>
              </w:rPr>
              <w:t xml:space="preserve"> </w:t>
            </w:r>
            <w:r w:rsidRPr="00D32E6F">
              <w:rPr>
                <w:szCs w:val="18"/>
              </w:rPr>
              <w:t>medicines</w:t>
            </w:r>
            <w:r w:rsidRPr="00D32E6F">
              <w:rPr>
                <w:spacing w:val="-4"/>
                <w:szCs w:val="18"/>
              </w:rPr>
              <w:t xml:space="preserve"> </w:t>
            </w:r>
            <w:r w:rsidRPr="00D32E6F">
              <w:rPr>
                <w:szCs w:val="18"/>
              </w:rPr>
              <w:t>(as</w:t>
            </w:r>
            <w:r w:rsidR="00A93E45">
              <w:rPr>
                <w:szCs w:val="18"/>
              </w:rPr>
              <w:t xml:space="preserve"> per the </w:t>
            </w:r>
            <w:hyperlink r:id="rId18" w:history="1">
              <w:r w:rsidR="00A93E45" w:rsidRPr="00D32E6F">
                <w:rPr>
                  <w:rStyle w:val="Hyperlink"/>
                  <w:spacing w:val="-1"/>
                  <w:szCs w:val="18"/>
                </w:rPr>
                <w:t>r</w:t>
              </w:r>
              <w:r w:rsidR="00A93E45" w:rsidRPr="00D32E6F">
                <w:rPr>
                  <w:rStyle w:val="Hyperlink"/>
                  <w:szCs w:val="18"/>
                </w:rPr>
                <w:t>equirem</w:t>
              </w:r>
              <w:r w:rsidR="00A93E45" w:rsidRPr="00D32E6F">
                <w:rPr>
                  <w:rStyle w:val="Hyperlink"/>
                  <w:szCs w:val="18"/>
                </w:rPr>
                <w:t>e</w:t>
              </w:r>
              <w:r w:rsidR="00A93E45" w:rsidRPr="00D32E6F">
                <w:rPr>
                  <w:rStyle w:val="Hyperlink"/>
                  <w:szCs w:val="18"/>
                </w:rPr>
                <w:t xml:space="preserve">nts for OTC </w:t>
              </w:r>
              <w:r w:rsidR="00A93E45">
                <w:rPr>
                  <w:rStyle w:val="Hyperlink"/>
                  <w:szCs w:val="18"/>
                </w:rPr>
                <w:t>n</w:t>
              </w:r>
              <w:r w:rsidR="00A93E45" w:rsidRPr="00D32E6F">
                <w:rPr>
                  <w:rStyle w:val="Hyperlink"/>
                  <w:szCs w:val="18"/>
                </w:rPr>
                <w:t xml:space="preserve">ew </w:t>
              </w:r>
              <w:r w:rsidR="00A93E45">
                <w:rPr>
                  <w:rStyle w:val="Hyperlink"/>
                  <w:szCs w:val="18"/>
                </w:rPr>
                <w:t>m</w:t>
              </w:r>
              <w:r w:rsidR="00A93E45" w:rsidRPr="00D32E6F">
                <w:rPr>
                  <w:rStyle w:val="Hyperlink"/>
                  <w:szCs w:val="18"/>
                </w:rPr>
                <w:t>edicine N2 applications</w:t>
              </w:r>
            </w:hyperlink>
            <w:r w:rsidR="007F1AAE">
              <w:rPr>
                <w:szCs w:val="18"/>
              </w:rPr>
              <w:t>,</w:t>
            </w:r>
            <w:r w:rsidRPr="00D32E6F">
              <w:rPr>
                <w:spacing w:val="-4"/>
                <w:szCs w:val="18"/>
              </w:rPr>
              <w:t xml:space="preserve"> </w:t>
            </w:r>
            <w:r w:rsidRPr="00D32E6F">
              <w:rPr>
                <w:szCs w:val="18"/>
              </w:rPr>
              <w:t>described</w:t>
            </w:r>
            <w:r w:rsidRPr="00D32E6F">
              <w:rPr>
                <w:spacing w:val="-6"/>
                <w:szCs w:val="18"/>
              </w:rPr>
              <w:t xml:space="preserve"> </w:t>
            </w:r>
            <w:r w:rsidRPr="00D32E6F">
              <w:rPr>
                <w:szCs w:val="18"/>
              </w:rPr>
              <w:t>in</w:t>
            </w:r>
            <w:r w:rsidR="00A93E45">
              <w:rPr>
                <w:szCs w:val="18"/>
              </w:rPr>
              <w:t xml:space="preserve"> </w:t>
            </w:r>
            <w:hyperlink r:id="rId19" w:anchor="table-2" w:history="1">
              <w:r w:rsidR="00A93E45">
                <w:rPr>
                  <w:rStyle w:val="Hyperlink"/>
                  <w:szCs w:val="18"/>
                </w:rPr>
                <w:t>Colou</w:t>
              </w:r>
              <w:r w:rsidR="00A93E45">
                <w:rPr>
                  <w:rStyle w:val="Hyperlink"/>
                  <w:szCs w:val="18"/>
                </w:rPr>
                <w:t>r</w:t>
              </w:r>
              <w:r w:rsidR="00A93E45">
                <w:rPr>
                  <w:rStyle w:val="Hyperlink"/>
                  <w:szCs w:val="18"/>
                </w:rPr>
                <w:t>ings used in medicines for topical and oral use</w:t>
              </w:r>
            </w:hyperlink>
            <w:r w:rsidRPr="00D32E6F">
              <w:rPr>
                <w:szCs w:val="18"/>
              </w:rPr>
              <w:t xml:space="preserve">) are included in the </w:t>
            </w:r>
            <w:r w:rsidRPr="00D32E6F">
              <w:rPr>
                <w:spacing w:val="-2"/>
                <w:szCs w:val="18"/>
              </w:rPr>
              <w:t>formulation.</w:t>
            </w:r>
          </w:p>
        </w:tc>
        <w:tc>
          <w:tcPr>
            <w:tcW w:w="2125" w:type="dxa"/>
          </w:tcPr>
          <w:p w14:paraId="6CBADDC3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21F91B51" w14:textId="57DA8437" w:rsidR="007D12D5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0BD2">
              <w:t>Not applicable</w:t>
            </w:r>
          </w:p>
        </w:tc>
      </w:tr>
    </w:tbl>
    <w:p w14:paraId="659C1DE7" w14:textId="7494BD72" w:rsidR="007D12D5" w:rsidRDefault="007D12D5" w:rsidP="00181289">
      <w:pPr>
        <w:pStyle w:val="Heading3"/>
      </w:pPr>
      <w:r>
        <w:t>Manufacturing</w:t>
      </w:r>
    </w:p>
    <w:tbl>
      <w:tblPr>
        <w:tblStyle w:val="TableTGAblue"/>
        <w:tblW w:w="9776" w:type="dxa"/>
        <w:tblLook w:val="04A0" w:firstRow="1" w:lastRow="0" w:firstColumn="1" w:lastColumn="0" w:noHBand="0" w:noVBand="1"/>
      </w:tblPr>
      <w:tblGrid>
        <w:gridCol w:w="704"/>
        <w:gridCol w:w="6947"/>
        <w:gridCol w:w="2125"/>
      </w:tblGrid>
      <w:tr w:rsidR="007D12D5" w14:paraId="07A0357A" w14:textId="77777777" w:rsidTr="00D3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31340302" w14:textId="08BB1C9C" w:rsidR="007D12D5" w:rsidRDefault="007D12D5" w:rsidP="00607A39">
            <w:r>
              <w:t>N</w:t>
            </w:r>
            <w:r w:rsidR="00D32E6F">
              <w:t>o.</w:t>
            </w:r>
          </w:p>
        </w:tc>
        <w:tc>
          <w:tcPr>
            <w:tcW w:w="6947" w:type="dxa"/>
          </w:tcPr>
          <w:p w14:paraId="33642045" w14:textId="77777777" w:rsidR="007D12D5" w:rsidRDefault="007D12D5" w:rsidP="00607A39">
            <w:r>
              <w:t>Assurance</w:t>
            </w:r>
          </w:p>
        </w:tc>
        <w:tc>
          <w:tcPr>
            <w:tcW w:w="2125" w:type="dxa"/>
          </w:tcPr>
          <w:p w14:paraId="2336C7EB" w14:textId="3EB48533" w:rsidR="007D12D5" w:rsidRDefault="007D12D5" w:rsidP="00607A39"/>
        </w:tc>
      </w:tr>
      <w:tr w:rsidR="007D12D5" w14:paraId="5CB7DC5E" w14:textId="77777777" w:rsidTr="00D32E6F">
        <w:tc>
          <w:tcPr>
            <w:tcW w:w="704" w:type="dxa"/>
          </w:tcPr>
          <w:p w14:paraId="28303827" w14:textId="77777777" w:rsidR="007D12D5" w:rsidRDefault="007D12D5" w:rsidP="00607A39">
            <w:r>
              <w:t>1</w:t>
            </w:r>
          </w:p>
        </w:tc>
        <w:tc>
          <w:tcPr>
            <w:tcW w:w="6947" w:type="dxa"/>
          </w:tcPr>
          <w:p w14:paraId="5CE6F7CC" w14:textId="09520AEB" w:rsidR="007D12D5" w:rsidRPr="00D32E6F" w:rsidRDefault="00D32E6F" w:rsidP="00607A39">
            <w:pPr>
              <w:ind w:left="0"/>
              <w:rPr>
                <w:szCs w:val="18"/>
              </w:rPr>
            </w:pPr>
            <w:r w:rsidRPr="00D32E6F">
              <w:rPr>
                <w:szCs w:val="18"/>
              </w:rPr>
              <w:t>All sites</w:t>
            </w:r>
            <w:r w:rsidRPr="00D32E6F">
              <w:rPr>
                <w:spacing w:val="-11"/>
                <w:szCs w:val="18"/>
              </w:rPr>
              <w:t xml:space="preserve"> </w:t>
            </w:r>
            <w:r w:rsidRPr="00D32E6F">
              <w:rPr>
                <w:szCs w:val="18"/>
              </w:rPr>
              <w:t>involved</w:t>
            </w:r>
            <w:r w:rsidRPr="00D32E6F">
              <w:rPr>
                <w:spacing w:val="-8"/>
                <w:szCs w:val="18"/>
              </w:rPr>
              <w:t xml:space="preserve"> </w:t>
            </w:r>
            <w:r w:rsidRPr="00D32E6F">
              <w:rPr>
                <w:szCs w:val="18"/>
              </w:rPr>
              <w:t>in</w:t>
            </w:r>
            <w:r w:rsidRPr="00D32E6F">
              <w:rPr>
                <w:spacing w:val="-8"/>
                <w:szCs w:val="18"/>
              </w:rPr>
              <w:t xml:space="preserve"> </w:t>
            </w:r>
            <w:r w:rsidRPr="00D32E6F">
              <w:rPr>
                <w:szCs w:val="18"/>
              </w:rPr>
              <w:t>the</w:t>
            </w:r>
            <w:r w:rsidRPr="00D32E6F">
              <w:rPr>
                <w:spacing w:val="-8"/>
                <w:szCs w:val="18"/>
              </w:rPr>
              <w:t xml:space="preserve"> </w:t>
            </w:r>
            <w:r w:rsidRPr="00D32E6F">
              <w:rPr>
                <w:szCs w:val="18"/>
              </w:rPr>
              <w:t>manufacture, packaging,</w:t>
            </w:r>
            <w:r w:rsidRPr="00D32E6F">
              <w:rPr>
                <w:spacing w:val="-5"/>
                <w:szCs w:val="18"/>
              </w:rPr>
              <w:t xml:space="preserve"> </w:t>
            </w:r>
            <w:r w:rsidRPr="00D32E6F">
              <w:rPr>
                <w:szCs w:val="18"/>
              </w:rPr>
              <w:t>labelling, testing</w:t>
            </w:r>
            <w:r w:rsidRPr="00D32E6F">
              <w:rPr>
                <w:spacing w:val="-3"/>
                <w:szCs w:val="18"/>
              </w:rPr>
              <w:t xml:space="preserve"> </w:t>
            </w:r>
            <w:r w:rsidRPr="00D32E6F">
              <w:rPr>
                <w:szCs w:val="18"/>
              </w:rPr>
              <w:t>and</w:t>
            </w:r>
            <w:r w:rsidRPr="00D32E6F">
              <w:rPr>
                <w:spacing w:val="-3"/>
                <w:szCs w:val="18"/>
              </w:rPr>
              <w:t xml:space="preserve"> </w:t>
            </w:r>
            <w:r w:rsidRPr="00D32E6F">
              <w:rPr>
                <w:szCs w:val="18"/>
              </w:rPr>
              <w:t>release for supply of the finished product (including any active ingredient premix manufacturers) are specified in the application form.</w:t>
            </w:r>
          </w:p>
        </w:tc>
        <w:tc>
          <w:tcPr>
            <w:tcW w:w="2125" w:type="dxa"/>
          </w:tcPr>
          <w:p w14:paraId="2E465F04" w14:textId="07508BFC" w:rsidR="007D12D5" w:rsidRPr="009A2501" w:rsidRDefault="001E2AF9" w:rsidP="00607A3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</w:p>
        </w:tc>
      </w:tr>
      <w:tr w:rsidR="007D12D5" w14:paraId="644D9EE2" w14:textId="77777777" w:rsidTr="00D32E6F">
        <w:tc>
          <w:tcPr>
            <w:tcW w:w="704" w:type="dxa"/>
          </w:tcPr>
          <w:p w14:paraId="148DD9AB" w14:textId="77777777" w:rsidR="007D12D5" w:rsidRDefault="007D12D5" w:rsidP="00607A39">
            <w:r>
              <w:t>2</w:t>
            </w:r>
          </w:p>
        </w:tc>
        <w:tc>
          <w:tcPr>
            <w:tcW w:w="6947" w:type="dxa"/>
          </w:tcPr>
          <w:p w14:paraId="20E42E98" w14:textId="58BD3791" w:rsidR="007D12D5" w:rsidRPr="00925BE0" w:rsidRDefault="00D32E6F" w:rsidP="00D32E6F">
            <w:pPr>
              <w:ind w:left="0"/>
              <w:rPr>
                <w:szCs w:val="18"/>
              </w:rPr>
            </w:pPr>
            <w:r w:rsidRPr="00925BE0">
              <w:rPr>
                <w:szCs w:val="18"/>
              </w:rPr>
              <w:t>The product is manufactured using standard processes (as defined in</w:t>
            </w:r>
            <w:r w:rsidR="00946049" w:rsidRPr="00925BE0">
              <w:rPr>
                <w:szCs w:val="18"/>
              </w:rPr>
              <w:t xml:space="preserve"> the </w:t>
            </w:r>
            <w:bookmarkStart w:id="5" w:name="_Hlk206507859"/>
            <w:r w:rsidR="00946049">
              <w:fldChar w:fldCharType="begin"/>
            </w:r>
            <w:r w:rsidR="002C3D28">
              <w:instrText>HYPERLINK "https://www.tga.gov.au/resources/resource/international-scientific-guidelines/guideline-process-validation-finished-products-information-and-data-be-provided-regulatory-submissions"</w:instrText>
            </w:r>
            <w:r w:rsidR="00946049">
              <w:fldChar w:fldCharType="separate"/>
            </w:r>
            <w:r w:rsidR="00946049" w:rsidRPr="00925BE0">
              <w:rPr>
                <w:rStyle w:val="Hyperlink"/>
                <w:szCs w:val="18"/>
              </w:rPr>
              <w:t>Guideline on process v</w:t>
            </w:r>
            <w:r w:rsidR="00946049" w:rsidRPr="00925BE0">
              <w:rPr>
                <w:rStyle w:val="Hyperlink"/>
                <w:szCs w:val="18"/>
              </w:rPr>
              <w:t>a</w:t>
            </w:r>
            <w:r w:rsidR="00946049" w:rsidRPr="00925BE0">
              <w:rPr>
                <w:rStyle w:val="Hyperlink"/>
                <w:szCs w:val="18"/>
              </w:rPr>
              <w:t>lidation for finished products – information and data to be provided in regulatory submissions</w:t>
            </w:r>
            <w:r w:rsidR="00946049">
              <w:fldChar w:fldCharType="end"/>
            </w:r>
            <w:r w:rsidR="00946049" w:rsidRPr="00925BE0">
              <w:rPr>
                <w:szCs w:val="18"/>
              </w:rPr>
              <w:t xml:space="preserve"> EMA/CHMP/CVMP/QWP/BWP/70278/2012-Rev1</w:t>
            </w:r>
            <w:bookmarkEnd w:id="5"/>
            <w:r w:rsidRPr="00925BE0">
              <w:rPr>
                <w:szCs w:val="18"/>
              </w:rPr>
              <w:t>.</w:t>
            </w:r>
          </w:p>
        </w:tc>
        <w:tc>
          <w:tcPr>
            <w:tcW w:w="2125" w:type="dxa"/>
          </w:tcPr>
          <w:p w14:paraId="58197941" w14:textId="18069473" w:rsidR="007D12D5" w:rsidRPr="009A2501" w:rsidRDefault="001E2AF9" w:rsidP="00607A3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</w:p>
        </w:tc>
      </w:tr>
      <w:tr w:rsidR="007D12D5" w14:paraId="5C30D56F" w14:textId="77777777" w:rsidTr="00D32E6F">
        <w:tc>
          <w:tcPr>
            <w:tcW w:w="704" w:type="dxa"/>
          </w:tcPr>
          <w:p w14:paraId="732D8A0D" w14:textId="29F0A272" w:rsidR="007D12D5" w:rsidRDefault="007D12D5" w:rsidP="00607A39">
            <w:r>
              <w:t>3</w:t>
            </w:r>
          </w:p>
        </w:tc>
        <w:tc>
          <w:tcPr>
            <w:tcW w:w="6947" w:type="dxa"/>
          </w:tcPr>
          <w:p w14:paraId="351617D9" w14:textId="1215D1EB" w:rsidR="007D12D5" w:rsidRPr="00E61B81" w:rsidRDefault="00E61B81" w:rsidP="00E61B81">
            <w:pPr>
              <w:ind w:left="0"/>
              <w:rPr>
                <w:szCs w:val="18"/>
              </w:rPr>
            </w:pPr>
            <w:r w:rsidRPr="00E61B81">
              <w:rPr>
                <w:szCs w:val="18"/>
              </w:rPr>
              <w:t>Manufacturing process validation has been completed (or will be completed prior</w:t>
            </w:r>
            <w:r w:rsidRPr="00E61B81">
              <w:rPr>
                <w:spacing w:val="-5"/>
                <w:szCs w:val="18"/>
              </w:rPr>
              <w:t xml:space="preserve"> </w:t>
            </w:r>
            <w:r w:rsidRPr="00E61B81">
              <w:rPr>
                <w:szCs w:val="18"/>
              </w:rPr>
              <w:t>to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supply</w:t>
            </w:r>
            <w:r w:rsidRPr="00E61B81">
              <w:rPr>
                <w:spacing w:val="-5"/>
                <w:szCs w:val="18"/>
              </w:rPr>
              <w:t xml:space="preserve"> </w:t>
            </w:r>
            <w:r w:rsidRPr="00E61B81">
              <w:rPr>
                <w:szCs w:val="18"/>
              </w:rPr>
              <w:t>in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Australia)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>on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a</w:t>
            </w:r>
            <w:r w:rsidRPr="00E61B81">
              <w:rPr>
                <w:spacing w:val="-12"/>
                <w:szCs w:val="18"/>
              </w:rPr>
              <w:t xml:space="preserve"> </w:t>
            </w:r>
            <w:r w:rsidRPr="00E61B81">
              <w:rPr>
                <w:szCs w:val="18"/>
              </w:rPr>
              <w:t>minimum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>of two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commercial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scale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batches</w:t>
            </w:r>
            <w:r w:rsidRPr="00E61B81">
              <w:rPr>
                <w:spacing w:val="-5"/>
                <w:szCs w:val="18"/>
              </w:rPr>
              <w:t xml:space="preserve"> </w:t>
            </w:r>
            <w:r w:rsidRPr="00E61B81">
              <w:rPr>
                <w:szCs w:val="18"/>
              </w:rPr>
              <w:t xml:space="preserve">of product according to </w:t>
            </w:r>
            <w:hyperlink r:id="rId20" w:history="1">
              <w:r w:rsidRPr="001222EE">
                <w:rPr>
                  <w:rStyle w:val="Hyperlink"/>
                  <w:szCs w:val="18"/>
                </w:rPr>
                <w:t>Goo</w:t>
              </w:r>
              <w:r w:rsidRPr="001222EE">
                <w:rPr>
                  <w:rStyle w:val="Hyperlink"/>
                  <w:szCs w:val="18"/>
                </w:rPr>
                <w:t>d</w:t>
              </w:r>
              <w:r w:rsidRPr="001222EE">
                <w:rPr>
                  <w:rStyle w:val="Hyperlink"/>
                  <w:szCs w:val="18"/>
                </w:rPr>
                <w:t xml:space="preserve"> Manufacturing Practice</w:t>
              </w:r>
            </w:hyperlink>
            <w:r w:rsidRPr="00E61B81">
              <w:rPr>
                <w:szCs w:val="18"/>
              </w:rPr>
              <w:t>.</w:t>
            </w:r>
          </w:p>
        </w:tc>
        <w:tc>
          <w:tcPr>
            <w:tcW w:w="2125" w:type="dxa"/>
          </w:tcPr>
          <w:p w14:paraId="2B9DB4E1" w14:textId="6326A5E5" w:rsidR="007D12D5" w:rsidRPr="009A2501" w:rsidRDefault="001E2AF9" w:rsidP="007D12D5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</w:p>
        </w:tc>
      </w:tr>
      <w:tr w:rsidR="007D12D5" w14:paraId="27B8A592" w14:textId="77777777" w:rsidTr="00D32E6F">
        <w:tc>
          <w:tcPr>
            <w:tcW w:w="704" w:type="dxa"/>
          </w:tcPr>
          <w:p w14:paraId="10D53000" w14:textId="5772D162" w:rsidR="007D12D5" w:rsidRDefault="007D12D5" w:rsidP="00607A39">
            <w:r>
              <w:t>4</w:t>
            </w:r>
          </w:p>
        </w:tc>
        <w:tc>
          <w:tcPr>
            <w:tcW w:w="6947" w:type="dxa"/>
          </w:tcPr>
          <w:p w14:paraId="405CABBF" w14:textId="0DE86EB9" w:rsidR="007D12D5" w:rsidRPr="00E61B81" w:rsidRDefault="00E61B81" w:rsidP="00607A39">
            <w:pPr>
              <w:ind w:left="0"/>
              <w:rPr>
                <w:szCs w:val="18"/>
              </w:rPr>
            </w:pPr>
            <w:r w:rsidRPr="00E61B81">
              <w:rPr>
                <w:szCs w:val="18"/>
              </w:rPr>
              <w:t>The</w:t>
            </w:r>
            <w:r w:rsidRPr="00E61B81">
              <w:rPr>
                <w:spacing w:val="-6"/>
                <w:szCs w:val="18"/>
              </w:rPr>
              <w:t xml:space="preserve"> </w:t>
            </w:r>
            <w:r w:rsidRPr="00E61B81">
              <w:rPr>
                <w:szCs w:val="18"/>
              </w:rPr>
              <w:t>manufacturer’s</w:t>
            </w:r>
            <w:r w:rsidRPr="00E61B81">
              <w:rPr>
                <w:spacing w:val="-9"/>
                <w:szCs w:val="18"/>
              </w:rPr>
              <w:t xml:space="preserve"> </w:t>
            </w:r>
            <w:r w:rsidRPr="00E61B81">
              <w:rPr>
                <w:szCs w:val="18"/>
              </w:rPr>
              <w:t>validation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>report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and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>related</w:t>
            </w:r>
            <w:r w:rsidRPr="00E61B81">
              <w:rPr>
                <w:spacing w:val="-8"/>
                <w:szCs w:val="18"/>
              </w:rPr>
              <w:t xml:space="preserve"> </w:t>
            </w:r>
            <w:r w:rsidRPr="00E61B81">
              <w:rPr>
                <w:szCs w:val="18"/>
              </w:rPr>
              <w:t>information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>will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>be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>available for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 xml:space="preserve">review, on request by the TGA, within </w:t>
            </w:r>
            <w:r>
              <w:rPr>
                <w:szCs w:val="18"/>
              </w:rPr>
              <w:t>3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months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>of release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for supply of the first production batch.</w:t>
            </w:r>
          </w:p>
        </w:tc>
        <w:tc>
          <w:tcPr>
            <w:tcW w:w="2125" w:type="dxa"/>
          </w:tcPr>
          <w:p w14:paraId="29687762" w14:textId="6559B20B" w:rsidR="007D12D5" w:rsidRPr="009A2501" w:rsidRDefault="001E2AF9" w:rsidP="00607A3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</w:p>
        </w:tc>
      </w:tr>
    </w:tbl>
    <w:p w14:paraId="22C0A730" w14:textId="24A9E2F7" w:rsidR="00DF3427" w:rsidRDefault="00DF3427" w:rsidP="00181289">
      <w:pPr>
        <w:pStyle w:val="Heading3"/>
      </w:pPr>
      <w:r>
        <w:t>Control of excipients</w:t>
      </w:r>
    </w:p>
    <w:tbl>
      <w:tblPr>
        <w:tblStyle w:val="TableTGAblue"/>
        <w:tblW w:w="9776" w:type="dxa"/>
        <w:tblLook w:val="04A0" w:firstRow="1" w:lastRow="0" w:firstColumn="1" w:lastColumn="0" w:noHBand="0" w:noVBand="1"/>
      </w:tblPr>
      <w:tblGrid>
        <w:gridCol w:w="684"/>
        <w:gridCol w:w="6979"/>
        <w:gridCol w:w="2113"/>
      </w:tblGrid>
      <w:tr w:rsidR="00DF3427" w14:paraId="18978637" w14:textId="77777777" w:rsidTr="001B2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4" w:type="dxa"/>
          </w:tcPr>
          <w:p w14:paraId="53DAB18E" w14:textId="68DDACB8" w:rsidR="00DF3427" w:rsidRDefault="00DF3427" w:rsidP="00607A39">
            <w:r>
              <w:t>N</w:t>
            </w:r>
            <w:r w:rsidR="00E61B81">
              <w:t>o.</w:t>
            </w:r>
          </w:p>
        </w:tc>
        <w:tc>
          <w:tcPr>
            <w:tcW w:w="6979" w:type="dxa"/>
          </w:tcPr>
          <w:p w14:paraId="07DA7B9E" w14:textId="77777777" w:rsidR="00DF3427" w:rsidRDefault="00DF3427" w:rsidP="00607A39">
            <w:r>
              <w:t>Assurance</w:t>
            </w:r>
          </w:p>
        </w:tc>
        <w:tc>
          <w:tcPr>
            <w:tcW w:w="2113" w:type="dxa"/>
          </w:tcPr>
          <w:p w14:paraId="63C50682" w14:textId="79DA52D0" w:rsidR="00DF3427" w:rsidRDefault="00DF3427" w:rsidP="00607A39"/>
        </w:tc>
      </w:tr>
      <w:tr w:rsidR="00DF3427" w14:paraId="2D35C1D1" w14:textId="77777777" w:rsidTr="001B2205">
        <w:tc>
          <w:tcPr>
            <w:tcW w:w="684" w:type="dxa"/>
          </w:tcPr>
          <w:p w14:paraId="0804AF6B" w14:textId="77777777" w:rsidR="00DF3427" w:rsidRDefault="00DF3427" w:rsidP="00607A39">
            <w:r>
              <w:t>1</w:t>
            </w:r>
          </w:p>
        </w:tc>
        <w:tc>
          <w:tcPr>
            <w:tcW w:w="6979" w:type="dxa"/>
          </w:tcPr>
          <w:p w14:paraId="36CA61A1" w14:textId="13321883" w:rsidR="00DF3427" w:rsidRPr="00E61B81" w:rsidRDefault="00E61B81" w:rsidP="00607A39">
            <w:pPr>
              <w:ind w:left="0"/>
              <w:rPr>
                <w:szCs w:val="18"/>
              </w:rPr>
            </w:pPr>
            <w:r w:rsidRPr="00E61B81">
              <w:rPr>
                <w:szCs w:val="18"/>
              </w:rPr>
              <w:t>Each excipient (excluding premixed flavours, fragrances, printing inks, film coatings, capsule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shells</w:t>
            </w:r>
            <w:r w:rsidRPr="00E61B81">
              <w:rPr>
                <w:spacing w:val="-6"/>
                <w:szCs w:val="18"/>
              </w:rPr>
              <w:t xml:space="preserve"> </w:t>
            </w:r>
            <w:r w:rsidRPr="00E61B81">
              <w:rPr>
                <w:szCs w:val="18"/>
              </w:rPr>
              <w:t>and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>colourings)</w:t>
            </w:r>
            <w:r w:rsidRPr="00E61B81">
              <w:rPr>
                <w:spacing w:val="-1"/>
                <w:szCs w:val="18"/>
              </w:rPr>
              <w:t xml:space="preserve"> </w:t>
            </w:r>
            <w:r w:rsidRPr="00E61B81">
              <w:rPr>
                <w:szCs w:val="18"/>
              </w:rPr>
              <w:t>is</w:t>
            </w:r>
            <w:r w:rsidRPr="00E61B81">
              <w:rPr>
                <w:spacing w:val="-6"/>
                <w:szCs w:val="18"/>
              </w:rPr>
              <w:t xml:space="preserve"> </w:t>
            </w:r>
            <w:r w:rsidRPr="00E61B81">
              <w:rPr>
                <w:szCs w:val="18"/>
              </w:rPr>
              <w:t>the</w:t>
            </w:r>
            <w:r w:rsidRPr="00E61B81">
              <w:rPr>
                <w:spacing w:val="-3"/>
                <w:szCs w:val="18"/>
              </w:rPr>
              <w:t xml:space="preserve"> </w:t>
            </w:r>
            <w:r w:rsidRPr="00E61B81">
              <w:rPr>
                <w:szCs w:val="18"/>
              </w:rPr>
              <w:t xml:space="preserve">subject of a current BP, Ph. Eur. or USP/NF monograph and is controlled by the finished product manufacturer to the requirements of the relevant pharmacopoeial monograph). </w:t>
            </w:r>
          </w:p>
        </w:tc>
        <w:tc>
          <w:tcPr>
            <w:tcW w:w="2113" w:type="dxa"/>
          </w:tcPr>
          <w:p w14:paraId="42C57C13" w14:textId="19A6034A" w:rsidR="00DF3427" w:rsidRPr="009A2501" w:rsidRDefault="001E2AF9" w:rsidP="00607A3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</w:p>
        </w:tc>
      </w:tr>
      <w:tr w:rsidR="00DF3427" w14:paraId="10E7FB70" w14:textId="77777777" w:rsidTr="001B2205">
        <w:tc>
          <w:tcPr>
            <w:tcW w:w="684" w:type="dxa"/>
          </w:tcPr>
          <w:p w14:paraId="4D9EAC14" w14:textId="2EA5BD26" w:rsidR="00DF3427" w:rsidRDefault="00DF3427" w:rsidP="00607A39">
            <w:r>
              <w:t>2</w:t>
            </w:r>
          </w:p>
        </w:tc>
        <w:tc>
          <w:tcPr>
            <w:tcW w:w="6979" w:type="dxa"/>
          </w:tcPr>
          <w:p w14:paraId="5B3C5B06" w14:textId="0C09A4FD" w:rsidR="00DF3427" w:rsidRPr="00E61B81" w:rsidRDefault="00E61B81" w:rsidP="00E61B81">
            <w:pPr>
              <w:ind w:left="0"/>
              <w:rPr>
                <w:szCs w:val="18"/>
              </w:rPr>
            </w:pPr>
            <w:r w:rsidRPr="00E61B81">
              <w:rPr>
                <w:szCs w:val="18"/>
              </w:rPr>
              <w:t>The individual components of any active ingredient premixes, capsule shells or proprietary</w:t>
            </w:r>
            <w:r w:rsidRPr="00E61B81">
              <w:rPr>
                <w:spacing w:val="-10"/>
                <w:szCs w:val="18"/>
              </w:rPr>
              <w:t xml:space="preserve"> </w:t>
            </w:r>
            <w:r w:rsidRPr="00E61B81">
              <w:rPr>
                <w:szCs w:val="18"/>
              </w:rPr>
              <w:t>film coating</w:t>
            </w:r>
            <w:r w:rsidRPr="00E61B81">
              <w:rPr>
                <w:spacing w:val="-7"/>
                <w:szCs w:val="18"/>
              </w:rPr>
              <w:t xml:space="preserve"> </w:t>
            </w:r>
            <w:r w:rsidRPr="00E61B81">
              <w:rPr>
                <w:szCs w:val="18"/>
              </w:rPr>
              <w:t>mixtures</w:t>
            </w:r>
            <w:r w:rsidRPr="00E61B81">
              <w:rPr>
                <w:spacing w:val="-6"/>
                <w:szCs w:val="18"/>
              </w:rPr>
              <w:t xml:space="preserve"> </w:t>
            </w:r>
            <w:r w:rsidRPr="00E61B81">
              <w:rPr>
                <w:szCs w:val="18"/>
              </w:rPr>
              <w:t>are</w:t>
            </w:r>
            <w:r w:rsidRPr="00E61B81">
              <w:rPr>
                <w:spacing w:val="-2"/>
                <w:szCs w:val="18"/>
              </w:rPr>
              <w:t xml:space="preserve"> </w:t>
            </w:r>
            <w:r w:rsidRPr="00E61B81">
              <w:rPr>
                <w:szCs w:val="18"/>
              </w:rPr>
              <w:t>controlled</w:t>
            </w:r>
            <w:r w:rsidRPr="00E61B81">
              <w:rPr>
                <w:spacing w:val="-2"/>
                <w:szCs w:val="18"/>
              </w:rPr>
              <w:t xml:space="preserve"> </w:t>
            </w:r>
            <w:r w:rsidRPr="00E61B81">
              <w:rPr>
                <w:szCs w:val="18"/>
              </w:rPr>
              <w:t>by</w:t>
            </w:r>
            <w:r w:rsidRPr="00E61B81">
              <w:rPr>
                <w:spacing w:val="-5"/>
                <w:szCs w:val="18"/>
              </w:rPr>
              <w:t xml:space="preserve"> </w:t>
            </w:r>
            <w:r w:rsidRPr="00E61B81">
              <w:rPr>
                <w:szCs w:val="18"/>
              </w:rPr>
              <w:t>the</w:t>
            </w:r>
            <w:r w:rsidRPr="00E61B81">
              <w:rPr>
                <w:spacing w:val="-2"/>
                <w:szCs w:val="18"/>
              </w:rPr>
              <w:t xml:space="preserve"> </w:t>
            </w:r>
            <w:r w:rsidRPr="00E61B81">
              <w:rPr>
                <w:szCs w:val="18"/>
              </w:rPr>
              <w:t>supplier to</w:t>
            </w:r>
            <w:r w:rsidRPr="00E61B81">
              <w:rPr>
                <w:spacing w:val="-2"/>
                <w:szCs w:val="18"/>
              </w:rPr>
              <w:t xml:space="preserve"> </w:t>
            </w:r>
            <w:r w:rsidRPr="00E61B81">
              <w:rPr>
                <w:szCs w:val="18"/>
              </w:rPr>
              <w:t>a</w:t>
            </w:r>
            <w:r w:rsidRPr="00E61B81">
              <w:rPr>
                <w:spacing w:val="-7"/>
                <w:szCs w:val="18"/>
              </w:rPr>
              <w:t xml:space="preserve"> </w:t>
            </w:r>
            <w:r w:rsidRPr="00E61B81">
              <w:rPr>
                <w:szCs w:val="18"/>
              </w:rPr>
              <w:t>relevant and current BP, Ph. Eur. or USP/NF monograph (except that colourings</w:t>
            </w:r>
            <w:r w:rsidRPr="00E61B81">
              <w:rPr>
                <w:spacing w:val="40"/>
                <w:szCs w:val="18"/>
              </w:rPr>
              <w:t xml:space="preserve"> </w:t>
            </w:r>
            <w:r w:rsidRPr="00E61B81">
              <w:rPr>
                <w:szCs w:val="18"/>
              </w:rPr>
              <w:t xml:space="preserve">within these must comply with requirements outlined in the </w:t>
            </w:r>
            <w:hyperlink r:id="rId21" w:history="1">
              <w:r w:rsidRPr="00E61B81">
                <w:rPr>
                  <w:rStyle w:val="Hyperlink"/>
                  <w:szCs w:val="18"/>
                </w:rPr>
                <w:t>requirements for OTC new medicine N2 applications</w:t>
              </w:r>
            </w:hyperlink>
            <w:r w:rsidRPr="00E61B81">
              <w:rPr>
                <w:szCs w:val="18"/>
              </w:rPr>
              <w:t>).</w:t>
            </w:r>
          </w:p>
        </w:tc>
        <w:tc>
          <w:tcPr>
            <w:tcW w:w="2113" w:type="dxa"/>
          </w:tcPr>
          <w:p w14:paraId="6AECFFF8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357CD444" w14:textId="2124ABA8" w:rsidR="00DF3427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0BD2">
              <w:t>Not applicable</w:t>
            </w:r>
          </w:p>
        </w:tc>
      </w:tr>
      <w:tr w:rsidR="00DF3427" w14:paraId="6D46557E" w14:textId="77777777" w:rsidTr="00682348">
        <w:tc>
          <w:tcPr>
            <w:tcW w:w="684" w:type="dxa"/>
          </w:tcPr>
          <w:p w14:paraId="424B183F" w14:textId="27561CE5" w:rsidR="00DF3427" w:rsidRDefault="00DF3427" w:rsidP="00607A39">
            <w:r>
              <w:lastRenderedPageBreak/>
              <w:t>3</w:t>
            </w:r>
          </w:p>
        </w:tc>
        <w:tc>
          <w:tcPr>
            <w:tcW w:w="6979" w:type="dxa"/>
          </w:tcPr>
          <w:p w14:paraId="15BAE46D" w14:textId="3DC86C81" w:rsidR="00E61B81" w:rsidRPr="00E61B81" w:rsidRDefault="00E61B81" w:rsidP="00E61B81">
            <w:pPr>
              <w:pStyle w:val="TableParagraph"/>
              <w:kinsoku w:val="0"/>
              <w:overflowPunct w:val="0"/>
              <w:spacing w:before="133" w:line="249" w:lineRule="auto"/>
              <w:ind w:left="0"/>
              <w:rPr>
                <w:spacing w:val="-2"/>
                <w:sz w:val="18"/>
                <w:szCs w:val="18"/>
              </w:rPr>
            </w:pPr>
            <w:r w:rsidRPr="00E61B81">
              <w:rPr>
                <w:sz w:val="18"/>
                <w:szCs w:val="18"/>
              </w:rPr>
              <w:t>Pharmacopoeial (BP,</w:t>
            </w:r>
            <w:r w:rsidRPr="00E61B81">
              <w:rPr>
                <w:spacing w:val="-3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Ph.</w:t>
            </w:r>
            <w:r w:rsidRPr="00E61B81">
              <w:rPr>
                <w:spacing w:val="-3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Eur.</w:t>
            </w:r>
            <w:r w:rsidRPr="00E61B81">
              <w:rPr>
                <w:spacing w:val="-3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or USP/NF)</w:t>
            </w:r>
            <w:r w:rsidRPr="00E61B81">
              <w:rPr>
                <w:spacing w:val="-9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monographs</w:t>
            </w:r>
            <w:r w:rsidRPr="00E61B81">
              <w:rPr>
                <w:spacing w:val="-4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are</w:t>
            </w:r>
            <w:r w:rsidRPr="00E61B81">
              <w:rPr>
                <w:spacing w:val="-1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not available</w:t>
            </w:r>
            <w:r w:rsidRPr="00E61B81">
              <w:rPr>
                <w:spacing w:val="-6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for the</w:t>
            </w:r>
            <w:r w:rsidRPr="00E61B81">
              <w:rPr>
                <w:spacing w:val="-6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following</w:t>
            </w:r>
            <w:r w:rsidRPr="00E61B81">
              <w:rPr>
                <w:spacing w:val="-2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premixed</w:t>
            </w:r>
            <w:r w:rsidRPr="00E61B81">
              <w:rPr>
                <w:spacing w:val="-6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flavours,</w:t>
            </w:r>
            <w:r w:rsidRPr="00E61B81">
              <w:rPr>
                <w:spacing w:val="-4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fragrances, and/or</w:t>
            </w:r>
            <w:r w:rsidRPr="00E61B81">
              <w:rPr>
                <w:spacing w:val="-5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film</w:t>
            </w:r>
            <w:r w:rsidRPr="00E61B81">
              <w:rPr>
                <w:spacing w:val="-5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coating</w:t>
            </w:r>
            <w:r w:rsidRPr="00E61B81">
              <w:rPr>
                <w:spacing w:val="-2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agents</w:t>
            </w:r>
            <w:r w:rsidRPr="00E61B81">
              <w:rPr>
                <w:spacing w:val="-5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in</w:t>
            </w:r>
            <w:r w:rsidRPr="00E61B81">
              <w:rPr>
                <w:spacing w:val="-6"/>
                <w:sz w:val="18"/>
                <w:szCs w:val="18"/>
              </w:rPr>
              <w:t xml:space="preserve"> </w:t>
            </w:r>
            <w:r w:rsidRPr="00E61B81">
              <w:rPr>
                <w:sz w:val="18"/>
                <w:szCs w:val="18"/>
              </w:rPr>
              <w:t>the proposed product (</w:t>
            </w:r>
            <w:r w:rsidR="001222EE">
              <w:rPr>
                <w:sz w:val="18"/>
                <w:szCs w:val="18"/>
              </w:rPr>
              <w:t xml:space="preserve">use the </w:t>
            </w:r>
            <w:r w:rsidRPr="00E61B81">
              <w:rPr>
                <w:sz w:val="18"/>
                <w:szCs w:val="18"/>
              </w:rPr>
              <w:t xml:space="preserve">TGA PI number or proprietary </w:t>
            </w:r>
            <w:r w:rsidRPr="00E61B81">
              <w:rPr>
                <w:spacing w:val="-2"/>
                <w:sz w:val="18"/>
                <w:szCs w:val="18"/>
              </w:rPr>
              <w:t>name):</w:t>
            </w:r>
          </w:p>
          <w:p w14:paraId="3DD9EA90" w14:textId="297DDF14" w:rsidR="00E61B81" w:rsidRPr="00E173C6" w:rsidRDefault="00E61B81" w:rsidP="00E173C6">
            <w:pPr>
              <w:ind w:left="0"/>
            </w:pPr>
            <w:r w:rsidRPr="00E61B81">
              <w:rPr>
                <w:spacing w:val="-5"/>
                <w:szCs w:val="18"/>
              </w:rPr>
              <w:t>a.</w:t>
            </w:r>
            <w:r w:rsidR="00E173C6">
              <w:rPr>
                <w:spacing w:val="-5"/>
                <w:szCs w:val="18"/>
              </w:rPr>
              <w:t xml:space="preserve"> </w:t>
            </w:r>
            <w:r w:rsidR="00E173C6"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3C6" w:rsidRPr="009A2501">
              <w:instrText xml:space="preserve"> FORMTEXT </w:instrText>
            </w:r>
            <w:r w:rsidR="00E173C6" w:rsidRPr="009A2501">
              <w:fldChar w:fldCharType="separate"/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fldChar w:fldCharType="end"/>
            </w:r>
          </w:p>
          <w:p w14:paraId="6C085C4B" w14:textId="0E568D78" w:rsidR="00E61B81" w:rsidRPr="00E173C6" w:rsidRDefault="00E61B81" w:rsidP="00E173C6">
            <w:pPr>
              <w:ind w:left="0"/>
            </w:pPr>
            <w:r w:rsidRPr="00E61B81">
              <w:rPr>
                <w:spacing w:val="-5"/>
                <w:szCs w:val="18"/>
              </w:rPr>
              <w:t>b.</w:t>
            </w:r>
            <w:r w:rsidR="00E173C6">
              <w:rPr>
                <w:spacing w:val="-5"/>
                <w:szCs w:val="18"/>
              </w:rPr>
              <w:t xml:space="preserve"> </w:t>
            </w:r>
            <w:r w:rsidR="00E173C6"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3C6" w:rsidRPr="009A2501">
              <w:instrText xml:space="preserve"> FORMTEXT </w:instrText>
            </w:r>
            <w:r w:rsidR="00E173C6" w:rsidRPr="009A2501">
              <w:fldChar w:fldCharType="separate"/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fldChar w:fldCharType="end"/>
            </w:r>
          </w:p>
          <w:p w14:paraId="17C99C1D" w14:textId="326CADDC" w:rsidR="00E61B81" w:rsidRPr="00E173C6" w:rsidRDefault="00E61B81" w:rsidP="00E173C6">
            <w:pPr>
              <w:ind w:left="0"/>
            </w:pPr>
            <w:r w:rsidRPr="00E61B81">
              <w:rPr>
                <w:spacing w:val="-5"/>
                <w:szCs w:val="18"/>
              </w:rPr>
              <w:t>c.</w:t>
            </w:r>
            <w:r w:rsidR="00E173C6">
              <w:rPr>
                <w:spacing w:val="-5"/>
                <w:szCs w:val="18"/>
              </w:rPr>
              <w:t xml:space="preserve"> </w:t>
            </w:r>
            <w:r w:rsidR="00E173C6"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3C6" w:rsidRPr="009A2501">
              <w:instrText xml:space="preserve"> FORMTEXT </w:instrText>
            </w:r>
            <w:r w:rsidR="00E173C6" w:rsidRPr="009A2501">
              <w:fldChar w:fldCharType="separate"/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fldChar w:fldCharType="end"/>
            </w:r>
          </w:p>
          <w:p w14:paraId="31AF72DB" w14:textId="77777777" w:rsidR="00DF3427" w:rsidRDefault="00E61B81" w:rsidP="00E173C6">
            <w:pPr>
              <w:ind w:left="0"/>
            </w:pPr>
            <w:r w:rsidRPr="00E61B81">
              <w:rPr>
                <w:spacing w:val="-5"/>
                <w:szCs w:val="18"/>
              </w:rPr>
              <w:t>d.</w:t>
            </w:r>
            <w:r w:rsidR="00E173C6">
              <w:rPr>
                <w:spacing w:val="-5"/>
                <w:szCs w:val="18"/>
              </w:rPr>
              <w:t xml:space="preserve"> </w:t>
            </w:r>
            <w:r w:rsidR="00E173C6"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3C6" w:rsidRPr="009A2501">
              <w:instrText xml:space="preserve"> FORMTEXT </w:instrText>
            </w:r>
            <w:r w:rsidR="00E173C6" w:rsidRPr="009A2501">
              <w:fldChar w:fldCharType="separate"/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rPr>
                <w:noProof/>
              </w:rPr>
              <w:t> </w:t>
            </w:r>
            <w:r w:rsidR="00E173C6" w:rsidRPr="009A2501">
              <w:fldChar w:fldCharType="end"/>
            </w:r>
          </w:p>
          <w:p w14:paraId="55EE0D4A" w14:textId="523B5B06" w:rsidR="001B2205" w:rsidRDefault="001B2205" w:rsidP="00E173C6">
            <w:pPr>
              <w:ind w:left="0"/>
            </w:pPr>
            <w:r w:rsidRPr="001B2205">
              <w:rPr>
                <w:szCs w:val="18"/>
              </w:rPr>
              <w:t>The ingredients listed above are each controlled by the finished product manufacturer</w:t>
            </w:r>
            <w:r w:rsidRPr="001B2205">
              <w:rPr>
                <w:spacing w:val="-5"/>
                <w:szCs w:val="18"/>
              </w:rPr>
              <w:t xml:space="preserve"> </w:t>
            </w:r>
            <w:r w:rsidRPr="001B2205">
              <w:rPr>
                <w:szCs w:val="18"/>
              </w:rPr>
              <w:t>in</w:t>
            </w:r>
            <w:r w:rsidRPr="001B2205">
              <w:rPr>
                <w:spacing w:val="-2"/>
                <w:szCs w:val="18"/>
              </w:rPr>
              <w:t xml:space="preserve"> </w:t>
            </w:r>
            <w:r w:rsidRPr="001B2205">
              <w:rPr>
                <w:szCs w:val="18"/>
              </w:rPr>
              <w:t>accordance</w:t>
            </w:r>
            <w:r w:rsidRPr="001B2205">
              <w:rPr>
                <w:spacing w:val="-2"/>
                <w:szCs w:val="18"/>
              </w:rPr>
              <w:t xml:space="preserve"> </w:t>
            </w:r>
            <w:r w:rsidRPr="001B2205">
              <w:rPr>
                <w:szCs w:val="18"/>
              </w:rPr>
              <w:t>with</w:t>
            </w:r>
            <w:r w:rsidRPr="001B2205">
              <w:rPr>
                <w:spacing w:val="-2"/>
                <w:szCs w:val="18"/>
              </w:rPr>
              <w:t xml:space="preserve"> </w:t>
            </w:r>
            <w:r w:rsidRPr="00E61B81">
              <w:rPr>
                <w:szCs w:val="18"/>
              </w:rPr>
              <w:t xml:space="preserve">the </w:t>
            </w:r>
            <w:hyperlink r:id="rId22" w:history="1">
              <w:r w:rsidRPr="00E61B81">
                <w:rPr>
                  <w:rStyle w:val="Hyperlink"/>
                  <w:szCs w:val="18"/>
                </w:rPr>
                <w:t>requirements for OTC new medicine N2 applications</w:t>
              </w:r>
            </w:hyperlink>
            <w:r w:rsidRPr="00E61B81">
              <w:rPr>
                <w:szCs w:val="18"/>
              </w:rPr>
              <w:t>).</w:t>
            </w:r>
          </w:p>
        </w:tc>
        <w:tc>
          <w:tcPr>
            <w:tcW w:w="2113" w:type="dxa"/>
            <w:vAlign w:val="bottom"/>
          </w:tcPr>
          <w:p w14:paraId="574DFCF3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2880B902" w14:textId="65EDE0E6" w:rsidR="00DF3427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0BD2">
              <w:t>Not applicable</w:t>
            </w:r>
          </w:p>
        </w:tc>
      </w:tr>
      <w:tr w:rsidR="00DF3427" w14:paraId="2F28425E" w14:textId="77777777" w:rsidTr="001B2205">
        <w:tc>
          <w:tcPr>
            <w:tcW w:w="684" w:type="dxa"/>
          </w:tcPr>
          <w:p w14:paraId="02592B66" w14:textId="41B5AB37" w:rsidR="00DF3427" w:rsidRDefault="001B2205" w:rsidP="00607A39">
            <w:r>
              <w:t>4</w:t>
            </w:r>
          </w:p>
        </w:tc>
        <w:tc>
          <w:tcPr>
            <w:tcW w:w="6979" w:type="dxa"/>
          </w:tcPr>
          <w:p w14:paraId="31E28B92" w14:textId="0785D3D6" w:rsidR="00DF3427" w:rsidRDefault="001B2205" w:rsidP="001B2205">
            <w:pPr>
              <w:ind w:left="0"/>
            </w:pPr>
            <w:r>
              <w:rPr>
                <w:szCs w:val="18"/>
              </w:rPr>
              <w:t xml:space="preserve">Any colourings used comply with </w:t>
            </w:r>
            <w:r w:rsidRPr="00E61B81">
              <w:rPr>
                <w:szCs w:val="18"/>
              </w:rPr>
              <w:t xml:space="preserve">the </w:t>
            </w:r>
            <w:hyperlink r:id="rId23" w:history="1">
              <w:r w:rsidRPr="00E61B81">
                <w:rPr>
                  <w:rStyle w:val="Hyperlink"/>
                  <w:szCs w:val="18"/>
                </w:rPr>
                <w:t>requirement</w:t>
              </w:r>
              <w:r w:rsidRPr="00E61B81">
                <w:rPr>
                  <w:rStyle w:val="Hyperlink"/>
                  <w:szCs w:val="18"/>
                </w:rPr>
                <w:t>s</w:t>
              </w:r>
              <w:r w:rsidRPr="00E61B81">
                <w:rPr>
                  <w:rStyle w:val="Hyperlink"/>
                  <w:szCs w:val="18"/>
                </w:rPr>
                <w:t xml:space="preserve"> for OTC new medicine N2 applications</w:t>
              </w:r>
            </w:hyperlink>
            <w:r w:rsidR="007F1AAE">
              <w:rPr>
                <w:szCs w:val="18"/>
              </w:rPr>
              <w:t>, a</w:t>
            </w:r>
            <w:r w:rsidR="00E70BD2">
              <w:rPr>
                <w:szCs w:val="18"/>
              </w:rPr>
              <w:t>s</w:t>
            </w:r>
            <w:r w:rsidR="007F1AAE">
              <w:rPr>
                <w:szCs w:val="18"/>
              </w:rPr>
              <w:t xml:space="preserve"> </w:t>
            </w:r>
            <w:r w:rsidR="007F1AAE" w:rsidRPr="00D32E6F">
              <w:rPr>
                <w:szCs w:val="18"/>
              </w:rPr>
              <w:t>described</w:t>
            </w:r>
            <w:r w:rsidR="007F1AAE" w:rsidRPr="00D32E6F">
              <w:rPr>
                <w:spacing w:val="-6"/>
                <w:szCs w:val="18"/>
              </w:rPr>
              <w:t xml:space="preserve"> </w:t>
            </w:r>
            <w:r w:rsidR="007F1AAE" w:rsidRPr="00D32E6F">
              <w:rPr>
                <w:szCs w:val="18"/>
              </w:rPr>
              <w:t>in</w:t>
            </w:r>
            <w:r w:rsidR="007F1AAE">
              <w:rPr>
                <w:szCs w:val="18"/>
              </w:rPr>
              <w:t xml:space="preserve"> </w:t>
            </w:r>
            <w:hyperlink r:id="rId24" w:anchor="table-2" w:history="1">
              <w:r w:rsidR="007F1AAE">
                <w:rPr>
                  <w:rStyle w:val="Hyperlink"/>
                  <w:szCs w:val="18"/>
                </w:rPr>
                <w:t>Colourings used in medicines for topical and oral use</w:t>
              </w:r>
            </w:hyperlink>
            <w:r w:rsidR="007F1AAE">
              <w:rPr>
                <w:szCs w:val="18"/>
              </w:rPr>
              <w:t>.</w:t>
            </w:r>
          </w:p>
        </w:tc>
        <w:tc>
          <w:tcPr>
            <w:tcW w:w="2113" w:type="dxa"/>
          </w:tcPr>
          <w:p w14:paraId="53F86178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3F760EF2" w14:textId="7AC02A1B" w:rsidR="00DF3427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0BD2">
              <w:t>Not applicable</w:t>
            </w:r>
          </w:p>
        </w:tc>
      </w:tr>
      <w:tr w:rsidR="00DF3427" w14:paraId="4F26AE1A" w14:textId="77777777" w:rsidTr="001B2205">
        <w:tc>
          <w:tcPr>
            <w:tcW w:w="684" w:type="dxa"/>
          </w:tcPr>
          <w:p w14:paraId="3686CB91" w14:textId="61554E9D" w:rsidR="00DF3427" w:rsidRDefault="001B2205" w:rsidP="00607A39">
            <w:r>
              <w:t>5</w:t>
            </w:r>
          </w:p>
        </w:tc>
        <w:tc>
          <w:tcPr>
            <w:tcW w:w="6979" w:type="dxa"/>
          </w:tcPr>
          <w:p w14:paraId="61991DE8" w14:textId="44BE851D" w:rsidR="00DF3427" w:rsidRDefault="001B2205" w:rsidP="00607A39">
            <w:pPr>
              <w:ind w:left="0"/>
            </w:pPr>
            <w:r w:rsidRPr="001B2205">
              <w:rPr>
                <w:szCs w:val="18"/>
              </w:rPr>
              <w:t xml:space="preserve">Any ruminant ingredients included in this product that are eligible for self- assessment have been assessed in accordance with the TGA document </w:t>
            </w:r>
            <w:hyperlink r:id="rId25" w:history="1">
              <w:r w:rsidRPr="001B2205">
                <w:rPr>
                  <w:color w:val="0000FF"/>
                  <w:szCs w:val="18"/>
                  <w:u w:val="single"/>
                </w:rPr>
                <w:t>Transmissible Spongiform Encephalopathies (TSE): TGA approach to</w:t>
              </w:r>
            </w:hyperlink>
            <w:r w:rsidRPr="001B2205">
              <w:rPr>
                <w:color w:val="0000FF"/>
                <w:szCs w:val="18"/>
              </w:rPr>
              <w:t xml:space="preserve"> </w:t>
            </w:r>
            <w:hyperlink r:id="rId26" w:history="1">
              <w:r w:rsidRPr="001B2205">
                <w:rPr>
                  <w:color w:val="0000FF"/>
                  <w:szCs w:val="18"/>
                  <w:u w:val="single"/>
                </w:rPr>
                <w:t>minimising</w:t>
              </w:r>
              <w:r w:rsidRPr="001B2205">
                <w:rPr>
                  <w:color w:val="0000FF"/>
                  <w:spacing w:val="-4"/>
                  <w:szCs w:val="18"/>
                  <w:u w:val="single"/>
                </w:rPr>
                <w:t xml:space="preserve"> </w:t>
              </w:r>
              <w:r w:rsidRPr="001B2205">
                <w:rPr>
                  <w:color w:val="0000FF"/>
                  <w:szCs w:val="18"/>
                  <w:u w:val="single"/>
                </w:rPr>
                <w:t>the</w:t>
              </w:r>
              <w:r w:rsidRPr="001B2205">
                <w:rPr>
                  <w:color w:val="0000FF"/>
                  <w:spacing w:val="-4"/>
                  <w:szCs w:val="18"/>
                  <w:u w:val="single"/>
                </w:rPr>
                <w:t xml:space="preserve"> </w:t>
              </w:r>
              <w:r w:rsidRPr="001B2205">
                <w:rPr>
                  <w:color w:val="0000FF"/>
                  <w:szCs w:val="18"/>
                  <w:u w:val="single"/>
                </w:rPr>
                <w:t>risk</w:t>
              </w:r>
              <w:r w:rsidRPr="001B2205">
                <w:rPr>
                  <w:color w:val="0000FF"/>
                  <w:spacing w:val="-2"/>
                  <w:szCs w:val="18"/>
                  <w:u w:val="single"/>
                </w:rPr>
                <w:t xml:space="preserve"> </w:t>
              </w:r>
              <w:r w:rsidRPr="001B2205">
                <w:rPr>
                  <w:color w:val="0000FF"/>
                  <w:szCs w:val="18"/>
                  <w:u w:val="single"/>
                </w:rPr>
                <w:t>of exposure</w:t>
              </w:r>
            </w:hyperlink>
            <w:r w:rsidRPr="001B2205">
              <w:rPr>
                <w:color w:val="0000FF"/>
                <w:spacing w:val="-4"/>
                <w:szCs w:val="18"/>
              </w:rPr>
              <w:t xml:space="preserve"> </w:t>
            </w:r>
            <w:r w:rsidRPr="001B2205">
              <w:rPr>
                <w:szCs w:val="18"/>
              </w:rPr>
              <w:t>and</w:t>
            </w:r>
            <w:r w:rsidRPr="001B2205">
              <w:rPr>
                <w:spacing w:val="-4"/>
                <w:szCs w:val="18"/>
              </w:rPr>
              <w:t xml:space="preserve"> </w:t>
            </w:r>
            <w:r w:rsidRPr="001B2205">
              <w:rPr>
                <w:szCs w:val="18"/>
              </w:rPr>
              <w:t>data</w:t>
            </w:r>
            <w:r w:rsidRPr="001B2205">
              <w:rPr>
                <w:spacing w:val="-8"/>
                <w:szCs w:val="18"/>
              </w:rPr>
              <w:t xml:space="preserve"> </w:t>
            </w:r>
            <w:r w:rsidRPr="001B2205">
              <w:rPr>
                <w:szCs w:val="18"/>
              </w:rPr>
              <w:t>is</w:t>
            </w:r>
            <w:r w:rsidRPr="001B2205">
              <w:rPr>
                <w:spacing w:val="-6"/>
                <w:szCs w:val="18"/>
              </w:rPr>
              <w:t xml:space="preserve"> </w:t>
            </w:r>
            <w:r w:rsidRPr="001B2205">
              <w:rPr>
                <w:szCs w:val="18"/>
              </w:rPr>
              <w:t>held</w:t>
            </w:r>
            <w:r w:rsidRPr="001B2205">
              <w:rPr>
                <w:spacing w:val="-4"/>
                <w:szCs w:val="18"/>
              </w:rPr>
              <w:t xml:space="preserve"> </w:t>
            </w:r>
            <w:r w:rsidRPr="001B2205">
              <w:rPr>
                <w:szCs w:val="18"/>
              </w:rPr>
              <w:t>demonstrating</w:t>
            </w:r>
            <w:r w:rsidRPr="001B2205">
              <w:rPr>
                <w:spacing w:val="-4"/>
                <w:szCs w:val="18"/>
              </w:rPr>
              <w:t xml:space="preserve"> </w:t>
            </w:r>
            <w:r w:rsidRPr="001B2205">
              <w:rPr>
                <w:szCs w:val="18"/>
              </w:rPr>
              <w:t>compliance with those requirements.</w:t>
            </w:r>
          </w:p>
        </w:tc>
        <w:tc>
          <w:tcPr>
            <w:tcW w:w="2113" w:type="dxa"/>
          </w:tcPr>
          <w:p w14:paraId="1704B0B5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5FAB714E" w14:textId="29FBC09C" w:rsidR="00DF3427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0BD2">
              <w:t>Not applicable</w:t>
            </w:r>
          </w:p>
        </w:tc>
      </w:tr>
    </w:tbl>
    <w:p w14:paraId="3B896588" w14:textId="1D145080" w:rsidR="00181289" w:rsidRDefault="00181289" w:rsidP="00181289">
      <w:pPr>
        <w:pStyle w:val="Heading3"/>
      </w:pPr>
      <w:r w:rsidRPr="00E70BD2">
        <w:t>Control of finished product</w:t>
      </w:r>
    </w:p>
    <w:tbl>
      <w:tblPr>
        <w:tblStyle w:val="TableTGAblue"/>
        <w:tblW w:w="9776" w:type="dxa"/>
        <w:tblLook w:val="04A0" w:firstRow="1" w:lastRow="0" w:firstColumn="1" w:lastColumn="0" w:noHBand="0" w:noVBand="1"/>
      </w:tblPr>
      <w:tblGrid>
        <w:gridCol w:w="1161"/>
        <w:gridCol w:w="6490"/>
        <w:gridCol w:w="2125"/>
      </w:tblGrid>
      <w:tr w:rsidR="00181289" w14:paraId="4CEF3C97" w14:textId="77777777" w:rsidTr="00607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1" w:type="dxa"/>
          </w:tcPr>
          <w:p w14:paraId="2108D8EA" w14:textId="77777777" w:rsidR="00181289" w:rsidRDefault="00181289" w:rsidP="00607A39">
            <w:r>
              <w:t>Number</w:t>
            </w:r>
          </w:p>
        </w:tc>
        <w:tc>
          <w:tcPr>
            <w:tcW w:w="6490" w:type="dxa"/>
          </w:tcPr>
          <w:p w14:paraId="6B765FEC" w14:textId="77777777" w:rsidR="00181289" w:rsidRDefault="00181289" w:rsidP="00607A39">
            <w:r>
              <w:t>Assurance</w:t>
            </w:r>
          </w:p>
        </w:tc>
        <w:tc>
          <w:tcPr>
            <w:tcW w:w="2125" w:type="dxa"/>
          </w:tcPr>
          <w:p w14:paraId="374AD58C" w14:textId="57F38E4B" w:rsidR="00181289" w:rsidRDefault="00181289" w:rsidP="00607A39"/>
        </w:tc>
      </w:tr>
      <w:tr w:rsidR="00181289" w14:paraId="39AA2B1D" w14:textId="77777777" w:rsidTr="00607A39">
        <w:tc>
          <w:tcPr>
            <w:tcW w:w="1161" w:type="dxa"/>
          </w:tcPr>
          <w:p w14:paraId="10F459CE" w14:textId="77777777" w:rsidR="00181289" w:rsidRDefault="00181289" w:rsidP="00607A39">
            <w:r>
              <w:t>1</w:t>
            </w:r>
          </w:p>
        </w:tc>
        <w:tc>
          <w:tcPr>
            <w:tcW w:w="6490" w:type="dxa"/>
          </w:tcPr>
          <w:p w14:paraId="0925EB5D" w14:textId="125451BF" w:rsidR="00181289" w:rsidRPr="006C6FCA" w:rsidRDefault="006C6FCA" w:rsidP="00607A39">
            <w:pPr>
              <w:ind w:left="0"/>
              <w:rPr>
                <w:szCs w:val="18"/>
              </w:rPr>
            </w:pPr>
            <w:r w:rsidRPr="006C6FCA">
              <w:rPr>
                <w:szCs w:val="18"/>
              </w:rPr>
              <w:t>The</w:t>
            </w:r>
            <w:r w:rsidRPr="006C6FCA">
              <w:rPr>
                <w:spacing w:val="-7"/>
                <w:szCs w:val="18"/>
              </w:rPr>
              <w:t xml:space="preserve"> </w:t>
            </w:r>
            <w:r w:rsidRPr="006C6FCA">
              <w:rPr>
                <w:szCs w:val="18"/>
              </w:rPr>
              <w:t>finished</w:t>
            </w:r>
            <w:r w:rsidRPr="006C6FCA">
              <w:rPr>
                <w:spacing w:val="-2"/>
                <w:szCs w:val="18"/>
              </w:rPr>
              <w:t xml:space="preserve"> </w:t>
            </w:r>
            <w:r w:rsidRPr="006C6FCA">
              <w:rPr>
                <w:szCs w:val="18"/>
              </w:rPr>
              <w:t>product specifications</w:t>
            </w:r>
            <w:r w:rsidRPr="006C6FCA">
              <w:rPr>
                <w:spacing w:val="-5"/>
                <w:szCs w:val="18"/>
              </w:rPr>
              <w:t xml:space="preserve"> </w:t>
            </w:r>
            <w:r w:rsidRPr="006C6FCA">
              <w:rPr>
                <w:szCs w:val="18"/>
              </w:rPr>
              <w:t>include</w:t>
            </w:r>
            <w:r w:rsidRPr="006C6FCA">
              <w:rPr>
                <w:spacing w:val="-2"/>
                <w:szCs w:val="18"/>
              </w:rPr>
              <w:t xml:space="preserve"> </w:t>
            </w:r>
            <w:r w:rsidRPr="006C6FCA">
              <w:rPr>
                <w:szCs w:val="18"/>
              </w:rPr>
              <w:t>all</w:t>
            </w:r>
            <w:r w:rsidRPr="006C6FCA">
              <w:rPr>
                <w:spacing w:val="-2"/>
                <w:szCs w:val="18"/>
              </w:rPr>
              <w:t xml:space="preserve"> </w:t>
            </w:r>
            <w:r w:rsidRPr="006C6FCA">
              <w:rPr>
                <w:szCs w:val="18"/>
              </w:rPr>
              <w:t>required</w:t>
            </w:r>
            <w:r w:rsidRPr="006C6FCA">
              <w:rPr>
                <w:spacing w:val="-7"/>
                <w:szCs w:val="18"/>
              </w:rPr>
              <w:t xml:space="preserve"> </w:t>
            </w:r>
            <w:r w:rsidRPr="006C6FCA">
              <w:rPr>
                <w:szCs w:val="18"/>
              </w:rPr>
              <w:t>tests</w:t>
            </w:r>
            <w:r w:rsidRPr="006C6FCA">
              <w:rPr>
                <w:spacing w:val="-5"/>
                <w:szCs w:val="18"/>
              </w:rPr>
              <w:t xml:space="preserve"> </w:t>
            </w:r>
            <w:r w:rsidRPr="006C6FCA">
              <w:rPr>
                <w:szCs w:val="18"/>
              </w:rPr>
              <w:t>and</w:t>
            </w:r>
            <w:r w:rsidRPr="006C6FCA">
              <w:rPr>
                <w:spacing w:val="-2"/>
                <w:szCs w:val="18"/>
              </w:rPr>
              <w:t xml:space="preserve"> </w:t>
            </w:r>
            <w:r w:rsidRPr="006C6FCA">
              <w:rPr>
                <w:szCs w:val="18"/>
              </w:rPr>
              <w:t>limits</w:t>
            </w:r>
            <w:r w:rsidRPr="006C6FCA">
              <w:rPr>
                <w:spacing w:val="-5"/>
                <w:szCs w:val="18"/>
              </w:rPr>
              <w:t xml:space="preserve"> </w:t>
            </w:r>
            <w:r w:rsidRPr="006C6FCA">
              <w:rPr>
                <w:szCs w:val="18"/>
              </w:rPr>
              <w:t xml:space="preserve">as described in the relevant </w:t>
            </w:r>
            <w:hyperlink r:id="rId27" w:history="1">
              <w:r w:rsidRPr="00E61B81">
                <w:rPr>
                  <w:rStyle w:val="Hyperlink"/>
                  <w:szCs w:val="18"/>
                </w:rPr>
                <w:t>OTC</w:t>
              </w:r>
              <w:r w:rsidRPr="00E61B81">
                <w:rPr>
                  <w:rStyle w:val="Hyperlink"/>
                  <w:spacing w:val="-2"/>
                  <w:szCs w:val="18"/>
                </w:rPr>
                <w:t xml:space="preserve"> m</w:t>
              </w:r>
              <w:r w:rsidRPr="00E61B81">
                <w:rPr>
                  <w:rStyle w:val="Hyperlink"/>
                  <w:szCs w:val="18"/>
                </w:rPr>
                <w:t>edicine mon</w:t>
              </w:r>
              <w:r w:rsidRPr="00E61B81">
                <w:rPr>
                  <w:rStyle w:val="Hyperlink"/>
                  <w:szCs w:val="18"/>
                </w:rPr>
                <w:t>o</w:t>
              </w:r>
              <w:r w:rsidRPr="00E61B81">
                <w:rPr>
                  <w:rStyle w:val="Hyperlink"/>
                  <w:szCs w:val="18"/>
                </w:rPr>
                <w:t>graph for N2 applications</w:t>
              </w:r>
            </w:hyperlink>
            <w:r w:rsidRPr="006C6FCA">
              <w:rPr>
                <w:szCs w:val="18"/>
              </w:rPr>
              <w:t>.</w:t>
            </w:r>
          </w:p>
        </w:tc>
        <w:tc>
          <w:tcPr>
            <w:tcW w:w="2125" w:type="dxa"/>
          </w:tcPr>
          <w:p w14:paraId="67E790C8" w14:textId="1944F0B5" w:rsidR="00181289" w:rsidRPr="009A2501" w:rsidRDefault="001E2AF9" w:rsidP="00607A3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</w:p>
        </w:tc>
      </w:tr>
      <w:tr w:rsidR="00181289" w14:paraId="687816B0" w14:textId="77777777" w:rsidTr="0087298A">
        <w:tc>
          <w:tcPr>
            <w:tcW w:w="1161" w:type="dxa"/>
          </w:tcPr>
          <w:p w14:paraId="5044C4EF" w14:textId="77777777" w:rsidR="00181289" w:rsidRDefault="00181289" w:rsidP="00607A39">
            <w:r>
              <w:t>2</w:t>
            </w:r>
          </w:p>
        </w:tc>
        <w:tc>
          <w:tcPr>
            <w:tcW w:w="6490" w:type="dxa"/>
          </w:tcPr>
          <w:p w14:paraId="4D37CF86" w14:textId="77777777" w:rsidR="006C6FCA" w:rsidRPr="00F25FF1" w:rsidRDefault="006C6FCA" w:rsidP="00F25FF1">
            <w:pPr>
              <w:pStyle w:val="TableParagraph"/>
              <w:kinsoku w:val="0"/>
              <w:overflowPunct w:val="0"/>
              <w:spacing w:before="129" w:line="249" w:lineRule="auto"/>
              <w:ind w:left="0"/>
              <w:rPr>
                <w:sz w:val="18"/>
                <w:szCs w:val="18"/>
              </w:rPr>
            </w:pPr>
            <w:r w:rsidRPr="00F25FF1">
              <w:rPr>
                <w:sz w:val="18"/>
                <w:szCs w:val="18"/>
              </w:rPr>
              <w:t>Any other necessary tests</w:t>
            </w:r>
            <w:r w:rsidRPr="00F25FF1">
              <w:rPr>
                <w:spacing w:val="-5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and</w:t>
            </w:r>
            <w:r w:rsidRPr="00F25FF1">
              <w:rPr>
                <w:spacing w:val="-2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limits</w:t>
            </w:r>
            <w:r w:rsidRPr="00F25FF1">
              <w:rPr>
                <w:spacing w:val="-5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are</w:t>
            </w:r>
            <w:r w:rsidRPr="00F25FF1">
              <w:rPr>
                <w:spacing w:val="-7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included</w:t>
            </w:r>
            <w:r w:rsidRPr="00F25FF1">
              <w:rPr>
                <w:spacing w:val="-7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in</w:t>
            </w:r>
            <w:r w:rsidRPr="00F25FF1">
              <w:rPr>
                <w:spacing w:val="-2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the</w:t>
            </w:r>
            <w:r w:rsidRPr="00F25FF1">
              <w:rPr>
                <w:spacing w:val="-12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finished</w:t>
            </w:r>
            <w:r w:rsidRPr="00F25FF1">
              <w:rPr>
                <w:spacing w:val="-2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product specifications in accordance with:</w:t>
            </w:r>
          </w:p>
          <w:p w14:paraId="15FCAD2C" w14:textId="25C8F8A4" w:rsidR="006C6FCA" w:rsidRPr="00F25FF1" w:rsidRDefault="006C6FCA" w:rsidP="006C6FCA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kinsoku w:val="0"/>
              <w:overflowPunct w:val="0"/>
              <w:spacing w:before="108" w:line="252" w:lineRule="auto"/>
              <w:ind w:right="588"/>
              <w:rPr>
                <w:sz w:val="18"/>
                <w:szCs w:val="18"/>
              </w:rPr>
            </w:pPr>
            <w:r w:rsidRPr="00F25FF1">
              <w:rPr>
                <w:sz w:val="18"/>
                <w:szCs w:val="18"/>
              </w:rPr>
              <w:t xml:space="preserve">ICH Q6A guideline </w:t>
            </w:r>
            <w:hyperlink r:id="rId28" w:history="1">
              <w:r w:rsidRPr="00F25FF1">
                <w:rPr>
                  <w:rStyle w:val="Hyperlink"/>
                  <w:sz w:val="18"/>
                  <w:szCs w:val="18"/>
                </w:rPr>
                <w:t>Specific</w:t>
              </w:r>
              <w:r w:rsidRPr="00F25FF1">
                <w:rPr>
                  <w:rStyle w:val="Hyperlink"/>
                  <w:sz w:val="18"/>
                  <w:szCs w:val="18"/>
                </w:rPr>
                <w:t>a</w:t>
              </w:r>
              <w:r w:rsidRPr="00F25FF1">
                <w:rPr>
                  <w:rStyle w:val="Hyperlink"/>
                  <w:sz w:val="18"/>
                  <w:szCs w:val="18"/>
                </w:rPr>
                <w:t xml:space="preserve">tions: Test procedures and acceptance criteria for new drug substances and new drug products: </w:t>
              </w:r>
              <w:r w:rsidR="00F25FF1" w:rsidRPr="00F25FF1">
                <w:rPr>
                  <w:rStyle w:val="Hyperlink"/>
                  <w:sz w:val="18"/>
                  <w:szCs w:val="18"/>
                </w:rPr>
                <w:t>c</w:t>
              </w:r>
              <w:r w:rsidRPr="00F25FF1">
                <w:rPr>
                  <w:rStyle w:val="Hyperlink"/>
                  <w:sz w:val="18"/>
                  <w:szCs w:val="18"/>
                </w:rPr>
                <w:t>hemical substances</w:t>
              </w:r>
            </w:hyperlink>
            <w:r w:rsidRPr="00F25FF1">
              <w:rPr>
                <w:spacing w:val="-8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(CPMP/ICH/367/96;</w:t>
            </w:r>
            <w:r w:rsidRPr="00F25FF1">
              <w:rPr>
                <w:spacing w:val="-2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e.g.</w:t>
            </w:r>
            <w:r w:rsidRPr="00F25FF1">
              <w:rPr>
                <w:spacing w:val="-11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limits</w:t>
            </w:r>
            <w:r w:rsidRPr="00F25FF1">
              <w:rPr>
                <w:spacing w:val="-8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on</w:t>
            </w:r>
            <w:r w:rsidRPr="00F25FF1">
              <w:rPr>
                <w:spacing w:val="-5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alcohol or</w:t>
            </w:r>
            <w:r w:rsidRPr="00F25FF1">
              <w:rPr>
                <w:spacing w:val="-3"/>
                <w:sz w:val="18"/>
                <w:szCs w:val="18"/>
              </w:rPr>
              <w:t xml:space="preserve"> </w:t>
            </w:r>
            <w:r w:rsidRPr="00F25FF1">
              <w:rPr>
                <w:sz w:val="18"/>
                <w:szCs w:val="18"/>
              </w:rPr>
              <w:t>preservative content are included, as applicable).</w:t>
            </w:r>
          </w:p>
          <w:p w14:paraId="7943F703" w14:textId="18DA605F" w:rsidR="00181289" w:rsidRPr="00F25FF1" w:rsidRDefault="006C6FCA" w:rsidP="006C6FCA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kinsoku w:val="0"/>
              <w:overflowPunct w:val="0"/>
              <w:spacing w:before="108" w:line="252" w:lineRule="auto"/>
              <w:ind w:right="588"/>
              <w:rPr>
                <w:sz w:val="18"/>
                <w:szCs w:val="18"/>
              </w:rPr>
            </w:pPr>
            <w:r w:rsidRPr="00F25FF1">
              <w:rPr>
                <w:rFonts w:eastAsia="Cambria"/>
                <w:sz w:val="18"/>
                <w:szCs w:val="18"/>
              </w:rPr>
              <w:t>ICH</w:t>
            </w:r>
            <w:r w:rsidRPr="00F25FF1">
              <w:rPr>
                <w:rFonts w:eastAsia="Cambria"/>
                <w:spacing w:val="-3"/>
                <w:sz w:val="18"/>
                <w:szCs w:val="18"/>
              </w:rPr>
              <w:t xml:space="preserve"> </w:t>
            </w:r>
            <w:r w:rsidRPr="00F25FF1">
              <w:rPr>
                <w:rFonts w:eastAsia="Cambria"/>
                <w:sz w:val="18"/>
                <w:szCs w:val="18"/>
              </w:rPr>
              <w:t>Q3C</w:t>
            </w:r>
            <w:r w:rsidR="009345D8">
              <w:rPr>
                <w:rFonts w:eastAsia="Cambria"/>
                <w:sz w:val="18"/>
                <w:szCs w:val="18"/>
              </w:rPr>
              <w:t xml:space="preserve"> (R8)</w:t>
            </w:r>
            <w:r w:rsidRPr="00F25FF1">
              <w:rPr>
                <w:rFonts w:eastAsia="Cambria"/>
                <w:spacing w:val="-3"/>
                <w:sz w:val="18"/>
                <w:szCs w:val="18"/>
              </w:rPr>
              <w:t xml:space="preserve"> </w:t>
            </w:r>
            <w:r w:rsidR="009345D8">
              <w:rPr>
                <w:rFonts w:eastAsia="Cambria"/>
                <w:spacing w:val="-3"/>
                <w:sz w:val="18"/>
                <w:szCs w:val="18"/>
              </w:rPr>
              <w:t xml:space="preserve">on impurities: </w:t>
            </w:r>
            <w:hyperlink r:id="rId29" w:history="1">
              <w:r w:rsidRPr="009345D8">
                <w:rPr>
                  <w:rStyle w:val="Hyperlink"/>
                  <w:rFonts w:eastAsia="Cambria"/>
                  <w:sz w:val="18"/>
                  <w:szCs w:val="18"/>
                </w:rPr>
                <w:t>guideline</w:t>
              </w:r>
              <w:r w:rsidRPr="009345D8">
                <w:rPr>
                  <w:rStyle w:val="Hyperlink"/>
                  <w:rFonts w:eastAsia="Cambria"/>
                  <w:spacing w:val="-3"/>
                  <w:sz w:val="18"/>
                  <w:szCs w:val="18"/>
                </w:rPr>
                <w:t xml:space="preserve"> </w:t>
              </w:r>
              <w:r w:rsidR="009345D8" w:rsidRPr="009345D8">
                <w:rPr>
                  <w:rStyle w:val="Hyperlink"/>
                  <w:rFonts w:eastAsia="Cambria"/>
                  <w:sz w:val="18"/>
                  <w:szCs w:val="18"/>
                </w:rPr>
                <w:t>for r</w:t>
              </w:r>
              <w:r w:rsidRPr="009345D8">
                <w:rPr>
                  <w:rStyle w:val="Hyperlink"/>
                  <w:rFonts w:eastAsia="Cambria"/>
                  <w:sz w:val="18"/>
                  <w:szCs w:val="18"/>
                </w:rPr>
                <w:t>esidual solvents</w:t>
              </w:r>
            </w:hyperlink>
            <w:r w:rsidR="009345D8">
              <w:rPr>
                <w:rFonts w:eastAsia="Cambria"/>
                <w:sz w:val="18"/>
                <w:szCs w:val="18"/>
              </w:rPr>
              <w:t xml:space="preserve"> (ICH Q3C (R8); EMA/CHMP/ICH/82260/2006 Corr.*)</w:t>
            </w:r>
            <w:r w:rsidRPr="00F25FF1">
              <w:rPr>
                <w:rFonts w:eastAsia="Cambria"/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7086940" w14:textId="09594E11" w:rsidR="0087298A" w:rsidRDefault="001E2AF9" w:rsidP="0087298A">
            <w:pPr>
              <w:spacing w:before="400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7298A" w:rsidRPr="009A2501">
              <w:t xml:space="preserve"> Yes</w:t>
            </w:r>
            <w:r w:rsidR="0087298A">
              <w:t xml:space="preserve"> </w:t>
            </w:r>
          </w:p>
          <w:p w14:paraId="0DFE51FF" w14:textId="4E188420" w:rsidR="006C6FCA" w:rsidRDefault="001E2AF9" w:rsidP="0087298A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87298A" w:rsidRPr="00E70BD2">
              <w:t>Not applicable</w:t>
            </w:r>
          </w:p>
          <w:p w14:paraId="027F3228" w14:textId="77777777" w:rsidR="0087298A" w:rsidRDefault="0087298A" w:rsidP="0087298A">
            <w:pPr>
              <w:ind w:left="0"/>
            </w:pPr>
          </w:p>
          <w:p w14:paraId="1FB0C0C5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19BC50E5" w14:textId="5ADFF7D8" w:rsidR="0087298A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5D7314" w14:paraId="5DB7B9C9" w14:textId="77777777" w:rsidTr="00607A39">
        <w:tc>
          <w:tcPr>
            <w:tcW w:w="1161" w:type="dxa"/>
          </w:tcPr>
          <w:p w14:paraId="620B524D" w14:textId="77777777" w:rsidR="005D7314" w:rsidRDefault="005D7314" w:rsidP="005D7314">
            <w:r>
              <w:t>3</w:t>
            </w:r>
          </w:p>
        </w:tc>
        <w:tc>
          <w:tcPr>
            <w:tcW w:w="6490" w:type="dxa"/>
          </w:tcPr>
          <w:p w14:paraId="6761312E" w14:textId="2284DCE2" w:rsidR="005D7314" w:rsidRPr="009E220E" w:rsidRDefault="005D7314" w:rsidP="005D7314">
            <w:pPr>
              <w:rPr>
                <w:szCs w:val="18"/>
              </w:rPr>
            </w:pPr>
            <w:r w:rsidRPr="00E70BD2">
              <w:rPr>
                <w:szCs w:val="18"/>
              </w:rPr>
              <w:t>Tests</w:t>
            </w:r>
            <w:r w:rsidRPr="00E70BD2">
              <w:rPr>
                <w:spacing w:val="-5"/>
                <w:szCs w:val="18"/>
              </w:rPr>
              <w:t xml:space="preserve"> </w:t>
            </w:r>
            <w:r w:rsidRPr="00E70BD2">
              <w:rPr>
                <w:szCs w:val="18"/>
              </w:rPr>
              <w:t>specified</w:t>
            </w:r>
            <w:r w:rsidRPr="00E70BD2">
              <w:rPr>
                <w:spacing w:val="-6"/>
                <w:szCs w:val="18"/>
              </w:rPr>
              <w:t xml:space="preserve"> </w:t>
            </w:r>
            <w:r w:rsidRPr="00E70BD2">
              <w:rPr>
                <w:szCs w:val="18"/>
              </w:rPr>
              <w:t>in</w:t>
            </w:r>
            <w:r w:rsidRPr="00E70BD2">
              <w:rPr>
                <w:spacing w:val="-6"/>
                <w:szCs w:val="18"/>
              </w:rPr>
              <w:t xml:space="preserve"> </w:t>
            </w:r>
            <w:r w:rsidRPr="00E70BD2">
              <w:rPr>
                <w:szCs w:val="18"/>
              </w:rPr>
              <w:t>the</w:t>
            </w:r>
            <w:r w:rsidRPr="00E70BD2">
              <w:rPr>
                <w:spacing w:val="-6"/>
                <w:szCs w:val="18"/>
              </w:rPr>
              <w:t xml:space="preserve"> </w:t>
            </w:r>
            <w:r w:rsidRPr="00E70BD2">
              <w:rPr>
                <w:szCs w:val="18"/>
              </w:rPr>
              <w:t>finished</w:t>
            </w:r>
            <w:r w:rsidRPr="00E70BD2">
              <w:rPr>
                <w:spacing w:val="-2"/>
                <w:szCs w:val="18"/>
              </w:rPr>
              <w:t xml:space="preserve"> </w:t>
            </w:r>
            <w:r w:rsidRPr="00E70BD2">
              <w:rPr>
                <w:szCs w:val="18"/>
              </w:rPr>
              <w:t>product specifications</w:t>
            </w:r>
            <w:r w:rsidRPr="00E70BD2">
              <w:rPr>
                <w:spacing w:val="-5"/>
                <w:szCs w:val="18"/>
              </w:rPr>
              <w:t xml:space="preserve"> </w:t>
            </w:r>
            <w:r w:rsidRPr="00E70BD2">
              <w:rPr>
                <w:szCs w:val="18"/>
              </w:rPr>
              <w:t>and</w:t>
            </w:r>
            <w:r w:rsidRPr="00E70BD2">
              <w:rPr>
                <w:spacing w:val="-2"/>
                <w:szCs w:val="18"/>
              </w:rPr>
              <w:t xml:space="preserve"> </w:t>
            </w:r>
            <w:r w:rsidRPr="00E70BD2">
              <w:rPr>
                <w:szCs w:val="18"/>
              </w:rPr>
              <w:t>used</w:t>
            </w:r>
            <w:r w:rsidRPr="00E70BD2">
              <w:rPr>
                <w:spacing w:val="-2"/>
                <w:szCs w:val="18"/>
              </w:rPr>
              <w:t xml:space="preserve"> </w:t>
            </w:r>
            <w:r w:rsidRPr="00E70BD2">
              <w:rPr>
                <w:szCs w:val="18"/>
              </w:rPr>
              <w:t>in</w:t>
            </w:r>
            <w:r w:rsidRPr="00E70BD2">
              <w:rPr>
                <w:spacing w:val="-2"/>
                <w:szCs w:val="18"/>
              </w:rPr>
              <w:t xml:space="preserve"> </w:t>
            </w:r>
            <w:r w:rsidRPr="00E70BD2">
              <w:rPr>
                <w:szCs w:val="18"/>
              </w:rPr>
              <w:t>the</w:t>
            </w:r>
            <w:r w:rsidRPr="00E70BD2">
              <w:rPr>
                <w:spacing w:val="-2"/>
                <w:szCs w:val="18"/>
              </w:rPr>
              <w:t xml:space="preserve"> </w:t>
            </w:r>
            <w:r w:rsidRPr="00E70BD2">
              <w:rPr>
                <w:szCs w:val="18"/>
              </w:rPr>
              <w:t>stability studies</w:t>
            </w:r>
            <w:r w:rsidRPr="009E220E">
              <w:rPr>
                <w:szCs w:val="18"/>
              </w:rPr>
              <w:t xml:space="preserve">, for identification, assay, impurities and dissolution, </w:t>
            </w:r>
            <w:r w:rsidRPr="00E70BD2">
              <w:rPr>
                <w:szCs w:val="18"/>
              </w:rPr>
              <w:t>use either the relevant pharmacopoeial</w:t>
            </w:r>
            <w:r w:rsidRPr="00E70BD2">
              <w:rPr>
                <w:spacing w:val="-2"/>
                <w:szCs w:val="18"/>
              </w:rPr>
              <w:t xml:space="preserve"> </w:t>
            </w:r>
            <w:r w:rsidRPr="00E70BD2">
              <w:rPr>
                <w:szCs w:val="18"/>
              </w:rPr>
              <w:t>method</w:t>
            </w:r>
            <w:r w:rsidRPr="00E70BD2">
              <w:rPr>
                <w:spacing w:val="-7"/>
                <w:szCs w:val="18"/>
              </w:rPr>
              <w:t xml:space="preserve"> </w:t>
            </w:r>
            <w:r w:rsidRPr="00E70BD2">
              <w:rPr>
                <w:szCs w:val="18"/>
              </w:rPr>
              <w:t>validated</w:t>
            </w:r>
            <w:r w:rsidRPr="00E70BD2">
              <w:rPr>
                <w:spacing w:val="-7"/>
                <w:szCs w:val="18"/>
              </w:rPr>
              <w:t xml:space="preserve"> </w:t>
            </w:r>
            <w:r w:rsidRPr="00E70BD2">
              <w:rPr>
                <w:szCs w:val="18"/>
              </w:rPr>
              <w:t>for specificity and</w:t>
            </w:r>
            <w:r w:rsidRPr="00E70BD2">
              <w:rPr>
                <w:spacing w:val="-2"/>
                <w:szCs w:val="18"/>
              </w:rPr>
              <w:t xml:space="preserve"> </w:t>
            </w:r>
            <w:r w:rsidRPr="00E70BD2">
              <w:rPr>
                <w:szCs w:val="18"/>
              </w:rPr>
              <w:t>accuracy or</w:t>
            </w:r>
            <w:r w:rsidRPr="00E70BD2">
              <w:rPr>
                <w:spacing w:val="-5"/>
                <w:szCs w:val="18"/>
              </w:rPr>
              <w:t xml:space="preserve"> </w:t>
            </w:r>
            <w:r w:rsidRPr="00E70BD2">
              <w:rPr>
                <w:szCs w:val="18"/>
              </w:rPr>
              <w:t xml:space="preserve">an alternative equivalent or superior method </w:t>
            </w:r>
            <w:r w:rsidR="004F6DEF" w:rsidRPr="00E70BD2">
              <w:rPr>
                <w:szCs w:val="18"/>
              </w:rPr>
              <w:t>are</w:t>
            </w:r>
            <w:r w:rsidR="004F6DEF">
              <w:rPr>
                <w:szCs w:val="18"/>
              </w:rPr>
              <w:t xml:space="preserve"> </w:t>
            </w:r>
            <w:r w:rsidRPr="00E70BD2">
              <w:rPr>
                <w:szCs w:val="18"/>
              </w:rPr>
              <w:t>validated fully as</w:t>
            </w:r>
            <w:r w:rsidRPr="009E220E">
              <w:rPr>
                <w:szCs w:val="18"/>
              </w:rPr>
              <w:t xml:space="preserve"> described in the ICH/CPMP guideline, </w:t>
            </w:r>
            <w:hyperlink r:id="rId30" w:history="1">
              <w:r w:rsidRPr="009E220E">
                <w:rPr>
                  <w:rStyle w:val="Hyperlink"/>
                  <w:i/>
                  <w:iCs/>
                  <w:szCs w:val="18"/>
                </w:rPr>
                <w:t>Note for Guidanc</w:t>
              </w:r>
              <w:r w:rsidRPr="009E220E">
                <w:rPr>
                  <w:rStyle w:val="Hyperlink"/>
                  <w:i/>
                  <w:iCs/>
                  <w:szCs w:val="18"/>
                </w:rPr>
                <w:t>e</w:t>
              </w:r>
              <w:r w:rsidRPr="009E220E">
                <w:rPr>
                  <w:rStyle w:val="Hyperlink"/>
                  <w:i/>
                  <w:iCs/>
                  <w:szCs w:val="18"/>
                </w:rPr>
                <w:t xml:space="preserve"> on Validation of Analytical Procedures: Text and Methodology</w:t>
              </w:r>
            </w:hyperlink>
            <w:r w:rsidRPr="009E220E">
              <w:rPr>
                <w:i/>
                <w:iCs/>
                <w:szCs w:val="18"/>
              </w:rPr>
              <w:t xml:space="preserve"> </w:t>
            </w:r>
            <w:r w:rsidRPr="009E220E">
              <w:rPr>
                <w:szCs w:val="18"/>
              </w:rPr>
              <w:t>(CPMP/ICH/381/95).</w:t>
            </w:r>
          </w:p>
        </w:tc>
        <w:tc>
          <w:tcPr>
            <w:tcW w:w="2125" w:type="dxa"/>
          </w:tcPr>
          <w:p w14:paraId="35B69BB7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6084B244" w14:textId="39809DB6" w:rsidR="005D7314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70BD2">
              <w:t>Not applicable</w:t>
            </w:r>
          </w:p>
        </w:tc>
      </w:tr>
      <w:tr w:rsidR="005D7314" w14:paraId="44BAE308" w14:textId="77777777" w:rsidTr="00607A39">
        <w:tc>
          <w:tcPr>
            <w:tcW w:w="1161" w:type="dxa"/>
          </w:tcPr>
          <w:p w14:paraId="6C5F411D" w14:textId="77777777" w:rsidR="005D7314" w:rsidRDefault="005D7314" w:rsidP="005D7314">
            <w:r>
              <w:t>4</w:t>
            </w:r>
          </w:p>
        </w:tc>
        <w:tc>
          <w:tcPr>
            <w:tcW w:w="6490" w:type="dxa"/>
          </w:tcPr>
          <w:p w14:paraId="1D51E15C" w14:textId="5B7EA78E" w:rsidR="005D7314" w:rsidRPr="00925BE0" w:rsidRDefault="005D7314" w:rsidP="005D7314">
            <w:pPr>
              <w:rPr>
                <w:szCs w:val="18"/>
              </w:rPr>
            </w:pPr>
            <w:r w:rsidRPr="00925BE0">
              <w:rPr>
                <w:szCs w:val="18"/>
              </w:rPr>
              <w:t xml:space="preserve">Tests for preservative content are validated as described in the ICH/CPMP guideline, </w:t>
            </w:r>
            <w:hyperlink r:id="rId31" w:history="1">
              <w:r w:rsidRPr="00925BE0">
                <w:rPr>
                  <w:rStyle w:val="Hyperlink"/>
                  <w:i/>
                  <w:iCs/>
                  <w:szCs w:val="18"/>
                </w:rPr>
                <w:t>Note</w:t>
              </w:r>
              <w:r w:rsidRPr="00925BE0">
                <w:rPr>
                  <w:rStyle w:val="Hyperlink"/>
                  <w:i/>
                  <w:iCs/>
                  <w:spacing w:val="-8"/>
                  <w:szCs w:val="18"/>
                </w:rPr>
                <w:t xml:space="preserve"> </w:t>
              </w:r>
              <w:r w:rsidRPr="00925BE0">
                <w:rPr>
                  <w:rStyle w:val="Hyperlink"/>
                  <w:i/>
                  <w:iCs/>
                  <w:szCs w:val="18"/>
                </w:rPr>
                <w:t>for</w:t>
              </w:r>
              <w:r w:rsidRPr="00925BE0">
                <w:rPr>
                  <w:rStyle w:val="Hyperlink"/>
                  <w:i/>
                  <w:iCs/>
                  <w:spacing w:val="-6"/>
                  <w:szCs w:val="18"/>
                </w:rPr>
                <w:t xml:space="preserve"> </w:t>
              </w:r>
              <w:r w:rsidRPr="00925BE0">
                <w:rPr>
                  <w:rStyle w:val="Hyperlink"/>
                  <w:i/>
                  <w:iCs/>
                  <w:szCs w:val="18"/>
                </w:rPr>
                <w:t>Guidance</w:t>
              </w:r>
              <w:r w:rsidRPr="00925BE0">
                <w:rPr>
                  <w:rStyle w:val="Hyperlink"/>
                  <w:i/>
                  <w:iCs/>
                  <w:spacing w:val="-3"/>
                  <w:szCs w:val="18"/>
                </w:rPr>
                <w:t xml:space="preserve"> </w:t>
              </w:r>
              <w:r w:rsidRPr="00925BE0">
                <w:rPr>
                  <w:rStyle w:val="Hyperlink"/>
                  <w:i/>
                  <w:iCs/>
                  <w:szCs w:val="18"/>
                </w:rPr>
                <w:t>on</w:t>
              </w:r>
              <w:r w:rsidRPr="00925BE0">
                <w:rPr>
                  <w:rStyle w:val="Hyperlink"/>
                  <w:i/>
                  <w:iCs/>
                  <w:spacing w:val="-3"/>
                  <w:szCs w:val="18"/>
                </w:rPr>
                <w:t xml:space="preserve"> </w:t>
              </w:r>
              <w:r w:rsidRPr="00925BE0">
                <w:rPr>
                  <w:rStyle w:val="Hyperlink"/>
                  <w:i/>
                  <w:iCs/>
                  <w:szCs w:val="18"/>
                </w:rPr>
                <w:t>Validation</w:t>
              </w:r>
              <w:r w:rsidRPr="00925BE0">
                <w:rPr>
                  <w:rStyle w:val="Hyperlink"/>
                  <w:i/>
                  <w:iCs/>
                  <w:spacing w:val="-3"/>
                  <w:szCs w:val="18"/>
                </w:rPr>
                <w:t xml:space="preserve"> </w:t>
              </w:r>
              <w:r w:rsidRPr="00925BE0">
                <w:rPr>
                  <w:rStyle w:val="Hyperlink"/>
                  <w:i/>
                  <w:iCs/>
                  <w:szCs w:val="18"/>
                </w:rPr>
                <w:t>of Analytical</w:t>
              </w:r>
              <w:r w:rsidRPr="00925BE0">
                <w:rPr>
                  <w:rStyle w:val="Hyperlink"/>
                  <w:i/>
                  <w:iCs/>
                  <w:spacing w:val="-3"/>
                  <w:szCs w:val="18"/>
                </w:rPr>
                <w:t xml:space="preserve"> </w:t>
              </w:r>
              <w:r w:rsidRPr="00925BE0">
                <w:rPr>
                  <w:rStyle w:val="Hyperlink"/>
                  <w:i/>
                  <w:iCs/>
                  <w:szCs w:val="18"/>
                </w:rPr>
                <w:t>Procedures:</w:t>
              </w:r>
              <w:r w:rsidRPr="00925BE0">
                <w:rPr>
                  <w:rStyle w:val="Hyperlink"/>
                  <w:i/>
                  <w:iCs/>
                  <w:spacing w:val="-5"/>
                  <w:szCs w:val="18"/>
                </w:rPr>
                <w:t xml:space="preserve"> </w:t>
              </w:r>
              <w:r w:rsidRPr="00925BE0">
                <w:rPr>
                  <w:rStyle w:val="Hyperlink"/>
                  <w:i/>
                  <w:iCs/>
                  <w:szCs w:val="18"/>
                </w:rPr>
                <w:t>Text</w:t>
              </w:r>
              <w:r w:rsidRPr="00925BE0">
                <w:rPr>
                  <w:rStyle w:val="Hyperlink"/>
                  <w:i/>
                  <w:iCs/>
                  <w:spacing w:val="-5"/>
                  <w:szCs w:val="18"/>
                </w:rPr>
                <w:t xml:space="preserve"> </w:t>
              </w:r>
              <w:r w:rsidRPr="00925BE0">
                <w:rPr>
                  <w:rStyle w:val="Hyperlink"/>
                  <w:i/>
                  <w:iCs/>
                  <w:szCs w:val="18"/>
                </w:rPr>
                <w:t>and Methodology</w:t>
              </w:r>
            </w:hyperlink>
            <w:r w:rsidRPr="00925BE0">
              <w:rPr>
                <w:i/>
                <w:iCs/>
                <w:szCs w:val="18"/>
              </w:rPr>
              <w:t xml:space="preserve"> </w:t>
            </w:r>
            <w:r w:rsidRPr="00925BE0">
              <w:rPr>
                <w:szCs w:val="18"/>
              </w:rPr>
              <w:t>(CPMP/ICH/381/95).</w:t>
            </w:r>
          </w:p>
        </w:tc>
        <w:tc>
          <w:tcPr>
            <w:tcW w:w="2125" w:type="dxa"/>
          </w:tcPr>
          <w:p w14:paraId="38006DF9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3BD064E1" w14:textId="0387AF72" w:rsidR="005D7314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5D7314" w14:paraId="3FFE4C34" w14:textId="77777777" w:rsidTr="00607A39">
        <w:tc>
          <w:tcPr>
            <w:tcW w:w="1161" w:type="dxa"/>
          </w:tcPr>
          <w:p w14:paraId="50A474D5" w14:textId="77777777" w:rsidR="005D7314" w:rsidRDefault="005D7314" w:rsidP="005D7314">
            <w:r>
              <w:t>5</w:t>
            </w:r>
          </w:p>
        </w:tc>
        <w:tc>
          <w:tcPr>
            <w:tcW w:w="6490" w:type="dxa"/>
          </w:tcPr>
          <w:p w14:paraId="502301CB" w14:textId="7075DED7" w:rsidR="005D7314" w:rsidRPr="00925BE0" w:rsidRDefault="005D7314" w:rsidP="005D7314">
            <w:pPr>
              <w:rPr>
                <w:szCs w:val="18"/>
              </w:rPr>
            </w:pPr>
            <w:r w:rsidRPr="00925BE0">
              <w:rPr>
                <w:szCs w:val="18"/>
              </w:rPr>
              <w:t>Where the directions for use permit the subdivision of tablets (e.g. ½ tablet doses),</w:t>
            </w:r>
            <w:r w:rsidRPr="00925BE0">
              <w:rPr>
                <w:spacing w:val="-1"/>
                <w:szCs w:val="18"/>
              </w:rPr>
              <w:t xml:space="preserve"> </w:t>
            </w:r>
            <w:r w:rsidRPr="00925BE0">
              <w:rPr>
                <w:szCs w:val="18"/>
              </w:rPr>
              <w:t>the</w:t>
            </w:r>
            <w:r w:rsidRPr="00925BE0">
              <w:rPr>
                <w:spacing w:val="-4"/>
                <w:szCs w:val="18"/>
              </w:rPr>
              <w:t xml:space="preserve"> </w:t>
            </w:r>
            <w:r w:rsidRPr="00925BE0">
              <w:rPr>
                <w:szCs w:val="18"/>
              </w:rPr>
              <w:t>efficacy</w:t>
            </w:r>
            <w:r w:rsidRPr="00925BE0">
              <w:rPr>
                <w:spacing w:val="-7"/>
                <w:szCs w:val="18"/>
              </w:rPr>
              <w:t xml:space="preserve"> </w:t>
            </w:r>
            <w:r w:rsidRPr="00925BE0">
              <w:rPr>
                <w:szCs w:val="18"/>
              </w:rPr>
              <w:t>of</w:t>
            </w:r>
            <w:r w:rsidRPr="00925BE0">
              <w:rPr>
                <w:spacing w:val="-1"/>
                <w:szCs w:val="18"/>
              </w:rPr>
              <w:t xml:space="preserve"> </w:t>
            </w:r>
            <w:r w:rsidRPr="00925BE0">
              <w:rPr>
                <w:szCs w:val="18"/>
              </w:rPr>
              <w:t>the</w:t>
            </w:r>
            <w:r w:rsidRPr="00925BE0">
              <w:rPr>
                <w:spacing w:val="-4"/>
                <w:szCs w:val="18"/>
              </w:rPr>
              <w:t xml:space="preserve"> </w:t>
            </w:r>
            <w:r w:rsidRPr="00925BE0">
              <w:rPr>
                <w:szCs w:val="18"/>
              </w:rPr>
              <w:t>break-mark(s)</w:t>
            </w:r>
            <w:r w:rsidRPr="00925BE0">
              <w:rPr>
                <w:spacing w:val="-2"/>
                <w:szCs w:val="18"/>
              </w:rPr>
              <w:t xml:space="preserve"> </w:t>
            </w:r>
            <w:r w:rsidRPr="00925BE0">
              <w:rPr>
                <w:szCs w:val="18"/>
              </w:rPr>
              <w:t>has</w:t>
            </w:r>
            <w:r w:rsidRPr="00925BE0">
              <w:rPr>
                <w:spacing w:val="-7"/>
                <w:szCs w:val="18"/>
              </w:rPr>
              <w:t xml:space="preserve"> </w:t>
            </w:r>
            <w:r w:rsidRPr="00925BE0">
              <w:rPr>
                <w:szCs w:val="18"/>
              </w:rPr>
              <w:t>been</w:t>
            </w:r>
            <w:r w:rsidRPr="00925BE0">
              <w:rPr>
                <w:spacing w:val="-4"/>
                <w:szCs w:val="18"/>
              </w:rPr>
              <w:t xml:space="preserve"> </w:t>
            </w:r>
            <w:r w:rsidRPr="00925BE0">
              <w:rPr>
                <w:szCs w:val="18"/>
              </w:rPr>
              <w:t>assessed</w:t>
            </w:r>
            <w:r w:rsidRPr="00925BE0">
              <w:rPr>
                <w:spacing w:val="-4"/>
                <w:szCs w:val="18"/>
              </w:rPr>
              <w:t xml:space="preserve"> </w:t>
            </w:r>
            <w:r w:rsidRPr="00925BE0">
              <w:rPr>
                <w:szCs w:val="18"/>
              </w:rPr>
              <w:t>and</w:t>
            </w:r>
            <w:r w:rsidRPr="00925BE0">
              <w:rPr>
                <w:spacing w:val="-4"/>
                <w:szCs w:val="18"/>
              </w:rPr>
              <w:t xml:space="preserve"> </w:t>
            </w:r>
            <w:r w:rsidRPr="00925BE0">
              <w:rPr>
                <w:szCs w:val="18"/>
              </w:rPr>
              <w:t>the</w:t>
            </w:r>
            <w:r w:rsidRPr="00925BE0">
              <w:rPr>
                <w:spacing w:val="-4"/>
                <w:szCs w:val="18"/>
              </w:rPr>
              <w:t xml:space="preserve"> </w:t>
            </w:r>
            <w:r w:rsidRPr="00925BE0">
              <w:rPr>
                <w:szCs w:val="18"/>
              </w:rPr>
              <w:t>results ensure</w:t>
            </w:r>
            <w:r w:rsidRPr="00925BE0">
              <w:rPr>
                <w:spacing w:val="-2"/>
                <w:szCs w:val="18"/>
              </w:rPr>
              <w:t xml:space="preserve"> </w:t>
            </w:r>
            <w:r w:rsidRPr="00925BE0">
              <w:rPr>
                <w:szCs w:val="18"/>
              </w:rPr>
              <w:t>that the</w:t>
            </w:r>
            <w:r w:rsidRPr="00925BE0">
              <w:rPr>
                <w:spacing w:val="-2"/>
                <w:szCs w:val="18"/>
              </w:rPr>
              <w:t xml:space="preserve"> </w:t>
            </w:r>
            <w:r w:rsidRPr="00925BE0">
              <w:rPr>
                <w:szCs w:val="18"/>
              </w:rPr>
              <w:t>intended</w:t>
            </w:r>
            <w:r w:rsidRPr="00925BE0">
              <w:rPr>
                <w:spacing w:val="-2"/>
                <w:szCs w:val="18"/>
              </w:rPr>
              <w:t xml:space="preserve"> </w:t>
            </w:r>
            <w:r w:rsidRPr="00925BE0">
              <w:rPr>
                <w:szCs w:val="18"/>
              </w:rPr>
              <w:t>dose</w:t>
            </w:r>
            <w:r w:rsidRPr="00925BE0">
              <w:rPr>
                <w:spacing w:val="-2"/>
                <w:szCs w:val="18"/>
              </w:rPr>
              <w:t xml:space="preserve"> </w:t>
            </w:r>
            <w:r w:rsidRPr="00925BE0">
              <w:rPr>
                <w:szCs w:val="18"/>
              </w:rPr>
              <w:t>can</w:t>
            </w:r>
            <w:r w:rsidRPr="00925BE0">
              <w:rPr>
                <w:spacing w:val="-2"/>
                <w:szCs w:val="18"/>
              </w:rPr>
              <w:t xml:space="preserve"> </w:t>
            </w:r>
            <w:r w:rsidRPr="00925BE0">
              <w:rPr>
                <w:szCs w:val="18"/>
              </w:rPr>
              <w:t>be</w:t>
            </w:r>
            <w:r w:rsidRPr="00925BE0">
              <w:rPr>
                <w:spacing w:val="-2"/>
                <w:szCs w:val="18"/>
              </w:rPr>
              <w:t xml:space="preserve"> </w:t>
            </w:r>
            <w:r w:rsidRPr="00925BE0">
              <w:rPr>
                <w:szCs w:val="18"/>
              </w:rPr>
              <w:t>administered</w:t>
            </w:r>
            <w:r w:rsidRPr="00925BE0">
              <w:rPr>
                <w:spacing w:val="-2"/>
                <w:szCs w:val="18"/>
              </w:rPr>
              <w:t xml:space="preserve"> </w:t>
            </w:r>
            <w:r w:rsidRPr="00925BE0">
              <w:rPr>
                <w:szCs w:val="18"/>
              </w:rPr>
              <w:t>(see</w:t>
            </w:r>
            <w:r w:rsidRPr="00925BE0">
              <w:rPr>
                <w:spacing w:val="-2"/>
                <w:szCs w:val="18"/>
              </w:rPr>
              <w:t xml:space="preserve"> </w:t>
            </w:r>
            <w:hyperlink r:id="rId32" w:history="1">
              <w:r w:rsidR="003010A5" w:rsidRPr="00925BE0">
                <w:rPr>
                  <w:rStyle w:val="Hyperlink"/>
                  <w:spacing w:val="-1"/>
                  <w:szCs w:val="18"/>
                </w:rPr>
                <w:t>ARGOM Appendix 2: Guidelines on quality aspects of OTC applications</w:t>
              </w:r>
            </w:hyperlink>
            <w:r w:rsidRPr="00925BE0">
              <w:rPr>
                <w:i/>
                <w:iCs/>
                <w:szCs w:val="18"/>
              </w:rPr>
              <w:t>, 7.5.2 Subdivision of tablets</w:t>
            </w:r>
            <w:r w:rsidRPr="00925BE0">
              <w:rPr>
                <w:szCs w:val="18"/>
              </w:rPr>
              <w:t>).</w:t>
            </w:r>
          </w:p>
        </w:tc>
        <w:tc>
          <w:tcPr>
            <w:tcW w:w="2125" w:type="dxa"/>
          </w:tcPr>
          <w:p w14:paraId="74BF62F5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6A6BADFA" w14:textId="6D445028" w:rsidR="005D7314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</w:tbl>
    <w:p w14:paraId="7C090375" w14:textId="73563711" w:rsidR="00181289" w:rsidRDefault="00181289" w:rsidP="00181289">
      <w:pPr>
        <w:pStyle w:val="Heading3"/>
      </w:pPr>
      <w:r>
        <w:t>Container and/or measuring device</w:t>
      </w:r>
    </w:p>
    <w:tbl>
      <w:tblPr>
        <w:tblStyle w:val="TableTGAblue"/>
        <w:tblW w:w="9776" w:type="dxa"/>
        <w:tblLook w:val="04A0" w:firstRow="1" w:lastRow="0" w:firstColumn="1" w:lastColumn="0" w:noHBand="0" w:noVBand="1"/>
      </w:tblPr>
      <w:tblGrid>
        <w:gridCol w:w="1161"/>
        <w:gridCol w:w="6490"/>
        <w:gridCol w:w="2125"/>
      </w:tblGrid>
      <w:tr w:rsidR="00181289" w14:paraId="72C94E1F" w14:textId="77777777" w:rsidTr="00607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1" w:type="dxa"/>
          </w:tcPr>
          <w:p w14:paraId="00D6906D" w14:textId="77777777" w:rsidR="00181289" w:rsidRDefault="00181289" w:rsidP="00607A39">
            <w:r>
              <w:t>Number</w:t>
            </w:r>
          </w:p>
        </w:tc>
        <w:tc>
          <w:tcPr>
            <w:tcW w:w="6490" w:type="dxa"/>
          </w:tcPr>
          <w:p w14:paraId="426F4EE2" w14:textId="77777777" w:rsidR="00181289" w:rsidRDefault="00181289" w:rsidP="00607A39">
            <w:r>
              <w:t>Assurance</w:t>
            </w:r>
          </w:p>
        </w:tc>
        <w:tc>
          <w:tcPr>
            <w:tcW w:w="2125" w:type="dxa"/>
          </w:tcPr>
          <w:p w14:paraId="4332112A" w14:textId="62EB2569" w:rsidR="00181289" w:rsidRDefault="00181289" w:rsidP="00607A39"/>
        </w:tc>
      </w:tr>
      <w:tr w:rsidR="00181289" w14:paraId="2625D3CF" w14:textId="77777777" w:rsidTr="00607A39">
        <w:tc>
          <w:tcPr>
            <w:tcW w:w="1161" w:type="dxa"/>
          </w:tcPr>
          <w:p w14:paraId="2FC7019C" w14:textId="77777777" w:rsidR="00181289" w:rsidRDefault="00181289" w:rsidP="00607A39">
            <w:r>
              <w:t>1</w:t>
            </w:r>
          </w:p>
        </w:tc>
        <w:tc>
          <w:tcPr>
            <w:tcW w:w="6490" w:type="dxa"/>
          </w:tcPr>
          <w:p w14:paraId="00958B60" w14:textId="7B880D44" w:rsidR="00181289" w:rsidRPr="001C563E" w:rsidRDefault="001C563E" w:rsidP="00607A39">
            <w:pPr>
              <w:ind w:left="0"/>
              <w:rPr>
                <w:szCs w:val="18"/>
              </w:rPr>
            </w:pPr>
            <w:r w:rsidRPr="001C563E">
              <w:rPr>
                <w:szCs w:val="18"/>
              </w:rPr>
              <w:t>Packaging</w:t>
            </w:r>
            <w:r w:rsidRPr="001C563E">
              <w:rPr>
                <w:spacing w:val="-5"/>
                <w:szCs w:val="18"/>
              </w:rPr>
              <w:t xml:space="preserve"> </w:t>
            </w:r>
            <w:r w:rsidRPr="001C563E">
              <w:rPr>
                <w:szCs w:val="18"/>
              </w:rPr>
              <w:t>comprises</w:t>
            </w:r>
            <w:r w:rsidRPr="001C563E">
              <w:rPr>
                <w:spacing w:val="-7"/>
                <w:szCs w:val="18"/>
              </w:rPr>
              <w:t xml:space="preserve"> </w:t>
            </w:r>
            <w:r w:rsidRPr="001C563E">
              <w:rPr>
                <w:szCs w:val="18"/>
              </w:rPr>
              <w:t>conventional containers</w:t>
            </w:r>
            <w:r w:rsidRPr="001C563E">
              <w:rPr>
                <w:spacing w:val="-7"/>
                <w:szCs w:val="18"/>
              </w:rPr>
              <w:t xml:space="preserve"> </w:t>
            </w:r>
            <w:r w:rsidRPr="001C563E">
              <w:rPr>
                <w:szCs w:val="18"/>
              </w:rPr>
              <w:t>and</w:t>
            </w:r>
            <w:r w:rsidRPr="001C563E">
              <w:rPr>
                <w:spacing w:val="-5"/>
                <w:szCs w:val="18"/>
              </w:rPr>
              <w:t xml:space="preserve"> </w:t>
            </w:r>
            <w:r w:rsidRPr="001C563E">
              <w:rPr>
                <w:szCs w:val="18"/>
              </w:rPr>
              <w:t>material</w:t>
            </w:r>
            <w:r w:rsidRPr="001C563E">
              <w:rPr>
                <w:spacing w:val="-9"/>
                <w:szCs w:val="18"/>
              </w:rPr>
              <w:t xml:space="preserve"> </w:t>
            </w:r>
            <w:r w:rsidRPr="001C563E">
              <w:rPr>
                <w:szCs w:val="18"/>
              </w:rPr>
              <w:t>for</w:t>
            </w:r>
            <w:r w:rsidRPr="001C563E">
              <w:rPr>
                <w:spacing w:val="-7"/>
                <w:szCs w:val="18"/>
              </w:rPr>
              <w:t xml:space="preserve"> </w:t>
            </w:r>
            <w:r w:rsidRPr="001C563E">
              <w:rPr>
                <w:szCs w:val="18"/>
              </w:rPr>
              <w:t>the</w:t>
            </w:r>
            <w:r w:rsidRPr="001C563E">
              <w:rPr>
                <w:spacing w:val="-5"/>
                <w:szCs w:val="18"/>
              </w:rPr>
              <w:t xml:space="preserve"> </w:t>
            </w:r>
            <w:r w:rsidRPr="001C563E">
              <w:rPr>
                <w:szCs w:val="18"/>
              </w:rPr>
              <w:t>dosage form (e.g. oral liquids in bottles, tablets in bottles or blister packs).</w:t>
            </w:r>
          </w:p>
        </w:tc>
        <w:tc>
          <w:tcPr>
            <w:tcW w:w="2125" w:type="dxa"/>
          </w:tcPr>
          <w:p w14:paraId="0D523772" w14:textId="279FFD9D" w:rsidR="00181289" w:rsidRPr="009A2501" w:rsidRDefault="001E2AF9" w:rsidP="00832FB7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</w:p>
        </w:tc>
      </w:tr>
      <w:tr w:rsidR="00181289" w14:paraId="08BF0609" w14:textId="77777777" w:rsidTr="00607A39">
        <w:tc>
          <w:tcPr>
            <w:tcW w:w="1161" w:type="dxa"/>
          </w:tcPr>
          <w:p w14:paraId="143B7A09" w14:textId="77777777" w:rsidR="00181289" w:rsidRDefault="00181289" w:rsidP="00607A39">
            <w:r>
              <w:t>2</w:t>
            </w:r>
          </w:p>
        </w:tc>
        <w:tc>
          <w:tcPr>
            <w:tcW w:w="6490" w:type="dxa"/>
          </w:tcPr>
          <w:p w14:paraId="48C55C0C" w14:textId="0DC921E0" w:rsidR="00181289" w:rsidRPr="001C563E" w:rsidRDefault="001C563E" w:rsidP="001C563E">
            <w:pPr>
              <w:ind w:left="0"/>
              <w:rPr>
                <w:szCs w:val="18"/>
              </w:rPr>
            </w:pPr>
            <w:r w:rsidRPr="001C563E">
              <w:rPr>
                <w:szCs w:val="18"/>
              </w:rPr>
              <w:t>Packaging materials, containers, seals and closures are suitable for the intended</w:t>
            </w:r>
            <w:r w:rsidRPr="001C563E">
              <w:rPr>
                <w:spacing w:val="-3"/>
                <w:szCs w:val="18"/>
              </w:rPr>
              <w:t xml:space="preserve"> </w:t>
            </w:r>
            <w:r w:rsidRPr="001C563E">
              <w:rPr>
                <w:szCs w:val="18"/>
              </w:rPr>
              <w:t>pharmaceutical use</w:t>
            </w:r>
            <w:r w:rsidRPr="001C563E">
              <w:rPr>
                <w:spacing w:val="-3"/>
                <w:szCs w:val="18"/>
              </w:rPr>
              <w:t xml:space="preserve"> </w:t>
            </w:r>
            <w:r w:rsidRPr="001C563E">
              <w:rPr>
                <w:szCs w:val="18"/>
              </w:rPr>
              <w:t>and</w:t>
            </w:r>
            <w:r w:rsidRPr="001C563E">
              <w:rPr>
                <w:spacing w:val="-4"/>
                <w:szCs w:val="18"/>
              </w:rPr>
              <w:t xml:space="preserve"> </w:t>
            </w:r>
            <w:r w:rsidRPr="001C563E">
              <w:rPr>
                <w:szCs w:val="18"/>
              </w:rPr>
              <w:t>are</w:t>
            </w:r>
            <w:r w:rsidRPr="001C563E">
              <w:rPr>
                <w:spacing w:val="-3"/>
                <w:szCs w:val="18"/>
              </w:rPr>
              <w:t xml:space="preserve"> </w:t>
            </w:r>
            <w:r w:rsidRPr="001C563E">
              <w:rPr>
                <w:szCs w:val="18"/>
              </w:rPr>
              <w:t>adequately</w:t>
            </w:r>
            <w:r w:rsidRPr="001C563E">
              <w:rPr>
                <w:spacing w:val="-6"/>
                <w:szCs w:val="18"/>
              </w:rPr>
              <w:t xml:space="preserve"> </w:t>
            </w:r>
            <w:r w:rsidRPr="001C563E">
              <w:rPr>
                <w:szCs w:val="18"/>
              </w:rPr>
              <w:t>controlled</w:t>
            </w:r>
            <w:r w:rsidRPr="001C563E">
              <w:rPr>
                <w:spacing w:val="-3"/>
                <w:szCs w:val="18"/>
              </w:rPr>
              <w:t xml:space="preserve"> </w:t>
            </w:r>
            <w:r w:rsidRPr="001C563E">
              <w:rPr>
                <w:szCs w:val="18"/>
              </w:rPr>
              <w:t>as</w:t>
            </w:r>
            <w:r w:rsidRPr="001C563E">
              <w:rPr>
                <w:spacing w:val="-6"/>
                <w:szCs w:val="18"/>
              </w:rPr>
              <w:t xml:space="preserve"> </w:t>
            </w:r>
            <w:r w:rsidRPr="001C563E">
              <w:rPr>
                <w:szCs w:val="18"/>
              </w:rPr>
              <w:t>described</w:t>
            </w:r>
            <w:r w:rsidRPr="001C563E">
              <w:rPr>
                <w:spacing w:val="-3"/>
                <w:szCs w:val="18"/>
              </w:rPr>
              <w:t xml:space="preserve"> </w:t>
            </w:r>
            <w:r w:rsidRPr="001C563E">
              <w:rPr>
                <w:szCs w:val="18"/>
              </w:rPr>
              <w:t xml:space="preserve">in </w:t>
            </w:r>
            <w:hyperlink r:id="rId33" w:history="1">
              <w:r w:rsidRPr="001C563E">
                <w:rPr>
                  <w:rStyle w:val="Hyperlink"/>
                  <w:spacing w:val="-1"/>
                  <w:szCs w:val="18"/>
                </w:rPr>
                <w:t>ARGOM Appendix 2: Guidelines on quality aspects of OTC applications</w:t>
              </w:r>
            </w:hyperlink>
            <w:r w:rsidRPr="001C563E">
              <w:rPr>
                <w:i/>
                <w:iCs/>
                <w:szCs w:val="18"/>
              </w:rPr>
              <w:t>, 8 Finished Product Container</w:t>
            </w:r>
            <w:r w:rsidRPr="001C563E">
              <w:rPr>
                <w:szCs w:val="18"/>
              </w:rPr>
              <w:t>.</w:t>
            </w:r>
          </w:p>
        </w:tc>
        <w:tc>
          <w:tcPr>
            <w:tcW w:w="2125" w:type="dxa"/>
          </w:tcPr>
          <w:p w14:paraId="19590FC7" w14:textId="07CBEDCA" w:rsidR="00181289" w:rsidRPr="009A2501" w:rsidRDefault="001E2AF9" w:rsidP="00832FB7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</w:p>
        </w:tc>
      </w:tr>
      <w:tr w:rsidR="00181289" w14:paraId="5E7331D2" w14:textId="77777777" w:rsidTr="00607A39">
        <w:tc>
          <w:tcPr>
            <w:tcW w:w="1161" w:type="dxa"/>
          </w:tcPr>
          <w:p w14:paraId="2357385A" w14:textId="77777777" w:rsidR="00181289" w:rsidRDefault="00181289" w:rsidP="00607A39">
            <w:r>
              <w:lastRenderedPageBreak/>
              <w:t>3</w:t>
            </w:r>
          </w:p>
        </w:tc>
        <w:tc>
          <w:tcPr>
            <w:tcW w:w="6490" w:type="dxa"/>
          </w:tcPr>
          <w:p w14:paraId="130A02D1" w14:textId="23B92DA8" w:rsidR="00181289" w:rsidRDefault="001C563E" w:rsidP="001C563E">
            <w:pPr>
              <w:ind w:left="0"/>
              <w:rPr>
                <w:szCs w:val="18"/>
              </w:rPr>
            </w:pPr>
            <w:r>
              <w:rPr>
                <w:szCs w:val="18"/>
              </w:rPr>
              <w:t>The proposed medicine complies with Therapeutic Goods Order No. 95 – Child-resistant packaging requirements for medicines</w:t>
            </w:r>
            <w:r w:rsidR="00880265">
              <w:rPr>
                <w:szCs w:val="18"/>
              </w:rPr>
              <w:t xml:space="preserve"> 2017</w:t>
            </w:r>
            <w:r>
              <w:rPr>
                <w:szCs w:val="18"/>
              </w:rPr>
              <w:t xml:space="preserve"> (TGO 95).</w:t>
            </w:r>
          </w:p>
          <w:p w14:paraId="3D18E140" w14:textId="79F76ABF" w:rsidR="001C563E" w:rsidRDefault="001C563E" w:rsidP="001C563E">
            <w:pPr>
              <w:ind w:left="0"/>
              <w:rPr>
                <w:szCs w:val="18"/>
              </w:rPr>
            </w:pPr>
            <w:r>
              <w:rPr>
                <w:szCs w:val="18"/>
              </w:rPr>
              <w:t>Note</w:t>
            </w:r>
            <w:r w:rsidR="004D0D74">
              <w:rPr>
                <w:szCs w:val="18"/>
              </w:rPr>
              <w:t xml:space="preserve"> 1</w:t>
            </w:r>
            <w:r>
              <w:rPr>
                <w:szCs w:val="18"/>
              </w:rPr>
              <w:t xml:space="preserve">: </w:t>
            </w:r>
            <w:r w:rsidR="004D0D74">
              <w:rPr>
                <w:szCs w:val="18"/>
              </w:rPr>
              <w:t>S</w:t>
            </w:r>
            <w:r>
              <w:rPr>
                <w:szCs w:val="18"/>
              </w:rPr>
              <w:t>ponsors are required to hold evidence of performance testing for reclosable closures.</w:t>
            </w:r>
          </w:p>
          <w:p w14:paraId="64198732" w14:textId="61B48D49" w:rsidR="004D0D74" w:rsidRPr="001C563E" w:rsidRDefault="004D0D74" w:rsidP="001C563E">
            <w:pPr>
              <w:ind w:left="0"/>
              <w:rPr>
                <w:szCs w:val="18"/>
              </w:rPr>
            </w:pPr>
            <w:r>
              <w:rPr>
                <w:szCs w:val="18"/>
              </w:rPr>
              <w:t>Note 2: Blister packaging is generally considered to be compliant with requirements for child-resistant packaging.</w:t>
            </w:r>
          </w:p>
        </w:tc>
        <w:tc>
          <w:tcPr>
            <w:tcW w:w="2125" w:type="dxa"/>
          </w:tcPr>
          <w:p w14:paraId="4C679BBC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22A992D8" w14:textId="3DCE65FF" w:rsidR="00181289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181289" w14:paraId="5B92DCB9" w14:textId="77777777" w:rsidTr="00607A39">
        <w:tc>
          <w:tcPr>
            <w:tcW w:w="1161" w:type="dxa"/>
          </w:tcPr>
          <w:p w14:paraId="044B3ED4" w14:textId="77777777" w:rsidR="00181289" w:rsidRDefault="00181289" w:rsidP="00607A39">
            <w:r>
              <w:t>4</w:t>
            </w:r>
          </w:p>
        </w:tc>
        <w:tc>
          <w:tcPr>
            <w:tcW w:w="6490" w:type="dxa"/>
          </w:tcPr>
          <w:p w14:paraId="55B5EFF4" w14:textId="459305AA" w:rsidR="00181289" w:rsidRPr="001C563E" w:rsidRDefault="001C563E" w:rsidP="001C563E">
            <w:pPr>
              <w:ind w:left="0"/>
              <w:rPr>
                <w:szCs w:val="18"/>
              </w:rPr>
            </w:pPr>
            <w:r w:rsidRPr="001C563E">
              <w:rPr>
                <w:szCs w:val="18"/>
              </w:rPr>
              <w:t>Where</w:t>
            </w:r>
            <w:r w:rsidRPr="001C563E">
              <w:rPr>
                <w:spacing w:val="-6"/>
                <w:szCs w:val="18"/>
              </w:rPr>
              <w:t xml:space="preserve"> </w:t>
            </w:r>
            <w:r w:rsidRPr="001C563E">
              <w:rPr>
                <w:szCs w:val="18"/>
              </w:rPr>
              <w:t>a</w:t>
            </w:r>
            <w:r w:rsidRPr="001C563E">
              <w:rPr>
                <w:spacing w:val="-6"/>
                <w:szCs w:val="18"/>
              </w:rPr>
              <w:t xml:space="preserve"> </w:t>
            </w:r>
            <w:r w:rsidRPr="001C563E">
              <w:rPr>
                <w:szCs w:val="18"/>
              </w:rPr>
              <w:t>measuring</w:t>
            </w:r>
            <w:r w:rsidRPr="001C563E">
              <w:rPr>
                <w:spacing w:val="-1"/>
                <w:szCs w:val="18"/>
              </w:rPr>
              <w:t xml:space="preserve"> </w:t>
            </w:r>
            <w:r w:rsidRPr="001C563E">
              <w:rPr>
                <w:szCs w:val="18"/>
              </w:rPr>
              <w:t>device</w:t>
            </w:r>
            <w:r w:rsidRPr="001C563E">
              <w:rPr>
                <w:spacing w:val="-6"/>
                <w:szCs w:val="18"/>
              </w:rPr>
              <w:t xml:space="preserve"> </w:t>
            </w:r>
            <w:r w:rsidRPr="001C563E">
              <w:rPr>
                <w:szCs w:val="18"/>
              </w:rPr>
              <w:t>is</w:t>
            </w:r>
            <w:r w:rsidRPr="001C563E">
              <w:rPr>
                <w:spacing w:val="-4"/>
                <w:szCs w:val="18"/>
              </w:rPr>
              <w:t xml:space="preserve"> </w:t>
            </w:r>
            <w:r w:rsidRPr="001C563E">
              <w:rPr>
                <w:szCs w:val="18"/>
              </w:rPr>
              <w:t>to</w:t>
            </w:r>
            <w:r w:rsidRPr="001C563E">
              <w:rPr>
                <w:spacing w:val="-1"/>
                <w:szCs w:val="18"/>
              </w:rPr>
              <w:t xml:space="preserve"> </w:t>
            </w:r>
            <w:r w:rsidRPr="001C563E">
              <w:rPr>
                <w:szCs w:val="18"/>
              </w:rPr>
              <w:t>be</w:t>
            </w:r>
            <w:r w:rsidRPr="001C563E">
              <w:rPr>
                <w:spacing w:val="-1"/>
                <w:szCs w:val="18"/>
              </w:rPr>
              <w:t xml:space="preserve"> </w:t>
            </w:r>
            <w:r w:rsidRPr="001C563E">
              <w:rPr>
                <w:szCs w:val="18"/>
              </w:rPr>
              <w:t>supplied</w:t>
            </w:r>
            <w:r w:rsidRPr="001C563E">
              <w:rPr>
                <w:spacing w:val="-1"/>
                <w:szCs w:val="18"/>
              </w:rPr>
              <w:t xml:space="preserve"> </w:t>
            </w:r>
            <w:r w:rsidRPr="001C563E">
              <w:rPr>
                <w:szCs w:val="18"/>
              </w:rPr>
              <w:t>with</w:t>
            </w:r>
            <w:r w:rsidRPr="001C563E">
              <w:rPr>
                <w:spacing w:val="-6"/>
                <w:szCs w:val="18"/>
              </w:rPr>
              <w:t xml:space="preserve"> </w:t>
            </w:r>
            <w:r w:rsidRPr="001C563E">
              <w:rPr>
                <w:szCs w:val="18"/>
              </w:rPr>
              <w:t>the</w:t>
            </w:r>
            <w:r w:rsidRPr="001C563E">
              <w:rPr>
                <w:spacing w:val="-6"/>
                <w:szCs w:val="18"/>
              </w:rPr>
              <w:t xml:space="preserve"> </w:t>
            </w:r>
            <w:r w:rsidRPr="001C563E">
              <w:rPr>
                <w:szCs w:val="18"/>
              </w:rPr>
              <w:t>medicine,</w:t>
            </w:r>
            <w:r w:rsidRPr="001C563E">
              <w:rPr>
                <w:spacing w:val="-3"/>
                <w:szCs w:val="18"/>
              </w:rPr>
              <w:t xml:space="preserve"> </w:t>
            </w:r>
            <w:r w:rsidRPr="001C563E">
              <w:rPr>
                <w:szCs w:val="18"/>
              </w:rPr>
              <w:t>the</w:t>
            </w:r>
            <w:r w:rsidRPr="001C563E">
              <w:rPr>
                <w:spacing w:val="-1"/>
                <w:szCs w:val="18"/>
              </w:rPr>
              <w:t xml:space="preserve"> </w:t>
            </w:r>
            <w:r w:rsidRPr="001C563E">
              <w:rPr>
                <w:szCs w:val="18"/>
              </w:rPr>
              <w:t>ability of the</w:t>
            </w:r>
            <w:r w:rsidRPr="001C563E">
              <w:rPr>
                <w:spacing w:val="-1"/>
                <w:szCs w:val="18"/>
              </w:rPr>
              <w:t xml:space="preserve"> </w:t>
            </w:r>
            <w:r w:rsidRPr="001C563E">
              <w:rPr>
                <w:szCs w:val="18"/>
              </w:rPr>
              <w:t>device</w:t>
            </w:r>
            <w:r w:rsidRPr="001C563E">
              <w:rPr>
                <w:spacing w:val="-6"/>
                <w:szCs w:val="18"/>
              </w:rPr>
              <w:t xml:space="preserve"> </w:t>
            </w:r>
            <w:r w:rsidRPr="001C563E">
              <w:rPr>
                <w:szCs w:val="18"/>
              </w:rPr>
              <w:t>to</w:t>
            </w:r>
            <w:r w:rsidRPr="001C563E">
              <w:rPr>
                <w:spacing w:val="-1"/>
                <w:szCs w:val="18"/>
              </w:rPr>
              <w:t xml:space="preserve"> </w:t>
            </w:r>
            <w:r w:rsidRPr="001C563E">
              <w:rPr>
                <w:szCs w:val="18"/>
              </w:rPr>
              <w:t>deliver</w:t>
            </w:r>
            <w:r w:rsidRPr="001C563E">
              <w:rPr>
                <w:spacing w:val="-4"/>
                <w:szCs w:val="18"/>
              </w:rPr>
              <w:t xml:space="preserve"> </w:t>
            </w:r>
            <w:r w:rsidRPr="001C563E">
              <w:rPr>
                <w:szCs w:val="18"/>
              </w:rPr>
              <w:t>the</w:t>
            </w:r>
            <w:r w:rsidRPr="001C563E">
              <w:rPr>
                <w:spacing w:val="-6"/>
                <w:szCs w:val="18"/>
              </w:rPr>
              <w:t xml:space="preserve"> </w:t>
            </w:r>
            <w:r w:rsidRPr="001C563E">
              <w:rPr>
                <w:szCs w:val="18"/>
              </w:rPr>
              <w:t>correct</w:t>
            </w:r>
            <w:r w:rsidRPr="001C563E">
              <w:rPr>
                <w:spacing w:val="-3"/>
                <w:szCs w:val="18"/>
              </w:rPr>
              <w:t xml:space="preserve"> </w:t>
            </w:r>
            <w:r w:rsidRPr="001C563E">
              <w:rPr>
                <w:szCs w:val="18"/>
              </w:rPr>
              <w:t>dose</w:t>
            </w:r>
            <w:r w:rsidRPr="001C563E">
              <w:rPr>
                <w:spacing w:val="-1"/>
                <w:szCs w:val="18"/>
              </w:rPr>
              <w:t xml:space="preserve"> </w:t>
            </w:r>
            <w:r w:rsidRPr="001C563E">
              <w:rPr>
                <w:szCs w:val="18"/>
              </w:rPr>
              <w:t>accurately and</w:t>
            </w:r>
            <w:r w:rsidRPr="001C563E">
              <w:rPr>
                <w:spacing w:val="-1"/>
                <w:szCs w:val="18"/>
              </w:rPr>
              <w:t xml:space="preserve"> </w:t>
            </w:r>
            <w:r w:rsidRPr="001C563E">
              <w:rPr>
                <w:szCs w:val="18"/>
              </w:rPr>
              <w:t>reproducibly</w:t>
            </w:r>
            <w:r w:rsidRPr="001C563E">
              <w:rPr>
                <w:spacing w:val="-4"/>
                <w:szCs w:val="18"/>
              </w:rPr>
              <w:t xml:space="preserve"> </w:t>
            </w:r>
            <w:r w:rsidRPr="001C563E">
              <w:rPr>
                <w:szCs w:val="18"/>
              </w:rPr>
              <w:t>has</w:t>
            </w:r>
            <w:r w:rsidRPr="001C563E">
              <w:rPr>
                <w:spacing w:val="-4"/>
                <w:szCs w:val="18"/>
              </w:rPr>
              <w:t xml:space="preserve"> </w:t>
            </w:r>
            <w:r w:rsidRPr="001C563E">
              <w:rPr>
                <w:szCs w:val="18"/>
              </w:rPr>
              <w:t xml:space="preserve">been ensured. The supplied measuring device complies with the test and requirement for </w:t>
            </w:r>
            <w:r w:rsidRPr="001C563E">
              <w:rPr>
                <w:i/>
                <w:iCs/>
                <w:szCs w:val="18"/>
              </w:rPr>
              <w:t xml:space="preserve">Uniformity </w:t>
            </w:r>
            <w:r w:rsidR="008B5BBF">
              <w:rPr>
                <w:i/>
                <w:iCs/>
                <w:szCs w:val="18"/>
              </w:rPr>
              <w:t xml:space="preserve">and Accuracy </w:t>
            </w:r>
            <w:r w:rsidRPr="001C563E">
              <w:rPr>
                <w:i/>
                <w:iCs/>
                <w:szCs w:val="18"/>
              </w:rPr>
              <w:t xml:space="preserve">of Delivered Doses from Multidose Containers </w:t>
            </w:r>
            <w:r w:rsidRPr="001C563E">
              <w:rPr>
                <w:szCs w:val="18"/>
              </w:rPr>
              <w:t xml:space="preserve">(Ph. Eur. monograph 2.9.27) as specified in BP/Ph. Eur. </w:t>
            </w:r>
            <w:r w:rsidRPr="001C563E">
              <w:rPr>
                <w:i/>
                <w:iCs/>
                <w:szCs w:val="18"/>
              </w:rPr>
              <w:t>Appendix XII C. Consistency of Formulated Preparations</w:t>
            </w:r>
            <w:r w:rsidRPr="001C563E">
              <w:rPr>
                <w:szCs w:val="18"/>
              </w:rPr>
              <w:t>.</w:t>
            </w:r>
          </w:p>
        </w:tc>
        <w:tc>
          <w:tcPr>
            <w:tcW w:w="2125" w:type="dxa"/>
          </w:tcPr>
          <w:p w14:paraId="6B462F4B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43422504" w14:textId="7E91485A" w:rsidR="00181289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</w:tbl>
    <w:p w14:paraId="7E77687D" w14:textId="1F0E0D81" w:rsidR="00181289" w:rsidRDefault="00181289" w:rsidP="00181289">
      <w:pPr>
        <w:pStyle w:val="Heading3"/>
      </w:pPr>
      <w:r>
        <w:t>Stability</w:t>
      </w:r>
    </w:p>
    <w:tbl>
      <w:tblPr>
        <w:tblStyle w:val="TableTGAblue"/>
        <w:tblW w:w="9776" w:type="dxa"/>
        <w:tblLook w:val="04A0" w:firstRow="1" w:lastRow="0" w:firstColumn="1" w:lastColumn="0" w:noHBand="0" w:noVBand="1"/>
      </w:tblPr>
      <w:tblGrid>
        <w:gridCol w:w="1161"/>
        <w:gridCol w:w="6490"/>
        <w:gridCol w:w="2125"/>
      </w:tblGrid>
      <w:tr w:rsidR="00181289" w14:paraId="3BE61342" w14:textId="77777777" w:rsidTr="00607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1" w:type="dxa"/>
          </w:tcPr>
          <w:p w14:paraId="45F07A49" w14:textId="77777777" w:rsidR="00181289" w:rsidRDefault="00181289" w:rsidP="00607A39">
            <w:r>
              <w:t>Number</w:t>
            </w:r>
          </w:p>
        </w:tc>
        <w:tc>
          <w:tcPr>
            <w:tcW w:w="6490" w:type="dxa"/>
          </w:tcPr>
          <w:p w14:paraId="35900FEC" w14:textId="77777777" w:rsidR="00181289" w:rsidRDefault="00181289" w:rsidP="00607A39">
            <w:r>
              <w:t>Assurance</w:t>
            </w:r>
          </w:p>
        </w:tc>
        <w:tc>
          <w:tcPr>
            <w:tcW w:w="2125" w:type="dxa"/>
          </w:tcPr>
          <w:p w14:paraId="72BF9C8F" w14:textId="4A82E506" w:rsidR="00181289" w:rsidRDefault="00181289" w:rsidP="00607A39"/>
        </w:tc>
      </w:tr>
      <w:tr w:rsidR="001C563E" w14:paraId="7BF99B15" w14:textId="77777777" w:rsidTr="00607A39">
        <w:tc>
          <w:tcPr>
            <w:tcW w:w="1161" w:type="dxa"/>
          </w:tcPr>
          <w:p w14:paraId="047DA7D1" w14:textId="77777777" w:rsidR="001C563E" w:rsidRDefault="001C563E" w:rsidP="001C563E">
            <w:r>
              <w:t>1</w:t>
            </w:r>
          </w:p>
        </w:tc>
        <w:tc>
          <w:tcPr>
            <w:tcW w:w="6490" w:type="dxa"/>
          </w:tcPr>
          <w:p w14:paraId="639BB26C" w14:textId="02212ED5" w:rsidR="001C563E" w:rsidRPr="001C563E" w:rsidRDefault="001C563E" w:rsidP="001C563E">
            <w:pPr>
              <w:ind w:left="0"/>
              <w:rPr>
                <w:szCs w:val="18"/>
              </w:rPr>
            </w:pPr>
            <w:r w:rsidRPr="001C563E">
              <w:rPr>
                <w:szCs w:val="18"/>
              </w:rPr>
              <w:t>Stability data to support the nominated shelf life</w:t>
            </w:r>
            <w:r w:rsidR="00EF4EE3">
              <w:rPr>
                <w:szCs w:val="18"/>
              </w:rPr>
              <w:t xml:space="preserve"> (including storage condition</w:t>
            </w:r>
            <w:r w:rsidR="008479AE">
              <w:rPr>
                <w:szCs w:val="18"/>
              </w:rPr>
              <w:t>s</w:t>
            </w:r>
            <w:r w:rsidR="00EF4EE3">
              <w:rPr>
                <w:szCs w:val="18"/>
              </w:rPr>
              <w:t>)</w:t>
            </w:r>
            <w:r w:rsidRPr="001C563E">
              <w:rPr>
                <w:szCs w:val="18"/>
              </w:rPr>
              <w:t xml:space="preserve"> have been generated in accordance</w:t>
            </w:r>
            <w:r w:rsidRPr="001C563E">
              <w:rPr>
                <w:spacing w:val="-3"/>
                <w:szCs w:val="18"/>
              </w:rPr>
              <w:t xml:space="preserve"> </w:t>
            </w:r>
            <w:r w:rsidRPr="001C563E">
              <w:rPr>
                <w:szCs w:val="18"/>
              </w:rPr>
              <w:t>with</w:t>
            </w:r>
            <w:r w:rsidRPr="001C563E">
              <w:rPr>
                <w:spacing w:val="-4"/>
                <w:szCs w:val="18"/>
              </w:rPr>
              <w:t xml:space="preserve"> </w:t>
            </w:r>
            <w:hyperlink r:id="rId34" w:history="1">
              <w:r w:rsidRPr="001C563E">
                <w:rPr>
                  <w:rStyle w:val="Hyperlink"/>
                  <w:spacing w:val="-1"/>
                  <w:szCs w:val="18"/>
                </w:rPr>
                <w:t>ARGOM Appendix 2: Guidelines on quality aspects of OTC applications</w:t>
              </w:r>
            </w:hyperlink>
            <w:r>
              <w:rPr>
                <w:spacing w:val="-1"/>
                <w:szCs w:val="18"/>
              </w:rPr>
              <w:t>.</w:t>
            </w:r>
            <w:r w:rsidRPr="001C563E">
              <w:rPr>
                <w:szCs w:val="18"/>
              </w:rPr>
              <w:t xml:space="preserve"> I further declare that the nominated shelf life</w:t>
            </w:r>
            <w:r w:rsidR="00706D63">
              <w:rPr>
                <w:szCs w:val="18"/>
              </w:rPr>
              <w:t xml:space="preserve"> (including storage condition</w:t>
            </w:r>
            <w:r w:rsidR="008479AE">
              <w:rPr>
                <w:szCs w:val="18"/>
              </w:rPr>
              <w:t>s</w:t>
            </w:r>
            <w:r w:rsidR="00706D63">
              <w:rPr>
                <w:szCs w:val="18"/>
              </w:rPr>
              <w:t>)</w:t>
            </w:r>
            <w:r w:rsidRPr="001C563E">
              <w:rPr>
                <w:szCs w:val="18"/>
              </w:rPr>
              <w:t xml:space="preserve"> has been determined in accordance with </w:t>
            </w:r>
            <w:hyperlink r:id="rId35" w:history="1">
              <w:r w:rsidRPr="001C563E">
                <w:rPr>
                  <w:rStyle w:val="Hyperlink"/>
                  <w:spacing w:val="-1"/>
                  <w:szCs w:val="18"/>
                </w:rPr>
                <w:t>ARGOM Appendix 2: Guidelines on quality aspects of OTC applications</w:t>
              </w:r>
            </w:hyperlink>
            <w:r>
              <w:rPr>
                <w:spacing w:val="-1"/>
                <w:szCs w:val="18"/>
              </w:rPr>
              <w:t>.</w:t>
            </w:r>
          </w:p>
        </w:tc>
        <w:tc>
          <w:tcPr>
            <w:tcW w:w="2125" w:type="dxa"/>
          </w:tcPr>
          <w:p w14:paraId="3D9443CB" w14:textId="627781C1" w:rsidR="001C563E" w:rsidRPr="009A2501" w:rsidRDefault="001E2AF9" w:rsidP="001C563E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</w:p>
        </w:tc>
      </w:tr>
      <w:tr w:rsidR="001C563E" w14:paraId="54FF7A26" w14:textId="77777777" w:rsidTr="00607A39">
        <w:tc>
          <w:tcPr>
            <w:tcW w:w="1161" w:type="dxa"/>
          </w:tcPr>
          <w:p w14:paraId="31BF7AC0" w14:textId="77777777" w:rsidR="001C563E" w:rsidRDefault="001C563E" w:rsidP="001C563E">
            <w:r>
              <w:t>2</w:t>
            </w:r>
          </w:p>
        </w:tc>
        <w:tc>
          <w:tcPr>
            <w:tcW w:w="6490" w:type="dxa"/>
          </w:tcPr>
          <w:p w14:paraId="19D4F6FD" w14:textId="2A642B8F" w:rsidR="001C563E" w:rsidRPr="00536196" w:rsidRDefault="00536196" w:rsidP="00536196">
            <w:pPr>
              <w:ind w:left="0"/>
              <w:rPr>
                <w:szCs w:val="18"/>
              </w:rPr>
            </w:pPr>
            <w:r w:rsidRPr="00536196">
              <w:rPr>
                <w:szCs w:val="18"/>
              </w:rPr>
              <w:t>Where</w:t>
            </w:r>
            <w:r w:rsidRPr="00536196">
              <w:rPr>
                <w:spacing w:val="-7"/>
                <w:szCs w:val="18"/>
              </w:rPr>
              <w:t xml:space="preserve"> </w:t>
            </w:r>
            <w:r w:rsidRPr="00536196">
              <w:rPr>
                <w:szCs w:val="18"/>
              </w:rPr>
              <w:t>the</w:t>
            </w:r>
            <w:r w:rsidRPr="00536196">
              <w:rPr>
                <w:spacing w:val="-7"/>
                <w:szCs w:val="18"/>
              </w:rPr>
              <w:t xml:space="preserve"> </w:t>
            </w:r>
            <w:r w:rsidRPr="00536196">
              <w:rPr>
                <w:szCs w:val="18"/>
              </w:rPr>
              <w:t>medicine</w:t>
            </w:r>
            <w:r w:rsidRPr="00536196">
              <w:rPr>
                <w:spacing w:val="-7"/>
                <w:szCs w:val="18"/>
              </w:rPr>
              <w:t xml:space="preserve"> </w:t>
            </w:r>
            <w:r w:rsidRPr="00536196">
              <w:rPr>
                <w:szCs w:val="18"/>
              </w:rPr>
              <w:t>is</w:t>
            </w:r>
            <w:r w:rsidRPr="00536196">
              <w:rPr>
                <w:spacing w:val="-5"/>
                <w:szCs w:val="18"/>
              </w:rPr>
              <w:t xml:space="preserve"> </w:t>
            </w:r>
            <w:r w:rsidRPr="00536196">
              <w:rPr>
                <w:szCs w:val="18"/>
              </w:rPr>
              <w:t>an</w:t>
            </w:r>
            <w:r w:rsidRPr="00536196">
              <w:rPr>
                <w:spacing w:val="-2"/>
                <w:szCs w:val="18"/>
              </w:rPr>
              <w:t xml:space="preserve"> </w:t>
            </w:r>
            <w:r w:rsidRPr="00536196">
              <w:rPr>
                <w:szCs w:val="18"/>
              </w:rPr>
              <w:t>aqueous</w:t>
            </w:r>
            <w:r w:rsidRPr="00536196">
              <w:rPr>
                <w:spacing w:val="-5"/>
                <w:szCs w:val="18"/>
              </w:rPr>
              <w:t xml:space="preserve"> </w:t>
            </w:r>
            <w:r w:rsidRPr="00536196">
              <w:rPr>
                <w:szCs w:val="18"/>
              </w:rPr>
              <w:t>multi-dose</w:t>
            </w:r>
            <w:r w:rsidRPr="00536196">
              <w:rPr>
                <w:spacing w:val="-2"/>
                <w:szCs w:val="18"/>
              </w:rPr>
              <w:t xml:space="preserve"> </w:t>
            </w:r>
            <w:r w:rsidRPr="00536196">
              <w:rPr>
                <w:szCs w:val="18"/>
              </w:rPr>
              <w:t>medicine, the</w:t>
            </w:r>
            <w:r w:rsidRPr="00536196">
              <w:rPr>
                <w:spacing w:val="-2"/>
                <w:szCs w:val="18"/>
              </w:rPr>
              <w:t xml:space="preserve"> </w:t>
            </w:r>
            <w:r w:rsidRPr="00536196">
              <w:rPr>
                <w:szCs w:val="18"/>
              </w:rPr>
              <w:t>applicant</w:t>
            </w:r>
            <w:r w:rsidRPr="00536196">
              <w:rPr>
                <w:spacing w:val="-4"/>
                <w:szCs w:val="18"/>
              </w:rPr>
              <w:t xml:space="preserve"> </w:t>
            </w:r>
            <w:r w:rsidRPr="00536196">
              <w:rPr>
                <w:szCs w:val="18"/>
              </w:rPr>
              <w:t>holds data demonstrating preservative efficacy in accordance with</w:t>
            </w:r>
            <w:r>
              <w:rPr>
                <w:szCs w:val="18"/>
              </w:rPr>
              <w:t xml:space="preserve"> </w:t>
            </w:r>
            <w:hyperlink r:id="rId36" w:history="1">
              <w:r w:rsidR="00BC279A" w:rsidRPr="001C563E">
                <w:rPr>
                  <w:rStyle w:val="Hyperlink"/>
                  <w:spacing w:val="-1"/>
                  <w:szCs w:val="18"/>
                </w:rPr>
                <w:t>ARGOM Appendix 2: Guidelines on quality aspects of OTC applications</w:t>
              </w:r>
            </w:hyperlink>
            <w:r w:rsidR="00BC279A">
              <w:rPr>
                <w:spacing w:val="-1"/>
                <w:szCs w:val="18"/>
              </w:rPr>
              <w:t>, section</w:t>
            </w:r>
            <w:r w:rsidR="00BC279A" w:rsidRPr="001C563E">
              <w:rPr>
                <w:i/>
                <w:iCs/>
                <w:szCs w:val="18"/>
              </w:rPr>
              <w:t xml:space="preserve"> </w:t>
            </w:r>
            <w:r w:rsidR="00BC279A" w:rsidRPr="00BC279A">
              <w:rPr>
                <w:szCs w:val="18"/>
              </w:rPr>
              <w:t>9.</w:t>
            </w:r>
            <w:r w:rsidR="009E220E">
              <w:rPr>
                <w:szCs w:val="18"/>
              </w:rPr>
              <w:t>6</w:t>
            </w:r>
            <w:r w:rsidR="00BC279A" w:rsidRPr="00BC279A">
              <w:rPr>
                <w:szCs w:val="18"/>
              </w:rPr>
              <w:t>.6.</w:t>
            </w:r>
          </w:p>
        </w:tc>
        <w:tc>
          <w:tcPr>
            <w:tcW w:w="2125" w:type="dxa"/>
          </w:tcPr>
          <w:p w14:paraId="21ED1FD4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0AD97F90" w14:textId="20EAD126" w:rsidR="001C563E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1C563E" w14:paraId="796DBDD4" w14:textId="77777777" w:rsidTr="00AB5099">
        <w:tc>
          <w:tcPr>
            <w:tcW w:w="1161" w:type="dxa"/>
          </w:tcPr>
          <w:p w14:paraId="67FDDE8A" w14:textId="77777777" w:rsidR="001C563E" w:rsidRDefault="001C563E" w:rsidP="001C563E">
            <w:r>
              <w:t>3</w:t>
            </w:r>
          </w:p>
        </w:tc>
        <w:tc>
          <w:tcPr>
            <w:tcW w:w="6490" w:type="dxa"/>
          </w:tcPr>
          <w:p w14:paraId="714FE5F3" w14:textId="77777777" w:rsidR="009E220E" w:rsidRPr="009E220E" w:rsidRDefault="009E220E" w:rsidP="009E220E">
            <w:pPr>
              <w:pStyle w:val="TableParagraph"/>
              <w:kinsoku w:val="0"/>
              <w:overflowPunct w:val="0"/>
              <w:spacing w:before="133"/>
              <w:ind w:left="0"/>
              <w:rPr>
                <w:spacing w:val="-2"/>
                <w:sz w:val="18"/>
                <w:szCs w:val="18"/>
              </w:rPr>
            </w:pPr>
            <w:r w:rsidRPr="009E220E">
              <w:rPr>
                <w:sz w:val="18"/>
                <w:szCs w:val="18"/>
              </w:rPr>
              <w:t>The</w:t>
            </w:r>
            <w:r w:rsidRPr="009E220E">
              <w:rPr>
                <w:spacing w:val="-5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stability</w:t>
            </w:r>
            <w:r w:rsidRPr="009E220E">
              <w:rPr>
                <w:spacing w:val="-3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batches</w:t>
            </w:r>
            <w:r w:rsidRPr="009E220E">
              <w:rPr>
                <w:spacing w:val="-8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used</w:t>
            </w:r>
            <w:r w:rsidRPr="009E220E">
              <w:rPr>
                <w:spacing w:val="-5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in</w:t>
            </w:r>
            <w:r w:rsidRPr="009E220E">
              <w:rPr>
                <w:spacing w:val="-4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the</w:t>
            </w:r>
            <w:r w:rsidRPr="009E220E">
              <w:rPr>
                <w:spacing w:val="-5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above</w:t>
            </w:r>
            <w:r w:rsidRPr="009E220E">
              <w:rPr>
                <w:spacing w:val="-5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stability</w:t>
            </w:r>
            <w:r w:rsidRPr="009E220E">
              <w:rPr>
                <w:spacing w:val="-7"/>
                <w:sz w:val="18"/>
                <w:szCs w:val="18"/>
              </w:rPr>
              <w:t xml:space="preserve"> </w:t>
            </w:r>
            <w:r w:rsidRPr="009E220E">
              <w:rPr>
                <w:spacing w:val="-2"/>
                <w:sz w:val="18"/>
                <w:szCs w:val="18"/>
              </w:rPr>
              <w:t>studies:</w:t>
            </w:r>
          </w:p>
          <w:p w14:paraId="221CA9BC" w14:textId="506FEC8D" w:rsidR="009E220E" w:rsidRPr="009E220E" w:rsidRDefault="009E220E" w:rsidP="009E220E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kinsoku w:val="0"/>
              <w:overflowPunct w:val="0"/>
              <w:spacing w:before="117" w:line="244" w:lineRule="auto"/>
              <w:ind w:right="177"/>
              <w:rPr>
                <w:b/>
                <w:bCs/>
                <w:sz w:val="18"/>
                <w:szCs w:val="18"/>
              </w:rPr>
            </w:pPr>
            <w:r w:rsidRPr="009E220E">
              <w:rPr>
                <w:sz w:val="18"/>
                <w:szCs w:val="18"/>
              </w:rPr>
              <w:t>are</w:t>
            </w:r>
            <w:r w:rsidRPr="009E220E">
              <w:rPr>
                <w:spacing w:val="-3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identical</w:t>
            </w:r>
            <w:r w:rsidRPr="009E220E">
              <w:rPr>
                <w:spacing w:val="-3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with</w:t>
            </w:r>
            <w:r w:rsidRPr="009E220E">
              <w:rPr>
                <w:spacing w:val="-3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respect to</w:t>
            </w:r>
            <w:r w:rsidRPr="009E220E">
              <w:rPr>
                <w:spacing w:val="-12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formulation</w:t>
            </w:r>
            <w:r w:rsidRPr="009E220E">
              <w:rPr>
                <w:spacing w:val="-3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and</w:t>
            </w:r>
            <w:r w:rsidRPr="009E220E">
              <w:rPr>
                <w:spacing w:val="-3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container</w:t>
            </w:r>
            <w:r w:rsidRPr="009E220E">
              <w:rPr>
                <w:spacing w:val="-1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type</w:t>
            </w:r>
            <w:r>
              <w:rPr>
                <w:sz w:val="18"/>
                <w:szCs w:val="18"/>
              </w:rPr>
              <w:t xml:space="preserve"> and container </w:t>
            </w:r>
            <w:r w:rsidRPr="009E220E">
              <w:rPr>
                <w:sz w:val="18"/>
                <w:szCs w:val="18"/>
              </w:rPr>
              <w:t>material</w:t>
            </w:r>
            <w:r w:rsidRPr="009E220E">
              <w:rPr>
                <w:spacing w:val="-3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>to</w:t>
            </w:r>
            <w:r w:rsidRPr="009E220E">
              <w:rPr>
                <w:spacing w:val="-7"/>
                <w:sz w:val="18"/>
                <w:szCs w:val="18"/>
              </w:rPr>
              <w:t xml:space="preserve"> </w:t>
            </w:r>
            <w:r w:rsidRPr="009E220E">
              <w:rPr>
                <w:sz w:val="18"/>
                <w:szCs w:val="18"/>
              </w:rPr>
              <w:t xml:space="preserve">the product to be marketed, </w:t>
            </w:r>
            <w:r w:rsidRPr="009E220E">
              <w:rPr>
                <w:b/>
                <w:bCs/>
                <w:sz w:val="18"/>
                <w:szCs w:val="18"/>
              </w:rPr>
              <w:t>and</w:t>
            </w:r>
          </w:p>
          <w:p w14:paraId="114F5311" w14:textId="303CA898" w:rsidR="001C563E" w:rsidRPr="009E220E" w:rsidRDefault="009E220E" w:rsidP="009E220E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kinsoku w:val="0"/>
              <w:overflowPunct w:val="0"/>
              <w:spacing w:before="117" w:line="244" w:lineRule="auto"/>
              <w:ind w:right="177"/>
              <w:rPr>
                <w:b/>
                <w:bCs/>
                <w:sz w:val="20"/>
                <w:szCs w:val="20"/>
              </w:rPr>
            </w:pPr>
            <w:r w:rsidRPr="009E220E">
              <w:rPr>
                <w:rFonts w:eastAsia="Cambria"/>
                <w:sz w:val="18"/>
                <w:szCs w:val="18"/>
              </w:rPr>
              <w:t>were manufactured at pilot or production scale, using a process that simulates</w:t>
            </w:r>
            <w:r w:rsidRPr="009E220E">
              <w:rPr>
                <w:rFonts w:eastAsia="Cambria"/>
                <w:spacing w:val="-5"/>
                <w:sz w:val="18"/>
                <w:szCs w:val="18"/>
              </w:rPr>
              <w:t xml:space="preserve"> </w:t>
            </w:r>
            <w:r w:rsidRPr="009E220E">
              <w:rPr>
                <w:rFonts w:eastAsia="Cambria"/>
                <w:sz w:val="18"/>
                <w:szCs w:val="18"/>
              </w:rPr>
              <w:t>the</w:t>
            </w:r>
            <w:r w:rsidRPr="009E220E">
              <w:rPr>
                <w:rFonts w:eastAsia="Cambria"/>
                <w:spacing w:val="-7"/>
                <w:sz w:val="18"/>
                <w:szCs w:val="18"/>
              </w:rPr>
              <w:t xml:space="preserve"> </w:t>
            </w:r>
            <w:r w:rsidRPr="009E220E">
              <w:rPr>
                <w:rFonts w:eastAsia="Cambria"/>
                <w:sz w:val="18"/>
                <w:szCs w:val="18"/>
              </w:rPr>
              <w:t>final process</w:t>
            </w:r>
            <w:r w:rsidRPr="009E220E">
              <w:rPr>
                <w:rFonts w:eastAsia="Cambria"/>
                <w:spacing w:val="-5"/>
                <w:sz w:val="18"/>
                <w:szCs w:val="18"/>
              </w:rPr>
              <w:t xml:space="preserve"> </w:t>
            </w:r>
            <w:r w:rsidRPr="009E220E">
              <w:rPr>
                <w:rFonts w:eastAsia="Cambria"/>
                <w:sz w:val="18"/>
                <w:szCs w:val="18"/>
              </w:rPr>
              <w:t>intended</w:t>
            </w:r>
            <w:r w:rsidRPr="009E220E">
              <w:rPr>
                <w:rFonts w:eastAsia="Cambria"/>
                <w:spacing w:val="-7"/>
                <w:sz w:val="18"/>
                <w:szCs w:val="18"/>
              </w:rPr>
              <w:t xml:space="preserve"> </w:t>
            </w:r>
            <w:r w:rsidRPr="009E220E">
              <w:rPr>
                <w:rFonts w:eastAsia="Cambria"/>
                <w:sz w:val="18"/>
                <w:szCs w:val="18"/>
              </w:rPr>
              <w:t>for</w:t>
            </w:r>
            <w:r w:rsidRPr="009E220E">
              <w:rPr>
                <w:rFonts w:eastAsia="Cambria"/>
                <w:spacing w:val="-5"/>
                <w:sz w:val="18"/>
                <w:szCs w:val="18"/>
              </w:rPr>
              <w:t xml:space="preserve"> </w:t>
            </w:r>
            <w:r w:rsidRPr="009E220E">
              <w:rPr>
                <w:rFonts w:eastAsia="Cambria"/>
                <w:sz w:val="18"/>
                <w:szCs w:val="18"/>
              </w:rPr>
              <w:t>manufacture</w:t>
            </w:r>
            <w:r w:rsidRPr="009E220E">
              <w:rPr>
                <w:rFonts w:eastAsia="Cambria"/>
                <w:spacing w:val="-2"/>
                <w:sz w:val="18"/>
                <w:szCs w:val="18"/>
              </w:rPr>
              <w:t xml:space="preserve"> </w:t>
            </w:r>
            <w:r w:rsidRPr="009E220E">
              <w:rPr>
                <w:rFonts w:eastAsia="Cambria"/>
                <w:sz w:val="18"/>
                <w:szCs w:val="18"/>
              </w:rPr>
              <w:t>of the</w:t>
            </w:r>
            <w:r w:rsidRPr="009E220E">
              <w:rPr>
                <w:rFonts w:eastAsia="Cambria"/>
                <w:spacing w:val="-2"/>
                <w:sz w:val="18"/>
                <w:szCs w:val="18"/>
              </w:rPr>
              <w:t xml:space="preserve"> </w:t>
            </w:r>
            <w:r w:rsidRPr="009E220E">
              <w:rPr>
                <w:rFonts w:eastAsia="Cambria"/>
                <w:sz w:val="18"/>
                <w:szCs w:val="18"/>
              </w:rPr>
              <w:t>product</w:t>
            </w:r>
            <w:r w:rsidRPr="009E220E">
              <w:rPr>
                <w:rFonts w:eastAsia="Cambria"/>
                <w:spacing w:val="-4"/>
                <w:sz w:val="18"/>
                <w:szCs w:val="18"/>
              </w:rPr>
              <w:t xml:space="preserve"> </w:t>
            </w:r>
            <w:r w:rsidRPr="009E220E">
              <w:rPr>
                <w:rFonts w:eastAsia="Cambria"/>
                <w:sz w:val="18"/>
                <w:szCs w:val="18"/>
              </w:rPr>
              <w:t>to</w:t>
            </w:r>
            <w:r w:rsidRPr="009E220E">
              <w:rPr>
                <w:rFonts w:eastAsia="Cambria"/>
                <w:spacing w:val="-2"/>
                <w:sz w:val="18"/>
                <w:szCs w:val="18"/>
              </w:rPr>
              <w:t xml:space="preserve"> </w:t>
            </w:r>
            <w:r w:rsidRPr="009E220E">
              <w:rPr>
                <w:rFonts w:eastAsia="Cambria"/>
                <w:sz w:val="18"/>
                <w:szCs w:val="18"/>
              </w:rPr>
              <w:t xml:space="preserve">be </w:t>
            </w:r>
            <w:r w:rsidRPr="009E220E">
              <w:rPr>
                <w:rFonts w:eastAsia="Cambria"/>
                <w:spacing w:val="-2"/>
                <w:sz w:val="18"/>
                <w:szCs w:val="18"/>
              </w:rPr>
              <w:t>marketed.</w:t>
            </w:r>
          </w:p>
        </w:tc>
        <w:tc>
          <w:tcPr>
            <w:tcW w:w="2125" w:type="dxa"/>
            <w:vAlign w:val="center"/>
          </w:tcPr>
          <w:p w14:paraId="393FAAB7" w14:textId="06D7B093" w:rsidR="0087298A" w:rsidRDefault="001E2AF9" w:rsidP="001C563E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B5099" w:rsidRPr="009A2501">
              <w:t xml:space="preserve"> Yes</w:t>
            </w:r>
            <w:r w:rsidR="00AB5099">
              <w:t xml:space="preserve"> </w:t>
            </w:r>
          </w:p>
          <w:p w14:paraId="44F6526B" w14:textId="77777777" w:rsidR="0087298A" w:rsidRDefault="0087298A" w:rsidP="001C563E">
            <w:pPr>
              <w:ind w:left="0"/>
            </w:pPr>
          </w:p>
          <w:p w14:paraId="45DE3A42" w14:textId="2281D460" w:rsidR="001C563E" w:rsidRPr="009A2501" w:rsidRDefault="001E2AF9" w:rsidP="001C563E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B5099" w:rsidRPr="009A2501">
              <w:t xml:space="preserve"> Yes</w:t>
            </w:r>
          </w:p>
        </w:tc>
      </w:tr>
      <w:tr w:rsidR="001C563E" w14:paraId="67E01498" w14:textId="77777777" w:rsidTr="00607A39">
        <w:tc>
          <w:tcPr>
            <w:tcW w:w="1161" w:type="dxa"/>
          </w:tcPr>
          <w:p w14:paraId="021875A4" w14:textId="77777777" w:rsidR="001C563E" w:rsidRDefault="001C563E" w:rsidP="001C563E">
            <w:r>
              <w:t>4</w:t>
            </w:r>
          </w:p>
        </w:tc>
        <w:tc>
          <w:tcPr>
            <w:tcW w:w="6490" w:type="dxa"/>
          </w:tcPr>
          <w:p w14:paraId="7F65BF5C" w14:textId="1D5B737C" w:rsidR="001C563E" w:rsidRPr="009E220E" w:rsidRDefault="009E220E" w:rsidP="009E220E">
            <w:pPr>
              <w:ind w:left="0"/>
              <w:rPr>
                <w:szCs w:val="18"/>
              </w:rPr>
            </w:pPr>
            <w:r w:rsidRPr="009E220E">
              <w:rPr>
                <w:szCs w:val="18"/>
              </w:rPr>
              <w:t>Where</w:t>
            </w:r>
            <w:r w:rsidRPr="009E220E">
              <w:rPr>
                <w:spacing w:val="-6"/>
                <w:szCs w:val="18"/>
              </w:rPr>
              <w:t xml:space="preserve"> </w:t>
            </w:r>
            <w:r w:rsidRPr="009E220E">
              <w:rPr>
                <w:szCs w:val="18"/>
              </w:rPr>
              <w:t>a</w:t>
            </w:r>
            <w:r w:rsidRPr="009E220E">
              <w:rPr>
                <w:spacing w:val="-2"/>
                <w:szCs w:val="18"/>
              </w:rPr>
              <w:t xml:space="preserve"> </w:t>
            </w:r>
            <w:r w:rsidRPr="009E220E">
              <w:rPr>
                <w:szCs w:val="18"/>
              </w:rPr>
              <w:t>shelf life</w:t>
            </w:r>
            <w:r w:rsidRPr="009E220E">
              <w:rPr>
                <w:spacing w:val="-6"/>
                <w:szCs w:val="18"/>
              </w:rPr>
              <w:t xml:space="preserve"> </w:t>
            </w:r>
            <w:r w:rsidRPr="009E220E">
              <w:rPr>
                <w:szCs w:val="18"/>
              </w:rPr>
              <w:t>has</w:t>
            </w:r>
            <w:r w:rsidRPr="009E220E">
              <w:rPr>
                <w:spacing w:val="-4"/>
                <w:szCs w:val="18"/>
              </w:rPr>
              <w:t xml:space="preserve"> </w:t>
            </w:r>
            <w:r w:rsidRPr="009E220E">
              <w:rPr>
                <w:szCs w:val="18"/>
              </w:rPr>
              <w:t>been</w:t>
            </w:r>
            <w:r w:rsidRPr="009E220E">
              <w:rPr>
                <w:spacing w:val="-2"/>
                <w:szCs w:val="18"/>
              </w:rPr>
              <w:t xml:space="preserve"> </w:t>
            </w:r>
            <w:r w:rsidRPr="009E220E">
              <w:rPr>
                <w:szCs w:val="18"/>
              </w:rPr>
              <w:t>allocated</w:t>
            </w:r>
            <w:r w:rsidRPr="009E220E">
              <w:rPr>
                <w:spacing w:val="-2"/>
                <w:szCs w:val="18"/>
              </w:rPr>
              <w:t xml:space="preserve"> </w:t>
            </w:r>
            <w:r w:rsidRPr="009E220E">
              <w:rPr>
                <w:szCs w:val="18"/>
              </w:rPr>
              <w:t>on</w:t>
            </w:r>
            <w:r w:rsidRPr="009E220E">
              <w:rPr>
                <w:spacing w:val="-6"/>
                <w:szCs w:val="18"/>
              </w:rPr>
              <w:t xml:space="preserve"> </w:t>
            </w:r>
            <w:r w:rsidRPr="009E220E">
              <w:rPr>
                <w:szCs w:val="18"/>
              </w:rPr>
              <w:t>the</w:t>
            </w:r>
            <w:r w:rsidRPr="009E220E">
              <w:rPr>
                <w:spacing w:val="-2"/>
                <w:szCs w:val="18"/>
              </w:rPr>
              <w:t xml:space="preserve"> </w:t>
            </w:r>
            <w:r w:rsidRPr="009E220E">
              <w:rPr>
                <w:szCs w:val="18"/>
              </w:rPr>
              <w:t>basis</w:t>
            </w:r>
            <w:r w:rsidRPr="009E220E">
              <w:rPr>
                <w:spacing w:val="-4"/>
                <w:szCs w:val="18"/>
              </w:rPr>
              <w:t xml:space="preserve"> </w:t>
            </w:r>
            <w:r w:rsidRPr="009E220E">
              <w:rPr>
                <w:szCs w:val="18"/>
              </w:rPr>
              <w:t>of anything</w:t>
            </w:r>
            <w:r w:rsidRPr="009E220E">
              <w:rPr>
                <w:spacing w:val="-6"/>
                <w:szCs w:val="18"/>
              </w:rPr>
              <w:t xml:space="preserve"> </w:t>
            </w:r>
            <w:r w:rsidRPr="009E220E">
              <w:rPr>
                <w:szCs w:val="18"/>
              </w:rPr>
              <w:t>less</w:t>
            </w:r>
            <w:r w:rsidRPr="009E220E">
              <w:rPr>
                <w:spacing w:val="-4"/>
                <w:szCs w:val="18"/>
              </w:rPr>
              <w:t xml:space="preserve"> </w:t>
            </w:r>
            <w:r w:rsidRPr="009E220E">
              <w:rPr>
                <w:szCs w:val="18"/>
              </w:rPr>
              <w:t>than</w:t>
            </w:r>
            <w:r w:rsidRPr="009E220E">
              <w:rPr>
                <w:spacing w:val="-2"/>
                <w:szCs w:val="18"/>
              </w:rPr>
              <w:t xml:space="preserve"> </w:t>
            </w:r>
            <w:r w:rsidRPr="009E220E">
              <w:rPr>
                <w:szCs w:val="18"/>
              </w:rPr>
              <w:t>full- term data on two production batches, a stability testing program will be initiated on the</w:t>
            </w:r>
            <w:r w:rsidRPr="009E220E">
              <w:rPr>
                <w:spacing w:val="-1"/>
                <w:szCs w:val="18"/>
              </w:rPr>
              <w:t xml:space="preserve"> </w:t>
            </w:r>
            <w:r w:rsidRPr="009E220E">
              <w:rPr>
                <w:szCs w:val="18"/>
              </w:rPr>
              <w:t>first production batches of the goods (to</w:t>
            </w:r>
            <w:r w:rsidRPr="009E220E">
              <w:rPr>
                <w:spacing w:val="-1"/>
                <w:szCs w:val="18"/>
              </w:rPr>
              <w:t xml:space="preserve"> </w:t>
            </w:r>
            <w:r w:rsidRPr="009E220E">
              <w:rPr>
                <w:szCs w:val="18"/>
              </w:rPr>
              <w:t>a total of two), and any adverse results will be immediately reported to the TGA.</w:t>
            </w:r>
          </w:p>
        </w:tc>
        <w:tc>
          <w:tcPr>
            <w:tcW w:w="2125" w:type="dxa"/>
          </w:tcPr>
          <w:p w14:paraId="6BBFF3F2" w14:textId="77777777" w:rsidR="001E2AF9" w:rsidRDefault="001E2AF9" w:rsidP="001E2AF9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</w:t>
            </w:r>
            <w:r>
              <w:t xml:space="preserve"> </w:t>
            </w:r>
          </w:p>
          <w:p w14:paraId="11FB11A1" w14:textId="3DFE6C65" w:rsidR="001C563E" w:rsidRPr="009A2501" w:rsidRDefault="001E2AF9" w:rsidP="001E2AF9">
            <w:pPr>
              <w:ind w:left="0"/>
            </w:pPr>
            <w:r>
              <w:fldChar w:fldCharType="begin">
                <w:ffData>
                  <w:name w:val="Check13"/>
                  <w:enabled/>
                  <w:calcOnExit w:val="0"/>
                  <w:helpText w:type="text" w:val="tick if 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1C563E" w14:paraId="7FFCB728" w14:textId="77777777" w:rsidTr="00607A39">
        <w:tc>
          <w:tcPr>
            <w:tcW w:w="1161" w:type="dxa"/>
          </w:tcPr>
          <w:p w14:paraId="1A82F386" w14:textId="77777777" w:rsidR="001C563E" w:rsidRDefault="001C563E" w:rsidP="001C563E">
            <w:r>
              <w:t>5</w:t>
            </w:r>
          </w:p>
        </w:tc>
        <w:tc>
          <w:tcPr>
            <w:tcW w:w="6490" w:type="dxa"/>
          </w:tcPr>
          <w:p w14:paraId="2CC5092A" w14:textId="3C57B151" w:rsidR="001C563E" w:rsidRPr="001B78D6" w:rsidRDefault="009E220E" w:rsidP="009E220E">
            <w:pPr>
              <w:ind w:left="0"/>
              <w:rPr>
                <w:szCs w:val="18"/>
              </w:rPr>
            </w:pPr>
            <w:r w:rsidRPr="001B78D6">
              <w:rPr>
                <w:szCs w:val="18"/>
              </w:rPr>
              <w:t xml:space="preserve">An ongoing stability testing program will be carried out in accordance with </w:t>
            </w:r>
            <w:hyperlink r:id="rId37" w:history="1">
              <w:r w:rsidR="001B78D6" w:rsidRPr="001B78D6">
                <w:rPr>
                  <w:rStyle w:val="Hyperlink"/>
                  <w:szCs w:val="18"/>
                </w:rPr>
                <w:t>Good Man</w:t>
              </w:r>
              <w:r w:rsidR="001B78D6" w:rsidRPr="001B78D6">
                <w:rPr>
                  <w:rStyle w:val="Hyperlink"/>
                  <w:szCs w:val="18"/>
                </w:rPr>
                <w:t>u</w:t>
              </w:r>
              <w:r w:rsidR="001B78D6" w:rsidRPr="001B78D6">
                <w:rPr>
                  <w:rStyle w:val="Hyperlink"/>
                  <w:szCs w:val="18"/>
                </w:rPr>
                <w:t>facturing Practice</w:t>
              </w:r>
            </w:hyperlink>
            <w:r w:rsidR="001B78D6">
              <w:rPr>
                <w:szCs w:val="18"/>
              </w:rPr>
              <w:t xml:space="preserve"> </w:t>
            </w:r>
            <w:r w:rsidR="00C71CB6">
              <w:rPr>
                <w:szCs w:val="18"/>
              </w:rPr>
              <w:t xml:space="preserve">(GMP) </w:t>
            </w:r>
            <w:r w:rsidR="001B78D6">
              <w:rPr>
                <w:szCs w:val="18"/>
              </w:rPr>
              <w:t>requirements (</w:t>
            </w:r>
            <w:r w:rsidR="00C71CB6">
              <w:rPr>
                <w:szCs w:val="18"/>
              </w:rPr>
              <w:t xml:space="preserve">PIC/S Guide to GMP for medicinal products, </w:t>
            </w:r>
            <w:r w:rsidR="001B78D6">
              <w:rPr>
                <w:szCs w:val="18"/>
              </w:rPr>
              <w:t>Part I chapter 6).</w:t>
            </w:r>
          </w:p>
        </w:tc>
        <w:tc>
          <w:tcPr>
            <w:tcW w:w="2125" w:type="dxa"/>
          </w:tcPr>
          <w:p w14:paraId="1994E408" w14:textId="4F87142C" w:rsidR="001C563E" w:rsidRPr="009A2501" w:rsidRDefault="001E2AF9" w:rsidP="001C563E">
            <w:pPr>
              <w:ind w:left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tick if 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2501">
              <w:t xml:space="preserve"> Yes </w:t>
            </w:r>
          </w:p>
        </w:tc>
      </w:tr>
    </w:tbl>
    <w:p w14:paraId="1AA68DE4" w14:textId="1EFD646A" w:rsidR="00181289" w:rsidRPr="00181289" w:rsidRDefault="00181289" w:rsidP="00925BE0">
      <w:pPr>
        <w:pStyle w:val="Heading2"/>
      </w:pPr>
      <w:bookmarkStart w:id="6" w:name="_Hlk206080370"/>
      <w:r w:rsidRPr="00181289">
        <w:t>Declaration</w:t>
      </w:r>
    </w:p>
    <w:p w14:paraId="7732D8C2" w14:textId="300B1DBF" w:rsidR="00181289" w:rsidRPr="009A2501" w:rsidRDefault="00181289" w:rsidP="00181289">
      <w:r>
        <w:t>I declare that</w:t>
      </w:r>
      <w:r w:rsidRPr="009A2501">
        <w:t>:</w:t>
      </w:r>
    </w:p>
    <w:p w14:paraId="7FCE26CD" w14:textId="1D9ACC2F" w:rsidR="00181289" w:rsidRPr="009A2501" w:rsidRDefault="00181289" w:rsidP="00181289">
      <w:pPr>
        <w:pStyle w:val="ListBullet"/>
        <w:tabs>
          <w:tab w:val="left" w:pos="1560"/>
          <w:tab w:val="left" w:pos="2694"/>
        </w:tabs>
      </w:pPr>
      <w:r>
        <w:t>The information and assurances I have provided above are true and correct.</w:t>
      </w:r>
      <w:r w:rsidRPr="009A2501">
        <w:tab/>
      </w:r>
      <w:r w:rsidR="001E2AF9">
        <w:fldChar w:fldCharType="begin">
          <w:ffData>
            <w:name w:val=""/>
            <w:enabled/>
            <w:calcOnExit w:val="0"/>
            <w:helpText w:type="text" w:val="tick if "/>
            <w:statusText w:type="text" w:val="Yes"/>
            <w:checkBox>
              <w:sizeAuto/>
              <w:default w:val="0"/>
            </w:checkBox>
          </w:ffData>
        </w:fldChar>
      </w:r>
      <w:r w:rsidR="001E2AF9">
        <w:instrText xml:space="preserve"> FORMCHECKBOX </w:instrText>
      </w:r>
      <w:r w:rsidR="001E2AF9">
        <w:fldChar w:fldCharType="separate"/>
      </w:r>
      <w:r w:rsidR="001E2AF9">
        <w:fldChar w:fldCharType="end"/>
      </w:r>
      <w:r w:rsidR="00832FB7">
        <w:t xml:space="preserve"> </w:t>
      </w:r>
      <w:r w:rsidRPr="009A2501">
        <w:t xml:space="preserve">Yes </w:t>
      </w:r>
    </w:p>
    <w:p w14:paraId="4B54852C" w14:textId="6DF5F2C0" w:rsidR="00181289" w:rsidRDefault="00181289" w:rsidP="001E2AF9">
      <w:pPr>
        <w:pStyle w:val="ListBullet"/>
        <w:tabs>
          <w:tab w:val="left" w:pos="1560"/>
          <w:tab w:val="left" w:pos="2694"/>
        </w:tabs>
        <w:spacing w:after="240"/>
      </w:pPr>
      <w:r>
        <w:t xml:space="preserve">I am authorised to act on behalf of the sponsor. </w:t>
      </w:r>
      <w:r w:rsidRPr="009A2501">
        <w:tab/>
      </w:r>
      <w:r>
        <w:tab/>
      </w:r>
      <w:r>
        <w:tab/>
      </w:r>
      <w:r>
        <w:tab/>
      </w:r>
      <w:r w:rsidR="001E2AF9">
        <w:fldChar w:fldCharType="begin">
          <w:ffData>
            <w:name w:val=""/>
            <w:enabled/>
            <w:calcOnExit w:val="0"/>
            <w:helpText w:type="text" w:val="tick if "/>
            <w:statusText w:type="text" w:val="Yes"/>
            <w:checkBox>
              <w:sizeAuto/>
              <w:default w:val="0"/>
            </w:checkBox>
          </w:ffData>
        </w:fldChar>
      </w:r>
      <w:r w:rsidR="001E2AF9">
        <w:instrText xml:space="preserve"> FORMCHECKBOX </w:instrText>
      </w:r>
      <w:r w:rsidR="001E2AF9">
        <w:fldChar w:fldCharType="separate"/>
      </w:r>
      <w:r w:rsidR="001E2AF9">
        <w:fldChar w:fldCharType="end"/>
      </w:r>
      <w:r w:rsidR="001E2AF9">
        <w:t xml:space="preserve"> </w:t>
      </w:r>
      <w:r w:rsidR="00832FB7" w:rsidRPr="009A2501">
        <w:t>Yes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884"/>
        <w:gridCol w:w="779"/>
        <w:gridCol w:w="3674"/>
      </w:tblGrid>
      <w:tr w:rsidR="00181289" w:rsidRPr="009A2501" w14:paraId="3CBB9A95" w14:textId="77777777" w:rsidTr="00181289">
        <w:trPr>
          <w:cantSplit/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088CE" w14:textId="77777777" w:rsidR="00181289" w:rsidRPr="009A2501" w:rsidRDefault="00181289" w:rsidP="00607A39">
            <w:r w:rsidRPr="009A2501">
              <w:t xml:space="preserve">Name </w:t>
            </w:r>
          </w:p>
        </w:tc>
        <w:tc>
          <w:tcPr>
            <w:tcW w:w="7337" w:type="dxa"/>
            <w:gridSpan w:val="3"/>
            <w:tcBorders>
              <w:left w:val="single" w:sz="4" w:space="0" w:color="auto"/>
            </w:tcBorders>
            <w:vAlign w:val="center"/>
          </w:tcPr>
          <w:p w14:paraId="168D106B" w14:textId="7EE68D34" w:rsidR="00181289" w:rsidRPr="009A2501" w:rsidRDefault="001E2AF9" w:rsidP="00607A39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1289" w:rsidRPr="009A2501" w14:paraId="4FB0401D" w14:textId="77777777" w:rsidTr="00181289">
        <w:trPr>
          <w:cantSplit/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FE9328" w14:textId="3E7EE967" w:rsidR="00181289" w:rsidRPr="009A2501" w:rsidRDefault="00181289" w:rsidP="00607A39">
            <w:r>
              <w:t>Position (e.g. regulatory affairs officer, agent of the sponsor</w:t>
            </w:r>
            <w:r w:rsidR="001B78D6">
              <w:t>)</w:t>
            </w:r>
          </w:p>
        </w:tc>
        <w:tc>
          <w:tcPr>
            <w:tcW w:w="7337" w:type="dxa"/>
            <w:gridSpan w:val="3"/>
            <w:tcBorders>
              <w:left w:val="single" w:sz="4" w:space="0" w:color="auto"/>
            </w:tcBorders>
            <w:vAlign w:val="center"/>
          </w:tcPr>
          <w:p w14:paraId="14605BD9" w14:textId="2B0FCA0C" w:rsidR="00181289" w:rsidRDefault="001E2AF9" w:rsidP="00607A39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ory 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1289" w:rsidRPr="009A2501" w14:paraId="0B71E7A0" w14:textId="77777777" w:rsidTr="00181289">
        <w:trPr>
          <w:cantSplit/>
          <w:trHeight w:val="2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80D38" w14:textId="77777777" w:rsidR="00181289" w:rsidRDefault="00181289" w:rsidP="00607A39">
            <w:r w:rsidRPr="009A2501">
              <w:t>Signature</w:t>
            </w:r>
          </w:p>
          <w:p w14:paraId="04262B70" w14:textId="77777777" w:rsidR="00181289" w:rsidRPr="009A2501" w:rsidRDefault="00181289" w:rsidP="00607A39"/>
        </w:tc>
        <w:tc>
          <w:tcPr>
            <w:tcW w:w="2884" w:type="dxa"/>
            <w:tcBorders>
              <w:left w:val="single" w:sz="4" w:space="0" w:color="auto"/>
            </w:tcBorders>
            <w:vAlign w:val="center"/>
          </w:tcPr>
          <w:p w14:paraId="414D721D" w14:textId="77777777" w:rsidR="00181289" w:rsidRDefault="00181289" w:rsidP="00607A39"/>
          <w:p w14:paraId="00CFC8C1" w14:textId="3F445094" w:rsidR="001B78D6" w:rsidRDefault="001E2AF9" w:rsidP="00607A39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5D0AFB" w14:textId="77777777" w:rsidR="001B78D6" w:rsidRPr="009A2501" w:rsidRDefault="001B78D6" w:rsidP="00607A39"/>
        </w:tc>
        <w:tc>
          <w:tcPr>
            <w:tcW w:w="779" w:type="dxa"/>
            <w:tcBorders>
              <w:bottom w:val="nil"/>
            </w:tcBorders>
            <w:vAlign w:val="center"/>
          </w:tcPr>
          <w:p w14:paraId="577B07DD" w14:textId="77777777" w:rsidR="00181289" w:rsidRPr="009A2501" w:rsidRDefault="00181289" w:rsidP="00607A39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25E98A78" w14:textId="65FC0A50" w:rsidR="00181289" w:rsidRPr="009A2501" w:rsidRDefault="001E2AF9" w:rsidP="00607A39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6"/>
    </w:tbl>
    <w:p w14:paraId="117505EB" w14:textId="77777777" w:rsidR="0083026C" w:rsidRDefault="0083026C" w:rsidP="000B1A45"/>
    <w:sectPr w:rsidR="0083026C" w:rsidSect="00D3276C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2D4D" w14:textId="77777777" w:rsidR="00684070" w:rsidRDefault="00684070" w:rsidP="000B1A45">
      <w:r>
        <w:separator/>
      </w:r>
    </w:p>
  </w:endnote>
  <w:endnote w:type="continuationSeparator" w:id="0">
    <w:p w14:paraId="63A71FD9" w14:textId="77777777" w:rsidR="00684070" w:rsidRDefault="00684070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E666" w14:textId="619BF942" w:rsidR="005139F9" w:rsidRDefault="005139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7B63A16" wp14:editId="16273F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50934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CE55A" w14:textId="48177D1E" w:rsidR="005139F9" w:rsidRPr="005139F9" w:rsidRDefault="005139F9" w:rsidP="005139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39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63A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29CE55A" w14:textId="48177D1E" w:rsidR="005139F9" w:rsidRPr="005139F9" w:rsidRDefault="005139F9" w:rsidP="005139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39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989" w14:textId="7AA6CB58" w:rsidR="006D7E16" w:rsidRPr="002C3C78" w:rsidRDefault="005139F9" w:rsidP="009D5FEA">
    <w:pPr>
      <w:pStyle w:val="Footer"/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8ECA86C" wp14:editId="3DBEFC87">
              <wp:simplePos x="720725" y="10144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9529248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EDC74" w14:textId="06CC18B3" w:rsidR="005139F9" w:rsidRPr="005139F9" w:rsidRDefault="005139F9" w:rsidP="005139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39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CA8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E2EDC74" w14:textId="06CC18B3" w:rsidR="005139F9" w:rsidRPr="005139F9" w:rsidRDefault="005139F9" w:rsidP="005139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39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CA6">
      <w:t>Assurances to accompany an OTC new medicine N2 application</w:t>
    </w:r>
    <w:r w:rsidR="001B78D6">
      <w:t xml:space="preserve">, </w:t>
    </w:r>
    <w:r w:rsidR="00C6347D">
      <w:t>January 2026</w:t>
    </w:r>
  </w:p>
  <w:p w14:paraId="2BA3217A" w14:textId="0FFDDAB3" w:rsidR="00212A35" w:rsidRPr="002C3C78" w:rsidRDefault="00212A35" w:rsidP="009D5FEA">
    <w:pPr>
      <w:pStyle w:val="Footer"/>
      <w:spacing w:after="0"/>
    </w:pPr>
    <w:r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Content>
        <w:r w:rsidRPr="002C3C78">
          <w:t xml:space="preserve">Page </w:t>
        </w:r>
        <w:r w:rsidR="006D7E16" w:rsidRPr="002C3C78">
          <w:fldChar w:fldCharType="begin"/>
        </w:r>
        <w:r w:rsidR="006D7E16" w:rsidRPr="002C3C78">
          <w:instrText xml:space="preserve"> PAGE </w:instrText>
        </w:r>
        <w:r w:rsidR="006D7E16" w:rsidRPr="002C3C78">
          <w:fldChar w:fldCharType="separate"/>
        </w:r>
        <w:r w:rsidR="009B4FA4">
          <w:rPr>
            <w:noProof/>
          </w:rPr>
          <w:t>3</w:t>
        </w:r>
        <w:r w:rsidR="006D7E16" w:rsidRPr="002C3C78">
          <w:rPr>
            <w:noProof/>
          </w:rPr>
          <w:fldChar w:fldCharType="end"/>
        </w:r>
        <w:r w:rsidRPr="002C3C78">
          <w:t xml:space="preserve"> of </w:t>
        </w:r>
        <w:r w:rsidR="009B4FA4">
          <w:fldChar w:fldCharType="begin"/>
        </w:r>
        <w:r w:rsidR="009B4FA4">
          <w:instrText xml:space="preserve"> NUMPAGES  </w:instrText>
        </w:r>
        <w:r w:rsidR="009B4FA4">
          <w:fldChar w:fldCharType="separate"/>
        </w:r>
        <w:r w:rsidR="009B4FA4">
          <w:rPr>
            <w:noProof/>
          </w:rPr>
          <w:t>3</w:t>
        </w:r>
        <w:r w:rsidR="009B4FA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848F" w14:textId="6F52FE3A" w:rsidR="00212A35" w:rsidRPr="002C3C78" w:rsidRDefault="005139F9" w:rsidP="009B4FA4">
    <w:pPr>
      <w:pStyle w:val="Footer"/>
      <w:spacing w:before="120" w:after="0"/>
    </w:pPr>
    <w:r>
      <w:rPr>
        <w:noProof/>
        <w:color w:val="006BA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EFDB2C" wp14:editId="1B1FD2B6">
              <wp:simplePos x="723900" y="9658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63854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443EE" w14:textId="43DEDD79" w:rsidR="005139F9" w:rsidRPr="005139F9" w:rsidRDefault="005139F9" w:rsidP="005139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39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FDB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6F443EE" w14:textId="43DEDD79" w:rsidR="005139F9" w:rsidRPr="005139F9" w:rsidRDefault="005139F9" w:rsidP="005139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39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109"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35B30EB6" wp14:editId="31483AE7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03E658DD" w14:textId="5ACE7FE5" w:rsidR="00212A35" w:rsidRPr="002C3C78" w:rsidRDefault="00212A35" w:rsidP="00212A35">
    <w:pPr>
      <w:spacing w:after="0"/>
      <w:rPr>
        <w:rStyle w:val="FooterChar"/>
      </w:rPr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 xml:space="preserve">1800 020 653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>Email:</w:t>
    </w:r>
    <w:r w:rsidRPr="002C3C78">
      <w:rPr>
        <w:rStyle w:val="FooterChar"/>
      </w:rPr>
      <w:t xml:space="preserve"> </w:t>
    </w:r>
    <w:r w:rsidRPr="009D14EE">
      <w:rPr>
        <w:rStyle w:val="FooterChar"/>
      </w:rPr>
      <w:t>info@tga.gov</w:t>
    </w:r>
    <w:r w:rsidRPr="002C3C78">
      <w:rPr>
        <w:rStyle w:val="FooterChar"/>
      </w:rPr>
      <w:t xml:space="preserve">.au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36EBD3E1" w14:textId="1BBF5BDF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 xml:space="preserve">Publication </w:t>
    </w:r>
    <w:r w:rsidR="00827CA6">
      <w:rPr>
        <w:sz w:val="18"/>
        <w:szCs w:val="18"/>
      </w:rPr>
      <w:t>D25-</w:t>
    </w:r>
    <w:r w:rsidR="001D4BFC">
      <w:rPr>
        <w:sz w:val="18"/>
        <w:szCs w:val="18"/>
      </w:rPr>
      <w:t>4960960</w:t>
    </w:r>
  </w:p>
  <w:p w14:paraId="102C1E0E" w14:textId="77777777" w:rsidR="00212A35" w:rsidRPr="002C3C78" w:rsidRDefault="00212A35" w:rsidP="000B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1B0F" w14:textId="77777777" w:rsidR="00684070" w:rsidRDefault="00684070" w:rsidP="000B1A45">
      <w:r>
        <w:separator/>
      </w:r>
    </w:p>
  </w:footnote>
  <w:footnote w:type="continuationSeparator" w:id="0">
    <w:p w14:paraId="2EF5C9E7" w14:textId="77777777" w:rsidR="00684070" w:rsidRDefault="00684070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2101" w14:textId="24281F57" w:rsidR="005139F9" w:rsidRDefault="005139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471E81" wp14:editId="66CD17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440604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6D669" w14:textId="458C4286" w:rsidR="005139F9" w:rsidRPr="005139F9" w:rsidRDefault="005139F9" w:rsidP="005139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39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71E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1F6D669" w14:textId="458C4286" w:rsidR="005139F9" w:rsidRPr="005139F9" w:rsidRDefault="005139F9" w:rsidP="005139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39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FDBF" w14:textId="0A8058C8" w:rsidR="005139F9" w:rsidRDefault="005139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DA960B" wp14:editId="7D2D8408">
              <wp:simplePos x="7207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5349270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DD9F5" w14:textId="068F86BE" w:rsidR="005139F9" w:rsidRPr="005139F9" w:rsidRDefault="005139F9" w:rsidP="005139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39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A96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6ADD9F5" w14:textId="068F86BE" w:rsidR="005139F9" w:rsidRPr="005139F9" w:rsidRDefault="005139F9" w:rsidP="005139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39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C0D1" w14:textId="4CC4A039" w:rsidR="005139F9" w:rsidRDefault="005139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438E83" wp14:editId="1CAA01E1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029066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5DD75" w14:textId="78DD7CE2" w:rsidR="005139F9" w:rsidRPr="005139F9" w:rsidRDefault="005139F9" w:rsidP="005139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39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38E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315DD75" w14:textId="78DD7CE2" w:rsidR="005139F9" w:rsidRPr="005139F9" w:rsidRDefault="005139F9" w:rsidP="005139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39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56" w:hanging="284"/>
      </w:pPr>
      <w:rPr>
        <w:rFonts w:ascii="Symbol" w:hAnsi="Symbol"/>
        <w:spacing w:val="0"/>
        <w:w w:val="100"/>
      </w:rPr>
    </w:lvl>
    <w:lvl w:ilvl="1">
      <w:numFmt w:val="bullet"/>
      <w:lvlText w:val="–"/>
      <w:lvlJc w:val="left"/>
      <w:pPr>
        <w:ind w:left="739" w:hanging="284"/>
      </w:pPr>
      <w:rPr>
        <w:rFonts w:ascii="Arial" w:hAnsi="Arial"/>
        <w:b w:val="0"/>
        <w:i w:val="0"/>
        <w:spacing w:val="0"/>
        <w:w w:val="100"/>
        <w:sz w:val="20"/>
      </w:rPr>
    </w:lvl>
    <w:lvl w:ilvl="2">
      <w:numFmt w:val="bullet"/>
      <w:lvlText w:val="•"/>
      <w:lvlJc w:val="left"/>
      <w:pPr>
        <w:ind w:left="1571" w:hanging="284"/>
      </w:pPr>
    </w:lvl>
    <w:lvl w:ilvl="3">
      <w:numFmt w:val="bullet"/>
      <w:lvlText w:val="•"/>
      <w:lvlJc w:val="left"/>
      <w:pPr>
        <w:ind w:left="2402" w:hanging="284"/>
      </w:pPr>
    </w:lvl>
    <w:lvl w:ilvl="4">
      <w:numFmt w:val="bullet"/>
      <w:lvlText w:val="•"/>
      <w:lvlJc w:val="left"/>
      <w:pPr>
        <w:ind w:left="3234" w:hanging="284"/>
      </w:pPr>
    </w:lvl>
    <w:lvl w:ilvl="5">
      <w:numFmt w:val="bullet"/>
      <w:lvlText w:val="•"/>
      <w:lvlJc w:val="left"/>
      <w:pPr>
        <w:ind w:left="4065" w:hanging="284"/>
      </w:pPr>
    </w:lvl>
    <w:lvl w:ilvl="6">
      <w:numFmt w:val="bullet"/>
      <w:lvlText w:val="•"/>
      <w:lvlJc w:val="left"/>
      <w:pPr>
        <w:ind w:left="4896" w:hanging="284"/>
      </w:pPr>
    </w:lvl>
    <w:lvl w:ilvl="7">
      <w:numFmt w:val="bullet"/>
      <w:lvlText w:val="•"/>
      <w:lvlJc w:val="left"/>
      <w:pPr>
        <w:ind w:left="5728" w:hanging="284"/>
      </w:pPr>
    </w:lvl>
    <w:lvl w:ilvl="8">
      <w:numFmt w:val="bullet"/>
      <w:lvlText w:val="•"/>
      <w:lvlJc w:val="left"/>
      <w:pPr>
        <w:ind w:left="6559" w:hanging="284"/>
      </w:pPr>
    </w:lvl>
  </w:abstractNum>
  <w:abstractNum w:abstractNumId="1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456" w:hanging="284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492" w:hanging="284"/>
      </w:pPr>
    </w:lvl>
    <w:lvl w:ilvl="2">
      <w:numFmt w:val="bullet"/>
      <w:lvlText w:val="•"/>
      <w:lvlJc w:val="left"/>
      <w:pPr>
        <w:ind w:left="2525" w:hanging="284"/>
      </w:pPr>
    </w:lvl>
    <w:lvl w:ilvl="3">
      <w:numFmt w:val="bullet"/>
      <w:lvlText w:val="•"/>
      <w:lvlJc w:val="left"/>
      <w:pPr>
        <w:ind w:left="3558" w:hanging="284"/>
      </w:pPr>
    </w:lvl>
    <w:lvl w:ilvl="4">
      <w:numFmt w:val="bullet"/>
      <w:lvlText w:val="•"/>
      <w:lvlJc w:val="left"/>
      <w:pPr>
        <w:ind w:left="4591" w:hanging="284"/>
      </w:pPr>
    </w:lvl>
    <w:lvl w:ilvl="5">
      <w:numFmt w:val="bullet"/>
      <w:lvlText w:val="•"/>
      <w:lvlJc w:val="left"/>
      <w:pPr>
        <w:ind w:left="5624" w:hanging="284"/>
      </w:pPr>
    </w:lvl>
    <w:lvl w:ilvl="6">
      <w:numFmt w:val="bullet"/>
      <w:lvlText w:val="•"/>
      <w:lvlJc w:val="left"/>
      <w:pPr>
        <w:ind w:left="6657" w:hanging="284"/>
      </w:pPr>
    </w:lvl>
    <w:lvl w:ilvl="7">
      <w:numFmt w:val="bullet"/>
      <w:lvlText w:val="•"/>
      <w:lvlJc w:val="left"/>
      <w:pPr>
        <w:ind w:left="7690" w:hanging="284"/>
      </w:pPr>
    </w:lvl>
    <w:lvl w:ilvl="8">
      <w:numFmt w:val="bullet"/>
      <w:lvlText w:val="•"/>
      <w:lvlJc w:val="left"/>
      <w:pPr>
        <w:ind w:left="8723" w:hanging="284"/>
      </w:pPr>
    </w:lvl>
  </w:abstractNum>
  <w:abstractNum w:abstractNumId="12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393" w:hanging="284"/>
      </w:pPr>
      <w:rPr>
        <w:rFonts w:ascii="Symbol" w:hAnsi="Symbol"/>
        <w:b w:val="0"/>
        <w:i w:val="0"/>
        <w:spacing w:val="0"/>
        <w:w w:val="100"/>
        <w:sz w:val="20"/>
      </w:rPr>
    </w:lvl>
    <w:lvl w:ilvl="1">
      <w:numFmt w:val="bullet"/>
      <w:lvlText w:val="•"/>
      <w:lvlJc w:val="left"/>
      <w:pPr>
        <w:ind w:left="1066" w:hanging="284"/>
      </w:pPr>
    </w:lvl>
    <w:lvl w:ilvl="2">
      <w:numFmt w:val="bullet"/>
      <w:lvlText w:val="•"/>
      <w:lvlJc w:val="left"/>
      <w:pPr>
        <w:ind w:left="1733" w:hanging="284"/>
      </w:pPr>
    </w:lvl>
    <w:lvl w:ilvl="3">
      <w:numFmt w:val="bullet"/>
      <w:lvlText w:val="•"/>
      <w:lvlJc w:val="left"/>
      <w:pPr>
        <w:ind w:left="2400" w:hanging="284"/>
      </w:pPr>
    </w:lvl>
    <w:lvl w:ilvl="4">
      <w:numFmt w:val="bullet"/>
      <w:lvlText w:val="•"/>
      <w:lvlJc w:val="left"/>
      <w:pPr>
        <w:ind w:left="3067" w:hanging="284"/>
      </w:pPr>
    </w:lvl>
    <w:lvl w:ilvl="5">
      <w:numFmt w:val="bullet"/>
      <w:lvlText w:val="•"/>
      <w:lvlJc w:val="left"/>
      <w:pPr>
        <w:ind w:left="3734" w:hanging="284"/>
      </w:pPr>
    </w:lvl>
    <w:lvl w:ilvl="6">
      <w:numFmt w:val="bullet"/>
      <w:lvlText w:val="•"/>
      <w:lvlJc w:val="left"/>
      <w:pPr>
        <w:ind w:left="4401" w:hanging="284"/>
      </w:pPr>
    </w:lvl>
    <w:lvl w:ilvl="7">
      <w:numFmt w:val="bullet"/>
      <w:lvlText w:val="•"/>
      <w:lvlJc w:val="left"/>
      <w:pPr>
        <w:ind w:left="5068" w:hanging="284"/>
      </w:pPr>
    </w:lvl>
    <w:lvl w:ilvl="8">
      <w:numFmt w:val="bullet"/>
      <w:lvlText w:val="•"/>
      <w:lvlJc w:val="left"/>
      <w:pPr>
        <w:ind w:left="5735" w:hanging="284"/>
      </w:pPr>
    </w:lvl>
  </w:abstractNum>
  <w:abstractNum w:abstractNumId="13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389" w:hanging="284"/>
      </w:pPr>
      <w:rPr>
        <w:rFonts w:ascii="Symbol" w:hAnsi="Symbol"/>
        <w:b w:val="0"/>
        <w:i w:val="0"/>
        <w:spacing w:val="0"/>
        <w:w w:val="100"/>
        <w:sz w:val="20"/>
      </w:rPr>
    </w:lvl>
    <w:lvl w:ilvl="1">
      <w:numFmt w:val="bullet"/>
      <w:lvlText w:val="•"/>
      <w:lvlJc w:val="left"/>
      <w:pPr>
        <w:ind w:left="1048" w:hanging="284"/>
      </w:pPr>
    </w:lvl>
    <w:lvl w:ilvl="2">
      <w:numFmt w:val="bullet"/>
      <w:lvlText w:val="•"/>
      <w:lvlJc w:val="left"/>
      <w:pPr>
        <w:ind w:left="1717" w:hanging="284"/>
      </w:pPr>
    </w:lvl>
    <w:lvl w:ilvl="3">
      <w:numFmt w:val="bullet"/>
      <w:lvlText w:val="•"/>
      <w:lvlJc w:val="left"/>
      <w:pPr>
        <w:ind w:left="2385" w:hanging="284"/>
      </w:pPr>
    </w:lvl>
    <w:lvl w:ilvl="4">
      <w:numFmt w:val="bullet"/>
      <w:lvlText w:val="•"/>
      <w:lvlJc w:val="left"/>
      <w:pPr>
        <w:ind w:left="3054" w:hanging="284"/>
      </w:pPr>
    </w:lvl>
    <w:lvl w:ilvl="5">
      <w:numFmt w:val="bullet"/>
      <w:lvlText w:val="•"/>
      <w:lvlJc w:val="left"/>
      <w:pPr>
        <w:ind w:left="3722" w:hanging="284"/>
      </w:pPr>
    </w:lvl>
    <w:lvl w:ilvl="6">
      <w:numFmt w:val="bullet"/>
      <w:lvlText w:val="•"/>
      <w:lvlJc w:val="left"/>
      <w:pPr>
        <w:ind w:left="4391" w:hanging="284"/>
      </w:pPr>
    </w:lvl>
    <w:lvl w:ilvl="7">
      <w:numFmt w:val="bullet"/>
      <w:lvlText w:val="•"/>
      <w:lvlJc w:val="left"/>
      <w:pPr>
        <w:ind w:left="5059" w:hanging="284"/>
      </w:pPr>
    </w:lvl>
    <w:lvl w:ilvl="8">
      <w:numFmt w:val="bullet"/>
      <w:lvlText w:val="•"/>
      <w:lvlJc w:val="left"/>
      <w:pPr>
        <w:ind w:left="5728" w:hanging="284"/>
      </w:pPr>
    </w:lvl>
  </w:abstractNum>
  <w:abstractNum w:abstractNumId="14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5" w15:restartNumberingAfterBreak="0">
    <w:nsid w:val="10AE224A"/>
    <w:multiLevelType w:val="hybridMultilevel"/>
    <w:tmpl w:val="AC0863D2"/>
    <w:lvl w:ilvl="0" w:tplc="A31CD5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23E39"/>
    <w:multiLevelType w:val="multilevel"/>
    <w:tmpl w:val="7E1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4040B7"/>
    <w:multiLevelType w:val="hybridMultilevel"/>
    <w:tmpl w:val="0D3639B8"/>
    <w:lvl w:ilvl="0" w:tplc="1B44660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F2606"/>
    <w:multiLevelType w:val="hybridMultilevel"/>
    <w:tmpl w:val="C4D48B02"/>
    <w:lvl w:ilvl="0" w:tplc="6FBCF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B00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92B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D88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A21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C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D41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EC21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9A7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21C71CE"/>
    <w:multiLevelType w:val="hybridMultilevel"/>
    <w:tmpl w:val="5D26F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20"/>
  </w:num>
  <w:num w:numId="12" w16cid:durableId="1511021519">
    <w:abstractNumId w:val="18"/>
  </w:num>
  <w:num w:numId="13" w16cid:durableId="1979142975">
    <w:abstractNumId w:val="17"/>
  </w:num>
  <w:num w:numId="14" w16cid:durableId="1284186768">
    <w:abstractNumId w:val="17"/>
  </w:num>
  <w:num w:numId="15" w16cid:durableId="1376464888">
    <w:abstractNumId w:val="17"/>
  </w:num>
  <w:num w:numId="16" w16cid:durableId="323054461">
    <w:abstractNumId w:val="17"/>
  </w:num>
  <w:num w:numId="17" w16cid:durableId="1240477904">
    <w:abstractNumId w:val="14"/>
  </w:num>
  <w:num w:numId="18" w16cid:durableId="1492721872">
    <w:abstractNumId w:val="14"/>
  </w:num>
  <w:num w:numId="19" w16cid:durableId="751582279">
    <w:abstractNumId w:val="14"/>
  </w:num>
  <w:num w:numId="20" w16cid:durableId="1629581426">
    <w:abstractNumId w:val="14"/>
  </w:num>
  <w:num w:numId="21" w16cid:durableId="1655375343">
    <w:abstractNumId w:val="17"/>
  </w:num>
  <w:num w:numId="22" w16cid:durableId="842404148">
    <w:abstractNumId w:val="17"/>
  </w:num>
  <w:num w:numId="23" w16cid:durableId="1282999023">
    <w:abstractNumId w:val="17"/>
  </w:num>
  <w:num w:numId="24" w16cid:durableId="1778987834">
    <w:abstractNumId w:val="10"/>
  </w:num>
  <w:num w:numId="25" w16cid:durableId="503281260">
    <w:abstractNumId w:val="11"/>
  </w:num>
  <w:num w:numId="26" w16cid:durableId="1443303439">
    <w:abstractNumId w:val="16"/>
  </w:num>
  <w:num w:numId="27" w16cid:durableId="2113815666">
    <w:abstractNumId w:val="12"/>
  </w:num>
  <w:num w:numId="28" w16cid:durableId="482351482">
    <w:abstractNumId w:val="13"/>
  </w:num>
  <w:num w:numId="29" w16cid:durableId="168562096">
    <w:abstractNumId w:val="21"/>
  </w:num>
  <w:num w:numId="30" w16cid:durableId="1593470943">
    <w:abstractNumId w:val="19"/>
  </w:num>
  <w:num w:numId="31" w16cid:durableId="455762105">
    <w:abstractNumId w:val="15"/>
  </w:num>
  <w:num w:numId="32" w16cid:durableId="7249872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65"/>
    <w:rsid w:val="00001318"/>
    <w:rsid w:val="00015911"/>
    <w:rsid w:val="00024198"/>
    <w:rsid w:val="00043458"/>
    <w:rsid w:val="0004507C"/>
    <w:rsid w:val="00045EBC"/>
    <w:rsid w:val="00046BDF"/>
    <w:rsid w:val="000475AB"/>
    <w:rsid w:val="00050813"/>
    <w:rsid w:val="000522F2"/>
    <w:rsid w:val="0005278F"/>
    <w:rsid w:val="00052B04"/>
    <w:rsid w:val="00053170"/>
    <w:rsid w:val="0005332B"/>
    <w:rsid w:val="0005431B"/>
    <w:rsid w:val="00056622"/>
    <w:rsid w:val="00062C1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C79B1"/>
    <w:rsid w:val="000D2DE1"/>
    <w:rsid w:val="000D4EAA"/>
    <w:rsid w:val="000D6BF6"/>
    <w:rsid w:val="000D7317"/>
    <w:rsid w:val="000E2CF3"/>
    <w:rsid w:val="000F06FC"/>
    <w:rsid w:val="0010007E"/>
    <w:rsid w:val="00102FCE"/>
    <w:rsid w:val="00103B59"/>
    <w:rsid w:val="00104407"/>
    <w:rsid w:val="00112984"/>
    <w:rsid w:val="00112F69"/>
    <w:rsid w:val="0011440B"/>
    <w:rsid w:val="001222EE"/>
    <w:rsid w:val="00127056"/>
    <w:rsid w:val="00131BCC"/>
    <w:rsid w:val="00132CAF"/>
    <w:rsid w:val="00134923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1B8E"/>
    <w:rsid w:val="00172699"/>
    <w:rsid w:val="0017363B"/>
    <w:rsid w:val="00173790"/>
    <w:rsid w:val="00180C44"/>
    <w:rsid w:val="00181289"/>
    <w:rsid w:val="001829E8"/>
    <w:rsid w:val="001842C2"/>
    <w:rsid w:val="00190A4F"/>
    <w:rsid w:val="00192757"/>
    <w:rsid w:val="001A0018"/>
    <w:rsid w:val="001A5625"/>
    <w:rsid w:val="001B07D7"/>
    <w:rsid w:val="001B2205"/>
    <w:rsid w:val="001B3336"/>
    <w:rsid w:val="001B78D6"/>
    <w:rsid w:val="001C563E"/>
    <w:rsid w:val="001C7E45"/>
    <w:rsid w:val="001D0DB4"/>
    <w:rsid w:val="001D4BFC"/>
    <w:rsid w:val="001E11E4"/>
    <w:rsid w:val="001E235E"/>
    <w:rsid w:val="001E2879"/>
    <w:rsid w:val="001E2AF9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13401"/>
    <w:rsid w:val="00221E5B"/>
    <w:rsid w:val="002344EE"/>
    <w:rsid w:val="00235662"/>
    <w:rsid w:val="002572E6"/>
    <w:rsid w:val="00260487"/>
    <w:rsid w:val="00266D7C"/>
    <w:rsid w:val="00271889"/>
    <w:rsid w:val="002731D1"/>
    <w:rsid w:val="00274ED7"/>
    <w:rsid w:val="0027601B"/>
    <w:rsid w:val="002804A3"/>
    <w:rsid w:val="00290049"/>
    <w:rsid w:val="002919BF"/>
    <w:rsid w:val="00291F60"/>
    <w:rsid w:val="00296E61"/>
    <w:rsid w:val="00296F1B"/>
    <w:rsid w:val="002B57F1"/>
    <w:rsid w:val="002B73E9"/>
    <w:rsid w:val="002C1CCF"/>
    <w:rsid w:val="002C3C78"/>
    <w:rsid w:val="002C3D28"/>
    <w:rsid w:val="002C57FE"/>
    <w:rsid w:val="002D26E5"/>
    <w:rsid w:val="002E692D"/>
    <w:rsid w:val="002E7371"/>
    <w:rsid w:val="002F0E52"/>
    <w:rsid w:val="003010A5"/>
    <w:rsid w:val="0030196B"/>
    <w:rsid w:val="00302919"/>
    <w:rsid w:val="0030608B"/>
    <w:rsid w:val="0030663E"/>
    <w:rsid w:val="00317F01"/>
    <w:rsid w:val="0032274A"/>
    <w:rsid w:val="00326FE7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1B79"/>
    <w:rsid w:val="00362150"/>
    <w:rsid w:val="003664E8"/>
    <w:rsid w:val="00372CCD"/>
    <w:rsid w:val="00376765"/>
    <w:rsid w:val="003776B9"/>
    <w:rsid w:val="00382B8B"/>
    <w:rsid w:val="00383F75"/>
    <w:rsid w:val="00395962"/>
    <w:rsid w:val="003A0B79"/>
    <w:rsid w:val="003A3511"/>
    <w:rsid w:val="003A3A28"/>
    <w:rsid w:val="003B0CE7"/>
    <w:rsid w:val="003B0D4B"/>
    <w:rsid w:val="003B1962"/>
    <w:rsid w:val="003B1A0B"/>
    <w:rsid w:val="003C476C"/>
    <w:rsid w:val="003C6433"/>
    <w:rsid w:val="003C6C55"/>
    <w:rsid w:val="003C6EA4"/>
    <w:rsid w:val="003D0532"/>
    <w:rsid w:val="003D3476"/>
    <w:rsid w:val="003D5E1F"/>
    <w:rsid w:val="003E08BC"/>
    <w:rsid w:val="003E360B"/>
    <w:rsid w:val="003E773A"/>
    <w:rsid w:val="003F16D3"/>
    <w:rsid w:val="003F6956"/>
    <w:rsid w:val="003F75BE"/>
    <w:rsid w:val="004034A0"/>
    <w:rsid w:val="00403FC1"/>
    <w:rsid w:val="00405109"/>
    <w:rsid w:val="00412E60"/>
    <w:rsid w:val="004142E2"/>
    <w:rsid w:val="00414C19"/>
    <w:rsid w:val="004234D2"/>
    <w:rsid w:val="0043163F"/>
    <w:rsid w:val="00433032"/>
    <w:rsid w:val="004456C1"/>
    <w:rsid w:val="00447476"/>
    <w:rsid w:val="00451DBF"/>
    <w:rsid w:val="004553EA"/>
    <w:rsid w:val="00457D72"/>
    <w:rsid w:val="004671A8"/>
    <w:rsid w:val="00472CAB"/>
    <w:rsid w:val="00473710"/>
    <w:rsid w:val="004738C2"/>
    <w:rsid w:val="00474243"/>
    <w:rsid w:val="004774F4"/>
    <w:rsid w:val="00480198"/>
    <w:rsid w:val="00484978"/>
    <w:rsid w:val="004938C7"/>
    <w:rsid w:val="004A2FBA"/>
    <w:rsid w:val="004A472C"/>
    <w:rsid w:val="004B1BF3"/>
    <w:rsid w:val="004D0D74"/>
    <w:rsid w:val="004D2AA8"/>
    <w:rsid w:val="004D57EA"/>
    <w:rsid w:val="004E1091"/>
    <w:rsid w:val="004E6855"/>
    <w:rsid w:val="004F0B54"/>
    <w:rsid w:val="004F2350"/>
    <w:rsid w:val="004F6B3D"/>
    <w:rsid w:val="004F6DEF"/>
    <w:rsid w:val="005010CF"/>
    <w:rsid w:val="00501105"/>
    <w:rsid w:val="0050258A"/>
    <w:rsid w:val="005037AB"/>
    <w:rsid w:val="0050395E"/>
    <w:rsid w:val="00511E7A"/>
    <w:rsid w:val="0051358B"/>
    <w:rsid w:val="005139F9"/>
    <w:rsid w:val="00514031"/>
    <w:rsid w:val="005211BD"/>
    <w:rsid w:val="005233DD"/>
    <w:rsid w:val="00530B9B"/>
    <w:rsid w:val="005314AC"/>
    <w:rsid w:val="0053374A"/>
    <w:rsid w:val="00536196"/>
    <w:rsid w:val="0054345E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39AF"/>
    <w:rsid w:val="00563C42"/>
    <w:rsid w:val="00565739"/>
    <w:rsid w:val="00570797"/>
    <w:rsid w:val="00574900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D7314"/>
    <w:rsid w:val="005E29E0"/>
    <w:rsid w:val="005F00AA"/>
    <w:rsid w:val="005F44D7"/>
    <w:rsid w:val="005F5F2C"/>
    <w:rsid w:val="00612FA3"/>
    <w:rsid w:val="00613766"/>
    <w:rsid w:val="00614E24"/>
    <w:rsid w:val="00616222"/>
    <w:rsid w:val="0062143B"/>
    <w:rsid w:val="006220D6"/>
    <w:rsid w:val="006320B6"/>
    <w:rsid w:val="006323B8"/>
    <w:rsid w:val="006419C4"/>
    <w:rsid w:val="00642EC9"/>
    <w:rsid w:val="00646924"/>
    <w:rsid w:val="00647308"/>
    <w:rsid w:val="00650263"/>
    <w:rsid w:val="00654399"/>
    <w:rsid w:val="00654926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82348"/>
    <w:rsid w:val="00684070"/>
    <w:rsid w:val="006909D6"/>
    <w:rsid w:val="00695CB2"/>
    <w:rsid w:val="006A12E6"/>
    <w:rsid w:val="006A636A"/>
    <w:rsid w:val="006B0C06"/>
    <w:rsid w:val="006B52C8"/>
    <w:rsid w:val="006B5DA0"/>
    <w:rsid w:val="006C0C21"/>
    <w:rsid w:val="006C6FCA"/>
    <w:rsid w:val="006D18FE"/>
    <w:rsid w:val="006D244D"/>
    <w:rsid w:val="006D5C1A"/>
    <w:rsid w:val="006D7E16"/>
    <w:rsid w:val="006D7FF7"/>
    <w:rsid w:val="006E01F2"/>
    <w:rsid w:val="006E1856"/>
    <w:rsid w:val="006E2D63"/>
    <w:rsid w:val="006E3451"/>
    <w:rsid w:val="006E62BC"/>
    <w:rsid w:val="006E7F04"/>
    <w:rsid w:val="0070100D"/>
    <w:rsid w:val="007020E0"/>
    <w:rsid w:val="00703502"/>
    <w:rsid w:val="007040D6"/>
    <w:rsid w:val="007049AA"/>
    <w:rsid w:val="007063A5"/>
    <w:rsid w:val="00706D63"/>
    <w:rsid w:val="0071671C"/>
    <w:rsid w:val="00731C73"/>
    <w:rsid w:val="007332DA"/>
    <w:rsid w:val="00734F98"/>
    <w:rsid w:val="00741EF9"/>
    <w:rsid w:val="007423CC"/>
    <w:rsid w:val="00742FBD"/>
    <w:rsid w:val="00750E27"/>
    <w:rsid w:val="00761C99"/>
    <w:rsid w:val="007648FE"/>
    <w:rsid w:val="0077041D"/>
    <w:rsid w:val="0077320A"/>
    <w:rsid w:val="00782838"/>
    <w:rsid w:val="007833C2"/>
    <w:rsid w:val="0078793E"/>
    <w:rsid w:val="007A0E92"/>
    <w:rsid w:val="007A6481"/>
    <w:rsid w:val="007C109F"/>
    <w:rsid w:val="007C7666"/>
    <w:rsid w:val="007D12D5"/>
    <w:rsid w:val="007D513A"/>
    <w:rsid w:val="007F1AAE"/>
    <w:rsid w:val="007F1CA5"/>
    <w:rsid w:val="007F39A5"/>
    <w:rsid w:val="007F6D4E"/>
    <w:rsid w:val="00800A0E"/>
    <w:rsid w:val="00806E71"/>
    <w:rsid w:val="0081178E"/>
    <w:rsid w:val="00814C9E"/>
    <w:rsid w:val="0082458F"/>
    <w:rsid w:val="00827CA6"/>
    <w:rsid w:val="0083026C"/>
    <w:rsid w:val="00832FB7"/>
    <w:rsid w:val="008479AE"/>
    <w:rsid w:val="00847A0A"/>
    <w:rsid w:val="00860860"/>
    <w:rsid w:val="0086734C"/>
    <w:rsid w:val="00867B1B"/>
    <w:rsid w:val="0087298A"/>
    <w:rsid w:val="00872EC7"/>
    <w:rsid w:val="00874249"/>
    <w:rsid w:val="00875161"/>
    <w:rsid w:val="008773DE"/>
    <w:rsid w:val="00880265"/>
    <w:rsid w:val="00887236"/>
    <w:rsid w:val="008934FA"/>
    <w:rsid w:val="0089585D"/>
    <w:rsid w:val="008A2606"/>
    <w:rsid w:val="008A4AAC"/>
    <w:rsid w:val="008A6762"/>
    <w:rsid w:val="008B5BBF"/>
    <w:rsid w:val="008B7E66"/>
    <w:rsid w:val="008C3A9F"/>
    <w:rsid w:val="008C54CE"/>
    <w:rsid w:val="008D0FE8"/>
    <w:rsid w:val="008D4A49"/>
    <w:rsid w:val="008E03CF"/>
    <w:rsid w:val="008E0799"/>
    <w:rsid w:val="008E6439"/>
    <w:rsid w:val="008F4EE3"/>
    <w:rsid w:val="008F51A3"/>
    <w:rsid w:val="008F7EB0"/>
    <w:rsid w:val="00901CFB"/>
    <w:rsid w:val="0090602B"/>
    <w:rsid w:val="00914EFA"/>
    <w:rsid w:val="00915592"/>
    <w:rsid w:val="00916625"/>
    <w:rsid w:val="00917135"/>
    <w:rsid w:val="00925BE0"/>
    <w:rsid w:val="00927A1F"/>
    <w:rsid w:val="009305E2"/>
    <w:rsid w:val="00930E3F"/>
    <w:rsid w:val="00931B68"/>
    <w:rsid w:val="00933319"/>
    <w:rsid w:val="00934543"/>
    <w:rsid w:val="009345D8"/>
    <w:rsid w:val="00946049"/>
    <w:rsid w:val="00946312"/>
    <w:rsid w:val="00946C27"/>
    <w:rsid w:val="00947387"/>
    <w:rsid w:val="00950F31"/>
    <w:rsid w:val="00963B56"/>
    <w:rsid w:val="009648F1"/>
    <w:rsid w:val="009657A7"/>
    <w:rsid w:val="0097511A"/>
    <w:rsid w:val="00990B8A"/>
    <w:rsid w:val="00990DE4"/>
    <w:rsid w:val="00990F07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14EE"/>
    <w:rsid w:val="009D29AE"/>
    <w:rsid w:val="009D5FEA"/>
    <w:rsid w:val="009E220E"/>
    <w:rsid w:val="009E2D36"/>
    <w:rsid w:val="009E4075"/>
    <w:rsid w:val="009F7773"/>
    <w:rsid w:val="00A01EE7"/>
    <w:rsid w:val="00A02EBA"/>
    <w:rsid w:val="00A069A2"/>
    <w:rsid w:val="00A074F9"/>
    <w:rsid w:val="00A117F6"/>
    <w:rsid w:val="00A13469"/>
    <w:rsid w:val="00A22D70"/>
    <w:rsid w:val="00A25E7C"/>
    <w:rsid w:val="00A262AD"/>
    <w:rsid w:val="00A34938"/>
    <w:rsid w:val="00A353C1"/>
    <w:rsid w:val="00A54949"/>
    <w:rsid w:val="00A57AEC"/>
    <w:rsid w:val="00A60FBD"/>
    <w:rsid w:val="00A7007E"/>
    <w:rsid w:val="00A72E19"/>
    <w:rsid w:val="00A7340E"/>
    <w:rsid w:val="00A841DD"/>
    <w:rsid w:val="00A9211E"/>
    <w:rsid w:val="00A93E45"/>
    <w:rsid w:val="00AA6920"/>
    <w:rsid w:val="00AB5099"/>
    <w:rsid w:val="00AB522B"/>
    <w:rsid w:val="00AC1F27"/>
    <w:rsid w:val="00AC2B3E"/>
    <w:rsid w:val="00AC4D09"/>
    <w:rsid w:val="00AD1C82"/>
    <w:rsid w:val="00AD208E"/>
    <w:rsid w:val="00AD55FC"/>
    <w:rsid w:val="00AD6C6E"/>
    <w:rsid w:val="00AE17EE"/>
    <w:rsid w:val="00AE2010"/>
    <w:rsid w:val="00AE3D69"/>
    <w:rsid w:val="00AE6655"/>
    <w:rsid w:val="00AE7EDD"/>
    <w:rsid w:val="00AF1F38"/>
    <w:rsid w:val="00AF6D97"/>
    <w:rsid w:val="00B00AD3"/>
    <w:rsid w:val="00B04FB8"/>
    <w:rsid w:val="00B14825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57A75"/>
    <w:rsid w:val="00B66B5C"/>
    <w:rsid w:val="00B7374C"/>
    <w:rsid w:val="00B73972"/>
    <w:rsid w:val="00B74311"/>
    <w:rsid w:val="00B765F5"/>
    <w:rsid w:val="00B76B71"/>
    <w:rsid w:val="00B86C73"/>
    <w:rsid w:val="00BA7570"/>
    <w:rsid w:val="00BA796A"/>
    <w:rsid w:val="00BA79ED"/>
    <w:rsid w:val="00BB3004"/>
    <w:rsid w:val="00BB7AC9"/>
    <w:rsid w:val="00BC279A"/>
    <w:rsid w:val="00BC5A7B"/>
    <w:rsid w:val="00BD4B5B"/>
    <w:rsid w:val="00BE2B92"/>
    <w:rsid w:val="00BE4BAF"/>
    <w:rsid w:val="00BF08CA"/>
    <w:rsid w:val="00BF2DDF"/>
    <w:rsid w:val="00BF4A0D"/>
    <w:rsid w:val="00C002CB"/>
    <w:rsid w:val="00C03B91"/>
    <w:rsid w:val="00C10AD6"/>
    <w:rsid w:val="00C1555F"/>
    <w:rsid w:val="00C2520A"/>
    <w:rsid w:val="00C46D26"/>
    <w:rsid w:val="00C471E5"/>
    <w:rsid w:val="00C47EA1"/>
    <w:rsid w:val="00C52DB5"/>
    <w:rsid w:val="00C623B1"/>
    <w:rsid w:val="00C62EE5"/>
    <w:rsid w:val="00C6347D"/>
    <w:rsid w:val="00C66089"/>
    <w:rsid w:val="00C663FB"/>
    <w:rsid w:val="00C711DF"/>
    <w:rsid w:val="00C71CB6"/>
    <w:rsid w:val="00C72B4D"/>
    <w:rsid w:val="00C8047E"/>
    <w:rsid w:val="00C82E72"/>
    <w:rsid w:val="00C857A7"/>
    <w:rsid w:val="00C86316"/>
    <w:rsid w:val="00C90F77"/>
    <w:rsid w:val="00C91204"/>
    <w:rsid w:val="00C93679"/>
    <w:rsid w:val="00C959F5"/>
    <w:rsid w:val="00CA17D2"/>
    <w:rsid w:val="00CA6660"/>
    <w:rsid w:val="00CA6718"/>
    <w:rsid w:val="00CA7362"/>
    <w:rsid w:val="00CB2516"/>
    <w:rsid w:val="00CB3877"/>
    <w:rsid w:val="00CB6F99"/>
    <w:rsid w:val="00CC2741"/>
    <w:rsid w:val="00CC7B2D"/>
    <w:rsid w:val="00CD04D4"/>
    <w:rsid w:val="00CD4A1F"/>
    <w:rsid w:val="00CE4A02"/>
    <w:rsid w:val="00CF3944"/>
    <w:rsid w:val="00CF6A32"/>
    <w:rsid w:val="00D004A1"/>
    <w:rsid w:val="00D2154D"/>
    <w:rsid w:val="00D276F4"/>
    <w:rsid w:val="00D2788A"/>
    <w:rsid w:val="00D3126C"/>
    <w:rsid w:val="00D3276C"/>
    <w:rsid w:val="00D32E6F"/>
    <w:rsid w:val="00D351D3"/>
    <w:rsid w:val="00D41AE5"/>
    <w:rsid w:val="00D47992"/>
    <w:rsid w:val="00D51058"/>
    <w:rsid w:val="00D5180A"/>
    <w:rsid w:val="00D51C78"/>
    <w:rsid w:val="00D65F2E"/>
    <w:rsid w:val="00D71A6D"/>
    <w:rsid w:val="00D731CC"/>
    <w:rsid w:val="00D744A9"/>
    <w:rsid w:val="00D74EDF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A72BE"/>
    <w:rsid w:val="00DC276A"/>
    <w:rsid w:val="00DC720A"/>
    <w:rsid w:val="00DC7445"/>
    <w:rsid w:val="00DD48AF"/>
    <w:rsid w:val="00DD73C6"/>
    <w:rsid w:val="00DD7C41"/>
    <w:rsid w:val="00DE1689"/>
    <w:rsid w:val="00DE3522"/>
    <w:rsid w:val="00DE5CB3"/>
    <w:rsid w:val="00DE6AB2"/>
    <w:rsid w:val="00DE76DF"/>
    <w:rsid w:val="00DE799F"/>
    <w:rsid w:val="00DF3427"/>
    <w:rsid w:val="00E0247C"/>
    <w:rsid w:val="00E06227"/>
    <w:rsid w:val="00E1603D"/>
    <w:rsid w:val="00E173C6"/>
    <w:rsid w:val="00E20F6B"/>
    <w:rsid w:val="00E220DC"/>
    <w:rsid w:val="00E25393"/>
    <w:rsid w:val="00E26BEE"/>
    <w:rsid w:val="00E27BE1"/>
    <w:rsid w:val="00E31A5B"/>
    <w:rsid w:val="00E31DA8"/>
    <w:rsid w:val="00E34195"/>
    <w:rsid w:val="00E4397D"/>
    <w:rsid w:val="00E46A9C"/>
    <w:rsid w:val="00E47C1B"/>
    <w:rsid w:val="00E57098"/>
    <w:rsid w:val="00E61B81"/>
    <w:rsid w:val="00E61E50"/>
    <w:rsid w:val="00E63672"/>
    <w:rsid w:val="00E70BD2"/>
    <w:rsid w:val="00E76903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4EA1"/>
    <w:rsid w:val="00EC08AB"/>
    <w:rsid w:val="00EC13D0"/>
    <w:rsid w:val="00EC21AB"/>
    <w:rsid w:val="00EC2817"/>
    <w:rsid w:val="00EC5A23"/>
    <w:rsid w:val="00EC64A1"/>
    <w:rsid w:val="00EC6552"/>
    <w:rsid w:val="00ED48C4"/>
    <w:rsid w:val="00EE4302"/>
    <w:rsid w:val="00EE4BC9"/>
    <w:rsid w:val="00EE69C9"/>
    <w:rsid w:val="00EF4EE3"/>
    <w:rsid w:val="00F00ED0"/>
    <w:rsid w:val="00F04233"/>
    <w:rsid w:val="00F04D2B"/>
    <w:rsid w:val="00F06666"/>
    <w:rsid w:val="00F10ECD"/>
    <w:rsid w:val="00F134F6"/>
    <w:rsid w:val="00F14CCC"/>
    <w:rsid w:val="00F17CB2"/>
    <w:rsid w:val="00F25FF1"/>
    <w:rsid w:val="00F26A26"/>
    <w:rsid w:val="00F363CA"/>
    <w:rsid w:val="00F403A7"/>
    <w:rsid w:val="00F40BE2"/>
    <w:rsid w:val="00F457AE"/>
    <w:rsid w:val="00F547D6"/>
    <w:rsid w:val="00F57C1C"/>
    <w:rsid w:val="00F647AF"/>
    <w:rsid w:val="00F65AC5"/>
    <w:rsid w:val="00F66D92"/>
    <w:rsid w:val="00F67239"/>
    <w:rsid w:val="00F81E59"/>
    <w:rsid w:val="00F85525"/>
    <w:rsid w:val="00F86D90"/>
    <w:rsid w:val="00F964E8"/>
    <w:rsid w:val="00FA3F1B"/>
    <w:rsid w:val="00FB6F43"/>
    <w:rsid w:val="00FC5FB5"/>
    <w:rsid w:val="00FD366B"/>
    <w:rsid w:val="00FE11A4"/>
    <w:rsid w:val="00FE1325"/>
    <w:rsid w:val="00FE2373"/>
    <w:rsid w:val="00FE5462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F1805"/>
  <w15:docId w15:val="{21E6FC5E-AA2C-42C6-827E-14641F3F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4EE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181289"/>
    <w:pPr>
      <w:keepNext/>
      <w:keepLines/>
      <w:spacing w:before="36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</w:pPr>
    <w:rPr>
      <w:rFonts w:cstheme="majorHAnsi"/>
      <w:sz w:val="18"/>
      <w:szCs w:val="14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1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2A35"/>
  </w:style>
  <w:style w:type="character" w:customStyle="1" w:styleId="CommentTextChar">
    <w:name w:val="Comment Text Char"/>
    <w:basedOn w:val="DefaultParagraphFont"/>
    <w:link w:val="CommentText"/>
    <w:uiPriority w:val="99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3026C"/>
    <w:pPr>
      <w:widowControl w:val="0"/>
      <w:autoSpaceDE w:val="0"/>
      <w:autoSpaceDN w:val="0"/>
      <w:adjustRightInd w:val="0"/>
      <w:spacing w:after="0"/>
    </w:pPr>
    <w:rPr>
      <w:rFonts w:eastAsiaTheme="minorEastAsia" w:cs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3026C"/>
    <w:rPr>
      <w:rFonts w:ascii="Arial" w:eastAsiaTheme="minorEastAsia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3026C"/>
    <w:pPr>
      <w:widowControl w:val="0"/>
      <w:autoSpaceDE w:val="0"/>
      <w:autoSpaceDN w:val="0"/>
      <w:adjustRightInd w:val="0"/>
      <w:spacing w:after="0"/>
    </w:pPr>
    <w:rPr>
      <w:rFonts w:eastAsiaTheme="minorEastAsia" w:cs="Arial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7CA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Calloutforquotinglegislation">
    <w:name w:val="Callout for quoting legislation"/>
    <w:basedOn w:val="Normal"/>
    <w:qFormat/>
    <w:rsid w:val="002344EE"/>
    <w:pPr>
      <w:pBdr>
        <w:left w:val="single" w:sz="18" w:space="4" w:color="643253"/>
      </w:pBdr>
      <w:shd w:val="clear" w:color="auto" w:fill="E2C4D8"/>
      <w:spacing w:after="160" w:line="259" w:lineRule="auto"/>
    </w:pPr>
    <w:rPr>
      <w:rFonts w:eastAsia="Arial" w:cs="Arial"/>
      <w:color w:val="auto"/>
      <w:kern w:val="2"/>
      <w:sz w:val="24"/>
      <w:szCs w:val="24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2344EE"/>
    <w:pPr>
      <w:spacing w:after="0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F81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ga.gov.au/how-we-regulate/supply-therapeutic-good/supply-non-prescription-medicine/over-counter-otc-n2-applications-and-medicine-monographs" TargetMode="External"/><Relationship Id="rId18" Type="http://schemas.openxmlformats.org/officeDocument/2006/relationships/hyperlink" Target="https://www.tga.gov.au/resources/guidance/understanding-requirements-over-counter-otc-new-medicine-n2-applications" TargetMode="External"/><Relationship Id="rId26" Type="http://schemas.openxmlformats.org/officeDocument/2006/relationships/hyperlink" Target="https://www.tga.gov.au/transmissible-spongiform-encephalopathies-tse-tga-approach-minimising-risk-exposure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tga.gov.au/resources/guidance/understanding-requirements-over-counter-otc-new-medicine-n2-applications" TargetMode="External"/><Relationship Id="rId34" Type="http://schemas.openxmlformats.org/officeDocument/2006/relationships/hyperlink" Target="https://www.tga.gov.au/resources/guidance/argom-appendix-2-guidelines-quality-aspects-otc-applications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ga.gov.au/products/medicines/over-counter-medicines/application-and-market-authorisation/requirements-otc-new-medicines-n2-applications-using-otc-medicine-monographs/over-counter-otc-medicine-monographs-n2-applications" TargetMode="External"/><Relationship Id="rId29" Type="http://schemas.openxmlformats.org/officeDocument/2006/relationships/hyperlink" Target="https://www.tga.gov.au/resources/resource/international-scientific-guidelines/ich-guideline-q3c-r8-impurities-guideline-residual-solv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tga.gov.au/how-we-regulate/ingredients-and-scheduling-medicines-and-chemicals/colourings-used-medicines-topical-and-oral-use" TargetMode="External"/><Relationship Id="rId32" Type="http://schemas.openxmlformats.org/officeDocument/2006/relationships/hyperlink" Target="https://www.tga.gov.au/resources/guidance/argom-appendix-2-guidelines-quality-aspects-otc-applications" TargetMode="External"/><Relationship Id="rId37" Type="http://schemas.openxmlformats.org/officeDocument/2006/relationships/hyperlink" Target="https://www.tga.gov.au/products/medicines/manufacturing/manufacture-medicine/good-manufacturing-practice-gmp/complying-pics-guide-good-manufacturing-practice-medicinal-products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ga.gov.au/resources/guidance/argom-appendix-2-guidelines-quality-aspects-otc-applications" TargetMode="External"/><Relationship Id="rId23" Type="http://schemas.openxmlformats.org/officeDocument/2006/relationships/hyperlink" Target="https://www.tga.gov.au/products/medicines/over-counter-medicines/application-and-market-authorisation/requirements-otc-new-medicines-n2-applications-using-otc-medicine-monographs/over-counter-otc-medicine-monographs-n2-applications" TargetMode="External"/><Relationship Id="rId28" Type="http://schemas.openxmlformats.org/officeDocument/2006/relationships/hyperlink" Target="https://www.tga.gov.au/resources/resource/international-scientific-guidelines/ich-topic-q6a-specifications-test-procedures-and-acceptance-criteria-new-drug-substances-and-new-drug-products-chemical-substances" TargetMode="External"/><Relationship Id="rId36" Type="http://schemas.openxmlformats.org/officeDocument/2006/relationships/hyperlink" Target="https://www.tga.gov.au/resources/guidance/argom-appendix-2-guidelines-quality-aspects-otc-applica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ga.gov.au/how-we-regulate/ingredients-and-scheduling-medicines-and-chemicals/colourings-used-medicines-topical-and-oral-use" TargetMode="External"/><Relationship Id="rId31" Type="http://schemas.openxmlformats.org/officeDocument/2006/relationships/hyperlink" Target="https://www.tga.gov.au/resources/resource/international-scientific-guidelines/ich-topic-q-2-r1-validation-analytical-procedures-text-and-methodology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ga.gov.au/resources/guidance/understanding-requirements-over-counter-otc-new-medicine-n2-applications" TargetMode="External"/><Relationship Id="rId22" Type="http://schemas.openxmlformats.org/officeDocument/2006/relationships/hyperlink" Target="https://www.tga.gov.au/products/medicines/over-counter-medicines/application-and-market-authorisation/requirements-otc-new-medicines-n2-applications-using-otc-medicine-monographs/over-counter-otc-medicine-monographs-n2-applications" TargetMode="External"/><Relationship Id="rId27" Type="http://schemas.openxmlformats.org/officeDocument/2006/relationships/hyperlink" Target="https://www.tga.gov.au/products/medicines/over-counter-medicines/application-and-market-authorisation/requirements-otc-new-medicines-n2-applications-using-otc-medicine-monographs/over-counter-otc-medicine-monographs-n2-applications" TargetMode="External"/><Relationship Id="rId30" Type="http://schemas.openxmlformats.org/officeDocument/2006/relationships/hyperlink" Target="https://www.tga.gov.au/resources/resource/international-scientific-guidelines/ich-topic-q-2-r1-validation-analytical-procedures-text-and-methodology" TargetMode="External"/><Relationship Id="rId35" Type="http://schemas.openxmlformats.org/officeDocument/2006/relationships/hyperlink" Target="https://www.tga.gov.au/resources/guidance/argom-appendix-2-guidelines-quality-aspects-otc-applications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tga.gov.au/treatment-information-provided-tga" TargetMode="External"/><Relationship Id="rId17" Type="http://schemas.openxmlformats.org/officeDocument/2006/relationships/hyperlink" Target="https://www.tga.gov.au/products/medicines/over-counter-medicines/application-and-market-authorisation/requirements-otc-new-medicines-n2-applications-using-otc-medicine-monographs/over-counter-otc-medicine-monographs-n2-applications" TargetMode="External"/><Relationship Id="rId25" Type="http://schemas.openxmlformats.org/officeDocument/2006/relationships/hyperlink" Target="https://www.tga.gov.au/resources/guidance/transmissible-spongiform-encephalopathies-tse-tga-approach-minimising-risk-exposure" TargetMode="External"/><Relationship Id="rId33" Type="http://schemas.openxmlformats.org/officeDocument/2006/relationships/hyperlink" Target="https://www.tga.gov.au/resources/guidance/argom-appendix-2-guidelines-quality-aspects-otc-applications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.tga.gov.au/products/medicines/manufacturing/manufacture-medicine/good-manufacturing-practice-gmp/complying-pics-guide-good-manufacturing-practice-medicinal-products" TargetMode="External"/><Relationship Id="rId41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00fbf8-ed3d-4429-944f-6229bfdca8f6" xsi:nil="true"/>
    <lcf76f155ced4ddcb4097134ff3c332f xmlns="bef95948-8c99-487c-aca7-125d29d6baf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60E0D6A08F848A82FD54AD271F75A" ma:contentTypeVersion="16" ma:contentTypeDescription="Create a new document." ma:contentTypeScope="" ma:versionID="61d1ccf29c57074aa094dbe4627a334d">
  <xsd:schema xmlns:xsd="http://www.w3.org/2001/XMLSchema" xmlns:xs="http://www.w3.org/2001/XMLSchema" xmlns:p="http://schemas.microsoft.com/office/2006/metadata/properties" xmlns:ns2="bc00fbf8-ed3d-4429-944f-6229bfdca8f6" xmlns:ns3="bef95948-8c99-487c-aca7-125d29d6baf6" targetNamespace="http://schemas.microsoft.com/office/2006/metadata/properties" ma:root="true" ma:fieldsID="2b0d0b7d2bc353b3e3cdc6a98b773e55" ns2:_="" ns3:_="">
    <xsd:import namespace="bc00fbf8-ed3d-4429-944f-6229bfdca8f6"/>
    <xsd:import namespace="bef95948-8c99-487c-aca7-125d29d6ba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0fbf8-ed3d-4429-944f-6229bfdca8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fc1807-9ccc-4ca6-ab7b-848d07585da1}" ma:internalName="TaxCatchAll" ma:showField="CatchAllData" ma:web="bc00fbf8-ed3d-4429-944f-6229bfdca8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5948-8c99-487c-aca7-125d29d6b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546b3e-a69d-45a1-a601-743144b14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FA6B4-E96D-4C71-8CDF-06E18A855ED8}">
  <ds:schemaRefs>
    <ds:schemaRef ds:uri="http://schemas.microsoft.com/office/2006/metadata/properties"/>
    <ds:schemaRef ds:uri="http://schemas.microsoft.com/office/infopath/2007/PartnerControls"/>
    <ds:schemaRef ds:uri="bc00fbf8-ed3d-4429-944f-6229bfdca8f6"/>
    <ds:schemaRef ds:uri="bef95948-8c99-487c-aca7-125d29d6baf6"/>
  </ds:schemaRefs>
</ds:datastoreItem>
</file>

<file path=customXml/itemProps2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6DE89C-3988-4BE4-859C-8CEAD2215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0fbf8-ed3d-4429-944f-6229bfdca8f6"/>
    <ds:schemaRef ds:uri="bef95948-8c99-487c-aca7-125d29d6b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6D673E-0166-48B4-8766-68D0231ED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2806</Words>
  <Characters>15297</Characters>
  <Application>Microsoft Office Word</Application>
  <DocSecurity>0</DocSecurity>
  <Lines>493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creator>HERMANS, Josephine</dc:creator>
  <cp:lastModifiedBy>DOWN, Katie</cp:lastModifiedBy>
  <cp:revision>5</cp:revision>
  <cp:lastPrinted>2005-05-30T03:22:00Z</cp:lastPrinted>
  <dcterms:created xsi:type="dcterms:W3CDTF">2026-02-06T03:09:00Z</dcterms:created>
  <dcterms:modified xsi:type="dcterms:W3CDTF">2026-02-06T04:24:00Z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5f8a6a22,1481f21f,4ab6c7de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56ceadc9,38ae1db9,4148d649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2025-09-16T06:59:13Z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6ed52c3e-8477-4b3d-a537-0cb8da6256ab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ContentTypeId">
    <vt:lpwstr>0x0101002C460E0D6A08F848A82FD54AD271F75A</vt:lpwstr>
  </property>
  <property fmtid="{D5CDD505-2E9C-101B-9397-08002B2CF9AE}" pid="19" name="MediaServiceImageTags">
    <vt:lpwstr/>
  </property>
</Properties>
</file>